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CE4E9" w14:textId="3479446B" w:rsidR="00F17D12" w:rsidRPr="00FC2443" w:rsidRDefault="00F17D12" w:rsidP="007E2F9F">
      <w:pPr>
        <w:pStyle w:val="NormalWeb"/>
        <w:spacing w:before="0" w:beforeAutospacing="0" w:after="0" w:afterAutospacing="0" w:line="257" w:lineRule="atLeast"/>
        <w:jc w:val="center"/>
        <w:rPr>
          <w:rFonts w:asciiTheme="minorHAnsi" w:hAnsiTheme="minorHAnsi" w:cstheme="minorHAnsi"/>
          <w:color w:val="000000"/>
          <w:sz w:val="22"/>
          <w:szCs w:val="22"/>
        </w:rPr>
      </w:pPr>
      <w:r w:rsidRPr="00FC2443">
        <w:rPr>
          <w:rFonts w:asciiTheme="minorHAnsi" w:hAnsiTheme="minorHAnsi" w:cstheme="minorHAnsi"/>
          <w:b/>
          <w:bCs/>
          <w:color w:val="000000"/>
          <w:sz w:val="22"/>
          <w:szCs w:val="22"/>
          <w:u w:val="single"/>
        </w:rPr>
        <w:t>EXPLANATORY STATEMENT</w:t>
      </w:r>
    </w:p>
    <w:p w14:paraId="0806AA3F" w14:textId="6989973A" w:rsidR="00F17D12" w:rsidRPr="00FC2443" w:rsidRDefault="00F17D12" w:rsidP="007E2F9F">
      <w:pPr>
        <w:pStyle w:val="NormalWeb"/>
        <w:spacing w:before="160" w:beforeAutospacing="0" w:after="0" w:afterAutospacing="0" w:line="257" w:lineRule="atLeast"/>
        <w:jc w:val="center"/>
        <w:rPr>
          <w:rFonts w:asciiTheme="minorHAnsi" w:hAnsiTheme="minorHAnsi" w:cstheme="minorHAnsi"/>
          <w:b/>
          <w:bCs/>
          <w:color w:val="000000"/>
          <w:sz w:val="22"/>
          <w:szCs w:val="22"/>
          <w:u w:val="single"/>
        </w:rPr>
      </w:pPr>
      <w:r w:rsidRPr="00FC2443">
        <w:rPr>
          <w:rFonts w:asciiTheme="minorHAnsi" w:hAnsiTheme="minorHAnsi" w:cstheme="minorHAnsi"/>
          <w:b/>
          <w:bCs/>
          <w:color w:val="000000"/>
          <w:sz w:val="22"/>
          <w:szCs w:val="22"/>
          <w:u w:val="single"/>
        </w:rPr>
        <w:t>Issued by the Authority of the Minister for Industry and Science</w:t>
      </w:r>
    </w:p>
    <w:p w14:paraId="02D4909F" w14:textId="77777777" w:rsidR="00DB12AA" w:rsidRPr="00DB12AA" w:rsidRDefault="00DB12AA" w:rsidP="007E2F9F">
      <w:pPr>
        <w:pStyle w:val="NormalWeb"/>
        <w:spacing w:before="160" w:beforeAutospacing="0" w:after="0" w:afterAutospacing="0" w:line="257" w:lineRule="atLeast"/>
        <w:jc w:val="center"/>
        <w:rPr>
          <w:rFonts w:asciiTheme="minorHAnsi" w:hAnsiTheme="minorHAnsi" w:cstheme="minorHAnsi"/>
          <w:i/>
          <w:iCs/>
          <w:color w:val="000000"/>
          <w:sz w:val="22"/>
          <w:szCs w:val="22"/>
        </w:rPr>
      </w:pPr>
      <w:r w:rsidRPr="00DB12AA">
        <w:rPr>
          <w:rFonts w:asciiTheme="minorHAnsi" w:hAnsiTheme="minorHAnsi" w:cstheme="minorHAnsi"/>
          <w:i/>
          <w:iCs/>
          <w:color w:val="000000"/>
          <w:sz w:val="22"/>
          <w:szCs w:val="22"/>
        </w:rPr>
        <w:t>Designs Act 2003</w:t>
      </w:r>
    </w:p>
    <w:p w14:paraId="32FE707F" w14:textId="662E8516" w:rsidR="00DB12AA" w:rsidRDefault="00DB12AA" w:rsidP="007E2F9F">
      <w:pPr>
        <w:pStyle w:val="NormalWeb"/>
        <w:spacing w:before="160" w:beforeAutospacing="0" w:after="0" w:afterAutospacing="0" w:line="257" w:lineRule="atLeast"/>
        <w:jc w:val="center"/>
        <w:rPr>
          <w:rFonts w:asciiTheme="minorHAnsi" w:hAnsiTheme="minorHAnsi" w:cstheme="minorHAnsi"/>
          <w:i/>
          <w:iCs/>
          <w:color w:val="000000"/>
          <w:sz w:val="22"/>
          <w:szCs w:val="22"/>
        </w:rPr>
      </w:pPr>
      <w:r w:rsidRPr="00DB12AA">
        <w:rPr>
          <w:rFonts w:asciiTheme="minorHAnsi" w:hAnsiTheme="minorHAnsi" w:cstheme="minorHAnsi"/>
          <w:i/>
          <w:iCs/>
          <w:color w:val="000000"/>
          <w:sz w:val="22"/>
          <w:szCs w:val="22"/>
        </w:rPr>
        <w:t>Olympic Insignia Protection Act 1987</w:t>
      </w:r>
    </w:p>
    <w:p w14:paraId="02BDE013" w14:textId="6D460A1A" w:rsidR="00F17D12" w:rsidRDefault="00F17D12" w:rsidP="007E2F9F">
      <w:pPr>
        <w:pStyle w:val="NormalWeb"/>
        <w:spacing w:before="160" w:beforeAutospacing="0" w:after="0" w:afterAutospacing="0" w:line="257" w:lineRule="atLeast"/>
        <w:jc w:val="center"/>
        <w:rPr>
          <w:rFonts w:asciiTheme="minorHAnsi" w:hAnsiTheme="minorHAnsi" w:cstheme="minorHAnsi"/>
          <w:i/>
          <w:iCs/>
          <w:color w:val="000000"/>
          <w:sz w:val="22"/>
          <w:szCs w:val="22"/>
        </w:rPr>
      </w:pPr>
      <w:r w:rsidRPr="00FC2443">
        <w:rPr>
          <w:rFonts w:asciiTheme="minorHAnsi" w:hAnsiTheme="minorHAnsi" w:cstheme="minorHAnsi"/>
          <w:i/>
          <w:iCs/>
          <w:color w:val="000000"/>
          <w:sz w:val="22"/>
          <w:szCs w:val="22"/>
        </w:rPr>
        <w:t>Patents Act 1990</w:t>
      </w:r>
    </w:p>
    <w:p w14:paraId="3CABFA45" w14:textId="1C16AB1C" w:rsidR="004B3680" w:rsidRPr="003D13AD" w:rsidRDefault="004B3680" w:rsidP="007E2F9F">
      <w:pPr>
        <w:pStyle w:val="NormalWeb"/>
        <w:spacing w:before="160" w:beforeAutospacing="0" w:after="0" w:afterAutospacing="0" w:line="257" w:lineRule="atLeast"/>
        <w:jc w:val="center"/>
        <w:rPr>
          <w:rFonts w:asciiTheme="minorHAnsi" w:hAnsiTheme="minorHAnsi" w:cstheme="minorHAnsi"/>
          <w:i/>
          <w:iCs/>
          <w:color w:val="000000"/>
          <w:sz w:val="22"/>
          <w:szCs w:val="22"/>
        </w:rPr>
      </w:pPr>
      <w:r w:rsidRPr="003D13AD">
        <w:rPr>
          <w:rFonts w:asciiTheme="minorHAnsi" w:hAnsiTheme="minorHAnsi" w:cstheme="minorHAnsi"/>
          <w:i/>
          <w:iCs/>
          <w:color w:val="000000"/>
          <w:sz w:val="22"/>
          <w:szCs w:val="22"/>
        </w:rPr>
        <w:t>Plant Breeder’s Rights Act 1994</w:t>
      </w:r>
    </w:p>
    <w:p w14:paraId="4949DA52" w14:textId="77777777" w:rsidR="00F17D12" w:rsidRPr="00FC2443" w:rsidRDefault="00F17D12" w:rsidP="007E2F9F">
      <w:pPr>
        <w:pStyle w:val="NormalWeb"/>
        <w:spacing w:before="160" w:beforeAutospacing="0" w:after="0" w:afterAutospacing="0" w:line="257" w:lineRule="atLeast"/>
        <w:jc w:val="center"/>
        <w:rPr>
          <w:rFonts w:asciiTheme="minorHAnsi" w:hAnsiTheme="minorHAnsi" w:cstheme="minorHAnsi"/>
          <w:color w:val="000000"/>
          <w:sz w:val="22"/>
          <w:szCs w:val="22"/>
        </w:rPr>
      </w:pPr>
      <w:r w:rsidRPr="00FC2443">
        <w:rPr>
          <w:rFonts w:asciiTheme="minorHAnsi" w:hAnsiTheme="minorHAnsi" w:cstheme="minorHAnsi"/>
          <w:i/>
          <w:iCs/>
          <w:color w:val="000000"/>
          <w:sz w:val="22"/>
          <w:szCs w:val="22"/>
        </w:rPr>
        <w:t>Trade Marks Act 1995</w:t>
      </w:r>
    </w:p>
    <w:p w14:paraId="31495615" w14:textId="0F1DA1B5" w:rsidR="00F17D12" w:rsidRPr="00472D7B" w:rsidRDefault="00F17D12" w:rsidP="007873DC">
      <w:pPr>
        <w:pStyle w:val="NormalWeb"/>
        <w:spacing w:before="160" w:beforeAutospacing="0" w:after="0" w:afterAutospacing="0" w:line="257" w:lineRule="atLeast"/>
        <w:ind w:hanging="142"/>
        <w:jc w:val="center"/>
        <w:rPr>
          <w:rFonts w:asciiTheme="minorHAnsi" w:hAnsiTheme="minorHAnsi" w:cstheme="minorHAnsi"/>
          <w:i/>
          <w:color w:val="000000"/>
          <w:sz w:val="22"/>
          <w:szCs w:val="22"/>
        </w:rPr>
      </w:pPr>
      <w:bookmarkStart w:id="0" w:name="_Hlk157512625"/>
      <w:r w:rsidRPr="00472D7B">
        <w:rPr>
          <w:rFonts w:asciiTheme="minorHAnsi" w:hAnsiTheme="minorHAnsi" w:cstheme="minorHAnsi"/>
          <w:i/>
          <w:color w:val="000000" w:themeColor="text1"/>
          <w:sz w:val="22"/>
          <w:szCs w:val="22"/>
        </w:rPr>
        <w:t xml:space="preserve">Intellectual Property </w:t>
      </w:r>
      <w:r w:rsidR="00B7608B">
        <w:rPr>
          <w:rFonts w:asciiTheme="minorHAnsi" w:hAnsiTheme="minorHAnsi" w:cstheme="minorHAnsi"/>
          <w:i/>
          <w:color w:val="000000" w:themeColor="text1"/>
          <w:sz w:val="22"/>
          <w:szCs w:val="22"/>
        </w:rPr>
        <w:t>Legislation Amendment</w:t>
      </w:r>
      <w:r w:rsidRPr="00472D7B">
        <w:rPr>
          <w:rFonts w:asciiTheme="minorHAnsi" w:hAnsiTheme="minorHAnsi" w:cstheme="minorHAnsi"/>
          <w:i/>
          <w:color w:val="000000" w:themeColor="text1"/>
          <w:sz w:val="22"/>
          <w:szCs w:val="22"/>
        </w:rPr>
        <w:t xml:space="preserve"> (</w:t>
      </w:r>
      <w:r w:rsidR="003D13AD" w:rsidRPr="00472D7B">
        <w:rPr>
          <w:rFonts w:asciiTheme="minorHAnsi" w:hAnsiTheme="minorHAnsi" w:cstheme="minorHAnsi"/>
          <w:i/>
          <w:color w:val="000000" w:themeColor="text1"/>
          <w:sz w:val="22"/>
          <w:szCs w:val="22"/>
        </w:rPr>
        <w:t>Fee Amounts and Other Measures</w:t>
      </w:r>
      <w:r w:rsidRPr="00472D7B">
        <w:rPr>
          <w:rFonts w:asciiTheme="minorHAnsi" w:hAnsiTheme="minorHAnsi" w:cstheme="minorHAnsi"/>
          <w:i/>
          <w:color w:val="000000" w:themeColor="text1"/>
          <w:sz w:val="22"/>
          <w:szCs w:val="22"/>
        </w:rPr>
        <w:t>)</w:t>
      </w:r>
      <w:r w:rsidR="002D3851" w:rsidRPr="00472D7B">
        <w:rPr>
          <w:rFonts w:asciiTheme="minorHAnsi" w:hAnsiTheme="minorHAnsi" w:cstheme="minorHAnsi"/>
          <w:i/>
          <w:color w:val="000000" w:themeColor="text1"/>
          <w:sz w:val="22"/>
          <w:szCs w:val="22"/>
        </w:rPr>
        <w:t xml:space="preserve"> </w:t>
      </w:r>
      <w:r w:rsidRPr="00472D7B">
        <w:rPr>
          <w:rFonts w:asciiTheme="minorHAnsi" w:hAnsiTheme="minorHAnsi" w:cstheme="minorHAnsi"/>
          <w:i/>
          <w:color w:val="000000" w:themeColor="text1"/>
          <w:sz w:val="22"/>
          <w:szCs w:val="22"/>
        </w:rPr>
        <w:t>Regulations 2024</w:t>
      </w:r>
    </w:p>
    <w:bookmarkEnd w:id="0"/>
    <w:p w14:paraId="115C03FE" w14:textId="1F03D122" w:rsidR="00AD3E70" w:rsidRPr="007D099C" w:rsidRDefault="00AD3E70" w:rsidP="007E2F9F">
      <w:pPr>
        <w:pStyle w:val="NormalWeb"/>
        <w:spacing w:before="160" w:beforeAutospacing="0" w:after="0" w:afterAutospacing="0" w:line="257" w:lineRule="atLeast"/>
        <w:rPr>
          <w:rFonts w:asciiTheme="minorHAnsi" w:hAnsiTheme="minorHAnsi" w:cstheme="minorHAnsi"/>
          <w:color w:val="000000" w:themeColor="text1"/>
          <w:sz w:val="22"/>
          <w:szCs w:val="22"/>
        </w:rPr>
      </w:pPr>
      <w:r w:rsidRPr="00FC2443">
        <w:rPr>
          <w:rStyle w:val="normaltextrun"/>
          <w:rFonts w:asciiTheme="minorHAnsi" w:hAnsiTheme="minorHAnsi" w:cstheme="minorHAnsi"/>
          <w:color w:val="000000"/>
          <w:sz w:val="22"/>
          <w:szCs w:val="22"/>
          <w:shd w:val="clear" w:color="auto" w:fill="FFFFFF"/>
        </w:rPr>
        <w:t xml:space="preserve">The </w:t>
      </w:r>
      <w:r w:rsidR="005D4B2F" w:rsidRPr="00472D7B">
        <w:rPr>
          <w:rStyle w:val="normaltextrun"/>
          <w:rFonts w:asciiTheme="minorHAnsi" w:hAnsiTheme="minorHAnsi" w:cstheme="minorHAnsi"/>
          <w:i/>
          <w:iCs/>
          <w:color w:val="000000"/>
          <w:sz w:val="22"/>
          <w:szCs w:val="22"/>
          <w:shd w:val="clear" w:color="auto" w:fill="FFFFFF"/>
        </w:rPr>
        <w:t>Intellectual</w:t>
      </w:r>
      <w:r w:rsidRPr="00472D7B">
        <w:rPr>
          <w:rStyle w:val="normaltextrun"/>
          <w:rFonts w:asciiTheme="minorHAnsi" w:hAnsiTheme="minorHAnsi" w:cstheme="minorHAnsi"/>
          <w:i/>
          <w:iCs/>
          <w:color w:val="000000"/>
          <w:sz w:val="22"/>
          <w:szCs w:val="22"/>
          <w:shd w:val="clear" w:color="auto" w:fill="FFFFFF"/>
        </w:rPr>
        <w:t xml:space="preserve"> </w:t>
      </w:r>
      <w:r w:rsidR="004A623E" w:rsidRPr="00472D7B">
        <w:rPr>
          <w:rStyle w:val="normaltextrun"/>
          <w:rFonts w:asciiTheme="minorHAnsi" w:hAnsiTheme="minorHAnsi" w:cstheme="minorHAnsi"/>
          <w:i/>
          <w:iCs/>
          <w:color w:val="000000"/>
          <w:sz w:val="22"/>
          <w:szCs w:val="22"/>
          <w:shd w:val="clear" w:color="auto" w:fill="FFFFFF"/>
        </w:rPr>
        <w:t xml:space="preserve">Property </w:t>
      </w:r>
      <w:r w:rsidR="00B7608B">
        <w:rPr>
          <w:rStyle w:val="normaltextrun"/>
          <w:rFonts w:asciiTheme="minorHAnsi" w:hAnsiTheme="minorHAnsi" w:cstheme="minorHAnsi"/>
          <w:i/>
          <w:iCs/>
          <w:color w:val="000000"/>
          <w:sz w:val="22"/>
          <w:szCs w:val="22"/>
          <w:shd w:val="clear" w:color="auto" w:fill="FFFFFF"/>
        </w:rPr>
        <w:t>Legislation Amendment</w:t>
      </w:r>
      <w:r w:rsidR="004A623E" w:rsidRPr="00472D7B">
        <w:rPr>
          <w:rStyle w:val="normaltextrun"/>
          <w:rFonts w:asciiTheme="minorHAnsi" w:hAnsiTheme="minorHAnsi" w:cstheme="minorHAnsi"/>
          <w:i/>
          <w:iCs/>
          <w:color w:val="000000"/>
          <w:sz w:val="22"/>
          <w:szCs w:val="22"/>
          <w:shd w:val="clear" w:color="auto" w:fill="FFFFFF"/>
        </w:rPr>
        <w:t xml:space="preserve"> (</w:t>
      </w:r>
      <w:r w:rsidR="00355962" w:rsidRPr="00472D7B">
        <w:rPr>
          <w:rFonts w:asciiTheme="minorHAnsi" w:hAnsiTheme="minorHAnsi" w:cstheme="minorHAnsi"/>
          <w:i/>
          <w:iCs/>
          <w:color w:val="000000" w:themeColor="text1"/>
          <w:sz w:val="22"/>
          <w:szCs w:val="22"/>
        </w:rPr>
        <w:t>Fee Amounts and Other Measures</w:t>
      </w:r>
      <w:r w:rsidR="004A623E" w:rsidRPr="00472D7B">
        <w:rPr>
          <w:rStyle w:val="normaltextrun"/>
          <w:rFonts w:asciiTheme="minorHAnsi" w:hAnsiTheme="minorHAnsi" w:cstheme="minorHAnsi"/>
          <w:i/>
          <w:iCs/>
          <w:color w:val="000000"/>
          <w:sz w:val="22"/>
          <w:szCs w:val="22"/>
          <w:shd w:val="clear" w:color="auto" w:fill="FFFFFF"/>
        </w:rPr>
        <w:t xml:space="preserve">) </w:t>
      </w:r>
      <w:r w:rsidR="00661A1C" w:rsidRPr="00472D7B">
        <w:rPr>
          <w:rFonts w:asciiTheme="minorHAnsi" w:hAnsiTheme="minorHAnsi" w:cstheme="minorHAnsi"/>
          <w:i/>
          <w:iCs/>
          <w:color w:val="000000" w:themeColor="text1"/>
          <w:sz w:val="22"/>
          <w:szCs w:val="22"/>
        </w:rPr>
        <w:t>Regulations 2024</w:t>
      </w:r>
      <w:r w:rsidR="00661A1C" w:rsidRPr="00FC2443">
        <w:rPr>
          <w:rFonts w:asciiTheme="minorHAnsi" w:hAnsiTheme="minorHAnsi" w:cstheme="minorHAnsi"/>
          <w:i/>
          <w:color w:val="000000" w:themeColor="text1"/>
          <w:sz w:val="22"/>
          <w:szCs w:val="22"/>
        </w:rPr>
        <w:t xml:space="preserve"> </w:t>
      </w:r>
      <w:r w:rsidRPr="00FC2443">
        <w:rPr>
          <w:rStyle w:val="normaltextrun"/>
          <w:rFonts w:asciiTheme="minorHAnsi" w:hAnsiTheme="minorHAnsi" w:cstheme="minorHAnsi"/>
          <w:color w:val="000000"/>
          <w:sz w:val="22"/>
          <w:szCs w:val="22"/>
          <w:shd w:val="clear" w:color="auto" w:fill="FFFFFF"/>
        </w:rPr>
        <w:t>(</w:t>
      </w:r>
      <w:r w:rsidR="00661A1C" w:rsidRPr="00FC2443">
        <w:rPr>
          <w:rStyle w:val="normaltextrun"/>
          <w:rFonts w:asciiTheme="minorHAnsi" w:hAnsiTheme="minorHAnsi" w:cstheme="minorHAnsi"/>
          <w:color w:val="000000"/>
          <w:sz w:val="22"/>
          <w:szCs w:val="22"/>
          <w:shd w:val="clear" w:color="auto" w:fill="FFFFFF"/>
        </w:rPr>
        <w:t xml:space="preserve">the </w:t>
      </w:r>
      <w:r w:rsidRPr="00FC2443">
        <w:rPr>
          <w:rStyle w:val="normaltextrun"/>
          <w:rFonts w:asciiTheme="minorHAnsi" w:hAnsiTheme="minorHAnsi" w:cstheme="minorHAnsi"/>
          <w:color w:val="000000"/>
          <w:sz w:val="22"/>
          <w:szCs w:val="22"/>
          <w:shd w:val="clear" w:color="auto" w:fill="FFFFFF"/>
        </w:rPr>
        <w:t xml:space="preserve">Regulations) </w:t>
      </w:r>
      <w:r w:rsidR="00073AC2">
        <w:rPr>
          <w:rFonts w:asciiTheme="minorHAnsi" w:hAnsiTheme="minorHAnsi" w:cstheme="minorHAnsi"/>
          <w:color w:val="000000" w:themeColor="text1"/>
          <w:sz w:val="22"/>
          <w:szCs w:val="22"/>
        </w:rPr>
        <w:t xml:space="preserve">principally </w:t>
      </w:r>
      <w:r w:rsidR="00AD0846" w:rsidRPr="00AD0846">
        <w:rPr>
          <w:rFonts w:asciiTheme="minorHAnsi" w:hAnsiTheme="minorHAnsi" w:cstheme="minorHAnsi"/>
          <w:color w:val="000000" w:themeColor="text1"/>
          <w:sz w:val="22"/>
          <w:szCs w:val="22"/>
        </w:rPr>
        <w:t xml:space="preserve">implement a </w:t>
      </w:r>
      <w:r w:rsidR="003408FD">
        <w:rPr>
          <w:rFonts w:asciiTheme="minorHAnsi" w:hAnsiTheme="minorHAnsi" w:cstheme="minorHAnsi"/>
          <w:color w:val="000000" w:themeColor="text1"/>
          <w:sz w:val="22"/>
          <w:szCs w:val="22"/>
        </w:rPr>
        <w:t>4</w:t>
      </w:r>
      <w:r w:rsidR="00AD0846" w:rsidRPr="00AD0846">
        <w:rPr>
          <w:rFonts w:asciiTheme="minorHAnsi" w:hAnsiTheme="minorHAnsi" w:cstheme="minorHAnsi"/>
          <w:color w:val="000000" w:themeColor="text1"/>
          <w:sz w:val="22"/>
          <w:szCs w:val="22"/>
        </w:rPr>
        <w:t xml:space="preserve">-yearly review of the fees prescribed for the purposes of the </w:t>
      </w:r>
      <w:r w:rsidR="00AD0846" w:rsidRPr="00AD0846">
        <w:rPr>
          <w:rFonts w:asciiTheme="minorHAnsi" w:hAnsiTheme="minorHAnsi" w:cstheme="minorHAnsi"/>
          <w:i/>
          <w:iCs/>
          <w:color w:val="000000" w:themeColor="text1"/>
          <w:sz w:val="22"/>
          <w:szCs w:val="22"/>
        </w:rPr>
        <w:t>Designs Act 2003</w:t>
      </w:r>
      <w:r w:rsidR="00AD0846" w:rsidRPr="00AD0846">
        <w:rPr>
          <w:rFonts w:asciiTheme="minorHAnsi" w:hAnsiTheme="minorHAnsi" w:cstheme="minorHAnsi"/>
          <w:color w:val="000000" w:themeColor="text1"/>
          <w:sz w:val="22"/>
          <w:szCs w:val="22"/>
        </w:rPr>
        <w:t xml:space="preserve">, the </w:t>
      </w:r>
      <w:r w:rsidR="00AD0846" w:rsidRPr="00AD0846">
        <w:rPr>
          <w:rFonts w:asciiTheme="minorHAnsi" w:hAnsiTheme="minorHAnsi" w:cstheme="minorHAnsi"/>
          <w:i/>
          <w:iCs/>
          <w:color w:val="000000" w:themeColor="text1"/>
          <w:sz w:val="22"/>
          <w:szCs w:val="22"/>
        </w:rPr>
        <w:t>Olympic Insignia Protection Act 1987</w:t>
      </w:r>
      <w:r w:rsidR="00AD0846" w:rsidRPr="00AD0846">
        <w:rPr>
          <w:rFonts w:asciiTheme="minorHAnsi" w:hAnsiTheme="minorHAnsi" w:cstheme="minorHAnsi"/>
          <w:color w:val="000000" w:themeColor="text1"/>
          <w:sz w:val="22"/>
          <w:szCs w:val="22"/>
        </w:rPr>
        <w:t xml:space="preserve"> (OIP Act), the </w:t>
      </w:r>
      <w:r w:rsidR="00AD0846" w:rsidRPr="00AD0846">
        <w:rPr>
          <w:rFonts w:asciiTheme="minorHAnsi" w:hAnsiTheme="minorHAnsi" w:cstheme="minorHAnsi"/>
          <w:i/>
          <w:iCs/>
          <w:color w:val="000000" w:themeColor="text1"/>
          <w:sz w:val="22"/>
          <w:szCs w:val="22"/>
        </w:rPr>
        <w:t>Patents Act 1990</w:t>
      </w:r>
      <w:r w:rsidR="00AD0846" w:rsidRPr="00AD0846">
        <w:rPr>
          <w:rFonts w:asciiTheme="minorHAnsi" w:hAnsiTheme="minorHAnsi" w:cstheme="minorHAnsi"/>
          <w:color w:val="000000" w:themeColor="text1"/>
          <w:sz w:val="22"/>
          <w:szCs w:val="22"/>
        </w:rPr>
        <w:t xml:space="preserve">, the </w:t>
      </w:r>
      <w:r w:rsidR="00AD0846" w:rsidRPr="005D5102">
        <w:rPr>
          <w:rFonts w:asciiTheme="minorHAnsi" w:hAnsiTheme="minorHAnsi" w:cstheme="minorHAnsi"/>
          <w:i/>
          <w:iCs/>
          <w:color w:val="000000" w:themeColor="text1"/>
          <w:sz w:val="22"/>
          <w:szCs w:val="22"/>
        </w:rPr>
        <w:t>Plant Breeder’s Rights Act 1994</w:t>
      </w:r>
      <w:r w:rsidR="00BC7775">
        <w:rPr>
          <w:rFonts w:asciiTheme="minorHAnsi" w:hAnsiTheme="minorHAnsi" w:cstheme="minorHAnsi"/>
          <w:color w:val="000000" w:themeColor="text1"/>
          <w:sz w:val="22"/>
          <w:szCs w:val="22"/>
        </w:rPr>
        <w:t xml:space="preserve"> (PBR Act)</w:t>
      </w:r>
      <w:r w:rsidR="00AD0846" w:rsidRPr="00AD0846">
        <w:rPr>
          <w:rFonts w:asciiTheme="minorHAnsi" w:hAnsiTheme="minorHAnsi" w:cstheme="minorHAnsi"/>
          <w:color w:val="000000" w:themeColor="text1"/>
          <w:sz w:val="22"/>
          <w:szCs w:val="22"/>
        </w:rPr>
        <w:t xml:space="preserve"> and the </w:t>
      </w:r>
      <w:r w:rsidR="00AD0846" w:rsidRPr="005D5102">
        <w:rPr>
          <w:rFonts w:asciiTheme="minorHAnsi" w:hAnsiTheme="minorHAnsi" w:cstheme="minorHAnsi"/>
          <w:i/>
          <w:iCs/>
          <w:color w:val="000000" w:themeColor="text1"/>
          <w:sz w:val="22"/>
          <w:szCs w:val="22"/>
        </w:rPr>
        <w:t>Trade Marks Act 1995</w:t>
      </w:r>
      <w:r w:rsidR="00AD0846" w:rsidRPr="00AD0846">
        <w:rPr>
          <w:rFonts w:asciiTheme="minorHAnsi" w:hAnsiTheme="minorHAnsi" w:cstheme="minorHAnsi"/>
          <w:color w:val="000000" w:themeColor="text1"/>
          <w:sz w:val="22"/>
          <w:szCs w:val="22"/>
        </w:rPr>
        <w:t xml:space="preserve"> (collectively, ‘the Acts’).</w:t>
      </w:r>
      <w:r w:rsidR="007D099C">
        <w:rPr>
          <w:rFonts w:asciiTheme="minorHAnsi" w:hAnsiTheme="minorHAnsi" w:cstheme="minorHAnsi"/>
          <w:color w:val="000000" w:themeColor="text1"/>
          <w:sz w:val="22"/>
          <w:szCs w:val="22"/>
        </w:rPr>
        <w:t xml:space="preserve"> The Regulations </w:t>
      </w:r>
      <w:r w:rsidR="00DA5AC8">
        <w:rPr>
          <w:rFonts w:asciiTheme="minorHAnsi" w:hAnsiTheme="minorHAnsi" w:cstheme="minorHAnsi"/>
          <w:color w:val="000000" w:themeColor="text1"/>
          <w:sz w:val="22"/>
          <w:szCs w:val="22"/>
        </w:rPr>
        <w:t xml:space="preserve">also </w:t>
      </w:r>
      <w:r w:rsidR="009B73CB">
        <w:rPr>
          <w:rFonts w:asciiTheme="minorHAnsi" w:hAnsiTheme="minorHAnsi" w:cstheme="minorHAnsi"/>
          <w:color w:val="000000" w:themeColor="text1"/>
          <w:sz w:val="22"/>
          <w:szCs w:val="22"/>
        </w:rPr>
        <w:t>update</w:t>
      </w:r>
      <w:r w:rsidR="005A0D9A" w:rsidRPr="005A0D9A">
        <w:rPr>
          <w:rFonts w:asciiTheme="minorHAnsi" w:hAnsiTheme="minorHAnsi" w:cstheme="minorHAnsi"/>
          <w:color w:val="000000" w:themeColor="text1"/>
          <w:sz w:val="22"/>
          <w:szCs w:val="22"/>
        </w:rPr>
        <w:t xml:space="preserve"> the scales of costs, expenses and allowances that can be awarded in designs, patent</w:t>
      </w:r>
      <w:r w:rsidR="00F16E54">
        <w:rPr>
          <w:rFonts w:asciiTheme="minorHAnsi" w:hAnsiTheme="minorHAnsi" w:cstheme="minorHAnsi"/>
          <w:color w:val="000000" w:themeColor="text1"/>
          <w:sz w:val="22"/>
          <w:szCs w:val="22"/>
        </w:rPr>
        <w:t>s</w:t>
      </w:r>
      <w:r w:rsidR="005A0D9A" w:rsidRPr="005A0D9A">
        <w:rPr>
          <w:rFonts w:asciiTheme="minorHAnsi" w:hAnsiTheme="minorHAnsi" w:cstheme="minorHAnsi"/>
          <w:color w:val="000000" w:themeColor="text1"/>
          <w:sz w:val="22"/>
          <w:szCs w:val="22"/>
        </w:rPr>
        <w:t xml:space="preserve"> or </w:t>
      </w:r>
      <w:proofErr w:type="spellStart"/>
      <w:r w:rsidR="005A0D9A" w:rsidRPr="005A0D9A">
        <w:rPr>
          <w:rFonts w:asciiTheme="minorHAnsi" w:hAnsiTheme="minorHAnsi" w:cstheme="minorHAnsi"/>
          <w:color w:val="000000" w:themeColor="text1"/>
          <w:sz w:val="22"/>
          <w:szCs w:val="22"/>
        </w:rPr>
        <w:t>trade marks</w:t>
      </w:r>
      <w:proofErr w:type="spellEnd"/>
      <w:r w:rsidR="005A0D9A" w:rsidRPr="005A0D9A">
        <w:rPr>
          <w:rFonts w:asciiTheme="minorHAnsi" w:hAnsiTheme="minorHAnsi" w:cstheme="minorHAnsi"/>
          <w:color w:val="000000" w:themeColor="text1"/>
          <w:sz w:val="22"/>
          <w:szCs w:val="22"/>
        </w:rPr>
        <w:t xml:space="preserve"> proceedings.</w:t>
      </w:r>
    </w:p>
    <w:p w14:paraId="65782963" w14:textId="33EC83A8" w:rsidR="00F17D12" w:rsidRPr="00FC2443" w:rsidRDefault="00F17D12" w:rsidP="007E2F9F">
      <w:pPr>
        <w:pStyle w:val="NormalWeb"/>
        <w:spacing w:before="160" w:beforeAutospacing="0" w:after="0" w:afterAutospacing="0" w:line="257" w:lineRule="atLeast"/>
        <w:rPr>
          <w:rFonts w:asciiTheme="minorHAnsi" w:hAnsiTheme="minorHAnsi" w:cstheme="minorHAnsi"/>
          <w:b/>
          <w:bCs/>
          <w:color w:val="000000"/>
          <w:sz w:val="22"/>
          <w:szCs w:val="22"/>
        </w:rPr>
      </w:pPr>
      <w:r w:rsidRPr="00FC2443">
        <w:rPr>
          <w:rFonts w:asciiTheme="minorHAnsi" w:hAnsiTheme="minorHAnsi" w:cstheme="minorHAnsi"/>
          <w:b/>
          <w:bCs/>
          <w:color w:val="000000" w:themeColor="text1"/>
          <w:sz w:val="22"/>
          <w:szCs w:val="22"/>
        </w:rPr>
        <w:t xml:space="preserve">Legislative </w:t>
      </w:r>
      <w:r w:rsidR="00A2695B">
        <w:rPr>
          <w:rFonts w:asciiTheme="minorHAnsi" w:hAnsiTheme="minorHAnsi" w:cstheme="minorHAnsi"/>
          <w:b/>
          <w:bCs/>
          <w:color w:val="000000" w:themeColor="text1"/>
          <w:sz w:val="22"/>
          <w:szCs w:val="22"/>
        </w:rPr>
        <w:t>a</w:t>
      </w:r>
      <w:r w:rsidRPr="00FC2443">
        <w:rPr>
          <w:rFonts w:asciiTheme="minorHAnsi" w:hAnsiTheme="minorHAnsi" w:cstheme="minorHAnsi"/>
          <w:b/>
          <w:bCs/>
          <w:color w:val="000000" w:themeColor="text1"/>
          <w:sz w:val="22"/>
          <w:szCs w:val="22"/>
        </w:rPr>
        <w:t>uthority</w:t>
      </w:r>
    </w:p>
    <w:p w14:paraId="22438A30" w14:textId="13DA10ED" w:rsidR="00A63BA1" w:rsidRPr="00A63BA1" w:rsidRDefault="00E07F66" w:rsidP="007E2F9F">
      <w:pPr>
        <w:pStyle w:val="NormalWeb"/>
        <w:spacing w:before="160" w:beforeAutospacing="0" w:after="0" w:afterAutospacing="0" w:line="259" w:lineRule="atLeast"/>
        <w:rPr>
          <w:rFonts w:asciiTheme="minorHAnsi" w:hAnsiTheme="minorHAnsi" w:cstheme="minorHAnsi"/>
          <w:sz w:val="22"/>
          <w:szCs w:val="22"/>
        </w:rPr>
      </w:pPr>
      <w:r>
        <w:rPr>
          <w:rFonts w:asciiTheme="minorHAnsi" w:hAnsiTheme="minorHAnsi" w:cstheme="minorHAnsi"/>
          <w:sz w:val="22"/>
          <w:szCs w:val="22"/>
        </w:rPr>
        <w:t>Subsection</w:t>
      </w:r>
      <w:r w:rsidR="00A63BA1" w:rsidRPr="00A63BA1">
        <w:rPr>
          <w:rFonts w:asciiTheme="minorHAnsi" w:hAnsiTheme="minorHAnsi" w:cstheme="minorHAnsi"/>
          <w:sz w:val="22"/>
          <w:szCs w:val="22"/>
        </w:rPr>
        <w:t xml:space="preserve"> 149(1) of the Designs Act, </w:t>
      </w:r>
      <w:r w:rsidR="008F5125">
        <w:rPr>
          <w:rFonts w:asciiTheme="minorHAnsi" w:hAnsiTheme="minorHAnsi" w:cstheme="minorHAnsi"/>
          <w:sz w:val="22"/>
          <w:szCs w:val="22"/>
        </w:rPr>
        <w:t>section</w:t>
      </w:r>
      <w:r w:rsidR="00A63BA1" w:rsidRPr="00A63BA1">
        <w:rPr>
          <w:rFonts w:asciiTheme="minorHAnsi" w:hAnsiTheme="minorHAnsi" w:cstheme="minorHAnsi"/>
          <w:sz w:val="22"/>
          <w:szCs w:val="22"/>
        </w:rPr>
        <w:t xml:space="preserve"> 76 of the OIP Act, </w:t>
      </w:r>
      <w:r>
        <w:rPr>
          <w:rFonts w:asciiTheme="minorHAnsi" w:hAnsiTheme="minorHAnsi" w:cstheme="minorHAnsi"/>
          <w:sz w:val="22"/>
          <w:szCs w:val="22"/>
        </w:rPr>
        <w:t xml:space="preserve">subsection </w:t>
      </w:r>
      <w:r w:rsidR="00A63BA1" w:rsidRPr="00A63BA1">
        <w:rPr>
          <w:rFonts w:asciiTheme="minorHAnsi" w:hAnsiTheme="minorHAnsi" w:cstheme="minorHAnsi"/>
          <w:sz w:val="22"/>
          <w:szCs w:val="22"/>
        </w:rPr>
        <w:t xml:space="preserve">228(1) of the Patents Act, </w:t>
      </w:r>
      <w:r w:rsidR="005A3942">
        <w:rPr>
          <w:rFonts w:asciiTheme="minorHAnsi" w:hAnsiTheme="minorHAnsi" w:cstheme="minorHAnsi"/>
          <w:sz w:val="22"/>
          <w:szCs w:val="22"/>
        </w:rPr>
        <w:t>subsection</w:t>
      </w:r>
      <w:r w:rsidR="00A63BA1" w:rsidRPr="00A63BA1">
        <w:rPr>
          <w:rFonts w:asciiTheme="minorHAnsi" w:hAnsiTheme="minorHAnsi" w:cstheme="minorHAnsi"/>
          <w:sz w:val="22"/>
          <w:szCs w:val="22"/>
        </w:rPr>
        <w:t xml:space="preserve"> 80(1) of the </w:t>
      </w:r>
      <w:r w:rsidR="0087013A">
        <w:rPr>
          <w:rFonts w:asciiTheme="minorHAnsi" w:hAnsiTheme="minorHAnsi" w:cstheme="minorHAnsi"/>
          <w:sz w:val="22"/>
          <w:szCs w:val="22"/>
        </w:rPr>
        <w:t>PBR</w:t>
      </w:r>
      <w:r w:rsidR="00A63BA1" w:rsidRPr="00A63BA1">
        <w:rPr>
          <w:rFonts w:asciiTheme="minorHAnsi" w:hAnsiTheme="minorHAnsi" w:cstheme="minorHAnsi"/>
          <w:sz w:val="22"/>
          <w:szCs w:val="22"/>
        </w:rPr>
        <w:t xml:space="preserve"> Act, and </w:t>
      </w:r>
      <w:r w:rsidR="005A3942">
        <w:rPr>
          <w:rFonts w:asciiTheme="minorHAnsi" w:hAnsiTheme="minorHAnsi" w:cstheme="minorHAnsi"/>
          <w:sz w:val="22"/>
          <w:szCs w:val="22"/>
        </w:rPr>
        <w:t>subsection</w:t>
      </w:r>
      <w:r w:rsidR="00A63BA1" w:rsidRPr="00A63BA1">
        <w:rPr>
          <w:rFonts w:asciiTheme="minorHAnsi" w:hAnsiTheme="minorHAnsi" w:cstheme="minorHAnsi"/>
          <w:sz w:val="22"/>
          <w:szCs w:val="22"/>
        </w:rPr>
        <w:t xml:space="preserve"> 231(1) of the Trade Marks Act provide that the Governor-General may make regulations prescribing matters required or permitted by the Acts to be prescribed.</w:t>
      </w:r>
    </w:p>
    <w:p w14:paraId="5783EEBB" w14:textId="4020E062" w:rsidR="00872BAC" w:rsidRDefault="00A63BA1" w:rsidP="007E2F9F">
      <w:pPr>
        <w:pStyle w:val="NormalWeb"/>
        <w:spacing w:before="160" w:beforeAutospacing="0" w:after="0" w:afterAutospacing="0" w:line="259" w:lineRule="atLeast"/>
        <w:rPr>
          <w:rFonts w:asciiTheme="minorHAnsi" w:hAnsiTheme="minorHAnsi" w:cstheme="minorHAnsi"/>
          <w:sz w:val="22"/>
          <w:szCs w:val="22"/>
        </w:rPr>
      </w:pPr>
      <w:r w:rsidRPr="00A63BA1">
        <w:rPr>
          <w:rFonts w:asciiTheme="minorHAnsi" w:hAnsiTheme="minorHAnsi" w:cstheme="minorHAnsi"/>
          <w:sz w:val="22"/>
          <w:szCs w:val="22"/>
        </w:rPr>
        <w:t xml:space="preserve">Section 130 of the Designs Act, paragraph 10(2)(b) of the OIP Act, section 227 of the Patents Act, paragraph 80(2)(a) of the </w:t>
      </w:r>
      <w:r w:rsidR="00500A11">
        <w:rPr>
          <w:rFonts w:asciiTheme="minorHAnsi" w:hAnsiTheme="minorHAnsi" w:cstheme="minorHAnsi"/>
          <w:sz w:val="22"/>
          <w:szCs w:val="22"/>
        </w:rPr>
        <w:t xml:space="preserve">PBR </w:t>
      </w:r>
      <w:r w:rsidRPr="00A63BA1">
        <w:rPr>
          <w:rFonts w:asciiTheme="minorHAnsi" w:hAnsiTheme="minorHAnsi" w:cstheme="minorHAnsi"/>
          <w:sz w:val="22"/>
          <w:szCs w:val="22"/>
        </w:rPr>
        <w:t>Act and section 223 of the Trade Marks Act provide for the payment of prescribed fees in accordance with the regulations made for the purpose of the respective Acts.</w:t>
      </w:r>
    </w:p>
    <w:p w14:paraId="03E1BE6F" w14:textId="484CF2E2" w:rsidR="00A63BA1" w:rsidRPr="00A63BA1" w:rsidRDefault="00A63BA1" w:rsidP="007E2F9F">
      <w:pPr>
        <w:pStyle w:val="NormalWeb"/>
        <w:spacing w:before="160" w:beforeAutospacing="0" w:after="0" w:afterAutospacing="0" w:line="259" w:lineRule="atLeast"/>
        <w:rPr>
          <w:rFonts w:asciiTheme="minorHAnsi" w:hAnsiTheme="minorHAnsi" w:cstheme="minorHAnsi"/>
          <w:sz w:val="22"/>
          <w:szCs w:val="22"/>
        </w:rPr>
      </w:pPr>
      <w:r w:rsidRPr="00A63BA1">
        <w:rPr>
          <w:rFonts w:asciiTheme="minorHAnsi" w:hAnsiTheme="minorHAnsi" w:cstheme="minorHAnsi"/>
          <w:sz w:val="22"/>
          <w:szCs w:val="22"/>
        </w:rPr>
        <w:t>The Acts specify no conditions that must be met before the power to make regulations may be exercised.</w:t>
      </w:r>
    </w:p>
    <w:p w14:paraId="2DE66D28" w14:textId="4B0E956D" w:rsidR="0003173E" w:rsidRDefault="00A63BA1" w:rsidP="007E2F9F">
      <w:pPr>
        <w:pStyle w:val="NormalWeb"/>
        <w:spacing w:before="160" w:beforeAutospacing="0" w:after="0" w:afterAutospacing="0" w:line="259" w:lineRule="atLeast"/>
        <w:rPr>
          <w:rFonts w:asciiTheme="minorHAnsi" w:hAnsiTheme="minorHAnsi" w:cstheme="minorHAnsi"/>
          <w:sz w:val="22"/>
          <w:szCs w:val="22"/>
        </w:rPr>
      </w:pPr>
      <w:r w:rsidRPr="00A63BA1">
        <w:rPr>
          <w:rFonts w:asciiTheme="minorHAnsi" w:hAnsiTheme="minorHAnsi" w:cstheme="minorHAnsi"/>
          <w:sz w:val="22"/>
          <w:szCs w:val="22"/>
        </w:rPr>
        <w:t xml:space="preserve">The Regulations are a legislative instrument for the purposes of the </w:t>
      </w:r>
      <w:r w:rsidRPr="006666D0">
        <w:rPr>
          <w:rFonts w:asciiTheme="minorHAnsi" w:hAnsiTheme="minorHAnsi" w:cstheme="minorHAnsi"/>
          <w:i/>
          <w:iCs/>
          <w:sz w:val="22"/>
          <w:szCs w:val="22"/>
        </w:rPr>
        <w:t>Legislation Act 2003</w:t>
      </w:r>
      <w:r w:rsidRPr="00A63BA1">
        <w:rPr>
          <w:rFonts w:asciiTheme="minorHAnsi" w:hAnsiTheme="minorHAnsi" w:cstheme="minorHAnsi"/>
          <w:sz w:val="22"/>
          <w:szCs w:val="22"/>
        </w:rPr>
        <w:t>.</w:t>
      </w:r>
    </w:p>
    <w:p w14:paraId="7C215F91" w14:textId="77777777" w:rsidR="00F17D12" w:rsidRPr="00FC2443" w:rsidRDefault="00F17D12" w:rsidP="007E2F9F">
      <w:pPr>
        <w:pStyle w:val="NormalWeb"/>
        <w:spacing w:before="160" w:beforeAutospacing="0" w:after="0" w:afterAutospacing="0" w:line="257" w:lineRule="atLeast"/>
        <w:rPr>
          <w:rFonts w:asciiTheme="minorHAnsi" w:hAnsiTheme="minorHAnsi" w:cstheme="minorHAnsi"/>
          <w:color w:val="000000"/>
          <w:sz w:val="22"/>
          <w:szCs w:val="22"/>
        </w:rPr>
      </w:pPr>
      <w:r w:rsidRPr="00FC2443">
        <w:rPr>
          <w:rFonts w:asciiTheme="minorHAnsi" w:hAnsiTheme="minorHAnsi" w:cstheme="minorHAnsi"/>
          <w:b/>
          <w:bCs/>
          <w:color w:val="000000"/>
          <w:sz w:val="22"/>
          <w:szCs w:val="22"/>
        </w:rPr>
        <w:t>Purpose of the Regulations</w:t>
      </w:r>
    </w:p>
    <w:p w14:paraId="2B4BBA59" w14:textId="7F0B4AD1" w:rsidR="007C71A4" w:rsidRDefault="009C2800" w:rsidP="007E2F9F">
      <w:pPr>
        <w:spacing w:before="160" w:after="0" w:line="257" w:lineRule="atLeast"/>
        <w:rPr>
          <w:rFonts w:eastAsia="Times New Roman" w:cstheme="minorHAnsi"/>
          <w:color w:val="000000" w:themeColor="text1"/>
          <w:kern w:val="0"/>
          <w:lang w:val="en-US" w:eastAsia="en-AU"/>
        </w:rPr>
      </w:pPr>
      <w:r>
        <w:rPr>
          <w:rFonts w:cstheme="minorHAnsi"/>
          <w:color w:val="000000" w:themeColor="text1"/>
        </w:rPr>
        <w:t>T</w:t>
      </w:r>
      <w:r w:rsidRPr="009C2800">
        <w:rPr>
          <w:rFonts w:cstheme="minorHAnsi"/>
          <w:color w:val="000000" w:themeColor="text1"/>
        </w:rPr>
        <w:t xml:space="preserve">he Regulations amend the </w:t>
      </w:r>
      <w:r w:rsidRPr="001C1241">
        <w:rPr>
          <w:rFonts w:cstheme="minorHAnsi"/>
          <w:i/>
          <w:color w:val="000000" w:themeColor="text1"/>
        </w:rPr>
        <w:t>Designs Regulations 2004</w:t>
      </w:r>
      <w:r w:rsidRPr="0026123D">
        <w:rPr>
          <w:rFonts w:cstheme="minorHAnsi"/>
          <w:color w:val="000000" w:themeColor="text1"/>
        </w:rPr>
        <w:t xml:space="preserve">, the </w:t>
      </w:r>
      <w:r w:rsidRPr="001C1241">
        <w:rPr>
          <w:rFonts w:cstheme="minorHAnsi"/>
          <w:i/>
          <w:color w:val="000000" w:themeColor="text1"/>
        </w:rPr>
        <w:t>Olympic Insignia Protection Regulations 1993</w:t>
      </w:r>
      <w:r w:rsidRPr="0026123D">
        <w:rPr>
          <w:rFonts w:cstheme="minorHAnsi"/>
          <w:color w:val="000000" w:themeColor="text1"/>
        </w:rPr>
        <w:t xml:space="preserve"> (OIP Regulations), the </w:t>
      </w:r>
      <w:r w:rsidRPr="001C1241">
        <w:rPr>
          <w:rFonts w:cstheme="minorHAnsi"/>
          <w:i/>
          <w:color w:val="000000" w:themeColor="text1"/>
        </w:rPr>
        <w:t>Patents Regulations 1991</w:t>
      </w:r>
      <w:r w:rsidRPr="0026123D">
        <w:rPr>
          <w:rFonts w:cstheme="minorHAnsi"/>
          <w:color w:val="000000" w:themeColor="text1"/>
        </w:rPr>
        <w:t xml:space="preserve">, the </w:t>
      </w:r>
      <w:r w:rsidRPr="001C1241">
        <w:rPr>
          <w:rFonts w:cstheme="minorHAnsi"/>
          <w:i/>
          <w:color w:val="000000" w:themeColor="text1"/>
        </w:rPr>
        <w:t>Plant Breeder’s Rights Regulations 1994</w:t>
      </w:r>
      <w:r w:rsidRPr="0026123D">
        <w:rPr>
          <w:rFonts w:cstheme="minorHAnsi"/>
          <w:color w:val="000000" w:themeColor="text1"/>
        </w:rPr>
        <w:t xml:space="preserve"> (PBR Regulations), and the </w:t>
      </w:r>
      <w:r w:rsidRPr="001C1241">
        <w:rPr>
          <w:rFonts w:cstheme="minorHAnsi"/>
          <w:i/>
          <w:color w:val="000000" w:themeColor="text1"/>
        </w:rPr>
        <w:t>Trade Marks Regulations 1995</w:t>
      </w:r>
      <w:r w:rsidRPr="0026123D">
        <w:rPr>
          <w:rFonts w:cstheme="minorHAnsi"/>
          <w:color w:val="000000" w:themeColor="text1"/>
        </w:rPr>
        <w:t xml:space="preserve"> (collectively, ‘the </w:t>
      </w:r>
      <w:r w:rsidR="00935463">
        <w:rPr>
          <w:rFonts w:cstheme="minorHAnsi"/>
          <w:color w:val="000000" w:themeColor="text1"/>
        </w:rPr>
        <w:t>P</w:t>
      </w:r>
      <w:r w:rsidRPr="0026123D">
        <w:rPr>
          <w:rFonts w:cstheme="minorHAnsi"/>
          <w:color w:val="000000" w:themeColor="text1"/>
        </w:rPr>
        <w:t xml:space="preserve">rincipal </w:t>
      </w:r>
      <w:r w:rsidR="00935463">
        <w:rPr>
          <w:rFonts w:cstheme="minorHAnsi"/>
          <w:color w:val="000000" w:themeColor="text1"/>
        </w:rPr>
        <w:t>R</w:t>
      </w:r>
      <w:r w:rsidRPr="0026123D">
        <w:rPr>
          <w:rFonts w:cstheme="minorHAnsi"/>
          <w:color w:val="000000" w:themeColor="text1"/>
        </w:rPr>
        <w:t>egulations’)</w:t>
      </w:r>
      <w:r w:rsidR="002F0DF9" w:rsidRPr="0026123D">
        <w:rPr>
          <w:rFonts w:eastAsia="Times New Roman" w:cstheme="minorHAnsi"/>
          <w:color w:val="000000" w:themeColor="text1"/>
          <w:kern w:val="0"/>
          <w:lang w:val="en-US" w:eastAsia="en-AU"/>
        </w:rPr>
        <w:t>.</w:t>
      </w:r>
      <w:r w:rsidR="002F0DF9">
        <w:rPr>
          <w:rFonts w:eastAsia="Times New Roman" w:cstheme="minorHAnsi"/>
          <w:color w:val="000000" w:themeColor="text1"/>
          <w:kern w:val="0"/>
          <w:lang w:val="en-US" w:eastAsia="en-AU"/>
        </w:rPr>
        <w:t xml:space="preserve"> </w:t>
      </w:r>
      <w:r w:rsidR="000C6F78">
        <w:rPr>
          <w:rFonts w:eastAsia="Times New Roman" w:cstheme="minorHAnsi"/>
          <w:color w:val="000000" w:themeColor="text1"/>
          <w:kern w:val="0"/>
          <w:lang w:val="en-US" w:eastAsia="en-AU"/>
        </w:rPr>
        <w:t>Th</w:t>
      </w:r>
      <w:r w:rsidR="003711CC">
        <w:rPr>
          <w:rFonts w:eastAsia="Times New Roman" w:cstheme="minorHAnsi"/>
          <w:color w:val="000000" w:themeColor="text1"/>
          <w:kern w:val="0"/>
          <w:lang w:val="en-US" w:eastAsia="en-AU"/>
        </w:rPr>
        <w:t>e main</w:t>
      </w:r>
      <w:r w:rsidR="000C6F78">
        <w:rPr>
          <w:rFonts w:eastAsia="Times New Roman" w:cstheme="minorHAnsi"/>
          <w:color w:val="000000" w:themeColor="text1"/>
          <w:kern w:val="0"/>
          <w:lang w:val="en-US" w:eastAsia="en-AU"/>
        </w:rPr>
        <w:t xml:space="preserve"> </w:t>
      </w:r>
      <w:r w:rsidR="003711CC">
        <w:rPr>
          <w:rFonts w:eastAsia="Times New Roman" w:cstheme="minorHAnsi"/>
          <w:color w:val="000000" w:themeColor="text1"/>
          <w:kern w:val="0"/>
          <w:lang w:val="en-US" w:eastAsia="en-AU"/>
        </w:rPr>
        <w:t xml:space="preserve">purpose of the Regulations </w:t>
      </w:r>
      <w:r w:rsidR="000C6F78">
        <w:rPr>
          <w:rFonts w:eastAsia="Times New Roman" w:cstheme="minorHAnsi"/>
          <w:color w:val="000000" w:themeColor="text1"/>
          <w:kern w:val="0"/>
          <w:lang w:val="en-US" w:eastAsia="en-AU"/>
        </w:rPr>
        <w:t xml:space="preserve">is to </w:t>
      </w:r>
      <w:r w:rsidR="00A97AE4">
        <w:rPr>
          <w:rFonts w:eastAsia="Times New Roman" w:cstheme="minorHAnsi"/>
          <w:color w:val="000000" w:themeColor="text1"/>
          <w:kern w:val="0"/>
          <w:lang w:val="en-US" w:eastAsia="en-AU"/>
        </w:rPr>
        <w:t xml:space="preserve">amend </w:t>
      </w:r>
      <w:r w:rsidR="007C71A4" w:rsidRPr="007C71A4">
        <w:rPr>
          <w:rFonts w:eastAsia="Times New Roman" w:cstheme="minorHAnsi"/>
          <w:color w:val="000000" w:themeColor="text1"/>
          <w:kern w:val="0"/>
          <w:lang w:val="en-US" w:eastAsia="en-AU"/>
        </w:rPr>
        <w:t xml:space="preserve">the </w:t>
      </w:r>
      <w:r w:rsidR="00935463">
        <w:rPr>
          <w:rFonts w:eastAsia="Times New Roman" w:cstheme="minorHAnsi"/>
          <w:color w:val="000000" w:themeColor="text1"/>
          <w:kern w:val="0"/>
          <w:lang w:val="en-US" w:eastAsia="en-AU"/>
        </w:rPr>
        <w:t>P</w:t>
      </w:r>
      <w:r w:rsidR="007C71A4" w:rsidRPr="007C71A4">
        <w:rPr>
          <w:rFonts w:eastAsia="Times New Roman" w:cstheme="minorHAnsi"/>
          <w:color w:val="000000" w:themeColor="text1"/>
          <w:kern w:val="0"/>
          <w:lang w:val="en-US" w:eastAsia="en-AU"/>
        </w:rPr>
        <w:t xml:space="preserve">rincipal </w:t>
      </w:r>
      <w:r w:rsidR="00935463">
        <w:rPr>
          <w:rFonts w:eastAsia="Times New Roman" w:cstheme="minorHAnsi"/>
          <w:color w:val="000000" w:themeColor="text1"/>
          <w:kern w:val="0"/>
          <w:lang w:val="en-US" w:eastAsia="en-AU"/>
        </w:rPr>
        <w:t>R</w:t>
      </w:r>
      <w:r w:rsidR="007C71A4" w:rsidRPr="007C71A4">
        <w:rPr>
          <w:rFonts w:eastAsia="Times New Roman" w:cstheme="minorHAnsi"/>
          <w:color w:val="000000" w:themeColor="text1"/>
          <w:kern w:val="0"/>
          <w:lang w:val="en-US" w:eastAsia="en-AU"/>
        </w:rPr>
        <w:t xml:space="preserve">egulations to </w:t>
      </w:r>
      <w:r w:rsidR="00A97AE4">
        <w:rPr>
          <w:rFonts w:eastAsia="Times New Roman" w:cstheme="minorHAnsi"/>
          <w:color w:val="000000" w:themeColor="text1"/>
          <w:kern w:val="0"/>
          <w:lang w:val="en-US" w:eastAsia="en-AU"/>
        </w:rPr>
        <w:t xml:space="preserve">update </w:t>
      </w:r>
      <w:r w:rsidR="007C71A4" w:rsidRPr="007C71A4">
        <w:rPr>
          <w:rFonts w:eastAsia="Times New Roman" w:cstheme="minorHAnsi"/>
          <w:color w:val="000000" w:themeColor="text1"/>
          <w:kern w:val="0"/>
          <w:lang w:val="en-US" w:eastAsia="en-AU"/>
        </w:rPr>
        <w:t xml:space="preserve">the fees IP Australia charges for its services. </w:t>
      </w:r>
      <w:r w:rsidR="00A57A43">
        <w:rPr>
          <w:rFonts w:eastAsia="Times New Roman" w:cstheme="minorHAnsi"/>
          <w:color w:val="000000" w:themeColor="text1"/>
          <w:kern w:val="0"/>
          <w:lang w:val="en-US" w:eastAsia="en-AU"/>
        </w:rPr>
        <w:t xml:space="preserve">Those fees were last updated by the </w:t>
      </w:r>
      <w:r w:rsidR="007B34F2" w:rsidRPr="001C1241">
        <w:rPr>
          <w:rFonts w:eastAsia="Times New Roman" w:cstheme="minorHAnsi"/>
          <w:i/>
          <w:color w:val="000000" w:themeColor="text1"/>
          <w:kern w:val="0"/>
          <w:lang w:val="en-US" w:eastAsia="en-AU"/>
        </w:rPr>
        <w:t>Intellectual Property Laws Amendment (Fee Amounts and Other Measures) Regulations 2020</w:t>
      </w:r>
      <w:r w:rsidR="007B34F2" w:rsidRPr="002A4B93">
        <w:rPr>
          <w:rFonts w:eastAsia="Times New Roman" w:cstheme="minorHAnsi"/>
          <w:color w:val="000000" w:themeColor="text1"/>
          <w:kern w:val="0"/>
          <w:lang w:val="en-US" w:eastAsia="en-AU"/>
        </w:rPr>
        <w:t>,</w:t>
      </w:r>
      <w:r w:rsidR="007B34F2">
        <w:rPr>
          <w:rFonts w:eastAsia="Times New Roman" w:cstheme="minorHAnsi"/>
          <w:color w:val="000000" w:themeColor="text1"/>
          <w:kern w:val="0"/>
          <w:lang w:val="en-US" w:eastAsia="en-AU"/>
        </w:rPr>
        <w:t xml:space="preserve"> with effect from 1 October 2020.</w:t>
      </w:r>
    </w:p>
    <w:p w14:paraId="27A1F06E" w14:textId="59714DA9" w:rsidR="00FC7E8C" w:rsidRDefault="007C71A4" w:rsidP="007E2F9F">
      <w:pPr>
        <w:spacing w:before="160" w:after="0" w:line="257" w:lineRule="atLeast"/>
        <w:rPr>
          <w:rFonts w:eastAsia="Times New Roman" w:cstheme="minorHAnsi"/>
          <w:color w:val="000000" w:themeColor="text1"/>
          <w:kern w:val="0"/>
          <w:lang w:val="en-US" w:eastAsia="en-AU"/>
        </w:rPr>
      </w:pPr>
      <w:r w:rsidRPr="007C71A4">
        <w:rPr>
          <w:rFonts w:eastAsia="Times New Roman" w:cstheme="minorHAnsi"/>
          <w:color w:val="000000" w:themeColor="text1"/>
          <w:kern w:val="0"/>
          <w:lang w:val="en-US" w:eastAsia="en-AU"/>
        </w:rPr>
        <w:t xml:space="preserve">IP Australia is a cost recovery agency and </w:t>
      </w:r>
      <w:r w:rsidR="006F67C9">
        <w:rPr>
          <w:rFonts w:eastAsia="Times New Roman" w:cstheme="minorHAnsi"/>
          <w:color w:val="000000" w:themeColor="text1"/>
          <w:kern w:val="0"/>
          <w:lang w:val="en-US" w:eastAsia="en-AU"/>
        </w:rPr>
        <w:t xml:space="preserve">generates </w:t>
      </w:r>
      <w:r w:rsidRPr="007C71A4">
        <w:rPr>
          <w:rFonts w:eastAsia="Times New Roman" w:cstheme="minorHAnsi"/>
          <w:color w:val="000000" w:themeColor="text1"/>
          <w:kern w:val="0"/>
          <w:lang w:val="en-US" w:eastAsia="en-AU"/>
        </w:rPr>
        <w:t>approximately 98% of its revenue from fees paid by customers for services provided by IP Australia. The amendments arise from a fee review conducted by IP Australia to develop IP Australia’s Cost Recovery Implementation Statement 202</w:t>
      </w:r>
      <w:r w:rsidR="00512E67">
        <w:rPr>
          <w:rFonts w:eastAsia="Times New Roman" w:cstheme="minorHAnsi"/>
          <w:color w:val="000000" w:themeColor="text1"/>
          <w:kern w:val="0"/>
          <w:lang w:val="en-US" w:eastAsia="en-AU"/>
        </w:rPr>
        <w:t>4</w:t>
      </w:r>
      <w:r w:rsidRPr="007C71A4">
        <w:rPr>
          <w:rFonts w:eastAsia="Times New Roman" w:cstheme="minorHAnsi"/>
          <w:color w:val="000000" w:themeColor="text1"/>
          <w:kern w:val="0"/>
          <w:lang w:val="en-US" w:eastAsia="en-AU"/>
        </w:rPr>
        <w:t>-202</w:t>
      </w:r>
      <w:r w:rsidR="00512E67">
        <w:rPr>
          <w:rFonts w:eastAsia="Times New Roman" w:cstheme="minorHAnsi"/>
          <w:color w:val="000000" w:themeColor="text1"/>
          <w:kern w:val="0"/>
          <w:lang w:val="en-US" w:eastAsia="en-AU"/>
        </w:rPr>
        <w:t>5</w:t>
      </w:r>
      <w:r w:rsidRPr="007C71A4">
        <w:rPr>
          <w:rFonts w:eastAsia="Times New Roman" w:cstheme="minorHAnsi"/>
          <w:color w:val="000000" w:themeColor="text1"/>
          <w:kern w:val="0"/>
          <w:lang w:val="en-US" w:eastAsia="en-AU"/>
        </w:rPr>
        <w:t xml:space="preserve"> (‘CRIS’). The review was conducted in compliance with the Australian Government Cost Recovery Guidelines. A copy of the CRIS is </w:t>
      </w:r>
      <w:r w:rsidR="00C76D47">
        <w:rPr>
          <w:rFonts w:eastAsia="Times New Roman" w:cstheme="minorHAnsi"/>
          <w:color w:val="000000" w:themeColor="text1"/>
          <w:kern w:val="0"/>
          <w:lang w:val="en-US" w:eastAsia="en-AU"/>
        </w:rPr>
        <w:t>at</w:t>
      </w:r>
      <w:r w:rsidRPr="007C71A4">
        <w:rPr>
          <w:rFonts w:eastAsia="Times New Roman" w:cstheme="minorHAnsi"/>
          <w:color w:val="000000" w:themeColor="text1"/>
          <w:kern w:val="0"/>
          <w:lang w:val="en-US" w:eastAsia="en-AU"/>
        </w:rPr>
        <w:t xml:space="preserve"> Appendix </w:t>
      </w:r>
      <w:proofErr w:type="gramStart"/>
      <w:r w:rsidRPr="007C71A4">
        <w:rPr>
          <w:rFonts w:eastAsia="Times New Roman" w:cstheme="minorHAnsi"/>
          <w:color w:val="000000" w:themeColor="text1"/>
          <w:kern w:val="0"/>
          <w:lang w:val="en-US" w:eastAsia="en-AU"/>
        </w:rPr>
        <w:t>2, and</w:t>
      </w:r>
      <w:proofErr w:type="gramEnd"/>
      <w:r w:rsidRPr="007C71A4">
        <w:rPr>
          <w:rFonts w:eastAsia="Times New Roman" w:cstheme="minorHAnsi"/>
          <w:color w:val="000000" w:themeColor="text1"/>
          <w:kern w:val="0"/>
          <w:lang w:val="en-US" w:eastAsia="en-AU"/>
        </w:rPr>
        <w:t xml:space="preserve"> sets out how the fee amendments in the Regulations reflect the costs to IP Australia of administering the IP rights system.</w:t>
      </w:r>
    </w:p>
    <w:p w14:paraId="047CFD43" w14:textId="4F213D0C" w:rsidR="00017439" w:rsidRDefault="003559ED" w:rsidP="007E2F9F">
      <w:pPr>
        <w:spacing w:before="160" w:after="0" w:line="257" w:lineRule="atLeast"/>
        <w:rPr>
          <w:rFonts w:eastAsia="Times New Roman" w:cstheme="minorHAnsi"/>
          <w:color w:val="000000" w:themeColor="text1"/>
          <w:kern w:val="0"/>
          <w:lang w:val="en-US" w:eastAsia="en-AU"/>
        </w:rPr>
      </w:pPr>
      <w:r>
        <w:rPr>
          <w:rFonts w:eastAsia="Times New Roman" w:cstheme="minorHAnsi"/>
          <w:color w:val="000000" w:themeColor="text1"/>
          <w:kern w:val="0"/>
          <w:lang w:val="en-US" w:eastAsia="en-AU"/>
        </w:rPr>
        <w:t xml:space="preserve">The Regulations </w:t>
      </w:r>
      <w:bookmarkStart w:id="1" w:name="_Hlk167203700"/>
      <w:r>
        <w:rPr>
          <w:rFonts w:eastAsia="Times New Roman" w:cstheme="minorHAnsi"/>
          <w:color w:val="000000" w:themeColor="text1"/>
          <w:kern w:val="0"/>
          <w:lang w:val="en-US" w:eastAsia="en-AU"/>
        </w:rPr>
        <w:t xml:space="preserve">also </w:t>
      </w:r>
      <w:r w:rsidR="007415B7">
        <w:rPr>
          <w:rFonts w:eastAsia="Times New Roman" w:cstheme="minorHAnsi"/>
          <w:color w:val="000000" w:themeColor="text1"/>
          <w:kern w:val="0"/>
          <w:lang w:val="en-US" w:eastAsia="en-AU"/>
        </w:rPr>
        <w:t>increase the amounts in</w:t>
      </w:r>
      <w:r w:rsidR="00330396">
        <w:rPr>
          <w:rFonts w:eastAsia="Times New Roman" w:cstheme="minorHAnsi"/>
          <w:color w:val="000000" w:themeColor="text1"/>
          <w:kern w:val="0"/>
          <w:lang w:val="en-US" w:eastAsia="en-AU"/>
        </w:rPr>
        <w:t xml:space="preserve"> the </w:t>
      </w:r>
      <w:r w:rsidR="005E7930">
        <w:rPr>
          <w:rFonts w:eastAsia="Times New Roman" w:cstheme="minorHAnsi"/>
          <w:color w:val="000000" w:themeColor="text1"/>
          <w:kern w:val="0"/>
          <w:lang w:val="en-US" w:eastAsia="en-AU"/>
        </w:rPr>
        <w:t xml:space="preserve">scales of </w:t>
      </w:r>
      <w:r w:rsidR="005B0E6E" w:rsidRPr="005B0E6E">
        <w:rPr>
          <w:rFonts w:eastAsia="Times New Roman" w:cstheme="minorHAnsi"/>
          <w:color w:val="000000" w:themeColor="text1"/>
          <w:kern w:val="0"/>
          <w:lang w:val="en-US" w:eastAsia="en-AU"/>
        </w:rPr>
        <w:t>costs, expenses and allowances that can be awarded against a party in a proceeding before the Registrar of Designs, the Commissioner of Patents or the Registrar of Trade Marks</w:t>
      </w:r>
      <w:r w:rsidR="005B0E6E">
        <w:rPr>
          <w:rFonts w:eastAsia="Times New Roman" w:cstheme="minorHAnsi"/>
          <w:color w:val="000000" w:themeColor="text1"/>
          <w:kern w:val="0"/>
          <w:lang w:val="en-US" w:eastAsia="en-AU"/>
        </w:rPr>
        <w:t xml:space="preserve">. </w:t>
      </w:r>
      <w:bookmarkEnd w:id="1"/>
      <w:r w:rsidR="00017439">
        <w:rPr>
          <w:rFonts w:eastAsia="Times New Roman" w:cstheme="minorHAnsi"/>
          <w:color w:val="000000" w:themeColor="text1"/>
          <w:kern w:val="0"/>
          <w:lang w:val="en-US" w:eastAsia="en-AU"/>
        </w:rPr>
        <w:t xml:space="preserve">The powers to award </w:t>
      </w:r>
      <w:r w:rsidR="00017439" w:rsidRPr="005B0E6E">
        <w:rPr>
          <w:rFonts w:eastAsia="Times New Roman" w:cstheme="minorHAnsi"/>
          <w:color w:val="000000" w:themeColor="text1"/>
          <w:kern w:val="0"/>
          <w:lang w:val="en-US" w:eastAsia="en-AU"/>
        </w:rPr>
        <w:t>costs, expenses and allowances</w:t>
      </w:r>
      <w:r w:rsidR="00017439">
        <w:rPr>
          <w:rFonts w:eastAsia="Times New Roman" w:cstheme="minorHAnsi"/>
          <w:color w:val="000000" w:themeColor="text1"/>
          <w:kern w:val="0"/>
          <w:lang w:val="en-US" w:eastAsia="en-AU"/>
        </w:rPr>
        <w:t xml:space="preserve"> </w:t>
      </w:r>
      <w:r w:rsidR="006C5E8E">
        <w:rPr>
          <w:rFonts w:eastAsia="Times New Roman" w:cstheme="minorHAnsi"/>
          <w:color w:val="000000" w:themeColor="text1"/>
          <w:kern w:val="0"/>
          <w:lang w:val="en-US" w:eastAsia="en-AU"/>
        </w:rPr>
        <w:t xml:space="preserve">in proceedings </w:t>
      </w:r>
      <w:r w:rsidR="00017439">
        <w:rPr>
          <w:rFonts w:eastAsia="Times New Roman" w:cstheme="minorHAnsi"/>
          <w:color w:val="000000" w:themeColor="text1"/>
          <w:kern w:val="0"/>
          <w:lang w:val="en-US" w:eastAsia="en-AU"/>
        </w:rPr>
        <w:t xml:space="preserve">are set out </w:t>
      </w:r>
      <w:r w:rsidR="00966F45">
        <w:rPr>
          <w:rFonts w:eastAsia="Times New Roman" w:cstheme="minorHAnsi"/>
          <w:color w:val="000000" w:themeColor="text1"/>
          <w:kern w:val="0"/>
          <w:lang w:val="en-US" w:eastAsia="en-AU"/>
        </w:rPr>
        <w:t xml:space="preserve">in paragraph </w:t>
      </w:r>
      <w:r w:rsidR="0007593F">
        <w:rPr>
          <w:rFonts w:eastAsia="Times New Roman" w:cstheme="minorHAnsi"/>
          <w:color w:val="000000" w:themeColor="text1"/>
          <w:kern w:val="0"/>
          <w:lang w:val="en-US" w:eastAsia="en-AU"/>
        </w:rPr>
        <w:t xml:space="preserve">127(1)(d) of the Designs Act, </w:t>
      </w:r>
      <w:r w:rsidR="00B9667C">
        <w:rPr>
          <w:rFonts w:eastAsia="Times New Roman" w:cstheme="minorHAnsi"/>
          <w:color w:val="000000" w:themeColor="text1"/>
          <w:kern w:val="0"/>
          <w:lang w:val="en-US" w:eastAsia="en-AU"/>
        </w:rPr>
        <w:t>paragraph</w:t>
      </w:r>
      <w:r w:rsidR="00E85F6F">
        <w:rPr>
          <w:rFonts w:eastAsia="Times New Roman" w:cstheme="minorHAnsi"/>
          <w:color w:val="000000" w:themeColor="text1"/>
          <w:kern w:val="0"/>
          <w:lang w:val="en-US" w:eastAsia="en-AU"/>
        </w:rPr>
        <w:t xml:space="preserve"> 210(1)(d) of the Patents Act</w:t>
      </w:r>
      <w:r w:rsidR="0007593F">
        <w:rPr>
          <w:rFonts w:eastAsia="Times New Roman" w:cstheme="minorHAnsi"/>
          <w:color w:val="000000" w:themeColor="text1"/>
          <w:kern w:val="0"/>
          <w:lang w:val="en-US" w:eastAsia="en-AU"/>
        </w:rPr>
        <w:t xml:space="preserve"> and </w:t>
      </w:r>
      <w:r w:rsidR="006E00EA">
        <w:rPr>
          <w:rFonts w:eastAsia="Times New Roman" w:cstheme="minorHAnsi"/>
          <w:color w:val="000000" w:themeColor="text1"/>
          <w:kern w:val="0"/>
          <w:lang w:val="en-US" w:eastAsia="en-AU"/>
        </w:rPr>
        <w:t>paragraph 202(d) of the Trade Marks Act respectively.</w:t>
      </w:r>
    </w:p>
    <w:p w14:paraId="2ADFA033" w14:textId="77777777" w:rsidR="00FB24A1" w:rsidRDefault="00FB24A1">
      <w:r>
        <w:br w:type="page"/>
      </w:r>
    </w:p>
    <w:p w14:paraId="4E7FDF19" w14:textId="6B25F973" w:rsidR="00C074F2" w:rsidRDefault="00A010C5" w:rsidP="007E2F9F">
      <w:pPr>
        <w:spacing w:before="160" w:after="0" w:line="257" w:lineRule="atLeast"/>
        <w:rPr>
          <w:rFonts w:eastAsia="Times New Roman" w:cstheme="minorHAnsi"/>
          <w:color w:val="000000" w:themeColor="text1"/>
          <w:kern w:val="0"/>
          <w:lang w:val="en-US" w:eastAsia="en-AU"/>
        </w:rPr>
      </w:pPr>
      <w:r>
        <w:lastRenderedPageBreak/>
        <w:t>The</w:t>
      </w:r>
      <w:r w:rsidR="006C5E8E">
        <w:t xml:space="preserve"> proceedings </w:t>
      </w:r>
      <w:r>
        <w:t xml:space="preserve">are </w:t>
      </w:r>
      <w:proofErr w:type="gramStart"/>
      <w:r>
        <w:t>inter</w:t>
      </w:r>
      <w:proofErr w:type="gramEnd"/>
      <w:r>
        <w:t xml:space="preserve"> partes proceedings: </w:t>
      </w:r>
      <w:bookmarkStart w:id="2" w:name="_Hlk167203771"/>
      <w:r w:rsidR="00B83D91">
        <w:t xml:space="preserve">those </w:t>
      </w:r>
      <w:r>
        <w:t>conducted between 2</w:t>
      </w:r>
      <w:r w:rsidR="00BB534F">
        <w:t> </w:t>
      </w:r>
      <w:r>
        <w:t>or more parties with differing interests in the outcome</w:t>
      </w:r>
      <w:bookmarkEnd w:id="2"/>
      <w:r>
        <w:t xml:space="preserve">. </w:t>
      </w:r>
      <w:r w:rsidR="00655740" w:rsidRPr="00655740">
        <w:rPr>
          <w:rFonts w:eastAsia="Times New Roman" w:cstheme="minorHAnsi"/>
          <w:color w:val="000000" w:themeColor="text1"/>
          <w:kern w:val="0"/>
          <w:lang w:val="en-US" w:eastAsia="en-AU"/>
        </w:rPr>
        <w:t xml:space="preserve">For example, </w:t>
      </w:r>
      <w:bookmarkStart w:id="3" w:name="_Hlk167203914"/>
      <w:r w:rsidR="00655740" w:rsidRPr="00655740">
        <w:rPr>
          <w:rFonts w:eastAsia="Times New Roman" w:cstheme="minorHAnsi"/>
          <w:color w:val="000000" w:themeColor="text1"/>
          <w:kern w:val="0"/>
          <w:lang w:val="en-US" w:eastAsia="en-AU"/>
        </w:rPr>
        <w:t xml:space="preserve">in an opposition to grant of a patent, under </w:t>
      </w:r>
      <w:r w:rsidR="00920354" w:rsidRPr="00655740">
        <w:rPr>
          <w:rFonts w:eastAsia="Times New Roman" w:cstheme="minorHAnsi"/>
          <w:color w:val="000000" w:themeColor="text1"/>
          <w:kern w:val="0"/>
          <w:lang w:val="en-US" w:eastAsia="en-AU"/>
        </w:rPr>
        <w:t>Chapter</w:t>
      </w:r>
      <w:r w:rsidR="00920354">
        <w:rPr>
          <w:rFonts w:eastAsia="Times New Roman" w:cstheme="minorHAnsi"/>
          <w:color w:val="000000" w:themeColor="text1"/>
          <w:kern w:val="0"/>
          <w:lang w:val="en-US" w:eastAsia="en-AU"/>
        </w:rPr>
        <w:t> </w:t>
      </w:r>
      <w:r w:rsidR="00655740" w:rsidRPr="00655740">
        <w:rPr>
          <w:rFonts w:eastAsia="Times New Roman" w:cstheme="minorHAnsi"/>
          <w:color w:val="000000" w:themeColor="text1"/>
          <w:kern w:val="0"/>
          <w:lang w:val="en-US" w:eastAsia="en-AU"/>
        </w:rPr>
        <w:t xml:space="preserve">5 of the Patents Act, the parties </w:t>
      </w:r>
      <w:r w:rsidR="00A65E07">
        <w:rPr>
          <w:rFonts w:eastAsia="Times New Roman" w:cstheme="minorHAnsi"/>
          <w:color w:val="000000" w:themeColor="text1"/>
          <w:kern w:val="0"/>
          <w:lang w:val="en-US" w:eastAsia="en-AU"/>
        </w:rPr>
        <w:t>are</w:t>
      </w:r>
      <w:r w:rsidR="00C90B4C">
        <w:rPr>
          <w:rFonts w:eastAsia="Times New Roman" w:cstheme="minorHAnsi"/>
          <w:color w:val="000000" w:themeColor="text1"/>
          <w:kern w:val="0"/>
          <w:lang w:val="en-US" w:eastAsia="en-AU"/>
        </w:rPr>
        <w:t xml:space="preserve"> </w:t>
      </w:r>
      <w:r w:rsidR="00655740" w:rsidRPr="00655740">
        <w:rPr>
          <w:rFonts w:eastAsia="Times New Roman" w:cstheme="minorHAnsi"/>
          <w:color w:val="000000" w:themeColor="text1"/>
          <w:kern w:val="0"/>
          <w:lang w:val="en-US" w:eastAsia="en-AU"/>
        </w:rPr>
        <w:t>the applicant</w:t>
      </w:r>
      <w:r w:rsidR="00D27583">
        <w:rPr>
          <w:rFonts w:eastAsia="Times New Roman" w:cstheme="minorHAnsi"/>
          <w:color w:val="000000" w:themeColor="text1"/>
          <w:kern w:val="0"/>
          <w:lang w:val="en-US" w:eastAsia="en-AU"/>
        </w:rPr>
        <w:t>(s)</w:t>
      </w:r>
      <w:r w:rsidR="00655740" w:rsidRPr="00655740">
        <w:rPr>
          <w:rFonts w:eastAsia="Times New Roman" w:cstheme="minorHAnsi"/>
          <w:color w:val="000000" w:themeColor="text1"/>
          <w:kern w:val="0"/>
          <w:lang w:val="en-US" w:eastAsia="en-AU"/>
        </w:rPr>
        <w:t xml:space="preserve"> for grant and the opponent</w:t>
      </w:r>
      <w:r w:rsidR="00D27583">
        <w:rPr>
          <w:rFonts w:eastAsia="Times New Roman" w:cstheme="minorHAnsi"/>
          <w:color w:val="000000" w:themeColor="text1"/>
          <w:kern w:val="0"/>
          <w:lang w:val="en-US" w:eastAsia="en-AU"/>
        </w:rPr>
        <w:t>(s)</w:t>
      </w:r>
      <w:r w:rsidR="00655740" w:rsidRPr="00655740">
        <w:rPr>
          <w:rFonts w:eastAsia="Times New Roman" w:cstheme="minorHAnsi"/>
          <w:color w:val="000000" w:themeColor="text1"/>
          <w:kern w:val="0"/>
          <w:lang w:val="en-US" w:eastAsia="en-AU"/>
        </w:rPr>
        <w:t xml:space="preserve"> to grant.</w:t>
      </w:r>
      <w:r w:rsidR="006D28D8">
        <w:rPr>
          <w:rFonts w:eastAsia="Times New Roman" w:cstheme="minorHAnsi"/>
          <w:color w:val="000000" w:themeColor="text1"/>
          <w:kern w:val="0"/>
          <w:lang w:val="en-US" w:eastAsia="en-AU"/>
        </w:rPr>
        <w:t xml:space="preserve"> </w:t>
      </w:r>
      <w:bookmarkStart w:id="4" w:name="_Hlk167203745"/>
      <w:bookmarkEnd w:id="3"/>
      <w:r w:rsidR="00957C4E">
        <w:t xml:space="preserve">The award of </w:t>
      </w:r>
      <w:r w:rsidR="00D429B6">
        <w:t xml:space="preserve">costs, expenses and allowances </w:t>
      </w:r>
      <w:r w:rsidR="00957C4E" w:rsidRPr="00923949">
        <w:t xml:space="preserve">provides a means for </w:t>
      </w:r>
      <w:r w:rsidR="00D27583">
        <w:t>a</w:t>
      </w:r>
      <w:r w:rsidR="00957C4E" w:rsidRPr="00923949">
        <w:t xml:space="preserve"> successful party in </w:t>
      </w:r>
      <w:r w:rsidR="004C154C">
        <w:t xml:space="preserve">the </w:t>
      </w:r>
      <w:r w:rsidR="00957C4E" w:rsidRPr="00923949">
        <w:t xml:space="preserve">proceeding to recover some of the expense of the proceeding from </w:t>
      </w:r>
      <w:r w:rsidR="004A16DB">
        <w:t>an</w:t>
      </w:r>
      <w:r w:rsidR="00957C4E" w:rsidRPr="00923949">
        <w:t xml:space="preserve"> unsuccessful party. </w:t>
      </w:r>
      <w:bookmarkEnd w:id="4"/>
      <w:r w:rsidR="00E066CB" w:rsidRPr="006344E3">
        <w:rPr>
          <w:rFonts w:hAnsi="Times New Roman" w:cs="Times New Roman"/>
        </w:rPr>
        <w:t xml:space="preserve">It also </w:t>
      </w:r>
      <w:r w:rsidR="00E066CB">
        <w:rPr>
          <w:rFonts w:hAnsi="Times New Roman" w:cs="Times New Roman"/>
        </w:rPr>
        <w:t xml:space="preserve">discourages </w:t>
      </w:r>
      <w:r w:rsidR="00E066CB" w:rsidRPr="006344E3">
        <w:rPr>
          <w:rFonts w:hAnsi="Times New Roman" w:cs="Times New Roman"/>
        </w:rPr>
        <w:t xml:space="preserve">parties with weaker cases </w:t>
      </w:r>
      <w:r w:rsidR="00E066CB">
        <w:rPr>
          <w:rFonts w:hAnsi="Times New Roman" w:cs="Times New Roman"/>
        </w:rPr>
        <w:t>from</w:t>
      </w:r>
      <w:r w:rsidR="00E066CB" w:rsidRPr="006344E3">
        <w:rPr>
          <w:rFonts w:hAnsi="Times New Roman" w:cs="Times New Roman"/>
        </w:rPr>
        <w:t xml:space="preserve"> having them heard unnecessarily.</w:t>
      </w:r>
    </w:p>
    <w:p w14:paraId="339AF8B5" w14:textId="2D5EE06D" w:rsidR="00FC55A8" w:rsidRDefault="002462FF" w:rsidP="007E2F9F">
      <w:pPr>
        <w:spacing w:before="160" w:after="0" w:line="257" w:lineRule="atLeast"/>
        <w:rPr>
          <w:rFonts w:eastAsia="Times New Roman" w:cstheme="minorHAnsi"/>
          <w:color w:val="000000" w:themeColor="text1"/>
          <w:kern w:val="0"/>
          <w:lang w:val="en-US" w:eastAsia="en-AU"/>
        </w:rPr>
      </w:pPr>
      <w:r>
        <w:rPr>
          <w:rFonts w:eastAsia="Times New Roman" w:cstheme="minorHAnsi"/>
          <w:color w:val="000000" w:themeColor="text1"/>
          <w:kern w:val="0"/>
          <w:lang w:val="en-US" w:eastAsia="en-AU"/>
        </w:rPr>
        <w:t>The scales</w:t>
      </w:r>
      <w:r w:rsidRPr="005B0E6E">
        <w:rPr>
          <w:rFonts w:eastAsia="Times New Roman" w:cstheme="minorHAnsi"/>
          <w:color w:val="000000" w:themeColor="text1"/>
          <w:kern w:val="0"/>
          <w:lang w:val="en-US" w:eastAsia="en-AU"/>
        </w:rPr>
        <w:t xml:space="preserve"> </w:t>
      </w:r>
      <w:r>
        <w:rPr>
          <w:rFonts w:eastAsia="Times New Roman" w:cstheme="minorHAnsi"/>
          <w:color w:val="000000" w:themeColor="text1"/>
          <w:kern w:val="0"/>
          <w:lang w:val="en-US" w:eastAsia="en-AU"/>
        </w:rPr>
        <w:t xml:space="preserve">of costs, expenses and allowances </w:t>
      </w:r>
      <w:r w:rsidRPr="005B0E6E">
        <w:rPr>
          <w:rFonts w:eastAsia="Times New Roman" w:cstheme="minorHAnsi"/>
          <w:color w:val="000000" w:themeColor="text1"/>
          <w:kern w:val="0"/>
          <w:lang w:val="en-US" w:eastAsia="en-AU"/>
        </w:rPr>
        <w:t xml:space="preserve">were last </w:t>
      </w:r>
      <w:r w:rsidR="004B50A5">
        <w:rPr>
          <w:rFonts w:eastAsia="Times New Roman" w:cstheme="minorHAnsi"/>
          <w:color w:val="000000" w:themeColor="text1"/>
          <w:kern w:val="0"/>
          <w:lang w:val="en-US" w:eastAsia="en-AU"/>
        </w:rPr>
        <w:t xml:space="preserve">updated </w:t>
      </w:r>
      <w:r w:rsidR="004B50A5" w:rsidRPr="002A4B93">
        <w:rPr>
          <w:rFonts w:eastAsia="Times New Roman" w:cstheme="minorHAnsi"/>
          <w:color w:val="000000" w:themeColor="text1"/>
          <w:kern w:val="0"/>
          <w:lang w:val="en-US" w:eastAsia="en-AU"/>
        </w:rPr>
        <w:t>by</w:t>
      </w:r>
      <w:r w:rsidR="00D111D0" w:rsidRPr="002A4B93">
        <w:rPr>
          <w:rFonts w:eastAsia="Times New Roman" w:cstheme="minorHAnsi"/>
          <w:color w:val="000000" w:themeColor="text1"/>
          <w:kern w:val="0"/>
          <w:lang w:val="en-US" w:eastAsia="en-AU"/>
        </w:rPr>
        <w:t xml:space="preserve"> </w:t>
      </w:r>
      <w:r w:rsidR="00D111D0" w:rsidRPr="002A4B93">
        <w:t xml:space="preserve">the </w:t>
      </w:r>
      <w:r w:rsidR="00D111D0" w:rsidRPr="00181F20">
        <w:rPr>
          <w:i/>
          <w:iCs/>
        </w:rPr>
        <w:t>Intellectual Property Legislation (Fees) Amendment Regulations 2006 (No. 1)</w:t>
      </w:r>
      <w:r w:rsidR="00D111D0" w:rsidRPr="002A4B93">
        <w:t>,</w:t>
      </w:r>
      <w:r w:rsidR="00D111D0" w:rsidRPr="000F33A8">
        <w:t xml:space="preserve"> with effect from 1 March 2007. In light of increases in prices since 2007, the amounts in the scales no longer suffice to compensate </w:t>
      </w:r>
      <w:r w:rsidR="00477FE5">
        <w:t xml:space="preserve">a </w:t>
      </w:r>
      <w:r w:rsidR="008F2012">
        <w:t>successful part</w:t>
      </w:r>
      <w:r w:rsidR="00477FE5">
        <w:t>y</w:t>
      </w:r>
      <w:r w:rsidR="008F2012">
        <w:t xml:space="preserve"> </w:t>
      </w:r>
      <w:r w:rsidR="00D111D0" w:rsidRPr="000F33A8">
        <w:t xml:space="preserve">or </w:t>
      </w:r>
      <w:r w:rsidR="00477FE5">
        <w:t>to</w:t>
      </w:r>
      <w:r w:rsidR="003E4355">
        <w:t xml:space="preserve"> </w:t>
      </w:r>
      <w:r w:rsidR="00423974">
        <w:rPr>
          <w:rFonts w:hAnsi="Times New Roman" w:cs="Times New Roman"/>
        </w:rPr>
        <w:t>discourage a party with a weaker case from</w:t>
      </w:r>
      <w:r w:rsidR="00423974" w:rsidRPr="006344E3">
        <w:rPr>
          <w:rFonts w:hAnsi="Times New Roman" w:cs="Times New Roman"/>
        </w:rPr>
        <w:t xml:space="preserve"> </w:t>
      </w:r>
      <w:r w:rsidR="00423974">
        <w:rPr>
          <w:rFonts w:hAnsi="Times New Roman" w:cs="Times New Roman"/>
        </w:rPr>
        <w:t>having it</w:t>
      </w:r>
      <w:r w:rsidR="00423974" w:rsidRPr="006344E3">
        <w:rPr>
          <w:rFonts w:hAnsi="Times New Roman" w:cs="Times New Roman"/>
        </w:rPr>
        <w:t xml:space="preserve"> heard</w:t>
      </w:r>
      <w:r w:rsidR="00423974">
        <w:rPr>
          <w:rFonts w:hAnsi="Times New Roman" w:cs="Times New Roman"/>
        </w:rPr>
        <w:t xml:space="preserve"> unnecessarily</w:t>
      </w:r>
      <w:r w:rsidR="00D111D0" w:rsidRPr="000F33A8">
        <w:t>.</w:t>
      </w:r>
    </w:p>
    <w:p w14:paraId="2D9F60D3" w14:textId="69499C9B" w:rsidR="008C4D48" w:rsidRPr="00FC2443" w:rsidRDefault="00F17D12" w:rsidP="007E2F9F">
      <w:pPr>
        <w:pStyle w:val="NormalWeb"/>
        <w:spacing w:before="160" w:beforeAutospacing="0" w:after="0" w:afterAutospacing="0" w:line="257" w:lineRule="atLeast"/>
        <w:rPr>
          <w:rFonts w:asciiTheme="minorHAnsi" w:hAnsiTheme="minorHAnsi" w:cstheme="minorHAnsi"/>
          <w:color w:val="000000"/>
          <w:sz w:val="22"/>
          <w:szCs w:val="22"/>
        </w:rPr>
      </w:pPr>
      <w:r w:rsidRPr="00FC2443">
        <w:rPr>
          <w:rFonts w:asciiTheme="minorHAnsi" w:hAnsiTheme="minorHAnsi" w:cstheme="minorHAnsi"/>
          <w:color w:val="000000" w:themeColor="text1"/>
          <w:sz w:val="22"/>
          <w:szCs w:val="22"/>
        </w:rPr>
        <w:t xml:space="preserve">Details of the amendments can be </w:t>
      </w:r>
      <w:r w:rsidRPr="00FF639F">
        <w:rPr>
          <w:rFonts w:asciiTheme="minorHAnsi" w:hAnsiTheme="minorHAnsi" w:cstheme="minorHAnsi"/>
          <w:color w:val="000000" w:themeColor="text1"/>
          <w:sz w:val="22"/>
          <w:szCs w:val="22"/>
        </w:rPr>
        <w:t>found</w:t>
      </w:r>
      <w:r w:rsidR="00FF639F" w:rsidRPr="00472D7B">
        <w:rPr>
          <w:rFonts w:asciiTheme="minorHAnsi" w:hAnsiTheme="minorHAnsi" w:cstheme="minorHAnsi"/>
          <w:color w:val="000000" w:themeColor="text1"/>
          <w:sz w:val="22"/>
          <w:szCs w:val="22"/>
        </w:rPr>
        <w:t xml:space="preserve"> in </w:t>
      </w:r>
      <w:r w:rsidR="00FF639F" w:rsidRPr="002D7711">
        <w:rPr>
          <w:rFonts w:asciiTheme="minorHAnsi" w:hAnsiTheme="minorHAnsi" w:cstheme="minorHAnsi"/>
          <w:color w:val="000000" w:themeColor="text1"/>
          <w:sz w:val="22"/>
          <w:szCs w:val="22"/>
        </w:rPr>
        <w:t>Appendix 1</w:t>
      </w:r>
      <w:r w:rsidR="00780A21" w:rsidRPr="00FC2443">
        <w:rPr>
          <w:rFonts w:asciiTheme="minorHAnsi" w:hAnsiTheme="minorHAnsi" w:cstheme="minorHAnsi"/>
          <w:color w:val="000000" w:themeColor="text1"/>
          <w:sz w:val="22"/>
          <w:szCs w:val="22"/>
        </w:rPr>
        <w:t>.</w:t>
      </w:r>
    </w:p>
    <w:p w14:paraId="680FFCAA" w14:textId="477BBB30" w:rsidR="00F17D12" w:rsidRPr="00DA0D6C" w:rsidRDefault="00C65A4A" w:rsidP="007E2F9F">
      <w:pPr>
        <w:pStyle w:val="NormalWeb"/>
        <w:spacing w:before="160" w:beforeAutospacing="0" w:after="0" w:afterAutospacing="0" w:line="257" w:lineRule="atLeast"/>
        <w:rPr>
          <w:rFonts w:asciiTheme="minorHAnsi" w:hAnsiTheme="minorHAnsi" w:cstheme="minorHAnsi"/>
          <w:sz w:val="22"/>
          <w:szCs w:val="22"/>
        </w:rPr>
      </w:pPr>
      <w:r w:rsidRPr="00DA0D6C">
        <w:rPr>
          <w:rFonts w:asciiTheme="minorHAnsi" w:hAnsiTheme="minorHAnsi" w:cstheme="minorHAnsi"/>
          <w:b/>
          <w:bCs/>
          <w:sz w:val="22"/>
          <w:szCs w:val="22"/>
        </w:rPr>
        <w:t xml:space="preserve">No </w:t>
      </w:r>
      <w:r w:rsidR="009E131F" w:rsidRPr="00DA0D6C">
        <w:rPr>
          <w:rFonts w:asciiTheme="minorHAnsi" w:hAnsiTheme="minorHAnsi" w:cstheme="minorHAnsi"/>
          <w:b/>
          <w:bCs/>
          <w:sz w:val="22"/>
          <w:szCs w:val="22"/>
        </w:rPr>
        <w:t>i</w:t>
      </w:r>
      <w:r w:rsidR="00122934" w:rsidRPr="00DA0D6C">
        <w:rPr>
          <w:rFonts w:asciiTheme="minorHAnsi" w:hAnsiTheme="minorHAnsi" w:cstheme="minorHAnsi"/>
          <w:b/>
          <w:bCs/>
          <w:sz w:val="22"/>
          <w:szCs w:val="22"/>
        </w:rPr>
        <w:t xml:space="preserve">mpact </w:t>
      </w:r>
      <w:r w:rsidR="009E131F" w:rsidRPr="00DA0D6C">
        <w:rPr>
          <w:rFonts w:asciiTheme="minorHAnsi" w:hAnsiTheme="minorHAnsi" w:cstheme="minorHAnsi"/>
          <w:b/>
          <w:bCs/>
          <w:sz w:val="22"/>
          <w:szCs w:val="22"/>
        </w:rPr>
        <w:t>a</w:t>
      </w:r>
      <w:r w:rsidR="00122934" w:rsidRPr="00DA0D6C">
        <w:rPr>
          <w:rFonts w:asciiTheme="minorHAnsi" w:hAnsiTheme="minorHAnsi" w:cstheme="minorHAnsi"/>
          <w:b/>
          <w:bCs/>
          <w:sz w:val="22"/>
          <w:szCs w:val="22"/>
        </w:rPr>
        <w:t>nalysis</w:t>
      </w:r>
      <w:r w:rsidR="009E131F" w:rsidRPr="00DA0D6C">
        <w:rPr>
          <w:rFonts w:asciiTheme="minorHAnsi" w:hAnsiTheme="minorHAnsi" w:cstheme="minorHAnsi"/>
          <w:b/>
          <w:bCs/>
          <w:sz w:val="22"/>
          <w:szCs w:val="22"/>
        </w:rPr>
        <w:t xml:space="preserve"> required</w:t>
      </w:r>
    </w:p>
    <w:p w14:paraId="485CF793" w14:textId="4D2F2147" w:rsidR="00F17D12" w:rsidRPr="00FC2443" w:rsidRDefault="00F17D12" w:rsidP="007E2F9F">
      <w:pPr>
        <w:pStyle w:val="NormalWeb"/>
        <w:spacing w:before="160" w:beforeAutospacing="0" w:after="0" w:afterAutospacing="0" w:line="257" w:lineRule="atLeast"/>
        <w:rPr>
          <w:rFonts w:asciiTheme="minorHAnsi" w:hAnsiTheme="minorHAnsi" w:cstheme="minorHAnsi"/>
          <w:color w:val="000000"/>
          <w:sz w:val="22"/>
          <w:szCs w:val="22"/>
        </w:rPr>
      </w:pPr>
      <w:r w:rsidRPr="00DA0D6C">
        <w:rPr>
          <w:rFonts w:asciiTheme="minorHAnsi" w:hAnsiTheme="minorHAnsi" w:cstheme="minorHAnsi"/>
          <w:color w:val="000000" w:themeColor="text1"/>
          <w:sz w:val="22"/>
          <w:szCs w:val="22"/>
        </w:rPr>
        <w:t xml:space="preserve">The Office of </w:t>
      </w:r>
      <w:r w:rsidR="00F21005" w:rsidRPr="00DA0D6C">
        <w:rPr>
          <w:rFonts w:asciiTheme="minorHAnsi" w:hAnsiTheme="minorHAnsi" w:cstheme="minorHAnsi"/>
          <w:color w:val="000000" w:themeColor="text1"/>
          <w:sz w:val="22"/>
          <w:szCs w:val="22"/>
        </w:rPr>
        <w:t>Impact Analysis</w:t>
      </w:r>
      <w:r w:rsidRPr="00DA0D6C">
        <w:rPr>
          <w:rFonts w:asciiTheme="minorHAnsi" w:hAnsiTheme="minorHAnsi" w:cstheme="minorHAnsi"/>
          <w:color w:val="000000" w:themeColor="text1"/>
          <w:sz w:val="22"/>
          <w:szCs w:val="22"/>
        </w:rPr>
        <w:t xml:space="preserve"> </w:t>
      </w:r>
      <w:r w:rsidR="17E4AEAD" w:rsidRPr="00DA0D6C">
        <w:rPr>
          <w:rFonts w:asciiTheme="minorHAnsi" w:hAnsiTheme="minorHAnsi" w:cstheme="minorHAnsi"/>
          <w:color w:val="000000" w:themeColor="text1"/>
          <w:sz w:val="22"/>
          <w:szCs w:val="22"/>
        </w:rPr>
        <w:t>(OIA)</w:t>
      </w:r>
      <w:r w:rsidRPr="00DA0D6C">
        <w:rPr>
          <w:rFonts w:asciiTheme="minorHAnsi" w:hAnsiTheme="minorHAnsi" w:cstheme="minorHAnsi"/>
          <w:color w:val="000000" w:themeColor="text1"/>
          <w:sz w:val="22"/>
          <w:szCs w:val="22"/>
        </w:rPr>
        <w:t xml:space="preserve"> has advised that </w:t>
      </w:r>
      <w:r w:rsidR="00797662" w:rsidRPr="00DA0D6C">
        <w:rPr>
          <w:rFonts w:asciiTheme="minorHAnsi" w:hAnsiTheme="minorHAnsi" w:cstheme="minorHAnsi"/>
          <w:color w:val="000000" w:themeColor="text1"/>
          <w:sz w:val="22"/>
          <w:szCs w:val="22"/>
        </w:rPr>
        <w:t>an</w:t>
      </w:r>
      <w:r w:rsidR="00122934" w:rsidRPr="00DA0D6C">
        <w:rPr>
          <w:rFonts w:asciiTheme="minorHAnsi" w:hAnsiTheme="minorHAnsi" w:cstheme="minorHAnsi"/>
          <w:color w:val="000000" w:themeColor="text1"/>
          <w:sz w:val="22"/>
          <w:szCs w:val="22"/>
        </w:rPr>
        <w:t xml:space="preserve"> </w:t>
      </w:r>
      <w:r w:rsidR="003B5EF3">
        <w:rPr>
          <w:rFonts w:asciiTheme="minorHAnsi" w:hAnsiTheme="minorHAnsi" w:cstheme="minorHAnsi"/>
          <w:color w:val="000000" w:themeColor="text1"/>
          <w:sz w:val="22"/>
          <w:szCs w:val="22"/>
        </w:rPr>
        <w:t>i</w:t>
      </w:r>
      <w:r w:rsidR="00122934" w:rsidRPr="00DA0D6C">
        <w:rPr>
          <w:rFonts w:asciiTheme="minorHAnsi" w:hAnsiTheme="minorHAnsi" w:cstheme="minorHAnsi"/>
          <w:color w:val="000000" w:themeColor="text1"/>
          <w:sz w:val="22"/>
          <w:szCs w:val="22"/>
        </w:rPr>
        <w:t xml:space="preserve">mpact </w:t>
      </w:r>
      <w:r w:rsidR="003B5EF3">
        <w:rPr>
          <w:rFonts w:asciiTheme="minorHAnsi" w:hAnsiTheme="minorHAnsi" w:cstheme="minorHAnsi"/>
          <w:color w:val="000000" w:themeColor="text1"/>
          <w:sz w:val="22"/>
          <w:szCs w:val="22"/>
        </w:rPr>
        <w:t>a</w:t>
      </w:r>
      <w:r w:rsidR="00122934" w:rsidRPr="00DA0D6C">
        <w:rPr>
          <w:rFonts w:asciiTheme="minorHAnsi" w:hAnsiTheme="minorHAnsi" w:cstheme="minorHAnsi"/>
          <w:color w:val="000000" w:themeColor="text1"/>
          <w:sz w:val="22"/>
          <w:szCs w:val="22"/>
        </w:rPr>
        <w:t>nalysis</w:t>
      </w:r>
      <w:r w:rsidRPr="00DA0D6C">
        <w:rPr>
          <w:rFonts w:asciiTheme="minorHAnsi" w:hAnsiTheme="minorHAnsi" w:cstheme="minorHAnsi"/>
          <w:color w:val="000000" w:themeColor="text1"/>
          <w:sz w:val="22"/>
          <w:szCs w:val="22"/>
        </w:rPr>
        <w:t xml:space="preserve"> is </w:t>
      </w:r>
      <w:r w:rsidR="00122934" w:rsidRPr="00DA0D6C">
        <w:rPr>
          <w:rFonts w:asciiTheme="minorHAnsi" w:hAnsiTheme="minorHAnsi" w:cstheme="minorHAnsi"/>
          <w:color w:val="000000" w:themeColor="text1"/>
          <w:sz w:val="22"/>
          <w:szCs w:val="22"/>
        </w:rPr>
        <w:t xml:space="preserve">not </w:t>
      </w:r>
      <w:r w:rsidRPr="00DA0D6C">
        <w:rPr>
          <w:rFonts w:asciiTheme="minorHAnsi" w:hAnsiTheme="minorHAnsi" w:cstheme="minorHAnsi"/>
          <w:color w:val="000000" w:themeColor="text1"/>
          <w:sz w:val="22"/>
          <w:szCs w:val="22"/>
        </w:rPr>
        <w:t>required to be prepared for these amendments</w:t>
      </w:r>
      <w:r w:rsidR="00366930" w:rsidRPr="00DA0D6C">
        <w:rPr>
          <w:rFonts w:asciiTheme="minorHAnsi" w:hAnsiTheme="minorHAnsi" w:cstheme="minorHAnsi"/>
          <w:color w:val="000000" w:themeColor="text1"/>
          <w:sz w:val="22"/>
          <w:szCs w:val="22"/>
        </w:rPr>
        <w:t xml:space="preserve">. </w:t>
      </w:r>
      <w:r w:rsidR="00366930" w:rsidRPr="00DA0D6C">
        <w:rPr>
          <w:rFonts w:asciiTheme="minorHAnsi" w:hAnsiTheme="minorHAnsi" w:cstheme="minorHAnsi"/>
          <w:color w:val="000000"/>
          <w:sz w:val="22"/>
          <w:szCs w:val="22"/>
          <w14:ligatures w14:val="none"/>
        </w:rPr>
        <w:t xml:space="preserve">The OIA reference number is </w:t>
      </w:r>
      <w:r w:rsidR="007A4230" w:rsidRPr="00DA0D6C">
        <w:rPr>
          <w:rFonts w:asciiTheme="minorHAnsi" w:hAnsiTheme="minorHAnsi" w:cstheme="minorHAnsi"/>
          <w:color w:val="000000"/>
          <w:sz w:val="22"/>
          <w:szCs w:val="22"/>
          <w14:ligatures w14:val="none"/>
        </w:rPr>
        <w:t>OIA24-06685</w:t>
      </w:r>
      <w:r w:rsidR="00C52D87" w:rsidRPr="00DA0D6C">
        <w:rPr>
          <w:rFonts w:asciiTheme="minorHAnsi" w:hAnsiTheme="minorHAnsi" w:cstheme="minorHAnsi"/>
          <w:color w:val="000000"/>
          <w:sz w:val="22"/>
          <w:szCs w:val="22"/>
          <w14:ligatures w14:val="none"/>
        </w:rPr>
        <w:t>.</w:t>
      </w:r>
    </w:p>
    <w:p w14:paraId="319298DF" w14:textId="77777777" w:rsidR="00F17D12" w:rsidRPr="00FC2443" w:rsidRDefault="00F17D12" w:rsidP="007E2F9F">
      <w:pPr>
        <w:pStyle w:val="NormalWeb"/>
        <w:spacing w:before="160" w:beforeAutospacing="0" w:after="0" w:afterAutospacing="0" w:line="257" w:lineRule="atLeast"/>
        <w:rPr>
          <w:rFonts w:asciiTheme="minorHAnsi" w:hAnsiTheme="minorHAnsi" w:cstheme="minorHAnsi"/>
          <w:color w:val="000000"/>
          <w:sz w:val="22"/>
          <w:szCs w:val="22"/>
        </w:rPr>
      </w:pPr>
      <w:r w:rsidRPr="00FC2443">
        <w:rPr>
          <w:rFonts w:asciiTheme="minorHAnsi" w:hAnsiTheme="minorHAnsi" w:cstheme="minorHAnsi"/>
          <w:b/>
          <w:bCs/>
          <w:color w:val="000000"/>
          <w:sz w:val="22"/>
          <w:szCs w:val="22"/>
        </w:rPr>
        <w:t>Consultation</w:t>
      </w:r>
    </w:p>
    <w:p w14:paraId="60656BDB" w14:textId="73619CD9" w:rsidR="00536D3D" w:rsidRPr="008D01C5" w:rsidRDefault="008D01C5" w:rsidP="007E2F9F">
      <w:pPr>
        <w:pStyle w:val="NormalWeb"/>
        <w:spacing w:before="160" w:beforeAutospacing="0" w:after="0" w:afterAutospacing="0" w:line="257" w:lineRule="atLeast"/>
        <w:rPr>
          <w:rFonts w:asciiTheme="minorHAnsi" w:hAnsiTheme="minorHAnsi" w:cstheme="minorHAnsi"/>
          <w:color w:val="000000" w:themeColor="text1"/>
          <w:sz w:val="22"/>
          <w:szCs w:val="22"/>
        </w:rPr>
      </w:pPr>
      <w:r w:rsidRPr="008D01C5">
        <w:rPr>
          <w:rFonts w:asciiTheme="minorHAnsi" w:hAnsiTheme="minorHAnsi" w:cstheme="minorHAnsi"/>
          <w:color w:val="000000" w:themeColor="text1"/>
          <w:sz w:val="22"/>
          <w:szCs w:val="22"/>
        </w:rPr>
        <w:t xml:space="preserve">Two rounds of public consultation were conducted on the proposed changes before the </w:t>
      </w:r>
      <w:r w:rsidR="002E4CE6">
        <w:rPr>
          <w:rFonts w:asciiTheme="minorHAnsi" w:hAnsiTheme="minorHAnsi" w:cstheme="minorHAnsi"/>
          <w:color w:val="000000" w:themeColor="text1"/>
          <w:sz w:val="22"/>
          <w:szCs w:val="22"/>
        </w:rPr>
        <w:t>Regulations</w:t>
      </w:r>
      <w:r w:rsidRPr="008D01C5">
        <w:rPr>
          <w:rFonts w:asciiTheme="minorHAnsi" w:hAnsiTheme="minorHAnsi" w:cstheme="minorHAnsi"/>
          <w:color w:val="000000" w:themeColor="text1"/>
          <w:sz w:val="22"/>
          <w:szCs w:val="22"/>
        </w:rPr>
        <w:t xml:space="preserve"> were drafted. The first round took place in May to June 2023, and invited submissions on the current fees, costs, expenses and allowances, seeking suggestions for changes or improvement. A draft of the CRIS seeking public views on possible fee changes was open </w:t>
      </w:r>
      <w:r w:rsidR="00AD3C67">
        <w:rPr>
          <w:rFonts w:asciiTheme="minorHAnsi" w:hAnsiTheme="minorHAnsi" w:cstheme="minorHAnsi"/>
          <w:color w:val="000000" w:themeColor="text1"/>
          <w:sz w:val="22"/>
          <w:szCs w:val="22"/>
        </w:rPr>
        <w:t>for</w:t>
      </w:r>
      <w:r w:rsidRPr="008D01C5">
        <w:rPr>
          <w:rFonts w:asciiTheme="minorHAnsi" w:hAnsiTheme="minorHAnsi" w:cstheme="minorHAnsi"/>
          <w:color w:val="000000" w:themeColor="text1"/>
          <w:sz w:val="22"/>
          <w:szCs w:val="22"/>
        </w:rPr>
        <w:t xml:space="preserve"> the second round of public consultation from 1 December 2023 to 22 January 2024. So, too, the proposed changes to the scales of costs, expenses and allowances were open for public consultation in that period.</w:t>
      </w:r>
      <w:r w:rsidR="00FB6C1F">
        <w:rPr>
          <w:rFonts w:asciiTheme="minorHAnsi" w:hAnsiTheme="minorHAnsi" w:cstheme="minorHAnsi"/>
          <w:color w:val="000000" w:themeColor="text1"/>
          <w:sz w:val="22"/>
          <w:szCs w:val="22"/>
        </w:rPr>
        <w:t xml:space="preserve"> </w:t>
      </w:r>
      <w:r w:rsidR="00040956">
        <w:rPr>
          <w:rFonts w:asciiTheme="minorHAnsi" w:hAnsiTheme="minorHAnsi" w:cstheme="minorHAnsi"/>
          <w:color w:val="000000" w:themeColor="text1"/>
          <w:sz w:val="22"/>
          <w:szCs w:val="22"/>
        </w:rPr>
        <w:t>Details of the consultation can be found at &lt;</w:t>
      </w:r>
      <w:r w:rsidR="005564CD" w:rsidRPr="003A7C1D">
        <w:rPr>
          <w:rFonts w:asciiTheme="minorHAnsi" w:hAnsiTheme="minorHAnsi" w:cstheme="minorHAnsi"/>
          <w:sz w:val="22"/>
          <w:szCs w:val="22"/>
        </w:rPr>
        <w:t>https://consultation.ipaustralia.gov.au/policy/fee-review-2023-2024-draft-cris/</w:t>
      </w:r>
      <w:r w:rsidR="005564CD">
        <w:rPr>
          <w:rFonts w:asciiTheme="minorHAnsi" w:hAnsiTheme="minorHAnsi" w:cstheme="minorHAnsi"/>
          <w:color w:val="000000" w:themeColor="text1"/>
          <w:sz w:val="22"/>
          <w:szCs w:val="22"/>
        </w:rPr>
        <w:t>&gt;.</w:t>
      </w:r>
    </w:p>
    <w:p w14:paraId="73E866F4" w14:textId="479B481F" w:rsidR="008D01C5" w:rsidRPr="008D01C5" w:rsidRDefault="008D01C5" w:rsidP="007E2F9F">
      <w:pPr>
        <w:pStyle w:val="NormalWeb"/>
        <w:spacing w:before="160" w:beforeAutospacing="0" w:after="0" w:afterAutospacing="0" w:line="257" w:lineRule="atLeast"/>
        <w:rPr>
          <w:rFonts w:asciiTheme="minorHAnsi" w:hAnsiTheme="minorHAnsi" w:cstheme="minorHAnsi"/>
          <w:color w:val="000000" w:themeColor="text1"/>
          <w:sz w:val="22"/>
          <w:szCs w:val="22"/>
        </w:rPr>
      </w:pPr>
      <w:r w:rsidRPr="008D01C5">
        <w:rPr>
          <w:rFonts w:asciiTheme="minorHAnsi" w:hAnsiTheme="minorHAnsi" w:cstheme="minorHAnsi"/>
          <w:color w:val="000000" w:themeColor="text1"/>
          <w:sz w:val="22"/>
          <w:szCs w:val="22"/>
        </w:rPr>
        <w:t xml:space="preserve">IP Australia received 23 submissions on </w:t>
      </w:r>
      <w:r w:rsidR="00A52C02">
        <w:rPr>
          <w:rFonts w:asciiTheme="minorHAnsi" w:hAnsiTheme="minorHAnsi" w:cstheme="minorHAnsi"/>
          <w:color w:val="000000" w:themeColor="text1"/>
          <w:sz w:val="22"/>
          <w:szCs w:val="22"/>
        </w:rPr>
        <w:t xml:space="preserve">the </w:t>
      </w:r>
      <w:r w:rsidRPr="008D01C5">
        <w:rPr>
          <w:rFonts w:asciiTheme="minorHAnsi" w:hAnsiTheme="minorHAnsi" w:cstheme="minorHAnsi"/>
          <w:color w:val="000000" w:themeColor="text1"/>
          <w:sz w:val="22"/>
          <w:szCs w:val="22"/>
        </w:rPr>
        <w:t>proposed changes, over the two rounds of consultation. Principal concerns raised and how they are proposed to be addressed follow:</w:t>
      </w:r>
    </w:p>
    <w:p w14:paraId="35C29ED8" w14:textId="29C08C5B" w:rsidR="008D01C5" w:rsidRPr="008D01C5" w:rsidRDefault="008D01C5" w:rsidP="007E2F9F">
      <w:pPr>
        <w:pStyle w:val="NormalWeb"/>
        <w:spacing w:before="160" w:beforeAutospacing="0" w:after="0" w:afterAutospacing="0" w:line="257" w:lineRule="atLeast"/>
        <w:ind w:left="414" w:hanging="414"/>
        <w:rPr>
          <w:rFonts w:asciiTheme="minorHAnsi" w:hAnsiTheme="minorHAnsi" w:cstheme="minorBidi"/>
          <w:color w:val="000000" w:themeColor="text1"/>
          <w:sz w:val="22"/>
          <w:szCs w:val="22"/>
        </w:rPr>
      </w:pPr>
      <w:r w:rsidRPr="463D14F6">
        <w:rPr>
          <w:rFonts w:asciiTheme="minorHAnsi" w:hAnsiTheme="minorHAnsi" w:cstheme="minorBidi"/>
          <w:color w:val="000000" w:themeColor="text1"/>
          <w:sz w:val="22"/>
          <w:szCs w:val="22"/>
        </w:rPr>
        <w:t>1.</w:t>
      </w:r>
      <w:r>
        <w:tab/>
      </w:r>
      <w:r w:rsidRPr="463D14F6">
        <w:rPr>
          <w:rFonts w:asciiTheme="minorHAnsi" w:hAnsiTheme="minorHAnsi" w:cstheme="minorBidi"/>
          <w:color w:val="000000" w:themeColor="text1"/>
          <w:sz w:val="22"/>
          <w:szCs w:val="22"/>
        </w:rPr>
        <w:t xml:space="preserve">A peak body representing registered patent and </w:t>
      </w:r>
      <w:proofErr w:type="spellStart"/>
      <w:r w:rsidRPr="463D14F6">
        <w:rPr>
          <w:rFonts w:asciiTheme="minorHAnsi" w:hAnsiTheme="minorHAnsi" w:cstheme="minorBidi"/>
          <w:color w:val="000000" w:themeColor="text1"/>
          <w:sz w:val="22"/>
          <w:szCs w:val="22"/>
        </w:rPr>
        <w:t>trade marks</w:t>
      </w:r>
      <w:proofErr w:type="spellEnd"/>
      <w:r w:rsidRPr="463D14F6">
        <w:rPr>
          <w:rFonts w:asciiTheme="minorHAnsi" w:hAnsiTheme="minorHAnsi" w:cstheme="minorBidi"/>
          <w:color w:val="000000" w:themeColor="text1"/>
          <w:sz w:val="22"/>
          <w:szCs w:val="22"/>
        </w:rPr>
        <w:t xml:space="preserve"> attorneys expressed concern about the proposed introduction of an excess-claims fee payable when an applicant requests examination of an application for a standard patent. The peak body advised their concern owed to the limited time </w:t>
      </w:r>
      <w:r w:rsidR="008B017F">
        <w:rPr>
          <w:rFonts w:asciiTheme="minorHAnsi" w:hAnsiTheme="minorHAnsi" w:cstheme="minorBidi"/>
          <w:color w:val="000000" w:themeColor="text1"/>
          <w:sz w:val="22"/>
          <w:szCs w:val="22"/>
        </w:rPr>
        <w:t xml:space="preserve">for </w:t>
      </w:r>
      <w:r w:rsidRPr="463D14F6">
        <w:rPr>
          <w:rFonts w:asciiTheme="minorHAnsi" w:hAnsiTheme="minorHAnsi" w:cstheme="minorBidi"/>
          <w:color w:val="000000" w:themeColor="text1"/>
          <w:sz w:val="22"/>
          <w:szCs w:val="22"/>
        </w:rPr>
        <w:t xml:space="preserve">applicants to reduce their liability for the fee by reducing the number of claims in the application. This concern </w:t>
      </w:r>
      <w:r w:rsidR="00837FE4" w:rsidRPr="463D14F6">
        <w:rPr>
          <w:rFonts w:asciiTheme="minorHAnsi" w:hAnsiTheme="minorHAnsi" w:cstheme="minorBidi"/>
          <w:color w:val="000000" w:themeColor="text1"/>
          <w:sz w:val="22"/>
          <w:szCs w:val="22"/>
        </w:rPr>
        <w:t>i</w:t>
      </w:r>
      <w:r w:rsidR="004F2AFD" w:rsidRPr="463D14F6">
        <w:rPr>
          <w:rFonts w:asciiTheme="minorHAnsi" w:hAnsiTheme="minorHAnsi" w:cstheme="minorBidi"/>
          <w:color w:val="000000" w:themeColor="text1"/>
          <w:sz w:val="22"/>
          <w:szCs w:val="22"/>
        </w:rPr>
        <w:t>s</w:t>
      </w:r>
      <w:r w:rsidRPr="463D14F6">
        <w:rPr>
          <w:rFonts w:asciiTheme="minorHAnsi" w:hAnsiTheme="minorHAnsi" w:cstheme="minorBidi"/>
          <w:color w:val="000000" w:themeColor="text1"/>
          <w:sz w:val="22"/>
          <w:szCs w:val="22"/>
        </w:rPr>
        <w:t xml:space="preserve"> addressed by instead imposing the excess-claims fee when the first examination report is issued. This is currently </w:t>
      </w:r>
      <w:r w:rsidR="000960DB">
        <w:rPr>
          <w:rFonts w:asciiTheme="minorHAnsi" w:hAnsiTheme="minorHAnsi" w:cstheme="minorBidi"/>
          <w:color w:val="000000" w:themeColor="text1"/>
          <w:sz w:val="22"/>
          <w:szCs w:val="22"/>
        </w:rPr>
        <w:t xml:space="preserve">9 to 23 </w:t>
      </w:r>
      <w:r w:rsidRPr="463D14F6">
        <w:rPr>
          <w:rFonts w:asciiTheme="minorHAnsi" w:hAnsiTheme="minorHAnsi" w:cstheme="minorBidi"/>
          <w:color w:val="000000" w:themeColor="text1"/>
          <w:sz w:val="22"/>
          <w:szCs w:val="22"/>
        </w:rPr>
        <w:t xml:space="preserve">months after examination is requested, depending on the technology of the invention. In that period, applicants could reduce their liability for the fee by </w:t>
      </w:r>
      <w:r w:rsidR="5A866752" w:rsidRPr="463D14F6">
        <w:rPr>
          <w:rFonts w:asciiTheme="minorHAnsi" w:hAnsiTheme="minorHAnsi" w:cstheme="minorBidi"/>
          <w:color w:val="000000" w:themeColor="text1"/>
          <w:sz w:val="22"/>
          <w:szCs w:val="22"/>
        </w:rPr>
        <w:t xml:space="preserve">seeking leave to amend the application to </w:t>
      </w:r>
      <w:r w:rsidRPr="463D14F6">
        <w:rPr>
          <w:rFonts w:asciiTheme="minorHAnsi" w:hAnsiTheme="minorHAnsi" w:cstheme="minorBidi"/>
          <w:color w:val="000000" w:themeColor="text1"/>
          <w:sz w:val="22"/>
          <w:szCs w:val="22"/>
        </w:rPr>
        <w:t>reduc</w:t>
      </w:r>
      <w:r w:rsidR="614C4C2F" w:rsidRPr="463D14F6">
        <w:rPr>
          <w:rFonts w:asciiTheme="minorHAnsi" w:hAnsiTheme="minorHAnsi" w:cstheme="minorBidi"/>
          <w:color w:val="000000" w:themeColor="text1"/>
          <w:sz w:val="22"/>
          <w:szCs w:val="22"/>
        </w:rPr>
        <w:t>e</w:t>
      </w:r>
      <w:r w:rsidRPr="463D14F6">
        <w:rPr>
          <w:rFonts w:asciiTheme="minorHAnsi" w:hAnsiTheme="minorHAnsi" w:cstheme="minorBidi"/>
          <w:color w:val="000000" w:themeColor="text1"/>
          <w:sz w:val="22"/>
          <w:szCs w:val="22"/>
        </w:rPr>
        <w:t xml:space="preserve"> the number of claims.</w:t>
      </w:r>
    </w:p>
    <w:p w14:paraId="06549638" w14:textId="66F3329A" w:rsidR="008D01C5" w:rsidRPr="008D01C5" w:rsidRDefault="008D01C5" w:rsidP="007E2F9F">
      <w:pPr>
        <w:pStyle w:val="NormalWeb"/>
        <w:spacing w:before="160" w:beforeAutospacing="0" w:after="0" w:afterAutospacing="0" w:line="257" w:lineRule="atLeast"/>
        <w:ind w:left="414" w:hanging="414"/>
        <w:rPr>
          <w:rFonts w:asciiTheme="minorHAnsi" w:hAnsiTheme="minorHAnsi" w:cstheme="minorHAnsi"/>
          <w:color w:val="000000" w:themeColor="text1"/>
          <w:sz w:val="22"/>
          <w:szCs w:val="22"/>
        </w:rPr>
      </w:pPr>
      <w:r w:rsidRPr="008D01C5">
        <w:rPr>
          <w:rFonts w:asciiTheme="minorHAnsi" w:hAnsiTheme="minorHAnsi" w:cstheme="minorHAnsi"/>
          <w:color w:val="000000" w:themeColor="text1"/>
          <w:sz w:val="22"/>
          <w:szCs w:val="22"/>
        </w:rPr>
        <w:t>2.</w:t>
      </w:r>
      <w:r w:rsidRPr="008D01C5">
        <w:rPr>
          <w:rFonts w:asciiTheme="minorHAnsi" w:hAnsiTheme="minorHAnsi" w:cstheme="minorHAnsi"/>
          <w:color w:val="000000" w:themeColor="text1"/>
          <w:sz w:val="22"/>
          <w:szCs w:val="22"/>
        </w:rPr>
        <w:tab/>
        <w:t xml:space="preserve">The peak body also expressed concerns about not permitting a successful opponent to registration of a trade mark to recover, as an expense of those opposition proceedings, the amount of the </w:t>
      </w:r>
      <w:r w:rsidR="00886DDF">
        <w:rPr>
          <w:rFonts w:asciiTheme="minorHAnsi" w:hAnsiTheme="minorHAnsi" w:cstheme="minorHAnsi"/>
          <w:color w:val="000000" w:themeColor="text1"/>
          <w:sz w:val="22"/>
          <w:szCs w:val="22"/>
        </w:rPr>
        <w:t>new</w:t>
      </w:r>
      <w:r w:rsidRPr="008D01C5">
        <w:rPr>
          <w:rFonts w:asciiTheme="minorHAnsi" w:hAnsiTheme="minorHAnsi" w:cstheme="minorHAnsi"/>
          <w:color w:val="000000" w:themeColor="text1"/>
          <w:sz w:val="22"/>
          <w:szCs w:val="22"/>
        </w:rPr>
        <w:t xml:space="preserve"> fee for filing a statement of grounds and particulars. This concern is addressed by allowing a successful opponent to recover up to $500 of the </w:t>
      </w:r>
      <w:r w:rsidR="00886DDF">
        <w:rPr>
          <w:rFonts w:asciiTheme="minorHAnsi" w:hAnsiTheme="minorHAnsi" w:cstheme="minorHAnsi"/>
          <w:color w:val="000000" w:themeColor="text1"/>
          <w:sz w:val="22"/>
          <w:szCs w:val="22"/>
        </w:rPr>
        <w:t>new</w:t>
      </w:r>
      <w:r w:rsidRPr="008D01C5">
        <w:rPr>
          <w:rFonts w:asciiTheme="minorHAnsi" w:hAnsiTheme="minorHAnsi" w:cstheme="minorHAnsi"/>
          <w:color w:val="000000" w:themeColor="text1"/>
          <w:sz w:val="22"/>
          <w:szCs w:val="22"/>
        </w:rPr>
        <w:t xml:space="preserve"> fee from an unsuccessful applicant for registration. This is intended to balance the interests of the applicant for registration with that of the opponent. The applicant’s interest is in defending well-focused opposition proceedings without unnecessary grounds or prolix particulars. The opponent’s interest is in </w:t>
      </w:r>
      <w:r w:rsidR="006E140B">
        <w:rPr>
          <w:rFonts w:asciiTheme="minorHAnsi" w:hAnsiTheme="minorHAnsi" w:cstheme="minorHAnsi"/>
          <w:color w:val="000000" w:themeColor="text1"/>
          <w:sz w:val="22"/>
          <w:szCs w:val="22"/>
        </w:rPr>
        <w:t xml:space="preserve">the </w:t>
      </w:r>
      <w:r w:rsidRPr="008D01C5">
        <w:rPr>
          <w:rFonts w:asciiTheme="minorHAnsi" w:hAnsiTheme="minorHAnsi" w:cstheme="minorHAnsi"/>
          <w:color w:val="000000" w:themeColor="text1"/>
          <w:sz w:val="22"/>
          <w:szCs w:val="22"/>
        </w:rPr>
        <w:t>applicant having some incentive to settle the proceedings early, or at least for the opponent to recover some of the expense of the proceedings.</w:t>
      </w:r>
    </w:p>
    <w:p w14:paraId="68CE9785" w14:textId="5AD55B72" w:rsidR="15730B45" w:rsidRPr="00FC2443" w:rsidRDefault="008D01C5" w:rsidP="007E2F9F">
      <w:pPr>
        <w:pStyle w:val="NormalWeb"/>
        <w:spacing w:before="160" w:beforeAutospacing="0" w:after="0" w:afterAutospacing="0" w:line="257" w:lineRule="atLeast"/>
        <w:ind w:left="414" w:hanging="414"/>
        <w:rPr>
          <w:rFonts w:asciiTheme="minorHAnsi" w:hAnsiTheme="minorHAnsi" w:cstheme="minorBidi"/>
          <w:color w:val="000000" w:themeColor="text1"/>
          <w:sz w:val="22"/>
          <w:szCs w:val="22"/>
        </w:rPr>
      </w:pPr>
      <w:r w:rsidRPr="463D14F6">
        <w:rPr>
          <w:rFonts w:asciiTheme="minorHAnsi" w:hAnsiTheme="minorHAnsi" w:cstheme="minorBidi"/>
          <w:color w:val="000000" w:themeColor="text1"/>
          <w:sz w:val="22"/>
          <w:szCs w:val="22"/>
        </w:rPr>
        <w:t>3.</w:t>
      </w:r>
      <w:r>
        <w:tab/>
      </w:r>
      <w:r w:rsidR="00CC37B3" w:rsidRPr="00C251AF">
        <w:rPr>
          <w:rFonts w:asciiTheme="minorHAnsi" w:hAnsiTheme="minorHAnsi" w:cstheme="minorHAnsi"/>
          <w:color w:val="000000" w:themeColor="text1"/>
          <w:sz w:val="22"/>
          <w:szCs w:val="22"/>
        </w:rPr>
        <w:t xml:space="preserve">Plant breeder’s rights (PBR) customers have expressed concerns about the initial proposal to increase the amounts of the annual maintenance fee for granted PBR by $400, and its subsequent impact on the plant breeding industry. This concern is proposed to be addressed by reducing the amount of the increase to $200, so that the proposed amounts of the fee would become $600 or $650: depending on whether they are paid by preferred means (for example, by credit card through the IP Australia portal) or by other means (for example, cash, cheque or money order). </w:t>
      </w:r>
      <w:r w:rsidR="00CC37B3" w:rsidRPr="00C251AF">
        <w:rPr>
          <w:rFonts w:asciiTheme="minorHAnsi" w:hAnsiTheme="minorHAnsi" w:cstheme="minorHAnsi"/>
          <w:color w:val="000000" w:themeColor="text1"/>
          <w:sz w:val="22"/>
          <w:szCs w:val="22"/>
        </w:rPr>
        <w:lastRenderedPageBreak/>
        <w:t>The amounts of the fee were last increased in 2016, when they were increased by $55 to the current amounts of $400 or $450 depending on how they are paid.</w:t>
      </w:r>
    </w:p>
    <w:p w14:paraId="72CA9FAF" w14:textId="22F6B22F" w:rsidR="00F17D12" w:rsidRPr="0000395E" w:rsidRDefault="00F17D12" w:rsidP="007E2F9F">
      <w:pPr>
        <w:pStyle w:val="NormalWeb"/>
        <w:spacing w:before="160" w:beforeAutospacing="0" w:after="0" w:afterAutospacing="0" w:line="257" w:lineRule="atLeast"/>
        <w:rPr>
          <w:rFonts w:asciiTheme="minorHAnsi" w:hAnsiTheme="minorHAnsi" w:cstheme="minorHAnsi"/>
          <w:color w:val="000000"/>
          <w:sz w:val="22"/>
          <w:szCs w:val="22"/>
        </w:rPr>
      </w:pPr>
      <w:r w:rsidRPr="0000395E">
        <w:rPr>
          <w:rFonts w:asciiTheme="minorHAnsi" w:hAnsiTheme="minorHAnsi" w:cstheme="minorHAnsi"/>
          <w:b/>
          <w:bCs/>
          <w:color w:val="000000"/>
          <w:sz w:val="22"/>
          <w:szCs w:val="22"/>
        </w:rPr>
        <w:t>Statement of compatibility with human rights</w:t>
      </w:r>
    </w:p>
    <w:p w14:paraId="13ACA318" w14:textId="4C0479B3" w:rsidR="00F17D12" w:rsidRDefault="00F17D12" w:rsidP="007E2F9F">
      <w:pPr>
        <w:pStyle w:val="NormalWeb"/>
        <w:spacing w:before="160" w:beforeAutospacing="0" w:after="0" w:afterAutospacing="0" w:line="257" w:lineRule="atLeast"/>
        <w:rPr>
          <w:rFonts w:asciiTheme="minorHAnsi" w:hAnsiTheme="minorHAnsi" w:cstheme="minorHAnsi"/>
          <w:sz w:val="22"/>
          <w:szCs w:val="22"/>
          <w:u w:val="single"/>
        </w:rPr>
      </w:pPr>
      <w:r w:rsidRPr="0000395E">
        <w:rPr>
          <w:rFonts w:asciiTheme="minorHAnsi" w:hAnsiTheme="minorHAnsi" w:cstheme="minorHAnsi"/>
          <w:sz w:val="22"/>
          <w:szCs w:val="22"/>
        </w:rPr>
        <w:t>Subsection 9(1) of the </w:t>
      </w:r>
      <w:r w:rsidRPr="0000395E">
        <w:rPr>
          <w:rFonts w:asciiTheme="minorHAnsi" w:hAnsiTheme="minorHAnsi" w:cstheme="minorHAnsi"/>
          <w:i/>
          <w:iCs/>
          <w:sz w:val="22"/>
          <w:szCs w:val="22"/>
        </w:rPr>
        <w:t>Human Rights (Parliamentary Scrutiny) Act 2011</w:t>
      </w:r>
      <w:r w:rsidRPr="0000395E">
        <w:rPr>
          <w:rFonts w:asciiTheme="minorHAnsi" w:hAnsiTheme="minorHAnsi" w:cstheme="minorHAnsi"/>
          <w:sz w:val="22"/>
          <w:szCs w:val="22"/>
        </w:rPr>
        <w:t> requires the rule-maker in relation to a legislative instrument to which section 42 (disallowance) of the Legislation Act applies to cause a statement of compatibility to be prepared in respect of that legislative instrument. A statement of compatibility to meet that requirement is at</w:t>
      </w:r>
      <w:r w:rsidR="00117C9F" w:rsidRPr="0000395E">
        <w:rPr>
          <w:rFonts w:asciiTheme="minorHAnsi" w:hAnsiTheme="minorHAnsi" w:cstheme="minorHAnsi"/>
          <w:sz w:val="22"/>
          <w:szCs w:val="22"/>
        </w:rPr>
        <w:t xml:space="preserve"> the end of </w:t>
      </w:r>
      <w:r w:rsidR="00C51866" w:rsidRPr="0000395E">
        <w:rPr>
          <w:rFonts w:asciiTheme="minorHAnsi" w:hAnsiTheme="minorHAnsi" w:cstheme="minorHAnsi"/>
          <w:sz w:val="22"/>
          <w:szCs w:val="22"/>
        </w:rPr>
        <w:t>Appendix 1</w:t>
      </w:r>
      <w:r w:rsidR="00F83C4D" w:rsidRPr="0000395E">
        <w:rPr>
          <w:rFonts w:asciiTheme="minorHAnsi" w:hAnsiTheme="minorHAnsi" w:cstheme="minorHAnsi"/>
          <w:sz w:val="22"/>
          <w:szCs w:val="22"/>
        </w:rPr>
        <w:t>.</w:t>
      </w:r>
    </w:p>
    <w:p w14:paraId="7E01B2D3" w14:textId="4B667DC6" w:rsidR="00526707" w:rsidRPr="00FC2443" w:rsidRDefault="00526707" w:rsidP="007E2F9F">
      <w:pPr>
        <w:pStyle w:val="NormalWeb"/>
        <w:spacing w:before="160" w:beforeAutospacing="0" w:after="0" w:afterAutospacing="0" w:line="257" w:lineRule="atLeast"/>
        <w:rPr>
          <w:rFonts w:asciiTheme="minorHAnsi" w:hAnsiTheme="minorHAnsi" w:cstheme="minorHAnsi"/>
          <w:color w:val="000000"/>
          <w:sz w:val="22"/>
          <w:szCs w:val="22"/>
        </w:rPr>
      </w:pPr>
      <w:r>
        <w:rPr>
          <w:rFonts w:asciiTheme="minorHAnsi" w:hAnsiTheme="minorHAnsi" w:cstheme="minorHAnsi"/>
          <w:b/>
          <w:bCs/>
          <w:color w:val="000000"/>
          <w:sz w:val="22"/>
          <w:szCs w:val="22"/>
        </w:rPr>
        <w:t>Commencement</w:t>
      </w:r>
    </w:p>
    <w:p w14:paraId="317C4A9F" w14:textId="77777777" w:rsidR="00C0790B" w:rsidRPr="000F4DA8" w:rsidRDefault="00C0790B" w:rsidP="00472D7B">
      <w:pPr>
        <w:autoSpaceDE w:val="0"/>
        <w:autoSpaceDN w:val="0"/>
        <w:spacing w:before="160" w:after="0" w:line="252" w:lineRule="auto"/>
        <w:rPr>
          <w:rFonts w:eastAsia="Calibri" w:cstheme="minorHAnsi"/>
          <w:kern w:val="0"/>
          <w:lang w:val="en-US"/>
        </w:rPr>
      </w:pPr>
      <w:r w:rsidRPr="000F4DA8">
        <w:rPr>
          <w:rFonts w:eastAsia="Calibri" w:cstheme="minorHAnsi"/>
          <w:kern w:val="0"/>
          <w:lang w:val="en-US"/>
        </w:rPr>
        <w:t>This section provide</w:t>
      </w:r>
      <w:r>
        <w:rPr>
          <w:rFonts w:eastAsia="Calibri" w:cstheme="minorHAnsi"/>
          <w:kern w:val="0"/>
          <w:lang w:val="en-US"/>
        </w:rPr>
        <w:t>s</w:t>
      </w:r>
      <w:r w:rsidRPr="000F4DA8">
        <w:rPr>
          <w:rFonts w:eastAsia="Calibri" w:cstheme="minorHAnsi"/>
          <w:kern w:val="0"/>
          <w:lang w:val="en-US"/>
        </w:rPr>
        <w:t xml:space="preserve"> for the Regulations to commence at the later of</w:t>
      </w:r>
      <w:r>
        <w:rPr>
          <w:rFonts w:eastAsia="Calibri" w:cstheme="minorHAnsi"/>
          <w:kern w:val="0"/>
          <w:lang w:val="en-US"/>
        </w:rPr>
        <w:t xml:space="preserve"> the following</w:t>
      </w:r>
      <w:r w:rsidRPr="000F4DA8">
        <w:rPr>
          <w:rFonts w:eastAsia="Calibri" w:cstheme="minorHAnsi"/>
          <w:kern w:val="0"/>
          <w:lang w:val="en-US"/>
        </w:rPr>
        <w:t>:</w:t>
      </w:r>
    </w:p>
    <w:p w14:paraId="4D1177D8" w14:textId="77777777" w:rsidR="009863C0" w:rsidRDefault="00C0790B" w:rsidP="002054C5">
      <w:pPr>
        <w:pStyle w:val="ListParagraph0"/>
        <w:numPr>
          <w:ilvl w:val="0"/>
          <w:numId w:val="1"/>
        </w:numPr>
        <w:autoSpaceDE w:val="0"/>
        <w:autoSpaceDN w:val="0"/>
        <w:spacing w:before="80" w:after="0" w:line="252" w:lineRule="auto"/>
        <w:ind w:left="1077"/>
        <w:contextualSpacing w:val="0"/>
        <w:rPr>
          <w:rFonts w:eastAsia="Calibri" w:cstheme="minorHAnsi"/>
          <w:kern w:val="0"/>
          <w:lang w:val="en-US"/>
        </w:rPr>
      </w:pPr>
      <w:r w:rsidRPr="00E22DA3">
        <w:rPr>
          <w:rFonts w:eastAsia="Calibri" w:cstheme="minorHAnsi"/>
          <w:kern w:val="0"/>
          <w:lang w:val="en-US"/>
        </w:rPr>
        <w:t>the 28th day following the day the Regulations are registered in the Federal Register of Legislation</w:t>
      </w:r>
      <w:r w:rsidR="00D2231D">
        <w:rPr>
          <w:rFonts w:eastAsia="Calibri" w:cstheme="minorHAnsi"/>
          <w:kern w:val="0"/>
          <w:lang w:val="en-US"/>
        </w:rPr>
        <w:t xml:space="preserve"> (FRL)</w:t>
      </w:r>
    </w:p>
    <w:p w14:paraId="3AC4AAFB" w14:textId="1943912D" w:rsidR="00C0790B" w:rsidRPr="00472D7B" w:rsidRDefault="009863C0" w:rsidP="002054C5">
      <w:pPr>
        <w:pStyle w:val="ListParagraph0"/>
        <w:numPr>
          <w:ilvl w:val="0"/>
          <w:numId w:val="1"/>
        </w:numPr>
        <w:autoSpaceDE w:val="0"/>
        <w:autoSpaceDN w:val="0"/>
        <w:spacing w:before="80" w:after="0" w:line="252" w:lineRule="auto"/>
        <w:ind w:left="1077"/>
        <w:contextualSpacing w:val="0"/>
        <w:rPr>
          <w:rFonts w:eastAsia="Calibri" w:cstheme="minorHAnsi"/>
          <w:kern w:val="0"/>
          <w:lang w:val="en-US"/>
        </w:rPr>
      </w:pPr>
      <w:r>
        <w:rPr>
          <w:rFonts w:eastAsia="Calibri" w:cstheme="minorHAnsi"/>
          <w:kern w:val="0"/>
          <w:lang w:val="en-US"/>
        </w:rPr>
        <w:t>1 October</w:t>
      </w:r>
      <w:r w:rsidRPr="00E22DA3">
        <w:rPr>
          <w:rFonts w:eastAsia="Calibri" w:cstheme="minorHAnsi"/>
          <w:kern w:val="0"/>
          <w:lang w:val="en-US"/>
        </w:rPr>
        <w:t xml:space="preserve"> 2024</w:t>
      </w:r>
      <w:r>
        <w:rPr>
          <w:rFonts w:eastAsia="Calibri" w:cstheme="minorHAnsi"/>
          <w:kern w:val="0"/>
          <w:lang w:val="en-US"/>
        </w:rPr>
        <w:t>.</w:t>
      </w:r>
    </w:p>
    <w:p w14:paraId="04E5C6A1" w14:textId="79365985" w:rsidR="00526707" w:rsidRDefault="000754A9" w:rsidP="007E2F9F">
      <w:pPr>
        <w:pStyle w:val="NormalWeb"/>
        <w:spacing w:before="160" w:beforeAutospacing="0" w:after="0" w:afterAutospacing="0" w:line="257" w:lineRule="atLeast"/>
        <w:rPr>
          <w:rFonts w:asciiTheme="minorHAnsi" w:hAnsiTheme="minorHAnsi" w:cstheme="minorHAnsi"/>
          <w:sz w:val="22"/>
          <w:szCs w:val="22"/>
        </w:rPr>
      </w:pPr>
      <w:r w:rsidRPr="000754A9">
        <w:rPr>
          <w:rFonts w:asciiTheme="minorHAnsi" w:hAnsiTheme="minorHAnsi" w:cstheme="minorHAnsi"/>
          <w:sz w:val="22"/>
          <w:szCs w:val="22"/>
        </w:rPr>
        <w:t xml:space="preserve">This is to allow IP Australia </w:t>
      </w:r>
      <w:r w:rsidR="009120D7">
        <w:rPr>
          <w:rFonts w:asciiTheme="minorHAnsi" w:hAnsiTheme="minorHAnsi" w:cstheme="minorHAnsi"/>
          <w:sz w:val="22"/>
          <w:szCs w:val="22"/>
        </w:rPr>
        <w:t xml:space="preserve">time </w:t>
      </w:r>
      <w:r w:rsidRPr="000754A9">
        <w:rPr>
          <w:rFonts w:asciiTheme="minorHAnsi" w:hAnsiTheme="minorHAnsi" w:cstheme="minorHAnsi"/>
          <w:sz w:val="22"/>
          <w:szCs w:val="22"/>
        </w:rPr>
        <w:t xml:space="preserve">to give users of the IP system </w:t>
      </w:r>
      <w:r w:rsidR="00672506">
        <w:rPr>
          <w:rFonts w:asciiTheme="minorHAnsi" w:hAnsiTheme="minorHAnsi" w:cstheme="minorHAnsi"/>
          <w:sz w:val="22"/>
          <w:szCs w:val="22"/>
        </w:rPr>
        <w:t>at least 4 weeks’</w:t>
      </w:r>
      <w:r w:rsidRPr="000754A9">
        <w:rPr>
          <w:rFonts w:asciiTheme="minorHAnsi" w:hAnsiTheme="minorHAnsi" w:cstheme="minorHAnsi"/>
          <w:sz w:val="22"/>
          <w:szCs w:val="22"/>
        </w:rPr>
        <w:t xml:space="preserve"> notice of the changes to the fees</w:t>
      </w:r>
      <w:r w:rsidR="00D2231D">
        <w:rPr>
          <w:rFonts w:asciiTheme="minorHAnsi" w:hAnsiTheme="minorHAnsi" w:cstheme="minorHAnsi"/>
          <w:sz w:val="22"/>
          <w:szCs w:val="22"/>
        </w:rPr>
        <w:t xml:space="preserve"> </w:t>
      </w:r>
      <w:r w:rsidRPr="000754A9">
        <w:rPr>
          <w:rFonts w:asciiTheme="minorHAnsi" w:hAnsiTheme="minorHAnsi" w:cstheme="minorHAnsi"/>
          <w:sz w:val="22"/>
          <w:szCs w:val="22"/>
        </w:rPr>
        <w:t xml:space="preserve">so that </w:t>
      </w:r>
      <w:r w:rsidR="00672506">
        <w:rPr>
          <w:rFonts w:asciiTheme="minorHAnsi" w:hAnsiTheme="minorHAnsi" w:cstheme="minorHAnsi"/>
          <w:sz w:val="22"/>
          <w:szCs w:val="22"/>
        </w:rPr>
        <w:t>those users</w:t>
      </w:r>
      <w:r w:rsidRPr="000754A9">
        <w:rPr>
          <w:rFonts w:asciiTheme="minorHAnsi" w:hAnsiTheme="minorHAnsi" w:cstheme="minorHAnsi"/>
          <w:sz w:val="22"/>
          <w:szCs w:val="22"/>
        </w:rPr>
        <w:t xml:space="preserve"> can update their payment systems.</w:t>
      </w:r>
    </w:p>
    <w:p w14:paraId="2B526517" w14:textId="2BFDF48A" w:rsidR="00716FC2" w:rsidRPr="0000395E" w:rsidRDefault="00716FC2" w:rsidP="007E2F9F">
      <w:pPr>
        <w:pStyle w:val="NormalWeb"/>
        <w:spacing w:before="160" w:beforeAutospacing="0" w:after="0" w:afterAutospacing="0" w:line="257" w:lineRule="atLeast"/>
        <w:rPr>
          <w:rFonts w:asciiTheme="minorHAnsi" w:hAnsiTheme="minorHAnsi" w:cstheme="minorHAnsi"/>
          <w:color w:val="000000"/>
          <w:sz w:val="22"/>
          <w:szCs w:val="22"/>
        </w:rPr>
      </w:pPr>
      <w:r w:rsidRPr="0000395E">
        <w:rPr>
          <w:rFonts w:asciiTheme="minorHAnsi" w:hAnsiTheme="minorHAnsi" w:cstheme="minorHAnsi"/>
          <w:b/>
          <w:bCs/>
          <w:color w:val="000000"/>
          <w:sz w:val="22"/>
          <w:szCs w:val="22"/>
        </w:rPr>
        <w:t>Exemption from sunsetting</w:t>
      </w:r>
    </w:p>
    <w:p w14:paraId="48EE9FA7" w14:textId="1E74E719" w:rsidR="00842A73" w:rsidRPr="0000395E" w:rsidRDefault="00534926" w:rsidP="00472D7B">
      <w:pPr>
        <w:autoSpaceDE w:val="0"/>
        <w:autoSpaceDN w:val="0"/>
        <w:spacing w:before="160" w:after="0" w:line="252" w:lineRule="auto"/>
        <w:rPr>
          <w:rStyle w:val="normaltextrun"/>
          <w:rFonts w:ascii="Calibri" w:hAnsi="Calibri" w:cs="Calibri"/>
          <w:color w:val="000000"/>
          <w:kern w:val="0"/>
          <w:sz w:val="24"/>
          <w:szCs w:val="24"/>
          <w:bdr w:val="none" w:sz="0" w:space="0" w:color="auto" w:frame="1"/>
          <w:lang w:val="en-US" w:eastAsia="en-AU"/>
        </w:rPr>
      </w:pPr>
      <w:r w:rsidRPr="0000395E">
        <w:rPr>
          <w:rFonts w:eastAsia="Calibri" w:cstheme="minorHAnsi"/>
          <w:kern w:val="0"/>
          <w:lang w:val="en-US"/>
        </w:rPr>
        <w:t>T</w:t>
      </w:r>
      <w:r w:rsidR="00716FC2" w:rsidRPr="0000395E">
        <w:rPr>
          <w:rFonts w:eastAsia="Calibri" w:cstheme="minorHAnsi"/>
          <w:kern w:val="0"/>
          <w:lang w:val="en-US"/>
        </w:rPr>
        <w:t xml:space="preserve">he Regulations </w:t>
      </w:r>
      <w:r w:rsidRPr="0000395E">
        <w:rPr>
          <w:rFonts w:eastAsia="Calibri" w:cstheme="minorHAnsi"/>
          <w:kern w:val="0"/>
          <w:lang w:val="en-US"/>
        </w:rPr>
        <w:t xml:space="preserve">are </w:t>
      </w:r>
      <w:r w:rsidR="001D4D46" w:rsidRPr="0000395E">
        <w:rPr>
          <w:rFonts w:eastAsia="Calibri" w:cstheme="minorHAnsi"/>
          <w:kern w:val="0"/>
          <w:lang w:val="en-US"/>
        </w:rPr>
        <w:t xml:space="preserve">a </w:t>
      </w:r>
      <w:r w:rsidR="001D4D46" w:rsidRPr="0000395E">
        <w:rPr>
          <w:rStyle w:val="normaltextrun"/>
          <w:rFonts w:ascii="Calibri" w:hAnsi="Calibri" w:cs="Calibri"/>
          <w:color w:val="000000"/>
          <w:bdr w:val="none" w:sz="0" w:space="0" w:color="auto" w:frame="1"/>
          <w:lang w:val="en-US"/>
        </w:rPr>
        <w:t>regulation made under the</w:t>
      </w:r>
      <w:r w:rsidR="00221E38" w:rsidRPr="0000395E">
        <w:rPr>
          <w:rStyle w:val="normaltextrun"/>
          <w:rFonts w:ascii="Calibri" w:hAnsi="Calibri" w:cs="Calibri"/>
          <w:color w:val="000000"/>
          <w:bdr w:val="none" w:sz="0" w:space="0" w:color="auto" w:frame="1"/>
          <w:lang w:val="en-US"/>
        </w:rPr>
        <w:t xml:space="preserve"> Acts</w:t>
      </w:r>
      <w:r w:rsidR="001D4D46" w:rsidRPr="0000395E">
        <w:rPr>
          <w:rStyle w:val="normaltextrun"/>
          <w:rFonts w:ascii="Calibri" w:hAnsi="Calibri" w:cs="Calibri"/>
          <w:color w:val="000000"/>
          <w:bdr w:val="none" w:sz="0" w:space="0" w:color="auto" w:frame="1"/>
          <w:lang w:val="en-US"/>
        </w:rPr>
        <w:t xml:space="preserve">. </w:t>
      </w:r>
      <w:r w:rsidR="008D2C6D" w:rsidRPr="0000395E">
        <w:rPr>
          <w:rStyle w:val="normaltextrun"/>
          <w:rFonts w:ascii="Calibri" w:hAnsi="Calibri" w:cs="Calibri"/>
          <w:color w:val="000000"/>
          <w:bdr w:val="none" w:sz="0" w:space="0" w:color="auto" w:frame="1"/>
          <w:lang w:val="en-US"/>
        </w:rPr>
        <w:t>As such</w:t>
      </w:r>
      <w:r w:rsidR="001D4D46" w:rsidRPr="0000395E">
        <w:rPr>
          <w:rStyle w:val="normaltextrun"/>
          <w:rFonts w:ascii="Calibri" w:hAnsi="Calibri" w:cs="Calibri"/>
          <w:color w:val="000000"/>
          <w:bdr w:val="none" w:sz="0" w:space="0" w:color="auto" w:frame="1"/>
          <w:lang w:val="en-US"/>
        </w:rPr>
        <w:t xml:space="preserve">, they are </w:t>
      </w:r>
      <w:r w:rsidRPr="0000395E">
        <w:rPr>
          <w:rFonts w:eastAsia="Calibri" w:cstheme="minorHAnsi"/>
          <w:kern w:val="0"/>
          <w:lang w:val="en-US"/>
        </w:rPr>
        <w:t>exempt from sunsetting by virtue of</w:t>
      </w:r>
      <w:r w:rsidR="003A758A" w:rsidRPr="0000395E">
        <w:rPr>
          <w:rFonts w:eastAsia="Calibri" w:cstheme="minorHAnsi"/>
          <w:kern w:val="0"/>
          <w:lang w:val="en-US"/>
        </w:rPr>
        <w:t xml:space="preserve"> the </w:t>
      </w:r>
      <w:r w:rsidR="00583C63" w:rsidRPr="0000395E">
        <w:rPr>
          <w:rFonts w:eastAsia="Calibri" w:cstheme="minorHAnsi"/>
          <w:i/>
          <w:kern w:val="0"/>
          <w:lang w:val="en-US"/>
        </w:rPr>
        <w:t>Legislation (Exemptions and Other Matters) Regulation 2015</w:t>
      </w:r>
      <w:r w:rsidR="00810E2A" w:rsidRPr="0000395E">
        <w:rPr>
          <w:rFonts w:eastAsia="Calibri" w:cstheme="minorHAnsi"/>
          <w:kern w:val="0"/>
          <w:lang w:val="en-US"/>
        </w:rPr>
        <w:t xml:space="preserve">, </w:t>
      </w:r>
      <w:r w:rsidR="003B6992" w:rsidRPr="0000395E">
        <w:rPr>
          <w:rStyle w:val="normaltextrun"/>
          <w:rFonts w:ascii="Calibri" w:hAnsi="Calibri" w:cs="Calibri"/>
          <w:color w:val="000000"/>
          <w:bdr w:val="none" w:sz="0" w:space="0" w:color="auto" w:frame="1"/>
          <w:lang w:val="en-US"/>
        </w:rPr>
        <w:t>reg</w:t>
      </w:r>
      <w:r w:rsidR="00FF2EA5" w:rsidRPr="0000395E">
        <w:rPr>
          <w:rStyle w:val="normaltextrun"/>
          <w:rFonts w:ascii="Calibri" w:hAnsi="Calibri" w:cs="Calibri"/>
          <w:color w:val="000000"/>
          <w:bdr w:val="none" w:sz="0" w:space="0" w:color="auto" w:frame="1"/>
          <w:lang w:val="en-US"/>
        </w:rPr>
        <w:t>ulation</w:t>
      </w:r>
      <w:r w:rsidR="003B6992" w:rsidRPr="0000395E">
        <w:rPr>
          <w:rStyle w:val="normaltextrun"/>
          <w:rFonts w:ascii="Calibri" w:hAnsi="Calibri" w:cs="Calibri"/>
          <w:color w:val="000000"/>
          <w:bdr w:val="none" w:sz="0" w:space="0" w:color="auto" w:frame="1"/>
          <w:lang w:val="en-US"/>
        </w:rPr>
        <w:t xml:space="preserve"> 12</w:t>
      </w:r>
      <w:r w:rsidR="00480590" w:rsidRPr="0000395E">
        <w:rPr>
          <w:rStyle w:val="normaltextrun"/>
          <w:rFonts w:ascii="Calibri" w:hAnsi="Calibri" w:cs="Calibri"/>
          <w:color w:val="000000"/>
          <w:bdr w:val="none" w:sz="0" w:space="0" w:color="auto" w:frame="1"/>
          <w:lang w:val="en-US"/>
        </w:rPr>
        <w:t xml:space="preserve">, </w:t>
      </w:r>
      <w:r w:rsidR="00662E28" w:rsidRPr="0000395E">
        <w:rPr>
          <w:rStyle w:val="normaltextrun"/>
          <w:rFonts w:ascii="Calibri" w:hAnsi="Calibri" w:cs="Calibri"/>
          <w:color w:val="000000"/>
          <w:bdr w:val="none" w:sz="0" w:space="0" w:color="auto" w:frame="1"/>
          <w:lang w:val="en-US"/>
        </w:rPr>
        <w:t>ta</w:t>
      </w:r>
      <w:r w:rsidR="00AE5C27" w:rsidRPr="0000395E">
        <w:rPr>
          <w:rStyle w:val="normaltextrun"/>
          <w:rFonts w:ascii="Calibri" w:hAnsi="Calibri" w:cs="Calibri"/>
          <w:color w:val="000000"/>
          <w:bdr w:val="none" w:sz="0" w:space="0" w:color="auto" w:frame="1"/>
          <w:lang w:val="en-US"/>
        </w:rPr>
        <w:t xml:space="preserve">ble items </w:t>
      </w:r>
      <w:r w:rsidR="001402D8" w:rsidRPr="0000395E">
        <w:rPr>
          <w:rStyle w:val="normaltextrun"/>
          <w:rFonts w:ascii="Calibri" w:hAnsi="Calibri" w:cs="Calibri"/>
          <w:color w:val="000000"/>
          <w:bdr w:val="none" w:sz="0" w:space="0" w:color="auto" w:frame="1"/>
          <w:lang w:val="en-US"/>
        </w:rPr>
        <w:t xml:space="preserve">22B, </w:t>
      </w:r>
      <w:r w:rsidR="00763FA0" w:rsidRPr="0000395E">
        <w:rPr>
          <w:rStyle w:val="normaltextrun"/>
          <w:rFonts w:ascii="Calibri" w:hAnsi="Calibri" w:cs="Calibri"/>
          <w:color w:val="000000"/>
          <w:bdr w:val="none" w:sz="0" w:space="0" w:color="auto" w:frame="1"/>
          <w:lang w:val="en-US"/>
        </w:rPr>
        <w:t xml:space="preserve">45AA, </w:t>
      </w:r>
      <w:r w:rsidR="00A57153" w:rsidRPr="0000395E">
        <w:rPr>
          <w:rStyle w:val="normaltextrun"/>
          <w:rFonts w:ascii="Calibri" w:hAnsi="Calibri" w:cs="Calibri"/>
          <w:color w:val="000000"/>
          <w:bdr w:val="none" w:sz="0" w:space="0" w:color="auto" w:frame="1"/>
          <w:lang w:val="en-US"/>
        </w:rPr>
        <w:t xml:space="preserve">48A, </w:t>
      </w:r>
      <w:r w:rsidR="00BB6EBE" w:rsidRPr="0000395E">
        <w:rPr>
          <w:rStyle w:val="normaltextrun"/>
          <w:rFonts w:ascii="Calibri" w:hAnsi="Calibri" w:cs="Calibri"/>
          <w:color w:val="000000"/>
          <w:bdr w:val="none" w:sz="0" w:space="0" w:color="auto" w:frame="1"/>
          <w:lang w:val="en-US"/>
        </w:rPr>
        <w:t xml:space="preserve">50A and </w:t>
      </w:r>
      <w:r w:rsidR="00A57153" w:rsidRPr="0000395E">
        <w:rPr>
          <w:rStyle w:val="normaltextrun"/>
          <w:rFonts w:ascii="Calibri" w:hAnsi="Calibri" w:cs="Calibri"/>
          <w:color w:val="000000"/>
          <w:bdr w:val="none" w:sz="0" w:space="0" w:color="auto" w:frame="1"/>
          <w:lang w:val="en-US"/>
        </w:rPr>
        <w:t>63A</w:t>
      </w:r>
      <w:r w:rsidR="00BB6EBE" w:rsidRPr="0000395E">
        <w:rPr>
          <w:rStyle w:val="normaltextrun"/>
          <w:rFonts w:ascii="Calibri" w:hAnsi="Calibri" w:cs="Calibri"/>
          <w:color w:val="000000"/>
          <w:bdr w:val="none" w:sz="0" w:space="0" w:color="auto" w:frame="1"/>
          <w:lang w:val="en-US"/>
        </w:rPr>
        <w:t xml:space="preserve">. </w:t>
      </w:r>
      <w:r w:rsidR="008D2C6D" w:rsidRPr="0000395E">
        <w:rPr>
          <w:rStyle w:val="normaltextrun"/>
          <w:rFonts w:ascii="Calibri" w:hAnsi="Calibri" w:cs="Calibri"/>
          <w:color w:val="000000"/>
          <w:bdr w:val="none" w:sz="0" w:space="0" w:color="auto" w:frame="1"/>
          <w:lang w:val="en-US"/>
        </w:rPr>
        <w:t xml:space="preserve">Those table items were inserted, with effect from 29 August 2017, by </w:t>
      </w:r>
      <w:r w:rsidR="00646781" w:rsidRPr="0000395E">
        <w:rPr>
          <w:rStyle w:val="normaltextrun"/>
          <w:rFonts w:ascii="Calibri" w:hAnsi="Calibri" w:cs="Calibri"/>
          <w:color w:val="000000"/>
          <w:bdr w:val="none" w:sz="0" w:space="0" w:color="auto" w:frame="1"/>
          <w:lang w:val="en-US"/>
        </w:rPr>
        <w:t xml:space="preserve">the </w:t>
      </w:r>
      <w:r w:rsidR="00646781" w:rsidRPr="0000395E">
        <w:rPr>
          <w:rStyle w:val="normaltextrun"/>
          <w:rFonts w:ascii="Calibri" w:hAnsi="Calibri" w:cs="Calibri"/>
          <w:i/>
          <w:color w:val="000000"/>
          <w:bdr w:val="none" w:sz="0" w:space="0" w:color="auto" w:frame="1"/>
          <w:lang w:val="en-US"/>
        </w:rPr>
        <w:t>Legislation (Exemptions and Other Matters) Amendment (Sunsetting Exemptions) Regulations 2017</w:t>
      </w:r>
      <w:r w:rsidR="00646781" w:rsidRPr="0000395E">
        <w:rPr>
          <w:rStyle w:val="normaltextrun"/>
          <w:rFonts w:ascii="Calibri" w:hAnsi="Calibri" w:cs="Calibri"/>
          <w:color w:val="000000"/>
          <w:bdr w:val="none" w:sz="0" w:space="0" w:color="auto" w:frame="1"/>
          <w:lang w:val="en-US"/>
        </w:rPr>
        <w:t xml:space="preserve">, Schedule 1, </w:t>
      </w:r>
      <w:r w:rsidR="008D2C6D" w:rsidRPr="0000395E">
        <w:rPr>
          <w:rStyle w:val="normaltextrun"/>
          <w:rFonts w:ascii="Calibri" w:hAnsi="Calibri" w:cs="Calibri"/>
          <w:color w:val="000000"/>
          <w:bdr w:val="none" w:sz="0" w:space="0" w:color="auto" w:frame="1"/>
          <w:lang w:val="en-US"/>
        </w:rPr>
        <w:t xml:space="preserve">items </w:t>
      </w:r>
      <w:r w:rsidR="00C04A15" w:rsidRPr="0000395E">
        <w:rPr>
          <w:rStyle w:val="normaltextrun"/>
          <w:rFonts w:ascii="Calibri" w:hAnsi="Calibri" w:cs="Calibri"/>
          <w:color w:val="000000"/>
          <w:bdr w:val="none" w:sz="0" w:space="0" w:color="auto" w:frame="1"/>
          <w:lang w:val="en-US"/>
        </w:rPr>
        <w:t xml:space="preserve">6, </w:t>
      </w:r>
      <w:r w:rsidR="00015D59" w:rsidRPr="0000395E">
        <w:rPr>
          <w:rStyle w:val="normaltextrun"/>
          <w:rFonts w:ascii="Calibri" w:hAnsi="Calibri" w:cs="Calibri"/>
          <w:color w:val="000000"/>
          <w:bdr w:val="none" w:sz="0" w:space="0" w:color="auto" w:frame="1"/>
          <w:lang w:val="en-US"/>
        </w:rPr>
        <w:t xml:space="preserve">11, </w:t>
      </w:r>
      <w:r w:rsidR="008D2C6D" w:rsidRPr="0000395E">
        <w:rPr>
          <w:rStyle w:val="normaltextrun"/>
          <w:rFonts w:ascii="Calibri" w:hAnsi="Calibri" w:cs="Calibri"/>
          <w:color w:val="000000"/>
          <w:bdr w:val="none" w:sz="0" w:space="0" w:color="auto" w:frame="1"/>
          <w:lang w:val="en-US"/>
        </w:rPr>
        <w:t>12</w:t>
      </w:r>
      <w:r w:rsidR="00015D59" w:rsidRPr="0000395E">
        <w:rPr>
          <w:rStyle w:val="normaltextrun"/>
          <w:rFonts w:ascii="Calibri" w:hAnsi="Calibri" w:cs="Calibri"/>
          <w:color w:val="000000"/>
          <w:bdr w:val="none" w:sz="0" w:space="0" w:color="auto" w:frame="1"/>
          <w:lang w:val="en-US"/>
        </w:rPr>
        <w:t>, 13</w:t>
      </w:r>
      <w:r w:rsidR="008D2C6D" w:rsidRPr="0000395E">
        <w:rPr>
          <w:rStyle w:val="normaltextrun"/>
          <w:rFonts w:ascii="Calibri" w:hAnsi="Calibri" w:cs="Calibri"/>
          <w:color w:val="000000"/>
          <w:bdr w:val="none" w:sz="0" w:space="0" w:color="auto" w:frame="1"/>
          <w:lang w:val="en-US"/>
        </w:rPr>
        <w:t xml:space="preserve"> and 15</w:t>
      </w:r>
      <w:r w:rsidR="001A5891" w:rsidRPr="0000395E">
        <w:rPr>
          <w:rStyle w:val="normaltextrun"/>
          <w:rFonts w:ascii="Calibri" w:hAnsi="Calibri" w:cs="Calibri"/>
          <w:color w:val="000000"/>
          <w:bdr w:val="none" w:sz="0" w:space="0" w:color="auto" w:frame="1"/>
          <w:lang w:val="en-US"/>
        </w:rPr>
        <w:t xml:space="preserve"> (2017 Amendment Regulations)</w:t>
      </w:r>
      <w:r w:rsidR="00646781" w:rsidRPr="0000395E">
        <w:rPr>
          <w:rStyle w:val="normaltextrun"/>
          <w:rFonts w:ascii="Calibri" w:hAnsi="Calibri" w:cs="Calibri"/>
          <w:color w:val="000000"/>
          <w:bdr w:val="none" w:sz="0" w:space="0" w:color="auto" w:frame="1"/>
          <w:lang w:val="en-US"/>
        </w:rPr>
        <w:t xml:space="preserve">. </w:t>
      </w:r>
      <w:r w:rsidR="00607A1C" w:rsidRPr="0000395E">
        <w:rPr>
          <w:rStyle w:val="normaltextrun"/>
          <w:rFonts w:ascii="Calibri" w:hAnsi="Calibri" w:cs="Calibri"/>
          <w:color w:val="000000"/>
          <w:bdr w:val="none" w:sz="0" w:space="0" w:color="auto" w:frame="1"/>
          <w:lang w:val="en-US"/>
        </w:rPr>
        <w:t xml:space="preserve">The </w:t>
      </w:r>
      <w:r w:rsidR="00E002DA" w:rsidRPr="0000395E">
        <w:rPr>
          <w:rStyle w:val="normaltextrun"/>
          <w:rFonts w:ascii="Calibri" w:hAnsi="Calibri" w:cs="Calibri"/>
          <w:color w:val="000000"/>
          <w:bdr w:val="none" w:sz="0" w:space="0" w:color="auto" w:frame="1"/>
          <w:lang w:val="en-US"/>
        </w:rPr>
        <w:t xml:space="preserve">notes on those items in the </w:t>
      </w:r>
      <w:r w:rsidR="00E65C6D" w:rsidRPr="0000395E">
        <w:rPr>
          <w:rStyle w:val="normaltextrun"/>
          <w:rFonts w:ascii="Calibri" w:hAnsi="Calibri" w:cs="Calibri"/>
          <w:color w:val="000000"/>
          <w:bdr w:val="none" w:sz="0" w:space="0" w:color="auto" w:frame="1"/>
          <w:lang w:val="en-US"/>
        </w:rPr>
        <w:t xml:space="preserve">explanatory </w:t>
      </w:r>
      <w:r w:rsidR="000508E5" w:rsidRPr="0000395E">
        <w:rPr>
          <w:rStyle w:val="normaltextrun"/>
          <w:rFonts w:ascii="Calibri" w:hAnsi="Calibri" w:cs="Calibri"/>
          <w:color w:val="000000"/>
          <w:bdr w:val="none" w:sz="0" w:space="0" w:color="auto" w:frame="1"/>
          <w:lang w:val="en-US"/>
        </w:rPr>
        <w:t xml:space="preserve">statement to the 2017 Amendment Regulations </w:t>
      </w:r>
      <w:r w:rsidR="00A05BE5" w:rsidRPr="0000395E">
        <w:rPr>
          <w:rStyle w:val="normaltextrun"/>
          <w:rFonts w:ascii="Calibri" w:hAnsi="Calibri" w:cs="Calibri"/>
          <w:color w:val="000000"/>
          <w:bdr w:val="none" w:sz="0" w:space="0" w:color="auto" w:frame="1"/>
          <w:lang w:val="en-US"/>
        </w:rPr>
        <w:t>detail</w:t>
      </w:r>
      <w:r w:rsidR="00484A7E" w:rsidRPr="0000395E">
        <w:rPr>
          <w:rStyle w:val="normaltextrun"/>
          <w:rFonts w:ascii="Calibri" w:hAnsi="Calibri" w:cs="Calibri"/>
          <w:color w:val="000000"/>
          <w:bdr w:val="none" w:sz="0" w:space="0" w:color="auto" w:frame="1"/>
          <w:lang w:val="en-US"/>
        </w:rPr>
        <w:t xml:space="preserve"> the justificat</w:t>
      </w:r>
      <w:r w:rsidR="004F1923" w:rsidRPr="0000395E">
        <w:rPr>
          <w:rStyle w:val="normaltextrun"/>
          <w:rFonts w:ascii="Calibri" w:hAnsi="Calibri" w:cs="Calibri"/>
          <w:color w:val="000000"/>
          <w:bdr w:val="none" w:sz="0" w:space="0" w:color="auto" w:frame="1"/>
          <w:lang w:val="en-US"/>
        </w:rPr>
        <w:t>ion for th</w:t>
      </w:r>
      <w:r w:rsidR="00A05BE5" w:rsidRPr="0000395E">
        <w:rPr>
          <w:rStyle w:val="normaltextrun"/>
          <w:rFonts w:ascii="Calibri" w:hAnsi="Calibri" w:cs="Calibri"/>
          <w:color w:val="000000"/>
          <w:bdr w:val="none" w:sz="0" w:space="0" w:color="auto" w:frame="1"/>
          <w:lang w:val="en-US"/>
        </w:rPr>
        <w:t>os</w:t>
      </w:r>
      <w:r w:rsidR="004F1923" w:rsidRPr="0000395E">
        <w:rPr>
          <w:rStyle w:val="normaltextrun"/>
          <w:rFonts w:ascii="Calibri" w:hAnsi="Calibri" w:cs="Calibri"/>
          <w:color w:val="000000"/>
          <w:bdr w:val="none" w:sz="0" w:space="0" w:color="auto" w:frame="1"/>
          <w:lang w:val="en-US"/>
        </w:rPr>
        <w:t>e ex</w:t>
      </w:r>
      <w:r w:rsidR="006F6F44" w:rsidRPr="0000395E">
        <w:rPr>
          <w:rStyle w:val="normaltextrun"/>
          <w:rFonts w:ascii="Calibri" w:hAnsi="Calibri" w:cs="Calibri"/>
          <w:color w:val="000000"/>
          <w:bdr w:val="none" w:sz="0" w:space="0" w:color="auto" w:frame="1"/>
          <w:lang w:val="en-US"/>
        </w:rPr>
        <w:t>emption</w:t>
      </w:r>
      <w:r w:rsidR="00A05BE5" w:rsidRPr="0000395E">
        <w:rPr>
          <w:rStyle w:val="normaltextrun"/>
          <w:rFonts w:ascii="Calibri" w:hAnsi="Calibri" w:cs="Calibri"/>
          <w:color w:val="000000"/>
          <w:bdr w:val="none" w:sz="0" w:space="0" w:color="auto" w:frame="1"/>
          <w:lang w:val="en-US"/>
        </w:rPr>
        <w:t>s.</w:t>
      </w:r>
      <w:r w:rsidR="006F6F44" w:rsidRPr="0000395E">
        <w:rPr>
          <w:rStyle w:val="normaltextrun"/>
          <w:rFonts w:ascii="Calibri" w:hAnsi="Calibri" w:cs="Calibri"/>
          <w:color w:val="000000"/>
          <w:bdr w:val="none" w:sz="0" w:space="0" w:color="auto" w:frame="1"/>
          <w:lang w:val="en-US"/>
        </w:rPr>
        <w:t xml:space="preserve"> </w:t>
      </w:r>
      <w:r w:rsidR="00304E3D" w:rsidRPr="0000395E">
        <w:rPr>
          <w:rStyle w:val="normaltextrun"/>
          <w:rFonts w:ascii="Calibri" w:hAnsi="Calibri" w:cs="Calibri"/>
          <w:color w:val="000000"/>
          <w:bdr w:val="none" w:sz="0" w:space="0" w:color="auto" w:frame="1"/>
          <w:lang w:val="en-US"/>
        </w:rPr>
        <w:t xml:space="preserve">The </w:t>
      </w:r>
      <w:r w:rsidR="009A6350" w:rsidRPr="0000395E">
        <w:rPr>
          <w:rStyle w:val="normaltextrun"/>
          <w:rFonts w:ascii="Calibri" w:hAnsi="Calibri" w:cs="Calibri"/>
          <w:color w:val="000000"/>
          <w:bdr w:val="none" w:sz="0" w:space="0" w:color="auto" w:frame="1"/>
          <w:lang w:val="en-US"/>
        </w:rPr>
        <w:t xml:space="preserve">explanatory statement can be found at </w:t>
      </w:r>
      <w:r w:rsidR="00F4645B" w:rsidRPr="003A7C1D">
        <w:t>https://www.legislation.gov.au/F2017L01093/asmade/text/explanatory-statement</w:t>
      </w:r>
      <w:r w:rsidR="00F4645B" w:rsidRPr="0000395E">
        <w:t>.</w:t>
      </w:r>
    </w:p>
    <w:p w14:paraId="56B305D1" w14:textId="4621FCD4" w:rsidR="00435B07" w:rsidRPr="0000395E" w:rsidRDefault="00D66ED1" w:rsidP="00435B07">
      <w:pPr>
        <w:autoSpaceDE w:val="0"/>
        <w:autoSpaceDN w:val="0"/>
        <w:spacing w:before="160" w:after="0" w:line="252" w:lineRule="auto"/>
        <w:rPr>
          <w:rStyle w:val="normaltextrun"/>
          <w:rFonts w:ascii="Calibri" w:hAnsi="Calibri" w:cs="Calibri"/>
          <w:color w:val="000000"/>
          <w:bdr w:val="none" w:sz="0" w:space="0" w:color="auto" w:frame="1"/>
          <w:lang w:val="en-US"/>
        </w:rPr>
      </w:pPr>
      <w:r w:rsidRPr="0000395E">
        <w:rPr>
          <w:rStyle w:val="normaltextrun"/>
          <w:rFonts w:ascii="Calibri" w:hAnsi="Calibri" w:cs="Calibri"/>
          <w:color w:val="000000"/>
          <w:bdr w:val="none" w:sz="0" w:space="0" w:color="auto" w:frame="1"/>
          <w:lang w:val="en-US"/>
        </w:rPr>
        <w:t xml:space="preserve">In summary, </w:t>
      </w:r>
      <w:r w:rsidR="0053512E" w:rsidRPr="0000395E">
        <w:rPr>
          <w:rStyle w:val="normaltextrun"/>
          <w:rFonts w:ascii="Calibri" w:hAnsi="Calibri" w:cs="Calibri"/>
          <w:color w:val="000000"/>
          <w:bdr w:val="none" w:sz="0" w:space="0" w:color="auto" w:frame="1"/>
          <w:lang w:val="en-US"/>
        </w:rPr>
        <w:t>the Acts</w:t>
      </w:r>
      <w:r w:rsidR="00FE67F1" w:rsidRPr="0000395E">
        <w:rPr>
          <w:rStyle w:val="normaltextrun"/>
          <w:rFonts w:ascii="Calibri" w:hAnsi="Calibri" w:cs="Calibri"/>
          <w:color w:val="000000"/>
          <w:bdr w:val="none" w:sz="0" w:space="0" w:color="auto" w:frame="1"/>
          <w:lang w:val="en-US"/>
        </w:rPr>
        <w:t>,</w:t>
      </w:r>
      <w:r w:rsidR="0053512E" w:rsidRPr="0000395E">
        <w:rPr>
          <w:rStyle w:val="normaltextrun"/>
          <w:rFonts w:ascii="Calibri" w:hAnsi="Calibri" w:cs="Calibri"/>
          <w:color w:val="000000"/>
          <w:bdr w:val="none" w:sz="0" w:space="0" w:color="auto" w:frame="1"/>
          <w:lang w:val="en-US"/>
        </w:rPr>
        <w:t xml:space="preserve"> </w:t>
      </w:r>
      <w:r w:rsidR="008E21AD" w:rsidRPr="0000395E">
        <w:rPr>
          <w:rStyle w:val="normaltextrun"/>
          <w:rFonts w:ascii="Calibri" w:hAnsi="Calibri" w:cs="Calibri"/>
          <w:color w:val="000000"/>
          <w:bdr w:val="none" w:sz="0" w:space="0" w:color="auto" w:frame="1"/>
          <w:lang w:val="en-US"/>
        </w:rPr>
        <w:t xml:space="preserve">and the </w:t>
      </w:r>
      <w:r w:rsidR="00147621" w:rsidRPr="0000395E">
        <w:rPr>
          <w:rStyle w:val="normaltextrun"/>
          <w:rFonts w:ascii="Calibri" w:hAnsi="Calibri" w:cs="Calibri"/>
          <w:color w:val="000000"/>
          <w:bdr w:val="none" w:sz="0" w:space="0" w:color="auto" w:frame="1"/>
          <w:lang w:val="en-US"/>
        </w:rPr>
        <w:t>r</w:t>
      </w:r>
      <w:r w:rsidR="009F108D" w:rsidRPr="0000395E">
        <w:rPr>
          <w:rStyle w:val="normaltextrun"/>
          <w:rFonts w:ascii="Calibri" w:hAnsi="Calibri" w:cs="Calibri"/>
          <w:color w:val="000000"/>
          <w:bdr w:val="none" w:sz="0" w:space="0" w:color="auto" w:frame="1"/>
          <w:lang w:val="en-US"/>
        </w:rPr>
        <w:t>egulation</w:t>
      </w:r>
      <w:r w:rsidR="000F5C31" w:rsidRPr="0000395E">
        <w:rPr>
          <w:rStyle w:val="normaltextrun"/>
          <w:rFonts w:ascii="Calibri" w:hAnsi="Calibri" w:cs="Calibri"/>
          <w:color w:val="000000"/>
          <w:bdr w:val="none" w:sz="0" w:space="0" w:color="auto" w:frame="1"/>
          <w:lang w:val="en-US"/>
        </w:rPr>
        <w:t>s</w:t>
      </w:r>
      <w:r w:rsidR="009F108D" w:rsidRPr="0000395E">
        <w:rPr>
          <w:rStyle w:val="normaltextrun"/>
          <w:rFonts w:ascii="Calibri" w:hAnsi="Calibri" w:cs="Calibri"/>
          <w:color w:val="000000"/>
          <w:bdr w:val="none" w:sz="0" w:space="0" w:color="auto" w:frame="1"/>
          <w:lang w:val="en-US"/>
        </w:rPr>
        <w:t xml:space="preserve"> made under them</w:t>
      </w:r>
      <w:r w:rsidR="00FE67F1" w:rsidRPr="0000395E">
        <w:rPr>
          <w:rStyle w:val="normaltextrun"/>
          <w:rFonts w:ascii="Calibri" w:hAnsi="Calibri" w:cs="Calibri"/>
          <w:color w:val="000000"/>
          <w:bdr w:val="none" w:sz="0" w:space="0" w:color="auto" w:frame="1"/>
          <w:lang w:val="en-US"/>
        </w:rPr>
        <w:t>,</w:t>
      </w:r>
      <w:r w:rsidR="009F108D" w:rsidRPr="0000395E">
        <w:rPr>
          <w:rStyle w:val="normaltextrun"/>
          <w:rFonts w:ascii="Calibri" w:hAnsi="Calibri" w:cs="Calibri"/>
          <w:color w:val="000000"/>
          <w:bdr w:val="none" w:sz="0" w:space="0" w:color="auto" w:frame="1"/>
          <w:lang w:val="en-US"/>
        </w:rPr>
        <w:t xml:space="preserve"> </w:t>
      </w:r>
      <w:r w:rsidR="00590387" w:rsidRPr="0000395E">
        <w:rPr>
          <w:rStyle w:val="normaltextrun"/>
          <w:rFonts w:ascii="Calibri" w:hAnsi="Calibri" w:cs="Calibri"/>
          <w:color w:val="000000"/>
          <w:bdr w:val="none" w:sz="0" w:space="0" w:color="auto" w:frame="1"/>
          <w:lang w:val="en-US"/>
        </w:rPr>
        <w:t xml:space="preserve">provide </w:t>
      </w:r>
      <w:r w:rsidR="003E7DE8" w:rsidRPr="0000395E">
        <w:rPr>
          <w:rStyle w:val="normaltextrun"/>
          <w:rFonts w:ascii="Calibri" w:hAnsi="Calibri" w:cs="Calibri"/>
          <w:color w:val="000000"/>
          <w:bdr w:val="none" w:sz="0" w:space="0" w:color="auto" w:frame="1"/>
          <w:lang w:val="en-US"/>
        </w:rPr>
        <w:t xml:space="preserve">the legislative basis for </w:t>
      </w:r>
      <w:r w:rsidR="00EF6721" w:rsidRPr="0000395E">
        <w:rPr>
          <w:rStyle w:val="normaltextrun"/>
          <w:rFonts w:ascii="Calibri" w:hAnsi="Calibri" w:cs="Calibri"/>
          <w:color w:val="000000"/>
          <w:bdr w:val="none" w:sz="0" w:space="0" w:color="auto" w:frame="1"/>
          <w:lang w:val="en-US"/>
        </w:rPr>
        <w:t xml:space="preserve">registered </w:t>
      </w:r>
      <w:r w:rsidR="007F6E11" w:rsidRPr="0000395E">
        <w:rPr>
          <w:rStyle w:val="normaltextrun"/>
          <w:rFonts w:ascii="Calibri" w:hAnsi="Calibri" w:cs="Calibri"/>
          <w:color w:val="000000"/>
          <w:bdr w:val="none" w:sz="0" w:space="0" w:color="auto" w:frame="1"/>
          <w:lang w:val="en-US"/>
        </w:rPr>
        <w:t>intellectual property rights</w:t>
      </w:r>
      <w:r w:rsidR="00EF6721" w:rsidRPr="0000395E">
        <w:rPr>
          <w:rStyle w:val="normaltextrun"/>
          <w:rFonts w:ascii="Calibri" w:hAnsi="Calibri" w:cs="Calibri"/>
          <w:color w:val="000000"/>
          <w:bdr w:val="none" w:sz="0" w:space="0" w:color="auto" w:frame="1"/>
          <w:lang w:val="en-US"/>
        </w:rPr>
        <w:t xml:space="preserve"> </w:t>
      </w:r>
      <w:r w:rsidR="007E57C9" w:rsidRPr="0000395E">
        <w:rPr>
          <w:rStyle w:val="normaltextrun"/>
          <w:rFonts w:ascii="Calibri" w:hAnsi="Calibri" w:cs="Calibri"/>
          <w:color w:val="000000"/>
          <w:bdr w:val="none" w:sz="0" w:space="0" w:color="auto" w:frame="1"/>
          <w:lang w:val="en-US"/>
        </w:rPr>
        <w:t xml:space="preserve">(IPR) </w:t>
      </w:r>
      <w:r w:rsidR="00EF6721" w:rsidRPr="0000395E">
        <w:rPr>
          <w:rStyle w:val="normaltextrun"/>
          <w:rFonts w:ascii="Calibri" w:hAnsi="Calibri" w:cs="Calibri"/>
          <w:color w:val="000000"/>
          <w:bdr w:val="none" w:sz="0" w:space="0" w:color="auto" w:frame="1"/>
          <w:lang w:val="en-US"/>
        </w:rPr>
        <w:t xml:space="preserve">in Australia. </w:t>
      </w:r>
      <w:r w:rsidR="00435B07" w:rsidRPr="0000395E">
        <w:rPr>
          <w:rStyle w:val="normaltextrun"/>
          <w:rFonts w:ascii="Calibri" w:hAnsi="Calibri" w:cs="Calibri"/>
          <w:color w:val="000000"/>
          <w:bdr w:val="none" w:sz="0" w:space="0" w:color="auto" w:frame="1"/>
          <w:lang w:val="en-US"/>
        </w:rPr>
        <w:t>These are designed to provide a stable and predictable regulatory environment for IPR so that businesses can make commercial decisions with confidence and recoup their long-term investments in innovation.</w:t>
      </w:r>
    </w:p>
    <w:p w14:paraId="7ED866C9" w14:textId="20ED37BF" w:rsidR="007B0F32" w:rsidRDefault="00435B07" w:rsidP="00435B07">
      <w:pPr>
        <w:autoSpaceDE w:val="0"/>
        <w:autoSpaceDN w:val="0"/>
        <w:spacing w:before="160" w:after="0" w:line="252" w:lineRule="auto"/>
        <w:rPr>
          <w:rStyle w:val="normaltextrun"/>
          <w:rFonts w:ascii="Calibri" w:hAnsi="Calibri" w:cs="Calibri"/>
          <w:color w:val="000000"/>
          <w:bdr w:val="none" w:sz="0" w:space="0" w:color="auto" w:frame="1"/>
          <w:lang w:val="en-US"/>
        </w:rPr>
      </w:pPr>
      <w:r w:rsidRPr="0000395E">
        <w:rPr>
          <w:rStyle w:val="normaltextrun"/>
          <w:rFonts w:ascii="Calibri" w:hAnsi="Calibri" w:cs="Calibri"/>
          <w:color w:val="000000"/>
          <w:bdr w:val="none" w:sz="0" w:space="0" w:color="auto" w:frame="1"/>
          <w:lang w:val="en-US"/>
        </w:rPr>
        <w:t>IP rights often last much longer than the 10</w:t>
      </w:r>
      <w:r w:rsidR="007554AA" w:rsidRPr="0000395E">
        <w:rPr>
          <w:rStyle w:val="normaltextrun"/>
          <w:rFonts w:ascii="Calibri" w:hAnsi="Calibri" w:cs="Calibri"/>
          <w:color w:val="000000"/>
          <w:bdr w:val="none" w:sz="0" w:space="0" w:color="auto" w:frame="1"/>
          <w:lang w:val="en-US"/>
        </w:rPr>
        <w:t>-</w:t>
      </w:r>
      <w:r w:rsidRPr="0000395E">
        <w:rPr>
          <w:rStyle w:val="normaltextrun"/>
          <w:rFonts w:ascii="Calibri" w:hAnsi="Calibri" w:cs="Calibri"/>
          <w:color w:val="000000"/>
          <w:bdr w:val="none" w:sz="0" w:space="0" w:color="auto" w:frame="1"/>
          <w:lang w:val="en-US"/>
        </w:rPr>
        <w:t>year sunsetting period. For example, patent rights can be maintained for up to 20</w:t>
      </w:r>
      <w:r w:rsidR="007554AA" w:rsidRPr="0000395E">
        <w:rPr>
          <w:rStyle w:val="normaltextrun"/>
          <w:rFonts w:ascii="Calibri" w:hAnsi="Calibri" w:cs="Calibri"/>
          <w:color w:val="000000"/>
          <w:bdr w:val="none" w:sz="0" w:space="0" w:color="auto" w:frame="1"/>
          <w:lang w:val="en-US"/>
        </w:rPr>
        <w:t xml:space="preserve"> to </w:t>
      </w:r>
      <w:r w:rsidRPr="0000395E">
        <w:rPr>
          <w:rStyle w:val="normaltextrun"/>
          <w:rFonts w:ascii="Calibri" w:hAnsi="Calibri" w:cs="Calibri"/>
          <w:color w:val="000000"/>
          <w:bdr w:val="none" w:sz="0" w:space="0" w:color="auto" w:frame="1"/>
          <w:lang w:val="en-US"/>
        </w:rPr>
        <w:t xml:space="preserve">25 years while trade mark registrations can be held in perpetuity, with over a third of Australian </w:t>
      </w:r>
      <w:proofErr w:type="spellStart"/>
      <w:r w:rsidRPr="0000395E">
        <w:rPr>
          <w:rStyle w:val="normaltextrun"/>
          <w:rFonts w:ascii="Calibri" w:hAnsi="Calibri" w:cs="Calibri"/>
          <w:color w:val="000000"/>
          <w:bdr w:val="none" w:sz="0" w:space="0" w:color="auto" w:frame="1"/>
          <w:lang w:val="en-US"/>
        </w:rPr>
        <w:t>trade marks</w:t>
      </w:r>
      <w:proofErr w:type="spellEnd"/>
      <w:r w:rsidRPr="0000395E">
        <w:rPr>
          <w:rStyle w:val="normaltextrun"/>
          <w:rFonts w:ascii="Calibri" w:hAnsi="Calibri" w:cs="Calibri"/>
          <w:color w:val="000000"/>
          <w:bdr w:val="none" w:sz="0" w:space="0" w:color="auto" w:frame="1"/>
          <w:lang w:val="en-US"/>
        </w:rPr>
        <w:t xml:space="preserve"> held for 20 years or longer. The possibility that the regulations underpinning the IP rights system could sunset during this time exposes investors and businesses to significant uncertainty.</w:t>
      </w:r>
    </w:p>
    <w:p w14:paraId="0D684F83" w14:textId="77777777" w:rsidR="00040526" w:rsidRPr="00FC2443" w:rsidRDefault="00040526" w:rsidP="007E2F9F">
      <w:pPr>
        <w:spacing w:before="160" w:after="0"/>
        <w:rPr>
          <w:rFonts w:eastAsia="Times New Roman" w:cstheme="minorHAnsi"/>
          <w:b/>
          <w:bCs/>
          <w:color w:val="000000" w:themeColor="text1"/>
          <w:kern w:val="0"/>
          <w:u w:val="single"/>
          <w:lang w:eastAsia="en-AU"/>
        </w:rPr>
      </w:pPr>
      <w:r w:rsidRPr="00FC2443">
        <w:rPr>
          <w:rFonts w:cstheme="minorHAnsi"/>
          <w:b/>
          <w:bCs/>
          <w:color w:val="000000" w:themeColor="text1"/>
          <w:u w:val="single"/>
        </w:rPr>
        <w:br w:type="page"/>
      </w:r>
    </w:p>
    <w:p w14:paraId="19098826" w14:textId="01527BF2" w:rsidR="00040526" w:rsidRPr="00FC2443" w:rsidRDefault="0045009B" w:rsidP="00D47610">
      <w:pPr>
        <w:pStyle w:val="NormalWeb"/>
        <w:spacing w:before="160" w:beforeAutospacing="0" w:after="0" w:afterAutospacing="0" w:line="259" w:lineRule="atLeast"/>
        <w:ind w:left="720"/>
        <w:jc w:val="right"/>
        <w:rPr>
          <w:rFonts w:asciiTheme="minorHAnsi" w:hAnsiTheme="minorHAnsi" w:cstheme="minorHAnsi"/>
          <w:b/>
          <w:bCs/>
          <w:color w:val="000000" w:themeColor="text1"/>
          <w:sz w:val="22"/>
          <w:szCs w:val="22"/>
          <w:u w:val="single"/>
        </w:rPr>
      </w:pPr>
      <w:r>
        <w:rPr>
          <w:rFonts w:asciiTheme="minorHAnsi" w:hAnsiTheme="minorHAnsi" w:cstheme="minorHAnsi"/>
          <w:b/>
          <w:bCs/>
          <w:color w:val="000000" w:themeColor="text1"/>
          <w:sz w:val="22"/>
          <w:szCs w:val="22"/>
          <w:u w:val="single"/>
        </w:rPr>
        <w:lastRenderedPageBreak/>
        <w:t>Appendix 1</w:t>
      </w:r>
    </w:p>
    <w:p w14:paraId="3F59EFA4" w14:textId="53790A89" w:rsidR="00040526" w:rsidRPr="004E76B0" w:rsidRDefault="000E03B5" w:rsidP="007E2F9F">
      <w:pPr>
        <w:pStyle w:val="NormalWeb"/>
        <w:spacing w:before="160" w:beforeAutospacing="0" w:after="0" w:afterAutospacing="0" w:line="259" w:lineRule="atLeast"/>
        <w:jc w:val="center"/>
        <w:rPr>
          <w:rFonts w:asciiTheme="minorHAnsi" w:eastAsia="Calibri" w:hAnsiTheme="minorHAnsi" w:cstheme="minorHAnsi"/>
          <w:b/>
          <w:bCs/>
          <w:sz w:val="22"/>
          <w:szCs w:val="22"/>
          <w:u w:val="single"/>
          <w:lang w:val="en-US"/>
        </w:rPr>
      </w:pPr>
      <w:r w:rsidRPr="00FC2443">
        <w:rPr>
          <w:rFonts w:asciiTheme="minorHAnsi" w:eastAsia="Calibri" w:hAnsiTheme="minorHAnsi" w:cstheme="minorHAnsi"/>
          <w:b/>
          <w:bCs/>
          <w:sz w:val="22"/>
          <w:szCs w:val="22"/>
          <w:u w:val="single"/>
          <w:lang w:val="en-US"/>
        </w:rPr>
        <w:t xml:space="preserve">Details of the </w:t>
      </w:r>
      <w:bookmarkStart w:id="5" w:name="_Hlk167115946"/>
      <w:r w:rsidRPr="004E76B0">
        <w:rPr>
          <w:rFonts w:asciiTheme="minorHAnsi" w:eastAsia="Calibri" w:hAnsiTheme="minorHAnsi" w:cstheme="minorHAnsi"/>
          <w:b/>
          <w:bCs/>
          <w:sz w:val="22"/>
          <w:szCs w:val="22"/>
          <w:u w:val="single"/>
          <w:lang w:val="en-US"/>
        </w:rPr>
        <w:t xml:space="preserve">Intellectual Property </w:t>
      </w:r>
      <w:r w:rsidR="00B7608B">
        <w:rPr>
          <w:rFonts w:asciiTheme="minorHAnsi" w:eastAsia="Calibri" w:hAnsiTheme="minorHAnsi" w:cstheme="minorHAnsi"/>
          <w:b/>
          <w:bCs/>
          <w:sz w:val="22"/>
          <w:szCs w:val="22"/>
          <w:u w:val="single"/>
          <w:lang w:val="en-US"/>
        </w:rPr>
        <w:t>Legislation Amendment</w:t>
      </w:r>
      <w:r w:rsidRPr="004E76B0">
        <w:rPr>
          <w:rFonts w:asciiTheme="minorHAnsi" w:eastAsia="Calibri" w:hAnsiTheme="minorHAnsi" w:cstheme="minorHAnsi"/>
          <w:b/>
          <w:bCs/>
          <w:sz w:val="22"/>
          <w:szCs w:val="22"/>
          <w:u w:val="single"/>
          <w:lang w:val="en-US"/>
        </w:rPr>
        <w:t xml:space="preserve"> </w:t>
      </w:r>
      <w:r w:rsidR="00040526" w:rsidRPr="004E76B0">
        <w:rPr>
          <w:rFonts w:asciiTheme="minorHAnsi" w:eastAsia="Calibri" w:hAnsiTheme="minorHAnsi" w:cstheme="minorHAnsi"/>
          <w:b/>
          <w:bCs/>
          <w:sz w:val="22"/>
          <w:szCs w:val="22"/>
          <w:u w:val="single"/>
          <w:lang w:val="en-US"/>
        </w:rPr>
        <w:br/>
      </w:r>
      <w:r w:rsidRPr="004E76B0">
        <w:rPr>
          <w:rFonts w:asciiTheme="minorHAnsi" w:eastAsia="Calibri" w:hAnsiTheme="minorHAnsi" w:cstheme="minorHAnsi"/>
          <w:b/>
          <w:bCs/>
          <w:sz w:val="22"/>
          <w:szCs w:val="22"/>
          <w:u w:val="single"/>
          <w:lang w:val="en-US"/>
        </w:rPr>
        <w:t>(</w:t>
      </w:r>
      <w:r w:rsidR="004E76B0">
        <w:rPr>
          <w:rFonts w:asciiTheme="minorHAnsi" w:eastAsia="Calibri" w:hAnsiTheme="minorHAnsi" w:cstheme="minorHAnsi"/>
          <w:b/>
          <w:bCs/>
          <w:sz w:val="22"/>
          <w:szCs w:val="22"/>
          <w:u w:val="single"/>
          <w:lang w:val="en-US"/>
        </w:rPr>
        <w:t>Fee Amounts and Other Measures</w:t>
      </w:r>
      <w:r w:rsidRPr="004E76B0">
        <w:rPr>
          <w:rFonts w:asciiTheme="minorHAnsi" w:eastAsia="Calibri" w:hAnsiTheme="minorHAnsi" w:cstheme="minorHAnsi"/>
          <w:b/>
          <w:bCs/>
          <w:sz w:val="22"/>
          <w:szCs w:val="22"/>
          <w:u w:val="single"/>
          <w:lang w:val="en-US"/>
        </w:rPr>
        <w:t>) Regulations 2024</w:t>
      </w:r>
      <w:bookmarkEnd w:id="5"/>
    </w:p>
    <w:p w14:paraId="56D9CFD3" w14:textId="55F8A835" w:rsidR="000E03B5" w:rsidRPr="00FC2443" w:rsidRDefault="000E03B5" w:rsidP="007E2F9F">
      <w:pPr>
        <w:pStyle w:val="NormalWeb"/>
        <w:spacing w:before="160" w:beforeAutospacing="0" w:after="0" w:afterAutospacing="0" w:line="259" w:lineRule="atLeast"/>
        <w:rPr>
          <w:rFonts w:asciiTheme="minorHAnsi" w:hAnsiTheme="minorHAnsi" w:cstheme="minorHAnsi"/>
          <w:color w:val="000000"/>
          <w:sz w:val="22"/>
          <w:szCs w:val="22"/>
          <w:u w:val="single"/>
        </w:rPr>
      </w:pPr>
      <w:r w:rsidRPr="00FC2443">
        <w:rPr>
          <w:rFonts w:asciiTheme="minorHAnsi" w:eastAsia="Calibri" w:hAnsiTheme="minorHAnsi" w:cstheme="minorHAnsi"/>
          <w:sz w:val="22"/>
          <w:szCs w:val="22"/>
          <w:u w:val="single"/>
          <w:lang w:val="en-US"/>
        </w:rPr>
        <w:t>Section</w:t>
      </w:r>
      <w:r w:rsidRPr="00FC2443">
        <w:rPr>
          <w:rFonts w:asciiTheme="minorHAnsi" w:eastAsia="Calibri" w:hAnsiTheme="minorHAnsi" w:cstheme="minorHAnsi"/>
          <w:spacing w:val="-1"/>
          <w:sz w:val="22"/>
          <w:szCs w:val="22"/>
          <w:u w:val="single"/>
          <w:lang w:val="en-US"/>
        </w:rPr>
        <w:t xml:space="preserve"> </w:t>
      </w:r>
      <w:r w:rsidRPr="00FC2443">
        <w:rPr>
          <w:rFonts w:asciiTheme="minorHAnsi" w:eastAsia="Calibri" w:hAnsiTheme="minorHAnsi" w:cstheme="minorHAnsi"/>
          <w:sz w:val="22"/>
          <w:szCs w:val="22"/>
          <w:u w:val="single"/>
          <w:lang w:val="en-US"/>
        </w:rPr>
        <w:t>1</w:t>
      </w:r>
      <w:r w:rsidRPr="00FC2443">
        <w:rPr>
          <w:rFonts w:asciiTheme="minorHAnsi" w:eastAsia="Calibri" w:hAnsiTheme="minorHAnsi" w:cstheme="minorHAnsi"/>
          <w:spacing w:val="-1"/>
          <w:sz w:val="22"/>
          <w:szCs w:val="22"/>
          <w:u w:val="single"/>
          <w:lang w:val="en-US"/>
        </w:rPr>
        <w:t xml:space="preserve"> </w:t>
      </w:r>
      <w:r w:rsidRPr="00FC2443">
        <w:rPr>
          <w:rFonts w:asciiTheme="minorHAnsi" w:eastAsia="Calibri" w:hAnsiTheme="minorHAnsi" w:cstheme="minorHAnsi"/>
          <w:sz w:val="22"/>
          <w:szCs w:val="22"/>
          <w:u w:val="single"/>
          <w:lang w:val="en-US"/>
        </w:rPr>
        <w:t>-</w:t>
      </w:r>
      <w:r w:rsidRPr="00FC2443">
        <w:rPr>
          <w:rFonts w:asciiTheme="minorHAnsi" w:eastAsia="Calibri" w:hAnsiTheme="minorHAnsi" w:cstheme="minorHAnsi"/>
          <w:spacing w:val="-2"/>
          <w:sz w:val="22"/>
          <w:szCs w:val="22"/>
          <w:u w:val="single"/>
          <w:lang w:val="en-US"/>
        </w:rPr>
        <w:t xml:space="preserve"> </w:t>
      </w:r>
      <w:r w:rsidRPr="00FC2443">
        <w:rPr>
          <w:rFonts w:asciiTheme="minorHAnsi" w:eastAsia="Calibri" w:hAnsiTheme="minorHAnsi" w:cstheme="minorHAnsi"/>
          <w:sz w:val="22"/>
          <w:szCs w:val="22"/>
          <w:u w:val="single"/>
          <w:lang w:val="en-US"/>
        </w:rPr>
        <w:t>Name</w:t>
      </w:r>
      <w:r w:rsidRPr="00FC2443">
        <w:rPr>
          <w:rFonts w:asciiTheme="minorHAnsi" w:eastAsia="Calibri" w:hAnsiTheme="minorHAnsi" w:cstheme="minorHAnsi"/>
          <w:spacing w:val="-2"/>
          <w:sz w:val="22"/>
          <w:szCs w:val="22"/>
          <w:u w:val="single"/>
          <w:lang w:val="en-US"/>
        </w:rPr>
        <w:t xml:space="preserve"> </w:t>
      </w:r>
      <w:r w:rsidRPr="00FC2443">
        <w:rPr>
          <w:rFonts w:asciiTheme="minorHAnsi" w:eastAsia="Calibri" w:hAnsiTheme="minorHAnsi" w:cstheme="minorHAnsi"/>
          <w:sz w:val="22"/>
          <w:szCs w:val="22"/>
          <w:u w:val="single"/>
          <w:lang w:val="en-US"/>
        </w:rPr>
        <w:t>of</w:t>
      </w:r>
      <w:r w:rsidRPr="00FC2443">
        <w:rPr>
          <w:rFonts w:asciiTheme="minorHAnsi" w:eastAsia="Calibri" w:hAnsiTheme="minorHAnsi" w:cstheme="minorHAnsi"/>
          <w:spacing w:val="-1"/>
          <w:sz w:val="22"/>
          <w:szCs w:val="22"/>
          <w:u w:val="single"/>
          <w:lang w:val="en-US"/>
        </w:rPr>
        <w:t xml:space="preserve"> </w:t>
      </w:r>
      <w:r w:rsidRPr="00FC2443">
        <w:rPr>
          <w:rFonts w:asciiTheme="minorHAnsi" w:eastAsia="Calibri" w:hAnsiTheme="minorHAnsi" w:cstheme="minorHAnsi"/>
          <w:spacing w:val="-2"/>
          <w:sz w:val="22"/>
          <w:szCs w:val="22"/>
          <w:u w:val="single"/>
          <w:lang w:val="en-US"/>
        </w:rPr>
        <w:t>Regulations</w:t>
      </w:r>
    </w:p>
    <w:p w14:paraId="7D06BD65" w14:textId="51A8D953" w:rsidR="000E03B5" w:rsidRPr="00FC2443" w:rsidRDefault="000E03B5" w:rsidP="00472D7B">
      <w:pPr>
        <w:autoSpaceDE w:val="0"/>
        <w:autoSpaceDN w:val="0"/>
        <w:spacing w:before="160" w:after="0" w:line="252" w:lineRule="auto"/>
        <w:rPr>
          <w:rFonts w:eastAsia="Calibri" w:cstheme="minorHAnsi"/>
          <w:lang w:val="en-US"/>
        </w:rPr>
      </w:pPr>
      <w:r w:rsidRPr="00FC2443">
        <w:rPr>
          <w:rFonts w:eastAsia="Calibri" w:cstheme="minorHAnsi"/>
          <w:kern w:val="0"/>
          <w:lang w:val="en-US"/>
        </w:rPr>
        <w:t>This section identif</w:t>
      </w:r>
      <w:r w:rsidR="00D159B6" w:rsidRPr="00FC2443">
        <w:rPr>
          <w:rFonts w:eastAsia="Calibri" w:cstheme="minorHAnsi"/>
          <w:kern w:val="0"/>
          <w:lang w:val="en-US"/>
        </w:rPr>
        <w:t>ies</w:t>
      </w:r>
      <w:r w:rsidRPr="00FC2443">
        <w:rPr>
          <w:rFonts w:eastAsia="Calibri" w:cstheme="minorHAnsi"/>
          <w:kern w:val="0"/>
          <w:lang w:val="en-US"/>
        </w:rPr>
        <w:t xml:space="preserve"> the instrument as the </w:t>
      </w:r>
      <w:r w:rsidR="004E76B0" w:rsidRPr="00DE72AE">
        <w:rPr>
          <w:rFonts w:eastAsia="Calibri" w:cstheme="minorHAnsi"/>
          <w:i/>
          <w:iCs/>
          <w:lang w:val="en-US"/>
        </w:rPr>
        <w:t xml:space="preserve">Intellectual Property </w:t>
      </w:r>
      <w:r w:rsidR="00B7608B">
        <w:rPr>
          <w:rFonts w:eastAsia="Calibri" w:cstheme="minorHAnsi"/>
          <w:i/>
          <w:iCs/>
          <w:lang w:val="en-US"/>
        </w:rPr>
        <w:t>Legislation Amendment</w:t>
      </w:r>
      <w:r w:rsidR="004E76B0" w:rsidRPr="00DE72AE">
        <w:rPr>
          <w:rFonts w:eastAsia="Calibri" w:cstheme="minorHAnsi"/>
          <w:i/>
          <w:iCs/>
          <w:lang w:val="en-US"/>
        </w:rPr>
        <w:t xml:space="preserve"> (Fee Amounts and Other Measures) Regulations 2024</w:t>
      </w:r>
      <w:r w:rsidRPr="00FC2443">
        <w:rPr>
          <w:rFonts w:eastAsia="Calibri" w:cstheme="minorHAnsi"/>
          <w:kern w:val="0"/>
          <w:lang w:val="en-US"/>
        </w:rPr>
        <w:t>.</w:t>
      </w:r>
    </w:p>
    <w:p w14:paraId="069CD38A" w14:textId="77777777" w:rsidR="000E03B5" w:rsidRPr="00FC2443" w:rsidRDefault="000E03B5" w:rsidP="00472D7B">
      <w:pPr>
        <w:autoSpaceDE w:val="0"/>
        <w:autoSpaceDN w:val="0"/>
        <w:spacing w:before="160" w:after="0" w:line="252" w:lineRule="auto"/>
        <w:rPr>
          <w:rFonts w:eastAsia="Calibri" w:cstheme="minorHAnsi"/>
          <w:lang w:val="en-US"/>
        </w:rPr>
      </w:pPr>
      <w:r w:rsidRPr="00FC2443">
        <w:rPr>
          <w:rFonts w:eastAsia="Calibri" w:cstheme="minorHAnsi"/>
          <w:kern w:val="0"/>
          <w:u w:val="single"/>
          <w:lang w:val="en-US"/>
        </w:rPr>
        <w:t>Section</w:t>
      </w:r>
      <w:r w:rsidRPr="00FC2443">
        <w:rPr>
          <w:rFonts w:eastAsia="Calibri" w:cstheme="minorHAnsi"/>
          <w:spacing w:val="-1"/>
          <w:kern w:val="0"/>
          <w:u w:val="single"/>
          <w:lang w:val="en-US"/>
        </w:rPr>
        <w:t xml:space="preserve"> </w:t>
      </w:r>
      <w:r w:rsidRPr="00FC2443">
        <w:rPr>
          <w:rFonts w:eastAsia="Calibri" w:cstheme="minorHAnsi"/>
          <w:kern w:val="0"/>
          <w:u w:val="single"/>
          <w:lang w:val="en-US"/>
        </w:rPr>
        <w:t>2</w:t>
      </w:r>
      <w:r w:rsidRPr="00FC2443">
        <w:rPr>
          <w:rFonts w:eastAsia="Calibri" w:cstheme="minorHAnsi"/>
          <w:spacing w:val="-1"/>
          <w:kern w:val="0"/>
          <w:u w:val="single"/>
          <w:lang w:val="en-US"/>
        </w:rPr>
        <w:t xml:space="preserve"> </w:t>
      </w:r>
      <w:r w:rsidRPr="00FC2443">
        <w:rPr>
          <w:rFonts w:eastAsia="Calibri" w:cstheme="minorHAnsi"/>
          <w:kern w:val="0"/>
          <w:u w:val="single"/>
          <w:lang w:val="en-US"/>
        </w:rPr>
        <w:t>-</w:t>
      </w:r>
      <w:r w:rsidRPr="00FC2443">
        <w:rPr>
          <w:rFonts w:eastAsia="Calibri" w:cstheme="minorHAnsi"/>
          <w:spacing w:val="-1"/>
          <w:kern w:val="0"/>
          <w:u w:val="single"/>
          <w:lang w:val="en-US"/>
        </w:rPr>
        <w:t xml:space="preserve"> </w:t>
      </w:r>
      <w:r w:rsidRPr="00FC2443">
        <w:rPr>
          <w:rFonts w:eastAsia="Calibri" w:cstheme="minorHAnsi"/>
          <w:spacing w:val="-2"/>
          <w:kern w:val="0"/>
          <w:u w:val="single"/>
          <w:lang w:val="en-US"/>
        </w:rPr>
        <w:t>Commencement</w:t>
      </w:r>
    </w:p>
    <w:p w14:paraId="50F15BF8" w14:textId="713186CF" w:rsidR="000F4DA8" w:rsidRPr="000F4DA8" w:rsidRDefault="000F4DA8" w:rsidP="00472D7B">
      <w:pPr>
        <w:autoSpaceDE w:val="0"/>
        <w:autoSpaceDN w:val="0"/>
        <w:spacing w:before="160" w:after="0" w:line="252" w:lineRule="auto"/>
        <w:rPr>
          <w:rFonts w:eastAsia="Calibri" w:cstheme="minorHAnsi"/>
          <w:kern w:val="0"/>
          <w:lang w:val="en-US"/>
        </w:rPr>
      </w:pPr>
      <w:r w:rsidRPr="000F4DA8">
        <w:rPr>
          <w:rFonts w:eastAsia="Calibri" w:cstheme="minorHAnsi"/>
          <w:kern w:val="0"/>
          <w:lang w:val="en-US"/>
        </w:rPr>
        <w:t>This section provide</w:t>
      </w:r>
      <w:r>
        <w:rPr>
          <w:rFonts w:eastAsia="Calibri" w:cstheme="minorHAnsi"/>
          <w:kern w:val="0"/>
          <w:lang w:val="en-US"/>
        </w:rPr>
        <w:t>s</w:t>
      </w:r>
      <w:r w:rsidRPr="000F4DA8">
        <w:rPr>
          <w:rFonts w:eastAsia="Calibri" w:cstheme="minorHAnsi"/>
          <w:kern w:val="0"/>
          <w:lang w:val="en-US"/>
        </w:rPr>
        <w:t xml:space="preserve"> for the Regulations to commence at the later of</w:t>
      </w:r>
      <w:r w:rsidR="00E22DA3">
        <w:rPr>
          <w:rFonts w:eastAsia="Calibri" w:cstheme="minorHAnsi"/>
          <w:kern w:val="0"/>
          <w:lang w:val="en-US"/>
        </w:rPr>
        <w:t xml:space="preserve"> the following</w:t>
      </w:r>
      <w:r w:rsidRPr="000F4DA8">
        <w:rPr>
          <w:rFonts w:eastAsia="Calibri" w:cstheme="minorHAnsi"/>
          <w:kern w:val="0"/>
          <w:lang w:val="en-US"/>
        </w:rPr>
        <w:t>:</w:t>
      </w:r>
    </w:p>
    <w:p w14:paraId="1F68D11F" w14:textId="2161258F" w:rsidR="009D3A10" w:rsidRDefault="009D3A10" w:rsidP="002054C5">
      <w:pPr>
        <w:pStyle w:val="ListParagraph0"/>
        <w:numPr>
          <w:ilvl w:val="0"/>
          <w:numId w:val="1"/>
        </w:numPr>
        <w:autoSpaceDE w:val="0"/>
        <w:autoSpaceDN w:val="0"/>
        <w:spacing w:before="80" w:after="0" w:line="252" w:lineRule="auto"/>
        <w:contextualSpacing w:val="0"/>
        <w:rPr>
          <w:rFonts w:eastAsia="Calibri" w:cstheme="minorHAnsi"/>
          <w:kern w:val="0"/>
          <w:lang w:val="en-US"/>
        </w:rPr>
      </w:pPr>
      <w:r w:rsidRPr="00E22DA3">
        <w:rPr>
          <w:rFonts w:eastAsia="Calibri" w:cstheme="minorHAnsi"/>
          <w:kern w:val="0"/>
          <w:lang w:val="en-US"/>
        </w:rPr>
        <w:t>the 28th day following the day the Regulations are registered in the Federal Register of Legislation</w:t>
      </w:r>
    </w:p>
    <w:p w14:paraId="56620838" w14:textId="1C8D546F" w:rsidR="000F4DA8" w:rsidRPr="00E22DA3" w:rsidRDefault="00E22DA3" w:rsidP="002054C5">
      <w:pPr>
        <w:pStyle w:val="ListParagraph0"/>
        <w:numPr>
          <w:ilvl w:val="0"/>
          <w:numId w:val="1"/>
        </w:numPr>
        <w:autoSpaceDE w:val="0"/>
        <w:autoSpaceDN w:val="0"/>
        <w:spacing w:before="80" w:after="0" w:line="252" w:lineRule="auto"/>
        <w:ind w:left="1077"/>
        <w:contextualSpacing w:val="0"/>
        <w:rPr>
          <w:rFonts w:eastAsia="Calibri" w:cstheme="minorHAnsi"/>
          <w:kern w:val="0"/>
          <w:lang w:val="en-US"/>
        </w:rPr>
      </w:pPr>
      <w:r>
        <w:rPr>
          <w:rFonts w:eastAsia="Calibri" w:cstheme="minorHAnsi"/>
          <w:kern w:val="0"/>
          <w:lang w:val="en-US"/>
        </w:rPr>
        <w:t>1 October</w:t>
      </w:r>
      <w:r w:rsidR="000F4DA8" w:rsidRPr="00E22DA3">
        <w:rPr>
          <w:rFonts w:eastAsia="Calibri" w:cstheme="minorHAnsi"/>
          <w:kern w:val="0"/>
          <w:lang w:val="en-US"/>
        </w:rPr>
        <w:t xml:space="preserve"> 2024</w:t>
      </w:r>
      <w:r w:rsidR="009D3A10">
        <w:rPr>
          <w:rFonts w:eastAsia="Calibri" w:cstheme="minorHAnsi"/>
          <w:kern w:val="0"/>
          <w:lang w:val="en-US"/>
        </w:rPr>
        <w:t>.</w:t>
      </w:r>
    </w:p>
    <w:p w14:paraId="5264C564" w14:textId="16B3D458" w:rsidR="000E03B5" w:rsidRPr="00FC2443" w:rsidRDefault="000E03B5" w:rsidP="00472D7B">
      <w:pPr>
        <w:autoSpaceDE w:val="0"/>
        <w:autoSpaceDN w:val="0"/>
        <w:spacing w:before="160" w:after="0" w:line="252" w:lineRule="auto"/>
        <w:rPr>
          <w:rFonts w:eastAsia="Calibri" w:cstheme="minorHAnsi"/>
          <w:lang w:val="en-US"/>
        </w:rPr>
      </w:pPr>
      <w:r w:rsidRPr="00FC2443">
        <w:rPr>
          <w:rFonts w:eastAsia="Calibri" w:cstheme="minorHAnsi"/>
          <w:kern w:val="0"/>
          <w:u w:val="single"/>
          <w:lang w:val="en-US"/>
        </w:rPr>
        <w:t>Section 3 - Authority</w:t>
      </w:r>
    </w:p>
    <w:p w14:paraId="7EF57DA4" w14:textId="5146E641" w:rsidR="000E03B5" w:rsidRPr="00FC2443" w:rsidRDefault="000E03B5" w:rsidP="00472D7B">
      <w:pPr>
        <w:autoSpaceDE w:val="0"/>
        <w:autoSpaceDN w:val="0"/>
        <w:spacing w:before="160" w:after="0" w:line="252" w:lineRule="auto"/>
        <w:rPr>
          <w:rFonts w:eastAsia="Calibri" w:cstheme="minorHAnsi"/>
          <w:i/>
          <w:spacing w:val="-4"/>
          <w:lang w:val="en-US"/>
        </w:rPr>
      </w:pPr>
      <w:r w:rsidRPr="00FC2443">
        <w:rPr>
          <w:rFonts w:eastAsia="Calibri" w:cstheme="minorHAnsi"/>
          <w:kern w:val="0"/>
          <w:lang w:val="en-US"/>
        </w:rPr>
        <w:t>This</w:t>
      </w:r>
      <w:r w:rsidRPr="00FC2443">
        <w:rPr>
          <w:rFonts w:eastAsia="Calibri" w:cstheme="minorHAnsi"/>
          <w:spacing w:val="-3"/>
          <w:kern w:val="0"/>
          <w:lang w:val="en-US"/>
        </w:rPr>
        <w:t xml:space="preserve"> </w:t>
      </w:r>
      <w:r w:rsidRPr="00FC2443">
        <w:rPr>
          <w:rFonts w:eastAsia="Calibri" w:cstheme="minorHAnsi"/>
          <w:kern w:val="0"/>
          <w:lang w:val="en-US"/>
        </w:rPr>
        <w:t>section</w:t>
      </w:r>
      <w:r w:rsidRPr="00FC2443">
        <w:rPr>
          <w:rFonts w:eastAsia="Calibri" w:cstheme="minorHAnsi"/>
          <w:spacing w:val="-3"/>
          <w:kern w:val="0"/>
          <w:lang w:val="en-US"/>
        </w:rPr>
        <w:t xml:space="preserve"> </w:t>
      </w:r>
      <w:r w:rsidR="00D159B6" w:rsidRPr="00FC2443">
        <w:rPr>
          <w:rFonts w:eastAsia="Calibri" w:cstheme="minorHAnsi"/>
          <w:kern w:val="0"/>
          <w:lang w:val="en-US"/>
        </w:rPr>
        <w:t>provides</w:t>
      </w:r>
      <w:r w:rsidRPr="00FC2443">
        <w:rPr>
          <w:rFonts w:eastAsia="Calibri" w:cstheme="minorHAnsi"/>
          <w:spacing w:val="-4"/>
          <w:kern w:val="0"/>
          <w:lang w:val="en-US"/>
        </w:rPr>
        <w:t xml:space="preserve"> </w:t>
      </w:r>
      <w:r w:rsidRPr="00FC2443">
        <w:rPr>
          <w:rFonts w:eastAsia="Calibri" w:cstheme="minorHAnsi"/>
          <w:kern w:val="0"/>
          <w:lang w:val="en-US"/>
        </w:rPr>
        <w:t>that</w:t>
      </w:r>
      <w:r w:rsidRPr="00FC2443">
        <w:rPr>
          <w:rFonts w:eastAsia="Calibri" w:cstheme="minorHAnsi"/>
          <w:spacing w:val="-3"/>
          <w:kern w:val="0"/>
          <w:lang w:val="en-US"/>
        </w:rPr>
        <w:t xml:space="preserve"> </w:t>
      </w:r>
      <w:r w:rsidRPr="00FC2443">
        <w:rPr>
          <w:rFonts w:eastAsia="Calibri" w:cstheme="minorHAnsi"/>
          <w:kern w:val="0"/>
          <w:lang w:val="en-US"/>
        </w:rPr>
        <w:t>the</w:t>
      </w:r>
      <w:r w:rsidRPr="00FC2443">
        <w:rPr>
          <w:rFonts w:eastAsia="Calibri" w:cstheme="minorHAnsi"/>
          <w:spacing w:val="-4"/>
          <w:kern w:val="0"/>
          <w:lang w:val="en-US"/>
        </w:rPr>
        <w:t xml:space="preserve"> </w:t>
      </w:r>
      <w:r w:rsidR="003771DA">
        <w:rPr>
          <w:rFonts w:eastAsia="Calibri" w:cstheme="minorHAnsi"/>
          <w:iCs/>
          <w:spacing w:val="-4"/>
          <w:kern w:val="0"/>
          <w:lang w:val="en-US"/>
        </w:rPr>
        <w:t>Regulations are</w:t>
      </w:r>
      <w:r w:rsidRPr="00FC2443">
        <w:rPr>
          <w:rFonts w:eastAsia="Calibri" w:cstheme="minorHAnsi"/>
          <w:i/>
          <w:spacing w:val="-4"/>
          <w:kern w:val="0"/>
          <w:lang w:val="en-US"/>
        </w:rPr>
        <w:t xml:space="preserve"> </w:t>
      </w:r>
      <w:r w:rsidRPr="00FC2443">
        <w:rPr>
          <w:rFonts w:eastAsia="Calibri" w:cstheme="minorHAnsi"/>
          <w:kern w:val="0"/>
          <w:lang w:val="en-US"/>
        </w:rPr>
        <w:t xml:space="preserve">made under the </w:t>
      </w:r>
      <w:r w:rsidR="003771DA" w:rsidRPr="00DB12AA">
        <w:rPr>
          <w:rFonts w:cstheme="minorHAnsi"/>
          <w:i/>
          <w:iCs/>
          <w:color w:val="000000"/>
        </w:rPr>
        <w:t>Designs Act 2003</w:t>
      </w:r>
      <w:r w:rsidR="00161984">
        <w:rPr>
          <w:rFonts w:cstheme="minorHAnsi"/>
          <w:i/>
          <w:iCs/>
          <w:color w:val="000000"/>
        </w:rPr>
        <w:t xml:space="preserve">, </w:t>
      </w:r>
      <w:r w:rsidR="00161984">
        <w:rPr>
          <w:rFonts w:cstheme="minorHAnsi"/>
          <w:color w:val="000000"/>
        </w:rPr>
        <w:t xml:space="preserve">the </w:t>
      </w:r>
      <w:r w:rsidR="00161984" w:rsidRPr="00DB12AA">
        <w:rPr>
          <w:rFonts w:cstheme="minorHAnsi"/>
          <w:i/>
          <w:iCs/>
          <w:color w:val="000000"/>
        </w:rPr>
        <w:t xml:space="preserve">Olympic Insignia Protection Act </w:t>
      </w:r>
      <w:r w:rsidR="00161984" w:rsidRPr="00161984">
        <w:rPr>
          <w:rFonts w:cstheme="minorHAnsi"/>
          <w:i/>
          <w:iCs/>
          <w:color w:val="000000"/>
        </w:rPr>
        <w:t>1987</w:t>
      </w:r>
      <w:r w:rsidR="00161984">
        <w:rPr>
          <w:rFonts w:cstheme="minorHAnsi"/>
          <w:color w:val="000000"/>
        </w:rPr>
        <w:t xml:space="preserve">, the </w:t>
      </w:r>
      <w:r w:rsidRPr="00161984">
        <w:rPr>
          <w:rFonts w:eastAsia="Calibri" w:cstheme="minorHAnsi"/>
          <w:i/>
          <w:iCs/>
          <w:kern w:val="0"/>
          <w:lang w:val="en-US"/>
        </w:rPr>
        <w:t>Patents Act</w:t>
      </w:r>
      <w:r w:rsidRPr="00FC2443">
        <w:rPr>
          <w:rFonts w:eastAsia="Calibri" w:cstheme="minorHAnsi"/>
          <w:i/>
          <w:kern w:val="0"/>
          <w:lang w:val="en-US"/>
        </w:rPr>
        <w:t xml:space="preserve"> 1990</w:t>
      </w:r>
      <w:r w:rsidR="00741A3A">
        <w:rPr>
          <w:rFonts w:eastAsia="Calibri" w:cstheme="minorHAnsi"/>
          <w:i/>
          <w:kern w:val="0"/>
          <w:lang w:val="en-US"/>
        </w:rPr>
        <w:t xml:space="preserve">, </w:t>
      </w:r>
      <w:r w:rsidR="00741A3A" w:rsidRPr="00741A3A">
        <w:rPr>
          <w:rFonts w:eastAsia="Calibri" w:cstheme="minorHAnsi"/>
          <w:i/>
          <w:kern w:val="0"/>
          <w:lang w:val="en-US"/>
        </w:rPr>
        <w:t xml:space="preserve">the </w:t>
      </w:r>
      <w:r w:rsidR="00741A3A" w:rsidRPr="003D13AD">
        <w:rPr>
          <w:rFonts w:cstheme="minorHAnsi"/>
          <w:i/>
          <w:iCs/>
          <w:color w:val="000000"/>
        </w:rPr>
        <w:t>Plant Breeder’s Rights Act 1994</w:t>
      </w:r>
      <w:r w:rsidRPr="00FC2443">
        <w:rPr>
          <w:rFonts w:eastAsia="Calibri" w:cstheme="minorHAnsi"/>
          <w:i/>
          <w:kern w:val="0"/>
          <w:lang w:val="en-US"/>
        </w:rPr>
        <w:t xml:space="preserve"> </w:t>
      </w:r>
      <w:r w:rsidRPr="00FC2443">
        <w:rPr>
          <w:rFonts w:eastAsia="Calibri" w:cstheme="minorHAnsi"/>
          <w:kern w:val="0"/>
          <w:lang w:val="en-US"/>
        </w:rPr>
        <w:t>and the</w:t>
      </w:r>
      <w:r w:rsidRPr="00FC2443">
        <w:rPr>
          <w:rFonts w:eastAsia="Calibri" w:cstheme="minorHAnsi"/>
          <w:i/>
          <w:kern w:val="0"/>
          <w:lang w:val="en-US"/>
        </w:rPr>
        <w:t xml:space="preserve"> Trade Marks Act 1995</w:t>
      </w:r>
      <w:r w:rsidRPr="00FC2443">
        <w:rPr>
          <w:rFonts w:eastAsia="Calibri" w:cstheme="minorHAnsi"/>
          <w:kern w:val="0"/>
          <w:lang w:val="en-US"/>
        </w:rPr>
        <w:t>.</w:t>
      </w:r>
    </w:p>
    <w:p w14:paraId="2AE2077F" w14:textId="77777777" w:rsidR="000E03B5" w:rsidRPr="00FC2443" w:rsidRDefault="000E03B5" w:rsidP="00472D7B">
      <w:pPr>
        <w:autoSpaceDE w:val="0"/>
        <w:autoSpaceDN w:val="0"/>
        <w:spacing w:before="160" w:after="0" w:line="252" w:lineRule="auto"/>
        <w:rPr>
          <w:rFonts w:eastAsia="Calibri" w:cstheme="minorHAnsi"/>
          <w:lang w:val="en-US"/>
        </w:rPr>
      </w:pPr>
      <w:r w:rsidRPr="00FC2443">
        <w:rPr>
          <w:rFonts w:eastAsia="Calibri" w:cstheme="minorHAnsi"/>
          <w:kern w:val="0"/>
          <w:u w:val="single"/>
          <w:lang w:val="en-US"/>
        </w:rPr>
        <w:t>Section</w:t>
      </w:r>
      <w:r w:rsidRPr="00FC2443">
        <w:rPr>
          <w:rFonts w:eastAsia="Calibri" w:cstheme="minorHAnsi"/>
          <w:spacing w:val="-3"/>
          <w:kern w:val="0"/>
          <w:u w:val="single"/>
          <w:lang w:val="en-US"/>
        </w:rPr>
        <w:t xml:space="preserve"> </w:t>
      </w:r>
      <w:r w:rsidRPr="00FC2443">
        <w:rPr>
          <w:rFonts w:eastAsia="Calibri" w:cstheme="minorHAnsi"/>
          <w:kern w:val="0"/>
          <w:u w:val="single"/>
          <w:lang w:val="en-US"/>
        </w:rPr>
        <w:t>4</w:t>
      </w:r>
      <w:r w:rsidRPr="00FC2443">
        <w:rPr>
          <w:rFonts w:eastAsia="Calibri" w:cstheme="minorHAnsi"/>
          <w:spacing w:val="-1"/>
          <w:kern w:val="0"/>
          <w:u w:val="single"/>
          <w:lang w:val="en-US"/>
        </w:rPr>
        <w:t xml:space="preserve"> </w:t>
      </w:r>
      <w:r w:rsidRPr="00FC2443">
        <w:rPr>
          <w:rFonts w:eastAsia="Calibri" w:cstheme="minorHAnsi"/>
          <w:kern w:val="0"/>
          <w:u w:val="single"/>
          <w:lang w:val="en-US"/>
        </w:rPr>
        <w:t>-</w:t>
      </w:r>
      <w:r w:rsidRPr="00FC2443">
        <w:rPr>
          <w:rFonts w:eastAsia="Calibri" w:cstheme="minorHAnsi"/>
          <w:spacing w:val="-1"/>
          <w:kern w:val="0"/>
          <w:u w:val="single"/>
          <w:lang w:val="en-US"/>
        </w:rPr>
        <w:t xml:space="preserve"> </w:t>
      </w:r>
      <w:r w:rsidRPr="00FC2443">
        <w:rPr>
          <w:rFonts w:eastAsia="Calibri" w:cstheme="minorHAnsi"/>
          <w:spacing w:val="-2"/>
          <w:kern w:val="0"/>
          <w:u w:val="single"/>
          <w:lang w:val="en-US"/>
        </w:rPr>
        <w:t>Schedule(s)</w:t>
      </w:r>
    </w:p>
    <w:p w14:paraId="3C4663FC" w14:textId="0C8881DA" w:rsidR="000E03B5" w:rsidRPr="00FC2443" w:rsidRDefault="000E03B5" w:rsidP="00472D7B">
      <w:pPr>
        <w:autoSpaceDE w:val="0"/>
        <w:autoSpaceDN w:val="0"/>
        <w:spacing w:before="160" w:after="0" w:line="252" w:lineRule="auto"/>
        <w:rPr>
          <w:rFonts w:eastAsia="Calibri" w:cstheme="minorHAnsi"/>
          <w:lang w:val="en-US"/>
        </w:rPr>
      </w:pPr>
      <w:r w:rsidRPr="00FC2443">
        <w:rPr>
          <w:rFonts w:eastAsia="Calibri" w:cstheme="minorHAnsi"/>
          <w:kern w:val="0"/>
          <w:lang w:val="en-US"/>
        </w:rPr>
        <w:t xml:space="preserve">This section </w:t>
      </w:r>
      <w:r w:rsidR="00D159B6" w:rsidRPr="00FC2443">
        <w:rPr>
          <w:rFonts w:eastAsia="Calibri" w:cstheme="minorHAnsi"/>
          <w:kern w:val="0"/>
          <w:lang w:val="en-US"/>
        </w:rPr>
        <w:t>provides</w:t>
      </w:r>
      <w:r w:rsidRPr="00FC2443">
        <w:rPr>
          <w:rFonts w:eastAsia="Calibri" w:cstheme="minorHAnsi"/>
          <w:kern w:val="0"/>
          <w:lang w:val="en-US"/>
        </w:rPr>
        <w:t xml:space="preserve"> that each instrument that is specified in a Schedule to</w:t>
      </w:r>
      <w:r w:rsidRPr="00FC2443">
        <w:rPr>
          <w:rFonts w:eastAsia="Calibri" w:cstheme="minorHAnsi"/>
          <w:spacing w:val="-3"/>
          <w:kern w:val="0"/>
          <w:lang w:val="en-US"/>
        </w:rPr>
        <w:t xml:space="preserve"> </w:t>
      </w:r>
      <w:r w:rsidRPr="00FC2443">
        <w:rPr>
          <w:rFonts w:eastAsia="Calibri" w:cstheme="minorHAnsi"/>
          <w:kern w:val="0"/>
          <w:lang w:val="en-US"/>
        </w:rPr>
        <w:t>this instrument</w:t>
      </w:r>
      <w:r w:rsidRPr="00FC2443">
        <w:rPr>
          <w:rFonts w:eastAsia="Calibri" w:cstheme="minorHAnsi"/>
          <w:spacing w:val="-3"/>
          <w:kern w:val="0"/>
          <w:lang w:val="en-US"/>
        </w:rPr>
        <w:t xml:space="preserve"> </w:t>
      </w:r>
      <w:r w:rsidRPr="00FC2443">
        <w:rPr>
          <w:rFonts w:eastAsia="Calibri" w:cstheme="minorHAnsi"/>
          <w:kern w:val="0"/>
          <w:lang w:val="en-US"/>
        </w:rPr>
        <w:t>is</w:t>
      </w:r>
      <w:r w:rsidRPr="00FC2443">
        <w:rPr>
          <w:rFonts w:eastAsia="Calibri" w:cstheme="minorHAnsi"/>
          <w:spacing w:val="-3"/>
          <w:kern w:val="0"/>
          <w:lang w:val="en-US"/>
        </w:rPr>
        <w:t xml:space="preserve"> </w:t>
      </w:r>
      <w:r w:rsidRPr="00FC2443">
        <w:rPr>
          <w:rFonts w:eastAsia="Calibri" w:cstheme="minorHAnsi"/>
          <w:kern w:val="0"/>
          <w:lang w:val="en-US"/>
        </w:rPr>
        <w:t>amended</w:t>
      </w:r>
      <w:r w:rsidRPr="00FC2443">
        <w:rPr>
          <w:rFonts w:eastAsia="Calibri" w:cstheme="minorHAnsi"/>
          <w:spacing w:val="-3"/>
          <w:kern w:val="0"/>
          <w:lang w:val="en-US"/>
        </w:rPr>
        <w:t xml:space="preserve"> </w:t>
      </w:r>
      <w:r w:rsidRPr="00FC2443">
        <w:rPr>
          <w:rFonts w:eastAsia="Calibri" w:cstheme="minorHAnsi"/>
          <w:kern w:val="0"/>
          <w:lang w:val="en-US"/>
        </w:rPr>
        <w:t>or</w:t>
      </w:r>
      <w:r w:rsidRPr="00FC2443">
        <w:rPr>
          <w:rFonts w:eastAsia="Calibri" w:cstheme="minorHAnsi"/>
          <w:spacing w:val="-4"/>
          <w:kern w:val="0"/>
          <w:lang w:val="en-US"/>
        </w:rPr>
        <w:t xml:space="preserve"> </w:t>
      </w:r>
      <w:r w:rsidRPr="00FC2443">
        <w:rPr>
          <w:rFonts w:eastAsia="Calibri" w:cstheme="minorHAnsi"/>
          <w:kern w:val="0"/>
          <w:lang w:val="en-US"/>
        </w:rPr>
        <w:t>repealed</w:t>
      </w:r>
      <w:r w:rsidRPr="00FC2443">
        <w:rPr>
          <w:rFonts w:eastAsia="Calibri" w:cstheme="minorHAnsi"/>
          <w:spacing w:val="-1"/>
          <w:kern w:val="0"/>
          <w:lang w:val="en-US"/>
        </w:rPr>
        <w:t xml:space="preserve"> </w:t>
      </w:r>
      <w:r w:rsidRPr="00FC2443">
        <w:rPr>
          <w:rFonts w:eastAsia="Calibri" w:cstheme="minorHAnsi"/>
          <w:kern w:val="0"/>
          <w:lang w:val="en-US"/>
        </w:rPr>
        <w:t>as</w:t>
      </w:r>
      <w:r w:rsidRPr="00FC2443">
        <w:rPr>
          <w:rFonts w:eastAsia="Calibri" w:cstheme="minorHAnsi"/>
          <w:spacing w:val="-3"/>
          <w:kern w:val="0"/>
          <w:lang w:val="en-US"/>
        </w:rPr>
        <w:t xml:space="preserve"> </w:t>
      </w:r>
      <w:r w:rsidRPr="00FC2443">
        <w:rPr>
          <w:rFonts w:eastAsia="Calibri" w:cstheme="minorHAnsi"/>
          <w:kern w:val="0"/>
          <w:lang w:val="en-US"/>
        </w:rPr>
        <w:t>set</w:t>
      </w:r>
      <w:r w:rsidRPr="00FC2443">
        <w:rPr>
          <w:rFonts w:eastAsia="Calibri" w:cstheme="minorHAnsi"/>
          <w:spacing w:val="-3"/>
          <w:kern w:val="0"/>
          <w:lang w:val="en-US"/>
        </w:rPr>
        <w:t xml:space="preserve"> </w:t>
      </w:r>
      <w:r w:rsidRPr="00FC2443">
        <w:rPr>
          <w:rFonts w:eastAsia="Calibri" w:cstheme="minorHAnsi"/>
          <w:kern w:val="0"/>
          <w:lang w:val="en-US"/>
        </w:rPr>
        <w:t>out</w:t>
      </w:r>
      <w:r w:rsidRPr="00FC2443">
        <w:rPr>
          <w:rFonts w:eastAsia="Calibri" w:cstheme="minorHAnsi"/>
          <w:spacing w:val="-3"/>
          <w:kern w:val="0"/>
          <w:lang w:val="en-US"/>
        </w:rPr>
        <w:t xml:space="preserve"> </w:t>
      </w:r>
      <w:r w:rsidRPr="00FC2443">
        <w:rPr>
          <w:rFonts w:eastAsia="Calibri" w:cstheme="minorHAnsi"/>
          <w:kern w:val="0"/>
          <w:lang w:val="en-US"/>
        </w:rPr>
        <w:t>in</w:t>
      </w:r>
      <w:r w:rsidRPr="00FC2443">
        <w:rPr>
          <w:rFonts w:eastAsia="Calibri" w:cstheme="minorHAnsi"/>
          <w:spacing w:val="-4"/>
          <w:kern w:val="0"/>
          <w:lang w:val="en-US"/>
        </w:rPr>
        <w:t xml:space="preserve"> </w:t>
      </w:r>
      <w:r w:rsidRPr="00FC2443">
        <w:rPr>
          <w:rFonts w:eastAsia="Calibri" w:cstheme="minorHAnsi"/>
          <w:kern w:val="0"/>
          <w:lang w:val="en-US"/>
        </w:rPr>
        <w:t>the</w:t>
      </w:r>
      <w:r w:rsidRPr="00FC2443">
        <w:rPr>
          <w:rFonts w:eastAsia="Calibri" w:cstheme="minorHAnsi"/>
          <w:spacing w:val="-4"/>
          <w:kern w:val="0"/>
          <w:lang w:val="en-US"/>
        </w:rPr>
        <w:t xml:space="preserve"> </w:t>
      </w:r>
      <w:r w:rsidRPr="00FC2443">
        <w:rPr>
          <w:rFonts w:eastAsia="Calibri" w:cstheme="minorHAnsi"/>
          <w:kern w:val="0"/>
          <w:lang w:val="en-US"/>
        </w:rPr>
        <w:t>applicable</w:t>
      </w:r>
      <w:r w:rsidRPr="00FC2443">
        <w:rPr>
          <w:rFonts w:eastAsia="Calibri" w:cstheme="minorHAnsi"/>
          <w:spacing w:val="-4"/>
          <w:kern w:val="0"/>
          <w:lang w:val="en-US"/>
        </w:rPr>
        <w:t xml:space="preserve"> </w:t>
      </w:r>
      <w:r w:rsidRPr="00FC2443">
        <w:rPr>
          <w:rFonts w:eastAsia="Calibri" w:cstheme="minorHAnsi"/>
          <w:kern w:val="0"/>
          <w:lang w:val="en-US"/>
        </w:rPr>
        <w:t>items</w:t>
      </w:r>
      <w:r w:rsidRPr="00FC2443">
        <w:rPr>
          <w:rFonts w:eastAsia="Calibri" w:cstheme="minorHAnsi"/>
          <w:spacing w:val="-3"/>
          <w:kern w:val="0"/>
          <w:lang w:val="en-US"/>
        </w:rPr>
        <w:t xml:space="preserve"> </w:t>
      </w:r>
      <w:r w:rsidRPr="00FC2443">
        <w:rPr>
          <w:rFonts w:eastAsia="Calibri" w:cstheme="minorHAnsi"/>
          <w:kern w:val="0"/>
          <w:lang w:val="en-US"/>
        </w:rPr>
        <w:t>in</w:t>
      </w:r>
      <w:r w:rsidRPr="00FC2443">
        <w:rPr>
          <w:rFonts w:eastAsia="Calibri" w:cstheme="minorHAnsi"/>
          <w:spacing w:val="-3"/>
          <w:kern w:val="0"/>
          <w:lang w:val="en-US"/>
        </w:rPr>
        <w:t xml:space="preserve"> </w:t>
      </w:r>
      <w:r w:rsidRPr="00FC2443">
        <w:rPr>
          <w:rFonts w:eastAsia="Calibri" w:cstheme="minorHAnsi"/>
          <w:kern w:val="0"/>
          <w:lang w:val="en-US"/>
        </w:rPr>
        <w:t>the Schedule concerned, and any other item in a Schedule to this instrument has effect according to its terms.</w:t>
      </w:r>
    </w:p>
    <w:p w14:paraId="73769402" w14:textId="050CAF7B" w:rsidR="000E03B5" w:rsidRPr="00FC2443" w:rsidRDefault="000E03B5" w:rsidP="00472D7B">
      <w:pPr>
        <w:autoSpaceDE w:val="0"/>
        <w:autoSpaceDN w:val="0"/>
        <w:spacing w:before="160" w:after="0" w:line="252" w:lineRule="auto"/>
        <w:rPr>
          <w:rFonts w:eastAsia="Calibri" w:cstheme="minorHAnsi"/>
          <w:u w:val="single"/>
          <w:lang w:val="en-US"/>
        </w:rPr>
      </w:pPr>
      <w:r w:rsidRPr="00FC2443">
        <w:rPr>
          <w:rFonts w:eastAsia="Calibri" w:cstheme="minorHAnsi"/>
          <w:kern w:val="0"/>
          <w:u w:val="single"/>
          <w:lang w:val="en-US"/>
        </w:rPr>
        <w:t>Schedule</w:t>
      </w:r>
      <w:r w:rsidRPr="00FC2443">
        <w:rPr>
          <w:rFonts w:eastAsia="Calibri" w:cstheme="minorHAnsi"/>
          <w:spacing w:val="-2"/>
          <w:kern w:val="0"/>
          <w:u w:val="single"/>
          <w:lang w:val="en-US"/>
        </w:rPr>
        <w:t xml:space="preserve"> </w:t>
      </w:r>
      <w:r w:rsidRPr="00FC2443">
        <w:rPr>
          <w:rFonts w:eastAsia="Calibri" w:cstheme="minorHAnsi"/>
          <w:kern w:val="0"/>
          <w:u w:val="single"/>
          <w:lang w:val="en-US"/>
        </w:rPr>
        <w:t>1</w:t>
      </w:r>
      <w:r w:rsidRPr="00FC2443">
        <w:rPr>
          <w:rFonts w:eastAsia="Calibri" w:cstheme="minorHAnsi"/>
          <w:spacing w:val="-1"/>
          <w:kern w:val="0"/>
          <w:u w:val="single"/>
          <w:lang w:val="en-US"/>
        </w:rPr>
        <w:t xml:space="preserve"> </w:t>
      </w:r>
      <w:r w:rsidR="00981F27">
        <w:rPr>
          <w:rFonts w:eastAsia="Calibri" w:cstheme="minorHAnsi"/>
          <w:kern w:val="0"/>
          <w:u w:val="single"/>
          <w:lang w:val="en-US"/>
        </w:rPr>
        <w:t>–</w:t>
      </w:r>
      <w:r w:rsidRPr="00FC2443">
        <w:rPr>
          <w:rFonts w:eastAsia="Calibri" w:cstheme="minorHAnsi"/>
          <w:spacing w:val="-1"/>
          <w:kern w:val="0"/>
          <w:u w:val="single"/>
          <w:lang w:val="en-US"/>
        </w:rPr>
        <w:t xml:space="preserve"> </w:t>
      </w:r>
      <w:r w:rsidR="009D3A10">
        <w:rPr>
          <w:rFonts w:eastAsia="Calibri" w:cstheme="minorHAnsi"/>
          <w:spacing w:val="-2"/>
          <w:kern w:val="0"/>
          <w:u w:val="single"/>
          <w:lang w:val="en-US"/>
        </w:rPr>
        <w:t>A</w:t>
      </w:r>
      <w:r w:rsidR="00B62B77" w:rsidRPr="00FC2443">
        <w:rPr>
          <w:rFonts w:eastAsia="Calibri" w:cstheme="minorHAnsi"/>
          <w:spacing w:val="-2"/>
          <w:kern w:val="0"/>
          <w:u w:val="single"/>
          <w:lang w:val="en-US"/>
        </w:rPr>
        <w:t>mendments</w:t>
      </w:r>
    </w:p>
    <w:p w14:paraId="3E1F72BD" w14:textId="77777777"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i/>
          <w:iCs/>
          <w:kern w:val="0"/>
          <w:lang w:val="en-US"/>
        </w:rPr>
        <w:t>Designs Regulations 2004</w:t>
      </w:r>
    </w:p>
    <w:p w14:paraId="5781A077" w14:textId="77777777" w:rsidR="00575429" w:rsidRPr="00575429" w:rsidRDefault="00575429" w:rsidP="00472D7B">
      <w:pPr>
        <w:autoSpaceDE w:val="0"/>
        <w:autoSpaceDN w:val="0"/>
        <w:spacing w:before="160" w:after="0" w:line="252" w:lineRule="auto"/>
        <w:rPr>
          <w:rFonts w:eastAsia="Calibri" w:cstheme="minorHAnsi"/>
          <w:b/>
          <w:bCs/>
          <w:kern w:val="0"/>
        </w:rPr>
      </w:pPr>
      <w:r w:rsidRPr="00575429">
        <w:rPr>
          <w:rFonts w:eastAsia="Calibri" w:cstheme="minorHAnsi"/>
          <w:b/>
          <w:bCs/>
          <w:kern w:val="0"/>
        </w:rPr>
        <w:t>Item [1]</w:t>
      </w:r>
      <w:r w:rsidRPr="00493373">
        <w:rPr>
          <w:rFonts w:eastAsia="Calibri" w:cstheme="minorHAnsi"/>
          <w:b/>
          <w:bCs/>
          <w:kern w:val="0"/>
        </w:rPr>
        <w:t xml:space="preserve"> </w:t>
      </w:r>
      <w:r w:rsidRPr="00181F20">
        <w:rPr>
          <w:rFonts w:eastAsia="Calibri" w:cstheme="minorHAnsi"/>
          <w:b/>
          <w:bCs/>
          <w:kern w:val="0"/>
        </w:rPr>
        <w:t>–</w:t>
      </w:r>
      <w:r w:rsidRPr="00575429">
        <w:rPr>
          <w:rFonts w:eastAsia="Calibri" w:cstheme="minorHAnsi"/>
          <w:kern w:val="0"/>
        </w:rPr>
        <w:t xml:space="preserve"> </w:t>
      </w:r>
      <w:r w:rsidRPr="00575429">
        <w:rPr>
          <w:rFonts w:eastAsia="Calibri" w:cstheme="minorHAnsi"/>
          <w:b/>
          <w:bCs/>
          <w:kern w:val="0"/>
        </w:rPr>
        <w:t>Part 5 of Chapter 12, application of amendments to Schedule 3</w:t>
      </w:r>
    </w:p>
    <w:p w14:paraId="22F5CCF9" w14:textId="6587CADE"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This item </w:t>
      </w:r>
      <w:r w:rsidR="0088667C">
        <w:rPr>
          <w:rFonts w:eastAsia="Calibri" w:cstheme="minorHAnsi"/>
          <w:kern w:val="0"/>
        </w:rPr>
        <w:t>inserts</w:t>
      </w:r>
      <w:r w:rsidRPr="00575429">
        <w:rPr>
          <w:rFonts w:eastAsia="Calibri" w:cstheme="minorHAnsi"/>
          <w:kern w:val="0"/>
        </w:rPr>
        <w:t xml:space="preserve"> a new Part 5 into Chapter 12 of the Designs Regulations to specify how the amendments to Schedule 3 apply to proceedings before the Registrar of Designs (Registrar). Those amendments </w:t>
      </w:r>
      <w:r w:rsidR="00886DDF">
        <w:rPr>
          <w:rFonts w:eastAsia="Calibri" w:cstheme="minorHAnsi"/>
          <w:kern w:val="0"/>
        </w:rPr>
        <w:t>apply</w:t>
      </w:r>
      <w:r w:rsidRPr="00575429">
        <w:rPr>
          <w:rFonts w:eastAsia="Calibri" w:cstheme="minorHAnsi"/>
          <w:kern w:val="0"/>
        </w:rPr>
        <w:t xml:space="preserve"> to oppositions and other contested proceedings begun on or after commencement of the </w:t>
      </w:r>
      <w:r w:rsidR="002E4CE6">
        <w:rPr>
          <w:rFonts w:eastAsia="Calibri" w:cstheme="minorHAnsi"/>
          <w:kern w:val="0"/>
        </w:rPr>
        <w:t>Regulations</w:t>
      </w:r>
      <w:r w:rsidRPr="00575429">
        <w:rPr>
          <w:rFonts w:eastAsia="Calibri" w:cstheme="minorHAnsi"/>
          <w:kern w:val="0"/>
        </w:rPr>
        <w:t xml:space="preserve">. </w:t>
      </w:r>
      <w:r w:rsidRPr="00575429">
        <w:rPr>
          <w:rFonts w:eastAsia="Calibri" w:cstheme="minorHAnsi"/>
          <w:kern w:val="0"/>
          <w:lang w:val="en-US"/>
        </w:rPr>
        <w:t xml:space="preserve">That is, the existing scales of costs, expenses and allowances </w:t>
      </w:r>
      <w:r w:rsidR="003A4D5F">
        <w:rPr>
          <w:rFonts w:eastAsia="Calibri" w:cstheme="minorHAnsi"/>
          <w:kern w:val="0"/>
          <w:lang w:val="en-US"/>
        </w:rPr>
        <w:t>continue</w:t>
      </w:r>
      <w:r w:rsidRPr="00575429">
        <w:rPr>
          <w:rFonts w:eastAsia="Calibri" w:cstheme="minorHAnsi"/>
          <w:kern w:val="0"/>
          <w:lang w:val="en-US"/>
        </w:rPr>
        <w:t xml:space="preserve"> to apply to a proceeding begun before commencement, even if steps in those proceedings are taken after commencement. This is to ensure that the parties in such a transitional proceeding do not need to reconsider the relative benefit and risk of continuing with it.</w:t>
      </w:r>
    </w:p>
    <w:p w14:paraId="4AC53AD5" w14:textId="77777777" w:rsidR="00575429" w:rsidRPr="00575429" w:rsidRDefault="00575429" w:rsidP="00472D7B">
      <w:pPr>
        <w:autoSpaceDE w:val="0"/>
        <w:autoSpaceDN w:val="0"/>
        <w:spacing w:before="160" w:after="0" w:line="252" w:lineRule="auto"/>
        <w:rPr>
          <w:rFonts w:eastAsia="Calibri" w:cstheme="minorHAnsi"/>
          <w:b/>
          <w:kern w:val="0"/>
          <w:lang w:val="en-US"/>
        </w:rPr>
      </w:pPr>
      <w:r w:rsidRPr="00575429">
        <w:rPr>
          <w:rFonts w:eastAsia="Calibri" w:cstheme="minorHAnsi"/>
          <w:b/>
          <w:bCs/>
          <w:iCs/>
          <w:kern w:val="0"/>
          <w:lang w:val="en-US"/>
        </w:rPr>
        <w:t xml:space="preserve">Items [2] to [5] – </w:t>
      </w:r>
      <w:r w:rsidRPr="00575429">
        <w:rPr>
          <w:rFonts w:eastAsia="Calibri" w:cstheme="minorHAnsi"/>
          <w:b/>
          <w:bCs/>
          <w:kern w:val="0"/>
          <w:lang w:val="en-US"/>
        </w:rPr>
        <w:t>Schedule 3; costs, expenses and allowances</w:t>
      </w:r>
    </w:p>
    <w:p w14:paraId="0B6ED712" w14:textId="74A0FD11"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rPr>
        <w:t xml:space="preserve">These items </w:t>
      </w:r>
      <w:r w:rsidR="003A4D5F">
        <w:rPr>
          <w:rFonts w:eastAsia="Calibri" w:cstheme="minorHAnsi"/>
          <w:kern w:val="0"/>
        </w:rPr>
        <w:t>amend</w:t>
      </w:r>
      <w:r w:rsidRPr="00575429" w:rsidDel="008C17A5">
        <w:rPr>
          <w:rFonts w:eastAsia="Calibri" w:cstheme="minorHAnsi"/>
          <w:kern w:val="0"/>
        </w:rPr>
        <w:t xml:space="preserve"> </w:t>
      </w:r>
      <w:r w:rsidRPr="00575429">
        <w:rPr>
          <w:rFonts w:eastAsia="Calibri" w:cstheme="minorHAnsi"/>
          <w:kern w:val="0"/>
        </w:rPr>
        <w:t xml:space="preserve">Schedule 3 to the Designs Regulations to increase the amounts of costs, expenses and allowances that </w:t>
      </w:r>
      <w:r w:rsidRPr="00575429">
        <w:rPr>
          <w:rFonts w:eastAsia="Calibri" w:cstheme="minorHAnsi"/>
          <w:kern w:val="0"/>
          <w:lang w:val="en-US"/>
        </w:rPr>
        <w:t>may be awarded to a successful party in a proceeding before the Registrar. This is a proceeding between 2 or more parties with differing interests in the outcome. For example, in an opposition to correction of the Register under regulation 9.05 of the Designs Regulations, the parties are the requester for correction and the opponent to correction.</w:t>
      </w:r>
    </w:p>
    <w:p w14:paraId="240A8F4A" w14:textId="1760C9E9"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 xml:space="preserve">Item [2] </w:t>
      </w:r>
      <w:r w:rsidR="003A4D5F">
        <w:rPr>
          <w:rFonts w:eastAsia="Calibri" w:cstheme="minorHAnsi"/>
          <w:kern w:val="0"/>
          <w:lang w:val="en-US"/>
        </w:rPr>
        <w:t>amend</w:t>
      </w:r>
      <w:r w:rsidR="003408FA">
        <w:rPr>
          <w:rFonts w:eastAsia="Calibri" w:cstheme="minorHAnsi"/>
          <w:kern w:val="0"/>
          <w:lang w:val="en-US"/>
        </w:rPr>
        <w:t>s</w:t>
      </w:r>
      <w:r w:rsidRPr="00575429">
        <w:rPr>
          <w:rFonts w:eastAsia="Calibri" w:cstheme="minorHAnsi"/>
          <w:kern w:val="0"/>
          <w:lang w:val="en-US"/>
        </w:rPr>
        <w:t xml:space="preserve"> the amounts of the scale of costs in the table in Part 1 of Schedule 3 to the Designs Regulation</w:t>
      </w:r>
      <w:r w:rsidR="0057758C">
        <w:rPr>
          <w:rFonts w:eastAsia="Calibri" w:cstheme="minorHAnsi"/>
          <w:kern w:val="0"/>
          <w:lang w:val="en-US"/>
        </w:rPr>
        <w:t>s</w:t>
      </w:r>
      <w:r w:rsidRPr="00575429">
        <w:rPr>
          <w:rFonts w:eastAsia="Calibri" w:cstheme="minorHAnsi"/>
          <w:kern w:val="0"/>
          <w:lang w:val="en-US"/>
        </w:rPr>
        <w:t xml:space="preserve"> as set out in Table 1.</w:t>
      </w:r>
    </w:p>
    <w:p w14:paraId="56D21814" w14:textId="77777777" w:rsidR="005B514A" w:rsidRDefault="005B514A">
      <w:pPr>
        <w:rPr>
          <w:rFonts w:eastAsia="Calibri" w:cstheme="minorHAnsi"/>
          <w:kern w:val="0"/>
          <w:u w:val="single"/>
        </w:rPr>
      </w:pPr>
      <w:r>
        <w:rPr>
          <w:rFonts w:eastAsia="Calibri" w:cstheme="minorHAnsi"/>
          <w:kern w:val="0"/>
          <w:u w:val="single"/>
        </w:rPr>
        <w:br w:type="page"/>
      </w:r>
    </w:p>
    <w:p w14:paraId="4427DCD4" w14:textId="7067BD32" w:rsidR="00575429" w:rsidRPr="00575429" w:rsidRDefault="00575429" w:rsidP="00472D7B">
      <w:pPr>
        <w:keepNext/>
        <w:autoSpaceDE w:val="0"/>
        <w:autoSpaceDN w:val="0"/>
        <w:spacing w:before="160" w:line="252" w:lineRule="auto"/>
        <w:ind w:left="1276"/>
        <w:rPr>
          <w:rFonts w:eastAsia="Calibri" w:cstheme="minorHAnsi"/>
          <w:kern w:val="0"/>
          <w:u w:val="single"/>
        </w:rPr>
      </w:pPr>
      <w:r w:rsidRPr="00575429">
        <w:rPr>
          <w:rFonts w:eastAsia="Calibri" w:cstheme="minorHAnsi"/>
          <w:kern w:val="0"/>
          <w:u w:val="single"/>
        </w:rPr>
        <w:lastRenderedPageBreak/>
        <w:t>Table 1</w:t>
      </w:r>
      <w:r w:rsidRPr="00575429">
        <w:rPr>
          <w:rFonts w:eastAsia="Calibri" w:cstheme="minorHAnsi"/>
          <w:kern w:val="0"/>
          <w:u w:val="single"/>
        </w:rPr>
        <w:tab/>
        <w:t>Scale of costs for designs proceedings</w:t>
      </w:r>
    </w:p>
    <w:tbl>
      <w:tblPr>
        <w:tblW w:w="8363" w:type="dxa"/>
        <w:tblInd w:w="1271" w:type="dxa"/>
        <w:tblBorders>
          <w:top w:val="single" w:sz="4" w:space="0" w:color="auto"/>
          <w:left w:val="single" w:sz="4" w:space="0" w:color="auto"/>
          <w:bottom w:val="single" w:sz="4" w:space="0" w:color="auto"/>
          <w:right w:val="single" w:sz="4" w:space="0" w:color="auto"/>
          <w:insideH w:val="dashed" w:sz="4" w:space="0" w:color="auto"/>
          <w:insideV w:val="dashSmallGap" w:sz="4" w:space="0" w:color="auto"/>
        </w:tblBorders>
        <w:tblLayout w:type="fixed"/>
        <w:tblCellMar>
          <w:top w:w="85" w:type="dxa"/>
          <w:left w:w="85" w:type="dxa"/>
          <w:bottom w:w="85" w:type="dxa"/>
          <w:right w:w="85" w:type="dxa"/>
        </w:tblCellMar>
        <w:tblLook w:val="04A0" w:firstRow="1" w:lastRow="0" w:firstColumn="1" w:lastColumn="0" w:noHBand="0" w:noVBand="1"/>
      </w:tblPr>
      <w:tblGrid>
        <w:gridCol w:w="1134"/>
        <w:gridCol w:w="3969"/>
        <w:gridCol w:w="1559"/>
        <w:gridCol w:w="1701"/>
      </w:tblGrid>
      <w:tr w:rsidR="00A14C8E" w:rsidRPr="00A14C8E" w14:paraId="1E3DE4C3" w14:textId="77777777">
        <w:trPr>
          <w:trHeight w:val="300"/>
          <w:tblHeader/>
        </w:trPr>
        <w:tc>
          <w:tcPr>
            <w:tcW w:w="1134" w:type="dxa"/>
            <w:tcBorders>
              <w:top w:val="single" w:sz="4" w:space="0" w:color="auto"/>
              <w:bottom w:val="single" w:sz="4" w:space="0" w:color="auto"/>
            </w:tcBorders>
            <w:shd w:val="clear" w:color="auto" w:fill="auto"/>
            <w:hideMark/>
          </w:tcPr>
          <w:p w14:paraId="484F8DC7" w14:textId="77777777" w:rsidR="00575429" w:rsidRPr="00472D7B" w:rsidRDefault="00575429" w:rsidP="00472D7B">
            <w:pPr>
              <w:autoSpaceDE w:val="0"/>
              <w:autoSpaceDN w:val="0"/>
              <w:spacing w:after="0" w:line="252" w:lineRule="auto"/>
              <w:rPr>
                <w:rFonts w:eastAsia="Calibri" w:cstheme="minorHAnsi"/>
                <w:b/>
                <w:bCs/>
                <w:kern w:val="0"/>
                <w:sz w:val="20"/>
                <w:szCs w:val="20"/>
              </w:rPr>
            </w:pPr>
            <w:r w:rsidRPr="00472D7B">
              <w:rPr>
                <w:rFonts w:eastAsia="Calibri" w:cstheme="minorHAnsi"/>
                <w:b/>
                <w:bCs/>
                <w:kern w:val="0"/>
                <w:sz w:val="20"/>
                <w:szCs w:val="20"/>
              </w:rPr>
              <w:t>Table item</w:t>
            </w:r>
          </w:p>
        </w:tc>
        <w:tc>
          <w:tcPr>
            <w:tcW w:w="3969" w:type="dxa"/>
            <w:tcBorders>
              <w:top w:val="single" w:sz="4" w:space="0" w:color="auto"/>
              <w:bottom w:val="single" w:sz="4" w:space="0" w:color="auto"/>
            </w:tcBorders>
            <w:shd w:val="clear" w:color="auto" w:fill="auto"/>
            <w:hideMark/>
          </w:tcPr>
          <w:p w14:paraId="2EFEE030" w14:textId="77777777" w:rsidR="00575429" w:rsidRPr="00472D7B" w:rsidRDefault="00575429" w:rsidP="00472D7B">
            <w:pPr>
              <w:autoSpaceDE w:val="0"/>
              <w:autoSpaceDN w:val="0"/>
              <w:spacing w:after="0" w:line="252" w:lineRule="auto"/>
              <w:rPr>
                <w:rFonts w:eastAsia="Calibri" w:cstheme="minorHAnsi"/>
                <w:b/>
                <w:bCs/>
                <w:kern w:val="0"/>
                <w:sz w:val="20"/>
                <w:szCs w:val="20"/>
              </w:rPr>
            </w:pPr>
            <w:r w:rsidRPr="00472D7B">
              <w:rPr>
                <w:rFonts w:eastAsia="Calibri" w:cstheme="minorHAnsi"/>
                <w:b/>
                <w:bCs/>
                <w:kern w:val="0"/>
                <w:sz w:val="20"/>
                <w:szCs w:val="20"/>
              </w:rPr>
              <w:t>Matter</w:t>
            </w:r>
          </w:p>
        </w:tc>
        <w:tc>
          <w:tcPr>
            <w:tcW w:w="1559" w:type="dxa"/>
            <w:tcBorders>
              <w:top w:val="single" w:sz="4" w:space="0" w:color="auto"/>
              <w:bottom w:val="single" w:sz="4" w:space="0" w:color="auto"/>
            </w:tcBorders>
            <w:shd w:val="clear" w:color="auto" w:fill="FFFFFF" w:themeFill="background1"/>
            <w:hideMark/>
          </w:tcPr>
          <w:p w14:paraId="02EB6390" w14:textId="0D5B82D1" w:rsidR="00575429" w:rsidRPr="00472D7B" w:rsidRDefault="00D72822" w:rsidP="00472D7B">
            <w:pPr>
              <w:autoSpaceDE w:val="0"/>
              <w:autoSpaceDN w:val="0"/>
              <w:spacing w:after="0" w:line="252" w:lineRule="auto"/>
              <w:rPr>
                <w:rFonts w:eastAsia="Calibri" w:cstheme="minorHAnsi"/>
                <w:b/>
                <w:bCs/>
                <w:kern w:val="0"/>
                <w:sz w:val="20"/>
                <w:szCs w:val="20"/>
              </w:rPr>
            </w:pPr>
            <w:r>
              <w:rPr>
                <w:rFonts w:eastAsia="Calibri" w:cstheme="minorHAnsi"/>
                <w:b/>
                <w:bCs/>
                <w:kern w:val="0"/>
                <w:sz w:val="20"/>
                <w:szCs w:val="20"/>
              </w:rPr>
              <w:t>Existing</w:t>
            </w:r>
            <w:r w:rsidR="00575429" w:rsidRPr="00472D7B">
              <w:rPr>
                <w:rFonts w:eastAsia="Calibri" w:cstheme="minorHAnsi"/>
                <w:b/>
                <w:bCs/>
                <w:kern w:val="0"/>
                <w:sz w:val="20"/>
                <w:szCs w:val="20"/>
              </w:rPr>
              <w:t xml:space="preserve"> amount </w:t>
            </w:r>
          </w:p>
        </w:tc>
        <w:tc>
          <w:tcPr>
            <w:tcW w:w="1701" w:type="dxa"/>
            <w:tcBorders>
              <w:top w:val="single" w:sz="4" w:space="0" w:color="auto"/>
              <w:bottom w:val="single" w:sz="4" w:space="0" w:color="auto"/>
            </w:tcBorders>
          </w:tcPr>
          <w:p w14:paraId="1B5741CA" w14:textId="2EF05971" w:rsidR="00575429" w:rsidRPr="00472D7B" w:rsidRDefault="00575429" w:rsidP="00472D7B">
            <w:pPr>
              <w:autoSpaceDE w:val="0"/>
              <w:autoSpaceDN w:val="0"/>
              <w:spacing w:after="0" w:line="252" w:lineRule="auto"/>
              <w:rPr>
                <w:rFonts w:eastAsia="Calibri" w:cstheme="minorHAnsi"/>
                <w:b/>
                <w:bCs/>
                <w:kern w:val="0"/>
                <w:sz w:val="20"/>
                <w:szCs w:val="20"/>
              </w:rPr>
            </w:pPr>
            <w:r w:rsidRPr="00472D7B">
              <w:rPr>
                <w:rFonts w:eastAsia="Calibri" w:cstheme="minorHAnsi"/>
                <w:b/>
                <w:bCs/>
                <w:kern w:val="0"/>
                <w:sz w:val="20"/>
                <w:szCs w:val="20"/>
              </w:rPr>
              <w:t xml:space="preserve">New </w:t>
            </w:r>
            <w:r w:rsidR="00D72822">
              <w:rPr>
                <w:rFonts w:eastAsia="Calibri" w:cstheme="minorHAnsi"/>
                <w:b/>
                <w:bCs/>
                <w:kern w:val="0"/>
                <w:sz w:val="20"/>
                <w:szCs w:val="20"/>
              </w:rPr>
              <w:t>a</w:t>
            </w:r>
            <w:r w:rsidRPr="00472D7B">
              <w:rPr>
                <w:rFonts w:eastAsia="Calibri" w:cstheme="minorHAnsi"/>
                <w:b/>
                <w:bCs/>
                <w:kern w:val="0"/>
                <w:sz w:val="20"/>
                <w:szCs w:val="20"/>
              </w:rPr>
              <w:t>mount</w:t>
            </w:r>
          </w:p>
        </w:tc>
      </w:tr>
      <w:tr w:rsidR="00575429" w:rsidRPr="00A14C8E" w14:paraId="7F6E966E" w14:textId="77777777">
        <w:trPr>
          <w:trHeight w:val="300"/>
        </w:trPr>
        <w:tc>
          <w:tcPr>
            <w:tcW w:w="1134" w:type="dxa"/>
            <w:tcBorders>
              <w:top w:val="single" w:sz="4" w:space="0" w:color="auto"/>
            </w:tcBorders>
            <w:shd w:val="clear" w:color="auto" w:fill="FFFFFF" w:themeFill="background1"/>
            <w:hideMark/>
          </w:tcPr>
          <w:p w14:paraId="3C669E1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1 </w:t>
            </w:r>
          </w:p>
        </w:tc>
        <w:tc>
          <w:tcPr>
            <w:tcW w:w="3969" w:type="dxa"/>
            <w:tcBorders>
              <w:top w:val="single" w:sz="4" w:space="0" w:color="auto"/>
            </w:tcBorders>
            <w:shd w:val="clear" w:color="auto" w:fill="FFFFFF" w:themeFill="background1"/>
            <w:hideMark/>
          </w:tcPr>
          <w:p w14:paraId="47CC45F4"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Preparing notice of opposition</w:t>
            </w:r>
          </w:p>
        </w:tc>
        <w:tc>
          <w:tcPr>
            <w:tcW w:w="1559" w:type="dxa"/>
            <w:tcBorders>
              <w:top w:val="single" w:sz="4" w:space="0" w:color="auto"/>
            </w:tcBorders>
            <w:shd w:val="clear" w:color="auto" w:fill="FFFFFF" w:themeFill="background1"/>
            <w:hideMark/>
          </w:tcPr>
          <w:p w14:paraId="02A47ACF"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 </w:t>
            </w:r>
          </w:p>
        </w:tc>
        <w:tc>
          <w:tcPr>
            <w:tcW w:w="1701" w:type="dxa"/>
            <w:tcBorders>
              <w:top w:val="single" w:sz="4" w:space="0" w:color="auto"/>
            </w:tcBorders>
            <w:shd w:val="clear" w:color="auto" w:fill="FFFFFF" w:themeFill="background1"/>
          </w:tcPr>
          <w:p w14:paraId="7B081084"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$600 </w:t>
            </w:r>
          </w:p>
        </w:tc>
      </w:tr>
      <w:tr w:rsidR="00575429" w:rsidRPr="00A14C8E" w14:paraId="1D515CC9" w14:textId="77777777">
        <w:trPr>
          <w:trHeight w:val="300"/>
        </w:trPr>
        <w:tc>
          <w:tcPr>
            <w:tcW w:w="1134" w:type="dxa"/>
            <w:shd w:val="clear" w:color="auto" w:fill="FFFFFF" w:themeFill="background1"/>
            <w:hideMark/>
          </w:tcPr>
          <w:p w14:paraId="508E0241"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2 </w:t>
            </w:r>
          </w:p>
        </w:tc>
        <w:tc>
          <w:tcPr>
            <w:tcW w:w="3969" w:type="dxa"/>
            <w:shd w:val="clear" w:color="auto" w:fill="FFFFFF" w:themeFill="background1"/>
            <w:hideMark/>
          </w:tcPr>
          <w:p w14:paraId="72F96109"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Receiving and perusing notice of opposition</w:t>
            </w:r>
          </w:p>
        </w:tc>
        <w:tc>
          <w:tcPr>
            <w:tcW w:w="1559" w:type="dxa"/>
            <w:shd w:val="clear" w:color="auto" w:fill="FFFFFF" w:themeFill="background1"/>
            <w:hideMark/>
          </w:tcPr>
          <w:p w14:paraId="640C85E9"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$130 </w:t>
            </w:r>
          </w:p>
        </w:tc>
        <w:tc>
          <w:tcPr>
            <w:tcW w:w="1701" w:type="dxa"/>
            <w:shd w:val="clear" w:color="auto" w:fill="FFFFFF" w:themeFill="background1"/>
          </w:tcPr>
          <w:p w14:paraId="4F7A2E5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$300 </w:t>
            </w:r>
          </w:p>
        </w:tc>
      </w:tr>
      <w:tr w:rsidR="00575429" w:rsidRPr="00A14C8E" w14:paraId="388914A3" w14:textId="77777777">
        <w:trPr>
          <w:trHeight w:val="300"/>
        </w:trPr>
        <w:tc>
          <w:tcPr>
            <w:tcW w:w="1134" w:type="dxa"/>
            <w:shd w:val="clear" w:color="auto" w:fill="FFFFFF" w:themeFill="background1"/>
            <w:hideMark/>
          </w:tcPr>
          <w:p w14:paraId="55614AEF"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3 </w:t>
            </w:r>
          </w:p>
        </w:tc>
        <w:tc>
          <w:tcPr>
            <w:tcW w:w="3969" w:type="dxa"/>
            <w:shd w:val="clear" w:color="auto" w:fill="FFFFFF" w:themeFill="background1"/>
            <w:hideMark/>
          </w:tcPr>
          <w:p w14:paraId="10848A58"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Preparation of case for hearing</w:t>
            </w:r>
          </w:p>
        </w:tc>
        <w:tc>
          <w:tcPr>
            <w:tcW w:w="1559" w:type="dxa"/>
            <w:shd w:val="clear" w:color="auto" w:fill="FFFFFF" w:themeFill="background1"/>
            <w:hideMark/>
          </w:tcPr>
          <w:p w14:paraId="47BC0B70"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$525 </w:t>
            </w:r>
          </w:p>
        </w:tc>
        <w:tc>
          <w:tcPr>
            <w:tcW w:w="1701" w:type="dxa"/>
            <w:shd w:val="clear" w:color="auto" w:fill="FFFFFF" w:themeFill="background1"/>
          </w:tcPr>
          <w:p w14:paraId="140FADBE"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$1,500 </w:t>
            </w:r>
          </w:p>
        </w:tc>
      </w:tr>
      <w:tr w:rsidR="00575429" w:rsidRPr="00A14C8E" w14:paraId="20374D00" w14:textId="77777777">
        <w:trPr>
          <w:trHeight w:val="300"/>
        </w:trPr>
        <w:tc>
          <w:tcPr>
            <w:tcW w:w="1134" w:type="dxa"/>
            <w:shd w:val="clear" w:color="auto" w:fill="FFFFFF" w:themeFill="background1"/>
            <w:hideMark/>
          </w:tcPr>
          <w:p w14:paraId="7DE9770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4 </w:t>
            </w:r>
          </w:p>
        </w:tc>
        <w:tc>
          <w:tcPr>
            <w:tcW w:w="3969" w:type="dxa"/>
            <w:shd w:val="clear" w:color="auto" w:fill="FFFFFF" w:themeFill="background1"/>
            <w:hideMark/>
          </w:tcPr>
          <w:p w14:paraId="0088EC4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 xml:space="preserve">Attendance at hearing by registered patent attorney, registered </w:t>
            </w:r>
            <w:proofErr w:type="spellStart"/>
            <w:r w:rsidRPr="00472D7B">
              <w:rPr>
                <w:rFonts w:eastAsia="Calibri" w:cstheme="minorHAnsi"/>
                <w:kern w:val="0"/>
                <w:sz w:val="20"/>
                <w:szCs w:val="20"/>
              </w:rPr>
              <w:t>trade marks</w:t>
            </w:r>
            <w:proofErr w:type="spellEnd"/>
            <w:r w:rsidRPr="00472D7B">
              <w:rPr>
                <w:rFonts w:eastAsia="Calibri" w:cstheme="minorHAnsi"/>
                <w:kern w:val="0"/>
                <w:sz w:val="20"/>
                <w:szCs w:val="20"/>
              </w:rPr>
              <w:t xml:space="preserve"> attorney or solicitor, without counsel</w:t>
            </w:r>
          </w:p>
        </w:tc>
        <w:tc>
          <w:tcPr>
            <w:tcW w:w="1559" w:type="dxa"/>
            <w:shd w:val="clear" w:color="auto" w:fill="FFFFFF" w:themeFill="background1"/>
            <w:hideMark/>
          </w:tcPr>
          <w:p w14:paraId="1FDDA023"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$260 an hour, but not more than $1,170 a day </w:t>
            </w:r>
          </w:p>
        </w:tc>
        <w:tc>
          <w:tcPr>
            <w:tcW w:w="1701" w:type="dxa"/>
            <w:shd w:val="clear" w:color="auto" w:fill="FFFFFF" w:themeFill="background1"/>
          </w:tcPr>
          <w:p w14:paraId="14551C9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$390 an hour, but not more than $1,755 a day </w:t>
            </w:r>
          </w:p>
        </w:tc>
      </w:tr>
      <w:tr w:rsidR="00575429" w:rsidRPr="00A14C8E" w14:paraId="03F2A2B5" w14:textId="77777777">
        <w:trPr>
          <w:trHeight w:val="300"/>
        </w:trPr>
        <w:tc>
          <w:tcPr>
            <w:tcW w:w="1134" w:type="dxa"/>
            <w:shd w:val="clear" w:color="auto" w:fill="FFFFFF" w:themeFill="background1"/>
            <w:hideMark/>
          </w:tcPr>
          <w:p w14:paraId="0491BD4D"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5 </w:t>
            </w:r>
          </w:p>
        </w:tc>
        <w:tc>
          <w:tcPr>
            <w:tcW w:w="3969" w:type="dxa"/>
            <w:shd w:val="clear" w:color="auto" w:fill="FFFFFF" w:themeFill="background1"/>
            <w:hideMark/>
          </w:tcPr>
          <w:p w14:paraId="6617E8F5"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 xml:space="preserve">Attendance at hearing by registered patent attorney, registered </w:t>
            </w:r>
            <w:proofErr w:type="spellStart"/>
            <w:r w:rsidRPr="00472D7B">
              <w:rPr>
                <w:rFonts w:eastAsia="Calibri" w:cstheme="minorHAnsi"/>
                <w:kern w:val="0"/>
                <w:sz w:val="20"/>
                <w:szCs w:val="20"/>
              </w:rPr>
              <w:t>trade marks</w:t>
            </w:r>
            <w:proofErr w:type="spellEnd"/>
            <w:r w:rsidRPr="00472D7B">
              <w:rPr>
                <w:rFonts w:eastAsia="Calibri" w:cstheme="minorHAnsi"/>
                <w:kern w:val="0"/>
                <w:sz w:val="20"/>
                <w:szCs w:val="20"/>
              </w:rPr>
              <w:t xml:space="preserve"> attorney or solicitor, instructing counsel</w:t>
            </w:r>
          </w:p>
        </w:tc>
        <w:tc>
          <w:tcPr>
            <w:tcW w:w="1559" w:type="dxa"/>
            <w:shd w:val="clear" w:color="auto" w:fill="FFFFFF" w:themeFill="background1"/>
            <w:hideMark/>
          </w:tcPr>
          <w:p w14:paraId="3E50E71E"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 an hour, but not more than $900 a day </w:t>
            </w:r>
          </w:p>
        </w:tc>
        <w:tc>
          <w:tcPr>
            <w:tcW w:w="1701" w:type="dxa"/>
            <w:shd w:val="clear" w:color="auto" w:fill="FFFFFF" w:themeFill="background1"/>
          </w:tcPr>
          <w:p w14:paraId="40BF3F78"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$300 an hour, but not more than $1,350 a day </w:t>
            </w:r>
          </w:p>
        </w:tc>
      </w:tr>
      <w:tr w:rsidR="00575429" w:rsidRPr="00A14C8E" w14:paraId="4B222CA4" w14:textId="77777777">
        <w:trPr>
          <w:trHeight w:val="300"/>
        </w:trPr>
        <w:tc>
          <w:tcPr>
            <w:tcW w:w="1134" w:type="dxa"/>
            <w:shd w:val="clear" w:color="auto" w:fill="FFFFFF" w:themeFill="background1"/>
            <w:hideMark/>
          </w:tcPr>
          <w:p w14:paraId="0E58B181"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6 </w:t>
            </w:r>
          </w:p>
        </w:tc>
        <w:tc>
          <w:tcPr>
            <w:tcW w:w="3969" w:type="dxa"/>
            <w:shd w:val="clear" w:color="auto" w:fill="FFFFFF" w:themeFill="background1"/>
            <w:hideMark/>
          </w:tcPr>
          <w:p w14:paraId="7B9E5AB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Counsel fees for attendance at hearing</w:t>
            </w:r>
          </w:p>
        </w:tc>
        <w:tc>
          <w:tcPr>
            <w:tcW w:w="1559" w:type="dxa"/>
            <w:shd w:val="clear" w:color="auto" w:fill="FFFFFF" w:themeFill="background1"/>
            <w:hideMark/>
          </w:tcPr>
          <w:p w14:paraId="050BB2F8"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$300 an hour, but not more than $1,350 a day </w:t>
            </w:r>
          </w:p>
        </w:tc>
        <w:tc>
          <w:tcPr>
            <w:tcW w:w="1701" w:type="dxa"/>
            <w:shd w:val="clear" w:color="auto" w:fill="FFFFFF" w:themeFill="background1"/>
          </w:tcPr>
          <w:p w14:paraId="2CDD9176"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$450 an hour, but not more than $2,025 a day </w:t>
            </w:r>
          </w:p>
        </w:tc>
      </w:tr>
    </w:tbl>
    <w:p w14:paraId="6C3B44F8" w14:textId="18C0C255" w:rsidR="00343A5B" w:rsidRDefault="00343A5B" w:rsidP="00472D7B">
      <w:pPr>
        <w:autoSpaceDE w:val="0"/>
        <w:autoSpaceDN w:val="0"/>
        <w:spacing w:before="240" w:after="0" w:line="252" w:lineRule="auto"/>
        <w:rPr>
          <w:rFonts w:eastAsia="Calibri" w:cstheme="minorHAnsi"/>
          <w:kern w:val="0"/>
          <w:lang w:val="en-US"/>
        </w:rPr>
      </w:pPr>
      <w:r w:rsidRPr="00343A5B">
        <w:rPr>
          <w:rFonts w:eastAsia="Calibri" w:cstheme="minorHAnsi"/>
          <w:kern w:val="0"/>
          <w:lang w:val="en-US"/>
        </w:rPr>
        <w:t xml:space="preserve">The increases </w:t>
      </w:r>
      <w:proofErr w:type="gramStart"/>
      <w:r w:rsidR="00BB5A4F">
        <w:rPr>
          <w:rFonts w:eastAsia="Calibri" w:cstheme="minorHAnsi"/>
          <w:kern w:val="0"/>
          <w:lang w:val="en-US"/>
        </w:rPr>
        <w:t>take into account</w:t>
      </w:r>
      <w:proofErr w:type="gramEnd"/>
      <w:r w:rsidRPr="00343A5B">
        <w:rPr>
          <w:rFonts w:eastAsia="Calibri" w:cstheme="minorHAnsi"/>
          <w:kern w:val="0"/>
          <w:lang w:val="en-US"/>
        </w:rPr>
        <w:t xml:space="preserve"> the fact that the scale of costs has not been updated since 2007. </w:t>
      </w:r>
      <w:proofErr w:type="gramStart"/>
      <w:r w:rsidRPr="00343A5B">
        <w:rPr>
          <w:rFonts w:eastAsia="Calibri" w:cstheme="minorHAnsi"/>
          <w:kern w:val="0"/>
          <w:lang w:val="en-US"/>
        </w:rPr>
        <w:t>In light of</w:t>
      </w:r>
      <w:proofErr w:type="gramEnd"/>
      <w:r w:rsidRPr="00343A5B">
        <w:rPr>
          <w:rFonts w:eastAsia="Calibri" w:cstheme="minorHAnsi"/>
          <w:kern w:val="0"/>
          <w:lang w:val="en-US"/>
        </w:rPr>
        <w:t xml:space="preserve"> increases in prices since 2007, the amounts in the scales no longer suffice to compensate a successful party or to </w:t>
      </w:r>
      <w:r w:rsidR="002423CB">
        <w:rPr>
          <w:rFonts w:hAnsi="Times New Roman" w:cs="Times New Roman"/>
        </w:rPr>
        <w:t>discourage a party with a weaker case from</w:t>
      </w:r>
      <w:r w:rsidR="002423CB" w:rsidRPr="006344E3">
        <w:rPr>
          <w:rFonts w:hAnsi="Times New Roman" w:cs="Times New Roman"/>
        </w:rPr>
        <w:t xml:space="preserve"> </w:t>
      </w:r>
      <w:r w:rsidR="002423CB">
        <w:rPr>
          <w:rFonts w:hAnsi="Times New Roman" w:cs="Times New Roman"/>
        </w:rPr>
        <w:t>having it</w:t>
      </w:r>
      <w:r w:rsidR="002423CB" w:rsidRPr="006344E3">
        <w:rPr>
          <w:rFonts w:hAnsi="Times New Roman" w:cs="Times New Roman"/>
        </w:rPr>
        <w:t xml:space="preserve"> heard</w:t>
      </w:r>
      <w:r w:rsidR="002423CB">
        <w:rPr>
          <w:rFonts w:hAnsi="Times New Roman" w:cs="Times New Roman"/>
        </w:rPr>
        <w:t xml:space="preserve"> unnecessarily</w:t>
      </w:r>
      <w:r w:rsidRPr="00343A5B">
        <w:rPr>
          <w:rFonts w:eastAsia="Calibri" w:cstheme="minorHAnsi"/>
          <w:kern w:val="0"/>
          <w:lang w:val="en-US"/>
        </w:rPr>
        <w:t>. The next review of the scales of costs, expenses and allowances would be no earlier than in 2027-28.</w:t>
      </w:r>
    </w:p>
    <w:p w14:paraId="111A4C38" w14:textId="47804EFC" w:rsidR="00575429" w:rsidRPr="00575429" w:rsidRDefault="00575429" w:rsidP="00472D7B">
      <w:pPr>
        <w:autoSpaceDE w:val="0"/>
        <w:autoSpaceDN w:val="0"/>
        <w:spacing w:before="240" w:after="0" w:line="252" w:lineRule="auto"/>
        <w:rPr>
          <w:rFonts w:eastAsia="Calibri" w:cstheme="minorHAnsi"/>
          <w:kern w:val="0"/>
          <w:lang w:val="en-US"/>
        </w:rPr>
      </w:pPr>
      <w:r w:rsidRPr="00575429">
        <w:rPr>
          <w:rFonts w:eastAsia="Calibri" w:cstheme="minorHAnsi"/>
          <w:kern w:val="0"/>
          <w:lang w:val="en-US"/>
        </w:rPr>
        <w:t xml:space="preserve">Item [3] </w:t>
      </w:r>
      <w:r w:rsidR="003A4D5F">
        <w:rPr>
          <w:rFonts w:eastAsia="Calibri" w:cstheme="minorHAnsi"/>
          <w:kern w:val="0"/>
          <w:lang w:val="en-US"/>
        </w:rPr>
        <w:t>amend</w:t>
      </w:r>
      <w:r w:rsidR="001263E9">
        <w:rPr>
          <w:rFonts w:eastAsia="Calibri" w:cstheme="minorHAnsi"/>
          <w:kern w:val="0"/>
          <w:lang w:val="en-US"/>
        </w:rPr>
        <w:t>s</w:t>
      </w:r>
      <w:r w:rsidRPr="00575429">
        <w:rPr>
          <w:rFonts w:eastAsia="Calibri" w:cstheme="minorHAnsi"/>
          <w:kern w:val="0"/>
          <w:lang w:val="en-US"/>
        </w:rPr>
        <w:t xml:space="preserve"> paragraph 2(b) </w:t>
      </w:r>
      <w:r w:rsidR="00F12BC7">
        <w:rPr>
          <w:rFonts w:eastAsia="Calibri" w:cstheme="minorHAnsi"/>
          <w:kern w:val="0"/>
          <w:lang w:val="en-US"/>
        </w:rPr>
        <w:t xml:space="preserve">of Part 2 of </w:t>
      </w:r>
      <w:r w:rsidRPr="00575429">
        <w:rPr>
          <w:rFonts w:eastAsia="Calibri" w:cstheme="minorHAnsi"/>
          <w:kern w:val="0"/>
          <w:lang w:val="en-US"/>
        </w:rPr>
        <w:t xml:space="preserve">Schedule 3 to the Designs Regulations to increase the daily maximum for allowances for meals and accommodation to $1,050. A person is entitled to be paid a reasonable amount up to that daily maximum – if required to be absent overnight from </w:t>
      </w:r>
      <w:r w:rsidR="0020666B">
        <w:rPr>
          <w:rFonts w:eastAsia="Calibri" w:cstheme="minorHAnsi"/>
          <w:kern w:val="0"/>
          <w:lang w:val="en-US"/>
        </w:rPr>
        <w:t>their</w:t>
      </w:r>
      <w:r w:rsidRPr="00575429">
        <w:rPr>
          <w:rFonts w:eastAsia="Calibri" w:cstheme="minorHAnsi"/>
          <w:kern w:val="0"/>
          <w:lang w:val="en-US"/>
        </w:rPr>
        <w:t xml:space="preserve"> usual place of residence to attend proceedings before the Registrar.</w:t>
      </w:r>
    </w:p>
    <w:p w14:paraId="38EAC79A" w14:textId="20630705"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 xml:space="preserve">Items [4] and [5] </w:t>
      </w:r>
      <w:r w:rsidR="003A4D5F">
        <w:rPr>
          <w:rFonts w:eastAsia="Calibri" w:cstheme="minorHAnsi"/>
          <w:kern w:val="0"/>
          <w:lang w:val="en-US"/>
        </w:rPr>
        <w:t>amend</w:t>
      </w:r>
      <w:r w:rsidRPr="00575429">
        <w:rPr>
          <w:rFonts w:eastAsia="Calibri" w:cstheme="minorHAnsi"/>
          <w:kern w:val="0"/>
          <w:lang w:val="en-US"/>
        </w:rPr>
        <w:t xml:space="preserve"> paragraphs 3(b) and 4(b) </w:t>
      </w:r>
      <w:r w:rsidR="001A5DD3">
        <w:rPr>
          <w:rFonts w:eastAsia="Calibri" w:cstheme="minorHAnsi"/>
          <w:kern w:val="0"/>
          <w:lang w:val="en-US"/>
        </w:rPr>
        <w:t xml:space="preserve">of Part 2 of </w:t>
      </w:r>
      <w:r w:rsidRPr="00575429">
        <w:rPr>
          <w:rFonts w:eastAsia="Calibri" w:cstheme="minorHAnsi"/>
          <w:kern w:val="0"/>
          <w:lang w:val="en-US"/>
        </w:rPr>
        <w:t>Schedule 3 to the Designs Regulations to increase the minimum and maximum amounts for daily payment to a person summoned to appear before the Registrar as a witness:</w:t>
      </w:r>
    </w:p>
    <w:p w14:paraId="21F82ED2" w14:textId="089D24D5" w:rsidR="00575429" w:rsidRPr="00575429" w:rsidRDefault="00575429" w:rsidP="002054C5">
      <w:pPr>
        <w:numPr>
          <w:ilvl w:val="0"/>
          <w:numId w:val="6"/>
        </w:numPr>
        <w:autoSpaceDE w:val="0"/>
        <w:autoSpaceDN w:val="0"/>
        <w:spacing w:before="80" w:after="0" w:line="252" w:lineRule="auto"/>
        <w:ind w:left="993" w:hanging="426"/>
        <w:rPr>
          <w:rFonts w:eastAsia="Calibri" w:cstheme="minorHAnsi"/>
          <w:kern w:val="0"/>
          <w:lang w:val="en-US"/>
        </w:rPr>
      </w:pPr>
      <w:r w:rsidRPr="00575429">
        <w:rPr>
          <w:rFonts w:eastAsia="Calibri" w:cstheme="minorHAnsi"/>
          <w:kern w:val="0"/>
          <w:lang w:val="en-US"/>
        </w:rPr>
        <w:t xml:space="preserve">For a person summoned as an expert witness – because of professional, scientific or other special skill or knowledge – the minimum daily payment </w:t>
      </w:r>
      <w:r w:rsidR="008D430D">
        <w:rPr>
          <w:rFonts w:eastAsia="Calibri" w:cstheme="minorHAnsi"/>
          <w:kern w:val="0"/>
          <w:lang w:val="en-US"/>
        </w:rPr>
        <w:t>is</w:t>
      </w:r>
      <w:r w:rsidRPr="00575429">
        <w:rPr>
          <w:rFonts w:eastAsia="Calibri" w:cstheme="minorHAnsi"/>
          <w:kern w:val="0"/>
          <w:lang w:val="en-US"/>
        </w:rPr>
        <w:t xml:space="preserve"> </w:t>
      </w:r>
      <w:proofErr w:type="gramStart"/>
      <w:r w:rsidRPr="00575429">
        <w:rPr>
          <w:rFonts w:eastAsia="Calibri" w:cstheme="minorHAnsi"/>
          <w:kern w:val="0"/>
          <w:lang w:val="en-US"/>
        </w:rPr>
        <w:t>$210</w:t>
      </w:r>
      <w:proofErr w:type="gramEnd"/>
      <w:r w:rsidRPr="00575429">
        <w:rPr>
          <w:rFonts w:eastAsia="Calibri" w:cstheme="minorHAnsi"/>
          <w:kern w:val="0"/>
          <w:lang w:val="en-US"/>
        </w:rPr>
        <w:t xml:space="preserve"> and the maximum daily payment </w:t>
      </w:r>
      <w:r w:rsidR="008D430D">
        <w:rPr>
          <w:rFonts w:eastAsia="Calibri" w:cstheme="minorHAnsi"/>
          <w:kern w:val="0"/>
          <w:lang w:val="en-US"/>
        </w:rPr>
        <w:t>is</w:t>
      </w:r>
      <w:r w:rsidRPr="00575429">
        <w:rPr>
          <w:rFonts w:eastAsia="Calibri" w:cstheme="minorHAnsi"/>
          <w:kern w:val="0"/>
          <w:lang w:val="en-US"/>
        </w:rPr>
        <w:t xml:space="preserve"> $1,050</w:t>
      </w:r>
    </w:p>
    <w:p w14:paraId="4928F9E4" w14:textId="12110CC2" w:rsidR="00575429" w:rsidRPr="00575429" w:rsidRDefault="00575429" w:rsidP="002054C5">
      <w:pPr>
        <w:numPr>
          <w:ilvl w:val="0"/>
          <w:numId w:val="6"/>
        </w:numPr>
        <w:autoSpaceDE w:val="0"/>
        <w:autoSpaceDN w:val="0"/>
        <w:spacing w:before="80" w:after="0" w:line="252" w:lineRule="auto"/>
        <w:ind w:left="993" w:hanging="426"/>
        <w:rPr>
          <w:rFonts w:eastAsia="Calibri" w:cstheme="minorHAnsi"/>
          <w:kern w:val="0"/>
          <w:lang w:val="en-US"/>
        </w:rPr>
      </w:pPr>
      <w:r w:rsidRPr="00575429">
        <w:rPr>
          <w:rFonts w:eastAsia="Calibri" w:cstheme="minorHAnsi"/>
          <w:kern w:val="0"/>
          <w:lang w:val="en-US"/>
        </w:rPr>
        <w:t xml:space="preserve">For a person summoned as an ordinary witness, the minimum daily payment </w:t>
      </w:r>
      <w:r w:rsidR="008D430D">
        <w:rPr>
          <w:rFonts w:eastAsia="Calibri" w:cstheme="minorHAnsi"/>
          <w:kern w:val="0"/>
          <w:lang w:val="en-US"/>
        </w:rPr>
        <w:t>is</w:t>
      </w:r>
      <w:r w:rsidRPr="00575429">
        <w:rPr>
          <w:rFonts w:eastAsia="Calibri" w:cstheme="minorHAnsi"/>
          <w:kern w:val="0"/>
          <w:lang w:val="en-US"/>
        </w:rPr>
        <w:t xml:space="preserve"> </w:t>
      </w:r>
      <w:proofErr w:type="gramStart"/>
      <w:r w:rsidRPr="00575429">
        <w:rPr>
          <w:rFonts w:eastAsia="Calibri" w:cstheme="minorHAnsi"/>
          <w:kern w:val="0"/>
          <w:lang w:val="en-US"/>
        </w:rPr>
        <w:t>$120</w:t>
      </w:r>
      <w:proofErr w:type="gramEnd"/>
      <w:r w:rsidRPr="00575429">
        <w:rPr>
          <w:rFonts w:eastAsia="Calibri" w:cstheme="minorHAnsi"/>
          <w:kern w:val="0"/>
          <w:lang w:val="en-US"/>
        </w:rPr>
        <w:t xml:space="preserve"> and the maximum daily payment </w:t>
      </w:r>
      <w:r w:rsidR="008D430D">
        <w:rPr>
          <w:rFonts w:eastAsia="Calibri" w:cstheme="minorHAnsi"/>
          <w:kern w:val="0"/>
          <w:lang w:val="en-US"/>
        </w:rPr>
        <w:t>is</w:t>
      </w:r>
      <w:r w:rsidRPr="00575429">
        <w:rPr>
          <w:rFonts w:eastAsia="Calibri" w:cstheme="minorHAnsi"/>
          <w:kern w:val="0"/>
          <w:lang w:val="en-US"/>
        </w:rPr>
        <w:t xml:space="preserve"> $195.</w:t>
      </w:r>
    </w:p>
    <w:p w14:paraId="4407843B" w14:textId="33231BF6"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Those amounts apply to a person who is not remunerated in their occupation by wages, salary or fees: for example, the owner/operator of a wholesaling business. In contrast, a person who is remunerated by wages, salary or fees must be paid the amount foregone because of attending as a witness.</w:t>
      </w:r>
    </w:p>
    <w:p w14:paraId="6F68B48E" w14:textId="6229A9A2" w:rsidR="00575429" w:rsidRPr="00575429" w:rsidRDefault="00575429" w:rsidP="00472D7B">
      <w:pPr>
        <w:autoSpaceDE w:val="0"/>
        <w:autoSpaceDN w:val="0"/>
        <w:spacing w:before="160" w:after="0" w:line="252" w:lineRule="auto"/>
        <w:rPr>
          <w:rFonts w:eastAsia="Calibri" w:cstheme="minorHAnsi"/>
          <w:b/>
          <w:kern w:val="0"/>
          <w:lang w:val="en-US"/>
        </w:rPr>
      </w:pPr>
      <w:r w:rsidRPr="00575429">
        <w:rPr>
          <w:rFonts w:eastAsia="Calibri" w:cstheme="minorHAnsi"/>
          <w:b/>
          <w:bCs/>
          <w:iCs/>
          <w:kern w:val="0"/>
          <w:lang w:val="en-US"/>
        </w:rPr>
        <w:t xml:space="preserve">Item [6] – </w:t>
      </w:r>
      <w:r w:rsidRPr="00575429">
        <w:rPr>
          <w:rFonts w:eastAsia="Calibri" w:cstheme="minorHAnsi"/>
          <w:b/>
          <w:bCs/>
          <w:kern w:val="0"/>
          <w:lang w:val="en-US"/>
        </w:rPr>
        <w:t>clause 1 of Schedule 4</w:t>
      </w:r>
      <w:r w:rsidR="00DC6782">
        <w:rPr>
          <w:rFonts w:eastAsia="Calibri" w:cstheme="minorHAnsi"/>
          <w:b/>
          <w:bCs/>
          <w:kern w:val="0"/>
          <w:lang w:val="en-US"/>
        </w:rPr>
        <w:t xml:space="preserve">, table items </w:t>
      </w:r>
      <w:r w:rsidR="004552E5">
        <w:rPr>
          <w:rFonts w:eastAsia="Calibri" w:cstheme="minorHAnsi"/>
          <w:b/>
          <w:bCs/>
          <w:kern w:val="0"/>
          <w:lang w:val="en-US"/>
        </w:rPr>
        <w:t>1 to 4</w:t>
      </w:r>
    </w:p>
    <w:p w14:paraId="1EE3A5B9" w14:textId="239B1202"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This item </w:t>
      </w:r>
      <w:r w:rsidR="003A4D5F">
        <w:rPr>
          <w:rFonts w:eastAsia="Calibri" w:cstheme="minorHAnsi"/>
          <w:kern w:val="0"/>
        </w:rPr>
        <w:t>amend</w:t>
      </w:r>
      <w:r w:rsidR="00F453DB">
        <w:rPr>
          <w:rFonts w:eastAsia="Calibri" w:cstheme="minorHAnsi"/>
          <w:kern w:val="0"/>
        </w:rPr>
        <w:t>s</w:t>
      </w:r>
      <w:r w:rsidRPr="00575429" w:rsidDel="004552E5">
        <w:rPr>
          <w:rFonts w:eastAsia="Calibri" w:cstheme="minorHAnsi"/>
          <w:kern w:val="0"/>
        </w:rPr>
        <w:t xml:space="preserve"> </w:t>
      </w:r>
      <w:r w:rsidRPr="00575429">
        <w:rPr>
          <w:rFonts w:eastAsia="Calibri" w:cstheme="minorHAnsi"/>
          <w:kern w:val="0"/>
        </w:rPr>
        <w:t>table items 1 to 4 in clause 1 of Schedule 4 to the Designs Regulations to lower the cost of access to the designs system, while still recovering the cost of administering that system:</w:t>
      </w:r>
    </w:p>
    <w:p w14:paraId="1E5960AF" w14:textId="64F469A8" w:rsidR="00575429" w:rsidRPr="00575429" w:rsidRDefault="00575429" w:rsidP="002054C5">
      <w:pPr>
        <w:numPr>
          <w:ilvl w:val="0"/>
          <w:numId w:val="3"/>
        </w:numPr>
        <w:autoSpaceDE w:val="0"/>
        <w:autoSpaceDN w:val="0"/>
        <w:spacing w:before="160" w:after="0" w:line="252" w:lineRule="auto"/>
        <w:rPr>
          <w:rFonts w:eastAsia="Calibri" w:cstheme="minorHAnsi"/>
          <w:kern w:val="0"/>
        </w:rPr>
      </w:pPr>
      <w:r w:rsidRPr="00575429">
        <w:rPr>
          <w:rFonts w:eastAsia="Calibri" w:cstheme="minorHAnsi"/>
          <w:kern w:val="0"/>
        </w:rPr>
        <w:t>The amounts making up the fee for filing a design application, or for identifying further designs in an already filed application, would each be reduced by $50.</w:t>
      </w:r>
    </w:p>
    <w:p w14:paraId="65DECF12" w14:textId="0F864234" w:rsidR="00575429" w:rsidRPr="00575429" w:rsidRDefault="00575429" w:rsidP="002054C5">
      <w:pPr>
        <w:numPr>
          <w:ilvl w:val="0"/>
          <w:numId w:val="3"/>
        </w:numPr>
        <w:autoSpaceDE w:val="0"/>
        <w:autoSpaceDN w:val="0"/>
        <w:spacing w:before="160" w:after="0" w:line="252" w:lineRule="auto"/>
        <w:rPr>
          <w:rFonts w:eastAsia="Calibri" w:cstheme="minorHAnsi"/>
          <w:kern w:val="0"/>
        </w:rPr>
      </w:pPr>
      <w:r w:rsidRPr="00575429">
        <w:rPr>
          <w:rFonts w:eastAsia="Calibri" w:cstheme="minorHAnsi"/>
          <w:kern w:val="0"/>
        </w:rPr>
        <w:t xml:space="preserve">The fees for filing a request for examination of a registered design </w:t>
      </w:r>
      <w:r w:rsidR="008D430D">
        <w:rPr>
          <w:rFonts w:eastAsia="Calibri" w:cstheme="minorHAnsi"/>
          <w:kern w:val="0"/>
        </w:rPr>
        <w:t>is</w:t>
      </w:r>
      <w:r w:rsidRPr="00575429">
        <w:rPr>
          <w:rFonts w:eastAsia="Calibri" w:cstheme="minorHAnsi"/>
          <w:kern w:val="0"/>
        </w:rPr>
        <w:t xml:space="preserve"> amended so that an extra $80 </w:t>
      </w:r>
      <w:r w:rsidR="008D430D">
        <w:rPr>
          <w:rFonts w:eastAsia="Calibri" w:cstheme="minorHAnsi"/>
          <w:kern w:val="0"/>
        </w:rPr>
        <w:t>is</w:t>
      </w:r>
      <w:r w:rsidRPr="00575429">
        <w:rPr>
          <w:rFonts w:eastAsia="Calibri" w:cstheme="minorHAnsi"/>
          <w:kern w:val="0"/>
        </w:rPr>
        <w:t xml:space="preserve"> paid. If the registered owner of the design requests examination, the registered owner </w:t>
      </w:r>
      <w:r w:rsidR="003339D2">
        <w:rPr>
          <w:rFonts w:eastAsia="Calibri" w:cstheme="minorHAnsi"/>
          <w:kern w:val="0"/>
        </w:rPr>
        <w:lastRenderedPageBreak/>
        <w:t>pays</w:t>
      </w:r>
      <w:r w:rsidRPr="00575429">
        <w:rPr>
          <w:rFonts w:eastAsia="Calibri" w:cstheme="minorHAnsi"/>
          <w:kern w:val="0"/>
        </w:rPr>
        <w:t xml:space="preserve"> the whole of the increased amount. If a third party requests examination, the third party and the registered owner would each pay an extra $40 each.</w:t>
      </w:r>
    </w:p>
    <w:p w14:paraId="2FBAD9E7" w14:textId="56FD95BC" w:rsidR="00575429" w:rsidRPr="00575429" w:rsidRDefault="00575429" w:rsidP="3E045A76">
      <w:pPr>
        <w:autoSpaceDE w:val="0"/>
        <w:autoSpaceDN w:val="0"/>
        <w:spacing w:before="160" w:after="0" w:line="252" w:lineRule="auto"/>
        <w:rPr>
          <w:rFonts w:eastAsia="Calibri"/>
          <w:kern w:val="0"/>
        </w:rPr>
      </w:pPr>
      <w:r w:rsidRPr="3E045A76">
        <w:rPr>
          <w:rFonts w:eastAsia="Calibri"/>
          <w:kern w:val="0"/>
        </w:rPr>
        <w:t xml:space="preserve">The amounts payable under table items 1 and 2 in clause 1 of Schedule 4 to the Designs Regulations </w:t>
      </w:r>
      <w:r w:rsidR="003A4D5F" w:rsidRPr="3E045A76">
        <w:rPr>
          <w:rFonts w:eastAsia="Calibri"/>
          <w:kern w:val="0"/>
        </w:rPr>
        <w:t>continue</w:t>
      </w:r>
      <w:r w:rsidRPr="3E045A76">
        <w:rPr>
          <w:rFonts w:eastAsia="Calibri"/>
          <w:kern w:val="0"/>
        </w:rPr>
        <w:t xml:space="preserve"> to depend on the number of separate designs identified by the applicant. They also continue to depend on whether the design application is filed by a preferred means (for example, through the IP Australia </w:t>
      </w:r>
      <w:r w:rsidR="00A57F62" w:rsidRPr="3E045A76">
        <w:rPr>
          <w:rFonts w:eastAsia="Calibri"/>
          <w:kern w:val="0"/>
        </w:rPr>
        <w:t>portal</w:t>
      </w:r>
      <w:r w:rsidRPr="3E045A76">
        <w:rPr>
          <w:rFonts w:eastAsia="Calibri"/>
          <w:kern w:val="0"/>
        </w:rPr>
        <w:t>), or by a means that is approved but not preferred (for example, by postal delivery). The amount for an application filed by preferred means is less than the amount for filing by another means because applications filed by preferred means require less manual processing.</w:t>
      </w:r>
    </w:p>
    <w:p w14:paraId="2E465021" w14:textId="404CEAE0"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Examination of a registered design is at the option of the registered owner, or of any third party. Fewer than one in four registered designs are examined.</w:t>
      </w:r>
    </w:p>
    <w:p w14:paraId="5A7CDA54" w14:textId="77777777" w:rsidR="00575429" w:rsidRPr="00575429" w:rsidRDefault="00575429" w:rsidP="00472D7B">
      <w:pPr>
        <w:autoSpaceDE w:val="0"/>
        <w:autoSpaceDN w:val="0"/>
        <w:spacing w:before="160" w:after="0" w:line="252" w:lineRule="auto"/>
        <w:rPr>
          <w:rFonts w:eastAsia="Calibri" w:cstheme="minorHAnsi"/>
          <w:i/>
          <w:kern w:val="0"/>
          <w:lang w:val="en-US"/>
        </w:rPr>
      </w:pPr>
      <w:r w:rsidRPr="00575429">
        <w:rPr>
          <w:rFonts w:eastAsia="Calibri" w:cstheme="minorHAnsi"/>
          <w:i/>
          <w:iCs/>
          <w:kern w:val="0"/>
          <w:lang w:val="en-US"/>
        </w:rPr>
        <w:t>Olympic Insignia Protection Regulations 1993</w:t>
      </w:r>
    </w:p>
    <w:p w14:paraId="02D0A847" w14:textId="407260D0" w:rsidR="00575429" w:rsidRPr="00575429" w:rsidRDefault="00575429" w:rsidP="00472D7B">
      <w:pPr>
        <w:autoSpaceDE w:val="0"/>
        <w:autoSpaceDN w:val="0"/>
        <w:spacing w:before="160" w:after="0" w:line="252" w:lineRule="auto"/>
        <w:rPr>
          <w:rFonts w:eastAsia="Calibri" w:cstheme="minorHAnsi"/>
          <w:b/>
          <w:kern w:val="0"/>
          <w:lang w:val="en-US"/>
        </w:rPr>
      </w:pPr>
      <w:r w:rsidRPr="00575429">
        <w:rPr>
          <w:rFonts w:eastAsia="Calibri" w:cstheme="minorHAnsi"/>
          <w:b/>
          <w:bCs/>
          <w:iCs/>
          <w:kern w:val="0"/>
          <w:lang w:val="en-US"/>
        </w:rPr>
        <w:t xml:space="preserve">Item [7] – </w:t>
      </w:r>
      <w:r w:rsidRPr="00575429">
        <w:rPr>
          <w:rFonts w:eastAsia="Calibri" w:cstheme="minorHAnsi"/>
          <w:b/>
          <w:bCs/>
          <w:kern w:val="0"/>
          <w:lang w:val="en-US"/>
        </w:rPr>
        <w:t>regulation 3</w:t>
      </w:r>
      <w:r w:rsidR="00965811">
        <w:rPr>
          <w:rFonts w:eastAsia="Calibri" w:cstheme="minorHAnsi"/>
          <w:b/>
          <w:bCs/>
          <w:kern w:val="0"/>
          <w:lang w:val="en-US"/>
        </w:rPr>
        <w:t xml:space="preserve"> (table item 1)</w:t>
      </w:r>
    </w:p>
    <w:p w14:paraId="19D46484" w14:textId="69C8EDE3"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This item </w:t>
      </w:r>
      <w:r w:rsidR="003A4D5F">
        <w:rPr>
          <w:rFonts w:eastAsia="Calibri" w:cstheme="minorHAnsi"/>
          <w:kern w:val="0"/>
        </w:rPr>
        <w:t>amend</w:t>
      </w:r>
      <w:r w:rsidR="00892F61">
        <w:rPr>
          <w:rFonts w:eastAsia="Calibri" w:cstheme="minorHAnsi"/>
          <w:kern w:val="0"/>
        </w:rPr>
        <w:t>s</w:t>
      </w:r>
      <w:r w:rsidRPr="00575429">
        <w:rPr>
          <w:rFonts w:eastAsia="Calibri" w:cstheme="minorHAnsi"/>
          <w:kern w:val="0"/>
        </w:rPr>
        <w:t xml:space="preserve"> table item 1 in regulation 3 of the OIP Regulations to reduce by $50 the amount for the Australian Olympic Committee must pay to apply to register a design of an </w:t>
      </w:r>
      <w:proofErr w:type="spellStart"/>
      <w:r w:rsidRPr="00575429">
        <w:rPr>
          <w:rFonts w:eastAsia="Calibri" w:cstheme="minorHAnsi"/>
          <w:kern w:val="0"/>
        </w:rPr>
        <w:t>olympic</w:t>
      </w:r>
      <w:proofErr w:type="spellEnd"/>
      <w:r w:rsidRPr="00575429">
        <w:rPr>
          <w:rFonts w:eastAsia="Calibri" w:cstheme="minorHAnsi"/>
          <w:kern w:val="0"/>
        </w:rPr>
        <w:t xml:space="preserve"> artistic work under the OIP Act. This is by analogy with the reduction in the amounts of the application fee for registering a design under the Designs Act: notes on item [6] above.</w:t>
      </w:r>
    </w:p>
    <w:p w14:paraId="0420E2B1" w14:textId="77777777" w:rsidR="00575429" w:rsidRPr="00575429" w:rsidRDefault="00575429" w:rsidP="00472D7B">
      <w:pPr>
        <w:autoSpaceDE w:val="0"/>
        <w:autoSpaceDN w:val="0"/>
        <w:spacing w:before="160" w:after="0" w:line="252" w:lineRule="auto"/>
        <w:rPr>
          <w:rFonts w:eastAsia="Calibri" w:cstheme="minorHAnsi"/>
          <w:i/>
          <w:kern w:val="0"/>
          <w:lang w:val="en-US"/>
        </w:rPr>
      </w:pPr>
      <w:r w:rsidRPr="00575429">
        <w:rPr>
          <w:rFonts w:eastAsia="Calibri" w:cstheme="minorHAnsi"/>
          <w:i/>
          <w:iCs/>
          <w:kern w:val="0"/>
          <w:lang w:val="en-US"/>
        </w:rPr>
        <w:t>Patents Regulations 1991</w:t>
      </w:r>
    </w:p>
    <w:p w14:paraId="7CA55665" w14:textId="29CAC42C" w:rsidR="00575429" w:rsidRPr="00575429" w:rsidRDefault="00575429" w:rsidP="00472D7B">
      <w:pPr>
        <w:autoSpaceDE w:val="0"/>
        <w:autoSpaceDN w:val="0"/>
        <w:spacing w:before="160" w:after="0" w:line="252" w:lineRule="auto"/>
        <w:rPr>
          <w:rFonts w:eastAsia="Calibri" w:cstheme="minorHAnsi"/>
          <w:b/>
          <w:kern w:val="0"/>
          <w:lang w:val="en-US"/>
        </w:rPr>
      </w:pPr>
      <w:r w:rsidRPr="00575429">
        <w:rPr>
          <w:rFonts w:eastAsia="Calibri" w:cstheme="minorHAnsi"/>
          <w:b/>
          <w:bCs/>
          <w:iCs/>
          <w:kern w:val="0"/>
          <w:lang w:val="en-US"/>
        </w:rPr>
        <w:t>Items [8]</w:t>
      </w:r>
      <w:r w:rsidR="0098787D">
        <w:rPr>
          <w:rFonts w:eastAsia="Calibri" w:cstheme="minorHAnsi"/>
          <w:b/>
          <w:bCs/>
          <w:iCs/>
          <w:kern w:val="0"/>
          <w:lang w:val="en-US"/>
        </w:rPr>
        <w:t xml:space="preserve"> and </w:t>
      </w:r>
      <w:r w:rsidRPr="00575429">
        <w:rPr>
          <w:rFonts w:eastAsia="Calibri" w:cstheme="minorHAnsi"/>
          <w:b/>
          <w:bCs/>
          <w:iCs/>
          <w:kern w:val="0"/>
          <w:lang w:val="en-US"/>
        </w:rPr>
        <w:t xml:space="preserve">[9] – </w:t>
      </w:r>
      <w:r w:rsidRPr="00575429">
        <w:rPr>
          <w:rFonts w:eastAsia="Calibri" w:cstheme="minorHAnsi"/>
          <w:b/>
          <w:bCs/>
          <w:kern w:val="0"/>
          <w:lang w:val="en-US"/>
        </w:rPr>
        <w:t>definition</w:t>
      </w:r>
      <w:r w:rsidR="00E2363F">
        <w:rPr>
          <w:rFonts w:eastAsia="Calibri" w:cstheme="minorHAnsi"/>
          <w:b/>
          <w:bCs/>
          <w:kern w:val="0"/>
          <w:lang w:val="en-US"/>
        </w:rPr>
        <w:t>s</w:t>
      </w:r>
      <w:r w:rsidRPr="00575429">
        <w:rPr>
          <w:rFonts w:eastAsia="Calibri" w:cstheme="minorHAnsi"/>
          <w:b/>
          <w:bCs/>
          <w:kern w:val="0"/>
          <w:lang w:val="en-US"/>
        </w:rPr>
        <w:t xml:space="preserve"> of expressions; consequential amendments</w:t>
      </w:r>
    </w:p>
    <w:p w14:paraId="06B0609B" w14:textId="3796F4D6" w:rsidR="00AA5065" w:rsidRPr="00AA5065" w:rsidRDefault="00575429" w:rsidP="00AA5065">
      <w:pPr>
        <w:autoSpaceDE w:val="0"/>
        <w:autoSpaceDN w:val="0"/>
        <w:spacing w:before="160" w:after="0" w:line="252" w:lineRule="auto"/>
        <w:rPr>
          <w:rFonts w:eastAsia="Calibri" w:cstheme="minorHAnsi"/>
          <w:kern w:val="0"/>
          <w:lang w:val="en-US"/>
        </w:rPr>
      </w:pPr>
      <w:r w:rsidRPr="00575429">
        <w:rPr>
          <w:rFonts w:eastAsia="Calibri" w:cstheme="minorHAnsi"/>
          <w:kern w:val="0"/>
        </w:rPr>
        <w:t xml:space="preserve">Item [8] </w:t>
      </w:r>
      <w:r w:rsidR="003A4D5F">
        <w:rPr>
          <w:rFonts w:eastAsia="Calibri" w:cstheme="minorHAnsi"/>
          <w:kern w:val="0"/>
        </w:rPr>
        <w:t>amend</w:t>
      </w:r>
      <w:r w:rsidR="00DE2BA9">
        <w:rPr>
          <w:rFonts w:eastAsia="Calibri" w:cstheme="minorHAnsi"/>
          <w:kern w:val="0"/>
        </w:rPr>
        <w:t>s</w:t>
      </w:r>
      <w:r w:rsidRPr="00575429">
        <w:rPr>
          <w:rFonts w:eastAsia="Calibri" w:cstheme="minorHAnsi"/>
          <w:kern w:val="0"/>
        </w:rPr>
        <w:t xml:space="preserve"> </w:t>
      </w:r>
      <w:proofErr w:type="spellStart"/>
      <w:r w:rsidRPr="00575429">
        <w:rPr>
          <w:rFonts w:eastAsia="Calibri" w:cstheme="minorHAnsi"/>
          <w:kern w:val="0"/>
          <w:lang w:val="en-US"/>
        </w:rPr>
        <w:t>subregulation</w:t>
      </w:r>
      <w:proofErr w:type="spellEnd"/>
      <w:r w:rsidRPr="00575429">
        <w:rPr>
          <w:rFonts w:eastAsia="Calibri" w:cstheme="minorHAnsi"/>
          <w:kern w:val="0"/>
          <w:lang w:val="en-US"/>
        </w:rPr>
        <w:t xml:space="preserve"> 1.3(1) of the Patents Regulations to insert definition</w:t>
      </w:r>
      <w:r w:rsidR="00E2363F">
        <w:rPr>
          <w:rFonts w:eastAsia="Calibri" w:cstheme="minorHAnsi"/>
          <w:kern w:val="0"/>
          <w:lang w:val="en-US"/>
        </w:rPr>
        <w:t>s</w:t>
      </w:r>
      <w:r w:rsidRPr="00575429">
        <w:rPr>
          <w:rFonts w:eastAsia="Calibri" w:cstheme="minorHAnsi"/>
          <w:kern w:val="0"/>
          <w:lang w:val="en-US"/>
        </w:rPr>
        <w:t xml:space="preserve"> of the expressions ‘first examination report date’ and ‘potential claim’ The expression ‘first examination report date’ is defined in relation to </w:t>
      </w:r>
      <w:r w:rsidR="00202947">
        <w:rPr>
          <w:rFonts w:hAnsi="Times New Roman" w:cs="Times New Roman"/>
        </w:rPr>
        <w:t xml:space="preserve">an application for a standard patent </w:t>
      </w:r>
      <w:r w:rsidRPr="00575429">
        <w:rPr>
          <w:rFonts w:eastAsia="Calibri" w:cstheme="minorHAnsi"/>
          <w:kern w:val="0"/>
          <w:lang w:val="en-US"/>
        </w:rPr>
        <w:t xml:space="preserve">as meaning the </w:t>
      </w:r>
      <w:r w:rsidR="00ED5271">
        <w:rPr>
          <w:rFonts w:eastAsia="Calibri" w:cstheme="minorHAnsi"/>
          <w:kern w:val="0"/>
          <w:lang w:val="en-US"/>
        </w:rPr>
        <w:t xml:space="preserve">day </w:t>
      </w:r>
      <w:r w:rsidRPr="00575429">
        <w:rPr>
          <w:rFonts w:eastAsia="Calibri" w:cstheme="minorHAnsi"/>
          <w:kern w:val="0"/>
          <w:lang w:val="en-US"/>
        </w:rPr>
        <w:t xml:space="preserve">that the Commissioner of Patents (Commissioner) first </w:t>
      </w:r>
      <w:r w:rsidR="00D33F1A">
        <w:rPr>
          <w:rFonts w:eastAsia="Calibri" w:cstheme="minorHAnsi"/>
          <w:kern w:val="0"/>
          <w:lang w:val="en-US"/>
        </w:rPr>
        <w:t xml:space="preserve">reports </w:t>
      </w:r>
      <w:r w:rsidRPr="00575429">
        <w:rPr>
          <w:rFonts w:eastAsia="Calibri" w:cstheme="minorHAnsi"/>
          <w:kern w:val="0"/>
          <w:lang w:val="en-US"/>
        </w:rPr>
        <w:t>under subsection 45 of the Act</w:t>
      </w:r>
      <w:r w:rsidR="00A85829">
        <w:rPr>
          <w:rFonts w:eastAsia="Calibri" w:cstheme="minorHAnsi"/>
          <w:kern w:val="0"/>
          <w:lang w:val="en-US"/>
        </w:rPr>
        <w:t xml:space="preserve"> </w:t>
      </w:r>
      <w:r w:rsidR="00D33F1A">
        <w:rPr>
          <w:rFonts w:hAnsi="Times New Roman" w:cs="Times New Roman"/>
        </w:rPr>
        <w:t xml:space="preserve">on </w:t>
      </w:r>
      <w:r w:rsidR="00A85829">
        <w:rPr>
          <w:rFonts w:hAnsi="Times New Roman" w:cs="Times New Roman"/>
        </w:rPr>
        <w:t>the patent request and specification relating to the application</w:t>
      </w:r>
      <w:r w:rsidRPr="00575429">
        <w:rPr>
          <w:rFonts w:eastAsia="Calibri" w:cstheme="minorHAnsi"/>
          <w:kern w:val="0"/>
          <w:lang w:val="en-US"/>
        </w:rPr>
        <w:t>. The expression ‘potential claim’</w:t>
      </w:r>
      <w:r w:rsidR="00AA5065" w:rsidRPr="00AA5065">
        <w:t xml:space="preserve"> </w:t>
      </w:r>
      <w:r w:rsidR="00AA5065" w:rsidRPr="00AA5065">
        <w:rPr>
          <w:rFonts w:eastAsia="Calibri" w:cstheme="minorHAnsi"/>
          <w:kern w:val="0"/>
          <w:lang w:val="en-US"/>
        </w:rPr>
        <w:t>is defined in relation to a patent application as meaning either</w:t>
      </w:r>
      <w:r w:rsidR="00153A54">
        <w:rPr>
          <w:rFonts w:eastAsia="Calibri" w:cstheme="minorHAnsi"/>
          <w:kern w:val="0"/>
          <w:lang w:val="en-US"/>
        </w:rPr>
        <w:t xml:space="preserve"> of the following</w:t>
      </w:r>
      <w:r w:rsidR="00AA5065" w:rsidRPr="00AA5065">
        <w:rPr>
          <w:rFonts w:eastAsia="Calibri" w:cstheme="minorHAnsi"/>
          <w:kern w:val="0"/>
          <w:lang w:val="en-US"/>
        </w:rPr>
        <w:t>:</w:t>
      </w:r>
    </w:p>
    <w:p w14:paraId="3776BBF4" w14:textId="35EBE7E2" w:rsidR="00AA5065" w:rsidRPr="003114DA" w:rsidRDefault="00AA5065" w:rsidP="005307AB">
      <w:pPr>
        <w:pStyle w:val="ListParagraph0"/>
        <w:numPr>
          <w:ilvl w:val="0"/>
          <w:numId w:val="17"/>
        </w:numPr>
        <w:autoSpaceDE w:val="0"/>
        <w:autoSpaceDN w:val="0"/>
        <w:spacing w:before="160" w:after="0" w:line="252" w:lineRule="auto"/>
        <w:ind w:left="714" w:hanging="357"/>
        <w:contextualSpacing w:val="0"/>
        <w:rPr>
          <w:rFonts w:eastAsia="Calibri" w:cstheme="minorHAnsi"/>
          <w:kern w:val="0"/>
          <w:lang w:val="en-US"/>
        </w:rPr>
      </w:pPr>
      <w:r w:rsidRPr="003114DA">
        <w:rPr>
          <w:rFonts w:eastAsia="Calibri" w:cstheme="minorHAnsi"/>
          <w:kern w:val="0"/>
          <w:lang w:val="en-US"/>
        </w:rPr>
        <w:t>unless paragraph (b) applies – a claim in the complete specification to which the patent application relates</w:t>
      </w:r>
    </w:p>
    <w:p w14:paraId="6DF06670" w14:textId="25AA2B8E" w:rsidR="00575429" w:rsidRPr="003114DA" w:rsidRDefault="00AA5065" w:rsidP="005307AB">
      <w:pPr>
        <w:pStyle w:val="ListParagraph0"/>
        <w:numPr>
          <w:ilvl w:val="0"/>
          <w:numId w:val="17"/>
        </w:numPr>
        <w:autoSpaceDE w:val="0"/>
        <w:autoSpaceDN w:val="0"/>
        <w:spacing w:before="160" w:after="0" w:line="252" w:lineRule="auto"/>
        <w:ind w:left="714" w:hanging="357"/>
        <w:contextualSpacing w:val="0"/>
        <w:rPr>
          <w:rFonts w:eastAsia="Calibri" w:cstheme="minorHAnsi"/>
          <w:kern w:val="0"/>
        </w:rPr>
      </w:pPr>
      <w:r w:rsidRPr="003114DA">
        <w:rPr>
          <w:rFonts w:eastAsia="Calibri" w:cstheme="minorHAnsi"/>
          <w:kern w:val="0"/>
          <w:lang w:val="en-US"/>
        </w:rPr>
        <w:t xml:space="preserve">if there are any requests </w:t>
      </w:r>
      <w:r w:rsidR="00D92D30">
        <w:rPr>
          <w:rFonts w:eastAsia="Calibri" w:cstheme="minorHAnsi"/>
          <w:kern w:val="0"/>
          <w:lang w:val="en-US"/>
        </w:rPr>
        <w:t xml:space="preserve">made by the applicant </w:t>
      </w:r>
      <w:r w:rsidRPr="003114DA">
        <w:rPr>
          <w:rFonts w:eastAsia="Calibri" w:cstheme="minorHAnsi"/>
          <w:kern w:val="0"/>
          <w:lang w:val="en-US"/>
        </w:rPr>
        <w:t xml:space="preserve">for leave to amend the complete specification </w:t>
      </w:r>
      <w:r w:rsidR="00C5036B">
        <w:rPr>
          <w:rFonts w:eastAsia="Calibri" w:cstheme="minorHAnsi"/>
          <w:kern w:val="0"/>
          <w:lang w:val="en-US"/>
        </w:rPr>
        <w:t xml:space="preserve">to which the specification relates </w:t>
      </w:r>
      <w:r w:rsidRPr="003114DA">
        <w:rPr>
          <w:rFonts w:eastAsia="Calibri" w:cstheme="minorHAnsi"/>
          <w:kern w:val="0"/>
          <w:lang w:val="en-US"/>
        </w:rPr>
        <w:t>that the Commissioner has neither granted nor refused—a claim that would be in the complete specification if those requests were granted (including a claim that would be in the specification regardless)</w:t>
      </w:r>
      <w:r w:rsidR="00575429" w:rsidRPr="003114DA">
        <w:rPr>
          <w:rFonts w:eastAsia="Calibri" w:cstheme="minorHAnsi"/>
          <w:kern w:val="0"/>
          <w:lang w:val="en-US"/>
        </w:rPr>
        <w:t>.</w:t>
      </w:r>
    </w:p>
    <w:p w14:paraId="3A96B95E" w14:textId="2CA67525"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Item [9] </w:t>
      </w:r>
      <w:r w:rsidR="006A3A73">
        <w:rPr>
          <w:rFonts w:eastAsia="Calibri" w:cstheme="minorHAnsi"/>
          <w:kern w:val="0"/>
        </w:rPr>
        <w:t>makes</w:t>
      </w:r>
      <w:r w:rsidRPr="00575429">
        <w:rPr>
          <w:rFonts w:eastAsia="Calibri" w:cstheme="minorHAnsi"/>
          <w:kern w:val="0"/>
        </w:rPr>
        <w:t xml:space="preserve"> consequential amendments to paragraphs 13.4(1)(a) to (c) </w:t>
      </w:r>
      <w:r w:rsidR="00282AAF">
        <w:rPr>
          <w:rFonts w:eastAsia="Calibri" w:cstheme="minorHAnsi"/>
          <w:kern w:val="0"/>
        </w:rPr>
        <w:t xml:space="preserve">of the Patents Regulations </w:t>
      </w:r>
      <w:r w:rsidRPr="00575429">
        <w:rPr>
          <w:rFonts w:eastAsia="Calibri" w:cstheme="minorHAnsi"/>
          <w:kern w:val="0"/>
        </w:rPr>
        <w:t>to substitute the expression ‘first examination report date (if applicable)’ for the expression ‘date of the first report (if any) under section 45 of the Act’. Those paragraphs govern the lapsing of applications for standard patents, reckoning several lapsing periods from that date.</w:t>
      </w:r>
    </w:p>
    <w:p w14:paraId="43522D88" w14:textId="4DA7AB18" w:rsidR="00575429" w:rsidRPr="00575429" w:rsidRDefault="00575429" w:rsidP="005307AB">
      <w:pPr>
        <w:keepNext/>
        <w:autoSpaceDE w:val="0"/>
        <w:autoSpaceDN w:val="0"/>
        <w:spacing w:before="160" w:after="0" w:line="252" w:lineRule="auto"/>
        <w:rPr>
          <w:rFonts w:eastAsia="Calibri" w:cstheme="minorHAnsi"/>
          <w:b/>
          <w:bCs/>
          <w:kern w:val="0"/>
        </w:rPr>
      </w:pPr>
      <w:r w:rsidRPr="00575429">
        <w:rPr>
          <w:rFonts w:eastAsia="Calibri" w:cstheme="minorHAnsi"/>
          <w:b/>
          <w:bCs/>
          <w:kern w:val="0"/>
        </w:rPr>
        <w:t xml:space="preserve">Items </w:t>
      </w:r>
      <w:r w:rsidRPr="00575429">
        <w:rPr>
          <w:rFonts w:eastAsia="Calibri" w:cstheme="minorHAnsi"/>
          <w:b/>
          <w:bCs/>
          <w:iCs/>
          <w:kern w:val="0"/>
          <w:lang w:val="en-US"/>
        </w:rPr>
        <w:t>[1</w:t>
      </w:r>
      <w:r w:rsidR="00CA2B32">
        <w:rPr>
          <w:rFonts w:eastAsia="Calibri" w:cstheme="minorHAnsi"/>
          <w:b/>
          <w:bCs/>
          <w:iCs/>
          <w:kern w:val="0"/>
          <w:lang w:val="en-US"/>
        </w:rPr>
        <w:t>0</w:t>
      </w:r>
      <w:r w:rsidRPr="00575429">
        <w:rPr>
          <w:rFonts w:eastAsia="Calibri" w:cstheme="minorHAnsi"/>
          <w:b/>
          <w:bCs/>
          <w:iCs/>
          <w:kern w:val="0"/>
          <w:lang w:val="en-US"/>
        </w:rPr>
        <w:t>], [</w:t>
      </w:r>
      <w:r w:rsidR="00CA2B32">
        <w:rPr>
          <w:rFonts w:eastAsia="Calibri" w:cstheme="minorHAnsi"/>
          <w:b/>
          <w:bCs/>
          <w:iCs/>
          <w:kern w:val="0"/>
          <w:lang w:val="en-US"/>
        </w:rPr>
        <w:t>11</w:t>
      </w:r>
      <w:r w:rsidRPr="00575429">
        <w:rPr>
          <w:rFonts w:eastAsia="Calibri" w:cstheme="minorHAnsi"/>
          <w:b/>
          <w:bCs/>
          <w:iCs/>
          <w:kern w:val="0"/>
          <w:lang w:val="en-US"/>
        </w:rPr>
        <w:t>], [13], [14], [15], [</w:t>
      </w:r>
      <w:r w:rsidR="00C5036B">
        <w:rPr>
          <w:rFonts w:eastAsia="Calibri" w:cstheme="minorHAnsi"/>
          <w:b/>
          <w:bCs/>
          <w:iCs/>
          <w:kern w:val="0"/>
          <w:lang w:val="en-US"/>
        </w:rPr>
        <w:t>17</w:t>
      </w:r>
      <w:r w:rsidRPr="00575429">
        <w:rPr>
          <w:rFonts w:eastAsia="Calibri" w:cstheme="minorHAnsi"/>
          <w:b/>
          <w:bCs/>
          <w:iCs/>
          <w:kern w:val="0"/>
          <w:lang w:val="en-US"/>
        </w:rPr>
        <w:t>]</w:t>
      </w:r>
      <w:r w:rsidR="00C5036B">
        <w:rPr>
          <w:rFonts w:eastAsia="Calibri" w:cstheme="minorHAnsi"/>
          <w:b/>
          <w:bCs/>
          <w:iCs/>
          <w:kern w:val="0"/>
          <w:lang w:val="en-US"/>
        </w:rPr>
        <w:t>, [20]</w:t>
      </w:r>
      <w:r w:rsidRPr="00575429">
        <w:rPr>
          <w:rFonts w:eastAsia="Calibri" w:cstheme="minorHAnsi"/>
          <w:b/>
          <w:bCs/>
          <w:iCs/>
          <w:kern w:val="0"/>
          <w:lang w:val="en-US"/>
        </w:rPr>
        <w:t xml:space="preserve"> and [</w:t>
      </w:r>
      <w:r w:rsidR="00C5036B">
        <w:rPr>
          <w:rFonts w:eastAsia="Calibri" w:cstheme="minorHAnsi"/>
          <w:b/>
          <w:bCs/>
          <w:iCs/>
          <w:kern w:val="0"/>
          <w:lang w:val="en-US"/>
        </w:rPr>
        <w:t>22</w:t>
      </w:r>
      <w:r w:rsidRPr="00575429">
        <w:rPr>
          <w:rFonts w:eastAsia="Calibri" w:cstheme="minorHAnsi"/>
          <w:b/>
          <w:bCs/>
          <w:iCs/>
          <w:kern w:val="0"/>
          <w:lang w:val="en-US"/>
        </w:rPr>
        <w:t xml:space="preserve">] </w:t>
      </w:r>
      <w:r w:rsidRPr="00575429">
        <w:rPr>
          <w:rFonts w:eastAsia="Calibri" w:cstheme="minorHAnsi"/>
          <w:kern w:val="0"/>
        </w:rPr>
        <w:t xml:space="preserve">– </w:t>
      </w:r>
      <w:r w:rsidRPr="00575429">
        <w:rPr>
          <w:rFonts w:eastAsia="Calibri" w:cstheme="minorHAnsi"/>
          <w:b/>
          <w:bCs/>
          <w:kern w:val="0"/>
        </w:rPr>
        <w:t>regulations 22.2, 22.2EB, 22.2F, 23.53 and 23.54; clause 2 of Schedule 7 (table items 203A, 213)</w:t>
      </w:r>
    </w:p>
    <w:p w14:paraId="42A980D7" w14:textId="08E8E563"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These items </w:t>
      </w:r>
      <w:r w:rsidR="00C00C6C">
        <w:rPr>
          <w:rFonts w:eastAsia="Calibri" w:cstheme="minorHAnsi"/>
          <w:kern w:val="0"/>
        </w:rPr>
        <w:t>change</w:t>
      </w:r>
      <w:r w:rsidRPr="00575429">
        <w:rPr>
          <w:rFonts w:eastAsia="Calibri" w:cstheme="minorHAnsi"/>
          <w:kern w:val="0"/>
        </w:rPr>
        <w:t xml:space="preserve"> how the cost of examining a standard patent application with many claims </w:t>
      </w:r>
      <w:r w:rsidR="00EC722A">
        <w:rPr>
          <w:rFonts w:eastAsia="Calibri" w:cstheme="minorHAnsi"/>
          <w:kern w:val="0"/>
        </w:rPr>
        <w:t>is</w:t>
      </w:r>
      <w:r w:rsidRPr="00575429">
        <w:rPr>
          <w:rFonts w:eastAsia="Calibri" w:cstheme="minorHAnsi"/>
          <w:kern w:val="0"/>
        </w:rPr>
        <w:t xml:space="preserve"> recovered from its applicant.</w:t>
      </w:r>
    </w:p>
    <w:p w14:paraId="7BC0880D" w14:textId="77777777" w:rsidR="00575429" w:rsidRPr="00575429" w:rsidRDefault="00575429" w:rsidP="00472D7B">
      <w:pPr>
        <w:autoSpaceDE w:val="0"/>
        <w:autoSpaceDN w:val="0"/>
        <w:spacing w:before="160" w:after="0" w:line="252" w:lineRule="auto"/>
        <w:rPr>
          <w:rFonts w:eastAsia="Calibri" w:cstheme="minorHAnsi"/>
          <w:i/>
          <w:iCs/>
          <w:kern w:val="0"/>
        </w:rPr>
      </w:pPr>
      <w:r w:rsidRPr="00575429">
        <w:rPr>
          <w:rFonts w:eastAsia="Calibri" w:cstheme="minorHAnsi"/>
          <w:i/>
          <w:iCs/>
          <w:kern w:val="0"/>
        </w:rPr>
        <w:t>Background</w:t>
      </w:r>
    </w:p>
    <w:p w14:paraId="243053A9" w14:textId="69B4AB61"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A complete patent application consists of a patent request and a complete specification. The complete specification includes a description of the invention and the claims that define the monopoly sought to be granted for that invention.</w:t>
      </w:r>
    </w:p>
    <w:p w14:paraId="6D063476" w14:textId="41E616EE"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lastRenderedPageBreak/>
        <w:t xml:space="preserve">A complete application for grant of a standard patent </w:t>
      </w:r>
      <w:r w:rsidR="001B21B7">
        <w:rPr>
          <w:rFonts w:eastAsia="Calibri" w:cstheme="minorHAnsi"/>
          <w:kern w:val="0"/>
        </w:rPr>
        <w:t xml:space="preserve">(standard application) </w:t>
      </w:r>
      <w:r w:rsidRPr="00575429">
        <w:rPr>
          <w:rFonts w:eastAsia="Calibri" w:cstheme="minorHAnsi"/>
          <w:kern w:val="0"/>
        </w:rPr>
        <w:t xml:space="preserve">can be filed directly with the Patent Office. An international application under the auspices of the Patent Cooperation Treaty (PCT) is referred to as a PCT application. A PCT application can be filed with the Patent Office or a foreign patent office – as a receiving Office under the PCT – but is only treated as a </w:t>
      </w:r>
      <w:r w:rsidR="00CD0D3D">
        <w:rPr>
          <w:rFonts w:eastAsia="Calibri" w:cstheme="minorHAnsi"/>
          <w:kern w:val="0"/>
        </w:rPr>
        <w:t xml:space="preserve">standard application </w:t>
      </w:r>
      <w:r w:rsidRPr="00575429">
        <w:rPr>
          <w:rFonts w:eastAsia="Calibri" w:cstheme="minorHAnsi"/>
          <w:kern w:val="0"/>
        </w:rPr>
        <w:t>if it ‘enters national phase’ in Australia: section 29A and Schedule 1 (definition of ‘PCT application’) of the Patents Act. In either case, the applicant may request examination under section 44 of the Patents Act, paying the fee prescribed in table item 204 or 205 in clause 2 of Schedule 7 to the Patents Regulations.</w:t>
      </w:r>
    </w:p>
    <w:p w14:paraId="22178A4E" w14:textId="7C663892"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The Commissioner of Patents (Commissioner) examines and reports on the application under section</w:t>
      </w:r>
      <w:r w:rsidR="000A3B1D">
        <w:rPr>
          <w:rFonts w:eastAsia="Calibri" w:cstheme="minorHAnsi"/>
          <w:kern w:val="0"/>
        </w:rPr>
        <w:t> </w:t>
      </w:r>
      <w:r w:rsidRPr="00575429">
        <w:rPr>
          <w:rFonts w:eastAsia="Calibri" w:cstheme="minorHAnsi"/>
          <w:kern w:val="0"/>
        </w:rPr>
        <w:t>45 of the Patents Act and regulations 3.17B to 3.19 of the Patents Regulations. The Commissioner can do this more than once, before accepting the application under section 49 of the Patents Act. The Commissioner must accept the application – if it meets the requirements for grant of a patent in subsection 49(1) of the Patents Act and regulation 3.18 of the Patents Regulations. An application cannot be accepted without having been examined and reported on, since this is how the Commissioner forms the opinion required in subsection 49(1) of the Patents Act.</w:t>
      </w:r>
    </w:p>
    <w:p w14:paraId="7C219A7D" w14:textId="78952F0C"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Generally, if the application is not accepted within 12 months of the date of the first report on it, then it lapses: paragraph 142(2)(e) of the Patents Act; paragraph 13.4(1)(b) of the Patents Regulations. This 12-month period is referred to as the acceptance period.</w:t>
      </w:r>
    </w:p>
    <w:p w14:paraId="3030AA8B" w14:textId="375D7CD1"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The number of claims in a complete specification is not fixed when the application is filed or enters national phase. The applicant can request </w:t>
      </w:r>
      <w:r w:rsidR="006429D5">
        <w:rPr>
          <w:rFonts w:eastAsia="Calibri" w:cstheme="minorHAnsi"/>
          <w:kern w:val="0"/>
        </w:rPr>
        <w:t>leave to amend the complete spe</w:t>
      </w:r>
      <w:r w:rsidR="00EF5D4A">
        <w:rPr>
          <w:rFonts w:eastAsia="Calibri" w:cstheme="minorHAnsi"/>
          <w:kern w:val="0"/>
        </w:rPr>
        <w:t xml:space="preserve">cification </w:t>
      </w:r>
      <w:r w:rsidRPr="00575429">
        <w:rPr>
          <w:rFonts w:eastAsia="Calibri" w:cstheme="minorHAnsi"/>
          <w:kern w:val="0"/>
        </w:rPr>
        <w:t xml:space="preserve">under section 104 of the Patents Act to increase or decrease the number of claims. Before the applicant has requested examination of the application, filing a request for leave to amend a complete specification is subject to a prescribed fee: paragraph (a) of table item 222 in clause 2 of Schedule 7 to the Patents Regulations. This is unless the applicant asks the Commissioner to defer considering the request for leave to amend until the Commissioner examines the patent request and complete specification: </w:t>
      </w:r>
      <w:r w:rsidR="00E939C1" w:rsidRPr="00575429">
        <w:rPr>
          <w:rFonts w:eastAsia="Calibri" w:cstheme="minorHAnsi"/>
          <w:kern w:val="0"/>
        </w:rPr>
        <w:t xml:space="preserve">regulation 10.6A </w:t>
      </w:r>
      <w:r w:rsidR="00E939C1">
        <w:rPr>
          <w:rFonts w:eastAsia="Calibri" w:cstheme="minorHAnsi"/>
          <w:kern w:val="0"/>
        </w:rPr>
        <w:t xml:space="preserve">of the </w:t>
      </w:r>
      <w:r w:rsidRPr="00575429">
        <w:rPr>
          <w:rFonts w:eastAsia="Calibri" w:cstheme="minorHAnsi"/>
          <w:kern w:val="0"/>
        </w:rPr>
        <w:t>Patents Regulations. Such a request ‘in anticipation of examination’ incurs no fee. So, too, the applicant does not incur any fee for filing a request for leave to amend a complete specification between requesting its examination and its acceptance (if ever). There can be multiple requests for amendment of a patent application: in anticipation of examination; between requesting examination and the first report issuing; in response to the first or subsequent reports.</w:t>
      </w:r>
    </w:p>
    <w:p w14:paraId="560B5728" w14:textId="744ED9BE"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Requests for leave to amend in anticipation of examination, or between requesting examination and acceptance, are not given effect immediately – even if allowable under section 102 of the Patents Act. For such requests, the Commissioner only grants leave to amend the complete specification, and allows the amendment, when the complete specification is in order for acceptance: </w:t>
      </w:r>
      <w:proofErr w:type="spellStart"/>
      <w:r w:rsidRPr="00575429">
        <w:rPr>
          <w:rFonts w:eastAsia="Calibri" w:cstheme="minorHAnsi"/>
          <w:kern w:val="0"/>
        </w:rPr>
        <w:t>subregulations</w:t>
      </w:r>
      <w:proofErr w:type="spellEnd"/>
      <w:r w:rsidRPr="00575429">
        <w:rPr>
          <w:rFonts w:eastAsia="Calibri" w:cstheme="minorHAnsi"/>
          <w:kern w:val="0"/>
        </w:rPr>
        <w:t xml:space="preserve"> 10.5(1) and 10.6(1) of the Patents Regulations. This may be up to 12 months after the first report, noting that an application cannot be amended when</w:t>
      </w:r>
      <w:r w:rsidRPr="00575429" w:rsidDel="003271E6">
        <w:rPr>
          <w:rFonts w:eastAsia="Calibri" w:cstheme="minorHAnsi"/>
          <w:kern w:val="0"/>
        </w:rPr>
        <w:t xml:space="preserve"> </w:t>
      </w:r>
      <w:r w:rsidR="003271E6">
        <w:rPr>
          <w:rFonts w:eastAsia="Calibri" w:cstheme="minorHAnsi"/>
          <w:kern w:val="0"/>
        </w:rPr>
        <w:t>it is lapsed</w:t>
      </w:r>
      <w:r w:rsidRPr="00575429">
        <w:rPr>
          <w:rFonts w:eastAsia="Calibri" w:cstheme="minorHAnsi"/>
          <w:kern w:val="0"/>
        </w:rPr>
        <w:t xml:space="preserve">. Nevertheless, the Commissioner examines the specification as if each proposed amendment had already been made: </w:t>
      </w:r>
      <w:proofErr w:type="spellStart"/>
      <w:r w:rsidRPr="00575429">
        <w:rPr>
          <w:rFonts w:eastAsia="Calibri" w:cstheme="minorHAnsi"/>
          <w:kern w:val="0"/>
        </w:rPr>
        <w:t>subregulation</w:t>
      </w:r>
      <w:proofErr w:type="spellEnd"/>
      <w:r w:rsidRPr="00575429">
        <w:rPr>
          <w:rFonts w:eastAsia="Calibri" w:cstheme="minorHAnsi"/>
          <w:kern w:val="0"/>
        </w:rPr>
        <w:t xml:space="preserve"> 3.19(3) of the Patents Regulations.</w:t>
      </w:r>
    </w:p>
    <w:p w14:paraId="0C1B905F" w14:textId="24824D37" w:rsidR="00575429" w:rsidRPr="00575429" w:rsidRDefault="00575429" w:rsidP="00A4756C">
      <w:pPr>
        <w:autoSpaceDE w:val="0"/>
        <w:autoSpaceDN w:val="0"/>
        <w:spacing w:before="160" w:after="0" w:line="252" w:lineRule="auto"/>
        <w:rPr>
          <w:rFonts w:eastAsia="Calibri" w:cstheme="minorHAnsi"/>
          <w:kern w:val="0"/>
        </w:rPr>
      </w:pPr>
      <w:r w:rsidRPr="00575429">
        <w:rPr>
          <w:rFonts w:eastAsia="Calibri" w:cstheme="minorHAnsi"/>
          <w:kern w:val="0"/>
        </w:rPr>
        <w:t>Currently, there is a fee on acceptance of a standard application after its examination</w:t>
      </w:r>
      <w:r w:rsidR="003271E6">
        <w:rPr>
          <w:rFonts w:eastAsia="Calibri" w:cstheme="minorHAnsi"/>
          <w:kern w:val="0"/>
        </w:rPr>
        <w:t>:</w:t>
      </w:r>
      <w:r w:rsidR="00A0524C">
        <w:rPr>
          <w:rFonts w:eastAsia="Calibri" w:cstheme="minorHAnsi"/>
          <w:kern w:val="0"/>
        </w:rPr>
        <w:t xml:space="preserve"> </w:t>
      </w:r>
      <w:r w:rsidR="00A0524C">
        <w:rPr>
          <w:rFonts w:hAnsi="Times New Roman" w:cs="Times New Roman"/>
        </w:rPr>
        <w:t xml:space="preserve">table item 213 </w:t>
      </w:r>
      <w:r w:rsidR="00A0524C" w:rsidRPr="006344E3">
        <w:rPr>
          <w:rFonts w:hAnsi="Times New Roman" w:cs="Times New Roman"/>
        </w:rPr>
        <w:t>in clause 2 of Schedule 7 to the Patents Regulations</w:t>
      </w:r>
      <w:r w:rsidRPr="00575429">
        <w:rPr>
          <w:rFonts w:eastAsia="Calibri" w:cstheme="minorHAnsi"/>
          <w:kern w:val="0"/>
        </w:rPr>
        <w:t>. This is made up of a flat amount of $250 plus an amount reckoned on the number of claims in the patent application at acceptance (excess-claims amount):</w:t>
      </w:r>
    </w:p>
    <w:p w14:paraId="187E4323" w14:textId="77777777" w:rsidR="00575429" w:rsidRPr="00575429" w:rsidRDefault="00575429" w:rsidP="00A4756C">
      <w:pPr>
        <w:numPr>
          <w:ilvl w:val="0"/>
          <w:numId w:val="9"/>
        </w:numPr>
        <w:autoSpaceDE w:val="0"/>
        <w:autoSpaceDN w:val="0"/>
        <w:spacing w:before="80" w:after="0" w:line="252" w:lineRule="auto"/>
        <w:rPr>
          <w:rFonts w:eastAsia="Calibri" w:cstheme="minorHAnsi"/>
          <w:kern w:val="0"/>
        </w:rPr>
      </w:pPr>
      <w:r w:rsidRPr="00575429">
        <w:rPr>
          <w:rFonts w:eastAsia="Calibri" w:cstheme="minorHAnsi"/>
          <w:kern w:val="0"/>
        </w:rPr>
        <w:t>The first 20 claims are free.</w:t>
      </w:r>
    </w:p>
    <w:p w14:paraId="3EE25927" w14:textId="77777777" w:rsidR="00575429" w:rsidRPr="00575429" w:rsidRDefault="00575429" w:rsidP="00A4756C">
      <w:pPr>
        <w:numPr>
          <w:ilvl w:val="0"/>
          <w:numId w:val="9"/>
        </w:numPr>
        <w:autoSpaceDE w:val="0"/>
        <w:autoSpaceDN w:val="0"/>
        <w:spacing w:before="80" w:after="0" w:line="252" w:lineRule="auto"/>
        <w:rPr>
          <w:rFonts w:eastAsia="Calibri" w:cstheme="minorHAnsi"/>
          <w:kern w:val="0"/>
        </w:rPr>
      </w:pPr>
      <w:r w:rsidRPr="00575429">
        <w:rPr>
          <w:rFonts w:eastAsia="Calibri" w:cstheme="minorHAnsi"/>
          <w:kern w:val="0"/>
        </w:rPr>
        <w:t>A per-claim fee of $125 is payable for each of the 21st to the 30th claims.</w:t>
      </w:r>
    </w:p>
    <w:p w14:paraId="0C82F2EE" w14:textId="041DE35F" w:rsidR="00575429" w:rsidRPr="00575429" w:rsidRDefault="00575429" w:rsidP="002054C5">
      <w:pPr>
        <w:numPr>
          <w:ilvl w:val="0"/>
          <w:numId w:val="9"/>
        </w:numPr>
        <w:autoSpaceDE w:val="0"/>
        <w:autoSpaceDN w:val="0"/>
        <w:spacing w:before="160" w:after="0" w:line="252" w:lineRule="auto"/>
        <w:rPr>
          <w:rFonts w:eastAsia="Calibri" w:cstheme="minorHAnsi"/>
          <w:kern w:val="0"/>
        </w:rPr>
      </w:pPr>
      <w:r w:rsidRPr="00575429">
        <w:rPr>
          <w:rFonts w:eastAsia="Calibri" w:cstheme="minorHAnsi"/>
          <w:kern w:val="0"/>
        </w:rPr>
        <w:t>A per-claim fee of $250 is payable for each claim in excess of 30 claims.</w:t>
      </w:r>
    </w:p>
    <w:p w14:paraId="16AE4C10" w14:textId="09A87800"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 xml:space="preserve">The </w:t>
      </w:r>
      <w:r w:rsidR="00A0524C">
        <w:rPr>
          <w:rFonts w:eastAsia="Calibri" w:cstheme="minorHAnsi"/>
          <w:kern w:val="0"/>
          <w:lang w:val="en-US"/>
        </w:rPr>
        <w:t>excess</w:t>
      </w:r>
      <w:r w:rsidR="00011BF8">
        <w:rPr>
          <w:rFonts w:eastAsia="Calibri" w:cstheme="minorHAnsi"/>
          <w:kern w:val="0"/>
          <w:lang w:val="en-US"/>
        </w:rPr>
        <w:t>-</w:t>
      </w:r>
      <w:r w:rsidRPr="00575429">
        <w:rPr>
          <w:rFonts w:eastAsia="Calibri" w:cstheme="minorHAnsi"/>
          <w:kern w:val="0"/>
          <w:lang w:val="en-US"/>
        </w:rPr>
        <w:t>claims amount for a standard application accepted with 21 or more claims is intended to recover the additional cost of examining it.</w:t>
      </w:r>
    </w:p>
    <w:p w14:paraId="37A8ACBF" w14:textId="77777777" w:rsidR="00575429" w:rsidRPr="00575429" w:rsidRDefault="00575429" w:rsidP="00472D7B">
      <w:pPr>
        <w:keepNext/>
        <w:autoSpaceDE w:val="0"/>
        <w:autoSpaceDN w:val="0"/>
        <w:spacing w:before="160" w:after="0" w:line="252" w:lineRule="auto"/>
        <w:rPr>
          <w:rFonts w:eastAsia="Calibri" w:cstheme="minorHAnsi"/>
          <w:i/>
          <w:iCs/>
          <w:kern w:val="0"/>
        </w:rPr>
      </w:pPr>
      <w:r w:rsidRPr="00575429">
        <w:rPr>
          <w:rFonts w:eastAsia="Calibri" w:cstheme="minorHAnsi"/>
          <w:i/>
          <w:iCs/>
          <w:kern w:val="0"/>
        </w:rPr>
        <w:lastRenderedPageBreak/>
        <w:t>Excess claims at first report</w:t>
      </w:r>
    </w:p>
    <w:p w14:paraId="5CF7F84C" w14:textId="5AA36278" w:rsidR="00575429" w:rsidRPr="00575429" w:rsidRDefault="00CD40F5" w:rsidP="00472D7B">
      <w:pPr>
        <w:autoSpaceDE w:val="0"/>
        <w:autoSpaceDN w:val="0"/>
        <w:spacing w:before="160" w:after="0" w:line="252" w:lineRule="auto"/>
        <w:rPr>
          <w:rFonts w:eastAsia="Calibri" w:cstheme="minorHAnsi"/>
          <w:kern w:val="0"/>
          <w:lang w:val="en-US"/>
        </w:rPr>
      </w:pPr>
      <w:r>
        <w:rPr>
          <w:rFonts w:eastAsia="Calibri" w:cstheme="minorHAnsi"/>
          <w:kern w:val="0"/>
          <w:lang w:val="en-US"/>
        </w:rPr>
        <w:t xml:space="preserve">Unlike many jurisdictions around the world, </w:t>
      </w:r>
      <w:r w:rsidR="00694FE8">
        <w:rPr>
          <w:rFonts w:eastAsia="Calibri" w:cstheme="minorHAnsi"/>
          <w:kern w:val="0"/>
          <w:lang w:val="en-US"/>
        </w:rPr>
        <w:t xml:space="preserve">in </w:t>
      </w:r>
      <w:r>
        <w:rPr>
          <w:rFonts w:eastAsia="Calibri" w:cstheme="minorHAnsi"/>
          <w:kern w:val="0"/>
          <w:lang w:val="en-US"/>
        </w:rPr>
        <w:t xml:space="preserve">Australia </w:t>
      </w:r>
      <w:r w:rsidR="00694FE8">
        <w:rPr>
          <w:rFonts w:eastAsia="Calibri" w:cstheme="minorHAnsi"/>
          <w:kern w:val="0"/>
          <w:lang w:val="en-US"/>
        </w:rPr>
        <w:t>there is no existing</w:t>
      </w:r>
      <w:r w:rsidR="004A401F">
        <w:rPr>
          <w:rFonts w:eastAsia="Calibri" w:cstheme="minorHAnsi"/>
          <w:kern w:val="0"/>
          <w:lang w:val="en-US"/>
        </w:rPr>
        <w:t xml:space="preserve"> </w:t>
      </w:r>
      <w:r>
        <w:rPr>
          <w:rFonts w:eastAsia="Calibri" w:cstheme="minorHAnsi"/>
          <w:kern w:val="0"/>
          <w:lang w:val="en-US"/>
        </w:rPr>
        <w:t>excess</w:t>
      </w:r>
      <w:r w:rsidR="00B14A5A">
        <w:rPr>
          <w:rFonts w:eastAsia="Calibri" w:cstheme="minorHAnsi"/>
          <w:kern w:val="0"/>
          <w:lang w:val="en-US"/>
        </w:rPr>
        <w:t>-</w:t>
      </w:r>
      <w:r>
        <w:rPr>
          <w:rFonts w:eastAsia="Calibri" w:cstheme="minorHAnsi"/>
          <w:kern w:val="0"/>
          <w:lang w:val="en-US"/>
        </w:rPr>
        <w:t xml:space="preserve">claims fee </w:t>
      </w:r>
      <w:r w:rsidR="009A1595">
        <w:rPr>
          <w:rFonts w:eastAsia="Calibri" w:cstheme="minorHAnsi"/>
          <w:kern w:val="0"/>
          <w:lang w:val="en-US"/>
        </w:rPr>
        <w:t>charg</w:t>
      </w:r>
      <w:r>
        <w:rPr>
          <w:rFonts w:eastAsia="Calibri" w:cstheme="minorHAnsi"/>
          <w:kern w:val="0"/>
          <w:lang w:val="en-US"/>
        </w:rPr>
        <w:t xml:space="preserve">ed </w:t>
      </w:r>
      <w:r w:rsidR="009414C1">
        <w:rPr>
          <w:rFonts w:eastAsia="Calibri" w:cstheme="minorHAnsi"/>
          <w:kern w:val="0"/>
          <w:lang w:val="en-US"/>
        </w:rPr>
        <w:t>before</w:t>
      </w:r>
      <w:r>
        <w:rPr>
          <w:rFonts w:eastAsia="Calibri" w:cstheme="minorHAnsi"/>
          <w:kern w:val="0"/>
          <w:lang w:val="en-US"/>
        </w:rPr>
        <w:t xml:space="preserve"> acceptance of a</w:t>
      </w:r>
      <w:r w:rsidR="009A1595">
        <w:rPr>
          <w:rFonts w:eastAsia="Calibri" w:cstheme="minorHAnsi"/>
          <w:kern w:val="0"/>
          <w:lang w:val="en-US"/>
        </w:rPr>
        <w:t xml:space="preserve"> patent </w:t>
      </w:r>
      <w:r>
        <w:rPr>
          <w:rFonts w:eastAsia="Calibri" w:cstheme="minorHAnsi"/>
          <w:kern w:val="0"/>
          <w:lang w:val="en-US"/>
        </w:rPr>
        <w:t xml:space="preserve">application. </w:t>
      </w:r>
      <w:r w:rsidR="00575429" w:rsidRPr="00575429">
        <w:rPr>
          <w:rFonts w:eastAsia="Calibri" w:cstheme="minorHAnsi"/>
          <w:kern w:val="0"/>
          <w:lang w:val="en-US"/>
        </w:rPr>
        <w:t xml:space="preserve">A strategy used by some applicants is to file compete specifications with many claims, or to increase the number of claims after filing. The claims are examined and a first report issues. Shortly before the end of the acceptance period, the applicant seeks leave to amend the complete specification to reduce the number of claims. This can avoid incurring some of, or even all, of the </w:t>
      </w:r>
      <w:r w:rsidR="00575429" w:rsidRPr="00575429">
        <w:rPr>
          <w:rFonts w:eastAsia="Calibri" w:cstheme="minorHAnsi"/>
          <w:kern w:val="0"/>
        </w:rPr>
        <w:t>excess-claims amount</w:t>
      </w:r>
      <w:r w:rsidR="00575429" w:rsidRPr="00575429">
        <w:rPr>
          <w:rFonts w:eastAsia="Calibri" w:cstheme="minorHAnsi"/>
          <w:kern w:val="0"/>
          <w:lang w:val="en-US"/>
        </w:rPr>
        <w:t xml:space="preserve"> in the acceptance fee. As a result, there is examination</w:t>
      </w:r>
      <w:r w:rsidR="00575429" w:rsidRPr="00575429" w:rsidDel="00011BF8">
        <w:rPr>
          <w:rFonts w:eastAsia="Calibri" w:cstheme="minorHAnsi"/>
          <w:kern w:val="0"/>
          <w:lang w:val="en-US"/>
        </w:rPr>
        <w:t xml:space="preserve"> </w:t>
      </w:r>
      <w:r w:rsidR="00011BF8">
        <w:rPr>
          <w:rFonts w:eastAsia="Calibri" w:cstheme="minorHAnsi"/>
          <w:kern w:val="0"/>
          <w:lang w:val="en-US"/>
        </w:rPr>
        <w:t xml:space="preserve">expense </w:t>
      </w:r>
      <w:r w:rsidR="00575429" w:rsidRPr="00575429">
        <w:rPr>
          <w:rFonts w:eastAsia="Calibri" w:cstheme="minorHAnsi"/>
          <w:kern w:val="0"/>
          <w:lang w:val="en-US"/>
        </w:rPr>
        <w:t>whose cost is not recovered.</w:t>
      </w:r>
      <w:r w:rsidR="00BD6DDA">
        <w:rPr>
          <w:rFonts w:eastAsia="Calibri" w:cstheme="minorHAnsi"/>
          <w:kern w:val="0"/>
          <w:lang w:val="en-US"/>
        </w:rPr>
        <w:t xml:space="preserve"> </w:t>
      </w:r>
      <w:r w:rsidR="00BD6DDA">
        <w:rPr>
          <w:rFonts w:hAnsi="Times New Roman" w:cs="Times New Roman"/>
        </w:rPr>
        <w:t xml:space="preserve">This is because the patent examiner would have spent time considering </w:t>
      </w:r>
      <w:r w:rsidR="00D02AC7">
        <w:rPr>
          <w:rFonts w:hAnsi="Times New Roman" w:cs="Times New Roman"/>
        </w:rPr>
        <w:t xml:space="preserve">the </w:t>
      </w:r>
      <w:r w:rsidR="002B34CA">
        <w:rPr>
          <w:rFonts w:hAnsi="Times New Roman" w:cs="Times New Roman"/>
        </w:rPr>
        <w:t xml:space="preserve">many </w:t>
      </w:r>
      <w:r w:rsidR="00BD6DDA">
        <w:rPr>
          <w:rFonts w:hAnsi="Times New Roman" w:cs="Times New Roman"/>
        </w:rPr>
        <w:t>claims, the cost of which time is not then recovered through the acceptance fee.</w:t>
      </w:r>
    </w:p>
    <w:p w14:paraId="2FFD5E71" w14:textId="188A1F57"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rPr>
        <w:t>To address this strategy, item [</w:t>
      </w:r>
      <w:r w:rsidR="00C5709A">
        <w:rPr>
          <w:rFonts w:eastAsia="Calibri" w:cstheme="minorHAnsi"/>
          <w:kern w:val="0"/>
        </w:rPr>
        <w:t>20</w:t>
      </w:r>
      <w:r w:rsidRPr="00575429">
        <w:rPr>
          <w:rFonts w:eastAsia="Calibri" w:cstheme="minorHAnsi"/>
          <w:kern w:val="0"/>
        </w:rPr>
        <w:t xml:space="preserve">] </w:t>
      </w:r>
      <w:r w:rsidR="0088667C">
        <w:rPr>
          <w:rFonts w:eastAsia="Calibri" w:cstheme="minorHAnsi"/>
          <w:kern w:val="0"/>
        </w:rPr>
        <w:t>inserts</w:t>
      </w:r>
      <w:r w:rsidRPr="00575429">
        <w:rPr>
          <w:rFonts w:eastAsia="Calibri" w:cstheme="minorHAnsi"/>
          <w:kern w:val="0"/>
        </w:rPr>
        <w:t xml:space="preserve"> table item 203A into </w:t>
      </w:r>
      <w:r w:rsidR="00F958E5">
        <w:rPr>
          <w:rFonts w:eastAsia="Calibri" w:cstheme="minorHAnsi"/>
          <w:kern w:val="0"/>
        </w:rPr>
        <w:t>c</w:t>
      </w:r>
      <w:r w:rsidR="00F958E5" w:rsidRPr="00575429">
        <w:rPr>
          <w:rFonts w:eastAsia="Calibri" w:cstheme="minorHAnsi"/>
          <w:kern w:val="0"/>
        </w:rPr>
        <w:t xml:space="preserve">lause </w:t>
      </w:r>
      <w:r w:rsidRPr="00575429">
        <w:rPr>
          <w:rFonts w:eastAsia="Calibri" w:cstheme="minorHAnsi"/>
          <w:kern w:val="0"/>
        </w:rPr>
        <w:t xml:space="preserve">2 of Schedule 7 </w:t>
      </w:r>
      <w:r w:rsidR="00B608C1">
        <w:rPr>
          <w:rFonts w:eastAsia="Calibri" w:cstheme="minorHAnsi"/>
          <w:kern w:val="0"/>
        </w:rPr>
        <w:t>to</w:t>
      </w:r>
      <w:r w:rsidR="00B608C1" w:rsidRPr="00575429">
        <w:rPr>
          <w:rFonts w:eastAsia="Calibri" w:cstheme="minorHAnsi"/>
          <w:kern w:val="0"/>
        </w:rPr>
        <w:t xml:space="preserve"> </w:t>
      </w:r>
      <w:r w:rsidRPr="00575429">
        <w:rPr>
          <w:rFonts w:eastAsia="Calibri" w:cstheme="minorHAnsi"/>
          <w:kern w:val="0"/>
        </w:rPr>
        <w:t xml:space="preserve">the Patents Regulations. This </w:t>
      </w:r>
      <w:r w:rsidR="00E27104">
        <w:rPr>
          <w:rFonts w:eastAsia="Calibri" w:cstheme="minorHAnsi"/>
          <w:kern w:val="0"/>
        </w:rPr>
        <w:t>imposes</w:t>
      </w:r>
      <w:r w:rsidRPr="00575429">
        <w:rPr>
          <w:rFonts w:eastAsia="Calibri" w:cstheme="minorHAnsi"/>
          <w:kern w:val="0"/>
        </w:rPr>
        <w:t xml:space="preserve"> a new fee for excess claims at </w:t>
      </w:r>
      <w:r w:rsidR="00F958E5">
        <w:rPr>
          <w:rFonts w:eastAsia="Calibri" w:cstheme="minorHAnsi"/>
          <w:kern w:val="0"/>
        </w:rPr>
        <w:t xml:space="preserve">the start of </w:t>
      </w:r>
      <w:r w:rsidRPr="00575429">
        <w:rPr>
          <w:rFonts w:eastAsia="Calibri" w:cstheme="minorHAnsi"/>
          <w:kern w:val="0"/>
        </w:rPr>
        <w:t>the first examination report date (see notes on item [8])</w:t>
      </w:r>
      <w:r w:rsidRPr="00575429">
        <w:rPr>
          <w:rFonts w:eastAsia="Calibri" w:cstheme="minorHAnsi"/>
          <w:kern w:val="0"/>
          <w:lang w:val="en-US"/>
        </w:rPr>
        <w:t xml:space="preserve">. The new excess-claims fee </w:t>
      </w:r>
      <w:r w:rsidR="00886DDF">
        <w:rPr>
          <w:rFonts w:eastAsia="Calibri" w:cstheme="minorHAnsi"/>
          <w:kern w:val="0"/>
          <w:lang w:val="en-US"/>
        </w:rPr>
        <w:t>appl</w:t>
      </w:r>
      <w:r w:rsidR="00D56614">
        <w:rPr>
          <w:rFonts w:eastAsia="Calibri" w:cstheme="minorHAnsi"/>
          <w:kern w:val="0"/>
          <w:lang w:val="en-US"/>
        </w:rPr>
        <w:t>ies</w:t>
      </w:r>
      <w:r w:rsidRPr="00575429">
        <w:rPr>
          <w:rFonts w:eastAsia="Calibri" w:cstheme="minorHAnsi"/>
          <w:kern w:val="0"/>
          <w:lang w:val="en-US"/>
        </w:rPr>
        <w:t xml:space="preserve"> only if the complete specification </w:t>
      </w:r>
      <w:r w:rsidR="00DE2BA9">
        <w:rPr>
          <w:rFonts w:eastAsia="Calibri" w:cstheme="minorHAnsi"/>
          <w:kern w:val="0"/>
          <w:lang w:val="en-US"/>
        </w:rPr>
        <w:t>has</w:t>
      </w:r>
      <w:r w:rsidRPr="00575429">
        <w:rPr>
          <w:rFonts w:eastAsia="Calibri" w:cstheme="minorHAnsi"/>
          <w:kern w:val="0"/>
          <w:lang w:val="en-US"/>
        </w:rPr>
        <w:t xml:space="preserve"> more than 20 potential claims, and the first examination report is an ‘adverse first report’ (discussed further below).</w:t>
      </w:r>
    </w:p>
    <w:p w14:paraId="261CDEEF" w14:textId="47E4C906" w:rsidR="00575429" w:rsidRPr="00575429" w:rsidRDefault="0086740D" w:rsidP="00472D7B">
      <w:pPr>
        <w:autoSpaceDE w:val="0"/>
        <w:autoSpaceDN w:val="0"/>
        <w:spacing w:before="160" w:after="0" w:line="252" w:lineRule="auto"/>
        <w:rPr>
          <w:rFonts w:eastAsia="Calibri" w:cstheme="minorHAnsi"/>
          <w:kern w:val="0"/>
          <w:lang w:val="en-US"/>
        </w:rPr>
      </w:pPr>
      <w:r>
        <w:rPr>
          <w:rFonts w:hAnsi="Times New Roman" w:cs="Times New Roman"/>
        </w:rPr>
        <w:t xml:space="preserve">The new definition of the expression </w:t>
      </w:r>
      <w:r>
        <w:rPr>
          <w:rFonts w:hAnsi="Times New Roman" w:cs="Times New Roman"/>
        </w:rPr>
        <w:t>‘</w:t>
      </w:r>
      <w:r>
        <w:rPr>
          <w:rFonts w:hAnsi="Times New Roman" w:cs="Times New Roman"/>
        </w:rPr>
        <w:t>potential claim</w:t>
      </w:r>
      <w:r>
        <w:rPr>
          <w:rFonts w:hAnsi="Times New Roman" w:cs="Times New Roman"/>
        </w:rPr>
        <w:t>’</w:t>
      </w:r>
      <w:r>
        <w:rPr>
          <w:rFonts w:hAnsi="Times New Roman" w:cs="Times New Roman"/>
        </w:rPr>
        <w:t xml:space="preserve"> (item [8] above) </w:t>
      </w:r>
      <w:r w:rsidR="00D56614">
        <w:rPr>
          <w:rFonts w:eastAsia="Calibri" w:cstheme="minorHAnsi"/>
          <w:kern w:val="0"/>
          <w:lang w:val="en-US"/>
        </w:rPr>
        <w:t>ensures</w:t>
      </w:r>
      <w:r w:rsidR="00575429" w:rsidRPr="00575429">
        <w:rPr>
          <w:rFonts w:eastAsia="Calibri" w:cstheme="minorHAnsi"/>
          <w:kern w:val="0"/>
          <w:lang w:val="en-US"/>
        </w:rPr>
        <w:t xml:space="preserve"> that the amount of the new excess-claims fee reflects any requests for leave to amend the specification filed in anticipation of examination, or between requesting examination and the first examination report. Such requests for leave to amend </w:t>
      </w:r>
      <w:r w:rsidR="008144FB">
        <w:rPr>
          <w:rFonts w:eastAsia="Calibri" w:cstheme="minorHAnsi"/>
          <w:kern w:val="0"/>
          <w:lang w:val="en-US"/>
        </w:rPr>
        <w:t>can</w:t>
      </w:r>
      <w:r w:rsidR="00575429" w:rsidRPr="00575429">
        <w:rPr>
          <w:rFonts w:eastAsia="Calibri" w:cstheme="minorHAnsi"/>
          <w:kern w:val="0"/>
          <w:lang w:val="en-US"/>
        </w:rPr>
        <w:t xml:space="preserve"> increase or decrease the number of claims taken to be in the specification at the time of the first examination report. It is the specification as taken to be amended that </w:t>
      </w:r>
      <w:r w:rsidR="000B038D">
        <w:rPr>
          <w:rFonts w:eastAsia="Calibri" w:cstheme="minorHAnsi"/>
          <w:kern w:val="0"/>
          <w:lang w:val="en-US"/>
        </w:rPr>
        <w:t>is</w:t>
      </w:r>
      <w:r w:rsidR="00575429" w:rsidRPr="00575429">
        <w:rPr>
          <w:rFonts w:eastAsia="Calibri" w:cstheme="minorHAnsi"/>
          <w:kern w:val="0"/>
          <w:lang w:val="en-US"/>
        </w:rPr>
        <w:t xml:space="preserve"> examined and reported on, even although the request(s) for leave to amend </w:t>
      </w:r>
      <w:r w:rsidR="005453D0">
        <w:rPr>
          <w:rFonts w:eastAsia="Calibri" w:cstheme="minorHAnsi"/>
          <w:kern w:val="0"/>
          <w:lang w:val="en-US"/>
        </w:rPr>
        <w:t>cannot</w:t>
      </w:r>
      <w:r w:rsidR="00575429" w:rsidRPr="00575429">
        <w:rPr>
          <w:rFonts w:eastAsia="Calibri" w:cstheme="minorHAnsi"/>
          <w:kern w:val="0"/>
          <w:lang w:val="en-US"/>
        </w:rPr>
        <w:t xml:space="preserve"> be given effect until acceptance of the patent application (discussed above).</w:t>
      </w:r>
    </w:p>
    <w:p w14:paraId="3CA12E0C" w14:textId="60EEFB68"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By analogy with the </w:t>
      </w:r>
      <w:r w:rsidR="00AA2027">
        <w:rPr>
          <w:rFonts w:eastAsia="Calibri" w:cstheme="minorHAnsi"/>
          <w:kern w:val="0"/>
        </w:rPr>
        <w:t>existing</w:t>
      </w:r>
      <w:r w:rsidR="00225C8E">
        <w:rPr>
          <w:rFonts w:eastAsia="Calibri" w:cstheme="minorHAnsi"/>
          <w:kern w:val="0"/>
        </w:rPr>
        <w:t xml:space="preserve"> excess</w:t>
      </w:r>
      <w:r w:rsidR="00AA2027">
        <w:rPr>
          <w:rFonts w:eastAsia="Calibri" w:cstheme="minorHAnsi"/>
          <w:kern w:val="0"/>
        </w:rPr>
        <w:t>-</w:t>
      </w:r>
      <w:r w:rsidRPr="00575429">
        <w:rPr>
          <w:rFonts w:eastAsia="Calibri" w:cstheme="minorHAnsi"/>
          <w:kern w:val="0"/>
        </w:rPr>
        <w:t xml:space="preserve">claims </w:t>
      </w:r>
      <w:r w:rsidR="00AA2027">
        <w:rPr>
          <w:rFonts w:eastAsia="Calibri" w:cstheme="minorHAnsi"/>
          <w:kern w:val="0"/>
        </w:rPr>
        <w:t xml:space="preserve">amount </w:t>
      </w:r>
      <w:r w:rsidRPr="00575429">
        <w:rPr>
          <w:rFonts w:eastAsia="Calibri" w:cstheme="minorHAnsi"/>
          <w:kern w:val="0"/>
        </w:rPr>
        <w:t xml:space="preserve">of the acceptance fee (discussed above), the amount of the </w:t>
      </w:r>
      <w:r w:rsidR="00774DDC">
        <w:rPr>
          <w:rFonts w:eastAsia="Calibri" w:cstheme="minorHAnsi"/>
          <w:kern w:val="0"/>
        </w:rPr>
        <w:t xml:space="preserve">new </w:t>
      </w:r>
      <w:r w:rsidRPr="00575429">
        <w:rPr>
          <w:rFonts w:eastAsia="Calibri" w:cstheme="minorHAnsi"/>
          <w:kern w:val="0"/>
        </w:rPr>
        <w:t xml:space="preserve">excess-claims fee </w:t>
      </w:r>
      <w:r w:rsidR="00884456">
        <w:rPr>
          <w:rFonts w:eastAsia="Calibri" w:cstheme="minorHAnsi"/>
          <w:kern w:val="0"/>
        </w:rPr>
        <w:t>is</w:t>
      </w:r>
      <w:r w:rsidRPr="00575429">
        <w:rPr>
          <w:rFonts w:eastAsia="Calibri" w:cstheme="minorHAnsi"/>
          <w:kern w:val="0"/>
        </w:rPr>
        <w:t>:</w:t>
      </w:r>
    </w:p>
    <w:p w14:paraId="0E70572E" w14:textId="21D25BCC" w:rsidR="00575429" w:rsidRPr="00575429" w:rsidRDefault="00575429" w:rsidP="002054C5">
      <w:pPr>
        <w:numPr>
          <w:ilvl w:val="0"/>
          <w:numId w:val="9"/>
        </w:numPr>
        <w:autoSpaceDE w:val="0"/>
        <w:autoSpaceDN w:val="0"/>
        <w:spacing w:before="160" w:after="0" w:line="252" w:lineRule="auto"/>
        <w:rPr>
          <w:rFonts w:eastAsia="Calibri" w:cstheme="minorHAnsi"/>
          <w:kern w:val="0"/>
        </w:rPr>
      </w:pPr>
      <w:r w:rsidRPr="00575429">
        <w:rPr>
          <w:rFonts w:eastAsia="Calibri" w:cstheme="minorHAnsi"/>
          <w:kern w:val="0"/>
        </w:rPr>
        <w:t>$125 for each of the 21st to the 30th potential claims</w:t>
      </w:r>
    </w:p>
    <w:p w14:paraId="06CD4ADE" w14:textId="4F4917B3" w:rsidR="00575429" w:rsidRPr="00575429" w:rsidRDefault="00575429" w:rsidP="002054C5">
      <w:pPr>
        <w:numPr>
          <w:ilvl w:val="0"/>
          <w:numId w:val="9"/>
        </w:numPr>
        <w:autoSpaceDE w:val="0"/>
        <w:autoSpaceDN w:val="0"/>
        <w:spacing w:before="160" w:after="0" w:line="252" w:lineRule="auto"/>
        <w:rPr>
          <w:rFonts w:eastAsia="Calibri" w:cstheme="minorHAnsi"/>
          <w:kern w:val="0"/>
        </w:rPr>
      </w:pPr>
      <w:r w:rsidRPr="00575429">
        <w:rPr>
          <w:rFonts w:eastAsia="Calibri" w:cstheme="minorHAnsi"/>
          <w:kern w:val="0"/>
        </w:rPr>
        <w:t>$250 for each potential claim in excess of 30 claims.</w:t>
      </w:r>
    </w:p>
    <w:p w14:paraId="0709046A" w14:textId="1B62517F" w:rsidR="003B7570" w:rsidRPr="00D84DF3" w:rsidRDefault="003B7570" w:rsidP="00472D7B">
      <w:pPr>
        <w:autoSpaceDE w:val="0"/>
        <w:autoSpaceDN w:val="0"/>
        <w:spacing w:before="160" w:after="0" w:line="252" w:lineRule="auto"/>
        <w:rPr>
          <w:rFonts w:eastAsia="Calibri" w:cstheme="minorHAnsi"/>
          <w:kern w:val="0"/>
        </w:rPr>
      </w:pPr>
      <w:r w:rsidRPr="00370C15">
        <w:rPr>
          <w:rFonts w:eastAsia="Calibri" w:cstheme="minorHAnsi"/>
          <w:kern w:val="0"/>
        </w:rPr>
        <w:t xml:space="preserve">That is, the per-claim amounts of the new </w:t>
      </w:r>
      <w:r w:rsidR="00774DDC">
        <w:rPr>
          <w:rFonts w:eastAsia="Calibri" w:cstheme="minorHAnsi"/>
          <w:kern w:val="0"/>
        </w:rPr>
        <w:t>excess</w:t>
      </w:r>
      <w:r w:rsidR="00791E1B">
        <w:rPr>
          <w:rFonts w:eastAsia="Calibri" w:cstheme="minorHAnsi"/>
          <w:kern w:val="0"/>
        </w:rPr>
        <w:t>-</w:t>
      </w:r>
      <w:r w:rsidR="00774DDC">
        <w:rPr>
          <w:rFonts w:eastAsia="Calibri" w:cstheme="minorHAnsi"/>
          <w:kern w:val="0"/>
        </w:rPr>
        <w:t xml:space="preserve">claims </w:t>
      </w:r>
      <w:r w:rsidRPr="00370C15">
        <w:rPr>
          <w:rFonts w:eastAsia="Calibri" w:cstheme="minorHAnsi"/>
          <w:kern w:val="0"/>
        </w:rPr>
        <w:t>fee would be just the same as the per-claim amounts for the existing excess-claim fee at acceptance.</w:t>
      </w:r>
    </w:p>
    <w:p w14:paraId="0CBDE13F" w14:textId="421F0492"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lang w:val="en-US"/>
        </w:rPr>
        <w:t>Th</w:t>
      </w:r>
      <w:r w:rsidR="008C1A31">
        <w:rPr>
          <w:rFonts w:eastAsia="Calibri" w:cstheme="minorHAnsi"/>
          <w:kern w:val="0"/>
          <w:lang w:val="en-US"/>
        </w:rPr>
        <w:t>e</w:t>
      </w:r>
      <w:r w:rsidR="001B3C24">
        <w:rPr>
          <w:rFonts w:eastAsia="Calibri" w:cstheme="minorHAnsi"/>
          <w:kern w:val="0"/>
          <w:lang w:val="en-US"/>
        </w:rPr>
        <w:t xml:space="preserve"> new fee</w:t>
      </w:r>
      <w:r w:rsidRPr="00575429">
        <w:rPr>
          <w:rFonts w:eastAsia="Calibri" w:cstheme="minorHAnsi"/>
          <w:kern w:val="0"/>
          <w:lang w:val="en-US"/>
        </w:rPr>
        <w:t xml:space="preserve"> </w:t>
      </w:r>
      <w:r w:rsidR="0081447A">
        <w:rPr>
          <w:rFonts w:eastAsia="Calibri" w:cstheme="minorHAnsi"/>
          <w:kern w:val="0"/>
          <w:lang w:val="en-US"/>
        </w:rPr>
        <w:t>is to</w:t>
      </w:r>
      <w:r w:rsidRPr="00575429">
        <w:rPr>
          <w:rFonts w:eastAsia="Calibri" w:cstheme="minorHAnsi"/>
          <w:kern w:val="0"/>
          <w:lang w:val="en-US"/>
        </w:rPr>
        <w:t xml:space="preserve"> provide applicants with an incentive to </w:t>
      </w:r>
      <w:r w:rsidR="007A1F93">
        <w:rPr>
          <w:rFonts w:eastAsia="Calibri" w:cstheme="minorHAnsi"/>
          <w:kern w:val="0"/>
          <w:lang w:val="en-US"/>
        </w:rPr>
        <w:t xml:space="preserve">carefully consider </w:t>
      </w:r>
      <w:r w:rsidRPr="00575429">
        <w:rPr>
          <w:rFonts w:eastAsia="Calibri" w:cstheme="minorHAnsi"/>
          <w:kern w:val="0"/>
          <w:lang w:val="en-US"/>
        </w:rPr>
        <w:t xml:space="preserve">the number of claims before their applications are examined, and </w:t>
      </w:r>
      <w:r w:rsidR="0081447A">
        <w:rPr>
          <w:rFonts w:eastAsia="Calibri" w:cstheme="minorHAnsi"/>
          <w:kern w:val="0"/>
          <w:lang w:val="en-US"/>
        </w:rPr>
        <w:t>to</w:t>
      </w:r>
      <w:r w:rsidRPr="00575429">
        <w:rPr>
          <w:rFonts w:eastAsia="Calibri" w:cstheme="minorHAnsi"/>
          <w:kern w:val="0"/>
          <w:lang w:val="en-US"/>
        </w:rPr>
        <w:t xml:space="preserve"> better recover the cost of examining an application with many claims.</w:t>
      </w:r>
    </w:p>
    <w:p w14:paraId="6B76E302" w14:textId="53BB2C44"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Items [</w:t>
      </w:r>
      <w:r w:rsidR="00B00E47">
        <w:rPr>
          <w:rFonts w:eastAsia="Calibri" w:cstheme="minorHAnsi"/>
          <w:kern w:val="0"/>
          <w:lang w:val="en-US"/>
        </w:rPr>
        <w:t>10</w:t>
      </w:r>
      <w:r w:rsidRPr="00575429">
        <w:rPr>
          <w:rFonts w:eastAsia="Calibri" w:cstheme="minorHAnsi"/>
          <w:kern w:val="0"/>
          <w:lang w:val="en-US"/>
        </w:rPr>
        <w:t>] and [</w:t>
      </w:r>
      <w:r w:rsidR="00B00E47">
        <w:rPr>
          <w:rFonts w:eastAsia="Calibri" w:cstheme="minorHAnsi"/>
          <w:kern w:val="0"/>
          <w:lang w:val="en-US"/>
        </w:rPr>
        <w:t>11</w:t>
      </w:r>
      <w:r w:rsidRPr="00575429">
        <w:rPr>
          <w:rFonts w:eastAsia="Calibri" w:cstheme="minorHAnsi"/>
          <w:kern w:val="0"/>
          <w:lang w:val="en-US"/>
        </w:rPr>
        <w:t xml:space="preserve">] </w:t>
      </w:r>
      <w:r w:rsidR="0088667C">
        <w:rPr>
          <w:rFonts w:eastAsia="Calibri" w:cstheme="minorHAnsi"/>
          <w:kern w:val="0"/>
          <w:lang w:val="en-US"/>
        </w:rPr>
        <w:t>insert</w:t>
      </w:r>
      <w:r w:rsidRPr="00575429">
        <w:rPr>
          <w:rFonts w:eastAsia="Calibri" w:cstheme="minorHAnsi"/>
          <w:kern w:val="0"/>
          <w:lang w:val="en-US"/>
        </w:rPr>
        <w:t xml:space="preserve"> new paragraph 22.2(</w:t>
      </w:r>
      <w:proofErr w:type="gramStart"/>
      <w:r w:rsidRPr="00575429">
        <w:rPr>
          <w:rFonts w:eastAsia="Calibri" w:cstheme="minorHAnsi"/>
          <w:kern w:val="0"/>
          <w:lang w:val="en-US"/>
        </w:rPr>
        <w:t>2)(</w:t>
      </w:r>
      <w:proofErr w:type="gramEnd"/>
      <w:r w:rsidR="00491130">
        <w:rPr>
          <w:rFonts w:eastAsia="Calibri" w:cstheme="minorHAnsi"/>
          <w:kern w:val="0"/>
          <w:lang w:val="en-US"/>
        </w:rPr>
        <w:t>aa</w:t>
      </w:r>
      <w:r w:rsidRPr="00575429">
        <w:rPr>
          <w:rFonts w:eastAsia="Calibri" w:cstheme="minorHAnsi"/>
          <w:kern w:val="0"/>
          <w:lang w:val="en-US"/>
        </w:rPr>
        <w:t xml:space="preserve">) and </w:t>
      </w:r>
      <w:proofErr w:type="spellStart"/>
      <w:r w:rsidRPr="00575429">
        <w:rPr>
          <w:rFonts w:eastAsia="Calibri" w:cstheme="minorHAnsi"/>
          <w:kern w:val="0"/>
          <w:lang w:val="en-US"/>
        </w:rPr>
        <w:t>subregulation</w:t>
      </w:r>
      <w:proofErr w:type="spellEnd"/>
      <w:r w:rsidRPr="00575429">
        <w:rPr>
          <w:rFonts w:eastAsia="Calibri" w:cstheme="minorHAnsi"/>
          <w:kern w:val="0"/>
          <w:lang w:val="en-US"/>
        </w:rPr>
        <w:t xml:space="preserve"> 22.2(2A) </w:t>
      </w:r>
      <w:r w:rsidR="00471F4F">
        <w:rPr>
          <w:rFonts w:eastAsia="Calibri" w:cstheme="minorHAnsi"/>
          <w:kern w:val="0"/>
          <w:lang w:val="en-US"/>
        </w:rPr>
        <w:t xml:space="preserve">of the Patents Regulations </w:t>
      </w:r>
      <w:r w:rsidRPr="00575429">
        <w:rPr>
          <w:rFonts w:eastAsia="Calibri" w:cstheme="minorHAnsi"/>
          <w:kern w:val="0"/>
          <w:lang w:val="en-US"/>
        </w:rPr>
        <w:t xml:space="preserve">to govern when the new excess-claims fee </w:t>
      </w:r>
      <w:r w:rsidR="008D430D">
        <w:rPr>
          <w:rFonts w:eastAsia="Calibri" w:cstheme="minorHAnsi"/>
          <w:kern w:val="0"/>
          <w:lang w:val="en-US"/>
        </w:rPr>
        <w:t>is</w:t>
      </w:r>
      <w:r w:rsidRPr="00575429">
        <w:rPr>
          <w:rFonts w:eastAsia="Calibri" w:cstheme="minorHAnsi"/>
          <w:kern w:val="0"/>
          <w:lang w:val="en-US"/>
        </w:rPr>
        <w:t xml:space="preserve"> payable. </w:t>
      </w:r>
      <w:r w:rsidR="00886DDF">
        <w:rPr>
          <w:rFonts w:eastAsia="Calibri" w:cstheme="minorHAnsi"/>
          <w:kern w:val="0"/>
          <w:lang w:val="en-US"/>
        </w:rPr>
        <w:t>New</w:t>
      </w:r>
      <w:r w:rsidRPr="00575429">
        <w:rPr>
          <w:rFonts w:eastAsia="Calibri" w:cstheme="minorHAnsi"/>
          <w:kern w:val="0"/>
          <w:lang w:val="en-US"/>
        </w:rPr>
        <w:t xml:space="preserve"> paragraph 22.2(</w:t>
      </w:r>
      <w:proofErr w:type="gramStart"/>
      <w:r w:rsidRPr="00575429">
        <w:rPr>
          <w:rFonts w:eastAsia="Calibri" w:cstheme="minorHAnsi"/>
          <w:kern w:val="0"/>
          <w:lang w:val="en-US"/>
        </w:rPr>
        <w:t>2)(</w:t>
      </w:r>
      <w:proofErr w:type="gramEnd"/>
      <w:r w:rsidR="00491130">
        <w:rPr>
          <w:rFonts w:eastAsia="Calibri" w:cstheme="minorHAnsi"/>
          <w:kern w:val="0"/>
          <w:lang w:val="en-US"/>
        </w:rPr>
        <w:t>aa</w:t>
      </w:r>
      <w:r w:rsidRPr="00575429">
        <w:rPr>
          <w:rFonts w:eastAsia="Calibri" w:cstheme="minorHAnsi"/>
          <w:kern w:val="0"/>
          <w:lang w:val="en-US"/>
        </w:rPr>
        <w:t xml:space="preserve">) </w:t>
      </w:r>
      <w:r w:rsidR="008D430D">
        <w:rPr>
          <w:rFonts w:eastAsia="Calibri" w:cstheme="minorHAnsi"/>
          <w:kern w:val="0"/>
          <w:lang w:val="en-US"/>
        </w:rPr>
        <w:t>provides</w:t>
      </w:r>
      <w:r w:rsidRPr="00575429">
        <w:rPr>
          <w:rFonts w:eastAsia="Calibri" w:cstheme="minorHAnsi"/>
          <w:kern w:val="0"/>
          <w:lang w:val="en-US"/>
        </w:rPr>
        <w:t xml:space="preserve"> for the general case: the new fee </w:t>
      </w:r>
      <w:r w:rsidR="008D430D">
        <w:rPr>
          <w:rFonts w:eastAsia="Calibri" w:cstheme="minorHAnsi"/>
          <w:kern w:val="0"/>
          <w:lang w:val="en-US"/>
        </w:rPr>
        <w:t>is</w:t>
      </w:r>
      <w:r w:rsidRPr="00575429">
        <w:rPr>
          <w:rFonts w:eastAsia="Calibri" w:cstheme="minorHAnsi"/>
          <w:kern w:val="0"/>
          <w:lang w:val="en-US"/>
        </w:rPr>
        <w:t xml:space="preserve"> payable at the </w:t>
      </w:r>
      <w:r w:rsidR="00EF736A">
        <w:rPr>
          <w:rFonts w:eastAsia="Calibri" w:cstheme="minorHAnsi"/>
          <w:kern w:val="0"/>
          <w:lang w:val="en-US"/>
        </w:rPr>
        <w:t xml:space="preserve">start of the </w:t>
      </w:r>
      <w:r w:rsidRPr="00575429">
        <w:rPr>
          <w:rFonts w:eastAsia="Calibri" w:cstheme="minorHAnsi"/>
          <w:kern w:val="0"/>
          <w:lang w:val="en-US"/>
        </w:rPr>
        <w:t xml:space="preserve">first examination report date. The </w:t>
      </w:r>
      <w:r w:rsidR="00886DDF">
        <w:rPr>
          <w:rFonts w:eastAsia="Calibri" w:cstheme="minorHAnsi"/>
          <w:kern w:val="0"/>
          <w:lang w:val="en-US"/>
        </w:rPr>
        <w:t>new</w:t>
      </w:r>
      <w:r w:rsidRPr="00575429">
        <w:rPr>
          <w:rFonts w:eastAsia="Calibri" w:cstheme="minorHAnsi"/>
          <w:kern w:val="0"/>
          <w:lang w:val="en-US"/>
        </w:rPr>
        <w:t xml:space="preserve"> fee </w:t>
      </w:r>
      <w:r w:rsidR="00961237">
        <w:rPr>
          <w:rFonts w:eastAsia="Calibri" w:cstheme="minorHAnsi"/>
          <w:kern w:val="0"/>
          <w:lang w:val="en-US"/>
        </w:rPr>
        <w:t>is only</w:t>
      </w:r>
      <w:r w:rsidRPr="00575429">
        <w:rPr>
          <w:rFonts w:eastAsia="Calibri" w:cstheme="minorHAnsi"/>
          <w:kern w:val="0"/>
          <w:lang w:val="en-US"/>
        </w:rPr>
        <w:t xml:space="preserve"> payable if the first examination report is an ‘adverse first report’: one that advises the applicant that the application cannot be accepted immediately. No excess-claims fee </w:t>
      </w:r>
      <w:r w:rsidR="008D430D">
        <w:rPr>
          <w:rFonts w:eastAsia="Calibri" w:cstheme="minorHAnsi"/>
          <w:kern w:val="0"/>
          <w:lang w:val="en-US"/>
        </w:rPr>
        <w:t>is</w:t>
      </w:r>
      <w:r w:rsidRPr="00575429">
        <w:rPr>
          <w:rFonts w:eastAsia="Calibri" w:cstheme="minorHAnsi"/>
          <w:kern w:val="0"/>
          <w:lang w:val="en-US"/>
        </w:rPr>
        <w:t xml:space="preserve"> payable in the special case of the application </w:t>
      </w:r>
      <w:r w:rsidR="00961237">
        <w:rPr>
          <w:rFonts w:eastAsia="Calibri" w:cstheme="minorHAnsi"/>
          <w:kern w:val="0"/>
          <w:lang w:val="en-US"/>
        </w:rPr>
        <w:t>that can be</w:t>
      </w:r>
      <w:r w:rsidRPr="00575429">
        <w:rPr>
          <w:rFonts w:eastAsia="Calibri" w:cstheme="minorHAnsi"/>
          <w:kern w:val="0"/>
          <w:lang w:val="en-US"/>
        </w:rPr>
        <w:t xml:space="preserve"> accepted immediately. This </w:t>
      </w:r>
      <w:r w:rsidR="008D430D">
        <w:rPr>
          <w:rFonts w:eastAsia="Calibri" w:cstheme="minorHAnsi"/>
          <w:kern w:val="0"/>
          <w:lang w:val="en-US"/>
        </w:rPr>
        <w:t>is</w:t>
      </w:r>
      <w:r w:rsidRPr="00575429">
        <w:rPr>
          <w:rFonts w:eastAsia="Calibri" w:cstheme="minorHAnsi"/>
          <w:kern w:val="0"/>
          <w:lang w:val="en-US"/>
        </w:rPr>
        <w:t xml:space="preserve"> the special case of the application meeting all the existing requirements for immediate acceptance, detailed in </w:t>
      </w:r>
      <w:r w:rsidR="00886DDF">
        <w:rPr>
          <w:rFonts w:eastAsia="Calibri" w:cstheme="minorHAnsi"/>
          <w:kern w:val="0"/>
          <w:lang w:val="en-US"/>
        </w:rPr>
        <w:t>new</w:t>
      </w:r>
      <w:r w:rsidRPr="00575429">
        <w:rPr>
          <w:rFonts w:eastAsia="Calibri" w:cstheme="minorHAnsi"/>
          <w:kern w:val="0"/>
          <w:lang w:val="en-US"/>
        </w:rPr>
        <w:t xml:space="preserve"> </w:t>
      </w:r>
      <w:proofErr w:type="spellStart"/>
      <w:r w:rsidRPr="00575429">
        <w:rPr>
          <w:rFonts w:eastAsia="Calibri" w:cstheme="minorHAnsi"/>
          <w:kern w:val="0"/>
          <w:lang w:val="en-US"/>
        </w:rPr>
        <w:t>subregulation</w:t>
      </w:r>
      <w:proofErr w:type="spellEnd"/>
      <w:r w:rsidRPr="00575429">
        <w:rPr>
          <w:rFonts w:eastAsia="Calibri" w:cstheme="minorHAnsi"/>
          <w:kern w:val="0"/>
          <w:lang w:val="en-US"/>
        </w:rPr>
        <w:t xml:space="preserve"> 22.2(2A). </w:t>
      </w:r>
      <w:r w:rsidRPr="00575429">
        <w:rPr>
          <w:rFonts w:eastAsia="Calibri" w:cstheme="minorHAnsi"/>
          <w:kern w:val="0"/>
        </w:rPr>
        <w:t xml:space="preserve">In the special case, the additional effort to examine a complete specification with more than 20 potential claims </w:t>
      </w:r>
      <w:r w:rsidR="008D430D">
        <w:rPr>
          <w:rFonts w:eastAsia="Calibri" w:cstheme="minorHAnsi"/>
          <w:kern w:val="0"/>
        </w:rPr>
        <w:t>is</w:t>
      </w:r>
      <w:r w:rsidRPr="00575429">
        <w:rPr>
          <w:rFonts w:eastAsia="Calibri" w:cstheme="minorHAnsi"/>
          <w:kern w:val="0"/>
        </w:rPr>
        <w:t xml:space="preserve"> recovered by the amendments to the acceptance fee (discussed below).</w:t>
      </w:r>
    </w:p>
    <w:p w14:paraId="4AEFBB9D" w14:textId="46E494A7"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Item [</w:t>
      </w:r>
      <w:r w:rsidR="000B5D8E">
        <w:rPr>
          <w:rFonts w:eastAsia="Calibri" w:cstheme="minorHAnsi"/>
          <w:kern w:val="0"/>
          <w:lang w:val="en-US"/>
        </w:rPr>
        <w:t>13</w:t>
      </w:r>
      <w:r w:rsidRPr="00575429">
        <w:rPr>
          <w:rFonts w:eastAsia="Calibri" w:cstheme="minorHAnsi"/>
          <w:kern w:val="0"/>
          <w:lang w:val="en-US"/>
        </w:rPr>
        <w:t xml:space="preserve">] </w:t>
      </w:r>
      <w:r w:rsidR="0088667C">
        <w:rPr>
          <w:rFonts w:eastAsia="Calibri" w:cstheme="minorHAnsi"/>
          <w:kern w:val="0"/>
          <w:lang w:val="en-US"/>
        </w:rPr>
        <w:t>inserts</w:t>
      </w:r>
      <w:r w:rsidRPr="00575429">
        <w:rPr>
          <w:rFonts w:eastAsia="Calibri" w:cstheme="minorHAnsi"/>
          <w:kern w:val="0"/>
          <w:lang w:val="en-US"/>
        </w:rPr>
        <w:t xml:space="preserve"> new regulation 22.2EB into the </w:t>
      </w:r>
      <w:r w:rsidRPr="00575429">
        <w:rPr>
          <w:rFonts w:eastAsia="Calibri" w:cstheme="minorHAnsi"/>
          <w:kern w:val="0"/>
        </w:rPr>
        <w:t xml:space="preserve">Patents Regulations </w:t>
      </w:r>
      <w:r w:rsidRPr="00575429">
        <w:rPr>
          <w:rFonts w:eastAsia="Calibri" w:cstheme="minorHAnsi"/>
          <w:kern w:val="0"/>
          <w:lang w:val="en-US"/>
        </w:rPr>
        <w:t>to provide the procedure for paying the new excess-claims fee and the consequence for failing to pay it:</w:t>
      </w:r>
    </w:p>
    <w:p w14:paraId="69FD417C" w14:textId="7BAF96EA" w:rsidR="00575429" w:rsidRPr="00575429" w:rsidRDefault="00575429" w:rsidP="002054C5">
      <w:pPr>
        <w:numPr>
          <w:ilvl w:val="0"/>
          <w:numId w:val="11"/>
        </w:numPr>
        <w:autoSpaceDE w:val="0"/>
        <w:autoSpaceDN w:val="0"/>
        <w:spacing w:before="80" w:after="0" w:line="252" w:lineRule="auto"/>
        <w:rPr>
          <w:rFonts w:eastAsia="Calibri" w:cstheme="minorHAnsi"/>
          <w:kern w:val="0"/>
          <w:lang w:val="en-US"/>
        </w:rPr>
      </w:pPr>
      <w:r w:rsidRPr="00575429">
        <w:rPr>
          <w:rFonts w:eastAsia="Calibri" w:cstheme="minorHAnsi"/>
          <w:kern w:val="0"/>
          <w:lang w:val="en-US"/>
        </w:rPr>
        <w:t xml:space="preserve">The Commissioner invites the applicant to pay the fee within one month after the first examination report date. The Commissioner </w:t>
      </w:r>
      <w:r w:rsidR="00DE2BA9">
        <w:rPr>
          <w:rFonts w:eastAsia="Calibri" w:cstheme="minorHAnsi"/>
          <w:kern w:val="0"/>
          <w:lang w:val="en-US"/>
        </w:rPr>
        <w:t>has</w:t>
      </w:r>
      <w:r w:rsidRPr="00575429">
        <w:rPr>
          <w:rFonts w:eastAsia="Calibri" w:cstheme="minorHAnsi"/>
          <w:kern w:val="0"/>
          <w:lang w:val="en-US"/>
        </w:rPr>
        <w:t xml:space="preserve"> that month to issue the invitation but would routinely do so immediately after issuing the adverse first report.</w:t>
      </w:r>
    </w:p>
    <w:p w14:paraId="33C62EE1" w14:textId="77777777" w:rsidR="00575429" w:rsidRPr="00575429" w:rsidRDefault="00575429" w:rsidP="002054C5">
      <w:pPr>
        <w:numPr>
          <w:ilvl w:val="0"/>
          <w:numId w:val="11"/>
        </w:numPr>
        <w:autoSpaceDE w:val="0"/>
        <w:autoSpaceDN w:val="0"/>
        <w:spacing w:before="80" w:after="0" w:line="252" w:lineRule="auto"/>
        <w:rPr>
          <w:rFonts w:eastAsia="Calibri" w:cstheme="minorHAnsi"/>
          <w:kern w:val="0"/>
          <w:lang w:val="en-US"/>
        </w:rPr>
      </w:pPr>
      <w:r w:rsidRPr="00575429">
        <w:rPr>
          <w:rFonts w:eastAsia="Calibri" w:cstheme="minorHAnsi"/>
          <w:kern w:val="0"/>
          <w:lang w:val="en-US"/>
        </w:rPr>
        <w:lastRenderedPageBreak/>
        <w:t>If the applicant fails to pay the fee in that month, the application lapses. This means the application would not be processed further, unless it is restored.</w:t>
      </w:r>
    </w:p>
    <w:p w14:paraId="550138BE" w14:textId="7FBA5312" w:rsidR="00575429" w:rsidRPr="00575429" w:rsidRDefault="00575429" w:rsidP="002054C5">
      <w:pPr>
        <w:numPr>
          <w:ilvl w:val="0"/>
          <w:numId w:val="11"/>
        </w:numPr>
        <w:autoSpaceDE w:val="0"/>
        <w:autoSpaceDN w:val="0"/>
        <w:spacing w:before="80" w:after="0" w:line="252" w:lineRule="auto"/>
        <w:rPr>
          <w:rFonts w:eastAsia="Calibri" w:cstheme="minorHAnsi"/>
          <w:kern w:val="0"/>
          <w:lang w:val="en-US"/>
        </w:rPr>
      </w:pPr>
      <w:r w:rsidRPr="00575429">
        <w:rPr>
          <w:rFonts w:eastAsia="Calibri" w:cstheme="minorHAnsi"/>
          <w:kern w:val="0"/>
          <w:lang w:val="en-US"/>
        </w:rPr>
        <w:t>The application could be restored merely by paying the fee at any time</w:t>
      </w:r>
      <w:r w:rsidRPr="00FF3266" w:rsidDel="00FF3266">
        <w:rPr>
          <w:rFonts w:hAnsi="Times New Roman" w:cs="Times New Roman"/>
        </w:rPr>
        <w:t xml:space="preserve"> </w:t>
      </w:r>
      <w:r w:rsidR="00FF3266">
        <w:rPr>
          <w:rFonts w:hAnsi="Times New Roman" w:cs="Times New Roman"/>
        </w:rPr>
        <w:t xml:space="preserve">in the 11 months after </w:t>
      </w:r>
      <w:r w:rsidR="00E245F3">
        <w:rPr>
          <w:rFonts w:hAnsi="Times New Roman" w:cs="Times New Roman"/>
        </w:rPr>
        <w:t>the application</w:t>
      </w:r>
      <w:r w:rsidR="00FF3266">
        <w:rPr>
          <w:rFonts w:hAnsi="Times New Roman" w:cs="Times New Roman"/>
        </w:rPr>
        <w:t xml:space="preserve"> lapses. That is, the application could be restored during the acceptance period</w:t>
      </w:r>
      <w:r w:rsidRPr="00575429">
        <w:rPr>
          <w:rFonts w:eastAsia="Calibri" w:cstheme="minorHAnsi"/>
          <w:kern w:val="0"/>
          <w:lang w:val="en-US"/>
        </w:rPr>
        <w:t xml:space="preserve">. There </w:t>
      </w:r>
      <w:r w:rsidR="008D430D">
        <w:rPr>
          <w:rFonts w:eastAsia="Calibri" w:cstheme="minorHAnsi"/>
          <w:kern w:val="0"/>
          <w:lang w:val="en-US"/>
        </w:rPr>
        <w:t>is</w:t>
      </w:r>
      <w:r w:rsidRPr="00575429">
        <w:rPr>
          <w:rFonts w:eastAsia="Calibri" w:cstheme="minorHAnsi"/>
          <w:kern w:val="0"/>
          <w:lang w:val="en-US"/>
        </w:rPr>
        <w:t xml:space="preserve"> no need to seek an extension of time under section 223 of the Patents Act to pay the fee in that period. </w:t>
      </w:r>
      <w:r w:rsidR="00E15076">
        <w:rPr>
          <w:rFonts w:hAnsi="Times New Roman" w:cs="Times New Roman"/>
        </w:rPr>
        <w:t xml:space="preserve">The applicant would not incur any additional fee as a result. </w:t>
      </w:r>
      <w:r w:rsidR="00A2524D">
        <w:rPr>
          <w:rFonts w:hAnsi="Times New Roman" w:cs="Times New Roman"/>
        </w:rPr>
        <w:t xml:space="preserve">This ensures that in the rare case where the Commissioner does not issue the invitation to pay the fee promptly, </w:t>
      </w:r>
      <w:r w:rsidR="00614EA5">
        <w:rPr>
          <w:rFonts w:hAnsi="Times New Roman" w:cs="Times New Roman"/>
        </w:rPr>
        <w:t>the application is easily restored</w:t>
      </w:r>
      <w:r w:rsidR="00A2524D">
        <w:rPr>
          <w:rFonts w:hAnsi="Times New Roman" w:cs="Times New Roman"/>
        </w:rPr>
        <w:t>.</w:t>
      </w:r>
    </w:p>
    <w:p w14:paraId="2AEAA40C" w14:textId="4586933A"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Item [</w:t>
      </w:r>
      <w:r w:rsidR="00AB05D4">
        <w:rPr>
          <w:rFonts w:eastAsia="Calibri" w:cstheme="minorHAnsi"/>
          <w:kern w:val="0"/>
          <w:lang w:val="en-US"/>
        </w:rPr>
        <w:t>14</w:t>
      </w:r>
      <w:r w:rsidR="00DC6D3C">
        <w:rPr>
          <w:rFonts w:eastAsia="Calibri" w:cstheme="minorHAnsi"/>
          <w:kern w:val="0"/>
          <w:lang w:val="en-US"/>
        </w:rPr>
        <w:t xml:space="preserve">] </w:t>
      </w:r>
      <w:r w:rsidR="0088667C">
        <w:rPr>
          <w:rFonts w:eastAsia="Calibri" w:cstheme="minorHAnsi"/>
          <w:kern w:val="0"/>
          <w:lang w:val="en-US"/>
        </w:rPr>
        <w:t>insert</w:t>
      </w:r>
      <w:r w:rsidR="008316FD">
        <w:rPr>
          <w:rFonts w:eastAsia="Calibri" w:cstheme="minorHAnsi"/>
          <w:kern w:val="0"/>
          <w:lang w:val="en-US"/>
        </w:rPr>
        <w:t>s</w:t>
      </w:r>
      <w:r w:rsidRPr="00575429">
        <w:rPr>
          <w:rFonts w:eastAsia="Calibri" w:cstheme="minorHAnsi"/>
          <w:kern w:val="0"/>
          <w:lang w:val="en-US"/>
        </w:rPr>
        <w:t xml:space="preserve"> new </w:t>
      </w:r>
      <w:proofErr w:type="spellStart"/>
      <w:r w:rsidRPr="00575429">
        <w:rPr>
          <w:rFonts w:eastAsia="Calibri" w:cstheme="minorHAnsi"/>
          <w:kern w:val="0"/>
          <w:lang w:val="en-US"/>
        </w:rPr>
        <w:t>subregulation</w:t>
      </w:r>
      <w:proofErr w:type="spellEnd"/>
      <w:r w:rsidRPr="00575429">
        <w:rPr>
          <w:rFonts w:eastAsia="Calibri" w:cstheme="minorHAnsi"/>
          <w:kern w:val="0"/>
          <w:lang w:val="en-US"/>
        </w:rPr>
        <w:t xml:space="preserve"> 22.2F(2A) into the Patents Regulations to provide the consequence of the Commissioner failing to invite the applicant to pay the new fee within one month after the first examination report date. The new fee </w:t>
      </w:r>
      <w:r w:rsidR="008D430D">
        <w:rPr>
          <w:rFonts w:eastAsia="Calibri" w:cstheme="minorHAnsi"/>
          <w:kern w:val="0"/>
          <w:lang w:val="en-US"/>
        </w:rPr>
        <w:t>is</w:t>
      </w:r>
      <w:r w:rsidRPr="00575429">
        <w:rPr>
          <w:rFonts w:eastAsia="Calibri" w:cstheme="minorHAnsi"/>
          <w:kern w:val="0"/>
          <w:lang w:val="en-US"/>
        </w:rPr>
        <w:t xml:space="preserve"> taken to be paid on the first examination report date – avoiding the lapsing of the application</w:t>
      </w:r>
      <w:r w:rsidR="00DC6D3C">
        <w:rPr>
          <w:rFonts w:eastAsia="Calibri" w:cstheme="minorHAnsi"/>
          <w:kern w:val="0"/>
          <w:lang w:val="en-US"/>
        </w:rPr>
        <w:t>. Item [</w:t>
      </w:r>
      <w:r w:rsidR="00AB05D4">
        <w:rPr>
          <w:rFonts w:eastAsia="Calibri" w:cstheme="minorHAnsi"/>
          <w:kern w:val="0"/>
          <w:lang w:val="en-US"/>
        </w:rPr>
        <w:t>15</w:t>
      </w:r>
      <w:r w:rsidR="00DC6D3C">
        <w:rPr>
          <w:rFonts w:eastAsia="Calibri" w:cstheme="minorHAnsi"/>
          <w:kern w:val="0"/>
          <w:lang w:val="en-US"/>
        </w:rPr>
        <w:t xml:space="preserve">] </w:t>
      </w:r>
      <w:r w:rsidR="00C108B5">
        <w:rPr>
          <w:rFonts w:eastAsia="Calibri" w:cstheme="minorHAnsi"/>
          <w:kern w:val="0"/>
          <w:lang w:val="en-US"/>
        </w:rPr>
        <w:t xml:space="preserve">amends </w:t>
      </w:r>
      <w:proofErr w:type="spellStart"/>
      <w:r w:rsidR="00C108B5">
        <w:rPr>
          <w:rFonts w:eastAsia="Calibri" w:cstheme="minorHAnsi"/>
          <w:kern w:val="0"/>
          <w:lang w:val="en-US"/>
        </w:rPr>
        <w:t>subregulation</w:t>
      </w:r>
      <w:proofErr w:type="spellEnd"/>
      <w:r w:rsidR="00E32A9C">
        <w:rPr>
          <w:rFonts w:eastAsia="Calibri" w:cstheme="minorHAnsi"/>
          <w:kern w:val="0"/>
          <w:lang w:val="en-US"/>
        </w:rPr>
        <w:t xml:space="preserve"> 22.2F(7)</w:t>
      </w:r>
      <w:r w:rsidR="00DC6D3C">
        <w:rPr>
          <w:rFonts w:eastAsia="Calibri" w:cstheme="minorHAnsi"/>
          <w:kern w:val="0"/>
          <w:lang w:val="en-US"/>
        </w:rPr>
        <w:t xml:space="preserve"> </w:t>
      </w:r>
      <w:r w:rsidR="00E32A9C">
        <w:rPr>
          <w:rFonts w:eastAsia="Calibri" w:cstheme="minorHAnsi"/>
          <w:kern w:val="0"/>
          <w:lang w:val="en-US"/>
        </w:rPr>
        <w:t xml:space="preserve">to ensure that the </w:t>
      </w:r>
      <w:r w:rsidR="00300C94">
        <w:rPr>
          <w:rFonts w:eastAsia="Calibri" w:cstheme="minorHAnsi"/>
          <w:kern w:val="0"/>
          <w:lang w:val="en-US"/>
        </w:rPr>
        <w:t xml:space="preserve">amount of the fee </w:t>
      </w:r>
      <w:r w:rsidR="008D430D">
        <w:rPr>
          <w:rFonts w:eastAsia="Calibri" w:cstheme="minorHAnsi"/>
          <w:kern w:val="0"/>
          <w:lang w:val="en-US"/>
        </w:rPr>
        <w:t>is</w:t>
      </w:r>
      <w:r w:rsidRPr="00575429">
        <w:rPr>
          <w:rFonts w:eastAsia="Calibri" w:cstheme="minorHAnsi"/>
          <w:kern w:val="0"/>
          <w:lang w:val="en-US"/>
        </w:rPr>
        <w:t xml:space="preserve"> recoverable from the applicant as a debt owed to the Commonwealth.</w:t>
      </w:r>
      <w:r w:rsidR="001220DD">
        <w:rPr>
          <w:rFonts w:eastAsia="Calibri" w:cstheme="minorHAnsi"/>
          <w:kern w:val="0"/>
          <w:lang w:val="en-US"/>
        </w:rPr>
        <w:t xml:space="preserve"> </w:t>
      </w:r>
      <w:r w:rsidR="001220DD">
        <w:rPr>
          <w:rFonts w:hAnsi="Times New Roman" w:cs="Times New Roman"/>
        </w:rPr>
        <w:t xml:space="preserve">This is consistent with the existing practice under </w:t>
      </w:r>
      <w:proofErr w:type="spellStart"/>
      <w:r w:rsidR="009C0993">
        <w:rPr>
          <w:rFonts w:hAnsi="Times New Roman" w:cs="Times New Roman"/>
        </w:rPr>
        <w:t>sub</w:t>
      </w:r>
      <w:r w:rsidR="001220DD">
        <w:rPr>
          <w:rFonts w:hAnsi="Times New Roman" w:cs="Times New Roman"/>
        </w:rPr>
        <w:t>regulation</w:t>
      </w:r>
      <w:proofErr w:type="spellEnd"/>
      <w:r w:rsidR="001220DD">
        <w:rPr>
          <w:rFonts w:hAnsi="Times New Roman" w:cs="Times New Roman"/>
        </w:rPr>
        <w:t xml:space="preserve"> 22.2F(7). Additionally, in the unlikely case where Commissioner</w:t>
      </w:r>
      <w:r w:rsidR="001220DD">
        <w:rPr>
          <w:rFonts w:hAnsi="Times New Roman" w:cs="Times New Roman"/>
        </w:rPr>
        <w:t>’</w:t>
      </w:r>
      <w:r w:rsidR="001220DD">
        <w:rPr>
          <w:rFonts w:hAnsi="Times New Roman" w:cs="Times New Roman"/>
        </w:rPr>
        <w:t>s failure or delay in inviting the applicant to pay the fee disadvantaged the applicant, the Commissioner could waive the fee.</w:t>
      </w:r>
    </w:p>
    <w:p w14:paraId="06A41DBB" w14:textId="77777777" w:rsidR="00575429" w:rsidRPr="00575429" w:rsidRDefault="00575429" w:rsidP="00472D7B">
      <w:pPr>
        <w:autoSpaceDE w:val="0"/>
        <w:autoSpaceDN w:val="0"/>
        <w:spacing w:before="160" w:after="0" w:line="252" w:lineRule="auto"/>
        <w:rPr>
          <w:rFonts w:eastAsia="Calibri" w:cstheme="minorHAnsi"/>
          <w:i/>
          <w:iCs/>
          <w:kern w:val="0"/>
        </w:rPr>
      </w:pPr>
      <w:r w:rsidRPr="00575429">
        <w:rPr>
          <w:rFonts w:eastAsia="Calibri" w:cstheme="minorHAnsi"/>
          <w:i/>
          <w:iCs/>
          <w:kern w:val="0"/>
        </w:rPr>
        <w:t>Acceptance fee including increase to minimum and new excess-claims amount</w:t>
      </w:r>
    </w:p>
    <w:p w14:paraId="61153957" w14:textId="07238E18"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Item [</w:t>
      </w:r>
      <w:r w:rsidR="00F1650F">
        <w:rPr>
          <w:rFonts w:eastAsia="Calibri" w:cstheme="minorHAnsi"/>
          <w:kern w:val="0"/>
        </w:rPr>
        <w:t>22</w:t>
      </w:r>
      <w:r w:rsidRPr="00575429">
        <w:rPr>
          <w:rFonts w:eastAsia="Calibri" w:cstheme="minorHAnsi"/>
          <w:kern w:val="0"/>
        </w:rPr>
        <w:t xml:space="preserve">] </w:t>
      </w:r>
      <w:r w:rsidR="00F4075D">
        <w:rPr>
          <w:rFonts w:eastAsia="Calibri" w:cstheme="minorHAnsi"/>
          <w:kern w:val="0"/>
        </w:rPr>
        <w:t>substitutes</w:t>
      </w:r>
      <w:r w:rsidRPr="00575429">
        <w:rPr>
          <w:rFonts w:eastAsia="Calibri" w:cstheme="minorHAnsi"/>
          <w:kern w:val="0"/>
        </w:rPr>
        <w:t xml:space="preserve"> table item 213 in clause 2 of Schedule 7 of the Patents Regulations to increase the minimum amount of the acceptance fee from $250 to $300 – payable whether or not there is an excess-claims amount payable.</w:t>
      </w:r>
    </w:p>
    <w:p w14:paraId="0645B778" w14:textId="3FCF5054"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 xml:space="preserve">An applicant might respond to the new excess-claims fee by filing a standard application with 20 or fewer </w:t>
      </w:r>
      <w:proofErr w:type="gramStart"/>
      <w:r w:rsidRPr="00575429">
        <w:rPr>
          <w:rFonts w:eastAsia="Calibri" w:cstheme="minorHAnsi"/>
          <w:kern w:val="0"/>
          <w:lang w:val="en-US"/>
        </w:rPr>
        <w:t>claims, and</w:t>
      </w:r>
      <w:proofErr w:type="gramEnd"/>
      <w:r w:rsidRPr="00575429">
        <w:rPr>
          <w:rFonts w:eastAsia="Calibri" w:cstheme="minorHAnsi"/>
          <w:kern w:val="0"/>
          <w:lang w:val="en-US"/>
        </w:rPr>
        <w:t xml:space="preserve"> seeking leave to </w:t>
      </w:r>
      <w:r w:rsidR="00766377">
        <w:rPr>
          <w:rFonts w:eastAsia="Calibri" w:cstheme="minorHAnsi"/>
          <w:kern w:val="0"/>
          <w:lang w:val="en-US"/>
        </w:rPr>
        <w:t xml:space="preserve">include </w:t>
      </w:r>
      <w:r w:rsidRPr="00575429">
        <w:rPr>
          <w:rFonts w:eastAsia="Calibri" w:cstheme="minorHAnsi"/>
          <w:kern w:val="0"/>
          <w:lang w:val="en-US"/>
        </w:rPr>
        <w:t xml:space="preserve">additional claims </w:t>
      </w:r>
      <w:r w:rsidR="00766377">
        <w:rPr>
          <w:rFonts w:eastAsia="Calibri" w:cstheme="minorHAnsi"/>
          <w:kern w:val="0"/>
          <w:lang w:val="en-US"/>
        </w:rPr>
        <w:t>in</w:t>
      </w:r>
      <w:r w:rsidR="00766377" w:rsidRPr="00575429">
        <w:rPr>
          <w:rFonts w:eastAsia="Calibri" w:cstheme="minorHAnsi"/>
          <w:kern w:val="0"/>
          <w:lang w:val="en-US"/>
        </w:rPr>
        <w:t xml:space="preserve"> </w:t>
      </w:r>
      <w:r w:rsidRPr="00575429">
        <w:rPr>
          <w:rFonts w:eastAsia="Calibri" w:cstheme="minorHAnsi"/>
          <w:kern w:val="0"/>
          <w:lang w:val="en-US"/>
        </w:rPr>
        <w:t xml:space="preserve">the complete specification after a first adverse report. </w:t>
      </w:r>
      <w:r w:rsidR="00893176">
        <w:rPr>
          <w:rFonts w:eastAsia="Calibri" w:cstheme="minorHAnsi"/>
          <w:kern w:val="0"/>
          <w:lang w:val="en-US"/>
        </w:rPr>
        <w:t>Say that t</w:t>
      </w:r>
      <w:r w:rsidRPr="00575429">
        <w:rPr>
          <w:rFonts w:eastAsia="Calibri" w:cstheme="minorHAnsi"/>
          <w:kern w:val="0"/>
          <w:lang w:val="en-US"/>
        </w:rPr>
        <w:t xml:space="preserve">hese additional claims </w:t>
      </w:r>
      <w:r w:rsidR="00D45718">
        <w:rPr>
          <w:rFonts w:eastAsia="Calibri" w:cstheme="minorHAnsi"/>
          <w:kern w:val="0"/>
          <w:lang w:val="en-US"/>
        </w:rPr>
        <w:t>are</w:t>
      </w:r>
      <w:r w:rsidRPr="00575429">
        <w:rPr>
          <w:rFonts w:eastAsia="Calibri" w:cstheme="minorHAnsi"/>
          <w:kern w:val="0"/>
          <w:lang w:val="en-US"/>
        </w:rPr>
        <w:t xml:space="preserve"> examined and reported on in a further </w:t>
      </w:r>
      <w:r w:rsidR="001D68CF">
        <w:rPr>
          <w:rFonts w:eastAsia="Calibri" w:cstheme="minorHAnsi"/>
          <w:kern w:val="0"/>
          <w:lang w:val="en-US"/>
        </w:rPr>
        <w:t>adverse</w:t>
      </w:r>
      <w:r w:rsidR="001D68CF" w:rsidRPr="00575429">
        <w:rPr>
          <w:rFonts w:eastAsia="Calibri" w:cstheme="minorHAnsi"/>
          <w:kern w:val="0"/>
          <w:lang w:val="en-US"/>
        </w:rPr>
        <w:t xml:space="preserve"> </w:t>
      </w:r>
      <w:r w:rsidRPr="00575429">
        <w:rPr>
          <w:rFonts w:eastAsia="Calibri" w:cstheme="minorHAnsi"/>
          <w:kern w:val="0"/>
          <w:lang w:val="en-US"/>
        </w:rPr>
        <w:t>report. The applicant might then request leave to remove them before the end of acceptance period, so reducing or avoiding liability for the existing excess-claims component of the acceptance fee.</w:t>
      </w:r>
      <w:r w:rsidR="00A92A6B">
        <w:rPr>
          <w:rFonts w:eastAsia="Calibri" w:cstheme="minorHAnsi"/>
          <w:kern w:val="0"/>
          <w:lang w:val="en-US"/>
        </w:rPr>
        <w:t xml:space="preserve"> </w:t>
      </w:r>
      <w:r w:rsidR="00A92A6B">
        <w:rPr>
          <w:rFonts w:hAnsi="Times New Roman" w:cs="Times New Roman"/>
        </w:rPr>
        <w:t>As discussed above, in the context of the excess-claims fee at first report</w:t>
      </w:r>
      <w:r w:rsidRPr="00575429">
        <w:rPr>
          <w:rFonts w:eastAsia="Calibri" w:cstheme="minorHAnsi"/>
          <w:kern w:val="0"/>
          <w:lang w:val="en-US"/>
        </w:rPr>
        <w:t xml:space="preserve">, there </w:t>
      </w:r>
      <w:r w:rsidR="002C586A">
        <w:rPr>
          <w:rFonts w:eastAsia="Calibri" w:cstheme="minorHAnsi"/>
          <w:kern w:val="0"/>
          <w:lang w:val="en-US"/>
        </w:rPr>
        <w:t>would be</w:t>
      </w:r>
      <w:r w:rsidRPr="00575429">
        <w:rPr>
          <w:rFonts w:eastAsia="Calibri" w:cstheme="minorHAnsi"/>
          <w:kern w:val="0"/>
          <w:lang w:val="en-US"/>
        </w:rPr>
        <w:t xml:space="preserve"> examination effort whose cost is not recovered.</w:t>
      </w:r>
      <w:r w:rsidR="00813650" w:rsidRPr="00813650">
        <w:rPr>
          <w:rFonts w:hAnsi="Times New Roman" w:cs="Times New Roman"/>
        </w:rPr>
        <w:t xml:space="preserve"> </w:t>
      </w:r>
      <w:r w:rsidR="00813650">
        <w:rPr>
          <w:rFonts w:hAnsi="Times New Roman" w:cs="Times New Roman"/>
        </w:rPr>
        <w:t>In this case, the patent examiner would have spent time considering the additional claims, the cost of which time is not then recovered through the existing excess-claims component of the acceptance fee.</w:t>
      </w:r>
    </w:p>
    <w:p w14:paraId="3B9C298C" w14:textId="7A0EF393"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To address this further strategy, item [</w:t>
      </w:r>
      <w:r w:rsidR="005A6192">
        <w:rPr>
          <w:rFonts w:eastAsia="Calibri" w:cstheme="minorHAnsi"/>
          <w:kern w:val="0"/>
        </w:rPr>
        <w:t>22</w:t>
      </w:r>
      <w:r w:rsidRPr="00575429">
        <w:rPr>
          <w:rFonts w:eastAsia="Calibri" w:cstheme="minorHAnsi"/>
          <w:kern w:val="0"/>
        </w:rPr>
        <w:t>] also replace</w:t>
      </w:r>
      <w:r w:rsidR="00DD260C">
        <w:rPr>
          <w:rFonts w:eastAsia="Calibri" w:cstheme="minorHAnsi"/>
          <w:kern w:val="0"/>
        </w:rPr>
        <w:t>s</w:t>
      </w:r>
      <w:r w:rsidRPr="00575429">
        <w:rPr>
          <w:rFonts w:eastAsia="Calibri" w:cstheme="minorHAnsi"/>
          <w:kern w:val="0"/>
        </w:rPr>
        <w:t xml:space="preserve"> the existing excess-claims amount with a new excess-claims amount, which operate</w:t>
      </w:r>
      <w:r w:rsidR="00392A11">
        <w:rPr>
          <w:rFonts w:eastAsia="Calibri" w:cstheme="minorHAnsi"/>
          <w:kern w:val="0"/>
        </w:rPr>
        <w:t>s</w:t>
      </w:r>
      <w:r w:rsidRPr="00575429">
        <w:rPr>
          <w:rFonts w:eastAsia="Calibri" w:cstheme="minorHAnsi"/>
          <w:kern w:val="0"/>
        </w:rPr>
        <w:t xml:space="preserve"> as follows:</w:t>
      </w:r>
    </w:p>
    <w:p w14:paraId="70F2A71D" w14:textId="2AA34BD5" w:rsidR="00575429" w:rsidRPr="00575429" w:rsidRDefault="00575429" w:rsidP="002054C5">
      <w:pPr>
        <w:numPr>
          <w:ilvl w:val="0"/>
          <w:numId w:val="10"/>
        </w:numPr>
        <w:autoSpaceDE w:val="0"/>
        <w:autoSpaceDN w:val="0"/>
        <w:spacing w:before="80" w:after="0" w:line="252" w:lineRule="auto"/>
        <w:rPr>
          <w:rFonts w:eastAsia="Calibri" w:cstheme="minorHAnsi"/>
          <w:kern w:val="0"/>
        </w:rPr>
      </w:pPr>
      <w:r w:rsidRPr="00575429">
        <w:rPr>
          <w:rFonts w:eastAsia="Calibri" w:cstheme="minorHAnsi"/>
          <w:kern w:val="0"/>
        </w:rPr>
        <w:t xml:space="preserve">The new amount </w:t>
      </w:r>
      <w:r w:rsidR="008D430D">
        <w:rPr>
          <w:rFonts w:eastAsia="Calibri" w:cstheme="minorHAnsi"/>
          <w:kern w:val="0"/>
        </w:rPr>
        <w:t>is</w:t>
      </w:r>
      <w:r w:rsidRPr="00575429">
        <w:rPr>
          <w:rFonts w:eastAsia="Calibri" w:cstheme="minorHAnsi"/>
          <w:kern w:val="0"/>
        </w:rPr>
        <w:t xml:space="preserve"> reckoned on the maximum number of potential claims between </w:t>
      </w:r>
      <w:r w:rsidR="00A05118">
        <w:rPr>
          <w:rFonts w:eastAsia="Calibri" w:cstheme="minorHAnsi"/>
          <w:kern w:val="0"/>
        </w:rPr>
        <w:t xml:space="preserve">the start of </w:t>
      </w:r>
      <w:r w:rsidRPr="00575429">
        <w:rPr>
          <w:rFonts w:eastAsia="Calibri" w:cstheme="minorHAnsi"/>
          <w:kern w:val="0"/>
        </w:rPr>
        <w:t xml:space="preserve">the first examination report date and the </w:t>
      </w:r>
      <w:r w:rsidR="00A05118">
        <w:rPr>
          <w:rFonts w:eastAsia="Calibri" w:cstheme="minorHAnsi"/>
          <w:kern w:val="0"/>
        </w:rPr>
        <w:t xml:space="preserve">time </w:t>
      </w:r>
      <w:r w:rsidRPr="00575429">
        <w:rPr>
          <w:rFonts w:eastAsia="Calibri" w:cstheme="minorHAnsi"/>
          <w:kern w:val="0"/>
        </w:rPr>
        <w:t>of acceptance of the patent application.</w:t>
      </w:r>
    </w:p>
    <w:p w14:paraId="2801F9C6" w14:textId="3F48920B" w:rsidR="00575429" w:rsidRPr="00575429" w:rsidRDefault="00575429" w:rsidP="002054C5">
      <w:pPr>
        <w:numPr>
          <w:ilvl w:val="0"/>
          <w:numId w:val="10"/>
        </w:numPr>
        <w:autoSpaceDE w:val="0"/>
        <w:autoSpaceDN w:val="0"/>
        <w:spacing w:before="80" w:after="0" w:line="252" w:lineRule="auto"/>
        <w:rPr>
          <w:rFonts w:eastAsia="Calibri" w:cstheme="minorHAnsi"/>
          <w:kern w:val="0"/>
        </w:rPr>
      </w:pPr>
      <w:r w:rsidRPr="00575429">
        <w:rPr>
          <w:rFonts w:eastAsia="Calibri" w:cstheme="minorHAnsi"/>
          <w:kern w:val="0"/>
          <w:lang w:val="en-US"/>
        </w:rPr>
        <w:t>The new amount only form</w:t>
      </w:r>
      <w:r w:rsidR="00392A11">
        <w:rPr>
          <w:rFonts w:eastAsia="Calibri" w:cstheme="minorHAnsi"/>
          <w:kern w:val="0"/>
          <w:lang w:val="en-US"/>
        </w:rPr>
        <w:t>s</w:t>
      </w:r>
      <w:r w:rsidRPr="00575429">
        <w:rPr>
          <w:rFonts w:eastAsia="Calibri" w:cstheme="minorHAnsi"/>
          <w:kern w:val="0"/>
          <w:lang w:val="en-US"/>
        </w:rPr>
        <w:t xml:space="preserve"> part of the amount of the acceptance fee – if that maximum number of potential claims exceeds 20 claims.</w:t>
      </w:r>
    </w:p>
    <w:p w14:paraId="6ED7ECAE" w14:textId="55A106EA" w:rsidR="00575429" w:rsidRPr="00575429" w:rsidRDefault="00E53297" w:rsidP="00472D7B">
      <w:pPr>
        <w:autoSpaceDE w:val="0"/>
        <w:autoSpaceDN w:val="0"/>
        <w:spacing w:before="160" w:after="0" w:line="252" w:lineRule="auto"/>
        <w:rPr>
          <w:rFonts w:eastAsia="Calibri" w:cstheme="minorHAnsi"/>
          <w:kern w:val="0"/>
        </w:rPr>
      </w:pPr>
      <w:r>
        <w:rPr>
          <w:rFonts w:hAnsi="Times New Roman" w:cs="Times New Roman"/>
        </w:rPr>
        <w:t xml:space="preserve">The new definition of the expression </w:t>
      </w:r>
      <w:r>
        <w:rPr>
          <w:rFonts w:hAnsi="Times New Roman" w:cs="Times New Roman"/>
        </w:rPr>
        <w:t>‘</w:t>
      </w:r>
      <w:r>
        <w:rPr>
          <w:rFonts w:hAnsi="Times New Roman" w:cs="Times New Roman"/>
        </w:rPr>
        <w:t>potential claim</w:t>
      </w:r>
      <w:r>
        <w:rPr>
          <w:rFonts w:hAnsi="Times New Roman" w:cs="Times New Roman"/>
        </w:rPr>
        <w:t>’</w:t>
      </w:r>
      <w:r>
        <w:rPr>
          <w:rFonts w:hAnsi="Times New Roman" w:cs="Times New Roman"/>
        </w:rPr>
        <w:t xml:space="preserve"> (item [8] above) </w:t>
      </w:r>
      <w:r w:rsidR="00D56614">
        <w:rPr>
          <w:rFonts w:eastAsia="Calibri" w:cstheme="minorHAnsi"/>
          <w:kern w:val="0"/>
          <w:lang w:val="en-US"/>
        </w:rPr>
        <w:t>ensures</w:t>
      </w:r>
      <w:r w:rsidR="00575429" w:rsidRPr="00575429">
        <w:rPr>
          <w:rFonts w:eastAsia="Calibri" w:cstheme="minorHAnsi"/>
          <w:kern w:val="0"/>
          <w:lang w:val="en-US"/>
        </w:rPr>
        <w:t xml:space="preserve"> that the excess-claims amount reflects additional claims proposed in a request for leave to amend the complete specification</w:t>
      </w:r>
      <w:r w:rsidR="000E3C58">
        <w:rPr>
          <w:rFonts w:eastAsia="Calibri" w:cstheme="minorHAnsi"/>
          <w:kern w:val="0"/>
          <w:lang w:val="en-US"/>
        </w:rPr>
        <w:t>,</w:t>
      </w:r>
      <w:r w:rsidR="00575429" w:rsidRPr="00575429">
        <w:rPr>
          <w:rFonts w:eastAsia="Calibri" w:cstheme="minorHAnsi"/>
          <w:kern w:val="0"/>
          <w:lang w:val="en-US"/>
        </w:rPr>
        <w:t xml:space="preserve"> filed between the first examination report and acceptance of the application. These claims </w:t>
      </w:r>
      <w:r w:rsidR="00121168">
        <w:rPr>
          <w:rFonts w:eastAsia="Calibri" w:cstheme="minorHAnsi"/>
          <w:kern w:val="0"/>
          <w:lang w:val="en-US"/>
        </w:rPr>
        <w:t>are</w:t>
      </w:r>
      <w:r w:rsidR="00575429" w:rsidRPr="00575429">
        <w:rPr>
          <w:rFonts w:eastAsia="Calibri" w:cstheme="minorHAnsi"/>
          <w:kern w:val="0"/>
          <w:lang w:val="en-US"/>
        </w:rPr>
        <w:t xml:space="preserve"> examined and reported on, even though the request for leave to amend could not be granted until shortly before acceptance of the patent application (discussed above).</w:t>
      </w:r>
    </w:p>
    <w:p w14:paraId="6C9FC18D" w14:textId="3E91671B"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The amount of the new acceptance fee </w:t>
      </w:r>
      <w:r w:rsidR="008D430D">
        <w:rPr>
          <w:rFonts w:eastAsia="Calibri" w:cstheme="minorHAnsi"/>
          <w:kern w:val="0"/>
        </w:rPr>
        <w:t>is</w:t>
      </w:r>
      <w:r w:rsidRPr="00575429">
        <w:rPr>
          <w:rFonts w:eastAsia="Calibri" w:cstheme="minorHAnsi"/>
          <w:kern w:val="0"/>
        </w:rPr>
        <w:t xml:space="preserve"> calculated as follows:</w:t>
      </w:r>
    </w:p>
    <w:p w14:paraId="47D11F41" w14:textId="448FE112" w:rsidR="00575429" w:rsidRPr="00575429" w:rsidRDefault="00575429" w:rsidP="002054C5">
      <w:pPr>
        <w:numPr>
          <w:ilvl w:val="0"/>
          <w:numId w:val="10"/>
        </w:numPr>
        <w:autoSpaceDE w:val="0"/>
        <w:autoSpaceDN w:val="0"/>
        <w:spacing w:before="80" w:after="0" w:line="252" w:lineRule="auto"/>
        <w:rPr>
          <w:rFonts w:eastAsia="Calibri" w:cstheme="minorHAnsi"/>
          <w:kern w:val="0"/>
        </w:rPr>
      </w:pPr>
      <w:r w:rsidRPr="00575429">
        <w:rPr>
          <w:rFonts w:eastAsia="Calibri" w:cstheme="minorHAnsi"/>
          <w:kern w:val="0"/>
        </w:rPr>
        <w:t xml:space="preserve">A minimum of $300 </w:t>
      </w:r>
      <w:r w:rsidR="008D430D">
        <w:rPr>
          <w:rFonts w:eastAsia="Calibri" w:cstheme="minorHAnsi"/>
          <w:kern w:val="0"/>
        </w:rPr>
        <w:t>is</w:t>
      </w:r>
      <w:r w:rsidRPr="00575429">
        <w:rPr>
          <w:rFonts w:eastAsia="Calibri" w:cstheme="minorHAnsi"/>
          <w:kern w:val="0"/>
        </w:rPr>
        <w:t xml:space="preserve"> payable for acceptance of all standard applications.</w:t>
      </w:r>
    </w:p>
    <w:p w14:paraId="3CA8E325" w14:textId="77777777" w:rsidR="00575429" w:rsidRPr="00575429" w:rsidRDefault="00575429" w:rsidP="002054C5">
      <w:pPr>
        <w:numPr>
          <w:ilvl w:val="0"/>
          <w:numId w:val="10"/>
        </w:numPr>
        <w:autoSpaceDE w:val="0"/>
        <w:autoSpaceDN w:val="0"/>
        <w:spacing w:before="80" w:after="0" w:line="252" w:lineRule="auto"/>
        <w:rPr>
          <w:rFonts w:eastAsia="Calibri" w:cstheme="minorHAnsi"/>
          <w:kern w:val="0"/>
        </w:rPr>
      </w:pPr>
      <w:r w:rsidRPr="00575429">
        <w:rPr>
          <w:rFonts w:eastAsia="Calibri" w:cstheme="minorHAnsi"/>
          <w:kern w:val="0"/>
        </w:rPr>
        <w:t>If the maximum number of potential claims between the first examination report date and acceptance exceeds 20 potential claims:</w:t>
      </w:r>
    </w:p>
    <w:p w14:paraId="361ED6D0" w14:textId="2CFC9022" w:rsidR="00575429" w:rsidRPr="00575429" w:rsidRDefault="00575429" w:rsidP="002054C5">
      <w:pPr>
        <w:numPr>
          <w:ilvl w:val="1"/>
          <w:numId w:val="10"/>
        </w:numPr>
        <w:autoSpaceDE w:val="0"/>
        <w:autoSpaceDN w:val="0"/>
        <w:spacing w:before="80" w:after="0" w:line="252" w:lineRule="auto"/>
        <w:ind w:left="1134"/>
        <w:rPr>
          <w:rFonts w:eastAsia="Calibri" w:cstheme="minorHAnsi"/>
          <w:kern w:val="0"/>
        </w:rPr>
      </w:pPr>
      <w:r w:rsidRPr="00575429">
        <w:rPr>
          <w:rFonts w:eastAsia="Calibri" w:cstheme="minorHAnsi"/>
          <w:kern w:val="0"/>
        </w:rPr>
        <w:t xml:space="preserve">an additional per-claim fee of $125 </w:t>
      </w:r>
      <w:r w:rsidR="008D430D">
        <w:rPr>
          <w:rFonts w:eastAsia="Calibri" w:cstheme="minorHAnsi"/>
          <w:kern w:val="0"/>
        </w:rPr>
        <w:t>is</w:t>
      </w:r>
      <w:r w:rsidRPr="00575429">
        <w:rPr>
          <w:rFonts w:eastAsia="Calibri" w:cstheme="minorHAnsi"/>
          <w:kern w:val="0"/>
        </w:rPr>
        <w:t xml:space="preserve"> payable for each of the 21st to the 30th potential claims</w:t>
      </w:r>
    </w:p>
    <w:p w14:paraId="5823B145" w14:textId="5275AB3B" w:rsidR="00575429" w:rsidRPr="00575429" w:rsidRDefault="00575429" w:rsidP="002054C5">
      <w:pPr>
        <w:numPr>
          <w:ilvl w:val="1"/>
          <w:numId w:val="10"/>
        </w:numPr>
        <w:autoSpaceDE w:val="0"/>
        <w:autoSpaceDN w:val="0"/>
        <w:spacing w:before="80" w:after="0" w:line="252" w:lineRule="auto"/>
        <w:ind w:left="1134"/>
        <w:rPr>
          <w:rFonts w:eastAsia="Calibri" w:cstheme="minorHAnsi"/>
          <w:kern w:val="0"/>
        </w:rPr>
      </w:pPr>
      <w:r w:rsidRPr="00575429">
        <w:rPr>
          <w:rFonts w:eastAsia="Calibri" w:cstheme="minorHAnsi"/>
          <w:kern w:val="0"/>
        </w:rPr>
        <w:lastRenderedPageBreak/>
        <w:t xml:space="preserve">an additional per-claim fee of $250 </w:t>
      </w:r>
      <w:r w:rsidR="008D430D">
        <w:rPr>
          <w:rFonts w:eastAsia="Calibri" w:cstheme="minorHAnsi"/>
          <w:kern w:val="0"/>
        </w:rPr>
        <w:t>is</w:t>
      </w:r>
      <w:r w:rsidRPr="00575429">
        <w:rPr>
          <w:rFonts w:eastAsia="Calibri" w:cstheme="minorHAnsi"/>
          <w:kern w:val="0"/>
        </w:rPr>
        <w:t xml:space="preserve"> payable for each potential claim in excess of 30 claims</w:t>
      </w:r>
    </w:p>
    <w:p w14:paraId="6C547762" w14:textId="1CD5538A" w:rsidR="00575429" w:rsidRPr="00575429" w:rsidRDefault="00575429" w:rsidP="002054C5">
      <w:pPr>
        <w:numPr>
          <w:ilvl w:val="1"/>
          <w:numId w:val="10"/>
        </w:numPr>
        <w:autoSpaceDE w:val="0"/>
        <w:autoSpaceDN w:val="0"/>
        <w:spacing w:before="80" w:after="0" w:line="252" w:lineRule="auto"/>
        <w:ind w:left="1134"/>
        <w:rPr>
          <w:rFonts w:eastAsia="Calibri" w:cstheme="minorHAnsi"/>
          <w:kern w:val="0"/>
        </w:rPr>
      </w:pPr>
      <w:r w:rsidRPr="00575429">
        <w:rPr>
          <w:rFonts w:eastAsia="Calibri" w:cstheme="minorHAnsi"/>
          <w:kern w:val="0"/>
        </w:rPr>
        <w:t xml:space="preserve">the acceptance fee </w:t>
      </w:r>
      <w:r w:rsidR="008D430D">
        <w:rPr>
          <w:rFonts w:eastAsia="Calibri" w:cstheme="minorHAnsi"/>
          <w:kern w:val="0"/>
        </w:rPr>
        <w:t>is</w:t>
      </w:r>
      <w:r w:rsidRPr="00575429">
        <w:rPr>
          <w:rFonts w:eastAsia="Calibri" w:cstheme="minorHAnsi"/>
          <w:kern w:val="0"/>
        </w:rPr>
        <w:t xml:space="preserve"> reduced by any amount paid for the new excess-claims fee at first report, but to no less than $300.</w:t>
      </w:r>
    </w:p>
    <w:p w14:paraId="7F74EA33" w14:textId="69886CFD"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An example follows, showing how the new excess</w:t>
      </w:r>
      <w:r w:rsidR="00B14A5A">
        <w:rPr>
          <w:rFonts w:eastAsia="Calibri" w:cstheme="minorHAnsi"/>
          <w:kern w:val="0"/>
        </w:rPr>
        <w:t>-</w:t>
      </w:r>
      <w:r w:rsidRPr="00575429">
        <w:rPr>
          <w:rFonts w:eastAsia="Calibri" w:cstheme="minorHAnsi"/>
          <w:kern w:val="0"/>
        </w:rPr>
        <w:t xml:space="preserve">claims fee and acceptance fee </w:t>
      </w:r>
      <w:r w:rsidR="008D430D">
        <w:rPr>
          <w:rFonts w:eastAsia="Calibri" w:cstheme="minorHAnsi"/>
          <w:kern w:val="0"/>
        </w:rPr>
        <w:t>is</w:t>
      </w:r>
      <w:r w:rsidRPr="00575429">
        <w:rPr>
          <w:rFonts w:eastAsia="Calibri" w:cstheme="minorHAnsi"/>
          <w:kern w:val="0"/>
        </w:rPr>
        <w:t xml:space="preserve"> reckoned:</w:t>
      </w:r>
    </w:p>
    <w:p w14:paraId="4349B39E" w14:textId="3486078E" w:rsidR="00575429" w:rsidRPr="00472D7B" w:rsidRDefault="00575429" w:rsidP="00472D7B">
      <w:pPr>
        <w:autoSpaceDE w:val="0"/>
        <w:autoSpaceDN w:val="0"/>
        <w:spacing w:before="160" w:after="0" w:line="252" w:lineRule="auto"/>
        <w:ind w:left="720"/>
        <w:rPr>
          <w:rFonts w:eastAsia="Calibri" w:cstheme="minorHAnsi"/>
          <w:kern w:val="0"/>
          <w:sz w:val="20"/>
          <w:szCs w:val="20"/>
        </w:rPr>
      </w:pPr>
      <w:r w:rsidRPr="00472D7B">
        <w:rPr>
          <w:rFonts w:eastAsia="Calibri" w:cstheme="minorHAnsi"/>
          <w:kern w:val="0"/>
          <w:sz w:val="20"/>
          <w:szCs w:val="20"/>
        </w:rPr>
        <w:t xml:space="preserve">At filing of a standard application, the complete specification contains 100 claims. In anticipation of examination, the applicant asks for leave to amend the specification to reduce the number of claims to 40 claims. The Commissioner examines and reports on the specification as if it only </w:t>
      </w:r>
      <w:r w:rsidR="002726C4" w:rsidRPr="00472D7B">
        <w:rPr>
          <w:rFonts w:eastAsia="Calibri" w:cstheme="minorHAnsi"/>
          <w:kern w:val="0"/>
          <w:sz w:val="20"/>
          <w:szCs w:val="20"/>
        </w:rPr>
        <w:t>contain</w:t>
      </w:r>
      <w:r w:rsidR="002726C4">
        <w:rPr>
          <w:rFonts w:eastAsia="Calibri" w:cstheme="minorHAnsi"/>
          <w:kern w:val="0"/>
          <w:sz w:val="20"/>
          <w:szCs w:val="20"/>
        </w:rPr>
        <w:t>s</w:t>
      </w:r>
      <w:r w:rsidR="002726C4" w:rsidRPr="00472D7B">
        <w:rPr>
          <w:rFonts w:eastAsia="Calibri" w:cstheme="minorHAnsi"/>
          <w:kern w:val="0"/>
          <w:sz w:val="20"/>
          <w:szCs w:val="20"/>
        </w:rPr>
        <w:t xml:space="preserve"> </w:t>
      </w:r>
      <w:r w:rsidRPr="00472D7B">
        <w:rPr>
          <w:rFonts w:eastAsia="Calibri" w:cstheme="minorHAnsi"/>
          <w:kern w:val="0"/>
          <w:sz w:val="20"/>
          <w:szCs w:val="20"/>
        </w:rPr>
        <w:t xml:space="preserve">the </w:t>
      </w:r>
      <w:r w:rsidR="00BE641E" w:rsidRPr="00472D7B">
        <w:rPr>
          <w:rFonts w:eastAsia="Calibri" w:cstheme="minorHAnsi"/>
          <w:kern w:val="0"/>
          <w:sz w:val="20"/>
          <w:szCs w:val="20"/>
        </w:rPr>
        <w:t>40</w:t>
      </w:r>
      <w:r w:rsidR="00BE641E">
        <w:rPr>
          <w:rFonts w:eastAsia="Calibri" w:cstheme="minorHAnsi"/>
          <w:kern w:val="0"/>
          <w:sz w:val="20"/>
          <w:szCs w:val="20"/>
        </w:rPr>
        <w:t> </w:t>
      </w:r>
      <w:r w:rsidRPr="00472D7B">
        <w:rPr>
          <w:rFonts w:eastAsia="Calibri" w:cstheme="minorHAnsi"/>
          <w:kern w:val="0"/>
          <w:sz w:val="20"/>
          <w:szCs w:val="20"/>
        </w:rPr>
        <w:t xml:space="preserve">potential claims, finding that 5 claims are invalid. An excess-claims fee of $3,750 is payable </w:t>
      </w:r>
      <w:r w:rsidR="00400EBA" w:rsidRPr="00472D7B">
        <w:rPr>
          <w:rFonts w:eastAsia="Calibri" w:cstheme="minorHAnsi"/>
          <w:kern w:val="0"/>
          <w:sz w:val="20"/>
          <w:szCs w:val="20"/>
        </w:rPr>
        <w:t xml:space="preserve">at the first examination report date </w:t>
      </w:r>
      <w:r w:rsidRPr="00472D7B">
        <w:rPr>
          <w:rFonts w:eastAsia="Calibri" w:cstheme="minorHAnsi"/>
          <w:kern w:val="0"/>
          <w:sz w:val="20"/>
          <w:szCs w:val="20"/>
        </w:rPr>
        <w:t xml:space="preserve">on the </w:t>
      </w:r>
      <w:r w:rsidR="00BE641E" w:rsidRPr="00472D7B">
        <w:rPr>
          <w:rFonts w:eastAsia="Calibri" w:cstheme="minorHAnsi"/>
          <w:kern w:val="0"/>
          <w:sz w:val="20"/>
          <w:szCs w:val="20"/>
        </w:rPr>
        <w:t>40</w:t>
      </w:r>
      <w:r w:rsidR="00BE641E">
        <w:rPr>
          <w:rFonts w:eastAsia="Calibri" w:cstheme="minorHAnsi"/>
          <w:kern w:val="0"/>
          <w:sz w:val="20"/>
          <w:szCs w:val="20"/>
        </w:rPr>
        <w:t> </w:t>
      </w:r>
      <w:r w:rsidRPr="00472D7B">
        <w:rPr>
          <w:rFonts w:eastAsia="Calibri" w:cstheme="minorHAnsi"/>
          <w:kern w:val="0"/>
          <w:sz w:val="20"/>
          <w:szCs w:val="20"/>
        </w:rPr>
        <w:t>potential claims (20*$0 + 10*$125 + 10*$250=$3,750).</w:t>
      </w:r>
    </w:p>
    <w:p w14:paraId="7D7C8F6F" w14:textId="2EEF08B5" w:rsidR="00575429" w:rsidRPr="00472D7B" w:rsidRDefault="00575429" w:rsidP="00472D7B">
      <w:pPr>
        <w:autoSpaceDE w:val="0"/>
        <w:autoSpaceDN w:val="0"/>
        <w:spacing w:before="160" w:after="0" w:line="252" w:lineRule="auto"/>
        <w:ind w:left="720"/>
        <w:rPr>
          <w:rFonts w:eastAsia="Calibri" w:cstheme="minorHAnsi"/>
          <w:kern w:val="0"/>
          <w:sz w:val="20"/>
          <w:szCs w:val="20"/>
        </w:rPr>
      </w:pPr>
      <w:r w:rsidRPr="00472D7B">
        <w:rPr>
          <w:rFonts w:eastAsia="Calibri" w:cstheme="minorHAnsi"/>
          <w:kern w:val="0"/>
          <w:sz w:val="20"/>
          <w:szCs w:val="20"/>
        </w:rPr>
        <w:t xml:space="preserve">The applicant responds to the first adverse report by asking for leave to amend the specification to remove 10 claims – including the 5 invalid claims – and to add 20 new claims. The Commissioner examines the 20 new claims, finds that they are valid, and accepts the application. The maximum number of potential claims between the first examination report date and acceptance is 50 claims: the 40 potential claims at first examination report date, less the 10 claims that </w:t>
      </w:r>
      <w:r w:rsidR="00F06DCC">
        <w:rPr>
          <w:rFonts w:eastAsia="Calibri" w:cstheme="minorHAnsi"/>
          <w:kern w:val="0"/>
          <w:sz w:val="20"/>
          <w:szCs w:val="20"/>
        </w:rPr>
        <w:t>are</w:t>
      </w:r>
      <w:r w:rsidRPr="00472D7B">
        <w:rPr>
          <w:rFonts w:eastAsia="Calibri" w:cstheme="minorHAnsi"/>
          <w:kern w:val="0"/>
          <w:sz w:val="20"/>
          <w:szCs w:val="20"/>
        </w:rPr>
        <w:t xml:space="preserve"> removed plus the 20 new claims that </w:t>
      </w:r>
      <w:r w:rsidR="00F06DCC">
        <w:rPr>
          <w:rFonts w:eastAsia="Calibri" w:cstheme="minorHAnsi"/>
          <w:kern w:val="0"/>
          <w:sz w:val="20"/>
          <w:szCs w:val="20"/>
        </w:rPr>
        <w:t>are</w:t>
      </w:r>
      <w:r w:rsidRPr="00472D7B">
        <w:rPr>
          <w:rFonts w:eastAsia="Calibri" w:cstheme="minorHAnsi"/>
          <w:kern w:val="0"/>
          <w:sz w:val="20"/>
          <w:szCs w:val="20"/>
        </w:rPr>
        <w:t xml:space="preserve"> added. The acceptance fee payable is $2,800: made up of the $300 minimum, plus the excess-claims amount of $6,250 based on the 50 potential claims (20*$0 + 10*$125 + 20*$250=$6,250), less the $3,750 paid for the excess-claims fee at first report. In effect, the applicant is paying the $300 minimum plus an extra $250 for each of the net 10 potential claims added after the first examination report.</w:t>
      </w:r>
    </w:p>
    <w:p w14:paraId="2E9789C4" w14:textId="232DC5A6" w:rsidR="00575429" w:rsidRPr="00575429" w:rsidRDefault="00575429" w:rsidP="00472D7B">
      <w:pPr>
        <w:autoSpaceDE w:val="0"/>
        <w:autoSpaceDN w:val="0"/>
        <w:spacing w:before="160" w:after="0" w:line="252" w:lineRule="auto"/>
        <w:rPr>
          <w:rFonts w:eastAsia="Calibri" w:cstheme="minorHAnsi"/>
          <w:i/>
          <w:iCs/>
          <w:kern w:val="0"/>
        </w:rPr>
      </w:pPr>
      <w:bookmarkStart w:id="6" w:name="_Hlk170233046"/>
      <w:r w:rsidRPr="00575429">
        <w:rPr>
          <w:rFonts w:eastAsia="Calibri" w:cstheme="minorHAnsi"/>
          <w:i/>
          <w:iCs/>
          <w:kern w:val="0"/>
        </w:rPr>
        <w:t>Application of amendments</w:t>
      </w:r>
    </w:p>
    <w:bookmarkEnd w:id="6"/>
    <w:p w14:paraId="068CE22C" w14:textId="2E042621"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Item [</w:t>
      </w:r>
      <w:r w:rsidR="009569B8">
        <w:rPr>
          <w:rFonts w:eastAsia="Calibri" w:cstheme="minorHAnsi"/>
          <w:kern w:val="0"/>
        </w:rPr>
        <w:t>17</w:t>
      </w:r>
      <w:r w:rsidRPr="00575429">
        <w:rPr>
          <w:rFonts w:eastAsia="Calibri" w:cstheme="minorHAnsi"/>
          <w:kern w:val="0"/>
        </w:rPr>
        <w:t xml:space="preserve">] </w:t>
      </w:r>
      <w:r w:rsidR="0088667C">
        <w:rPr>
          <w:rFonts w:eastAsia="Calibri" w:cstheme="minorHAnsi"/>
          <w:kern w:val="0"/>
        </w:rPr>
        <w:t>inserts</w:t>
      </w:r>
      <w:r w:rsidRPr="00575429">
        <w:rPr>
          <w:rFonts w:eastAsia="Calibri" w:cstheme="minorHAnsi"/>
          <w:kern w:val="0"/>
        </w:rPr>
        <w:t xml:space="preserve"> new Part 8 into Chapter 23 of the Patents Regulations for the application of several amendments the </w:t>
      </w:r>
      <w:r w:rsidR="002E4CE6">
        <w:rPr>
          <w:rFonts w:eastAsia="Calibri" w:cstheme="minorHAnsi"/>
          <w:kern w:val="0"/>
        </w:rPr>
        <w:t>Regulations</w:t>
      </w:r>
      <w:r w:rsidRPr="00575429">
        <w:rPr>
          <w:rFonts w:eastAsia="Calibri" w:cstheme="minorHAnsi"/>
          <w:kern w:val="0"/>
        </w:rPr>
        <w:t xml:space="preserve"> </w:t>
      </w:r>
      <w:r w:rsidR="006A3A73">
        <w:rPr>
          <w:rFonts w:eastAsia="Calibri" w:cstheme="minorHAnsi"/>
          <w:kern w:val="0"/>
        </w:rPr>
        <w:t>makes</w:t>
      </w:r>
      <w:r w:rsidRPr="00575429">
        <w:rPr>
          <w:rFonts w:eastAsia="Calibri" w:cstheme="minorHAnsi"/>
          <w:kern w:val="0"/>
        </w:rPr>
        <w:t xml:space="preserve"> to the Patents Regulations.</w:t>
      </w:r>
    </w:p>
    <w:p w14:paraId="4818F63D" w14:textId="2659C2CC" w:rsidR="00453AA5" w:rsidRDefault="00886DDF" w:rsidP="00472D7B">
      <w:pPr>
        <w:autoSpaceDE w:val="0"/>
        <w:autoSpaceDN w:val="0"/>
        <w:spacing w:before="160" w:after="0" w:line="252" w:lineRule="auto"/>
        <w:rPr>
          <w:rFonts w:eastAsia="Calibri" w:cstheme="minorHAnsi"/>
          <w:kern w:val="0"/>
          <w:lang w:val="en-US"/>
        </w:rPr>
      </w:pPr>
      <w:r>
        <w:rPr>
          <w:rFonts w:eastAsia="Calibri" w:cstheme="minorHAnsi"/>
          <w:kern w:val="0"/>
        </w:rPr>
        <w:t>New</w:t>
      </w:r>
      <w:r w:rsidR="00575429" w:rsidRPr="00575429">
        <w:rPr>
          <w:rFonts w:eastAsia="Calibri" w:cstheme="minorHAnsi"/>
          <w:kern w:val="0"/>
        </w:rPr>
        <w:t xml:space="preserve"> regulation 23.53 specif</w:t>
      </w:r>
      <w:r w:rsidR="00373F6A">
        <w:rPr>
          <w:rFonts w:eastAsia="Calibri" w:cstheme="minorHAnsi"/>
          <w:kern w:val="0"/>
        </w:rPr>
        <w:t>ies</w:t>
      </w:r>
      <w:r w:rsidR="00575429" w:rsidRPr="00575429">
        <w:rPr>
          <w:rFonts w:eastAsia="Calibri" w:cstheme="minorHAnsi"/>
          <w:kern w:val="0"/>
        </w:rPr>
        <w:t xml:space="preserve"> that the </w:t>
      </w:r>
      <w:r>
        <w:rPr>
          <w:rFonts w:eastAsia="Calibri" w:cstheme="minorHAnsi"/>
          <w:kern w:val="0"/>
        </w:rPr>
        <w:t>new</w:t>
      </w:r>
      <w:r w:rsidR="00575429" w:rsidRPr="00575429">
        <w:rPr>
          <w:rFonts w:eastAsia="Calibri" w:cstheme="minorHAnsi"/>
          <w:kern w:val="0"/>
        </w:rPr>
        <w:t xml:space="preserve"> excess-claims fee at first report </w:t>
      </w:r>
      <w:r>
        <w:rPr>
          <w:rFonts w:eastAsia="Calibri" w:cstheme="minorHAnsi"/>
          <w:kern w:val="0"/>
        </w:rPr>
        <w:t>appl</w:t>
      </w:r>
      <w:r w:rsidR="00196E49">
        <w:rPr>
          <w:rFonts w:eastAsia="Calibri" w:cstheme="minorHAnsi"/>
          <w:kern w:val="0"/>
        </w:rPr>
        <w:t>ies</w:t>
      </w:r>
      <w:r w:rsidR="00575429" w:rsidRPr="00575429">
        <w:rPr>
          <w:rFonts w:eastAsia="Calibri" w:cstheme="minorHAnsi"/>
          <w:kern w:val="0"/>
        </w:rPr>
        <w:t xml:space="preserve"> </w:t>
      </w:r>
      <w:r w:rsidR="00575429" w:rsidRPr="00575429">
        <w:rPr>
          <w:rFonts w:eastAsia="Calibri" w:cstheme="minorHAnsi"/>
          <w:kern w:val="0"/>
          <w:lang w:val="en-US"/>
        </w:rPr>
        <w:t>to a patent application if</w:t>
      </w:r>
      <w:r w:rsidR="00CC7582">
        <w:rPr>
          <w:rFonts w:eastAsia="Calibri" w:cstheme="minorHAnsi"/>
          <w:kern w:val="0"/>
          <w:lang w:val="en-US"/>
        </w:rPr>
        <w:t xml:space="preserve"> both of the following apply</w:t>
      </w:r>
      <w:r w:rsidR="00453AA5">
        <w:rPr>
          <w:rFonts w:eastAsia="Calibri" w:cstheme="minorHAnsi"/>
          <w:kern w:val="0"/>
          <w:lang w:val="en-US"/>
        </w:rPr>
        <w:t>:</w:t>
      </w:r>
    </w:p>
    <w:p w14:paraId="76617148" w14:textId="5BE0130D" w:rsidR="00326CEE" w:rsidRDefault="00575429" w:rsidP="00181F20">
      <w:pPr>
        <w:pStyle w:val="ListParagraph0"/>
        <w:numPr>
          <w:ilvl w:val="0"/>
          <w:numId w:val="18"/>
        </w:numPr>
        <w:autoSpaceDE w:val="0"/>
        <w:autoSpaceDN w:val="0"/>
        <w:spacing w:before="80" w:after="0" w:line="252" w:lineRule="auto"/>
        <w:ind w:left="771" w:hanging="357"/>
        <w:contextualSpacing w:val="0"/>
        <w:rPr>
          <w:rFonts w:eastAsia="Calibri" w:cstheme="minorHAnsi"/>
          <w:kern w:val="0"/>
          <w:lang w:val="en-US"/>
        </w:rPr>
      </w:pPr>
      <w:r w:rsidRPr="007C3D43">
        <w:rPr>
          <w:rFonts w:eastAsia="Calibri" w:cstheme="minorHAnsi"/>
          <w:kern w:val="0"/>
          <w:lang w:val="en-US"/>
        </w:rPr>
        <w:t xml:space="preserve">the applicant asks for its examination under section 44 of the Patents Act on or after the commencement of the </w:t>
      </w:r>
      <w:r w:rsidR="002E4CE6" w:rsidRPr="007C3D43">
        <w:rPr>
          <w:rFonts w:eastAsia="Calibri" w:cstheme="minorHAnsi"/>
          <w:kern w:val="0"/>
          <w:lang w:val="en-US"/>
        </w:rPr>
        <w:t>Regulations</w:t>
      </w:r>
    </w:p>
    <w:p w14:paraId="194738F4" w14:textId="70379BFF" w:rsidR="00453AA5" w:rsidRPr="002D46E0" w:rsidRDefault="00521455" w:rsidP="00181F20">
      <w:pPr>
        <w:pStyle w:val="ListParagraph0"/>
        <w:numPr>
          <w:ilvl w:val="0"/>
          <w:numId w:val="18"/>
        </w:numPr>
        <w:spacing w:before="80"/>
        <w:ind w:left="771" w:hanging="357"/>
        <w:contextualSpacing w:val="0"/>
        <w:rPr>
          <w:rFonts w:eastAsia="Calibri" w:cstheme="minorHAnsi"/>
          <w:kern w:val="0"/>
          <w:lang w:val="en-US"/>
        </w:rPr>
      </w:pPr>
      <w:r w:rsidRPr="00521455">
        <w:rPr>
          <w:rFonts w:eastAsia="Calibri" w:cstheme="minorHAnsi"/>
          <w:kern w:val="0"/>
          <w:lang w:val="en-US"/>
        </w:rPr>
        <w:t>the first examination report date is after the request for examination (which would always be the case)</w:t>
      </w:r>
      <w:r w:rsidR="00575429" w:rsidRPr="002D46E0">
        <w:rPr>
          <w:rFonts w:eastAsia="Calibri" w:cstheme="minorHAnsi"/>
          <w:kern w:val="0"/>
          <w:lang w:val="en-US"/>
        </w:rPr>
        <w:t>.</w:t>
      </w:r>
    </w:p>
    <w:p w14:paraId="65CD6DC6" w14:textId="14DC949A"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lang w:val="en-US"/>
        </w:rPr>
        <w:t xml:space="preserve">This </w:t>
      </w:r>
      <w:r w:rsidR="008D430D">
        <w:rPr>
          <w:rFonts w:eastAsia="Calibri" w:cstheme="minorHAnsi"/>
          <w:kern w:val="0"/>
          <w:lang w:val="en-US"/>
        </w:rPr>
        <w:t>is</w:t>
      </w:r>
      <w:r w:rsidRPr="00575429">
        <w:rPr>
          <w:rFonts w:eastAsia="Calibri" w:cstheme="minorHAnsi"/>
          <w:kern w:val="0"/>
          <w:lang w:val="en-US"/>
        </w:rPr>
        <w:t xml:space="preserve"> so whether the patent application </w:t>
      </w:r>
      <w:r w:rsidR="005069D7">
        <w:rPr>
          <w:rFonts w:eastAsia="Calibri" w:cstheme="minorHAnsi"/>
          <w:kern w:val="0"/>
          <w:lang w:val="en-US"/>
        </w:rPr>
        <w:t>i</w:t>
      </w:r>
      <w:r w:rsidR="005069D7" w:rsidRPr="00575429">
        <w:rPr>
          <w:rFonts w:eastAsia="Calibri" w:cstheme="minorHAnsi"/>
          <w:kern w:val="0"/>
          <w:lang w:val="en-US"/>
        </w:rPr>
        <w:t xml:space="preserve">s </w:t>
      </w:r>
      <w:r w:rsidRPr="00575429">
        <w:rPr>
          <w:rFonts w:eastAsia="Calibri" w:cstheme="minorHAnsi"/>
          <w:kern w:val="0"/>
          <w:lang w:val="en-US"/>
        </w:rPr>
        <w:t xml:space="preserve">made before, on or after that commencement. In particular, the </w:t>
      </w:r>
      <w:r w:rsidR="00886DDF">
        <w:rPr>
          <w:rFonts w:eastAsia="Calibri" w:cstheme="minorHAnsi"/>
          <w:kern w:val="0"/>
          <w:lang w:val="en-US"/>
        </w:rPr>
        <w:t>new</w:t>
      </w:r>
      <w:r w:rsidRPr="00575429">
        <w:rPr>
          <w:rFonts w:eastAsia="Calibri" w:cstheme="minorHAnsi"/>
          <w:kern w:val="0"/>
          <w:lang w:val="en-US"/>
        </w:rPr>
        <w:t xml:space="preserve"> fee </w:t>
      </w:r>
      <w:r w:rsidR="00886DDF">
        <w:rPr>
          <w:rFonts w:eastAsia="Calibri" w:cstheme="minorHAnsi"/>
          <w:kern w:val="0"/>
          <w:lang w:val="en-US"/>
        </w:rPr>
        <w:t>appl</w:t>
      </w:r>
      <w:r w:rsidR="00173F8C">
        <w:rPr>
          <w:rFonts w:eastAsia="Calibri" w:cstheme="minorHAnsi"/>
          <w:kern w:val="0"/>
          <w:lang w:val="en-US"/>
        </w:rPr>
        <w:t>ies</w:t>
      </w:r>
      <w:r w:rsidRPr="00575429">
        <w:rPr>
          <w:rFonts w:eastAsia="Calibri" w:cstheme="minorHAnsi"/>
          <w:kern w:val="0"/>
          <w:lang w:val="en-US"/>
        </w:rPr>
        <w:t xml:space="preserve"> to a standard patent application made before commencement only if the applicant requests its examination on or after commencement. The applicant may request examination at any time after filing the </w:t>
      </w:r>
      <w:proofErr w:type="gramStart"/>
      <w:r w:rsidRPr="00575429">
        <w:rPr>
          <w:rFonts w:eastAsia="Calibri" w:cstheme="minorHAnsi"/>
          <w:kern w:val="0"/>
          <w:lang w:val="en-US"/>
        </w:rPr>
        <w:t>application</w:t>
      </w:r>
      <w:r w:rsidR="001B17EC">
        <w:rPr>
          <w:rFonts w:eastAsia="Calibri" w:cstheme="minorHAnsi"/>
          <w:kern w:val="0"/>
          <w:lang w:val="en-US"/>
        </w:rPr>
        <w:t>,</w:t>
      </w:r>
      <w:r w:rsidRPr="00575429">
        <w:rPr>
          <w:rFonts w:eastAsia="Calibri" w:cstheme="minorHAnsi"/>
          <w:kern w:val="0"/>
          <w:lang w:val="en-US"/>
        </w:rPr>
        <w:t xml:space="preserve"> but</w:t>
      </w:r>
      <w:proofErr w:type="gramEnd"/>
      <w:r w:rsidRPr="00575429">
        <w:rPr>
          <w:rFonts w:eastAsia="Calibri" w:cstheme="minorHAnsi"/>
          <w:kern w:val="0"/>
          <w:lang w:val="en-US"/>
        </w:rPr>
        <w:t xml:space="preserve"> must do so within 5 years of its filing date.</w:t>
      </w:r>
    </w:p>
    <w:p w14:paraId="10F1D2B1" w14:textId="206887F0" w:rsidR="00100634" w:rsidRDefault="00886DDF" w:rsidP="00472D7B">
      <w:pPr>
        <w:autoSpaceDE w:val="0"/>
        <w:autoSpaceDN w:val="0"/>
        <w:spacing w:before="160" w:after="0" w:line="252" w:lineRule="auto"/>
        <w:rPr>
          <w:rFonts w:eastAsia="Calibri" w:cstheme="minorHAnsi"/>
          <w:kern w:val="0"/>
        </w:rPr>
      </w:pPr>
      <w:r>
        <w:rPr>
          <w:rFonts w:eastAsia="Calibri" w:cstheme="minorHAnsi"/>
          <w:kern w:val="0"/>
        </w:rPr>
        <w:t>New</w:t>
      </w:r>
      <w:r w:rsidR="00575429" w:rsidRPr="00575429">
        <w:rPr>
          <w:rFonts w:eastAsia="Calibri" w:cstheme="minorHAnsi"/>
          <w:kern w:val="0"/>
        </w:rPr>
        <w:t xml:space="preserve"> regulation 23.54 specif</w:t>
      </w:r>
      <w:r w:rsidR="008D48EE">
        <w:rPr>
          <w:rFonts w:eastAsia="Calibri" w:cstheme="minorHAnsi"/>
          <w:kern w:val="0"/>
        </w:rPr>
        <w:t>ies</w:t>
      </w:r>
      <w:r w:rsidR="00575429" w:rsidRPr="00575429">
        <w:rPr>
          <w:rFonts w:eastAsia="Calibri" w:cstheme="minorHAnsi"/>
          <w:kern w:val="0"/>
        </w:rPr>
        <w:t xml:space="preserve"> what acceptance fee applies to standard applications after commencement of the </w:t>
      </w:r>
      <w:r w:rsidR="002E4CE6">
        <w:rPr>
          <w:rFonts w:eastAsia="Calibri" w:cstheme="minorHAnsi"/>
          <w:kern w:val="0"/>
        </w:rPr>
        <w:t>Regulations</w:t>
      </w:r>
      <w:r w:rsidR="00575429" w:rsidRPr="00575429">
        <w:rPr>
          <w:rFonts w:eastAsia="Calibri" w:cstheme="minorHAnsi"/>
          <w:kern w:val="0"/>
        </w:rPr>
        <w:t>.</w:t>
      </w:r>
    </w:p>
    <w:p w14:paraId="1600AF37" w14:textId="6D3FDE39" w:rsidR="00B93086" w:rsidRDefault="00BC7DEB" w:rsidP="00472D7B">
      <w:pPr>
        <w:autoSpaceDE w:val="0"/>
        <w:autoSpaceDN w:val="0"/>
        <w:spacing w:before="160" w:after="0" w:line="252" w:lineRule="auto"/>
        <w:rPr>
          <w:rFonts w:eastAsia="Calibri" w:cstheme="minorHAnsi"/>
          <w:kern w:val="0"/>
          <w:lang w:val="en-US"/>
        </w:rPr>
      </w:pPr>
      <w:r>
        <w:rPr>
          <w:rFonts w:eastAsia="Calibri" w:cstheme="minorHAnsi"/>
          <w:kern w:val="0"/>
        </w:rPr>
        <w:t xml:space="preserve">New </w:t>
      </w:r>
      <w:proofErr w:type="spellStart"/>
      <w:r w:rsidR="00575429" w:rsidRPr="00575429">
        <w:rPr>
          <w:rFonts w:eastAsia="Calibri" w:cstheme="minorHAnsi"/>
          <w:kern w:val="0"/>
        </w:rPr>
        <w:t>subregulation</w:t>
      </w:r>
      <w:proofErr w:type="spellEnd"/>
      <w:r w:rsidR="00575429" w:rsidRPr="00575429">
        <w:rPr>
          <w:rFonts w:eastAsia="Calibri" w:cstheme="minorHAnsi"/>
          <w:kern w:val="0"/>
        </w:rPr>
        <w:t xml:space="preserve"> 23.54(1) </w:t>
      </w:r>
      <w:r w:rsidR="00886DDF">
        <w:rPr>
          <w:rFonts w:eastAsia="Calibri" w:cstheme="minorHAnsi"/>
          <w:kern w:val="0"/>
        </w:rPr>
        <w:t>appl</w:t>
      </w:r>
      <w:r w:rsidR="00941AD6">
        <w:rPr>
          <w:rFonts w:eastAsia="Calibri" w:cstheme="minorHAnsi"/>
          <w:kern w:val="0"/>
        </w:rPr>
        <w:t>ies</w:t>
      </w:r>
      <w:r w:rsidR="00575429" w:rsidRPr="00575429">
        <w:rPr>
          <w:rFonts w:eastAsia="Calibri" w:cstheme="minorHAnsi"/>
          <w:kern w:val="0"/>
        </w:rPr>
        <w:t xml:space="preserve"> the new acceptance fee to a standard patent application </w:t>
      </w:r>
      <w:r w:rsidR="00575429" w:rsidRPr="00575429">
        <w:rPr>
          <w:rFonts w:eastAsia="Calibri" w:cstheme="minorHAnsi"/>
          <w:kern w:val="0"/>
          <w:lang w:val="en-US"/>
        </w:rPr>
        <w:t xml:space="preserve">only if the applicant requests its examination </w:t>
      </w:r>
      <w:r w:rsidR="00794A1E" w:rsidRPr="00015717">
        <w:rPr>
          <w:rFonts w:hAnsi="Times New Roman" w:cs="Times New Roman"/>
        </w:rPr>
        <w:t>under section</w:t>
      </w:r>
      <w:r w:rsidR="00794A1E" w:rsidRPr="00015717">
        <w:rPr>
          <w:rFonts w:hAnsi="Times New Roman" w:cs="Times New Roman"/>
        </w:rPr>
        <w:t> </w:t>
      </w:r>
      <w:r w:rsidR="00794A1E" w:rsidRPr="00015717">
        <w:rPr>
          <w:rFonts w:hAnsi="Times New Roman" w:cs="Times New Roman"/>
        </w:rPr>
        <w:t>44 of the Patents Act</w:t>
      </w:r>
      <w:r w:rsidR="00794A1E" w:rsidRPr="00575429">
        <w:rPr>
          <w:rFonts w:eastAsia="Calibri" w:cstheme="minorHAnsi"/>
          <w:kern w:val="0"/>
          <w:lang w:val="en-US"/>
        </w:rPr>
        <w:t xml:space="preserve"> </w:t>
      </w:r>
      <w:r w:rsidR="00575429" w:rsidRPr="00575429">
        <w:rPr>
          <w:rFonts w:eastAsia="Calibri" w:cstheme="minorHAnsi"/>
          <w:kern w:val="0"/>
          <w:lang w:val="en-US"/>
        </w:rPr>
        <w:t xml:space="preserve">on or after commencement. </w:t>
      </w:r>
      <w:r w:rsidR="00B93086">
        <w:rPr>
          <w:rFonts w:hAnsi="Times New Roman" w:cs="Times New Roman"/>
        </w:rPr>
        <w:t>Again, t</w:t>
      </w:r>
      <w:r w:rsidR="00B93086" w:rsidRPr="00015717">
        <w:rPr>
          <w:rFonts w:hAnsi="Times New Roman" w:cs="Times New Roman"/>
        </w:rPr>
        <w:t xml:space="preserve">his </w:t>
      </w:r>
      <w:r w:rsidR="00B93086">
        <w:rPr>
          <w:rFonts w:hAnsi="Times New Roman" w:cs="Times New Roman"/>
        </w:rPr>
        <w:t xml:space="preserve">is </w:t>
      </w:r>
      <w:r w:rsidR="00B93086" w:rsidRPr="00015717">
        <w:rPr>
          <w:rFonts w:hAnsi="Times New Roman" w:cs="Times New Roman"/>
        </w:rPr>
        <w:t xml:space="preserve">so whether the patent application was made before, on or after that commencement. In particular, the proposed new </w:t>
      </w:r>
      <w:r w:rsidR="00B93086">
        <w:rPr>
          <w:rFonts w:hAnsi="Times New Roman" w:cs="Times New Roman"/>
        </w:rPr>
        <w:t xml:space="preserve">acceptance </w:t>
      </w:r>
      <w:r w:rsidR="00B93086" w:rsidRPr="00015717">
        <w:rPr>
          <w:rFonts w:hAnsi="Times New Roman" w:cs="Times New Roman"/>
        </w:rPr>
        <w:t>fee appl</w:t>
      </w:r>
      <w:r w:rsidR="00F213F7">
        <w:rPr>
          <w:rFonts w:hAnsi="Times New Roman" w:cs="Times New Roman"/>
        </w:rPr>
        <w:t>ies</w:t>
      </w:r>
      <w:r w:rsidR="00B93086" w:rsidRPr="00015717">
        <w:rPr>
          <w:rFonts w:hAnsi="Times New Roman" w:cs="Times New Roman"/>
        </w:rPr>
        <w:t xml:space="preserve"> to a standard patent application made before commencement only if the applicant requests its examination on or after commencement.</w:t>
      </w:r>
    </w:p>
    <w:p w14:paraId="14F94330" w14:textId="463D2153"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lang w:val="en-US"/>
        </w:rPr>
        <w:t xml:space="preserve">New </w:t>
      </w:r>
      <w:proofErr w:type="spellStart"/>
      <w:r w:rsidRPr="00575429">
        <w:rPr>
          <w:rFonts w:eastAsia="Calibri" w:cstheme="minorHAnsi"/>
          <w:kern w:val="0"/>
          <w:lang w:val="en-US"/>
        </w:rPr>
        <w:t>subregulation</w:t>
      </w:r>
      <w:proofErr w:type="spellEnd"/>
      <w:r w:rsidRPr="00575429">
        <w:rPr>
          <w:rFonts w:eastAsia="Calibri" w:cstheme="minorHAnsi"/>
          <w:kern w:val="0"/>
          <w:lang w:val="en-US"/>
        </w:rPr>
        <w:t xml:space="preserve"> 23.54(2) govern</w:t>
      </w:r>
      <w:r w:rsidR="00BC7DEB">
        <w:rPr>
          <w:rFonts w:eastAsia="Calibri" w:cstheme="minorHAnsi"/>
          <w:kern w:val="0"/>
          <w:lang w:val="en-US"/>
        </w:rPr>
        <w:t>s</w:t>
      </w:r>
      <w:r w:rsidRPr="00575429">
        <w:rPr>
          <w:rFonts w:eastAsia="Calibri" w:cstheme="minorHAnsi"/>
          <w:kern w:val="0"/>
          <w:lang w:val="en-US"/>
        </w:rPr>
        <w:t xml:space="preserve"> the transitional case of a standard patent application whose examination is requested before commencement, but which is accepted after commencement.</w:t>
      </w:r>
      <w:r w:rsidRPr="00575429">
        <w:rPr>
          <w:rFonts w:eastAsia="Calibri" w:cstheme="minorHAnsi"/>
          <w:kern w:val="0"/>
        </w:rPr>
        <w:t xml:space="preserve"> In the transitional case, the existing acceptance fee </w:t>
      </w:r>
      <w:r w:rsidR="00886DDF">
        <w:rPr>
          <w:rFonts w:eastAsia="Calibri" w:cstheme="minorHAnsi"/>
          <w:kern w:val="0"/>
        </w:rPr>
        <w:t>appl</w:t>
      </w:r>
      <w:r w:rsidR="003170EA">
        <w:rPr>
          <w:rFonts w:eastAsia="Calibri" w:cstheme="minorHAnsi"/>
          <w:kern w:val="0"/>
        </w:rPr>
        <w:t>ies</w:t>
      </w:r>
      <w:r w:rsidRPr="00575429">
        <w:rPr>
          <w:rFonts w:eastAsia="Calibri" w:cstheme="minorHAnsi"/>
          <w:kern w:val="0"/>
        </w:rPr>
        <w:t xml:space="preserve"> but with its minimum increased from $250 to $300. </w:t>
      </w:r>
      <w:r w:rsidR="00033B30" w:rsidRPr="2DA159A9">
        <w:rPr>
          <w:rFonts w:eastAsia="Calibri"/>
        </w:rPr>
        <w:t>Th</w:t>
      </w:r>
      <w:r w:rsidR="00D72448" w:rsidRPr="2DA159A9">
        <w:rPr>
          <w:rFonts w:eastAsia="Calibri"/>
        </w:rPr>
        <w:t>is</w:t>
      </w:r>
      <w:r w:rsidR="00033B30" w:rsidRPr="2DA159A9">
        <w:rPr>
          <w:rFonts w:eastAsia="Calibri"/>
        </w:rPr>
        <w:t xml:space="preserve"> increase in the minimum </w:t>
      </w:r>
      <w:r w:rsidR="00852FAE" w:rsidRPr="2DA159A9">
        <w:rPr>
          <w:rFonts w:eastAsia="Calibri"/>
        </w:rPr>
        <w:t xml:space="preserve">is part of </w:t>
      </w:r>
      <w:r w:rsidR="00CF6627" w:rsidRPr="2DA159A9">
        <w:rPr>
          <w:rFonts w:eastAsia="Calibri"/>
        </w:rPr>
        <w:t xml:space="preserve">the increases to fees to recover the increased cost of administering the patent </w:t>
      </w:r>
      <w:r w:rsidR="00367079" w:rsidRPr="2DA159A9">
        <w:rPr>
          <w:rFonts w:eastAsia="Calibri"/>
        </w:rPr>
        <w:t xml:space="preserve">system. In contrast, the </w:t>
      </w:r>
      <w:r w:rsidRPr="00575429">
        <w:rPr>
          <w:rFonts w:eastAsia="Calibri" w:cstheme="minorHAnsi"/>
          <w:kern w:val="0"/>
        </w:rPr>
        <w:t xml:space="preserve">existing excess-claims component </w:t>
      </w:r>
      <w:r w:rsidR="00505D7E">
        <w:rPr>
          <w:rFonts w:eastAsia="Calibri" w:cstheme="minorHAnsi"/>
          <w:kern w:val="0"/>
        </w:rPr>
        <w:t xml:space="preserve">– </w:t>
      </w:r>
      <w:r w:rsidRPr="00575429">
        <w:rPr>
          <w:rFonts w:eastAsia="Calibri" w:cstheme="minorHAnsi"/>
          <w:kern w:val="0"/>
        </w:rPr>
        <w:t xml:space="preserve">reckoned on the number of claims in the complete specification at acceptance </w:t>
      </w:r>
      <w:r w:rsidR="00505D7E">
        <w:rPr>
          <w:rFonts w:eastAsia="Calibri" w:cstheme="minorHAnsi"/>
          <w:kern w:val="0"/>
        </w:rPr>
        <w:t xml:space="preserve">– </w:t>
      </w:r>
      <w:r w:rsidR="003A4D5F">
        <w:rPr>
          <w:rFonts w:eastAsia="Calibri" w:cstheme="minorHAnsi"/>
          <w:kern w:val="0"/>
        </w:rPr>
        <w:t>continue</w:t>
      </w:r>
      <w:r w:rsidR="003170EA">
        <w:rPr>
          <w:rFonts w:eastAsia="Calibri" w:cstheme="minorHAnsi"/>
          <w:kern w:val="0"/>
        </w:rPr>
        <w:t>s</w:t>
      </w:r>
      <w:r w:rsidRPr="00575429">
        <w:rPr>
          <w:rFonts w:eastAsia="Calibri" w:cstheme="minorHAnsi"/>
          <w:kern w:val="0"/>
        </w:rPr>
        <w:t xml:space="preserve"> to apply. To </w:t>
      </w:r>
      <w:r w:rsidR="000F7010">
        <w:rPr>
          <w:rFonts w:eastAsia="Calibri" w:cstheme="minorHAnsi"/>
          <w:kern w:val="0"/>
        </w:rPr>
        <w:t>make this clear</w:t>
      </w:r>
      <w:r w:rsidRPr="00575429">
        <w:rPr>
          <w:rFonts w:eastAsia="Calibri" w:cstheme="minorHAnsi"/>
          <w:kern w:val="0"/>
        </w:rPr>
        <w:t xml:space="preserve">, </w:t>
      </w:r>
      <w:r w:rsidRPr="00575429">
        <w:rPr>
          <w:rFonts w:eastAsia="Calibri" w:cstheme="minorHAnsi"/>
          <w:kern w:val="0"/>
        </w:rPr>
        <w:lastRenderedPageBreak/>
        <w:t xml:space="preserve">existing item 213 in clause 2 of Schedule 7 </w:t>
      </w:r>
      <w:r w:rsidR="008D430D">
        <w:rPr>
          <w:rFonts w:eastAsia="Calibri" w:cstheme="minorHAnsi"/>
          <w:kern w:val="0"/>
        </w:rPr>
        <w:t>is</w:t>
      </w:r>
      <w:r w:rsidRPr="00575429">
        <w:rPr>
          <w:rFonts w:eastAsia="Calibri" w:cstheme="minorHAnsi"/>
          <w:kern w:val="0"/>
        </w:rPr>
        <w:t xml:space="preserve"> restated in new </w:t>
      </w:r>
      <w:proofErr w:type="spellStart"/>
      <w:r w:rsidRPr="00575429">
        <w:rPr>
          <w:rFonts w:eastAsia="Calibri" w:cstheme="minorHAnsi"/>
          <w:kern w:val="0"/>
        </w:rPr>
        <w:t>subregulation</w:t>
      </w:r>
      <w:proofErr w:type="spellEnd"/>
      <w:r w:rsidRPr="00575429">
        <w:rPr>
          <w:rFonts w:eastAsia="Calibri" w:cstheme="minorHAnsi"/>
          <w:kern w:val="0"/>
        </w:rPr>
        <w:t xml:space="preserve"> 23.54(2) with the increased minimum.</w:t>
      </w:r>
    </w:p>
    <w:p w14:paraId="39933E63" w14:textId="1A9FCF6E" w:rsidR="00575429" w:rsidRPr="00575429" w:rsidRDefault="00886DDF" w:rsidP="00472D7B">
      <w:pPr>
        <w:autoSpaceDE w:val="0"/>
        <w:autoSpaceDN w:val="0"/>
        <w:spacing w:before="160" w:after="0" w:line="252" w:lineRule="auto"/>
        <w:rPr>
          <w:rFonts w:eastAsia="Calibri" w:cstheme="minorHAnsi"/>
          <w:kern w:val="0"/>
        </w:rPr>
      </w:pPr>
      <w:r>
        <w:rPr>
          <w:rFonts w:eastAsia="Calibri" w:cstheme="minorHAnsi"/>
          <w:kern w:val="0"/>
        </w:rPr>
        <w:t>New</w:t>
      </w:r>
      <w:r w:rsidR="00575429" w:rsidRPr="00575429">
        <w:rPr>
          <w:rFonts w:eastAsia="Calibri" w:cstheme="minorHAnsi"/>
          <w:kern w:val="0"/>
        </w:rPr>
        <w:t xml:space="preserve"> regulation 23.55 is discussed below in the notes on </w:t>
      </w:r>
      <w:r w:rsidR="00784C93">
        <w:rPr>
          <w:rFonts w:eastAsia="Calibri" w:cstheme="minorHAnsi"/>
          <w:kern w:val="0"/>
        </w:rPr>
        <w:t xml:space="preserve">items </w:t>
      </w:r>
      <w:r w:rsidR="00575429" w:rsidRPr="00575429">
        <w:rPr>
          <w:rFonts w:eastAsia="Calibri" w:cstheme="minorHAnsi"/>
          <w:kern w:val="0"/>
        </w:rPr>
        <w:t>[</w:t>
      </w:r>
      <w:r w:rsidR="00836138" w:rsidRPr="00575429">
        <w:rPr>
          <w:rFonts w:eastAsia="Calibri" w:cstheme="minorHAnsi"/>
          <w:kern w:val="0"/>
        </w:rPr>
        <w:t>2</w:t>
      </w:r>
      <w:r w:rsidR="00836138">
        <w:rPr>
          <w:rFonts w:eastAsia="Calibri" w:cstheme="minorHAnsi"/>
          <w:kern w:val="0"/>
        </w:rPr>
        <w:t>5</w:t>
      </w:r>
      <w:r w:rsidR="00575429" w:rsidRPr="00575429">
        <w:rPr>
          <w:rFonts w:eastAsia="Calibri" w:cstheme="minorHAnsi"/>
          <w:kern w:val="0"/>
        </w:rPr>
        <w:t>] to [</w:t>
      </w:r>
      <w:r w:rsidR="00836138" w:rsidRPr="00575429">
        <w:rPr>
          <w:rFonts w:eastAsia="Calibri" w:cstheme="minorHAnsi"/>
          <w:kern w:val="0"/>
        </w:rPr>
        <w:t>2</w:t>
      </w:r>
      <w:r w:rsidR="00836138">
        <w:rPr>
          <w:rFonts w:eastAsia="Calibri" w:cstheme="minorHAnsi"/>
          <w:kern w:val="0"/>
        </w:rPr>
        <w:t>8</w:t>
      </w:r>
      <w:r w:rsidR="00575429" w:rsidRPr="00575429">
        <w:rPr>
          <w:rFonts w:eastAsia="Calibri" w:cstheme="minorHAnsi"/>
          <w:kern w:val="0"/>
        </w:rPr>
        <w:t>].</w:t>
      </w:r>
    </w:p>
    <w:p w14:paraId="60CD2D69" w14:textId="26F7657B" w:rsidR="00575429" w:rsidRPr="00575429" w:rsidRDefault="00575429" w:rsidP="00326817">
      <w:pPr>
        <w:keepNext/>
        <w:autoSpaceDE w:val="0"/>
        <w:autoSpaceDN w:val="0"/>
        <w:spacing w:before="160" w:after="0" w:line="252" w:lineRule="auto"/>
        <w:rPr>
          <w:rFonts w:eastAsia="Calibri" w:cstheme="minorHAnsi"/>
          <w:b/>
          <w:bCs/>
          <w:kern w:val="0"/>
        </w:rPr>
      </w:pPr>
      <w:r w:rsidRPr="00575429">
        <w:rPr>
          <w:rFonts w:eastAsia="Calibri" w:cstheme="minorHAnsi"/>
          <w:b/>
          <w:bCs/>
          <w:kern w:val="0"/>
        </w:rPr>
        <w:t xml:space="preserve">Items </w:t>
      </w:r>
      <w:r w:rsidRPr="00575429">
        <w:rPr>
          <w:rFonts w:eastAsia="Calibri" w:cstheme="minorHAnsi"/>
          <w:b/>
          <w:bCs/>
          <w:iCs/>
          <w:kern w:val="0"/>
          <w:lang w:val="en-US"/>
        </w:rPr>
        <w:t>[1</w:t>
      </w:r>
      <w:r w:rsidR="009D7624">
        <w:rPr>
          <w:rFonts w:eastAsia="Calibri" w:cstheme="minorHAnsi"/>
          <w:b/>
          <w:bCs/>
          <w:iCs/>
          <w:kern w:val="0"/>
          <w:lang w:val="en-US"/>
        </w:rPr>
        <w:t>2</w:t>
      </w:r>
      <w:r w:rsidRPr="00575429">
        <w:rPr>
          <w:rFonts w:eastAsia="Calibri" w:cstheme="minorHAnsi"/>
          <w:b/>
          <w:bCs/>
          <w:iCs/>
          <w:kern w:val="0"/>
          <w:lang w:val="en-US"/>
        </w:rPr>
        <w:t>], [</w:t>
      </w:r>
      <w:r w:rsidR="00CB5166">
        <w:rPr>
          <w:rFonts w:eastAsia="Calibri" w:cstheme="minorHAnsi"/>
          <w:b/>
          <w:bCs/>
          <w:iCs/>
          <w:kern w:val="0"/>
          <w:lang w:val="en-US"/>
        </w:rPr>
        <w:t>16</w:t>
      </w:r>
      <w:r w:rsidRPr="00575429">
        <w:rPr>
          <w:rFonts w:eastAsia="Calibri" w:cstheme="minorHAnsi"/>
          <w:b/>
          <w:bCs/>
          <w:iCs/>
          <w:kern w:val="0"/>
          <w:lang w:val="en-US"/>
        </w:rPr>
        <w:t>] and [</w:t>
      </w:r>
      <w:r w:rsidR="00650F4D">
        <w:rPr>
          <w:rFonts w:eastAsia="Calibri" w:cstheme="minorHAnsi"/>
          <w:b/>
          <w:bCs/>
          <w:iCs/>
          <w:kern w:val="0"/>
          <w:lang w:val="en-US"/>
        </w:rPr>
        <w:t>24</w:t>
      </w:r>
      <w:r w:rsidRPr="00575429">
        <w:rPr>
          <w:rFonts w:eastAsia="Calibri" w:cstheme="minorHAnsi"/>
          <w:b/>
          <w:bCs/>
          <w:iCs/>
          <w:kern w:val="0"/>
          <w:lang w:val="en-US"/>
        </w:rPr>
        <w:t>]</w:t>
      </w:r>
      <w:r w:rsidRPr="00575429">
        <w:rPr>
          <w:rFonts w:eastAsia="Calibri" w:cstheme="minorHAnsi"/>
          <w:b/>
          <w:bCs/>
          <w:kern w:val="0"/>
        </w:rPr>
        <w:t xml:space="preserve">– </w:t>
      </w:r>
      <w:r w:rsidR="00150EFF">
        <w:rPr>
          <w:rFonts w:eastAsia="Calibri" w:cstheme="minorHAnsi"/>
          <w:b/>
          <w:bCs/>
          <w:kern w:val="0"/>
        </w:rPr>
        <w:t xml:space="preserve">clause 3 of </w:t>
      </w:r>
      <w:r w:rsidRPr="00575429">
        <w:rPr>
          <w:rFonts w:eastAsia="Calibri" w:cstheme="minorHAnsi"/>
          <w:b/>
          <w:bCs/>
          <w:kern w:val="0"/>
        </w:rPr>
        <w:t>Schedule 7</w:t>
      </w:r>
      <w:r w:rsidR="009D3BAE">
        <w:rPr>
          <w:rFonts w:eastAsia="Calibri" w:cstheme="minorHAnsi"/>
          <w:b/>
          <w:bCs/>
          <w:kern w:val="0"/>
        </w:rPr>
        <w:t xml:space="preserve"> (table item 301)</w:t>
      </w:r>
      <w:r w:rsidRPr="00575429">
        <w:rPr>
          <w:rFonts w:eastAsia="Calibri" w:cstheme="minorHAnsi"/>
          <w:b/>
          <w:bCs/>
          <w:kern w:val="0"/>
        </w:rPr>
        <w:t>; consequential amendments</w:t>
      </w:r>
    </w:p>
    <w:p w14:paraId="3A53FFFE" w14:textId="7BFCF745"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Item [</w:t>
      </w:r>
      <w:r w:rsidR="00CA4ECC">
        <w:rPr>
          <w:rFonts w:eastAsia="Calibri" w:cstheme="minorHAnsi"/>
          <w:kern w:val="0"/>
        </w:rPr>
        <w:t>24</w:t>
      </w:r>
      <w:r w:rsidRPr="00575429">
        <w:rPr>
          <w:rFonts w:eastAsia="Calibri" w:cstheme="minorHAnsi"/>
          <w:kern w:val="0"/>
        </w:rPr>
        <w:t xml:space="preserve">] </w:t>
      </w:r>
      <w:r w:rsidR="001B59F5">
        <w:rPr>
          <w:rFonts w:eastAsia="Calibri" w:cstheme="minorHAnsi"/>
          <w:kern w:val="0"/>
        </w:rPr>
        <w:t>repeals</w:t>
      </w:r>
      <w:r w:rsidRPr="00575429">
        <w:rPr>
          <w:rFonts w:eastAsia="Calibri" w:cstheme="minorHAnsi"/>
          <w:kern w:val="0"/>
        </w:rPr>
        <w:t xml:space="preserve"> table item 301 in </w:t>
      </w:r>
      <w:r w:rsidR="00150EFF">
        <w:rPr>
          <w:rFonts w:eastAsia="Calibri" w:cstheme="minorHAnsi"/>
          <w:kern w:val="0"/>
        </w:rPr>
        <w:t>c</w:t>
      </w:r>
      <w:r w:rsidR="00150EFF" w:rsidRPr="00575429">
        <w:rPr>
          <w:rFonts w:eastAsia="Calibri" w:cstheme="minorHAnsi"/>
          <w:kern w:val="0"/>
        </w:rPr>
        <w:t xml:space="preserve">lause </w:t>
      </w:r>
      <w:r w:rsidRPr="00575429">
        <w:rPr>
          <w:rFonts w:eastAsia="Calibri" w:cstheme="minorHAnsi"/>
          <w:kern w:val="0"/>
        </w:rPr>
        <w:t>3 of Schedule 7 to the Patents Regulations (item 301). The fee is for transmitting copies of PCT applications filed with the Patent Office to the International Bureau of the World Intellectual Property Organization. With modern methods of electronic transmission, it is no longer efficient to impose this fee.</w:t>
      </w:r>
    </w:p>
    <w:p w14:paraId="43908DDD" w14:textId="6533D73B"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Items [1</w:t>
      </w:r>
      <w:r w:rsidR="009D7624">
        <w:rPr>
          <w:rFonts w:eastAsia="Calibri" w:cstheme="minorHAnsi"/>
          <w:kern w:val="0"/>
        </w:rPr>
        <w:t>2</w:t>
      </w:r>
      <w:r w:rsidRPr="00575429">
        <w:rPr>
          <w:rFonts w:eastAsia="Calibri" w:cstheme="minorHAnsi"/>
          <w:kern w:val="0"/>
        </w:rPr>
        <w:t>] and [</w:t>
      </w:r>
      <w:r w:rsidR="00CA4ECC">
        <w:rPr>
          <w:rFonts w:eastAsia="Calibri" w:cstheme="minorHAnsi"/>
          <w:kern w:val="0"/>
        </w:rPr>
        <w:t>16</w:t>
      </w:r>
      <w:r w:rsidRPr="00575429">
        <w:rPr>
          <w:rFonts w:eastAsia="Calibri" w:cstheme="minorHAnsi"/>
          <w:kern w:val="0"/>
        </w:rPr>
        <w:t xml:space="preserve">] </w:t>
      </w:r>
      <w:r w:rsidR="006A3A73">
        <w:rPr>
          <w:rFonts w:eastAsia="Calibri" w:cstheme="minorHAnsi"/>
          <w:kern w:val="0"/>
        </w:rPr>
        <w:t>make</w:t>
      </w:r>
      <w:r w:rsidRPr="00575429">
        <w:rPr>
          <w:rFonts w:eastAsia="Calibri" w:cstheme="minorHAnsi"/>
          <w:kern w:val="0"/>
        </w:rPr>
        <w:t xml:space="preserve"> consequential amendments to subparagraph 22.2(4)(a)(ii) and subsection</w:t>
      </w:r>
      <w:r w:rsidR="00DE7078">
        <w:rPr>
          <w:rFonts w:eastAsia="Calibri" w:cstheme="minorHAnsi"/>
          <w:kern w:val="0"/>
        </w:rPr>
        <w:t> </w:t>
      </w:r>
      <w:r w:rsidRPr="00575429">
        <w:rPr>
          <w:rFonts w:eastAsia="Calibri" w:cstheme="minorHAnsi"/>
          <w:kern w:val="0"/>
        </w:rPr>
        <w:t>22.3(2) of the Patents Regulations to remove reference to item 301. Those provisions govern the payment of fees for international applications.</w:t>
      </w:r>
    </w:p>
    <w:p w14:paraId="1B9F21EB" w14:textId="5065FC5D" w:rsidR="00575429" w:rsidRPr="00575429" w:rsidRDefault="00575429" w:rsidP="00472D7B">
      <w:pPr>
        <w:keepNext/>
        <w:autoSpaceDE w:val="0"/>
        <w:autoSpaceDN w:val="0"/>
        <w:spacing w:before="160" w:after="0" w:line="252" w:lineRule="auto"/>
        <w:rPr>
          <w:rFonts w:eastAsia="Calibri" w:cstheme="minorHAnsi"/>
          <w:b/>
          <w:kern w:val="0"/>
          <w:lang w:val="en-US"/>
        </w:rPr>
      </w:pPr>
      <w:r w:rsidRPr="00575429">
        <w:rPr>
          <w:rFonts w:eastAsia="Calibri" w:cstheme="minorHAnsi"/>
          <w:b/>
          <w:bCs/>
          <w:iCs/>
          <w:kern w:val="0"/>
          <w:lang w:val="en-US"/>
        </w:rPr>
        <w:t>Item [</w:t>
      </w:r>
      <w:r w:rsidR="009968DE">
        <w:rPr>
          <w:rFonts w:eastAsia="Calibri" w:cstheme="minorHAnsi"/>
          <w:b/>
          <w:bCs/>
          <w:iCs/>
          <w:kern w:val="0"/>
          <w:lang w:val="en-US"/>
        </w:rPr>
        <w:t>18</w:t>
      </w:r>
      <w:r w:rsidRPr="00575429">
        <w:rPr>
          <w:rFonts w:eastAsia="Calibri" w:cstheme="minorHAnsi"/>
          <w:b/>
          <w:bCs/>
          <w:iCs/>
          <w:kern w:val="0"/>
          <w:lang w:val="en-US"/>
        </w:rPr>
        <w:t xml:space="preserve">] – </w:t>
      </w:r>
      <w:r w:rsidRPr="00575429">
        <w:rPr>
          <w:rFonts w:eastAsia="Calibri" w:cstheme="minorHAnsi"/>
          <w:b/>
          <w:bCs/>
          <w:kern w:val="0"/>
          <w:lang w:val="en-US"/>
        </w:rPr>
        <w:t>clause 1 of Schedule 7</w:t>
      </w:r>
    </w:p>
    <w:p w14:paraId="42E4E48D" w14:textId="27C15738"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This item </w:t>
      </w:r>
      <w:r w:rsidR="003A4D5F">
        <w:rPr>
          <w:rFonts w:eastAsia="Calibri" w:cstheme="minorHAnsi"/>
          <w:kern w:val="0"/>
        </w:rPr>
        <w:t>amend</w:t>
      </w:r>
      <w:r w:rsidR="0066060B">
        <w:rPr>
          <w:rFonts w:eastAsia="Calibri" w:cstheme="minorHAnsi"/>
          <w:kern w:val="0"/>
        </w:rPr>
        <w:t>s</w:t>
      </w:r>
      <w:r w:rsidRPr="00575429">
        <w:rPr>
          <w:rFonts w:eastAsia="Calibri" w:cstheme="minorHAnsi"/>
          <w:kern w:val="0"/>
        </w:rPr>
        <w:t xml:space="preserve"> table items 105 to 107 and 109 to 111 in </w:t>
      </w:r>
      <w:r w:rsidR="00B94787">
        <w:rPr>
          <w:rFonts w:eastAsia="Calibri" w:cstheme="minorHAnsi"/>
          <w:kern w:val="0"/>
        </w:rPr>
        <w:t>c</w:t>
      </w:r>
      <w:r w:rsidR="00B94787" w:rsidRPr="00575429">
        <w:rPr>
          <w:rFonts w:eastAsia="Calibri" w:cstheme="minorHAnsi"/>
          <w:kern w:val="0"/>
        </w:rPr>
        <w:t xml:space="preserve">lause </w:t>
      </w:r>
      <w:r w:rsidRPr="00575429">
        <w:rPr>
          <w:rFonts w:eastAsia="Calibri" w:cstheme="minorHAnsi"/>
          <w:kern w:val="0"/>
        </w:rPr>
        <w:t xml:space="preserve">1 of Schedule 7 to the Patents Regulations to better recover the costs associated with the administration of the </w:t>
      </w:r>
      <w:r w:rsidR="008974C6">
        <w:rPr>
          <w:rFonts w:eastAsia="Calibri" w:cstheme="minorHAnsi"/>
          <w:kern w:val="0"/>
        </w:rPr>
        <w:t xml:space="preserve">registered </w:t>
      </w:r>
      <w:r w:rsidRPr="00575429">
        <w:rPr>
          <w:rFonts w:eastAsia="Calibri" w:cstheme="minorHAnsi"/>
          <w:kern w:val="0"/>
        </w:rPr>
        <w:t xml:space="preserve">patent and </w:t>
      </w:r>
      <w:proofErr w:type="spellStart"/>
      <w:r w:rsidRPr="00575429">
        <w:rPr>
          <w:rFonts w:eastAsia="Calibri" w:cstheme="minorHAnsi"/>
          <w:kern w:val="0"/>
        </w:rPr>
        <w:t>trade marks</w:t>
      </w:r>
      <w:proofErr w:type="spellEnd"/>
      <w:r w:rsidRPr="00575429">
        <w:rPr>
          <w:rFonts w:eastAsia="Calibri" w:cstheme="minorHAnsi"/>
          <w:kern w:val="0"/>
        </w:rPr>
        <w:t xml:space="preserve"> </w:t>
      </w:r>
      <w:proofErr w:type="gramStart"/>
      <w:r w:rsidRPr="00575429">
        <w:rPr>
          <w:rFonts w:eastAsia="Calibri" w:cstheme="minorHAnsi"/>
          <w:kern w:val="0"/>
        </w:rPr>
        <w:t>attorney</w:t>
      </w:r>
      <w:r w:rsidR="00B94787">
        <w:rPr>
          <w:rFonts w:eastAsia="Calibri" w:cstheme="minorHAnsi"/>
          <w:kern w:val="0"/>
        </w:rPr>
        <w:t>s</w:t>
      </w:r>
      <w:proofErr w:type="gramEnd"/>
      <w:r w:rsidRPr="00575429">
        <w:rPr>
          <w:rFonts w:eastAsia="Calibri" w:cstheme="minorHAnsi"/>
          <w:kern w:val="0"/>
        </w:rPr>
        <w:t xml:space="preserve"> regimes. This is to be done by increasing by $50 the amounts for:</w:t>
      </w:r>
    </w:p>
    <w:p w14:paraId="6220C731" w14:textId="77777777" w:rsidR="00575429" w:rsidRPr="00575429" w:rsidRDefault="00575429" w:rsidP="002054C5">
      <w:pPr>
        <w:numPr>
          <w:ilvl w:val="0"/>
          <w:numId w:val="4"/>
        </w:numPr>
        <w:autoSpaceDE w:val="0"/>
        <w:autoSpaceDN w:val="0"/>
        <w:spacing w:before="80" w:after="0" w:line="252" w:lineRule="auto"/>
        <w:rPr>
          <w:rFonts w:eastAsia="Calibri" w:cstheme="minorHAnsi"/>
          <w:kern w:val="0"/>
        </w:rPr>
      </w:pPr>
      <w:r w:rsidRPr="00575429">
        <w:rPr>
          <w:rFonts w:eastAsia="Calibri" w:cstheme="minorHAnsi"/>
          <w:kern w:val="0"/>
        </w:rPr>
        <w:t>annual registration as a registered patent attorney (table item 105)</w:t>
      </w:r>
    </w:p>
    <w:p w14:paraId="1E869811" w14:textId="77777777" w:rsidR="00575429" w:rsidRPr="00575429" w:rsidRDefault="00575429" w:rsidP="002054C5">
      <w:pPr>
        <w:numPr>
          <w:ilvl w:val="0"/>
          <w:numId w:val="4"/>
        </w:numPr>
        <w:autoSpaceDE w:val="0"/>
        <w:autoSpaceDN w:val="0"/>
        <w:spacing w:before="80" w:after="0" w:line="252" w:lineRule="auto"/>
        <w:rPr>
          <w:rFonts w:eastAsia="Calibri" w:cstheme="minorHAnsi"/>
          <w:kern w:val="0"/>
        </w:rPr>
      </w:pPr>
      <w:r w:rsidRPr="00575429">
        <w:rPr>
          <w:rFonts w:eastAsia="Calibri" w:cstheme="minorHAnsi"/>
          <w:kern w:val="0"/>
        </w:rPr>
        <w:t xml:space="preserve">annual combined registration as a patent attorney and </w:t>
      </w:r>
      <w:proofErr w:type="spellStart"/>
      <w:r w:rsidRPr="00575429">
        <w:rPr>
          <w:rFonts w:eastAsia="Calibri" w:cstheme="minorHAnsi"/>
          <w:kern w:val="0"/>
        </w:rPr>
        <w:t>trade marks</w:t>
      </w:r>
      <w:proofErr w:type="spellEnd"/>
      <w:r w:rsidRPr="00575429">
        <w:rPr>
          <w:rFonts w:eastAsia="Calibri" w:cstheme="minorHAnsi"/>
          <w:kern w:val="0"/>
        </w:rPr>
        <w:t xml:space="preserve"> attorney (table item 106)</w:t>
      </w:r>
    </w:p>
    <w:p w14:paraId="2C8481EB" w14:textId="77777777" w:rsidR="00575429" w:rsidRPr="00575429" w:rsidRDefault="00575429" w:rsidP="002054C5">
      <w:pPr>
        <w:numPr>
          <w:ilvl w:val="0"/>
          <w:numId w:val="4"/>
        </w:numPr>
        <w:autoSpaceDE w:val="0"/>
        <w:autoSpaceDN w:val="0"/>
        <w:spacing w:before="80" w:after="0" w:line="252" w:lineRule="auto"/>
        <w:rPr>
          <w:rFonts w:eastAsia="Calibri" w:cstheme="minorHAnsi"/>
          <w:kern w:val="0"/>
        </w:rPr>
      </w:pPr>
      <w:r w:rsidRPr="00575429">
        <w:rPr>
          <w:rFonts w:eastAsia="Calibri" w:cstheme="minorHAnsi"/>
          <w:kern w:val="0"/>
        </w:rPr>
        <w:t>an individual applying to be restored to the Register of Patent Attorneys as a registered patent attorney (table item 107)</w:t>
      </w:r>
    </w:p>
    <w:p w14:paraId="7278E19F" w14:textId="77777777" w:rsidR="00575429" w:rsidRPr="00575429" w:rsidRDefault="00575429" w:rsidP="002054C5">
      <w:pPr>
        <w:numPr>
          <w:ilvl w:val="0"/>
          <w:numId w:val="4"/>
        </w:numPr>
        <w:autoSpaceDE w:val="0"/>
        <w:autoSpaceDN w:val="0"/>
        <w:spacing w:before="80" w:after="0" w:line="252" w:lineRule="auto"/>
        <w:rPr>
          <w:rFonts w:eastAsia="Calibri" w:cstheme="minorHAnsi"/>
          <w:kern w:val="0"/>
        </w:rPr>
      </w:pPr>
      <w:r w:rsidRPr="00575429">
        <w:rPr>
          <w:rFonts w:eastAsia="Calibri" w:cstheme="minorHAnsi"/>
          <w:kern w:val="0"/>
        </w:rPr>
        <w:t>annual registration as an incorporated patent attorney (table item 109)</w:t>
      </w:r>
    </w:p>
    <w:p w14:paraId="22747505" w14:textId="77777777" w:rsidR="00575429" w:rsidRPr="00575429" w:rsidRDefault="00575429" w:rsidP="002054C5">
      <w:pPr>
        <w:numPr>
          <w:ilvl w:val="0"/>
          <w:numId w:val="4"/>
        </w:numPr>
        <w:autoSpaceDE w:val="0"/>
        <w:autoSpaceDN w:val="0"/>
        <w:spacing w:before="80" w:after="0" w:line="252" w:lineRule="auto"/>
        <w:rPr>
          <w:rFonts w:eastAsia="Calibri" w:cstheme="minorHAnsi"/>
          <w:kern w:val="0"/>
        </w:rPr>
      </w:pPr>
      <w:r w:rsidRPr="00575429">
        <w:rPr>
          <w:rFonts w:eastAsia="Calibri" w:cstheme="minorHAnsi"/>
          <w:kern w:val="0"/>
        </w:rPr>
        <w:t xml:space="preserve">annual combined registration as an incorporated patent attorney and incorporated </w:t>
      </w:r>
      <w:proofErr w:type="spellStart"/>
      <w:r w:rsidRPr="00575429">
        <w:rPr>
          <w:rFonts w:eastAsia="Calibri" w:cstheme="minorHAnsi"/>
          <w:kern w:val="0"/>
        </w:rPr>
        <w:t>trade marks</w:t>
      </w:r>
      <w:proofErr w:type="spellEnd"/>
      <w:r w:rsidRPr="00575429">
        <w:rPr>
          <w:rFonts w:eastAsia="Calibri" w:cstheme="minorHAnsi"/>
          <w:kern w:val="0"/>
        </w:rPr>
        <w:t xml:space="preserve"> attorney (table item 110)</w:t>
      </w:r>
    </w:p>
    <w:p w14:paraId="68B9F5CA" w14:textId="77777777" w:rsidR="00575429" w:rsidRPr="00575429" w:rsidRDefault="00575429" w:rsidP="002054C5">
      <w:pPr>
        <w:numPr>
          <w:ilvl w:val="0"/>
          <w:numId w:val="4"/>
        </w:numPr>
        <w:autoSpaceDE w:val="0"/>
        <w:autoSpaceDN w:val="0"/>
        <w:spacing w:before="80" w:after="0" w:line="252" w:lineRule="auto"/>
        <w:rPr>
          <w:rFonts w:eastAsia="Calibri" w:cstheme="minorHAnsi"/>
          <w:kern w:val="0"/>
        </w:rPr>
      </w:pPr>
      <w:r w:rsidRPr="00575429">
        <w:rPr>
          <w:rFonts w:eastAsia="Calibri" w:cstheme="minorHAnsi"/>
          <w:kern w:val="0"/>
        </w:rPr>
        <w:t>a company applying to be restored to the Register of Patent Attorneys as an incorporated patent attorney (table item 111).</w:t>
      </w:r>
    </w:p>
    <w:p w14:paraId="41173055" w14:textId="5076A191" w:rsidR="00575429" w:rsidRPr="00575429" w:rsidRDefault="00575429" w:rsidP="001C7C09">
      <w:pPr>
        <w:keepNext/>
        <w:autoSpaceDE w:val="0"/>
        <w:autoSpaceDN w:val="0"/>
        <w:spacing w:before="160" w:after="0" w:line="252" w:lineRule="auto"/>
        <w:rPr>
          <w:rFonts w:eastAsia="Calibri" w:cstheme="minorHAnsi"/>
          <w:b/>
          <w:bCs/>
          <w:kern w:val="0"/>
        </w:rPr>
      </w:pPr>
      <w:r w:rsidRPr="004627C6">
        <w:rPr>
          <w:rFonts w:eastAsia="Calibri" w:cstheme="minorHAnsi"/>
          <w:b/>
          <w:bCs/>
          <w:kern w:val="0"/>
        </w:rPr>
        <w:t xml:space="preserve">Items </w:t>
      </w:r>
      <w:r w:rsidRPr="004627C6">
        <w:rPr>
          <w:rFonts w:eastAsia="Calibri" w:cstheme="minorHAnsi"/>
          <w:b/>
          <w:bCs/>
          <w:iCs/>
          <w:kern w:val="0"/>
          <w:lang w:val="en-US"/>
        </w:rPr>
        <w:t>[</w:t>
      </w:r>
      <w:r w:rsidR="00B63A1D">
        <w:rPr>
          <w:rFonts w:eastAsia="Calibri" w:cstheme="minorHAnsi"/>
          <w:b/>
          <w:bCs/>
          <w:iCs/>
          <w:kern w:val="0"/>
          <w:lang w:val="en-US"/>
        </w:rPr>
        <w:t>19</w:t>
      </w:r>
      <w:r w:rsidRPr="004627C6">
        <w:rPr>
          <w:rFonts w:eastAsia="Calibri" w:cstheme="minorHAnsi"/>
          <w:b/>
          <w:bCs/>
          <w:iCs/>
          <w:kern w:val="0"/>
          <w:lang w:val="en-US"/>
        </w:rPr>
        <w:t>], [</w:t>
      </w:r>
      <w:r w:rsidR="00B63A1D">
        <w:rPr>
          <w:rFonts w:eastAsia="Calibri" w:cstheme="minorHAnsi"/>
          <w:b/>
          <w:bCs/>
          <w:iCs/>
          <w:kern w:val="0"/>
          <w:lang w:val="en-US"/>
        </w:rPr>
        <w:t>21</w:t>
      </w:r>
      <w:r w:rsidRPr="004627C6">
        <w:rPr>
          <w:rFonts w:eastAsia="Calibri" w:cstheme="minorHAnsi"/>
          <w:b/>
          <w:bCs/>
          <w:iCs/>
          <w:kern w:val="0"/>
          <w:lang w:val="en-US"/>
        </w:rPr>
        <w:t>] and [</w:t>
      </w:r>
      <w:r w:rsidR="00B63A1D">
        <w:rPr>
          <w:rFonts w:eastAsia="Calibri" w:cstheme="minorHAnsi"/>
          <w:b/>
          <w:bCs/>
          <w:iCs/>
          <w:kern w:val="0"/>
          <w:lang w:val="en-US"/>
        </w:rPr>
        <w:t>23</w:t>
      </w:r>
      <w:r w:rsidRPr="004627C6">
        <w:rPr>
          <w:rFonts w:eastAsia="Calibri" w:cstheme="minorHAnsi"/>
          <w:b/>
          <w:bCs/>
          <w:iCs/>
          <w:kern w:val="0"/>
          <w:lang w:val="en-US"/>
        </w:rPr>
        <w:t xml:space="preserve">] </w:t>
      </w:r>
      <w:r w:rsidRPr="004627C6">
        <w:rPr>
          <w:rFonts w:eastAsia="Calibri" w:cstheme="minorHAnsi"/>
          <w:kern w:val="0"/>
        </w:rPr>
        <w:t xml:space="preserve">– </w:t>
      </w:r>
      <w:r w:rsidR="00DE37E6">
        <w:rPr>
          <w:rFonts w:eastAsia="Calibri" w:cstheme="minorHAnsi"/>
          <w:b/>
          <w:bCs/>
          <w:kern w:val="0"/>
        </w:rPr>
        <w:t>c</w:t>
      </w:r>
      <w:r w:rsidR="00DE37E6" w:rsidRPr="004627C6">
        <w:rPr>
          <w:rFonts w:eastAsia="Calibri" w:cstheme="minorHAnsi"/>
          <w:b/>
          <w:bCs/>
          <w:kern w:val="0"/>
        </w:rPr>
        <w:t xml:space="preserve">lause </w:t>
      </w:r>
      <w:r w:rsidRPr="004627C6">
        <w:rPr>
          <w:rFonts w:eastAsia="Calibri" w:cstheme="minorHAnsi"/>
          <w:b/>
          <w:bCs/>
          <w:kern w:val="0"/>
        </w:rPr>
        <w:t>2 of Schedule 7</w:t>
      </w:r>
    </w:p>
    <w:p w14:paraId="31A60093" w14:textId="49F4395B"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These items </w:t>
      </w:r>
      <w:r w:rsidR="003A4D5F">
        <w:rPr>
          <w:rFonts w:eastAsia="Calibri" w:cstheme="minorHAnsi"/>
          <w:kern w:val="0"/>
        </w:rPr>
        <w:t>amend</w:t>
      </w:r>
      <w:r w:rsidRPr="00575429">
        <w:rPr>
          <w:rFonts w:eastAsia="Calibri" w:cstheme="minorHAnsi"/>
          <w:kern w:val="0"/>
        </w:rPr>
        <w:t xml:space="preserve"> table items 201 to 209, 211, 214, 214A, 216, 223, 230, 231, 231A, 236, 236A and 238 in </w:t>
      </w:r>
      <w:r w:rsidR="004627C6">
        <w:rPr>
          <w:rFonts w:eastAsia="Calibri" w:cstheme="minorHAnsi"/>
          <w:kern w:val="0"/>
        </w:rPr>
        <w:t>c</w:t>
      </w:r>
      <w:r w:rsidR="004627C6" w:rsidRPr="00575429">
        <w:rPr>
          <w:rFonts w:eastAsia="Calibri" w:cstheme="minorHAnsi"/>
          <w:kern w:val="0"/>
        </w:rPr>
        <w:t xml:space="preserve">lause </w:t>
      </w:r>
      <w:r w:rsidRPr="00575429">
        <w:rPr>
          <w:rFonts w:eastAsia="Calibri" w:cstheme="minorHAnsi"/>
          <w:kern w:val="0"/>
        </w:rPr>
        <w:t>2 of Schedule 7 to the Patents Regulations to lower the cost of access to the patent system</w:t>
      </w:r>
      <w:r w:rsidR="004627C6">
        <w:rPr>
          <w:rFonts w:eastAsia="Calibri" w:cstheme="minorHAnsi"/>
          <w:kern w:val="0"/>
        </w:rPr>
        <w:t xml:space="preserve"> via provisional patent applications</w:t>
      </w:r>
      <w:r w:rsidRPr="00575429">
        <w:rPr>
          <w:rFonts w:eastAsia="Calibri" w:cstheme="minorHAnsi"/>
          <w:kern w:val="0"/>
        </w:rPr>
        <w:t xml:space="preserve">, while still recovering the </w:t>
      </w:r>
      <w:r w:rsidR="004627C6">
        <w:rPr>
          <w:rFonts w:eastAsia="Calibri" w:cstheme="minorHAnsi"/>
          <w:kern w:val="0"/>
        </w:rPr>
        <w:t xml:space="preserve">increased </w:t>
      </w:r>
      <w:r w:rsidRPr="00575429">
        <w:rPr>
          <w:rFonts w:eastAsia="Calibri" w:cstheme="minorHAnsi"/>
          <w:kern w:val="0"/>
        </w:rPr>
        <w:t>cost of administering that system:</w:t>
      </w:r>
    </w:p>
    <w:p w14:paraId="4870DD1F" w14:textId="0F820AD8"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 of the fee for </w:t>
      </w:r>
      <w:r w:rsidRPr="00575429">
        <w:rPr>
          <w:rFonts w:eastAsia="Calibri" w:cstheme="minorHAnsi"/>
          <w:kern w:val="0"/>
        </w:rPr>
        <w:t xml:space="preserve">filing a provisional patent application </w:t>
      </w:r>
      <w:r w:rsidR="008D430D">
        <w:rPr>
          <w:rFonts w:eastAsia="Calibri" w:cstheme="minorHAnsi"/>
          <w:kern w:val="0"/>
        </w:rPr>
        <w:t>is</w:t>
      </w:r>
      <w:r w:rsidRPr="00575429">
        <w:rPr>
          <w:rFonts w:eastAsia="Calibri" w:cstheme="minorHAnsi"/>
          <w:kern w:val="0"/>
        </w:rPr>
        <w:t xml:space="preserve"> reduced by $10</w:t>
      </w:r>
      <w:r w:rsidRPr="00575429">
        <w:rPr>
          <w:rFonts w:eastAsia="Calibri" w:cstheme="minorHAnsi"/>
          <w:iCs/>
          <w:kern w:val="0"/>
          <w:lang w:val="en-US"/>
        </w:rPr>
        <w:t xml:space="preserve"> (table item 201).</w:t>
      </w:r>
    </w:p>
    <w:p w14:paraId="2CDFC04F" w14:textId="529D198A"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The amount of the fee for filing an innovation patent application</w:t>
      </w:r>
      <w:r w:rsidRPr="00575429">
        <w:rPr>
          <w:rFonts w:eastAsia="Calibri" w:cstheme="minorHAnsi"/>
          <w:kern w:val="0"/>
        </w:rPr>
        <w:t xml:space="preserve"> </w:t>
      </w:r>
      <w:r w:rsidR="008D430D">
        <w:rPr>
          <w:rFonts w:eastAsia="Calibri" w:cstheme="minorHAnsi"/>
          <w:kern w:val="0"/>
        </w:rPr>
        <w:t>is</w:t>
      </w:r>
      <w:r w:rsidRPr="00575429">
        <w:rPr>
          <w:rFonts w:eastAsia="Calibri" w:cstheme="minorHAnsi"/>
          <w:kern w:val="0"/>
        </w:rPr>
        <w:t xml:space="preserve"> </w:t>
      </w:r>
      <w:r w:rsidRPr="00575429">
        <w:rPr>
          <w:rFonts w:eastAsia="Calibri" w:cstheme="minorHAnsi"/>
          <w:iCs/>
          <w:kern w:val="0"/>
          <w:lang w:val="en-US"/>
        </w:rPr>
        <w:t>increased by $20</w:t>
      </w:r>
      <w:r w:rsidRPr="00575429">
        <w:rPr>
          <w:rFonts w:eastAsia="Calibri" w:cstheme="minorHAnsi"/>
          <w:kern w:val="0"/>
        </w:rPr>
        <w:t xml:space="preserve"> </w:t>
      </w:r>
      <w:r w:rsidRPr="00575429">
        <w:rPr>
          <w:rFonts w:eastAsia="Calibri" w:cstheme="minorHAnsi"/>
          <w:iCs/>
          <w:kern w:val="0"/>
          <w:lang w:val="en-US"/>
        </w:rPr>
        <w:t>(</w:t>
      </w:r>
      <w:r w:rsidRPr="00575429">
        <w:rPr>
          <w:rFonts w:eastAsia="Calibri" w:cstheme="minorHAnsi"/>
          <w:kern w:val="0"/>
        </w:rPr>
        <w:t>table item 202).</w:t>
      </w:r>
    </w:p>
    <w:p w14:paraId="1EE16C92" w14:textId="6F82B646"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 of the fee for filing a standard patent application </w:t>
      </w:r>
      <w:r w:rsidR="008D430D">
        <w:rPr>
          <w:rFonts w:eastAsia="Calibri" w:cstheme="minorHAnsi"/>
          <w:iCs/>
          <w:kern w:val="0"/>
          <w:lang w:val="en-US"/>
        </w:rPr>
        <w:t>is</w:t>
      </w:r>
      <w:r w:rsidRPr="00575429">
        <w:rPr>
          <w:rFonts w:eastAsia="Calibri" w:cstheme="minorHAnsi"/>
          <w:iCs/>
          <w:kern w:val="0"/>
          <w:lang w:val="en-US"/>
        </w:rPr>
        <w:t xml:space="preserve"> increased by $30 (</w:t>
      </w:r>
      <w:r w:rsidRPr="00575429">
        <w:rPr>
          <w:rFonts w:eastAsia="Calibri" w:cstheme="minorHAnsi"/>
          <w:kern w:val="0"/>
        </w:rPr>
        <w:t>table item 203).</w:t>
      </w:r>
    </w:p>
    <w:p w14:paraId="490ED6A9" w14:textId="0ECACA55"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amounts of the fees for filing a request for examination of a standard patent application </w:t>
      </w:r>
      <w:r w:rsidR="008D430D">
        <w:rPr>
          <w:rFonts w:eastAsia="Calibri" w:cstheme="minorHAnsi"/>
          <w:iCs/>
          <w:kern w:val="0"/>
          <w:lang w:val="en-US"/>
        </w:rPr>
        <w:t>is</w:t>
      </w:r>
      <w:r w:rsidRPr="00575429">
        <w:rPr>
          <w:rFonts w:eastAsia="Calibri" w:cstheme="minorHAnsi"/>
          <w:iCs/>
          <w:kern w:val="0"/>
          <w:lang w:val="en-US"/>
        </w:rPr>
        <w:t xml:space="preserve"> increased by $50 (table item 204) or by $60 (table item 205). </w:t>
      </w:r>
      <w:r w:rsidR="00AB34AD">
        <w:rPr>
          <w:rFonts w:eastAsia="Calibri" w:cstheme="minorHAnsi"/>
          <w:iCs/>
          <w:kern w:val="0"/>
          <w:lang w:val="en-US"/>
        </w:rPr>
        <w:t>T</w:t>
      </w:r>
      <w:r w:rsidRPr="00575429">
        <w:rPr>
          <w:rFonts w:eastAsia="Calibri" w:cstheme="minorHAnsi"/>
          <w:iCs/>
          <w:kern w:val="0"/>
          <w:lang w:val="en-US"/>
        </w:rPr>
        <w:t xml:space="preserve">he fee in table item 204 </w:t>
      </w:r>
      <w:r w:rsidR="008D430D">
        <w:rPr>
          <w:rFonts w:eastAsia="Calibri" w:cstheme="minorHAnsi"/>
          <w:iCs/>
          <w:kern w:val="0"/>
          <w:lang w:val="en-US"/>
        </w:rPr>
        <w:t>is</w:t>
      </w:r>
      <w:r w:rsidRPr="00575429">
        <w:rPr>
          <w:rFonts w:eastAsia="Calibri" w:cstheme="minorHAnsi"/>
          <w:iCs/>
          <w:kern w:val="0"/>
          <w:lang w:val="en-US"/>
        </w:rPr>
        <w:t xml:space="preserve"> payable if the Patent Office had conducted international preliminary examination of the application. The fee in table item 205 </w:t>
      </w:r>
      <w:r w:rsidR="008D430D">
        <w:rPr>
          <w:rFonts w:eastAsia="Calibri" w:cstheme="minorHAnsi"/>
          <w:iCs/>
          <w:kern w:val="0"/>
          <w:lang w:val="en-US"/>
        </w:rPr>
        <w:t>is</w:t>
      </w:r>
      <w:r w:rsidRPr="00575429">
        <w:rPr>
          <w:rFonts w:eastAsia="Calibri" w:cstheme="minorHAnsi"/>
          <w:iCs/>
          <w:kern w:val="0"/>
          <w:lang w:val="en-US"/>
        </w:rPr>
        <w:t xml:space="preserve"> payable in all other cases.</w:t>
      </w:r>
    </w:p>
    <w:p w14:paraId="594DDF05" w14:textId="4350C31F"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amounts of the fees for searching patent applications </w:t>
      </w:r>
      <w:r w:rsidR="00C53D5A">
        <w:rPr>
          <w:rFonts w:eastAsia="Calibri" w:cstheme="minorHAnsi"/>
          <w:iCs/>
          <w:kern w:val="0"/>
          <w:lang w:val="en-US"/>
        </w:rPr>
        <w:t>are each</w:t>
      </w:r>
      <w:r w:rsidRPr="00575429">
        <w:rPr>
          <w:rFonts w:eastAsia="Calibri" w:cstheme="minorHAnsi"/>
          <w:iCs/>
          <w:kern w:val="0"/>
          <w:lang w:val="en-US"/>
        </w:rPr>
        <w:t xml:space="preserve"> increased by $150:</w:t>
      </w:r>
    </w:p>
    <w:p w14:paraId="1B71A38D" w14:textId="77777777"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 xml:space="preserve">search of a standard patent application during its examination </w:t>
      </w:r>
      <w:r w:rsidRPr="00575429">
        <w:rPr>
          <w:rFonts w:eastAsia="Calibri" w:cstheme="minorHAnsi"/>
          <w:iCs/>
          <w:kern w:val="0"/>
          <w:lang w:val="en-US"/>
        </w:rPr>
        <w:br/>
        <w:t>(table item 206)</w:t>
      </w:r>
    </w:p>
    <w:p w14:paraId="719C1ECD" w14:textId="77777777"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an optional international-type search of a provisional patent application (table item 236)</w:t>
      </w:r>
    </w:p>
    <w:p w14:paraId="0D56A2B9" w14:textId="73E92AF2"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lastRenderedPageBreak/>
        <w:t>preliminary search and opinion on a standard patent application (table item 23</w:t>
      </w:r>
      <w:r w:rsidR="000A3063">
        <w:rPr>
          <w:rFonts w:eastAsia="Calibri" w:cstheme="minorHAnsi"/>
          <w:iCs/>
          <w:kern w:val="0"/>
          <w:lang w:val="en-US"/>
        </w:rPr>
        <w:t>6A</w:t>
      </w:r>
      <w:r w:rsidRPr="00575429">
        <w:rPr>
          <w:rFonts w:eastAsia="Calibri" w:cstheme="minorHAnsi"/>
          <w:iCs/>
          <w:kern w:val="0"/>
          <w:lang w:val="en-US"/>
        </w:rPr>
        <w:t>).</w:t>
      </w:r>
    </w:p>
    <w:p w14:paraId="4FAD5D9C" w14:textId="1665057C"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amounts of the fees for filing a request for examination of an innovation patent application </w:t>
      </w:r>
      <w:r w:rsidR="003339D2">
        <w:rPr>
          <w:rFonts w:eastAsia="Calibri" w:cstheme="minorHAnsi"/>
          <w:iCs/>
          <w:kern w:val="0"/>
          <w:lang w:val="en-US"/>
        </w:rPr>
        <w:t>are</w:t>
      </w:r>
      <w:r w:rsidR="00F353DF">
        <w:rPr>
          <w:rFonts w:eastAsia="Calibri" w:cstheme="minorHAnsi"/>
          <w:iCs/>
          <w:kern w:val="0"/>
          <w:lang w:val="en-US"/>
        </w:rPr>
        <w:t xml:space="preserve"> increased </w:t>
      </w:r>
      <w:r w:rsidRPr="00575429">
        <w:rPr>
          <w:rFonts w:eastAsia="Calibri" w:cstheme="minorHAnsi"/>
          <w:iCs/>
          <w:kern w:val="0"/>
          <w:lang w:val="en-US"/>
        </w:rPr>
        <w:t xml:space="preserve">so that an extra $50 is paid (table items 207 and 208). If the patentee files the request, the patentee </w:t>
      </w:r>
      <w:r w:rsidR="003339D2">
        <w:rPr>
          <w:rFonts w:eastAsia="Calibri" w:cstheme="minorHAnsi"/>
          <w:iCs/>
          <w:kern w:val="0"/>
          <w:lang w:val="en-US"/>
        </w:rPr>
        <w:t>pays</w:t>
      </w:r>
      <w:r w:rsidRPr="00575429">
        <w:rPr>
          <w:rFonts w:eastAsia="Calibri" w:cstheme="minorHAnsi"/>
          <w:iCs/>
          <w:kern w:val="0"/>
          <w:lang w:val="en-US"/>
        </w:rPr>
        <w:t xml:space="preserve"> the whole of the increased amount. If a third party files the request, the third party and the patentee </w:t>
      </w:r>
      <w:r w:rsidR="003339D2">
        <w:rPr>
          <w:rFonts w:eastAsia="Calibri" w:cstheme="minorHAnsi"/>
          <w:iCs/>
          <w:kern w:val="0"/>
          <w:lang w:val="en-US"/>
        </w:rPr>
        <w:t>pay</w:t>
      </w:r>
      <w:r w:rsidRPr="00575429">
        <w:rPr>
          <w:rFonts w:eastAsia="Calibri" w:cstheme="minorHAnsi"/>
          <w:iCs/>
          <w:kern w:val="0"/>
          <w:lang w:val="en-US"/>
        </w:rPr>
        <w:t xml:space="preserve"> an additional $25 each. This is analogous to the fees for requesting examination of a registered design, discussed in the notes on item</w:t>
      </w:r>
      <w:r w:rsidR="00E21151">
        <w:rPr>
          <w:rFonts w:eastAsia="Calibri" w:cstheme="minorHAnsi"/>
          <w:iCs/>
          <w:kern w:val="0"/>
          <w:lang w:val="en-US"/>
        </w:rPr>
        <w:t> </w:t>
      </w:r>
      <w:r w:rsidRPr="00575429">
        <w:rPr>
          <w:rFonts w:eastAsia="Calibri" w:cstheme="minorHAnsi"/>
          <w:iCs/>
          <w:kern w:val="0"/>
          <w:lang w:val="en-US"/>
        </w:rPr>
        <w:t>[6] above.</w:t>
      </w:r>
    </w:p>
    <w:p w14:paraId="48ED11AC" w14:textId="22DD43E9"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 of the fee for requesting the Commissioner to direct an applicant for a standard patent to request its examination </w:t>
      </w:r>
      <w:r w:rsidR="008D430D">
        <w:rPr>
          <w:rFonts w:eastAsia="Calibri" w:cstheme="minorHAnsi"/>
          <w:iCs/>
          <w:kern w:val="0"/>
          <w:lang w:val="en-US"/>
        </w:rPr>
        <w:t>is</w:t>
      </w:r>
      <w:r w:rsidRPr="00575429">
        <w:rPr>
          <w:rFonts w:eastAsia="Calibri" w:cstheme="minorHAnsi"/>
          <w:iCs/>
          <w:kern w:val="0"/>
          <w:lang w:val="en-US"/>
        </w:rPr>
        <w:t xml:space="preserve"> increased by $50 (table item 209).</w:t>
      </w:r>
    </w:p>
    <w:p w14:paraId="49CBD1D2" w14:textId="71B6C4E1"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amounts of the annual continuation or renewal fees for the </w:t>
      </w:r>
      <w:r w:rsidR="00771464">
        <w:rPr>
          <w:rFonts w:eastAsia="Calibri" w:cstheme="minorHAnsi"/>
          <w:iCs/>
          <w:kern w:val="0"/>
          <w:lang w:val="en-US"/>
        </w:rPr>
        <w:t>sixth</w:t>
      </w:r>
      <w:r w:rsidRPr="00575429">
        <w:rPr>
          <w:rFonts w:eastAsia="Calibri" w:cstheme="minorHAnsi"/>
          <w:iCs/>
          <w:kern w:val="0"/>
          <w:lang w:val="en-US"/>
        </w:rPr>
        <w:t xml:space="preserve"> to the 19th anniversaries of the date of the patent </w:t>
      </w:r>
      <w:r w:rsidR="00C62549">
        <w:rPr>
          <w:rFonts w:eastAsia="Calibri" w:cstheme="minorHAnsi"/>
          <w:iCs/>
          <w:kern w:val="0"/>
          <w:lang w:val="en-US"/>
        </w:rPr>
        <w:t xml:space="preserve">are </w:t>
      </w:r>
      <w:r w:rsidRPr="00575429">
        <w:rPr>
          <w:rFonts w:eastAsia="Calibri" w:cstheme="minorHAnsi"/>
          <w:iCs/>
          <w:kern w:val="0"/>
          <w:lang w:val="en-US"/>
        </w:rPr>
        <w:t xml:space="preserve">increased by amounts ranging from $10 for the </w:t>
      </w:r>
      <w:r w:rsidR="00771464">
        <w:rPr>
          <w:rFonts w:eastAsia="Calibri" w:cstheme="minorHAnsi"/>
          <w:iCs/>
          <w:kern w:val="0"/>
          <w:lang w:val="en-US"/>
        </w:rPr>
        <w:t>sixth</w:t>
      </w:r>
      <w:r w:rsidRPr="00575429">
        <w:rPr>
          <w:rFonts w:eastAsia="Calibri" w:cstheme="minorHAnsi"/>
          <w:iCs/>
          <w:kern w:val="0"/>
          <w:lang w:val="en-US"/>
        </w:rPr>
        <w:t xml:space="preserve"> anniversary up to $165 for the 18th and 19th anniversaries (table item 211). This </w:t>
      </w:r>
      <w:r w:rsidR="001F2E18">
        <w:rPr>
          <w:rFonts w:eastAsia="Calibri" w:cstheme="minorHAnsi"/>
          <w:iCs/>
          <w:kern w:val="0"/>
          <w:lang w:val="en-US"/>
        </w:rPr>
        <w:t xml:space="preserve">is to </w:t>
      </w:r>
      <w:r w:rsidRPr="00575429">
        <w:rPr>
          <w:rFonts w:eastAsia="Calibri" w:cstheme="minorHAnsi"/>
          <w:iCs/>
          <w:kern w:val="0"/>
          <w:lang w:val="en-US"/>
        </w:rPr>
        <w:t>maintain continuation or renewal fees as lower in the early years of obtaining patent protection, but increasing as the value of the invention becomes clearer.</w:t>
      </w:r>
    </w:p>
    <w:p w14:paraId="2B3D3311" w14:textId="5EBF0D4C"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The amount of the fee for filing an application or request under section 17, 32 or 36, or subsection 191</w:t>
      </w:r>
      <w:proofErr w:type="gramStart"/>
      <w:r w:rsidRPr="00575429">
        <w:rPr>
          <w:rFonts w:eastAsia="Calibri" w:cstheme="minorHAnsi"/>
          <w:iCs/>
          <w:kern w:val="0"/>
          <w:lang w:val="en-US"/>
        </w:rPr>
        <w:t>A(</w:t>
      </w:r>
      <w:proofErr w:type="gramEnd"/>
      <w:r w:rsidRPr="00575429">
        <w:rPr>
          <w:rFonts w:eastAsia="Calibri" w:cstheme="minorHAnsi"/>
          <w:iCs/>
          <w:kern w:val="0"/>
          <w:lang w:val="en-US"/>
        </w:rPr>
        <w:t xml:space="preserve">2) of the Act, </w:t>
      </w:r>
      <w:r w:rsidR="008D430D">
        <w:rPr>
          <w:rFonts w:eastAsia="Calibri" w:cstheme="minorHAnsi"/>
          <w:iCs/>
          <w:kern w:val="0"/>
          <w:lang w:val="en-US"/>
        </w:rPr>
        <w:t>is</w:t>
      </w:r>
      <w:r w:rsidRPr="00575429">
        <w:rPr>
          <w:rFonts w:eastAsia="Calibri" w:cstheme="minorHAnsi"/>
          <w:iCs/>
          <w:kern w:val="0"/>
          <w:lang w:val="en-US"/>
        </w:rPr>
        <w:t xml:space="preserve"> increased from $600 to $1,200 (table item 214). These applications or requests are for the Commissioner to:</w:t>
      </w:r>
    </w:p>
    <w:p w14:paraId="65DCDB7B" w14:textId="77777777"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give directions to co-owners (section 17)</w:t>
      </w:r>
    </w:p>
    <w:p w14:paraId="64DCE263" w14:textId="77777777"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determine how an application is to proceed, if there is a dispute between joint applicants (section 32)</w:t>
      </w:r>
    </w:p>
    <w:p w14:paraId="08E5CE9A" w14:textId="77777777"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declare who is an eligible person in relation to an invention (section 36)</w:t>
      </w:r>
    </w:p>
    <w:p w14:paraId="7333AD3A" w14:textId="77777777"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declare a person’s entitlement to a patent or a share in a patent, as a preliminary to rectifying the Register of Patents (section 191A).</w:t>
      </w:r>
    </w:p>
    <w:p w14:paraId="20898E9F" w14:textId="39112AB0"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 of the fee for entry into national phase of PCT application </w:t>
      </w:r>
      <w:r w:rsidR="008D430D">
        <w:rPr>
          <w:rFonts w:eastAsia="Calibri" w:cstheme="minorHAnsi"/>
          <w:iCs/>
          <w:kern w:val="0"/>
          <w:lang w:val="en-US"/>
        </w:rPr>
        <w:t>is</w:t>
      </w:r>
      <w:r w:rsidRPr="00575429">
        <w:rPr>
          <w:rFonts w:eastAsia="Calibri" w:cstheme="minorHAnsi"/>
          <w:iCs/>
          <w:kern w:val="0"/>
          <w:lang w:val="en-US"/>
        </w:rPr>
        <w:t xml:space="preserve"> increased by $30 (</w:t>
      </w:r>
      <w:r w:rsidRPr="00575429">
        <w:rPr>
          <w:rFonts w:eastAsia="Calibri" w:cstheme="minorHAnsi"/>
          <w:kern w:val="0"/>
        </w:rPr>
        <w:t>table item 214A)</w:t>
      </w:r>
      <w:r w:rsidRPr="00575429">
        <w:rPr>
          <w:rFonts w:eastAsia="Calibri" w:cstheme="minorHAnsi"/>
          <w:iCs/>
          <w:kern w:val="0"/>
          <w:lang w:val="en-US"/>
        </w:rPr>
        <w:t>.</w:t>
      </w:r>
    </w:p>
    <w:p w14:paraId="583129AD" w14:textId="1659FE29"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 of the fee for filing a notice of opposition </w:t>
      </w:r>
      <w:r w:rsidRPr="00575429">
        <w:rPr>
          <w:rFonts w:eastAsia="Calibri" w:cstheme="minorHAnsi"/>
          <w:kern w:val="0"/>
          <w:lang w:val="en-US"/>
        </w:rPr>
        <w:t xml:space="preserve">under regulations 5.4, 5.6 or 5.10 </w:t>
      </w:r>
      <w:r w:rsidR="008D430D">
        <w:rPr>
          <w:rFonts w:eastAsia="Calibri" w:cstheme="minorHAnsi"/>
          <w:kern w:val="0"/>
          <w:lang w:val="en-US"/>
        </w:rPr>
        <w:t>is</w:t>
      </w:r>
      <w:r w:rsidRPr="00575429">
        <w:rPr>
          <w:rFonts w:eastAsia="Calibri" w:cstheme="minorHAnsi"/>
          <w:kern w:val="0"/>
          <w:lang w:val="en-US"/>
        </w:rPr>
        <w:t xml:space="preserve"> increased from $600 to $1,200 (table item 216). The fee is for oppositions to:</w:t>
      </w:r>
    </w:p>
    <w:p w14:paraId="7118A95C" w14:textId="77777777"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grant of a standard patent, under section 59 of the Patents Act</w:t>
      </w:r>
    </w:p>
    <w:p w14:paraId="5A26349E" w14:textId="77777777"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extension of term of a standard patent, under 75 of the Patents Act</w:t>
      </w:r>
    </w:p>
    <w:p w14:paraId="06BD7788" w14:textId="77777777"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an innovation patent under section 101M of the Patents Act</w:t>
      </w:r>
    </w:p>
    <w:p w14:paraId="2D9F3FA0" w14:textId="77777777"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a request for leave to amend a filed document under subsection 104(4) of the Patents Act</w:t>
      </w:r>
    </w:p>
    <w:p w14:paraId="51589ED6" w14:textId="77777777"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 xml:space="preserve"> an application for an extension of time under subsection 223(6) of the Patents Act</w:t>
      </w:r>
    </w:p>
    <w:p w14:paraId="4FD25D0B" w14:textId="77777777" w:rsidR="00575429" w:rsidRPr="00575429" w:rsidRDefault="00575429" w:rsidP="002054C5">
      <w:pPr>
        <w:numPr>
          <w:ilvl w:val="0"/>
          <w:numId w:val="5"/>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 xml:space="preserve">grant of a </w:t>
      </w:r>
      <w:proofErr w:type="spellStart"/>
      <w:r w:rsidRPr="00575429">
        <w:rPr>
          <w:rFonts w:eastAsia="Calibri" w:cstheme="minorHAnsi"/>
          <w:iCs/>
          <w:kern w:val="0"/>
          <w:lang w:val="en-US"/>
        </w:rPr>
        <w:t>licence</w:t>
      </w:r>
      <w:proofErr w:type="spellEnd"/>
      <w:r w:rsidRPr="00575429">
        <w:rPr>
          <w:rFonts w:eastAsia="Calibri" w:cstheme="minorHAnsi"/>
          <w:iCs/>
          <w:kern w:val="0"/>
          <w:lang w:val="en-US"/>
        </w:rPr>
        <w:t xml:space="preserve"> under </w:t>
      </w:r>
      <w:proofErr w:type="spellStart"/>
      <w:r w:rsidRPr="00575429">
        <w:rPr>
          <w:rFonts w:eastAsia="Calibri" w:cstheme="minorHAnsi"/>
          <w:iCs/>
          <w:kern w:val="0"/>
          <w:lang w:val="en-US"/>
        </w:rPr>
        <w:t>subregulation</w:t>
      </w:r>
      <w:proofErr w:type="spellEnd"/>
      <w:r w:rsidRPr="00575429">
        <w:rPr>
          <w:rFonts w:eastAsia="Calibri" w:cstheme="minorHAnsi"/>
          <w:iCs/>
          <w:kern w:val="0"/>
          <w:lang w:val="en-US"/>
        </w:rPr>
        <w:t xml:space="preserve"> 22.21(4) of the Patents Regulations.</w:t>
      </w:r>
    </w:p>
    <w:p w14:paraId="54485F03" w14:textId="3CB62E3C"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 of the fee for filing a request for leave to convert an innovation patent application into a standard patent application </w:t>
      </w:r>
      <w:r w:rsidR="008D430D">
        <w:rPr>
          <w:rFonts w:eastAsia="Calibri" w:cstheme="minorHAnsi"/>
          <w:kern w:val="0"/>
          <w:lang w:val="en-US"/>
        </w:rPr>
        <w:t>is</w:t>
      </w:r>
      <w:r w:rsidRPr="00575429">
        <w:rPr>
          <w:rFonts w:eastAsia="Calibri" w:cstheme="minorHAnsi"/>
          <w:kern w:val="0"/>
          <w:lang w:val="en-US"/>
        </w:rPr>
        <w:t xml:space="preserve"> increased by $30 (table item 223).</w:t>
      </w:r>
    </w:p>
    <w:p w14:paraId="7771E521" w14:textId="2D4374C9"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 of the fee for filing a request for a hearing </w:t>
      </w:r>
      <w:r w:rsidR="008D430D">
        <w:rPr>
          <w:rFonts w:eastAsia="Calibri" w:cstheme="minorHAnsi"/>
          <w:iCs/>
          <w:kern w:val="0"/>
          <w:lang w:val="en-US"/>
        </w:rPr>
        <w:t>is</w:t>
      </w:r>
      <w:r w:rsidRPr="00575429">
        <w:rPr>
          <w:rFonts w:eastAsia="Calibri" w:cstheme="minorHAnsi"/>
          <w:iCs/>
          <w:kern w:val="0"/>
          <w:lang w:val="en-US"/>
        </w:rPr>
        <w:t xml:space="preserve"> increased from $600 to $1,200 (table item 230).</w:t>
      </w:r>
    </w:p>
    <w:p w14:paraId="67702A88" w14:textId="5D56A19D"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 of the fee for appearing and being heard at the first day and any subsequent days of an oral hearing </w:t>
      </w:r>
      <w:r w:rsidR="008D430D">
        <w:rPr>
          <w:rFonts w:eastAsia="Calibri" w:cstheme="minorHAnsi"/>
          <w:iCs/>
          <w:kern w:val="0"/>
          <w:lang w:val="en-US"/>
        </w:rPr>
        <w:t>is</w:t>
      </w:r>
      <w:r w:rsidRPr="00575429">
        <w:rPr>
          <w:rFonts w:eastAsia="Calibri" w:cstheme="minorHAnsi"/>
          <w:iCs/>
          <w:kern w:val="0"/>
          <w:lang w:val="en-US"/>
        </w:rPr>
        <w:t xml:space="preserve"> increased from $1,000 to $2,000 a day (table item 231). The amount payable for the first day </w:t>
      </w:r>
      <w:r w:rsidR="003A4D5F">
        <w:rPr>
          <w:rFonts w:eastAsia="Calibri" w:cstheme="minorHAnsi"/>
          <w:iCs/>
          <w:kern w:val="0"/>
          <w:lang w:val="en-US"/>
        </w:rPr>
        <w:t>continue</w:t>
      </w:r>
      <w:r w:rsidR="00D317CF">
        <w:rPr>
          <w:rFonts w:eastAsia="Calibri" w:cstheme="minorHAnsi"/>
          <w:iCs/>
          <w:kern w:val="0"/>
          <w:lang w:val="en-US"/>
        </w:rPr>
        <w:t>s</w:t>
      </w:r>
      <w:r w:rsidRPr="00575429">
        <w:rPr>
          <w:rFonts w:eastAsia="Calibri" w:cstheme="minorHAnsi"/>
          <w:iCs/>
          <w:kern w:val="0"/>
          <w:lang w:val="en-US"/>
        </w:rPr>
        <w:t xml:space="preserve"> to be reduced by </w:t>
      </w:r>
      <w:r w:rsidR="00405019">
        <w:rPr>
          <w:rFonts w:eastAsia="Calibri" w:cstheme="minorHAnsi"/>
          <w:iCs/>
          <w:kern w:val="0"/>
          <w:lang w:val="en-US"/>
        </w:rPr>
        <w:t>any</w:t>
      </w:r>
      <w:r w:rsidRPr="00575429">
        <w:rPr>
          <w:rFonts w:eastAsia="Calibri" w:cstheme="minorHAnsi"/>
          <w:iCs/>
          <w:kern w:val="0"/>
          <w:lang w:val="en-US"/>
        </w:rPr>
        <w:t xml:space="preserve"> amount a party pays for requesting the hearing (table item 230).</w:t>
      </w:r>
    </w:p>
    <w:p w14:paraId="551C93DF" w14:textId="66DB4E6E"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t xml:space="preserve">The amount of the fee for being heard by written submissions </w:t>
      </w:r>
      <w:r w:rsidR="006966AD">
        <w:rPr>
          <w:rFonts w:eastAsia="Calibri" w:cstheme="minorHAnsi"/>
          <w:iCs/>
          <w:kern w:val="0"/>
          <w:lang w:val="en-US"/>
        </w:rPr>
        <w:t xml:space="preserve">alone </w:t>
      </w:r>
      <w:r w:rsidR="008D430D">
        <w:rPr>
          <w:rFonts w:eastAsia="Calibri" w:cstheme="minorHAnsi"/>
          <w:iCs/>
          <w:kern w:val="0"/>
          <w:lang w:val="en-US"/>
        </w:rPr>
        <w:t>is</w:t>
      </w:r>
      <w:r w:rsidRPr="00575429">
        <w:rPr>
          <w:rFonts w:eastAsia="Calibri" w:cstheme="minorHAnsi"/>
          <w:iCs/>
          <w:kern w:val="0"/>
          <w:lang w:val="en-US"/>
        </w:rPr>
        <w:t xml:space="preserve"> increased from $600 to $1,200 (table item 231A). The amount payable </w:t>
      </w:r>
      <w:r w:rsidR="003A4D5F">
        <w:rPr>
          <w:rFonts w:eastAsia="Calibri" w:cstheme="minorHAnsi"/>
          <w:iCs/>
          <w:kern w:val="0"/>
          <w:lang w:val="en-US"/>
        </w:rPr>
        <w:t>continue</w:t>
      </w:r>
      <w:r w:rsidR="0034006C">
        <w:rPr>
          <w:rFonts w:eastAsia="Calibri" w:cstheme="minorHAnsi"/>
          <w:iCs/>
          <w:kern w:val="0"/>
          <w:lang w:val="en-US"/>
        </w:rPr>
        <w:t>s</w:t>
      </w:r>
      <w:r w:rsidRPr="00575429">
        <w:rPr>
          <w:rFonts w:eastAsia="Calibri" w:cstheme="minorHAnsi"/>
          <w:iCs/>
          <w:kern w:val="0"/>
          <w:lang w:val="en-US"/>
        </w:rPr>
        <w:t xml:space="preserve"> to be reduced by </w:t>
      </w:r>
      <w:r w:rsidR="004E1BF1">
        <w:rPr>
          <w:rFonts w:eastAsia="Calibri" w:cstheme="minorHAnsi"/>
          <w:iCs/>
          <w:kern w:val="0"/>
          <w:lang w:val="en-US"/>
        </w:rPr>
        <w:t>the</w:t>
      </w:r>
      <w:r w:rsidRPr="00575429">
        <w:rPr>
          <w:rFonts w:eastAsia="Calibri" w:cstheme="minorHAnsi"/>
          <w:iCs/>
          <w:kern w:val="0"/>
          <w:lang w:val="en-US"/>
        </w:rPr>
        <w:t xml:space="preserve"> amount </w:t>
      </w:r>
      <w:r w:rsidR="004E1BF1">
        <w:rPr>
          <w:rFonts w:eastAsia="Calibri" w:cstheme="minorHAnsi"/>
          <w:iCs/>
          <w:kern w:val="0"/>
          <w:lang w:val="en-US"/>
        </w:rPr>
        <w:t xml:space="preserve">(if any) </w:t>
      </w:r>
      <w:r w:rsidRPr="00575429">
        <w:rPr>
          <w:rFonts w:eastAsia="Calibri" w:cstheme="minorHAnsi"/>
          <w:iCs/>
          <w:kern w:val="0"/>
          <w:lang w:val="en-US"/>
        </w:rPr>
        <w:t>a party pays for requesting the hearing (table item 230).</w:t>
      </w:r>
    </w:p>
    <w:p w14:paraId="4461C481" w14:textId="08EABEDE" w:rsidR="00575429" w:rsidRPr="00575429"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575429">
        <w:rPr>
          <w:rFonts w:eastAsia="Calibri" w:cstheme="minorHAnsi"/>
          <w:iCs/>
          <w:kern w:val="0"/>
          <w:lang w:val="en-US"/>
        </w:rPr>
        <w:lastRenderedPageBreak/>
        <w:t xml:space="preserve">The amount of the fee for filing an application for an extension of term of a standard patent </w:t>
      </w:r>
      <w:r w:rsidR="008D430D">
        <w:rPr>
          <w:rFonts w:eastAsia="Calibri" w:cstheme="minorHAnsi"/>
          <w:iCs/>
          <w:kern w:val="0"/>
          <w:lang w:val="en-US"/>
        </w:rPr>
        <w:t>is</w:t>
      </w:r>
      <w:r w:rsidRPr="00575429">
        <w:rPr>
          <w:rFonts w:eastAsia="Calibri" w:cstheme="minorHAnsi"/>
          <w:iCs/>
          <w:kern w:val="0"/>
          <w:lang w:val="en-US"/>
        </w:rPr>
        <w:t xml:space="preserve"> increased from $2,000 to $2,500 (item 238).</w:t>
      </w:r>
    </w:p>
    <w:p w14:paraId="75BC5151" w14:textId="4F9C005E"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The amount payable for filing a patent application (table items 201 to 203) </w:t>
      </w:r>
      <w:r w:rsidR="003A4D5F">
        <w:rPr>
          <w:rFonts w:eastAsia="Calibri" w:cstheme="minorHAnsi"/>
          <w:kern w:val="0"/>
        </w:rPr>
        <w:t>continue</w:t>
      </w:r>
      <w:r w:rsidR="002F7A37">
        <w:rPr>
          <w:rFonts w:eastAsia="Calibri" w:cstheme="minorHAnsi"/>
          <w:kern w:val="0"/>
        </w:rPr>
        <w:t>s</w:t>
      </w:r>
      <w:r w:rsidRPr="00575429">
        <w:rPr>
          <w:rFonts w:eastAsia="Calibri" w:cstheme="minorHAnsi"/>
          <w:kern w:val="0"/>
        </w:rPr>
        <w:t xml:space="preserve"> to depend on whether it is filed by a preferred means (for example,</w:t>
      </w:r>
      <w:r w:rsidRPr="00575429">
        <w:rPr>
          <w:rFonts w:eastAsia="Calibri" w:cstheme="minorHAnsi"/>
          <w:kern w:val="0"/>
          <w:lang w:val="en-US"/>
        </w:rPr>
        <w:t xml:space="preserve"> through the IP Australia </w:t>
      </w:r>
      <w:r w:rsidR="0001684E">
        <w:rPr>
          <w:rFonts w:eastAsia="Calibri" w:cstheme="minorHAnsi"/>
          <w:kern w:val="0"/>
          <w:lang w:val="en-US"/>
        </w:rPr>
        <w:t>p</w:t>
      </w:r>
      <w:r w:rsidR="0001684E" w:rsidRPr="00575429">
        <w:rPr>
          <w:rFonts w:eastAsia="Calibri" w:cstheme="minorHAnsi"/>
          <w:kern w:val="0"/>
          <w:lang w:val="en-US"/>
        </w:rPr>
        <w:t>ortal</w:t>
      </w:r>
      <w:r w:rsidRPr="00575429">
        <w:rPr>
          <w:rFonts w:eastAsia="Calibri" w:cstheme="minorHAnsi"/>
          <w:kern w:val="0"/>
        </w:rPr>
        <w:t>), or by a means that is approved but not preferred (for example, by postal delivery).</w:t>
      </w:r>
    </w:p>
    <w:p w14:paraId="54888311" w14:textId="76F78596" w:rsidR="00575429" w:rsidRPr="00575429" w:rsidRDefault="00575429" w:rsidP="00472D7B">
      <w:pPr>
        <w:autoSpaceDE w:val="0"/>
        <w:autoSpaceDN w:val="0"/>
        <w:spacing w:before="160" w:after="0" w:line="252" w:lineRule="auto"/>
        <w:rPr>
          <w:rFonts w:eastAsia="Calibri" w:cstheme="minorHAnsi"/>
          <w:iCs/>
          <w:kern w:val="0"/>
          <w:lang w:val="en-US"/>
        </w:rPr>
      </w:pPr>
      <w:r w:rsidRPr="00575429">
        <w:rPr>
          <w:rFonts w:eastAsia="Calibri" w:cstheme="minorHAnsi"/>
          <w:iCs/>
          <w:kern w:val="0"/>
          <w:lang w:val="en-US"/>
        </w:rPr>
        <w:t xml:space="preserve">The amount payable for the annual continuation or renewal fee (table item 211) </w:t>
      </w:r>
      <w:r w:rsidR="003A4D5F">
        <w:rPr>
          <w:rFonts w:eastAsia="Calibri" w:cstheme="minorHAnsi"/>
          <w:kern w:val="0"/>
        </w:rPr>
        <w:t>continue</w:t>
      </w:r>
      <w:r w:rsidR="002F7A37">
        <w:rPr>
          <w:rFonts w:eastAsia="Calibri" w:cstheme="minorHAnsi"/>
          <w:kern w:val="0"/>
        </w:rPr>
        <w:t>s</w:t>
      </w:r>
      <w:r w:rsidRPr="00575429">
        <w:rPr>
          <w:rFonts w:eastAsia="Calibri" w:cstheme="minorHAnsi"/>
          <w:kern w:val="0"/>
        </w:rPr>
        <w:t xml:space="preserve"> to depend on whether the fee is paid by preferred means (for example, by credit card through the </w:t>
      </w:r>
      <w:r w:rsidRPr="00575429">
        <w:rPr>
          <w:rFonts w:eastAsia="Calibri" w:cstheme="minorHAnsi"/>
          <w:kern w:val="0"/>
          <w:lang w:val="en-US"/>
        </w:rPr>
        <w:t xml:space="preserve">IP Australia </w:t>
      </w:r>
      <w:r w:rsidR="0001684E">
        <w:rPr>
          <w:rFonts w:eastAsia="Calibri" w:cstheme="minorHAnsi"/>
          <w:kern w:val="0"/>
          <w:lang w:val="en-US"/>
        </w:rPr>
        <w:t>p</w:t>
      </w:r>
      <w:r w:rsidR="0001684E" w:rsidRPr="00575429">
        <w:rPr>
          <w:rFonts w:eastAsia="Calibri" w:cstheme="minorHAnsi"/>
          <w:kern w:val="0"/>
          <w:lang w:val="en-US"/>
        </w:rPr>
        <w:t>ortal</w:t>
      </w:r>
      <w:r w:rsidRPr="00575429">
        <w:rPr>
          <w:rFonts w:eastAsia="Calibri" w:cstheme="minorHAnsi"/>
          <w:kern w:val="0"/>
        </w:rPr>
        <w:t xml:space="preserve">) or by a means that is approved but not preferred (for example, by cash, cheque or money order). As </w:t>
      </w:r>
      <w:r w:rsidRPr="00575429">
        <w:rPr>
          <w:rFonts w:eastAsia="Calibri" w:cstheme="minorHAnsi"/>
          <w:iCs/>
          <w:kern w:val="0"/>
          <w:lang w:val="en-US"/>
        </w:rPr>
        <w:t xml:space="preserve">entry into national phase of a PCT application </w:t>
      </w:r>
      <w:r w:rsidRPr="00575429">
        <w:rPr>
          <w:rFonts w:eastAsia="Calibri" w:cstheme="minorHAnsi"/>
          <w:kern w:val="0"/>
        </w:rPr>
        <w:t xml:space="preserve">only requires payment of the fee in table item 214A in most cases, so too the amount payable </w:t>
      </w:r>
      <w:r w:rsidR="003A4D5F">
        <w:rPr>
          <w:rFonts w:eastAsia="Calibri" w:cstheme="minorHAnsi"/>
          <w:kern w:val="0"/>
        </w:rPr>
        <w:t>continue</w:t>
      </w:r>
      <w:r w:rsidR="006D7327">
        <w:rPr>
          <w:rFonts w:eastAsia="Calibri" w:cstheme="minorHAnsi"/>
          <w:kern w:val="0"/>
        </w:rPr>
        <w:t>s</w:t>
      </w:r>
      <w:r w:rsidRPr="00575429">
        <w:rPr>
          <w:rFonts w:eastAsia="Calibri" w:cstheme="minorHAnsi"/>
          <w:kern w:val="0"/>
        </w:rPr>
        <w:t xml:space="preserve"> to depend on whether it is paid by preferred means or other approved means.</w:t>
      </w:r>
    </w:p>
    <w:p w14:paraId="1418F9B9" w14:textId="309BF978"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The amounts of the fees for commencing and hearing proceedings before the Commissioner – table items 214, 216, 230, 231 and 231A – have not been increased since 2012. So, they are doubled to reflect the actual increase in the cost of hearing and determining proceedings since 2012, and the expected increase in that cost up to 2028: when the amounts might next be changed.</w:t>
      </w:r>
    </w:p>
    <w:p w14:paraId="1D30D9D1" w14:textId="7CAC23F6" w:rsidR="00575429" w:rsidRPr="00575429" w:rsidRDefault="00575429" w:rsidP="00472D7B">
      <w:pPr>
        <w:autoSpaceDE w:val="0"/>
        <w:autoSpaceDN w:val="0"/>
        <w:spacing w:before="160" w:after="0" w:line="252" w:lineRule="auto"/>
        <w:rPr>
          <w:rFonts w:eastAsia="Calibri" w:cstheme="minorHAnsi"/>
          <w:b/>
          <w:kern w:val="0"/>
          <w:lang w:val="en-US"/>
        </w:rPr>
      </w:pPr>
      <w:r w:rsidRPr="00575429">
        <w:rPr>
          <w:rFonts w:eastAsia="Calibri" w:cstheme="minorHAnsi"/>
          <w:b/>
          <w:bCs/>
          <w:iCs/>
          <w:kern w:val="0"/>
          <w:lang w:val="en-US"/>
        </w:rPr>
        <w:t>Items [</w:t>
      </w:r>
      <w:r w:rsidR="001320D6">
        <w:rPr>
          <w:rFonts w:eastAsia="Calibri" w:cstheme="minorHAnsi"/>
          <w:b/>
          <w:bCs/>
          <w:iCs/>
          <w:kern w:val="0"/>
          <w:lang w:val="en-US"/>
        </w:rPr>
        <w:t>25</w:t>
      </w:r>
      <w:r w:rsidRPr="00575429">
        <w:rPr>
          <w:rFonts w:eastAsia="Calibri" w:cstheme="minorHAnsi"/>
          <w:b/>
          <w:bCs/>
          <w:iCs/>
          <w:kern w:val="0"/>
          <w:lang w:val="en-US"/>
        </w:rPr>
        <w:t>] to [</w:t>
      </w:r>
      <w:r w:rsidR="00AF7CFE">
        <w:rPr>
          <w:rFonts w:eastAsia="Calibri" w:cstheme="minorHAnsi"/>
          <w:b/>
          <w:bCs/>
          <w:iCs/>
          <w:kern w:val="0"/>
          <w:lang w:val="en-US"/>
        </w:rPr>
        <w:t>28</w:t>
      </w:r>
      <w:r w:rsidRPr="00575429">
        <w:rPr>
          <w:rFonts w:eastAsia="Calibri" w:cstheme="minorHAnsi"/>
          <w:b/>
          <w:bCs/>
          <w:iCs/>
          <w:kern w:val="0"/>
          <w:lang w:val="en-US"/>
        </w:rPr>
        <w:t xml:space="preserve">] – regulation 23.55, </w:t>
      </w:r>
      <w:r w:rsidRPr="00575429">
        <w:rPr>
          <w:rFonts w:eastAsia="Calibri" w:cstheme="minorHAnsi"/>
          <w:b/>
          <w:bCs/>
          <w:kern w:val="0"/>
          <w:lang w:val="en-US"/>
        </w:rPr>
        <w:t>Schedule 8</w:t>
      </w:r>
    </w:p>
    <w:p w14:paraId="7620F5D3" w14:textId="2EC6F2C3" w:rsidR="00575429" w:rsidRPr="00575429" w:rsidRDefault="00BB39F1" w:rsidP="00472D7B">
      <w:pPr>
        <w:autoSpaceDE w:val="0"/>
        <w:autoSpaceDN w:val="0"/>
        <w:spacing w:before="160" w:after="0" w:line="252" w:lineRule="auto"/>
        <w:rPr>
          <w:rFonts w:eastAsia="Calibri" w:cstheme="minorHAnsi"/>
          <w:kern w:val="0"/>
          <w:lang w:val="en-US"/>
        </w:rPr>
      </w:pPr>
      <w:r>
        <w:rPr>
          <w:rFonts w:eastAsia="Calibri" w:cstheme="minorHAnsi"/>
          <w:kern w:val="0"/>
        </w:rPr>
        <w:t xml:space="preserve">These items </w:t>
      </w:r>
      <w:r w:rsidR="003A4D5F">
        <w:rPr>
          <w:rFonts w:eastAsia="Calibri" w:cstheme="minorHAnsi"/>
          <w:kern w:val="0"/>
        </w:rPr>
        <w:t>amend</w:t>
      </w:r>
      <w:r w:rsidR="00575429" w:rsidRPr="00575429">
        <w:rPr>
          <w:rFonts w:eastAsia="Calibri" w:cstheme="minorHAnsi"/>
          <w:kern w:val="0"/>
        </w:rPr>
        <w:t xml:space="preserve"> Schedule 8 to the Patents Regulations to increase the amounts of costs, expenses and allowances that </w:t>
      </w:r>
      <w:r w:rsidR="00575429" w:rsidRPr="00575429">
        <w:rPr>
          <w:rFonts w:eastAsia="Calibri" w:cstheme="minorHAnsi"/>
          <w:kern w:val="0"/>
          <w:lang w:val="en-US"/>
        </w:rPr>
        <w:t>may be awarded to a successful party in a proceeding before the Commissioner.</w:t>
      </w:r>
    </w:p>
    <w:p w14:paraId="5D71A1D3" w14:textId="7A376955"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Item [</w:t>
      </w:r>
      <w:r w:rsidR="00BB39F1">
        <w:rPr>
          <w:rFonts w:eastAsia="Calibri" w:cstheme="minorHAnsi"/>
          <w:kern w:val="0"/>
          <w:lang w:val="en-US"/>
        </w:rPr>
        <w:t>25</w:t>
      </w:r>
      <w:r w:rsidRPr="00575429">
        <w:rPr>
          <w:rFonts w:eastAsia="Calibri" w:cstheme="minorHAnsi"/>
          <w:kern w:val="0"/>
          <w:lang w:val="en-US"/>
        </w:rPr>
        <w:t xml:space="preserve">] </w:t>
      </w:r>
      <w:r w:rsidR="003A4D5F">
        <w:rPr>
          <w:rFonts w:eastAsia="Calibri" w:cstheme="minorHAnsi"/>
          <w:kern w:val="0"/>
          <w:lang w:val="en-US"/>
        </w:rPr>
        <w:t>amend</w:t>
      </w:r>
      <w:r w:rsidR="00940E98">
        <w:rPr>
          <w:rFonts w:eastAsia="Calibri" w:cstheme="minorHAnsi"/>
          <w:kern w:val="0"/>
          <w:lang w:val="en-US"/>
        </w:rPr>
        <w:t>s</w:t>
      </w:r>
      <w:r w:rsidRPr="00575429">
        <w:rPr>
          <w:rFonts w:eastAsia="Calibri" w:cstheme="minorHAnsi"/>
          <w:kern w:val="0"/>
          <w:lang w:val="en-US"/>
        </w:rPr>
        <w:t xml:space="preserve"> the amounts of the scale of costs in the table in Part 1 of Schedule 8 to the Patents Regulation as set out in Table 2.</w:t>
      </w:r>
    </w:p>
    <w:p w14:paraId="6B59F6FD" w14:textId="77777777" w:rsidR="00575429" w:rsidRPr="00575429" w:rsidRDefault="00575429" w:rsidP="00C25F6F">
      <w:pPr>
        <w:keepNext/>
        <w:autoSpaceDE w:val="0"/>
        <w:autoSpaceDN w:val="0"/>
        <w:spacing w:before="160" w:line="252" w:lineRule="auto"/>
        <w:ind w:left="1276"/>
        <w:rPr>
          <w:rFonts w:eastAsia="Calibri" w:cstheme="minorHAnsi"/>
          <w:kern w:val="0"/>
          <w:u w:val="single"/>
        </w:rPr>
      </w:pPr>
      <w:r w:rsidRPr="00575429">
        <w:rPr>
          <w:rFonts w:eastAsia="Calibri" w:cstheme="minorHAnsi"/>
          <w:kern w:val="0"/>
          <w:u w:val="single"/>
        </w:rPr>
        <w:t>Table 2</w:t>
      </w:r>
      <w:r w:rsidRPr="00575429">
        <w:rPr>
          <w:rFonts w:eastAsia="Calibri" w:cstheme="minorHAnsi"/>
          <w:kern w:val="0"/>
          <w:u w:val="single"/>
        </w:rPr>
        <w:tab/>
        <w:t>Scale of costs for patents proceedings</w:t>
      </w:r>
    </w:p>
    <w:tbl>
      <w:tblPr>
        <w:tblW w:w="8505" w:type="dxa"/>
        <w:tblInd w:w="1271" w:type="dxa"/>
        <w:tblBorders>
          <w:top w:val="single" w:sz="4" w:space="0" w:color="auto"/>
          <w:left w:val="single" w:sz="4" w:space="0" w:color="auto"/>
          <w:bottom w:val="single" w:sz="4" w:space="0" w:color="auto"/>
          <w:right w:val="single" w:sz="4" w:space="0" w:color="auto"/>
          <w:insideH w:val="dashed" w:sz="4" w:space="0" w:color="auto"/>
          <w:insideV w:val="dashSmallGap" w:sz="4" w:space="0" w:color="auto"/>
        </w:tblBorders>
        <w:tblLayout w:type="fixed"/>
        <w:tblCellMar>
          <w:top w:w="85" w:type="dxa"/>
          <w:left w:w="85" w:type="dxa"/>
          <w:bottom w:w="85" w:type="dxa"/>
          <w:right w:w="85" w:type="dxa"/>
        </w:tblCellMar>
        <w:tblLook w:val="04A0" w:firstRow="1" w:lastRow="0" w:firstColumn="1" w:lastColumn="0" w:noHBand="0" w:noVBand="1"/>
      </w:tblPr>
      <w:tblGrid>
        <w:gridCol w:w="1129"/>
        <w:gridCol w:w="4116"/>
        <w:gridCol w:w="1701"/>
        <w:gridCol w:w="1559"/>
      </w:tblGrid>
      <w:tr w:rsidR="00575429" w:rsidRPr="00940E98" w14:paraId="466D0714" w14:textId="77777777">
        <w:trPr>
          <w:trHeight w:val="300"/>
          <w:tblHeader/>
        </w:trPr>
        <w:tc>
          <w:tcPr>
            <w:tcW w:w="1129" w:type="dxa"/>
            <w:shd w:val="clear" w:color="auto" w:fill="FFFFFF" w:themeFill="background1"/>
            <w:hideMark/>
          </w:tcPr>
          <w:p w14:paraId="756531DB" w14:textId="77777777" w:rsidR="00575429" w:rsidRPr="00472D7B" w:rsidRDefault="00575429" w:rsidP="00472D7B">
            <w:pPr>
              <w:autoSpaceDE w:val="0"/>
              <w:autoSpaceDN w:val="0"/>
              <w:spacing w:after="0" w:line="252" w:lineRule="auto"/>
              <w:rPr>
                <w:rFonts w:eastAsia="Calibri" w:cstheme="minorHAnsi"/>
                <w:b/>
                <w:bCs/>
                <w:kern w:val="0"/>
                <w:sz w:val="20"/>
                <w:szCs w:val="20"/>
              </w:rPr>
            </w:pPr>
            <w:r w:rsidRPr="00472D7B">
              <w:rPr>
                <w:rFonts w:eastAsia="Calibri" w:cstheme="minorHAnsi"/>
                <w:b/>
                <w:bCs/>
                <w:kern w:val="0"/>
                <w:sz w:val="20"/>
                <w:szCs w:val="20"/>
              </w:rPr>
              <w:t>Table item</w:t>
            </w:r>
          </w:p>
        </w:tc>
        <w:tc>
          <w:tcPr>
            <w:tcW w:w="4116" w:type="dxa"/>
            <w:shd w:val="clear" w:color="auto" w:fill="FFFFFF" w:themeFill="background1"/>
            <w:hideMark/>
          </w:tcPr>
          <w:p w14:paraId="463698C4" w14:textId="77777777" w:rsidR="00575429" w:rsidRPr="00472D7B" w:rsidRDefault="00575429" w:rsidP="00472D7B">
            <w:pPr>
              <w:autoSpaceDE w:val="0"/>
              <w:autoSpaceDN w:val="0"/>
              <w:spacing w:after="0" w:line="252" w:lineRule="auto"/>
              <w:rPr>
                <w:rFonts w:eastAsia="Calibri" w:cstheme="minorHAnsi"/>
                <w:b/>
                <w:bCs/>
                <w:kern w:val="0"/>
                <w:sz w:val="20"/>
                <w:szCs w:val="20"/>
              </w:rPr>
            </w:pPr>
            <w:r w:rsidRPr="00472D7B">
              <w:rPr>
                <w:rFonts w:eastAsia="Calibri" w:cstheme="minorHAnsi"/>
                <w:b/>
                <w:bCs/>
                <w:kern w:val="0"/>
                <w:sz w:val="20"/>
                <w:szCs w:val="20"/>
              </w:rPr>
              <w:t>Matter</w:t>
            </w:r>
          </w:p>
        </w:tc>
        <w:tc>
          <w:tcPr>
            <w:tcW w:w="1701" w:type="dxa"/>
            <w:shd w:val="clear" w:color="auto" w:fill="FFFFFF" w:themeFill="background1"/>
            <w:hideMark/>
          </w:tcPr>
          <w:p w14:paraId="378F7AEF" w14:textId="48BBADBB" w:rsidR="00575429" w:rsidRPr="00472D7B" w:rsidRDefault="00D72822" w:rsidP="00472D7B">
            <w:pPr>
              <w:autoSpaceDE w:val="0"/>
              <w:autoSpaceDN w:val="0"/>
              <w:spacing w:after="0" w:line="252" w:lineRule="auto"/>
              <w:rPr>
                <w:rFonts w:eastAsia="Calibri" w:cstheme="minorHAnsi"/>
                <w:b/>
                <w:bCs/>
                <w:kern w:val="0"/>
                <w:sz w:val="20"/>
                <w:szCs w:val="20"/>
              </w:rPr>
            </w:pPr>
            <w:r>
              <w:rPr>
                <w:rFonts w:eastAsia="Calibri" w:cstheme="minorHAnsi"/>
                <w:b/>
                <w:bCs/>
                <w:kern w:val="0"/>
                <w:sz w:val="20"/>
                <w:szCs w:val="20"/>
              </w:rPr>
              <w:t>Existing</w:t>
            </w:r>
            <w:r w:rsidR="00575429" w:rsidRPr="00472D7B">
              <w:rPr>
                <w:rFonts w:eastAsia="Calibri" w:cstheme="minorHAnsi"/>
                <w:b/>
                <w:bCs/>
                <w:kern w:val="0"/>
                <w:sz w:val="20"/>
                <w:szCs w:val="20"/>
              </w:rPr>
              <w:t xml:space="preserve"> amount </w:t>
            </w:r>
          </w:p>
        </w:tc>
        <w:tc>
          <w:tcPr>
            <w:tcW w:w="1559" w:type="dxa"/>
            <w:shd w:val="clear" w:color="auto" w:fill="FFFFFF" w:themeFill="background1"/>
          </w:tcPr>
          <w:p w14:paraId="166BF39A" w14:textId="08809093" w:rsidR="00575429" w:rsidRPr="00472D7B" w:rsidRDefault="00575429" w:rsidP="00472D7B">
            <w:pPr>
              <w:autoSpaceDE w:val="0"/>
              <w:autoSpaceDN w:val="0"/>
              <w:spacing w:after="0" w:line="252" w:lineRule="auto"/>
              <w:rPr>
                <w:rFonts w:eastAsia="Calibri" w:cstheme="minorHAnsi"/>
                <w:b/>
                <w:bCs/>
                <w:kern w:val="0"/>
                <w:sz w:val="20"/>
                <w:szCs w:val="20"/>
              </w:rPr>
            </w:pPr>
            <w:r w:rsidRPr="00472D7B">
              <w:rPr>
                <w:rFonts w:eastAsia="Calibri" w:cstheme="minorHAnsi"/>
                <w:b/>
                <w:bCs/>
                <w:kern w:val="0"/>
                <w:sz w:val="20"/>
                <w:szCs w:val="20"/>
              </w:rPr>
              <w:t xml:space="preserve">New </w:t>
            </w:r>
            <w:r w:rsidR="00D72822">
              <w:rPr>
                <w:rFonts w:eastAsia="Calibri" w:cstheme="minorHAnsi"/>
                <w:b/>
                <w:bCs/>
                <w:kern w:val="0"/>
                <w:sz w:val="20"/>
                <w:szCs w:val="20"/>
              </w:rPr>
              <w:t>a</w:t>
            </w:r>
            <w:r w:rsidRPr="00472D7B">
              <w:rPr>
                <w:rFonts w:eastAsia="Calibri" w:cstheme="minorHAnsi"/>
                <w:b/>
                <w:bCs/>
                <w:kern w:val="0"/>
                <w:sz w:val="20"/>
                <w:szCs w:val="20"/>
              </w:rPr>
              <w:t>mount</w:t>
            </w:r>
          </w:p>
        </w:tc>
      </w:tr>
      <w:tr w:rsidR="00575429" w:rsidRPr="00940E98" w14:paraId="292C0229" w14:textId="77777777">
        <w:trPr>
          <w:trHeight w:val="300"/>
        </w:trPr>
        <w:tc>
          <w:tcPr>
            <w:tcW w:w="1129" w:type="dxa"/>
            <w:shd w:val="clear" w:color="auto" w:fill="FFFFFF" w:themeFill="background1"/>
            <w:hideMark/>
          </w:tcPr>
          <w:p w14:paraId="5FB56394"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1 </w:t>
            </w:r>
          </w:p>
        </w:tc>
        <w:tc>
          <w:tcPr>
            <w:tcW w:w="4116" w:type="dxa"/>
            <w:shd w:val="clear" w:color="auto" w:fill="FFFFFF" w:themeFill="background1"/>
            <w:hideMark/>
          </w:tcPr>
          <w:p w14:paraId="4CBA1263"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Notice of opposition</w:t>
            </w:r>
          </w:p>
        </w:tc>
        <w:tc>
          <w:tcPr>
            <w:tcW w:w="1701" w:type="dxa"/>
            <w:shd w:val="clear" w:color="auto" w:fill="FFFFFF" w:themeFill="background1"/>
            <w:hideMark/>
          </w:tcPr>
          <w:p w14:paraId="19602FD7"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 </w:t>
            </w:r>
          </w:p>
        </w:tc>
        <w:tc>
          <w:tcPr>
            <w:tcW w:w="1559" w:type="dxa"/>
            <w:shd w:val="clear" w:color="auto" w:fill="FFFFFF" w:themeFill="background1"/>
          </w:tcPr>
          <w:p w14:paraId="1A1816B6"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$400 </w:t>
            </w:r>
          </w:p>
        </w:tc>
      </w:tr>
      <w:tr w:rsidR="00575429" w:rsidRPr="00940E98" w14:paraId="0686A689" w14:textId="77777777">
        <w:trPr>
          <w:trHeight w:val="300"/>
        </w:trPr>
        <w:tc>
          <w:tcPr>
            <w:tcW w:w="1129" w:type="dxa"/>
            <w:shd w:val="clear" w:color="auto" w:fill="FFFFFF" w:themeFill="background1"/>
          </w:tcPr>
          <w:p w14:paraId="185BA1A9"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w:t>
            </w:r>
          </w:p>
        </w:tc>
        <w:tc>
          <w:tcPr>
            <w:tcW w:w="4116" w:type="dxa"/>
            <w:shd w:val="clear" w:color="auto" w:fill="FFFFFF" w:themeFill="background1"/>
          </w:tcPr>
          <w:p w14:paraId="0E557DCE"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Statement of grounds and particulars</w:t>
            </w:r>
          </w:p>
        </w:tc>
        <w:tc>
          <w:tcPr>
            <w:tcW w:w="1701" w:type="dxa"/>
            <w:shd w:val="clear" w:color="auto" w:fill="FFFFFF" w:themeFill="background1"/>
          </w:tcPr>
          <w:p w14:paraId="00C7FE2A"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$750</w:t>
            </w:r>
          </w:p>
        </w:tc>
        <w:tc>
          <w:tcPr>
            <w:tcW w:w="1559" w:type="dxa"/>
            <w:shd w:val="clear" w:color="auto" w:fill="FFFFFF" w:themeFill="background1"/>
          </w:tcPr>
          <w:p w14:paraId="136E38D3"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$1,500</w:t>
            </w:r>
          </w:p>
        </w:tc>
      </w:tr>
      <w:tr w:rsidR="00575429" w:rsidRPr="00940E98" w14:paraId="5C13E82C" w14:textId="77777777">
        <w:trPr>
          <w:trHeight w:val="300"/>
        </w:trPr>
        <w:tc>
          <w:tcPr>
            <w:tcW w:w="1129" w:type="dxa"/>
            <w:shd w:val="clear" w:color="auto" w:fill="FFFFFF" w:themeFill="background1"/>
            <w:hideMark/>
          </w:tcPr>
          <w:p w14:paraId="76AF975E"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3 </w:t>
            </w:r>
          </w:p>
        </w:tc>
        <w:tc>
          <w:tcPr>
            <w:tcW w:w="4116" w:type="dxa"/>
            <w:shd w:val="clear" w:color="auto" w:fill="FFFFFF" w:themeFill="background1"/>
            <w:hideMark/>
          </w:tcPr>
          <w:p w14:paraId="494EDF2E"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Receiving and perusing statement of grounds and particulars</w:t>
            </w:r>
          </w:p>
        </w:tc>
        <w:tc>
          <w:tcPr>
            <w:tcW w:w="1701" w:type="dxa"/>
            <w:shd w:val="clear" w:color="auto" w:fill="FFFFFF" w:themeFill="background1"/>
            <w:hideMark/>
          </w:tcPr>
          <w:p w14:paraId="71D4CAD7"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$500</w:t>
            </w:r>
          </w:p>
        </w:tc>
        <w:tc>
          <w:tcPr>
            <w:tcW w:w="1559" w:type="dxa"/>
            <w:shd w:val="clear" w:color="auto" w:fill="FFFFFF" w:themeFill="background1"/>
          </w:tcPr>
          <w:p w14:paraId="0B767FDD"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$1,000</w:t>
            </w:r>
          </w:p>
        </w:tc>
      </w:tr>
      <w:tr w:rsidR="00575429" w:rsidRPr="00940E98" w14:paraId="2378317F" w14:textId="77777777">
        <w:trPr>
          <w:trHeight w:val="300"/>
        </w:trPr>
        <w:tc>
          <w:tcPr>
            <w:tcW w:w="1129" w:type="dxa"/>
            <w:shd w:val="clear" w:color="auto" w:fill="FFFFFF" w:themeFill="background1"/>
          </w:tcPr>
          <w:p w14:paraId="02BEC43E"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4</w:t>
            </w:r>
          </w:p>
        </w:tc>
        <w:tc>
          <w:tcPr>
            <w:tcW w:w="4116" w:type="dxa"/>
            <w:shd w:val="clear" w:color="auto" w:fill="FFFFFF" w:themeFill="background1"/>
          </w:tcPr>
          <w:p w14:paraId="6B7B3358"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Evidence in support</w:t>
            </w:r>
          </w:p>
        </w:tc>
        <w:tc>
          <w:tcPr>
            <w:tcW w:w="1701" w:type="dxa"/>
            <w:shd w:val="clear" w:color="auto" w:fill="FFFFFF" w:themeFill="background1"/>
          </w:tcPr>
          <w:p w14:paraId="706DB958"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$1,500</w:t>
            </w:r>
          </w:p>
        </w:tc>
        <w:tc>
          <w:tcPr>
            <w:tcW w:w="1559" w:type="dxa"/>
            <w:shd w:val="clear" w:color="auto" w:fill="FFFFFF" w:themeFill="background1"/>
          </w:tcPr>
          <w:p w14:paraId="3C6C57F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$3,000</w:t>
            </w:r>
          </w:p>
        </w:tc>
      </w:tr>
      <w:tr w:rsidR="00575429" w:rsidRPr="00940E98" w14:paraId="6E9AD143" w14:textId="77777777">
        <w:trPr>
          <w:trHeight w:val="300"/>
        </w:trPr>
        <w:tc>
          <w:tcPr>
            <w:tcW w:w="1129" w:type="dxa"/>
            <w:shd w:val="clear" w:color="auto" w:fill="FFFFFF" w:themeFill="background1"/>
          </w:tcPr>
          <w:p w14:paraId="550F8B89"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5</w:t>
            </w:r>
          </w:p>
        </w:tc>
        <w:tc>
          <w:tcPr>
            <w:tcW w:w="4116" w:type="dxa"/>
            <w:shd w:val="clear" w:color="auto" w:fill="FFFFFF" w:themeFill="background1"/>
          </w:tcPr>
          <w:p w14:paraId="5068DBAA"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Receiving and perusing notice of opposition</w:t>
            </w:r>
          </w:p>
        </w:tc>
        <w:tc>
          <w:tcPr>
            <w:tcW w:w="1701" w:type="dxa"/>
            <w:shd w:val="clear" w:color="auto" w:fill="FFFFFF" w:themeFill="background1"/>
          </w:tcPr>
          <w:p w14:paraId="61BFDAE1"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w:t>
            </w:r>
          </w:p>
        </w:tc>
        <w:tc>
          <w:tcPr>
            <w:tcW w:w="1559" w:type="dxa"/>
            <w:shd w:val="clear" w:color="auto" w:fill="FFFFFF" w:themeFill="background1"/>
          </w:tcPr>
          <w:p w14:paraId="183CC694"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$400</w:t>
            </w:r>
          </w:p>
        </w:tc>
      </w:tr>
      <w:tr w:rsidR="00575429" w:rsidRPr="00940E98" w14:paraId="3318B815" w14:textId="77777777">
        <w:trPr>
          <w:trHeight w:val="300"/>
        </w:trPr>
        <w:tc>
          <w:tcPr>
            <w:tcW w:w="1129" w:type="dxa"/>
            <w:shd w:val="clear" w:color="auto" w:fill="FFFFFF" w:themeFill="background1"/>
          </w:tcPr>
          <w:p w14:paraId="445AEBB4"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6 </w:t>
            </w:r>
          </w:p>
        </w:tc>
        <w:tc>
          <w:tcPr>
            <w:tcW w:w="4116" w:type="dxa"/>
            <w:shd w:val="clear" w:color="auto" w:fill="FFFFFF" w:themeFill="background1"/>
          </w:tcPr>
          <w:p w14:paraId="6F1135A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Receiving and perusing evidence in support </w:t>
            </w:r>
          </w:p>
        </w:tc>
        <w:tc>
          <w:tcPr>
            <w:tcW w:w="1701" w:type="dxa"/>
            <w:shd w:val="clear" w:color="auto" w:fill="FFFFFF" w:themeFill="background1"/>
          </w:tcPr>
          <w:p w14:paraId="02450D29"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$750 </w:t>
            </w:r>
          </w:p>
        </w:tc>
        <w:tc>
          <w:tcPr>
            <w:tcW w:w="1559" w:type="dxa"/>
            <w:shd w:val="clear" w:color="auto" w:fill="FFFFFF" w:themeFill="background1"/>
          </w:tcPr>
          <w:p w14:paraId="2E16932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$1,500 </w:t>
            </w:r>
          </w:p>
        </w:tc>
      </w:tr>
      <w:tr w:rsidR="00575429" w:rsidRPr="00940E98" w14:paraId="39597454" w14:textId="77777777">
        <w:trPr>
          <w:trHeight w:val="300"/>
        </w:trPr>
        <w:tc>
          <w:tcPr>
            <w:tcW w:w="1129" w:type="dxa"/>
            <w:shd w:val="clear" w:color="auto" w:fill="FFFFFF" w:themeFill="background1"/>
          </w:tcPr>
          <w:p w14:paraId="565AD7D7"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7 </w:t>
            </w:r>
          </w:p>
        </w:tc>
        <w:tc>
          <w:tcPr>
            <w:tcW w:w="4116" w:type="dxa"/>
            <w:shd w:val="clear" w:color="auto" w:fill="FFFFFF" w:themeFill="background1"/>
          </w:tcPr>
          <w:p w14:paraId="7617479E"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Evidence in answer </w:t>
            </w:r>
          </w:p>
        </w:tc>
        <w:tc>
          <w:tcPr>
            <w:tcW w:w="1701" w:type="dxa"/>
            <w:shd w:val="clear" w:color="auto" w:fill="FFFFFF" w:themeFill="background1"/>
          </w:tcPr>
          <w:p w14:paraId="7623638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$1,500 </w:t>
            </w:r>
          </w:p>
        </w:tc>
        <w:tc>
          <w:tcPr>
            <w:tcW w:w="1559" w:type="dxa"/>
            <w:shd w:val="clear" w:color="auto" w:fill="FFFFFF" w:themeFill="background1"/>
          </w:tcPr>
          <w:p w14:paraId="46AEC21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$3,000 </w:t>
            </w:r>
          </w:p>
        </w:tc>
      </w:tr>
      <w:tr w:rsidR="00575429" w:rsidRPr="00940E98" w14:paraId="4E6B8BF0" w14:textId="77777777">
        <w:trPr>
          <w:trHeight w:val="300"/>
        </w:trPr>
        <w:tc>
          <w:tcPr>
            <w:tcW w:w="1129" w:type="dxa"/>
            <w:shd w:val="clear" w:color="auto" w:fill="FFFFFF" w:themeFill="background1"/>
          </w:tcPr>
          <w:p w14:paraId="37D09149"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8 </w:t>
            </w:r>
          </w:p>
        </w:tc>
        <w:tc>
          <w:tcPr>
            <w:tcW w:w="4116" w:type="dxa"/>
            <w:shd w:val="clear" w:color="auto" w:fill="FFFFFF" w:themeFill="background1"/>
          </w:tcPr>
          <w:p w14:paraId="57625E08"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Receiving and perusing evidence in answer </w:t>
            </w:r>
          </w:p>
        </w:tc>
        <w:tc>
          <w:tcPr>
            <w:tcW w:w="1701" w:type="dxa"/>
            <w:shd w:val="clear" w:color="auto" w:fill="FFFFFF" w:themeFill="background1"/>
          </w:tcPr>
          <w:p w14:paraId="73BE41CE"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$750 </w:t>
            </w:r>
          </w:p>
        </w:tc>
        <w:tc>
          <w:tcPr>
            <w:tcW w:w="1559" w:type="dxa"/>
            <w:shd w:val="clear" w:color="auto" w:fill="FFFFFF" w:themeFill="background1"/>
          </w:tcPr>
          <w:p w14:paraId="64EF6110"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$1,500 </w:t>
            </w:r>
          </w:p>
        </w:tc>
      </w:tr>
      <w:tr w:rsidR="00575429" w:rsidRPr="00940E98" w14:paraId="38685086" w14:textId="77777777">
        <w:trPr>
          <w:trHeight w:val="300"/>
        </w:trPr>
        <w:tc>
          <w:tcPr>
            <w:tcW w:w="1129" w:type="dxa"/>
            <w:shd w:val="clear" w:color="auto" w:fill="FFFFFF" w:themeFill="background1"/>
          </w:tcPr>
          <w:p w14:paraId="0EE449F6"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9 </w:t>
            </w:r>
          </w:p>
        </w:tc>
        <w:tc>
          <w:tcPr>
            <w:tcW w:w="4116" w:type="dxa"/>
            <w:shd w:val="clear" w:color="auto" w:fill="FFFFFF" w:themeFill="background1"/>
          </w:tcPr>
          <w:p w14:paraId="66F618B0"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Evidence in reply </w:t>
            </w:r>
          </w:p>
        </w:tc>
        <w:tc>
          <w:tcPr>
            <w:tcW w:w="1701" w:type="dxa"/>
            <w:shd w:val="clear" w:color="auto" w:fill="FFFFFF" w:themeFill="background1"/>
          </w:tcPr>
          <w:p w14:paraId="0A1E0C3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$750 </w:t>
            </w:r>
          </w:p>
        </w:tc>
        <w:tc>
          <w:tcPr>
            <w:tcW w:w="1559" w:type="dxa"/>
            <w:shd w:val="clear" w:color="auto" w:fill="FFFFFF" w:themeFill="background1"/>
          </w:tcPr>
          <w:p w14:paraId="3DC7E350"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$1,500 </w:t>
            </w:r>
          </w:p>
        </w:tc>
      </w:tr>
      <w:tr w:rsidR="00575429" w:rsidRPr="00940E98" w14:paraId="2F1EDD96" w14:textId="77777777">
        <w:trPr>
          <w:trHeight w:val="300"/>
        </w:trPr>
        <w:tc>
          <w:tcPr>
            <w:tcW w:w="1129" w:type="dxa"/>
            <w:shd w:val="clear" w:color="auto" w:fill="FFFFFF" w:themeFill="background1"/>
          </w:tcPr>
          <w:p w14:paraId="14E60411"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10 </w:t>
            </w:r>
          </w:p>
        </w:tc>
        <w:tc>
          <w:tcPr>
            <w:tcW w:w="4116" w:type="dxa"/>
            <w:shd w:val="clear" w:color="auto" w:fill="FFFFFF" w:themeFill="background1"/>
          </w:tcPr>
          <w:p w14:paraId="5736BC6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Receiving and perusing evidence in reply </w:t>
            </w:r>
          </w:p>
        </w:tc>
        <w:tc>
          <w:tcPr>
            <w:tcW w:w="1701" w:type="dxa"/>
            <w:shd w:val="clear" w:color="auto" w:fill="FFFFFF" w:themeFill="background1"/>
          </w:tcPr>
          <w:p w14:paraId="69E73035"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$350 </w:t>
            </w:r>
          </w:p>
        </w:tc>
        <w:tc>
          <w:tcPr>
            <w:tcW w:w="1559" w:type="dxa"/>
            <w:shd w:val="clear" w:color="auto" w:fill="FFFFFF" w:themeFill="background1"/>
          </w:tcPr>
          <w:p w14:paraId="65314B33"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$700 </w:t>
            </w:r>
          </w:p>
        </w:tc>
      </w:tr>
      <w:tr w:rsidR="00575429" w:rsidRPr="00940E98" w14:paraId="3F8AAECC" w14:textId="77777777">
        <w:trPr>
          <w:trHeight w:val="300"/>
        </w:trPr>
        <w:tc>
          <w:tcPr>
            <w:tcW w:w="1129" w:type="dxa"/>
            <w:shd w:val="clear" w:color="auto" w:fill="FFFFFF" w:themeFill="background1"/>
            <w:hideMark/>
          </w:tcPr>
          <w:p w14:paraId="4E279936"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11 </w:t>
            </w:r>
          </w:p>
        </w:tc>
        <w:tc>
          <w:tcPr>
            <w:tcW w:w="4116" w:type="dxa"/>
            <w:shd w:val="clear" w:color="auto" w:fill="FFFFFF" w:themeFill="background1"/>
            <w:hideMark/>
          </w:tcPr>
          <w:p w14:paraId="602D7EA9"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Preparation of case for hearing</w:t>
            </w:r>
          </w:p>
        </w:tc>
        <w:tc>
          <w:tcPr>
            <w:tcW w:w="1701" w:type="dxa"/>
            <w:shd w:val="clear" w:color="auto" w:fill="FFFFFF" w:themeFill="background1"/>
            <w:hideMark/>
          </w:tcPr>
          <w:p w14:paraId="4C6115A0"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$1,000 </w:t>
            </w:r>
          </w:p>
        </w:tc>
        <w:tc>
          <w:tcPr>
            <w:tcW w:w="1559" w:type="dxa"/>
            <w:shd w:val="clear" w:color="auto" w:fill="FFFFFF" w:themeFill="background1"/>
          </w:tcPr>
          <w:p w14:paraId="43877B1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$2,000 </w:t>
            </w:r>
          </w:p>
        </w:tc>
      </w:tr>
      <w:tr w:rsidR="00575429" w:rsidRPr="00940E98" w14:paraId="580EB108" w14:textId="77777777">
        <w:trPr>
          <w:trHeight w:val="300"/>
        </w:trPr>
        <w:tc>
          <w:tcPr>
            <w:tcW w:w="1129" w:type="dxa"/>
            <w:shd w:val="clear" w:color="auto" w:fill="FFFFFF" w:themeFill="background1"/>
            <w:hideMark/>
          </w:tcPr>
          <w:p w14:paraId="4660A8D7"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12 </w:t>
            </w:r>
          </w:p>
        </w:tc>
        <w:tc>
          <w:tcPr>
            <w:tcW w:w="4116" w:type="dxa"/>
            <w:shd w:val="clear" w:color="auto" w:fill="FFFFFF" w:themeFill="background1"/>
            <w:hideMark/>
          </w:tcPr>
          <w:p w14:paraId="053A2D0E"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Attendance at hearing by a registered patent attorney or solicitor without counsel</w:t>
            </w:r>
          </w:p>
        </w:tc>
        <w:tc>
          <w:tcPr>
            <w:tcW w:w="1701" w:type="dxa"/>
            <w:shd w:val="clear" w:color="auto" w:fill="FFFFFF" w:themeFill="background1"/>
            <w:hideMark/>
          </w:tcPr>
          <w:p w14:paraId="23DF299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$260 an hour, but not more than $1,170 a day </w:t>
            </w:r>
          </w:p>
        </w:tc>
        <w:tc>
          <w:tcPr>
            <w:tcW w:w="1559" w:type="dxa"/>
            <w:shd w:val="clear" w:color="auto" w:fill="FFFFFF" w:themeFill="background1"/>
          </w:tcPr>
          <w:p w14:paraId="434C1000"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$390 an hour, but not more than $1,755 a day </w:t>
            </w:r>
          </w:p>
        </w:tc>
      </w:tr>
      <w:tr w:rsidR="00575429" w:rsidRPr="00940E98" w14:paraId="55242C11" w14:textId="77777777">
        <w:trPr>
          <w:trHeight w:val="300"/>
        </w:trPr>
        <w:tc>
          <w:tcPr>
            <w:tcW w:w="1129" w:type="dxa"/>
            <w:shd w:val="clear" w:color="auto" w:fill="FFFFFF" w:themeFill="background1"/>
            <w:hideMark/>
          </w:tcPr>
          <w:p w14:paraId="46AA625D"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lastRenderedPageBreak/>
              <w:t>13 </w:t>
            </w:r>
          </w:p>
        </w:tc>
        <w:tc>
          <w:tcPr>
            <w:tcW w:w="4116" w:type="dxa"/>
            <w:shd w:val="clear" w:color="auto" w:fill="FFFFFF" w:themeFill="background1"/>
            <w:hideMark/>
          </w:tcPr>
          <w:p w14:paraId="118C5730"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Attendance at hearing by a registered patent attorney or solicitor instructing counsel</w:t>
            </w:r>
          </w:p>
        </w:tc>
        <w:tc>
          <w:tcPr>
            <w:tcW w:w="1701" w:type="dxa"/>
            <w:shd w:val="clear" w:color="auto" w:fill="FFFFFF" w:themeFill="background1"/>
            <w:hideMark/>
          </w:tcPr>
          <w:p w14:paraId="4FF99844"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 an hour, but not more than $900 a day </w:t>
            </w:r>
          </w:p>
        </w:tc>
        <w:tc>
          <w:tcPr>
            <w:tcW w:w="1559" w:type="dxa"/>
            <w:shd w:val="clear" w:color="auto" w:fill="FFFFFF" w:themeFill="background1"/>
          </w:tcPr>
          <w:p w14:paraId="35533BA6"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$300 an hour, but not more than $1,350 a day </w:t>
            </w:r>
          </w:p>
        </w:tc>
      </w:tr>
      <w:tr w:rsidR="00575429" w:rsidRPr="00940E98" w14:paraId="21C7699D" w14:textId="77777777">
        <w:trPr>
          <w:trHeight w:val="300"/>
        </w:trPr>
        <w:tc>
          <w:tcPr>
            <w:tcW w:w="1129" w:type="dxa"/>
            <w:shd w:val="clear" w:color="auto" w:fill="FFFFFF" w:themeFill="background1"/>
            <w:hideMark/>
          </w:tcPr>
          <w:p w14:paraId="67BB5D11"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14 </w:t>
            </w:r>
          </w:p>
        </w:tc>
        <w:tc>
          <w:tcPr>
            <w:tcW w:w="4116" w:type="dxa"/>
            <w:shd w:val="clear" w:color="auto" w:fill="FFFFFF" w:themeFill="background1"/>
            <w:hideMark/>
          </w:tcPr>
          <w:p w14:paraId="19EE4DAA"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Counsel fees for attendance at hearing</w:t>
            </w:r>
          </w:p>
        </w:tc>
        <w:tc>
          <w:tcPr>
            <w:tcW w:w="1701" w:type="dxa"/>
            <w:shd w:val="clear" w:color="auto" w:fill="FFFFFF" w:themeFill="background1"/>
            <w:hideMark/>
          </w:tcPr>
          <w:p w14:paraId="6626293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$300 an hour, but not more than $1,350 a day </w:t>
            </w:r>
          </w:p>
        </w:tc>
        <w:tc>
          <w:tcPr>
            <w:tcW w:w="1559" w:type="dxa"/>
            <w:shd w:val="clear" w:color="auto" w:fill="FFFFFF" w:themeFill="background1"/>
          </w:tcPr>
          <w:p w14:paraId="6108984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$450 an hour, but not more than $2,025 a day </w:t>
            </w:r>
          </w:p>
        </w:tc>
      </w:tr>
    </w:tbl>
    <w:p w14:paraId="6450D335" w14:textId="21344F60" w:rsidR="00946B4E" w:rsidRDefault="00946B4E" w:rsidP="00472D7B">
      <w:pPr>
        <w:autoSpaceDE w:val="0"/>
        <w:autoSpaceDN w:val="0"/>
        <w:spacing w:before="240" w:after="0" w:line="252" w:lineRule="auto"/>
        <w:rPr>
          <w:rFonts w:eastAsia="Calibri" w:cstheme="minorHAnsi"/>
          <w:kern w:val="0"/>
          <w:lang w:val="en-US"/>
        </w:rPr>
      </w:pPr>
      <w:r>
        <w:rPr>
          <w:rFonts w:hAnsi="Times New Roman" w:cs="Times New Roman"/>
        </w:rPr>
        <w:t xml:space="preserve">The increases </w:t>
      </w:r>
      <w:proofErr w:type="gramStart"/>
      <w:r w:rsidR="00BB5A4F">
        <w:rPr>
          <w:rFonts w:hAnsi="Times New Roman" w:cs="Times New Roman"/>
        </w:rPr>
        <w:t>take into account</w:t>
      </w:r>
      <w:proofErr w:type="gramEnd"/>
      <w:r>
        <w:rPr>
          <w:rFonts w:hAnsi="Times New Roman" w:cs="Times New Roman"/>
        </w:rPr>
        <w:t xml:space="preserve"> the fact that the scale of costs has not been updated since 2007. </w:t>
      </w:r>
      <w:r w:rsidRPr="006344E3">
        <w:rPr>
          <w:rFonts w:hAnsi="Times New Roman" w:cs="Times New Roman"/>
        </w:rPr>
        <w:t xml:space="preserve">In light of increases in prices since 2007, the amounts in the scale no longer suffice to compensate a successful party or </w:t>
      </w:r>
      <w:r w:rsidR="00CC2A24" w:rsidRPr="006344E3">
        <w:rPr>
          <w:rFonts w:hAnsi="Times New Roman" w:cs="Times New Roman"/>
        </w:rPr>
        <w:t xml:space="preserve">to </w:t>
      </w:r>
      <w:r w:rsidR="00CC2A24">
        <w:rPr>
          <w:rFonts w:hAnsi="Times New Roman" w:cs="Times New Roman"/>
        </w:rPr>
        <w:t>discourage a party with a weaker case from</w:t>
      </w:r>
      <w:r w:rsidR="00CC2A24" w:rsidRPr="006344E3">
        <w:rPr>
          <w:rFonts w:hAnsi="Times New Roman" w:cs="Times New Roman"/>
        </w:rPr>
        <w:t xml:space="preserve"> </w:t>
      </w:r>
      <w:r w:rsidR="00CC2A24">
        <w:rPr>
          <w:rFonts w:hAnsi="Times New Roman" w:cs="Times New Roman"/>
        </w:rPr>
        <w:t>having it</w:t>
      </w:r>
      <w:r w:rsidR="00CC2A24" w:rsidRPr="006344E3">
        <w:rPr>
          <w:rFonts w:hAnsi="Times New Roman" w:cs="Times New Roman"/>
        </w:rPr>
        <w:t xml:space="preserve"> heard</w:t>
      </w:r>
      <w:r w:rsidR="00CC2A24">
        <w:rPr>
          <w:rFonts w:hAnsi="Times New Roman" w:cs="Times New Roman"/>
        </w:rPr>
        <w:t xml:space="preserve"> unnecessarily</w:t>
      </w:r>
      <w:r w:rsidRPr="006344E3">
        <w:rPr>
          <w:rFonts w:hAnsi="Times New Roman" w:cs="Times New Roman"/>
        </w:rPr>
        <w:t>.</w:t>
      </w:r>
      <w:r>
        <w:rPr>
          <w:rFonts w:hAnsi="Times New Roman" w:cs="Times New Roman"/>
        </w:rPr>
        <w:t xml:space="preserve"> </w:t>
      </w:r>
      <w:r w:rsidRPr="006344E3">
        <w:rPr>
          <w:rFonts w:hAnsi="Times New Roman" w:cs="Times New Roman"/>
          <w:spacing w:val="-2"/>
        </w:rPr>
        <w:t>The next review of the scales of costs, expenses and allowances would be no earlier than in 2027-28.</w:t>
      </w:r>
    </w:p>
    <w:p w14:paraId="6D7D5071" w14:textId="215BE9CD" w:rsidR="00575429" w:rsidRPr="00575429" w:rsidRDefault="00575429" w:rsidP="00472D7B">
      <w:pPr>
        <w:autoSpaceDE w:val="0"/>
        <w:autoSpaceDN w:val="0"/>
        <w:spacing w:before="240" w:after="0" w:line="252" w:lineRule="auto"/>
        <w:rPr>
          <w:rFonts w:eastAsia="Calibri" w:cstheme="minorHAnsi"/>
          <w:kern w:val="0"/>
          <w:lang w:val="en-US"/>
        </w:rPr>
      </w:pPr>
      <w:r w:rsidRPr="00575429">
        <w:rPr>
          <w:rFonts w:eastAsia="Calibri" w:cstheme="minorHAnsi"/>
          <w:kern w:val="0"/>
          <w:lang w:val="en-US"/>
        </w:rPr>
        <w:t>Item [</w:t>
      </w:r>
      <w:r w:rsidR="00E72D97">
        <w:rPr>
          <w:rFonts w:eastAsia="Calibri" w:cstheme="minorHAnsi"/>
          <w:kern w:val="0"/>
          <w:lang w:val="en-US"/>
        </w:rPr>
        <w:t>26</w:t>
      </w:r>
      <w:r w:rsidRPr="00575429">
        <w:rPr>
          <w:rFonts w:eastAsia="Calibri" w:cstheme="minorHAnsi"/>
          <w:kern w:val="0"/>
          <w:lang w:val="en-US"/>
        </w:rPr>
        <w:t xml:space="preserve">] </w:t>
      </w:r>
      <w:r w:rsidR="003A4D5F">
        <w:rPr>
          <w:rFonts w:eastAsia="Calibri" w:cstheme="minorHAnsi"/>
          <w:kern w:val="0"/>
          <w:lang w:val="en-US"/>
        </w:rPr>
        <w:t>amend</w:t>
      </w:r>
      <w:r w:rsidR="00940E98">
        <w:rPr>
          <w:rFonts w:eastAsia="Calibri" w:cstheme="minorHAnsi"/>
          <w:kern w:val="0"/>
          <w:lang w:val="en-US"/>
        </w:rPr>
        <w:t>s</w:t>
      </w:r>
      <w:r w:rsidRPr="00575429">
        <w:rPr>
          <w:rFonts w:eastAsia="Calibri" w:cstheme="minorHAnsi"/>
          <w:kern w:val="0"/>
          <w:lang w:val="en-US"/>
        </w:rPr>
        <w:t xml:space="preserve"> paragraph 2(b) </w:t>
      </w:r>
      <w:r w:rsidR="00E72D97">
        <w:rPr>
          <w:rFonts w:eastAsia="Calibri" w:cstheme="minorHAnsi"/>
          <w:kern w:val="0"/>
          <w:lang w:val="en-US"/>
        </w:rPr>
        <w:t xml:space="preserve">of Part 2 of </w:t>
      </w:r>
      <w:r w:rsidRPr="00575429">
        <w:rPr>
          <w:rFonts w:eastAsia="Calibri" w:cstheme="minorHAnsi"/>
          <w:kern w:val="0"/>
          <w:lang w:val="en-US"/>
        </w:rPr>
        <w:t xml:space="preserve">Schedule 8 to the Patents Regulations to increase the daily maximum for allowances for meals and accommodation to $1,050. A person is entitled to be paid a reasonable amount up to that daily maximum – if required to be absent overnight from </w:t>
      </w:r>
      <w:r w:rsidR="009D1F8C">
        <w:rPr>
          <w:rFonts w:eastAsia="Calibri" w:cstheme="minorHAnsi"/>
          <w:kern w:val="0"/>
          <w:lang w:val="en-US"/>
        </w:rPr>
        <w:t xml:space="preserve">their </w:t>
      </w:r>
      <w:r w:rsidRPr="00575429">
        <w:rPr>
          <w:rFonts w:eastAsia="Calibri" w:cstheme="minorHAnsi"/>
          <w:kern w:val="0"/>
          <w:lang w:val="en-US"/>
        </w:rPr>
        <w:t>usual place of residence to attend proceedings before the Commissioner or the Trans</w:t>
      </w:r>
      <w:r w:rsidRPr="00575429">
        <w:rPr>
          <w:rFonts w:eastAsia="Calibri" w:cstheme="minorHAnsi"/>
          <w:kern w:val="0"/>
          <w:lang w:val="en-US"/>
        </w:rPr>
        <w:noBreakHyphen/>
        <w:t>Tasman IP Attorneys Disciplinary Tribunal (Disciplinary Tribunal).</w:t>
      </w:r>
    </w:p>
    <w:p w14:paraId="7B83DEE1" w14:textId="5E251179"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Items [</w:t>
      </w:r>
      <w:r w:rsidR="00E72D97">
        <w:rPr>
          <w:rFonts w:eastAsia="Calibri" w:cstheme="minorHAnsi"/>
          <w:kern w:val="0"/>
          <w:lang w:val="en-US"/>
        </w:rPr>
        <w:t>27</w:t>
      </w:r>
      <w:r w:rsidRPr="00575429">
        <w:rPr>
          <w:rFonts w:eastAsia="Calibri" w:cstheme="minorHAnsi"/>
          <w:kern w:val="0"/>
          <w:lang w:val="en-US"/>
        </w:rPr>
        <w:t>] and [</w:t>
      </w:r>
      <w:r w:rsidR="00E72D97">
        <w:rPr>
          <w:rFonts w:eastAsia="Calibri" w:cstheme="minorHAnsi"/>
          <w:kern w:val="0"/>
          <w:lang w:val="en-US"/>
        </w:rPr>
        <w:t>28</w:t>
      </w:r>
      <w:r w:rsidRPr="00575429">
        <w:rPr>
          <w:rFonts w:eastAsia="Calibri" w:cstheme="minorHAnsi"/>
          <w:kern w:val="0"/>
          <w:lang w:val="en-US"/>
        </w:rPr>
        <w:t xml:space="preserve">] </w:t>
      </w:r>
      <w:r w:rsidR="003A4D5F">
        <w:rPr>
          <w:rFonts w:eastAsia="Calibri" w:cstheme="minorHAnsi"/>
          <w:kern w:val="0"/>
          <w:lang w:val="en-US"/>
        </w:rPr>
        <w:t>amend</w:t>
      </w:r>
      <w:r w:rsidRPr="00575429">
        <w:rPr>
          <w:rFonts w:eastAsia="Calibri" w:cstheme="minorHAnsi"/>
          <w:kern w:val="0"/>
          <w:lang w:val="en-US"/>
        </w:rPr>
        <w:t xml:space="preserve"> paragraphs 3(b) and 4(b) </w:t>
      </w:r>
      <w:r w:rsidR="00E76C16">
        <w:rPr>
          <w:rFonts w:hAnsi="Times New Roman" w:cs="Times New Roman"/>
        </w:rPr>
        <w:t>of</w:t>
      </w:r>
      <w:r w:rsidR="00E76C16" w:rsidRPr="006344E3">
        <w:rPr>
          <w:rFonts w:hAnsi="Times New Roman" w:cs="Times New Roman"/>
        </w:rPr>
        <w:t xml:space="preserve"> </w:t>
      </w:r>
      <w:r w:rsidR="00C625ED">
        <w:rPr>
          <w:rFonts w:hAnsi="Times New Roman" w:cs="Times New Roman"/>
        </w:rPr>
        <w:t xml:space="preserve">Part 2 of </w:t>
      </w:r>
      <w:r w:rsidR="00E76C16" w:rsidRPr="006344E3">
        <w:rPr>
          <w:rFonts w:hAnsi="Times New Roman" w:cs="Times New Roman"/>
        </w:rPr>
        <w:t xml:space="preserve">Schedule 8 to the Patents Regulations </w:t>
      </w:r>
      <w:r w:rsidRPr="00575429">
        <w:rPr>
          <w:rFonts w:eastAsia="Calibri" w:cstheme="minorHAnsi"/>
          <w:kern w:val="0"/>
          <w:lang w:val="en-US"/>
        </w:rPr>
        <w:t>to increase the minimum and maximum amounts for daily payment to a person summoned to appear before the Commissioner or the Disciplinary Tribunal as a witness:</w:t>
      </w:r>
    </w:p>
    <w:p w14:paraId="0D0A6A3B" w14:textId="710286BD" w:rsidR="00575429" w:rsidRPr="000B2C44"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0B2C44">
        <w:rPr>
          <w:rFonts w:eastAsia="Calibri" w:cstheme="minorHAnsi"/>
          <w:iCs/>
          <w:kern w:val="0"/>
          <w:lang w:val="en-US"/>
        </w:rPr>
        <w:t xml:space="preserve">For a person summoned as an expert witness – because of professional, scientific or other special skill or knowledge – the minimum daily payment </w:t>
      </w:r>
      <w:r w:rsidR="008D430D" w:rsidRPr="000B2C44">
        <w:rPr>
          <w:rFonts w:eastAsia="Calibri" w:cstheme="minorHAnsi"/>
          <w:iCs/>
          <w:kern w:val="0"/>
          <w:lang w:val="en-US"/>
        </w:rPr>
        <w:t>is</w:t>
      </w:r>
      <w:r w:rsidRPr="000B2C44">
        <w:rPr>
          <w:rFonts w:eastAsia="Calibri" w:cstheme="minorHAnsi"/>
          <w:iCs/>
          <w:kern w:val="0"/>
          <w:lang w:val="en-US"/>
        </w:rPr>
        <w:t xml:space="preserve"> </w:t>
      </w:r>
      <w:proofErr w:type="gramStart"/>
      <w:r w:rsidRPr="000B2C44">
        <w:rPr>
          <w:rFonts w:eastAsia="Calibri" w:cstheme="minorHAnsi"/>
          <w:iCs/>
          <w:kern w:val="0"/>
          <w:lang w:val="en-US"/>
        </w:rPr>
        <w:t>$210</w:t>
      </w:r>
      <w:proofErr w:type="gramEnd"/>
      <w:r w:rsidRPr="000B2C44">
        <w:rPr>
          <w:rFonts w:eastAsia="Calibri" w:cstheme="minorHAnsi"/>
          <w:iCs/>
          <w:kern w:val="0"/>
          <w:lang w:val="en-US"/>
        </w:rPr>
        <w:t xml:space="preserve"> and the maximum daily payment </w:t>
      </w:r>
      <w:r w:rsidR="008D430D" w:rsidRPr="000B2C44">
        <w:rPr>
          <w:rFonts w:eastAsia="Calibri" w:cstheme="minorHAnsi"/>
          <w:iCs/>
          <w:kern w:val="0"/>
          <w:lang w:val="en-US"/>
        </w:rPr>
        <w:t>is</w:t>
      </w:r>
      <w:r w:rsidRPr="000B2C44">
        <w:rPr>
          <w:rFonts w:eastAsia="Calibri" w:cstheme="minorHAnsi"/>
          <w:iCs/>
          <w:kern w:val="0"/>
          <w:lang w:val="en-US"/>
        </w:rPr>
        <w:t xml:space="preserve"> $1,050 (paragraph 3(b))</w:t>
      </w:r>
      <w:r w:rsidR="00C572B3">
        <w:rPr>
          <w:rFonts w:eastAsia="Calibri" w:cstheme="minorHAnsi"/>
          <w:iCs/>
          <w:kern w:val="0"/>
          <w:lang w:val="en-US"/>
        </w:rPr>
        <w:t>.</w:t>
      </w:r>
    </w:p>
    <w:p w14:paraId="639A2316" w14:textId="4F1C2B0B" w:rsidR="00575429" w:rsidRPr="000B2C44" w:rsidRDefault="00575429" w:rsidP="002054C5">
      <w:pPr>
        <w:numPr>
          <w:ilvl w:val="0"/>
          <w:numId w:val="2"/>
        </w:numPr>
        <w:autoSpaceDE w:val="0"/>
        <w:autoSpaceDN w:val="0"/>
        <w:spacing w:before="80" w:after="0" w:line="252" w:lineRule="auto"/>
        <w:ind w:left="720"/>
        <w:rPr>
          <w:rFonts w:eastAsia="Calibri" w:cstheme="minorHAnsi"/>
          <w:iCs/>
          <w:kern w:val="0"/>
          <w:lang w:val="en-US"/>
        </w:rPr>
      </w:pPr>
      <w:r w:rsidRPr="000B2C44">
        <w:rPr>
          <w:rFonts w:eastAsia="Calibri" w:cstheme="minorHAnsi"/>
          <w:iCs/>
          <w:kern w:val="0"/>
          <w:lang w:val="en-US"/>
        </w:rPr>
        <w:t xml:space="preserve">For a person summoned as an ordinary witness, the minimum daily payment </w:t>
      </w:r>
      <w:r w:rsidR="008D430D" w:rsidRPr="000B2C44">
        <w:rPr>
          <w:rFonts w:eastAsia="Calibri" w:cstheme="minorHAnsi"/>
          <w:iCs/>
          <w:kern w:val="0"/>
          <w:lang w:val="en-US"/>
        </w:rPr>
        <w:t>is</w:t>
      </w:r>
      <w:r w:rsidRPr="000B2C44">
        <w:rPr>
          <w:rFonts w:eastAsia="Calibri" w:cstheme="minorHAnsi"/>
          <w:iCs/>
          <w:kern w:val="0"/>
          <w:lang w:val="en-US"/>
        </w:rPr>
        <w:t xml:space="preserve"> </w:t>
      </w:r>
      <w:proofErr w:type="gramStart"/>
      <w:r w:rsidRPr="000B2C44">
        <w:rPr>
          <w:rFonts w:eastAsia="Calibri" w:cstheme="minorHAnsi"/>
          <w:iCs/>
          <w:kern w:val="0"/>
          <w:lang w:val="en-US"/>
        </w:rPr>
        <w:t>$120</w:t>
      </w:r>
      <w:proofErr w:type="gramEnd"/>
      <w:r w:rsidRPr="000B2C44">
        <w:rPr>
          <w:rFonts w:eastAsia="Calibri" w:cstheme="minorHAnsi"/>
          <w:iCs/>
          <w:kern w:val="0"/>
          <w:lang w:val="en-US"/>
        </w:rPr>
        <w:t xml:space="preserve"> and the maximum daily payment </w:t>
      </w:r>
      <w:r w:rsidR="008D430D" w:rsidRPr="000B2C44">
        <w:rPr>
          <w:rFonts w:eastAsia="Calibri" w:cstheme="minorHAnsi"/>
          <w:iCs/>
          <w:kern w:val="0"/>
          <w:lang w:val="en-US"/>
        </w:rPr>
        <w:t>is</w:t>
      </w:r>
      <w:r w:rsidRPr="000B2C44">
        <w:rPr>
          <w:rFonts w:eastAsia="Calibri" w:cstheme="minorHAnsi"/>
          <w:iCs/>
          <w:kern w:val="0"/>
          <w:lang w:val="en-US"/>
        </w:rPr>
        <w:t xml:space="preserve"> $195 (paragraph 4(b)).</w:t>
      </w:r>
    </w:p>
    <w:p w14:paraId="2B40F20A" w14:textId="06AC27E8" w:rsidR="00575429" w:rsidRPr="00575429" w:rsidRDefault="00575429" w:rsidP="00472D7B">
      <w:pPr>
        <w:autoSpaceDE w:val="0"/>
        <w:autoSpaceDN w:val="0"/>
        <w:spacing w:before="160" w:after="0" w:line="252" w:lineRule="auto"/>
        <w:rPr>
          <w:rFonts w:eastAsia="Calibri" w:cstheme="minorHAnsi"/>
          <w:kern w:val="0"/>
          <w:lang w:val="en-US"/>
        </w:rPr>
      </w:pPr>
      <w:bookmarkStart w:id="7" w:name="_Hlk169801509"/>
      <w:r w:rsidRPr="00575429">
        <w:rPr>
          <w:rFonts w:eastAsia="Calibri" w:cstheme="minorHAnsi"/>
          <w:kern w:val="0"/>
          <w:lang w:val="en-US"/>
        </w:rPr>
        <w:t>Those amounts apply to a person who is not remunerated in their occupation by wages, salary or fees: for example, the owner/operator of a wholesaling business. In contrast, a person who is remunerated by wages, salary or fees must be paid the amount foregone because of attending as a witness.</w:t>
      </w:r>
    </w:p>
    <w:p w14:paraId="75922473" w14:textId="77777777" w:rsidR="00575429" w:rsidRPr="00575429" w:rsidRDefault="00575429" w:rsidP="00472D7B">
      <w:pPr>
        <w:autoSpaceDE w:val="0"/>
        <w:autoSpaceDN w:val="0"/>
        <w:spacing w:before="160" w:after="0" w:line="252" w:lineRule="auto"/>
        <w:rPr>
          <w:rFonts w:eastAsia="Calibri" w:cstheme="minorHAnsi"/>
          <w:i/>
          <w:iCs/>
          <w:kern w:val="0"/>
        </w:rPr>
      </w:pPr>
      <w:r w:rsidRPr="00575429">
        <w:rPr>
          <w:rFonts w:eastAsia="Calibri" w:cstheme="minorHAnsi"/>
          <w:i/>
          <w:iCs/>
          <w:kern w:val="0"/>
        </w:rPr>
        <w:t>Application of amendments</w:t>
      </w:r>
    </w:p>
    <w:p w14:paraId="028D402D" w14:textId="158399C5"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lang w:val="en-US"/>
        </w:rPr>
        <w:t>As discussed above, item [</w:t>
      </w:r>
      <w:r w:rsidR="00C625ED">
        <w:rPr>
          <w:rFonts w:eastAsia="Calibri" w:cstheme="minorHAnsi"/>
          <w:kern w:val="0"/>
          <w:lang w:val="en-US"/>
        </w:rPr>
        <w:t>17</w:t>
      </w:r>
      <w:r w:rsidRPr="00575429">
        <w:rPr>
          <w:rFonts w:eastAsia="Calibri" w:cstheme="minorHAnsi"/>
          <w:kern w:val="0"/>
          <w:lang w:val="en-US"/>
        </w:rPr>
        <w:t xml:space="preserve">] </w:t>
      </w:r>
      <w:r w:rsidR="0088667C">
        <w:rPr>
          <w:rFonts w:eastAsia="Calibri" w:cstheme="minorHAnsi"/>
          <w:kern w:val="0"/>
        </w:rPr>
        <w:t>inserts</w:t>
      </w:r>
      <w:r w:rsidRPr="00575429">
        <w:rPr>
          <w:rFonts w:eastAsia="Calibri" w:cstheme="minorHAnsi"/>
          <w:kern w:val="0"/>
        </w:rPr>
        <w:t xml:space="preserve"> new Part 8 into Chapter 23 of the Patents Regulations for the application of several amendments the </w:t>
      </w:r>
      <w:r w:rsidR="002E4CE6">
        <w:rPr>
          <w:rFonts w:eastAsia="Calibri" w:cstheme="minorHAnsi"/>
          <w:kern w:val="0"/>
        </w:rPr>
        <w:t>Regulations</w:t>
      </w:r>
      <w:r w:rsidRPr="00575429">
        <w:rPr>
          <w:rFonts w:eastAsia="Calibri" w:cstheme="minorHAnsi"/>
          <w:kern w:val="0"/>
        </w:rPr>
        <w:t xml:space="preserve"> </w:t>
      </w:r>
      <w:r w:rsidR="006A3A73">
        <w:rPr>
          <w:rFonts w:eastAsia="Calibri" w:cstheme="minorHAnsi"/>
          <w:kern w:val="0"/>
        </w:rPr>
        <w:t>makes</w:t>
      </w:r>
      <w:r w:rsidRPr="00575429">
        <w:rPr>
          <w:rFonts w:eastAsia="Calibri" w:cstheme="minorHAnsi"/>
          <w:kern w:val="0"/>
        </w:rPr>
        <w:t xml:space="preserve"> to the Patents Regulations.</w:t>
      </w:r>
    </w:p>
    <w:p w14:paraId="7FE39D24" w14:textId="193859C0" w:rsidR="00575429" w:rsidRPr="00575429" w:rsidRDefault="009B6C0C" w:rsidP="00472D7B">
      <w:pPr>
        <w:autoSpaceDE w:val="0"/>
        <w:autoSpaceDN w:val="0"/>
        <w:spacing w:before="160" w:after="0" w:line="252" w:lineRule="auto"/>
        <w:rPr>
          <w:rFonts w:eastAsia="Calibri" w:cstheme="minorHAnsi"/>
          <w:kern w:val="0"/>
          <w:lang w:val="en-US"/>
        </w:rPr>
      </w:pPr>
      <w:r>
        <w:rPr>
          <w:rFonts w:eastAsia="Calibri" w:cstheme="minorHAnsi"/>
          <w:kern w:val="0"/>
          <w:lang w:val="en-US"/>
        </w:rPr>
        <w:t>New r</w:t>
      </w:r>
      <w:r w:rsidR="00575429" w:rsidRPr="00575429">
        <w:rPr>
          <w:rFonts w:eastAsia="Calibri" w:cstheme="minorHAnsi"/>
          <w:kern w:val="0"/>
          <w:lang w:val="en-US"/>
        </w:rPr>
        <w:t>egulation 23.55</w:t>
      </w:r>
      <w:r w:rsidR="00575429" w:rsidRPr="00575429" w:rsidDel="00B1363C">
        <w:rPr>
          <w:rFonts w:eastAsia="Calibri" w:cstheme="minorHAnsi"/>
          <w:kern w:val="0"/>
          <w:lang w:val="en-US"/>
        </w:rPr>
        <w:t xml:space="preserve"> </w:t>
      </w:r>
      <w:r w:rsidR="00254B98">
        <w:rPr>
          <w:rFonts w:eastAsia="Calibri" w:cstheme="minorHAnsi"/>
          <w:kern w:val="0"/>
          <w:lang w:val="en-US"/>
        </w:rPr>
        <w:t xml:space="preserve">has </w:t>
      </w:r>
      <w:r w:rsidR="00B1363C">
        <w:rPr>
          <w:rFonts w:eastAsia="Calibri" w:cstheme="minorHAnsi"/>
          <w:kern w:val="0"/>
          <w:lang w:val="en-US"/>
        </w:rPr>
        <w:t xml:space="preserve">the effect </w:t>
      </w:r>
      <w:r w:rsidR="00575429" w:rsidRPr="00575429">
        <w:rPr>
          <w:rFonts w:eastAsia="Calibri" w:cstheme="minorHAnsi"/>
          <w:kern w:val="0"/>
          <w:lang w:val="en-US"/>
        </w:rPr>
        <w:t xml:space="preserve">that the amendments to Schedule 8 </w:t>
      </w:r>
      <w:r w:rsidR="00575429" w:rsidRPr="00575429">
        <w:rPr>
          <w:rFonts w:eastAsia="Calibri" w:cstheme="minorHAnsi"/>
          <w:kern w:val="0"/>
        </w:rPr>
        <w:t xml:space="preserve">to the Patents Regulations </w:t>
      </w:r>
      <w:r w:rsidR="00575429" w:rsidRPr="00575429">
        <w:rPr>
          <w:rFonts w:eastAsia="Calibri" w:cstheme="minorHAnsi"/>
          <w:kern w:val="0"/>
          <w:lang w:val="en-US"/>
        </w:rPr>
        <w:t xml:space="preserve">apply to costs, expenses and allowances in respect of proceedings that begin on or after the commencement of the </w:t>
      </w:r>
      <w:r w:rsidR="002E4CE6">
        <w:rPr>
          <w:rFonts w:eastAsia="Calibri" w:cstheme="minorHAnsi"/>
          <w:kern w:val="0"/>
          <w:lang w:val="en-US"/>
        </w:rPr>
        <w:t>Regulations</w:t>
      </w:r>
      <w:r w:rsidR="00575429" w:rsidRPr="00575429">
        <w:rPr>
          <w:rFonts w:eastAsia="Calibri" w:cstheme="minorHAnsi"/>
          <w:kern w:val="0"/>
          <w:lang w:val="en-US"/>
        </w:rPr>
        <w:t xml:space="preserve">. That is, the existing scales of costs, expenses and allowances </w:t>
      </w:r>
      <w:r w:rsidR="003A4D5F">
        <w:rPr>
          <w:rFonts w:eastAsia="Calibri" w:cstheme="minorHAnsi"/>
          <w:kern w:val="0"/>
          <w:lang w:val="en-US"/>
        </w:rPr>
        <w:t>continue</w:t>
      </w:r>
      <w:r w:rsidR="00575429" w:rsidRPr="00575429">
        <w:rPr>
          <w:rFonts w:eastAsia="Calibri" w:cstheme="minorHAnsi"/>
          <w:kern w:val="0"/>
          <w:lang w:val="en-US"/>
        </w:rPr>
        <w:t xml:space="preserve"> to apply to a proceeding </w:t>
      </w:r>
      <w:r w:rsidR="00016836">
        <w:rPr>
          <w:rFonts w:eastAsia="Calibri" w:cstheme="minorHAnsi"/>
          <w:kern w:val="0"/>
          <w:lang w:val="en-US"/>
        </w:rPr>
        <w:t xml:space="preserve">before the Commissioner that is </w:t>
      </w:r>
      <w:r w:rsidR="00575429" w:rsidRPr="00575429">
        <w:rPr>
          <w:rFonts w:eastAsia="Calibri" w:cstheme="minorHAnsi"/>
          <w:kern w:val="0"/>
          <w:lang w:val="en-US"/>
        </w:rPr>
        <w:t>begun before commencement, even if steps in th</w:t>
      </w:r>
      <w:r w:rsidR="001A0A3A">
        <w:rPr>
          <w:rFonts w:eastAsia="Calibri" w:cstheme="minorHAnsi"/>
          <w:kern w:val="0"/>
          <w:lang w:val="en-US"/>
        </w:rPr>
        <w:t xml:space="preserve">at </w:t>
      </w:r>
      <w:r w:rsidR="00575429" w:rsidRPr="00575429">
        <w:rPr>
          <w:rFonts w:eastAsia="Calibri" w:cstheme="minorHAnsi"/>
          <w:kern w:val="0"/>
          <w:lang w:val="en-US"/>
        </w:rPr>
        <w:t xml:space="preserve">proceeding are taken after commencement. This is to ensure that the parties in such a transitional proceeding do not need to reconsider the relative benefit and risk of continuing with it. So too the existing scales of expenses and allowances payable in </w:t>
      </w:r>
      <w:r w:rsidR="009260C7">
        <w:rPr>
          <w:rFonts w:eastAsia="Calibri" w:cstheme="minorHAnsi"/>
          <w:kern w:val="0"/>
          <w:lang w:val="en-US"/>
        </w:rPr>
        <w:t xml:space="preserve">a </w:t>
      </w:r>
      <w:r w:rsidR="00575429" w:rsidRPr="00575429">
        <w:rPr>
          <w:rFonts w:eastAsia="Calibri" w:cstheme="minorHAnsi"/>
          <w:kern w:val="0"/>
          <w:lang w:val="en-US"/>
        </w:rPr>
        <w:t xml:space="preserve">proceeding before the Disciplinary Tribunal </w:t>
      </w:r>
      <w:r w:rsidR="003A4D5F">
        <w:rPr>
          <w:rFonts w:eastAsia="Calibri" w:cstheme="minorHAnsi"/>
          <w:kern w:val="0"/>
          <w:lang w:val="en-US"/>
        </w:rPr>
        <w:t>continue</w:t>
      </w:r>
      <w:r w:rsidR="00575429" w:rsidRPr="00575429">
        <w:rPr>
          <w:rFonts w:eastAsia="Calibri" w:cstheme="minorHAnsi"/>
          <w:kern w:val="0"/>
          <w:lang w:val="en-US"/>
        </w:rPr>
        <w:t xml:space="preserve"> to apply to such </w:t>
      </w:r>
      <w:r w:rsidR="001A0A3A">
        <w:rPr>
          <w:rFonts w:eastAsia="Calibri" w:cstheme="minorHAnsi"/>
          <w:kern w:val="0"/>
          <w:lang w:val="en-US"/>
        </w:rPr>
        <w:t xml:space="preserve">a </w:t>
      </w:r>
      <w:r w:rsidR="00575429" w:rsidRPr="00575429">
        <w:rPr>
          <w:rFonts w:eastAsia="Calibri" w:cstheme="minorHAnsi"/>
          <w:kern w:val="0"/>
          <w:lang w:val="en-US"/>
        </w:rPr>
        <w:t xml:space="preserve">proceeding begun before commencement of the </w:t>
      </w:r>
      <w:r w:rsidR="002E4CE6">
        <w:rPr>
          <w:rFonts w:eastAsia="Calibri" w:cstheme="minorHAnsi"/>
          <w:kern w:val="0"/>
          <w:lang w:val="en-US"/>
        </w:rPr>
        <w:t>Regulations</w:t>
      </w:r>
      <w:r w:rsidR="00575429" w:rsidRPr="00575429">
        <w:rPr>
          <w:rFonts w:eastAsia="Calibri" w:cstheme="minorHAnsi"/>
          <w:kern w:val="0"/>
          <w:lang w:val="en-US"/>
        </w:rPr>
        <w:t>, even if steps in the proceeding are taken after commencement.</w:t>
      </w:r>
    </w:p>
    <w:bookmarkEnd w:id="7"/>
    <w:p w14:paraId="5A106105" w14:textId="77777777" w:rsidR="00575429" w:rsidRPr="00575429" w:rsidRDefault="00575429" w:rsidP="00181F20">
      <w:pPr>
        <w:pageBreakBefore/>
        <w:autoSpaceDE w:val="0"/>
        <w:autoSpaceDN w:val="0"/>
        <w:spacing w:before="160" w:after="0" w:line="252" w:lineRule="auto"/>
        <w:rPr>
          <w:rFonts w:eastAsia="Calibri" w:cstheme="minorHAnsi"/>
          <w:i/>
          <w:kern w:val="0"/>
          <w:lang w:val="en-US"/>
        </w:rPr>
      </w:pPr>
      <w:r w:rsidRPr="00575429">
        <w:rPr>
          <w:rFonts w:eastAsia="Calibri" w:cstheme="minorHAnsi"/>
          <w:i/>
          <w:iCs/>
          <w:kern w:val="0"/>
          <w:lang w:val="en-US"/>
        </w:rPr>
        <w:lastRenderedPageBreak/>
        <w:t>Plant Breeder’s Rights Regulations 1994</w:t>
      </w:r>
    </w:p>
    <w:p w14:paraId="4166DFCC" w14:textId="53CD57D3" w:rsidR="00575429" w:rsidRPr="00575429" w:rsidRDefault="00575429" w:rsidP="00472D7B">
      <w:pPr>
        <w:autoSpaceDE w:val="0"/>
        <w:autoSpaceDN w:val="0"/>
        <w:spacing w:before="160" w:after="0" w:line="252" w:lineRule="auto"/>
        <w:rPr>
          <w:rFonts w:eastAsia="Calibri" w:cstheme="minorHAnsi"/>
          <w:b/>
          <w:kern w:val="0"/>
          <w:lang w:val="en-US"/>
        </w:rPr>
      </w:pPr>
      <w:r w:rsidRPr="00575429">
        <w:rPr>
          <w:rFonts w:eastAsia="Calibri" w:cstheme="minorHAnsi"/>
          <w:b/>
          <w:bCs/>
          <w:iCs/>
          <w:kern w:val="0"/>
          <w:lang w:val="en-US"/>
        </w:rPr>
        <w:t>Item [</w:t>
      </w:r>
      <w:r w:rsidR="00E446E0">
        <w:rPr>
          <w:rFonts w:eastAsia="Calibri" w:cstheme="minorHAnsi"/>
          <w:b/>
          <w:bCs/>
          <w:iCs/>
          <w:kern w:val="0"/>
          <w:lang w:val="en-US"/>
        </w:rPr>
        <w:t>29</w:t>
      </w:r>
      <w:r w:rsidRPr="00575429">
        <w:rPr>
          <w:rFonts w:eastAsia="Calibri" w:cstheme="minorHAnsi"/>
          <w:b/>
          <w:bCs/>
          <w:iCs/>
          <w:kern w:val="0"/>
          <w:lang w:val="en-US"/>
        </w:rPr>
        <w:t xml:space="preserve">] – </w:t>
      </w:r>
      <w:r w:rsidRPr="00575429">
        <w:rPr>
          <w:rFonts w:eastAsia="Calibri" w:cstheme="minorHAnsi"/>
          <w:b/>
          <w:bCs/>
          <w:kern w:val="0"/>
          <w:lang w:val="en-US"/>
        </w:rPr>
        <w:t>clause 1 of Schedule 1</w:t>
      </w:r>
    </w:p>
    <w:p w14:paraId="22A46CED" w14:textId="7366D5AC"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This item </w:t>
      </w:r>
      <w:r w:rsidR="003A4D5F">
        <w:rPr>
          <w:rFonts w:eastAsia="Calibri" w:cstheme="minorHAnsi"/>
          <w:kern w:val="0"/>
        </w:rPr>
        <w:t>amend</w:t>
      </w:r>
      <w:r w:rsidRPr="00575429">
        <w:rPr>
          <w:rFonts w:eastAsia="Calibri" w:cstheme="minorHAnsi"/>
          <w:kern w:val="0"/>
        </w:rPr>
        <w:t xml:space="preserve"> table items 1A, 1B, 4, 6, 9, 10, 15 in </w:t>
      </w:r>
      <w:r w:rsidR="00603186">
        <w:rPr>
          <w:rFonts w:eastAsia="Calibri" w:cstheme="minorHAnsi"/>
          <w:kern w:val="0"/>
        </w:rPr>
        <w:t>c</w:t>
      </w:r>
      <w:r w:rsidR="00603186" w:rsidRPr="00575429">
        <w:rPr>
          <w:rFonts w:eastAsia="Calibri" w:cstheme="minorHAnsi"/>
          <w:kern w:val="0"/>
        </w:rPr>
        <w:t xml:space="preserve">lause </w:t>
      </w:r>
      <w:r w:rsidRPr="00575429">
        <w:rPr>
          <w:rFonts w:eastAsia="Calibri" w:cstheme="minorHAnsi"/>
          <w:kern w:val="0"/>
        </w:rPr>
        <w:t>1 of Schedule 1 to the PBR Regulations to recover the cost of administering the PBR</w:t>
      </w:r>
      <w:r w:rsidR="00324386">
        <w:rPr>
          <w:rFonts w:eastAsia="Calibri" w:cstheme="minorHAnsi"/>
          <w:kern w:val="0"/>
        </w:rPr>
        <w:t xml:space="preserve"> </w:t>
      </w:r>
      <w:r w:rsidRPr="00575429">
        <w:rPr>
          <w:rFonts w:eastAsia="Calibri" w:cstheme="minorHAnsi"/>
          <w:kern w:val="0"/>
        </w:rPr>
        <w:t>system.</w:t>
      </w:r>
    </w:p>
    <w:p w14:paraId="18F39572" w14:textId="74AECDAA" w:rsidR="00575429" w:rsidRPr="00575429" w:rsidRDefault="00575429" w:rsidP="002054C5">
      <w:pPr>
        <w:numPr>
          <w:ilvl w:val="0"/>
          <w:numId w:val="2"/>
        </w:numPr>
        <w:autoSpaceDE w:val="0"/>
        <w:autoSpaceDN w:val="0"/>
        <w:spacing w:before="160" w:after="0" w:line="252" w:lineRule="auto"/>
        <w:ind w:left="720"/>
        <w:rPr>
          <w:rFonts w:eastAsia="Calibri" w:cstheme="minorHAnsi"/>
          <w:iCs/>
          <w:kern w:val="0"/>
          <w:lang w:val="en-US"/>
        </w:rPr>
      </w:pPr>
      <w:r w:rsidRPr="00575429">
        <w:rPr>
          <w:rFonts w:eastAsia="Calibri" w:cstheme="minorHAnsi"/>
          <w:iCs/>
          <w:kern w:val="0"/>
          <w:lang w:val="en-US"/>
        </w:rPr>
        <w:t xml:space="preserve">The amounts of the fees for </w:t>
      </w:r>
      <w:r w:rsidRPr="00575429">
        <w:rPr>
          <w:rFonts w:eastAsia="Calibri" w:cstheme="minorHAnsi"/>
          <w:kern w:val="0"/>
        </w:rPr>
        <w:t>designation of an approved person and for renewing designation would both be increased by $110</w:t>
      </w:r>
      <w:r w:rsidRPr="00575429">
        <w:rPr>
          <w:rFonts w:eastAsia="Calibri" w:cstheme="minorHAnsi"/>
          <w:iCs/>
          <w:kern w:val="0"/>
          <w:lang w:val="en-US"/>
        </w:rPr>
        <w:t xml:space="preserve"> (table items 1A and 1B). Designation as an approved person permits the person to verify details in applications for PBR and to supervise test growing of specific varieties.</w:t>
      </w:r>
    </w:p>
    <w:p w14:paraId="53B8E59E" w14:textId="7114EE50" w:rsidR="00575429" w:rsidRPr="00575429" w:rsidRDefault="00575429" w:rsidP="002054C5">
      <w:pPr>
        <w:numPr>
          <w:ilvl w:val="0"/>
          <w:numId w:val="2"/>
        </w:numPr>
        <w:autoSpaceDE w:val="0"/>
        <w:autoSpaceDN w:val="0"/>
        <w:spacing w:before="160" w:after="0" w:line="252" w:lineRule="auto"/>
        <w:ind w:left="720"/>
        <w:rPr>
          <w:rFonts w:eastAsia="Calibri" w:cstheme="minorHAnsi"/>
          <w:iCs/>
          <w:kern w:val="0"/>
          <w:lang w:val="en-US"/>
        </w:rPr>
      </w:pPr>
      <w:r w:rsidRPr="00575429">
        <w:rPr>
          <w:rFonts w:eastAsia="Calibri" w:cstheme="minorHAnsi"/>
          <w:iCs/>
          <w:kern w:val="0"/>
          <w:lang w:val="en-US"/>
        </w:rPr>
        <w:t xml:space="preserve">The amount of the fee for lodging an application for PBR </w:t>
      </w:r>
      <w:r w:rsidR="008D430D">
        <w:rPr>
          <w:rFonts w:eastAsia="Calibri" w:cstheme="minorHAnsi"/>
          <w:iCs/>
          <w:kern w:val="0"/>
          <w:lang w:val="en-US"/>
        </w:rPr>
        <w:t>is</w:t>
      </w:r>
      <w:r w:rsidRPr="00575429">
        <w:rPr>
          <w:rFonts w:eastAsia="Calibri" w:cstheme="minorHAnsi"/>
          <w:iCs/>
          <w:kern w:val="0"/>
          <w:lang w:val="en-US"/>
        </w:rPr>
        <w:t xml:space="preserve"> increased by $55 (</w:t>
      </w:r>
      <w:r w:rsidRPr="00575429">
        <w:rPr>
          <w:rFonts w:eastAsia="Calibri" w:cstheme="minorHAnsi"/>
          <w:kern w:val="0"/>
        </w:rPr>
        <w:t>table item 4).</w:t>
      </w:r>
    </w:p>
    <w:p w14:paraId="774DC8DE" w14:textId="606FAA84" w:rsidR="00575429" w:rsidRPr="00575429" w:rsidRDefault="00575429" w:rsidP="002054C5">
      <w:pPr>
        <w:numPr>
          <w:ilvl w:val="0"/>
          <w:numId w:val="2"/>
        </w:numPr>
        <w:autoSpaceDE w:val="0"/>
        <w:autoSpaceDN w:val="0"/>
        <w:spacing w:before="160" w:after="0" w:line="252" w:lineRule="auto"/>
        <w:ind w:left="720"/>
        <w:rPr>
          <w:rFonts w:eastAsia="Calibri" w:cstheme="minorHAnsi"/>
          <w:iCs/>
          <w:kern w:val="0"/>
          <w:lang w:val="en-US"/>
        </w:rPr>
      </w:pPr>
      <w:r w:rsidRPr="00575429">
        <w:rPr>
          <w:rFonts w:eastAsia="Calibri" w:cstheme="minorHAnsi"/>
          <w:iCs/>
          <w:kern w:val="0"/>
          <w:lang w:val="en-US"/>
        </w:rPr>
        <w:t xml:space="preserve">The amount of the fee payable on lodging the detailed description of the plant variety – commonly referred to as the ‘examination fee’ – </w:t>
      </w:r>
      <w:r w:rsidR="008D430D">
        <w:rPr>
          <w:rFonts w:eastAsia="Calibri" w:cstheme="minorHAnsi"/>
          <w:iCs/>
          <w:kern w:val="0"/>
          <w:lang w:val="en-US"/>
        </w:rPr>
        <w:t>is</w:t>
      </w:r>
      <w:r w:rsidRPr="00575429">
        <w:rPr>
          <w:rFonts w:eastAsia="Calibri" w:cstheme="minorHAnsi"/>
          <w:iCs/>
          <w:kern w:val="0"/>
          <w:lang w:val="en-US"/>
        </w:rPr>
        <w:t xml:space="preserve"> increased (table item 6). The amount payable would depend on how the plant variety is tested to check that it is distinct, uniform and stable:</w:t>
      </w:r>
    </w:p>
    <w:p w14:paraId="7E1FF11E" w14:textId="77777777" w:rsidR="00575429" w:rsidRPr="00575429" w:rsidRDefault="00575429" w:rsidP="00181F20">
      <w:pPr>
        <w:numPr>
          <w:ilvl w:val="0"/>
          <w:numId w:val="7"/>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 xml:space="preserve">The amount payable would increase from $920 to $1,400 for a plant variety tested at a </w:t>
      </w:r>
      <w:proofErr w:type="spellStart"/>
      <w:r w:rsidRPr="00575429">
        <w:rPr>
          <w:rFonts w:eastAsia="Calibri" w:cstheme="minorHAnsi"/>
          <w:iCs/>
          <w:kern w:val="0"/>
          <w:lang w:val="en-US"/>
        </w:rPr>
        <w:t>centralised</w:t>
      </w:r>
      <w:proofErr w:type="spellEnd"/>
      <w:r w:rsidRPr="00575429">
        <w:rPr>
          <w:rFonts w:eastAsia="Calibri" w:cstheme="minorHAnsi"/>
          <w:iCs/>
          <w:kern w:val="0"/>
          <w:lang w:val="en-US"/>
        </w:rPr>
        <w:t xml:space="preserve">-testing </w:t>
      </w:r>
      <w:proofErr w:type="spellStart"/>
      <w:r w:rsidRPr="00575429">
        <w:rPr>
          <w:rFonts w:eastAsia="Calibri" w:cstheme="minorHAnsi"/>
          <w:iCs/>
          <w:kern w:val="0"/>
          <w:lang w:val="en-US"/>
        </w:rPr>
        <w:t>centre</w:t>
      </w:r>
      <w:proofErr w:type="spellEnd"/>
      <w:r w:rsidRPr="00575429">
        <w:rPr>
          <w:rFonts w:eastAsia="Calibri" w:cstheme="minorHAnsi"/>
          <w:iCs/>
          <w:kern w:val="0"/>
          <w:lang w:val="en-US"/>
        </w:rPr>
        <w:t xml:space="preserve"> (CTC) in Australia.</w:t>
      </w:r>
    </w:p>
    <w:p w14:paraId="2A72117F" w14:textId="4B076122" w:rsidR="00575429" w:rsidRPr="00575429" w:rsidRDefault="00575429" w:rsidP="00181F20">
      <w:pPr>
        <w:numPr>
          <w:ilvl w:val="0"/>
          <w:numId w:val="7"/>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The amount payable would increase from $1,380 to $1,600, for a plant variety that is tested with another plant variety at the same time and site in Australia (outside a CTC).</w:t>
      </w:r>
    </w:p>
    <w:p w14:paraId="751609E1" w14:textId="77777777" w:rsidR="00575429" w:rsidRPr="00575429" w:rsidRDefault="00575429" w:rsidP="00181F20">
      <w:pPr>
        <w:numPr>
          <w:ilvl w:val="0"/>
          <w:numId w:val="7"/>
        </w:numPr>
        <w:autoSpaceDE w:val="0"/>
        <w:autoSpaceDN w:val="0"/>
        <w:spacing w:before="80" w:after="0" w:line="252" w:lineRule="auto"/>
        <w:ind w:left="1244"/>
        <w:rPr>
          <w:rFonts w:eastAsia="Calibri" w:cstheme="minorHAnsi"/>
          <w:iCs/>
          <w:kern w:val="0"/>
          <w:lang w:val="en-US"/>
        </w:rPr>
      </w:pPr>
      <w:r w:rsidRPr="00575429">
        <w:rPr>
          <w:rFonts w:eastAsia="Calibri" w:cstheme="minorHAnsi"/>
          <w:iCs/>
          <w:kern w:val="0"/>
          <w:lang w:val="en-US"/>
        </w:rPr>
        <w:t>The amount payable would increase from $1,610 to $2,000 for a plant variety tested in Australia otherwise, or which had a test-growing overseas.</w:t>
      </w:r>
    </w:p>
    <w:p w14:paraId="6985E749" w14:textId="752628BE" w:rsidR="00575429" w:rsidRPr="00575429" w:rsidRDefault="00575429" w:rsidP="002054C5">
      <w:pPr>
        <w:numPr>
          <w:ilvl w:val="0"/>
          <w:numId w:val="2"/>
        </w:numPr>
        <w:autoSpaceDE w:val="0"/>
        <w:autoSpaceDN w:val="0"/>
        <w:spacing w:before="160" w:after="0" w:line="252" w:lineRule="auto"/>
        <w:ind w:left="720"/>
        <w:rPr>
          <w:rFonts w:eastAsia="Calibri" w:cstheme="minorHAnsi"/>
          <w:iCs/>
          <w:kern w:val="0"/>
          <w:lang w:val="en-US"/>
        </w:rPr>
      </w:pPr>
      <w:r w:rsidRPr="00575429">
        <w:rPr>
          <w:rFonts w:eastAsia="Calibri" w:cstheme="minorHAnsi"/>
          <w:iCs/>
          <w:kern w:val="0"/>
          <w:lang w:val="en-US"/>
        </w:rPr>
        <w:t xml:space="preserve">The amount of the fee for lodging an application for a declaration of essential derivation </w:t>
      </w:r>
      <w:r w:rsidR="008D430D">
        <w:rPr>
          <w:rFonts w:eastAsia="Calibri" w:cstheme="minorHAnsi"/>
          <w:iCs/>
          <w:kern w:val="0"/>
          <w:lang w:val="en-US"/>
        </w:rPr>
        <w:t>is</w:t>
      </w:r>
      <w:r w:rsidRPr="00575429">
        <w:rPr>
          <w:rFonts w:eastAsia="Calibri" w:cstheme="minorHAnsi"/>
          <w:iCs/>
          <w:kern w:val="0"/>
          <w:lang w:val="en-US"/>
        </w:rPr>
        <w:t xml:space="preserve"> increased by $50 (</w:t>
      </w:r>
      <w:r w:rsidRPr="00575429">
        <w:rPr>
          <w:rFonts w:eastAsia="Calibri" w:cstheme="minorHAnsi"/>
          <w:kern w:val="0"/>
        </w:rPr>
        <w:t>table item 9).</w:t>
      </w:r>
    </w:p>
    <w:p w14:paraId="5106C0BF" w14:textId="550198DF" w:rsidR="00575429" w:rsidRPr="00575429" w:rsidRDefault="00575429" w:rsidP="002054C5">
      <w:pPr>
        <w:numPr>
          <w:ilvl w:val="0"/>
          <w:numId w:val="2"/>
        </w:numPr>
        <w:autoSpaceDE w:val="0"/>
        <w:autoSpaceDN w:val="0"/>
        <w:spacing w:before="160" w:after="0" w:line="252" w:lineRule="auto"/>
        <w:ind w:left="720"/>
        <w:rPr>
          <w:rFonts w:eastAsia="Calibri" w:cstheme="minorHAnsi"/>
          <w:iCs/>
          <w:kern w:val="0"/>
          <w:lang w:val="en-US"/>
        </w:rPr>
      </w:pPr>
      <w:r w:rsidRPr="00575429">
        <w:rPr>
          <w:rFonts w:eastAsia="Calibri" w:cstheme="minorHAnsi"/>
          <w:kern w:val="0"/>
        </w:rPr>
        <w:t xml:space="preserve">The amount of the fee for grant of a plant variety </w:t>
      </w:r>
      <w:r w:rsidR="008D430D">
        <w:rPr>
          <w:rFonts w:eastAsia="Calibri" w:cstheme="minorHAnsi"/>
          <w:kern w:val="0"/>
        </w:rPr>
        <w:t>is</w:t>
      </w:r>
      <w:r w:rsidRPr="00575429">
        <w:rPr>
          <w:rFonts w:eastAsia="Calibri" w:cstheme="minorHAnsi"/>
          <w:kern w:val="0"/>
        </w:rPr>
        <w:t xml:space="preserve"> increased by $155 (table item 10)</w:t>
      </w:r>
      <w:r w:rsidR="00BB2AF9">
        <w:rPr>
          <w:rFonts w:eastAsia="Calibri" w:cstheme="minorHAnsi"/>
          <w:kern w:val="0"/>
        </w:rPr>
        <w:t>.</w:t>
      </w:r>
    </w:p>
    <w:p w14:paraId="0B1D4871" w14:textId="2F94683F" w:rsidR="00575429" w:rsidRPr="00575429" w:rsidRDefault="00575429" w:rsidP="002054C5">
      <w:pPr>
        <w:numPr>
          <w:ilvl w:val="0"/>
          <w:numId w:val="2"/>
        </w:numPr>
        <w:autoSpaceDE w:val="0"/>
        <w:autoSpaceDN w:val="0"/>
        <w:spacing w:before="160" w:after="0" w:line="252" w:lineRule="auto"/>
        <w:ind w:left="720"/>
        <w:rPr>
          <w:rFonts w:eastAsia="Calibri" w:cstheme="minorHAnsi"/>
          <w:iCs/>
          <w:kern w:val="0"/>
          <w:lang w:val="en-US"/>
        </w:rPr>
      </w:pPr>
      <w:r w:rsidRPr="00575429">
        <w:rPr>
          <w:rFonts w:eastAsia="Calibri" w:cstheme="minorHAnsi"/>
          <w:kern w:val="0"/>
        </w:rPr>
        <w:t xml:space="preserve">The amount of the annual maintenance fee for PBR </w:t>
      </w:r>
      <w:r w:rsidR="008D430D">
        <w:rPr>
          <w:rFonts w:eastAsia="Calibri" w:cstheme="minorHAnsi"/>
          <w:kern w:val="0"/>
        </w:rPr>
        <w:t>is</w:t>
      </w:r>
      <w:r w:rsidRPr="00575429">
        <w:rPr>
          <w:rFonts w:eastAsia="Calibri" w:cstheme="minorHAnsi"/>
          <w:kern w:val="0"/>
        </w:rPr>
        <w:t xml:space="preserve"> increased by $200 (table item 15)</w:t>
      </w:r>
    </w:p>
    <w:p w14:paraId="7D70BD7C" w14:textId="3DFC9E1E" w:rsidR="00575429" w:rsidRPr="00575429" w:rsidRDefault="00575429" w:rsidP="00181F20">
      <w:pPr>
        <w:numPr>
          <w:ilvl w:val="1"/>
          <w:numId w:val="2"/>
        </w:numPr>
        <w:autoSpaceDE w:val="0"/>
        <w:autoSpaceDN w:val="0"/>
        <w:spacing w:before="80" w:after="0" w:line="252" w:lineRule="auto"/>
        <w:ind w:left="1440"/>
        <w:rPr>
          <w:rFonts w:eastAsia="Calibri" w:cstheme="minorHAnsi"/>
          <w:iCs/>
          <w:kern w:val="0"/>
          <w:lang w:val="en-US"/>
        </w:rPr>
      </w:pPr>
      <w:r w:rsidRPr="00575429">
        <w:rPr>
          <w:rFonts w:eastAsia="Calibri" w:cstheme="minorHAnsi"/>
          <w:kern w:val="0"/>
        </w:rPr>
        <w:t xml:space="preserve">The </w:t>
      </w:r>
      <w:r w:rsidRPr="00575429">
        <w:rPr>
          <w:rFonts w:eastAsia="Calibri" w:cstheme="minorHAnsi"/>
          <w:iCs/>
          <w:kern w:val="0"/>
          <w:lang w:val="en-US"/>
        </w:rPr>
        <w:t xml:space="preserve">amount payable </w:t>
      </w:r>
      <w:r w:rsidRPr="00575429">
        <w:rPr>
          <w:rFonts w:eastAsia="Calibri" w:cstheme="minorHAnsi"/>
          <w:kern w:val="0"/>
        </w:rPr>
        <w:t xml:space="preserve">by preferred means (that is, by credit card through </w:t>
      </w:r>
      <w:r w:rsidRPr="00575429">
        <w:rPr>
          <w:rFonts w:eastAsia="Calibri" w:cstheme="minorHAnsi"/>
          <w:kern w:val="0"/>
          <w:lang w:val="en-US"/>
        </w:rPr>
        <w:t xml:space="preserve">the IP Australia </w:t>
      </w:r>
      <w:r w:rsidR="0001684E">
        <w:rPr>
          <w:rFonts w:eastAsia="Calibri" w:cstheme="minorHAnsi"/>
          <w:kern w:val="0"/>
          <w:lang w:val="en-US"/>
        </w:rPr>
        <w:t>p</w:t>
      </w:r>
      <w:r w:rsidR="0001684E" w:rsidRPr="00575429">
        <w:rPr>
          <w:rFonts w:eastAsia="Calibri" w:cstheme="minorHAnsi"/>
          <w:kern w:val="0"/>
          <w:lang w:val="en-US"/>
        </w:rPr>
        <w:t>ortal</w:t>
      </w:r>
      <w:r w:rsidRPr="00575429">
        <w:rPr>
          <w:rFonts w:eastAsia="Calibri" w:cstheme="minorHAnsi"/>
          <w:kern w:val="0"/>
        </w:rPr>
        <w:t>) would increase from $200 to $400.</w:t>
      </w:r>
    </w:p>
    <w:p w14:paraId="69224537" w14:textId="77777777" w:rsidR="00575429" w:rsidRPr="00575429" w:rsidRDefault="00575429" w:rsidP="00181F20">
      <w:pPr>
        <w:numPr>
          <w:ilvl w:val="1"/>
          <w:numId w:val="2"/>
        </w:numPr>
        <w:autoSpaceDE w:val="0"/>
        <w:autoSpaceDN w:val="0"/>
        <w:spacing w:before="80" w:after="0" w:line="252" w:lineRule="auto"/>
        <w:ind w:left="1440"/>
        <w:rPr>
          <w:rFonts w:eastAsia="Calibri" w:cstheme="minorHAnsi"/>
          <w:iCs/>
          <w:kern w:val="0"/>
          <w:lang w:val="en-US"/>
        </w:rPr>
      </w:pPr>
      <w:r w:rsidRPr="00575429">
        <w:rPr>
          <w:rFonts w:eastAsia="Calibri" w:cstheme="minorHAnsi"/>
          <w:kern w:val="0"/>
        </w:rPr>
        <w:t>The amount payable by an approved but not preferred means (for example, by cash, cheque or money order) would increase from $450 to $650.</w:t>
      </w:r>
    </w:p>
    <w:p w14:paraId="62C642E5" w14:textId="77777777" w:rsidR="00575429" w:rsidRPr="00575429" w:rsidRDefault="00575429" w:rsidP="00472D7B">
      <w:pPr>
        <w:autoSpaceDE w:val="0"/>
        <w:autoSpaceDN w:val="0"/>
        <w:spacing w:before="160" w:after="0" w:line="252" w:lineRule="auto"/>
        <w:rPr>
          <w:rFonts w:eastAsia="Calibri" w:cstheme="minorHAnsi"/>
          <w:i/>
          <w:kern w:val="0"/>
          <w:lang w:val="en-US"/>
        </w:rPr>
      </w:pPr>
      <w:r w:rsidRPr="00575429">
        <w:rPr>
          <w:rFonts w:eastAsia="Calibri" w:cstheme="minorHAnsi"/>
          <w:i/>
          <w:kern w:val="0"/>
          <w:lang w:val="en-US"/>
        </w:rPr>
        <w:t>Trade Marks Regulations 1995</w:t>
      </w:r>
    </w:p>
    <w:p w14:paraId="30A84068" w14:textId="07AF1119" w:rsidR="00575429" w:rsidRPr="00575429" w:rsidRDefault="00575429" w:rsidP="00472D7B">
      <w:pPr>
        <w:autoSpaceDE w:val="0"/>
        <w:autoSpaceDN w:val="0"/>
        <w:spacing w:before="160" w:after="0" w:line="252" w:lineRule="auto"/>
        <w:rPr>
          <w:rFonts w:eastAsia="Calibri" w:cstheme="minorHAnsi"/>
          <w:b/>
          <w:kern w:val="0"/>
          <w:lang w:val="en-US"/>
        </w:rPr>
      </w:pPr>
      <w:r w:rsidRPr="00575429">
        <w:rPr>
          <w:rFonts w:eastAsia="Calibri" w:cstheme="minorHAnsi"/>
          <w:b/>
          <w:bCs/>
          <w:iCs/>
          <w:kern w:val="0"/>
          <w:lang w:val="en-US"/>
        </w:rPr>
        <w:t>Item [</w:t>
      </w:r>
      <w:r w:rsidR="00F93261">
        <w:rPr>
          <w:rFonts w:eastAsia="Calibri" w:cstheme="minorHAnsi"/>
          <w:b/>
          <w:bCs/>
          <w:iCs/>
          <w:kern w:val="0"/>
          <w:lang w:val="en-US"/>
        </w:rPr>
        <w:t>31</w:t>
      </w:r>
      <w:r w:rsidRPr="00575429">
        <w:rPr>
          <w:rFonts w:eastAsia="Calibri" w:cstheme="minorHAnsi"/>
          <w:b/>
          <w:bCs/>
          <w:iCs/>
          <w:kern w:val="0"/>
          <w:lang w:val="en-US"/>
        </w:rPr>
        <w:t xml:space="preserve">] – new Division 7 of Part 22, </w:t>
      </w:r>
      <w:proofErr w:type="spellStart"/>
      <w:r w:rsidR="00BD1589">
        <w:rPr>
          <w:rFonts w:eastAsia="Calibri" w:cstheme="minorHAnsi"/>
          <w:b/>
          <w:bCs/>
          <w:iCs/>
          <w:kern w:val="0"/>
          <w:lang w:val="en-US"/>
        </w:rPr>
        <w:t>sub</w:t>
      </w:r>
      <w:r w:rsidRPr="00575429">
        <w:rPr>
          <w:rFonts w:eastAsia="Calibri" w:cstheme="minorHAnsi"/>
          <w:b/>
          <w:bCs/>
          <w:iCs/>
          <w:kern w:val="0"/>
          <w:lang w:val="en-US"/>
        </w:rPr>
        <w:t>regulation</w:t>
      </w:r>
      <w:proofErr w:type="spellEnd"/>
      <w:r w:rsidRPr="00575429">
        <w:rPr>
          <w:rFonts w:eastAsia="Calibri" w:cstheme="minorHAnsi"/>
          <w:b/>
          <w:bCs/>
          <w:iCs/>
          <w:kern w:val="0"/>
          <w:lang w:val="en-US"/>
        </w:rPr>
        <w:t xml:space="preserve"> 22.30</w:t>
      </w:r>
      <w:r w:rsidR="00BD1589">
        <w:rPr>
          <w:rFonts w:eastAsia="Calibri" w:cstheme="minorHAnsi"/>
          <w:b/>
          <w:bCs/>
          <w:iCs/>
          <w:kern w:val="0"/>
          <w:lang w:val="en-US"/>
        </w:rPr>
        <w:t>(1)</w:t>
      </w:r>
    </w:p>
    <w:p w14:paraId="41BBB16B" w14:textId="4B202524"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This item </w:t>
      </w:r>
      <w:r w:rsidR="0088667C">
        <w:rPr>
          <w:rFonts w:eastAsia="Calibri" w:cstheme="minorHAnsi"/>
          <w:kern w:val="0"/>
        </w:rPr>
        <w:t>inserts</w:t>
      </w:r>
      <w:r w:rsidRPr="00575429">
        <w:rPr>
          <w:rFonts w:eastAsia="Calibri" w:cstheme="minorHAnsi"/>
          <w:kern w:val="0"/>
        </w:rPr>
        <w:t xml:space="preserve"> new Division 7 into Part 22 of the Trade Marks Regulations for the application of several amendments that the </w:t>
      </w:r>
      <w:r w:rsidR="002E4CE6">
        <w:rPr>
          <w:rFonts w:eastAsia="Calibri" w:cstheme="minorHAnsi"/>
          <w:kern w:val="0"/>
        </w:rPr>
        <w:t>Regulations</w:t>
      </w:r>
      <w:r w:rsidRPr="00575429">
        <w:rPr>
          <w:rFonts w:eastAsia="Calibri" w:cstheme="minorHAnsi"/>
          <w:kern w:val="0"/>
        </w:rPr>
        <w:t xml:space="preserve"> </w:t>
      </w:r>
      <w:r w:rsidR="006A3A73">
        <w:rPr>
          <w:rFonts w:eastAsia="Calibri" w:cstheme="minorHAnsi"/>
          <w:kern w:val="0"/>
        </w:rPr>
        <w:t>make</w:t>
      </w:r>
      <w:r w:rsidRPr="00575429">
        <w:rPr>
          <w:rFonts w:eastAsia="Calibri" w:cstheme="minorHAnsi"/>
          <w:kern w:val="0"/>
        </w:rPr>
        <w:t xml:space="preserve"> to the Trade Marks Regulations.</w:t>
      </w:r>
    </w:p>
    <w:p w14:paraId="58923554" w14:textId="765975A5" w:rsidR="00575429" w:rsidRPr="00575429" w:rsidRDefault="00886DDF" w:rsidP="00472D7B">
      <w:pPr>
        <w:autoSpaceDE w:val="0"/>
        <w:autoSpaceDN w:val="0"/>
        <w:spacing w:before="160" w:after="0" w:line="252" w:lineRule="auto"/>
        <w:rPr>
          <w:rFonts w:eastAsia="Calibri" w:cstheme="minorHAnsi"/>
          <w:kern w:val="0"/>
          <w:lang w:val="en-US"/>
        </w:rPr>
      </w:pPr>
      <w:r>
        <w:rPr>
          <w:rFonts w:eastAsia="Calibri" w:cstheme="minorHAnsi"/>
          <w:kern w:val="0"/>
        </w:rPr>
        <w:t>New</w:t>
      </w:r>
      <w:r w:rsidR="00575429" w:rsidRPr="00575429">
        <w:rPr>
          <w:rFonts w:eastAsia="Calibri" w:cstheme="minorHAnsi"/>
          <w:kern w:val="0"/>
        </w:rPr>
        <w:t xml:space="preserve"> </w:t>
      </w:r>
      <w:proofErr w:type="spellStart"/>
      <w:r w:rsidR="00575429" w:rsidRPr="00575429">
        <w:rPr>
          <w:rFonts w:eastAsia="Calibri" w:cstheme="minorHAnsi"/>
          <w:kern w:val="0"/>
        </w:rPr>
        <w:t>subregulation</w:t>
      </w:r>
      <w:proofErr w:type="spellEnd"/>
      <w:r w:rsidR="00575429" w:rsidRPr="00575429">
        <w:rPr>
          <w:rFonts w:eastAsia="Calibri" w:cstheme="minorHAnsi"/>
          <w:kern w:val="0"/>
        </w:rPr>
        <w:t xml:space="preserve"> 22.30(1) </w:t>
      </w:r>
      <w:r w:rsidR="00673CC0">
        <w:rPr>
          <w:rFonts w:eastAsia="Calibri" w:cstheme="minorHAnsi"/>
          <w:kern w:val="0"/>
        </w:rPr>
        <w:t>has the effect</w:t>
      </w:r>
      <w:r w:rsidR="00673CC0" w:rsidRPr="00575429">
        <w:rPr>
          <w:rFonts w:eastAsia="Calibri" w:cstheme="minorHAnsi"/>
          <w:kern w:val="0"/>
        </w:rPr>
        <w:t xml:space="preserve"> </w:t>
      </w:r>
      <w:r w:rsidR="00575429" w:rsidRPr="00575429">
        <w:rPr>
          <w:rFonts w:eastAsia="Calibri" w:cstheme="minorHAnsi"/>
          <w:kern w:val="0"/>
        </w:rPr>
        <w:t xml:space="preserve">that the amendments of Schedule 8 to the Trade Marks Regulations </w:t>
      </w:r>
      <w:r w:rsidR="00575429" w:rsidRPr="00575429">
        <w:rPr>
          <w:rFonts w:eastAsia="Calibri" w:cstheme="minorHAnsi"/>
          <w:kern w:val="0"/>
          <w:lang w:val="en-US"/>
        </w:rPr>
        <w:t xml:space="preserve">apply to costs, expenses and allowances in respect of proceedings </w:t>
      </w:r>
      <w:r w:rsidR="00575429" w:rsidRPr="00575429">
        <w:rPr>
          <w:rFonts w:eastAsia="Calibri" w:cstheme="minorHAnsi"/>
          <w:kern w:val="0"/>
        </w:rPr>
        <w:t xml:space="preserve">before the Registrar of Trade Marks (Registrar) </w:t>
      </w:r>
      <w:r w:rsidR="00575429" w:rsidRPr="00575429">
        <w:rPr>
          <w:rFonts w:eastAsia="Calibri" w:cstheme="minorHAnsi"/>
          <w:kern w:val="0"/>
          <w:lang w:val="en-US"/>
        </w:rPr>
        <w:t xml:space="preserve">that begin on or after the commencement of the </w:t>
      </w:r>
      <w:r w:rsidR="002E4CE6">
        <w:rPr>
          <w:rFonts w:eastAsia="Calibri" w:cstheme="minorHAnsi"/>
          <w:kern w:val="0"/>
          <w:lang w:val="en-US"/>
        </w:rPr>
        <w:t>Regulations</w:t>
      </w:r>
      <w:r w:rsidR="00575429" w:rsidRPr="00575429">
        <w:rPr>
          <w:rFonts w:eastAsia="Calibri" w:cstheme="minorHAnsi"/>
          <w:kern w:val="0"/>
        </w:rPr>
        <w:t xml:space="preserve">. </w:t>
      </w:r>
      <w:r w:rsidR="00575429" w:rsidRPr="00575429">
        <w:rPr>
          <w:rFonts w:eastAsia="Calibri" w:cstheme="minorHAnsi"/>
          <w:kern w:val="0"/>
          <w:lang w:val="en-US"/>
        </w:rPr>
        <w:t xml:space="preserve">That is, the existing scales of costs, expenses and allowances </w:t>
      </w:r>
      <w:r w:rsidR="003A4D5F">
        <w:rPr>
          <w:rFonts w:eastAsia="Calibri" w:cstheme="minorHAnsi"/>
          <w:kern w:val="0"/>
          <w:lang w:val="en-US"/>
        </w:rPr>
        <w:t>continue</w:t>
      </w:r>
      <w:r w:rsidR="00575429" w:rsidRPr="00575429">
        <w:rPr>
          <w:rFonts w:eastAsia="Calibri" w:cstheme="minorHAnsi"/>
          <w:kern w:val="0"/>
          <w:lang w:val="en-US"/>
        </w:rPr>
        <w:t xml:space="preserve"> to apply to a proceeding begun before commencement, even if steps in those proceedings are taken after commencement. This is to ensure that the parties in such a transitional proceeding do not need to reconsider the relative benefit and risk of continuing with it.</w:t>
      </w:r>
    </w:p>
    <w:p w14:paraId="7C14C116" w14:textId="53230692" w:rsidR="00575429" w:rsidRPr="00575429" w:rsidRDefault="00886DDF" w:rsidP="00472D7B">
      <w:pPr>
        <w:autoSpaceDE w:val="0"/>
        <w:autoSpaceDN w:val="0"/>
        <w:spacing w:before="160" w:after="0" w:line="252" w:lineRule="auto"/>
        <w:rPr>
          <w:rFonts w:eastAsia="Calibri" w:cstheme="minorHAnsi"/>
          <w:kern w:val="0"/>
        </w:rPr>
      </w:pPr>
      <w:r>
        <w:rPr>
          <w:rFonts w:eastAsia="Calibri" w:cstheme="minorHAnsi"/>
          <w:kern w:val="0"/>
          <w:lang w:val="en-US"/>
        </w:rPr>
        <w:t>New</w:t>
      </w:r>
      <w:r w:rsidR="00575429" w:rsidRPr="00575429">
        <w:rPr>
          <w:rFonts w:eastAsia="Calibri" w:cstheme="minorHAnsi"/>
          <w:kern w:val="0"/>
          <w:lang w:val="en-US"/>
        </w:rPr>
        <w:t xml:space="preserve"> </w:t>
      </w:r>
      <w:proofErr w:type="spellStart"/>
      <w:r w:rsidR="00575429" w:rsidRPr="00575429">
        <w:rPr>
          <w:rFonts w:eastAsia="Calibri" w:cstheme="minorHAnsi"/>
          <w:kern w:val="0"/>
          <w:lang w:val="en-US"/>
        </w:rPr>
        <w:t>subregulation</w:t>
      </w:r>
      <w:proofErr w:type="spellEnd"/>
      <w:r w:rsidR="00575429" w:rsidRPr="00575429">
        <w:rPr>
          <w:rFonts w:eastAsia="Calibri" w:cstheme="minorHAnsi"/>
          <w:kern w:val="0"/>
          <w:lang w:val="en-US"/>
        </w:rPr>
        <w:t xml:space="preserve"> 22.30(2) is discussed below.</w:t>
      </w:r>
    </w:p>
    <w:p w14:paraId="43406692" w14:textId="7C3C156E" w:rsidR="00575429" w:rsidRPr="00575429" w:rsidRDefault="00575429" w:rsidP="00181F20">
      <w:pPr>
        <w:pageBreakBefore/>
        <w:autoSpaceDE w:val="0"/>
        <w:autoSpaceDN w:val="0"/>
        <w:spacing w:before="160" w:after="0" w:line="252" w:lineRule="auto"/>
        <w:rPr>
          <w:rFonts w:eastAsia="Calibri" w:cstheme="minorHAnsi"/>
          <w:b/>
          <w:kern w:val="0"/>
          <w:lang w:val="en-US"/>
        </w:rPr>
      </w:pPr>
      <w:r w:rsidRPr="00575429">
        <w:rPr>
          <w:rFonts w:eastAsia="Calibri" w:cstheme="minorHAnsi"/>
          <w:b/>
          <w:bCs/>
          <w:iCs/>
          <w:kern w:val="0"/>
          <w:lang w:val="en-US"/>
        </w:rPr>
        <w:lastRenderedPageBreak/>
        <w:t>Items [</w:t>
      </w:r>
      <w:r w:rsidR="004E59E6">
        <w:rPr>
          <w:rFonts w:eastAsia="Calibri" w:cstheme="minorHAnsi"/>
          <w:b/>
          <w:bCs/>
          <w:iCs/>
          <w:kern w:val="0"/>
          <w:lang w:val="en-US"/>
        </w:rPr>
        <w:t>32</w:t>
      </w:r>
      <w:r w:rsidRPr="00575429">
        <w:rPr>
          <w:rFonts w:eastAsia="Calibri" w:cstheme="minorHAnsi"/>
          <w:b/>
          <w:bCs/>
          <w:iCs/>
          <w:kern w:val="0"/>
          <w:lang w:val="en-US"/>
        </w:rPr>
        <w:t>], [</w:t>
      </w:r>
      <w:r w:rsidR="004E59E6">
        <w:rPr>
          <w:rFonts w:eastAsia="Calibri" w:cstheme="minorHAnsi"/>
          <w:b/>
          <w:bCs/>
          <w:iCs/>
          <w:kern w:val="0"/>
          <w:lang w:val="en-US"/>
        </w:rPr>
        <w:t>35</w:t>
      </w:r>
      <w:r w:rsidRPr="00575429">
        <w:rPr>
          <w:rFonts w:eastAsia="Calibri" w:cstheme="minorHAnsi"/>
          <w:b/>
          <w:bCs/>
          <w:iCs/>
          <w:kern w:val="0"/>
          <w:lang w:val="en-US"/>
        </w:rPr>
        <w:t>], [</w:t>
      </w:r>
      <w:r w:rsidR="004E59E6">
        <w:rPr>
          <w:rFonts w:eastAsia="Calibri" w:cstheme="minorHAnsi"/>
          <w:b/>
          <w:bCs/>
          <w:iCs/>
          <w:kern w:val="0"/>
          <w:lang w:val="en-US"/>
        </w:rPr>
        <w:t>36</w:t>
      </w:r>
      <w:r w:rsidRPr="00575429">
        <w:rPr>
          <w:rFonts w:eastAsia="Calibri" w:cstheme="minorHAnsi"/>
          <w:b/>
          <w:bCs/>
          <w:iCs/>
          <w:kern w:val="0"/>
          <w:lang w:val="en-US"/>
        </w:rPr>
        <w:t>] and [</w:t>
      </w:r>
      <w:r w:rsidR="004E59E6">
        <w:rPr>
          <w:rFonts w:eastAsia="Calibri" w:cstheme="minorHAnsi"/>
          <w:b/>
          <w:bCs/>
          <w:iCs/>
          <w:kern w:val="0"/>
          <w:lang w:val="en-US"/>
        </w:rPr>
        <w:t>37</w:t>
      </w:r>
      <w:r w:rsidRPr="00575429">
        <w:rPr>
          <w:rFonts w:eastAsia="Calibri" w:cstheme="minorHAnsi"/>
          <w:b/>
          <w:bCs/>
          <w:iCs/>
          <w:kern w:val="0"/>
          <w:lang w:val="en-US"/>
        </w:rPr>
        <w:t xml:space="preserve">] – </w:t>
      </w:r>
      <w:r w:rsidRPr="00575429">
        <w:rPr>
          <w:rFonts w:eastAsia="Calibri" w:cstheme="minorHAnsi"/>
          <w:b/>
          <w:bCs/>
          <w:kern w:val="0"/>
          <w:lang w:val="en-US"/>
        </w:rPr>
        <w:t>Schedule 8; increases to amounts</w:t>
      </w:r>
    </w:p>
    <w:p w14:paraId="18ABD95D" w14:textId="2D7A49F4"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rPr>
        <w:t xml:space="preserve">These items </w:t>
      </w:r>
      <w:r w:rsidR="003A4D5F">
        <w:rPr>
          <w:rFonts w:eastAsia="Calibri" w:cstheme="minorHAnsi"/>
          <w:kern w:val="0"/>
        </w:rPr>
        <w:t>amend</w:t>
      </w:r>
      <w:r w:rsidRPr="00575429">
        <w:rPr>
          <w:rFonts w:eastAsia="Calibri" w:cstheme="minorHAnsi"/>
          <w:kern w:val="0"/>
        </w:rPr>
        <w:t xml:space="preserve"> Schedule 8 to the Trade Marks Regulations to increase the amounts of costs, expenses and allowances that </w:t>
      </w:r>
      <w:r w:rsidRPr="00575429">
        <w:rPr>
          <w:rFonts w:eastAsia="Calibri" w:cstheme="minorHAnsi"/>
          <w:kern w:val="0"/>
          <w:lang w:val="en-US"/>
        </w:rPr>
        <w:t xml:space="preserve">may be awarded to a successful party in a proceeding before the Registrar. This is a proceeding between 2 or more parties with differing interests in the outcome. For example, in an opposition to registration of a trade marks, </w:t>
      </w:r>
      <w:r w:rsidRPr="00575429">
        <w:rPr>
          <w:rFonts w:eastAsia="Calibri" w:cstheme="minorHAnsi"/>
          <w:iCs/>
          <w:kern w:val="0"/>
          <w:lang w:val="en-US"/>
        </w:rPr>
        <w:t>under section 52 of the Trade Marks Act</w:t>
      </w:r>
      <w:r w:rsidRPr="00575429">
        <w:rPr>
          <w:rFonts w:eastAsia="Calibri" w:cstheme="minorHAnsi"/>
          <w:kern w:val="0"/>
          <w:lang w:val="en-US"/>
        </w:rPr>
        <w:t>, the parties are the applicant for registration and the opponent to registration.</w:t>
      </w:r>
    </w:p>
    <w:p w14:paraId="797FDC9A" w14:textId="280F166C"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Item [</w:t>
      </w:r>
      <w:r w:rsidR="004E59E6">
        <w:rPr>
          <w:rFonts w:eastAsia="Calibri" w:cstheme="minorHAnsi"/>
          <w:kern w:val="0"/>
          <w:lang w:val="en-US"/>
        </w:rPr>
        <w:t>32</w:t>
      </w:r>
      <w:r w:rsidRPr="00575429">
        <w:rPr>
          <w:rFonts w:eastAsia="Calibri" w:cstheme="minorHAnsi"/>
          <w:kern w:val="0"/>
          <w:lang w:val="en-US"/>
        </w:rPr>
        <w:t xml:space="preserve">] </w:t>
      </w:r>
      <w:r w:rsidR="003A4D5F">
        <w:rPr>
          <w:rFonts w:eastAsia="Calibri" w:cstheme="minorHAnsi"/>
          <w:kern w:val="0"/>
          <w:lang w:val="en-US"/>
        </w:rPr>
        <w:t>amend</w:t>
      </w:r>
      <w:r w:rsidR="00745679">
        <w:rPr>
          <w:rFonts w:eastAsia="Calibri" w:cstheme="minorHAnsi"/>
          <w:kern w:val="0"/>
          <w:lang w:val="en-US"/>
        </w:rPr>
        <w:t>s</w:t>
      </w:r>
      <w:r w:rsidRPr="00575429">
        <w:rPr>
          <w:rFonts w:eastAsia="Calibri" w:cstheme="minorHAnsi"/>
          <w:kern w:val="0"/>
          <w:lang w:val="en-US"/>
        </w:rPr>
        <w:t xml:space="preserve"> the amounts of the scale of costs in the table in Part 1 of Schedule 8 to the Trade Marks Regulations as set out in Table 3.</w:t>
      </w:r>
    </w:p>
    <w:p w14:paraId="393EEA92" w14:textId="77777777" w:rsidR="00575429" w:rsidRPr="00575429" w:rsidRDefault="00575429" w:rsidP="00472D7B">
      <w:pPr>
        <w:autoSpaceDE w:val="0"/>
        <w:autoSpaceDN w:val="0"/>
        <w:spacing w:before="160" w:line="252" w:lineRule="auto"/>
        <w:ind w:left="1276"/>
        <w:rPr>
          <w:rFonts w:eastAsia="Calibri" w:cstheme="minorHAnsi"/>
          <w:kern w:val="0"/>
          <w:u w:val="single"/>
        </w:rPr>
      </w:pPr>
      <w:r w:rsidRPr="00575429">
        <w:rPr>
          <w:rFonts w:eastAsia="Calibri" w:cstheme="minorHAnsi"/>
          <w:kern w:val="0"/>
          <w:u w:val="single"/>
        </w:rPr>
        <w:t>Table 3</w:t>
      </w:r>
      <w:r w:rsidRPr="00575429">
        <w:rPr>
          <w:rFonts w:eastAsia="Calibri" w:cstheme="minorHAnsi"/>
          <w:kern w:val="0"/>
          <w:u w:val="single"/>
        </w:rPr>
        <w:tab/>
        <w:t xml:space="preserve">Scale of costs for </w:t>
      </w:r>
      <w:proofErr w:type="spellStart"/>
      <w:r w:rsidRPr="00575429">
        <w:rPr>
          <w:rFonts w:eastAsia="Calibri" w:cstheme="minorHAnsi"/>
          <w:kern w:val="0"/>
          <w:u w:val="single"/>
        </w:rPr>
        <w:t>trade marks</w:t>
      </w:r>
      <w:proofErr w:type="spellEnd"/>
      <w:r w:rsidRPr="00575429">
        <w:rPr>
          <w:rFonts w:eastAsia="Calibri" w:cstheme="minorHAnsi"/>
          <w:kern w:val="0"/>
          <w:u w:val="single"/>
        </w:rPr>
        <w:t xml:space="preserve"> proceedings</w:t>
      </w:r>
    </w:p>
    <w:tbl>
      <w:tblPr>
        <w:tblW w:w="8715" w:type="dxa"/>
        <w:tblInd w:w="1271" w:type="dxa"/>
        <w:tblBorders>
          <w:top w:val="single" w:sz="4" w:space="0" w:color="auto"/>
          <w:left w:val="single" w:sz="4" w:space="0" w:color="auto"/>
          <w:bottom w:val="single" w:sz="4" w:space="0" w:color="auto"/>
          <w:right w:val="single" w:sz="4" w:space="0" w:color="auto"/>
          <w:insideH w:val="dashed" w:sz="4" w:space="0" w:color="auto"/>
          <w:insideV w:val="dashSmallGap"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66"/>
        <w:gridCol w:w="3969"/>
        <w:gridCol w:w="1979"/>
        <w:gridCol w:w="1701"/>
      </w:tblGrid>
      <w:tr w:rsidR="00575429" w:rsidRPr="00F205DD" w14:paraId="7434927F" w14:textId="77777777">
        <w:trPr>
          <w:trHeight w:val="300"/>
          <w:tblHeader/>
        </w:trPr>
        <w:tc>
          <w:tcPr>
            <w:tcW w:w="1066" w:type="dxa"/>
            <w:shd w:val="clear" w:color="auto" w:fill="FFFFFF" w:themeFill="background1"/>
            <w:hideMark/>
          </w:tcPr>
          <w:p w14:paraId="3DB9A8CC" w14:textId="77777777" w:rsidR="00575429" w:rsidRPr="00472D7B" w:rsidRDefault="00575429" w:rsidP="00472D7B">
            <w:pPr>
              <w:autoSpaceDE w:val="0"/>
              <w:autoSpaceDN w:val="0"/>
              <w:spacing w:after="0" w:line="252" w:lineRule="auto"/>
              <w:rPr>
                <w:rFonts w:eastAsia="Calibri" w:cstheme="minorHAnsi"/>
                <w:b/>
                <w:bCs/>
                <w:kern w:val="0"/>
                <w:sz w:val="20"/>
                <w:szCs w:val="20"/>
              </w:rPr>
            </w:pPr>
            <w:r w:rsidRPr="00472D7B">
              <w:rPr>
                <w:rFonts w:eastAsia="Calibri" w:cstheme="minorHAnsi"/>
                <w:b/>
                <w:bCs/>
                <w:kern w:val="0"/>
                <w:sz w:val="20"/>
                <w:szCs w:val="20"/>
              </w:rPr>
              <w:t>Table item</w:t>
            </w:r>
          </w:p>
        </w:tc>
        <w:tc>
          <w:tcPr>
            <w:tcW w:w="3969" w:type="dxa"/>
            <w:shd w:val="clear" w:color="auto" w:fill="FFFFFF" w:themeFill="background1"/>
            <w:hideMark/>
          </w:tcPr>
          <w:p w14:paraId="168D7813" w14:textId="77777777" w:rsidR="00575429" w:rsidRPr="00472D7B" w:rsidRDefault="00575429" w:rsidP="00472D7B">
            <w:pPr>
              <w:autoSpaceDE w:val="0"/>
              <w:autoSpaceDN w:val="0"/>
              <w:spacing w:after="0" w:line="252" w:lineRule="auto"/>
              <w:rPr>
                <w:rFonts w:eastAsia="Calibri" w:cstheme="minorHAnsi"/>
                <w:b/>
                <w:bCs/>
                <w:kern w:val="0"/>
                <w:sz w:val="20"/>
                <w:szCs w:val="20"/>
              </w:rPr>
            </w:pPr>
            <w:r w:rsidRPr="00472D7B">
              <w:rPr>
                <w:rFonts w:eastAsia="Calibri" w:cstheme="minorHAnsi"/>
                <w:b/>
                <w:bCs/>
                <w:kern w:val="0"/>
                <w:sz w:val="20"/>
                <w:szCs w:val="20"/>
              </w:rPr>
              <w:t>Matter</w:t>
            </w:r>
          </w:p>
        </w:tc>
        <w:tc>
          <w:tcPr>
            <w:tcW w:w="1979" w:type="dxa"/>
            <w:shd w:val="clear" w:color="auto" w:fill="FFFFFF" w:themeFill="background1"/>
            <w:hideMark/>
          </w:tcPr>
          <w:p w14:paraId="4C441BD6" w14:textId="607858D7" w:rsidR="00575429" w:rsidRPr="00472D7B" w:rsidRDefault="00D72822" w:rsidP="00472D7B">
            <w:pPr>
              <w:autoSpaceDE w:val="0"/>
              <w:autoSpaceDN w:val="0"/>
              <w:spacing w:after="0" w:line="252" w:lineRule="auto"/>
              <w:rPr>
                <w:rFonts w:eastAsia="Calibri" w:cstheme="minorHAnsi"/>
                <w:b/>
                <w:bCs/>
                <w:kern w:val="0"/>
                <w:sz w:val="20"/>
                <w:szCs w:val="20"/>
              </w:rPr>
            </w:pPr>
            <w:r>
              <w:rPr>
                <w:rFonts w:eastAsia="Calibri" w:cstheme="minorHAnsi"/>
                <w:b/>
                <w:bCs/>
                <w:kern w:val="0"/>
                <w:sz w:val="20"/>
                <w:szCs w:val="20"/>
              </w:rPr>
              <w:t>Existing</w:t>
            </w:r>
            <w:r w:rsidR="00575429" w:rsidRPr="00472D7B">
              <w:rPr>
                <w:rFonts w:eastAsia="Calibri" w:cstheme="minorHAnsi"/>
                <w:b/>
                <w:bCs/>
                <w:kern w:val="0"/>
                <w:sz w:val="20"/>
                <w:szCs w:val="20"/>
              </w:rPr>
              <w:t xml:space="preserve"> amount</w:t>
            </w:r>
          </w:p>
        </w:tc>
        <w:tc>
          <w:tcPr>
            <w:tcW w:w="1701" w:type="dxa"/>
            <w:shd w:val="clear" w:color="auto" w:fill="FFFFFF" w:themeFill="background1"/>
          </w:tcPr>
          <w:p w14:paraId="6BECBDA7" w14:textId="7C200D0E" w:rsidR="00575429" w:rsidRPr="00472D7B" w:rsidRDefault="00575429" w:rsidP="00472D7B">
            <w:pPr>
              <w:autoSpaceDE w:val="0"/>
              <w:autoSpaceDN w:val="0"/>
              <w:spacing w:after="0" w:line="252" w:lineRule="auto"/>
              <w:rPr>
                <w:rFonts w:eastAsia="Calibri" w:cstheme="minorHAnsi"/>
                <w:b/>
                <w:bCs/>
                <w:kern w:val="0"/>
                <w:sz w:val="20"/>
                <w:szCs w:val="20"/>
              </w:rPr>
            </w:pPr>
            <w:r w:rsidRPr="00472D7B">
              <w:rPr>
                <w:rFonts w:eastAsia="Calibri" w:cstheme="minorHAnsi"/>
                <w:b/>
                <w:bCs/>
                <w:kern w:val="0"/>
                <w:sz w:val="20"/>
                <w:szCs w:val="20"/>
              </w:rPr>
              <w:t xml:space="preserve">New </w:t>
            </w:r>
            <w:r w:rsidR="00D72822">
              <w:rPr>
                <w:rFonts w:eastAsia="Calibri" w:cstheme="minorHAnsi"/>
                <w:b/>
                <w:bCs/>
                <w:kern w:val="0"/>
                <w:sz w:val="20"/>
                <w:szCs w:val="20"/>
              </w:rPr>
              <w:t>a</w:t>
            </w:r>
            <w:r w:rsidRPr="00472D7B">
              <w:rPr>
                <w:rFonts w:eastAsia="Calibri" w:cstheme="minorHAnsi"/>
                <w:b/>
                <w:bCs/>
                <w:kern w:val="0"/>
                <w:sz w:val="20"/>
                <w:szCs w:val="20"/>
              </w:rPr>
              <w:t>mount</w:t>
            </w:r>
          </w:p>
        </w:tc>
      </w:tr>
      <w:tr w:rsidR="00575429" w:rsidRPr="00F205DD" w14:paraId="79333EB3" w14:textId="77777777">
        <w:trPr>
          <w:trHeight w:val="300"/>
        </w:trPr>
        <w:tc>
          <w:tcPr>
            <w:tcW w:w="1066" w:type="dxa"/>
            <w:shd w:val="clear" w:color="auto" w:fill="FFFFFF" w:themeFill="background1"/>
            <w:hideMark/>
          </w:tcPr>
          <w:p w14:paraId="1FE50275"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1 </w:t>
            </w:r>
          </w:p>
        </w:tc>
        <w:tc>
          <w:tcPr>
            <w:tcW w:w="3969" w:type="dxa"/>
            <w:shd w:val="clear" w:color="auto" w:fill="FFFFFF" w:themeFill="background1"/>
            <w:hideMark/>
          </w:tcPr>
          <w:p w14:paraId="2F9C00C5"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Notice of intention to oppose</w:t>
            </w:r>
          </w:p>
        </w:tc>
        <w:tc>
          <w:tcPr>
            <w:tcW w:w="1979" w:type="dxa"/>
            <w:shd w:val="clear" w:color="auto" w:fill="FFFFFF" w:themeFill="background1"/>
            <w:hideMark/>
          </w:tcPr>
          <w:p w14:paraId="0ED65D3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 </w:t>
            </w:r>
          </w:p>
        </w:tc>
        <w:tc>
          <w:tcPr>
            <w:tcW w:w="1701" w:type="dxa"/>
            <w:shd w:val="clear" w:color="auto" w:fill="FFFFFF" w:themeFill="background1"/>
          </w:tcPr>
          <w:p w14:paraId="50C38E34"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$350 </w:t>
            </w:r>
          </w:p>
        </w:tc>
      </w:tr>
      <w:tr w:rsidR="00575429" w:rsidRPr="00F205DD" w14:paraId="177CD25F" w14:textId="77777777">
        <w:trPr>
          <w:trHeight w:val="300"/>
        </w:trPr>
        <w:tc>
          <w:tcPr>
            <w:tcW w:w="1066" w:type="dxa"/>
            <w:shd w:val="clear" w:color="auto" w:fill="FFFFFF" w:themeFill="background1"/>
          </w:tcPr>
          <w:p w14:paraId="3DF942C0"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w:t>
            </w:r>
          </w:p>
        </w:tc>
        <w:tc>
          <w:tcPr>
            <w:tcW w:w="3969" w:type="dxa"/>
            <w:shd w:val="clear" w:color="auto" w:fill="FFFFFF" w:themeFill="background1"/>
          </w:tcPr>
          <w:p w14:paraId="1E82A4F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Statement of grounds and particulars</w:t>
            </w:r>
          </w:p>
        </w:tc>
        <w:tc>
          <w:tcPr>
            <w:tcW w:w="1979" w:type="dxa"/>
            <w:shd w:val="clear" w:color="auto" w:fill="FFFFFF" w:themeFill="background1"/>
          </w:tcPr>
          <w:p w14:paraId="14FFF3DF"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w:t>
            </w:r>
          </w:p>
        </w:tc>
        <w:tc>
          <w:tcPr>
            <w:tcW w:w="1701" w:type="dxa"/>
            <w:shd w:val="clear" w:color="auto" w:fill="FFFFFF" w:themeFill="background1"/>
          </w:tcPr>
          <w:p w14:paraId="3A3B7ED0"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$750</w:t>
            </w:r>
          </w:p>
        </w:tc>
      </w:tr>
      <w:tr w:rsidR="00575429" w:rsidRPr="00F205DD" w14:paraId="756C35A8" w14:textId="77777777">
        <w:trPr>
          <w:trHeight w:val="300"/>
        </w:trPr>
        <w:tc>
          <w:tcPr>
            <w:tcW w:w="1066" w:type="dxa"/>
            <w:shd w:val="clear" w:color="auto" w:fill="FFFFFF" w:themeFill="background1"/>
            <w:hideMark/>
          </w:tcPr>
          <w:p w14:paraId="2A9F5410"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3 </w:t>
            </w:r>
          </w:p>
        </w:tc>
        <w:tc>
          <w:tcPr>
            <w:tcW w:w="3969" w:type="dxa"/>
            <w:shd w:val="clear" w:color="auto" w:fill="FFFFFF" w:themeFill="background1"/>
            <w:hideMark/>
          </w:tcPr>
          <w:p w14:paraId="3D68C394"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Receiving and perusing statement of grounds and particulars</w:t>
            </w:r>
          </w:p>
        </w:tc>
        <w:tc>
          <w:tcPr>
            <w:tcW w:w="1979" w:type="dxa"/>
            <w:shd w:val="clear" w:color="auto" w:fill="FFFFFF" w:themeFill="background1"/>
            <w:hideMark/>
          </w:tcPr>
          <w:p w14:paraId="7723CF77"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$130</w:t>
            </w:r>
          </w:p>
        </w:tc>
        <w:tc>
          <w:tcPr>
            <w:tcW w:w="1701" w:type="dxa"/>
            <w:shd w:val="clear" w:color="auto" w:fill="FFFFFF" w:themeFill="background1"/>
          </w:tcPr>
          <w:p w14:paraId="33DB0C1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$500</w:t>
            </w:r>
          </w:p>
        </w:tc>
      </w:tr>
      <w:tr w:rsidR="00575429" w:rsidRPr="00F205DD" w14:paraId="1E4D7310" w14:textId="77777777">
        <w:trPr>
          <w:trHeight w:val="300"/>
        </w:trPr>
        <w:tc>
          <w:tcPr>
            <w:tcW w:w="1066" w:type="dxa"/>
            <w:shd w:val="clear" w:color="auto" w:fill="FFFFFF" w:themeFill="background1"/>
          </w:tcPr>
          <w:p w14:paraId="535363A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4</w:t>
            </w:r>
          </w:p>
        </w:tc>
        <w:tc>
          <w:tcPr>
            <w:tcW w:w="3969" w:type="dxa"/>
            <w:shd w:val="clear" w:color="auto" w:fill="FFFFFF" w:themeFill="background1"/>
          </w:tcPr>
          <w:p w14:paraId="412377D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Notice of intention to defend</w:t>
            </w:r>
          </w:p>
        </w:tc>
        <w:tc>
          <w:tcPr>
            <w:tcW w:w="1979" w:type="dxa"/>
            <w:shd w:val="clear" w:color="auto" w:fill="FFFFFF" w:themeFill="background1"/>
          </w:tcPr>
          <w:p w14:paraId="08B9D325"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w:t>
            </w:r>
          </w:p>
        </w:tc>
        <w:tc>
          <w:tcPr>
            <w:tcW w:w="1701" w:type="dxa"/>
            <w:shd w:val="clear" w:color="auto" w:fill="FFFFFF" w:themeFill="background1"/>
          </w:tcPr>
          <w:p w14:paraId="5BE5E9F6"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$350</w:t>
            </w:r>
          </w:p>
        </w:tc>
      </w:tr>
      <w:tr w:rsidR="00575429" w:rsidRPr="00F205DD" w14:paraId="1D8FD469" w14:textId="77777777">
        <w:trPr>
          <w:trHeight w:val="300"/>
        </w:trPr>
        <w:tc>
          <w:tcPr>
            <w:tcW w:w="1066" w:type="dxa"/>
            <w:shd w:val="clear" w:color="auto" w:fill="FFFFFF" w:themeFill="background1"/>
          </w:tcPr>
          <w:p w14:paraId="1C43E77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5 </w:t>
            </w:r>
          </w:p>
        </w:tc>
        <w:tc>
          <w:tcPr>
            <w:tcW w:w="3969" w:type="dxa"/>
            <w:shd w:val="clear" w:color="auto" w:fill="FFFFFF" w:themeFill="background1"/>
          </w:tcPr>
          <w:p w14:paraId="74143C23"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 xml:space="preserve">Notice of opposition filed under </w:t>
            </w:r>
            <w:proofErr w:type="spellStart"/>
            <w:r w:rsidRPr="00472D7B">
              <w:rPr>
                <w:rFonts w:eastAsia="Calibri" w:cstheme="minorHAnsi"/>
                <w:kern w:val="0"/>
                <w:sz w:val="20"/>
                <w:szCs w:val="20"/>
              </w:rPr>
              <w:t>subregulation</w:t>
            </w:r>
            <w:proofErr w:type="spellEnd"/>
            <w:r w:rsidRPr="00472D7B">
              <w:rPr>
                <w:rFonts w:eastAsia="Calibri" w:cstheme="minorHAnsi"/>
                <w:kern w:val="0"/>
                <w:sz w:val="20"/>
                <w:szCs w:val="20"/>
              </w:rPr>
              <w:t xml:space="preserve"> 6.6(1), 8.4(1) or 21.20B(1) </w:t>
            </w:r>
          </w:p>
        </w:tc>
        <w:tc>
          <w:tcPr>
            <w:tcW w:w="1979" w:type="dxa"/>
            <w:shd w:val="clear" w:color="auto" w:fill="FFFFFF" w:themeFill="background1"/>
          </w:tcPr>
          <w:p w14:paraId="4753FE7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 </w:t>
            </w:r>
          </w:p>
        </w:tc>
        <w:tc>
          <w:tcPr>
            <w:tcW w:w="1701" w:type="dxa"/>
            <w:shd w:val="clear" w:color="auto" w:fill="FFFFFF" w:themeFill="background1"/>
          </w:tcPr>
          <w:p w14:paraId="7C568095"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$750 </w:t>
            </w:r>
          </w:p>
        </w:tc>
      </w:tr>
      <w:tr w:rsidR="00575429" w:rsidRPr="00F205DD" w14:paraId="0A9E369B" w14:textId="77777777">
        <w:trPr>
          <w:trHeight w:val="300"/>
        </w:trPr>
        <w:tc>
          <w:tcPr>
            <w:tcW w:w="1066" w:type="dxa"/>
            <w:shd w:val="clear" w:color="auto" w:fill="FFFFFF" w:themeFill="background1"/>
          </w:tcPr>
          <w:p w14:paraId="31D4726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6</w:t>
            </w:r>
          </w:p>
        </w:tc>
        <w:tc>
          <w:tcPr>
            <w:tcW w:w="3969" w:type="dxa"/>
            <w:shd w:val="clear" w:color="auto" w:fill="FFFFFF" w:themeFill="background1"/>
          </w:tcPr>
          <w:p w14:paraId="3E366E81"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 xml:space="preserve">Receiving and perusing a notice of opposition filed under </w:t>
            </w:r>
            <w:proofErr w:type="spellStart"/>
            <w:r w:rsidRPr="00472D7B">
              <w:rPr>
                <w:rFonts w:eastAsia="Calibri" w:cstheme="minorHAnsi"/>
                <w:kern w:val="0"/>
                <w:sz w:val="20"/>
                <w:szCs w:val="20"/>
              </w:rPr>
              <w:t>subregulation</w:t>
            </w:r>
            <w:proofErr w:type="spellEnd"/>
            <w:r w:rsidRPr="00472D7B">
              <w:rPr>
                <w:rFonts w:eastAsia="Calibri" w:cstheme="minorHAnsi"/>
                <w:kern w:val="0"/>
                <w:sz w:val="20"/>
                <w:szCs w:val="20"/>
              </w:rPr>
              <w:t xml:space="preserve"> 6.6(1), 8.4(1) or 21.20B(1)</w:t>
            </w:r>
          </w:p>
        </w:tc>
        <w:tc>
          <w:tcPr>
            <w:tcW w:w="1979" w:type="dxa"/>
            <w:shd w:val="clear" w:color="auto" w:fill="FFFFFF" w:themeFill="background1"/>
          </w:tcPr>
          <w:p w14:paraId="493A1976"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$130 </w:t>
            </w:r>
          </w:p>
        </w:tc>
        <w:tc>
          <w:tcPr>
            <w:tcW w:w="1701" w:type="dxa"/>
            <w:shd w:val="clear" w:color="auto" w:fill="FFFFFF" w:themeFill="background1"/>
          </w:tcPr>
          <w:p w14:paraId="54EFB276"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$500 </w:t>
            </w:r>
          </w:p>
        </w:tc>
      </w:tr>
      <w:tr w:rsidR="00575429" w:rsidRPr="00F205DD" w14:paraId="6E1FD398" w14:textId="77777777">
        <w:trPr>
          <w:trHeight w:val="300"/>
        </w:trPr>
        <w:tc>
          <w:tcPr>
            <w:tcW w:w="1066" w:type="dxa"/>
            <w:shd w:val="clear" w:color="auto" w:fill="FFFFFF" w:themeFill="background1"/>
          </w:tcPr>
          <w:p w14:paraId="72A194B3"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7</w:t>
            </w:r>
          </w:p>
        </w:tc>
        <w:tc>
          <w:tcPr>
            <w:tcW w:w="3969" w:type="dxa"/>
            <w:shd w:val="clear" w:color="auto" w:fill="FFFFFF" w:themeFill="background1"/>
          </w:tcPr>
          <w:p w14:paraId="3BD2804D"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Evidence in support</w:t>
            </w:r>
          </w:p>
        </w:tc>
        <w:tc>
          <w:tcPr>
            <w:tcW w:w="1979" w:type="dxa"/>
            <w:shd w:val="clear" w:color="auto" w:fill="FFFFFF" w:themeFill="background1"/>
          </w:tcPr>
          <w:p w14:paraId="1590EBC2"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$700</w:t>
            </w:r>
          </w:p>
        </w:tc>
        <w:tc>
          <w:tcPr>
            <w:tcW w:w="1701" w:type="dxa"/>
            <w:shd w:val="clear" w:color="auto" w:fill="FFFFFF" w:themeFill="background1"/>
          </w:tcPr>
          <w:p w14:paraId="73B12686"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$2,000</w:t>
            </w:r>
          </w:p>
        </w:tc>
      </w:tr>
      <w:tr w:rsidR="00575429" w:rsidRPr="00F205DD" w14:paraId="2B8ACEE4" w14:textId="77777777">
        <w:trPr>
          <w:trHeight w:val="300"/>
        </w:trPr>
        <w:tc>
          <w:tcPr>
            <w:tcW w:w="1066" w:type="dxa"/>
            <w:shd w:val="clear" w:color="auto" w:fill="FFFFFF" w:themeFill="background1"/>
          </w:tcPr>
          <w:p w14:paraId="5605643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8</w:t>
            </w:r>
          </w:p>
        </w:tc>
        <w:tc>
          <w:tcPr>
            <w:tcW w:w="3969" w:type="dxa"/>
            <w:shd w:val="clear" w:color="auto" w:fill="FFFFFF" w:themeFill="background1"/>
          </w:tcPr>
          <w:p w14:paraId="27E30892"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Receiving and perusing evidence in support </w:t>
            </w:r>
          </w:p>
        </w:tc>
        <w:tc>
          <w:tcPr>
            <w:tcW w:w="1979" w:type="dxa"/>
            <w:shd w:val="clear" w:color="auto" w:fill="FFFFFF" w:themeFill="background1"/>
          </w:tcPr>
          <w:p w14:paraId="4BCC9A69"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$300</w:t>
            </w:r>
          </w:p>
        </w:tc>
        <w:tc>
          <w:tcPr>
            <w:tcW w:w="1701" w:type="dxa"/>
            <w:shd w:val="clear" w:color="auto" w:fill="FFFFFF" w:themeFill="background1"/>
          </w:tcPr>
          <w:p w14:paraId="034C9207"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$1,000</w:t>
            </w:r>
          </w:p>
        </w:tc>
      </w:tr>
      <w:tr w:rsidR="00575429" w:rsidRPr="00F205DD" w14:paraId="0415D2CE" w14:textId="77777777">
        <w:trPr>
          <w:trHeight w:val="300"/>
        </w:trPr>
        <w:tc>
          <w:tcPr>
            <w:tcW w:w="1066" w:type="dxa"/>
            <w:shd w:val="clear" w:color="auto" w:fill="FFFFFF" w:themeFill="background1"/>
          </w:tcPr>
          <w:p w14:paraId="072FCB17"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9</w:t>
            </w:r>
          </w:p>
        </w:tc>
        <w:tc>
          <w:tcPr>
            <w:tcW w:w="3969" w:type="dxa"/>
            <w:shd w:val="clear" w:color="auto" w:fill="FFFFFF" w:themeFill="background1"/>
          </w:tcPr>
          <w:p w14:paraId="4F8ED5B2"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Evidence in answer </w:t>
            </w:r>
          </w:p>
        </w:tc>
        <w:tc>
          <w:tcPr>
            <w:tcW w:w="1979" w:type="dxa"/>
            <w:shd w:val="clear" w:color="auto" w:fill="FFFFFF" w:themeFill="background1"/>
          </w:tcPr>
          <w:p w14:paraId="35A8EB2D"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$700</w:t>
            </w:r>
          </w:p>
        </w:tc>
        <w:tc>
          <w:tcPr>
            <w:tcW w:w="1701" w:type="dxa"/>
            <w:shd w:val="clear" w:color="auto" w:fill="FFFFFF" w:themeFill="background1"/>
          </w:tcPr>
          <w:p w14:paraId="2C52EB33"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$2,000</w:t>
            </w:r>
          </w:p>
        </w:tc>
      </w:tr>
      <w:tr w:rsidR="00575429" w:rsidRPr="00F205DD" w14:paraId="27BEF318" w14:textId="77777777">
        <w:trPr>
          <w:trHeight w:val="300"/>
        </w:trPr>
        <w:tc>
          <w:tcPr>
            <w:tcW w:w="1066" w:type="dxa"/>
            <w:shd w:val="clear" w:color="auto" w:fill="FFFFFF" w:themeFill="background1"/>
          </w:tcPr>
          <w:p w14:paraId="5444E30E"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10</w:t>
            </w:r>
          </w:p>
        </w:tc>
        <w:tc>
          <w:tcPr>
            <w:tcW w:w="3969" w:type="dxa"/>
            <w:shd w:val="clear" w:color="auto" w:fill="FFFFFF" w:themeFill="background1"/>
          </w:tcPr>
          <w:p w14:paraId="71C76F18"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Receiving and perusing evidence in answer </w:t>
            </w:r>
          </w:p>
        </w:tc>
        <w:tc>
          <w:tcPr>
            <w:tcW w:w="1979" w:type="dxa"/>
            <w:shd w:val="clear" w:color="auto" w:fill="FFFFFF" w:themeFill="background1"/>
          </w:tcPr>
          <w:p w14:paraId="0AFDD1D9"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$210</w:t>
            </w:r>
          </w:p>
        </w:tc>
        <w:tc>
          <w:tcPr>
            <w:tcW w:w="1701" w:type="dxa"/>
            <w:shd w:val="clear" w:color="auto" w:fill="FFFFFF" w:themeFill="background1"/>
          </w:tcPr>
          <w:p w14:paraId="46683B7D"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$1,000</w:t>
            </w:r>
          </w:p>
        </w:tc>
      </w:tr>
      <w:tr w:rsidR="00575429" w:rsidRPr="00F205DD" w14:paraId="50580AAE" w14:textId="77777777">
        <w:trPr>
          <w:trHeight w:val="300"/>
        </w:trPr>
        <w:tc>
          <w:tcPr>
            <w:tcW w:w="1066" w:type="dxa"/>
            <w:shd w:val="clear" w:color="auto" w:fill="FFFFFF" w:themeFill="background1"/>
          </w:tcPr>
          <w:p w14:paraId="63809A89"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11</w:t>
            </w:r>
          </w:p>
        </w:tc>
        <w:tc>
          <w:tcPr>
            <w:tcW w:w="3969" w:type="dxa"/>
            <w:shd w:val="clear" w:color="auto" w:fill="FFFFFF" w:themeFill="background1"/>
          </w:tcPr>
          <w:p w14:paraId="57B56A29"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Evidence in reply </w:t>
            </w:r>
          </w:p>
        </w:tc>
        <w:tc>
          <w:tcPr>
            <w:tcW w:w="1979" w:type="dxa"/>
            <w:shd w:val="clear" w:color="auto" w:fill="FFFFFF" w:themeFill="background1"/>
          </w:tcPr>
          <w:p w14:paraId="65B6926A"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$350</w:t>
            </w:r>
          </w:p>
        </w:tc>
        <w:tc>
          <w:tcPr>
            <w:tcW w:w="1701" w:type="dxa"/>
            <w:shd w:val="clear" w:color="auto" w:fill="FFFFFF" w:themeFill="background1"/>
          </w:tcPr>
          <w:p w14:paraId="281BDF73"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$1,000</w:t>
            </w:r>
          </w:p>
        </w:tc>
      </w:tr>
      <w:tr w:rsidR="00575429" w:rsidRPr="00F205DD" w14:paraId="30162AAE" w14:textId="77777777">
        <w:trPr>
          <w:trHeight w:val="300"/>
        </w:trPr>
        <w:tc>
          <w:tcPr>
            <w:tcW w:w="1066" w:type="dxa"/>
            <w:shd w:val="clear" w:color="auto" w:fill="FFFFFF" w:themeFill="background1"/>
          </w:tcPr>
          <w:p w14:paraId="5C9E8F20"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12</w:t>
            </w:r>
          </w:p>
        </w:tc>
        <w:tc>
          <w:tcPr>
            <w:tcW w:w="3969" w:type="dxa"/>
            <w:shd w:val="clear" w:color="auto" w:fill="FFFFFF" w:themeFill="background1"/>
          </w:tcPr>
          <w:p w14:paraId="49E59744"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Receiving and perusing evidence in reply </w:t>
            </w:r>
          </w:p>
        </w:tc>
        <w:tc>
          <w:tcPr>
            <w:tcW w:w="1979" w:type="dxa"/>
            <w:shd w:val="clear" w:color="auto" w:fill="FFFFFF" w:themeFill="background1"/>
          </w:tcPr>
          <w:p w14:paraId="07E8E0FA"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$130</w:t>
            </w:r>
          </w:p>
        </w:tc>
        <w:tc>
          <w:tcPr>
            <w:tcW w:w="1701" w:type="dxa"/>
            <w:shd w:val="clear" w:color="auto" w:fill="FFFFFF" w:themeFill="background1"/>
          </w:tcPr>
          <w:p w14:paraId="0C0B7F0F"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$500</w:t>
            </w:r>
          </w:p>
        </w:tc>
      </w:tr>
      <w:tr w:rsidR="00575429" w:rsidRPr="00F205DD" w14:paraId="04A4B281" w14:textId="77777777">
        <w:trPr>
          <w:trHeight w:val="300"/>
        </w:trPr>
        <w:tc>
          <w:tcPr>
            <w:tcW w:w="1066" w:type="dxa"/>
            <w:shd w:val="clear" w:color="auto" w:fill="FFFFFF" w:themeFill="background1"/>
            <w:hideMark/>
          </w:tcPr>
          <w:p w14:paraId="5D7032F2"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13</w:t>
            </w:r>
          </w:p>
        </w:tc>
        <w:tc>
          <w:tcPr>
            <w:tcW w:w="3969" w:type="dxa"/>
            <w:shd w:val="clear" w:color="auto" w:fill="FFFFFF" w:themeFill="background1"/>
            <w:hideMark/>
          </w:tcPr>
          <w:p w14:paraId="345F50A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Preparation of case for hearing</w:t>
            </w:r>
          </w:p>
        </w:tc>
        <w:tc>
          <w:tcPr>
            <w:tcW w:w="1979" w:type="dxa"/>
            <w:shd w:val="clear" w:color="auto" w:fill="FFFFFF" w:themeFill="background1"/>
          </w:tcPr>
          <w:p w14:paraId="47A69965"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$525</w:t>
            </w:r>
          </w:p>
        </w:tc>
        <w:tc>
          <w:tcPr>
            <w:tcW w:w="1701" w:type="dxa"/>
            <w:shd w:val="clear" w:color="auto" w:fill="FFFFFF" w:themeFill="background1"/>
          </w:tcPr>
          <w:p w14:paraId="5D579965"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$1,500</w:t>
            </w:r>
          </w:p>
        </w:tc>
      </w:tr>
      <w:tr w:rsidR="00575429" w:rsidRPr="00F205DD" w14:paraId="66C98ED1" w14:textId="77777777">
        <w:trPr>
          <w:trHeight w:val="300"/>
        </w:trPr>
        <w:tc>
          <w:tcPr>
            <w:tcW w:w="1066" w:type="dxa"/>
            <w:shd w:val="clear" w:color="auto" w:fill="FFFFFF" w:themeFill="background1"/>
            <w:hideMark/>
          </w:tcPr>
          <w:p w14:paraId="3D60A72D"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14</w:t>
            </w:r>
          </w:p>
        </w:tc>
        <w:tc>
          <w:tcPr>
            <w:tcW w:w="3969" w:type="dxa"/>
            <w:shd w:val="clear" w:color="auto" w:fill="FFFFFF" w:themeFill="background1"/>
            <w:hideMark/>
          </w:tcPr>
          <w:p w14:paraId="3FFA388C"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 xml:space="preserve">Attendance at hearing by registered patent attorney, registered </w:t>
            </w:r>
            <w:proofErr w:type="spellStart"/>
            <w:r w:rsidRPr="00472D7B">
              <w:rPr>
                <w:rFonts w:eastAsia="Calibri" w:cstheme="minorHAnsi"/>
                <w:kern w:val="0"/>
                <w:sz w:val="20"/>
                <w:szCs w:val="20"/>
              </w:rPr>
              <w:t>trade marks</w:t>
            </w:r>
            <w:proofErr w:type="spellEnd"/>
            <w:r w:rsidRPr="00472D7B">
              <w:rPr>
                <w:rFonts w:eastAsia="Calibri" w:cstheme="minorHAnsi"/>
                <w:kern w:val="0"/>
                <w:sz w:val="20"/>
                <w:szCs w:val="20"/>
              </w:rPr>
              <w:t xml:space="preserve"> attorney or solicitor without counsel</w:t>
            </w:r>
          </w:p>
        </w:tc>
        <w:tc>
          <w:tcPr>
            <w:tcW w:w="1979" w:type="dxa"/>
            <w:shd w:val="clear" w:color="auto" w:fill="FFFFFF" w:themeFill="background1"/>
            <w:hideMark/>
          </w:tcPr>
          <w:p w14:paraId="7D582C78"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$260 an hour, but not more than $1,170 a day </w:t>
            </w:r>
          </w:p>
        </w:tc>
        <w:tc>
          <w:tcPr>
            <w:tcW w:w="1701" w:type="dxa"/>
            <w:shd w:val="clear" w:color="auto" w:fill="FFFFFF" w:themeFill="background1"/>
          </w:tcPr>
          <w:p w14:paraId="3AAF0116"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$390 an hour, but not more than $1,755 a day </w:t>
            </w:r>
          </w:p>
        </w:tc>
      </w:tr>
      <w:tr w:rsidR="00575429" w:rsidRPr="00F205DD" w14:paraId="43AE5CBA" w14:textId="77777777">
        <w:trPr>
          <w:trHeight w:val="300"/>
        </w:trPr>
        <w:tc>
          <w:tcPr>
            <w:tcW w:w="1066" w:type="dxa"/>
            <w:shd w:val="clear" w:color="auto" w:fill="FFFFFF" w:themeFill="background1"/>
            <w:hideMark/>
          </w:tcPr>
          <w:p w14:paraId="5D78E25B"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15</w:t>
            </w:r>
          </w:p>
        </w:tc>
        <w:tc>
          <w:tcPr>
            <w:tcW w:w="3969" w:type="dxa"/>
            <w:shd w:val="clear" w:color="auto" w:fill="FFFFFF" w:themeFill="background1"/>
            <w:hideMark/>
          </w:tcPr>
          <w:p w14:paraId="0190B59F"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 xml:space="preserve">Attendance at hearing by registered patent attorney, registered </w:t>
            </w:r>
            <w:proofErr w:type="spellStart"/>
            <w:r w:rsidRPr="00472D7B">
              <w:rPr>
                <w:rFonts w:eastAsia="Calibri" w:cstheme="minorHAnsi"/>
                <w:kern w:val="0"/>
                <w:sz w:val="20"/>
                <w:szCs w:val="20"/>
              </w:rPr>
              <w:t>trade marks</w:t>
            </w:r>
            <w:proofErr w:type="spellEnd"/>
            <w:r w:rsidRPr="00472D7B">
              <w:rPr>
                <w:rFonts w:eastAsia="Calibri" w:cstheme="minorHAnsi"/>
                <w:kern w:val="0"/>
                <w:sz w:val="20"/>
                <w:szCs w:val="20"/>
              </w:rPr>
              <w:t xml:space="preserve"> attorney or solicitor instructing counsel</w:t>
            </w:r>
          </w:p>
        </w:tc>
        <w:tc>
          <w:tcPr>
            <w:tcW w:w="1979" w:type="dxa"/>
            <w:shd w:val="clear" w:color="auto" w:fill="FFFFFF" w:themeFill="background1"/>
            <w:hideMark/>
          </w:tcPr>
          <w:p w14:paraId="27945234"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$200 an hour, but not more than $900 a day </w:t>
            </w:r>
          </w:p>
        </w:tc>
        <w:tc>
          <w:tcPr>
            <w:tcW w:w="1701" w:type="dxa"/>
            <w:shd w:val="clear" w:color="auto" w:fill="FFFFFF" w:themeFill="background1"/>
          </w:tcPr>
          <w:p w14:paraId="00226CA3"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$300 an hour, but not more than $1,350 a day </w:t>
            </w:r>
          </w:p>
        </w:tc>
      </w:tr>
      <w:tr w:rsidR="00575429" w:rsidRPr="00F205DD" w14:paraId="5EF0E126" w14:textId="77777777">
        <w:trPr>
          <w:trHeight w:val="300"/>
        </w:trPr>
        <w:tc>
          <w:tcPr>
            <w:tcW w:w="1066" w:type="dxa"/>
            <w:shd w:val="clear" w:color="auto" w:fill="FFFFFF" w:themeFill="background1"/>
            <w:hideMark/>
          </w:tcPr>
          <w:p w14:paraId="132833EA"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16</w:t>
            </w:r>
          </w:p>
        </w:tc>
        <w:tc>
          <w:tcPr>
            <w:tcW w:w="3969" w:type="dxa"/>
            <w:shd w:val="clear" w:color="auto" w:fill="FFFFFF" w:themeFill="background1"/>
            <w:hideMark/>
          </w:tcPr>
          <w:p w14:paraId="085C4425"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Counsel fees for attendance at hearing</w:t>
            </w:r>
          </w:p>
        </w:tc>
        <w:tc>
          <w:tcPr>
            <w:tcW w:w="1979" w:type="dxa"/>
            <w:shd w:val="clear" w:color="auto" w:fill="FFFFFF" w:themeFill="background1"/>
            <w:hideMark/>
          </w:tcPr>
          <w:p w14:paraId="56AEF264"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$300 an hour, but not more than $1,350 a day </w:t>
            </w:r>
          </w:p>
        </w:tc>
        <w:tc>
          <w:tcPr>
            <w:tcW w:w="1701" w:type="dxa"/>
            <w:shd w:val="clear" w:color="auto" w:fill="FFFFFF" w:themeFill="background1"/>
          </w:tcPr>
          <w:p w14:paraId="1095D3F4" w14:textId="77777777" w:rsidR="00575429" w:rsidRPr="00472D7B" w:rsidRDefault="00575429" w:rsidP="00472D7B">
            <w:pPr>
              <w:autoSpaceDE w:val="0"/>
              <w:autoSpaceDN w:val="0"/>
              <w:spacing w:after="0" w:line="252" w:lineRule="auto"/>
              <w:rPr>
                <w:rFonts w:eastAsia="Calibri" w:cstheme="minorHAnsi"/>
                <w:kern w:val="0"/>
                <w:sz w:val="20"/>
                <w:szCs w:val="20"/>
              </w:rPr>
            </w:pPr>
            <w:r w:rsidRPr="00472D7B">
              <w:rPr>
                <w:rFonts w:eastAsia="Calibri" w:cstheme="minorHAnsi"/>
                <w:kern w:val="0"/>
                <w:sz w:val="20"/>
                <w:szCs w:val="20"/>
              </w:rPr>
              <w:t>$450 an hour, but not more than $2,025 a day </w:t>
            </w:r>
          </w:p>
        </w:tc>
      </w:tr>
    </w:tbl>
    <w:p w14:paraId="734A715E" w14:textId="557C3B1E" w:rsidR="00D214E1" w:rsidRDefault="00D214E1" w:rsidP="00472D7B">
      <w:pPr>
        <w:autoSpaceDE w:val="0"/>
        <w:autoSpaceDN w:val="0"/>
        <w:spacing w:before="240" w:after="0" w:line="252" w:lineRule="auto"/>
        <w:rPr>
          <w:rFonts w:eastAsia="Calibri" w:cstheme="minorHAnsi"/>
          <w:kern w:val="0"/>
          <w:lang w:val="en-US"/>
        </w:rPr>
      </w:pPr>
      <w:r w:rsidRPr="00D214E1">
        <w:rPr>
          <w:rFonts w:eastAsia="Calibri" w:cstheme="minorHAnsi"/>
          <w:kern w:val="0"/>
          <w:lang w:val="en-US"/>
        </w:rPr>
        <w:t xml:space="preserve">The increases </w:t>
      </w:r>
      <w:proofErr w:type="gramStart"/>
      <w:r w:rsidR="00BB5A4F">
        <w:rPr>
          <w:rFonts w:eastAsia="Calibri" w:cstheme="minorHAnsi"/>
          <w:kern w:val="0"/>
          <w:lang w:val="en-US"/>
        </w:rPr>
        <w:t>take into account</w:t>
      </w:r>
      <w:proofErr w:type="gramEnd"/>
      <w:r w:rsidRPr="00D214E1">
        <w:rPr>
          <w:rFonts w:eastAsia="Calibri" w:cstheme="minorHAnsi"/>
          <w:kern w:val="0"/>
          <w:lang w:val="en-US"/>
        </w:rPr>
        <w:t xml:space="preserve"> the fact that the scale of costs has not been updated since 2007. </w:t>
      </w:r>
      <w:proofErr w:type="gramStart"/>
      <w:r w:rsidRPr="00D214E1">
        <w:rPr>
          <w:rFonts w:eastAsia="Calibri" w:cstheme="minorHAnsi"/>
          <w:kern w:val="0"/>
          <w:lang w:val="en-US"/>
        </w:rPr>
        <w:t>In light of</w:t>
      </w:r>
      <w:proofErr w:type="gramEnd"/>
      <w:r w:rsidRPr="00D214E1">
        <w:rPr>
          <w:rFonts w:eastAsia="Calibri" w:cstheme="minorHAnsi"/>
          <w:kern w:val="0"/>
          <w:lang w:val="en-US"/>
        </w:rPr>
        <w:t xml:space="preserve"> increases in prices since 2007, the amounts in the scale no longer suffice to compensate a </w:t>
      </w:r>
      <w:r w:rsidRPr="00D214E1">
        <w:rPr>
          <w:rFonts w:eastAsia="Calibri" w:cstheme="minorHAnsi"/>
          <w:kern w:val="0"/>
          <w:lang w:val="en-US"/>
        </w:rPr>
        <w:lastRenderedPageBreak/>
        <w:t xml:space="preserve">successful party or to </w:t>
      </w:r>
      <w:r w:rsidR="00312342">
        <w:rPr>
          <w:rFonts w:hAnsi="Times New Roman" w:cs="Times New Roman"/>
        </w:rPr>
        <w:t>discourage a party with a weaker case from</w:t>
      </w:r>
      <w:r w:rsidR="00312342" w:rsidRPr="006344E3">
        <w:rPr>
          <w:rFonts w:hAnsi="Times New Roman" w:cs="Times New Roman"/>
        </w:rPr>
        <w:t xml:space="preserve"> </w:t>
      </w:r>
      <w:r w:rsidR="00312342">
        <w:rPr>
          <w:rFonts w:hAnsi="Times New Roman" w:cs="Times New Roman"/>
        </w:rPr>
        <w:t>having it</w:t>
      </w:r>
      <w:r w:rsidR="00312342" w:rsidRPr="006344E3">
        <w:rPr>
          <w:rFonts w:hAnsi="Times New Roman" w:cs="Times New Roman"/>
        </w:rPr>
        <w:t xml:space="preserve"> heard</w:t>
      </w:r>
      <w:r w:rsidR="00312342">
        <w:rPr>
          <w:rFonts w:hAnsi="Times New Roman" w:cs="Times New Roman"/>
        </w:rPr>
        <w:t xml:space="preserve"> unnecessarily</w:t>
      </w:r>
      <w:r w:rsidRPr="00D214E1">
        <w:rPr>
          <w:rFonts w:eastAsia="Calibri" w:cstheme="minorHAnsi"/>
          <w:kern w:val="0"/>
          <w:lang w:val="en-US"/>
        </w:rPr>
        <w:t>. The next review of the scales of costs, expenses and allowances would be no earlier than in 2027-28.</w:t>
      </w:r>
    </w:p>
    <w:p w14:paraId="59FA60C5" w14:textId="208E34C0" w:rsidR="00575429" w:rsidRPr="00575429" w:rsidRDefault="00575429" w:rsidP="00472D7B">
      <w:pPr>
        <w:autoSpaceDE w:val="0"/>
        <w:autoSpaceDN w:val="0"/>
        <w:spacing w:before="240" w:after="0" w:line="252" w:lineRule="auto"/>
        <w:rPr>
          <w:rFonts w:eastAsia="Calibri" w:cstheme="minorHAnsi"/>
          <w:kern w:val="0"/>
          <w:lang w:val="en-US"/>
        </w:rPr>
      </w:pPr>
      <w:r w:rsidRPr="00575429">
        <w:rPr>
          <w:rFonts w:eastAsia="Calibri" w:cstheme="minorHAnsi"/>
          <w:kern w:val="0"/>
          <w:lang w:val="en-US"/>
        </w:rPr>
        <w:t>Item [</w:t>
      </w:r>
      <w:r w:rsidR="00FD2FCE">
        <w:rPr>
          <w:rFonts w:eastAsia="Calibri" w:cstheme="minorHAnsi"/>
          <w:kern w:val="0"/>
          <w:lang w:val="en-US"/>
        </w:rPr>
        <w:t>35</w:t>
      </w:r>
      <w:r w:rsidRPr="00575429">
        <w:rPr>
          <w:rFonts w:eastAsia="Calibri" w:cstheme="minorHAnsi"/>
          <w:kern w:val="0"/>
          <w:lang w:val="en-US"/>
        </w:rPr>
        <w:t xml:space="preserve">] </w:t>
      </w:r>
      <w:r w:rsidR="003A4D5F">
        <w:rPr>
          <w:rFonts w:eastAsia="Calibri" w:cstheme="minorHAnsi"/>
          <w:kern w:val="0"/>
          <w:lang w:val="en-US"/>
        </w:rPr>
        <w:t>amend</w:t>
      </w:r>
      <w:r w:rsidR="0075512C">
        <w:rPr>
          <w:rFonts w:eastAsia="Calibri" w:cstheme="minorHAnsi"/>
          <w:kern w:val="0"/>
          <w:lang w:val="en-US"/>
        </w:rPr>
        <w:t>s</w:t>
      </w:r>
      <w:r w:rsidRPr="00575429">
        <w:rPr>
          <w:rFonts w:eastAsia="Calibri" w:cstheme="minorHAnsi"/>
          <w:kern w:val="0"/>
          <w:lang w:val="en-US"/>
        </w:rPr>
        <w:t xml:space="preserve"> paragraph 2(b) </w:t>
      </w:r>
      <w:r w:rsidR="0012157A">
        <w:rPr>
          <w:rFonts w:eastAsia="Calibri" w:cstheme="minorHAnsi"/>
          <w:kern w:val="0"/>
          <w:lang w:val="en-US"/>
        </w:rPr>
        <w:t xml:space="preserve">of Part 2 of </w:t>
      </w:r>
      <w:r w:rsidRPr="00575429">
        <w:rPr>
          <w:rFonts w:eastAsia="Calibri" w:cstheme="minorHAnsi"/>
          <w:kern w:val="0"/>
          <w:lang w:val="en-US"/>
        </w:rPr>
        <w:t xml:space="preserve">Schedule 8 to the Trade Marks Regulations to increase the daily maximum for allowances for meals and accommodation to $1,050. A person is entitled to be paid a reasonable amount up to that daily maximum – if required to be absent overnight from </w:t>
      </w:r>
      <w:r w:rsidR="009D1F8C">
        <w:rPr>
          <w:rFonts w:eastAsia="Calibri" w:cstheme="minorHAnsi"/>
          <w:kern w:val="0"/>
          <w:lang w:val="en-US"/>
        </w:rPr>
        <w:t xml:space="preserve">their </w:t>
      </w:r>
      <w:r w:rsidRPr="00575429">
        <w:rPr>
          <w:rFonts w:eastAsia="Calibri" w:cstheme="minorHAnsi"/>
          <w:kern w:val="0"/>
          <w:lang w:val="en-US"/>
        </w:rPr>
        <w:t>usual place of residence to attend proceedings before the Registrar.</w:t>
      </w:r>
    </w:p>
    <w:p w14:paraId="755F49F8" w14:textId="0A8A7E1F"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Items [</w:t>
      </w:r>
      <w:r w:rsidR="0012157A">
        <w:rPr>
          <w:rFonts w:eastAsia="Calibri" w:cstheme="minorHAnsi"/>
          <w:kern w:val="0"/>
          <w:lang w:val="en-US"/>
        </w:rPr>
        <w:t>36</w:t>
      </w:r>
      <w:r w:rsidRPr="00575429">
        <w:rPr>
          <w:rFonts w:eastAsia="Calibri" w:cstheme="minorHAnsi"/>
          <w:kern w:val="0"/>
          <w:lang w:val="en-US"/>
        </w:rPr>
        <w:t>] and [</w:t>
      </w:r>
      <w:r w:rsidR="001C5F21">
        <w:rPr>
          <w:rFonts w:eastAsia="Calibri" w:cstheme="minorHAnsi"/>
          <w:kern w:val="0"/>
          <w:lang w:val="en-US"/>
        </w:rPr>
        <w:t>37</w:t>
      </w:r>
      <w:r w:rsidRPr="00575429">
        <w:rPr>
          <w:rFonts w:eastAsia="Calibri" w:cstheme="minorHAnsi"/>
          <w:kern w:val="0"/>
          <w:lang w:val="en-US"/>
        </w:rPr>
        <w:t xml:space="preserve">] </w:t>
      </w:r>
      <w:r w:rsidR="003A4D5F">
        <w:rPr>
          <w:rFonts w:eastAsia="Calibri" w:cstheme="minorHAnsi"/>
          <w:kern w:val="0"/>
          <w:lang w:val="en-US"/>
        </w:rPr>
        <w:t>amend</w:t>
      </w:r>
      <w:r w:rsidRPr="00575429">
        <w:rPr>
          <w:rFonts w:eastAsia="Calibri" w:cstheme="minorHAnsi"/>
          <w:kern w:val="0"/>
          <w:lang w:val="en-US"/>
        </w:rPr>
        <w:t xml:space="preserve"> paragraphs 3(b) and 4(b) </w:t>
      </w:r>
      <w:r w:rsidR="005C254E">
        <w:rPr>
          <w:rFonts w:eastAsia="Calibri" w:cstheme="minorHAnsi"/>
          <w:kern w:val="0"/>
          <w:lang w:val="en-US"/>
        </w:rPr>
        <w:t xml:space="preserve">of Part 2 of </w:t>
      </w:r>
      <w:r w:rsidR="005C254E" w:rsidRPr="00575429">
        <w:rPr>
          <w:rFonts w:eastAsia="Calibri" w:cstheme="minorHAnsi"/>
          <w:kern w:val="0"/>
          <w:lang w:val="en-US"/>
        </w:rPr>
        <w:t xml:space="preserve">Schedule 8 to the Trade Marks Regulations </w:t>
      </w:r>
      <w:r w:rsidRPr="00575429">
        <w:rPr>
          <w:rFonts w:eastAsia="Calibri" w:cstheme="minorHAnsi"/>
          <w:kern w:val="0"/>
          <w:lang w:val="en-US"/>
        </w:rPr>
        <w:t>to increase the minimum and maximum amounts for daily payment to a person summoned to appear before the Registrar as a witness:</w:t>
      </w:r>
    </w:p>
    <w:p w14:paraId="63A59837" w14:textId="6E1880E0" w:rsidR="00575429" w:rsidRPr="00575429" w:rsidRDefault="00575429" w:rsidP="002054C5">
      <w:pPr>
        <w:numPr>
          <w:ilvl w:val="0"/>
          <w:numId w:val="6"/>
        </w:numPr>
        <w:autoSpaceDE w:val="0"/>
        <w:autoSpaceDN w:val="0"/>
        <w:spacing w:before="80" w:after="0" w:line="252" w:lineRule="auto"/>
        <w:ind w:left="709"/>
        <w:rPr>
          <w:rFonts w:eastAsia="Calibri" w:cstheme="minorHAnsi"/>
          <w:kern w:val="0"/>
          <w:lang w:val="en-US"/>
        </w:rPr>
      </w:pPr>
      <w:r w:rsidRPr="00575429">
        <w:rPr>
          <w:rFonts w:eastAsia="Calibri" w:cstheme="minorHAnsi"/>
          <w:kern w:val="0"/>
          <w:lang w:val="en-US"/>
        </w:rPr>
        <w:t xml:space="preserve">For a person summoned as an expert witness – because of professional, scientific or other special skill or knowledge – the minimum daily payment </w:t>
      </w:r>
      <w:r w:rsidR="008D430D">
        <w:rPr>
          <w:rFonts w:eastAsia="Calibri" w:cstheme="minorHAnsi"/>
          <w:kern w:val="0"/>
          <w:lang w:val="en-US"/>
        </w:rPr>
        <w:t>is</w:t>
      </w:r>
      <w:r w:rsidRPr="00575429">
        <w:rPr>
          <w:rFonts w:eastAsia="Calibri" w:cstheme="minorHAnsi"/>
          <w:kern w:val="0"/>
          <w:lang w:val="en-US"/>
        </w:rPr>
        <w:t xml:space="preserve"> </w:t>
      </w:r>
      <w:proofErr w:type="gramStart"/>
      <w:r w:rsidRPr="00575429">
        <w:rPr>
          <w:rFonts w:eastAsia="Calibri" w:cstheme="minorHAnsi"/>
          <w:kern w:val="0"/>
          <w:lang w:val="en-US"/>
        </w:rPr>
        <w:t>$210</w:t>
      </w:r>
      <w:proofErr w:type="gramEnd"/>
      <w:r w:rsidRPr="00575429">
        <w:rPr>
          <w:rFonts w:eastAsia="Calibri" w:cstheme="minorHAnsi"/>
          <w:kern w:val="0"/>
          <w:lang w:val="en-US"/>
        </w:rPr>
        <w:t xml:space="preserve"> and the maximum daily payment </w:t>
      </w:r>
      <w:r w:rsidR="008D430D">
        <w:rPr>
          <w:rFonts w:eastAsia="Calibri" w:cstheme="minorHAnsi"/>
          <w:kern w:val="0"/>
          <w:lang w:val="en-US"/>
        </w:rPr>
        <w:t>is</w:t>
      </w:r>
      <w:r w:rsidRPr="00575429">
        <w:rPr>
          <w:rFonts w:eastAsia="Calibri" w:cstheme="minorHAnsi"/>
          <w:kern w:val="0"/>
          <w:lang w:val="en-US"/>
        </w:rPr>
        <w:t xml:space="preserve"> $1,050 (paragraph 3(b))</w:t>
      </w:r>
    </w:p>
    <w:p w14:paraId="62CD7030" w14:textId="7E1532F7" w:rsidR="00575429" w:rsidRPr="00575429" w:rsidRDefault="00575429" w:rsidP="002054C5">
      <w:pPr>
        <w:numPr>
          <w:ilvl w:val="0"/>
          <w:numId w:val="6"/>
        </w:numPr>
        <w:autoSpaceDE w:val="0"/>
        <w:autoSpaceDN w:val="0"/>
        <w:spacing w:before="80" w:after="0" w:line="252" w:lineRule="auto"/>
        <w:ind w:left="709"/>
        <w:rPr>
          <w:rFonts w:eastAsia="Calibri" w:cstheme="minorHAnsi"/>
          <w:kern w:val="0"/>
          <w:lang w:val="en-US"/>
        </w:rPr>
      </w:pPr>
      <w:r w:rsidRPr="00575429">
        <w:rPr>
          <w:rFonts w:eastAsia="Calibri" w:cstheme="minorHAnsi"/>
          <w:kern w:val="0"/>
          <w:lang w:val="en-US"/>
        </w:rPr>
        <w:t xml:space="preserve">For a person summoned as an ordinary witness, the minimum daily payment </w:t>
      </w:r>
      <w:r w:rsidR="008D430D">
        <w:rPr>
          <w:rFonts w:eastAsia="Calibri" w:cstheme="minorHAnsi"/>
          <w:kern w:val="0"/>
          <w:lang w:val="en-US"/>
        </w:rPr>
        <w:t>is</w:t>
      </w:r>
      <w:r w:rsidRPr="00575429">
        <w:rPr>
          <w:rFonts w:eastAsia="Calibri" w:cstheme="minorHAnsi"/>
          <w:kern w:val="0"/>
          <w:lang w:val="en-US"/>
        </w:rPr>
        <w:t xml:space="preserve"> </w:t>
      </w:r>
      <w:proofErr w:type="gramStart"/>
      <w:r w:rsidRPr="00575429">
        <w:rPr>
          <w:rFonts w:eastAsia="Calibri" w:cstheme="minorHAnsi"/>
          <w:kern w:val="0"/>
          <w:lang w:val="en-US"/>
        </w:rPr>
        <w:t>$120</w:t>
      </w:r>
      <w:proofErr w:type="gramEnd"/>
      <w:r w:rsidRPr="00575429">
        <w:rPr>
          <w:rFonts w:eastAsia="Calibri" w:cstheme="minorHAnsi"/>
          <w:kern w:val="0"/>
          <w:lang w:val="en-US"/>
        </w:rPr>
        <w:t xml:space="preserve"> and the maximum daily payment </w:t>
      </w:r>
      <w:r w:rsidR="008D430D">
        <w:rPr>
          <w:rFonts w:eastAsia="Calibri" w:cstheme="minorHAnsi"/>
          <w:kern w:val="0"/>
          <w:lang w:val="en-US"/>
        </w:rPr>
        <w:t>is</w:t>
      </w:r>
      <w:r w:rsidRPr="00575429">
        <w:rPr>
          <w:rFonts w:eastAsia="Calibri" w:cstheme="minorHAnsi"/>
          <w:kern w:val="0"/>
          <w:lang w:val="en-US"/>
        </w:rPr>
        <w:t xml:space="preserve"> $195 (paragraph 4(b)).</w:t>
      </w:r>
    </w:p>
    <w:p w14:paraId="7E55C517" w14:textId="0E51276B"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Those amounts apply to a person who is not remunerated in their occupation by wages, salary or fees: for example, the owner/operator of a wholesaling business. In contrast, a person who is remunerated by wages, salary or fees must be paid the amount foregone because of attending as a witness.</w:t>
      </w:r>
    </w:p>
    <w:p w14:paraId="3B76F386" w14:textId="19F4C75E"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 xml:space="preserve">The proposed increases in costs, expenses and allowances </w:t>
      </w:r>
      <w:r w:rsidR="00886DDF">
        <w:rPr>
          <w:rFonts w:eastAsia="Calibri" w:cstheme="minorHAnsi"/>
          <w:kern w:val="0"/>
          <w:lang w:val="en-US"/>
        </w:rPr>
        <w:t>apply</w:t>
      </w:r>
      <w:r w:rsidRPr="00575429">
        <w:rPr>
          <w:rFonts w:eastAsia="Calibri" w:cstheme="minorHAnsi"/>
          <w:kern w:val="0"/>
          <w:lang w:val="en-US"/>
        </w:rPr>
        <w:t xml:space="preserve"> in respect of proceedings </w:t>
      </w:r>
      <w:r w:rsidRPr="00575429">
        <w:rPr>
          <w:rFonts w:eastAsia="Calibri" w:cstheme="minorHAnsi"/>
          <w:kern w:val="0"/>
        </w:rPr>
        <w:t xml:space="preserve">before the Registrar </w:t>
      </w:r>
      <w:r w:rsidRPr="00575429">
        <w:rPr>
          <w:rFonts w:eastAsia="Calibri" w:cstheme="minorHAnsi"/>
          <w:kern w:val="0"/>
          <w:lang w:val="en-US"/>
        </w:rPr>
        <w:t xml:space="preserve">that begin on or after the commencement of the </w:t>
      </w:r>
      <w:r w:rsidR="002E4CE6">
        <w:rPr>
          <w:rFonts w:eastAsia="Calibri" w:cstheme="minorHAnsi"/>
          <w:kern w:val="0"/>
          <w:lang w:val="en-US"/>
        </w:rPr>
        <w:t>Regulations</w:t>
      </w:r>
      <w:r w:rsidRPr="00575429">
        <w:rPr>
          <w:rFonts w:eastAsia="Calibri" w:cstheme="minorHAnsi"/>
          <w:kern w:val="0"/>
        </w:rPr>
        <w:t>.</w:t>
      </w:r>
      <w:r w:rsidRPr="00575429">
        <w:rPr>
          <w:rFonts w:eastAsia="Calibri" w:cstheme="minorHAnsi"/>
          <w:kern w:val="0"/>
          <w:lang w:val="en-US"/>
        </w:rPr>
        <w:t xml:space="preserve"> See </w:t>
      </w:r>
      <w:r w:rsidR="00886DDF">
        <w:rPr>
          <w:rFonts w:eastAsia="Calibri" w:cstheme="minorHAnsi"/>
          <w:kern w:val="0"/>
          <w:lang w:val="en-US"/>
        </w:rPr>
        <w:t>new</w:t>
      </w:r>
      <w:r w:rsidRPr="00575429">
        <w:rPr>
          <w:rFonts w:eastAsia="Calibri" w:cstheme="minorHAnsi"/>
          <w:kern w:val="0"/>
          <w:lang w:val="en-US"/>
        </w:rPr>
        <w:t xml:space="preserve"> </w:t>
      </w:r>
      <w:proofErr w:type="spellStart"/>
      <w:r w:rsidRPr="00575429">
        <w:rPr>
          <w:rFonts w:eastAsia="Calibri" w:cstheme="minorHAnsi"/>
          <w:kern w:val="0"/>
          <w:lang w:val="en-US"/>
        </w:rPr>
        <w:t>subregulation</w:t>
      </w:r>
      <w:proofErr w:type="spellEnd"/>
      <w:r w:rsidRPr="00575429">
        <w:rPr>
          <w:rFonts w:eastAsia="Calibri" w:cstheme="minorHAnsi"/>
          <w:kern w:val="0"/>
          <w:lang w:val="en-US"/>
        </w:rPr>
        <w:t xml:space="preserve"> 22.30(1), discussed in the notes on item [</w:t>
      </w:r>
      <w:r w:rsidR="006C1B85">
        <w:rPr>
          <w:rFonts w:eastAsia="Calibri" w:cstheme="minorHAnsi"/>
          <w:kern w:val="0"/>
          <w:lang w:val="en-US"/>
        </w:rPr>
        <w:t>31</w:t>
      </w:r>
      <w:r w:rsidRPr="00575429">
        <w:rPr>
          <w:rFonts w:eastAsia="Calibri" w:cstheme="minorHAnsi"/>
          <w:kern w:val="0"/>
          <w:lang w:val="en-US"/>
        </w:rPr>
        <w:t>] above.</w:t>
      </w:r>
    </w:p>
    <w:p w14:paraId="5D69325F" w14:textId="2E386511" w:rsidR="00575429" w:rsidRPr="00575429" w:rsidRDefault="00575429" w:rsidP="00472D7B">
      <w:pPr>
        <w:autoSpaceDE w:val="0"/>
        <w:autoSpaceDN w:val="0"/>
        <w:spacing w:before="160" w:after="0" w:line="252" w:lineRule="auto"/>
        <w:rPr>
          <w:rFonts w:eastAsia="Calibri" w:cstheme="minorHAnsi"/>
          <w:b/>
          <w:kern w:val="0"/>
          <w:lang w:val="en-US"/>
        </w:rPr>
      </w:pPr>
      <w:r w:rsidRPr="00575429">
        <w:rPr>
          <w:rFonts w:eastAsia="Calibri" w:cstheme="minorHAnsi"/>
          <w:b/>
          <w:bCs/>
          <w:iCs/>
          <w:kern w:val="0"/>
          <w:lang w:val="en-US"/>
        </w:rPr>
        <w:t>Items [</w:t>
      </w:r>
      <w:r w:rsidR="005F08FF">
        <w:rPr>
          <w:rFonts w:eastAsia="Calibri" w:cstheme="minorHAnsi"/>
          <w:b/>
          <w:bCs/>
          <w:iCs/>
          <w:kern w:val="0"/>
          <w:lang w:val="en-US"/>
        </w:rPr>
        <w:t>33</w:t>
      </w:r>
      <w:r w:rsidRPr="00575429">
        <w:rPr>
          <w:rFonts w:eastAsia="Calibri" w:cstheme="minorHAnsi"/>
          <w:b/>
          <w:bCs/>
          <w:iCs/>
          <w:kern w:val="0"/>
          <w:lang w:val="en-US"/>
        </w:rPr>
        <w:t>] and [</w:t>
      </w:r>
      <w:r w:rsidR="005F08FF">
        <w:rPr>
          <w:rFonts w:eastAsia="Calibri" w:cstheme="minorHAnsi"/>
          <w:b/>
          <w:bCs/>
          <w:iCs/>
          <w:kern w:val="0"/>
          <w:lang w:val="en-US"/>
        </w:rPr>
        <w:t>34</w:t>
      </w:r>
      <w:r w:rsidRPr="00575429">
        <w:rPr>
          <w:rFonts w:eastAsia="Calibri" w:cstheme="minorHAnsi"/>
          <w:b/>
          <w:bCs/>
          <w:iCs/>
          <w:kern w:val="0"/>
          <w:lang w:val="en-US"/>
        </w:rPr>
        <w:t xml:space="preserve">] – Schedule 8; </w:t>
      </w:r>
      <w:r w:rsidRPr="00575429">
        <w:rPr>
          <w:rFonts w:eastAsia="Calibri" w:cstheme="minorHAnsi"/>
          <w:b/>
          <w:bCs/>
          <w:kern w:val="0"/>
          <w:lang w:val="en-US"/>
        </w:rPr>
        <w:t>limitation on recovery of SGP fees</w:t>
      </w:r>
    </w:p>
    <w:p w14:paraId="27BE466C" w14:textId="3ADC7F35"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 xml:space="preserve">Under existing clause 1 of Part 2 of Schedule 8 to the Trade Marks Regulations, the prescribed fees paid by the successful party in relation to an </w:t>
      </w:r>
      <w:proofErr w:type="gramStart"/>
      <w:r w:rsidRPr="00575429">
        <w:rPr>
          <w:rFonts w:eastAsia="Calibri" w:cstheme="minorHAnsi"/>
          <w:kern w:val="0"/>
          <w:lang w:val="en-US"/>
        </w:rPr>
        <w:t>opposition proceedings</w:t>
      </w:r>
      <w:proofErr w:type="gramEnd"/>
      <w:r w:rsidRPr="00575429">
        <w:rPr>
          <w:rFonts w:eastAsia="Calibri" w:cstheme="minorHAnsi"/>
          <w:kern w:val="0"/>
          <w:lang w:val="en-US"/>
        </w:rPr>
        <w:t xml:space="preserve"> can be recovered from the unsuccessful party. With the proposed introduction of prescribed fees for filing or requesting amendment of a </w:t>
      </w:r>
      <w:r w:rsidR="00E97DE0">
        <w:rPr>
          <w:rFonts w:eastAsia="Calibri" w:cstheme="minorHAnsi"/>
          <w:kern w:val="0"/>
          <w:lang w:val="en-US"/>
        </w:rPr>
        <w:t>s</w:t>
      </w:r>
      <w:r w:rsidR="00843F29">
        <w:rPr>
          <w:rFonts w:eastAsia="Calibri" w:cstheme="minorHAnsi"/>
          <w:kern w:val="0"/>
          <w:lang w:val="en-US"/>
        </w:rPr>
        <w:t xml:space="preserve">tatement of </w:t>
      </w:r>
      <w:r w:rsidR="00E97DE0">
        <w:rPr>
          <w:rFonts w:eastAsia="Calibri" w:cstheme="minorHAnsi"/>
          <w:kern w:val="0"/>
          <w:lang w:val="en-US"/>
        </w:rPr>
        <w:t>g</w:t>
      </w:r>
      <w:r w:rsidR="00843F29">
        <w:rPr>
          <w:rFonts w:eastAsia="Calibri" w:cstheme="minorHAnsi"/>
          <w:kern w:val="0"/>
          <w:lang w:val="en-US"/>
        </w:rPr>
        <w:t xml:space="preserve">rounds and </w:t>
      </w:r>
      <w:r w:rsidR="00E97DE0">
        <w:rPr>
          <w:rFonts w:eastAsia="Calibri" w:cstheme="minorHAnsi"/>
          <w:kern w:val="0"/>
          <w:lang w:val="en-US"/>
        </w:rPr>
        <w:t>p</w:t>
      </w:r>
      <w:r w:rsidR="00843F29">
        <w:rPr>
          <w:rFonts w:eastAsia="Calibri" w:cstheme="minorHAnsi"/>
          <w:kern w:val="0"/>
          <w:lang w:val="en-US"/>
        </w:rPr>
        <w:t>articulars</w:t>
      </w:r>
      <w:r w:rsidRPr="00575429">
        <w:rPr>
          <w:rFonts w:eastAsia="Calibri" w:cstheme="minorHAnsi"/>
          <w:kern w:val="0"/>
          <w:lang w:val="en-US"/>
        </w:rPr>
        <w:t xml:space="preserve"> </w:t>
      </w:r>
      <w:r w:rsidR="00135D1F">
        <w:rPr>
          <w:rFonts w:eastAsia="Calibri" w:cstheme="minorHAnsi"/>
          <w:kern w:val="0"/>
          <w:lang w:val="en-US"/>
        </w:rPr>
        <w:t xml:space="preserve">(SGP) </w:t>
      </w:r>
      <w:r w:rsidRPr="00575429">
        <w:rPr>
          <w:rFonts w:eastAsia="Calibri" w:cstheme="minorHAnsi"/>
          <w:kern w:val="0"/>
          <w:lang w:val="en-US"/>
        </w:rPr>
        <w:t>– item [</w:t>
      </w:r>
      <w:r w:rsidR="00EA0A0C">
        <w:rPr>
          <w:rFonts w:eastAsia="Calibri" w:cstheme="minorHAnsi"/>
          <w:kern w:val="0"/>
          <w:lang w:val="en-US"/>
        </w:rPr>
        <w:t>39</w:t>
      </w:r>
      <w:r w:rsidRPr="00575429">
        <w:rPr>
          <w:rFonts w:eastAsia="Calibri" w:cstheme="minorHAnsi"/>
          <w:kern w:val="0"/>
          <w:lang w:val="en-US"/>
        </w:rPr>
        <w:t xml:space="preserve">] below – a successful opponent to registration or extension of protection could recover the amount of those fees from the unsuccessful trade mark applicant or holder of the </w:t>
      </w:r>
      <w:r w:rsidR="00D8108E">
        <w:rPr>
          <w:rFonts w:eastAsia="Calibri" w:cstheme="minorHAnsi"/>
          <w:kern w:val="0"/>
          <w:lang w:val="en-US"/>
        </w:rPr>
        <w:t xml:space="preserve">international registration </w:t>
      </w:r>
      <w:r w:rsidR="00A72227">
        <w:rPr>
          <w:rFonts w:eastAsia="Calibri" w:cstheme="minorHAnsi"/>
          <w:kern w:val="0"/>
          <w:lang w:val="en-US"/>
        </w:rPr>
        <w:t xml:space="preserve">designating </w:t>
      </w:r>
      <w:r w:rsidRPr="00575429">
        <w:rPr>
          <w:rFonts w:eastAsia="Calibri" w:cstheme="minorHAnsi"/>
          <w:kern w:val="0"/>
          <w:lang w:val="en-US"/>
        </w:rPr>
        <w:t>A</w:t>
      </w:r>
      <w:r w:rsidR="00A72227">
        <w:rPr>
          <w:rFonts w:eastAsia="Calibri" w:cstheme="minorHAnsi"/>
          <w:kern w:val="0"/>
          <w:lang w:val="en-US"/>
        </w:rPr>
        <w:t>ustralia</w:t>
      </w:r>
      <w:r w:rsidRPr="00575429">
        <w:rPr>
          <w:rFonts w:eastAsia="Calibri" w:cstheme="minorHAnsi"/>
          <w:kern w:val="0"/>
          <w:lang w:val="en-US"/>
        </w:rPr>
        <w:t xml:space="preserve"> (holder).</w:t>
      </w:r>
    </w:p>
    <w:p w14:paraId="49A063E4" w14:textId="5A2DE867" w:rsidR="00575429" w:rsidRPr="00575429" w:rsidRDefault="00E64B0F" w:rsidP="00472D7B">
      <w:pPr>
        <w:autoSpaceDE w:val="0"/>
        <w:autoSpaceDN w:val="0"/>
        <w:spacing w:before="160" w:after="0" w:line="252" w:lineRule="auto"/>
        <w:rPr>
          <w:rFonts w:eastAsia="Calibri" w:cstheme="minorHAnsi"/>
          <w:kern w:val="0"/>
          <w:lang w:val="en-US"/>
        </w:rPr>
      </w:pPr>
      <w:r>
        <w:rPr>
          <w:rFonts w:eastAsia="Calibri" w:cstheme="minorHAnsi"/>
          <w:kern w:val="0"/>
          <w:lang w:val="en-US"/>
        </w:rPr>
        <w:t>An</w:t>
      </w:r>
      <w:r w:rsidR="00575429" w:rsidRPr="00575429">
        <w:rPr>
          <w:rFonts w:eastAsia="Calibri" w:cstheme="minorHAnsi"/>
          <w:kern w:val="0"/>
          <w:lang w:val="en-US"/>
        </w:rPr>
        <w:t xml:space="preserve"> opponent might threaten a trade mark applicant or holder with the prospect of repaying the opponent’s substantial expenses for filing or amending an SGP if the opponent succeeds in the opposition. This threat might be used to attempt to persuade the applicant to withdraw </w:t>
      </w:r>
      <w:r w:rsidR="00187483">
        <w:rPr>
          <w:rFonts w:eastAsia="Calibri" w:cstheme="minorHAnsi"/>
          <w:kern w:val="0"/>
          <w:lang w:val="en-US"/>
        </w:rPr>
        <w:t xml:space="preserve">or amend </w:t>
      </w:r>
      <w:r w:rsidR="00575429" w:rsidRPr="00575429">
        <w:rPr>
          <w:rFonts w:eastAsia="Calibri" w:cstheme="minorHAnsi"/>
          <w:kern w:val="0"/>
          <w:lang w:val="en-US"/>
        </w:rPr>
        <w:t>the trade mark application</w:t>
      </w:r>
      <w:r w:rsidR="001D4CEB">
        <w:rPr>
          <w:rFonts w:eastAsia="Calibri" w:cstheme="minorHAnsi"/>
          <w:kern w:val="0"/>
          <w:lang w:val="en-US"/>
        </w:rPr>
        <w:t>,</w:t>
      </w:r>
      <w:r w:rsidR="00575429" w:rsidRPr="00575429">
        <w:rPr>
          <w:rFonts w:eastAsia="Calibri" w:cstheme="minorHAnsi"/>
          <w:kern w:val="0"/>
          <w:lang w:val="en-US"/>
        </w:rPr>
        <w:t xml:space="preserve"> or to persuade the holder to </w:t>
      </w:r>
      <w:r w:rsidR="00D53451">
        <w:rPr>
          <w:rFonts w:hAnsi="Times New Roman" w:cs="Times New Roman"/>
        </w:rPr>
        <w:t xml:space="preserve">reduce the protection sought in </w:t>
      </w:r>
      <w:r w:rsidR="00575429" w:rsidRPr="00575429">
        <w:rPr>
          <w:rFonts w:eastAsia="Calibri" w:cstheme="minorHAnsi"/>
          <w:kern w:val="0"/>
          <w:lang w:val="en-US"/>
        </w:rPr>
        <w:t>Australia.</w:t>
      </w:r>
    </w:p>
    <w:p w14:paraId="292506AF" w14:textId="7ED01B12"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Items [</w:t>
      </w:r>
      <w:r w:rsidR="00BF1119">
        <w:rPr>
          <w:rFonts w:eastAsia="Calibri" w:cstheme="minorHAnsi"/>
          <w:kern w:val="0"/>
          <w:lang w:val="en-US"/>
        </w:rPr>
        <w:t>33</w:t>
      </w:r>
      <w:r w:rsidRPr="00575429">
        <w:rPr>
          <w:rFonts w:eastAsia="Calibri" w:cstheme="minorHAnsi"/>
          <w:kern w:val="0"/>
          <w:lang w:val="en-US"/>
        </w:rPr>
        <w:t>] and [</w:t>
      </w:r>
      <w:r w:rsidR="00BF1119">
        <w:rPr>
          <w:rFonts w:eastAsia="Calibri" w:cstheme="minorHAnsi"/>
          <w:kern w:val="0"/>
          <w:lang w:val="en-US"/>
        </w:rPr>
        <w:t>34</w:t>
      </w:r>
      <w:r w:rsidRPr="00575429">
        <w:rPr>
          <w:rFonts w:eastAsia="Calibri" w:cstheme="minorHAnsi"/>
          <w:kern w:val="0"/>
          <w:lang w:val="en-US"/>
        </w:rPr>
        <w:t xml:space="preserve">] would limit a successful opponent’s recovery of all fees paid for filing or requesting amendment of the SGP to a </w:t>
      </w:r>
      <w:r w:rsidR="001F30F1">
        <w:rPr>
          <w:rFonts w:eastAsia="Calibri" w:cstheme="minorHAnsi"/>
          <w:kern w:val="0"/>
          <w:lang w:val="en-US"/>
        </w:rPr>
        <w:t>total</w:t>
      </w:r>
      <w:r w:rsidRPr="00575429">
        <w:rPr>
          <w:rFonts w:eastAsia="Calibri" w:cstheme="minorHAnsi"/>
          <w:kern w:val="0"/>
          <w:lang w:val="en-US"/>
        </w:rPr>
        <w:t xml:space="preserve"> of $500. </w:t>
      </w:r>
      <w:r w:rsidR="00554F39">
        <w:rPr>
          <w:rFonts w:eastAsia="Calibri" w:cstheme="minorHAnsi"/>
          <w:kern w:val="0"/>
          <w:lang w:val="en-US"/>
        </w:rPr>
        <w:t>By way of example, the</w:t>
      </w:r>
      <w:r w:rsidRPr="00575429">
        <w:rPr>
          <w:rFonts w:eastAsia="Calibri" w:cstheme="minorHAnsi"/>
          <w:kern w:val="0"/>
          <w:lang w:val="en-US"/>
        </w:rPr>
        <w:t xml:space="preserve"> opponent </w:t>
      </w:r>
      <w:r w:rsidR="002054C5">
        <w:rPr>
          <w:rFonts w:eastAsia="Calibri" w:cstheme="minorHAnsi"/>
          <w:kern w:val="0"/>
          <w:lang w:val="en-US"/>
        </w:rPr>
        <w:t>could</w:t>
      </w:r>
      <w:r w:rsidRPr="00575429">
        <w:rPr>
          <w:rFonts w:eastAsia="Calibri" w:cstheme="minorHAnsi"/>
          <w:kern w:val="0"/>
          <w:lang w:val="en-US"/>
        </w:rPr>
        <w:t xml:space="preserve"> recover the amounts of the fees paid for an SGP with up to 5 grounds and up to 10 </w:t>
      </w:r>
      <w:proofErr w:type="spellStart"/>
      <w:r w:rsidRPr="00575429">
        <w:rPr>
          <w:rFonts w:eastAsia="Calibri" w:cstheme="minorHAnsi"/>
          <w:kern w:val="0"/>
          <w:lang w:val="en-US"/>
        </w:rPr>
        <w:t>trade marks</w:t>
      </w:r>
      <w:proofErr w:type="spellEnd"/>
      <w:r w:rsidRPr="00575429">
        <w:rPr>
          <w:rFonts w:eastAsia="Calibri" w:cstheme="minorHAnsi"/>
          <w:kern w:val="0"/>
          <w:lang w:val="en-US"/>
        </w:rPr>
        <w:t xml:space="preserve"> listed as the basis of the section 44 or regulation 4.15A grounds (or the applied section 44 ground). </w:t>
      </w:r>
      <w:r w:rsidR="002054C5">
        <w:rPr>
          <w:rFonts w:eastAsia="Calibri" w:cstheme="minorHAnsi"/>
          <w:kern w:val="0"/>
          <w:lang w:val="en-US"/>
        </w:rPr>
        <w:t>Or</w:t>
      </w:r>
      <w:r w:rsidRPr="00575429">
        <w:rPr>
          <w:rFonts w:eastAsia="Calibri" w:cstheme="minorHAnsi"/>
          <w:kern w:val="0"/>
          <w:lang w:val="en-US"/>
        </w:rPr>
        <w:t xml:space="preserve"> the opponent could recover the amounts of the fees paid for an SGP with up to 3 grounds and up to 12 </w:t>
      </w:r>
      <w:proofErr w:type="spellStart"/>
      <w:r w:rsidRPr="00575429">
        <w:rPr>
          <w:rFonts w:eastAsia="Calibri" w:cstheme="minorHAnsi"/>
          <w:kern w:val="0"/>
          <w:lang w:val="en-US"/>
        </w:rPr>
        <w:t>trade marks</w:t>
      </w:r>
      <w:proofErr w:type="spellEnd"/>
      <w:r w:rsidRPr="00575429">
        <w:rPr>
          <w:rFonts w:eastAsia="Calibri" w:cstheme="minorHAnsi"/>
          <w:kern w:val="0"/>
          <w:lang w:val="en-US"/>
        </w:rPr>
        <w:t xml:space="preserve"> listed as the basis of the section 44 or regulation 4.15A grounds (or the applied section 44 ground).</w:t>
      </w:r>
    </w:p>
    <w:p w14:paraId="0C7E2DC9" w14:textId="10AB90BB"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 xml:space="preserve">As the new fees for filing or requesting amendment of an SGP are to apply only to oppositions begun after commencement of the </w:t>
      </w:r>
      <w:r w:rsidR="002E4CE6">
        <w:rPr>
          <w:rFonts w:eastAsia="Calibri" w:cstheme="minorHAnsi"/>
          <w:kern w:val="0"/>
          <w:lang w:val="en-US"/>
        </w:rPr>
        <w:t>Regulations</w:t>
      </w:r>
      <w:r w:rsidRPr="00575429">
        <w:rPr>
          <w:rFonts w:eastAsia="Calibri" w:cstheme="minorHAnsi"/>
          <w:kern w:val="0"/>
          <w:lang w:val="en-US"/>
        </w:rPr>
        <w:t xml:space="preserve">, so too the limitation on recovery of those fees only applies to such oppositions. See </w:t>
      </w:r>
      <w:r w:rsidR="00886DDF">
        <w:rPr>
          <w:rFonts w:eastAsia="Calibri" w:cstheme="minorHAnsi"/>
          <w:kern w:val="0"/>
          <w:lang w:val="en-US"/>
        </w:rPr>
        <w:t>new</w:t>
      </w:r>
      <w:r w:rsidRPr="00575429">
        <w:rPr>
          <w:rFonts w:eastAsia="Calibri" w:cstheme="minorHAnsi"/>
          <w:kern w:val="0"/>
          <w:lang w:val="en-US"/>
        </w:rPr>
        <w:t xml:space="preserve"> </w:t>
      </w:r>
      <w:proofErr w:type="spellStart"/>
      <w:r w:rsidRPr="00575429">
        <w:rPr>
          <w:rFonts w:eastAsia="Calibri" w:cstheme="minorHAnsi"/>
          <w:kern w:val="0"/>
          <w:lang w:val="en-US"/>
        </w:rPr>
        <w:t>subregulation</w:t>
      </w:r>
      <w:proofErr w:type="spellEnd"/>
      <w:r w:rsidRPr="00575429">
        <w:rPr>
          <w:rFonts w:eastAsia="Calibri" w:cstheme="minorHAnsi"/>
          <w:kern w:val="0"/>
          <w:lang w:val="en-US"/>
        </w:rPr>
        <w:t xml:space="preserve"> 22.30(1), discussed in the notes on item [</w:t>
      </w:r>
      <w:r w:rsidR="007B353D">
        <w:rPr>
          <w:rFonts w:eastAsia="Calibri" w:cstheme="minorHAnsi"/>
          <w:kern w:val="0"/>
          <w:lang w:val="en-US"/>
        </w:rPr>
        <w:t>31</w:t>
      </w:r>
      <w:r w:rsidRPr="00575429">
        <w:rPr>
          <w:rFonts w:eastAsia="Calibri" w:cstheme="minorHAnsi"/>
          <w:kern w:val="0"/>
          <w:lang w:val="en-US"/>
        </w:rPr>
        <w:t>] above</w:t>
      </w:r>
      <w:r w:rsidR="007B353D">
        <w:rPr>
          <w:rFonts w:eastAsia="Calibri" w:cstheme="minorHAnsi"/>
          <w:kern w:val="0"/>
          <w:lang w:val="en-US"/>
        </w:rPr>
        <w:t xml:space="preserve">, and </w:t>
      </w:r>
      <w:r w:rsidR="00135E3C">
        <w:rPr>
          <w:rFonts w:eastAsia="Calibri" w:cstheme="minorHAnsi"/>
          <w:kern w:val="0"/>
          <w:lang w:val="en-US"/>
        </w:rPr>
        <w:t xml:space="preserve">new regulation 22.30(2) </w:t>
      </w:r>
      <w:r w:rsidR="007F0D06">
        <w:rPr>
          <w:rFonts w:eastAsia="Calibri" w:cstheme="minorHAnsi"/>
          <w:kern w:val="0"/>
          <w:lang w:val="en-US"/>
        </w:rPr>
        <w:t>discussed below</w:t>
      </w:r>
      <w:r w:rsidRPr="00575429">
        <w:rPr>
          <w:rFonts w:eastAsia="Calibri" w:cstheme="minorHAnsi"/>
          <w:kern w:val="0"/>
          <w:lang w:val="en-US"/>
        </w:rPr>
        <w:t>.</w:t>
      </w:r>
    </w:p>
    <w:p w14:paraId="5FAF3310" w14:textId="006246C2" w:rsidR="00575429" w:rsidRPr="00575429" w:rsidRDefault="00575429" w:rsidP="00181F20">
      <w:pPr>
        <w:keepNext/>
        <w:autoSpaceDE w:val="0"/>
        <w:autoSpaceDN w:val="0"/>
        <w:spacing w:before="160" w:after="0" w:line="252" w:lineRule="auto"/>
        <w:rPr>
          <w:rFonts w:eastAsia="Calibri" w:cstheme="minorHAnsi"/>
          <w:b/>
          <w:bCs/>
          <w:kern w:val="0"/>
        </w:rPr>
      </w:pPr>
      <w:r w:rsidRPr="00575429">
        <w:rPr>
          <w:rFonts w:eastAsia="Calibri" w:cstheme="minorHAnsi"/>
          <w:b/>
          <w:bCs/>
          <w:kern w:val="0"/>
        </w:rPr>
        <w:lastRenderedPageBreak/>
        <w:t>Item</w:t>
      </w:r>
      <w:r w:rsidR="00087A56">
        <w:rPr>
          <w:rFonts w:eastAsia="Calibri" w:cstheme="minorHAnsi"/>
          <w:b/>
          <w:bCs/>
          <w:kern w:val="0"/>
        </w:rPr>
        <w:t xml:space="preserve">s </w:t>
      </w:r>
      <w:r w:rsidR="00FD613A">
        <w:rPr>
          <w:rFonts w:eastAsia="Calibri" w:cstheme="minorHAnsi"/>
          <w:b/>
          <w:bCs/>
          <w:kern w:val="0"/>
        </w:rPr>
        <w:t>[</w:t>
      </w:r>
      <w:r w:rsidR="00706803">
        <w:rPr>
          <w:rFonts w:eastAsia="Calibri" w:cstheme="minorHAnsi"/>
          <w:b/>
          <w:bCs/>
          <w:kern w:val="0"/>
        </w:rPr>
        <w:t xml:space="preserve">30], [31], </w:t>
      </w:r>
      <w:r w:rsidR="005B7A2C">
        <w:rPr>
          <w:rFonts w:eastAsia="Calibri" w:cstheme="minorHAnsi"/>
          <w:b/>
          <w:bCs/>
          <w:kern w:val="0"/>
        </w:rPr>
        <w:t>[</w:t>
      </w:r>
      <w:r w:rsidR="00320E19">
        <w:rPr>
          <w:rFonts w:eastAsia="Calibri" w:cstheme="minorHAnsi"/>
          <w:b/>
          <w:bCs/>
          <w:kern w:val="0"/>
        </w:rPr>
        <w:t>38</w:t>
      </w:r>
      <w:r w:rsidR="005B7A2C">
        <w:rPr>
          <w:rFonts w:eastAsia="Calibri" w:cstheme="minorHAnsi"/>
          <w:b/>
          <w:bCs/>
          <w:kern w:val="0"/>
        </w:rPr>
        <w:t>]</w:t>
      </w:r>
      <w:r w:rsidR="001452A0">
        <w:rPr>
          <w:rFonts w:eastAsia="Calibri" w:cstheme="minorHAnsi"/>
          <w:b/>
          <w:bCs/>
          <w:kern w:val="0"/>
        </w:rPr>
        <w:t>,</w:t>
      </w:r>
      <w:r w:rsidRPr="00575429">
        <w:rPr>
          <w:rFonts w:eastAsia="Calibri" w:cstheme="minorHAnsi"/>
          <w:b/>
          <w:bCs/>
          <w:iCs/>
          <w:kern w:val="0"/>
          <w:lang w:val="en-US"/>
        </w:rPr>
        <w:t xml:space="preserve"> [</w:t>
      </w:r>
      <w:r w:rsidR="00320E19">
        <w:rPr>
          <w:rFonts w:eastAsia="Calibri" w:cstheme="minorHAnsi"/>
          <w:b/>
          <w:bCs/>
          <w:iCs/>
          <w:kern w:val="0"/>
          <w:lang w:val="en-US"/>
        </w:rPr>
        <w:t>39</w:t>
      </w:r>
      <w:r w:rsidRPr="00575429">
        <w:rPr>
          <w:rFonts w:eastAsia="Calibri" w:cstheme="minorHAnsi"/>
          <w:b/>
          <w:bCs/>
          <w:iCs/>
          <w:kern w:val="0"/>
          <w:lang w:val="en-US"/>
        </w:rPr>
        <w:t>]</w:t>
      </w:r>
      <w:r w:rsidR="00437842" w:rsidRPr="00437842">
        <w:rPr>
          <w:rFonts w:hAnsi="Times New Roman" w:cs="Times New Roman"/>
          <w:b/>
          <w:bCs/>
          <w:iCs/>
        </w:rPr>
        <w:t xml:space="preserve"> </w:t>
      </w:r>
      <w:r w:rsidR="00437842">
        <w:rPr>
          <w:rFonts w:hAnsi="Times New Roman" w:cs="Times New Roman"/>
          <w:b/>
          <w:bCs/>
          <w:iCs/>
        </w:rPr>
        <w:t>and [</w:t>
      </w:r>
      <w:r w:rsidR="00320E19">
        <w:rPr>
          <w:rFonts w:hAnsi="Times New Roman" w:cs="Times New Roman"/>
          <w:b/>
          <w:bCs/>
          <w:iCs/>
        </w:rPr>
        <w:t>45</w:t>
      </w:r>
      <w:r w:rsidR="00437842">
        <w:rPr>
          <w:rFonts w:hAnsi="Times New Roman" w:cs="Times New Roman"/>
          <w:b/>
          <w:bCs/>
          <w:iCs/>
        </w:rPr>
        <w:t>]</w:t>
      </w:r>
      <w:r w:rsidRPr="00575429">
        <w:rPr>
          <w:rFonts w:eastAsia="Calibri" w:cstheme="minorHAnsi"/>
          <w:b/>
          <w:bCs/>
          <w:iCs/>
          <w:kern w:val="0"/>
          <w:lang w:val="en-US"/>
        </w:rPr>
        <w:t xml:space="preserve"> </w:t>
      </w:r>
      <w:r w:rsidRPr="00575429">
        <w:rPr>
          <w:rFonts w:eastAsia="Calibri" w:cstheme="minorHAnsi"/>
          <w:kern w:val="0"/>
        </w:rPr>
        <w:t>–</w:t>
      </w:r>
      <w:r w:rsidRPr="00575429">
        <w:rPr>
          <w:rFonts w:eastAsia="Calibri" w:cstheme="minorHAnsi"/>
          <w:b/>
          <w:bCs/>
          <w:kern w:val="0"/>
        </w:rPr>
        <w:t xml:space="preserve"> </w:t>
      </w:r>
      <w:r w:rsidR="00437842">
        <w:rPr>
          <w:rFonts w:eastAsia="Calibri" w:cstheme="minorHAnsi"/>
          <w:b/>
          <w:bCs/>
          <w:kern w:val="0"/>
        </w:rPr>
        <w:t>c</w:t>
      </w:r>
      <w:r w:rsidR="00437842" w:rsidRPr="00575429">
        <w:rPr>
          <w:rFonts w:eastAsia="Calibri" w:cstheme="minorHAnsi"/>
          <w:b/>
          <w:bCs/>
          <w:kern w:val="0"/>
        </w:rPr>
        <w:t xml:space="preserve">lause </w:t>
      </w:r>
      <w:r w:rsidRPr="00575429">
        <w:rPr>
          <w:rFonts w:eastAsia="Calibri" w:cstheme="minorHAnsi"/>
          <w:b/>
          <w:bCs/>
          <w:kern w:val="0"/>
        </w:rPr>
        <w:t>1 of Schedule 9</w:t>
      </w:r>
      <w:r w:rsidR="00437842">
        <w:rPr>
          <w:rFonts w:eastAsia="Calibri" w:cstheme="minorHAnsi"/>
          <w:b/>
          <w:bCs/>
          <w:kern w:val="0"/>
        </w:rPr>
        <w:t xml:space="preserve">, </w:t>
      </w:r>
      <w:r w:rsidRPr="00575429">
        <w:rPr>
          <w:rFonts w:eastAsia="Calibri" w:cstheme="minorHAnsi"/>
          <w:b/>
          <w:bCs/>
          <w:kern w:val="0"/>
        </w:rPr>
        <w:t>table items 7A, 7B</w:t>
      </w:r>
      <w:r w:rsidR="00890D87">
        <w:rPr>
          <w:rFonts w:eastAsia="Calibri" w:cstheme="minorHAnsi"/>
          <w:b/>
          <w:bCs/>
          <w:kern w:val="0"/>
        </w:rPr>
        <w:t>,</w:t>
      </w:r>
      <w:r w:rsidR="00441CCA">
        <w:rPr>
          <w:rFonts w:eastAsia="Calibri" w:cstheme="minorHAnsi"/>
          <w:b/>
          <w:bCs/>
          <w:kern w:val="0"/>
        </w:rPr>
        <w:t xml:space="preserve"> </w:t>
      </w:r>
      <w:r w:rsidR="00441CCA">
        <w:rPr>
          <w:rFonts w:hAnsi="Times New Roman" w:cs="Times New Roman"/>
          <w:b/>
          <w:bCs/>
        </w:rPr>
        <w:t>subclauses (2) and (3)</w:t>
      </w:r>
      <w:r w:rsidR="00320E19">
        <w:rPr>
          <w:rFonts w:hAnsi="Times New Roman" w:cs="Times New Roman"/>
          <w:b/>
          <w:bCs/>
        </w:rPr>
        <w:t xml:space="preserve">; </w:t>
      </w:r>
      <w:proofErr w:type="spellStart"/>
      <w:r w:rsidR="00707A6D">
        <w:rPr>
          <w:rFonts w:hAnsi="Times New Roman" w:cs="Times New Roman"/>
          <w:b/>
          <w:bCs/>
        </w:rPr>
        <w:t>subregulation</w:t>
      </w:r>
      <w:proofErr w:type="spellEnd"/>
      <w:r w:rsidR="00707A6D">
        <w:rPr>
          <w:rFonts w:hAnsi="Times New Roman" w:cs="Times New Roman"/>
          <w:b/>
          <w:bCs/>
        </w:rPr>
        <w:t xml:space="preserve"> 22.30(2)</w:t>
      </w:r>
    </w:p>
    <w:p w14:paraId="152C2441" w14:textId="4313B690" w:rsidR="00DE3306" w:rsidRDefault="00DE3306" w:rsidP="00472D7B">
      <w:pPr>
        <w:autoSpaceDE w:val="0"/>
        <w:autoSpaceDN w:val="0"/>
        <w:spacing w:before="160" w:after="0" w:line="252" w:lineRule="auto"/>
        <w:rPr>
          <w:rFonts w:eastAsia="Calibri" w:cstheme="minorHAnsi"/>
          <w:kern w:val="0"/>
        </w:rPr>
      </w:pPr>
      <w:r w:rsidRPr="00DE3306">
        <w:rPr>
          <w:rFonts w:eastAsia="Calibri" w:cstheme="minorHAnsi"/>
          <w:kern w:val="0"/>
        </w:rPr>
        <w:t>Items [</w:t>
      </w:r>
      <w:r w:rsidR="006B08A7">
        <w:rPr>
          <w:rFonts w:eastAsia="Calibri" w:cstheme="minorHAnsi"/>
          <w:kern w:val="0"/>
        </w:rPr>
        <w:t>38</w:t>
      </w:r>
      <w:r w:rsidRPr="00DE3306">
        <w:rPr>
          <w:rFonts w:eastAsia="Calibri" w:cstheme="minorHAnsi"/>
          <w:kern w:val="0"/>
        </w:rPr>
        <w:t>] and [</w:t>
      </w:r>
      <w:r w:rsidR="006B08A7">
        <w:rPr>
          <w:rFonts w:eastAsia="Calibri" w:cstheme="minorHAnsi"/>
          <w:kern w:val="0"/>
        </w:rPr>
        <w:t>45</w:t>
      </w:r>
      <w:r w:rsidRPr="00DE3306">
        <w:rPr>
          <w:rFonts w:eastAsia="Calibri" w:cstheme="minorHAnsi"/>
          <w:kern w:val="0"/>
        </w:rPr>
        <w:t xml:space="preserve">] place the table of fees in clause 1 of Schedule 9 </w:t>
      </w:r>
      <w:r w:rsidR="000841A5">
        <w:rPr>
          <w:rFonts w:hAnsi="Times New Roman" w:cs="Times New Roman"/>
        </w:rPr>
        <w:t xml:space="preserve">to the Trade Marks Regulations </w:t>
      </w:r>
      <w:r w:rsidRPr="00DE3306">
        <w:rPr>
          <w:rFonts w:eastAsia="Calibri" w:cstheme="minorHAnsi"/>
          <w:kern w:val="0"/>
        </w:rPr>
        <w:t>into new subclause (1) and insert proposed new subclauses (2) and (3)</w:t>
      </w:r>
      <w:r w:rsidR="001B4D29">
        <w:rPr>
          <w:rFonts w:eastAsia="Calibri" w:cstheme="minorHAnsi"/>
          <w:kern w:val="0"/>
        </w:rPr>
        <w:t xml:space="preserve"> into </w:t>
      </w:r>
      <w:r w:rsidR="00B255C9">
        <w:rPr>
          <w:rFonts w:eastAsia="Calibri" w:cstheme="minorHAnsi"/>
          <w:kern w:val="0"/>
        </w:rPr>
        <w:t>clause 1</w:t>
      </w:r>
      <w:r w:rsidRPr="00DE3306">
        <w:rPr>
          <w:rFonts w:eastAsia="Calibri" w:cstheme="minorHAnsi"/>
          <w:kern w:val="0"/>
        </w:rPr>
        <w:t>. The effect of the proposed new subclauses is discussed below.</w:t>
      </w:r>
    </w:p>
    <w:p w14:paraId="10EC2BA7" w14:textId="44ED480B" w:rsidR="000D1D17" w:rsidRDefault="000D1D17" w:rsidP="00472D7B">
      <w:pPr>
        <w:autoSpaceDE w:val="0"/>
        <w:autoSpaceDN w:val="0"/>
        <w:spacing w:before="160" w:after="0" w:line="252" w:lineRule="auto"/>
        <w:rPr>
          <w:rFonts w:eastAsia="Calibri" w:cstheme="minorHAnsi"/>
          <w:kern w:val="0"/>
        </w:rPr>
      </w:pPr>
      <w:r w:rsidRPr="000D1D17">
        <w:rPr>
          <w:rFonts w:eastAsia="Calibri" w:cstheme="minorHAnsi"/>
          <w:kern w:val="0"/>
        </w:rPr>
        <w:t xml:space="preserve">Item [30] </w:t>
      </w:r>
      <w:r>
        <w:rPr>
          <w:rFonts w:eastAsia="Calibri" w:cstheme="minorHAnsi"/>
          <w:kern w:val="0"/>
        </w:rPr>
        <w:t>makes</w:t>
      </w:r>
      <w:r w:rsidRPr="000D1D17">
        <w:rPr>
          <w:rFonts w:eastAsia="Calibri" w:cstheme="minorHAnsi"/>
          <w:kern w:val="0"/>
        </w:rPr>
        <w:t xml:space="preserve"> a consequential amendment to paragraph 3A.5(1)(b) of the Trade Marks Regulations, so that</w:t>
      </w:r>
      <w:r>
        <w:rPr>
          <w:rFonts w:eastAsia="Calibri" w:cstheme="minorHAnsi"/>
          <w:kern w:val="0"/>
        </w:rPr>
        <w:t xml:space="preserve"> a</w:t>
      </w:r>
      <w:r w:rsidRPr="000D1D17">
        <w:rPr>
          <w:rFonts w:eastAsia="Calibri" w:cstheme="minorHAnsi"/>
          <w:kern w:val="0"/>
        </w:rPr>
        <w:t xml:space="preserve"> reference to clause 1 of Schedule 9 </w:t>
      </w:r>
      <w:r w:rsidR="004A6947">
        <w:rPr>
          <w:rFonts w:eastAsia="Calibri" w:cstheme="minorHAnsi"/>
          <w:kern w:val="0"/>
        </w:rPr>
        <w:t>refers to</w:t>
      </w:r>
      <w:r w:rsidRPr="000D1D17">
        <w:rPr>
          <w:rFonts w:eastAsia="Calibri" w:cstheme="minorHAnsi"/>
          <w:kern w:val="0"/>
        </w:rPr>
        <w:t xml:space="preserve"> subclause 1(1) of th</w:t>
      </w:r>
      <w:r w:rsidR="00054157">
        <w:rPr>
          <w:rFonts w:eastAsia="Calibri" w:cstheme="minorHAnsi"/>
          <w:kern w:val="0"/>
        </w:rPr>
        <w:t xml:space="preserve">at </w:t>
      </w:r>
      <w:r w:rsidRPr="000D1D17">
        <w:rPr>
          <w:rFonts w:eastAsia="Calibri" w:cstheme="minorHAnsi"/>
          <w:kern w:val="0"/>
        </w:rPr>
        <w:t>Schedule instead.</w:t>
      </w:r>
    </w:p>
    <w:p w14:paraId="5F46CBBF" w14:textId="664F83FB" w:rsidR="00575429" w:rsidRPr="00575429" w:rsidRDefault="00DE3306" w:rsidP="00472D7B">
      <w:pPr>
        <w:autoSpaceDE w:val="0"/>
        <w:autoSpaceDN w:val="0"/>
        <w:spacing w:before="160" w:after="0" w:line="252" w:lineRule="auto"/>
        <w:rPr>
          <w:rFonts w:eastAsia="Calibri" w:cstheme="minorHAnsi"/>
          <w:kern w:val="0"/>
        </w:rPr>
      </w:pPr>
      <w:r>
        <w:rPr>
          <w:rFonts w:eastAsia="Calibri" w:cstheme="minorHAnsi"/>
          <w:kern w:val="0"/>
        </w:rPr>
        <w:t>Item [</w:t>
      </w:r>
      <w:r w:rsidR="005B04F1">
        <w:rPr>
          <w:rFonts w:eastAsia="Calibri" w:cstheme="minorHAnsi"/>
          <w:kern w:val="0"/>
        </w:rPr>
        <w:t>39</w:t>
      </w:r>
      <w:r>
        <w:rPr>
          <w:rFonts w:eastAsia="Calibri" w:cstheme="minorHAnsi"/>
          <w:kern w:val="0"/>
        </w:rPr>
        <w:t xml:space="preserve">] </w:t>
      </w:r>
      <w:r w:rsidR="00E27104">
        <w:rPr>
          <w:rFonts w:eastAsia="Calibri" w:cstheme="minorHAnsi"/>
          <w:kern w:val="0"/>
        </w:rPr>
        <w:t>imposes</w:t>
      </w:r>
      <w:r w:rsidR="00575429" w:rsidRPr="00575429">
        <w:rPr>
          <w:rFonts w:eastAsia="Calibri" w:cstheme="minorHAnsi"/>
          <w:kern w:val="0"/>
        </w:rPr>
        <w:t xml:space="preserve"> new fees on the filing or amending an SGP in an opposition to:</w:t>
      </w:r>
    </w:p>
    <w:p w14:paraId="3A033D8C" w14:textId="77777777" w:rsidR="00575429" w:rsidRPr="00575429" w:rsidRDefault="00575429" w:rsidP="002054C5">
      <w:pPr>
        <w:numPr>
          <w:ilvl w:val="0"/>
          <w:numId w:val="12"/>
        </w:numPr>
        <w:autoSpaceDE w:val="0"/>
        <w:autoSpaceDN w:val="0"/>
        <w:spacing w:before="80" w:after="0" w:line="252" w:lineRule="auto"/>
        <w:rPr>
          <w:rFonts w:eastAsia="Calibri" w:cstheme="minorHAnsi"/>
          <w:kern w:val="0"/>
        </w:rPr>
      </w:pPr>
      <w:r w:rsidRPr="00575429">
        <w:rPr>
          <w:rFonts w:eastAsia="Calibri" w:cstheme="minorHAnsi"/>
          <w:kern w:val="0"/>
        </w:rPr>
        <w:t>registration of a trade mark; or</w:t>
      </w:r>
    </w:p>
    <w:p w14:paraId="295CF190" w14:textId="5A61E6BF" w:rsidR="00575429" w:rsidRPr="00575429" w:rsidRDefault="00575429" w:rsidP="002054C5">
      <w:pPr>
        <w:numPr>
          <w:ilvl w:val="0"/>
          <w:numId w:val="12"/>
        </w:numPr>
        <w:autoSpaceDE w:val="0"/>
        <w:autoSpaceDN w:val="0"/>
        <w:spacing w:before="80" w:after="0" w:line="252" w:lineRule="auto"/>
        <w:rPr>
          <w:rFonts w:eastAsia="Calibri" w:cstheme="minorHAnsi"/>
          <w:kern w:val="0"/>
        </w:rPr>
      </w:pPr>
      <w:r w:rsidRPr="00575429">
        <w:rPr>
          <w:rFonts w:eastAsia="Calibri" w:cstheme="minorHAnsi"/>
          <w:kern w:val="0"/>
        </w:rPr>
        <w:t>extension of protection to a trade mark that is the subject of an IRDA.</w:t>
      </w:r>
    </w:p>
    <w:p w14:paraId="6DABE2A6" w14:textId="77777777" w:rsidR="00575429" w:rsidRPr="00575429" w:rsidRDefault="00575429" w:rsidP="00CB2305">
      <w:pPr>
        <w:keepNext/>
        <w:autoSpaceDE w:val="0"/>
        <w:autoSpaceDN w:val="0"/>
        <w:spacing w:before="160" w:after="0" w:line="252" w:lineRule="auto"/>
        <w:rPr>
          <w:rFonts w:eastAsia="Calibri" w:cstheme="minorHAnsi"/>
          <w:i/>
          <w:iCs/>
          <w:kern w:val="0"/>
        </w:rPr>
      </w:pPr>
      <w:r w:rsidRPr="00575429">
        <w:rPr>
          <w:rFonts w:eastAsia="Calibri" w:cstheme="minorHAnsi"/>
          <w:i/>
          <w:iCs/>
          <w:kern w:val="0"/>
        </w:rPr>
        <w:t>Filing SGPs</w:t>
      </w:r>
    </w:p>
    <w:p w14:paraId="7622E320" w14:textId="77777777"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There are 2 stages to commencing those opposition proceedings:</w:t>
      </w:r>
    </w:p>
    <w:p w14:paraId="33704753" w14:textId="77777777" w:rsidR="00575429" w:rsidRPr="00575429" w:rsidRDefault="00575429" w:rsidP="002054C5">
      <w:pPr>
        <w:numPr>
          <w:ilvl w:val="0"/>
          <w:numId w:val="12"/>
        </w:numPr>
        <w:autoSpaceDE w:val="0"/>
        <w:autoSpaceDN w:val="0"/>
        <w:spacing w:before="80" w:after="0" w:line="252" w:lineRule="auto"/>
        <w:rPr>
          <w:rFonts w:eastAsia="Calibri" w:cstheme="minorHAnsi"/>
          <w:kern w:val="0"/>
        </w:rPr>
      </w:pPr>
      <w:r w:rsidRPr="00575429">
        <w:rPr>
          <w:rFonts w:eastAsia="Calibri" w:cstheme="minorHAnsi"/>
          <w:kern w:val="0"/>
        </w:rPr>
        <w:t>filing the notice of intention to oppose – regulations 5.6 or 17A.33 of the Trade Marks Regulations</w:t>
      </w:r>
    </w:p>
    <w:p w14:paraId="756D0900" w14:textId="77777777" w:rsidR="00575429" w:rsidRPr="00575429" w:rsidRDefault="00575429" w:rsidP="002054C5">
      <w:pPr>
        <w:numPr>
          <w:ilvl w:val="0"/>
          <w:numId w:val="12"/>
        </w:numPr>
        <w:autoSpaceDE w:val="0"/>
        <w:autoSpaceDN w:val="0"/>
        <w:spacing w:before="80" w:after="0" w:line="252" w:lineRule="auto"/>
        <w:rPr>
          <w:rFonts w:eastAsia="Calibri" w:cstheme="minorHAnsi"/>
          <w:kern w:val="0"/>
        </w:rPr>
      </w:pPr>
      <w:r w:rsidRPr="00575429">
        <w:rPr>
          <w:rFonts w:eastAsia="Calibri" w:cstheme="minorHAnsi"/>
          <w:kern w:val="0"/>
        </w:rPr>
        <w:t>filing the SGP – regulation 5.7 or 17A.34A of the Trade Marks Regulations.</w:t>
      </w:r>
    </w:p>
    <w:p w14:paraId="72FF3AA2" w14:textId="77777777"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 xml:space="preserve">The SGP sets out the grounds of opposition and the material facts which </w:t>
      </w:r>
      <w:proofErr w:type="spellStart"/>
      <w:r w:rsidRPr="00575429">
        <w:rPr>
          <w:rFonts w:eastAsia="Calibri" w:cstheme="minorHAnsi"/>
          <w:kern w:val="0"/>
          <w:lang w:val="en-US"/>
        </w:rPr>
        <w:t>particularise</w:t>
      </w:r>
      <w:proofErr w:type="spellEnd"/>
      <w:r w:rsidRPr="00575429">
        <w:rPr>
          <w:rFonts w:eastAsia="Calibri" w:cstheme="minorHAnsi"/>
          <w:kern w:val="0"/>
          <w:lang w:val="en-US"/>
        </w:rPr>
        <w:t xml:space="preserve"> each of those grounds. The Registrar of Trade Marks (Registrar) assesses the adequacy of the SGP. The Registrar can direct the opponent to rectify any inadequacy, can delete inadequate material, or even dismiss the opposition: regulations 5.8, 17A.34B of the Trade Marks Regulations.</w:t>
      </w:r>
    </w:p>
    <w:p w14:paraId="44795FF3" w14:textId="77777777"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 xml:space="preserve">Some opponents nominate and </w:t>
      </w:r>
      <w:proofErr w:type="spellStart"/>
      <w:r w:rsidRPr="00575429">
        <w:rPr>
          <w:rFonts w:eastAsia="Calibri" w:cstheme="minorHAnsi"/>
          <w:kern w:val="0"/>
          <w:lang w:val="en-US"/>
        </w:rPr>
        <w:t>particularise</w:t>
      </w:r>
      <w:proofErr w:type="spellEnd"/>
      <w:r w:rsidRPr="00575429">
        <w:rPr>
          <w:rFonts w:eastAsia="Calibri" w:cstheme="minorHAnsi"/>
          <w:kern w:val="0"/>
          <w:lang w:val="en-US"/>
        </w:rPr>
        <w:t xml:space="preserve"> every ground of opposition, only for it to become clear later that the opponent never intended to rely on some nominated grounds. Some opponents </w:t>
      </w:r>
      <w:proofErr w:type="spellStart"/>
      <w:r w:rsidRPr="00575429">
        <w:rPr>
          <w:rFonts w:eastAsia="Calibri" w:cstheme="minorHAnsi"/>
          <w:kern w:val="0"/>
          <w:lang w:val="en-US"/>
        </w:rPr>
        <w:t>particularise</w:t>
      </w:r>
      <w:proofErr w:type="spellEnd"/>
      <w:r w:rsidRPr="00575429">
        <w:rPr>
          <w:rFonts w:eastAsia="Calibri" w:cstheme="minorHAnsi"/>
          <w:kern w:val="0"/>
          <w:lang w:val="en-US"/>
        </w:rPr>
        <w:t xml:space="preserve"> the section 44, </w:t>
      </w:r>
      <w:r w:rsidRPr="00575429">
        <w:rPr>
          <w:rFonts w:eastAsia="Calibri" w:cstheme="minorHAnsi"/>
          <w:kern w:val="0"/>
        </w:rPr>
        <w:t xml:space="preserve">the regulation 4.15A or applied section 44 ground </w:t>
      </w:r>
      <w:r w:rsidRPr="00575429">
        <w:rPr>
          <w:rFonts w:eastAsia="Calibri" w:cstheme="minorHAnsi"/>
          <w:kern w:val="0"/>
          <w:lang w:val="en-US"/>
        </w:rPr>
        <w:t xml:space="preserve">– that the opposed trade mark is substantially identical with, or deceptively </w:t>
      </w:r>
      <w:proofErr w:type="gramStart"/>
      <w:r w:rsidRPr="00575429">
        <w:rPr>
          <w:rFonts w:eastAsia="Calibri" w:cstheme="minorHAnsi"/>
          <w:kern w:val="0"/>
          <w:lang w:val="en-US"/>
        </w:rPr>
        <w:t>similar to</w:t>
      </w:r>
      <w:proofErr w:type="gramEnd"/>
      <w:r w:rsidRPr="00575429">
        <w:rPr>
          <w:rFonts w:eastAsia="Calibri" w:cstheme="minorHAnsi"/>
          <w:kern w:val="0"/>
          <w:lang w:val="en-US"/>
        </w:rPr>
        <w:t xml:space="preserve"> a registered or protected trade mark – by listing many registered or protected </w:t>
      </w:r>
      <w:proofErr w:type="spellStart"/>
      <w:r w:rsidRPr="00575429">
        <w:rPr>
          <w:rFonts w:eastAsia="Calibri" w:cstheme="minorHAnsi"/>
          <w:kern w:val="0"/>
          <w:lang w:val="en-US"/>
        </w:rPr>
        <w:t>trade marks</w:t>
      </w:r>
      <w:proofErr w:type="spellEnd"/>
      <w:r w:rsidRPr="00575429">
        <w:rPr>
          <w:rFonts w:eastAsia="Calibri" w:cstheme="minorHAnsi"/>
          <w:kern w:val="0"/>
          <w:lang w:val="en-US"/>
        </w:rPr>
        <w:t xml:space="preserve">. In some oppositions, this extensive listing in the SGP is unnecessary: the opposed trade mark can be refused registration or extension of protection because of a few very-similar marks listed in the SGP. The other listed </w:t>
      </w:r>
      <w:proofErr w:type="spellStart"/>
      <w:r w:rsidRPr="00575429">
        <w:rPr>
          <w:rFonts w:eastAsia="Calibri" w:cstheme="minorHAnsi"/>
          <w:kern w:val="0"/>
          <w:lang w:val="en-US"/>
        </w:rPr>
        <w:t>trade marks</w:t>
      </w:r>
      <w:proofErr w:type="spellEnd"/>
      <w:r w:rsidRPr="00575429">
        <w:rPr>
          <w:rFonts w:eastAsia="Calibri" w:cstheme="minorHAnsi"/>
          <w:kern w:val="0"/>
          <w:lang w:val="en-US"/>
        </w:rPr>
        <w:t xml:space="preserve"> may be too different to the opposed trade mark, or have goods or services that are too different, to be relevant to the proceedings.</w:t>
      </w:r>
    </w:p>
    <w:p w14:paraId="7F62B3EE" w14:textId="77777777"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This practice imposes substantial work on the Registrar in reviewing the adequacy of the SGP. Even if the SGP is found to be adequate, or is made adequate, it may still put the applicant or holder to unnecessary cost: in preparing to defend the trade mark on grounds that the opponent will not rely on.</w:t>
      </w:r>
    </w:p>
    <w:p w14:paraId="089DBCAE" w14:textId="138733F0" w:rsidR="00575429" w:rsidRPr="00575429" w:rsidRDefault="00886DDF" w:rsidP="00472D7B">
      <w:pPr>
        <w:autoSpaceDE w:val="0"/>
        <w:autoSpaceDN w:val="0"/>
        <w:spacing w:before="160" w:after="0" w:line="252" w:lineRule="auto"/>
        <w:rPr>
          <w:rFonts w:eastAsia="Calibri" w:cstheme="minorHAnsi"/>
          <w:kern w:val="0"/>
        </w:rPr>
      </w:pPr>
      <w:r>
        <w:rPr>
          <w:rFonts w:eastAsia="Calibri" w:cstheme="minorHAnsi"/>
          <w:kern w:val="0"/>
        </w:rPr>
        <w:t>New</w:t>
      </w:r>
      <w:r w:rsidR="00575429" w:rsidRPr="00575429">
        <w:rPr>
          <w:rFonts w:eastAsia="Calibri" w:cstheme="minorHAnsi"/>
          <w:kern w:val="0"/>
        </w:rPr>
        <w:t xml:space="preserve"> table item 7A in clause 1 of Schedule 9 to the Trade Marks Regulations </w:t>
      </w:r>
      <w:r w:rsidR="00E27104">
        <w:rPr>
          <w:rFonts w:eastAsia="Calibri" w:cstheme="minorHAnsi"/>
          <w:kern w:val="0"/>
        </w:rPr>
        <w:t>imposes</w:t>
      </w:r>
      <w:r w:rsidR="00575429" w:rsidRPr="00575429">
        <w:rPr>
          <w:rFonts w:eastAsia="Calibri" w:cstheme="minorHAnsi"/>
          <w:kern w:val="0"/>
        </w:rPr>
        <w:t xml:space="preserve"> a </w:t>
      </w:r>
      <w:r w:rsidR="00BF6E82">
        <w:rPr>
          <w:rFonts w:eastAsia="Calibri" w:cstheme="minorHAnsi"/>
          <w:kern w:val="0"/>
        </w:rPr>
        <w:t xml:space="preserve">new </w:t>
      </w:r>
      <w:r w:rsidR="00575429" w:rsidRPr="00575429">
        <w:rPr>
          <w:rFonts w:eastAsia="Calibri" w:cstheme="minorHAnsi"/>
          <w:kern w:val="0"/>
        </w:rPr>
        <w:t xml:space="preserve">fee for filing an SGP in an opposition to registration or extension of protection. The </w:t>
      </w:r>
      <w:r w:rsidR="00BF6E82">
        <w:rPr>
          <w:rFonts w:eastAsia="Calibri" w:cstheme="minorHAnsi"/>
          <w:kern w:val="0"/>
        </w:rPr>
        <w:t xml:space="preserve">new </w:t>
      </w:r>
      <w:r w:rsidR="00575429" w:rsidRPr="00575429">
        <w:rPr>
          <w:rFonts w:eastAsia="Calibri" w:cstheme="minorHAnsi"/>
          <w:kern w:val="0"/>
        </w:rPr>
        <w:t>fee consist</w:t>
      </w:r>
      <w:r w:rsidR="001D6A29">
        <w:rPr>
          <w:rFonts w:eastAsia="Calibri" w:cstheme="minorHAnsi"/>
          <w:kern w:val="0"/>
        </w:rPr>
        <w:t>s</w:t>
      </w:r>
      <w:r w:rsidR="00575429" w:rsidRPr="00575429">
        <w:rPr>
          <w:rFonts w:eastAsia="Calibri" w:cstheme="minorHAnsi"/>
          <w:kern w:val="0"/>
        </w:rPr>
        <w:t xml:space="preserve"> of the sum of the following amounts:</w:t>
      </w:r>
    </w:p>
    <w:p w14:paraId="265C2592" w14:textId="6F8AC5BF" w:rsidR="00575429" w:rsidRPr="00575429" w:rsidRDefault="00575429" w:rsidP="002054C5">
      <w:pPr>
        <w:numPr>
          <w:ilvl w:val="0"/>
          <w:numId w:val="12"/>
        </w:numPr>
        <w:autoSpaceDE w:val="0"/>
        <w:autoSpaceDN w:val="0"/>
        <w:spacing w:before="80" w:after="0" w:line="252" w:lineRule="auto"/>
        <w:rPr>
          <w:rFonts w:eastAsia="Calibri" w:cstheme="minorHAnsi"/>
          <w:kern w:val="0"/>
        </w:rPr>
      </w:pPr>
      <w:r w:rsidRPr="00575429">
        <w:rPr>
          <w:rFonts w:eastAsia="Calibri" w:cstheme="minorHAnsi"/>
          <w:kern w:val="0"/>
        </w:rPr>
        <w:t xml:space="preserve">$250 for each ground </w:t>
      </w:r>
      <w:r w:rsidR="00BA07ED">
        <w:rPr>
          <w:rFonts w:hAnsi="Times New Roman" w:cs="Times New Roman"/>
        </w:rPr>
        <w:t>covered by new subclause (2) set out in the SGP</w:t>
      </w:r>
      <w:r w:rsidR="00BA07ED" w:rsidRPr="00575429">
        <w:rPr>
          <w:rFonts w:eastAsia="Calibri" w:cstheme="minorHAnsi"/>
          <w:kern w:val="0"/>
        </w:rPr>
        <w:t xml:space="preserve"> </w:t>
      </w:r>
      <w:r w:rsidRPr="00575429">
        <w:rPr>
          <w:rFonts w:eastAsia="Calibri" w:cstheme="minorHAnsi"/>
          <w:kern w:val="0"/>
        </w:rPr>
        <w:t>after the third such ground</w:t>
      </w:r>
    </w:p>
    <w:p w14:paraId="381A1B05" w14:textId="76BC5CEB" w:rsidR="00575429" w:rsidRPr="00575429" w:rsidRDefault="00575429" w:rsidP="002054C5">
      <w:pPr>
        <w:numPr>
          <w:ilvl w:val="0"/>
          <w:numId w:val="12"/>
        </w:numPr>
        <w:autoSpaceDE w:val="0"/>
        <w:autoSpaceDN w:val="0"/>
        <w:spacing w:before="80" w:after="0" w:line="252" w:lineRule="auto"/>
        <w:rPr>
          <w:rFonts w:eastAsia="Calibri" w:cstheme="minorHAnsi"/>
          <w:kern w:val="0"/>
        </w:rPr>
      </w:pPr>
      <w:r w:rsidRPr="00575429">
        <w:rPr>
          <w:rFonts w:eastAsia="Calibri" w:cstheme="minorHAnsi"/>
          <w:kern w:val="0"/>
        </w:rPr>
        <w:t xml:space="preserve">$250 for each </w:t>
      </w:r>
      <w:r w:rsidRPr="00575429">
        <w:rPr>
          <w:rFonts w:eastAsia="Calibri" w:cstheme="minorHAnsi"/>
          <w:kern w:val="0"/>
          <w:lang w:val="en-US"/>
        </w:rPr>
        <w:t xml:space="preserve">trade mark </w:t>
      </w:r>
      <w:r w:rsidR="002D0DE4">
        <w:rPr>
          <w:rFonts w:hAnsi="Times New Roman" w:cs="Times New Roman"/>
        </w:rPr>
        <w:t xml:space="preserve">covered by proposed new subclause (3) </w:t>
      </w:r>
      <w:r w:rsidRPr="00575429">
        <w:rPr>
          <w:rFonts w:eastAsia="Calibri" w:cstheme="minorHAnsi"/>
          <w:kern w:val="0"/>
          <w:lang w:val="en-US"/>
        </w:rPr>
        <w:t xml:space="preserve">in relation to the </w:t>
      </w:r>
      <w:r w:rsidR="002D0DE4">
        <w:rPr>
          <w:rFonts w:eastAsia="Calibri" w:cstheme="minorHAnsi"/>
          <w:kern w:val="0"/>
          <w:lang w:val="en-US"/>
        </w:rPr>
        <w:t xml:space="preserve">SGP </w:t>
      </w:r>
      <w:r w:rsidRPr="00575429">
        <w:rPr>
          <w:rFonts w:eastAsia="Calibri" w:cstheme="minorHAnsi"/>
          <w:kern w:val="0"/>
          <w:lang w:val="en-US"/>
        </w:rPr>
        <w:t>after the tenth such trade mark</w:t>
      </w:r>
      <w:r w:rsidRPr="00575429">
        <w:rPr>
          <w:rFonts w:eastAsia="Calibri" w:cstheme="minorHAnsi"/>
          <w:kern w:val="0"/>
        </w:rPr>
        <w:t>.</w:t>
      </w:r>
    </w:p>
    <w:p w14:paraId="5C8B6582" w14:textId="55E4DC75" w:rsidR="00575429" w:rsidRPr="00575429" w:rsidRDefault="00E60DE7" w:rsidP="00472D7B">
      <w:pPr>
        <w:autoSpaceDE w:val="0"/>
        <w:autoSpaceDN w:val="0"/>
        <w:spacing w:before="160" w:after="0" w:line="252" w:lineRule="auto"/>
        <w:rPr>
          <w:rFonts w:eastAsia="Calibri" w:cstheme="minorHAnsi"/>
          <w:kern w:val="0"/>
          <w:lang w:val="en-US"/>
        </w:rPr>
      </w:pPr>
      <w:r>
        <w:rPr>
          <w:rFonts w:hAnsi="Times New Roman" w:cs="Times New Roman"/>
        </w:rPr>
        <w:t xml:space="preserve">New </w:t>
      </w:r>
      <w:r w:rsidR="009B7425">
        <w:rPr>
          <w:rFonts w:hAnsi="Times New Roman" w:cs="Times New Roman"/>
        </w:rPr>
        <w:t xml:space="preserve">subclause </w:t>
      </w:r>
      <w:r w:rsidR="00213D2E">
        <w:rPr>
          <w:rFonts w:hAnsi="Times New Roman" w:cs="Times New Roman"/>
        </w:rPr>
        <w:t>1</w:t>
      </w:r>
      <w:r w:rsidR="009B7425">
        <w:rPr>
          <w:rFonts w:hAnsi="Times New Roman" w:cs="Times New Roman"/>
        </w:rPr>
        <w:t xml:space="preserve">(2) </w:t>
      </w:r>
      <w:r w:rsidR="00213D2E">
        <w:rPr>
          <w:rFonts w:hAnsi="Times New Roman" w:cs="Times New Roman"/>
        </w:rPr>
        <w:t xml:space="preserve">of </w:t>
      </w:r>
      <w:r w:rsidR="00D95EAE">
        <w:rPr>
          <w:rFonts w:hAnsi="Times New Roman" w:cs="Times New Roman"/>
        </w:rPr>
        <w:t xml:space="preserve">Schedule 9 </w:t>
      </w:r>
      <w:r w:rsidR="00D95EAE" w:rsidRPr="006344E3">
        <w:rPr>
          <w:rFonts w:hAnsi="Times New Roman" w:cs="Times New Roman"/>
        </w:rPr>
        <w:t xml:space="preserve">to the Trade Marks Regulations </w:t>
      </w:r>
      <w:r w:rsidR="00BC5483">
        <w:rPr>
          <w:rFonts w:hAnsi="Times New Roman" w:cs="Times New Roman"/>
        </w:rPr>
        <w:t xml:space="preserve">provides </w:t>
      </w:r>
      <w:r w:rsidR="009B7425">
        <w:rPr>
          <w:rFonts w:hAnsi="Times New Roman" w:cs="Times New Roman"/>
        </w:rPr>
        <w:t xml:space="preserve">that the grounds listed in the SGP </w:t>
      </w:r>
      <w:r w:rsidR="00BC5483">
        <w:rPr>
          <w:rFonts w:hAnsi="Times New Roman" w:cs="Times New Roman"/>
        </w:rPr>
        <w:t>are</w:t>
      </w:r>
      <w:r w:rsidR="009B7425">
        <w:rPr>
          <w:rFonts w:hAnsi="Times New Roman" w:cs="Times New Roman"/>
        </w:rPr>
        <w:t xml:space="preserve"> counted </w:t>
      </w:r>
      <w:r w:rsidR="00737022">
        <w:rPr>
          <w:rFonts w:hAnsi="Times New Roman" w:cs="Times New Roman"/>
        </w:rPr>
        <w:t>in</w:t>
      </w:r>
      <w:r w:rsidR="009B7425">
        <w:rPr>
          <w:rFonts w:hAnsi="Times New Roman" w:cs="Times New Roman"/>
        </w:rPr>
        <w:t xml:space="preserve"> reckoning the amount of the proposed new fee. This </w:t>
      </w:r>
      <w:r w:rsidR="00BC5483">
        <w:rPr>
          <w:rFonts w:hAnsi="Times New Roman" w:cs="Times New Roman"/>
        </w:rPr>
        <w:t>is</w:t>
      </w:r>
      <w:r w:rsidR="009B7425">
        <w:rPr>
          <w:rFonts w:hAnsi="Times New Roman" w:cs="Times New Roman"/>
        </w:rPr>
        <w:t xml:space="preserve"> subject to 2</w:t>
      </w:r>
      <w:r w:rsidR="00B40C4F">
        <w:rPr>
          <w:rFonts w:hAnsi="Times New Roman" w:cs="Times New Roman"/>
        </w:rPr>
        <w:t> </w:t>
      </w:r>
      <w:r w:rsidR="009B7425">
        <w:rPr>
          <w:rFonts w:hAnsi="Times New Roman" w:cs="Times New Roman"/>
        </w:rPr>
        <w:t>exceptions</w:t>
      </w:r>
      <w:r w:rsidR="00575429" w:rsidRPr="00575429">
        <w:rPr>
          <w:rFonts w:eastAsia="Calibri" w:cstheme="minorHAnsi"/>
          <w:kern w:val="0"/>
          <w:lang w:val="en-US"/>
        </w:rPr>
        <w:t>:</w:t>
      </w:r>
    </w:p>
    <w:p w14:paraId="6AC20C22" w14:textId="565DE8CE" w:rsidR="00575429" w:rsidRPr="00575429" w:rsidRDefault="00575429" w:rsidP="002054C5">
      <w:pPr>
        <w:numPr>
          <w:ilvl w:val="0"/>
          <w:numId w:val="13"/>
        </w:numPr>
        <w:autoSpaceDE w:val="0"/>
        <w:autoSpaceDN w:val="0"/>
        <w:spacing w:before="80" w:after="0" w:line="252" w:lineRule="auto"/>
        <w:rPr>
          <w:rFonts w:eastAsia="Calibri" w:cstheme="minorHAnsi"/>
          <w:kern w:val="0"/>
        </w:rPr>
      </w:pPr>
      <w:r w:rsidRPr="00575429">
        <w:rPr>
          <w:rFonts w:eastAsia="Calibri" w:cstheme="minorHAnsi"/>
          <w:kern w:val="0"/>
        </w:rPr>
        <w:t xml:space="preserve">The section 58A ground – opponent’s earlier use of a similar trade mark – </w:t>
      </w:r>
      <w:r w:rsidR="00505DF1">
        <w:rPr>
          <w:rFonts w:eastAsia="Calibri" w:cstheme="minorHAnsi"/>
          <w:kern w:val="0"/>
        </w:rPr>
        <w:t>is not</w:t>
      </w:r>
      <w:r w:rsidRPr="00575429">
        <w:rPr>
          <w:rFonts w:eastAsia="Calibri" w:cstheme="minorHAnsi"/>
          <w:kern w:val="0"/>
        </w:rPr>
        <w:t xml:space="preserve"> reckoned in the count of grounds. The section 58A ground </w:t>
      </w:r>
      <w:r w:rsidR="00993D3E">
        <w:rPr>
          <w:rFonts w:eastAsia="Calibri" w:cstheme="minorHAnsi"/>
          <w:kern w:val="0"/>
        </w:rPr>
        <w:t>is</w:t>
      </w:r>
      <w:r w:rsidRPr="00575429">
        <w:rPr>
          <w:rFonts w:eastAsia="Calibri" w:cstheme="minorHAnsi"/>
          <w:kern w:val="0"/>
        </w:rPr>
        <w:t xml:space="preserve"> a corollary of the </w:t>
      </w:r>
      <w:r w:rsidRPr="00575429">
        <w:rPr>
          <w:rFonts w:eastAsia="Calibri" w:cstheme="minorHAnsi"/>
          <w:kern w:val="0"/>
          <w:lang w:val="en-US"/>
        </w:rPr>
        <w:t xml:space="preserve">section 44, </w:t>
      </w:r>
      <w:r w:rsidRPr="00575429">
        <w:rPr>
          <w:rFonts w:eastAsia="Calibri" w:cstheme="minorHAnsi"/>
          <w:kern w:val="0"/>
        </w:rPr>
        <w:t xml:space="preserve">regulation 4.15A or applied section 44 grounds. As such, the opponent is expected to only nominate the </w:t>
      </w:r>
      <w:r w:rsidRPr="00575429">
        <w:rPr>
          <w:rFonts w:eastAsia="Calibri" w:cstheme="minorHAnsi"/>
          <w:kern w:val="0"/>
        </w:rPr>
        <w:lastRenderedPageBreak/>
        <w:t>section</w:t>
      </w:r>
      <w:r w:rsidR="00D2543A">
        <w:rPr>
          <w:rFonts w:eastAsia="Calibri" w:cstheme="minorHAnsi"/>
          <w:kern w:val="0"/>
        </w:rPr>
        <w:t> </w:t>
      </w:r>
      <w:r w:rsidRPr="00575429">
        <w:rPr>
          <w:rFonts w:eastAsia="Calibri" w:cstheme="minorHAnsi"/>
          <w:kern w:val="0"/>
        </w:rPr>
        <w:t xml:space="preserve">58A ground – if the opponent also nominates one of the </w:t>
      </w:r>
      <w:proofErr w:type="gramStart"/>
      <w:r w:rsidRPr="00575429">
        <w:rPr>
          <w:rFonts w:eastAsia="Calibri" w:cstheme="minorHAnsi"/>
          <w:kern w:val="0"/>
          <w:lang w:val="en-US"/>
        </w:rPr>
        <w:t>section</w:t>
      </w:r>
      <w:proofErr w:type="gramEnd"/>
      <w:r w:rsidRPr="00575429">
        <w:rPr>
          <w:rFonts w:eastAsia="Calibri" w:cstheme="minorHAnsi"/>
          <w:kern w:val="0"/>
          <w:lang w:val="en-US"/>
        </w:rPr>
        <w:t xml:space="preserve"> 44, </w:t>
      </w:r>
      <w:r w:rsidRPr="00575429">
        <w:rPr>
          <w:rFonts w:eastAsia="Calibri" w:cstheme="minorHAnsi"/>
          <w:kern w:val="0"/>
        </w:rPr>
        <w:t>regulation 4.15A or applied section 44 grounds.</w:t>
      </w:r>
    </w:p>
    <w:p w14:paraId="31586160" w14:textId="7DEC9964" w:rsidR="00575429" w:rsidRPr="00D37FAC" w:rsidRDefault="00575429" w:rsidP="002054C5">
      <w:pPr>
        <w:numPr>
          <w:ilvl w:val="0"/>
          <w:numId w:val="13"/>
        </w:numPr>
        <w:autoSpaceDE w:val="0"/>
        <w:autoSpaceDN w:val="0"/>
        <w:spacing w:before="80" w:after="0" w:line="252" w:lineRule="auto"/>
        <w:rPr>
          <w:rFonts w:eastAsia="Calibri" w:cstheme="minorHAnsi"/>
          <w:kern w:val="0"/>
        </w:rPr>
      </w:pPr>
      <w:r w:rsidRPr="00575429">
        <w:rPr>
          <w:rFonts w:eastAsia="Calibri" w:cstheme="minorHAnsi"/>
          <w:kern w:val="0"/>
        </w:rPr>
        <w:t xml:space="preserve">The regulation 4.15A ground </w:t>
      </w:r>
      <w:r w:rsidR="002E30BE">
        <w:rPr>
          <w:rFonts w:eastAsia="Calibri" w:cstheme="minorHAnsi"/>
          <w:kern w:val="0"/>
        </w:rPr>
        <w:t>is not</w:t>
      </w:r>
      <w:r w:rsidRPr="00575429">
        <w:rPr>
          <w:rFonts w:eastAsia="Calibri" w:cstheme="minorHAnsi"/>
          <w:kern w:val="0"/>
        </w:rPr>
        <w:t xml:space="preserve"> reckoned in the count of grounds – if the section</w:t>
      </w:r>
      <w:r w:rsidR="008E0928">
        <w:rPr>
          <w:rFonts w:eastAsia="Calibri" w:cstheme="minorHAnsi"/>
          <w:kern w:val="0"/>
        </w:rPr>
        <w:t> </w:t>
      </w:r>
      <w:r w:rsidRPr="00575429">
        <w:rPr>
          <w:rFonts w:eastAsia="Calibri" w:cstheme="minorHAnsi"/>
          <w:kern w:val="0"/>
        </w:rPr>
        <w:t>4</w:t>
      </w:r>
      <w:r w:rsidR="008E0928">
        <w:rPr>
          <w:rFonts w:eastAsia="Calibri" w:cstheme="minorHAnsi"/>
          <w:kern w:val="0"/>
        </w:rPr>
        <w:t>4</w:t>
      </w:r>
      <w:r w:rsidRPr="00575429">
        <w:rPr>
          <w:rFonts w:eastAsia="Calibri" w:cstheme="minorHAnsi"/>
          <w:kern w:val="0"/>
        </w:rPr>
        <w:t xml:space="preserve"> ground is also</w:t>
      </w:r>
      <w:r w:rsidRPr="00575429" w:rsidDel="00A463D3">
        <w:rPr>
          <w:rFonts w:eastAsia="Calibri" w:cstheme="minorHAnsi"/>
          <w:kern w:val="0"/>
        </w:rPr>
        <w:t xml:space="preserve"> </w:t>
      </w:r>
      <w:r w:rsidR="00A463D3">
        <w:rPr>
          <w:rFonts w:eastAsia="Calibri" w:cstheme="minorHAnsi"/>
          <w:kern w:val="0"/>
        </w:rPr>
        <w:t>set out in the SGP</w:t>
      </w:r>
      <w:r w:rsidRPr="00575429">
        <w:rPr>
          <w:rFonts w:eastAsia="Calibri" w:cstheme="minorHAnsi"/>
          <w:kern w:val="0"/>
        </w:rPr>
        <w:t xml:space="preserve">. Those grounds </w:t>
      </w:r>
      <w:r w:rsidR="00993D3E">
        <w:rPr>
          <w:rFonts w:eastAsia="Calibri" w:cstheme="minorHAnsi"/>
          <w:kern w:val="0"/>
        </w:rPr>
        <w:t>are</w:t>
      </w:r>
      <w:r w:rsidRPr="00575429">
        <w:rPr>
          <w:rFonts w:eastAsia="Calibri" w:cstheme="minorHAnsi"/>
          <w:kern w:val="0"/>
        </w:rPr>
        <w:t xml:space="preserve"> complementary </w:t>
      </w:r>
      <w:r w:rsidR="00477E81">
        <w:rPr>
          <w:rFonts w:eastAsia="Calibri" w:cstheme="minorHAnsi"/>
          <w:kern w:val="0"/>
        </w:rPr>
        <w:t xml:space="preserve">and </w:t>
      </w:r>
      <w:r w:rsidRPr="00575429">
        <w:rPr>
          <w:rFonts w:eastAsia="Calibri" w:cstheme="minorHAnsi"/>
          <w:kern w:val="0"/>
        </w:rPr>
        <w:t xml:space="preserve">should be counted as a single ground for reckoning the amount of the new fee. </w:t>
      </w:r>
      <w:r w:rsidR="00D37FAC" w:rsidRPr="0040741A">
        <w:rPr>
          <w:rFonts w:eastAsia="Calibri" w:cstheme="minorHAnsi"/>
          <w:kern w:val="0"/>
        </w:rPr>
        <w:t>Note that an opposition to extension of protection nominates the applied section 44 ground in respect of both registered and protected marks: it is not necessary to nominate the regulation 4.15A ground.</w:t>
      </w:r>
    </w:p>
    <w:p w14:paraId="41229C37" w14:textId="78C58AA2" w:rsidR="00142D50" w:rsidRPr="00142D50" w:rsidRDefault="00142D50" w:rsidP="003E4355">
      <w:pPr>
        <w:autoSpaceDE w:val="0"/>
        <w:autoSpaceDN w:val="0"/>
        <w:spacing w:before="160" w:after="0" w:line="252" w:lineRule="auto"/>
        <w:ind w:left="360"/>
        <w:rPr>
          <w:rFonts w:eastAsia="Calibri" w:cstheme="minorHAnsi"/>
          <w:kern w:val="0"/>
        </w:rPr>
      </w:pPr>
      <w:r>
        <w:rPr>
          <w:rFonts w:eastAsia="Calibri" w:cstheme="minorHAnsi"/>
          <w:kern w:val="0"/>
          <w:lang w:val="en-US"/>
        </w:rPr>
        <w:t>N</w:t>
      </w:r>
      <w:r w:rsidRPr="00142D50">
        <w:rPr>
          <w:rFonts w:eastAsia="Calibri" w:cstheme="minorHAnsi"/>
          <w:kern w:val="0"/>
          <w:lang w:val="en-US"/>
        </w:rPr>
        <w:t xml:space="preserve">ew subclause (3) </w:t>
      </w:r>
      <w:r w:rsidR="00DB58B9">
        <w:rPr>
          <w:rFonts w:eastAsia="Calibri" w:cstheme="minorHAnsi"/>
          <w:kern w:val="0"/>
          <w:lang w:val="en-US"/>
        </w:rPr>
        <w:t xml:space="preserve">has </w:t>
      </w:r>
      <w:r w:rsidRPr="00142D50">
        <w:rPr>
          <w:rFonts w:eastAsia="Calibri" w:cstheme="minorHAnsi"/>
          <w:kern w:val="0"/>
          <w:lang w:val="en-US"/>
        </w:rPr>
        <w:t>the following effect on reckoning the amount of the new fee:</w:t>
      </w:r>
    </w:p>
    <w:p w14:paraId="02560B81" w14:textId="7AB397A0" w:rsidR="00142D50" w:rsidRPr="0044285E" w:rsidRDefault="00142D50" w:rsidP="0044285E">
      <w:pPr>
        <w:numPr>
          <w:ilvl w:val="0"/>
          <w:numId w:val="13"/>
        </w:numPr>
        <w:autoSpaceDE w:val="0"/>
        <w:autoSpaceDN w:val="0"/>
        <w:spacing w:before="80" w:after="0" w:line="252" w:lineRule="auto"/>
        <w:rPr>
          <w:rFonts w:eastAsia="Calibri" w:cstheme="minorHAnsi"/>
          <w:kern w:val="0"/>
        </w:rPr>
      </w:pPr>
      <w:r w:rsidRPr="00142D50">
        <w:rPr>
          <w:rFonts w:eastAsia="Calibri" w:cstheme="minorHAnsi"/>
          <w:kern w:val="0"/>
        </w:rPr>
        <w:t>A trade mark that the SGP claims as the basis of the section 44 ground, the regulation 4.15A ground or the applied section 44 ground is to be counted once in reckoning the proposed new fee. This is to be so even if the trade mark is also listed as supporting another ground: for example, the ground in section 60 of the Trade Marks Act (section 60 ground) – the opposed trade mark is similar to another trade mark that has acquired a reputation in Australia section 60 ground.</w:t>
      </w:r>
    </w:p>
    <w:p w14:paraId="57DD025B" w14:textId="61D94303" w:rsidR="00575429" w:rsidRPr="00575429" w:rsidRDefault="00575429" w:rsidP="002054C5">
      <w:pPr>
        <w:numPr>
          <w:ilvl w:val="0"/>
          <w:numId w:val="13"/>
        </w:numPr>
        <w:autoSpaceDE w:val="0"/>
        <w:autoSpaceDN w:val="0"/>
        <w:spacing w:before="80" w:after="0" w:line="252" w:lineRule="auto"/>
        <w:rPr>
          <w:rFonts w:eastAsia="Calibri" w:cstheme="minorHAnsi"/>
          <w:kern w:val="0"/>
        </w:rPr>
      </w:pPr>
      <w:r w:rsidRPr="00575429">
        <w:rPr>
          <w:rFonts w:eastAsia="Calibri" w:cstheme="minorHAnsi"/>
          <w:kern w:val="0"/>
        </w:rPr>
        <w:t xml:space="preserve">A trade mark that </w:t>
      </w:r>
      <w:r w:rsidR="0045563A">
        <w:rPr>
          <w:rFonts w:eastAsia="Calibri" w:cstheme="minorHAnsi"/>
          <w:kern w:val="0"/>
        </w:rPr>
        <w:t xml:space="preserve">the SGP does not claim </w:t>
      </w:r>
      <w:r w:rsidRPr="00575429">
        <w:rPr>
          <w:rFonts w:eastAsia="Calibri" w:cstheme="minorHAnsi"/>
          <w:kern w:val="0"/>
        </w:rPr>
        <w:t xml:space="preserve">as the basis of the section 44 ground, the regulation 4.15A ground or the applied section 44 ground is not counted in reckoning the new fee. For example, a trade mark that is only listed as the basis for the </w:t>
      </w:r>
      <w:r w:rsidR="00657F48">
        <w:rPr>
          <w:rFonts w:eastAsia="Calibri" w:cstheme="minorHAnsi"/>
          <w:kern w:val="0"/>
        </w:rPr>
        <w:t xml:space="preserve">section 60 </w:t>
      </w:r>
      <w:r w:rsidRPr="00575429">
        <w:rPr>
          <w:rFonts w:eastAsia="Calibri" w:cstheme="minorHAnsi"/>
          <w:kern w:val="0"/>
        </w:rPr>
        <w:t xml:space="preserve">ground </w:t>
      </w:r>
      <w:r w:rsidR="00D8038D">
        <w:rPr>
          <w:rFonts w:eastAsia="Calibri" w:cstheme="minorHAnsi"/>
          <w:kern w:val="0"/>
        </w:rPr>
        <w:t>is not</w:t>
      </w:r>
      <w:r w:rsidRPr="00575429">
        <w:rPr>
          <w:rFonts w:eastAsia="Calibri" w:cstheme="minorHAnsi"/>
          <w:kern w:val="0"/>
        </w:rPr>
        <w:t xml:space="preserve"> counted.</w:t>
      </w:r>
    </w:p>
    <w:p w14:paraId="08593A2B" w14:textId="56CCC6CA" w:rsidR="00575429" w:rsidRPr="00575429" w:rsidRDefault="00575429" w:rsidP="002054C5">
      <w:pPr>
        <w:numPr>
          <w:ilvl w:val="0"/>
          <w:numId w:val="13"/>
        </w:numPr>
        <w:autoSpaceDE w:val="0"/>
        <w:autoSpaceDN w:val="0"/>
        <w:spacing w:before="80" w:after="0" w:line="252" w:lineRule="auto"/>
        <w:rPr>
          <w:rFonts w:eastAsia="Calibri" w:cstheme="minorHAnsi"/>
          <w:kern w:val="0"/>
        </w:rPr>
      </w:pPr>
      <w:r w:rsidRPr="00575429">
        <w:rPr>
          <w:rFonts w:eastAsia="Calibri" w:cstheme="minorHAnsi"/>
          <w:kern w:val="0"/>
        </w:rPr>
        <w:t xml:space="preserve">Trade marks listed as the basis for the section 44 or the regulation 4.15A grounds </w:t>
      </w:r>
      <w:r w:rsidR="008E0928">
        <w:rPr>
          <w:rFonts w:eastAsia="Calibri" w:cstheme="minorHAnsi"/>
          <w:kern w:val="0"/>
        </w:rPr>
        <w:t>are</w:t>
      </w:r>
      <w:r w:rsidRPr="00575429">
        <w:rPr>
          <w:rFonts w:eastAsia="Calibri" w:cstheme="minorHAnsi"/>
          <w:kern w:val="0"/>
        </w:rPr>
        <w:t xml:space="preserve"> counted together for the purpose of reckoning the new fee.</w:t>
      </w:r>
    </w:p>
    <w:p w14:paraId="62193C6A" w14:textId="08F3225B" w:rsidR="00575429" w:rsidRPr="00575429" w:rsidRDefault="00575429" w:rsidP="00472D7B">
      <w:pPr>
        <w:autoSpaceDE w:val="0"/>
        <w:autoSpaceDN w:val="0"/>
        <w:spacing w:before="160" w:after="0" w:line="252" w:lineRule="auto"/>
        <w:rPr>
          <w:rFonts w:eastAsia="Calibri" w:cstheme="minorHAnsi"/>
          <w:kern w:val="0"/>
        </w:rPr>
      </w:pPr>
      <w:bookmarkStart w:id="8" w:name="_Hlk171695909"/>
      <w:r w:rsidRPr="00575429">
        <w:rPr>
          <w:rFonts w:eastAsia="Calibri" w:cstheme="minorHAnsi"/>
          <w:kern w:val="0"/>
        </w:rPr>
        <w:t xml:space="preserve">An example follows, showing how the new fee for filing an SGP </w:t>
      </w:r>
      <w:r w:rsidR="008D430D">
        <w:rPr>
          <w:rFonts w:eastAsia="Calibri" w:cstheme="minorHAnsi"/>
          <w:kern w:val="0"/>
        </w:rPr>
        <w:t>is</w:t>
      </w:r>
      <w:r w:rsidRPr="00575429">
        <w:rPr>
          <w:rFonts w:eastAsia="Calibri" w:cstheme="minorHAnsi"/>
          <w:kern w:val="0"/>
        </w:rPr>
        <w:t xml:space="preserve"> reckoned:</w:t>
      </w:r>
    </w:p>
    <w:p w14:paraId="7D2FA291" w14:textId="35E6E8A6" w:rsidR="00575429" w:rsidRPr="00472D7B" w:rsidRDefault="00575429" w:rsidP="00472D7B">
      <w:pPr>
        <w:autoSpaceDE w:val="0"/>
        <w:autoSpaceDN w:val="0"/>
        <w:spacing w:before="80" w:after="0" w:line="252" w:lineRule="auto"/>
        <w:ind w:left="720"/>
        <w:rPr>
          <w:rFonts w:eastAsia="Calibri" w:cstheme="minorHAnsi"/>
          <w:kern w:val="0"/>
          <w:sz w:val="20"/>
          <w:szCs w:val="20"/>
        </w:rPr>
      </w:pPr>
      <w:r w:rsidRPr="00472D7B">
        <w:rPr>
          <w:rFonts w:eastAsia="Calibri" w:cstheme="minorHAnsi"/>
          <w:kern w:val="0"/>
          <w:sz w:val="20"/>
          <w:szCs w:val="20"/>
        </w:rPr>
        <w:t xml:space="preserve">An SGP is filed nominating 5 grounds including the section 58A ground and the section 44 and the regulation 4.15A grounds. The section 58A ground would not be counted in any event. The regulation 4.15A ground would not be counted, because the section 44 ground is also nominated. Only 3 grounds </w:t>
      </w:r>
      <w:proofErr w:type="gramStart"/>
      <w:r w:rsidR="008D430D" w:rsidRPr="00472D7B">
        <w:rPr>
          <w:rFonts w:eastAsia="Calibri" w:cstheme="minorHAnsi"/>
          <w:kern w:val="0"/>
          <w:sz w:val="20"/>
          <w:szCs w:val="20"/>
        </w:rPr>
        <w:t>is</w:t>
      </w:r>
      <w:proofErr w:type="gramEnd"/>
      <w:r w:rsidRPr="00472D7B">
        <w:rPr>
          <w:rFonts w:eastAsia="Calibri" w:cstheme="minorHAnsi"/>
          <w:kern w:val="0"/>
          <w:sz w:val="20"/>
          <w:szCs w:val="20"/>
        </w:rPr>
        <w:t xml:space="preserve"> counted for reckoning the fee. As result, no amount is due in respect of the grounds nominated in the SGP.</w:t>
      </w:r>
    </w:p>
    <w:p w14:paraId="277CA2BE" w14:textId="7279B0E8" w:rsidR="00575429" w:rsidRPr="00472D7B" w:rsidRDefault="00575429" w:rsidP="00472D7B">
      <w:pPr>
        <w:autoSpaceDE w:val="0"/>
        <w:autoSpaceDN w:val="0"/>
        <w:spacing w:before="80" w:after="0" w:line="252" w:lineRule="auto"/>
        <w:ind w:left="720"/>
        <w:rPr>
          <w:rFonts w:eastAsia="Calibri" w:cstheme="minorHAnsi"/>
          <w:kern w:val="0"/>
          <w:sz w:val="20"/>
          <w:szCs w:val="20"/>
        </w:rPr>
      </w:pPr>
      <w:r w:rsidRPr="00472D7B">
        <w:rPr>
          <w:rFonts w:eastAsia="Calibri" w:cstheme="minorHAnsi"/>
          <w:kern w:val="0"/>
          <w:sz w:val="20"/>
          <w:szCs w:val="20"/>
        </w:rPr>
        <w:t xml:space="preserve">The SGP lists 5 registered </w:t>
      </w:r>
      <w:proofErr w:type="spellStart"/>
      <w:r w:rsidRPr="00472D7B">
        <w:rPr>
          <w:rFonts w:eastAsia="Calibri" w:cstheme="minorHAnsi"/>
          <w:kern w:val="0"/>
          <w:sz w:val="20"/>
          <w:szCs w:val="20"/>
        </w:rPr>
        <w:t>trade marks</w:t>
      </w:r>
      <w:proofErr w:type="spellEnd"/>
      <w:r w:rsidRPr="00472D7B">
        <w:rPr>
          <w:rFonts w:eastAsia="Calibri" w:cstheme="minorHAnsi"/>
          <w:kern w:val="0"/>
          <w:sz w:val="20"/>
          <w:szCs w:val="20"/>
        </w:rPr>
        <w:t xml:space="preserve"> as the basis for the section 44 ground and 6 protected international trade marks as the basis for the regulation 4.15A ground. The </w:t>
      </w:r>
      <w:proofErr w:type="spellStart"/>
      <w:r w:rsidRPr="00472D7B">
        <w:rPr>
          <w:rFonts w:eastAsia="Calibri" w:cstheme="minorHAnsi"/>
          <w:kern w:val="0"/>
          <w:sz w:val="20"/>
          <w:szCs w:val="20"/>
        </w:rPr>
        <w:t>trade marks</w:t>
      </w:r>
      <w:proofErr w:type="spellEnd"/>
      <w:r w:rsidRPr="00472D7B">
        <w:rPr>
          <w:rFonts w:eastAsia="Calibri" w:cstheme="minorHAnsi"/>
          <w:kern w:val="0"/>
          <w:sz w:val="20"/>
          <w:szCs w:val="20"/>
        </w:rPr>
        <w:t xml:space="preserve"> are counted together as 11 claimed similar or identical trade marks for reckoning the fee. As the count of marks exceeds the 10-trade mark threshold by one mark, an amount of $250 is due for filing the SGP.</w:t>
      </w:r>
    </w:p>
    <w:bookmarkEnd w:id="8"/>
    <w:p w14:paraId="737C157B" w14:textId="77777777" w:rsidR="00575429" w:rsidRPr="00575429" w:rsidRDefault="00575429" w:rsidP="00472D7B">
      <w:pPr>
        <w:autoSpaceDE w:val="0"/>
        <w:autoSpaceDN w:val="0"/>
        <w:spacing w:before="160" w:after="0" w:line="252" w:lineRule="auto"/>
        <w:rPr>
          <w:rFonts w:eastAsia="Calibri" w:cstheme="minorHAnsi"/>
          <w:i/>
          <w:iCs/>
          <w:kern w:val="0"/>
        </w:rPr>
      </w:pPr>
      <w:r w:rsidRPr="00575429">
        <w:rPr>
          <w:rFonts w:eastAsia="Calibri" w:cstheme="minorHAnsi"/>
          <w:i/>
          <w:iCs/>
          <w:kern w:val="0"/>
        </w:rPr>
        <w:t>Requesting amendment of SGPs</w:t>
      </w:r>
    </w:p>
    <w:p w14:paraId="7A51144E" w14:textId="17E80E29" w:rsidR="00575429" w:rsidRPr="00575429" w:rsidRDefault="00FF2B96" w:rsidP="00472D7B">
      <w:pPr>
        <w:autoSpaceDE w:val="0"/>
        <w:autoSpaceDN w:val="0"/>
        <w:spacing w:before="160" w:after="0" w:line="252" w:lineRule="auto"/>
        <w:rPr>
          <w:rFonts w:eastAsia="Calibri" w:cstheme="minorHAnsi"/>
          <w:kern w:val="0"/>
          <w:lang w:val="en-US"/>
        </w:rPr>
      </w:pPr>
      <w:r>
        <w:rPr>
          <w:rFonts w:eastAsia="Calibri" w:cstheme="minorHAnsi"/>
          <w:kern w:val="0"/>
          <w:lang w:val="en-US"/>
        </w:rPr>
        <w:t xml:space="preserve">An </w:t>
      </w:r>
      <w:r w:rsidR="00575429" w:rsidRPr="00575429">
        <w:rPr>
          <w:rFonts w:eastAsia="Calibri" w:cstheme="minorHAnsi"/>
          <w:kern w:val="0"/>
          <w:lang w:val="en-US"/>
        </w:rPr>
        <w:t xml:space="preserve">opponent to registration or extension of protection might attempt to avoid part or </w:t>
      </w:r>
      <w:proofErr w:type="gramStart"/>
      <w:r w:rsidR="00575429" w:rsidRPr="00575429">
        <w:rPr>
          <w:rFonts w:eastAsia="Calibri" w:cstheme="minorHAnsi"/>
          <w:kern w:val="0"/>
          <w:lang w:val="en-US"/>
        </w:rPr>
        <w:t>all of</w:t>
      </w:r>
      <w:proofErr w:type="gramEnd"/>
      <w:r w:rsidR="00575429" w:rsidRPr="00575429">
        <w:rPr>
          <w:rFonts w:eastAsia="Calibri" w:cstheme="minorHAnsi"/>
          <w:kern w:val="0"/>
          <w:lang w:val="en-US"/>
        </w:rPr>
        <w:t xml:space="preserve"> the new fee for filing the SGP by</w:t>
      </w:r>
      <w:r w:rsidR="00575429" w:rsidRPr="00575429" w:rsidDel="00A26688">
        <w:rPr>
          <w:rFonts w:eastAsia="Calibri" w:cstheme="minorHAnsi"/>
          <w:kern w:val="0"/>
          <w:lang w:val="en-US"/>
        </w:rPr>
        <w:t xml:space="preserve"> </w:t>
      </w:r>
      <w:r w:rsidR="00575429" w:rsidRPr="00575429">
        <w:rPr>
          <w:rFonts w:eastAsia="Calibri" w:cstheme="minorHAnsi"/>
          <w:kern w:val="0"/>
          <w:lang w:val="en-US"/>
        </w:rPr>
        <w:t>requesting amendment of the SGP after its filing to add new grounds or list new trade marks.</w:t>
      </w:r>
    </w:p>
    <w:p w14:paraId="1384E1A9" w14:textId="4184A8CC"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rPr>
        <w:t xml:space="preserve">Currently, there are restrictions on amending an SGP. These are to </w:t>
      </w:r>
      <w:r w:rsidRPr="00575429">
        <w:rPr>
          <w:rFonts w:eastAsia="Calibri" w:cstheme="minorHAnsi"/>
          <w:kern w:val="0"/>
          <w:lang w:val="en-US"/>
        </w:rPr>
        <w:t xml:space="preserve">ensure that the requirement to nominate and </w:t>
      </w:r>
      <w:proofErr w:type="spellStart"/>
      <w:r w:rsidRPr="00575429">
        <w:rPr>
          <w:rFonts w:eastAsia="Calibri" w:cstheme="minorHAnsi"/>
          <w:kern w:val="0"/>
          <w:lang w:val="en-US"/>
        </w:rPr>
        <w:t>particularise</w:t>
      </w:r>
      <w:proofErr w:type="spellEnd"/>
      <w:r w:rsidRPr="00575429">
        <w:rPr>
          <w:rFonts w:eastAsia="Calibri" w:cstheme="minorHAnsi"/>
          <w:kern w:val="0"/>
          <w:lang w:val="en-US"/>
        </w:rPr>
        <w:t xml:space="preserve"> grounds of opposition cannot be avoided by amendment after filing of the SGP. Nevertheless, grounds can be amended or added – if the Registrar is satisfied that they relate to information that the opponent could not have been reasonably aware of at the time of filing the SGP. In contrast, the Registrar has a broad discretion to amend the facts and circumstances forming the basis for the grounds. These include the </w:t>
      </w:r>
      <w:proofErr w:type="spellStart"/>
      <w:r w:rsidRPr="00575429">
        <w:rPr>
          <w:rFonts w:eastAsia="Calibri" w:cstheme="minorHAnsi"/>
          <w:kern w:val="0"/>
          <w:lang w:val="en-US"/>
        </w:rPr>
        <w:t>trade marks</w:t>
      </w:r>
      <w:proofErr w:type="spellEnd"/>
      <w:r w:rsidRPr="00575429">
        <w:rPr>
          <w:rFonts w:eastAsia="Calibri" w:cstheme="minorHAnsi"/>
          <w:kern w:val="0"/>
          <w:lang w:val="en-US"/>
        </w:rPr>
        <w:t xml:space="preserve"> listed as the basis for the section</w:t>
      </w:r>
      <w:r w:rsidR="001D1C4C">
        <w:rPr>
          <w:rFonts w:eastAsia="Calibri" w:cstheme="minorHAnsi"/>
          <w:kern w:val="0"/>
          <w:lang w:val="en-US"/>
        </w:rPr>
        <w:t> </w:t>
      </w:r>
      <w:r w:rsidRPr="00575429">
        <w:rPr>
          <w:rFonts w:eastAsia="Calibri" w:cstheme="minorHAnsi"/>
          <w:kern w:val="0"/>
          <w:lang w:val="en-US"/>
        </w:rPr>
        <w:t>44 or regulation 4.15A grounds of opposition.</w:t>
      </w:r>
    </w:p>
    <w:p w14:paraId="6BD1C478" w14:textId="63A90156" w:rsidR="00575429" w:rsidRPr="00575429" w:rsidRDefault="00886DDF" w:rsidP="00472D7B">
      <w:pPr>
        <w:autoSpaceDE w:val="0"/>
        <w:autoSpaceDN w:val="0"/>
        <w:spacing w:before="160" w:after="0" w:line="252" w:lineRule="auto"/>
        <w:rPr>
          <w:rFonts w:eastAsia="Calibri" w:cstheme="minorHAnsi"/>
          <w:kern w:val="0"/>
        </w:rPr>
      </w:pPr>
      <w:r>
        <w:rPr>
          <w:rFonts w:eastAsia="Calibri" w:cstheme="minorHAnsi"/>
          <w:kern w:val="0"/>
        </w:rPr>
        <w:t>New</w:t>
      </w:r>
      <w:r w:rsidR="00575429" w:rsidRPr="00575429">
        <w:rPr>
          <w:rFonts w:eastAsia="Calibri" w:cstheme="minorHAnsi"/>
          <w:kern w:val="0"/>
        </w:rPr>
        <w:t xml:space="preserve"> table item 7B in clause 1 of Schedule 9 to the Trade Marks Regulations </w:t>
      </w:r>
      <w:r w:rsidR="00E27104">
        <w:rPr>
          <w:rFonts w:eastAsia="Calibri" w:cstheme="minorHAnsi"/>
          <w:kern w:val="0"/>
        </w:rPr>
        <w:t>imposes</w:t>
      </w:r>
      <w:r w:rsidR="00575429" w:rsidRPr="00575429">
        <w:rPr>
          <w:rFonts w:eastAsia="Calibri" w:cstheme="minorHAnsi"/>
          <w:kern w:val="0"/>
        </w:rPr>
        <w:t xml:space="preserve"> a new fee on </w:t>
      </w:r>
      <w:r w:rsidR="00575429" w:rsidRPr="00575429">
        <w:rPr>
          <w:rFonts w:eastAsia="Calibri" w:cstheme="minorHAnsi"/>
          <w:kern w:val="0"/>
          <w:lang w:val="en-US"/>
        </w:rPr>
        <w:t>requesting amendment of a filed SGP under regulation 5.12 or 17A.34G of the Trade Marks Regulations</w:t>
      </w:r>
      <w:r w:rsidR="00575429" w:rsidRPr="00575429">
        <w:rPr>
          <w:rFonts w:eastAsia="Calibri" w:cstheme="minorHAnsi"/>
          <w:kern w:val="0"/>
        </w:rPr>
        <w:t xml:space="preserve">. The fee </w:t>
      </w:r>
      <w:r w:rsidR="008D430D">
        <w:rPr>
          <w:rFonts w:eastAsia="Calibri" w:cstheme="minorHAnsi"/>
          <w:kern w:val="0"/>
        </w:rPr>
        <w:t>is</w:t>
      </w:r>
      <w:r w:rsidR="00575429" w:rsidRPr="00575429">
        <w:rPr>
          <w:rFonts w:eastAsia="Calibri" w:cstheme="minorHAnsi"/>
          <w:kern w:val="0"/>
        </w:rPr>
        <w:t xml:space="preserve"> calculated as follows:</w:t>
      </w:r>
    </w:p>
    <w:p w14:paraId="696B12A6" w14:textId="6BB17FF2" w:rsidR="00575429" w:rsidRPr="00575429" w:rsidRDefault="00575429" w:rsidP="002054C5">
      <w:pPr>
        <w:numPr>
          <w:ilvl w:val="0"/>
          <w:numId w:val="12"/>
        </w:numPr>
        <w:autoSpaceDE w:val="0"/>
        <w:autoSpaceDN w:val="0"/>
        <w:spacing w:before="80" w:after="0" w:line="252" w:lineRule="auto"/>
        <w:rPr>
          <w:rFonts w:eastAsia="Calibri" w:cstheme="minorHAnsi"/>
          <w:kern w:val="0"/>
        </w:rPr>
      </w:pPr>
      <w:r w:rsidRPr="00575429">
        <w:rPr>
          <w:rFonts w:eastAsia="Calibri" w:cstheme="minorHAnsi"/>
          <w:kern w:val="0"/>
        </w:rPr>
        <w:t xml:space="preserve">An amount of $250 </w:t>
      </w:r>
      <w:r w:rsidR="008D430D">
        <w:rPr>
          <w:rFonts w:eastAsia="Calibri" w:cstheme="minorHAnsi"/>
          <w:kern w:val="0"/>
        </w:rPr>
        <w:t>is</w:t>
      </w:r>
      <w:r w:rsidRPr="00575429">
        <w:rPr>
          <w:rFonts w:eastAsia="Calibri" w:cstheme="minorHAnsi"/>
          <w:kern w:val="0"/>
        </w:rPr>
        <w:t xml:space="preserve"> payable for each relevant ground </w:t>
      </w:r>
      <w:r w:rsidRPr="00575429">
        <w:rPr>
          <w:rFonts w:eastAsia="Calibri" w:cstheme="minorHAnsi"/>
          <w:kern w:val="0"/>
          <w:lang w:val="en-US"/>
        </w:rPr>
        <w:t xml:space="preserve">that </w:t>
      </w:r>
      <w:r w:rsidR="008D430D">
        <w:rPr>
          <w:rFonts w:eastAsia="Calibri" w:cstheme="minorHAnsi"/>
          <w:kern w:val="0"/>
          <w:lang w:val="en-US"/>
        </w:rPr>
        <w:t>is</w:t>
      </w:r>
      <w:r w:rsidRPr="00575429">
        <w:rPr>
          <w:rFonts w:eastAsia="Calibri" w:cstheme="minorHAnsi"/>
          <w:kern w:val="0"/>
          <w:lang w:val="en-US"/>
        </w:rPr>
        <w:t xml:space="preserve"> set out in the SGP if the amendment were made – </w:t>
      </w:r>
      <w:r w:rsidRPr="00575429">
        <w:rPr>
          <w:rFonts w:eastAsia="Calibri" w:cstheme="minorHAnsi"/>
          <w:kern w:val="0"/>
        </w:rPr>
        <w:t>after the third such ground</w:t>
      </w:r>
    </w:p>
    <w:p w14:paraId="4BB7493D" w14:textId="15BF4BB0" w:rsidR="00575429" w:rsidRPr="00575429" w:rsidRDefault="00575429" w:rsidP="002054C5">
      <w:pPr>
        <w:numPr>
          <w:ilvl w:val="0"/>
          <w:numId w:val="12"/>
        </w:numPr>
        <w:autoSpaceDE w:val="0"/>
        <w:autoSpaceDN w:val="0"/>
        <w:spacing w:before="80" w:after="0" w:line="252" w:lineRule="auto"/>
        <w:rPr>
          <w:rFonts w:eastAsia="Calibri" w:cstheme="minorHAnsi"/>
          <w:kern w:val="0"/>
        </w:rPr>
      </w:pPr>
      <w:r w:rsidRPr="00575429">
        <w:rPr>
          <w:rFonts w:eastAsia="Calibri" w:cstheme="minorHAnsi"/>
          <w:kern w:val="0"/>
        </w:rPr>
        <w:t xml:space="preserve">An amount of $250 </w:t>
      </w:r>
      <w:r w:rsidR="008D430D">
        <w:rPr>
          <w:rFonts w:eastAsia="Calibri" w:cstheme="minorHAnsi"/>
          <w:kern w:val="0"/>
        </w:rPr>
        <w:t>is</w:t>
      </w:r>
      <w:r w:rsidRPr="00575429">
        <w:rPr>
          <w:rFonts w:eastAsia="Calibri" w:cstheme="minorHAnsi"/>
          <w:kern w:val="0"/>
        </w:rPr>
        <w:t xml:space="preserve"> payable for each trade mark that </w:t>
      </w:r>
      <w:r w:rsidR="008D430D">
        <w:rPr>
          <w:rFonts w:eastAsia="Calibri" w:cstheme="minorHAnsi"/>
          <w:kern w:val="0"/>
        </w:rPr>
        <w:t>is</w:t>
      </w:r>
      <w:r w:rsidRPr="00575429">
        <w:rPr>
          <w:rFonts w:eastAsia="Calibri" w:cstheme="minorHAnsi"/>
          <w:kern w:val="0"/>
        </w:rPr>
        <w:t xml:space="preserve"> a </w:t>
      </w:r>
      <w:r w:rsidRPr="00575429">
        <w:rPr>
          <w:rFonts w:eastAsia="Calibri" w:cstheme="minorHAnsi"/>
          <w:kern w:val="0"/>
          <w:lang w:val="en-US"/>
        </w:rPr>
        <w:t>claimed similar or identical trade mark in relation to the SGP if the amendment were made – after the tenth such trade mark</w:t>
      </w:r>
      <w:r w:rsidRPr="00575429">
        <w:rPr>
          <w:rFonts w:eastAsia="Calibri" w:cstheme="minorHAnsi"/>
          <w:kern w:val="0"/>
        </w:rPr>
        <w:t>.</w:t>
      </w:r>
    </w:p>
    <w:p w14:paraId="51818851" w14:textId="0974C9E1" w:rsidR="00575429" w:rsidRPr="00575429" w:rsidRDefault="00575429" w:rsidP="002054C5">
      <w:pPr>
        <w:numPr>
          <w:ilvl w:val="0"/>
          <w:numId w:val="12"/>
        </w:numPr>
        <w:autoSpaceDE w:val="0"/>
        <w:autoSpaceDN w:val="0"/>
        <w:spacing w:before="80" w:after="0" w:line="252" w:lineRule="auto"/>
        <w:rPr>
          <w:rFonts w:eastAsia="Calibri" w:cstheme="minorHAnsi"/>
          <w:kern w:val="0"/>
        </w:rPr>
      </w:pPr>
      <w:r w:rsidRPr="00575429">
        <w:rPr>
          <w:rFonts w:eastAsia="Calibri" w:cstheme="minorHAnsi"/>
          <w:kern w:val="0"/>
        </w:rPr>
        <w:lastRenderedPageBreak/>
        <w:t xml:space="preserve">The sum of the amounts </w:t>
      </w:r>
      <w:r w:rsidR="008D430D">
        <w:rPr>
          <w:rFonts w:eastAsia="Calibri" w:cstheme="minorHAnsi"/>
          <w:kern w:val="0"/>
        </w:rPr>
        <w:t>is</w:t>
      </w:r>
      <w:r w:rsidRPr="00575429">
        <w:rPr>
          <w:rFonts w:eastAsia="Calibri" w:cstheme="minorHAnsi"/>
          <w:kern w:val="0"/>
        </w:rPr>
        <w:t xml:space="preserve"> reduced by any amounts previously paid for filing or requesting amendment of the SGP.</w:t>
      </w:r>
    </w:p>
    <w:p w14:paraId="71577F7D" w14:textId="194C5EF9"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An example follows, showing how the new fee for requesting amendment of an SGP </w:t>
      </w:r>
      <w:r w:rsidR="008D430D">
        <w:rPr>
          <w:rFonts w:eastAsia="Calibri" w:cstheme="minorHAnsi"/>
          <w:kern w:val="0"/>
        </w:rPr>
        <w:t>is</w:t>
      </w:r>
      <w:r w:rsidRPr="00575429">
        <w:rPr>
          <w:rFonts w:eastAsia="Calibri" w:cstheme="minorHAnsi"/>
          <w:kern w:val="0"/>
        </w:rPr>
        <w:t xml:space="preserve"> reckoned:</w:t>
      </w:r>
    </w:p>
    <w:p w14:paraId="44C2C61C" w14:textId="77777777" w:rsidR="00575429" w:rsidRPr="00472D7B" w:rsidRDefault="00575429" w:rsidP="00472D7B">
      <w:pPr>
        <w:autoSpaceDE w:val="0"/>
        <w:autoSpaceDN w:val="0"/>
        <w:spacing w:before="80" w:after="0" w:line="252" w:lineRule="auto"/>
        <w:ind w:left="720"/>
        <w:rPr>
          <w:rFonts w:eastAsia="Calibri" w:cstheme="minorHAnsi"/>
          <w:kern w:val="0"/>
          <w:sz w:val="20"/>
          <w:szCs w:val="20"/>
        </w:rPr>
      </w:pPr>
      <w:r w:rsidRPr="00472D7B">
        <w:rPr>
          <w:rFonts w:eastAsia="Calibri" w:cstheme="minorHAnsi"/>
          <w:kern w:val="0"/>
          <w:sz w:val="20"/>
          <w:szCs w:val="20"/>
        </w:rPr>
        <w:t xml:space="preserve">As in the example above, an SGP is filed nominating 5 grounds including the section 44 ground, the section 58A ground and the regulation 4.15A ground. The SGP lists 5 registered </w:t>
      </w:r>
      <w:proofErr w:type="spellStart"/>
      <w:r w:rsidRPr="00472D7B">
        <w:rPr>
          <w:rFonts w:eastAsia="Calibri" w:cstheme="minorHAnsi"/>
          <w:kern w:val="0"/>
          <w:sz w:val="20"/>
          <w:szCs w:val="20"/>
        </w:rPr>
        <w:t>trade marks</w:t>
      </w:r>
      <w:proofErr w:type="spellEnd"/>
      <w:r w:rsidRPr="00472D7B">
        <w:rPr>
          <w:rFonts w:eastAsia="Calibri" w:cstheme="minorHAnsi"/>
          <w:kern w:val="0"/>
          <w:sz w:val="20"/>
          <w:szCs w:val="20"/>
        </w:rPr>
        <w:t xml:space="preserve"> as the basis for the section 44 ground and 6 protected international trade marks as the basis for the regulation 4.15A ground. A fee of $250 is payable for filing the SGP, and this is paid at filing.</w:t>
      </w:r>
    </w:p>
    <w:p w14:paraId="7F3708FE" w14:textId="21E4272A" w:rsidR="00575429" w:rsidRPr="00472D7B" w:rsidRDefault="00575429" w:rsidP="00472D7B">
      <w:pPr>
        <w:autoSpaceDE w:val="0"/>
        <w:autoSpaceDN w:val="0"/>
        <w:spacing w:before="80" w:after="0" w:line="252" w:lineRule="auto"/>
        <w:ind w:left="720"/>
        <w:rPr>
          <w:rFonts w:eastAsia="Calibri" w:cstheme="minorHAnsi"/>
          <w:kern w:val="0"/>
          <w:sz w:val="20"/>
          <w:szCs w:val="20"/>
          <w:lang w:val="en-US"/>
        </w:rPr>
      </w:pPr>
      <w:r w:rsidRPr="00472D7B">
        <w:rPr>
          <w:rFonts w:eastAsia="Calibri" w:cstheme="minorHAnsi"/>
          <w:kern w:val="0"/>
          <w:sz w:val="20"/>
          <w:szCs w:val="20"/>
        </w:rPr>
        <w:t xml:space="preserve">The opponent requests amendment to nominate a further 2 grounds and to list a further 5 registered </w:t>
      </w:r>
      <w:proofErr w:type="spellStart"/>
      <w:r w:rsidRPr="00472D7B">
        <w:rPr>
          <w:rFonts w:eastAsia="Calibri" w:cstheme="minorHAnsi"/>
          <w:kern w:val="0"/>
          <w:sz w:val="20"/>
          <w:szCs w:val="20"/>
        </w:rPr>
        <w:t>trade marks</w:t>
      </w:r>
      <w:proofErr w:type="spellEnd"/>
      <w:r w:rsidRPr="00472D7B">
        <w:rPr>
          <w:rFonts w:eastAsia="Calibri" w:cstheme="minorHAnsi"/>
          <w:kern w:val="0"/>
          <w:sz w:val="20"/>
          <w:szCs w:val="20"/>
        </w:rPr>
        <w:t xml:space="preserve"> as the basis for the section 44 ground. If the amendment were made, the SGP would nominate 7 grounds. It would list 10 registered </w:t>
      </w:r>
      <w:proofErr w:type="spellStart"/>
      <w:r w:rsidRPr="00472D7B">
        <w:rPr>
          <w:rFonts w:eastAsia="Calibri" w:cstheme="minorHAnsi"/>
          <w:kern w:val="0"/>
          <w:sz w:val="20"/>
          <w:szCs w:val="20"/>
        </w:rPr>
        <w:t>trade marks</w:t>
      </w:r>
      <w:proofErr w:type="spellEnd"/>
      <w:r w:rsidRPr="00472D7B">
        <w:rPr>
          <w:rFonts w:eastAsia="Calibri" w:cstheme="minorHAnsi"/>
          <w:kern w:val="0"/>
          <w:sz w:val="20"/>
          <w:szCs w:val="20"/>
        </w:rPr>
        <w:t xml:space="preserve"> as the basis for the section 44 ground and 6 protected international trade marks as the basis for the regulation 4.15A ground</w:t>
      </w:r>
      <w:r w:rsidRPr="00472D7B">
        <w:rPr>
          <w:rFonts w:eastAsia="Calibri" w:cstheme="minorHAnsi"/>
          <w:kern w:val="0"/>
          <w:sz w:val="20"/>
          <w:szCs w:val="20"/>
          <w:lang w:val="en-US"/>
        </w:rPr>
        <w:t>.</w:t>
      </w:r>
    </w:p>
    <w:p w14:paraId="7D60FCE5" w14:textId="6D0C0CD8" w:rsidR="00575429" w:rsidRPr="00472D7B" w:rsidRDefault="00575429" w:rsidP="00472D7B">
      <w:pPr>
        <w:autoSpaceDE w:val="0"/>
        <w:autoSpaceDN w:val="0"/>
        <w:spacing w:before="80" w:after="0" w:line="252" w:lineRule="auto"/>
        <w:ind w:left="720"/>
        <w:rPr>
          <w:rFonts w:eastAsia="Calibri" w:cstheme="minorHAnsi"/>
          <w:kern w:val="0"/>
          <w:sz w:val="20"/>
          <w:szCs w:val="20"/>
        </w:rPr>
      </w:pPr>
      <w:r w:rsidRPr="00472D7B">
        <w:rPr>
          <w:rFonts w:eastAsia="Calibri" w:cstheme="minorHAnsi"/>
          <w:kern w:val="0"/>
          <w:sz w:val="20"/>
          <w:szCs w:val="20"/>
          <w:lang w:val="en-US"/>
        </w:rPr>
        <w:t xml:space="preserve">Applying the same process as in the example above, 5 grounds and 16 </w:t>
      </w:r>
      <w:r w:rsidRPr="00472D7B">
        <w:rPr>
          <w:rFonts w:eastAsia="Calibri" w:cstheme="minorHAnsi"/>
          <w:kern w:val="0"/>
          <w:sz w:val="20"/>
          <w:szCs w:val="20"/>
        </w:rPr>
        <w:t xml:space="preserve">claimed </w:t>
      </w:r>
      <w:r w:rsidRPr="00472D7B">
        <w:rPr>
          <w:rFonts w:eastAsia="Calibri" w:cstheme="minorHAnsi"/>
          <w:kern w:val="0"/>
          <w:sz w:val="20"/>
          <w:szCs w:val="20"/>
          <w:lang w:val="en-US"/>
        </w:rPr>
        <w:t xml:space="preserve">similar or identical </w:t>
      </w:r>
      <w:proofErr w:type="spellStart"/>
      <w:r w:rsidRPr="00472D7B">
        <w:rPr>
          <w:rFonts w:eastAsia="Calibri" w:cstheme="minorHAnsi"/>
          <w:kern w:val="0"/>
          <w:sz w:val="20"/>
          <w:szCs w:val="20"/>
          <w:lang w:val="en-US"/>
        </w:rPr>
        <w:t>trade marks</w:t>
      </w:r>
      <w:proofErr w:type="spellEnd"/>
      <w:r w:rsidRPr="00472D7B">
        <w:rPr>
          <w:rFonts w:eastAsia="Calibri" w:cstheme="minorHAnsi"/>
          <w:kern w:val="0"/>
          <w:sz w:val="20"/>
          <w:szCs w:val="20"/>
          <w:lang w:val="en-US"/>
        </w:rPr>
        <w:t xml:space="preserve"> </w:t>
      </w:r>
      <w:r w:rsidR="008D430D" w:rsidRPr="00472D7B">
        <w:rPr>
          <w:rFonts w:eastAsia="Calibri" w:cstheme="minorHAnsi"/>
          <w:kern w:val="0"/>
          <w:sz w:val="20"/>
          <w:szCs w:val="20"/>
          <w:lang w:val="en-US"/>
        </w:rPr>
        <w:t>is</w:t>
      </w:r>
      <w:r w:rsidRPr="00472D7B">
        <w:rPr>
          <w:rFonts w:eastAsia="Calibri" w:cstheme="minorHAnsi"/>
          <w:kern w:val="0"/>
          <w:sz w:val="20"/>
          <w:szCs w:val="20"/>
          <w:lang w:val="en-US"/>
        </w:rPr>
        <w:t xml:space="preserve"> counted for reckoning the fee for requesting the amendment. The fee for requesting the amendment of the SGP is $1,750: made up of $500 for the 2 grounds after the third, plus $1500 for the 6 trade marks after the tenth, less the $250 paid at filing the SGP. </w:t>
      </w:r>
      <w:r w:rsidRPr="00472D7B">
        <w:rPr>
          <w:rFonts w:eastAsia="Calibri" w:cstheme="minorHAnsi"/>
          <w:kern w:val="0"/>
          <w:sz w:val="20"/>
          <w:szCs w:val="20"/>
        </w:rPr>
        <w:t xml:space="preserve">In effect, the applicant is paying an extra $250 for each of the 2 additional grounds and 5 additional </w:t>
      </w:r>
      <w:proofErr w:type="spellStart"/>
      <w:r w:rsidRPr="00472D7B">
        <w:rPr>
          <w:rFonts w:eastAsia="Calibri" w:cstheme="minorHAnsi"/>
          <w:kern w:val="0"/>
          <w:sz w:val="20"/>
          <w:szCs w:val="20"/>
        </w:rPr>
        <w:t>trade marks</w:t>
      </w:r>
      <w:proofErr w:type="spellEnd"/>
      <w:r w:rsidRPr="00472D7B">
        <w:rPr>
          <w:rFonts w:eastAsia="Calibri" w:cstheme="minorHAnsi"/>
          <w:kern w:val="0"/>
          <w:sz w:val="20"/>
          <w:szCs w:val="20"/>
        </w:rPr>
        <w:t>.</w:t>
      </w:r>
    </w:p>
    <w:p w14:paraId="0CD2CA84" w14:textId="77777777" w:rsidR="00575429" w:rsidRPr="00575429" w:rsidRDefault="00575429" w:rsidP="004155D9">
      <w:pPr>
        <w:keepNext/>
        <w:autoSpaceDE w:val="0"/>
        <w:autoSpaceDN w:val="0"/>
        <w:spacing w:before="160" w:after="0" w:line="252" w:lineRule="auto"/>
        <w:rPr>
          <w:rFonts w:eastAsia="Calibri" w:cstheme="minorHAnsi"/>
          <w:i/>
          <w:iCs/>
          <w:kern w:val="0"/>
        </w:rPr>
      </w:pPr>
      <w:r w:rsidRPr="00575429">
        <w:rPr>
          <w:rFonts w:eastAsia="Calibri" w:cstheme="minorHAnsi"/>
          <w:i/>
          <w:iCs/>
          <w:kern w:val="0"/>
        </w:rPr>
        <w:t>Application of amendments</w:t>
      </w:r>
    </w:p>
    <w:p w14:paraId="0DAFDE08" w14:textId="48BF2C48"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lang w:val="en-US"/>
        </w:rPr>
        <w:t>As discussed above, item [</w:t>
      </w:r>
      <w:r w:rsidR="00D61E7C">
        <w:rPr>
          <w:rFonts w:eastAsia="Calibri" w:cstheme="minorHAnsi"/>
          <w:kern w:val="0"/>
          <w:lang w:val="en-US"/>
        </w:rPr>
        <w:t>31</w:t>
      </w:r>
      <w:r w:rsidRPr="00575429">
        <w:rPr>
          <w:rFonts w:eastAsia="Calibri" w:cstheme="minorHAnsi"/>
          <w:kern w:val="0"/>
          <w:lang w:val="en-US"/>
        </w:rPr>
        <w:t xml:space="preserve">] </w:t>
      </w:r>
      <w:r w:rsidR="0088667C">
        <w:rPr>
          <w:rFonts w:eastAsia="Calibri" w:cstheme="minorHAnsi"/>
          <w:kern w:val="0"/>
        </w:rPr>
        <w:t>inserts</w:t>
      </w:r>
      <w:r w:rsidRPr="00575429">
        <w:rPr>
          <w:rFonts w:eastAsia="Calibri" w:cstheme="minorHAnsi"/>
          <w:kern w:val="0"/>
        </w:rPr>
        <w:t xml:space="preserve"> new Division 7 into Part 22 of the Trade Marks Regulations</w:t>
      </w:r>
      <w:r w:rsidR="007B6172">
        <w:rPr>
          <w:rFonts w:eastAsia="Calibri" w:cstheme="minorHAnsi"/>
          <w:kern w:val="0"/>
        </w:rPr>
        <w:t xml:space="preserve"> </w:t>
      </w:r>
      <w:r w:rsidRPr="00575429">
        <w:rPr>
          <w:rFonts w:eastAsia="Calibri" w:cstheme="minorHAnsi"/>
          <w:kern w:val="0"/>
        </w:rPr>
        <w:t xml:space="preserve">for the application of several amendments that the </w:t>
      </w:r>
      <w:r w:rsidR="002E4CE6">
        <w:rPr>
          <w:rFonts w:eastAsia="Calibri" w:cstheme="minorHAnsi"/>
          <w:kern w:val="0"/>
        </w:rPr>
        <w:t>Regulations</w:t>
      </w:r>
      <w:r w:rsidRPr="00575429">
        <w:rPr>
          <w:rFonts w:eastAsia="Calibri" w:cstheme="minorHAnsi"/>
          <w:kern w:val="0"/>
        </w:rPr>
        <w:t xml:space="preserve"> </w:t>
      </w:r>
      <w:r w:rsidR="006A3A73">
        <w:rPr>
          <w:rFonts w:eastAsia="Calibri" w:cstheme="minorHAnsi"/>
          <w:kern w:val="0"/>
        </w:rPr>
        <w:t>makes</w:t>
      </w:r>
      <w:r w:rsidRPr="00575429">
        <w:rPr>
          <w:rFonts w:eastAsia="Calibri" w:cstheme="minorHAnsi"/>
          <w:kern w:val="0"/>
        </w:rPr>
        <w:t xml:space="preserve"> to the Trade Marks Regulations.</w:t>
      </w:r>
    </w:p>
    <w:p w14:paraId="2EE59599" w14:textId="20920AA9" w:rsidR="00575429" w:rsidRPr="00575429" w:rsidRDefault="00886DDF" w:rsidP="00472D7B">
      <w:pPr>
        <w:autoSpaceDE w:val="0"/>
        <w:autoSpaceDN w:val="0"/>
        <w:spacing w:before="160" w:after="0" w:line="252" w:lineRule="auto"/>
        <w:rPr>
          <w:rFonts w:eastAsia="Calibri" w:cstheme="minorHAnsi"/>
          <w:kern w:val="0"/>
        </w:rPr>
      </w:pPr>
      <w:r>
        <w:rPr>
          <w:rFonts w:eastAsia="Calibri" w:cstheme="minorHAnsi"/>
          <w:kern w:val="0"/>
        </w:rPr>
        <w:t>New</w:t>
      </w:r>
      <w:r w:rsidR="00575429" w:rsidRPr="00575429">
        <w:rPr>
          <w:rFonts w:eastAsia="Calibri" w:cstheme="minorHAnsi"/>
          <w:kern w:val="0"/>
        </w:rPr>
        <w:t xml:space="preserve"> </w:t>
      </w:r>
      <w:proofErr w:type="spellStart"/>
      <w:r w:rsidR="00575429" w:rsidRPr="00575429">
        <w:rPr>
          <w:rFonts w:eastAsia="Calibri" w:cstheme="minorHAnsi"/>
          <w:kern w:val="0"/>
        </w:rPr>
        <w:t>subregulation</w:t>
      </w:r>
      <w:proofErr w:type="spellEnd"/>
      <w:r w:rsidR="00575429" w:rsidRPr="00575429">
        <w:rPr>
          <w:rFonts w:eastAsia="Calibri" w:cstheme="minorHAnsi"/>
          <w:kern w:val="0"/>
        </w:rPr>
        <w:t xml:space="preserve"> 22.30(2) </w:t>
      </w:r>
      <w:r w:rsidR="008D430D">
        <w:rPr>
          <w:rFonts w:eastAsia="Calibri" w:cstheme="minorHAnsi"/>
          <w:kern w:val="0"/>
        </w:rPr>
        <w:t>provides</w:t>
      </w:r>
      <w:r w:rsidR="00575429" w:rsidRPr="00575429">
        <w:rPr>
          <w:rFonts w:eastAsia="Calibri" w:cstheme="minorHAnsi"/>
          <w:kern w:val="0"/>
        </w:rPr>
        <w:t xml:space="preserve"> that the </w:t>
      </w:r>
      <w:r>
        <w:rPr>
          <w:rFonts w:eastAsia="Calibri" w:cstheme="minorHAnsi"/>
          <w:kern w:val="0"/>
        </w:rPr>
        <w:t>new</w:t>
      </w:r>
      <w:r w:rsidR="00575429" w:rsidRPr="00575429">
        <w:rPr>
          <w:rFonts w:eastAsia="Calibri" w:cstheme="minorHAnsi"/>
          <w:kern w:val="0"/>
        </w:rPr>
        <w:t xml:space="preserve"> fees for filing or requesting amendment of an SGP apply to an SGP filed in an opposition – if the notice of intention to oppose is filed under regulation</w:t>
      </w:r>
      <w:r w:rsidR="006F1B52">
        <w:rPr>
          <w:rFonts w:eastAsia="Calibri" w:cstheme="minorHAnsi"/>
          <w:kern w:val="0"/>
        </w:rPr>
        <w:t> </w:t>
      </w:r>
      <w:r w:rsidR="00575429" w:rsidRPr="00575429">
        <w:rPr>
          <w:rFonts w:eastAsia="Calibri" w:cstheme="minorHAnsi"/>
          <w:kern w:val="0"/>
        </w:rPr>
        <w:t xml:space="preserve">5.6 or 17A.33 on or after commencement of the </w:t>
      </w:r>
      <w:r w:rsidR="002E4CE6">
        <w:rPr>
          <w:rFonts w:eastAsia="Calibri" w:cstheme="minorHAnsi"/>
          <w:kern w:val="0"/>
        </w:rPr>
        <w:t>Regulations</w:t>
      </w:r>
      <w:r w:rsidR="00575429" w:rsidRPr="00575429">
        <w:rPr>
          <w:rFonts w:eastAsia="Calibri" w:cstheme="minorHAnsi"/>
          <w:kern w:val="0"/>
        </w:rPr>
        <w:t xml:space="preserve">. That is, there is no fee for filing an SGP or requesting its amendment, if the notice of </w:t>
      </w:r>
      <w:r w:rsidR="00092EDE">
        <w:rPr>
          <w:rFonts w:eastAsia="Calibri" w:cstheme="minorHAnsi"/>
          <w:kern w:val="0"/>
        </w:rPr>
        <w:t xml:space="preserve">intention to oppose </w:t>
      </w:r>
      <w:r w:rsidR="00575429" w:rsidRPr="00575429">
        <w:rPr>
          <w:rFonts w:eastAsia="Calibri" w:cstheme="minorHAnsi"/>
          <w:kern w:val="0"/>
        </w:rPr>
        <w:t>was filed before commencement.</w:t>
      </w:r>
    </w:p>
    <w:p w14:paraId="38A8ED5E" w14:textId="1DAFCA5E" w:rsidR="00575429" w:rsidRPr="00575429" w:rsidRDefault="00575429" w:rsidP="008A169D">
      <w:pPr>
        <w:keepNext/>
        <w:autoSpaceDE w:val="0"/>
        <w:autoSpaceDN w:val="0"/>
        <w:spacing w:before="160" w:after="0" w:line="252" w:lineRule="auto"/>
        <w:rPr>
          <w:rFonts w:eastAsia="Calibri" w:cstheme="minorHAnsi"/>
          <w:b/>
          <w:bCs/>
          <w:kern w:val="0"/>
        </w:rPr>
      </w:pPr>
      <w:r w:rsidRPr="00575429">
        <w:rPr>
          <w:rFonts w:eastAsia="Calibri" w:cstheme="minorHAnsi"/>
          <w:b/>
          <w:bCs/>
          <w:kern w:val="0"/>
        </w:rPr>
        <w:t xml:space="preserve">Item </w:t>
      </w:r>
      <w:r w:rsidRPr="00575429">
        <w:rPr>
          <w:rFonts w:eastAsia="Calibri" w:cstheme="minorHAnsi"/>
          <w:b/>
          <w:bCs/>
          <w:iCs/>
          <w:kern w:val="0"/>
          <w:lang w:val="en-US"/>
        </w:rPr>
        <w:t>[</w:t>
      </w:r>
      <w:r w:rsidR="000D3C56">
        <w:rPr>
          <w:rFonts w:eastAsia="Calibri" w:cstheme="minorHAnsi"/>
          <w:b/>
          <w:bCs/>
          <w:iCs/>
          <w:kern w:val="0"/>
          <w:lang w:val="en-US"/>
        </w:rPr>
        <w:t>40</w:t>
      </w:r>
      <w:r w:rsidRPr="00575429">
        <w:rPr>
          <w:rFonts w:eastAsia="Calibri" w:cstheme="minorHAnsi"/>
          <w:b/>
          <w:bCs/>
          <w:iCs/>
          <w:kern w:val="0"/>
          <w:lang w:val="en-US"/>
        </w:rPr>
        <w:t xml:space="preserve">] </w:t>
      </w:r>
      <w:r w:rsidRPr="00575429">
        <w:rPr>
          <w:rFonts w:eastAsia="Calibri" w:cstheme="minorHAnsi"/>
          <w:kern w:val="0"/>
        </w:rPr>
        <w:t>–</w:t>
      </w:r>
      <w:r w:rsidRPr="00575429">
        <w:rPr>
          <w:rFonts w:eastAsia="Calibri" w:cstheme="minorHAnsi"/>
          <w:b/>
          <w:bCs/>
          <w:kern w:val="0"/>
        </w:rPr>
        <w:t xml:space="preserve"> clause 1 of Schedule 9 (table item 9C)</w:t>
      </w:r>
    </w:p>
    <w:p w14:paraId="43A7005F" w14:textId="522269F8"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This item </w:t>
      </w:r>
      <w:r w:rsidR="00E27104">
        <w:rPr>
          <w:rFonts w:eastAsia="Calibri" w:cstheme="minorHAnsi"/>
          <w:kern w:val="0"/>
        </w:rPr>
        <w:t>imposes</w:t>
      </w:r>
      <w:r w:rsidRPr="00575429">
        <w:rPr>
          <w:rFonts w:eastAsia="Calibri" w:cstheme="minorHAnsi"/>
          <w:kern w:val="0"/>
        </w:rPr>
        <w:t xml:space="preserve"> a new fee for the late filing of evidence in the following opposition proceedings under the trade marks legislation:</w:t>
      </w:r>
    </w:p>
    <w:p w14:paraId="78C61274" w14:textId="77777777" w:rsidR="00575429" w:rsidRPr="00575429" w:rsidRDefault="00575429" w:rsidP="002054C5">
      <w:pPr>
        <w:numPr>
          <w:ilvl w:val="0"/>
          <w:numId w:val="14"/>
        </w:numPr>
        <w:autoSpaceDE w:val="0"/>
        <w:autoSpaceDN w:val="0"/>
        <w:spacing w:before="80" w:after="0" w:line="252" w:lineRule="auto"/>
        <w:rPr>
          <w:rFonts w:eastAsia="Calibri" w:cstheme="minorHAnsi"/>
          <w:kern w:val="0"/>
        </w:rPr>
      </w:pPr>
      <w:r w:rsidRPr="00575429">
        <w:rPr>
          <w:rFonts w:eastAsia="Calibri" w:cstheme="minorHAnsi"/>
          <w:kern w:val="0"/>
        </w:rPr>
        <w:t>opposition to registration of a trade mark</w:t>
      </w:r>
    </w:p>
    <w:p w14:paraId="61BED317" w14:textId="3AD8FA2E" w:rsidR="00575429" w:rsidRPr="00575429" w:rsidRDefault="00575429" w:rsidP="002054C5">
      <w:pPr>
        <w:numPr>
          <w:ilvl w:val="0"/>
          <w:numId w:val="14"/>
        </w:numPr>
        <w:autoSpaceDE w:val="0"/>
        <w:autoSpaceDN w:val="0"/>
        <w:spacing w:before="80" w:after="0" w:line="252" w:lineRule="auto"/>
        <w:rPr>
          <w:rFonts w:eastAsia="Calibri" w:cstheme="minorHAnsi"/>
          <w:kern w:val="0"/>
        </w:rPr>
      </w:pPr>
      <w:r w:rsidRPr="00575429">
        <w:rPr>
          <w:rFonts w:eastAsia="Calibri" w:cstheme="minorHAnsi"/>
          <w:kern w:val="0"/>
        </w:rPr>
        <w:t>opposition to extension of protection to a trade mark</w:t>
      </w:r>
      <w:r w:rsidR="00785EFD">
        <w:rPr>
          <w:rFonts w:eastAsia="Calibri" w:cstheme="minorHAnsi"/>
          <w:kern w:val="0"/>
        </w:rPr>
        <w:t xml:space="preserve"> that is the subject of an IRDA</w:t>
      </w:r>
    </w:p>
    <w:p w14:paraId="70B5095F" w14:textId="77777777" w:rsidR="00575429" w:rsidRPr="00575429" w:rsidRDefault="00575429" w:rsidP="002054C5">
      <w:pPr>
        <w:numPr>
          <w:ilvl w:val="0"/>
          <w:numId w:val="14"/>
        </w:numPr>
        <w:autoSpaceDE w:val="0"/>
        <w:autoSpaceDN w:val="0"/>
        <w:spacing w:before="80" w:after="0" w:line="252" w:lineRule="auto"/>
        <w:rPr>
          <w:rFonts w:eastAsia="Calibri" w:cstheme="minorHAnsi"/>
          <w:kern w:val="0"/>
        </w:rPr>
      </w:pPr>
      <w:r w:rsidRPr="00575429">
        <w:rPr>
          <w:rFonts w:eastAsia="Calibri" w:cstheme="minorHAnsi"/>
          <w:kern w:val="0"/>
        </w:rPr>
        <w:t>opposition to removal of a trade mark from the Register for non-use</w:t>
      </w:r>
    </w:p>
    <w:p w14:paraId="6C35708E" w14:textId="77777777" w:rsidR="00575429" w:rsidRPr="00575429" w:rsidRDefault="00575429" w:rsidP="002054C5">
      <w:pPr>
        <w:numPr>
          <w:ilvl w:val="0"/>
          <w:numId w:val="14"/>
        </w:numPr>
        <w:autoSpaceDE w:val="0"/>
        <w:autoSpaceDN w:val="0"/>
        <w:spacing w:before="80" w:after="0" w:line="252" w:lineRule="auto"/>
        <w:rPr>
          <w:rFonts w:eastAsia="Calibri" w:cstheme="minorHAnsi"/>
          <w:kern w:val="0"/>
        </w:rPr>
      </w:pPr>
      <w:r w:rsidRPr="00575429">
        <w:rPr>
          <w:rFonts w:eastAsia="Calibri" w:cstheme="minorHAnsi"/>
          <w:kern w:val="0"/>
        </w:rPr>
        <w:t>opposition to cessation of protection of a protected international trade mark for non-use.</w:t>
      </w:r>
    </w:p>
    <w:p w14:paraId="592BD8EB" w14:textId="69129E92"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The Trade Marks Regulations provides a structured process for these oppositions, including specified 2-month or 3-month periods for filing evidence. The Registrar may extend any of the periods for filing evidence, but extensions are not generally available: owing to the stringent requirements for their grant.</w:t>
      </w:r>
    </w:p>
    <w:p w14:paraId="022D876A" w14:textId="0A5A2DC5"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 xml:space="preserve">Some parties to oppositions file evidence outside the relevant period for doing so, or outside that period as extended. The Registrar </w:t>
      </w:r>
      <w:proofErr w:type="gramStart"/>
      <w:r w:rsidRPr="00575429">
        <w:rPr>
          <w:rFonts w:eastAsia="Calibri" w:cstheme="minorHAnsi"/>
          <w:kern w:val="0"/>
          <w:lang w:val="en-US"/>
        </w:rPr>
        <w:t>is able to</w:t>
      </w:r>
      <w:proofErr w:type="gramEnd"/>
      <w:r w:rsidRPr="00575429">
        <w:rPr>
          <w:rFonts w:eastAsia="Calibri" w:cstheme="minorHAnsi"/>
          <w:kern w:val="0"/>
          <w:lang w:val="en-US"/>
        </w:rPr>
        <w:t xml:space="preserve"> consider that evidence, because the Registrar may be informed on any matter that is before the Registrar in a way that the Registrar reasonably believes to be appropriate. Nevertheless, the Registrar does not routinely consider late evidence as part of the evidence for determining the opposition. The Registrar requires the party filing the evidence to make a compelling case in </w:t>
      </w:r>
      <w:proofErr w:type="spellStart"/>
      <w:r w:rsidRPr="00575429">
        <w:rPr>
          <w:rFonts w:eastAsia="Calibri" w:cstheme="minorHAnsi"/>
          <w:kern w:val="0"/>
          <w:lang w:val="en-US"/>
        </w:rPr>
        <w:t>favour</w:t>
      </w:r>
      <w:proofErr w:type="spellEnd"/>
      <w:r w:rsidRPr="00575429">
        <w:rPr>
          <w:rFonts w:eastAsia="Calibri" w:cstheme="minorHAnsi"/>
          <w:kern w:val="0"/>
          <w:lang w:val="en-US"/>
        </w:rPr>
        <w:t xml:space="preserve"> of it being considered.</w:t>
      </w:r>
    </w:p>
    <w:p w14:paraId="6E6CBA67" w14:textId="1FF8365F"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 xml:space="preserve">The Registrar advises the other party that the late evidence has been filed. </w:t>
      </w:r>
      <w:r w:rsidR="004A3F10">
        <w:rPr>
          <w:rFonts w:eastAsia="Calibri" w:cstheme="minorHAnsi"/>
          <w:kern w:val="0"/>
          <w:lang w:val="en-US"/>
        </w:rPr>
        <w:t>Generally, n</w:t>
      </w:r>
      <w:r w:rsidRPr="00575429">
        <w:rPr>
          <w:rFonts w:eastAsia="Calibri" w:cstheme="minorHAnsi"/>
          <w:kern w:val="0"/>
          <w:lang w:val="en-US"/>
        </w:rPr>
        <w:t>o decision is made on the late evidence until the evidence stage of the opposition has ended, and one or both parties have asked to be heard. Then the Registrar considers whether there is a compelling case for the late evidence to be part of the evidence for determining the opposition:</w:t>
      </w:r>
    </w:p>
    <w:p w14:paraId="5C37F841" w14:textId="77777777" w:rsidR="00575429" w:rsidRPr="00575429" w:rsidRDefault="00575429" w:rsidP="002054C5">
      <w:pPr>
        <w:numPr>
          <w:ilvl w:val="0"/>
          <w:numId w:val="15"/>
        </w:numPr>
        <w:autoSpaceDE w:val="0"/>
        <w:autoSpaceDN w:val="0"/>
        <w:spacing w:before="80" w:after="0" w:line="252" w:lineRule="auto"/>
        <w:rPr>
          <w:rFonts w:eastAsia="Calibri" w:cstheme="minorHAnsi"/>
          <w:kern w:val="0"/>
          <w:lang w:val="en-US"/>
        </w:rPr>
      </w:pPr>
      <w:r w:rsidRPr="00575429">
        <w:rPr>
          <w:rFonts w:eastAsia="Calibri" w:cstheme="minorHAnsi"/>
          <w:kern w:val="0"/>
          <w:lang w:val="en-US"/>
        </w:rPr>
        <w:lastRenderedPageBreak/>
        <w:t>If the Registrar is not satisfied that there is a compelling case, both parties will be advised that the matter will proceed to hearing on any evidence filed in time. That is, the late evidence will not be considered as part of the evidence for determining the opposition.</w:t>
      </w:r>
    </w:p>
    <w:p w14:paraId="6A3BB2BF" w14:textId="77777777" w:rsidR="00575429" w:rsidRPr="00575429" w:rsidRDefault="00575429" w:rsidP="002054C5">
      <w:pPr>
        <w:numPr>
          <w:ilvl w:val="0"/>
          <w:numId w:val="15"/>
        </w:numPr>
        <w:autoSpaceDE w:val="0"/>
        <w:autoSpaceDN w:val="0"/>
        <w:spacing w:before="80" w:after="0" w:line="252" w:lineRule="auto"/>
        <w:rPr>
          <w:rFonts w:eastAsia="Calibri" w:cstheme="minorHAnsi"/>
          <w:kern w:val="0"/>
          <w:lang w:val="en-US"/>
        </w:rPr>
      </w:pPr>
      <w:r w:rsidRPr="00575429">
        <w:rPr>
          <w:rFonts w:eastAsia="Calibri" w:cstheme="minorHAnsi"/>
          <w:kern w:val="0"/>
          <w:lang w:val="en-US"/>
        </w:rPr>
        <w:t>If the Registrar is satisfied there is a compelling case, the other party will be given an opportunity to make representations in the matter, before the Registrar decides whether the late evidence is part of the evidence for determining the opposition.</w:t>
      </w:r>
    </w:p>
    <w:p w14:paraId="0F454120" w14:textId="77777777"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This preliminary consideration by the Registrar increases the effort and time of opposition proceedings. If the other party is given an opportunity to make representations in the matter, this adds to what the other party must do in the proceedings. If a substantial volume of late evidence filed late in the proceedings is to be part of the evidence for determining the opposition, the other party must be given time to consider how it affects their case. This can delay the determination of the proceedings.</w:t>
      </w:r>
    </w:p>
    <w:p w14:paraId="6EE02623" w14:textId="409A932B" w:rsidR="00575429" w:rsidRPr="00575429" w:rsidRDefault="00575429" w:rsidP="00472D7B">
      <w:pPr>
        <w:autoSpaceDE w:val="0"/>
        <w:autoSpaceDN w:val="0"/>
        <w:spacing w:before="160" w:after="0" w:line="252" w:lineRule="auto"/>
        <w:rPr>
          <w:rFonts w:eastAsia="Calibri" w:cstheme="minorHAnsi"/>
          <w:kern w:val="0"/>
          <w:lang w:val="en-US"/>
        </w:rPr>
      </w:pPr>
      <w:r w:rsidRPr="00575429">
        <w:rPr>
          <w:rFonts w:eastAsia="Calibri" w:cstheme="minorHAnsi"/>
          <w:kern w:val="0"/>
          <w:lang w:val="en-US"/>
        </w:rPr>
        <w:t>Item [</w:t>
      </w:r>
      <w:r w:rsidR="000D3C56">
        <w:rPr>
          <w:rFonts w:eastAsia="Calibri" w:cstheme="minorHAnsi"/>
          <w:kern w:val="0"/>
          <w:lang w:val="en-US"/>
        </w:rPr>
        <w:t>40</w:t>
      </w:r>
      <w:r w:rsidRPr="00575429">
        <w:rPr>
          <w:rFonts w:eastAsia="Calibri" w:cstheme="minorHAnsi"/>
          <w:kern w:val="0"/>
          <w:lang w:val="en-US"/>
        </w:rPr>
        <w:t xml:space="preserve">] inserts new table item 9C into clause 1 of Schedule 9 to the Trade Marks Regulations to impose a new fee of $500 for filing a document (or documents) that is (or are) purported to be evidence outside the relevant evidence period prescribed in regulations 5.14, 9.16, 17A.34J or 17A.48R, or that period as extended under regulations 5.15, 9.18, 17A.34K or 17A.48T </w:t>
      </w:r>
      <w:r w:rsidR="00802C4F">
        <w:rPr>
          <w:rFonts w:eastAsia="Calibri" w:cstheme="minorHAnsi"/>
          <w:kern w:val="0"/>
          <w:lang w:val="en-US"/>
        </w:rPr>
        <w:t>(</w:t>
      </w:r>
      <w:r w:rsidRPr="00575429">
        <w:rPr>
          <w:rFonts w:eastAsia="Calibri" w:cstheme="minorHAnsi"/>
          <w:kern w:val="0"/>
          <w:lang w:val="en-US"/>
        </w:rPr>
        <w:t>if applicable</w:t>
      </w:r>
      <w:r w:rsidR="00802C4F">
        <w:rPr>
          <w:rFonts w:eastAsia="Calibri" w:cstheme="minorHAnsi"/>
          <w:kern w:val="0"/>
          <w:lang w:val="en-US"/>
        </w:rPr>
        <w:t>)</w:t>
      </w:r>
      <w:r w:rsidRPr="00575429">
        <w:rPr>
          <w:rFonts w:eastAsia="Calibri" w:cstheme="minorHAnsi"/>
          <w:kern w:val="0"/>
          <w:lang w:val="en-US"/>
        </w:rPr>
        <w:t xml:space="preserve">. The amount of the </w:t>
      </w:r>
      <w:r w:rsidR="00886DDF">
        <w:rPr>
          <w:rFonts w:eastAsia="Calibri" w:cstheme="minorHAnsi"/>
          <w:kern w:val="0"/>
          <w:lang w:val="en-US"/>
        </w:rPr>
        <w:t>new</w:t>
      </w:r>
      <w:r w:rsidRPr="00575429">
        <w:rPr>
          <w:rFonts w:eastAsia="Calibri" w:cstheme="minorHAnsi"/>
          <w:kern w:val="0"/>
          <w:lang w:val="en-US"/>
        </w:rPr>
        <w:t xml:space="preserve"> fee is intended to recover the cost of the preliminary consideration of late evidence, as well as providing further incentive for filing evidence in time.</w:t>
      </w:r>
    </w:p>
    <w:p w14:paraId="282411CA" w14:textId="5DA9D0FA"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The Registrar requires that evidence </w:t>
      </w:r>
      <w:r w:rsidR="00163ADE">
        <w:rPr>
          <w:rFonts w:eastAsia="Calibri" w:cstheme="minorHAnsi"/>
          <w:kern w:val="0"/>
        </w:rPr>
        <w:t xml:space="preserve">other than oral testimony </w:t>
      </w:r>
      <w:r w:rsidRPr="00575429">
        <w:rPr>
          <w:rFonts w:eastAsia="Calibri" w:cstheme="minorHAnsi"/>
          <w:kern w:val="0"/>
        </w:rPr>
        <w:t xml:space="preserve">be filed in documentary form. The expression ‘document’ is defined in section 2B of the </w:t>
      </w:r>
      <w:r w:rsidRPr="00575429">
        <w:rPr>
          <w:rFonts w:eastAsia="Calibri" w:cstheme="minorHAnsi"/>
          <w:i/>
          <w:iCs/>
          <w:kern w:val="0"/>
        </w:rPr>
        <w:t>Acts Interpretation Act 1901</w:t>
      </w:r>
      <w:r w:rsidRPr="00575429">
        <w:rPr>
          <w:rFonts w:eastAsia="Calibri" w:cstheme="minorHAnsi"/>
          <w:kern w:val="0"/>
        </w:rPr>
        <w:t xml:space="preserve"> as any record of information, including</w:t>
      </w:r>
    </w:p>
    <w:p w14:paraId="0ACB3CA4" w14:textId="77777777" w:rsidR="00575429" w:rsidRPr="00575429" w:rsidRDefault="00575429" w:rsidP="002054C5">
      <w:pPr>
        <w:numPr>
          <w:ilvl w:val="0"/>
          <w:numId w:val="16"/>
        </w:numPr>
        <w:autoSpaceDE w:val="0"/>
        <w:autoSpaceDN w:val="0"/>
        <w:spacing w:before="80" w:after="0" w:line="252" w:lineRule="auto"/>
        <w:rPr>
          <w:rFonts w:eastAsia="Calibri" w:cstheme="minorHAnsi"/>
          <w:kern w:val="0"/>
        </w:rPr>
      </w:pPr>
      <w:r w:rsidRPr="00575429">
        <w:rPr>
          <w:rFonts w:eastAsia="Calibri" w:cstheme="minorHAnsi"/>
          <w:kern w:val="0"/>
        </w:rPr>
        <w:t>anything on which there is writing</w:t>
      </w:r>
    </w:p>
    <w:p w14:paraId="31E21348" w14:textId="77777777" w:rsidR="00575429" w:rsidRPr="00575429" w:rsidRDefault="00575429" w:rsidP="002054C5">
      <w:pPr>
        <w:numPr>
          <w:ilvl w:val="0"/>
          <w:numId w:val="16"/>
        </w:numPr>
        <w:autoSpaceDE w:val="0"/>
        <w:autoSpaceDN w:val="0"/>
        <w:spacing w:before="80" w:after="0" w:line="252" w:lineRule="auto"/>
        <w:rPr>
          <w:rFonts w:eastAsia="Calibri" w:cstheme="minorHAnsi"/>
          <w:kern w:val="0"/>
        </w:rPr>
      </w:pPr>
      <w:r w:rsidRPr="00575429">
        <w:rPr>
          <w:rFonts w:eastAsia="Calibri" w:cstheme="minorHAnsi"/>
          <w:kern w:val="0"/>
        </w:rPr>
        <w:t>anything on which there are marks, figures, symbols or perforations having a meaning for persons qualified to interpret them</w:t>
      </w:r>
    </w:p>
    <w:p w14:paraId="490A715F" w14:textId="77777777" w:rsidR="00575429" w:rsidRPr="00575429" w:rsidRDefault="00575429" w:rsidP="002054C5">
      <w:pPr>
        <w:numPr>
          <w:ilvl w:val="0"/>
          <w:numId w:val="16"/>
        </w:numPr>
        <w:autoSpaceDE w:val="0"/>
        <w:autoSpaceDN w:val="0"/>
        <w:spacing w:before="80" w:after="0" w:line="252" w:lineRule="auto"/>
        <w:rPr>
          <w:rFonts w:eastAsia="Calibri" w:cstheme="minorHAnsi"/>
          <w:kern w:val="0"/>
        </w:rPr>
      </w:pPr>
      <w:r w:rsidRPr="00575429">
        <w:rPr>
          <w:rFonts w:eastAsia="Calibri" w:cstheme="minorHAnsi"/>
          <w:kern w:val="0"/>
        </w:rPr>
        <w:t>anything from which sounds, images or writings can be reproduced with or without the aid of anything else</w:t>
      </w:r>
    </w:p>
    <w:p w14:paraId="30AC168A" w14:textId="77777777" w:rsidR="00575429" w:rsidRPr="00575429" w:rsidRDefault="00575429" w:rsidP="002054C5">
      <w:pPr>
        <w:numPr>
          <w:ilvl w:val="0"/>
          <w:numId w:val="16"/>
        </w:numPr>
        <w:autoSpaceDE w:val="0"/>
        <w:autoSpaceDN w:val="0"/>
        <w:spacing w:before="80" w:after="0" w:line="252" w:lineRule="auto"/>
        <w:rPr>
          <w:rFonts w:eastAsia="Calibri" w:cstheme="minorHAnsi"/>
          <w:kern w:val="0"/>
        </w:rPr>
      </w:pPr>
      <w:r w:rsidRPr="00575429">
        <w:rPr>
          <w:rFonts w:eastAsia="Calibri" w:cstheme="minorHAnsi"/>
          <w:kern w:val="0"/>
        </w:rPr>
        <w:t>a map, plan, drawing or photograph.</w:t>
      </w:r>
    </w:p>
    <w:p w14:paraId="54E97B7B" w14:textId="050C9FBB"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The new fee is intended to apply to evidence in proceedings, not a procedural document such as notice of intention to defend an opposition. Nor is the new fee intended to apply to submissions in the proceeding. The Registrar requires evidence in proceedings to be in the form of a declaration under regulation 21.6 of the Trade Marks Regulations, which can include photographs or video recordings of articles</w:t>
      </w:r>
      <w:r w:rsidR="003D1034">
        <w:rPr>
          <w:rFonts w:eastAsia="Calibri" w:cstheme="minorHAnsi"/>
          <w:kern w:val="0"/>
        </w:rPr>
        <w:t xml:space="preserve"> bearing the trade mark</w:t>
      </w:r>
      <w:r w:rsidRPr="00575429">
        <w:rPr>
          <w:rFonts w:eastAsia="Calibri" w:cstheme="minorHAnsi"/>
          <w:kern w:val="0"/>
        </w:rPr>
        <w:t>.</w:t>
      </w:r>
    </w:p>
    <w:p w14:paraId="1C33053D" w14:textId="3AC0AC17" w:rsidR="00575429" w:rsidRPr="00575429" w:rsidRDefault="00575429" w:rsidP="00472D7B">
      <w:pPr>
        <w:autoSpaceDE w:val="0"/>
        <w:autoSpaceDN w:val="0"/>
        <w:spacing w:before="160" w:after="0" w:line="252" w:lineRule="auto"/>
        <w:rPr>
          <w:rFonts w:eastAsia="Calibri" w:cstheme="minorHAnsi"/>
          <w:b/>
          <w:bCs/>
          <w:kern w:val="0"/>
        </w:rPr>
      </w:pPr>
      <w:r w:rsidRPr="00575429">
        <w:rPr>
          <w:rFonts w:eastAsia="Calibri" w:cstheme="minorHAnsi"/>
          <w:b/>
          <w:bCs/>
          <w:kern w:val="0"/>
        </w:rPr>
        <w:t xml:space="preserve">Item </w:t>
      </w:r>
      <w:r w:rsidRPr="00575429">
        <w:rPr>
          <w:rFonts w:eastAsia="Calibri" w:cstheme="minorHAnsi"/>
          <w:b/>
          <w:bCs/>
          <w:iCs/>
          <w:kern w:val="0"/>
          <w:lang w:val="en-US"/>
        </w:rPr>
        <w:t>[</w:t>
      </w:r>
      <w:r w:rsidR="0017074A">
        <w:rPr>
          <w:rFonts w:eastAsia="Calibri" w:cstheme="minorHAnsi"/>
          <w:b/>
          <w:bCs/>
          <w:iCs/>
          <w:kern w:val="0"/>
          <w:lang w:val="en-US"/>
        </w:rPr>
        <w:t>41</w:t>
      </w:r>
      <w:r w:rsidRPr="00575429">
        <w:rPr>
          <w:rFonts w:eastAsia="Calibri" w:cstheme="minorHAnsi"/>
          <w:b/>
          <w:bCs/>
          <w:iCs/>
          <w:kern w:val="0"/>
          <w:lang w:val="en-US"/>
        </w:rPr>
        <w:t xml:space="preserve">] </w:t>
      </w:r>
      <w:r w:rsidRPr="00575429">
        <w:rPr>
          <w:rFonts w:eastAsia="Calibri" w:cstheme="minorHAnsi"/>
          <w:kern w:val="0"/>
        </w:rPr>
        <w:t xml:space="preserve">– </w:t>
      </w:r>
      <w:r w:rsidRPr="00575429">
        <w:rPr>
          <w:rFonts w:eastAsia="Calibri" w:cstheme="minorHAnsi"/>
          <w:b/>
          <w:bCs/>
          <w:kern w:val="0"/>
        </w:rPr>
        <w:t>Clause 1 of Schedule 9 (table items 13 and 13A)</w:t>
      </w:r>
    </w:p>
    <w:p w14:paraId="6C5CA9AF" w14:textId="45B01511"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This item </w:t>
      </w:r>
      <w:r w:rsidR="003A4D5F">
        <w:rPr>
          <w:rFonts w:eastAsia="Calibri" w:cstheme="minorHAnsi"/>
          <w:kern w:val="0"/>
        </w:rPr>
        <w:t>amend</w:t>
      </w:r>
      <w:r w:rsidR="00C95BBA">
        <w:rPr>
          <w:rFonts w:eastAsia="Calibri" w:cstheme="minorHAnsi"/>
          <w:kern w:val="0"/>
        </w:rPr>
        <w:t>s</w:t>
      </w:r>
      <w:r w:rsidRPr="00575429">
        <w:rPr>
          <w:rFonts w:eastAsia="Calibri" w:cstheme="minorHAnsi"/>
          <w:kern w:val="0"/>
        </w:rPr>
        <w:t xml:space="preserve"> existing table items 13 and 13A in Clause 1 of Schedule 9 to the Trade Marks Regulations to increase by $100 the amounts of the fees for filing non-use applications:</w:t>
      </w:r>
    </w:p>
    <w:p w14:paraId="39E68514" w14:textId="77777777" w:rsidR="00575429" w:rsidRPr="00575429" w:rsidRDefault="00575429" w:rsidP="002054C5">
      <w:pPr>
        <w:numPr>
          <w:ilvl w:val="0"/>
          <w:numId w:val="2"/>
        </w:numPr>
        <w:autoSpaceDE w:val="0"/>
        <w:autoSpaceDN w:val="0"/>
        <w:spacing w:before="160" w:after="0" w:line="252" w:lineRule="auto"/>
        <w:ind w:left="426"/>
        <w:rPr>
          <w:rFonts w:eastAsia="Calibri" w:cstheme="minorHAnsi"/>
          <w:iCs/>
          <w:kern w:val="0"/>
          <w:lang w:val="en-US"/>
        </w:rPr>
      </w:pPr>
      <w:r w:rsidRPr="00575429">
        <w:rPr>
          <w:rFonts w:eastAsia="Calibri" w:cstheme="minorHAnsi"/>
          <w:iCs/>
          <w:kern w:val="0"/>
          <w:lang w:val="en-US"/>
        </w:rPr>
        <w:t>for removal of a trade mark from the Register of Trade Marks for non-use</w:t>
      </w:r>
    </w:p>
    <w:p w14:paraId="5B8C1652" w14:textId="77777777" w:rsidR="00575429" w:rsidRPr="00575429" w:rsidRDefault="00575429" w:rsidP="002054C5">
      <w:pPr>
        <w:numPr>
          <w:ilvl w:val="0"/>
          <w:numId w:val="2"/>
        </w:numPr>
        <w:autoSpaceDE w:val="0"/>
        <w:autoSpaceDN w:val="0"/>
        <w:spacing w:before="160" w:after="0" w:line="252" w:lineRule="auto"/>
        <w:ind w:left="426"/>
        <w:rPr>
          <w:rFonts w:eastAsia="Calibri" w:cstheme="minorHAnsi"/>
          <w:iCs/>
          <w:kern w:val="0"/>
          <w:lang w:val="en-US"/>
        </w:rPr>
      </w:pPr>
      <w:r w:rsidRPr="00575429">
        <w:rPr>
          <w:rFonts w:eastAsia="Calibri" w:cstheme="minorHAnsi"/>
          <w:iCs/>
          <w:kern w:val="0"/>
          <w:lang w:val="en-US"/>
        </w:rPr>
        <w:t>for cessation of protection of a protected international trade mark for non-use.</w:t>
      </w:r>
    </w:p>
    <w:p w14:paraId="284141A0" w14:textId="24463B11" w:rsidR="00575429" w:rsidRPr="00575429" w:rsidRDefault="00575429" w:rsidP="00472D7B">
      <w:pPr>
        <w:autoSpaceDE w:val="0"/>
        <w:autoSpaceDN w:val="0"/>
        <w:spacing w:before="160" w:after="0" w:line="252" w:lineRule="auto"/>
        <w:rPr>
          <w:rFonts w:eastAsia="Calibri" w:cstheme="minorHAnsi"/>
          <w:b/>
          <w:bCs/>
          <w:kern w:val="0"/>
        </w:rPr>
      </w:pPr>
      <w:r w:rsidRPr="00575429">
        <w:rPr>
          <w:rFonts w:eastAsia="Calibri" w:cstheme="minorHAnsi"/>
          <w:b/>
          <w:bCs/>
          <w:kern w:val="0"/>
        </w:rPr>
        <w:t xml:space="preserve">Items </w:t>
      </w:r>
      <w:r w:rsidRPr="00575429">
        <w:rPr>
          <w:rFonts w:eastAsia="Calibri" w:cstheme="minorHAnsi"/>
          <w:b/>
          <w:bCs/>
          <w:iCs/>
          <w:kern w:val="0"/>
          <w:lang w:val="en-US"/>
        </w:rPr>
        <w:t>[</w:t>
      </w:r>
      <w:r w:rsidR="0017074A">
        <w:rPr>
          <w:rFonts w:eastAsia="Calibri" w:cstheme="minorHAnsi"/>
          <w:b/>
          <w:bCs/>
          <w:iCs/>
          <w:kern w:val="0"/>
          <w:lang w:val="en-US"/>
        </w:rPr>
        <w:t>42</w:t>
      </w:r>
      <w:r w:rsidRPr="00575429">
        <w:rPr>
          <w:rFonts w:eastAsia="Calibri" w:cstheme="minorHAnsi"/>
          <w:b/>
          <w:bCs/>
          <w:iCs/>
          <w:kern w:val="0"/>
          <w:lang w:val="en-US"/>
        </w:rPr>
        <w:t>] and [</w:t>
      </w:r>
      <w:r w:rsidR="0017074A">
        <w:rPr>
          <w:rFonts w:eastAsia="Calibri" w:cstheme="minorHAnsi"/>
          <w:b/>
          <w:bCs/>
          <w:iCs/>
          <w:kern w:val="0"/>
          <w:lang w:val="en-US"/>
        </w:rPr>
        <w:t>43</w:t>
      </w:r>
      <w:r w:rsidRPr="00575429">
        <w:rPr>
          <w:rFonts w:eastAsia="Calibri" w:cstheme="minorHAnsi"/>
          <w:b/>
          <w:bCs/>
          <w:iCs/>
          <w:kern w:val="0"/>
          <w:lang w:val="en-US"/>
        </w:rPr>
        <w:t xml:space="preserve">] </w:t>
      </w:r>
      <w:r w:rsidRPr="00575429">
        <w:rPr>
          <w:rFonts w:eastAsia="Calibri" w:cstheme="minorHAnsi"/>
          <w:kern w:val="0"/>
        </w:rPr>
        <w:t xml:space="preserve">– </w:t>
      </w:r>
      <w:r w:rsidRPr="00575429">
        <w:rPr>
          <w:rFonts w:eastAsia="Calibri" w:cstheme="minorHAnsi"/>
          <w:b/>
          <w:bCs/>
          <w:kern w:val="0"/>
        </w:rPr>
        <w:t>Clause 1 of Schedule 9, table items 14 and 15</w:t>
      </w:r>
    </w:p>
    <w:p w14:paraId="4D4DEE3F" w14:textId="1BF8F0A5" w:rsidR="00C24BC1" w:rsidRPr="00C24BC1" w:rsidRDefault="00C24BC1" w:rsidP="00C24BC1">
      <w:pPr>
        <w:autoSpaceDE w:val="0"/>
        <w:autoSpaceDN w:val="0"/>
        <w:spacing w:before="160" w:after="0" w:line="252" w:lineRule="auto"/>
        <w:rPr>
          <w:rFonts w:eastAsia="Calibri" w:cstheme="minorHAnsi"/>
          <w:iCs/>
          <w:kern w:val="0"/>
        </w:rPr>
      </w:pPr>
      <w:r w:rsidRPr="00C24BC1">
        <w:rPr>
          <w:rFonts w:eastAsia="Calibri" w:cstheme="minorHAnsi"/>
          <w:iCs/>
          <w:kern w:val="0"/>
        </w:rPr>
        <w:t>These items would repeal existing table item 14, and substitute table 15 item, both in clause 1 of Schedule 9 to the Trade Marks Regulations</w:t>
      </w:r>
      <w:r w:rsidR="00DE0477">
        <w:rPr>
          <w:rFonts w:eastAsia="Calibri" w:cstheme="minorHAnsi"/>
          <w:iCs/>
          <w:kern w:val="0"/>
        </w:rPr>
        <w:t xml:space="preserve">, </w:t>
      </w:r>
      <w:r w:rsidRPr="00C24BC1">
        <w:rPr>
          <w:rFonts w:eastAsia="Calibri" w:cstheme="minorHAnsi"/>
          <w:iCs/>
          <w:kern w:val="0"/>
        </w:rPr>
        <w:t>to simplify the fees for hearings by the Registrar.</w:t>
      </w:r>
    </w:p>
    <w:p w14:paraId="49972CCB" w14:textId="77777777" w:rsidR="00E50F6D" w:rsidRDefault="00575429" w:rsidP="00472D7B">
      <w:pPr>
        <w:autoSpaceDE w:val="0"/>
        <w:autoSpaceDN w:val="0"/>
        <w:spacing w:before="160" w:after="0" w:line="252" w:lineRule="auto"/>
        <w:rPr>
          <w:rFonts w:eastAsia="Calibri" w:cstheme="minorHAnsi"/>
          <w:iCs/>
          <w:kern w:val="0"/>
          <w:lang w:val="en-US"/>
        </w:rPr>
      </w:pPr>
      <w:r w:rsidRPr="00575429">
        <w:rPr>
          <w:rFonts w:eastAsia="Calibri" w:cstheme="minorHAnsi"/>
          <w:iCs/>
          <w:kern w:val="0"/>
          <w:lang w:val="en-US"/>
        </w:rPr>
        <w:t xml:space="preserve">Several provisions in the trade marks legislation require the Registrar to give persons the opportunity to be heard. A hearing can be </w:t>
      </w:r>
      <w:proofErr w:type="gramStart"/>
      <w:r w:rsidRPr="00575429">
        <w:rPr>
          <w:rFonts w:eastAsia="Calibri" w:cstheme="minorHAnsi"/>
          <w:iCs/>
          <w:kern w:val="0"/>
          <w:lang w:val="en-US"/>
        </w:rPr>
        <w:t>inter</w:t>
      </w:r>
      <w:proofErr w:type="gramEnd"/>
      <w:r w:rsidRPr="00575429">
        <w:rPr>
          <w:rFonts w:eastAsia="Calibri" w:cstheme="minorHAnsi"/>
          <w:iCs/>
          <w:kern w:val="0"/>
          <w:lang w:val="en-US"/>
        </w:rPr>
        <w:t xml:space="preserve"> partes: between the parties to opposition proceedings. A hearing can be ex </w:t>
      </w:r>
      <w:proofErr w:type="spellStart"/>
      <w:r w:rsidRPr="00575429">
        <w:rPr>
          <w:rFonts w:eastAsia="Calibri" w:cstheme="minorHAnsi"/>
          <w:iCs/>
          <w:kern w:val="0"/>
          <w:lang w:val="en-US"/>
        </w:rPr>
        <w:t>parte</w:t>
      </w:r>
      <w:proofErr w:type="spellEnd"/>
      <w:r w:rsidRPr="00575429">
        <w:rPr>
          <w:rFonts w:eastAsia="Calibri" w:cstheme="minorHAnsi"/>
          <w:iCs/>
          <w:kern w:val="0"/>
          <w:lang w:val="en-US"/>
        </w:rPr>
        <w:t>: hearing a person affected by a decision of the Registrar (for example, an applicant for registration of a trade mark whose application the Registrar proposes to reject).</w:t>
      </w:r>
    </w:p>
    <w:p w14:paraId="45B57253" w14:textId="4342506D" w:rsidR="00575429" w:rsidRPr="00575429" w:rsidRDefault="00D32B8D" w:rsidP="00245536">
      <w:pPr>
        <w:tabs>
          <w:tab w:val="left" w:pos="2880"/>
        </w:tabs>
        <w:rPr>
          <w:rFonts w:eastAsia="Calibri" w:cstheme="minorHAnsi"/>
          <w:iCs/>
          <w:kern w:val="0"/>
          <w:lang w:val="en-US"/>
        </w:rPr>
      </w:pPr>
      <w:r>
        <w:rPr>
          <w:rFonts w:eastAsia="Calibri" w:cstheme="minorHAnsi"/>
          <w:iCs/>
          <w:kern w:val="0"/>
          <w:lang w:val="en-US"/>
        </w:rPr>
        <w:lastRenderedPageBreak/>
        <w:t xml:space="preserve">Existing </w:t>
      </w:r>
      <w:r w:rsidR="00575429" w:rsidRPr="00575429">
        <w:rPr>
          <w:rFonts w:eastAsia="Calibri" w:cstheme="minorHAnsi"/>
          <w:iCs/>
          <w:kern w:val="0"/>
          <w:lang w:val="en-US"/>
        </w:rPr>
        <w:t xml:space="preserve">table item 14 prescribes a fee of $400 for requesting a hearing. If a party pays this fee, it reduces the amount of the fee the party must pay for the first day of the hearing. To simplify the hearing fees, the fee for requesting a hearing </w:t>
      </w:r>
      <w:r w:rsidR="008D430D">
        <w:rPr>
          <w:rFonts w:eastAsia="Calibri" w:cstheme="minorHAnsi"/>
          <w:iCs/>
          <w:kern w:val="0"/>
          <w:lang w:val="en-US"/>
        </w:rPr>
        <w:t>is</w:t>
      </w:r>
      <w:r w:rsidR="00575429" w:rsidRPr="00575429">
        <w:rPr>
          <w:rFonts w:eastAsia="Calibri" w:cstheme="minorHAnsi"/>
          <w:iCs/>
          <w:kern w:val="0"/>
          <w:lang w:val="en-US"/>
        </w:rPr>
        <w:t xml:space="preserve"> repealed.</w:t>
      </w:r>
    </w:p>
    <w:p w14:paraId="5CEFC4B3" w14:textId="77777777" w:rsidR="00575429" w:rsidRPr="00575429" w:rsidRDefault="00575429" w:rsidP="00472D7B">
      <w:pPr>
        <w:autoSpaceDE w:val="0"/>
        <w:autoSpaceDN w:val="0"/>
        <w:spacing w:before="160" w:after="0" w:line="252" w:lineRule="auto"/>
        <w:rPr>
          <w:rFonts w:eastAsia="Calibri" w:cstheme="minorHAnsi"/>
          <w:iCs/>
          <w:kern w:val="0"/>
          <w:lang w:val="en-US"/>
        </w:rPr>
      </w:pPr>
      <w:r w:rsidRPr="00575429">
        <w:rPr>
          <w:rFonts w:eastAsia="Calibri" w:cstheme="minorHAnsi"/>
          <w:iCs/>
          <w:kern w:val="0"/>
          <w:lang w:val="en-US"/>
        </w:rPr>
        <w:t>A person may be heard:</w:t>
      </w:r>
    </w:p>
    <w:p w14:paraId="7559EC1A" w14:textId="77777777" w:rsidR="00575429" w:rsidRPr="00575429" w:rsidRDefault="00575429" w:rsidP="002054C5">
      <w:pPr>
        <w:numPr>
          <w:ilvl w:val="0"/>
          <w:numId w:val="8"/>
        </w:numPr>
        <w:autoSpaceDE w:val="0"/>
        <w:autoSpaceDN w:val="0"/>
        <w:spacing w:before="80" w:after="0" w:line="252" w:lineRule="auto"/>
        <w:rPr>
          <w:rFonts w:eastAsia="Calibri" w:cstheme="minorHAnsi"/>
          <w:iCs/>
          <w:kern w:val="0"/>
          <w:lang w:val="en-US"/>
        </w:rPr>
      </w:pPr>
      <w:r w:rsidRPr="00575429">
        <w:rPr>
          <w:rFonts w:eastAsia="Calibri" w:cstheme="minorHAnsi"/>
          <w:iCs/>
          <w:kern w:val="0"/>
          <w:lang w:val="en-US"/>
        </w:rPr>
        <w:t>orally, in person</w:t>
      </w:r>
    </w:p>
    <w:p w14:paraId="15C3A2ED" w14:textId="77777777" w:rsidR="00575429" w:rsidRPr="00575429" w:rsidRDefault="00575429" w:rsidP="002054C5">
      <w:pPr>
        <w:numPr>
          <w:ilvl w:val="0"/>
          <w:numId w:val="8"/>
        </w:numPr>
        <w:autoSpaceDE w:val="0"/>
        <w:autoSpaceDN w:val="0"/>
        <w:spacing w:before="80" w:after="0" w:line="252" w:lineRule="auto"/>
        <w:rPr>
          <w:rFonts w:eastAsia="Calibri" w:cstheme="minorHAnsi"/>
          <w:iCs/>
          <w:kern w:val="0"/>
          <w:lang w:val="en-US"/>
        </w:rPr>
      </w:pPr>
      <w:r w:rsidRPr="00575429">
        <w:rPr>
          <w:rFonts w:eastAsia="Calibri" w:cstheme="minorHAnsi"/>
          <w:iCs/>
          <w:kern w:val="0"/>
          <w:lang w:val="en-US"/>
        </w:rPr>
        <w:t>orally, not in person – that is, by videoconference or teleconference</w:t>
      </w:r>
    </w:p>
    <w:p w14:paraId="0D4E0CC8" w14:textId="50588ADF" w:rsidR="00575429" w:rsidRPr="00575429" w:rsidRDefault="00575429" w:rsidP="002054C5">
      <w:pPr>
        <w:numPr>
          <w:ilvl w:val="0"/>
          <w:numId w:val="8"/>
        </w:numPr>
        <w:autoSpaceDE w:val="0"/>
        <w:autoSpaceDN w:val="0"/>
        <w:spacing w:before="80" w:after="0" w:line="252" w:lineRule="auto"/>
        <w:rPr>
          <w:rFonts w:eastAsia="Calibri" w:cstheme="minorHAnsi"/>
          <w:iCs/>
          <w:kern w:val="0"/>
          <w:lang w:val="en-US"/>
        </w:rPr>
      </w:pPr>
      <w:r w:rsidRPr="00575429">
        <w:rPr>
          <w:rFonts w:eastAsia="Calibri" w:cstheme="minorHAnsi"/>
          <w:iCs/>
          <w:kern w:val="0"/>
          <w:lang w:val="en-US"/>
        </w:rPr>
        <w:t>by filing written submissions.</w:t>
      </w:r>
    </w:p>
    <w:p w14:paraId="064D0E5B" w14:textId="6A2C341A" w:rsidR="00575429" w:rsidRPr="00575429" w:rsidRDefault="00575429" w:rsidP="00472D7B">
      <w:pPr>
        <w:autoSpaceDE w:val="0"/>
        <w:autoSpaceDN w:val="0"/>
        <w:spacing w:before="160" w:after="0" w:line="252" w:lineRule="auto"/>
        <w:rPr>
          <w:rFonts w:eastAsia="Calibri" w:cstheme="minorHAnsi"/>
          <w:iCs/>
          <w:kern w:val="0"/>
          <w:lang w:val="en-US"/>
        </w:rPr>
      </w:pPr>
      <w:r w:rsidRPr="00575429">
        <w:rPr>
          <w:rFonts w:eastAsia="Calibri" w:cstheme="minorHAnsi"/>
          <w:iCs/>
          <w:kern w:val="0"/>
          <w:lang w:val="en-US"/>
        </w:rPr>
        <w:t xml:space="preserve">Currently, different amounts are payable for oral hearings in person and oral hearings not in person. The current hearing fee for oral hearings in person is set at $800 a day; for oral hearings not in person the amount is set at $600 a day. Almost all oral hearings are now conducted by videoconference or teleconference: that is, not in person. Hearings in person are now only offered in exceptional circumstances: for example, a person wanting to attend the hearing is unable to use the internet or telephone because of </w:t>
      </w:r>
      <w:r w:rsidR="00B94159">
        <w:rPr>
          <w:rFonts w:eastAsia="Calibri" w:cstheme="minorHAnsi"/>
          <w:iCs/>
          <w:kern w:val="0"/>
          <w:lang w:val="en-US"/>
        </w:rPr>
        <w:t xml:space="preserve">a </w:t>
      </w:r>
      <w:r w:rsidRPr="00575429">
        <w:rPr>
          <w:rFonts w:eastAsia="Calibri" w:cstheme="minorHAnsi"/>
          <w:iCs/>
          <w:kern w:val="0"/>
          <w:lang w:val="en-US"/>
        </w:rPr>
        <w:t xml:space="preserve">disability. As a result, it is no longer efficient for different amounts to be payable for oral hearings in person or not in person. The amount of $700 a day </w:t>
      </w:r>
      <w:r w:rsidR="008D430D">
        <w:rPr>
          <w:rFonts w:eastAsia="Calibri" w:cstheme="minorHAnsi"/>
          <w:iCs/>
          <w:kern w:val="0"/>
          <w:lang w:val="en-US"/>
        </w:rPr>
        <w:t>is</w:t>
      </w:r>
      <w:r w:rsidRPr="00575429">
        <w:rPr>
          <w:rFonts w:eastAsia="Calibri" w:cstheme="minorHAnsi"/>
          <w:iCs/>
          <w:kern w:val="0"/>
          <w:lang w:val="en-US"/>
        </w:rPr>
        <w:t xml:space="preserve"> prescribed for all oral hearings: a $100 a day increase for almost all oral hearings; a decrease of $100 a day for any oral hearings in person. The fee for being heard by means of written submissions only would also be increased by $100.</w:t>
      </w:r>
    </w:p>
    <w:p w14:paraId="552C674A" w14:textId="24909B65" w:rsidR="00575429" w:rsidRPr="00575429" w:rsidRDefault="00575429" w:rsidP="00472D7B">
      <w:pPr>
        <w:autoSpaceDE w:val="0"/>
        <w:autoSpaceDN w:val="0"/>
        <w:spacing w:before="160" w:after="0" w:line="252" w:lineRule="auto"/>
        <w:rPr>
          <w:rFonts w:eastAsia="Calibri" w:cstheme="minorHAnsi"/>
          <w:iCs/>
          <w:kern w:val="0"/>
          <w:lang w:val="en-US"/>
        </w:rPr>
      </w:pPr>
      <w:r w:rsidRPr="00575429">
        <w:rPr>
          <w:rFonts w:eastAsia="Calibri" w:cstheme="minorHAnsi"/>
          <w:iCs/>
          <w:kern w:val="0"/>
          <w:lang w:val="en-US"/>
        </w:rPr>
        <w:t>Table 4 explains the changes to the structure and amounts of the hearing fees.</w:t>
      </w:r>
    </w:p>
    <w:p w14:paraId="23835E7F" w14:textId="77777777" w:rsidR="00575429" w:rsidRPr="00575429" w:rsidRDefault="00575429" w:rsidP="00472D7B">
      <w:pPr>
        <w:autoSpaceDE w:val="0"/>
        <w:autoSpaceDN w:val="0"/>
        <w:spacing w:before="160" w:after="80" w:line="252" w:lineRule="auto"/>
        <w:ind w:left="851"/>
        <w:rPr>
          <w:rFonts w:eastAsia="Calibri"/>
          <w:kern w:val="0"/>
          <w:u w:val="single"/>
        </w:rPr>
      </w:pPr>
      <w:r w:rsidRPr="06760514">
        <w:rPr>
          <w:rFonts w:eastAsia="Calibri"/>
          <w:kern w:val="0"/>
          <w:u w:val="single"/>
        </w:rPr>
        <w:t>Table 4</w:t>
      </w:r>
      <w:r w:rsidRPr="00575429">
        <w:rPr>
          <w:rFonts w:eastAsia="Calibri" w:cstheme="minorHAnsi"/>
          <w:kern w:val="0"/>
          <w:u w:val="single"/>
        </w:rPr>
        <w:tab/>
      </w:r>
      <w:r w:rsidRPr="06760514">
        <w:rPr>
          <w:rFonts w:eastAsia="Calibri"/>
          <w:kern w:val="0"/>
          <w:u w:val="single"/>
        </w:rPr>
        <w:t>Changes to trade marks hearing fees</w:t>
      </w:r>
    </w:p>
    <w:tbl>
      <w:tblPr>
        <w:tblW w:w="8217" w:type="dxa"/>
        <w:jc w:val="right"/>
        <w:tblBorders>
          <w:top w:val="single" w:sz="4" w:space="0" w:color="auto"/>
          <w:left w:val="single" w:sz="4" w:space="0" w:color="auto"/>
          <w:bottom w:val="single" w:sz="4" w:space="0" w:color="auto"/>
          <w:right w:val="single" w:sz="4" w:space="0" w:color="auto"/>
          <w:insideH w:val="dashed" w:sz="4" w:space="0" w:color="auto"/>
          <w:insideV w:val="dashSmallGap" w:sz="4" w:space="0" w:color="auto"/>
        </w:tblBorders>
        <w:tblLayout w:type="fixed"/>
        <w:tblCellMar>
          <w:top w:w="85" w:type="dxa"/>
          <w:left w:w="85" w:type="dxa"/>
          <w:bottom w:w="85" w:type="dxa"/>
          <w:right w:w="85" w:type="dxa"/>
        </w:tblCellMar>
        <w:tblLook w:val="04A0" w:firstRow="1" w:lastRow="0" w:firstColumn="1" w:lastColumn="0" w:noHBand="0" w:noVBand="1"/>
      </w:tblPr>
      <w:tblGrid>
        <w:gridCol w:w="3967"/>
        <w:gridCol w:w="3116"/>
        <w:gridCol w:w="1134"/>
      </w:tblGrid>
      <w:tr w:rsidR="000B365A" w:rsidRPr="00247330" w14:paraId="0FF49DDD" w14:textId="77777777" w:rsidTr="00472D7B">
        <w:trPr>
          <w:trHeight w:val="300"/>
          <w:tblHeader/>
          <w:jc w:val="right"/>
        </w:trPr>
        <w:tc>
          <w:tcPr>
            <w:tcW w:w="3967" w:type="dxa"/>
            <w:shd w:val="clear" w:color="auto" w:fill="FFFFFF" w:themeFill="background1"/>
            <w:hideMark/>
          </w:tcPr>
          <w:p w14:paraId="01CCF519"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b/>
                <w:bCs/>
                <w:iCs/>
                <w:kern w:val="0"/>
                <w:sz w:val="20"/>
                <w:szCs w:val="20"/>
              </w:rPr>
              <w:t>M</w:t>
            </w:r>
            <w:r w:rsidRPr="00472D7B">
              <w:rPr>
                <w:rFonts w:eastAsia="Calibri" w:cstheme="minorHAnsi"/>
                <w:b/>
                <w:bCs/>
                <w:kern w:val="0"/>
                <w:sz w:val="20"/>
                <w:szCs w:val="20"/>
              </w:rPr>
              <w:t>atter</w:t>
            </w:r>
            <w:r w:rsidRPr="00472D7B">
              <w:rPr>
                <w:rFonts w:eastAsia="Calibri" w:cstheme="minorHAnsi"/>
                <w:iCs/>
                <w:kern w:val="0"/>
                <w:sz w:val="20"/>
                <w:szCs w:val="20"/>
              </w:rPr>
              <w:t> </w:t>
            </w:r>
          </w:p>
        </w:tc>
        <w:tc>
          <w:tcPr>
            <w:tcW w:w="3116" w:type="dxa"/>
            <w:shd w:val="clear" w:color="auto" w:fill="FFFFFF" w:themeFill="background1"/>
            <w:hideMark/>
          </w:tcPr>
          <w:p w14:paraId="2EE37415" w14:textId="6F415D10" w:rsidR="00575429" w:rsidRPr="00472D7B" w:rsidRDefault="000A0626" w:rsidP="00472D7B">
            <w:pPr>
              <w:autoSpaceDE w:val="0"/>
              <w:autoSpaceDN w:val="0"/>
              <w:spacing w:after="0" w:line="252" w:lineRule="auto"/>
              <w:rPr>
                <w:rFonts w:eastAsia="Calibri" w:cstheme="minorHAnsi"/>
                <w:iCs/>
                <w:kern w:val="0"/>
                <w:sz w:val="20"/>
                <w:szCs w:val="20"/>
              </w:rPr>
            </w:pPr>
            <w:r>
              <w:rPr>
                <w:rFonts w:eastAsia="Calibri" w:cstheme="minorHAnsi"/>
                <w:b/>
                <w:bCs/>
                <w:iCs/>
                <w:kern w:val="0"/>
                <w:sz w:val="20"/>
                <w:szCs w:val="20"/>
              </w:rPr>
              <w:t>Existing</w:t>
            </w:r>
            <w:r w:rsidR="00575429" w:rsidRPr="00472D7B">
              <w:rPr>
                <w:rFonts w:eastAsia="Calibri" w:cstheme="minorHAnsi"/>
                <w:iCs/>
                <w:kern w:val="0"/>
                <w:sz w:val="20"/>
                <w:szCs w:val="20"/>
              </w:rPr>
              <w:t> </w:t>
            </w:r>
          </w:p>
        </w:tc>
        <w:tc>
          <w:tcPr>
            <w:tcW w:w="1134" w:type="dxa"/>
            <w:shd w:val="clear" w:color="auto" w:fill="auto"/>
            <w:hideMark/>
          </w:tcPr>
          <w:p w14:paraId="66E925B7"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b/>
                <w:bCs/>
                <w:iCs/>
                <w:kern w:val="0"/>
                <w:sz w:val="20"/>
                <w:szCs w:val="20"/>
              </w:rPr>
              <w:t>New</w:t>
            </w:r>
            <w:r w:rsidRPr="00472D7B">
              <w:rPr>
                <w:rFonts w:eastAsia="Calibri" w:cstheme="minorHAnsi"/>
                <w:iCs/>
                <w:kern w:val="0"/>
                <w:sz w:val="20"/>
                <w:szCs w:val="20"/>
              </w:rPr>
              <w:t> </w:t>
            </w:r>
          </w:p>
        </w:tc>
      </w:tr>
      <w:tr w:rsidR="00575429" w:rsidRPr="00247330" w14:paraId="5BAC16F5" w14:textId="77777777" w:rsidTr="00472D7B">
        <w:trPr>
          <w:trHeight w:val="300"/>
          <w:jc w:val="right"/>
        </w:trPr>
        <w:tc>
          <w:tcPr>
            <w:tcW w:w="3967" w:type="dxa"/>
            <w:shd w:val="clear" w:color="auto" w:fill="auto"/>
            <w:hideMark/>
          </w:tcPr>
          <w:p w14:paraId="004BDF1D"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R</w:t>
            </w:r>
            <w:r w:rsidRPr="00472D7B">
              <w:rPr>
                <w:rFonts w:eastAsia="Calibri" w:cstheme="minorHAnsi"/>
                <w:kern w:val="0"/>
                <w:sz w:val="20"/>
                <w:szCs w:val="20"/>
              </w:rPr>
              <w:t>equesting a hearing</w:t>
            </w:r>
            <w:r w:rsidRPr="00472D7B">
              <w:rPr>
                <w:rFonts w:eastAsia="Calibri" w:cstheme="minorHAnsi"/>
                <w:iCs/>
                <w:kern w:val="0"/>
                <w:sz w:val="20"/>
                <w:szCs w:val="20"/>
              </w:rPr>
              <w:t> </w:t>
            </w:r>
          </w:p>
        </w:tc>
        <w:tc>
          <w:tcPr>
            <w:tcW w:w="3116" w:type="dxa"/>
            <w:shd w:val="clear" w:color="auto" w:fill="FFFFFF" w:themeFill="background1"/>
            <w:hideMark/>
          </w:tcPr>
          <w:p w14:paraId="79BB0F75"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$400 </w:t>
            </w:r>
          </w:p>
        </w:tc>
        <w:tc>
          <w:tcPr>
            <w:tcW w:w="1134" w:type="dxa"/>
            <w:shd w:val="clear" w:color="auto" w:fill="auto"/>
            <w:hideMark/>
          </w:tcPr>
          <w:p w14:paraId="184CF6FD" w14:textId="77777777" w:rsidR="00575429" w:rsidRPr="00472D7B" w:rsidRDefault="00575429" w:rsidP="00472D7B">
            <w:pPr>
              <w:autoSpaceDE w:val="0"/>
              <w:autoSpaceDN w:val="0"/>
              <w:spacing w:after="0" w:line="252" w:lineRule="auto"/>
              <w:rPr>
                <w:rFonts w:eastAsia="Calibri" w:cstheme="minorHAnsi"/>
                <w:i/>
                <w:kern w:val="0"/>
                <w:sz w:val="20"/>
                <w:szCs w:val="20"/>
              </w:rPr>
            </w:pPr>
            <w:r w:rsidRPr="00472D7B">
              <w:rPr>
                <w:rFonts w:eastAsia="Calibri" w:cstheme="minorHAnsi"/>
                <w:i/>
                <w:kern w:val="0"/>
                <w:sz w:val="20"/>
                <w:szCs w:val="20"/>
              </w:rPr>
              <w:t>repealed</w:t>
            </w:r>
          </w:p>
        </w:tc>
      </w:tr>
      <w:tr w:rsidR="000B365A" w:rsidRPr="00247330" w14:paraId="0DB9CD06" w14:textId="77777777" w:rsidTr="00472D7B">
        <w:trPr>
          <w:trHeight w:val="300"/>
          <w:jc w:val="right"/>
        </w:trPr>
        <w:tc>
          <w:tcPr>
            <w:tcW w:w="3967" w:type="dxa"/>
            <w:shd w:val="clear" w:color="auto" w:fill="auto"/>
          </w:tcPr>
          <w:p w14:paraId="73F9A70B"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Oral hearing in person</w:t>
            </w:r>
          </w:p>
        </w:tc>
        <w:tc>
          <w:tcPr>
            <w:tcW w:w="3116" w:type="dxa"/>
            <w:shd w:val="clear" w:color="auto" w:fill="F2F2F2" w:themeFill="background1" w:themeFillShade="F2"/>
          </w:tcPr>
          <w:p w14:paraId="4B8A3C5E" w14:textId="77777777" w:rsidR="00575429" w:rsidRPr="00472D7B" w:rsidRDefault="00575429" w:rsidP="00472D7B">
            <w:pPr>
              <w:autoSpaceDE w:val="0"/>
              <w:autoSpaceDN w:val="0"/>
              <w:spacing w:after="0" w:line="252" w:lineRule="auto"/>
              <w:rPr>
                <w:rFonts w:eastAsia="Calibri" w:cstheme="minorHAnsi"/>
                <w:iCs/>
                <w:kern w:val="0"/>
                <w:sz w:val="20"/>
                <w:szCs w:val="20"/>
              </w:rPr>
            </w:pPr>
          </w:p>
        </w:tc>
        <w:tc>
          <w:tcPr>
            <w:tcW w:w="1134" w:type="dxa"/>
            <w:shd w:val="clear" w:color="auto" w:fill="F2F2F2" w:themeFill="background1" w:themeFillShade="F2"/>
          </w:tcPr>
          <w:p w14:paraId="113AC73B" w14:textId="77777777" w:rsidR="00575429" w:rsidRPr="00472D7B" w:rsidRDefault="00575429" w:rsidP="00472D7B">
            <w:pPr>
              <w:autoSpaceDE w:val="0"/>
              <w:autoSpaceDN w:val="0"/>
              <w:spacing w:after="0" w:line="252" w:lineRule="auto"/>
              <w:rPr>
                <w:rFonts w:eastAsia="Calibri" w:cstheme="minorHAnsi"/>
                <w:iCs/>
                <w:kern w:val="0"/>
                <w:sz w:val="20"/>
                <w:szCs w:val="20"/>
              </w:rPr>
            </w:pPr>
          </w:p>
        </w:tc>
      </w:tr>
      <w:tr w:rsidR="00575429" w:rsidRPr="00247330" w14:paraId="61AAFE31" w14:textId="77777777" w:rsidTr="00472D7B">
        <w:trPr>
          <w:trHeight w:val="300"/>
          <w:jc w:val="right"/>
        </w:trPr>
        <w:tc>
          <w:tcPr>
            <w:tcW w:w="3967" w:type="dxa"/>
            <w:shd w:val="clear" w:color="auto" w:fill="auto"/>
            <w:hideMark/>
          </w:tcPr>
          <w:p w14:paraId="09C0FB1F"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First day</w:t>
            </w:r>
          </w:p>
        </w:tc>
        <w:tc>
          <w:tcPr>
            <w:tcW w:w="3116" w:type="dxa"/>
            <w:shd w:val="clear" w:color="auto" w:fill="FFFFFF" w:themeFill="background1"/>
            <w:hideMark/>
          </w:tcPr>
          <w:p w14:paraId="4B6E8DF5"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$800, less any fee paid for requesting the hearing</w:t>
            </w:r>
          </w:p>
        </w:tc>
        <w:tc>
          <w:tcPr>
            <w:tcW w:w="1134" w:type="dxa"/>
            <w:shd w:val="clear" w:color="auto" w:fill="auto"/>
            <w:hideMark/>
          </w:tcPr>
          <w:p w14:paraId="6B48C498"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$700</w:t>
            </w:r>
          </w:p>
        </w:tc>
      </w:tr>
      <w:tr w:rsidR="00575429" w:rsidRPr="00247330" w14:paraId="60D8E643" w14:textId="77777777" w:rsidTr="00472D7B">
        <w:trPr>
          <w:trHeight w:val="300"/>
          <w:jc w:val="right"/>
        </w:trPr>
        <w:tc>
          <w:tcPr>
            <w:tcW w:w="3967" w:type="dxa"/>
            <w:shd w:val="clear" w:color="auto" w:fill="auto"/>
          </w:tcPr>
          <w:p w14:paraId="77E68B1E"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S</w:t>
            </w:r>
            <w:r w:rsidRPr="00472D7B">
              <w:rPr>
                <w:rFonts w:eastAsia="Calibri" w:cstheme="minorHAnsi"/>
                <w:kern w:val="0"/>
                <w:sz w:val="20"/>
                <w:szCs w:val="20"/>
              </w:rPr>
              <w:t xml:space="preserve">ubsequent </w:t>
            </w:r>
            <w:r w:rsidRPr="00472D7B">
              <w:rPr>
                <w:rFonts w:eastAsia="Calibri" w:cstheme="minorHAnsi"/>
                <w:iCs/>
                <w:kern w:val="0"/>
                <w:sz w:val="20"/>
                <w:szCs w:val="20"/>
              </w:rPr>
              <w:t>day</w:t>
            </w:r>
          </w:p>
        </w:tc>
        <w:tc>
          <w:tcPr>
            <w:tcW w:w="3116" w:type="dxa"/>
            <w:shd w:val="clear" w:color="auto" w:fill="FFFFFF" w:themeFill="background1"/>
          </w:tcPr>
          <w:p w14:paraId="6273FEA0"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$800</w:t>
            </w:r>
          </w:p>
        </w:tc>
        <w:tc>
          <w:tcPr>
            <w:tcW w:w="1134" w:type="dxa"/>
            <w:shd w:val="clear" w:color="auto" w:fill="auto"/>
          </w:tcPr>
          <w:p w14:paraId="16FC1C5D"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$700</w:t>
            </w:r>
          </w:p>
        </w:tc>
      </w:tr>
      <w:tr w:rsidR="000B365A" w:rsidRPr="00247330" w14:paraId="56FFD487" w14:textId="77777777" w:rsidTr="00472D7B">
        <w:trPr>
          <w:trHeight w:val="300"/>
          <w:jc w:val="right"/>
        </w:trPr>
        <w:tc>
          <w:tcPr>
            <w:tcW w:w="3967" w:type="dxa"/>
            <w:shd w:val="clear" w:color="auto" w:fill="auto"/>
          </w:tcPr>
          <w:p w14:paraId="7C06874E" w14:textId="6FD460DB"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Oral hearing not in person</w:t>
            </w:r>
          </w:p>
          <w:p w14:paraId="2181BBEA"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(for example, by videoconference or teleconference)</w:t>
            </w:r>
          </w:p>
        </w:tc>
        <w:tc>
          <w:tcPr>
            <w:tcW w:w="3116" w:type="dxa"/>
            <w:shd w:val="clear" w:color="auto" w:fill="F2F2F2" w:themeFill="background1" w:themeFillShade="F2"/>
          </w:tcPr>
          <w:p w14:paraId="0912CE29" w14:textId="77777777" w:rsidR="00575429" w:rsidRPr="00472D7B" w:rsidRDefault="00575429" w:rsidP="00472D7B">
            <w:pPr>
              <w:autoSpaceDE w:val="0"/>
              <w:autoSpaceDN w:val="0"/>
              <w:spacing w:after="0" w:line="252" w:lineRule="auto"/>
              <w:rPr>
                <w:rFonts w:eastAsia="Calibri" w:cstheme="minorHAnsi"/>
                <w:iCs/>
                <w:kern w:val="0"/>
                <w:sz w:val="20"/>
                <w:szCs w:val="20"/>
              </w:rPr>
            </w:pPr>
          </w:p>
        </w:tc>
        <w:tc>
          <w:tcPr>
            <w:tcW w:w="1134" w:type="dxa"/>
            <w:shd w:val="clear" w:color="auto" w:fill="F2F2F2" w:themeFill="background1" w:themeFillShade="F2"/>
          </w:tcPr>
          <w:p w14:paraId="317BBFAE" w14:textId="77777777" w:rsidR="00575429" w:rsidRPr="00472D7B" w:rsidRDefault="00575429" w:rsidP="00472D7B">
            <w:pPr>
              <w:autoSpaceDE w:val="0"/>
              <w:autoSpaceDN w:val="0"/>
              <w:spacing w:after="0" w:line="252" w:lineRule="auto"/>
              <w:rPr>
                <w:rFonts w:eastAsia="Calibri" w:cstheme="minorHAnsi"/>
                <w:iCs/>
                <w:kern w:val="0"/>
                <w:sz w:val="20"/>
                <w:szCs w:val="20"/>
              </w:rPr>
            </w:pPr>
          </w:p>
        </w:tc>
      </w:tr>
      <w:tr w:rsidR="00575429" w:rsidRPr="00247330" w14:paraId="78C56636" w14:textId="77777777" w:rsidTr="00472D7B">
        <w:trPr>
          <w:trHeight w:val="300"/>
          <w:jc w:val="right"/>
        </w:trPr>
        <w:tc>
          <w:tcPr>
            <w:tcW w:w="3967" w:type="dxa"/>
            <w:shd w:val="clear" w:color="auto" w:fill="auto"/>
          </w:tcPr>
          <w:p w14:paraId="75172534"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First day</w:t>
            </w:r>
          </w:p>
        </w:tc>
        <w:tc>
          <w:tcPr>
            <w:tcW w:w="3116" w:type="dxa"/>
            <w:shd w:val="clear" w:color="auto" w:fill="FFFFFF" w:themeFill="background1"/>
          </w:tcPr>
          <w:p w14:paraId="13FB3A4C"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$600, less any fee paid for requesting the hearing</w:t>
            </w:r>
          </w:p>
        </w:tc>
        <w:tc>
          <w:tcPr>
            <w:tcW w:w="1134" w:type="dxa"/>
            <w:shd w:val="clear" w:color="auto" w:fill="auto"/>
          </w:tcPr>
          <w:p w14:paraId="27F83992"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$700</w:t>
            </w:r>
          </w:p>
        </w:tc>
      </w:tr>
      <w:tr w:rsidR="00575429" w:rsidRPr="00247330" w14:paraId="45620FAE" w14:textId="77777777" w:rsidTr="00472D7B">
        <w:trPr>
          <w:trHeight w:val="300"/>
          <w:jc w:val="right"/>
        </w:trPr>
        <w:tc>
          <w:tcPr>
            <w:tcW w:w="3967" w:type="dxa"/>
            <w:shd w:val="clear" w:color="auto" w:fill="auto"/>
          </w:tcPr>
          <w:p w14:paraId="47EF0D18"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S</w:t>
            </w:r>
            <w:r w:rsidRPr="00472D7B">
              <w:rPr>
                <w:rFonts w:eastAsia="Calibri" w:cstheme="minorHAnsi"/>
                <w:kern w:val="0"/>
                <w:sz w:val="20"/>
                <w:szCs w:val="20"/>
              </w:rPr>
              <w:t xml:space="preserve">ubsequent </w:t>
            </w:r>
            <w:r w:rsidRPr="00472D7B">
              <w:rPr>
                <w:rFonts w:eastAsia="Calibri" w:cstheme="minorHAnsi"/>
                <w:iCs/>
                <w:kern w:val="0"/>
                <w:sz w:val="20"/>
                <w:szCs w:val="20"/>
              </w:rPr>
              <w:t>day</w:t>
            </w:r>
          </w:p>
        </w:tc>
        <w:tc>
          <w:tcPr>
            <w:tcW w:w="3116" w:type="dxa"/>
            <w:shd w:val="clear" w:color="auto" w:fill="FFFFFF" w:themeFill="background1"/>
          </w:tcPr>
          <w:p w14:paraId="38D625B7"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$600</w:t>
            </w:r>
          </w:p>
        </w:tc>
        <w:tc>
          <w:tcPr>
            <w:tcW w:w="1134" w:type="dxa"/>
            <w:shd w:val="clear" w:color="auto" w:fill="auto"/>
          </w:tcPr>
          <w:p w14:paraId="0A71A8B6"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$700</w:t>
            </w:r>
          </w:p>
        </w:tc>
      </w:tr>
      <w:tr w:rsidR="00575429" w:rsidRPr="00247330" w14:paraId="5119ED29" w14:textId="77777777" w:rsidTr="00472D7B">
        <w:trPr>
          <w:trHeight w:val="300"/>
          <w:jc w:val="right"/>
        </w:trPr>
        <w:tc>
          <w:tcPr>
            <w:tcW w:w="3967" w:type="dxa"/>
            <w:shd w:val="clear" w:color="auto" w:fill="auto"/>
          </w:tcPr>
          <w:p w14:paraId="5E005D93"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Hearing by written submissions only</w:t>
            </w:r>
          </w:p>
        </w:tc>
        <w:tc>
          <w:tcPr>
            <w:tcW w:w="3116" w:type="dxa"/>
            <w:shd w:val="clear" w:color="auto" w:fill="FFFFFF" w:themeFill="background1"/>
          </w:tcPr>
          <w:p w14:paraId="4F12C8A9"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$400</w:t>
            </w:r>
          </w:p>
        </w:tc>
        <w:tc>
          <w:tcPr>
            <w:tcW w:w="1134" w:type="dxa"/>
            <w:shd w:val="clear" w:color="auto" w:fill="auto"/>
          </w:tcPr>
          <w:p w14:paraId="1EA8E9B1" w14:textId="77777777" w:rsidR="00575429" w:rsidRPr="00472D7B" w:rsidRDefault="00575429" w:rsidP="00472D7B">
            <w:pPr>
              <w:autoSpaceDE w:val="0"/>
              <w:autoSpaceDN w:val="0"/>
              <w:spacing w:after="0" w:line="252" w:lineRule="auto"/>
              <w:rPr>
                <w:rFonts w:eastAsia="Calibri" w:cstheme="minorHAnsi"/>
                <w:iCs/>
                <w:kern w:val="0"/>
                <w:sz w:val="20"/>
                <w:szCs w:val="20"/>
              </w:rPr>
            </w:pPr>
            <w:r w:rsidRPr="00472D7B">
              <w:rPr>
                <w:rFonts w:eastAsia="Calibri" w:cstheme="minorHAnsi"/>
                <w:iCs/>
                <w:kern w:val="0"/>
                <w:sz w:val="20"/>
                <w:szCs w:val="20"/>
              </w:rPr>
              <w:t>$500</w:t>
            </w:r>
          </w:p>
        </w:tc>
      </w:tr>
    </w:tbl>
    <w:p w14:paraId="6AE5CD20" w14:textId="10BC604E" w:rsidR="00575429" w:rsidRPr="00575429" w:rsidRDefault="00575429" w:rsidP="00472D7B">
      <w:pPr>
        <w:autoSpaceDE w:val="0"/>
        <w:autoSpaceDN w:val="0"/>
        <w:spacing w:before="240" w:after="0" w:line="252" w:lineRule="auto"/>
        <w:rPr>
          <w:rFonts w:eastAsia="Calibri" w:cstheme="minorHAnsi"/>
          <w:b/>
          <w:kern w:val="0"/>
          <w:lang w:val="en-US"/>
        </w:rPr>
      </w:pPr>
      <w:bookmarkStart w:id="9" w:name="_Hlk171941415"/>
      <w:r w:rsidRPr="00575429">
        <w:rPr>
          <w:rFonts w:eastAsia="Calibri" w:cstheme="minorHAnsi"/>
          <w:b/>
          <w:bCs/>
          <w:iCs/>
          <w:kern w:val="0"/>
          <w:lang w:val="en-US"/>
        </w:rPr>
        <w:t>Item [</w:t>
      </w:r>
      <w:r w:rsidR="00F86E3B">
        <w:rPr>
          <w:rFonts w:eastAsia="Calibri" w:cstheme="minorHAnsi"/>
          <w:b/>
          <w:bCs/>
          <w:iCs/>
          <w:kern w:val="0"/>
          <w:lang w:val="en-US"/>
        </w:rPr>
        <w:t>44</w:t>
      </w:r>
      <w:r w:rsidRPr="00575429">
        <w:rPr>
          <w:rFonts w:eastAsia="Calibri" w:cstheme="minorHAnsi"/>
          <w:b/>
          <w:bCs/>
          <w:iCs/>
          <w:kern w:val="0"/>
          <w:lang w:val="en-US"/>
        </w:rPr>
        <w:t xml:space="preserve">] – </w:t>
      </w:r>
      <w:r w:rsidRPr="00575429">
        <w:rPr>
          <w:rFonts w:eastAsia="Calibri" w:cstheme="minorHAnsi"/>
          <w:b/>
          <w:bCs/>
          <w:kern w:val="0"/>
          <w:lang w:val="en-US"/>
        </w:rPr>
        <w:t>clause 1 of Schedule 9</w:t>
      </w:r>
      <w:r w:rsidR="00A22803">
        <w:rPr>
          <w:rFonts w:eastAsia="Calibri" w:cstheme="minorHAnsi"/>
          <w:b/>
          <w:bCs/>
          <w:kern w:val="0"/>
          <w:lang w:val="en-US"/>
        </w:rPr>
        <w:t xml:space="preserve">, table items </w:t>
      </w:r>
      <w:r w:rsidR="001D4112">
        <w:rPr>
          <w:rFonts w:eastAsia="Calibri" w:cstheme="minorHAnsi"/>
          <w:b/>
          <w:bCs/>
          <w:kern w:val="0"/>
          <w:lang w:val="en-US"/>
        </w:rPr>
        <w:t>29 to 31 and 37 to 39</w:t>
      </w:r>
    </w:p>
    <w:p w14:paraId="0CFB346C" w14:textId="6B11F6AC" w:rsidR="00575429" w:rsidRPr="00575429" w:rsidRDefault="00575429" w:rsidP="00472D7B">
      <w:pPr>
        <w:autoSpaceDE w:val="0"/>
        <w:autoSpaceDN w:val="0"/>
        <w:spacing w:before="160" w:after="0" w:line="252" w:lineRule="auto"/>
        <w:rPr>
          <w:rFonts w:eastAsia="Calibri" w:cstheme="minorHAnsi"/>
          <w:kern w:val="0"/>
        </w:rPr>
      </w:pPr>
      <w:r w:rsidRPr="00575429">
        <w:rPr>
          <w:rFonts w:eastAsia="Calibri" w:cstheme="minorHAnsi"/>
          <w:kern w:val="0"/>
        </w:rPr>
        <w:t xml:space="preserve">This item </w:t>
      </w:r>
      <w:r w:rsidR="003A4D5F">
        <w:rPr>
          <w:rFonts w:eastAsia="Calibri" w:cstheme="minorHAnsi"/>
          <w:kern w:val="0"/>
        </w:rPr>
        <w:t>amend</w:t>
      </w:r>
      <w:r w:rsidR="00D91E35">
        <w:rPr>
          <w:rFonts w:eastAsia="Calibri" w:cstheme="minorHAnsi"/>
          <w:kern w:val="0"/>
        </w:rPr>
        <w:t>s</w:t>
      </w:r>
      <w:r w:rsidRPr="00575429">
        <w:rPr>
          <w:rFonts w:eastAsia="Calibri" w:cstheme="minorHAnsi"/>
          <w:kern w:val="0"/>
        </w:rPr>
        <w:t xml:space="preserve"> table items 29 to 31 and 37 to 39 in Clause 1 of Schedule 9 to the Trade Marks Regulations to better recover the costs associated with the administration of the </w:t>
      </w:r>
      <w:r w:rsidR="00CF78C2">
        <w:rPr>
          <w:rFonts w:eastAsia="Calibri" w:cstheme="minorHAnsi"/>
          <w:kern w:val="0"/>
        </w:rPr>
        <w:t xml:space="preserve">registered </w:t>
      </w:r>
      <w:r w:rsidRPr="00575429">
        <w:rPr>
          <w:rFonts w:eastAsia="Calibri" w:cstheme="minorHAnsi"/>
          <w:kern w:val="0"/>
        </w:rPr>
        <w:t xml:space="preserve">patent and </w:t>
      </w:r>
      <w:proofErr w:type="spellStart"/>
      <w:r w:rsidRPr="00575429">
        <w:rPr>
          <w:rFonts w:eastAsia="Calibri" w:cstheme="minorHAnsi"/>
          <w:kern w:val="0"/>
        </w:rPr>
        <w:t>trade marks</w:t>
      </w:r>
      <w:proofErr w:type="spellEnd"/>
      <w:r w:rsidRPr="00575429">
        <w:rPr>
          <w:rFonts w:eastAsia="Calibri" w:cstheme="minorHAnsi"/>
          <w:kern w:val="0"/>
        </w:rPr>
        <w:t xml:space="preserve"> attorney regimes. This is proposed to be done by increasing by $50 the amounts for:</w:t>
      </w:r>
    </w:p>
    <w:bookmarkEnd w:id="9"/>
    <w:p w14:paraId="1C16C703" w14:textId="0D3A8647" w:rsidR="00575429" w:rsidRPr="00575429" w:rsidRDefault="00575429" w:rsidP="002054C5">
      <w:pPr>
        <w:numPr>
          <w:ilvl w:val="0"/>
          <w:numId w:val="4"/>
        </w:numPr>
        <w:autoSpaceDE w:val="0"/>
        <w:autoSpaceDN w:val="0"/>
        <w:spacing w:before="80" w:after="0" w:line="252" w:lineRule="auto"/>
        <w:rPr>
          <w:rFonts w:eastAsia="Calibri" w:cstheme="minorHAnsi"/>
          <w:kern w:val="0"/>
        </w:rPr>
      </w:pPr>
      <w:r w:rsidRPr="00575429">
        <w:rPr>
          <w:rFonts w:eastAsia="Calibri" w:cstheme="minorHAnsi"/>
          <w:kern w:val="0"/>
        </w:rPr>
        <w:t xml:space="preserve">annual registration as a registered </w:t>
      </w:r>
      <w:proofErr w:type="spellStart"/>
      <w:r w:rsidR="00B40324">
        <w:rPr>
          <w:rFonts w:eastAsia="Calibri" w:cstheme="minorHAnsi"/>
          <w:kern w:val="0"/>
        </w:rPr>
        <w:t>trade marks</w:t>
      </w:r>
      <w:proofErr w:type="spellEnd"/>
      <w:r w:rsidR="00B40324" w:rsidRPr="00575429">
        <w:rPr>
          <w:rFonts w:eastAsia="Calibri" w:cstheme="minorHAnsi"/>
          <w:kern w:val="0"/>
        </w:rPr>
        <w:t xml:space="preserve"> </w:t>
      </w:r>
      <w:r w:rsidRPr="00575429">
        <w:rPr>
          <w:rFonts w:eastAsia="Calibri" w:cstheme="minorHAnsi"/>
          <w:kern w:val="0"/>
        </w:rPr>
        <w:t>attorney (table item 29)</w:t>
      </w:r>
    </w:p>
    <w:p w14:paraId="30DD8546" w14:textId="79D92631" w:rsidR="00575429" w:rsidRPr="00575429" w:rsidRDefault="00575429" w:rsidP="002054C5">
      <w:pPr>
        <w:numPr>
          <w:ilvl w:val="0"/>
          <w:numId w:val="4"/>
        </w:numPr>
        <w:autoSpaceDE w:val="0"/>
        <w:autoSpaceDN w:val="0"/>
        <w:spacing w:before="80" w:after="0" w:line="252" w:lineRule="auto"/>
        <w:rPr>
          <w:rFonts w:eastAsia="Calibri" w:cstheme="minorHAnsi"/>
          <w:kern w:val="0"/>
        </w:rPr>
      </w:pPr>
      <w:r w:rsidRPr="00575429">
        <w:rPr>
          <w:rFonts w:eastAsia="Calibri" w:cstheme="minorHAnsi"/>
          <w:kern w:val="0"/>
        </w:rPr>
        <w:t>annual combined registration as a trade marks attorney and patent attorney (table item 30)</w:t>
      </w:r>
    </w:p>
    <w:p w14:paraId="3D4E9756" w14:textId="77777777" w:rsidR="00575429" w:rsidRPr="00575429" w:rsidRDefault="00575429" w:rsidP="002054C5">
      <w:pPr>
        <w:numPr>
          <w:ilvl w:val="0"/>
          <w:numId w:val="4"/>
        </w:numPr>
        <w:autoSpaceDE w:val="0"/>
        <w:autoSpaceDN w:val="0"/>
        <w:spacing w:before="80" w:after="0" w:line="252" w:lineRule="auto"/>
        <w:rPr>
          <w:rFonts w:eastAsia="Calibri" w:cstheme="minorHAnsi"/>
          <w:kern w:val="0"/>
        </w:rPr>
      </w:pPr>
      <w:r w:rsidRPr="00575429">
        <w:rPr>
          <w:rFonts w:eastAsia="Calibri" w:cstheme="minorHAnsi"/>
          <w:kern w:val="0"/>
        </w:rPr>
        <w:t xml:space="preserve">an individual applying to be restored to the Register of Trade Marks Attorneys as a registered </w:t>
      </w:r>
      <w:proofErr w:type="spellStart"/>
      <w:r w:rsidRPr="00575429">
        <w:rPr>
          <w:rFonts w:eastAsia="Calibri" w:cstheme="minorHAnsi"/>
          <w:kern w:val="0"/>
        </w:rPr>
        <w:t>trade marks</w:t>
      </w:r>
      <w:proofErr w:type="spellEnd"/>
      <w:r w:rsidRPr="00575429">
        <w:rPr>
          <w:rFonts w:eastAsia="Calibri" w:cstheme="minorHAnsi"/>
          <w:kern w:val="0"/>
        </w:rPr>
        <w:t xml:space="preserve"> attorney (table item 31)</w:t>
      </w:r>
    </w:p>
    <w:p w14:paraId="0B108DF8" w14:textId="77777777" w:rsidR="00575429" w:rsidRPr="00575429" w:rsidRDefault="00575429" w:rsidP="002054C5">
      <w:pPr>
        <w:numPr>
          <w:ilvl w:val="0"/>
          <w:numId w:val="4"/>
        </w:numPr>
        <w:autoSpaceDE w:val="0"/>
        <w:autoSpaceDN w:val="0"/>
        <w:spacing w:before="80" w:after="0" w:line="252" w:lineRule="auto"/>
        <w:rPr>
          <w:rFonts w:eastAsia="Calibri" w:cstheme="minorHAnsi"/>
          <w:kern w:val="0"/>
        </w:rPr>
      </w:pPr>
      <w:r w:rsidRPr="00575429">
        <w:rPr>
          <w:rFonts w:eastAsia="Calibri" w:cstheme="minorHAnsi"/>
          <w:kern w:val="0"/>
        </w:rPr>
        <w:lastRenderedPageBreak/>
        <w:t xml:space="preserve">annual registration as an incorporated </w:t>
      </w:r>
      <w:proofErr w:type="spellStart"/>
      <w:r w:rsidRPr="00575429">
        <w:rPr>
          <w:rFonts w:eastAsia="Calibri" w:cstheme="minorHAnsi"/>
          <w:kern w:val="0"/>
        </w:rPr>
        <w:t>trade marks</w:t>
      </w:r>
      <w:proofErr w:type="spellEnd"/>
      <w:r w:rsidRPr="00575429">
        <w:rPr>
          <w:rFonts w:eastAsia="Calibri" w:cstheme="minorHAnsi"/>
          <w:kern w:val="0"/>
        </w:rPr>
        <w:t xml:space="preserve"> attorney (table item 37)</w:t>
      </w:r>
    </w:p>
    <w:p w14:paraId="152320C3" w14:textId="77777777" w:rsidR="00575429" w:rsidRPr="00575429" w:rsidRDefault="00575429" w:rsidP="002054C5">
      <w:pPr>
        <w:numPr>
          <w:ilvl w:val="0"/>
          <w:numId w:val="4"/>
        </w:numPr>
        <w:autoSpaceDE w:val="0"/>
        <w:autoSpaceDN w:val="0"/>
        <w:spacing w:before="80" w:after="0" w:line="252" w:lineRule="auto"/>
        <w:rPr>
          <w:rFonts w:eastAsia="Calibri" w:cstheme="minorHAnsi"/>
          <w:kern w:val="0"/>
        </w:rPr>
      </w:pPr>
      <w:r w:rsidRPr="00575429">
        <w:rPr>
          <w:rFonts w:eastAsia="Calibri" w:cstheme="minorHAnsi"/>
          <w:kern w:val="0"/>
        </w:rPr>
        <w:t xml:space="preserve">annual combined registration as an incorporated </w:t>
      </w:r>
      <w:proofErr w:type="spellStart"/>
      <w:r w:rsidRPr="00575429">
        <w:rPr>
          <w:rFonts w:eastAsia="Calibri" w:cstheme="minorHAnsi"/>
          <w:kern w:val="0"/>
        </w:rPr>
        <w:t>trade marks</w:t>
      </w:r>
      <w:proofErr w:type="spellEnd"/>
      <w:r w:rsidRPr="00575429">
        <w:rPr>
          <w:rFonts w:eastAsia="Calibri" w:cstheme="minorHAnsi"/>
          <w:kern w:val="0"/>
        </w:rPr>
        <w:t xml:space="preserve"> attorney and an incorporated patent attorney (table item 38)</w:t>
      </w:r>
    </w:p>
    <w:p w14:paraId="7FAC9F1E" w14:textId="77777777" w:rsidR="00575429" w:rsidRPr="00575429" w:rsidRDefault="00575429" w:rsidP="002054C5">
      <w:pPr>
        <w:numPr>
          <w:ilvl w:val="0"/>
          <w:numId w:val="4"/>
        </w:numPr>
        <w:autoSpaceDE w:val="0"/>
        <w:autoSpaceDN w:val="0"/>
        <w:spacing w:before="80" w:after="0" w:line="252" w:lineRule="auto"/>
        <w:rPr>
          <w:rFonts w:eastAsia="Calibri" w:cstheme="minorHAnsi"/>
          <w:kern w:val="0"/>
        </w:rPr>
      </w:pPr>
      <w:r w:rsidRPr="00575429">
        <w:rPr>
          <w:rFonts w:eastAsia="Calibri" w:cstheme="minorHAnsi"/>
          <w:kern w:val="0"/>
        </w:rPr>
        <w:t xml:space="preserve">a company applying to be restored to the Register of Trade Marks Attorneys as an incorporated </w:t>
      </w:r>
      <w:proofErr w:type="spellStart"/>
      <w:r w:rsidRPr="00575429">
        <w:rPr>
          <w:rFonts w:eastAsia="Calibri" w:cstheme="minorHAnsi"/>
          <w:kern w:val="0"/>
        </w:rPr>
        <w:t>trade marks</w:t>
      </w:r>
      <w:proofErr w:type="spellEnd"/>
      <w:r w:rsidRPr="00575429">
        <w:rPr>
          <w:rFonts w:eastAsia="Calibri" w:cstheme="minorHAnsi"/>
          <w:kern w:val="0"/>
        </w:rPr>
        <w:t xml:space="preserve"> attorney (table item 111).</w:t>
      </w:r>
    </w:p>
    <w:p w14:paraId="3BB6B095" w14:textId="77777777" w:rsidR="00040526" w:rsidRPr="00FC2443" w:rsidRDefault="00040526" w:rsidP="007E2F9F">
      <w:pPr>
        <w:spacing w:before="160" w:after="0"/>
        <w:rPr>
          <w:rFonts w:eastAsia="Times New Roman" w:cstheme="minorHAnsi"/>
          <w:b/>
          <w:bCs/>
          <w:color w:val="000000" w:themeColor="text1"/>
          <w:kern w:val="0"/>
          <w:u w:val="single"/>
          <w:lang w:eastAsia="en-AU"/>
        </w:rPr>
      </w:pPr>
      <w:r w:rsidRPr="00FC2443">
        <w:rPr>
          <w:rFonts w:cstheme="minorHAnsi"/>
          <w:b/>
          <w:bCs/>
          <w:color w:val="000000" w:themeColor="text1"/>
          <w:u w:val="single"/>
        </w:rPr>
        <w:br w:type="page"/>
      </w:r>
    </w:p>
    <w:p w14:paraId="4AEB7CA4" w14:textId="7407538E" w:rsidR="00F17D12" w:rsidRPr="008209FE" w:rsidRDefault="00F17D12" w:rsidP="007E2F9F">
      <w:pPr>
        <w:pStyle w:val="NormalWeb"/>
        <w:spacing w:before="160" w:beforeAutospacing="0" w:after="0" w:afterAutospacing="0" w:line="259" w:lineRule="atLeast"/>
        <w:jc w:val="center"/>
        <w:rPr>
          <w:rFonts w:asciiTheme="minorHAnsi" w:hAnsiTheme="minorHAnsi" w:cstheme="minorHAnsi"/>
          <w:color w:val="000000"/>
          <w:sz w:val="22"/>
          <w:szCs w:val="22"/>
        </w:rPr>
      </w:pPr>
      <w:r w:rsidRPr="008209FE">
        <w:rPr>
          <w:rFonts w:asciiTheme="minorHAnsi" w:hAnsiTheme="minorHAnsi" w:cstheme="minorHAnsi"/>
          <w:b/>
          <w:bCs/>
          <w:color w:val="000000"/>
          <w:sz w:val="22"/>
          <w:szCs w:val="22"/>
          <w:u w:val="single"/>
        </w:rPr>
        <w:lastRenderedPageBreak/>
        <w:t>Statement of Compatibility with Human Rights</w:t>
      </w:r>
    </w:p>
    <w:p w14:paraId="471969FB" w14:textId="77777777" w:rsidR="00F17D12" w:rsidRPr="008209FE" w:rsidRDefault="00F17D12" w:rsidP="007E2F9F">
      <w:pPr>
        <w:pStyle w:val="NormalWeb"/>
        <w:spacing w:before="160" w:beforeAutospacing="0" w:after="0" w:afterAutospacing="0"/>
        <w:jc w:val="both"/>
        <w:rPr>
          <w:rFonts w:asciiTheme="minorHAnsi" w:hAnsiTheme="minorHAnsi" w:cstheme="minorHAnsi"/>
          <w:color w:val="000000"/>
          <w:sz w:val="22"/>
          <w:szCs w:val="22"/>
        </w:rPr>
      </w:pPr>
      <w:r w:rsidRPr="008209FE">
        <w:rPr>
          <w:rFonts w:asciiTheme="minorHAnsi" w:hAnsiTheme="minorHAnsi" w:cstheme="minorHAnsi"/>
          <w:i/>
          <w:iCs/>
          <w:color w:val="000000"/>
          <w:sz w:val="22"/>
          <w:szCs w:val="22"/>
        </w:rPr>
        <w:t>Prepared in accordance with Part 3 of the Human Rights (Parliamentary Scrutiny) Act 2011</w:t>
      </w:r>
    </w:p>
    <w:p w14:paraId="3503AA2F" w14:textId="10DC91C4" w:rsidR="00F17D12" w:rsidRPr="008209FE" w:rsidRDefault="00F17D12" w:rsidP="007E2F9F">
      <w:pPr>
        <w:pStyle w:val="NormalWeb"/>
        <w:spacing w:before="160" w:beforeAutospacing="0" w:after="0" w:afterAutospacing="0"/>
        <w:rPr>
          <w:rFonts w:asciiTheme="minorHAnsi" w:hAnsiTheme="minorHAnsi" w:cstheme="minorHAnsi"/>
          <w:color w:val="000000"/>
          <w:sz w:val="22"/>
          <w:szCs w:val="22"/>
        </w:rPr>
      </w:pPr>
      <w:r w:rsidRPr="008209FE">
        <w:rPr>
          <w:rFonts w:asciiTheme="minorHAnsi" w:hAnsiTheme="minorHAnsi" w:cstheme="minorHAnsi"/>
          <w:b/>
          <w:bCs/>
          <w:i/>
          <w:iCs/>
          <w:color w:val="000000"/>
          <w:sz w:val="22"/>
          <w:szCs w:val="22"/>
        </w:rPr>
        <w:t xml:space="preserve">Intellectual Property </w:t>
      </w:r>
      <w:r w:rsidR="00B7608B" w:rsidRPr="008209FE">
        <w:rPr>
          <w:rFonts w:asciiTheme="minorHAnsi" w:hAnsiTheme="minorHAnsi" w:cstheme="minorHAnsi"/>
          <w:b/>
          <w:bCs/>
          <w:i/>
          <w:iCs/>
          <w:color w:val="000000"/>
          <w:sz w:val="22"/>
          <w:szCs w:val="22"/>
        </w:rPr>
        <w:t>Legislation Amendment</w:t>
      </w:r>
      <w:r w:rsidRPr="008209FE">
        <w:rPr>
          <w:rFonts w:asciiTheme="minorHAnsi" w:hAnsiTheme="minorHAnsi" w:cstheme="minorHAnsi"/>
          <w:b/>
          <w:bCs/>
          <w:i/>
          <w:iCs/>
          <w:color w:val="000000"/>
          <w:sz w:val="22"/>
          <w:szCs w:val="22"/>
        </w:rPr>
        <w:t xml:space="preserve"> (</w:t>
      </w:r>
      <w:r w:rsidR="00FB2D6C" w:rsidRPr="008209FE">
        <w:rPr>
          <w:rFonts w:asciiTheme="minorHAnsi" w:hAnsiTheme="minorHAnsi" w:cstheme="minorHAnsi"/>
          <w:b/>
          <w:bCs/>
          <w:i/>
          <w:iCs/>
          <w:color w:val="000000"/>
          <w:sz w:val="22"/>
          <w:szCs w:val="22"/>
        </w:rPr>
        <w:t>Fee Amounts and Other Measures</w:t>
      </w:r>
      <w:r w:rsidRPr="008209FE">
        <w:rPr>
          <w:rFonts w:asciiTheme="minorHAnsi" w:hAnsiTheme="minorHAnsi" w:cstheme="minorHAnsi"/>
          <w:b/>
          <w:bCs/>
          <w:i/>
          <w:iCs/>
          <w:color w:val="000000"/>
          <w:sz w:val="22"/>
          <w:szCs w:val="22"/>
        </w:rPr>
        <w:t>) Regulations 2024</w:t>
      </w:r>
    </w:p>
    <w:p w14:paraId="68A4AB68" w14:textId="7F20B330" w:rsidR="00F17D12" w:rsidRPr="008209FE" w:rsidRDefault="00F17D12" w:rsidP="007E2F9F">
      <w:pPr>
        <w:pStyle w:val="NormalWeb"/>
        <w:spacing w:before="160" w:beforeAutospacing="0" w:after="0" w:afterAutospacing="0"/>
        <w:jc w:val="both"/>
        <w:rPr>
          <w:rFonts w:asciiTheme="minorHAnsi" w:hAnsiTheme="minorHAnsi" w:cstheme="minorBidi"/>
          <w:color w:val="000000"/>
          <w:sz w:val="22"/>
          <w:szCs w:val="22"/>
        </w:rPr>
      </w:pPr>
      <w:r w:rsidRPr="008209FE">
        <w:rPr>
          <w:rFonts w:asciiTheme="minorHAnsi" w:hAnsiTheme="minorHAnsi" w:cstheme="minorBidi"/>
          <w:color w:val="000000" w:themeColor="text1"/>
          <w:sz w:val="22"/>
          <w:szCs w:val="22"/>
        </w:rPr>
        <w:t xml:space="preserve">This </w:t>
      </w:r>
      <w:r w:rsidR="001227CA" w:rsidRPr="008209FE">
        <w:rPr>
          <w:rFonts w:asciiTheme="minorHAnsi" w:hAnsiTheme="minorHAnsi" w:cstheme="minorBidi"/>
          <w:color w:val="000000" w:themeColor="text1"/>
          <w:sz w:val="22"/>
          <w:szCs w:val="22"/>
        </w:rPr>
        <w:t>disallowable legislative i</w:t>
      </w:r>
      <w:r w:rsidRPr="008209FE">
        <w:rPr>
          <w:rFonts w:asciiTheme="minorHAnsi" w:hAnsiTheme="minorHAnsi" w:cstheme="minorBidi"/>
          <w:color w:val="000000" w:themeColor="text1"/>
          <w:sz w:val="22"/>
          <w:szCs w:val="22"/>
        </w:rPr>
        <w:t>nstrument is compatible with the human rights and freedoms recognised or declared in the international instruments listed in section 3 of the </w:t>
      </w:r>
      <w:r w:rsidRPr="008209FE">
        <w:rPr>
          <w:rFonts w:asciiTheme="minorHAnsi" w:hAnsiTheme="minorHAnsi" w:cstheme="minorBidi"/>
          <w:i/>
          <w:color w:val="000000" w:themeColor="text1"/>
          <w:sz w:val="22"/>
          <w:szCs w:val="22"/>
        </w:rPr>
        <w:t>Human Rights (Parliamentary Scrutiny) Act 2011</w:t>
      </w:r>
      <w:r w:rsidRPr="008209FE">
        <w:rPr>
          <w:rFonts w:asciiTheme="minorHAnsi" w:hAnsiTheme="minorHAnsi" w:cstheme="minorBidi"/>
          <w:color w:val="000000" w:themeColor="text1"/>
          <w:sz w:val="22"/>
          <w:szCs w:val="22"/>
        </w:rPr>
        <w:t>.</w:t>
      </w:r>
    </w:p>
    <w:p w14:paraId="3620F185" w14:textId="37A4D2AC" w:rsidR="00C73E5F" w:rsidRPr="008209FE" w:rsidRDefault="00F17D12" w:rsidP="007E2F9F">
      <w:pPr>
        <w:pStyle w:val="NormalWeb"/>
        <w:spacing w:before="160" w:beforeAutospacing="0" w:after="0" w:afterAutospacing="0"/>
        <w:rPr>
          <w:rFonts w:asciiTheme="minorHAnsi" w:hAnsiTheme="minorHAnsi" w:cstheme="minorHAnsi"/>
          <w:color w:val="000000"/>
          <w:sz w:val="22"/>
          <w:szCs w:val="22"/>
        </w:rPr>
      </w:pPr>
      <w:r w:rsidRPr="008209FE">
        <w:rPr>
          <w:rFonts w:asciiTheme="minorHAnsi" w:hAnsiTheme="minorHAnsi" w:cstheme="minorHAnsi"/>
          <w:b/>
          <w:bCs/>
          <w:color w:val="000000"/>
          <w:sz w:val="22"/>
          <w:szCs w:val="22"/>
        </w:rPr>
        <w:t xml:space="preserve">Overview of the </w:t>
      </w:r>
      <w:r w:rsidR="00A2695B">
        <w:rPr>
          <w:rFonts w:asciiTheme="minorHAnsi" w:hAnsiTheme="minorHAnsi" w:cstheme="minorHAnsi"/>
          <w:b/>
          <w:bCs/>
          <w:color w:val="000000"/>
          <w:sz w:val="22"/>
          <w:szCs w:val="22"/>
        </w:rPr>
        <w:t>l</w:t>
      </w:r>
      <w:r w:rsidRPr="008209FE">
        <w:rPr>
          <w:rFonts w:asciiTheme="minorHAnsi" w:hAnsiTheme="minorHAnsi" w:cstheme="minorHAnsi"/>
          <w:b/>
          <w:bCs/>
          <w:color w:val="000000"/>
          <w:sz w:val="22"/>
          <w:szCs w:val="22"/>
        </w:rPr>
        <w:t xml:space="preserve">egislative </w:t>
      </w:r>
      <w:r w:rsidR="00A2695B">
        <w:rPr>
          <w:rFonts w:asciiTheme="minorHAnsi" w:hAnsiTheme="minorHAnsi" w:cstheme="minorHAnsi"/>
          <w:b/>
          <w:bCs/>
          <w:color w:val="000000"/>
          <w:sz w:val="22"/>
          <w:szCs w:val="22"/>
        </w:rPr>
        <w:t>i</w:t>
      </w:r>
      <w:r w:rsidRPr="008209FE">
        <w:rPr>
          <w:rFonts w:asciiTheme="minorHAnsi" w:hAnsiTheme="minorHAnsi" w:cstheme="minorHAnsi"/>
          <w:b/>
          <w:bCs/>
          <w:color w:val="000000"/>
          <w:sz w:val="22"/>
          <w:szCs w:val="22"/>
        </w:rPr>
        <w:t>nstrument</w:t>
      </w:r>
    </w:p>
    <w:p w14:paraId="1287C559" w14:textId="3F9F3CEC" w:rsidR="004218CA" w:rsidRPr="008209FE" w:rsidRDefault="00F17D12" w:rsidP="007E2F9F">
      <w:pPr>
        <w:pStyle w:val="NormalWeb"/>
        <w:spacing w:before="160" w:beforeAutospacing="0" w:after="0" w:afterAutospacing="0"/>
        <w:rPr>
          <w:rFonts w:asciiTheme="minorHAnsi" w:hAnsiTheme="minorHAnsi" w:cstheme="minorHAnsi"/>
          <w:spacing w:val="-2"/>
          <w:sz w:val="22"/>
          <w:szCs w:val="22"/>
        </w:rPr>
      </w:pPr>
      <w:r w:rsidRPr="008209FE">
        <w:rPr>
          <w:rFonts w:asciiTheme="minorHAnsi" w:hAnsiTheme="minorHAnsi" w:cstheme="minorHAnsi"/>
          <w:i/>
          <w:iCs/>
          <w:sz w:val="22"/>
          <w:szCs w:val="22"/>
        </w:rPr>
        <w:t xml:space="preserve">The Intellectual Property </w:t>
      </w:r>
      <w:r w:rsidR="00B7608B" w:rsidRPr="008209FE">
        <w:rPr>
          <w:rFonts w:asciiTheme="minorHAnsi" w:hAnsiTheme="minorHAnsi" w:cstheme="minorHAnsi"/>
          <w:i/>
          <w:iCs/>
          <w:sz w:val="22"/>
          <w:szCs w:val="22"/>
        </w:rPr>
        <w:t>Legislation Amendment</w:t>
      </w:r>
      <w:r w:rsidRPr="008209FE">
        <w:rPr>
          <w:rFonts w:asciiTheme="minorHAnsi" w:hAnsiTheme="minorHAnsi" w:cstheme="minorHAnsi"/>
          <w:i/>
          <w:iCs/>
          <w:sz w:val="22"/>
          <w:szCs w:val="22"/>
        </w:rPr>
        <w:t xml:space="preserve"> (</w:t>
      </w:r>
      <w:r w:rsidR="00AD23F4" w:rsidRPr="008209FE">
        <w:rPr>
          <w:rFonts w:asciiTheme="minorHAnsi" w:hAnsiTheme="minorHAnsi" w:cstheme="minorHAnsi"/>
          <w:i/>
          <w:iCs/>
          <w:sz w:val="22"/>
          <w:szCs w:val="22"/>
        </w:rPr>
        <w:t>Fee Amounts and Other Measures</w:t>
      </w:r>
      <w:r w:rsidRPr="008209FE">
        <w:rPr>
          <w:rFonts w:asciiTheme="minorHAnsi" w:hAnsiTheme="minorHAnsi" w:cstheme="minorHAnsi"/>
          <w:i/>
          <w:iCs/>
          <w:sz w:val="22"/>
          <w:szCs w:val="22"/>
        </w:rPr>
        <w:t>) Regulations 202</w:t>
      </w:r>
      <w:r w:rsidR="00C813B9" w:rsidRPr="008209FE">
        <w:rPr>
          <w:rFonts w:asciiTheme="minorHAnsi" w:hAnsiTheme="minorHAnsi" w:cstheme="minorHAnsi"/>
          <w:i/>
          <w:iCs/>
          <w:sz w:val="22"/>
          <w:szCs w:val="22"/>
        </w:rPr>
        <w:t>4</w:t>
      </w:r>
      <w:r w:rsidR="005E491B" w:rsidRPr="008209FE">
        <w:rPr>
          <w:rFonts w:asciiTheme="minorHAnsi" w:hAnsiTheme="minorHAnsi" w:cstheme="minorHAnsi"/>
          <w:i/>
          <w:iCs/>
          <w:sz w:val="22"/>
          <w:szCs w:val="22"/>
        </w:rPr>
        <w:t xml:space="preserve"> </w:t>
      </w:r>
      <w:r w:rsidR="0042394E" w:rsidRPr="008209FE">
        <w:rPr>
          <w:rFonts w:asciiTheme="minorHAnsi" w:hAnsiTheme="minorHAnsi" w:cstheme="minorHAnsi"/>
          <w:sz w:val="22"/>
          <w:szCs w:val="22"/>
        </w:rPr>
        <w:t>amends</w:t>
      </w:r>
      <w:r w:rsidR="0042394E" w:rsidRPr="008209FE">
        <w:rPr>
          <w:rFonts w:asciiTheme="minorHAnsi" w:hAnsiTheme="minorHAnsi" w:cstheme="minorHAnsi"/>
          <w:spacing w:val="-2"/>
          <w:sz w:val="22"/>
          <w:szCs w:val="22"/>
        </w:rPr>
        <w:t xml:space="preserve"> the </w:t>
      </w:r>
      <w:r w:rsidR="00436677" w:rsidRPr="008209FE">
        <w:rPr>
          <w:rFonts w:asciiTheme="minorHAnsi" w:hAnsiTheme="minorHAnsi" w:cstheme="minorHAnsi"/>
          <w:i/>
          <w:iCs/>
          <w:spacing w:val="-2"/>
          <w:sz w:val="22"/>
          <w:szCs w:val="22"/>
        </w:rPr>
        <w:t>Designs Regulations 2004</w:t>
      </w:r>
      <w:r w:rsidR="00436677" w:rsidRPr="008209FE">
        <w:rPr>
          <w:rFonts w:asciiTheme="minorHAnsi" w:hAnsiTheme="minorHAnsi" w:cstheme="minorHAnsi"/>
          <w:spacing w:val="-2"/>
          <w:sz w:val="22"/>
          <w:szCs w:val="22"/>
        </w:rPr>
        <w:t xml:space="preserve">, the </w:t>
      </w:r>
      <w:r w:rsidR="00436677" w:rsidRPr="008209FE">
        <w:rPr>
          <w:rFonts w:asciiTheme="minorHAnsi" w:hAnsiTheme="minorHAnsi" w:cstheme="minorHAnsi"/>
          <w:i/>
          <w:iCs/>
          <w:spacing w:val="-2"/>
          <w:sz w:val="22"/>
          <w:szCs w:val="22"/>
        </w:rPr>
        <w:t>Olympic Insignia Protection Regulations 1993</w:t>
      </w:r>
      <w:r w:rsidR="00436677" w:rsidRPr="008209FE">
        <w:rPr>
          <w:rFonts w:asciiTheme="minorHAnsi" w:hAnsiTheme="minorHAnsi" w:cstheme="minorHAnsi"/>
          <w:spacing w:val="-2"/>
          <w:sz w:val="22"/>
          <w:szCs w:val="22"/>
        </w:rPr>
        <w:t xml:space="preserve">, the </w:t>
      </w:r>
      <w:r w:rsidR="00436677" w:rsidRPr="008209FE">
        <w:rPr>
          <w:rFonts w:asciiTheme="minorHAnsi" w:hAnsiTheme="minorHAnsi" w:cstheme="minorHAnsi"/>
          <w:i/>
          <w:iCs/>
          <w:spacing w:val="-2"/>
          <w:sz w:val="22"/>
          <w:szCs w:val="22"/>
        </w:rPr>
        <w:t>Patents Regulations 1991</w:t>
      </w:r>
      <w:r w:rsidR="00436677" w:rsidRPr="008209FE">
        <w:rPr>
          <w:rFonts w:asciiTheme="minorHAnsi" w:hAnsiTheme="minorHAnsi" w:cstheme="minorHAnsi"/>
          <w:spacing w:val="-2"/>
          <w:sz w:val="22"/>
          <w:szCs w:val="22"/>
        </w:rPr>
        <w:t xml:space="preserve">, the </w:t>
      </w:r>
      <w:r w:rsidR="00436677" w:rsidRPr="008209FE">
        <w:rPr>
          <w:rFonts w:asciiTheme="minorHAnsi" w:hAnsiTheme="minorHAnsi" w:cstheme="minorHAnsi"/>
          <w:i/>
          <w:iCs/>
          <w:spacing w:val="-2"/>
          <w:sz w:val="22"/>
          <w:szCs w:val="22"/>
        </w:rPr>
        <w:t>Plant Breeder’s Rights Regulations 1994</w:t>
      </w:r>
      <w:r w:rsidR="00436677" w:rsidRPr="008209FE">
        <w:rPr>
          <w:rFonts w:asciiTheme="minorHAnsi" w:hAnsiTheme="minorHAnsi" w:cstheme="minorHAnsi"/>
          <w:spacing w:val="-2"/>
          <w:sz w:val="22"/>
          <w:szCs w:val="22"/>
        </w:rPr>
        <w:t xml:space="preserve">, and the </w:t>
      </w:r>
      <w:r w:rsidR="00436677" w:rsidRPr="008209FE">
        <w:rPr>
          <w:rFonts w:asciiTheme="minorHAnsi" w:hAnsiTheme="minorHAnsi" w:cstheme="minorHAnsi"/>
          <w:i/>
          <w:iCs/>
          <w:spacing w:val="-2"/>
          <w:sz w:val="22"/>
          <w:szCs w:val="22"/>
        </w:rPr>
        <w:t>Trade Marks Regulations 1995</w:t>
      </w:r>
      <w:r w:rsidR="000E09B1" w:rsidRPr="008209FE">
        <w:rPr>
          <w:rFonts w:asciiTheme="minorHAnsi" w:hAnsiTheme="minorHAnsi" w:cstheme="minorHAnsi"/>
          <w:spacing w:val="-2"/>
          <w:sz w:val="22"/>
          <w:szCs w:val="22"/>
        </w:rPr>
        <w:t xml:space="preserve"> </w:t>
      </w:r>
      <w:r w:rsidR="006A0C91" w:rsidRPr="008209FE">
        <w:rPr>
          <w:rFonts w:asciiTheme="minorHAnsi" w:hAnsiTheme="minorHAnsi" w:cstheme="minorHAnsi"/>
          <w:spacing w:val="-2"/>
          <w:sz w:val="22"/>
          <w:szCs w:val="22"/>
        </w:rPr>
        <w:t xml:space="preserve">(collectively ‘the Principal Regulations’) </w:t>
      </w:r>
      <w:r w:rsidR="000E09B1" w:rsidRPr="008209FE">
        <w:rPr>
          <w:rFonts w:asciiTheme="minorHAnsi" w:hAnsiTheme="minorHAnsi" w:cstheme="minorHAnsi"/>
          <w:spacing w:val="-2"/>
          <w:sz w:val="22"/>
          <w:szCs w:val="22"/>
        </w:rPr>
        <w:t xml:space="preserve">to improve </w:t>
      </w:r>
      <w:r w:rsidR="00E05F36" w:rsidRPr="008209FE">
        <w:rPr>
          <w:rFonts w:asciiTheme="minorHAnsi" w:hAnsiTheme="minorHAnsi" w:cstheme="minorHAnsi"/>
          <w:spacing w:val="-2"/>
          <w:sz w:val="22"/>
          <w:szCs w:val="22"/>
        </w:rPr>
        <w:t xml:space="preserve">the operation of the intellectual property rights </w:t>
      </w:r>
      <w:r w:rsidR="005A796B" w:rsidRPr="008209FE">
        <w:rPr>
          <w:rFonts w:asciiTheme="minorHAnsi" w:hAnsiTheme="minorHAnsi" w:cstheme="minorHAnsi"/>
          <w:spacing w:val="-2"/>
          <w:sz w:val="22"/>
          <w:szCs w:val="22"/>
        </w:rPr>
        <w:t>system administered by IP Australia</w:t>
      </w:r>
      <w:r w:rsidR="00CC5B5D" w:rsidRPr="008209FE">
        <w:rPr>
          <w:rFonts w:asciiTheme="minorHAnsi" w:hAnsiTheme="minorHAnsi" w:cstheme="minorHAnsi"/>
          <w:spacing w:val="-2"/>
          <w:sz w:val="22"/>
          <w:szCs w:val="22"/>
        </w:rPr>
        <w:t>.</w:t>
      </w:r>
    </w:p>
    <w:p w14:paraId="6F97CA30" w14:textId="06357F15" w:rsidR="000E5334" w:rsidRPr="008209FE" w:rsidRDefault="00562CB0" w:rsidP="007E2F9F">
      <w:pPr>
        <w:pStyle w:val="NormalWeb"/>
        <w:spacing w:before="160" w:beforeAutospacing="0" w:after="0" w:afterAutospacing="0"/>
        <w:rPr>
          <w:rFonts w:asciiTheme="minorHAnsi" w:hAnsiTheme="minorHAnsi" w:cstheme="minorHAnsi"/>
          <w:color w:val="000000"/>
          <w:sz w:val="22"/>
          <w:szCs w:val="22"/>
          <w:lang w:val="en-US"/>
        </w:rPr>
      </w:pPr>
      <w:r w:rsidRPr="008209FE">
        <w:rPr>
          <w:rFonts w:asciiTheme="minorHAnsi" w:hAnsiTheme="minorHAnsi" w:cstheme="minorHAnsi"/>
          <w:color w:val="000000"/>
          <w:sz w:val="22"/>
          <w:szCs w:val="22"/>
        </w:rPr>
        <w:t xml:space="preserve">The </w:t>
      </w:r>
      <w:r w:rsidR="003317B5" w:rsidRPr="008209FE">
        <w:rPr>
          <w:rFonts w:asciiTheme="minorHAnsi" w:hAnsiTheme="minorHAnsi" w:cstheme="minorHAnsi"/>
          <w:color w:val="000000"/>
          <w:sz w:val="22"/>
          <w:szCs w:val="22"/>
        </w:rPr>
        <w:t>legislative i</w:t>
      </w:r>
      <w:r w:rsidR="006A0C91" w:rsidRPr="008209FE">
        <w:rPr>
          <w:rFonts w:asciiTheme="minorHAnsi" w:hAnsiTheme="minorHAnsi" w:cstheme="minorHAnsi"/>
          <w:color w:val="000000"/>
          <w:sz w:val="22"/>
          <w:szCs w:val="22"/>
        </w:rPr>
        <w:t xml:space="preserve">nstrument amends the </w:t>
      </w:r>
      <w:r w:rsidRPr="008209FE">
        <w:rPr>
          <w:rFonts w:asciiTheme="minorHAnsi" w:hAnsiTheme="minorHAnsi" w:cstheme="minorHAnsi"/>
          <w:color w:val="000000"/>
          <w:sz w:val="22"/>
          <w:szCs w:val="22"/>
        </w:rPr>
        <w:t xml:space="preserve">amount and structure of the fees </w:t>
      </w:r>
      <w:r w:rsidR="00AB259E" w:rsidRPr="008209FE">
        <w:rPr>
          <w:rFonts w:asciiTheme="minorHAnsi" w:hAnsiTheme="minorHAnsi" w:cstheme="minorHAnsi"/>
          <w:color w:val="000000"/>
          <w:sz w:val="22"/>
          <w:szCs w:val="22"/>
        </w:rPr>
        <w:t xml:space="preserve">prescribed in the Principal Regulations </w:t>
      </w:r>
      <w:r w:rsidRPr="008209FE">
        <w:rPr>
          <w:rFonts w:asciiTheme="minorHAnsi" w:hAnsiTheme="minorHAnsi" w:cstheme="minorHAnsi"/>
          <w:color w:val="000000"/>
          <w:sz w:val="22"/>
          <w:szCs w:val="22"/>
        </w:rPr>
        <w:t xml:space="preserve">to </w:t>
      </w:r>
      <w:r w:rsidR="00464E4F" w:rsidRPr="008209FE">
        <w:rPr>
          <w:rFonts w:asciiTheme="minorHAnsi" w:hAnsiTheme="minorHAnsi" w:cstheme="minorHAnsi"/>
          <w:color w:val="000000"/>
          <w:sz w:val="22"/>
          <w:szCs w:val="22"/>
          <w:lang w:val="en-US"/>
        </w:rPr>
        <w:t xml:space="preserve">update the fees IP Australia charges for its services. </w:t>
      </w:r>
      <w:r w:rsidR="006601D1" w:rsidRPr="008209FE">
        <w:rPr>
          <w:rFonts w:asciiTheme="minorHAnsi" w:hAnsiTheme="minorHAnsi" w:cstheme="minorHAnsi"/>
          <w:color w:val="000000"/>
          <w:sz w:val="22"/>
          <w:szCs w:val="22"/>
          <w:lang w:val="en-US"/>
        </w:rPr>
        <w:t>The amendments arise from a fee review conducted by IP Australia to develop IP Australia’s Cost Recovery Implementation Statement 2023-2024. The review was conducted in compliance with the Australian Government Cost Recovery Guidelines and has been published on IP Australia’s website.</w:t>
      </w:r>
      <w:r w:rsidR="006E13F1" w:rsidRPr="008209FE">
        <w:rPr>
          <w:rFonts w:asciiTheme="minorHAnsi" w:hAnsiTheme="minorHAnsi" w:cstheme="minorHAnsi"/>
          <w:color w:val="000000"/>
          <w:sz w:val="22"/>
          <w:szCs w:val="22"/>
          <w:lang w:val="en-US"/>
        </w:rPr>
        <w:t xml:space="preserve"> The </w:t>
      </w:r>
      <w:r w:rsidR="00E209E9" w:rsidRPr="008209FE">
        <w:rPr>
          <w:rFonts w:asciiTheme="minorHAnsi" w:hAnsiTheme="minorHAnsi" w:cstheme="minorHAnsi"/>
          <w:color w:val="000000"/>
          <w:sz w:val="22"/>
          <w:szCs w:val="22"/>
          <w:lang w:val="en-US"/>
        </w:rPr>
        <w:t>prescribed fees were last updated in 2020.</w:t>
      </w:r>
    </w:p>
    <w:p w14:paraId="17B59308" w14:textId="41949537" w:rsidR="006601D1" w:rsidRPr="008209FE" w:rsidRDefault="006601D1" w:rsidP="007E2F9F">
      <w:pPr>
        <w:pStyle w:val="NormalWeb"/>
        <w:spacing w:before="160" w:beforeAutospacing="0" w:after="0" w:afterAutospacing="0"/>
        <w:rPr>
          <w:rFonts w:asciiTheme="minorHAnsi" w:hAnsiTheme="minorHAnsi" w:cstheme="minorBidi"/>
          <w:color w:val="000000"/>
          <w:sz w:val="22"/>
          <w:szCs w:val="22"/>
          <w:lang w:val="en-US"/>
        </w:rPr>
      </w:pPr>
      <w:r w:rsidRPr="008209FE">
        <w:rPr>
          <w:rFonts w:asciiTheme="minorHAnsi" w:hAnsiTheme="minorHAnsi" w:cstheme="minorBidi"/>
          <w:color w:val="000000" w:themeColor="text1"/>
          <w:sz w:val="22"/>
          <w:szCs w:val="22"/>
        </w:rPr>
        <w:t>The</w:t>
      </w:r>
      <w:r w:rsidR="003317B5" w:rsidRPr="008209FE">
        <w:rPr>
          <w:rFonts w:asciiTheme="minorHAnsi" w:hAnsiTheme="minorHAnsi" w:cstheme="minorBidi"/>
          <w:color w:val="000000" w:themeColor="text1"/>
          <w:sz w:val="22"/>
          <w:szCs w:val="22"/>
        </w:rPr>
        <w:t xml:space="preserve"> l</w:t>
      </w:r>
      <w:r w:rsidRPr="008209FE">
        <w:rPr>
          <w:rFonts w:asciiTheme="minorHAnsi" w:hAnsiTheme="minorHAnsi" w:cstheme="minorBidi"/>
          <w:color w:val="000000" w:themeColor="text1"/>
          <w:sz w:val="22"/>
          <w:szCs w:val="22"/>
        </w:rPr>
        <w:t xml:space="preserve">egislative </w:t>
      </w:r>
      <w:r w:rsidR="003317B5" w:rsidRPr="008209FE">
        <w:rPr>
          <w:rFonts w:asciiTheme="minorHAnsi" w:hAnsiTheme="minorHAnsi" w:cstheme="minorBidi"/>
          <w:color w:val="000000" w:themeColor="text1"/>
          <w:sz w:val="22"/>
          <w:szCs w:val="22"/>
        </w:rPr>
        <w:t>i</w:t>
      </w:r>
      <w:r w:rsidRPr="008209FE">
        <w:rPr>
          <w:rFonts w:asciiTheme="minorHAnsi" w:hAnsiTheme="minorHAnsi" w:cstheme="minorBidi"/>
          <w:color w:val="000000" w:themeColor="text1"/>
          <w:sz w:val="22"/>
          <w:szCs w:val="22"/>
        </w:rPr>
        <w:t xml:space="preserve">nstrument </w:t>
      </w:r>
      <w:r w:rsidRPr="008209FE">
        <w:rPr>
          <w:rFonts w:asciiTheme="minorHAnsi" w:hAnsiTheme="minorHAnsi" w:cstheme="minorBidi"/>
          <w:color w:val="000000" w:themeColor="text1"/>
          <w:sz w:val="22"/>
          <w:szCs w:val="22"/>
          <w:lang w:val="en-US"/>
        </w:rPr>
        <w:t>also increase</w:t>
      </w:r>
      <w:r w:rsidR="6F4AE75A" w:rsidRPr="008209FE">
        <w:rPr>
          <w:rFonts w:asciiTheme="minorHAnsi" w:hAnsiTheme="minorHAnsi" w:cstheme="minorBidi"/>
          <w:color w:val="000000" w:themeColor="text1"/>
          <w:sz w:val="22"/>
          <w:szCs w:val="22"/>
          <w:lang w:val="en-US"/>
        </w:rPr>
        <w:t>s</w:t>
      </w:r>
      <w:r w:rsidRPr="008209FE">
        <w:rPr>
          <w:rFonts w:asciiTheme="minorHAnsi" w:hAnsiTheme="minorHAnsi" w:cstheme="minorBidi"/>
          <w:color w:val="000000" w:themeColor="text1"/>
          <w:sz w:val="22"/>
          <w:szCs w:val="22"/>
          <w:lang w:val="en-US"/>
        </w:rPr>
        <w:t xml:space="preserve"> the amounts in the scales of costs, expenses and allowances that can be awarded against a party in a proceeding before the Registrar of Designs, the Commissioner of Patents or the Registrar of Trade Marks.</w:t>
      </w:r>
      <w:r w:rsidR="00193BA9" w:rsidRPr="008209FE">
        <w:rPr>
          <w:rFonts w:asciiTheme="minorHAnsi" w:hAnsiTheme="minorHAnsi" w:cstheme="minorBidi"/>
          <w:color w:val="000000" w:themeColor="text1"/>
          <w:sz w:val="22"/>
          <w:szCs w:val="22"/>
          <w:lang w:val="en-US"/>
        </w:rPr>
        <w:t xml:space="preserve"> </w:t>
      </w:r>
      <w:r w:rsidR="00846445" w:rsidRPr="008209FE">
        <w:rPr>
          <w:rFonts w:asciiTheme="minorHAnsi" w:hAnsiTheme="minorHAnsi" w:cstheme="minorBidi"/>
          <w:color w:val="000000" w:themeColor="text1"/>
          <w:sz w:val="22"/>
          <w:szCs w:val="22"/>
          <w:lang w:val="en-US"/>
        </w:rPr>
        <w:t xml:space="preserve">These proceedings are conducted between 2 or more parties with differing interests in the outcome of the proceedings. </w:t>
      </w:r>
      <w:r w:rsidR="00B52D81" w:rsidRPr="008209FE">
        <w:rPr>
          <w:rFonts w:asciiTheme="minorHAnsi" w:hAnsiTheme="minorHAnsi" w:cstheme="minorBidi"/>
          <w:color w:val="000000" w:themeColor="text1"/>
          <w:sz w:val="22"/>
          <w:szCs w:val="22"/>
          <w:lang w:val="en-US"/>
        </w:rPr>
        <w:t xml:space="preserve">For example, in an opposition to grant of a patent, under Chapter 5 of the </w:t>
      </w:r>
      <w:r w:rsidR="00B52D81" w:rsidRPr="008209FE">
        <w:rPr>
          <w:rFonts w:asciiTheme="minorHAnsi" w:hAnsiTheme="minorHAnsi" w:cstheme="minorBidi"/>
          <w:i/>
          <w:color w:val="000000" w:themeColor="text1"/>
          <w:sz w:val="22"/>
          <w:szCs w:val="22"/>
          <w:lang w:val="en-US"/>
        </w:rPr>
        <w:t>Patents Act 1990</w:t>
      </w:r>
      <w:r w:rsidR="00B52D81" w:rsidRPr="008209FE">
        <w:rPr>
          <w:rFonts w:asciiTheme="minorHAnsi" w:hAnsiTheme="minorHAnsi" w:cstheme="minorBidi"/>
          <w:color w:val="000000" w:themeColor="text1"/>
          <w:sz w:val="22"/>
          <w:szCs w:val="22"/>
          <w:lang w:val="en-US"/>
        </w:rPr>
        <w:t xml:space="preserve">, the parties </w:t>
      </w:r>
      <w:r w:rsidR="008C3D0E" w:rsidRPr="008209FE">
        <w:rPr>
          <w:rFonts w:asciiTheme="minorHAnsi" w:hAnsiTheme="minorHAnsi" w:cstheme="minorBidi"/>
          <w:color w:val="000000" w:themeColor="text1"/>
          <w:sz w:val="22"/>
          <w:szCs w:val="22"/>
          <w:lang w:val="en-US"/>
        </w:rPr>
        <w:t>are</w:t>
      </w:r>
      <w:r w:rsidR="0060220E" w:rsidRPr="008209FE">
        <w:rPr>
          <w:rFonts w:asciiTheme="minorHAnsi" w:hAnsiTheme="minorHAnsi" w:cstheme="minorBidi"/>
          <w:color w:val="000000" w:themeColor="text1"/>
          <w:sz w:val="22"/>
          <w:szCs w:val="22"/>
          <w:lang w:val="en-US"/>
        </w:rPr>
        <w:t xml:space="preserve"> </w:t>
      </w:r>
      <w:r w:rsidR="00B52D81" w:rsidRPr="008209FE">
        <w:rPr>
          <w:rFonts w:asciiTheme="minorHAnsi" w:hAnsiTheme="minorHAnsi" w:cstheme="minorBidi"/>
          <w:color w:val="000000" w:themeColor="text1"/>
          <w:sz w:val="22"/>
          <w:szCs w:val="22"/>
          <w:lang w:val="en-US"/>
        </w:rPr>
        <w:t xml:space="preserve">the applicant(s) for grant and the opponent(s) to grant. </w:t>
      </w:r>
      <w:r w:rsidR="00193BA9" w:rsidRPr="008209FE">
        <w:rPr>
          <w:rFonts w:asciiTheme="minorHAnsi" w:hAnsiTheme="minorHAnsi" w:cstheme="minorBidi"/>
          <w:color w:val="000000" w:themeColor="text1"/>
          <w:sz w:val="22"/>
          <w:szCs w:val="22"/>
        </w:rPr>
        <w:t xml:space="preserve">The award of costs, expenses and allowances provides a means for </w:t>
      </w:r>
      <w:r w:rsidR="00846445" w:rsidRPr="008209FE">
        <w:rPr>
          <w:rFonts w:asciiTheme="minorHAnsi" w:hAnsiTheme="minorHAnsi" w:cstheme="minorBidi"/>
          <w:color w:val="000000" w:themeColor="text1"/>
          <w:sz w:val="22"/>
          <w:szCs w:val="22"/>
        </w:rPr>
        <w:t>a</w:t>
      </w:r>
      <w:r w:rsidR="00193BA9" w:rsidRPr="008209FE">
        <w:rPr>
          <w:rFonts w:asciiTheme="minorHAnsi" w:hAnsiTheme="minorHAnsi" w:cstheme="minorBidi"/>
          <w:color w:val="000000" w:themeColor="text1"/>
          <w:sz w:val="22"/>
          <w:szCs w:val="22"/>
        </w:rPr>
        <w:t xml:space="preserve"> successful party in the proceeding to recover some of the expense of the proceeding from </w:t>
      </w:r>
      <w:r w:rsidR="00846445" w:rsidRPr="008209FE">
        <w:rPr>
          <w:rFonts w:asciiTheme="minorHAnsi" w:hAnsiTheme="minorHAnsi" w:cstheme="minorBidi"/>
          <w:color w:val="000000" w:themeColor="text1"/>
          <w:sz w:val="22"/>
          <w:szCs w:val="22"/>
        </w:rPr>
        <w:t>an</w:t>
      </w:r>
      <w:r w:rsidR="00193BA9" w:rsidRPr="008209FE">
        <w:rPr>
          <w:rFonts w:asciiTheme="minorHAnsi" w:hAnsiTheme="minorHAnsi" w:cstheme="minorBidi"/>
          <w:color w:val="000000" w:themeColor="text1"/>
          <w:sz w:val="22"/>
          <w:szCs w:val="22"/>
        </w:rPr>
        <w:t xml:space="preserve"> unsuccessful party.</w:t>
      </w:r>
      <w:r w:rsidR="00E209E9" w:rsidRPr="008209FE">
        <w:rPr>
          <w:rFonts w:asciiTheme="minorHAnsi" w:hAnsiTheme="minorHAnsi" w:cstheme="minorBidi"/>
          <w:color w:val="000000" w:themeColor="text1"/>
          <w:sz w:val="22"/>
          <w:szCs w:val="22"/>
        </w:rPr>
        <w:t xml:space="preserve"> </w:t>
      </w:r>
      <w:r w:rsidR="00DC5EA5" w:rsidRPr="008209FE">
        <w:rPr>
          <w:rFonts w:asciiTheme="minorHAnsi" w:hAnsiTheme="minorHAnsi" w:cstheme="minorBidi"/>
          <w:color w:val="000000" w:themeColor="text1"/>
          <w:sz w:val="22"/>
          <w:szCs w:val="22"/>
        </w:rPr>
        <w:t xml:space="preserve">This cost-shifting rule also </w:t>
      </w:r>
      <w:r w:rsidR="00635902" w:rsidRPr="008209FE">
        <w:rPr>
          <w:rFonts w:asciiTheme="minorHAnsi" w:hAnsiTheme="minorHAnsi" w:cstheme="minorBidi"/>
          <w:color w:val="000000" w:themeColor="text1"/>
          <w:sz w:val="22"/>
          <w:szCs w:val="22"/>
        </w:rPr>
        <w:t>discourages</w:t>
      </w:r>
      <w:r w:rsidR="00DC5EA5" w:rsidRPr="008209FE">
        <w:rPr>
          <w:rFonts w:asciiTheme="minorHAnsi" w:hAnsiTheme="minorHAnsi" w:cstheme="minorBidi"/>
          <w:color w:val="000000" w:themeColor="text1"/>
          <w:sz w:val="22"/>
          <w:szCs w:val="22"/>
        </w:rPr>
        <w:t xml:space="preserve"> a party with a weaker argument </w:t>
      </w:r>
      <w:r w:rsidR="00635902" w:rsidRPr="008209FE">
        <w:rPr>
          <w:rFonts w:asciiTheme="minorHAnsi" w:hAnsiTheme="minorHAnsi" w:cstheme="minorBidi"/>
          <w:color w:val="000000" w:themeColor="text1"/>
          <w:sz w:val="22"/>
          <w:szCs w:val="22"/>
        </w:rPr>
        <w:t>from</w:t>
      </w:r>
      <w:r w:rsidR="00DC5EA5" w:rsidRPr="008209FE">
        <w:rPr>
          <w:rFonts w:asciiTheme="minorHAnsi" w:hAnsiTheme="minorHAnsi" w:cstheme="minorBidi"/>
          <w:color w:val="000000" w:themeColor="text1"/>
          <w:sz w:val="22"/>
          <w:szCs w:val="22"/>
        </w:rPr>
        <w:t xml:space="preserve"> having it heard unnecessarily. </w:t>
      </w:r>
      <w:r w:rsidR="00E209E9" w:rsidRPr="008209FE">
        <w:rPr>
          <w:rFonts w:asciiTheme="minorHAnsi" w:hAnsiTheme="minorHAnsi" w:cstheme="minorBidi"/>
          <w:color w:val="000000" w:themeColor="text1"/>
          <w:sz w:val="22"/>
          <w:szCs w:val="22"/>
        </w:rPr>
        <w:t xml:space="preserve">The scales of </w:t>
      </w:r>
      <w:r w:rsidR="00E209E9" w:rsidRPr="008209FE">
        <w:rPr>
          <w:rFonts w:asciiTheme="minorHAnsi" w:hAnsiTheme="minorHAnsi" w:cstheme="minorBidi"/>
          <w:color w:val="000000" w:themeColor="text1"/>
          <w:sz w:val="22"/>
          <w:szCs w:val="22"/>
          <w:lang w:val="en-US"/>
        </w:rPr>
        <w:t xml:space="preserve">costs, expenses and allowances were last updated </w:t>
      </w:r>
      <w:r w:rsidR="00DC5EA5" w:rsidRPr="008209FE">
        <w:rPr>
          <w:rFonts w:asciiTheme="minorHAnsi" w:hAnsiTheme="minorHAnsi" w:cstheme="minorBidi"/>
          <w:color w:val="000000" w:themeColor="text1"/>
          <w:sz w:val="22"/>
          <w:szCs w:val="22"/>
          <w:lang w:val="en-US"/>
        </w:rPr>
        <w:t>in 2007.</w:t>
      </w:r>
    </w:p>
    <w:p w14:paraId="70A7B580" w14:textId="559492AF" w:rsidR="000030E8" w:rsidRPr="008209FE" w:rsidRDefault="000030E8" w:rsidP="007E2F9F">
      <w:pPr>
        <w:pStyle w:val="NormalWeb"/>
        <w:spacing w:before="160" w:beforeAutospacing="0" w:after="0" w:afterAutospacing="0"/>
        <w:rPr>
          <w:rFonts w:asciiTheme="minorHAnsi" w:hAnsiTheme="minorHAnsi" w:cstheme="minorHAnsi"/>
          <w:color w:val="000000"/>
          <w:sz w:val="22"/>
          <w:szCs w:val="22"/>
        </w:rPr>
      </w:pPr>
      <w:r w:rsidRPr="008209FE">
        <w:rPr>
          <w:rFonts w:asciiTheme="minorHAnsi" w:hAnsiTheme="minorHAnsi" w:cstheme="minorHAnsi"/>
          <w:color w:val="000000"/>
          <w:sz w:val="22"/>
          <w:szCs w:val="22"/>
        </w:rPr>
        <w:t xml:space="preserve">None of the amendments make any changes to the </w:t>
      </w:r>
      <w:r w:rsidR="00D26116" w:rsidRPr="008209FE">
        <w:rPr>
          <w:rFonts w:asciiTheme="minorHAnsi" w:hAnsiTheme="minorHAnsi" w:cstheme="minorHAnsi"/>
          <w:color w:val="000000"/>
          <w:sz w:val="22"/>
          <w:szCs w:val="22"/>
        </w:rPr>
        <w:t xml:space="preserve">substantive </w:t>
      </w:r>
      <w:r w:rsidRPr="008209FE">
        <w:rPr>
          <w:rFonts w:asciiTheme="minorHAnsi" w:hAnsiTheme="minorHAnsi" w:cstheme="minorHAnsi"/>
          <w:color w:val="000000"/>
          <w:sz w:val="22"/>
          <w:szCs w:val="22"/>
        </w:rPr>
        <w:t>law</w:t>
      </w:r>
      <w:r w:rsidR="00D26116" w:rsidRPr="008209FE">
        <w:rPr>
          <w:rFonts w:asciiTheme="minorHAnsi" w:hAnsiTheme="minorHAnsi" w:cstheme="minorHAnsi"/>
          <w:color w:val="000000"/>
          <w:sz w:val="22"/>
          <w:szCs w:val="22"/>
        </w:rPr>
        <w:t xml:space="preserve"> governing the protection of intellectual property rights</w:t>
      </w:r>
      <w:r w:rsidRPr="008209FE">
        <w:rPr>
          <w:rFonts w:asciiTheme="minorHAnsi" w:hAnsiTheme="minorHAnsi" w:cstheme="minorHAnsi"/>
          <w:color w:val="000000"/>
          <w:sz w:val="22"/>
          <w:szCs w:val="22"/>
        </w:rPr>
        <w:t>.</w:t>
      </w:r>
    </w:p>
    <w:p w14:paraId="548C1A56" w14:textId="77777777" w:rsidR="00F17D12" w:rsidRPr="008209FE" w:rsidRDefault="00F17D12" w:rsidP="007E2F9F">
      <w:pPr>
        <w:pStyle w:val="NormalWeb"/>
        <w:spacing w:before="160" w:beforeAutospacing="0" w:after="0" w:afterAutospacing="0"/>
        <w:rPr>
          <w:rFonts w:asciiTheme="minorHAnsi" w:hAnsiTheme="minorHAnsi" w:cstheme="minorHAnsi"/>
          <w:color w:val="000000"/>
          <w:sz w:val="22"/>
          <w:szCs w:val="22"/>
        </w:rPr>
      </w:pPr>
      <w:r w:rsidRPr="008209FE">
        <w:rPr>
          <w:rFonts w:asciiTheme="minorHAnsi" w:hAnsiTheme="minorHAnsi" w:cstheme="minorHAnsi"/>
          <w:b/>
          <w:bCs/>
          <w:color w:val="000000"/>
          <w:sz w:val="22"/>
          <w:szCs w:val="22"/>
        </w:rPr>
        <w:t>Human rights implications</w:t>
      </w:r>
    </w:p>
    <w:p w14:paraId="1DDB33E1" w14:textId="1416CC00" w:rsidR="00F17D12" w:rsidRPr="008209FE" w:rsidRDefault="00F17D12" w:rsidP="007E2F9F">
      <w:pPr>
        <w:pStyle w:val="NormalWeb"/>
        <w:spacing w:before="160" w:beforeAutospacing="0" w:after="0" w:afterAutospacing="0"/>
        <w:jc w:val="both"/>
        <w:rPr>
          <w:rFonts w:asciiTheme="minorHAnsi" w:hAnsiTheme="minorHAnsi" w:cstheme="minorHAnsi"/>
          <w:color w:val="000000"/>
          <w:sz w:val="22"/>
          <w:szCs w:val="22"/>
        </w:rPr>
      </w:pPr>
      <w:r w:rsidRPr="008209FE">
        <w:rPr>
          <w:rFonts w:asciiTheme="minorHAnsi" w:hAnsiTheme="minorHAnsi" w:cstheme="minorHAnsi"/>
          <w:color w:val="000000"/>
          <w:sz w:val="22"/>
          <w:szCs w:val="22"/>
        </w:rPr>
        <w:t xml:space="preserve">This </w:t>
      </w:r>
      <w:r w:rsidR="003317B5" w:rsidRPr="008209FE">
        <w:rPr>
          <w:rFonts w:asciiTheme="minorHAnsi" w:hAnsiTheme="minorHAnsi" w:cstheme="minorHAnsi"/>
          <w:color w:val="000000"/>
          <w:sz w:val="22"/>
          <w:szCs w:val="22"/>
        </w:rPr>
        <w:t>disallowable l</w:t>
      </w:r>
      <w:r w:rsidRPr="008209FE">
        <w:rPr>
          <w:rFonts w:asciiTheme="minorHAnsi" w:hAnsiTheme="minorHAnsi" w:cstheme="minorHAnsi"/>
          <w:color w:val="000000"/>
          <w:sz w:val="22"/>
          <w:szCs w:val="22"/>
        </w:rPr>
        <w:t xml:space="preserve">egislative </w:t>
      </w:r>
      <w:r w:rsidR="003317B5" w:rsidRPr="008209FE">
        <w:rPr>
          <w:rFonts w:asciiTheme="minorHAnsi" w:hAnsiTheme="minorHAnsi" w:cstheme="minorHAnsi"/>
          <w:color w:val="000000"/>
          <w:sz w:val="22"/>
          <w:szCs w:val="22"/>
        </w:rPr>
        <w:t>i</w:t>
      </w:r>
      <w:r w:rsidRPr="008209FE">
        <w:rPr>
          <w:rFonts w:asciiTheme="minorHAnsi" w:hAnsiTheme="minorHAnsi" w:cstheme="minorHAnsi"/>
          <w:color w:val="000000"/>
          <w:sz w:val="22"/>
          <w:szCs w:val="22"/>
        </w:rPr>
        <w:t>nstrument does not engage any of the applicable rights or freedoms.</w:t>
      </w:r>
    </w:p>
    <w:p w14:paraId="7D620D7C" w14:textId="77777777" w:rsidR="00F17D12" w:rsidRPr="008209FE" w:rsidRDefault="00F17D12" w:rsidP="007E2F9F">
      <w:pPr>
        <w:pStyle w:val="NormalWeb"/>
        <w:spacing w:before="160" w:beforeAutospacing="0" w:after="0" w:afterAutospacing="0"/>
        <w:rPr>
          <w:rFonts w:asciiTheme="minorHAnsi" w:hAnsiTheme="minorHAnsi" w:cstheme="minorHAnsi"/>
          <w:color w:val="000000"/>
          <w:sz w:val="22"/>
          <w:szCs w:val="22"/>
        </w:rPr>
      </w:pPr>
      <w:r w:rsidRPr="008209FE">
        <w:rPr>
          <w:rFonts w:asciiTheme="minorHAnsi" w:hAnsiTheme="minorHAnsi" w:cstheme="minorHAnsi"/>
          <w:b/>
          <w:bCs/>
          <w:color w:val="000000"/>
          <w:sz w:val="22"/>
          <w:szCs w:val="22"/>
        </w:rPr>
        <w:t>Conclusion</w:t>
      </w:r>
    </w:p>
    <w:p w14:paraId="11EDECB3" w14:textId="77777777" w:rsidR="00E50F6D" w:rsidRDefault="00F17D12" w:rsidP="007E2F9F">
      <w:pPr>
        <w:pStyle w:val="NormalWeb"/>
        <w:spacing w:before="160" w:beforeAutospacing="0" w:after="0" w:afterAutospacing="0"/>
        <w:jc w:val="both"/>
        <w:rPr>
          <w:rFonts w:asciiTheme="minorHAnsi" w:hAnsiTheme="minorHAnsi" w:cstheme="minorHAnsi"/>
          <w:color w:val="000000"/>
          <w:sz w:val="22"/>
          <w:szCs w:val="22"/>
        </w:rPr>
      </w:pPr>
      <w:r w:rsidRPr="008209FE">
        <w:rPr>
          <w:rFonts w:asciiTheme="minorHAnsi" w:hAnsiTheme="minorHAnsi" w:cstheme="minorHAnsi"/>
          <w:color w:val="000000"/>
          <w:sz w:val="22"/>
          <w:szCs w:val="22"/>
        </w:rPr>
        <w:t xml:space="preserve">This </w:t>
      </w:r>
      <w:r w:rsidR="003317B5" w:rsidRPr="008209FE">
        <w:rPr>
          <w:rFonts w:asciiTheme="minorHAnsi" w:hAnsiTheme="minorHAnsi" w:cstheme="minorHAnsi"/>
          <w:color w:val="000000"/>
          <w:sz w:val="22"/>
          <w:szCs w:val="22"/>
        </w:rPr>
        <w:t>d</w:t>
      </w:r>
      <w:r w:rsidR="00671B10" w:rsidRPr="008209FE">
        <w:rPr>
          <w:rFonts w:asciiTheme="minorHAnsi" w:hAnsiTheme="minorHAnsi" w:cstheme="minorHAnsi"/>
          <w:color w:val="000000"/>
          <w:sz w:val="22"/>
          <w:szCs w:val="22"/>
        </w:rPr>
        <w:t xml:space="preserve">isallowable </w:t>
      </w:r>
      <w:r w:rsidR="003317B5" w:rsidRPr="008209FE">
        <w:rPr>
          <w:rFonts w:asciiTheme="minorHAnsi" w:hAnsiTheme="minorHAnsi" w:cstheme="minorHAnsi"/>
          <w:color w:val="000000"/>
          <w:sz w:val="22"/>
          <w:szCs w:val="22"/>
        </w:rPr>
        <w:t>l</w:t>
      </w:r>
      <w:r w:rsidRPr="008209FE">
        <w:rPr>
          <w:rFonts w:asciiTheme="minorHAnsi" w:hAnsiTheme="minorHAnsi" w:cstheme="minorHAnsi"/>
          <w:color w:val="000000"/>
          <w:sz w:val="22"/>
          <w:szCs w:val="22"/>
        </w:rPr>
        <w:t xml:space="preserve">egislative </w:t>
      </w:r>
      <w:r w:rsidR="003317B5" w:rsidRPr="008209FE">
        <w:rPr>
          <w:rFonts w:asciiTheme="minorHAnsi" w:hAnsiTheme="minorHAnsi" w:cstheme="minorHAnsi"/>
          <w:color w:val="000000"/>
          <w:sz w:val="22"/>
          <w:szCs w:val="22"/>
        </w:rPr>
        <w:t>i</w:t>
      </w:r>
      <w:r w:rsidRPr="008209FE">
        <w:rPr>
          <w:rFonts w:asciiTheme="minorHAnsi" w:hAnsiTheme="minorHAnsi" w:cstheme="minorHAnsi"/>
          <w:color w:val="000000"/>
          <w:sz w:val="22"/>
          <w:szCs w:val="22"/>
        </w:rPr>
        <w:t>nstrument is compatible with human rights as it does not raise any human rights issues.</w:t>
      </w:r>
    </w:p>
    <w:p w14:paraId="321407D3" w14:textId="63A02665" w:rsidR="00C10BA6" w:rsidRDefault="00F17D12" w:rsidP="007E2F9F">
      <w:pPr>
        <w:pStyle w:val="NormalWeb"/>
        <w:spacing w:before="160" w:beforeAutospacing="0" w:after="0" w:afterAutospacing="0"/>
        <w:jc w:val="center"/>
        <w:rPr>
          <w:rFonts w:asciiTheme="minorHAnsi" w:hAnsiTheme="minorHAnsi" w:cstheme="minorHAnsi"/>
          <w:b/>
          <w:bCs/>
          <w:color w:val="000000"/>
          <w:sz w:val="22"/>
          <w:szCs w:val="22"/>
        </w:rPr>
      </w:pPr>
      <w:r w:rsidRPr="008209FE">
        <w:rPr>
          <w:rFonts w:asciiTheme="minorHAnsi" w:hAnsiTheme="minorHAnsi" w:cstheme="minorHAnsi"/>
          <w:b/>
          <w:bCs/>
          <w:color w:val="000000"/>
          <w:sz w:val="22"/>
          <w:szCs w:val="22"/>
        </w:rPr>
        <w:t>The Hon Ed Husic MP, Minister for Industry and Science</w:t>
      </w:r>
    </w:p>
    <w:p w14:paraId="55CD9FB6" w14:textId="77777777" w:rsidR="008209FE" w:rsidRDefault="008209FE" w:rsidP="008209FE">
      <w:pPr>
        <w:pStyle w:val="NormalWeb"/>
        <w:spacing w:before="160" w:beforeAutospacing="0" w:after="0" w:afterAutospacing="0" w:line="259" w:lineRule="atLeast"/>
        <w:rPr>
          <w:rFonts w:asciiTheme="minorHAnsi" w:hAnsiTheme="minorHAnsi" w:cstheme="minorHAnsi"/>
          <w:b/>
          <w:bCs/>
          <w:color w:val="000000"/>
          <w:sz w:val="22"/>
          <w:szCs w:val="22"/>
          <w:highlight w:val="yellow"/>
          <w:u w:val="single"/>
        </w:rPr>
      </w:pPr>
      <w:r>
        <w:rPr>
          <w:rFonts w:asciiTheme="minorHAnsi" w:hAnsiTheme="minorHAnsi" w:cstheme="minorHAnsi"/>
          <w:b/>
          <w:bCs/>
          <w:color w:val="000000"/>
          <w:sz w:val="22"/>
          <w:szCs w:val="22"/>
          <w:highlight w:val="yellow"/>
          <w:u w:val="single"/>
        </w:rPr>
        <w:br w:type="page"/>
      </w:r>
    </w:p>
    <w:p w14:paraId="483BB49C" w14:textId="3D8FEEEC" w:rsidR="008209FE" w:rsidRPr="00A0592B" w:rsidRDefault="008209FE" w:rsidP="00BE0994">
      <w:pPr>
        <w:pStyle w:val="NormalWeb"/>
        <w:spacing w:before="160" w:beforeAutospacing="0" w:after="240" w:afterAutospacing="0" w:line="259" w:lineRule="atLeast"/>
        <w:jc w:val="right"/>
        <w:rPr>
          <w:rFonts w:asciiTheme="minorHAnsi" w:hAnsiTheme="minorHAnsi" w:cstheme="minorHAnsi"/>
          <w:b/>
          <w:bCs/>
          <w:color w:val="000000"/>
          <w:sz w:val="22"/>
          <w:szCs w:val="22"/>
          <w:u w:val="single"/>
        </w:rPr>
      </w:pPr>
      <w:r w:rsidRPr="00A0592B">
        <w:rPr>
          <w:rFonts w:asciiTheme="minorHAnsi" w:hAnsiTheme="minorHAnsi" w:cstheme="minorHAnsi"/>
          <w:b/>
          <w:bCs/>
          <w:color w:val="000000"/>
          <w:sz w:val="22"/>
          <w:szCs w:val="22"/>
          <w:u w:val="single"/>
        </w:rPr>
        <w:lastRenderedPageBreak/>
        <w:t>Appendix 2</w:t>
      </w:r>
    </w:p>
    <w:p w14:paraId="7E9FD744" w14:textId="77777777" w:rsidR="004C234F" w:rsidRDefault="008A2166" w:rsidP="008A2166">
      <w:r>
        <w:rPr>
          <w:b/>
          <w:noProof/>
          <w:color w:val="2B579A"/>
          <w:sz w:val="32"/>
          <w:szCs w:val="32"/>
          <w:shd w:val="clear" w:color="auto" w:fill="E6E6E6"/>
          <w:lang w:eastAsia="en-AU"/>
        </w:rPr>
        <mc:AlternateContent>
          <mc:Choice Requires="wpg">
            <w:drawing>
              <wp:anchor distT="0" distB="0" distL="114300" distR="114300" simplePos="0" relativeHeight="251658240" behindDoc="0" locked="0" layoutInCell="1" allowOverlap="1" wp14:anchorId="40FB8691" wp14:editId="5B395531">
                <wp:simplePos x="0" y="0"/>
                <wp:positionH relativeFrom="margin">
                  <wp:align>left</wp:align>
                </wp:positionH>
                <wp:positionV relativeFrom="paragraph">
                  <wp:posOffset>0</wp:posOffset>
                </wp:positionV>
                <wp:extent cx="4377055" cy="933450"/>
                <wp:effectExtent l="0" t="0" r="4445" b="0"/>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7055" cy="933450"/>
                          <a:chOff x="441" y="544"/>
                          <a:chExt cx="5553" cy="1048"/>
                        </a:xfrm>
                      </wpg:grpSpPr>
                      <pic:pic xmlns:pic="http://schemas.openxmlformats.org/drawingml/2006/picture">
                        <pic:nvPicPr>
                          <pic:cNvPr id="12" name="Picture 13"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41" y="544"/>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descr="Australian Government, Industry, Science and Resources portfolio, IP Australia&#10;&#10;"/>
                        <wps:cNvSpPr txBox="1">
                          <a:spLocks noChangeArrowheads="1"/>
                        </wps:cNvSpPr>
                        <wps:spPr bwMode="auto">
                          <a:xfrm>
                            <a:off x="1749" y="692"/>
                            <a:ext cx="4245"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395"/>
                              </w:tblGrid>
                              <w:tr w:rsidR="008A2166" w:rsidRPr="00E6260A" w14:paraId="1F6C3024" w14:textId="77777777">
                                <w:trPr>
                                  <w:trHeight w:hRule="exact" w:val="340"/>
                                </w:trPr>
                                <w:tc>
                                  <w:tcPr>
                                    <w:tcW w:w="4395" w:type="dxa"/>
                                  </w:tcPr>
                                  <w:p w14:paraId="1C55B778" w14:textId="77777777" w:rsidR="008A2166" w:rsidRPr="00016586" w:rsidRDefault="008A216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8A2166" w:rsidRPr="00573115" w14:paraId="7E866026" w14:textId="77777777">
                                <w:trPr>
                                  <w:trHeight w:hRule="exact" w:val="376"/>
                                </w:trPr>
                                <w:tc>
                                  <w:tcPr>
                                    <w:tcW w:w="4395" w:type="dxa"/>
                                  </w:tcPr>
                                  <w:p w14:paraId="147F9BBD" w14:textId="77777777" w:rsidR="008A2166" w:rsidRPr="00016586" w:rsidRDefault="008A2166">
                                    <w:pPr>
                                      <w:rPr>
                                        <w:rFonts w:ascii="Times New Roman" w:hAnsi="Times New Roman" w:cs="Times New Roman"/>
                                        <w:bCs/>
                                        <w:i/>
                                        <w:sz w:val="24"/>
                                        <w:szCs w:val="24"/>
                                      </w:rPr>
                                    </w:pPr>
                                    <w:r>
                                      <w:rPr>
                                        <w:rFonts w:ascii="Times New Roman" w:hAnsi="Times New Roman" w:cs="Times New Roman"/>
                                        <w:sz w:val="24"/>
                                        <w:szCs w:val="24"/>
                                      </w:rPr>
                                      <w:t>Industry, Science and Resources portfolio</w:t>
                                    </w:r>
                                  </w:p>
                                </w:tc>
                              </w:tr>
                              <w:tr w:rsidR="008A2166" w:rsidRPr="00016586" w14:paraId="75FE2AF5" w14:textId="77777777">
                                <w:trPr>
                                  <w:trHeight w:hRule="exact" w:val="376"/>
                                </w:trPr>
                                <w:tc>
                                  <w:tcPr>
                                    <w:tcW w:w="4395" w:type="dxa"/>
                                  </w:tcPr>
                                  <w:p w14:paraId="04237E61" w14:textId="77777777" w:rsidR="008A2166" w:rsidRPr="00016586" w:rsidRDefault="008A2166">
                                    <w:pPr>
                                      <w:rPr>
                                        <w:rFonts w:ascii="Times New Roman" w:hAnsi="Times New Roman" w:cs="Times New Roman"/>
                                        <w:bCs/>
                                        <w:i/>
                                        <w:sz w:val="24"/>
                                        <w:szCs w:val="24"/>
                                      </w:rPr>
                                    </w:pPr>
                                    <w:r>
                                      <w:rPr>
                                        <w:rFonts w:ascii="Times New Roman" w:hAnsi="Times New Roman" w:cs="Times New Roman"/>
                                        <w:sz w:val="24"/>
                                        <w:szCs w:val="24"/>
                                      </w:rPr>
                                      <w:t>IP Australia</w:t>
                                    </w:r>
                                  </w:p>
                                  <w:p w14:paraId="60B40A5B" w14:textId="77777777" w:rsidR="008A2166" w:rsidRPr="00016586" w:rsidRDefault="008A2166">
                                    <w:pPr>
                                      <w:rPr>
                                        <w:rFonts w:ascii="Times New Roman" w:hAnsi="Times New Roman" w:cs="Times New Roman"/>
                                        <w:sz w:val="24"/>
                                        <w:szCs w:val="24"/>
                                      </w:rPr>
                                    </w:pPr>
                                  </w:p>
                                </w:tc>
                              </w:tr>
                            </w:tbl>
                            <w:p w14:paraId="32C2FA68" w14:textId="77777777" w:rsidR="008A2166" w:rsidRDefault="008A2166" w:rsidP="008A216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B8691" id="Group 11" o:spid="_x0000_s1026" alt="&quot;&quot;" style="position:absolute;margin-left:0;margin-top:0;width:344.65pt;height:73.5pt;z-index:251658240;mso-position-horizontal:left;mso-position-horizontal-relative:margin" coordorigin="441,544" coordsize="5553,1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Commonwealth Coat of Arms" style="position:absolute;left:441;top:544;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">
                  <v:imagedata r:id="rId13" o:title="Commonwealth Coat of Arms"/>
                </v:shape>
                <v:shapetype id="_x0000_t202" coordsize="21600,21600" o:spt="202" path="m,l,21600r21600,l21600,xe">
                  <v:stroke joinstyle="miter"/>
                  <v:path gradientshapeok="t" o:connecttype="rect"/>
                </v:shapetype>
                <v:shape id="Text Box 14" o:spid="_x0000_s1028" type="#_x0000_t202" alt="Australian Government, Industry, Science and Resources portfolio, IP Australia&#10;&#10;" style="position:absolute;left:1749;top:692;width:424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395"/>
                        </w:tblGrid>
                        <w:tr w:rsidR="008A2166" w:rsidRPr="00E6260A" w14:paraId="1F6C3024" w14:textId="77777777">
                          <w:trPr>
                            <w:trHeight w:hRule="exact" w:val="340"/>
                          </w:trPr>
                          <w:tc>
                            <w:tcPr>
                              <w:tcW w:w="4395" w:type="dxa"/>
                            </w:tcPr>
                            <w:p w14:paraId="1C55B778" w14:textId="77777777" w:rsidR="008A2166" w:rsidRPr="00016586" w:rsidRDefault="008A216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8A2166" w:rsidRPr="00573115" w14:paraId="7E866026" w14:textId="77777777">
                          <w:trPr>
                            <w:trHeight w:hRule="exact" w:val="376"/>
                          </w:trPr>
                          <w:tc>
                            <w:tcPr>
                              <w:tcW w:w="4395" w:type="dxa"/>
                            </w:tcPr>
                            <w:p w14:paraId="147F9BBD" w14:textId="77777777" w:rsidR="008A2166" w:rsidRPr="00016586" w:rsidRDefault="008A2166">
                              <w:pPr>
                                <w:rPr>
                                  <w:rFonts w:ascii="Times New Roman" w:hAnsi="Times New Roman" w:cs="Times New Roman"/>
                                  <w:bCs/>
                                  <w:i/>
                                  <w:sz w:val="24"/>
                                  <w:szCs w:val="24"/>
                                </w:rPr>
                              </w:pPr>
                              <w:r>
                                <w:rPr>
                                  <w:rFonts w:ascii="Times New Roman" w:hAnsi="Times New Roman" w:cs="Times New Roman"/>
                                  <w:sz w:val="24"/>
                                  <w:szCs w:val="24"/>
                                </w:rPr>
                                <w:t>Industry, Science and Resources portfolio</w:t>
                              </w:r>
                            </w:p>
                          </w:tc>
                        </w:tr>
                        <w:tr w:rsidR="008A2166" w:rsidRPr="00016586" w14:paraId="75FE2AF5" w14:textId="77777777">
                          <w:trPr>
                            <w:trHeight w:hRule="exact" w:val="376"/>
                          </w:trPr>
                          <w:tc>
                            <w:tcPr>
                              <w:tcW w:w="4395" w:type="dxa"/>
                            </w:tcPr>
                            <w:p w14:paraId="04237E61" w14:textId="77777777" w:rsidR="008A2166" w:rsidRPr="00016586" w:rsidRDefault="008A2166">
                              <w:pPr>
                                <w:rPr>
                                  <w:rFonts w:ascii="Times New Roman" w:hAnsi="Times New Roman" w:cs="Times New Roman"/>
                                  <w:bCs/>
                                  <w:i/>
                                  <w:sz w:val="24"/>
                                  <w:szCs w:val="24"/>
                                </w:rPr>
                              </w:pPr>
                              <w:r>
                                <w:rPr>
                                  <w:rFonts w:ascii="Times New Roman" w:hAnsi="Times New Roman" w:cs="Times New Roman"/>
                                  <w:sz w:val="24"/>
                                  <w:szCs w:val="24"/>
                                </w:rPr>
                                <w:t>IP Australia</w:t>
                              </w:r>
                            </w:p>
                            <w:p w14:paraId="60B40A5B" w14:textId="77777777" w:rsidR="008A2166" w:rsidRPr="00016586" w:rsidRDefault="008A2166">
                              <w:pPr>
                                <w:rPr>
                                  <w:rFonts w:ascii="Times New Roman" w:hAnsi="Times New Roman" w:cs="Times New Roman"/>
                                  <w:sz w:val="24"/>
                                  <w:szCs w:val="24"/>
                                </w:rPr>
                              </w:pPr>
                            </w:p>
                          </w:tc>
                        </w:tr>
                      </w:tbl>
                      <w:p w14:paraId="32C2FA68" w14:textId="77777777" w:rsidR="008A2166" w:rsidRDefault="008A2166" w:rsidP="008A2166"/>
                    </w:txbxContent>
                  </v:textbox>
                </v:shape>
                <w10:wrap anchorx="margin"/>
              </v:group>
            </w:pict>
          </mc:Fallback>
        </mc:AlternateContent>
      </w:r>
      <w:r>
        <w:t>345Checking</w:t>
      </w:r>
    </w:p>
    <w:p w14:paraId="6EF90ED1" w14:textId="58F308A7" w:rsidR="00E50F6D" w:rsidRDefault="008A2166" w:rsidP="004E33EE">
      <w:pPr>
        <w:pStyle w:val="Title"/>
        <w:spacing w:before="2040"/>
        <w:jc w:val="center"/>
        <w:rPr>
          <w:color w:val="2F5496" w:themeColor="accent1" w:themeShade="BF"/>
        </w:rPr>
      </w:pPr>
      <w:bookmarkStart w:id="10" w:name="OLE_LINK4"/>
      <w:bookmarkStart w:id="11" w:name="OLE_LINK5"/>
      <w:r w:rsidRPr="00FB5AF2">
        <w:rPr>
          <w:color w:val="2F5496" w:themeColor="accent1" w:themeShade="BF"/>
        </w:rPr>
        <w:t>COST RECOVERY IMPLEMENTATION STATEMENT</w:t>
      </w:r>
    </w:p>
    <w:p w14:paraId="32122114" w14:textId="528C6484" w:rsidR="008A2166" w:rsidRPr="006F7229" w:rsidRDefault="008A2166" w:rsidP="004E33EE">
      <w:pPr>
        <w:spacing w:before="720"/>
        <w:jc w:val="center"/>
        <w:rPr>
          <w:sz w:val="48"/>
          <w:szCs w:val="48"/>
        </w:rPr>
      </w:pPr>
      <w:r w:rsidRPr="006F7229">
        <w:rPr>
          <w:sz w:val="48"/>
          <w:szCs w:val="48"/>
        </w:rPr>
        <w:t>IP Australia</w:t>
      </w:r>
    </w:p>
    <w:bookmarkEnd w:id="10"/>
    <w:bookmarkEnd w:id="11"/>
    <w:p w14:paraId="7C8BD953" w14:textId="6380A56A" w:rsidR="008A2166" w:rsidRPr="0049314F" w:rsidRDefault="008A2166" w:rsidP="004E33EE">
      <w:pPr>
        <w:pStyle w:val="Pa12"/>
        <w:spacing w:before="480"/>
        <w:jc w:val="center"/>
        <w:rPr>
          <w:rFonts w:asciiTheme="minorHAnsi" w:hAnsiTheme="minorHAnsi"/>
          <w:b/>
          <w:sz w:val="32"/>
          <w:szCs w:val="32"/>
          <w:lang w:val="en-AU"/>
        </w:rPr>
      </w:pPr>
      <w:r>
        <w:rPr>
          <w:rFonts w:asciiTheme="minorHAnsi" w:hAnsiTheme="minorHAnsi" w:cs="Times New Roman"/>
          <w:b/>
          <w:bCs/>
          <w:sz w:val="32"/>
          <w:szCs w:val="32"/>
          <w:lang w:val="en-AU"/>
        </w:rPr>
        <w:t>Patents, Trade Marks, Designs, Plant Breeder’s Rights, Trans-Tasman IP Attorney System</w:t>
      </w:r>
    </w:p>
    <w:p w14:paraId="72F82D46" w14:textId="77777777" w:rsidR="00E50F6D" w:rsidRDefault="0001506F" w:rsidP="004E33EE">
      <w:pPr>
        <w:pStyle w:val="Pa4"/>
        <w:widowControl/>
        <w:autoSpaceDE/>
        <w:autoSpaceDN/>
        <w:adjustRightInd/>
        <w:spacing w:before="240" w:after="480" w:line="240" w:lineRule="auto"/>
        <w:jc w:val="center"/>
        <w:rPr>
          <w:rFonts w:asciiTheme="minorHAnsi" w:hAnsiTheme="minorHAnsi"/>
          <w:b/>
          <w:iCs/>
          <w:sz w:val="32"/>
          <w:szCs w:val="32"/>
          <w:lang w:val="en-AU"/>
        </w:rPr>
      </w:pPr>
      <w:r>
        <w:rPr>
          <w:rFonts w:asciiTheme="minorHAnsi" w:hAnsiTheme="minorHAnsi"/>
          <w:b/>
          <w:sz w:val="32"/>
          <w:szCs w:val="32"/>
          <w:lang w:val="en-AU"/>
        </w:rPr>
        <w:t>2</w:t>
      </w:r>
      <w:r w:rsidR="008A2166">
        <w:rPr>
          <w:rFonts w:asciiTheme="minorHAnsi" w:hAnsiTheme="minorHAnsi"/>
          <w:b/>
          <w:sz w:val="32"/>
          <w:szCs w:val="32"/>
          <w:lang w:val="en-AU"/>
        </w:rPr>
        <w:t>024-25</w:t>
      </w:r>
    </w:p>
    <w:p w14:paraId="2847BEA7" w14:textId="77777777" w:rsidR="00E50F6D" w:rsidRDefault="008A2166" w:rsidP="008A2166">
      <w:pPr>
        <w:rPr>
          <w:rFonts w:eastAsia="SimSun"/>
        </w:rPr>
      </w:pPr>
      <w:r w:rsidRPr="006B567F">
        <w:rPr>
          <w:rFonts w:eastAsia="SimSun"/>
        </w:rPr>
        <w:t xml:space="preserve">Charging for regulatory activity involves government entities charging individuals or organisations in the non-government sector some or all the minimum efficient costs of a specific government activity. The </w:t>
      </w:r>
      <w:r>
        <w:rPr>
          <w:rFonts w:eastAsia="SimSun"/>
        </w:rPr>
        <w:t xml:space="preserve">Cost Recovery Policy along with the </w:t>
      </w:r>
      <w:r w:rsidRPr="006B567F">
        <w:rPr>
          <w:rFonts w:eastAsia="SimSun"/>
        </w:rPr>
        <w:t xml:space="preserve">Australian Government Charging </w:t>
      </w:r>
      <w:r w:rsidRPr="00AE5E7B">
        <w:rPr>
          <w:rFonts w:eastAsia="SimSun"/>
        </w:rPr>
        <w:t>Framework (the Charging Framework)</w:t>
      </w:r>
      <w:r w:rsidRPr="006B567F">
        <w:rPr>
          <w:rFonts w:eastAsia="SimSun"/>
        </w:rPr>
        <w:t xml:space="preserve"> sets out the </w:t>
      </w:r>
      <w:r>
        <w:rPr>
          <w:rFonts w:eastAsia="SimSun"/>
        </w:rPr>
        <w:t>policy</w:t>
      </w:r>
      <w:r w:rsidRPr="006B567F">
        <w:rPr>
          <w:rFonts w:eastAsia="SimSun"/>
        </w:rPr>
        <w:t xml:space="preserve"> under which government entities design, implement and review charging for regulatory activities. The CRIS is the public document to ensure the transparency and accountability for the level of the charging and to demonstrate that the purpose for charg</w:t>
      </w:r>
      <w:r>
        <w:rPr>
          <w:rFonts w:eastAsia="SimSun"/>
        </w:rPr>
        <w:t>ing</w:t>
      </w:r>
      <w:r w:rsidRPr="006B567F">
        <w:rPr>
          <w:rFonts w:eastAsia="SimSun"/>
        </w:rPr>
        <w:t xml:space="preserve">, as decided by </w:t>
      </w:r>
      <w:r w:rsidR="00140945">
        <w:rPr>
          <w:rFonts w:eastAsia="SimSun"/>
        </w:rPr>
        <w:t>g</w:t>
      </w:r>
      <w:r w:rsidRPr="006B567F">
        <w:rPr>
          <w:rFonts w:eastAsia="SimSun"/>
        </w:rPr>
        <w:t>overnment, is being achieved.</w:t>
      </w:r>
    </w:p>
    <w:p w14:paraId="6E3D7599" w14:textId="4167056B" w:rsidR="008A2166" w:rsidRDefault="008A2166" w:rsidP="008A2166">
      <w:pPr>
        <w:sectPr w:rsidR="008A2166" w:rsidSect="001435F4">
          <w:headerReference w:type="even" r:id="rId14"/>
          <w:footerReference w:type="default" r:id="rId15"/>
          <w:pgSz w:w="11906" w:h="16838"/>
          <w:pgMar w:top="1134" w:right="1440" w:bottom="709" w:left="1276" w:header="708" w:footer="465" w:gutter="0"/>
          <w:pgNumType w:start="1"/>
          <w:cols w:space="708"/>
          <w:titlePg/>
          <w:docGrid w:linePitch="360"/>
        </w:sectPr>
      </w:pPr>
    </w:p>
    <w:p w14:paraId="46D563D8" w14:textId="77777777" w:rsidR="008A2166" w:rsidRPr="002F1B4B" w:rsidRDefault="008A2166" w:rsidP="00101A7A">
      <w:pPr>
        <w:pStyle w:val="Heading1"/>
      </w:pPr>
      <w:bookmarkStart w:id="12" w:name="_Toc146552196"/>
      <w:r w:rsidRPr="002F1B4B">
        <w:lastRenderedPageBreak/>
        <w:t>INTRODUCTION</w:t>
      </w:r>
      <w:bookmarkEnd w:id="12"/>
    </w:p>
    <w:p w14:paraId="036439A7" w14:textId="77777777" w:rsidR="008A2166" w:rsidRDefault="008A2166" w:rsidP="00494778">
      <w:pPr>
        <w:pStyle w:val="Heading2"/>
      </w:pPr>
      <w:r>
        <w:t xml:space="preserve"> </w:t>
      </w:r>
      <w:bookmarkStart w:id="13" w:name="_Toc146552197"/>
      <w:r>
        <w:t>Purpose of the CRIS</w:t>
      </w:r>
      <w:bookmarkEnd w:id="13"/>
    </w:p>
    <w:p w14:paraId="3F5119D0" w14:textId="5BE13B66" w:rsidR="008A2166" w:rsidRDefault="008A2166" w:rsidP="008A2166">
      <w:pPr>
        <w:spacing w:line="276" w:lineRule="auto"/>
      </w:pPr>
      <w:r w:rsidRPr="00907BC4">
        <w:t>This CRIS provides information on how IP Australia implements cost recovery charging for the administration of patent, trade mark, industrial design, and plant breeder’s rights</w:t>
      </w:r>
      <w:r w:rsidR="00980F9B">
        <w:t xml:space="preserve"> </w:t>
      </w:r>
      <w:r w:rsidR="00624ED0">
        <w:t>(PBR)</w:t>
      </w:r>
      <w:r w:rsidRPr="00907BC4">
        <w:t xml:space="preserve"> legislation, as well as the administration of the Trans-Tasman IP Attorneys system. It reports actual financial and non-financial performance information for the 5 cost recovered activities and contains financial and demand forecasts for 2024-25 and three forward years. </w:t>
      </w:r>
      <w:r>
        <w:t xml:space="preserve">This CRIS was published following public consultation and consideration of the proposed fee amendments, and Executive Council approval of amendments to the respective legislation. </w:t>
      </w:r>
      <w:r w:rsidRPr="00907BC4">
        <w:t>IP Australia will maintain the CRIS until the activity or cost recovery for the activity has been discontinued.</w:t>
      </w:r>
    </w:p>
    <w:p w14:paraId="51ABD63B" w14:textId="104F8334" w:rsidR="008A2166" w:rsidRDefault="008A2166" w:rsidP="00494778">
      <w:pPr>
        <w:pStyle w:val="Heading2"/>
      </w:pPr>
      <w:bookmarkStart w:id="14" w:name="_Toc146552198"/>
      <w:r>
        <w:t xml:space="preserve">IP Australia’s </w:t>
      </w:r>
      <w:r w:rsidR="00291841">
        <w:t>r</w:t>
      </w:r>
      <w:r>
        <w:t xml:space="preserve">ole and </w:t>
      </w:r>
      <w:r w:rsidR="00291841">
        <w:t>f</w:t>
      </w:r>
      <w:r>
        <w:t>unctions</w:t>
      </w:r>
      <w:bookmarkEnd w:id="14"/>
    </w:p>
    <w:p w14:paraId="50B4A746" w14:textId="196AF6D1" w:rsidR="008A2166" w:rsidRDefault="008A2166" w:rsidP="008A2166">
      <w:pPr>
        <w:spacing w:line="276" w:lineRule="auto"/>
      </w:pPr>
      <w:r w:rsidRPr="009512E7">
        <w:t>IP Australia administers</w:t>
      </w:r>
      <w:r>
        <w:t xml:space="preserve"> the </w:t>
      </w:r>
      <w:r w:rsidRPr="009512E7">
        <w:t>registrable intellectual property (IP) rights system</w:t>
      </w:r>
      <w:r>
        <w:t xml:space="preserve"> in Australia</w:t>
      </w:r>
      <w:r w:rsidRPr="009512E7">
        <w:t xml:space="preserve">, including </w:t>
      </w:r>
      <w:r>
        <w:t>patents</w:t>
      </w:r>
      <w:r w:rsidRPr="009512E7">
        <w:t xml:space="preserve">, </w:t>
      </w:r>
      <w:proofErr w:type="spellStart"/>
      <w:r w:rsidRPr="009512E7">
        <w:t xml:space="preserve">trade </w:t>
      </w:r>
      <w:r>
        <w:t>marks</w:t>
      </w:r>
      <w:proofErr w:type="spellEnd"/>
      <w:r>
        <w:t>, designs</w:t>
      </w:r>
      <w:r w:rsidR="00F67F8E">
        <w:t xml:space="preserve"> and</w:t>
      </w:r>
      <w:r w:rsidRPr="009512E7">
        <w:t xml:space="preserve"> </w:t>
      </w:r>
      <w:r w:rsidR="00980F9B">
        <w:t>PBR</w:t>
      </w:r>
      <w:r w:rsidRPr="009512E7">
        <w:t xml:space="preserve">. </w:t>
      </w:r>
      <w:r>
        <w:t>I</w:t>
      </w:r>
      <w:r w:rsidRPr="005D4587">
        <w:t xml:space="preserve">P Australia’s strategic direction is outlined in the </w:t>
      </w:r>
      <w:r>
        <w:t>Corporate Plan</w:t>
      </w:r>
      <w:r w:rsidRPr="005D4587">
        <w:t xml:space="preserve"> </w:t>
      </w:r>
      <w:r w:rsidRPr="00127B4B">
        <w:t xml:space="preserve">and includes the agency's </w:t>
      </w:r>
      <w:r>
        <w:t xml:space="preserve">purpose, which is to </w:t>
      </w:r>
      <w:r w:rsidRPr="00432426">
        <w:t>enable Australians to benefit from great ideas by providing a world-leading IP system</w:t>
      </w:r>
      <w:r>
        <w:t xml:space="preserve">. </w:t>
      </w:r>
      <w:r w:rsidRPr="00CB5B5F">
        <w:t>We are committed to ensuring that the IP system remains modern, effective</w:t>
      </w:r>
      <w:r w:rsidR="005E394A">
        <w:t xml:space="preserve"> and</w:t>
      </w:r>
      <w:r w:rsidRPr="00CB5B5F">
        <w:t xml:space="preserve"> efficient.</w:t>
      </w:r>
    </w:p>
    <w:p w14:paraId="3D820D35" w14:textId="77777777" w:rsidR="008A2166" w:rsidRPr="005D4587" w:rsidRDefault="008A2166" w:rsidP="008A2166">
      <w:pPr>
        <w:pStyle w:val="pf0"/>
        <w:spacing w:line="276" w:lineRule="auto"/>
        <w:rPr>
          <w:rFonts w:asciiTheme="minorHAnsi" w:eastAsiaTheme="minorEastAsia" w:hAnsiTheme="minorHAnsi" w:cstheme="minorBidi"/>
          <w:sz w:val="20"/>
          <w:szCs w:val="20"/>
          <w:lang w:eastAsia="en-US"/>
        </w:rPr>
      </w:pPr>
      <w:r w:rsidRPr="005D4587">
        <w:rPr>
          <w:rFonts w:asciiTheme="minorHAnsi" w:eastAsiaTheme="minorEastAsia" w:hAnsiTheme="minorHAnsi" w:cstheme="minorBidi"/>
          <w:sz w:val="20"/>
          <w:szCs w:val="20"/>
          <w:lang w:eastAsia="en-US"/>
        </w:rPr>
        <w:t xml:space="preserve">IP Australia promotes awareness of </w:t>
      </w:r>
      <w:r>
        <w:rPr>
          <w:rFonts w:asciiTheme="minorHAnsi" w:eastAsiaTheme="minorEastAsia" w:hAnsiTheme="minorHAnsi" w:cstheme="minorBidi"/>
          <w:sz w:val="20"/>
          <w:szCs w:val="20"/>
          <w:lang w:eastAsia="en-US"/>
        </w:rPr>
        <w:t>intellectual property</w:t>
      </w:r>
      <w:r w:rsidRPr="005D4587">
        <w:rPr>
          <w:rFonts w:asciiTheme="minorHAnsi" w:eastAsiaTheme="minorEastAsia" w:hAnsiTheme="minorHAnsi" w:cstheme="minorBidi"/>
          <w:sz w:val="20"/>
          <w:szCs w:val="20"/>
          <w:lang w:eastAsia="en-US"/>
        </w:rPr>
        <w:t>, regulates the IP attorney profession, provides advice to government on policy relating to the IP rights system, and contributes to bilateral and multilateral negotiations and the development of cooperation programs to support the global IP system.</w:t>
      </w:r>
    </w:p>
    <w:p w14:paraId="41418FDB" w14:textId="77777777" w:rsidR="008A2166" w:rsidRPr="009512E7" w:rsidRDefault="008A2166" w:rsidP="008A2166">
      <w:pPr>
        <w:spacing w:after="0" w:line="276" w:lineRule="auto"/>
      </w:pPr>
      <w:r w:rsidRPr="009512E7">
        <w:t>In 2023-24, IP Australia operated as a non-corporate Commonwealth entity within the Industry, Science and Resources portfolio</w:t>
      </w:r>
      <w:r>
        <w:t xml:space="preserve"> and </w:t>
      </w:r>
      <w:r w:rsidRPr="009512E7">
        <w:t>recovers more than 98 per cent of its costs by charging fees for its IP rights services in accordance with the Australian Government Charging Framework.</w:t>
      </w:r>
    </w:p>
    <w:p w14:paraId="513CBFE7" w14:textId="39ADBC9C" w:rsidR="008A2166" w:rsidRDefault="008A2166" w:rsidP="00494778">
      <w:pPr>
        <w:pStyle w:val="Heading2"/>
      </w:pPr>
      <w:bookmarkStart w:id="15" w:name="_Toc146552199"/>
      <w:r>
        <w:t xml:space="preserve">IP Australia’s </w:t>
      </w:r>
      <w:r w:rsidR="00291841">
        <w:t>p</w:t>
      </w:r>
      <w:r>
        <w:t>urpose.</w:t>
      </w:r>
      <w:bookmarkEnd w:id="15"/>
    </w:p>
    <w:p w14:paraId="2B0BE789" w14:textId="77777777" w:rsidR="008A2166" w:rsidRPr="00AA3753" w:rsidRDefault="008A2166" w:rsidP="008A2166">
      <w:pPr>
        <w:spacing w:line="276" w:lineRule="auto"/>
      </w:pPr>
      <w:r w:rsidRPr="00AA3753">
        <w:t xml:space="preserve">IP Australia's purpose is to </w:t>
      </w:r>
      <w:r w:rsidRPr="0057028C">
        <w:t>enable Australians to benefit from great ideas by providing a world-leading IP system.</w:t>
      </w:r>
    </w:p>
    <w:p w14:paraId="02BE46D8" w14:textId="77777777" w:rsidR="008A2166" w:rsidRPr="001E5961" w:rsidRDefault="008A2166" w:rsidP="008A2166">
      <w:pPr>
        <w:spacing w:line="276" w:lineRule="auto"/>
        <w:rPr>
          <w:rFonts w:ascii="Calibri" w:eastAsia="Calibri" w:hAnsi="Calibri" w:cs="Calibri"/>
        </w:rPr>
      </w:pPr>
      <w:r w:rsidRPr="5DFC1554">
        <w:rPr>
          <w:rFonts w:ascii="Calibri" w:eastAsia="Calibri" w:hAnsi="Calibri" w:cs="Calibri"/>
        </w:rPr>
        <w:t>We deliver IP rights administration and professional registration services, increase awareness of the IP system, and shape the IP system domestically and internationally to help Australian innovation and business.</w:t>
      </w:r>
    </w:p>
    <w:p w14:paraId="58B0784D" w14:textId="77777777" w:rsidR="008A2166" w:rsidRPr="001E5961" w:rsidRDefault="008A2166" w:rsidP="008A2166">
      <w:pPr>
        <w:spacing w:line="276" w:lineRule="auto"/>
        <w:rPr>
          <w:rFonts w:ascii="Calibri" w:eastAsia="Calibri" w:hAnsi="Calibri" w:cs="Calibri"/>
        </w:rPr>
      </w:pPr>
      <w:r w:rsidRPr="5DFC1554">
        <w:rPr>
          <w:rFonts w:ascii="Calibri" w:eastAsia="Calibri" w:hAnsi="Calibri" w:cs="Calibri"/>
        </w:rPr>
        <w:t xml:space="preserve">We are committed to building the capability of our people and our organisation to support this important work. Delivery of these elements enables us to provide an effective framework for </w:t>
      </w:r>
      <w:r w:rsidRPr="4D9B9DC6">
        <w:rPr>
          <w:rFonts w:ascii="Calibri" w:eastAsia="Calibri" w:hAnsi="Calibri" w:cs="Calibri"/>
        </w:rPr>
        <w:t>the protection</w:t>
      </w:r>
      <w:r w:rsidRPr="5DFC1554">
        <w:rPr>
          <w:rFonts w:ascii="Calibri" w:eastAsia="Calibri" w:hAnsi="Calibri" w:cs="Calibri"/>
        </w:rPr>
        <w:t xml:space="preserve"> of innovative products and brands. </w:t>
      </w:r>
      <w:r w:rsidRPr="6AADCDAB">
        <w:rPr>
          <w:rFonts w:ascii="Calibri" w:eastAsia="Calibri" w:hAnsi="Calibri" w:cs="Calibri"/>
        </w:rPr>
        <w:t xml:space="preserve">This </w:t>
      </w:r>
      <w:r>
        <w:rPr>
          <w:rFonts w:ascii="Calibri" w:eastAsia="Calibri" w:hAnsi="Calibri" w:cs="Calibri"/>
        </w:rPr>
        <w:t xml:space="preserve">protection </w:t>
      </w:r>
      <w:r w:rsidRPr="6AADCDAB">
        <w:rPr>
          <w:rFonts w:ascii="Calibri" w:eastAsia="Calibri" w:hAnsi="Calibri" w:cs="Calibri"/>
        </w:rPr>
        <w:t xml:space="preserve">creates a secure </w:t>
      </w:r>
      <w:r w:rsidRPr="00A75DFE">
        <w:rPr>
          <w:rFonts w:ascii="Calibri" w:eastAsia="Calibri" w:hAnsi="Calibri" w:cs="Calibri"/>
        </w:rPr>
        <w:t xml:space="preserve">environment, </w:t>
      </w:r>
      <w:r w:rsidRPr="00A75DFE">
        <w:t xml:space="preserve">so our customers have trust in the value of IP, have confidence in our ability to meet their needs </w:t>
      </w:r>
      <w:r w:rsidRPr="00A75DFE">
        <w:rPr>
          <w:rFonts w:ascii="Calibri" w:eastAsia="Calibri" w:hAnsi="Calibri" w:cs="Calibri"/>
        </w:rPr>
        <w:t xml:space="preserve">for investment in innovation, enables firms to build brand value and business reputation, and encourages the disclosure of inventions </w:t>
      </w:r>
      <w:r w:rsidRPr="5DFC1554">
        <w:rPr>
          <w:rFonts w:ascii="Calibri" w:eastAsia="Calibri" w:hAnsi="Calibri" w:cs="Calibri"/>
        </w:rPr>
        <w:t>and the transfer of knowledge and technology.</w:t>
      </w:r>
    </w:p>
    <w:p w14:paraId="765BDD67" w14:textId="4EFC586D" w:rsidR="008A2166" w:rsidRDefault="008A2166" w:rsidP="00494778">
      <w:pPr>
        <w:pStyle w:val="Heading2"/>
      </w:pPr>
      <w:bookmarkStart w:id="16" w:name="_Toc146552200"/>
      <w:r>
        <w:t>Description of the regulatory activity that is cost recovered.</w:t>
      </w:r>
      <w:bookmarkEnd w:id="16"/>
    </w:p>
    <w:p w14:paraId="4F004BBC" w14:textId="77777777" w:rsidR="008A2166" w:rsidRPr="00D967FB" w:rsidRDefault="008A2166" w:rsidP="008A2166">
      <w:pPr>
        <w:jc w:val="both"/>
      </w:pPr>
      <w:r w:rsidRPr="00D967FB">
        <w:t>IP Australia cost recovers against the following five activity groups</w:t>
      </w:r>
      <w:r>
        <w:t>:</w:t>
      </w:r>
    </w:p>
    <w:p w14:paraId="7C3371E1" w14:textId="77777777" w:rsidR="00BF5DE5" w:rsidRDefault="00BF5DE5" w:rsidP="008A2166">
      <w:pPr>
        <w:ind w:left="284" w:right="453"/>
        <w:jc w:val="both"/>
      </w:pPr>
      <w:r>
        <w:br w:type="page"/>
      </w:r>
    </w:p>
    <w:p w14:paraId="5966449C" w14:textId="0D39C47C" w:rsidR="008A2166" w:rsidRDefault="008A2166" w:rsidP="008A2166">
      <w:pPr>
        <w:ind w:left="284" w:right="453"/>
        <w:jc w:val="both"/>
      </w:pPr>
      <w:r>
        <w:lastRenderedPageBreak/>
        <w:t>1.</w:t>
      </w:r>
      <w:r>
        <w:tab/>
      </w:r>
      <w:r w:rsidRPr="004D054A">
        <w:rPr>
          <w:b/>
          <w:bCs/>
        </w:rPr>
        <w:t>Patents:</w:t>
      </w:r>
      <w:r>
        <w:t xml:space="preserve"> </w:t>
      </w:r>
      <w:r w:rsidRPr="00F4094D">
        <w:t xml:space="preserve">A patent is an exclusive right granted for </w:t>
      </w:r>
      <w:r>
        <w:t>any device, substance, method, or process</w:t>
      </w:r>
      <w:r w:rsidRPr="00F4094D">
        <w:t xml:space="preserve"> that allows the owner to exclude others from commercially exploiting the invention</w:t>
      </w:r>
      <w:r>
        <w:t xml:space="preserve"> for the life of the patent</w:t>
      </w:r>
      <w:r w:rsidRPr="00F4094D">
        <w:t>. Standard patents are granted for inventions that are new, useful and involve an inventive step beyond the normal progress of technology.</w:t>
      </w:r>
    </w:p>
    <w:p w14:paraId="485BC71F" w14:textId="77777777" w:rsidR="008A2166" w:rsidRDefault="008A2166" w:rsidP="008A2166">
      <w:pPr>
        <w:ind w:left="284" w:right="453"/>
        <w:jc w:val="both"/>
      </w:pPr>
      <w:r>
        <w:t>2.</w:t>
      </w:r>
      <w:r>
        <w:tab/>
      </w:r>
      <w:r w:rsidRPr="004D054A">
        <w:rPr>
          <w:b/>
          <w:bCs/>
        </w:rPr>
        <w:t>Trade Marks:</w:t>
      </w:r>
      <w:r>
        <w:t xml:space="preserve"> </w:t>
      </w:r>
      <w:proofErr w:type="spellStart"/>
      <w:r>
        <w:t>Trade marks</w:t>
      </w:r>
      <w:proofErr w:type="spellEnd"/>
      <w:r w:rsidRPr="004D2EA4">
        <w:t xml:space="preserve"> are signs used to distinguish goods or services in the market. Registering a trade mark provides an owner with the exclusive right to use the mark – or authorise others to use it – and seek relief for trade mark infringement. </w:t>
      </w:r>
      <w:r>
        <w:t>A</w:t>
      </w:r>
      <w:r w:rsidRPr="004D2EA4">
        <w:t xml:space="preserve"> trade mark </w:t>
      </w:r>
      <w:r>
        <w:t>can be for a letter, number, colour, word, phrase, sound, smell, shape, logo, picture, movement, aspect of packaging, or a combination of these</w:t>
      </w:r>
      <w:r w:rsidRPr="004D2EA4">
        <w:t xml:space="preserve"> </w:t>
      </w:r>
      <w:r>
        <w:t xml:space="preserve">but it </w:t>
      </w:r>
      <w:r w:rsidRPr="004D2EA4">
        <w:t xml:space="preserve">must be distinctive and not confusingly like an existing mark </w:t>
      </w:r>
      <w:r>
        <w:t>to be registered.</w:t>
      </w:r>
    </w:p>
    <w:p w14:paraId="121DF1B1" w14:textId="7C3EA7C6" w:rsidR="008A2166" w:rsidRDefault="008A2166" w:rsidP="008A2166">
      <w:pPr>
        <w:ind w:left="284" w:right="453"/>
        <w:jc w:val="both"/>
      </w:pPr>
      <w:r>
        <w:t>3.</w:t>
      </w:r>
      <w:r>
        <w:tab/>
      </w:r>
      <w:r w:rsidRPr="004D054A">
        <w:rPr>
          <w:b/>
          <w:bCs/>
        </w:rPr>
        <w:t>Designs:</w:t>
      </w:r>
      <w:r>
        <w:t xml:space="preserve"> </w:t>
      </w:r>
      <w:r w:rsidRPr="00B60290">
        <w:t>Design rights protect the visual features of a product that give it a unique appearance, such as its shape, pattern, configuration</w:t>
      </w:r>
      <w:r w:rsidR="00F67F8E">
        <w:t xml:space="preserve"> or</w:t>
      </w:r>
      <w:r w:rsidRPr="00B60290">
        <w:t xml:space="preserve"> ornamentation. In Australia, designs are registered without substantive examination. A design must be examined and certified by IP Australia for rights to be enforced. Additionally, the design must be new and distinctive to be eligible for protection – that is, it must be dissimilar in overall impression to designs that constitute prior art.</w:t>
      </w:r>
    </w:p>
    <w:p w14:paraId="7099F794" w14:textId="77777777" w:rsidR="008A2166" w:rsidRDefault="008A2166" w:rsidP="008A2166">
      <w:pPr>
        <w:ind w:left="284" w:right="453"/>
        <w:jc w:val="both"/>
      </w:pPr>
      <w:r>
        <w:t>4.</w:t>
      </w:r>
      <w:r>
        <w:tab/>
      </w:r>
      <w:r w:rsidRPr="004D054A">
        <w:rPr>
          <w:b/>
          <w:bCs/>
        </w:rPr>
        <w:t>Plant Breeder’s Rights:</w:t>
      </w:r>
      <w:r>
        <w:t xml:space="preserve"> </w:t>
      </w:r>
      <w:r w:rsidRPr="007A4DDD">
        <w:t>Plant breeder’s rights (PBRs) provide legal protection for new plant varieties to encourage private investment in plant breeding and commercialisation. A plant variety must be clearly identifiable and distinguishable from other varieties to be eligible for protection. It must be uniform and stable upon propagation. PBRs grant their owners an exclusive right to exclude others from commercially exploiting their new varieties for up to 25</w:t>
      </w:r>
      <w:r>
        <w:t xml:space="preserve"> </w:t>
      </w:r>
      <w:r w:rsidRPr="007A4DDD">
        <w:t>years</w:t>
      </w:r>
      <w:r>
        <w:t>.</w:t>
      </w:r>
    </w:p>
    <w:p w14:paraId="0D527EEE" w14:textId="77777777" w:rsidR="008A2166" w:rsidRDefault="008A2166" w:rsidP="008A2166">
      <w:pPr>
        <w:ind w:left="284" w:right="453"/>
        <w:jc w:val="both"/>
      </w:pPr>
      <w:r>
        <w:t>5.</w:t>
      </w:r>
      <w:r>
        <w:tab/>
      </w:r>
      <w:r w:rsidRPr="004537E6">
        <w:rPr>
          <w:b/>
          <w:bCs/>
        </w:rPr>
        <w:t>Trans-Tasman IP Attorneys system:</w:t>
      </w:r>
      <w:r w:rsidRPr="004537E6">
        <w:t xml:space="preserve"> IP Australia administers the Trans-Tasman IP Attorneys </w:t>
      </w:r>
      <w:r>
        <w:t xml:space="preserve">(TTIPA) </w:t>
      </w:r>
      <w:r w:rsidRPr="004537E6">
        <w:t>system and provides secretariat support for the Trans-Tasman IP Attorneys Board and the Trans-Tasman IP Attorneys Disciplinary Tribunal.</w:t>
      </w:r>
    </w:p>
    <w:p w14:paraId="1BA59165" w14:textId="7972D621" w:rsidR="008A2166" w:rsidRDefault="008A2166" w:rsidP="00494778">
      <w:pPr>
        <w:pStyle w:val="Heading2"/>
      </w:pPr>
      <w:bookmarkStart w:id="17" w:name="_Toc146552201"/>
      <w:r>
        <w:t>IP Australia’s customers and reason for charging.</w:t>
      </w:r>
      <w:bookmarkEnd w:id="17"/>
    </w:p>
    <w:p w14:paraId="36C9113E" w14:textId="207EC073" w:rsidR="008A2166" w:rsidRDefault="008A2166" w:rsidP="008A2166">
      <w:pPr>
        <w:jc w:val="both"/>
      </w:pPr>
      <w:r>
        <w:t>IP Australia’s customers range from large national and international businesses, research companies, small to medium enterprises (SMEs), individual self-filers and inventors. IP Australia’s customer base also includes attorneys and other IP professionals. Customers seeking to protect their intellectual property pay IP Australia fees for filing an application, examination, renewal, and hearings as required.</w:t>
      </w:r>
    </w:p>
    <w:p w14:paraId="5CDB51A2" w14:textId="3E9B17F1" w:rsidR="008A2166" w:rsidRDefault="008A2166" w:rsidP="008A2166">
      <w:pPr>
        <w:jc w:val="both"/>
      </w:pPr>
      <w:r>
        <w:t>Most patent customers are non-residents and file their patent application via an international route, rather than filing directly with IP Australia. Most utilise the service of a professional attorney to assist with their application. A large proportion of trade marks customers are SMEs, and many chose to self-file rather than utilise the services of a professional attorney. Also, most trade mark customers apply for their rights directly with IP Australia rather than as part of international arrangements.</w:t>
      </w:r>
    </w:p>
    <w:p w14:paraId="3D944344" w14:textId="5EF23B29" w:rsidR="008A2166" w:rsidRDefault="008A2166" w:rsidP="008A2166">
      <w:pPr>
        <w:jc w:val="both"/>
      </w:pPr>
      <w:r>
        <w:t>Most patent</w:t>
      </w:r>
      <w:r w:rsidRPr="00525E6C">
        <w:t xml:space="preserve"> </w:t>
      </w:r>
      <w:r>
        <w:t xml:space="preserve">applications, </w:t>
      </w:r>
      <w:r w:rsidRPr="00525E6C">
        <w:t xml:space="preserve">and over half of PBR and design applications received by IP Australia originate from </w:t>
      </w:r>
      <w:r>
        <w:t>non-resident customers</w:t>
      </w:r>
      <w:r w:rsidRPr="00525E6C">
        <w:t xml:space="preserve">, while over half of trade mark applications </w:t>
      </w:r>
      <w:r>
        <w:t xml:space="preserve">are filed by </w:t>
      </w:r>
      <w:r w:rsidRPr="00525E6C">
        <w:t>Australia</w:t>
      </w:r>
      <w:r>
        <w:t>n residents</w:t>
      </w:r>
      <w:r w:rsidRPr="00525E6C">
        <w:t>. Table 1 identifies the average customer origin for IP rights filed in Australia for each of the four IP rights.</w:t>
      </w:r>
    </w:p>
    <w:p w14:paraId="7BE55241" w14:textId="77777777" w:rsidR="008A2166" w:rsidRDefault="008A2166" w:rsidP="008A2166">
      <w:pPr>
        <w:jc w:val="both"/>
      </w:pPr>
      <w:r>
        <w:t>Customers utilising IP Australia’s services are clearly identifiable making regulatory cost recovery the most appropriate charging model. Fees are set to recover the costs of activities that can be directly attributed to these customers.</w:t>
      </w:r>
    </w:p>
    <w:p w14:paraId="55837352" w14:textId="77777777" w:rsidR="008C5A67" w:rsidRDefault="008C5A67">
      <w:r>
        <w:br w:type="page"/>
      </w:r>
    </w:p>
    <w:p w14:paraId="138A6078" w14:textId="0DD48018" w:rsidR="008A2166" w:rsidRDefault="008A2166" w:rsidP="00A132E1">
      <w:pPr>
        <w:keepNext/>
        <w:spacing w:line="240" w:lineRule="auto"/>
        <w:jc w:val="both"/>
      </w:pPr>
      <w:r w:rsidRPr="00B57936">
        <w:lastRenderedPageBreak/>
        <w:t xml:space="preserve">Table 1: Customer origin </w:t>
      </w:r>
      <w:r>
        <w:t>for</w:t>
      </w:r>
      <w:r w:rsidRPr="00B57936">
        <w:t xml:space="preserve"> IP rights fil</w:t>
      </w:r>
      <w:r>
        <w:t>ed</w:t>
      </w:r>
      <w:r w:rsidRPr="00B57936">
        <w:t xml:space="preserve"> in Australia during 20</w:t>
      </w:r>
      <w:r>
        <w:t>23</w:t>
      </w:r>
    </w:p>
    <w:tbl>
      <w:tblPr>
        <w:tblStyle w:val="TableGridLight"/>
        <w:tblW w:w="0" w:type="auto"/>
        <w:tblLook w:val="04A0" w:firstRow="1" w:lastRow="0" w:firstColumn="1" w:lastColumn="0" w:noHBand="0" w:noVBand="1"/>
      </w:tblPr>
      <w:tblGrid>
        <w:gridCol w:w="3360"/>
        <w:gridCol w:w="1932"/>
        <w:gridCol w:w="1933"/>
      </w:tblGrid>
      <w:tr w:rsidR="008A2166" w14:paraId="0E6A0E0D" w14:textId="77777777">
        <w:trPr>
          <w:trHeight w:val="227"/>
        </w:trPr>
        <w:tc>
          <w:tcPr>
            <w:tcW w:w="3360" w:type="dxa"/>
            <w:tcBorders>
              <w:top w:val="nil"/>
              <w:left w:val="nil"/>
            </w:tcBorders>
          </w:tcPr>
          <w:p w14:paraId="3EA391B1" w14:textId="77777777" w:rsidR="008A2166" w:rsidRDefault="008A2166">
            <w:pPr>
              <w:spacing w:after="40"/>
              <w:jc w:val="both"/>
            </w:pPr>
          </w:p>
        </w:tc>
        <w:tc>
          <w:tcPr>
            <w:tcW w:w="1932" w:type="dxa"/>
            <w:shd w:val="clear" w:color="auto" w:fill="D9E2F3" w:themeFill="accent1" w:themeFillTint="33"/>
          </w:tcPr>
          <w:p w14:paraId="241912B0" w14:textId="77777777" w:rsidR="008A2166" w:rsidRPr="00525E6C" w:rsidRDefault="008A2166">
            <w:pPr>
              <w:spacing w:after="40"/>
              <w:jc w:val="center"/>
              <w:rPr>
                <w:b/>
                <w:bCs/>
              </w:rPr>
            </w:pPr>
            <w:r w:rsidRPr="00525E6C">
              <w:rPr>
                <w:b/>
                <w:bCs/>
              </w:rPr>
              <w:t>Resident</w:t>
            </w:r>
          </w:p>
        </w:tc>
        <w:tc>
          <w:tcPr>
            <w:tcW w:w="1933" w:type="dxa"/>
            <w:shd w:val="clear" w:color="auto" w:fill="D9E2F3" w:themeFill="accent1" w:themeFillTint="33"/>
          </w:tcPr>
          <w:p w14:paraId="70EEA62D" w14:textId="77777777" w:rsidR="008A2166" w:rsidRPr="00525E6C" w:rsidRDefault="008A2166">
            <w:pPr>
              <w:spacing w:after="40"/>
              <w:jc w:val="center"/>
              <w:rPr>
                <w:b/>
                <w:bCs/>
              </w:rPr>
            </w:pPr>
            <w:r w:rsidRPr="00525E6C">
              <w:rPr>
                <w:b/>
                <w:bCs/>
              </w:rPr>
              <w:t>Non-resident</w:t>
            </w:r>
          </w:p>
        </w:tc>
      </w:tr>
      <w:tr w:rsidR="008A2166" w14:paraId="27F26C65" w14:textId="77777777">
        <w:trPr>
          <w:trHeight w:val="227"/>
        </w:trPr>
        <w:tc>
          <w:tcPr>
            <w:tcW w:w="3360" w:type="dxa"/>
            <w:vAlign w:val="bottom"/>
          </w:tcPr>
          <w:p w14:paraId="15A9CC63" w14:textId="77777777" w:rsidR="008A2166" w:rsidRPr="00100886" w:rsidRDefault="008A2166">
            <w:pPr>
              <w:spacing w:after="40"/>
            </w:pPr>
            <w:r w:rsidRPr="00100886">
              <w:t>Patents</w:t>
            </w:r>
          </w:p>
        </w:tc>
        <w:tc>
          <w:tcPr>
            <w:tcW w:w="1932" w:type="dxa"/>
            <w:vAlign w:val="bottom"/>
          </w:tcPr>
          <w:p w14:paraId="2E12A644" w14:textId="77777777" w:rsidR="008A2166" w:rsidRPr="00525E6C" w:rsidRDefault="008A2166">
            <w:pPr>
              <w:spacing w:after="40"/>
              <w:jc w:val="center"/>
            </w:pPr>
            <w:r w:rsidRPr="00525E6C">
              <w:t>8%</w:t>
            </w:r>
          </w:p>
        </w:tc>
        <w:tc>
          <w:tcPr>
            <w:tcW w:w="1933" w:type="dxa"/>
            <w:vAlign w:val="bottom"/>
          </w:tcPr>
          <w:p w14:paraId="1C81504D" w14:textId="77777777" w:rsidR="008A2166" w:rsidRPr="00525E6C" w:rsidRDefault="008A2166">
            <w:pPr>
              <w:spacing w:after="40"/>
              <w:jc w:val="center"/>
            </w:pPr>
            <w:r w:rsidRPr="00525E6C">
              <w:t>92%</w:t>
            </w:r>
          </w:p>
        </w:tc>
      </w:tr>
      <w:tr w:rsidR="008A2166" w14:paraId="1BAA41FB" w14:textId="77777777">
        <w:trPr>
          <w:trHeight w:val="227"/>
        </w:trPr>
        <w:tc>
          <w:tcPr>
            <w:tcW w:w="3360" w:type="dxa"/>
            <w:vAlign w:val="bottom"/>
          </w:tcPr>
          <w:p w14:paraId="1A35310A" w14:textId="77777777" w:rsidR="008A2166" w:rsidRPr="00100886" w:rsidRDefault="008A2166">
            <w:pPr>
              <w:spacing w:after="40"/>
            </w:pPr>
            <w:r w:rsidRPr="00100886">
              <w:t>Plant Breeder’s Rights</w:t>
            </w:r>
          </w:p>
        </w:tc>
        <w:tc>
          <w:tcPr>
            <w:tcW w:w="1932" w:type="dxa"/>
            <w:vAlign w:val="bottom"/>
          </w:tcPr>
          <w:p w14:paraId="05A71804" w14:textId="77777777" w:rsidR="008A2166" w:rsidRPr="00525E6C" w:rsidRDefault="008A2166">
            <w:pPr>
              <w:spacing w:after="40"/>
              <w:jc w:val="center"/>
            </w:pPr>
            <w:r>
              <w:t>49</w:t>
            </w:r>
            <w:r w:rsidRPr="00525E6C">
              <w:t>%</w:t>
            </w:r>
          </w:p>
        </w:tc>
        <w:tc>
          <w:tcPr>
            <w:tcW w:w="1933" w:type="dxa"/>
            <w:vAlign w:val="bottom"/>
          </w:tcPr>
          <w:p w14:paraId="7650FA96" w14:textId="77777777" w:rsidR="008A2166" w:rsidRPr="00525E6C" w:rsidRDefault="008A2166">
            <w:pPr>
              <w:spacing w:after="40"/>
              <w:jc w:val="center"/>
            </w:pPr>
            <w:r>
              <w:t>51</w:t>
            </w:r>
            <w:r w:rsidRPr="00525E6C">
              <w:t>%</w:t>
            </w:r>
          </w:p>
        </w:tc>
      </w:tr>
      <w:tr w:rsidR="008A2166" w14:paraId="26A5FBFF" w14:textId="77777777">
        <w:trPr>
          <w:trHeight w:val="227"/>
        </w:trPr>
        <w:tc>
          <w:tcPr>
            <w:tcW w:w="3360" w:type="dxa"/>
            <w:vAlign w:val="bottom"/>
          </w:tcPr>
          <w:p w14:paraId="6DB20CD4" w14:textId="77777777" w:rsidR="008A2166" w:rsidRPr="00100886" w:rsidRDefault="008A2166">
            <w:pPr>
              <w:spacing w:after="40"/>
            </w:pPr>
            <w:r w:rsidRPr="00100886">
              <w:t>Trade Marks</w:t>
            </w:r>
          </w:p>
        </w:tc>
        <w:tc>
          <w:tcPr>
            <w:tcW w:w="1932" w:type="dxa"/>
            <w:vAlign w:val="bottom"/>
          </w:tcPr>
          <w:p w14:paraId="62A30844" w14:textId="77777777" w:rsidR="008A2166" w:rsidRPr="00525E6C" w:rsidRDefault="008A2166">
            <w:pPr>
              <w:spacing w:after="40"/>
              <w:jc w:val="center"/>
            </w:pPr>
            <w:r w:rsidRPr="00525E6C">
              <w:t>5</w:t>
            </w:r>
            <w:r>
              <w:t>8</w:t>
            </w:r>
            <w:r w:rsidRPr="00525E6C">
              <w:t>%</w:t>
            </w:r>
          </w:p>
        </w:tc>
        <w:tc>
          <w:tcPr>
            <w:tcW w:w="1933" w:type="dxa"/>
            <w:vAlign w:val="bottom"/>
          </w:tcPr>
          <w:p w14:paraId="2380FE3C" w14:textId="77777777" w:rsidR="008A2166" w:rsidRPr="00525E6C" w:rsidRDefault="008A2166">
            <w:pPr>
              <w:spacing w:after="40"/>
              <w:jc w:val="center"/>
            </w:pPr>
            <w:r w:rsidRPr="00525E6C">
              <w:t>4</w:t>
            </w:r>
            <w:r>
              <w:t>2</w:t>
            </w:r>
            <w:r w:rsidRPr="00525E6C">
              <w:t>%</w:t>
            </w:r>
          </w:p>
        </w:tc>
      </w:tr>
      <w:tr w:rsidR="008A2166" w14:paraId="31A55918" w14:textId="77777777">
        <w:trPr>
          <w:trHeight w:val="227"/>
        </w:trPr>
        <w:tc>
          <w:tcPr>
            <w:tcW w:w="3360" w:type="dxa"/>
            <w:vAlign w:val="bottom"/>
          </w:tcPr>
          <w:p w14:paraId="48C121F4" w14:textId="77777777" w:rsidR="008A2166" w:rsidRPr="00100886" w:rsidRDefault="008A2166">
            <w:pPr>
              <w:spacing w:after="40"/>
            </w:pPr>
            <w:r w:rsidRPr="00100886">
              <w:t>Designs</w:t>
            </w:r>
          </w:p>
        </w:tc>
        <w:tc>
          <w:tcPr>
            <w:tcW w:w="1932" w:type="dxa"/>
            <w:vAlign w:val="bottom"/>
          </w:tcPr>
          <w:p w14:paraId="34406FF3" w14:textId="77777777" w:rsidR="008A2166" w:rsidRPr="00525E6C" w:rsidRDefault="008A2166">
            <w:pPr>
              <w:spacing w:after="40"/>
              <w:jc w:val="center"/>
            </w:pPr>
            <w:r>
              <w:t>30</w:t>
            </w:r>
            <w:r w:rsidRPr="00525E6C">
              <w:t>%</w:t>
            </w:r>
          </w:p>
        </w:tc>
        <w:tc>
          <w:tcPr>
            <w:tcW w:w="1933" w:type="dxa"/>
            <w:vAlign w:val="bottom"/>
          </w:tcPr>
          <w:p w14:paraId="27137CBE" w14:textId="77777777" w:rsidR="008A2166" w:rsidRPr="00525E6C" w:rsidRDefault="008A2166">
            <w:pPr>
              <w:spacing w:after="40"/>
              <w:jc w:val="center"/>
            </w:pPr>
            <w:r>
              <w:t>70</w:t>
            </w:r>
            <w:r w:rsidRPr="00525E6C">
              <w:t>%</w:t>
            </w:r>
          </w:p>
        </w:tc>
      </w:tr>
    </w:tbl>
    <w:p w14:paraId="2F57BFEB" w14:textId="77777777" w:rsidR="008A2166" w:rsidRDefault="008A2166" w:rsidP="008A2166">
      <w:pPr>
        <w:jc w:val="both"/>
        <w:rPr>
          <w:i/>
          <w:iCs/>
          <w:sz w:val="18"/>
        </w:rPr>
      </w:pPr>
      <w:r w:rsidRPr="002475D4">
        <w:rPr>
          <w:i/>
          <w:iCs/>
          <w:sz w:val="18"/>
        </w:rPr>
        <w:t xml:space="preserve">Source: </w:t>
      </w:r>
      <w:r>
        <w:rPr>
          <w:i/>
          <w:iCs/>
          <w:sz w:val="18"/>
        </w:rPr>
        <w:t>Australian IP Report 2024</w:t>
      </w:r>
    </w:p>
    <w:p w14:paraId="3540E4B6" w14:textId="58914C1A" w:rsidR="008A2166" w:rsidRDefault="008A2166" w:rsidP="00494778">
      <w:pPr>
        <w:pStyle w:val="Heading2"/>
      </w:pPr>
      <w:bookmarkStart w:id="18" w:name="_Toc146552202"/>
      <w:r>
        <w:t>Policy Outcome and Programs</w:t>
      </w:r>
      <w:bookmarkEnd w:id="18"/>
    </w:p>
    <w:p w14:paraId="41A00FEF" w14:textId="77777777" w:rsidR="008A2166" w:rsidRPr="004B3FBF" w:rsidRDefault="008A2166" w:rsidP="008A2166">
      <w:pPr>
        <w:spacing w:after="0"/>
      </w:pPr>
      <w:r w:rsidRPr="004B3FBF">
        <w:t>IP Australia’s policy outcome statement is:</w:t>
      </w:r>
    </w:p>
    <w:p w14:paraId="34902575" w14:textId="77777777" w:rsidR="008A2166" w:rsidRPr="004B3FBF" w:rsidRDefault="008A2166" w:rsidP="008A2166">
      <w:r w:rsidRPr="004B3FBF">
        <w:t>“</w:t>
      </w:r>
      <w:r w:rsidRPr="004B3FBF">
        <w:rPr>
          <w:i/>
          <w:iCs/>
        </w:rPr>
        <w:t>Increased innovation, investment and trade in Australia, and by Australians overseas, through the administration of the registrable intellectual property rights system, promoting public awareness and industry engagement, and advising government</w:t>
      </w:r>
      <w:r w:rsidRPr="004B3FBF">
        <w:t>”.</w:t>
      </w:r>
    </w:p>
    <w:p w14:paraId="41535DFB" w14:textId="2C42D749" w:rsidR="008A2166" w:rsidRPr="004B3FBF" w:rsidRDefault="008A2166" w:rsidP="008A2166">
      <w:r w:rsidRPr="004B3FBF">
        <w:t xml:space="preserve">IP Australia delivers its outcome through the administration of IP rights consistent with the relevant legislation and regulations. IP Australia has three </w:t>
      </w:r>
      <w:r w:rsidR="00836389">
        <w:t>p</w:t>
      </w:r>
      <w:r w:rsidRPr="004B3FBF">
        <w:t xml:space="preserve">rograms as part of its one </w:t>
      </w:r>
      <w:r w:rsidR="00836389">
        <w:t>o</w:t>
      </w:r>
      <w:r w:rsidRPr="004B3FBF">
        <w:t xml:space="preserve">utcome. These programs represent IP Australia’s structure for budget accountability to the Australian Government. While there are some components of IP Australia’s costs which are funded directly by government, the bulk of IP Australia’s costs are recovered through regulatory fees. IP Australia cost recovers against its activity group </w:t>
      </w:r>
      <w:r w:rsidRPr="002B63C3">
        <w:t>structure (as described above),</w:t>
      </w:r>
      <w:r>
        <w:t xml:space="preserve"> </w:t>
      </w:r>
      <w:r w:rsidRPr="004B3FBF">
        <w:t>not the Program structure (as described below).</w:t>
      </w:r>
    </w:p>
    <w:p w14:paraId="31836ADD" w14:textId="7A90AB27" w:rsidR="008A2166" w:rsidRPr="002E43EE" w:rsidRDefault="008A2166" w:rsidP="008A2166">
      <w:r w:rsidRPr="00F37055">
        <w:rPr>
          <w:b/>
          <w:shd w:val="clear" w:color="auto" w:fill="FFFFFF" w:themeFill="background1"/>
        </w:rPr>
        <w:t>Program 1 – IP Rights Administration and Professional Registration</w:t>
      </w:r>
      <w:r w:rsidRPr="002E43EE">
        <w:t xml:space="preserve"> encompasses the administration of patent, trade mark, design</w:t>
      </w:r>
      <w:r w:rsidR="005E394A">
        <w:t xml:space="preserve"> and</w:t>
      </w:r>
      <w:r w:rsidRPr="002E43EE">
        <w:t xml:space="preserve"> plant breeder’s IP rights legislation. It also includes the administration of the TTIPA Board for Patent and Trade Mark Attorneys and the TTIPA Disciplinary Tribunal.</w:t>
      </w:r>
    </w:p>
    <w:p w14:paraId="19A771A9" w14:textId="77777777" w:rsidR="008A2166" w:rsidRPr="002E43EE" w:rsidRDefault="008A2166" w:rsidP="008A2166">
      <w:r w:rsidRPr="002E43EE">
        <w:t>All five of IP Australia’s cost recovery activity groups are contained within Program 1.</w:t>
      </w:r>
    </w:p>
    <w:p w14:paraId="3048525B" w14:textId="1B49D8B3" w:rsidR="008A2166" w:rsidRPr="002E43EE" w:rsidRDefault="008A2166" w:rsidP="008A2166">
      <w:r w:rsidRPr="00F37055">
        <w:rPr>
          <w:b/>
        </w:rPr>
        <w:t>Program 2 – Education and Awareness</w:t>
      </w:r>
      <w:r w:rsidRPr="002E43EE">
        <w:t xml:space="preserve"> encompasses IP Australia’s role in raising awareness and educating customers about intellectual property. This Program does not represent a separate cost recovery activity group. Costs of Program 2 are apportioned, using an activity-based costing model, to the cost recovery activity groups in Program 1 because they support the delivery of these activity groups.</w:t>
      </w:r>
    </w:p>
    <w:p w14:paraId="5B32D220" w14:textId="0D6494FF" w:rsidR="008A2166" w:rsidRDefault="008A2166" w:rsidP="008A2166">
      <w:r w:rsidRPr="00F37055">
        <w:rPr>
          <w:b/>
        </w:rPr>
        <w:t>Program 3 – Advice to Government and International Engagement</w:t>
      </w:r>
      <w:r w:rsidRPr="00F37055">
        <w:t xml:space="preserve"> encompasses</w:t>
      </w:r>
      <w:r w:rsidRPr="002E43EE">
        <w:t xml:space="preserve"> IP Australia’s role in providing advice on IP matters, supporting research into the current and future use of IP </w:t>
      </w:r>
      <w:r w:rsidR="000320EF">
        <w:t>r</w:t>
      </w:r>
      <w:r w:rsidRPr="002E43EE">
        <w:t>ights, and engaging with key international stakeholders and IP bodies.</w:t>
      </w:r>
    </w:p>
    <w:p w14:paraId="47B3FC34" w14:textId="37DF6B3F" w:rsidR="008A2166" w:rsidRPr="004B3FBF" w:rsidRDefault="008A2166" w:rsidP="008A2166">
      <w:r w:rsidRPr="004B3FBF">
        <w:t>Program</w:t>
      </w:r>
      <w:r>
        <w:t>s</w:t>
      </w:r>
      <w:r w:rsidRPr="004B3FBF">
        <w:t xml:space="preserve"> </w:t>
      </w:r>
      <w:r>
        <w:t xml:space="preserve">2 and 3 </w:t>
      </w:r>
      <w:r w:rsidRPr="004B3FBF">
        <w:t>do not represent separate cost recovery activity group</w:t>
      </w:r>
      <w:r>
        <w:t>s</w:t>
      </w:r>
      <w:r w:rsidRPr="004B3FBF">
        <w:t xml:space="preserve">. </w:t>
      </w:r>
      <w:r>
        <w:t>The c</w:t>
      </w:r>
      <w:r w:rsidRPr="004B3FBF">
        <w:t xml:space="preserve">ost of </w:t>
      </w:r>
      <w:r w:rsidR="00020BF8">
        <w:t>p</w:t>
      </w:r>
      <w:r w:rsidRPr="004B3FBF">
        <w:t>rogram</w:t>
      </w:r>
      <w:r>
        <w:t>s</w:t>
      </w:r>
      <w:r w:rsidRPr="004B3FBF">
        <w:t xml:space="preserve"> </w:t>
      </w:r>
      <w:r>
        <w:t xml:space="preserve">2 and </w:t>
      </w:r>
      <w:r w:rsidRPr="004B3FBF">
        <w:t xml:space="preserve">3 are apportioned, using an activity-based costing model, to the cost recovery activity groups in </w:t>
      </w:r>
      <w:r w:rsidR="00020BF8">
        <w:t>p</w:t>
      </w:r>
      <w:r w:rsidRPr="004B3FBF">
        <w:t>rogram 1 because they support the delivery of these activity groups.</w:t>
      </w:r>
    </w:p>
    <w:p w14:paraId="3171BDB9" w14:textId="75660568" w:rsidR="008A2166" w:rsidRDefault="008A2166" w:rsidP="008A2166">
      <w:r>
        <w:t xml:space="preserve">IP Australia receives departmental appropriation from </w:t>
      </w:r>
      <w:r w:rsidR="002750B7">
        <w:t xml:space="preserve">the Australian </w:t>
      </w:r>
      <w:r>
        <w:t>Government ($0.4 million in 2023-24) for non-regulatory charging activities undertaken within Program 3. Further information on IP Australia’s outcome and program structure can be found in the 2024-25</w:t>
      </w:r>
      <w:r w:rsidRPr="00973293">
        <w:t xml:space="preserve"> Department of Industry, Science and Resources Portfolio Budget Statements</w:t>
      </w:r>
      <w:r>
        <w:t xml:space="preserve"> (PBS).</w:t>
      </w:r>
    </w:p>
    <w:p w14:paraId="2F3FAC57" w14:textId="77777777" w:rsidR="00494778" w:rsidRDefault="00494778">
      <w:pPr>
        <w:rPr>
          <w:rFonts w:asciiTheme="majorHAnsi" w:eastAsiaTheme="majorEastAsia" w:hAnsiTheme="majorHAnsi" w:cstheme="majorBidi"/>
          <w:color w:val="2F5496" w:themeColor="accent1" w:themeShade="BF"/>
          <w:sz w:val="32"/>
          <w:szCs w:val="32"/>
        </w:rPr>
      </w:pPr>
      <w:bookmarkStart w:id="19" w:name="_Toc146552203"/>
      <w:r>
        <w:br w:type="page"/>
      </w:r>
    </w:p>
    <w:p w14:paraId="48C2B494" w14:textId="28AA7B0F" w:rsidR="008A2166" w:rsidRPr="00D57921" w:rsidRDefault="008A2166" w:rsidP="00101A7A">
      <w:pPr>
        <w:pStyle w:val="Heading1"/>
      </w:pPr>
      <w:r w:rsidRPr="00D57921">
        <w:lastRenderedPageBreak/>
        <w:t xml:space="preserve">POLICY AND STATUTORY AUTHORITY TO </w:t>
      </w:r>
      <w:r>
        <w:t>CHARGE (</w:t>
      </w:r>
      <w:r w:rsidRPr="00D57921">
        <w:t>COST RECOVER</w:t>
      </w:r>
      <w:r>
        <w:t>)</w:t>
      </w:r>
      <w:bookmarkEnd w:id="19"/>
    </w:p>
    <w:p w14:paraId="70967857" w14:textId="77777777" w:rsidR="008A2166" w:rsidRPr="00D57921" w:rsidRDefault="008A2166" w:rsidP="00494778">
      <w:pPr>
        <w:pStyle w:val="Heading2"/>
      </w:pPr>
      <w:r w:rsidRPr="00D57921">
        <w:t xml:space="preserve"> </w:t>
      </w:r>
      <w:bookmarkStart w:id="20" w:name="_Toc146552204"/>
      <w:r w:rsidRPr="00D57921">
        <w:t>Government policy approval to charge for this regulatory activity</w:t>
      </w:r>
      <w:r>
        <w:t>.</w:t>
      </w:r>
      <w:bookmarkEnd w:id="20"/>
    </w:p>
    <w:p w14:paraId="53C7C9FC" w14:textId="410ACDCB" w:rsidR="008A2166" w:rsidRPr="004B3FBF" w:rsidRDefault="008A2166" w:rsidP="008A2166">
      <w:r w:rsidRPr="004B3FBF">
        <w:t xml:space="preserve">The policy authority to cost recover IP Australia’s regulation of relevant IP legislation was reaffirmed by </w:t>
      </w:r>
      <w:r w:rsidR="002750B7">
        <w:t xml:space="preserve">the Australian </w:t>
      </w:r>
      <w:r w:rsidRPr="004B3FBF">
        <w:t>Government in 2012 when it was agreed that IP Australia will continue to administer Australia’s IP rights’ system, specifically patent, trade mark, industrial design, PBR and TTIPA Board and Disciplinary Tribunal on a cost recovery basis.</w:t>
      </w:r>
    </w:p>
    <w:p w14:paraId="329CB019" w14:textId="7B0B01F2" w:rsidR="008A2166" w:rsidRPr="004B3FBF" w:rsidRDefault="008A2166" w:rsidP="008A2166">
      <w:r w:rsidRPr="004B3FBF">
        <w:t xml:space="preserve">IP Australia groups the cost of individual services into activity groups aligned with the separate IP rights legislation, and then cost recovers at the activity group level. </w:t>
      </w:r>
      <w:r w:rsidRPr="5D0987CC">
        <w:rPr>
          <w:rFonts w:ascii="Calibri" w:eastAsia="Calibri" w:hAnsi="Calibri" w:cs="Calibri"/>
        </w:rPr>
        <w:t xml:space="preserve">The reason for grouping at the activity level is because individual fee items, of which there are several hundred across all the IP rights legislation, represent sub-activities at a level where costing each one is neither efficient </w:t>
      </w:r>
      <w:r>
        <w:rPr>
          <w:rFonts w:ascii="Calibri" w:eastAsia="Calibri" w:hAnsi="Calibri" w:cs="Calibri"/>
        </w:rPr>
        <w:t>n</w:t>
      </w:r>
      <w:r w:rsidRPr="5D0987CC">
        <w:rPr>
          <w:rFonts w:ascii="Calibri" w:eastAsia="Calibri" w:hAnsi="Calibri" w:cs="Calibri"/>
        </w:rPr>
        <w:t>or cost</w:t>
      </w:r>
      <w:r w:rsidR="00FB17B8">
        <w:rPr>
          <w:rFonts w:ascii="Calibri" w:eastAsia="Calibri" w:hAnsi="Calibri" w:cs="Calibri"/>
        </w:rPr>
        <w:t>-</w:t>
      </w:r>
      <w:r w:rsidRPr="5D0987CC">
        <w:rPr>
          <w:rFonts w:ascii="Calibri" w:eastAsia="Calibri" w:hAnsi="Calibri" w:cs="Calibri"/>
        </w:rPr>
        <w:t>effective,</w:t>
      </w:r>
      <w:r>
        <w:rPr>
          <w:rFonts w:ascii="Calibri" w:eastAsia="Calibri" w:hAnsi="Calibri" w:cs="Calibri"/>
        </w:rPr>
        <w:t xml:space="preserve"> and is</w:t>
      </w:r>
      <w:r w:rsidRPr="5D0987CC">
        <w:rPr>
          <w:rFonts w:ascii="Calibri" w:eastAsia="Calibri" w:hAnsi="Calibri" w:cs="Calibri"/>
        </w:rPr>
        <w:t xml:space="preserve"> no</w:t>
      </w:r>
      <w:r>
        <w:rPr>
          <w:rFonts w:ascii="Calibri" w:eastAsia="Calibri" w:hAnsi="Calibri" w:cs="Calibri"/>
        </w:rPr>
        <w:t>t</w:t>
      </w:r>
      <w:r w:rsidRPr="5D0987CC">
        <w:rPr>
          <w:rFonts w:ascii="Calibri" w:eastAsia="Calibri" w:hAnsi="Calibri" w:cs="Calibri"/>
        </w:rPr>
        <w:t xml:space="preserve"> conducive to innovation policy </w:t>
      </w:r>
      <w:r w:rsidRPr="004B3FBF">
        <w:rPr>
          <w:rFonts w:ascii="Calibri" w:eastAsia="Calibri" w:hAnsi="Calibri" w:cs="Calibri"/>
        </w:rPr>
        <w:t xml:space="preserve">objectives. </w:t>
      </w:r>
      <w:r w:rsidRPr="004B3FBF">
        <w:t xml:space="preserve">This approach also supports IP Australia’s business model of recovering costs over the life cycle of the IP </w:t>
      </w:r>
      <w:r w:rsidR="002839EA">
        <w:t>r</w:t>
      </w:r>
      <w:r w:rsidRPr="004B3FBF">
        <w:t>ight.</w:t>
      </w:r>
    </w:p>
    <w:p w14:paraId="401C89F8" w14:textId="6B883D60" w:rsidR="008A2166" w:rsidRPr="004B3FBF" w:rsidRDefault="008A2166" w:rsidP="008A2166">
      <w:r w:rsidRPr="004B3FBF">
        <w:t>For example, a standard patent has a 20-year life cycle as it provides the customer with protection for up to this period. It would be impractical to cost recover individual services, such as processing the application, examining the application, granting the application, and renewing the application, and instead IP Australia will continue to recover the full costs of each broader activity group (e.g., recover the total costs associated with a patent application over the life of the patent).</w:t>
      </w:r>
    </w:p>
    <w:p w14:paraId="21E5D599" w14:textId="2E1A973C" w:rsidR="008A2166" w:rsidRPr="005F667C" w:rsidRDefault="008A2166" w:rsidP="008A2166">
      <w:r w:rsidRPr="005F667C">
        <w:t xml:space="preserve">The cost of services provided to customers (e.g., examination) within each activity group are determined using IP Australia’s activity-based costing model and allows IP Australia to determine the total cost of the activity group (e.g., Patents) in an accurate and transparent manner, and set fees that will recover the total cost of the IP </w:t>
      </w:r>
      <w:r w:rsidR="002839EA">
        <w:t>r</w:t>
      </w:r>
      <w:r w:rsidRPr="005F667C">
        <w:t>ight over its life.</w:t>
      </w:r>
    </w:p>
    <w:p w14:paraId="0302D28A" w14:textId="64A78316" w:rsidR="008A2166" w:rsidRPr="00907BC4" w:rsidRDefault="008A2166" w:rsidP="00494778">
      <w:pPr>
        <w:pStyle w:val="Heading2"/>
      </w:pPr>
      <w:r>
        <w:t xml:space="preserve"> </w:t>
      </w:r>
      <w:bookmarkStart w:id="21" w:name="_Toc146552205"/>
      <w:r w:rsidRPr="00D57921">
        <w:t>Statutory authority to charge</w:t>
      </w:r>
      <w:r>
        <w:t>.</w:t>
      </w:r>
      <w:bookmarkEnd w:id="21"/>
    </w:p>
    <w:p w14:paraId="0B9D8955" w14:textId="095CBC89" w:rsidR="008A2166" w:rsidRPr="00CB5D26" w:rsidRDefault="008A2166" w:rsidP="00485BE3">
      <w:pPr>
        <w:spacing w:after="80" w:line="240" w:lineRule="auto"/>
        <w:rPr>
          <w:iCs/>
        </w:rPr>
      </w:pPr>
      <w:r w:rsidRPr="00CB5D26">
        <w:rPr>
          <w:iCs/>
        </w:rPr>
        <w:t>IP Australia derives its legal authority to prescribe fees under the following Acts and associated regulations:</w:t>
      </w:r>
    </w:p>
    <w:p w14:paraId="35AA3295" w14:textId="517FD87D" w:rsidR="008A2166" w:rsidRPr="00CB5D26" w:rsidRDefault="008A2166" w:rsidP="00485BE3">
      <w:pPr>
        <w:spacing w:after="80" w:line="240" w:lineRule="auto"/>
        <w:rPr>
          <w:i/>
          <w:iCs/>
        </w:rPr>
      </w:pPr>
      <w:r w:rsidRPr="00CB5D26">
        <w:rPr>
          <w:iCs/>
        </w:rPr>
        <w:t>•</w:t>
      </w:r>
      <w:r w:rsidRPr="00CB5D26">
        <w:rPr>
          <w:iCs/>
        </w:rPr>
        <w:tab/>
      </w:r>
      <w:r w:rsidRPr="009359A0">
        <w:rPr>
          <w:i/>
          <w:iCs/>
        </w:rPr>
        <w:t>Patents Act 1990</w:t>
      </w:r>
    </w:p>
    <w:p w14:paraId="5D635A84" w14:textId="2DFEDC7E" w:rsidR="008A2166" w:rsidRPr="00CB5D26" w:rsidRDefault="008A2166" w:rsidP="00485BE3">
      <w:pPr>
        <w:spacing w:after="80" w:line="240" w:lineRule="auto"/>
        <w:rPr>
          <w:i/>
          <w:iCs/>
        </w:rPr>
      </w:pPr>
      <w:r w:rsidRPr="00CB5D26">
        <w:rPr>
          <w:i/>
          <w:iCs/>
        </w:rPr>
        <w:t>•</w:t>
      </w:r>
      <w:r w:rsidRPr="00CB5D26">
        <w:rPr>
          <w:i/>
          <w:iCs/>
        </w:rPr>
        <w:tab/>
      </w:r>
      <w:r w:rsidRPr="009359A0">
        <w:rPr>
          <w:i/>
          <w:iCs/>
        </w:rPr>
        <w:t>Patents Regulations 1991</w:t>
      </w:r>
    </w:p>
    <w:p w14:paraId="4794525E" w14:textId="0F8D7A01" w:rsidR="008A2166" w:rsidRPr="00CB5D26" w:rsidRDefault="008A2166" w:rsidP="00485BE3">
      <w:pPr>
        <w:spacing w:after="80" w:line="240" w:lineRule="auto"/>
        <w:rPr>
          <w:i/>
          <w:iCs/>
        </w:rPr>
      </w:pPr>
      <w:r w:rsidRPr="00CB5D26">
        <w:rPr>
          <w:i/>
          <w:iCs/>
        </w:rPr>
        <w:t>•</w:t>
      </w:r>
      <w:r w:rsidRPr="00CB5D26">
        <w:rPr>
          <w:i/>
          <w:iCs/>
        </w:rPr>
        <w:tab/>
      </w:r>
      <w:r w:rsidRPr="00DD72EC">
        <w:rPr>
          <w:i/>
          <w:iCs/>
        </w:rPr>
        <w:t>Trade Marks Act 1995</w:t>
      </w:r>
    </w:p>
    <w:p w14:paraId="2028C6E1" w14:textId="05E14C88" w:rsidR="008A2166" w:rsidRPr="00CB5D26" w:rsidRDefault="008A2166" w:rsidP="00485BE3">
      <w:pPr>
        <w:spacing w:after="80" w:line="240" w:lineRule="auto"/>
        <w:rPr>
          <w:i/>
          <w:iCs/>
        </w:rPr>
      </w:pPr>
      <w:r w:rsidRPr="00CB5D26">
        <w:rPr>
          <w:i/>
          <w:iCs/>
        </w:rPr>
        <w:t>•</w:t>
      </w:r>
      <w:r w:rsidRPr="00CB5D26">
        <w:rPr>
          <w:i/>
          <w:iCs/>
        </w:rPr>
        <w:tab/>
      </w:r>
      <w:r w:rsidRPr="00DD72EC">
        <w:rPr>
          <w:i/>
          <w:iCs/>
        </w:rPr>
        <w:t>Trade Marks Regulations 1995</w:t>
      </w:r>
    </w:p>
    <w:p w14:paraId="57625A56" w14:textId="2461E8B9" w:rsidR="008A2166" w:rsidRPr="00CB5D26" w:rsidRDefault="008A2166" w:rsidP="00485BE3">
      <w:pPr>
        <w:spacing w:after="80" w:line="240" w:lineRule="auto"/>
        <w:rPr>
          <w:i/>
          <w:iCs/>
        </w:rPr>
      </w:pPr>
      <w:r w:rsidRPr="00CB5D26">
        <w:rPr>
          <w:i/>
          <w:iCs/>
        </w:rPr>
        <w:t>•</w:t>
      </w:r>
      <w:r w:rsidRPr="00CB5D26">
        <w:rPr>
          <w:i/>
          <w:iCs/>
        </w:rPr>
        <w:tab/>
      </w:r>
      <w:r w:rsidRPr="00973293">
        <w:rPr>
          <w:i/>
          <w:iCs/>
        </w:rPr>
        <w:t>Plant Breeder’s Rights Act 1994</w:t>
      </w:r>
    </w:p>
    <w:p w14:paraId="733082B6" w14:textId="15F6C70C" w:rsidR="008A2166" w:rsidRPr="00CB5D26" w:rsidRDefault="008A2166" w:rsidP="00485BE3">
      <w:pPr>
        <w:spacing w:after="80" w:line="240" w:lineRule="auto"/>
        <w:rPr>
          <w:i/>
          <w:iCs/>
        </w:rPr>
      </w:pPr>
      <w:r w:rsidRPr="00CB5D26">
        <w:rPr>
          <w:i/>
          <w:iCs/>
        </w:rPr>
        <w:t>•</w:t>
      </w:r>
      <w:r w:rsidRPr="00CB5D26">
        <w:rPr>
          <w:i/>
          <w:iCs/>
        </w:rPr>
        <w:tab/>
      </w:r>
      <w:r w:rsidRPr="00973293">
        <w:rPr>
          <w:i/>
          <w:iCs/>
        </w:rPr>
        <w:t>Plant Breeder’s Rights Regulations 1994</w:t>
      </w:r>
    </w:p>
    <w:p w14:paraId="2713686B" w14:textId="02176177" w:rsidR="008A2166" w:rsidRPr="00CB5D26" w:rsidRDefault="008A2166" w:rsidP="00485BE3">
      <w:pPr>
        <w:spacing w:after="80" w:line="240" w:lineRule="auto"/>
        <w:rPr>
          <w:i/>
          <w:iCs/>
        </w:rPr>
      </w:pPr>
      <w:r w:rsidRPr="00CB5D26">
        <w:rPr>
          <w:i/>
          <w:iCs/>
        </w:rPr>
        <w:t>•</w:t>
      </w:r>
      <w:r w:rsidRPr="00CB5D26">
        <w:rPr>
          <w:i/>
          <w:iCs/>
        </w:rPr>
        <w:tab/>
      </w:r>
      <w:r w:rsidRPr="00973293">
        <w:rPr>
          <w:i/>
          <w:iCs/>
        </w:rPr>
        <w:t>Designs Act 2003</w:t>
      </w:r>
    </w:p>
    <w:p w14:paraId="2E99A4B8" w14:textId="441F7A27" w:rsidR="008A2166" w:rsidRPr="00CB5D26" w:rsidRDefault="008A2166" w:rsidP="00485BE3">
      <w:pPr>
        <w:spacing w:line="240" w:lineRule="auto"/>
        <w:rPr>
          <w:i/>
          <w:iCs/>
        </w:rPr>
      </w:pPr>
      <w:r w:rsidRPr="00CB5D26">
        <w:rPr>
          <w:i/>
          <w:iCs/>
        </w:rPr>
        <w:t>•</w:t>
      </w:r>
      <w:r w:rsidRPr="00CB5D26">
        <w:rPr>
          <w:i/>
          <w:iCs/>
        </w:rPr>
        <w:tab/>
      </w:r>
      <w:r w:rsidRPr="00973293">
        <w:rPr>
          <w:i/>
          <w:iCs/>
        </w:rPr>
        <w:t>Designs Regulations 2004</w:t>
      </w:r>
    </w:p>
    <w:p w14:paraId="554CDC85" w14:textId="77777777" w:rsidR="008A2166" w:rsidRDefault="008A2166" w:rsidP="008A2166">
      <w:pPr>
        <w:rPr>
          <w:iCs/>
        </w:rPr>
      </w:pPr>
      <w:r w:rsidRPr="00CB5D26">
        <w:rPr>
          <w:iCs/>
        </w:rPr>
        <w:t xml:space="preserve">The TTIPA Board is a statutory body established under section 227A of the </w:t>
      </w:r>
      <w:r w:rsidRPr="5A9418F4">
        <w:rPr>
          <w:i/>
        </w:rPr>
        <w:t xml:space="preserve">Patents Act 1990 </w:t>
      </w:r>
      <w:r w:rsidRPr="00CB5D26">
        <w:rPr>
          <w:iCs/>
        </w:rPr>
        <w:t xml:space="preserve">and constituted under the </w:t>
      </w:r>
      <w:r w:rsidRPr="16785CFD">
        <w:rPr>
          <w:i/>
        </w:rPr>
        <w:t>Patents Regulations 1991</w:t>
      </w:r>
      <w:r w:rsidRPr="00CB5D26">
        <w:rPr>
          <w:iCs/>
        </w:rPr>
        <w:t xml:space="preserve">. The TTIPA Disciplinary Tribunal is established under regulation 20.61 of the </w:t>
      </w:r>
      <w:r w:rsidRPr="271809FE">
        <w:rPr>
          <w:i/>
        </w:rPr>
        <w:t>Patents Regulations 1991</w:t>
      </w:r>
      <w:r w:rsidRPr="00CB5D26">
        <w:rPr>
          <w:iCs/>
        </w:rPr>
        <w:t>.</w:t>
      </w:r>
    </w:p>
    <w:p w14:paraId="7894FD90" w14:textId="77777777" w:rsidR="00A94189" w:rsidRDefault="00A94189">
      <w:pPr>
        <w:rPr>
          <w:rFonts w:asciiTheme="majorHAnsi" w:eastAsiaTheme="majorEastAsia" w:hAnsiTheme="majorHAnsi" w:cstheme="majorBidi"/>
          <w:color w:val="2F5496" w:themeColor="accent1" w:themeShade="BF"/>
          <w:sz w:val="32"/>
          <w:szCs w:val="32"/>
        </w:rPr>
      </w:pPr>
      <w:bookmarkStart w:id="22" w:name="_Toc146552206"/>
      <w:r>
        <w:br w:type="page"/>
      </w:r>
    </w:p>
    <w:p w14:paraId="00B4B0F0" w14:textId="384A5ED6" w:rsidR="008A2166" w:rsidRPr="00D57921" w:rsidRDefault="008A2166" w:rsidP="00101A7A">
      <w:pPr>
        <w:pStyle w:val="Heading1"/>
      </w:pPr>
      <w:r>
        <w:lastRenderedPageBreak/>
        <w:t>CHARGING (</w:t>
      </w:r>
      <w:r w:rsidRPr="00D57921">
        <w:t>COST</w:t>
      </w:r>
      <w:r w:rsidR="00291841">
        <w:t xml:space="preserve"> </w:t>
      </w:r>
      <w:r w:rsidRPr="00D57921">
        <w:t>RECOVERY</w:t>
      </w:r>
      <w:r>
        <w:t>)</w:t>
      </w:r>
      <w:r w:rsidRPr="00D57921">
        <w:t xml:space="preserve"> MODEL</w:t>
      </w:r>
      <w:bookmarkEnd w:id="22"/>
    </w:p>
    <w:p w14:paraId="2EF499C4" w14:textId="61DB2A65" w:rsidR="008A2166" w:rsidRDefault="008A2166" w:rsidP="00494778">
      <w:pPr>
        <w:pStyle w:val="Heading2"/>
      </w:pPr>
      <w:r>
        <w:t xml:space="preserve"> </w:t>
      </w:r>
      <w:bookmarkStart w:id="23" w:name="_Toc146552207"/>
      <w:r>
        <w:t>Cost</w:t>
      </w:r>
      <w:r w:rsidR="00291841">
        <w:t>-r</w:t>
      </w:r>
      <w:r>
        <w:t xml:space="preserve">ecovery </w:t>
      </w:r>
      <w:r w:rsidR="00291841">
        <w:t>m</w:t>
      </w:r>
      <w:r>
        <w:t>odel</w:t>
      </w:r>
      <w:bookmarkEnd w:id="23"/>
    </w:p>
    <w:p w14:paraId="559A932A" w14:textId="77777777" w:rsidR="008A2166" w:rsidRDefault="008A2166" w:rsidP="00CA3613">
      <w:pPr>
        <w:spacing w:after="80"/>
        <w:jc w:val="both"/>
      </w:pPr>
      <w:r>
        <w:t>IP Australia utilises several financial systems and models to monitor, forecast and report on IP Australia’s cost recovered activities. These include:</w:t>
      </w:r>
    </w:p>
    <w:p w14:paraId="260C8AC0" w14:textId="77777777" w:rsidR="008A2166" w:rsidRDefault="008A2166" w:rsidP="00CA3613">
      <w:pPr>
        <w:spacing w:after="80"/>
        <w:ind w:left="426" w:hanging="426"/>
        <w:jc w:val="both"/>
      </w:pPr>
      <w:r>
        <w:t>•</w:t>
      </w:r>
      <w:r>
        <w:tab/>
        <w:t>Financial Management Information System – SAP</w:t>
      </w:r>
    </w:p>
    <w:p w14:paraId="4A33AF15" w14:textId="3323525F" w:rsidR="008A2166" w:rsidRDefault="008A2166" w:rsidP="00CA3613">
      <w:pPr>
        <w:spacing w:after="80"/>
        <w:ind w:left="426" w:hanging="426"/>
        <w:jc w:val="both"/>
      </w:pPr>
      <w:r>
        <w:t>•</w:t>
      </w:r>
      <w:r>
        <w:tab/>
        <w:t>Activity</w:t>
      </w:r>
      <w:r w:rsidR="008A7BBE">
        <w:t>-</w:t>
      </w:r>
      <w:r>
        <w:t>Based Costing Model – SAP Business Objects Profitability and Cost Management (SAP PCM)</w:t>
      </w:r>
    </w:p>
    <w:p w14:paraId="3BD08F79" w14:textId="77777777" w:rsidR="008A2166" w:rsidRDefault="008A2166" w:rsidP="00CA3613">
      <w:pPr>
        <w:spacing w:after="80"/>
        <w:ind w:left="426" w:hanging="426"/>
        <w:jc w:val="both"/>
      </w:pPr>
      <w:r>
        <w:t>•</w:t>
      </w:r>
      <w:r>
        <w:tab/>
        <w:t>10 Year Financial Budget Model</w:t>
      </w:r>
    </w:p>
    <w:p w14:paraId="4B1CDC70" w14:textId="77777777" w:rsidR="008A2166" w:rsidRDefault="008A2166" w:rsidP="00CA3613">
      <w:pPr>
        <w:spacing w:after="80"/>
        <w:ind w:left="426" w:hanging="426"/>
        <w:jc w:val="both"/>
      </w:pPr>
      <w:r>
        <w:t>•</w:t>
      </w:r>
      <w:r>
        <w:tab/>
        <w:t>Revenue Forecast Model</w:t>
      </w:r>
    </w:p>
    <w:p w14:paraId="2D419978" w14:textId="2148B2C3" w:rsidR="008A2166" w:rsidRDefault="008A2166" w:rsidP="00CA3613">
      <w:pPr>
        <w:ind w:left="426" w:hanging="426"/>
        <w:jc w:val="both"/>
      </w:pPr>
      <w:r>
        <w:t>•</w:t>
      </w:r>
      <w:r>
        <w:tab/>
        <w:t xml:space="preserve">IP </w:t>
      </w:r>
      <w:r w:rsidR="002839EA">
        <w:t>r</w:t>
      </w:r>
      <w:r>
        <w:t>ights Production Models</w:t>
      </w:r>
    </w:p>
    <w:p w14:paraId="226883E9" w14:textId="6AD9994F" w:rsidR="008A2166" w:rsidRDefault="008A2166" w:rsidP="008A2166">
      <w:r>
        <w:t xml:space="preserve">Figure 1 </w:t>
      </w:r>
      <w:r w:rsidR="005870B4">
        <w:t>i</w:t>
      </w:r>
      <w:r>
        <w:t>llustrates how each system and internal modelling tool feeds both financial and non-financial data into the one cost recovery model, which is then used to identify the cost recovered position of each activity group.</w:t>
      </w:r>
    </w:p>
    <w:p w14:paraId="5128A83B" w14:textId="4F0CB16B" w:rsidR="00463C19" w:rsidRPr="00FE0E4F" w:rsidRDefault="00463C19" w:rsidP="008A2166">
      <w:pPr>
        <w:rPr>
          <w:rFonts w:eastAsia="SimSun"/>
          <w:iCs/>
        </w:rPr>
      </w:pPr>
      <w:r w:rsidRPr="00FE0E4F">
        <w:t>Figure 1</w:t>
      </w:r>
      <w:r w:rsidRPr="00FE0E4F">
        <w:tab/>
      </w:r>
      <w:r w:rsidR="00FE0E4F">
        <w:t xml:space="preserve">: </w:t>
      </w:r>
      <w:r w:rsidRPr="00FE0E4F">
        <w:t>Cost-recovery model</w:t>
      </w:r>
    </w:p>
    <w:p w14:paraId="5D79F2BD" w14:textId="77777777" w:rsidR="004C234F" w:rsidRDefault="008A2166" w:rsidP="008A2166">
      <w:pPr>
        <w:rPr>
          <w:rFonts w:eastAsia="SimSun"/>
          <w:iCs/>
        </w:rPr>
      </w:pPr>
      <w:r>
        <w:rPr>
          <w:rFonts w:eastAsia="SimSun"/>
          <w:noProof/>
          <w:color w:val="2B579A"/>
          <w:shd w:val="clear" w:color="auto" w:fill="E6E6E6"/>
        </w:rPr>
        <mc:AlternateContent>
          <mc:Choice Requires="wpg">
            <w:drawing>
              <wp:inline distT="0" distB="0" distL="0" distR="0" wp14:anchorId="4AB38C62" wp14:editId="77D9435B">
                <wp:extent cx="6470650" cy="3397250"/>
                <wp:effectExtent l="57150" t="19050" r="82550" b="50800"/>
                <wp:docPr id="1743470435" name="Group 1743470435" descr="Figure explaining inputs to the cost recovery analysis The direct inputs are the Ten-year-financial-budget model; the Activity-based-costing model; and the Revenue-forecast model. The inputs to the Financial budget model are the Operating-and-capital-expenditure forecast, and the IP "/>
                <wp:cNvGraphicFramePr/>
                <a:graphic xmlns:a="http://schemas.openxmlformats.org/drawingml/2006/main">
                  <a:graphicData uri="http://schemas.microsoft.com/office/word/2010/wordprocessingGroup">
                    <wpg:wgp>
                      <wpg:cNvGrpSpPr/>
                      <wpg:grpSpPr>
                        <a:xfrm>
                          <a:off x="0" y="0"/>
                          <a:ext cx="6470650" cy="3397250"/>
                          <a:chOff x="0" y="0"/>
                          <a:chExt cx="6449084" cy="3189977"/>
                        </a:xfrm>
                      </wpg:grpSpPr>
                      <wpg:grpSp>
                        <wpg:cNvPr id="71" name="Group 71"/>
                        <wpg:cNvGrpSpPr/>
                        <wpg:grpSpPr>
                          <a:xfrm>
                            <a:off x="0" y="0"/>
                            <a:ext cx="6449084" cy="3189977"/>
                            <a:chOff x="0" y="0"/>
                            <a:chExt cx="6449084" cy="3189977"/>
                          </a:xfrm>
                        </wpg:grpSpPr>
                        <wpg:grpSp>
                          <wpg:cNvPr id="44" name="Group 44"/>
                          <wpg:cNvGrpSpPr/>
                          <wpg:grpSpPr>
                            <a:xfrm>
                              <a:off x="0" y="0"/>
                              <a:ext cx="6449084" cy="3189977"/>
                              <a:chOff x="0" y="0"/>
                              <a:chExt cx="6449084" cy="3189977"/>
                            </a:xfrm>
                          </wpg:grpSpPr>
                          <wps:wsp>
                            <wps:cNvPr id="45" name="Rectangle 45" descr="Figure 1 illustrates how each system and internal modelling tool feeds both financial and non-financial data into the one cost-recovery model, which is then used to identify the cost recovered position of each activity group."/>
                            <wps:cNvSpPr/>
                            <wps:spPr>
                              <a:xfrm>
                                <a:off x="2484408" y="0"/>
                                <a:ext cx="1414732" cy="2449902"/>
                              </a:xfrm>
                              <a:prstGeom prst="rect">
                                <a:avLst/>
                              </a:prstGeom>
                              <a:effectLst>
                                <a:outerShdw blurRad="50800" dist="38100" dir="5400000" algn="t" rotWithShape="0">
                                  <a:prstClr val="black">
                                    <a:alpha val="40000"/>
                                  </a:prstClr>
                                </a:outerShdw>
                              </a:effectLst>
                            </wps:spPr>
                            <wps:style>
                              <a:lnRef idx="3">
                                <a:schemeClr val="lt1"/>
                              </a:lnRef>
                              <a:fillRef idx="1">
                                <a:schemeClr val="accent1"/>
                              </a:fillRef>
                              <a:effectRef idx="1">
                                <a:schemeClr val="accent1"/>
                              </a:effectRef>
                              <a:fontRef idx="minor">
                                <a:schemeClr val="lt1"/>
                              </a:fontRef>
                            </wps:style>
                            <wps:txbx>
                              <w:txbxContent>
                                <w:p w14:paraId="7D0D35EE" w14:textId="77777777" w:rsidR="008A2166" w:rsidRPr="004B5731" w:rsidRDefault="008A2166" w:rsidP="008A2166">
                                  <w:pPr>
                                    <w:jc w:val="center"/>
                                    <w:rPr>
                                      <w:b/>
                                      <w:bCs/>
                                      <w:sz w:val="16"/>
                                      <w:szCs w:val="16"/>
                                    </w:rPr>
                                  </w:pPr>
                                  <w:r w:rsidRPr="004B5731">
                                    <w:rPr>
                                      <w:b/>
                                      <w:bCs/>
                                      <w:sz w:val="16"/>
                                      <w:szCs w:val="16"/>
                                    </w:rPr>
                                    <w:t>COST RECOVERY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Rectangle: Rounded Corners 46"/>
                            <wps:cNvSpPr/>
                            <wps:spPr>
                              <a:xfrm>
                                <a:off x="2625665" y="351886"/>
                                <a:ext cx="1155940" cy="284672"/>
                              </a:xfrm>
                              <a:prstGeom prst="roundRect">
                                <a:avLst/>
                              </a:prstGeom>
                              <a:solidFill>
                                <a:schemeClr val="accent1">
                                  <a:lumMod val="20000"/>
                                  <a:lumOff val="80000"/>
                                </a:schemeClr>
                              </a:solidFill>
                              <a:ln>
                                <a:solidFill>
                                  <a:schemeClr val="accent1">
                                    <a:lumMod val="75000"/>
                                  </a:schemeClr>
                                </a:solidFill>
                              </a:ln>
                            </wps:spPr>
                            <wps:style>
                              <a:lnRef idx="1">
                                <a:schemeClr val="accent1"/>
                              </a:lnRef>
                              <a:fillRef idx="2">
                                <a:schemeClr val="accent1"/>
                              </a:fillRef>
                              <a:effectRef idx="1">
                                <a:schemeClr val="accent1"/>
                              </a:effectRef>
                              <a:fontRef idx="minor">
                                <a:schemeClr val="dk1"/>
                              </a:fontRef>
                            </wps:style>
                            <wps:txbx>
                              <w:txbxContent>
                                <w:p w14:paraId="7EDAD69B" w14:textId="77777777" w:rsidR="008A2166" w:rsidRPr="000F089F" w:rsidRDefault="008A2166" w:rsidP="008A2166">
                                  <w:pPr>
                                    <w:jc w:val="center"/>
                                    <w:rPr>
                                      <w:sz w:val="18"/>
                                      <w:szCs w:val="18"/>
                                    </w:rPr>
                                  </w:pPr>
                                  <w:r w:rsidRPr="000F089F">
                                    <w:rPr>
                                      <w:sz w:val="18"/>
                                      <w:szCs w:val="18"/>
                                    </w:rPr>
                                    <w:t>Patents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Rounded Corners 47"/>
                            <wps:cNvSpPr/>
                            <wps:spPr>
                              <a:xfrm>
                                <a:off x="2625665" y="757328"/>
                                <a:ext cx="1155940" cy="284672"/>
                              </a:xfrm>
                              <a:prstGeom prst="roundRect">
                                <a:avLst/>
                              </a:prstGeom>
                              <a:solidFill>
                                <a:schemeClr val="accent1">
                                  <a:lumMod val="20000"/>
                                  <a:lumOff val="80000"/>
                                </a:schemeClr>
                              </a:solidFill>
                              <a:ln>
                                <a:solidFill>
                                  <a:schemeClr val="accent1">
                                    <a:lumMod val="75000"/>
                                  </a:schemeClr>
                                </a:solidFill>
                              </a:ln>
                            </wps:spPr>
                            <wps:style>
                              <a:lnRef idx="1">
                                <a:schemeClr val="accent1"/>
                              </a:lnRef>
                              <a:fillRef idx="2">
                                <a:schemeClr val="accent1"/>
                              </a:fillRef>
                              <a:effectRef idx="1">
                                <a:schemeClr val="accent1"/>
                              </a:effectRef>
                              <a:fontRef idx="minor">
                                <a:schemeClr val="dk1"/>
                              </a:fontRef>
                            </wps:style>
                            <wps:txbx>
                              <w:txbxContent>
                                <w:p w14:paraId="2C67EEEC" w14:textId="77777777" w:rsidR="008A2166" w:rsidRPr="000F089F" w:rsidRDefault="008A2166" w:rsidP="008A2166">
                                  <w:pPr>
                                    <w:jc w:val="center"/>
                                    <w:rPr>
                                      <w:sz w:val="18"/>
                                      <w:szCs w:val="18"/>
                                    </w:rPr>
                                  </w:pPr>
                                  <w:r w:rsidRPr="000F089F">
                                    <w:rPr>
                                      <w:sz w:val="18"/>
                                      <w:szCs w:val="18"/>
                                    </w:rPr>
                                    <w:t>Trade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Rounded Corners 48"/>
                            <wps:cNvSpPr/>
                            <wps:spPr>
                              <a:xfrm>
                                <a:off x="2625665" y="1188648"/>
                                <a:ext cx="1155940" cy="284672"/>
                              </a:xfrm>
                              <a:prstGeom prst="roundRect">
                                <a:avLst/>
                              </a:prstGeom>
                              <a:solidFill>
                                <a:schemeClr val="accent1">
                                  <a:lumMod val="20000"/>
                                  <a:lumOff val="80000"/>
                                </a:schemeClr>
                              </a:solidFill>
                              <a:ln>
                                <a:solidFill>
                                  <a:schemeClr val="accent1">
                                    <a:lumMod val="75000"/>
                                  </a:schemeClr>
                                </a:solidFill>
                              </a:ln>
                            </wps:spPr>
                            <wps:style>
                              <a:lnRef idx="1">
                                <a:schemeClr val="accent1"/>
                              </a:lnRef>
                              <a:fillRef idx="2">
                                <a:schemeClr val="accent1"/>
                              </a:fillRef>
                              <a:effectRef idx="1">
                                <a:schemeClr val="accent1"/>
                              </a:effectRef>
                              <a:fontRef idx="minor">
                                <a:schemeClr val="dk1"/>
                              </a:fontRef>
                            </wps:style>
                            <wps:txbx>
                              <w:txbxContent>
                                <w:p w14:paraId="2A459BE4" w14:textId="77777777" w:rsidR="008A2166" w:rsidRPr="000F089F" w:rsidRDefault="008A2166" w:rsidP="008A2166">
                                  <w:pPr>
                                    <w:jc w:val="center"/>
                                    <w:rPr>
                                      <w:sz w:val="18"/>
                                      <w:szCs w:val="18"/>
                                    </w:rPr>
                                  </w:pPr>
                                  <w:r w:rsidRPr="000F089F">
                                    <w:rPr>
                                      <w:sz w:val="18"/>
                                      <w:szCs w:val="18"/>
                                    </w:rPr>
                                    <w:t>Designs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Rounded Corners 49"/>
                            <wps:cNvSpPr/>
                            <wps:spPr>
                              <a:xfrm>
                                <a:off x="2634292" y="1619969"/>
                                <a:ext cx="1155940" cy="284672"/>
                              </a:xfrm>
                              <a:prstGeom prst="roundRect">
                                <a:avLst/>
                              </a:prstGeom>
                              <a:solidFill>
                                <a:schemeClr val="accent1">
                                  <a:lumMod val="20000"/>
                                  <a:lumOff val="80000"/>
                                </a:schemeClr>
                              </a:solidFill>
                              <a:ln>
                                <a:solidFill>
                                  <a:schemeClr val="accent1">
                                    <a:lumMod val="75000"/>
                                  </a:schemeClr>
                                </a:solidFill>
                              </a:ln>
                            </wps:spPr>
                            <wps:style>
                              <a:lnRef idx="1">
                                <a:schemeClr val="accent1"/>
                              </a:lnRef>
                              <a:fillRef idx="2">
                                <a:schemeClr val="accent1"/>
                              </a:fillRef>
                              <a:effectRef idx="1">
                                <a:schemeClr val="accent1"/>
                              </a:effectRef>
                              <a:fontRef idx="minor">
                                <a:schemeClr val="dk1"/>
                              </a:fontRef>
                            </wps:style>
                            <wps:txbx>
                              <w:txbxContent>
                                <w:p w14:paraId="4B7A5098" w14:textId="77777777" w:rsidR="008A2166" w:rsidRPr="000F089F" w:rsidRDefault="008A2166" w:rsidP="008A2166">
                                  <w:pPr>
                                    <w:jc w:val="center"/>
                                    <w:rPr>
                                      <w:sz w:val="18"/>
                                      <w:szCs w:val="18"/>
                                    </w:rPr>
                                  </w:pPr>
                                  <w:r w:rsidRPr="000F089F">
                                    <w:rPr>
                                      <w:sz w:val="18"/>
                                      <w:szCs w:val="18"/>
                                    </w:rPr>
                                    <w:t>Plant Breeder’s Rights</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0" name="Rectangle: Rounded Corners 50"/>
                            <wps:cNvSpPr/>
                            <wps:spPr>
                              <a:xfrm>
                                <a:off x="2625665" y="2042663"/>
                                <a:ext cx="1155940" cy="284672"/>
                              </a:xfrm>
                              <a:prstGeom prst="roundRect">
                                <a:avLst/>
                              </a:prstGeom>
                              <a:solidFill>
                                <a:schemeClr val="accent1">
                                  <a:lumMod val="20000"/>
                                  <a:lumOff val="80000"/>
                                </a:schemeClr>
                              </a:solidFill>
                              <a:ln>
                                <a:solidFill>
                                  <a:schemeClr val="accent1">
                                    <a:lumMod val="75000"/>
                                  </a:schemeClr>
                                </a:solidFill>
                              </a:ln>
                            </wps:spPr>
                            <wps:style>
                              <a:lnRef idx="1">
                                <a:schemeClr val="accent1"/>
                              </a:lnRef>
                              <a:fillRef idx="2">
                                <a:schemeClr val="accent1"/>
                              </a:fillRef>
                              <a:effectRef idx="1">
                                <a:schemeClr val="accent1"/>
                              </a:effectRef>
                              <a:fontRef idx="minor">
                                <a:schemeClr val="dk1"/>
                              </a:fontRef>
                            </wps:style>
                            <wps:txbx>
                              <w:txbxContent>
                                <w:p w14:paraId="2E72BE19" w14:textId="77777777" w:rsidR="008A2166" w:rsidRPr="000F089F" w:rsidRDefault="008A2166" w:rsidP="008A2166">
                                  <w:pPr>
                                    <w:jc w:val="center"/>
                                    <w:rPr>
                                      <w:sz w:val="16"/>
                                      <w:szCs w:val="16"/>
                                    </w:rPr>
                                  </w:pPr>
                                  <w:r w:rsidRPr="000F089F">
                                    <w:rPr>
                                      <w:sz w:val="16"/>
                                      <w:szCs w:val="16"/>
                                    </w:rPr>
                                    <w:t>Trans-Tasman IP Attorney System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 name="Rectangle: Top Corners Snipped 51"/>
                            <wps:cNvSpPr/>
                            <wps:spPr>
                              <a:xfrm>
                                <a:off x="1155940" y="1107776"/>
                                <a:ext cx="956945" cy="417195"/>
                              </a:xfrm>
                              <a:prstGeom prst="snip2SameRect">
                                <a:avLst>
                                  <a:gd name="adj1" fmla="val 23817"/>
                                  <a:gd name="adj2" fmla="val 0"/>
                                </a:avLst>
                              </a:prstGeom>
                              <a:solidFill>
                                <a:srgbClr val="FFD1D1"/>
                              </a:solidFill>
                              <a:ln>
                                <a:solidFill>
                                  <a:srgbClr val="FF7575"/>
                                </a:solidFill>
                              </a:ln>
                              <a:scene3d>
                                <a:camera prst="orthographicFront"/>
                                <a:lightRig rig="threePt" dir="t"/>
                              </a:scene3d>
                              <a:sp3d>
                                <a:bevelT prst="convex"/>
                              </a:sp3d>
                            </wps:spPr>
                            <wps:style>
                              <a:lnRef idx="2">
                                <a:schemeClr val="accent1">
                                  <a:shade val="15000"/>
                                </a:schemeClr>
                              </a:lnRef>
                              <a:fillRef idx="1">
                                <a:schemeClr val="accent1"/>
                              </a:fillRef>
                              <a:effectRef idx="0">
                                <a:schemeClr val="accent1"/>
                              </a:effectRef>
                              <a:fontRef idx="minor">
                                <a:schemeClr val="lt1"/>
                              </a:fontRef>
                            </wps:style>
                            <wps:txbx>
                              <w:txbxContent>
                                <w:p w14:paraId="02F3879F" w14:textId="77777777" w:rsidR="008A2166" w:rsidRPr="007275B5" w:rsidRDefault="008A2166" w:rsidP="008A2166">
                                  <w:pPr>
                                    <w:jc w:val="center"/>
                                    <w:rPr>
                                      <w:color w:val="000000" w:themeColor="text1"/>
                                      <w:sz w:val="16"/>
                                      <w:szCs w:val="16"/>
                                    </w:rPr>
                                  </w:pPr>
                                  <w:r w:rsidRPr="007275B5">
                                    <w:rPr>
                                      <w:color w:val="000000" w:themeColor="text1"/>
                                      <w:sz w:val="16"/>
                                      <w:szCs w:val="16"/>
                                    </w:rPr>
                                    <w:t>10 Year Financial Budget Model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52" name="Rectangle: Top Corners Snipped 52"/>
                            <wps:cNvSpPr/>
                            <wps:spPr>
                              <a:xfrm>
                                <a:off x="4295955" y="1116402"/>
                                <a:ext cx="956945" cy="425929"/>
                              </a:xfrm>
                              <a:prstGeom prst="snip2SameRect">
                                <a:avLst>
                                  <a:gd name="adj1" fmla="val 23817"/>
                                  <a:gd name="adj2" fmla="val 0"/>
                                </a:avLst>
                              </a:prstGeom>
                              <a:solidFill>
                                <a:schemeClr val="accent6">
                                  <a:lumMod val="20000"/>
                                  <a:lumOff val="80000"/>
                                </a:schemeClr>
                              </a:solidFill>
                              <a:ln>
                                <a:solidFill>
                                  <a:schemeClr val="accent6">
                                    <a:lumMod val="75000"/>
                                  </a:schemeClr>
                                </a:solidFill>
                              </a:ln>
                              <a:scene3d>
                                <a:camera prst="orthographicFront"/>
                                <a:lightRig rig="threePt" dir="t"/>
                              </a:scene3d>
                              <a:sp3d>
                                <a:bevelT prst="convex"/>
                              </a:sp3d>
                            </wps:spPr>
                            <wps:style>
                              <a:lnRef idx="2">
                                <a:schemeClr val="accent1">
                                  <a:shade val="15000"/>
                                </a:schemeClr>
                              </a:lnRef>
                              <a:fillRef idx="1">
                                <a:schemeClr val="accent1"/>
                              </a:fillRef>
                              <a:effectRef idx="0">
                                <a:schemeClr val="accent1"/>
                              </a:effectRef>
                              <a:fontRef idx="minor">
                                <a:schemeClr val="lt1"/>
                              </a:fontRef>
                            </wps:style>
                            <wps:txbx>
                              <w:txbxContent>
                                <w:p w14:paraId="53A69DA0" w14:textId="77777777" w:rsidR="008A2166" w:rsidRPr="007275B5" w:rsidRDefault="008A2166" w:rsidP="008A2166">
                                  <w:pPr>
                                    <w:jc w:val="center"/>
                                    <w:rPr>
                                      <w:color w:val="000000" w:themeColor="text1"/>
                                      <w:sz w:val="16"/>
                                      <w:szCs w:val="16"/>
                                    </w:rPr>
                                  </w:pPr>
                                  <w:r>
                                    <w:rPr>
                                      <w:color w:val="000000" w:themeColor="text1"/>
                                      <w:sz w:val="16"/>
                                      <w:szCs w:val="16"/>
                                    </w:rPr>
                                    <w:t>Revenue Forecast Model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53" name="Rectangle: Top Corners Snipped 53"/>
                            <wps:cNvSpPr/>
                            <wps:spPr>
                              <a:xfrm>
                                <a:off x="2725947" y="2772674"/>
                                <a:ext cx="957484" cy="417303"/>
                              </a:xfrm>
                              <a:prstGeom prst="snip2SameRect">
                                <a:avLst>
                                  <a:gd name="adj1" fmla="val 23817"/>
                                  <a:gd name="adj2" fmla="val 0"/>
                                </a:avLst>
                              </a:prstGeom>
                              <a:solidFill>
                                <a:srgbClr val="ECD9FF"/>
                              </a:solidFill>
                              <a:ln>
                                <a:solidFill>
                                  <a:srgbClr val="7030A0"/>
                                </a:solidFill>
                              </a:ln>
                              <a:scene3d>
                                <a:camera prst="orthographicFront"/>
                                <a:lightRig rig="threePt" dir="t"/>
                              </a:scene3d>
                              <a:sp3d>
                                <a:bevelT prst="convex"/>
                              </a:sp3d>
                            </wps:spPr>
                            <wps:style>
                              <a:lnRef idx="2">
                                <a:schemeClr val="accent1">
                                  <a:shade val="15000"/>
                                </a:schemeClr>
                              </a:lnRef>
                              <a:fillRef idx="1">
                                <a:schemeClr val="accent1"/>
                              </a:fillRef>
                              <a:effectRef idx="0">
                                <a:schemeClr val="accent1"/>
                              </a:effectRef>
                              <a:fontRef idx="minor">
                                <a:schemeClr val="lt1"/>
                              </a:fontRef>
                            </wps:style>
                            <wps:txbx>
                              <w:txbxContent>
                                <w:p w14:paraId="39F9EC2D" w14:textId="77777777" w:rsidR="008A2166" w:rsidRPr="007275B5" w:rsidRDefault="008A2166" w:rsidP="008A2166">
                                  <w:pPr>
                                    <w:jc w:val="center"/>
                                    <w:rPr>
                                      <w:color w:val="000000" w:themeColor="text1"/>
                                      <w:sz w:val="16"/>
                                      <w:szCs w:val="16"/>
                                    </w:rPr>
                                  </w:pPr>
                                  <w:r>
                                    <w:rPr>
                                      <w:color w:val="000000" w:themeColor="text1"/>
                                      <w:sz w:val="16"/>
                                      <w:szCs w:val="16"/>
                                    </w:rPr>
                                    <w:t>Activity Based Costing Model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54" name="Flowchart: Multidocument 54"/>
                            <wps:cNvSpPr/>
                            <wps:spPr>
                              <a:xfrm>
                                <a:off x="5236234" y="258793"/>
                                <a:ext cx="1212850" cy="584200"/>
                              </a:xfrm>
                              <a:prstGeom prst="flowChartMultidocument">
                                <a:avLst/>
                              </a:prstGeom>
                              <a:solidFill>
                                <a:schemeClr val="accent6">
                                  <a:lumMod val="20000"/>
                                  <a:lumOff val="80000"/>
                                </a:schemeClr>
                              </a:solidFill>
                              <a:ln>
                                <a:solidFill>
                                  <a:schemeClr val="accent6">
                                    <a:lumMod val="7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3E65E27" w14:textId="77777777" w:rsidR="008A2166" w:rsidRPr="00B20E3E" w:rsidRDefault="008A2166" w:rsidP="008A2166">
                                  <w:pPr>
                                    <w:jc w:val="center"/>
                                    <w:rPr>
                                      <w:color w:val="000000" w:themeColor="text1"/>
                                      <w:sz w:val="16"/>
                                      <w:szCs w:val="16"/>
                                    </w:rPr>
                                  </w:pPr>
                                  <w:r>
                                    <w:rPr>
                                      <w:color w:val="000000" w:themeColor="text1"/>
                                      <w:sz w:val="16"/>
                                      <w:szCs w:val="16"/>
                                    </w:rPr>
                                    <w:t>IP Right’s Application Forecast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lowchart: Multidocument 55"/>
                            <wps:cNvSpPr/>
                            <wps:spPr>
                              <a:xfrm>
                                <a:off x="5253487" y="1897811"/>
                                <a:ext cx="1191943" cy="602052"/>
                              </a:xfrm>
                              <a:prstGeom prst="flowChartMultidocument">
                                <a:avLst/>
                              </a:prstGeom>
                              <a:solidFill>
                                <a:schemeClr val="accent6">
                                  <a:lumMod val="20000"/>
                                  <a:lumOff val="80000"/>
                                </a:schemeClr>
                              </a:solidFill>
                              <a:ln>
                                <a:solidFill>
                                  <a:schemeClr val="accent6">
                                    <a:lumMod val="7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7B6D5E8" w14:textId="77777777" w:rsidR="008A2166" w:rsidRPr="0057167B" w:rsidRDefault="008A2166" w:rsidP="008A2166">
                                  <w:pPr>
                                    <w:jc w:val="center"/>
                                    <w:rPr>
                                      <w:color w:val="000000" w:themeColor="text1"/>
                                      <w:sz w:val="16"/>
                                      <w:szCs w:val="16"/>
                                    </w:rPr>
                                  </w:pPr>
                                  <w:r>
                                    <w:rPr>
                                      <w:color w:val="000000" w:themeColor="text1"/>
                                      <w:sz w:val="16"/>
                                      <w:szCs w:val="16"/>
                                    </w:rPr>
                                    <w:t>IP Right’s Production &amp; Recruitment Model</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wps:wsp>
                            <wps:cNvPr id="56" name="Flowchart: Multidocument 56"/>
                            <wps:cNvSpPr/>
                            <wps:spPr>
                              <a:xfrm>
                                <a:off x="0" y="284672"/>
                                <a:ext cx="1202055" cy="568960"/>
                              </a:xfrm>
                              <a:prstGeom prst="flowChartMultidocument">
                                <a:avLst/>
                              </a:prstGeom>
                              <a:solidFill>
                                <a:srgbClr val="FFEFEF"/>
                              </a:solidFill>
                              <a:ln>
                                <a:solidFill>
                                  <a:srgbClr val="FF7575"/>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C391A05" w14:textId="77777777" w:rsidR="008A2166" w:rsidRPr="00100FBE" w:rsidRDefault="008A2166" w:rsidP="008A2166">
                                  <w:pPr>
                                    <w:jc w:val="center"/>
                                    <w:rPr>
                                      <w:color w:val="000000" w:themeColor="text1"/>
                                      <w:sz w:val="16"/>
                                      <w:szCs w:val="16"/>
                                    </w:rPr>
                                  </w:pPr>
                                  <w:r>
                                    <w:rPr>
                                      <w:color w:val="000000" w:themeColor="text1"/>
                                      <w:sz w:val="16"/>
                                      <w:szCs w:val="16"/>
                                    </w:rPr>
                                    <w:t>Operating &amp; Capital Expenditure Forecast</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57" name="Flowchart: Multidocument 57"/>
                            <wps:cNvSpPr/>
                            <wps:spPr>
                              <a:xfrm>
                                <a:off x="0" y="1915064"/>
                                <a:ext cx="1202307" cy="610679"/>
                              </a:xfrm>
                              <a:prstGeom prst="flowChartMultidocument">
                                <a:avLst/>
                              </a:prstGeom>
                              <a:solidFill>
                                <a:srgbClr val="FFEFEF"/>
                              </a:solidFill>
                              <a:ln>
                                <a:solidFill>
                                  <a:srgbClr val="FF7575"/>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A80BA7" w14:textId="516BB296" w:rsidR="008A2166" w:rsidRPr="008C14D7" w:rsidRDefault="008A2166" w:rsidP="008A2166">
                                  <w:pPr>
                                    <w:jc w:val="center"/>
                                    <w:rPr>
                                      <w:color w:val="000000" w:themeColor="text1"/>
                                      <w:sz w:val="16"/>
                                      <w:szCs w:val="16"/>
                                    </w:rPr>
                                  </w:pPr>
                                  <w:r>
                                    <w:rPr>
                                      <w:color w:val="000000" w:themeColor="text1"/>
                                      <w:sz w:val="16"/>
                                      <w:szCs w:val="16"/>
                                    </w:rPr>
                                    <w:t>IP Rights Production &amp; Recruitment Model</w:t>
                                  </w:r>
                                </w:p>
                              </w:txbxContent>
                            </wps:txbx>
                            <wps:bodyPr rot="0" spcFirstLastPara="0" vertOverflow="overflow" horzOverflow="overflow" vert="horz" wrap="square" lIns="91440" tIns="0" rIns="91440" bIns="45720" numCol="1" spcCol="0" rtlCol="0" fromWordArt="0" anchor="b" anchorCtr="0" forceAA="0" compatLnSpc="1">
                              <a:prstTxWarp prst="textNoShape">
                                <a:avLst/>
                              </a:prstTxWarp>
                              <a:noAutofit/>
                            </wps:bodyPr>
                          </wps:wsp>
                          <wps:wsp>
                            <wps:cNvPr id="58" name="Connector: Elbow 58"/>
                            <wps:cNvCnPr/>
                            <wps:spPr>
                              <a:xfrm flipH="1">
                                <a:off x="3793826" y="479844"/>
                                <a:ext cx="8627" cy="1690777"/>
                              </a:xfrm>
                              <a:prstGeom prst="bentConnector3">
                                <a:avLst>
                                  <a:gd name="adj1" fmla="val -382280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wps:spPr>
                              <a:xfrm>
                                <a:off x="2125333" y="1333860"/>
                                <a:ext cx="47049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flipH="1">
                                <a:off x="3785199" y="1333860"/>
                                <a:ext cx="49194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flipH="1">
                                <a:off x="3793826" y="919792"/>
                                <a:ext cx="32804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flipH="1">
                                <a:off x="3793826" y="1765180"/>
                                <a:ext cx="32804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Connector: Elbow 63"/>
                            <wps:cNvCnPr/>
                            <wps:spPr>
                              <a:xfrm>
                                <a:off x="513991" y="843592"/>
                                <a:ext cx="619125" cy="439947"/>
                              </a:xfrm>
                              <a:prstGeom prst="bentConnector3">
                                <a:avLst>
                                  <a:gd name="adj1" fmla="val -95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Connector: Elbow 64"/>
                            <wps:cNvCnPr/>
                            <wps:spPr>
                              <a:xfrm flipV="1">
                                <a:off x="513991" y="1420124"/>
                                <a:ext cx="619305" cy="482888"/>
                              </a:xfrm>
                              <a:prstGeom prst="bentConnector3">
                                <a:avLst>
                                  <a:gd name="adj1" fmla="val -16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 name="Connector: Elbow 65"/>
                            <wps:cNvCnPr/>
                            <wps:spPr>
                              <a:xfrm flipH="1">
                                <a:off x="5277569" y="817712"/>
                                <a:ext cx="534838" cy="465563"/>
                              </a:xfrm>
                              <a:prstGeom prst="bentConnector3">
                                <a:avLst>
                                  <a:gd name="adj1" fmla="val -162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6" name="Connector: Elbow 66"/>
                            <wps:cNvCnPr/>
                            <wps:spPr>
                              <a:xfrm flipH="1" flipV="1">
                                <a:off x="5277569" y="1420124"/>
                                <a:ext cx="551647" cy="477687"/>
                              </a:xfrm>
                              <a:prstGeom prst="bentConnector3">
                                <a:avLst>
                                  <a:gd name="adj1" fmla="val 38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wps:cNvCnPr/>
                            <wps:spPr>
                              <a:xfrm flipV="1">
                                <a:off x="3202197" y="2451699"/>
                                <a:ext cx="0" cy="3088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68" name="Connector: Elbow 68"/>
                          <wps:cNvCnPr/>
                          <wps:spPr>
                            <a:xfrm flipH="1">
                              <a:off x="2595832" y="488471"/>
                              <a:ext cx="8627" cy="1690777"/>
                            </a:xfrm>
                            <a:prstGeom prst="bentConnector3">
                              <a:avLst>
                                <a:gd name="adj1" fmla="val 394759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a:off x="2289235" y="919792"/>
                              <a:ext cx="3364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a:off x="2289235" y="1756554"/>
                              <a:ext cx="3364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709744304" name="Straight Arrow Connector 2"/>
                        <wps:cNvCnPr/>
                        <wps:spPr>
                          <a:xfrm>
                            <a:off x="6143625" y="752475"/>
                            <a:ext cx="0" cy="11191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AB38C62" id="Group 1743470435" o:spid="_x0000_s1029" alt="Figure explaining inputs to the cost recovery analysis The direct inputs are the Ten-year-financial-budget model; the Activity-based-costing model; and the Revenue-forecast model. The inputs to the Financial budget model are the Operating-and-capital-expenditure forecast, and the IP " style="width:509.5pt;height:267.5pt;mso-position-horizontal-relative:char;mso-position-vertical-relative:line" coordsize="64490,3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">
                <v:group id="Group 71" o:spid="_x0000_s1030" style="position:absolute;width:64490;height:31899" coordsize="64490,31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44" o:spid="_x0000_s1031" style="position:absolute;width:64490;height:31899" coordsize="64490,31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 o:spid="_x0000_s1032" alt="Figure 1 illustrates how each system and internal modelling tool feeds both financial and non-financial data into the one cost-recovery model, which is then used to identify the cost recovered position of each activity group." style="position:absolute;left:24844;width:14147;height:2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" fillcolor="#4472c4 [3204]" strokecolor="white [3201]" strokeweight="1.5pt">
                      <v:shadow on="t" color="black" opacity="26214f" origin=",-.5" offset="0,3pt"/>
                      <v:textbox>
                        <w:txbxContent>
                          <w:p w14:paraId="7D0D35EE" w14:textId="77777777" w:rsidR="008A2166" w:rsidRPr="004B5731" w:rsidRDefault="008A2166" w:rsidP="008A2166">
                            <w:pPr>
                              <w:jc w:val="center"/>
                              <w:rPr>
                                <w:b/>
                                <w:bCs/>
                                <w:sz w:val="16"/>
                                <w:szCs w:val="16"/>
                              </w:rPr>
                            </w:pPr>
                            <w:r w:rsidRPr="004B5731">
                              <w:rPr>
                                <w:b/>
                                <w:bCs/>
                                <w:sz w:val="16"/>
                                <w:szCs w:val="16"/>
                              </w:rPr>
                              <w:t>COST RECOVERY ANALYSIS</w:t>
                            </w:r>
                          </w:p>
                        </w:txbxContent>
                      </v:textbox>
                    </v:rect>
                    <v:roundrect id="Rectangle: Rounded Corners 46" o:spid="_x0000_s1033" style="position:absolute;left:26256;top:3518;width:11560;height:2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" fillcolor="#d9e2f3 [660]" strokecolor="#2f5496 [2404]" strokeweight=".5pt">
                      <v:stroke joinstyle="miter"/>
                      <v:textbox>
                        <w:txbxContent>
                          <w:p w14:paraId="7EDAD69B" w14:textId="77777777" w:rsidR="008A2166" w:rsidRPr="000F089F" w:rsidRDefault="008A2166" w:rsidP="008A2166">
                            <w:pPr>
                              <w:jc w:val="center"/>
                              <w:rPr>
                                <w:sz w:val="18"/>
                                <w:szCs w:val="18"/>
                              </w:rPr>
                            </w:pPr>
                            <w:r w:rsidRPr="000F089F">
                              <w:rPr>
                                <w:sz w:val="18"/>
                                <w:szCs w:val="18"/>
                              </w:rPr>
                              <w:t>Patents</w:t>
                            </w:r>
                          </w:p>
                        </w:txbxContent>
                      </v:textbox>
                    </v:roundrect>
                    <v:roundrect id="Rectangle: Rounded Corners 47" o:spid="_x0000_s1034" style="position:absolute;left:26256;top:7573;width:11560;height:2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" fillcolor="#d9e2f3 [660]" strokecolor="#2f5496 [2404]" strokeweight=".5pt">
                      <v:stroke joinstyle="miter"/>
                      <v:textbox>
                        <w:txbxContent>
                          <w:p w14:paraId="2C67EEEC" w14:textId="77777777" w:rsidR="008A2166" w:rsidRPr="000F089F" w:rsidRDefault="008A2166" w:rsidP="008A2166">
                            <w:pPr>
                              <w:jc w:val="center"/>
                              <w:rPr>
                                <w:sz w:val="18"/>
                                <w:szCs w:val="18"/>
                              </w:rPr>
                            </w:pPr>
                            <w:r w:rsidRPr="000F089F">
                              <w:rPr>
                                <w:sz w:val="18"/>
                                <w:szCs w:val="18"/>
                              </w:rPr>
                              <w:t>Trade Marks</w:t>
                            </w:r>
                          </w:p>
                        </w:txbxContent>
                      </v:textbox>
                    </v:roundrect>
                    <v:roundrect id="Rectangle: Rounded Corners 48" o:spid="_x0000_s1035" style="position:absolute;left:26256;top:11886;width:11560;height:2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" fillcolor="#d9e2f3 [660]" strokecolor="#2f5496 [2404]" strokeweight=".5pt">
                      <v:stroke joinstyle="miter"/>
                      <v:textbox>
                        <w:txbxContent>
                          <w:p w14:paraId="2A459BE4" w14:textId="77777777" w:rsidR="008A2166" w:rsidRPr="000F089F" w:rsidRDefault="008A2166" w:rsidP="008A2166">
                            <w:pPr>
                              <w:jc w:val="center"/>
                              <w:rPr>
                                <w:sz w:val="18"/>
                                <w:szCs w:val="18"/>
                              </w:rPr>
                            </w:pPr>
                            <w:r w:rsidRPr="000F089F">
                              <w:rPr>
                                <w:sz w:val="18"/>
                                <w:szCs w:val="18"/>
                              </w:rPr>
                              <w:t>Designs</w:t>
                            </w:r>
                          </w:p>
                        </w:txbxContent>
                      </v:textbox>
                    </v:roundrect>
                    <v:roundrect id="Rectangle: Rounded Corners 49" o:spid="_x0000_s1036" style="position:absolute;left:26342;top:16199;width:11560;height:2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" fillcolor="#d9e2f3 [660]" strokecolor="#2f5496 [2404]" strokeweight=".5pt">
                      <v:stroke joinstyle="miter"/>
                      <v:textbox inset="0,,0">
                        <w:txbxContent>
                          <w:p w14:paraId="4B7A5098" w14:textId="77777777" w:rsidR="008A2166" w:rsidRPr="000F089F" w:rsidRDefault="008A2166" w:rsidP="008A2166">
                            <w:pPr>
                              <w:jc w:val="center"/>
                              <w:rPr>
                                <w:sz w:val="18"/>
                                <w:szCs w:val="18"/>
                              </w:rPr>
                            </w:pPr>
                            <w:r w:rsidRPr="000F089F">
                              <w:rPr>
                                <w:sz w:val="18"/>
                                <w:szCs w:val="18"/>
                              </w:rPr>
                              <w:t>Plant Breeder’s Rights</w:t>
                            </w:r>
                          </w:p>
                        </w:txbxContent>
                      </v:textbox>
                    </v:roundrect>
                    <v:roundrect id="Rectangle: Rounded Corners 50" o:spid="_x0000_s1037" style="position:absolute;left:26256;top:20426;width:11560;height:2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" fillcolor="#d9e2f3 [660]" strokecolor="#2f5496 [2404]" strokeweight=".5pt">
                      <v:stroke joinstyle="miter"/>
                      <v:textbox inset="0,0,0,0">
                        <w:txbxContent>
                          <w:p w14:paraId="2E72BE19" w14:textId="77777777" w:rsidR="008A2166" w:rsidRPr="000F089F" w:rsidRDefault="008A2166" w:rsidP="008A2166">
                            <w:pPr>
                              <w:jc w:val="center"/>
                              <w:rPr>
                                <w:sz w:val="16"/>
                                <w:szCs w:val="16"/>
                              </w:rPr>
                            </w:pPr>
                            <w:r w:rsidRPr="000F089F">
                              <w:rPr>
                                <w:sz w:val="16"/>
                                <w:szCs w:val="16"/>
                              </w:rPr>
                              <w:t>Trans-Tasman IP Attorney System</w:t>
                            </w:r>
                          </w:p>
                        </w:txbxContent>
                      </v:textbox>
                    </v:roundrect>
                    <v:shape id="Rectangle: Top Corners Snipped 51" o:spid="_x0000_s1038" style="position:absolute;left:11559;top:11077;width:9569;height:4172;visibility:visible;mso-wrap-style:square;v-text-anchor:bottom" coordsize="956945,4171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" adj="-11796480,,5400" path="m99363,l857582,r99363,99363l956945,417195r,l,417195r,l,99363,99363,xe" fillcolor="#ffd1d1" strokecolor="#ff7575" strokeweight="1pt">
                      <v:stroke joinstyle="miter"/>
                      <v:formulas/>
                      <v:path arrowok="t" o:connecttype="custom" o:connectlocs="99363,0;857582,0;956945,99363;956945,417195;956945,417195;0,417195;0,417195;0,99363;99363,0" o:connectangles="0,0,0,0,0,0,0,0,0" textboxrect="0,0,956945,417195"/>
                      <v:textbox inset="0,0,0,0">
                        <w:txbxContent>
                          <w:p w14:paraId="02F3879F" w14:textId="77777777" w:rsidR="008A2166" w:rsidRPr="007275B5" w:rsidRDefault="008A2166" w:rsidP="008A2166">
                            <w:pPr>
                              <w:jc w:val="center"/>
                              <w:rPr>
                                <w:color w:val="000000" w:themeColor="text1"/>
                                <w:sz w:val="16"/>
                                <w:szCs w:val="16"/>
                              </w:rPr>
                            </w:pPr>
                            <w:r w:rsidRPr="007275B5">
                              <w:rPr>
                                <w:color w:val="000000" w:themeColor="text1"/>
                                <w:sz w:val="16"/>
                                <w:szCs w:val="16"/>
                              </w:rPr>
                              <w:t>10 Year Financial Budget Model</w:t>
                            </w:r>
                          </w:p>
                        </w:txbxContent>
                      </v:textbox>
                    </v:shape>
                    <v:shape id="Rectangle: Top Corners Snipped 52" o:spid="_x0000_s1039" style="position:absolute;left:42959;top:11164;width:9570;height:4259;visibility:visible;mso-wrap-style:square;v-text-anchor:bottom" coordsize="956945,4259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" adj="-11796480,,5400" path="m101444,l855501,,956945,101444r,324485l956945,425929,,425929r,l,101444,101444,xe" fillcolor="#e2efd9 [665]" strokecolor="#538135 [2409]" strokeweight="1pt">
                      <v:stroke joinstyle="miter"/>
                      <v:formulas/>
                      <v:path arrowok="t" o:connecttype="custom" o:connectlocs="101444,0;855501,0;956945,101444;956945,425929;956945,425929;0,425929;0,425929;0,101444;101444,0" o:connectangles="0,0,0,0,0,0,0,0,0" textboxrect="0,0,956945,425929"/>
                      <v:textbox inset="0,0,0,0">
                        <w:txbxContent>
                          <w:p w14:paraId="53A69DA0" w14:textId="77777777" w:rsidR="008A2166" w:rsidRPr="007275B5" w:rsidRDefault="008A2166" w:rsidP="008A2166">
                            <w:pPr>
                              <w:jc w:val="center"/>
                              <w:rPr>
                                <w:color w:val="000000" w:themeColor="text1"/>
                                <w:sz w:val="16"/>
                                <w:szCs w:val="16"/>
                              </w:rPr>
                            </w:pPr>
                            <w:r>
                              <w:rPr>
                                <w:color w:val="000000" w:themeColor="text1"/>
                                <w:sz w:val="16"/>
                                <w:szCs w:val="16"/>
                              </w:rPr>
                              <w:t>Revenue Forecast Model</w:t>
                            </w:r>
                          </w:p>
                        </w:txbxContent>
                      </v:textbox>
                    </v:shape>
                    <v:shape id="Rectangle: Top Corners Snipped 53" o:spid="_x0000_s1040" style="position:absolute;left:27259;top:27726;width:9575;height:4173;visibility:visible;mso-wrap-style:square;v-text-anchor:bottom" coordsize="957484,4173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" adj="-11796480,,5400" path="m99389,l858095,r99389,99389l957484,417303r,l,417303r,l,99389,99389,xe" fillcolor="#ecd9ff" strokecolor="#7030a0" strokeweight="1pt">
                      <v:stroke joinstyle="miter"/>
                      <v:formulas/>
                      <v:path arrowok="t" o:connecttype="custom" o:connectlocs="99389,0;858095,0;957484,99389;957484,417303;957484,417303;0,417303;0,417303;0,99389;99389,0" o:connectangles="0,0,0,0,0,0,0,0,0" textboxrect="0,0,957484,417303"/>
                      <v:textbox inset="0,0,0,0">
                        <w:txbxContent>
                          <w:p w14:paraId="39F9EC2D" w14:textId="77777777" w:rsidR="008A2166" w:rsidRPr="007275B5" w:rsidRDefault="008A2166" w:rsidP="008A2166">
                            <w:pPr>
                              <w:jc w:val="center"/>
                              <w:rPr>
                                <w:color w:val="000000" w:themeColor="text1"/>
                                <w:sz w:val="16"/>
                                <w:szCs w:val="16"/>
                              </w:rPr>
                            </w:pPr>
                            <w:r>
                              <w:rPr>
                                <w:color w:val="000000" w:themeColor="text1"/>
                                <w:sz w:val="16"/>
                                <w:szCs w:val="16"/>
                              </w:rPr>
                              <w:t>Activity Based Costing Model</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54" o:spid="_x0000_s1041" type="#_x0000_t115" style="position:absolute;left:52362;top:2587;width:12128;height:5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" fillcolor="#e2efd9 [665]" strokecolor="#538135 [2409]" strokeweight="1pt">
                      <v:shadow on="t" color="black" opacity="26214f" origin=",-.5" offset="0,3pt"/>
                      <v:textbox>
                        <w:txbxContent>
                          <w:p w14:paraId="43E65E27" w14:textId="77777777" w:rsidR="008A2166" w:rsidRPr="00B20E3E" w:rsidRDefault="008A2166" w:rsidP="008A2166">
                            <w:pPr>
                              <w:jc w:val="center"/>
                              <w:rPr>
                                <w:color w:val="000000" w:themeColor="text1"/>
                                <w:sz w:val="16"/>
                                <w:szCs w:val="16"/>
                              </w:rPr>
                            </w:pPr>
                            <w:r>
                              <w:rPr>
                                <w:color w:val="000000" w:themeColor="text1"/>
                                <w:sz w:val="16"/>
                                <w:szCs w:val="16"/>
                              </w:rPr>
                              <w:t>IP Right’s Application Forecast</w:t>
                            </w:r>
                          </w:p>
                        </w:txbxContent>
                      </v:textbox>
                    </v:shape>
                    <v:shape id="Flowchart: Multidocument 55" o:spid="_x0000_s1042" type="#_x0000_t115" style="position:absolute;left:52534;top:18978;width:11920;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" fillcolor="#e2efd9 [665]" strokecolor="#538135 [2409]" strokeweight="1pt">
                      <v:shadow on="t" color="black" opacity="26214f" origin=",-.5" offset="0,3pt"/>
                      <v:textbox inset=",0">
                        <w:txbxContent>
                          <w:p w14:paraId="77B6D5E8" w14:textId="77777777" w:rsidR="008A2166" w:rsidRPr="0057167B" w:rsidRDefault="008A2166" w:rsidP="008A2166">
                            <w:pPr>
                              <w:jc w:val="center"/>
                              <w:rPr>
                                <w:color w:val="000000" w:themeColor="text1"/>
                                <w:sz w:val="16"/>
                                <w:szCs w:val="16"/>
                              </w:rPr>
                            </w:pPr>
                            <w:r>
                              <w:rPr>
                                <w:color w:val="000000" w:themeColor="text1"/>
                                <w:sz w:val="16"/>
                                <w:szCs w:val="16"/>
                              </w:rPr>
                              <w:t>IP Right’s Production &amp; Recruitment Model</w:t>
                            </w:r>
                          </w:p>
                        </w:txbxContent>
                      </v:textbox>
                    </v:shape>
                    <v:shape id="Flowchart: Multidocument 56" o:spid="_x0000_s1043" type="#_x0000_t115" style="position:absolute;top:2846;width:12020;height:5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" fillcolor="#ffefef" strokecolor="#ff7575" strokeweight="1pt">
                      <v:shadow on="t" color="black" opacity="26214f" origin=",-.5" offset="0,3pt"/>
                      <v:textbox inset="2mm,,2mm">
                        <w:txbxContent>
                          <w:p w14:paraId="3C391A05" w14:textId="77777777" w:rsidR="008A2166" w:rsidRPr="00100FBE" w:rsidRDefault="008A2166" w:rsidP="008A2166">
                            <w:pPr>
                              <w:jc w:val="center"/>
                              <w:rPr>
                                <w:color w:val="000000" w:themeColor="text1"/>
                                <w:sz w:val="16"/>
                                <w:szCs w:val="16"/>
                              </w:rPr>
                            </w:pPr>
                            <w:r>
                              <w:rPr>
                                <w:color w:val="000000" w:themeColor="text1"/>
                                <w:sz w:val="16"/>
                                <w:szCs w:val="16"/>
                              </w:rPr>
                              <w:t>Operating &amp; Capital Expenditure Forecast</w:t>
                            </w:r>
                          </w:p>
                        </w:txbxContent>
                      </v:textbox>
                    </v:shape>
                    <v:shape id="Flowchart: Multidocument 57" o:spid="_x0000_s1044" type="#_x0000_t115" style="position:absolute;top:19150;width:12023;height:610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" fillcolor="#ffefef" strokecolor="#ff7575" strokeweight="1pt">
                      <v:shadow on="t" color="black" opacity="26214f" origin=",-.5" offset="0,3pt"/>
                      <v:textbox inset=",0">
                        <w:txbxContent>
                          <w:p w14:paraId="75A80BA7" w14:textId="516BB296" w:rsidR="008A2166" w:rsidRPr="008C14D7" w:rsidRDefault="008A2166" w:rsidP="008A2166">
                            <w:pPr>
                              <w:jc w:val="center"/>
                              <w:rPr>
                                <w:color w:val="000000" w:themeColor="text1"/>
                                <w:sz w:val="16"/>
                                <w:szCs w:val="16"/>
                              </w:rPr>
                            </w:pPr>
                            <w:r>
                              <w:rPr>
                                <w:color w:val="000000" w:themeColor="text1"/>
                                <w:sz w:val="16"/>
                                <w:szCs w:val="16"/>
                              </w:rPr>
                              <w:t>IP Rights Production &amp; Recruitment Model</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8" o:spid="_x0000_s1045" type="#_x0000_t34" style="position:absolute;left:37938;top:4798;width:86;height:1690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" adj="-825725" strokecolor="black [3213]" strokeweight=".5pt">
                      <v:stroke startarrow="block" endarrow="block"/>
                    </v:shape>
                    <v:shapetype id="_x0000_t32" coordsize="21600,21600" o:spt="32" o:oned="t" path="m,l21600,21600e" filled="f">
                      <v:path arrowok="t" fillok="f" o:connecttype="none"/>
                      <o:lock v:ext="edit" shapetype="t"/>
                    </v:shapetype>
                    <v:shape id="Straight Arrow Connector 59" o:spid="_x0000_s1046" type="#_x0000_t32" style="position:absolute;left:21253;top:13338;width:4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" strokecolor="black [3213]" strokeweight=".5pt">
                      <v:stroke endarrow="block" joinstyle="miter"/>
                    </v:shape>
                    <v:shape id="Straight Arrow Connector 60" o:spid="_x0000_s1047" type="#_x0000_t32" style="position:absolute;left:37851;top:13338;width:49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" strokecolor="black [3213]" strokeweight=".5pt">
                      <v:stroke endarrow="block" joinstyle="miter"/>
                    </v:shape>
                    <v:shape id="Straight Arrow Connector 61" o:spid="_x0000_s1048" type="#_x0000_t32" style="position:absolute;left:37938;top:9197;width:32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" strokecolor="black [3213]" strokeweight=".5pt">
                      <v:stroke endarrow="block" joinstyle="miter"/>
                    </v:shape>
                    <v:shape id="Straight Arrow Connector 62" o:spid="_x0000_s1049" type="#_x0000_t32" style="position:absolute;left:37938;top:17651;width:32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" strokecolor="black [3213]" strokeweight=".5pt">
                      <v:stroke endarrow="block" joinstyle="miter"/>
                    </v:shape>
                    <v:shape id="Connector: Elbow 63" o:spid="_x0000_s1050" type="#_x0000_t34" style="position:absolute;left:5139;top:8435;width:6192;height:44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" adj="-207" strokecolor="black [3213]" strokeweight=".5pt">
                      <v:stroke endarrow="block"/>
                    </v:shape>
                    <v:shape id="Connector: Elbow 64" o:spid="_x0000_s1051" type="#_x0000_t34" style="position:absolute;left:5139;top:14201;width:6193;height:482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" adj="-35" strokecolor="black [3213]" strokeweight=".5pt">
                      <v:stroke endarrow="block"/>
                    </v:shape>
                    <v:shape id="Connector: Elbow 65" o:spid="_x0000_s1052" type="#_x0000_t34" style="position:absolute;left:52775;top:8177;width:5349;height:465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" adj="-352" strokecolor="black [3213]" strokeweight=".5pt">
                      <v:stroke endarrow="block"/>
                    </v:shape>
                    <v:shape id="Connector: Elbow 66" o:spid="_x0000_s1053" type="#_x0000_t34" style="position:absolute;left:52775;top:14201;width:5517;height:4777;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" adj="84" strokecolor="black [3213]" strokeweight=".5pt">
                      <v:stroke endarrow="block"/>
                    </v:shape>
                    <v:shape id="Straight Arrow Connector 67" o:spid="_x0000_s1054" type="#_x0000_t32" style="position:absolute;left:32021;top:24516;width:0;height:30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" strokecolor="black [3213]" strokeweight=".5pt">
                      <v:stroke endarrow="block" joinstyle="miter"/>
                    </v:shape>
                  </v:group>
                  <v:shape id="Connector: Elbow 68" o:spid="_x0000_s1055" type="#_x0000_t34" style="position:absolute;left:25958;top:4884;width:86;height:1690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" adj="852681" strokecolor="black [3213]" strokeweight=".5pt">
                    <v:stroke startarrow="block" endarrow="block"/>
                  </v:shape>
                  <v:shape id="Straight Arrow Connector 69" o:spid="_x0000_s1056" type="#_x0000_t32" style="position:absolute;left:22892;top:9197;width:33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" strokecolor="black [3213]" strokeweight=".5pt">
                    <v:stroke endarrow="block" joinstyle="miter"/>
                  </v:shape>
                  <v:shape id="Straight Arrow Connector 70" o:spid="_x0000_s1057" type="#_x0000_t32" style="position:absolute;left:22892;top:17565;width:33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" strokecolor="black [3213]" strokeweight=".5pt">
                    <v:stroke endarrow="block" joinstyle="miter"/>
                  </v:shape>
                </v:group>
                <v:shape id="Straight Arrow Connector 2" o:spid="_x0000_s1058" type="#_x0000_t32" style="position:absolute;left:61436;top:7524;width:0;height:11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" strokecolor="black [3213]" strokeweight=".5pt">
                  <v:stroke endarrow="block" joinstyle="miter"/>
                </v:shape>
                <w10:anchorlock/>
              </v:group>
            </w:pict>
          </mc:Fallback>
        </mc:AlternateContent>
      </w:r>
    </w:p>
    <w:p w14:paraId="1FC0F485" w14:textId="72E1DA20" w:rsidR="008A2166" w:rsidRPr="001B677A" w:rsidRDefault="008A2166" w:rsidP="004F6E8D">
      <w:pPr>
        <w:spacing w:before="5280" w:after="80"/>
      </w:pPr>
      <w:r w:rsidRPr="001B677A">
        <w:lastRenderedPageBreak/>
        <w:t>IP Australia’s cost recovery model allows IP Australia to test scenarios around the financial variables including:</w:t>
      </w:r>
    </w:p>
    <w:p w14:paraId="48716590" w14:textId="598CE264" w:rsidR="008A2166" w:rsidRPr="001B677A" w:rsidRDefault="008A2166" w:rsidP="004B438F">
      <w:pPr>
        <w:numPr>
          <w:ilvl w:val="0"/>
          <w:numId w:val="20"/>
        </w:numPr>
        <w:spacing w:after="80" w:line="240" w:lineRule="auto"/>
        <w:ind w:left="567" w:hanging="578"/>
      </w:pPr>
      <w:r w:rsidRPr="001B677A">
        <w:t>revenue forecasts driven by projected demand for IP Australia’s products and services</w:t>
      </w:r>
    </w:p>
    <w:p w14:paraId="41521796" w14:textId="77777777" w:rsidR="008A2166" w:rsidRPr="001B677A" w:rsidRDefault="008A2166" w:rsidP="004B438F">
      <w:pPr>
        <w:numPr>
          <w:ilvl w:val="0"/>
          <w:numId w:val="20"/>
        </w:numPr>
        <w:spacing w:after="80" w:line="240" w:lineRule="auto"/>
        <w:ind w:left="567" w:hanging="578"/>
      </w:pPr>
      <w:r w:rsidRPr="001B677A">
        <w:t>trends within the IP rights product lifecycle (e.g., changes in renewal activity)</w:t>
      </w:r>
    </w:p>
    <w:p w14:paraId="055F99E8" w14:textId="77777777" w:rsidR="008A2166" w:rsidRPr="001B677A" w:rsidRDefault="008A2166" w:rsidP="004B438F">
      <w:pPr>
        <w:numPr>
          <w:ilvl w:val="0"/>
          <w:numId w:val="20"/>
        </w:numPr>
        <w:spacing w:after="80" w:line="240" w:lineRule="auto"/>
        <w:ind w:left="567" w:hanging="578"/>
      </w:pPr>
      <w:r w:rsidRPr="001B677A">
        <w:t>operational resource requirements (people, infrastructure, and systems as well as external support) to meet forecast workloads and achieve customer service level standards (e.g., processing times)</w:t>
      </w:r>
    </w:p>
    <w:p w14:paraId="3FA0068A" w14:textId="4B27FDEF" w:rsidR="008A2166" w:rsidRPr="001B677A" w:rsidRDefault="008A2166" w:rsidP="004B438F">
      <w:pPr>
        <w:numPr>
          <w:ilvl w:val="0"/>
          <w:numId w:val="20"/>
        </w:numPr>
        <w:spacing w:after="80" w:line="240" w:lineRule="auto"/>
        <w:ind w:left="567" w:hanging="578"/>
      </w:pPr>
      <w:r w:rsidRPr="001B677A">
        <w:t>changes to input costs (such as labour costs, lease costs</w:t>
      </w:r>
      <w:r w:rsidR="006F2BD9">
        <w:t xml:space="preserve"> and</w:t>
      </w:r>
      <w:r w:rsidRPr="001B677A">
        <w:t xml:space="preserve"> corporate overheads)</w:t>
      </w:r>
    </w:p>
    <w:p w14:paraId="7927AAE1" w14:textId="201F519C" w:rsidR="008A2166" w:rsidRPr="001B677A" w:rsidRDefault="008A2166" w:rsidP="004B438F">
      <w:pPr>
        <w:numPr>
          <w:ilvl w:val="0"/>
          <w:numId w:val="20"/>
        </w:numPr>
        <w:spacing w:after="80" w:line="240" w:lineRule="auto"/>
        <w:ind w:left="567" w:hanging="578"/>
      </w:pPr>
      <w:r w:rsidRPr="001B677A">
        <w:t xml:space="preserve">plans for capital expenditure and related depreciation expense, to deliver important </w:t>
      </w:r>
      <w:r w:rsidR="002F52A3">
        <w:t>I</w:t>
      </w:r>
      <w:r w:rsidR="005469A5">
        <w:t xml:space="preserve">nformation and </w:t>
      </w:r>
      <w:r w:rsidR="002F52A3">
        <w:t>C</w:t>
      </w:r>
      <w:r w:rsidR="005469A5">
        <w:t xml:space="preserve">ommunication </w:t>
      </w:r>
      <w:r w:rsidR="002F52A3">
        <w:t>T</w:t>
      </w:r>
      <w:r w:rsidR="005469A5">
        <w:t>echnology</w:t>
      </w:r>
      <w:r w:rsidR="002F52A3">
        <w:t xml:space="preserve"> (ICT)</w:t>
      </w:r>
      <w:r w:rsidRPr="001B677A">
        <w:t xml:space="preserve"> modernisation programs linked to greater customer ease of use and access, as well as the efficient and reliable management of IP rights data during the application, examination/registration, and renewals process</w:t>
      </w:r>
    </w:p>
    <w:p w14:paraId="01D37646" w14:textId="0621F8C7" w:rsidR="008A2166" w:rsidRPr="001B677A" w:rsidRDefault="008A2166" w:rsidP="004B438F">
      <w:pPr>
        <w:numPr>
          <w:ilvl w:val="0"/>
          <w:numId w:val="20"/>
        </w:numPr>
        <w:spacing w:line="240" w:lineRule="auto"/>
        <w:ind w:left="567" w:hanging="578"/>
      </w:pPr>
      <w:r w:rsidRPr="001B677A">
        <w:t>external factors such as interest rates and foreign</w:t>
      </w:r>
      <w:r w:rsidR="004E6215">
        <w:t>-</w:t>
      </w:r>
      <w:r w:rsidRPr="001B677A">
        <w:t>exchange movements</w:t>
      </w:r>
      <w:r w:rsidR="004B438F">
        <w:t>.</w:t>
      </w:r>
    </w:p>
    <w:p w14:paraId="7A40B332" w14:textId="77777777" w:rsidR="008A2166" w:rsidRDefault="008A2166" w:rsidP="008A2166">
      <w:r w:rsidRPr="00F33872">
        <w:t>The model enables planning on how these scenarios may impact IP Australia’s financial position, cost recovery outcomes for activity groups, and possible consequences for customers as they navigate the typical IP rights lifecycle.</w:t>
      </w:r>
    </w:p>
    <w:p w14:paraId="1F277629" w14:textId="77777777" w:rsidR="008A2166" w:rsidRPr="000C1492" w:rsidRDefault="008A2166" w:rsidP="008A2166">
      <w:r w:rsidRPr="000C1492">
        <w:t>Forecasts are done over a 10-year period and consider the related nature of the services provided to customers in each of the cost recovered activities. For example, a patent customer may lodge an application but never proceed to examination, or they may have their application examined but not gain acceptance and have the patent granted, or they may have the patent granted only to have it lapse when they stop renewing it after a few years. The long-term modelling takes these relationships and ratios into consideration when forecasting required work effort and fee generated revenues.</w:t>
      </w:r>
    </w:p>
    <w:p w14:paraId="47ECB313" w14:textId="483B5388" w:rsidR="008A2166" w:rsidRPr="000C1492" w:rsidRDefault="008A2166" w:rsidP="008A2166">
      <w:r w:rsidRPr="000C1492">
        <w:t xml:space="preserve">Despite the need to model and forecast the financial impacts to the organisation of longer cycles for IP rights, IP Australia must also ensure it meets its planning, budgeting, and reporting obligations, under the </w:t>
      </w:r>
      <w:r w:rsidRPr="00F719B6">
        <w:rPr>
          <w:i/>
          <w:iCs/>
        </w:rPr>
        <w:t>P</w:t>
      </w:r>
      <w:r w:rsidR="00433F09" w:rsidRPr="00F719B6">
        <w:rPr>
          <w:i/>
          <w:iCs/>
        </w:rPr>
        <w:t xml:space="preserve">ublic Governance, </w:t>
      </w:r>
      <w:r w:rsidRPr="00F719B6">
        <w:rPr>
          <w:i/>
          <w:iCs/>
        </w:rPr>
        <w:t>P</w:t>
      </w:r>
      <w:r w:rsidR="00433F09" w:rsidRPr="00F719B6">
        <w:rPr>
          <w:i/>
          <w:iCs/>
        </w:rPr>
        <w:t xml:space="preserve">erformance and </w:t>
      </w:r>
      <w:r w:rsidRPr="00F719B6">
        <w:rPr>
          <w:i/>
          <w:iCs/>
        </w:rPr>
        <w:t>A</w:t>
      </w:r>
      <w:r w:rsidR="00433F09" w:rsidRPr="00F719B6">
        <w:rPr>
          <w:i/>
          <w:iCs/>
        </w:rPr>
        <w:t>ccountability</w:t>
      </w:r>
      <w:r w:rsidRPr="00F719B6">
        <w:rPr>
          <w:i/>
          <w:iCs/>
        </w:rPr>
        <w:t xml:space="preserve"> Act </w:t>
      </w:r>
      <w:r w:rsidR="00F719B6" w:rsidRPr="00F719B6">
        <w:rPr>
          <w:i/>
          <w:iCs/>
        </w:rPr>
        <w:t>2013</w:t>
      </w:r>
      <w:r w:rsidR="00F719B6">
        <w:t xml:space="preserve"> (PGPA Act) </w:t>
      </w:r>
      <w:r w:rsidRPr="000C1492">
        <w:t xml:space="preserve">over the shorter </w:t>
      </w:r>
      <w:r w:rsidR="00F719B6">
        <w:t>4</w:t>
      </w:r>
      <w:r w:rsidRPr="000C1492">
        <w:t xml:space="preserve">-year period. </w:t>
      </w:r>
      <w:r w:rsidRPr="002B63C3">
        <w:t>IP Australia finds that a fee review conducted once every four years is sufficient for our financial planning, and less disruptive for our customers.</w:t>
      </w:r>
    </w:p>
    <w:p w14:paraId="5F763A88" w14:textId="25093CD0" w:rsidR="008A2166" w:rsidRPr="00D57921" w:rsidRDefault="008A2166" w:rsidP="00494778">
      <w:pPr>
        <w:pStyle w:val="Heading2"/>
      </w:pPr>
      <w:bookmarkStart w:id="24" w:name="_Toc146552208"/>
      <w:r w:rsidRPr="00D57921">
        <w:t>Outputs and business processes of the activity</w:t>
      </w:r>
      <w:bookmarkEnd w:id="24"/>
    </w:p>
    <w:p w14:paraId="6B6D0F11" w14:textId="77777777" w:rsidR="008A2166" w:rsidRPr="001614E9" w:rsidRDefault="008A2166" w:rsidP="008A2166">
      <w:pPr>
        <w:rPr>
          <w:rFonts w:eastAsia="SimSun"/>
          <w:iCs/>
        </w:rPr>
      </w:pPr>
      <w:r w:rsidRPr="001614E9">
        <w:rPr>
          <w:rFonts w:eastAsia="SimSun"/>
          <w:iCs/>
        </w:rPr>
        <w:t>The primary outputs of IP Australia’s activity groups are listed below:</w:t>
      </w:r>
    </w:p>
    <w:p w14:paraId="51E800BA" w14:textId="77777777" w:rsidR="008A2166" w:rsidRPr="001614E9" w:rsidRDefault="008A2166" w:rsidP="00D328D6">
      <w:pPr>
        <w:spacing w:after="80"/>
        <w:rPr>
          <w:rFonts w:eastAsia="SimSun"/>
          <w:iCs/>
        </w:rPr>
      </w:pPr>
      <w:r w:rsidRPr="001614E9">
        <w:rPr>
          <w:rFonts w:eastAsia="SimSun"/>
          <w:b/>
          <w:bCs/>
          <w:iCs/>
        </w:rPr>
        <w:t>Receipt of Patent applications</w:t>
      </w:r>
    </w:p>
    <w:p w14:paraId="4C70BBA8" w14:textId="4741A421" w:rsidR="008A2166" w:rsidRPr="001614E9" w:rsidRDefault="008A2166" w:rsidP="008A2166">
      <w:pPr>
        <w:rPr>
          <w:rFonts w:eastAsia="SimSun"/>
        </w:rPr>
      </w:pPr>
      <w:r w:rsidRPr="001614E9">
        <w:rPr>
          <w:rFonts w:eastAsia="SimSun"/>
          <w:iCs/>
        </w:rPr>
        <w:t xml:space="preserve">A patent application </w:t>
      </w:r>
      <w:r>
        <w:rPr>
          <w:rFonts w:eastAsia="SimSun"/>
          <w:iCs/>
        </w:rPr>
        <w:t>seeks</w:t>
      </w:r>
      <w:r w:rsidRPr="001614E9">
        <w:rPr>
          <w:rFonts w:eastAsia="SimSun"/>
          <w:iCs/>
        </w:rPr>
        <w:t xml:space="preserve"> long-term protection and control over an invention. A patent can last for up to 20 years from the filing date of a complete application (or up to 25 years for pharmaceutical substances). Before a standard patent can be granted, the complete application must be examined by IP Australia.</w:t>
      </w:r>
    </w:p>
    <w:p w14:paraId="1BDBFEF0" w14:textId="017AE435" w:rsidR="008A2166" w:rsidRPr="001614E9" w:rsidRDefault="008A2166" w:rsidP="008A2166">
      <w:pPr>
        <w:rPr>
          <w:rFonts w:eastAsia="SimSun"/>
          <w:iCs/>
        </w:rPr>
      </w:pPr>
      <w:r w:rsidRPr="001614E9">
        <w:rPr>
          <w:rFonts w:eastAsia="SimSun"/>
          <w:iCs/>
        </w:rPr>
        <w:t>Most patent applications lodged with IP Australia are National Phase Entries (NPE)</w:t>
      </w:r>
      <w:r>
        <w:rPr>
          <w:rFonts w:eastAsia="SimSun"/>
          <w:iCs/>
        </w:rPr>
        <w:t xml:space="preserve"> </w:t>
      </w:r>
      <w:r w:rsidRPr="6CADDF5E">
        <w:rPr>
          <w:rFonts w:eastAsia="SimSun"/>
        </w:rPr>
        <w:t xml:space="preserve">and NPE volumes are based on </w:t>
      </w:r>
      <w:r w:rsidRPr="001614E9">
        <w:rPr>
          <w:rFonts w:eastAsia="SimSun"/>
          <w:iCs/>
        </w:rPr>
        <w:t>international filings that have been lodged with the World Intellectual Property Organization (WIPO</w:t>
      </w:r>
      <w:r w:rsidRPr="6CADDF5E">
        <w:rPr>
          <w:rFonts w:eastAsia="SimSun"/>
        </w:rPr>
        <w:t>)</w:t>
      </w:r>
      <w:r>
        <w:rPr>
          <w:rFonts w:eastAsia="SimSun"/>
        </w:rPr>
        <w:t xml:space="preserve">. </w:t>
      </w:r>
      <w:r>
        <w:rPr>
          <w:rFonts w:eastAsia="SimSun"/>
          <w:iCs/>
        </w:rPr>
        <w:t>F</w:t>
      </w:r>
      <w:r w:rsidRPr="001614E9">
        <w:rPr>
          <w:rFonts w:eastAsia="SimSun"/>
          <w:iCs/>
        </w:rPr>
        <w:t xml:space="preserve">orecast </w:t>
      </w:r>
      <w:r>
        <w:rPr>
          <w:rFonts w:eastAsia="SimSun"/>
          <w:iCs/>
        </w:rPr>
        <w:t xml:space="preserve">volumes are based </w:t>
      </w:r>
      <w:r w:rsidRPr="00E363CF">
        <w:rPr>
          <w:rFonts w:eastAsia="SimSun"/>
          <w:iCs/>
        </w:rPr>
        <w:t>on regression analysis, historic trend</w:t>
      </w:r>
      <w:r>
        <w:rPr>
          <w:rFonts w:eastAsia="SimSun"/>
          <w:iCs/>
        </w:rPr>
        <w:t xml:space="preserve"> analysis</w:t>
      </w:r>
      <w:r w:rsidRPr="001614E9">
        <w:rPr>
          <w:rFonts w:eastAsia="SimSun"/>
          <w:iCs/>
        </w:rPr>
        <w:t xml:space="preserve">, </w:t>
      </w:r>
      <w:r>
        <w:rPr>
          <w:rFonts w:eastAsia="SimSun"/>
          <w:iCs/>
        </w:rPr>
        <w:t xml:space="preserve">divisional versus non-divisional, country of origin, </w:t>
      </w:r>
      <w:r w:rsidRPr="001614E9">
        <w:rPr>
          <w:rFonts w:eastAsia="SimSun"/>
          <w:iCs/>
        </w:rPr>
        <w:t>current economic conditions</w:t>
      </w:r>
      <w:r w:rsidR="006F2BD9">
        <w:rPr>
          <w:rFonts w:eastAsia="SimSun"/>
          <w:iCs/>
        </w:rPr>
        <w:t xml:space="preserve"> and</w:t>
      </w:r>
      <w:r w:rsidRPr="001614E9">
        <w:rPr>
          <w:rFonts w:eastAsia="SimSun"/>
          <w:iCs/>
        </w:rPr>
        <w:t xml:space="preserve"> any external influences</w:t>
      </w:r>
      <w:r w:rsidR="00C14AB0">
        <w:rPr>
          <w:rFonts w:eastAsia="SimSun"/>
          <w:iCs/>
        </w:rPr>
        <w:t>,</w:t>
      </w:r>
      <w:r w:rsidRPr="001614E9">
        <w:rPr>
          <w:rFonts w:eastAsia="SimSun"/>
          <w:iCs/>
        </w:rPr>
        <w:t xml:space="preserve"> </w:t>
      </w:r>
      <w:r w:rsidR="008028C0">
        <w:rPr>
          <w:rFonts w:eastAsia="SimSun"/>
          <w:iCs/>
        </w:rPr>
        <w:t>that is</w:t>
      </w:r>
      <w:r w:rsidRPr="001614E9">
        <w:rPr>
          <w:rFonts w:eastAsia="SimSun"/>
          <w:iCs/>
        </w:rPr>
        <w:t>, legislation changes.</w:t>
      </w:r>
    </w:p>
    <w:p w14:paraId="05B748BD" w14:textId="77777777" w:rsidR="008A2166" w:rsidRPr="001614E9" w:rsidRDefault="008A2166" w:rsidP="00D328D6">
      <w:pPr>
        <w:spacing w:after="80"/>
        <w:rPr>
          <w:rFonts w:eastAsia="SimSun"/>
          <w:iCs/>
        </w:rPr>
      </w:pPr>
      <w:r w:rsidRPr="001614E9">
        <w:rPr>
          <w:rFonts w:eastAsia="SimSun"/>
          <w:b/>
          <w:bCs/>
          <w:iCs/>
        </w:rPr>
        <w:t>Receipt of Patent Cooperation Treaty (PCT) applications</w:t>
      </w:r>
    </w:p>
    <w:p w14:paraId="636E297D" w14:textId="6B5D3F98" w:rsidR="008A2166" w:rsidRPr="001614E9" w:rsidRDefault="008A2166" w:rsidP="008A2166">
      <w:pPr>
        <w:rPr>
          <w:rFonts w:eastAsia="SimSun"/>
        </w:rPr>
      </w:pPr>
      <w:r w:rsidRPr="001614E9">
        <w:rPr>
          <w:rFonts w:eastAsia="SimSun"/>
          <w:iCs/>
        </w:rPr>
        <w:t xml:space="preserve">A PCT application is a way </w:t>
      </w:r>
      <w:r>
        <w:rPr>
          <w:rFonts w:eastAsia="SimSun"/>
          <w:iCs/>
        </w:rPr>
        <w:t xml:space="preserve">for customers </w:t>
      </w:r>
      <w:r w:rsidRPr="001614E9">
        <w:rPr>
          <w:rFonts w:eastAsia="SimSun"/>
          <w:iCs/>
        </w:rPr>
        <w:t>to apply for a patent in several countries simultaneously. IP</w:t>
      </w:r>
      <w:r w:rsidR="00776E83">
        <w:rPr>
          <w:rFonts w:eastAsia="SimSun"/>
          <w:iCs/>
        </w:rPr>
        <w:t> </w:t>
      </w:r>
      <w:r w:rsidRPr="001614E9">
        <w:rPr>
          <w:rFonts w:eastAsia="SimSun"/>
          <w:iCs/>
        </w:rPr>
        <w:t>Australia</w:t>
      </w:r>
      <w:r w:rsidR="006A69CE">
        <w:rPr>
          <w:rFonts w:eastAsia="SimSun"/>
          <w:iCs/>
        </w:rPr>
        <w:t xml:space="preserve"> – </w:t>
      </w:r>
      <w:r w:rsidRPr="001614E9">
        <w:rPr>
          <w:rFonts w:eastAsia="SimSun"/>
          <w:iCs/>
        </w:rPr>
        <w:t xml:space="preserve">acting as a </w:t>
      </w:r>
      <w:r w:rsidR="00C74617">
        <w:rPr>
          <w:rFonts w:eastAsia="SimSun"/>
          <w:iCs/>
        </w:rPr>
        <w:t>r</w:t>
      </w:r>
      <w:r w:rsidRPr="001614E9">
        <w:rPr>
          <w:rFonts w:eastAsia="SimSun"/>
          <w:iCs/>
        </w:rPr>
        <w:t>eceiving Office, International Searching Authority</w:t>
      </w:r>
      <w:r w:rsidR="006F2BD9">
        <w:rPr>
          <w:rFonts w:eastAsia="SimSun"/>
          <w:iCs/>
        </w:rPr>
        <w:t xml:space="preserve"> and</w:t>
      </w:r>
      <w:r w:rsidRPr="001614E9">
        <w:rPr>
          <w:rFonts w:eastAsia="SimSun"/>
          <w:iCs/>
        </w:rPr>
        <w:t xml:space="preserve"> International Preliminary Examining Authority under the PCT</w:t>
      </w:r>
      <w:r w:rsidR="006A69CE">
        <w:rPr>
          <w:rFonts w:eastAsia="SimSun"/>
          <w:iCs/>
        </w:rPr>
        <w:t xml:space="preserve"> –</w:t>
      </w:r>
      <w:r w:rsidRPr="001614E9">
        <w:rPr>
          <w:rFonts w:eastAsia="SimSun"/>
          <w:iCs/>
        </w:rPr>
        <w:t xml:space="preserve"> issues International Search Reports and Written </w:t>
      </w:r>
      <w:r w:rsidRPr="001614E9">
        <w:rPr>
          <w:rFonts w:eastAsia="SimSun"/>
          <w:iCs/>
        </w:rPr>
        <w:lastRenderedPageBreak/>
        <w:t>Opinions (also called an International Search Opinion (ISO)). The ISO indicates the validity of a patent application and if there are any inventions that are similar.</w:t>
      </w:r>
    </w:p>
    <w:p w14:paraId="143A8E68" w14:textId="77777777" w:rsidR="008A2166" w:rsidRPr="001614E9" w:rsidRDefault="008A2166" w:rsidP="008A2166">
      <w:pPr>
        <w:rPr>
          <w:rFonts w:eastAsia="SimSun"/>
          <w:iCs/>
        </w:rPr>
      </w:pPr>
      <w:r w:rsidRPr="001614E9">
        <w:rPr>
          <w:rFonts w:eastAsia="SimSun"/>
          <w:iCs/>
        </w:rPr>
        <w:t xml:space="preserve">The number of PCT </w:t>
      </w:r>
      <w:r>
        <w:rPr>
          <w:rFonts w:eastAsia="SimSun"/>
          <w:iCs/>
        </w:rPr>
        <w:t>search requests has remained relatively flat for several years</w:t>
      </w:r>
      <w:r w:rsidRPr="001614E9">
        <w:rPr>
          <w:rFonts w:eastAsia="SimSun"/>
          <w:iCs/>
        </w:rPr>
        <w:t>. Forecast volumes are based on historic trends, including from countries that lodge PCT applications with Australia, and any other external influences.</w:t>
      </w:r>
    </w:p>
    <w:p w14:paraId="39BD0DB7" w14:textId="77777777" w:rsidR="008A2166" w:rsidRPr="001614E9" w:rsidRDefault="008A2166" w:rsidP="006A69CE">
      <w:pPr>
        <w:keepNext/>
        <w:spacing w:after="80"/>
        <w:rPr>
          <w:rFonts w:eastAsia="SimSun"/>
          <w:iCs/>
        </w:rPr>
      </w:pPr>
      <w:r w:rsidRPr="001614E9">
        <w:rPr>
          <w:rFonts w:eastAsia="SimSun"/>
          <w:b/>
          <w:bCs/>
          <w:iCs/>
        </w:rPr>
        <w:t>Provision of Patent examination services</w:t>
      </w:r>
    </w:p>
    <w:p w14:paraId="24C3E565" w14:textId="77777777" w:rsidR="008A2166" w:rsidRPr="001614E9" w:rsidRDefault="008A2166" w:rsidP="008A2166">
      <w:pPr>
        <w:rPr>
          <w:rFonts w:eastAsia="SimSun"/>
        </w:rPr>
      </w:pPr>
      <w:r w:rsidRPr="00A53DB3">
        <w:rPr>
          <w:rFonts w:eastAsia="SimSun"/>
          <w:iCs/>
        </w:rPr>
        <w:t xml:space="preserve">Under Australian legislation, a patent is examined only once the applicant has requested examination. The request can be voluntary or result from the Commissioner of Patents directing an applicant to request examination. </w:t>
      </w:r>
      <w:r w:rsidRPr="6CADDF5E">
        <w:rPr>
          <w:rFonts w:eastAsia="SimSun"/>
        </w:rPr>
        <w:t>Applicants</w:t>
      </w:r>
      <w:r w:rsidRPr="00A53DB3">
        <w:rPr>
          <w:rFonts w:eastAsia="SimSun"/>
          <w:iCs/>
        </w:rPr>
        <w:t xml:space="preserve"> must request examination within 5 years of an application’s filing date, or the application will lapse.</w:t>
      </w:r>
      <w:r>
        <w:rPr>
          <w:rFonts w:eastAsia="SimSun"/>
          <w:iCs/>
        </w:rPr>
        <w:t xml:space="preserve"> The </w:t>
      </w:r>
      <w:r w:rsidRPr="001614E9">
        <w:rPr>
          <w:rFonts w:eastAsia="SimSun"/>
          <w:iCs/>
        </w:rPr>
        <w:t xml:space="preserve">examination of the patent application is undertaken by an examiner to ensure </w:t>
      </w:r>
      <w:r w:rsidRPr="6CADDF5E">
        <w:rPr>
          <w:rFonts w:eastAsia="SimSun"/>
        </w:rPr>
        <w:t>it</w:t>
      </w:r>
      <w:r w:rsidRPr="001614E9">
        <w:rPr>
          <w:rFonts w:eastAsia="SimSun"/>
          <w:iCs/>
        </w:rPr>
        <w:t xml:space="preserve"> meets the </w:t>
      </w:r>
      <w:r>
        <w:rPr>
          <w:rFonts w:eastAsia="SimSun"/>
          <w:iCs/>
        </w:rPr>
        <w:t xml:space="preserve">legislative </w:t>
      </w:r>
      <w:r w:rsidRPr="001614E9">
        <w:rPr>
          <w:rFonts w:eastAsia="SimSun"/>
          <w:iCs/>
        </w:rPr>
        <w:t xml:space="preserve">requirements of the </w:t>
      </w:r>
      <w:r w:rsidRPr="6CADDF5E">
        <w:rPr>
          <w:rFonts w:eastAsia="SimSun"/>
          <w:i/>
        </w:rPr>
        <w:t>Patents Act 1990</w:t>
      </w:r>
      <w:r w:rsidRPr="001614E9">
        <w:rPr>
          <w:rFonts w:eastAsia="SimSun"/>
          <w:iCs/>
        </w:rPr>
        <w:t>.</w:t>
      </w:r>
    </w:p>
    <w:p w14:paraId="0A442B36" w14:textId="5CD1517D" w:rsidR="008A2166" w:rsidRPr="001614E9" w:rsidRDefault="008A2166" w:rsidP="008A2166">
      <w:pPr>
        <w:rPr>
          <w:rFonts w:eastAsia="SimSun"/>
          <w:iCs/>
        </w:rPr>
      </w:pPr>
      <w:r w:rsidRPr="001614E9">
        <w:rPr>
          <w:rFonts w:eastAsia="SimSun"/>
          <w:iCs/>
        </w:rPr>
        <w:t xml:space="preserve">Operational planning within the patent business group identifies the expected number of </w:t>
      </w:r>
      <w:r>
        <w:rPr>
          <w:rFonts w:eastAsia="SimSun"/>
          <w:iCs/>
        </w:rPr>
        <w:t xml:space="preserve">exam </w:t>
      </w:r>
      <w:r w:rsidRPr="001614E9">
        <w:rPr>
          <w:rFonts w:eastAsia="SimSun"/>
          <w:iCs/>
        </w:rPr>
        <w:t xml:space="preserve">reports that will be issued </w:t>
      </w:r>
      <w:r>
        <w:rPr>
          <w:rFonts w:eastAsia="SimSun"/>
          <w:iCs/>
        </w:rPr>
        <w:t>each year</w:t>
      </w:r>
      <w:r w:rsidRPr="001614E9">
        <w:rPr>
          <w:rFonts w:eastAsia="SimSun"/>
          <w:iCs/>
        </w:rPr>
        <w:t xml:space="preserve"> based on average</w:t>
      </w:r>
      <w:r w:rsidR="009A1C1B">
        <w:rPr>
          <w:rFonts w:eastAsia="SimSun"/>
          <w:iCs/>
        </w:rPr>
        <w:t>-</w:t>
      </w:r>
      <w:r w:rsidRPr="001614E9">
        <w:rPr>
          <w:rFonts w:eastAsia="SimSun"/>
          <w:iCs/>
        </w:rPr>
        <w:t>staffing levels (ASL), employee attrition, application diversity (innovations, PCT, standard etc.), examiner performance expectations, and the timing and training of new examiners.</w:t>
      </w:r>
    </w:p>
    <w:p w14:paraId="743A7016" w14:textId="77777777" w:rsidR="008A2166" w:rsidRPr="001614E9" w:rsidRDefault="008A2166" w:rsidP="00D328D6">
      <w:pPr>
        <w:spacing w:after="80"/>
        <w:rPr>
          <w:rFonts w:eastAsia="SimSun"/>
          <w:iCs/>
        </w:rPr>
      </w:pPr>
      <w:r w:rsidRPr="001614E9">
        <w:rPr>
          <w:rFonts w:eastAsia="SimSun"/>
          <w:b/>
          <w:bCs/>
          <w:iCs/>
        </w:rPr>
        <w:t>Receipt of Trade Mark applications</w:t>
      </w:r>
    </w:p>
    <w:p w14:paraId="00EAE20C" w14:textId="4E3D9E8B" w:rsidR="008A2166" w:rsidRPr="001614E9" w:rsidRDefault="008A2166" w:rsidP="008A2166">
      <w:pPr>
        <w:rPr>
          <w:rFonts w:eastAsia="SimSun"/>
          <w:iCs/>
        </w:rPr>
      </w:pPr>
      <w:r w:rsidRPr="001614E9">
        <w:rPr>
          <w:rFonts w:eastAsia="SimSun"/>
          <w:iCs/>
        </w:rPr>
        <w:t>A trade mark application</w:t>
      </w:r>
      <w:r>
        <w:rPr>
          <w:rFonts w:eastAsia="SimSun"/>
          <w:iCs/>
        </w:rPr>
        <w:t xml:space="preserve"> for registration </w:t>
      </w:r>
      <w:r w:rsidRPr="001614E9">
        <w:rPr>
          <w:rFonts w:eastAsia="SimSun"/>
          <w:iCs/>
        </w:rPr>
        <w:t>seeks exclusive right</w:t>
      </w:r>
      <w:r>
        <w:rPr>
          <w:rFonts w:eastAsia="SimSun"/>
          <w:iCs/>
        </w:rPr>
        <w:t xml:space="preserve"> </w:t>
      </w:r>
      <w:r w:rsidRPr="00B4105E">
        <w:rPr>
          <w:rFonts w:eastAsia="SimSun"/>
          <w:iCs/>
        </w:rPr>
        <w:t>to use the mark – or authorise others to use it – and seek relief for trade mark infringement</w:t>
      </w:r>
      <w:r w:rsidRPr="001614E9">
        <w:rPr>
          <w:rFonts w:eastAsia="SimSun"/>
          <w:iCs/>
        </w:rPr>
        <w:t xml:space="preserve">. Trade mark applications are forecast based on time series analysis, historic trends, volumes by application type (standard, </w:t>
      </w:r>
      <w:proofErr w:type="spellStart"/>
      <w:r w:rsidRPr="001614E9">
        <w:rPr>
          <w:rFonts w:eastAsia="SimSun"/>
          <w:iCs/>
        </w:rPr>
        <w:t>Headstart</w:t>
      </w:r>
      <w:proofErr w:type="spellEnd"/>
      <w:r w:rsidRPr="001614E9">
        <w:rPr>
          <w:rFonts w:eastAsia="SimSun"/>
          <w:iCs/>
        </w:rPr>
        <w:t>, Madrid), current economic conditions</w:t>
      </w:r>
      <w:r w:rsidR="00EA605E">
        <w:rPr>
          <w:rFonts w:eastAsia="SimSun"/>
          <w:iCs/>
        </w:rPr>
        <w:t xml:space="preserve"> and</w:t>
      </w:r>
      <w:r w:rsidRPr="001614E9">
        <w:rPr>
          <w:rFonts w:eastAsia="SimSun"/>
          <w:iCs/>
        </w:rPr>
        <w:t xml:space="preserve"> any external influences such as stockpiles held by WIPO.</w:t>
      </w:r>
    </w:p>
    <w:p w14:paraId="57DADE08" w14:textId="77777777" w:rsidR="008A2166" w:rsidRPr="001614E9" w:rsidRDefault="008A2166" w:rsidP="00D328D6">
      <w:pPr>
        <w:spacing w:after="80"/>
        <w:rPr>
          <w:rFonts w:eastAsia="SimSun"/>
          <w:iCs/>
        </w:rPr>
      </w:pPr>
      <w:r w:rsidRPr="001614E9">
        <w:rPr>
          <w:rFonts w:eastAsia="SimSun"/>
          <w:b/>
          <w:bCs/>
          <w:iCs/>
        </w:rPr>
        <w:t>Provision of Trade Mark examination services</w:t>
      </w:r>
    </w:p>
    <w:p w14:paraId="0284C110" w14:textId="0EA9CA95" w:rsidR="008A2166" w:rsidRPr="001614E9" w:rsidRDefault="008A2166" w:rsidP="008A2166">
      <w:pPr>
        <w:rPr>
          <w:rFonts w:eastAsia="SimSun"/>
        </w:rPr>
      </w:pPr>
      <w:r w:rsidRPr="001614E9">
        <w:rPr>
          <w:rFonts w:eastAsia="SimSun"/>
          <w:iCs/>
        </w:rPr>
        <w:t xml:space="preserve">A trade mark application is examined to ensure it contains all correct information and meets legislative requirements. Where a trade mark application meets these requirements, it will be registered and entered in the Australian Official Journal of Trade Marks and listed in the </w:t>
      </w:r>
      <w:r w:rsidRPr="00030656">
        <w:t>Australian Trade Mark Search System.</w:t>
      </w:r>
    </w:p>
    <w:p w14:paraId="39EF225C" w14:textId="7E3B4E52" w:rsidR="008A2166" w:rsidRPr="001614E9" w:rsidRDefault="008A2166" w:rsidP="008A2166">
      <w:pPr>
        <w:rPr>
          <w:rFonts w:eastAsia="SimSun"/>
          <w:iCs/>
        </w:rPr>
      </w:pPr>
      <w:r w:rsidRPr="001614E9">
        <w:rPr>
          <w:rFonts w:eastAsia="SimSun"/>
          <w:iCs/>
        </w:rPr>
        <w:t xml:space="preserve">Operational planning within the trade mark business group identifies the expected number of </w:t>
      </w:r>
      <w:r>
        <w:rPr>
          <w:rFonts w:eastAsia="SimSun"/>
          <w:iCs/>
        </w:rPr>
        <w:t>exam</w:t>
      </w:r>
      <w:r w:rsidRPr="001614E9">
        <w:rPr>
          <w:rFonts w:eastAsia="SimSun"/>
          <w:iCs/>
        </w:rPr>
        <w:t xml:space="preserve"> reports that will be issued </w:t>
      </w:r>
      <w:r>
        <w:rPr>
          <w:rFonts w:eastAsia="SimSun"/>
          <w:iCs/>
        </w:rPr>
        <w:t xml:space="preserve">each year </w:t>
      </w:r>
      <w:r w:rsidRPr="001614E9">
        <w:rPr>
          <w:rFonts w:eastAsia="SimSun"/>
          <w:iCs/>
        </w:rPr>
        <w:t>based on</w:t>
      </w:r>
      <w:r>
        <w:rPr>
          <w:rFonts w:eastAsia="SimSun"/>
          <w:iCs/>
        </w:rPr>
        <w:t xml:space="preserve"> ASL</w:t>
      </w:r>
      <w:r w:rsidRPr="001614E9">
        <w:rPr>
          <w:rFonts w:eastAsia="SimSun"/>
          <w:iCs/>
        </w:rPr>
        <w:t>, employee attrition, examiner performance expectations, and the timing and training of new examiners.</w:t>
      </w:r>
    </w:p>
    <w:p w14:paraId="4BC6DF10" w14:textId="77777777" w:rsidR="008A2166" w:rsidRPr="001614E9" w:rsidRDefault="008A2166" w:rsidP="00D328D6">
      <w:pPr>
        <w:spacing w:after="80"/>
        <w:rPr>
          <w:rFonts w:eastAsia="SimSun"/>
          <w:iCs/>
        </w:rPr>
      </w:pPr>
      <w:r w:rsidRPr="001614E9">
        <w:rPr>
          <w:rFonts w:eastAsia="SimSun"/>
          <w:b/>
          <w:bCs/>
          <w:iCs/>
        </w:rPr>
        <w:t>Receipt of Design applications</w:t>
      </w:r>
    </w:p>
    <w:p w14:paraId="27683D69" w14:textId="0F056136" w:rsidR="008A2166" w:rsidRPr="001614E9" w:rsidRDefault="008A2166" w:rsidP="008A2166">
      <w:pPr>
        <w:rPr>
          <w:rFonts w:eastAsia="SimSun"/>
        </w:rPr>
      </w:pPr>
      <w:r w:rsidRPr="001614E9">
        <w:rPr>
          <w:rFonts w:eastAsia="SimSun"/>
          <w:iCs/>
        </w:rPr>
        <w:t xml:space="preserve">An application for a design </w:t>
      </w:r>
      <w:r>
        <w:rPr>
          <w:rFonts w:eastAsia="SimSun"/>
          <w:iCs/>
        </w:rPr>
        <w:t xml:space="preserve">registration </w:t>
      </w:r>
      <w:r w:rsidRPr="001614E9">
        <w:rPr>
          <w:rFonts w:eastAsia="SimSun"/>
          <w:iCs/>
        </w:rPr>
        <w:t>seeks protection of a unique, new</w:t>
      </w:r>
      <w:r w:rsidR="00C75BD6">
        <w:rPr>
          <w:rFonts w:eastAsia="SimSun"/>
          <w:iCs/>
        </w:rPr>
        <w:t xml:space="preserve"> and</w:t>
      </w:r>
      <w:r w:rsidRPr="001614E9">
        <w:rPr>
          <w:rFonts w:eastAsia="SimSun"/>
          <w:iCs/>
        </w:rPr>
        <w:t xml:space="preserve"> distinctive visual appearance of a product.</w:t>
      </w:r>
    </w:p>
    <w:p w14:paraId="61D3DCB1" w14:textId="77777777" w:rsidR="00E50F6D" w:rsidRDefault="008A2166" w:rsidP="008A2166">
      <w:pPr>
        <w:rPr>
          <w:rFonts w:eastAsia="SimSun"/>
          <w:iCs/>
        </w:rPr>
      </w:pPr>
      <w:r w:rsidRPr="001614E9">
        <w:rPr>
          <w:rFonts w:eastAsia="SimSun"/>
          <w:iCs/>
        </w:rPr>
        <w:t>Design applications are forecast based on time series analysis, historic trends, an analysis of high filing customers, current economic conditions</w:t>
      </w:r>
      <w:r w:rsidR="00C75BD6">
        <w:rPr>
          <w:rFonts w:eastAsia="SimSun"/>
          <w:iCs/>
        </w:rPr>
        <w:t xml:space="preserve"> and</w:t>
      </w:r>
      <w:r w:rsidRPr="001614E9">
        <w:rPr>
          <w:rFonts w:eastAsia="SimSun"/>
          <w:iCs/>
        </w:rPr>
        <w:t xml:space="preserve"> any further external influences.</w:t>
      </w:r>
    </w:p>
    <w:p w14:paraId="6C1012AA" w14:textId="2B547331" w:rsidR="008A2166" w:rsidRPr="001614E9" w:rsidRDefault="008A2166" w:rsidP="00D328D6">
      <w:pPr>
        <w:spacing w:after="80"/>
        <w:rPr>
          <w:rFonts w:eastAsia="SimSun"/>
          <w:iCs/>
        </w:rPr>
      </w:pPr>
      <w:r w:rsidRPr="001614E9">
        <w:rPr>
          <w:rFonts w:eastAsia="SimSun"/>
          <w:b/>
          <w:bCs/>
          <w:iCs/>
        </w:rPr>
        <w:t>Provision of Design examination services</w:t>
      </w:r>
    </w:p>
    <w:p w14:paraId="3FA90635" w14:textId="77777777" w:rsidR="008A2166" w:rsidRPr="001614E9" w:rsidRDefault="008A2166" w:rsidP="008A2166">
      <w:pPr>
        <w:rPr>
          <w:rFonts w:eastAsia="SimSun"/>
        </w:rPr>
      </w:pPr>
      <w:r w:rsidRPr="00C112A2">
        <w:rPr>
          <w:rFonts w:eastAsia="SimSun"/>
          <w:iCs/>
        </w:rPr>
        <w:t>In Australia, designs are registered without substantive examination</w:t>
      </w:r>
      <w:r w:rsidRPr="06CF8F85">
        <w:rPr>
          <w:rFonts w:eastAsia="SimSun"/>
        </w:rPr>
        <w:t xml:space="preserve"> however, it</w:t>
      </w:r>
      <w:r w:rsidRPr="00C112A2">
        <w:rPr>
          <w:rFonts w:eastAsia="SimSun"/>
          <w:iCs/>
        </w:rPr>
        <w:t xml:space="preserve"> must be examined and certified by IP Australia for </w:t>
      </w:r>
      <w:r w:rsidRPr="06CF8F85">
        <w:rPr>
          <w:rFonts w:eastAsia="SimSun"/>
        </w:rPr>
        <w:t>the right</w:t>
      </w:r>
      <w:r w:rsidRPr="00C112A2">
        <w:rPr>
          <w:rFonts w:eastAsia="SimSun"/>
          <w:iCs/>
        </w:rPr>
        <w:t xml:space="preserve"> to be enforced.</w:t>
      </w:r>
      <w:r>
        <w:rPr>
          <w:rFonts w:eastAsia="SimSun"/>
          <w:iCs/>
        </w:rPr>
        <w:t xml:space="preserve"> The examination </w:t>
      </w:r>
      <w:r w:rsidRPr="06CF8F85">
        <w:rPr>
          <w:rFonts w:eastAsia="SimSun"/>
        </w:rPr>
        <w:t>ensures</w:t>
      </w:r>
      <w:r w:rsidRPr="001614E9">
        <w:rPr>
          <w:rFonts w:eastAsia="SimSun"/>
          <w:iCs/>
        </w:rPr>
        <w:t xml:space="preserve"> that the design is both new and distinctive</w:t>
      </w:r>
      <w:r>
        <w:rPr>
          <w:rFonts w:eastAsia="SimSun"/>
          <w:iCs/>
        </w:rPr>
        <w:t xml:space="preserve"> - </w:t>
      </w:r>
      <w:r w:rsidRPr="00F87B71">
        <w:rPr>
          <w:rFonts w:eastAsia="SimSun"/>
          <w:iCs/>
        </w:rPr>
        <w:t>that is, it must be dissimilar in overall impression to designs that constitute prior art.</w:t>
      </w:r>
    </w:p>
    <w:p w14:paraId="7B8396A5" w14:textId="77777777" w:rsidR="00E50F6D" w:rsidRDefault="008A2166" w:rsidP="008A2166">
      <w:pPr>
        <w:rPr>
          <w:rFonts w:eastAsia="SimSun"/>
          <w:iCs/>
        </w:rPr>
      </w:pPr>
      <w:r w:rsidRPr="001614E9">
        <w:rPr>
          <w:rFonts w:eastAsia="SimSun"/>
          <w:iCs/>
        </w:rPr>
        <w:t xml:space="preserve">Operational planning within the designs business group identifies the expected number of </w:t>
      </w:r>
      <w:r>
        <w:rPr>
          <w:rFonts w:eastAsia="SimSun"/>
          <w:iCs/>
        </w:rPr>
        <w:t>exam</w:t>
      </w:r>
      <w:r w:rsidRPr="001614E9">
        <w:rPr>
          <w:rFonts w:eastAsia="SimSun"/>
          <w:iCs/>
        </w:rPr>
        <w:t xml:space="preserve"> reports that will be issued in any given year based on: ASL, employee attrition, examiner performance expectations, and the timing and training of new examiners.</w:t>
      </w:r>
    </w:p>
    <w:p w14:paraId="3C8C4F61" w14:textId="3FAA18BB" w:rsidR="008A2166" w:rsidRPr="001614E9" w:rsidRDefault="008A2166" w:rsidP="00D328D6">
      <w:pPr>
        <w:spacing w:after="80"/>
        <w:rPr>
          <w:rFonts w:eastAsia="SimSun"/>
          <w:iCs/>
        </w:rPr>
      </w:pPr>
      <w:r w:rsidRPr="001614E9">
        <w:rPr>
          <w:rFonts w:eastAsia="SimSun"/>
          <w:b/>
          <w:bCs/>
          <w:iCs/>
        </w:rPr>
        <w:t>Receipt of PBR applications</w:t>
      </w:r>
    </w:p>
    <w:p w14:paraId="6DCE11CE" w14:textId="77777777" w:rsidR="008A2166" w:rsidRPr="001614E9" w:rsidRDefault="008A2166" w:rsidP="008A2166">
      <w:pPr>
        <w:rPr>
          <w:rFonts w:eastAsia="SimSun"/>
        </w:rPr>
      </w:pPr>
      <w:r>
        <w:rPr>
          <w:rFonts w:eastAsia="SimSun"/>
          <w:iCs/>
        </w:rPr>
        <w:lastRenderedPageBreak/>
        <w:t xml:space="preserve">A PBR application seeks long-term </w:t>
      </w:r>
      <w:r w:rsidRPr="00C256B3">
        <w:rPr>
          <w:rFonts w:eastAsia="SimSun"/>
          <w:iCs/>
        </w:rPr>
        <w:t xml:space="preserve">legal protection for </w:t>
      </w:r>
      <w:r w:rsidRPr="06CF8F85">
        <w:rPr>
          <w:rFonts w:eastAsia="SimSun"/>
        </w:rPr>
        <w:t xml:space="preserve">a </w:t>
      </w:r>
      <w:r w:rsidRPr="00C256B3">
        <w:rPr>
          <w:rFonts w:eastAsia="SimSun"/>
          <w:iCs/>
        </w:rPr>
        <w:t xml:space="preserve">new plant </w:t>
      </w:r>
      <w:r w:rsidRPr="06CF8F85">
        <w:rPr>
          <w:rFonts w:eastAsia="SimSun"/>
        </w:rPr>
        <w:t>variety</w:t>
      </w:r>
      <w:r>
        <w:rPr>
          <w:rFonts w:eastAsia="SimSun"/>
          <w:iCs/>
        </w:rPr>
        <w:t xml:space="preserve"> and provides the owner with </w:t>
      </w:r>
      <w:r w:rsidRPr="00C3419B">
        <w:rPr>
          <w:rFonts w:eastAsia="SimSun"/>
          <w:iCs/>
        </w:rPr>
        <w:t xml:space="preserve">an exclusive right to exclude others from commercially exploiting </w:t>
      </w:r>
      <w:r w:rsidRPr="06CF8F85">
        <w:rPr>
          <w:rFonts w:eastAsia="SimSun"/>
        </w:rPr>
        <w:t>the</w:t>
      </w:r>
      <w:r w:rsidRPr="00C3419B">
        <w:rPr>
          <w:rFonts w:eastAsia="SimSun"/>
          <w:iCs/>
        </w:rPr>
        <w:t xml:space="preserve"> new </w:t>
      </w:r>
      <w:r w:rsidRPr="06CF8F85">
        <w:rPr>
          <w:rFonts w:eastAsia="SimSun"/>
        </w:rPr>
        <w:t>variety</w:t>
      </w:r>
      <w:r w:rsidRPr="00C3419B">
        <w:rPr>
          <w:rFonts w:eastAsia="SimSun"/>
          <w:iCs/>
        </w:rPr>
        <w:t xml:space="preserve"> for up to 25 years</w:t>
      </w:r>
      <w:r>
        <w:rPr>
          <w:rFonts w:eastAsia="SimSun"/>
          <w:iCs/>
        </w:rPr>
        <w:t>.</w:t>
      </w:r>
    </w:p>
    <w:p w14:paraId="57B64C11" w14:textId="77777777" w:rsidR="00E50F6D" w:rsidRDefault="008A2166" w:rsidP="008A2166">
      <w:pPr>
        <w:rPr>
          <w:rFonts w:eastAsia="SimSun"/>
          <w:iCs/>
        </w:rPr>
      </w:pPr>
      <w:r>
        <w:rPr>
          <w:rFonts w:eastAsia="SimSun"/>
          <w:iCs/>
        </w:rPr>
        <w:t xml:space="preserve">The number of </w:t>
      </w:r>
      <w:r w:rsidRPr="001614E9">
        <w:rPr>
          <w:rFonts w:eastAsia="SimSun"/>
          <w:iCs/>
        </w:rPr>
        <w:t>PBR application</w:t>
      </w:r>
      <w:r>
        <w:rPr>
          <w:rFonts w:eastAsia="SimSun"/>
          <w:iCs/>
        </w:rPr>
        <w:t xml:space="preserve">s received each year holds relatively flat at around 300 to 350 applications, </w:t>
      </w:r>
      <w:r w:rsidRPr="06CF8F85">
        <w:rPr>
          <w:rFonts w:eastAsia="SimSun"/>
        </w:rPr>
        <w:t>and application forecasts</w:t>
      </w:r>
      <w:r>
        <w:rPr>
          <w:rFonts w:eastAsia="SimSun"/>
          <w:iCs/>
        </w:rPr>
        <w:t xml:space="preserve"> are </w:t>
      </w:r>
      <w:r w:rsidRPr="001614E9">
        <w:rPr>
          <w:rFonts w:eastAsia="SimSun"/>
          <w:iCs/>
        </w:rPr>
        <w:t xml:space="preserve">based on historic trends and any </w:t>
      </w:r>
      <w:r>
        <w:rPr>
          <w:rFonts w:eastAsia="SimSun"/>
          <w:iCs/>
        </w:rPr>
        <w:t xml:space="preserve">major </w:t>
      </w:r>
      <w:r w:rsidRPr="001614E9">
        <w:rPr>
          <w:rFonts w:eastAsia="SimSun"/>
          <w:iCs/>
        </w:rPr>
        <w:t>external influences</w:t>
      </w:r>
      <w:r>
        <w:rPr>
          <w:rFonts w:eastAsia="SimSun"/>
          <w:iCs/>
        </w:rPr>
        <w:t xml:space="preserve"> (</w:t>
      </w:r>
      <w:r w:rsidRPr="001614E9">
        <w:rPr>
          <w:rFonts w:eastAsia="SimSun"/>
          <w:iCs/>
        </w:rPr>
        <w:t xml:space="preserve">for example </w:t>
      </w:r>
      <w:r>
        <w:rPr>
          <w:rFonts w:eastAsia="SimSun"/>
          <w:iCs/>
        </w:rPr>
        <w:t>wide spread drought across Australia).</w:t>
      </w:r>
    </w:p>
    <w:p w14:paraId="62F44E4D" w14:textId="10F9BC37" w:rsidR="008A2166" w:rsidRPr="001614E9" w:rsidRDefault="008A2166" w:rsidP="00BE6026">
      <w:pPr>
        <w:keepNext/>
        <w:spacing w:after="80"/>
        <w:rPr>
          <w:rFonts w:eastAsia="SimSun"/>
          <w:iCs/>
        </w:rPr>
      </w:pPr>
      <w:r w:rsidRPr="001614E9">
        <w:rPr>
          <w:rFonts w:eastAsia="SimSun"/>
          <w:b/>
          <w:bCs/>
          <w:iCs/>
        </w:rPr>
        <w:t>Provision of PBR examination services</w:t>
      </w:r>
    </w:p>
    <w:p w14:paraId="516CD6E3" w14:textId="77777777" w:rsidR="008A2166" w:rsidRPr="001614E9" w:rsidRDefault="008A2166" w:rsidP="008A2166">
      <w:pPr>
        <w:rPr>
          <w:rFonts w:eastAsia="SimSun"/>
        </w:rPr>
      </w:pPr>
      <w:r w:rsidRPr="00A53DB3">
        <w:rPr>
          <w:rFonts w:eastAsia="SimSun"/>
          <w:iCs/>
        </w:rPr>
        <w:t xml:space="preserve">Under Australian legislation, </w:t>
      </w:r>
      <w:r w:rsidRPr="06CF8F85">
        <w:rPr>
          <w:rFonts w:eastAsia="SimSun"/>
        </w:rPr>
        <w:t>a</w:t>
      </w:r>
      <w:r w:rsidRPr="008D2D1D">
        <w:rPr>
          <w:rFonts w:eastAsia="SimSun"/>
          <w:iCs/>
        </w:rPr>
        <w:t xml:space="preserve"> PBR application must pass a substantive examination process and a comparative growing trial to be registered.</w:t>
      </w:r>
      <w:r>
        <w:rPr>
          <w:rFonts w:eastAsia="SimSun"/>
          <w:iCs/>
        </w:rPr>
        <w:t xml:space="preserve"> The examination and growing trial </w:t>
      </w:r>
      <w:r w:rsidRPr="001614E9">
        <w:rPr>
          <w:rFonts w:eastAsia="SimSun"/>
          <w:iCs/>
        </w:rPr>
        <w:t xml:space="preserve">ensure that </w:t>
      </w:r>
      <w:r>
        <w:rPr>
          <w:rFonts w:eastAsia="SimSun"/>
          <w:iCs/>
        </w:rPr>
        <w:t xml:space="preserve">the plant </w:t>
      </w:r>
      <w:r w:rsidRPr="001614E9">
        <w:rPr>
          <w:rFonts w:eastAsia="SimSun"/>
          <w:iCs/>
        </w:rPr>
        <w:t>is clearly distinct from all other varieties of common knowledge by at least one characteristic.</w:t>
      </w:r>
    </w:p>
    <w:p w14:paraId="6397669C" w14:textId="77777777" w:rsidR="004C234F" w:rsidRDefault="008A2166" w:rsidP="008A2166">
      <w:pPr>
        <w:rPr>
          <w:rFonts w:eastAsia="SimSun"/>
          <w:iCs/>
        </w:rPr>
      </w:pPr>
      <w:r w:rsidRPr="001614E9">
        <w:rPr>
          <w:rFonts w:eastAsia="SimSun"/>
          <w:iCs/>
        </w:rPr>
        <w:t xml:space="preserve">Operational planning within the PBR business group identifies the expected number of </w:t>
      </w:r>
      <w:r>
        <w:rPr>
          <w:rFonts w:eastAsia="SimSun"/>
          <w:iCs/>
        </w:rPr>
        <w:t>exam</w:t>
      </w:r>
      <w:r w:rsidRPr="001614E9">
        <w:rPr>
          <w:rFonts w:eastAsia="SimSun"/>
          <w:iCs/>
        </w:rPr>
        <w:t xml:space="preserve"> reports that will be issued </w:t>
      </w:r>
      <w:r>
        <w:rPr>
          <w:rFonts w:eastAsia="SimSun"/>
          <w:iCs/>
        </w:rPr>
        <w:t xml:space="preserve">each </w:t>
      </w:r>
      <w:r w:rsidRPr="001614E9">
        <w:rPr>
          <w:rFonts w:eastAsia="SimSun"/>
          <w:iCs/>
        </w:rPr>
        <w:t xml:space="preserve">year. </w:t>
      </w:r>
      <w:r>
        <w:rPr>
          <w:rFonts w:eastAsia="SimSun"/>
          <w:iCs/>
        </w:rPr>
        <w:t xml:space="preserve">The </w:t>
      </w:r>
      <w:r w:rsidRPr="001614E9">
        <w:rPr>
          <w:rFonts w:eastAsia="SimSun"/>
          <w:iCs/>
        </w:rPr>
        <w:t xml:space="preserve">number of PBR examinations </w:t>
      </w:r>
      <w:r>
        <w:rPr>
          <w:rFonts w:eastAsia="SimSun"/>
          <w:iCs/>
        </w:rPr>
        <w:t xml:space="preserve">each year is relatively flat and reflects </w:t>
      </w:r>
      <w:r w:rsidRPr="001614E9">
        <w:rPr>
          <w:rFonts w:eastAsia="SimSun"/>
          <w:iCs/>
        </w:rPr>
        <w:t>stable application volumes.</w:t>
      </w:r>
    </w:p>
    <w:p w14:paraId="1D8FBCC5" w14:textId="15F498D2" w:rsidR="008A2166" w:rsidRPr="001614E9" w:rsidRDefault="008A2166" w:rsidP="00E13AC6">
      <w:pPr>
        <w:keepNext/>
        <w:spacing w:after="80"/>
        <w:rPr>
          <w:rFonts w:eastAsia="SimSun"/>
          <w:iCs/>
        </w:rPr>
      </w:pPr>
      <w:r w:rsidRPr="001614E9">
        <w:rPr>
          <w:rFonts w:eastAsia="SimSun"/>
          <w:b/>
          <w:bCs/>
          <w:iCs/>
        </w:rPr>
        <w:t xml:space="preserve">TTIPA </w:t>
      </w:r>
      <w:r w:rsidRPr="06CF8F85">
        <w:rPr>
          <w:rFonts w:eastAsia="SimSun"/>
          <w:b/>
          <w:bCs/>
        </w:rPr>
        <w:t>applications</w:t>
      </w:r>
      <w:r w:rsidRPr="001614E9">
        <w:rPr>
          <w:rFonts w:eastAsia="SimSun"/>
          <w:b/>
          <w:bCs/>
          <w:iCs/>
        </w:rPr>
        <w:t xml:space="preserve"> for registration</w:t>
      </w:r>
    </w:p>
    <w:p w14:paraId="2E499959" w14:textId="77777777" w:rsidR="008A2166" w:rsidRPr="001614E9" w:rsidRDefault="008A2166" w:rsidP="008A2166">
      <w:pPr>
        <w:rPr>
          <w:rFonts w:eastAsia="SimSun"/>
        </w:rPr>
      </w:pPr>
      <w:r w:rsidRPr="001614E9">
        <w:rPr>
          <w:rFonts w:eastAsia="SimSun"/>
          <w:iCs/>
        </w:rPr>
        <w:t xml:space="preserve">Both the </w:t>
      </w:r>
      <w:r w:rsidRPr="06CF8F85">
        <w:rPr>
          <w:rFonts w:eastAsia="SimSun"/>
          <w:i/>
        </w:rPr>
        <w:t>Patents Act 1990</w:t>
      </w:r>
      <w:r w:rsidRPr="001614E9">
        <w:rPr>
          <w:rFonts w:eastAsia="SimSun"/>
          <w:iCs/>
        </w:rPr>
        <w:t xml:space="preserve"> and the </w:t>
      </w:r>
      <w:r w:rsidRPr="06CF8F85">
        <w:rPr>
          <w:rFonts w:eastAsia="SimSun"/>
          <w:i/>
        </w:rPr>
        <w:t>Trade Marks Act 1995</w:t>
      </w:r>
      <w:r w:rsidRPr="001614E9">
        <w:rPr>
          <w:rFonts w:eastAsia="SimSun"/>
          <w:iCs/>
        </w:rPr>
        <w:t xml:space="preserve"> provide that only registered individuals have the right to practice as either a patent attorney or a trade mark attorney. To apply for registration as a patent attorney or a trade marks attorney, the individual must provide detailed information of their academic qualifications and related knowledge.</w:t>
      </w:r>
    </w:p>
    <w:p w14:paraId="19BCB277" w14:textId="77777777" w:rsidR="00E50F6D" w:rsidRDefault="008A2166" w:rsidP="008A2166">
      <w:pPr>
        <w:rPr>
          <w:rFonts w:eastAsia="SimSun"/>
          <w:iCs/>
        </w:rPr>
      </w:pPr>
      <w:r w:rsidRPr="001614E9">
        <w:rPr>
          <w:rFonts w:eastAsia="SimSun"/>
          <w:iCs/>
        </w:rPr>
        <w:t>The forecast volume of applications for TTIPA registration is based on a historical average number of applications over recent years.</w:t>
      </w:r>
    </w:p>
    <w:p w14:paraId="576753C3" w14:textId="4786CEEA" w:rsidR="008A2166" w:rsidRPr="001614E9" w:rsidRDefault="008A2166" w:rsidP="00D328D6">
      <w:pPr>
        <w:spacing w:after="80"/>
        <w:rPr>
          <w:rFonts w:eastAsia="SimSun"/>
          <w:b/>
          <w:bCs/>
          <w:iCs/>
        </w:rPr>
      </w:pPr>
      <w:r w:rsidRPr="337F096C">
        <w:rPr>
          <w:rFonts w:eastAsia="SimSun"/>
          <w:b/>
          <w:bCs/>
        </w:rPr>
        <w:t xml:space="preserve">Renewals of </w:t>
      </w:r>
      <w:r w:rsidRPr="001614E9">
        <w:rPr>
          <w:rFonts w:eastAsia="SimSun"/>
          <w:b/>
          <w:bCs/>
          <w:iCs/>
        </w:rPr>
        <w:t xml:space="preserve">TTIPA </w:t>
      </w:r>
      <w:r w:rsidRPr="77934C81">
        <w:rPr>
          <w:rFonts w:eastAsia="SimSun"/>
          <w:b/>
          <w:bCs/>
        </w:rPr>
        <w:t>registrations</w:t>
      </w:r>
      <w:r>
        <w:rPr>
          <w:rFonts w:eastAsia="SimSun"/>
          <w:b/>
          <w:bCs/>
          <w:iCs/>
        </w:rPr>
        <w:t>.</w:t>
      </w:r>
    </w:p>
    <w:p w14:paraId="320556AD" w14:textId="79DF698C" w:rsidR="008A2166" w:rsidRPr="001614E9" w:rsidRDefault="008A2166" w:rsidP="008A2166">
      <w:pPr>
        <w:rPr>
          <w:rFonts w:eastAsia="SimSun"/>
        </w:rPr>
      </w:pPr>
      <w:r w:rsidRPr="001614E9">
        <w:rPr>
          <w:rFonts w:eastAsia="SimSun"/>
          <w:iCs/>
        </w:rPr>
        <w:t>Each application to renew registration is assessed to determine whether the individual has the relevant qualifications, and specialised requirements and knowledge. Where this is determined, the attorney will maintain their registration as a patent or trade mark attorney.</w:t>
      </w:r>
    </w:p>
    <w:p w14:paraId="6372DCC9" w14:textId="77777777" w:rsidR="00E50F6D" w:rsidRDefault="008A2166" w:rsidP="008A2166">
      <w:pPr>
        <w:rPr>
          <w:rFonts w:eastAsia="SimSun"/>
          <w:iCs/>
        </w:rPr>
      </w:pPr>
      <w:r w:rsidRPr="001614E9">
        <w:rPr>
          <w:rFonts w:eastAsia="SimSun"/>
          <w:iCs/>
        </w:rPr>
        <w:t>The forecast volumes are based on new and current registrations, and the likelihood of an attorney maintaining their registration.</w:t>
      </w:r>
    </w:p>
    <w:p w14:paraId="72B2FB8D" w14:textId="1A91B8FF" w:rsidR="008A2166" w:rsidRPr="001614E9" w:rsidRDefault="008A2166" w:rsidP="008A2166">
      <w:pPr>
        <w:rPr>
          <w:rFonts w:eastAsia="SimSun"/>
          <w:b/>
          <w:bCs/>
          <w:iCs/>
          <w:u w:val="single"/>
        </w:rPr>
      </w:pPr>
      <w:r w:rsidRPr="001614E9">
        <w:rPr>
          <w:rFonts w:eastAsia="SimSun"/>
          <w:b/>
          <w:bCs/>
          <w:iCs/>
          <w:u w:val="single"/>
        </w:rPr>
        <w:t xml:space="preserve">Business </w:t>
      </w:r>
      <w:r w:rsidR="00F67F8E">
        <w:rPr>
          <w:rFonts w:eastAsia="SimSun"/>
          <w:b/>
          <w:bCs/>
          <w:iCs/>
          <w:u w:val="single"/>
        </w:rPr>
        <w:t>p</w:t>
      </w:r>
      <w:r w:rsidRPr="001614E9">
        <w:rPr>
          <w:rFonts w:eastAsia="SimSun"/>
          <w:b/>
          <w:bCs/>
          <w:iCs/>
          <w:u w:val="single"/>
        </w:rPr>
        <w:t>rocesses</w:t>
      </w:r>
    </w:p>
    <w:p w14:paraId="576947E2" w14:textId="0AE112F4" w:rsidR="008A2166" w:rsidRPr="001614E9" w:rsidRDefault="008A2166" w:rsidP="008A2166">
      <w:pPr>
        <w:rPr>
          <w:rFonts w:eastAsia="SimSun"/>
        </w:rPr>
      </w:pPr>
      <w:r w:rsidRPr="001614E9">
        <w:rPr>
          <w:rFonts w:eastAsia="SimSun"/>
          <w:iCs/>
        </w:rPr>
        <w:t xml:space="preserve">There are several key business processes that are used to deliver the activity group outputs. The receipt and processing of applications is predominantly an electronic process utilising IP Australia’s online services platform. This platform provides a secure and convenient way for customers to access a broad range of transactions, including the lodgement of applications. </w:t>
      </w:r>
      <w:r>
        <w:rPr>
          <w:rFonts w:eastAsia="SimSun"/>
          <w:iCs/>
        </w:rPr>
        <w:t xml:space="preserve">Several </w:t>
      </w:r>
      <w:r w:rsidRPr="001614E9">
        <w:rPr>
          <w:rFonts w:eastAsia="SimSun"/>
          <w:iCs/>
        </w:rPr>
        <w:t xml:space="preserve">internal electronic </w:t>
      </w:r>
      <w:r>
        <w:rPr>
          <w:rFonts w:eastAsia="SimSun"/>
          <w:iCs/>
        </w:rPr>
        <w:t xml:space="preserve">case management and financial </w:t>
      </w:r>
      <w:r w:rsidRPr="001614E9">
        <w:rPr>
          <w:rFonts w:eastAsia="SimSun"/>
          <w:iCs/>
        </w:rPr>
        <w:t xml:space="preserve">systems are then </w:t>
      </w:r>
      <w:r>
        <w:rPr>
          <w:rFonts w:eastAsia="SimSun"/>
          <w:iCs/>
        </w:rPr>
        <w:t xml:space="preserve">passed the </w:t>
      </w:r>
      <w:r w:rsidRPr="001614E9">
        <w:rPr>
          <w:rFonts w:eastAsia="SimSun"/>
          <w:iCs/>
        </w:rPr>
        <w:t xml:space="preserve">details of </w:t>
      </w:r>
      <w:r>
        <w:rPr>
          <w:rFonts w:eastAsia="SimSun"/>
          <w:iCs/>
        </w:rPr>
        <w:t xml:space="preserve">the filed </w:t>
      </w:r>
      <w:r w:rsidRPr="001614E9">
        <w:rPr>
          <w:rFonts w:eastAsia="SimSun"/>
          <w:iCs/>
        </w:rPr>
        <w:t>application to create workflow tasks for examination.</w:t>
      </w:r>
    </w:p>
    <w:p w14:paraId="7CF78616" w14:textId="77A0CE1D" w:rsidR="008A2166" w:rsidRPr="001614E9" w:rsidRDefault="008A2166" w:rsidP="008A2166">
      <w:pPr>
        <w:rPr>
          <w:rFonts w:eastAsia="SimSun"/>
        </w:rPr>
      </w:pPr>
      <w:r w:rsidRPr="001614E9">
        <w:rPr>
          <w:rFonts w:eastAsia="SimSun"/>
          <w:iCs/>
        </w:rPr>
        <w:t xml:space="preserve">The examination processes for each activity group </w:t>
      </w:r>
      <w:r>
        <w:rPr>
          <w:rFonts w:eastAsia="SimSun"/>
          <w:iCs/>
        </w:rPr>
        <w:t>relies on the work effort of the examiner</w:t>
      </w:r>
      <w:r w:rsidRPr="001614E9">
        <w:rPr>
          <w:rFonts w:eastAsia="SimSun"/>
          <w:iCs/>
        </w:rPr>
        <w:t xml:space="preserve">. The examiner must search online material relevant to </w:t>
      </w:r>
      <w:r>
        <w:rPr>
          <w:rFonts w:eastAsia="SimSun"/>
          <w:iCs/>
        </w:rPr>
        <w:t>each</w:t>
      </w:r>
      <w:r w:rsidRPr="001614E9">
        <w:rPr>
          <w:rFonts w:eastAsia="SimSun"/>
          <w:iCs/>
        </w:rPr>
        <w:t xml:space="preserve"> application and issue a report </w:t>
      </w:r>
      <w:r>
        <w:rPr>
          <w:rFonts w:eastAsia="SimSun"/>
          <w:iCs/>
        </w:rPr>
        <w:t xml:space="preserve">detailing </w:t>
      </w:r>
      <w:r w:rsidRPr="001614E9">
        <w:rPr>
          <w:rFonts w:eastAsia="SimSun"/>
          <w:iCs/>
        </w:rPr>
        <w:t xml:space="preserve">the application’s merit </w:t>
      </w:r>
      <w:r>
        <w:rPr>
          <w:rFonts w:eastAsia="SimSun"/>
          <w:iCs/>
        </w:rPr>
        <w:t xml:space="preserve">in complying with </w:t>
      </w:r>
      <w:r w:rsidRPr="001614E9">
        <w:rPr>
          <w:rFonts w:eastAsia="SimSun"/>
          <w:iCs/>
        </w:rPr>
        <w:t>the relevant IP legislation.</w:t>
      </w:r>
    </w:p>
    <w:p w14:paraId="0DDADC28" w14:textId="77777777" w:rsidR="00E50F6D" w:rsidRDefault="008A2166" w:rsidP="008A2166">
      <w:pPr>
        <w:rPr>
          <w:rFonts w:eastAsia="SimSun"/>
          <w:iCs/>
        </w:rPr>
      </w:pPr>
      <w:r w:rsidRPr="001614E9">
        <w:rPr>
          <w:rFonts w:eastAsia="SimSun"/>
          <w:iCs/>
        </w:rPr>
        <w:t xml:space="preserve">The business processes that support the TTIPA outputs are also staff-based. The TTIPA Secretariat is responsible for providing support to the TTIPA Board, and undertakes functions associated with individuals or companies seeking to qualify for registration as patent and/or trade mark </w:t>
      </w:r>
      <w:r>
        <w:rPr>
          <w:rFonts w:eastAsia="SimSun"/>
          <w:iCs/>
        </w:rPr>
        <w:t>a</w:t>
      </w:r>
      <w:r w:rsidRPr="001614E9">
        <w:rPr>
          <w:rFonts w:eastAsia="SimSun"/>
          <w:iCs/>
        </w:rPr>
        <w:t>ttorneys.</w:t>
      </w:r>
    </w:p>
    <w:p w14:paraId="68773AD2" w14:textId="7AD95795" w:rsidR="008A2166" w:rsidRDefault="008A2166" w:rsidP="008A2166">
      <w:pPr>
        <w:rPr>
          <w:rFonts w:eastAsia="SimSun"/>
          <w:iCs/>
        </w:rPr>
      </w:pPr>
      <w:r>
        <w:rPr>
          <w:rFonts w:eastAsia="SimSun"/>
          <w:iCs/>
        </w:rPr>
        <w:t xml:space="preserve">Table 2: </w:t>
      </w:r>
      <w:r w:rsidRPr="001614E9">
        <w:rPr>
          <w:rFonts w:eastAsia="SimSun"/>
          <w:iCs/>
        </w:rPr>
        <w:t>The application forecast for each of IP Australia’s cost recovered activity groups</w:t>
      </w:r>
      <w:r>
        <w:rPr>
          <w:rFonts w:eastAsia="SimSun"/>
          <w:iCs/>
        </w:rPr>
        <w:t>.</w:t>
      </w:r>
    </w:p>
    <w:tbl>
      <w:tblPr>
        <w:tblStyle w:val="TableGrid"/>
        <w:tblW w:w="8926" w:type="dxa"/>
        <w:tblLook w:val="04A0" w:firstRow="1" w:lastRow="0" w:firstColumn="1" w:lastColumn="0" w:noHBand="0" w:noVBand="1"/>
      </w:tblPr>
      <w:tblGrid>
        <w:gridCol w:w="3256"/>
        <w:gridCol w:w="1417"/>
        <w:gridCol w:w="1418"/>
        <w:gridCol w:w="1417"/>
        <w:gridCol w:w="1418"/>
      </w:tblGrid>
      <w:tr w:rsidR="008A2166" w14:paraId="715DB600" w14:textId="77777777">
        <w:trPr>
          <w:trHeight w:val="340"/>
        </w:trPr>
        <w:tc>
          <w:tcPr>
            <w:tcW w:w="3256" w:type="dxa"/>
            <w:shd w:val="clear" w:color="auto" w:fill="D9E2F3" w:themeFill="accent1" w:themeFillTint="33"/>
            <w:vAlign w:val="bottom"/>
          </w:tcPr>
          <w:p w14:paraId="411881F3" w14:textId="77777777" w:rsidR="008A2166" w:rsidRPr="006C5CEA" w:rsidRDefault="008A2166">
            <w:pP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Application Forecast</w:t>
            </w:r>
          </w:p>
        </w:tc>
        <w:tc>
          <w:tcPr>
            <w:tcW w:w="1417" w:type="dxa"/>
            <w:shd w:val="clear" w:color="auto" w:fill="D9E2F3" w:themeFill="accent1" w:themeFillTint="33"/>
            <w:vAlign w:val="bottom"/>
          </w:tcPr>
          <w:p w14:paraId="643E2430"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Budget Estimate</w:t>
            </w:r>
          </w:p>
          <w:p w14:paraId="3EFF2845" w14:textId="77777777" w:rsidR="008A2166" w:rsidRPr="006C5CEA"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2024-25</w:t>
            </w:r>
          </w:p>
        </w:tc>
        <w:tc>
          <w:tcPr>
            <w:tcW w:w="1418" w:type="dxa"/>
            <w:shd w:val="clear" w:color="auto" w:fill="D9E2F3" w:themeFill="accent1" w:themeFillTint="33"/>
            <w:vAlign w:val="bottom"/>
          </w:tcPr>
          <w:p w14:paraId="5DB8A8F2"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10362981"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2025-26</w:t>
            </w:r>
          </w:p>
        </w:tc>
        <w:tc>
          <w:tcPr>
            <w:tcW w:w="1417" w:type="dxa"/>
            <w:shd w:val="clear" w:color="auto" w:fill="D9E2F3" w:themeFill="accent1" w:themeFillTint="33"/>
            <w:vAlign w:val="bottom"/>
          </w:tcPr>
          <w:p w14:paraId="08E2E853"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03F75CF2"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2026-27</w:t>
            </w:r>
          </w:p>
        </w:tc>
        <w:tc>
          <w:tcPr>
            <w:tcW w:w="1418" w:type="dxa"/>
            <w:shd w:val="clear" w:color="auto" w:fill="D9E2F3" w:themeFill="accent1" w:themeFillTint="33"/>
            <w:vAlign w:val="bottom"/>
          </w:tcPr>
          <w:p w14:paraId="43B56A82"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21C3D8B7"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2027-28</w:t>
            </w:r>
          </w:p>
        </w:tc>
      </w:tr>
      <w:tr w:rsidR="008A2166" w14:paraId="49D8C47A" w14:textId="77777777">
        <w:trPr>
          <w:trHeight w:val="340"/>
        </w:trPr>
        <w:tc>
          <w:tcPr>
            <w:tcW w:w="3256" w:type="dxa"/>
            <w:vAlign w:val="bottom"/>
          </w:tcPr>
          <w:p w14:paraId="331C0FD1" w14:textId="77777777" w:rsidR="008A2166" w:rsidRPr="009632BA" w:rsidRDefault="008A2166">
            <w:pPr>
              <w:rPr>
                <w:rFonts w:asciiTheme="minorHAnsi" w:eastAsia="SimSun" w:hAnsiTheme="minorHAnsi" w:cstheme="minorHAnsi"/>
                <w:iCs/>
                <w:sz w:val="18"/>
                <w:szCs w:val="18"/>
              </w:rPr>
            </w:pPr>
            <w:r w:rsidRPr="009632BA">
              <w:rPr>
                <w:rFonts w:asciiTheme="minorHAnsi" w:eastAsia="SimSun" w:hAnsiTheme="minorHAnsi" w:cstheme="minorHAnsi"/>
                <w:iCs/>
                <w:sz w:val="18"/>
                <w:szCs w:val="18"/>
              </w:rPr>
              <w:t>Patent</w:t>
            </w:r>
            <w:r>
              <w:rPr>
                <w:rFonts w:asciiTheme="minorHAnsi" w:eastAsia="SimSun" w:hAnsiTheme="minorHAnsi" w:cstheme="minorHAnsi"/>
                <w:iCs/>
                <w:sz w:val="18"/>
                <w:szCs w:val="18"/>
              </w:rPr>
              <w:t>s</w:t>
            </w:r>
            <w:r w:rsidRPr="009632BA">
              <w:rPr>
                <w:rFonts w:asciiTheme="minorHAnsi" w:eastAsia="SimSun" w:hAnsiTheme="minorHAnsi" w:cstheme="minorHAnsi"/>
                <w:iCs/>
                <w:sz w:val="18"/>
                <w:szCs w:val="18"/>
              </w:rPr>
              <w:t xml:space="preserve"> (excluding provisional)</w:t>
            </w:r>
          </w:p>
        </w:tc>
        <w:tc>
          <w:tcPr>
            <w:tcW w:w="1417" w:type="dxa"/>
            <w:vAlign w:val="bottom"/>
          </w:tcPr>
          <w:p w14:paraId="56979B78" w14:textId="77777777" w:rsidR="008A2166" w:rsidRPr="00CF2434" w:rsidRDefault="008A2166">
            <w:pPr>
              <w:jc w:val="right"/>
              <w:rPr>
                <w:rFonts w:ascii="Calibri" w:eastAsia="SimSun" w:hAnsi="Calibri" w:cs="Calibri"/>
                <w:color w:val="000000"/>
                <w:sz w:val="18"/>
                <w:szCs w:val="18"/>
              </w:rPr>
            </w:pPr>
            <w:r w:rsidRPr="00CF2434">
              <w:rPr>
                <w:rFonts w:ascii="Calibri" w:hAnsi="Calibri" w:cs="Calibri"/>
                <w:color w:val="000000"/>
                <w:sz w:val="18"/>
                <w:szCs w:val="18"/>
              </w:rPr>
              <w:t>31,450</w:t>
            </w:r>
          </w:p>
        </w:tc>
        <w:tc>
          <w:tcPr>
            <w:tcW w:w="1418" w:type="dxa"/>
            <w:vAlign w:val="bottom"/>
          </w:tcPr>
          <w:p w14:paraId="11341C92" w14:textId="77777777" w:rsidR="008A2166" w:rsidRPr="000B5945" w:rsidRDefault="008A2166">
            <w:pPr>
              <w:jc w:val="right"/>
              <w:rPr>
                <w:rFonts w:ascii="Calibri" w:eastAsia="SimSun" w:hAnsi="Calibri" w:cs="Calibri"/>
                <w:color w:val="000000"/>
                <w:sz w:val="18"/>
                <w:szCs w:val="18"/>
              </w:rPr>
            </w:pPr>
            <w:r w:rsidRPr="000B5945">
              <w:rPr>
                <w:rFonts w:ascii="Calibri" w:hAnsi="Calibri" w:cs="Calibri"/>
                <w:color w:val="000000"/>
                <w:sz w:val="18"/>
                <w:szCs w:val="18"/>
              </w:rPr>
              <w:t>30,976</w:t>
            </w:r>
          </w:p>
        </w:tc>
        <w:tc>
          <w:tcPr>
            <w:tcW w:w="1417" w:type="dxa"/>
            <w:vAlign w:val="bottom"/>
          </w:tcPr>
          <w:p w14:paraId="1738B594" w14:textId="77777777" w:rsidR="008A2166" w:rsidRPr="000B5945" w:rsidRDefault="008A2166">
            <w:pPr>
              <w:jc w:val="right"/>
              <w:rPr>
                <w:rFonts w:ascii="Calibri" w:eastAsia="SimSun" w:hAnsi="Calibri" w:cs="Calibri"/>
                <w:color w:val="000000"/>
                <w:sz w:val="18"/>
                <w:szCs w:val="18"/>
              </w:rPr>
            </w:pPr>
            <w:r w:rsidRPr="000B5945">
              <w:rPr>
                <w:rFonts w:ascii="Calibri" w:hAnsi="Calibri" w:cs="Calibri"/>
                <w:color w:val="000000"/>
                <w:sz w:val="18"/>
                <w:szCs w:val="18"/>
              </w:rPr>
              <w:t>30,637</w:t>
            </w:r>
          </w:p>
        </w:tc>
        <w:tc>
          <w:tcPr>
            <w:tcW w:w="1418" w:type="dxa"/>
            <w:vAlign w:val="bottom"/>
          </w:tcPr>
          <w:p w14:paraId="759AAC81" w14:textId="77777777" w:rsidR="008A2166" w:rsidRPr="000B5945" w:rsidRDefault="008A2166">
            <w:pPr>
              <w:jc w:val="right"/>
              <w:rPr>
                <w:rFonts w:ascii="Calibri" w:eastAsia="SimSun" w:hAnsi="Calibri" w:cs="Calibri"/>
                <w:color w:val="000000"/>
                <w:sz w:val="18"/>
                <w:szCs w:val="18"/>
              </w:rPr>
            </w:pPr>
            <w:r w:rsidRPr="000B5945">
              <w:rPr>
                <w:rFonts w:ascii="Calibri" w:hAnsi="Calibri" w:cs="Calibri"/>
                <w:color w:val="000000"/>
                <w:sz w:val="18"/>
                <w:szCs w:val="18"/>
              </w:rPr>
              <w:t>30,415</w:t>
            </w:r>
          </w:p>
        </w:tc>
      </w:tr>
      <w:tr w:rsidR="008A2166" w14:paraId="387A6BDD" w14:textId="77777777">
        <w:trPr>
          <w:trHeight w:val="340"/>
        </w:trPr>
        <w:tc>
          <w:tcPr>
            <w:tcW w:w="3256" w:type="dxa"/>
            <w:vAlign w:val="bottom"/>
          </w:tcPr>
          <w:p w14:paraId="1BF660A7"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Patent Cooperation Treaty (PCT)</w:t>
            </w:r>
          </w:p>
        </w:tc>
        <w:tc>
          <w:tcPr>
            <w:tcW w:w="1417" w:type="dxa"/>
            <w:vAlign w:val="bottom"/>
          </w:tcPr>
          <w:p w14:paraId="55E6A276" w14:textId="77777777" w:rsidR="008A2166" w:rsidRPr="00CF2434" w:rsidRDefault="008A2166">
            <w:pPr>
              <w:jc w:val="right"/>
              <w:rPr>
                <w:rFonts w:ascii="Calibri" w:eastAsia="SimSun" w:hAnsi="Calibri" w:cs="Calibri"/>
                <w:color w:val="000000"/>
                <w:sz w:val="18"/>
                <w:szCs w:val="18"/>
              </w:rPr>
            </w:pPr>
            <w:r w:rsidRPr="00CF2434">
              <w:rPr>
                <w:rFonts w:ascii="Calibri" w:hAnsi="Calibri" w:cs="Calibri"/>
                <w:color w:val="000000"/>
                <w:sz w:val="18"/>
                <w:szCs w:val="18"/>
              </w:rPr>
              <w:t>2,774</w:t>
            </w:r>
          </w:p>
        </w:tc>
        <w:tc>
          <w:tcPr>
            <w:tcW w:w="1418" w:type="dxa"/>
            <w:vAlign w:val="bottom"/>
          </w:tcPr>
          <w:p w14:paraId="0BF360C3" w14:textId="77777777" w:rsidR="008A2166" w:rsidRPr="00627741" w:rsidRDefault="008A2166">
            <w:pPr>
              <w:jc w:val="right"/>
              <w:rPr>
                <w:rFonts w:ascii="Calibri" w:eastAsia="SimSun" w:hAnsi="Calibri" w:cs="Calibri"/>
                <w:color w:val="000000"/>
                <w:sz w:val="18"/>
                <w:szCs w:val="18"/>
              </w:rPr>
            </w:pPr>
            <w:r w:rsidRPr="00627741">
              <w:rPr>
                <w:rFonts w:ascii="Calibri" w:hAnsi="Calibri" w:cs="Calibri"/>
                <w:color w:val="000000"/>
                <w:sz w:val="18"/>
                <w:szCs w:val="18"/>
              </w:rPr>
              <w:t>2,788</w:t>
            </w:r>
          </w:p>
        </w:tc>
        <w:tc>
          <w:tcPr>
            <w:tcW w:w="1417" w:type="dxa"/>
            <w:vAlign w:val="bottom"/>
          </w:tcPr>
          <w:p w14:paraId="12D3CECB" w14:textId="77777777" w:rsidR="008A2166" w:rsidRPr="00627741" w:rsidRDefault="008A2166">
            <w:pPr>
              <w:jc w:val="right"/>
              <w:rPr>
                <w:rFonts w:ascii="Calibri" w:eastAsia="SimSun" w:hAnsi="Calibri" w:cs="Calibri"/>
                <w:color w:val="000000"/>
                <w:sz w:val="18"/>
                <w:szCs w:val="18"/>
              </w:rPr>
            </w:pPr>
            <w:r w:rsidRPr="00627741">
              <w:rPr>
                <w:rFonts w:ascii="Calibri" w:hAnsi="Calibri" w:cs="Calibri"/>
                <w:color w:val="000000"/>
                <w:sz w:val="18"/>
                <w:szCs w:val="18"/>
              </w:rPr>
              <w:t>2,780</w:t>
            </w:r>
          </w:p>
        </w:tc>
        <w:tc>
          <w:tcPr>
            <w:tcW w:w="1418" w:type="dxa"/>
            <w:vAlign w:val="bottom"/>
          </w:tcPr>
          <w:p w14:paraId="62B0ECD4" w14:textId="77777777" w:rsidR="008A2166" w:rsidRPr="00627741" w:rsidRDefault="008A2166">
            <w:pPr>
              <w:jc w:val="right"/>
              <w:rPr>
                <w:rFonts w:ascii="Calibri" w:eastAsia="SimSun" w:hAnsi="Calibri" w:cs="Calibri"/>
                <w:color w:val="000000"/>
                <w:sz w:val="18"/>
                <w:szCs w:val="18"/>
              </w:rPr>
            </w:pPr>
            <w:r w:rsidRPr="00627741">
              <w:rPr>
                <w:rFonts w:ascii="Calibri" w:hAnsi="Calibri" w:cs="Calibri"/>
                <w:color w:val="000000"/>
                <w:sz w:val="18"/>
                <w:szCs w:val="18"/>
              </w:rPr>
              <w:t>2,780</w:t>
            </w:r>
          </w:p>
        </w:tc>
      </w:tr>
      <w:tr w:rsidR="008A2166" w14:paraId="74C53AB1" w14:textId="77777777">
        <w:trPr>
          <w:trHeight w:val="340"/>
        </w:trPr>
        <w:tc>
          <w:tcPr>
            <w:tcW w:w="3256" w:type="dxa"/>
            <w:vAlign w:val="bottom"/>
          </w:tcPr>
          <w:p w14:paraId="4B88D7E0" w14:textId="77777777" w:rsidR="008A2166" w:rsidRPr="009632BA" w:rsidRDefault="008A2166">
            <w:pPr>
              <w:rPr>
                <w:rFonts w:eastAsia="SimSun" w:cstheme="minorHAnsi"/>
                <w:iCs/>
                <w:sz w:val="18"/>
                <w:szCs w:val="18"/>
              </w:rPr>
            </w:pPr>
            <w:r w:rsidRPr="001823E9">
              <w:rPr>
                <w:rFonts w:asciiTheme="minorHAnsi" w:eastAsia="SimSun" w:hAnsiTheme="minorHAnsi" w:cstheme="minorHAnsi"/>
                <w:iCs/>
                <w:sz w:val="18"/>
                <w:szCs w:val="18"/>
              </w:rPr>
              <w:lastRenderedPageBreak/>
              <w:t>Trade Marks</w:t>
            </w:r>
          </w:p>
        </w:tc>
        <w:tc>
          <w:tcPr>
            <w:tcW w:w="1417" w:type="dxa"/>
            <w:vAlign w:val="bottom"/>
          </w:tcPr>
          <w:p w14:paraId="5BCE7701" w14:textId="77777777" w:rsidR="008A2166" w:rsidRPr="00CF2434" w:rsidRDefault="008A2166">
            <w:pPr>
              <w:jc w:val="right"/>
              <w:rPr>
                <w:rFonts w:ascii="Calibri" w:eastAsia="SimSun" w:hAnsi="Calibri" w:cs="Calibri"/>
                <w:color w:val="000000"/>
                <w:sz w:val="18"/>
                <w:szCs w:val="18"/>
              </w:rPr>
            </w:pPr>
            <w:r w:rsidRPr="00CF2434">
              <w:rPr>
                <w:rFonts w:ascii="Calibri" w:hAnsi="Calibri" w:cs="Calibri"/>
                <w:color w:val="000000"/>
                <w:sz w:val="18"/>
                <w:szCs w:val="18"/>
              </w:rPr>
              <w:t>88,079</w:t>
            </w:r>
          </w:p>
        </w:tc>
        <w:tc>
          <w:tcPr>
            <w:tcW w:w="1418" w:type="dxa"/>
            <w:vAlign w:val="bottom"/>
          </w:tcPr>
          <w:p w14:paraId="1AB837E8" w14:textId="77777777" w:rsidR="008A2166" w:rsidRPr="00627741" w:rsidRDefault="008A2166">
            <w:pPr>
              <w:jc w:val="right"/>
              <w:rPr>
                <w:rFonts w:ascii="Calibri" w:eastAsia="SimSun" w:hAnsi="Calibri" w:cs="Calibri"/>
                <w:color w:val="000000"/>
                <w:sz w:val="18"/>
                <w:szCs w:val="18"/>
              </w:rPr>
            </w:pPr>
            <w:r w:rsidRPr="00627741">
              <w:rPr>
                <w:rFonts w:ascii="Calibri" w:hAnsi="Calibri" w:cs="Calibri"/>
                <w:color w:val="000000"/>
                <w:sz w:val="18"/>
                <w:szCs w:val="18"/>
              </w:rPr>
              <w:t>90,136</w:t>
            </w:r>
          </w:p>
        </w:tc>
        <w:tc>
          <w:tcPr>
            <w:tcW w:w="1417" w:type="dxa"/>
            <w:vAlign w:val="bottom"/>
          </w:tcPr>
          <w:p w14:paraId="28459141" w14:textId="77777777" w:rsidR="008A2166" w:rsidRPr="00627741" w:rsidRDefault="008A2166">
            <w:pPr>
              <w:jc w:val="right"/>
              <w:rPr>
                <w:rFonts w:ascii="Calibri" w:eastAsia="SimSun" w:hAnsi="Calibri" w:cs="Calibri"/>
                <w:color w:val="000000"/>
                <w:sz w:val="18"/>
                <w:szCs w:val="18"/>
              </w:rPr>
            </w:pPr>
            <w:r w:rsidRPr="00627741">
              <w:rPr>
                <w:rFonts w:ascii="Calibri" w:hAnsi="Calibri" w:cs="Calibri"/>
                <w:color w:val="000000"/>
                <w:sz w:val="18"/>
                <w:szCs w:val="18"/>
              </w:rPr>
              <w:t>92,261</w:t>
            </w:r>
          </w:p>
        </w:tc>
        <w:tc>
          <w:tcPr>
            <w:tcW w:w="1418" w:type="dxa"/>
            <w:vAlign w:val="bottom"/>
          </w:tcPr>
          <w:p w14:paraId="0FE23984" w14:textId="77777777" w:rsidR="008A2166" w:rsidRPr="00627741" w:rsidRDefault="008A2166">
            <w:pPr>
              <w:jc w:val="right"/>
              <w:rPr>
                <w:rFonts w:ascii="Calibri" w:eastAsia="SimSun" w:hAnsi="Calibri" w:cs="Calibri"/>
                <w:color w:val="000000"/>
                <w:sz w:val="18"/>
                <w:szCs w:val="18"/>
              </w:rPr>
            </w:pPr>
            <w:r w:rsidRPr="00627741">
              <w:rPr>
                <w:rFonts w:ascii="Calibri" w:hAnsi="Calibri" w:cs="Calibri"/>
                <w:color w:val="000000"/>
                <w:sz w:val="18"/>
                <w:szCs w:val="18"/>
              </w:rPr>
              <w:t>93,984</w:t>
            </w:r>
          </w:p>
        </w:tc>
      </w:tr>
      <w:tr w:rsidR="008A2166" w14:paraId="004FE686" w14:textId="77777777">
        <w:trPr>
          <w:trHeight w:val="340"/>
        </w:trPr>
        <w:tc>
          <w:tcPr>
            <w:tcW w:w="3256" w:type="dxa"/>
            <w:vAlign w:val="bottom"/>
          </w:tcPr>
          <w:p w14:paraId="4D698BEA" w14:textId="77777777" w:rsidR="008A2166" w:rsidRPr="009632BA" w:rsidRDefault="008A2166">
            <w:pPr>
              <w:rPr>
                <w:rFonts w:asciiTheme="minorHAnsi" w:eastAsia="SimSun" w:hAnsiTheme="minorHAnsi" w:cstheme="minorHAnsi"/>
                <w:iCs/>
                <w:sz w:val="18"/>
                <w:szCs w:val="18"/>
              </w:rPr>
            </w:pPr>
            <w:r w:rsidRPr="009632BA">
              <w:rPr>
                <w:rFonts w:asciiTheme="minorHAnsi" w:eastAsia="SimSun" w:hAnsiTheme="minorHAnsi" w:cstheme="minorHAnsi"/>
                <w:iCs/>
                <w:sz w:val="18"/>
                <w:szCs w:val="18"/>
              </w:rPr>
              <w:t>Design</w:t>
            </w:r>
            <w:r>
              <w:rPr>
                <w:rFonts w:asciiTheme="minorHAnsi" w:eastAsia="SimSun" w:hAnsiTheme="minorHAnsi" w:cstheme="minorHAnsi"/>
                <w:iCs/>
                <w:sz w:val="18"/>
                <w:szCs w:val="18"/>
              </w:rPr>
              <w:t>s</w:t>
            </w:r>
          </w:p>
        </w:tc>
        <w:tc>
          <w:tcPr>
            <w:tcW w:w="1417" w:type="dxa"/>
            <w:vAlign w:val="bottom"/>
          </w:tcPr>
          <w:p w14:paraId="65297456" w14:textId="77777777" w:rsidR="008A2166" w:rsidRPr="00CF2434" w:rsidRDefault="008A2166">
            <w:pPr>
              <w:jc w:val="right"/>
              <w:rPr>
                <w:rFonts w:ascii="Calibri" w:eastAsia="SimSun" w:hAnsi="Calibri" w:cs="Calibri"/>
                <w:color w:val="000000"/>
                <w:sz w:val="18"/>
                <w:szCs w:val="18"/>
              </w:rPr>
            </w:pPr>
            <w:r w:rsidRPr="00CF2434">
              <w:rPr>
                <w:rFonts w:ascii="Calibri" w:hAnsi="Calibri" w:cs="Calibri"/>
                <w:color w:val="000000"/>
                <w:sz w:val="18"/>
                <w:szCs w:val="18"/>
              </w:rPr>
              <w:t>8,615</w:t>
            </w:r>
          </w:p>
        </w:tc>
        <w:tc>
          <w:tcPr>
            <w:tcW w:w="1418" w:type="dxa"/>
            <w:vAlign w:val="bottom"/>
          </w:tcPr>
          <w:p w14:paraId="0260E967" w14:textId="77777777" w:rsidR="008A2166" w:rsidRPr="00627741" w:rsidRDefault="008A2166">
            <w:pPr>
              <w:jc w:val="right"/>
              <w:rPr>
                <w:rFonts w:ascii="Calibri" w:eastAsia="SimSun" w:hAnsi="Calibri" w:cs="Calibri"/>
                <w:color w:val="000000"/>
                <w:sz w:val="18"/>
                <w:szCs w:val="18"/>
              </w:rPr>
            </w:pPr>
            <w:r w:rsidRPr="00627741">
              <w:rPr>
                <w:rFonts w:ascii="Calibri" w:hAnsi="Calibri" w:cs="Calibri"/>
                <w:color w:val="000000"/>
                <w:sz w:val="18"/>
                <w:szCs w:val="18"/>
              </w:rPr>
              <w:t>8,718</w:t>
            </w:r>
          </w:p>
        </w:tc>
        <w:tc>
          <w:tcPr>
            <w:tcW w:w="1417" w:type="dxa"/>
            <w:vAlign w:val="bottom"/>
          </w:tcPr>
          <w:p w14:paraId="5AE6C5F2" w14:textId="77777777" w:rsidR="008A2166" w:rsidRPr="00627741" w:rsidRDefault="008A2166">
            <w:pPr>
              <w:jc w:val="right"/>
              <w:rPr>
                <w:rFonts w:ascii="Calibri" w:eastAsia="SimSun" w:hAnsi="Calibri" w:cs="Calibri"/>
                <w:color w:val="000000"/>
                <w:sz w:val="18"/>
                <w:szCs w:val="18"/>
              </w:rPr>
            </w:pPr>
            <w:r w:rsidRPr="00627741">
              <w:rPr>
                <w:rFonts w:ascii="Calibri" w:hAnsi="Calibri" w:cs="Calibri"/>
                <w:color w:val="000000"/>
                <w:sz w:val="18"/>
                <w:szCs w:val="18"/>
              </w:rPr>
              <w:t>8,764</w:t>
            </w:r>
          </w:p>
        </w:tc>
        <w:tc>
          <w:tcPr>
            <w:tcW w:w="1418" w:type="dxa"/>
            <w:vAlign w:val="bottom"/>
          </w:tcPr>
          <w:p w14:paraId="6244B13A" w14:textId="77777777" w:rsidR="008A2166" w:rsidRPr="00627741" w:rsidRDefault="008A2166">
            <w:pPr>
              <w:jc w:val="right"/>
              <w:rPr>
                <w:rFonts w:ascii="Calibri" w:eastAsia="SimSun" w:hAnsi="Calibri" w:cs="Calibri"/>
                <w:color w:val="000000"/>
                <w:sz w:val="18"/>
                <w:szCs w:val="18"/>
              </w:rPr>
            </w:pPr>
            <w:r w:rsidRPr="00627741">
              <w:rPr>
                <w:rFonts w:ascii="Calibri" w:hAnsi="Calibri" w:cs="Calibri"/>
                <w:color w:val="000000"/>
                <w:sz w:val="18"/>
                <w:szCs w:val="18"/>
              </w:rPr>
              <w:t>9,052</w:t>
            </w:r>
          </w:p>
        </w:tc>
      </w:tr>
      <w:tr w:rsidR="008A2166" w14:paraId="1FE27979" w14:textId="77777777">
        <w:trPr>
          <w:trHeight w:val="340"/>
        </w:trPr>
        <w:tc>
          <w:tcPr>
            <w:tcW w:w="3256" w:type="dxa"/>
            <w:tcBorders>
              <w:bottom w:val="single" w:sz="4" w:space="0" w:color="auto"/>
            </w:tcBorders>
            <w:vAlign w:val="bottom"/>
          </w:tcPr>
          <w:p w14:paraId="144B5E1A" w14:textId="77777777" w:rsidR="008A2166" w:rsidRPr="009632BA" w:rsidRDefault="008A2166">
            <w:pPr>
              <w:rPr>
                <w:rFonts w:asciiTheme="minorHAnsi" w:eastAsia="SimSun" w:hAnsiTheme="minorHAnsi" w:cstheme="minorHAnsi"/>
                <w:iCs/>
                <w:sz w:val="18"/>
                <w:szCs w:val="18"/>
              </w:rPr>
            </w:pPr>
            <w:r w:rsidRPr="009632BA">
              <w:rPr>
                <w:rFonts w:asciiTheme="minorHAnsi" w:eastAsia="SimSun" w:hAnsiTheme="minorHAnsi" w:cstheme="minorHAnsi"/>
                <w:iCs/>
                <w:sz w:val="18"/>
                <w:szCs w:val="18"/>
              </w:rPr>
              <w:t>Plant Breeder’s Rights</w:t>
            </w:r>
          </w:p>
        </w:tc>
        <w:tc>
          <w:tcPr>
            <w:tcW w:w="1417" w:type="dxa"/>
            <w:tcBorders>
              <w:bottom w:val="single" w:sz="4" w:space="0" w:color="auto"/>
            </w:tcBorders>
            <w:vAlign w:val="bottom"/>
          </w:tcPr>
          <w:p w14:paraId="2A65C07F" w14:textId="77777777" w:rsidR="008A2166" w:rsidRPr="00CF2434" w:rsidRDefault="008A2166">
            <w:pPr>
              <w:jc w:val="right"/>
              <w:rPr>
                <w:rFonts w:ascii="Calibri" w:eastAsia="SimSun" w:hAnsi="Calibri" w:cs="Calibri"/>
                <w:color w:val="000000"/>
                <w:sz w:val="18"/>
                <w:szCs w:val="18"/>
              </w:rPr>
            </w:pPr>
            <w:r w:rsidRPr="00CF2434">
              <w:rPr>
                <w:rFonts w:ascii="Calibri" w:hAnsi="Calibri" w:cs="Calibri"/>
                <w:color w:val="000000"/>
                <w:sz w:val="18"/>
                <w:szCs w:val="18"/>
              </w:rPr>
              <w:t>350</w:t>
            </w:r>
          </w:p>
        </w:tc>
        <w:tc>
          <w:tcPr>
            <w:tcW w:w="1418" w:type="dxa"/>
            <w:tcBorders>
              <w:bottom w:val="single" w:sz="4" w:space="0" w:color="auto"/>
            </w:tcBorders>
            <w:vAlign w:val="bottom"/>
          </w:tcPr>
          <w:p w14:paraId="1C96A10F" w14:textId="77777777" w:rsidR="008A2166" w:rsidRPr="00627741" w:rsidRDefault="008A2166">
            <w:pPr>
              <w:jc w:val="right"/>
              <w:rPr>
                <w:rFonts w:ascii="Calibri" w:eastAsia="SimSun" w:hAnsi="Calibri" w:cs="Calibri"/>
                <w:color w:val="000000"/>
                <w:sz w:val="18"/>
                <w:szCs w:val="18"/>
              </w:rPr>
            </w:pPr>
            <w:r w:rsidRPr="00723F84">
              <w:rPr>
                <w:rFonts w:ascii="Calibri" w:hAnsi="Calibri" w:cs="Calibri"/>
                <w:color w:val="000000"/>
                <w:sz w:val="18"/>
                <w:szCs w:val="18"/>
              </w:rPr>
              <w:t>350</w:t>
            </w:r>
          </w:p>
        </w:tc>
        <w:tc>
          <w:tcPr>
            <w:tcW w:w="1417" w:type="dxa"/>
            <w:tcBorders>
              <w:bottom w:val="single" w:sz="4" w:space="0" w:color="auto"/>
            </w:tcBorders>
            <w:vAlign w:val="bottom"/>
          </w:tcPr>
          <w:p w14:paraId="59AD8F18" w14:textId="77777777" w:rsidR="008A2166" w:rsidRPr="00627741" w:rsidRDefault="008A2166">
            <w:pPr>
              <w:jc w:val="right"/>
              <w:rPr>
                <w:rFonts w:ascii="Calibri" w:eastAsia="SimSun" w:hAnsi="Calibri" w:cs="Calibri"/>
                <w:color w:val="000000"/>
                <w:sz w:val="18"/>
                <w:szCs w:val="18"/>
              </w:rPr>
            </w:pPr>
            <w:r w:rsidRPr="00723F84">
              <w:rPr>
                <w:rFonts w:ascii="Calibri" w:hAnsi="Calibri" w:cs="Calibri"/>
                <w:color w:val="000000"/>
                <w:sz w:val="18"/>
                <w:szCs w:val="18"/>
              </w:rPr>
              <w:t>350</w:t>
            </w:r>
          </w:p>
        </w:tc>
        <w:tc>
          <w:tcPr>
            <w:tcW w:w="1418" w:type="dxa"/>
            <w:tcBorders>
              <w:bottom w:val="single" w:sz="4" w:space="0" w:color="auto"/>
            </w:tcBorders>
            <w:vAlign w:val="bottom"/>
          </w:tcPr>
          <w:p w14:paraId="725772F8" w14:textId="77777777" w:rsidR="008A2166" w:rsidRPr="00627741" w:rsidRDefault="008A2166">
            <w:pPr>
              <w:jc w:val="right"/>
              <w:rPr>
                <w:rFonts w:ascii="Calibri" w:eastAsia="SimSun" w:hAnsi="Calibri" w:cs="Calibri"/>
                <w:color w:val="000000"/>
                <w:sz w:val="18"/>
                <w:szCs w:val="18"/>
              </w:rPr>
            </w:pPr>
            <w:r w:rsidRPr="00723F84">
              <w:rPr>
                <w:rFonts w:ascii="Calibri" w:hAnsi="Calibri" w:cs="Calibri"/>
                <w:color w:val="000000"/>
                <w:sz w:val="18"/>
                <w:szCs w:val="18"/>
              </w:rPr>
              <w:t>350</w:t>
            </w:r>
          </w:p>
        </w:tc>
      </w:tr>
      <w:tr w:rsidR="008A2166" w14:paraId="264ECF48" w14:textId="77777777">
        <w:trPr>
          <w:trHeight w:val="340"/>
        </w:trPr>
        <w:tc>
          <w:tcPr>
            <w:tcW w:w="3256" w:type="dxa"/>
            <w:tcBorders>
              <w:left w:val="nil"/>
              <w:right w:val="nil"/>
            </w:tcBorders>
            <w:vAlign w:val="bottom"/>
          </w:tcPr>
          <w:p w14:paraId="4E5AE7A7" w14:textId="77777777" w:rsidR="008A2166" w:rsidRPr="009632BA" w:rsidRDefault="008A2166">
            <w:pPr>
              <w:rPr>
                <w:rFonts w:asciiTheme="minorHAnsi" w:eastAsia="SimSun" w:hAnsiTheme="minorHAnsi" w:cstheme="minorHAnsi"/>
                <w:iCs/>
                <w:sz w:val="18"/>
                <w:szCs w:val="18"/>
              </w:rPr>
            </w:pPr>
          </w:p>
        </w:tc>
        <w:tc>
          <w:tcPr>
            <w:tcW w:w="1417" w:type="dxa"/>
            <w:tcBorders>
              <w:left w:val="nil"/>
              <w:right w:val="nil"/>
            </w:tcBorders>
            <w:vAlign w:val="bottom"/>
          </w:tcPr>
          <w:p w14:paraId="1075E390" w14:textId="77777777" w:rsidR="008A2166" w:rsidRPr="009632BA" w:rsidRDefault="008A2166">
            <w:pPr>
              <w:rPr>
                <w:rFonts w:asciiTheme="minorHAnsi" w:eastAsia="SimSun" w:hAnsiTheme="minorHAnsi" w:cstheme="minorHAnsi"/>
                <w:iCs/>
                <w:sz w:val="18"/>
                <w:szCs w:val="18"/>
              </w:rPr>
            </w:pPr>
          </w:p>
        </w:tc>
        <w:tc>
          <w:tcPr>
            <w:tcW w:w="1418" w:type="dxa"/>
            <w:tcBorders>
              <w:left w:val="nil"/>
              <w:right w:val="nil"/>
            </w:tcBorders>
            <w:vAlign w:val="bottom"/>
          </w:tcPr>
          <w:p w14:paraId="15A7C263" w14:textId="77777777" w:rsidR="008A2166" w:rsidRPr="009632BA" w:rsidRDefault="008A2166">
            <w:pPr>
              <w:rPr>
                <w:rFonts w:asciiTheme="minorHAnsi" w:eastAsia="SimSun" w:hAnsiTheme="minorHAnsi" w:cstheme="minorHAnsi"/>
                <w:iCs/>
                <w:sz w:val="18"/>
                <w:szCs w:val="18"/>
              </w:rPr>
            </w:pPr>
          </w:p>
        </w:tc>
        <w:tc>
          <w:tcPr>
            <w:tcW w:w="1417" w:type="dxa"/>
            <w:tcBorders>
              <w:left w:val="nil"/>
              <w:right w:val="nil"/>
            </w:tcBorders>
            <w:vAlign w:val="bottom"/>
          </w:tcPr>
          <w:p w14:paraId="5FD916D8" w14:textId="77777777" w:rsidR="008A2166" w:rsidRPr="009632BA" w:rsidRDefault="008A2166">
            <w:pPr>
              <w:rPr>
                <w:rFonts w:asciiTheme="minorHAnsi" w:eastAsia="SimSun" w:hAnsiTheme="minorHAnsi" w:cstheme="minorHAnsi"/>
                <w:iCs/>
                <w:sz w:val="18"/>
                <w:szCs w:val="18"/>
              </w:rPr>
            </w:pPr>
          </w:p>
        </w:tc>
        <w:tc>
          <w:tcPr>
            <w:tcW w:w="1418" w:type="dxa"/>
            <w:tcBorders>
              <w:left w:val="nil"/>
              <w:right w:val="nil"/>
            </w:tcBorders>
            <w:vAlign w:val="bottom"/>
          </w:tcPr>
          <w:p w14:paraId="264E563B" w14:textId="77777777" w:rsidR="008A2166" w:rsidRPr="009632BA" w:rsidRDefault="008A2166">
            <w:pPr>
              <w:rPr>
                <w:rFonts w:asciiTheme="minorHAnsi" w:eastAsia="SimSun" w:hAnsiTheme="minorHAnsi" w:cstheme="minorHAnsi"/>
                <w:iCs/>
                <w:sz w:val="18"/>
                <w:szCs w:val="18"/>
              </w:rPr>
            </w:pPr>
          </w:p>
        </w:tc>
      </w:tr>
      <w:tr w:rsidR="008A2166" w14:paraId="3FA619B8" w14:textId="77777777">
        <w:trPr>
          <w:trHeight w:val="340"/>
        </w:trPr>
        <w:tc>
          <w:tcPr>
            <w:tcW w:w="3256" w:type="dxa"/>
            <w:shd w:val="clear" w:color="auto" w:fill="D9E2F3" w:themeFill="accent1" w:themeFillTint="33"/>
            <w:vAlign w:val="bottom"/>
          </w:tcPr>
          <w:p w14:paraId="3872B953" w14:textId="77777777" w:rsidR="008A2166" w:rsidRPr="001200C3" w:rsidRDefault="008A2166">
            <w:pPr>
              <w:rPr>
                <w:rFonts w:asciiTheme="minorHAnsi" w:eastAsia="SimSun" w:hAnsiTheme="minorHAnsi" w:cstheme="minorHAnsi"/>
                <w:b/>
                <w:bCs/>
                <w:iCs/>
                <w:sz w:val="16"/>
                <w:szCs w:val="16"/>
              </w:rPr>
            </w:pPr>
            <w:r w:rsidRPr="001200C3">
              <w:rPr>
                <w:rFonts w:asciiTheme="minorHAnsi" w:eastAsia="SimSun" w:hAnsiTheme="minorHAnsi" w:cstheme="minorHAnsi"/>
                <w:b/>
                <w:bCs/>
                <w:iCs/>
                <w:sz w:val="16"/>
                <w:szCs w:val="16"/>
              </w:rPr>
              <w:t>Application/Renewal of Registration</w:t>
            </w:r>
          </w:p>
        </w:tc>
        <w:tc>
          <w:tcPr>
            <w:tcW w:w="1417" w:type="dxa"/>
            <w:shd w:val="clear" w:color="auto" w:fill="D9E2F3" w:themeFill="accent1" w:themeFillTint="33"/>
            <w:vAlign w:val="bottom"/>
          </w:tcPr>
          <w:p w14:paraId="243C7986"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Budget Estimate</w:t>
            </w:r>
          </w:p>
          <w:p w14:paraId="3F0ED163" w14:textId="77777777" w:rsidR="008A2166" w:rsidRPr="009632BA" w:rsidRDefault="008A2166">
            <w:pPr>
              <w:jc w:val="center"/>
              <w:rPr>
                <w:rFonts w:asciiTheme="minorHAnsi" w:eastAsia="SimSun" w:hAnsiTheme="minorHAnsi" w:cstheme="minorHAnsi"/>
                <w:iCs/>
                <w:sz w:val="18"/>
                <w:szCs w:val="18"/>
              </w:rPr>
            </w:pPr>
            <w:r w:rsidRPr="006C5CEA">
              <w:rPr>
                <w:rFonts w:asciiTheme="minorHAnsi" w:eastAsia="SimSun" w:hAnsiTheme="minorHAnsi" w:cstheme="minorHAnsi"/>
                <w:b/>
                <w:bCs/>
                <w:iCs/>
                <w:sz w:val="16"/>
                <w:szCs w:val="16"/>
              </w:rPr>
              <w:t>2024-25</w:t>
            </w:r>
          </w:p>
        </w:tc>
        <w:tc>
          <w:tcPr>
            <w:tcW w:w="1418" w:type="dxa"/>
            <w:shd w:val="clear" w:color="auto" w:fill="D9E2F3" w:themeFill="accent1" w:themeFillTint="33"/>
            <w:vAlign w:val="bottom"/>
          </w:tcPr>
          <w:p w14:paraId="36839649"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712947C2" w14:textId="77777777" w:rsidR="008A2166" w:rsidRPr="009632BA" w:rsidRDefault="008A2166">
            <w:pPr>
              <w:jc w:val="center"/>
              <w:rPr>
                <w:rFonts w:asciiTheme="minorHAnsi" w:eastAsia="SimSun" w:hAnsiTheme="minorHAnsi" w:cstheme="minorHAnsi"/>
                <w:iCs/>
                <w:sz w:val="18"/>
                <w:szCs w:val="18"/>
              </w:rPr>
            </w:pPr>
            <w:r>
              <w:rPr>
                <w:rFonts w:asciiTheme="minorHAnsi" w:eastAsia="SimSun" w:hAnsiTheme="minorHAnsi" w:cstheme="minorHAnsi"/>
                <w:b/>
                <w:bCs/>
                <w:iCs/>
                <w:sz w:val="16"/>
                <w:szCs w:val="16"/>
              </w:rPr>
              <w:t>2025-26</w:t>
            </w:r>
          </w:p>
        </w:tc>
        <w:tc>
          <w:tcPr>
            <w:tcW w:w="1417" w:type="dxa"/>
            <w:shd w:val="clear" w:color="auto" w:fill="D9E2F3" w:themeFill="accent1" w:themeFillTint="33"/>
            <w:vAlign w:val="bottom"/>
          </w:tcPr>
          <w:p w14:paraId="57B2C421"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001AFA23" w14:textId="77777777" w:rsidR="008A2166" w:rsidRPr="009632BA" w:rsidRDefault="008A2166">
            <w:pPr>
              <w:jc w:val="center"/>
              <w:rPr>
                <w:rFonts w:asciiTheme="minorHAnsi" w:eastAsia="SimSun" w:hAnsiTheme="minorHAnsi" w:cstheme="minorHAnsi"/>
                <w:iCs/>
                <w:sz w:val="18"/>
                <w:szCs w:val="18"/>
              </w:rPr>
            </w:pPr>
            <w:r>
              <w:rPr>
                <w:rFonts w:asciiTheme="minorHAnsi" w:eastAsia="SimSun" w:hAnsiTheme="minorHAnsi" w:cstheme="minorHAnsi"/>
                <w:b/>
                <w:bCs/>
                <w:iCs/>
                <w:sz w:val="16"/>
                <w:szCs w:val="16"/>
              </w:rPr>
              <w:t>2026-27</w:t>
            </w:r>
          </w:p>
        </w:tc>
        <w:tc>
          <w:tcPr>
            <w:tcW w:w="1418" w:type="dxa"/>
            <w:shd w:val="clear" w:color="auto" w:fill="D9E2F3" w:themeFill="accent1" w:themeFillTint="33"/>
            <w:vAlign w:val="bottom"/>
          </w:tcPr>
          <w:p w14:paraId="25FAC385"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202B7EA4" w14:textId="77777777" w:rsidR="008A2166" w:rsidRPr="009632BA" w:rsidRDefault="008A2166">
            <w:pPr>
              <w:jc w:val="center"/>
              <w:rPr>
                <w:rFonts w:asciiTheme="minorHAnsi" w:eastAsia="SimSun" w:hAnsiTheme="minorHAnsi" w:cstheme="minorHAnsi"/>
                <w:iCs/>
                <w:sz w:val="18"/>
                <w:szCs w:val="18"/>
              </w:rPr>
            </w:pPr>
            <w:r>
              <w:rPr>
                <w:rFonts w:asciiTheme="minorHAnsi" w:eastAsia="SimSun" w:hAnsiTheme="minorHAnsi" w:cstheme="minorHAnsi"/>
                <w:b/>
                <w:bCs/>
                <w:iCs/>
                <w:sz w:val="16"/>
                <w:szCs w:val="16"/>
              </w:rPr>
              <w:t>2027-28</w:t>
            </w:r>
          </w:p>
        </w:tc>
      </w:tr>
      <w:tr w:rsidR="008A2166" w14:paraId="7E9E88B6" w14:textId="77777777">
        <w:trPr>
          <w:trHeight w:val="340"/>
        </w:trPr>
        <w:tc>
          <w:tcPr>
            <w:tcW w:w="3256" w:type="dxa"/>
            <w:vAlign w:val="bottom"/>
          </w:tcPr>
          <w:p w14:paraId="62356DE6"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Trans-Tasman IP Attorneys</w:t>
            </w:r>
          </w:p>
        </w:tc>
        <w:tc>
          <w:tcPr>
            <w:tcW w:w="1417" w:type="dxa"/>
            <w:vAlign w:val="bottom"/>
          </w:tcPr>
          <w:p w14:paraId="36C60A64" w14:textId="77777777" w:rsidR="008A2166" w:rsidRPr="00627741" w:rsidRDefault="008A2166">
            <w:pPr>
              <w:jc w:val="right"/>
              <w:rPr>
                <w:rFonts w:ascii="Calibri" w:eastAsia="SimSun" w:hAnsi="Calibri" w:cs="Calibri"/>
                <w:color w:val="000000"/>
                <w:sz w:val="18"/>
                <w:szCs w:val="18"/>
              </w:rPr>
            </w:pPr>
            <w:r w:rsidRPr="0050291D">
              <w:rPr>
                <w:rFonts w:ascii="Calibri" w:eastAsia="SimSun" w:hAnsi="Calibri" w:cs="Calibri"/>
                <w:color w:val="000000"/>
                <w:sz w:val="18"/>
                <w:szCs w:val="18"/>
              </w:rPr>
              <w:t>1,</w:t>
            </w:r>
            <w:r w:rsidRPr="0050291D">
              <w:rPr>
                <w:rFonts w:ascii="Calibri" w:hAnsi="Calibri" w:cs="Calibri"/>
                <w:color w:val="000000"/>
                <w:sz w:val="18"/>
                <w:szCs w:val="18"/>
              </w:rPr>
              <w:t>922</w:t>
            </w:r>
          </w:p>
        </w:tc>
        <w:tc>
          <w:tcPr>
            <w:tcW w:w="1418" w:type="dxa"/>
            <w:vAlign w:val="bottom"/>
          </w:tcPr>
          <w:p w14:paraId="66895F24" w14:textId="77777777" w:rsidR="008A2166" w:rsidRPr="00627741" w:rsidRDefault="008A2166">
            <w:pPr>
              <w:jc w:val="right"/>
              <w:rPr>
                <w:rFonts w:ascii="Calibri" w:eastAsia="SimSun" w:hAnsi="Calibri" w:cs="Calibri"/>
                <w:color w:val="000000"/>
                <w:sz w:val="18"/>
                <w:szCs w:val="18"/>
              </w:rPr>
            </w:pPr>
            <w:r w:rsidRPr="00627741">
              <w:rPr>
                <w:rFonts w:ascii="Calibri" w:eastAsia="SimSun" w:hAnsi="Calibri" w:cs="Calibri"/>
                <w:color w:val="000000"/>
                <w:sz w:val="18"/>
                <w:szCs w:val="18"/>
              </w:rPr>
              <w:t>1,</w:t>
            </w:r>
            <w:r w:rsidRPr="00627741">
              <w:rPr>
                <w:rFonts w:ascii="Calibri" w:hAnsi="Calibri" w:cs="Calibri"/>
                <w:color w:val="000000"/>
                <w:sz w:val="18"/>
                <w:szCs w:val="18"/>
              </w:rPr>
              <w:t>451</w:t>
            </w:r>
          </w:p>
        </w:tc>
        <w:tc>
          <w:tcPr>
            <w:tcW w:w="1417" w:type="dxa"/>
            <w:vAlign w:val="bottom"/>
          </w:tcPr>
          <w:p w14:paraId="3F13C67D" w14:textId="77777777" w:rsidR="008A2166" w:rsidRPr="00627741" w:rsidRDefault="008A2166">
            <w:pPr>
              <w:jc w:val="right"/>
              <w:rPr>
                <w:rFonts w:ascii="Calibri" w:eastAsia="SimSun" w:hAnsi="Calibri" w:cs="Calibri"/>
                <w:color w:val="000000"/>
                <w:sz w:val="18"/>
                <w:szCs w:val="18"/>
              </w:rPr>
            </w:pPr>
            <w:r w:rsidRPr="00627741">
              <w:rPr>
                <w:rFonts w:ascii="Calibri" w:eastAsia="SimSun" w:hAnsi="Calibri" w:cs="Calibri"/>
                <w:color w:val="000000"/>
                <w:sz w:val="18"/>
                <w:szCs w:val="18"/>
              </w:rPr>
              <w:t>1,</w:t>
            </w:r>
            <w:r w:rsidRPr="00627741">
              <w:rPr>
                <w:rFonts w:ascii="Calibri" w:hAnsi="Calibri" w:cs="Calibri"/>
                <w:color w:val="000000"/>
                <w:sz w:val="18"/>
                <w:szCs w:val="18"/>
              </w:rPr>
              <w:t>882</w:t>
            </w:r>
          </w:p>
        </w:tc>
        <w:tc>
          <w:tcPr>
            <w:tcW w:w="1418" w:type="dxa"/>
            <w:vAlign w:val="bottom"/>
          </w:tcPr>
          <w:p w14:paraId="74B27E27" w14:textId="77777777" w:rsidR="008A2166" w:rsidRPr="00627741" w:rsidRDefault="008A2166">
            <w:pPr>
              <w:jc w:val="right"/>
              <w:rPr>
                <w:rFonts w:ascii="Calibri" w:eastAsia="SimSun" w:hAnsi="Calibri" w:cs="Calibri"/>
                <w:color w:val="000000"/>
                <w:sz w:val="18"/>
                <w:szCs w:val="18"/>
              </w:rPr>
            </w:pPr>
            <w:r w:rsidRPr="00627741">
              <w:rPr>
                <w:rFonts w:ascii="Calibri" w:eastAsia="SimSun" w:hAnsi="Calibri" w:cs="Calibri"/>
                <w:color w:val="000000"/>
                <w:sz w:val="18"/>
                <w:szCs w:val="18"/>
              </w:rPr>
              <w:t>1,</w:t>
            </w:r>
            <w:r w:rsidRPr="00627741">
              <w:rPr>
                <w:rFonts w:ascii="Calibri" w:hAnsi="Calibri" w:cs="Calibri"/>
                <w:color w:val="000000"/>
                <w:sz w:val="18"/>
                <w:szCs w:val="18"/>
              </w:rPr>
              <w:t>461</w:t>
            </w:r>
          </w:p>
        </w:tc>
      </w:tr>
    </w:tbl>
    <w:p w14:paraId="3012008C" w14:textId="77777777" w:rsidR="00E50F6D" w:rsidRDefault="00E50F6D" w:rsidP="008A2166">
      <w:pPr>
        <w:rPr>
          <w:rFonts w:eastAsia="SimSun"/>
          <w:iCs/>
        </w:rPr>
      </w:pPr>
    </w:p>
    <w:p w14:paraId="6E1BFEC1" w14:textId="77777777" w:rsidR="00E50F6D" w:rsidRDefault="008A2166" w:rsidP="00494778">
      <w:pPr>
        <w:pStyle w:val="Heading2"/>
      </w:pPr>
      <w:r>
        <w:rPr>
          <w:rFonts w:cs="Times New Roman"/>
        </w:rPr>
        <w:t xml:space="preserve"> </w:t>
      </w:r>
      <w:bookmarkStart w:id="25" w:name="_Toc81919366"/>
      <w:bookmarkStart w:id="26" w:name="_Toc82703178"/>
      <w:bookmarkStart w:id="27" w:name="_Toc146552209"/>
      <w:bookmarkEnd w:id="25"/>
      <w:bookmarkEnd w:id="26"/>
      <w:r w:rsidRPr="00D57921">
        <w:t>Costs of the regulatory activity</w:t>
      </w:r>
      <w:bookmarkEnd w:id="27"/>
    </w:p>
    <w:p w14:paraId="05C8349A" w14:textId="02BB7FA1" w:rsidR="008A2166" w:rsidRPr="00FD587F" w:rsidRDefault="008A2166" w:rsidP="008A2166">
      <w:pPr>
        <w:rPr>
          <w:iCs/>
        </w:rPr>
      </w:pPr>
      <w:r w:rsidRPr="00FD587F">
        <w:rPr>
          <w:rFonts w:eastAsia="SimSun"/>
          <w:b/>
          <w:bCs/>
          <w:iCs/>
          <w:u w:val="single"/>
        </w:rPr>
        <w:t>Overview</w:t>
      </w:r>
    </w:p>
    <w:p w14:paraId="6C96B42F" w14:textId="77777777" w:rsidR="008A2166" w:rsidRPr="00FD587F" w:rsidRDefault="008A2166" w:rsidP="008A2166">
      <w:pPr>
        <w:rPr>
          <w:iCs/>
        </w:rPr>
      </w:pPr>
      <w:r w:rsidRPr="00FD587F">
        <w:rPr>
          <w:iCs/>
        </w:rPr>
        <w:t>IP Australia uses SAP PCM to cost the organisation’s five activity groups.  SAP PCM is an activity-based costing system specifically configured to assign the operating costs of the organisation to the various business activities undertaken within each activity group and produce IP Australia’s costed products and services.</w:t>
      </w:r>
    </w:p>
    <w:p w14:paraId="6C8B70C6" w14:textId="18008B83" w:rsidR="008A2166" w:rsidRPr="00FD587F" w:rsidRDefault="008A2166" w:rsidP="008A2166">
      <w:r>
        <w:t xml:space="preserve">IP Australia’s variable costs (in respect of the IP rights workload drivers) are centred around the workforce which is directly employed in the </w:t>
      </w:r>
      <w:r w:rsidRPr="78698ECC">
        <w:t>receipt and administration of applications, conducting examinations, processing registrations</w:t>
      </w:r>
      <w:r w:rsidRPr="0201614B">
        <w:t xml:space="preserve"> and renewals, and</w:t>
      </w:r>
      <w:r w:rsidRPr="78698ECC">
        <w:t xml:space="preserve"> granting rights</w:t>
      </w:r>
      <w:r w:rsidRPr="1E5B76E0">
        <w:t xml:space="preserve">, and </w:t>
      </w:r>
      <w:r w:rsidRPr="78698ECC">
        <w:t xml:space="preserve">direct dealings with IP rights </w:t>
      </w:r>
      <w:r w:rsidRPr="005A3ACA">
        <w:t>customers (approximately 65% of staff).  The remaining staff and the costs of ongoing ICT and corporate support services are considered as</w:t>
      </w:r>
      <w:r w:rsidRPr="78698ECC">
        <w:t xml:space="preserve"> fixed</w:t>
      </w:r>
      <w:r>
        <w:t>,</w:t>
      </w:r>
      <w:r w:rsidRPr="78698ECC">
        <w:t xml:space="preserve"> in respect to the normal reasonable variations in IP rights workloads.  Fixed costs include building leases, depreciation costs, ongoing ICT costs (supporting licences for enabling systems used in common such as e</w:t>
      </w:r>
      <w:r w:rsidR="00291150">
        <w:t>mail</w:t>
      </w:r>
      <w:r w:rsidRPr="78698ECC">
        <w:t>) and corporate overheads (payroll, insurance etc).</w:t>
      </w:r>
    </w:p>
    <w:p w14:paraId="3C7245F4" w14:textId="59A48894" w:rsidR="008A2166" w:rsidRPr="00FD587F" w:rsidRDefault="008A2166" w:rsidP="008A2166">
      <w:r>
        <w:t xml:space="preserve">Patent and trade mark activity groups have a similar proportion of variable and fixed costs despite their differences in staffing numbers.  Trade marks </w:t>
      </w:r>
      <w:proofErr w:type="gramStart"/>
      <w:r>
        <w:t>has</w:t>
      </w:r>
      <w:proofErr w:type="gramEnd"/>
      <w:r>
        <w:t xml:space="preserve"> approximately half the staff allocated to activities than patents.  The four-year budget period covered by this CRIS holds total ASL for IP Australia flat at 1,100 ASL. Any growth in ASL required for patent and trade mark examiners to meet the demand volumes from customers (identified in Table 2), will either need to be offset by reduced corporate ASL, or managed through increased efficiencies in examination.</w:t>
      </w:r>
      <w:r w:rsidRPr="00CF7DC3">
        <w:t xml:space="preserve"> The main variable cost driver for the three remaining smaller activity groups (Designs, PBR and TTIPA) is staff costs, while the groups’ fixed costs are incidental to IP Australia’s total fixed costs and are considered sunk.</w:t>
      </w:r>
    </w:p>
    <w:p w14:paraId="417B0415" w14:textId="77777777" w:rsidR="00E50F6D" w:rsidRDefault="008A2166" w:rsidP="008A2166">
      <w:r w:rsidRPr="00800BC9">
        <w:t>Capital investment is reflected in this CRIS through forecast depreciation in the financial estimates, the depreciation is allocated to activity groups based on an historic proportion of depreciation which can be adjusted in line with planned investment.</w:t>
      </w:r>
    </w:p>
    <w:p w14:paraId="02734624" w14:textId="4ADAA865" w:rsidR="008A2166" w:rsidRPr="00FD587F" w:rsidRDefault="008A2166" w:rsidP="008A2166">
      <w:pPr>
        <w:rPr>
          <w:iCs/>
        </w:rPr>
      </w:pPr>
      <w:r>
        <w:rPr>
          <w:rFonts w:eastAsia="SimSun"/>
          <w:b/>
          <w:bCs/>
          <w:iCs/>
          <w:u w:val="single"/>
        </w:rPr>
        <w:t xml:space="preserve">Costing </w:t>
      </w:r>
      <w:r w:rsidR="00F67F8E">
        <w:rPr>
          <w:rFonts w:eastAsia="SimSun"/>
          <w:b/>
          <w:bCs/>
          <w:iCs/>
          <w:u w:val="single"/>
        </w:rPr>
        <w:t>m</w:t>
      </w:r>
      <w:r>
        <w:rPr>
          <w:rFonts w:eastAsia="SimSun"/>
          <w:b/>
          <w:bCs/>
          <w:iCs/>
          <w:u w:val="single"/>
        </w:rPr>
        <w:t>ethodology</w:t>
      </w:r>
    </w:p>
    <w:p w14:paraId="5CB0789A" w14:textId="77777777" w:rsidR="00E50F6D" w:rsidRDefault="008A2166" w:rsidP="008A2166">
      <w:pPr>
        <w:rPr>
          <w:iCs/>
        </w:rPr>
      </w:pPr>
      <w:r w:rsidRPr="004B782F">
        <w:rPr>
          <w:iCs/>
        </w:rPr>
        <w:t>The cost of each activity group is based on its individual consumption of the various activities performed to deliver the related products and services. The activity groups are costed by allocating resources to activities performed, and then assigning the core primary activities to IP Australia’s products and services. These outputs are mapped to one of IP Australia’s three programs, outlined in the PBS, providing a total cost per program. The cost of programs 2 and 3 are then re-assigned to the cost recoverable activity groups within program 1, identifying the cost of each activity group.</w:t>
      </w:r>
    </w:p>
    <w:p w14:paraId="6BEBD3C1" w14:textId="716FE459" w:rsidR="008A2166" w:rsidRDefault="008A2166" w:rsidP="00B37560">
      <w:pPr>
        <w:keepNext/>
        <w:rPr>
          <w:iCs/>
        </w:rPr>
      </w:pPr>
      <w:r w:rsidRPr="004B782F">
        <w:rPr>
          <w:iCs/>
        </w:rPr>
        <w:lastRenderedPageBreak/>
        <w:t>Figure 2: IP Australia Costing Model Methodology</w:t>
      </w:r>
    </w:p>
    <w:p w14:paraId="26554896" w14:textId="77777777" w:rsidR="008B0532" w:rsidRDefault="008B0532" w:rsidP="00B37560">
      <w:pPr>
        <w:keepNext/>
        <w:rPr>
          <w:iCs/>
        </w:rPr>
      </w:pPr>
    </w:p>
    <w:p w14:paraId="504137A7" w14:textId="77777777" w:rsidR="008B0532" w:rsidRDefault="008B0532" w:rsidP="00B37560">
      <w:pPr>
        <w:keepNext/>
        <w:rPr>
          <w:iCs/>
        </w:rPr>
      </w:pPr>
    </w:p>
    <w:p w14:paraId="0CC8C186" w14:textId="77777777" w:rsidR="008B0532" w:rsidRPr="004B782F" w:rsidRDefault="008B0532" w:rsidP="00B37560">
      <w:pPr>
        <w:keepNext/>
        <w:rPr>
          <w:iCs/>
        </w:rPr>
      </w:pPr>
    </w:p>
    <w:p w14:paraId="48E994AC" w14:textId="77777777" w:rsidR="004C234F" w:rsidRDefault="008A2166" w:rsidP="008A2166">
      <w:pPr>
        <w:rPr>
          <w:iCs/>
        </w:rPr>
      </w:pPr>
      <w:r>
        <w:rPr>
          <w:iCs/>
          <w:noProof/>
        </w:rPr>
        <mc:AlternateContent>
          <mc:Choice Requires="wpg">
            <w:drawing>
              <wp:anchor distT="0" distB="0" distL="114300" distR="114300" simplePos="0" relativeHeight="251658241" behindDoc="0" locked="0" layoutInCell="1" allowOverlap="1" wp14:anchorId="33A13389" wp14:editId="496E847C">
                <wp:simplePos x="0" y="0"/>
                <wp:positionH relativeFrom="column">
                  <wp:posOffset>52433</wp:posOffset>
                </wp:positionH>
                <wp:positionV relativeFrom="paragraph">
                  <wp:posOffset>89444</wp:posOffset>
                </wp:positionV>
                <wp:extent cx="5731510" cy="2733675"/>
                <wp:effectExtent l="57150" t="19050" r="59690" b="123825"/>
                <wp:wrapNone/>
                <wp:docPr id="253540974" name="Group 5" descr="Figure 2 demonstrates how IP Australia's total operating costs are assigned to products and services and then to the cost-recovered activity groups"/>
                <wp:cNvGraphicFramePr/>
                <a:graphic xmlns:a="http://schemas.openxmlformats.org/drawingml/2006/main">
                  <a:graphicData uri="http://schemas.microsoft.com/office/word/2010/wordprocessingGroup">
                    <wpg:wgp>
                      <wpg:cNvGrpSpPr/>
                      <wpg:grpSpPr>
                        <a:xfrm>
                          <a:off x="0" y="0"/>
                          <a:ext cx="5731510" cy="2733675"/>
                          <a:chOff x="0" y="0"/>
                          <a:chExt cx="5731510" cy="2733675"/>
                        </a:xfrm>
                      </wpg:grpSpPr>
                      <wpg:grpSp>
                        <wpg:cNvPr id="1091250016" name="Group 4"/>
                        <wpg:cNvGrpSpPr/>
                        <wpg:grpSpPr>
                          <a:xfrm>
                            <a:off x="0" y="0"/>
                            <a:ext cx="5731510" cy="2733675"/>
                            <a:chOff x="0" y="0"/>
                            <a:chExt cx="5731510" cy="2733675"/>
                          </a:xfrm>
                        </wpg:grpSpPr>
                        <wpg:grpSp>
                          <wpg:cNvPr id="244359077" name="Group 3"/>
                          <wpg:cNvGrpSpPr/>
                          <wpg:grpSpPr>
                            <a:xfrm>
                              <a:off x="0" y="0"/>
                              <a:ext cx="5731510" cy="2733675"/>
                              <a:chOff x="0" y="0"/>
                              <a:chExt cx="5731510" cy="2733675"/>
                            </a:xfrm>
                          </wpg:grpSpPr>
                          <wpg:grpSp>
                            <wpg:cNvPr id="573364823" name="Group 2"/>
                            <wpg:cNvGrpSpPr/>
                            <wpg:grpSpPr>
                              <a:xfrm>
                                <a:off x="0" y="0"/>
                                <a:ext cx="5731510" cy="2733675"/>
                                <a:chOff x="0" y="0"/>
                                <a:chExt cx="5731510" cy="2733675"/>
                              </a:xfrm>
                            </wpg:grpSpPr>
                            <wps:wsp>
                              <wps:cNvPr id="276984479" name="Straight Connector 276984479"/>
                              <wps:cNvCnPr/>
                              <wps:spPr>
                                <a:xfrm>
                                  <a:off x="781050" y="1613807"/>
                                  <a:ext cx="2242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05866808" name="Group 1"/>
                              <wpg:cNvGrpSpPr/>
                              <wpg:grpSpPr>
                                <a:xfrm>
                                  <a:off x="0" y="0"/>
                                  <a:ext cx="5731510" cy="2733675"/>
                                  <a:chOff x="0" y="0"/>
                                  <a:chExt cx="5731510" cy="2733675"/>
                                </a:xfrm>
                              </wpg:grpSpPr>
                              <wps:wsp>
                                <wps:cNvPr id="930737270" name="Connector: Elbow 930737270"/>
                                <wps:cNvCnPr/>
                                <wps:spPr>
                                  <a:xfrm>
                                    <a:off x="4427764" y="830035"/>
                                    <a:ext cx="518088" cy="103517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639475678" name="Group 1639475678"/>
                                <wpg:cNvGrpSpPr/>
                                <wpg:grpSpPr>
                                  <a:xfrm>
                                    <a:off x="0" y="0"/>
                                    <a:ext cx="5731510" cy="2733675"/>
                                    <a:chOff x="0" y="0"/>
                                    <a:chExt cx="5731510" cy="2733675"/>
                                  </a:xfrm>
                                </wpg:grpSpPr>
                                <wpg:grpSp>
                                  <wpg:cNvPr id="2132666953" name="Group 1"/>
                                  <wpg:cNvGrpSpPr/>
                                  <wpg:grpSpPr>
                                    <a:xfrm>
                                      <a:off x="0" y="0"/>
                                      <a:ext cx="5731510" cy="2733675"/>
                                      <a:chOff x="0" y="0"/>
                                      <a:chExt cx="5731510" cy="2733675"/>
                                    </a:xfrm>
                                  </wpg:grpSpPr>
                                  <wpg:grpSp>
                                    <wpg:cNvPr id="1273557796" name="Group 1273557796"/>
                                    <wpg:cNvGrpSpPr/>
                                    <wpg:grpSpPr>
                                      <a:xfrm>
                                        <a:off x="0" y="0"/>
                                        <a:ext cx="5731510" cy="2733675"/>
                                        <a:chOff x="0" y="0"/>
                                        <a:chExt cx="5732110" cy="2734000"/>
                                      </a:xfrm>
                                    </wpg:grpSpPr>
                                    <wps:wsp>
                                      <wps:cNvPr id="1177391793" name="Rectangle: Top Corners Snipped 1"/>
                                      <wps:cNvSpPr/>
                                      <wps:spPr>
                                        <a:xfrm>
                                          <a:off x="0" y="374531"/>
                                          <a:ext cx="770986" cy="2260121"/>
                                        </a:xfrm>
                                        <a:prstGeom prst="snip2SameRect">
                                          <a:avLst>
                                            <a:gd name="adj1" fmla="val 23817"/>
                                            <a:gd name="adj2" fmla="val 0"/>
                                          </a:avLst>
                                        </a:prstGeom>
                                        <a:solidFill>
                                          <a:srgbClr val="ECD9FF"/>
                                        </a:solidFill>
                                        <a:ln>
                                          <a:solidFill>
                                            <a:srgbClr val="7030A0"/>
                                          </a:solidFill>
                                        </a:ln>
                                        <a:scene3d>
                                          <a:camera prst="orthographicFront"/>
                                          <a:lightRig rig="threePt" dir="t"/>
                                        </a:scene3d>
                                        <a:sp3d>
                                          <a:bevelT prst="convex"/>
                                        </a:sp3d>
                                      </wps:spPr>
                                      <wps:style>
                                        <a:lnRef idx="2">
                                          <a:schemeClr val="accent1">
                                            <a:shade val="15000"/>
                                          </a:schemeClr>
                                        </a:lnRef>
                                        <a:fillRef idx="1">
                                          <a:schemeClr val="accent1"/>
                                        </a:fillRef>
                                        <a:effectRef idx="0">
                                          <a:schemeClr val="accent1"/>
                                        </a:effectRef>
                                        <a:fontRef idx="minor">
                                          <a:schemeClr val="lt1"/>
                                        </a:fontRef>
                                      </wps:style>
                                      <wps:txbx>
                                        <w:txbxContent>
                                          <w:p w14:paraId="4AD3FDB4" w14:textId="77777777" w:rsidR="008A2166" w:rsidRPr="007275B5" w:rsidRDefault="008A2166" w:rsidP="008A2166">
                                            <w:pPr>
                                              <w:jc w:val="center"/>
                                              <w:rPr>
                                                <w:color w:val="000000" w:themeColor="text1"/>
                                                <w:sz w:val="16"/>
                                                <w:szCs w:val="16"/>
                                              </w:rPr>
                                            </w:pPr>
                                            <w:r>
                                              <w:rPr>
                                                <w:color w:val="000000" w:themeColor="text1"/>
                                                <w:sz w:val="16"/>
                                                <w:szCs w:val="16"/>
                                              </w:rPr>
                                              <w:t>Total Operating Costs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79197970" name="Rectangle: Top Corners Snipped 1"/>
                                      <wps:cNvSpPr/>
                                      <wps:spPr>
                                        <a:xfrm>
                                          <a:off x="4960189" y="374531"/>
                                          <a:ext cx="771921" cy="2259965"/>
                                        </a:xfrm>
                                        <a:prstGeom prst="snip2SameRect">
                                          <a:avLst>
                                            <a:gd name="adj1" fmla="val 23817"/>
                                            <a:gd name="adj2" fmla="val 0"/>
                                          </a:avLst>
                                        </a:prstGeom>
                                        <a:solidFill>
                                          <a:srgbClr val="FFD1D1"/>
                                        </a:solidFill>
                                        <a:ln>
                                          <a:solidFill>
                                            <a:srgbClr val="FF7575"/>
                                          </a:solidFill>
                                        </a:ln>
                                        <a:scene3d>
                                          <a:camera prst="orthographicFront"/>
                                          <a:lightRig rig="threePt" dir="t"/>
                                        </a:scene3d>
                                        <a:sp3d>
                                          <a:bevelT prst="convex"/>
                                        </a:sp3d>
                                      </wps:spPr>
                                      <wps:style>
                                        <a:lnRef idx="2">
                                          <a:schemeClr val="accent1">
                                            <a:shade val="15000"/>
                                          </a:schemeClr>
                                        </a:lnRef>
                                        <a:fillRef idx="1">
                                          <a:schemeClr val="accent1"/>
                                        </a:fillRef>
                                        <a:effectRef idx="0">
                                          <a:schemeClr val="accent1"/>
                                        </a:effectRef>
                                        <a:fontRef idx="minor">
                                          <a:schemeClr val="lt1"/>
                                        </a:fontRef>
                                      </wps:style>
                                      <wps:txbx>
                                        <w:txbxContent>
                                          <w:p w14:paraId="0D233FE9" w14:textId="77777777" w:rsidR="004C234F" w:rsidRDefault="008A2166" w:rsidP="008A2166">
                                            <w:pPr>
                                              <w:jc w:val="center"/>
                                              <w:rPr>
                                                <w:color w:val="000000" w:themeColor="text1"/>
                                                <w:sz w:val="16"/>
                                                <w:szCs w:val="16"/>
                                              </w:rPr>
                                            </w:pPr>
                                            <w:r>
                                              <w:rPr>
                                                <w:color w:val="000000" w:themeColor="text1"/>
                                                <w:sz w:val="16"/>
                                                <w:szCs w:val="16"/>
                                              </w:rPr>
                                              <w:t>Cost Recovered Activity Groups</w:t>
                                            </w:r>
                                          </w:p>
                                          <w:p w14:paraId="30C33EA3" w14:textId="1032EFB9" w:rsidR="008A2166" w:rsidRDefault="008A2166" w:rsidP="008A2166">
                                            <w:pPr>
                                              <w:spacing w:line="240" w:lineRule="auto"/>
                                              <w:jc w:val="center"/>
                                              <w:rPr>
                                                <w:color w:val="000000" w:themeColor="text1"/>
                                                <w:sz w:val="16"/>
                                                <w:szCs w:val="16"/>
                                              </w:rPr>
                                            </w:pPr>
                                            <w:r>
                                              <w:rPr>
                                                <w:color w:val="000000" w:themeColor="text1"/>
                                                <w:sz w:val="16"/>
                                                <w:szCs w:val="16"/>
                                              </w:rPr>
                                              <w:t>Patents</w:t>
                                            </w:r>
                                          </w:p>
                                          <w:p w14:paraId="4D46BFF1" w14:textId="77777777" w:rsidR="008A2166" w:rsidRDefault="008A2166" w:rsidP="008A2166">
                                            <w:pPr>
                                              <w:spacing w:line="240" w:lineRule="auto"/>
                                              <w:jc w:val="center"/>
                                              <w:rPr>
                                                <w:color w:val="000000" w:themeColor="text1"/>
                                                <w:sz w:val="16"/>
                                                <w:szCs w:val="16"/>
                                              </w:rPr>
                                            </w:pPr>
                                            <w:r>
                                              <w:rPr>
                                                <w:color w:val="000000" w:themeColor="text1"/>
                                                <w:sz w:val="16"/>
                                                <w:szCs w:val="16"/>
                                              </w:rPr>
                                              <w:t>Trade Marks</w:t>
                                            </w:r>
                                          </w:p>
                                          <w:p w14:paraId="2E3E5A64" w14:textId="77777777" w:rsidR="008A2166" w:rsidRDefault="008A2166" w:rsidP="008A2166">
                                            <w:pPr>
                                              <w:spacing w:line="240" w:lineRule="auto"/>
                                              <w:jc w:val="center"/>
                                              <w:rPr>
                                                <w:color w:val="000000" w:themeColor="text1"/>
                                                <w:sz w:val="16"/>
                                                <w:szCs w:val="16"/>
                                              </w:rPr>
                                            </w:pPr>
                                            <w:r>
                                              <w:rPr>
                                                <w:color w:val="000000" w:themeColor="text1"/>
                                                <w:sz w:val="16"/>
                                                <w:szCs w:val="16"/>
                                              </w:rPr>
                                              <w:t>Designs</w:t>
                                            </w:r>
                                          </w:p>
                                          <w:p w14:paraId="291E8000" w14:textId="77777777" w:rsidR="008A2166" w:rsidRDefault="008A2166" w:rsidP="008A2166">
                                            <w:pPr>
                                              <w:spacing w:line="240" w:lineRule="auto"/>
                                              <w:jc w:val="center"/>
                                              <w:rPr>
                                                <w:color w:val="000000" w:themeColor="text1"/>
                                                <w:sz w:val="16"/>
                                                <w:szCs w:val="16"/>
                                              </w:rPr>
                                            </w:pPr>
                                            <w:r>
                                              <w:rPr>
                                                <w:color w:val="000000" w:themeColor="text1"/>
                                                <w:sz w:val="16"/>
                                                <w:szCs w:val="16"/>
                                              </w:rPr>
                                              <w:t>PBR</w:t>
                                            </w:r>
                                          </w:p>
                                          <w:p w14:paraId="12215964" w14:textId="77777777" w:rsidR="008A2166" w:rsidRPr="007275B5" w:rsidRDefault="008A2166" w:rsidP="008A2166">
                                            <w:pPr>
                                              <w:spacing w:line="240" w:lineRule="auto"/>
                                              <w:jc w:val="center"/>
                                              <w:rPr>
                                                <w:color w:val="000000" w:themeColor="text1"/>
                                                <w:sz w:val="16"/>
                                                <w:szCs w:val="16"/>
                                              </w:rPr>
                                            </w:pPr>
                                            <w:r>
                                              <w:rPr>
                                                <w:color w:val="000000" w:themeColor="text1"/>
                                                <w:sz w:val="16"/>
                                                <w:szCs w:val="16"/>
                                              </w:rPr>
                                              <w:t>TTIPA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6663616" name="Rectangle 1"/>
                                      <wps:cNvSpPr/>
                                      <wps:spPr>
                                        <a:xfrm>
                                          <a:off x="2449902" y="0"/>
                                          <a:ext cx="796865" cy="2715524"/>
                                        </a:xfrm>
                                        <a:prstGeom prst="rect">
                                          <a:avLst/>
                                        </a:prstGeom>
                                        <a:solidFill>
                                          <a:schemeClr val="accent1">
                                            <a:lumMod val="40000"/>
                                            <a:lumOff val="60000"/>
                                          </a:schemeClr>
                                        </a:solidFill>
                                        <a:effectLst>
                                          <a:outerShdw blurRad="50800" dist="38100" dir="5400000" algn="t" rotWithShape="0">
                                            <a:prstClr val="black">
                                              <a:alpha val="40000"/>
                                            </a:prstClr>
                                          </a:outerShdw>
                                        </a:effectLst>
                                      </wps:spPr>
                                      <wps:style>
                                        <a:lnRef idx="3">
                                          <a:schemeClr val="lt1"/>
                                        </a:lnRef>
                                        <a:fillRef idx="1">
                                          <a:schemeClr val="accent1"/>
                                        </a:fillRef>
                                        <a:effectRef idx="1">
                                          <a:schemeClr val="accent1"/>
                                        </a:effectRef>
                                        <a:fontRef idx="minor">
                                          <a:schemeClr val="lt1"/>
                                        </a:fontRef>
                                      </wps:style>
                                      <wps:txbx>
                                        <w:txbxContent>
                                          <w:p w14:paraId="246F1F8E" w14:textId="77777777" w:rsidR="008A2166" w:rsidRPr="00551CBB" w:rsidRDefault="008A2166" w:rsidP="008A2166">
                                            <w:pPr>
                                              <w:jc w:val="center"/>
                                              <w:rPr>
                                                <w:b/>
                                                <w:bCs/>
                                                <w:color w:val="000000" w:themeColor="text1"/>
                                              </w:rPr>
                                            </w:pPr>
                                            <w:r w:rsidRPr="00551CBB">
                                              <w:rPr>
                                                <w:b/>
                                                <w:bCs/>
                                                <w:color w:val="000000" w:themeColor="text1"/>
                                              </w:rPr>
                                              <w:t>Products and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170937" name="Rectangle 1"/>
                                      <wps:cNvSpPr/>
                                      <wps:spPr>
                                        <a:xfrm>
                                          <a:off x="3666226" y="0"/>
                                          <a:ext cx="805491" cy="2723886"/>
                                        </a:xfrm>
                                        <a:prstGeom prst="rect">
                                          <a:avLst/>
                                        </a:prstGeom>
                                        <a:solidFill>
                                          <a:schemeClr val="accent6">
                                            <a:lumMod val="60000"/>
                                            <a:lumOff val="40000"/>
                                          </a:schemeClr>
                                        </a:solidFill>
                                        <a:effectLst>
                                          <a:outerShdw blurRad="50800" dist="38100" dir="5400000" algn="t" rotWithShape="0">
                                            <a:prstClr val="black">
                                              <a:alpha val="40000"/>
                                            </a:prstClr>
                                          </a:outerShdw>
                                        </a:effectLst>
                                      </wps:spPr>
                                      <wps:style>
                                        <a:lnRef idx="3">
                                          <a:schemeClr val="lt1"/>
                                        </a:lnRef>
                                        <a:fillRef idx="1">
                                          <a:schemeClr val="accent1"/>
                                        </a:fillRef>
                                        <a:effectRef idx="1">
                                          <a:schemeClr val="accent1"/>
                                        </a:effectRef>
                                        <a:fontRef idx="minor">
                                          <a:schemeClr val="lt1"/>
                                        </a:fontRef>
                                      </wps:style>
                                      <wps:txbx>
                                        <w:txbxContent>
                                          <w:p w14:paraId="561A5656" w14:textId="77777777" w:rsidR="008A2166" w:rsidRPr="004B5731" w:rsidRDefault="008A2166" w:rsidP="008A2166">
                                            <w:pPr>
                                              <w:jc w:val="cente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3066631" name="Rectangle 1"/>
                                      <wps:cNvSpPr/>
                                      <wps:spPr>
                                        <a:xfrm>
                                          <a:off x="1261717" y="17254"/>
                                          <a:ext cx="796290" cy="2716746"/>
                                        </a:xfrm>
                                        <a:prstGeom prst="rect">
                                          <a:avLst/>
                                        </a:prstGeom>
                                        <a:effectLst>
                                          <a:outerShdw blurRad="50800" dist="38100" dir="5400000" algn="t" rotWithShape="0">
                                            <a:prstClr val="black">
                                              <a:alpha val="40000"/>
                                            </a:prstClr>
                                          </a:outerShdw>
                                        </a:effectLst>
                                      </wps:spPr>
                                      <wps:style>
                                        <a:lnRef idx="3">
                                          <a:schemeClr val="lt1"/>
                                        </a:lnRef>
                                        <a:fillRef idx="1">
                                          <a:schemeClr val="accent1"/>
                                        </a:fillRef>
                                        <a:effectRef idx="1">
                                          <a:schemeClr val="accent1"/>
                                        </a:effectRef>
                                        <a:fontRef idx="minor">
                                          <a:schemeClr val="lt1"/>
                                        </a:fontRef>
                                      </wps:style>
                                      <wps:txbx>
                                        <w:txbxContent>
                                          <w:p w14:paraId="4B6F1395" w14:textId="77777777" w:rsidR="008A2166" w:rsidRPr="004B5731" w:rsidRDefault="008A2166" w:rsidP="008A2166">
                                            <w:pPr>
                                              <w:jc w:val="cente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16546009" name="Rectangle: Rounded Corners 2"/>
                                    <wps:cNvSpPr/>
                                    <wps:spPr>
                                      <a:xfrm>
                                        <a:off x="1304925" y="104775"/>
                                        <a:ext cx="680672" cy="1293962"/>
                                      </a:xfrm>
                                      <a:prstGeom prst="roundRect">
                                        <a:avLst/>
                                      </a:prstGeom>
                                      <a:solidFill>
                                        <a:schemeClr val="accent1">
                                          <a:lumMod val="20000"/>
                                          <a:lumOff val="80000"/>
                                        </a:schemeClr>
                                      </a:solidFill>
                                      <a:ln>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4F1C02" w14:textId="77777777" w:rsidR="008A2166" w:rsidRPr="00D844DB" w:rsidRDefault="008A2166" w:rsidP="008A2166">
                                          <w:pPr>
                                            <w:jc w:val="center"/>
                                            <w:rPr>
                                              <w:color w:val="000000" w:themeColor="text1"/>
                                              <w:sz w:val="16"/>
                                              <w:szCs w:val="16"/>
                                            </w:rPr>
                                          </w:pPr>
                                          <w:r>
                                            <w:rPr>
                                              <w:color w:val="000000" w:themeColor="text1"/>
                                              <w:sz w:val="16"/>
                                              <w:szCs w:val="16"/>
                                            </w:rPr>
                                            <w:t>Primary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467278" name="Rectangle: Rounded Corners 2"/>
                                    <wps:cNvSpPr/>
                                    <wps:spPr>
                                      <a:xfrm>
                                        <a:off x="1314450" y="1485900"/>
                                        <a:ext cx="680672" cy="560717"/>
                                      </a:xfrm>
                                      <a:prstGeom prst="roundRect">
                                        <a:avLst/>
                                      </a:prstGeom>
                                      <a:solidFill>
                                        <a:schemeClr val="accent1">
                                          <a:lumMod val="20000"/>
                                          <a:lumOff val="80000"/>
                                        </a:schemeClr>
                                      </a:solidFill>
                                      <a:ln>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F2739D" w14:textId="77777777" w:rsidR="008A2166" w:rsidRPr="00D844DB" w:rsidRDefault="008A2166" w:rsidP="008A2166">
                                          <w:pPr>
                                            <w:jc w:val="center"/>
                                            <w:rPr>
                                              <w:color w:val="000000" w:themeColor="text1"/>
                                              <w:sz w:val="16"/>
                                              <w:szCs w:val="16"/>
                                            </w:rPr>
                                          </w:pPr>
                                          <w:r>
                                            <w:rPr>
                                              <w:color w:val="000000" w:themeColor="text1"/>
                                              <w:sz w:val="16"/>
                                              <w:szCs w:val="16"/>
                                            </w:rPr>
                                            <w:t>Support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7733207" name="Rectangle: Rounded Corners 2"/>
                                    <wps:cNvSpPr/>
                                    <wps:spPr>
                                      <a:xfrm>
                                        <a:off x="1304925" y="2095500"/>
                                        <a:ext cx="689933" cy="560717"/>
                                      </a:xfrm>
                                      <a:prstGeom prst="roundRect">
                                        <a:avLst/>
                                      </a:prstGeom>
                                      <a:solidFill>
                                        <a:schemeClr val="accent1">
                                          <a:lumMod val="20000"/>
                                          <a:lumOff val="80000"/>
                                        </a:schemeClr>
                                      </a:solidFill>
                                      <a:ln>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49FD51" w14:textId="77777777" w:rsidR="008A2166" w:rsidRPr="009C661D" w:rsidRDefault="008A2166" w:rsidP="008A2166">
                                          <w:pPr>
                                            <w:jc w:val="center"/>
                                            <w:rPr>
                                              <w:color w:val="000000" w:themeColor="text1"/>
                                              <w:sz w:val="16"/>
                                              <w:szCs w:val="16"/>
                                            </w:rPr>
                                          </w:pPr>
                                          <w:r w:rsidRPr="009C661D">
                                            <w:rPr>
                                              <w:color w:val="000000" w:themeColor="text1"/>
                                              <w:sz w:val="16"/>
                                              <w:szCs w:val="16"/>
                                            </w:rPr>
                                            <w:t>Corporate</w:t>
                                          </w:r>
                                          <w:r>
                                            <w:rPr>
                                              <w:color w:val="000000" w:themeColor="text1"/>
                                              <w:sz w:val="16"/>
                                              <w:szCs w:val="16"/>
                                            </w:rPr>
                                            <w:t xml:space="preserve">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4705857" name="Group 2"/>
                                  <wpg:cNvGrpSpPr/>
                                  <wpg:grpSpPr>
                                    <a:xfrm>
                                      <a:off x="3733800" y="95250"/>
                                      <a:ext cx="689610" cy="2550795"/>
                                      <a:chOff x="0" y="0"/>
                                      <a:chExt cx="689610" cy="2551366"/>
                                    </a:xfrm>
                                  </wpg:grpSpPr>
                                  <wps:wsp>
                                    <wps:cNvPr id="1656356282" name="Rectangle: Rounded Corners 1656356282"/>
                                    <wps:cNvSpPr/>
                                    <wps:spPr>
                                      <a:xfrm>
                                        <a:off x="0" y="1990725"/>
                                        <a:ext cx="689610" cy="560641"/>
                                      </a:xfrm>
                                      <a:prstGeom prst="roundRect">
                                        <a:avLst/>
                                      </a:prstGeom>
                                      <a:solidFill>
                                        <a:srgbClr val="EFFFEF"/>
                                      </a:solidFill>
                                      <a:ln>
                                        <a:solidFill>
                                          <a:srgbClr val="00FF9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87D781" w14:textId="77777777" w:rsidR="008A2166" w:rsidRPr="00B33C5F" w:rsidRDefault="008A2166" w:rsidP="008A2166">
                                          <w:pPr>
                                            <w:jc w:val="center"/>
                                            <w:rPr>
                                              <w:b/>
                                              <w:bCs/>
                                              <w:color w:val="000000" w:themeColor="text1"/>
                                              <w:sz w:val="18"/>
                                              <w:szCs w:val="18"/>
                                            </w:rPr>
                                          </w:pPr>
                                          <w:r w:rsidRPr="00B33C5F">
                                            <w:rPr>
                                              <w:b/>
                                              <w:bCs/>
                                              <w:color w:val="000000" w:themeColor="text1"/>
                                              <w:sz w:val="18"/>
                                              <w:szCs w:val="18"/>
                                            </w:rPr>
                                            <w:t>Program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840979" name="Rectangle: Rounded Corners 1287840979"/>
                                    <wps:cNvSpPr/>
                                    <wps:spPr>
                                      <a:xfrm>
                                        <a:off x="0" y="1371600"/>
                                        <a:ext cx="680353" cy="560641"/>
                                      </a:xfrm>
                                      <a:prstGeom prst="roundRect">
                                        <a:avLst/>
                                      </a:prstGeom>
                                      <a:solidFill>
                                        <a:srgbClr val="EFFFEF"/>
                                      </a:solidFill>
                                      <a:ln>
                                        <a:solidFill>
                                          <a:srgbClr val="00FF9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6349DB" w14:textId="77777777" w:rsidR="008A2166" w:rsidRPr="00B33C5F" w:rsidRDefault="008A2166" w:rsidP="008A2166">
                                          <w:pPr>
                                            <w:jc w:val="center"/>
                                            <w:rPr>
                                              <w:b/>
                                              <w:bCs/>
                                              <w:color w:val="000000" w:themeColor="text1"/>
                                              <w:sz w:val="18"/>
                                              <w:szCs w:val="18"/>
                                            </w:rPr>
                                          </w:pPr>
                                          <w:r w:rsidRPr="00B33C5F">
                                            <w:rPr>
                                              <w:b/>
                                              <w:bCs/>
                                              <w:color w:val="000000" w:themeColor="text1"/>
                                              <w:sz w:val="18"/>
                                              <w:szCs w:val="18"/>
                                            </w:rPr>
                                            <w:t>Program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495122" name="Rectangle: Rounded Corners 633495122"/>
                                    <wps:cNvSpPr/>
                                    <wps:spPr>
                                      <a:xfrm>
                                        <a:off x="0" y="0"/>
                                        <a:ext cx="680353" cy="1293786"/>
                                      </a:xfrm>
                                      <a:prstGeom prst="roundRect">
                                        <a:avLst/>
                                      </a:prstGeom>
                                      <a:solidFill>
                                        <a:srgbClr val="EFFFEF"/>
                                      </a:solidFill>
                                      <a:ln>
                                        <a:solidFill>
                                          <a:srgbClr val="00FF9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150FCE" w14:textId="77777777" w:rsidR="008A2166" w:rsidRPr="00EE0371" w:rsidRDefault="008A2166" w:rsidP="008A2166">
                                          <w:pPr>
                                            <w:jc w:val="center"/>
                                            <w:rPr>
                                              <w:b/>
                                              <w:bCs/>
                                              <w:color w:val="000000" w:themeColor="text1"/>
                                              <w:sz w:val="18"/>
                                              <w:szCs w:val="18"/>
                                            </w:rPr>
                                          </w:pPr>
                                          <w:r w:rsidRPr="00EE0371">
                                            <w:rPr>
                                              <w:b/>
                                              <w:bCs/>
                                              <w:color w:val="000000" w:themeColor="text1"/>
                                              <w:sz w:val="18"/>
                                              <w:szCs w:val="18"/>
                                            </w:rPr>
                                            <w:t>Program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87112321" name="Connector: Elbow 787112321"/>
                                <wps:cNvCnPr/>
                                <wps:spPr>
                                  <a:xfrm>
                                    <a:off x="3488871" y="830035"/>
                                    <a:ext cx="250166" cy="1605951"/>
                                  </a:xfrm>
                                  <a:prstGeom prst="bentConnector3">
                                    <a:avLst>
                                      <a:gd name="adj1" fmla="val -18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138480600" name="Group 1138480600"/>
                                <wpg:cNvGrpSpPr/>
                                <wpg:grpSpPr>
                                  <a:xfrm>
                                    <a:off x="1006928" y="851807"/>
                                    <a:ext cx="323215" cy="1638935"/>
                                    <a:chOff x="0" y="0"/>
                                    <a:chExt cx="323845" cy="1639019"/>
                                  </a:xfrm>
                                </wpg:grpSpPr>
                                <wps:wsp>
                                  <wps:cNvPr id="278651120" name="Connector: Elbow 6"/>
                                  <wps:cNvCnPr/>
                                  <wps:spPr>
                                    <a:xfrm flipH="1">
                                      <a:off x="315223" y="0"/>
                                      <a:ext cx="8622" cy="1639019"/>
                                    </a:xfrm>
                                    <a:prstGeom prst="bentConnector3">
                                      <a:avLst>
                                        <a:gd name="adj1" fmla="val 3949872"/>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19783237" name="Straight Arrow Connector 11"/>
                                  <wps:cNvCnPr/>
                                  <wps:spPr>
                                    <a:xfrm>
                                      <a:off x="0" y="992038"/>
                                      <a:ext cx="31930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177675096" name="Connector: Elbow 1177675096"/>
                                <wps:cNvCnPr/>
                                <wps:spPr>
                                  <a:xfrm flipV="1">
                                    <a:off x="2005693" y="1189264"/>
                                    <a:ext cx="9129" cy="1276710"/>
                                  </a:xfrm>
                                  <a:prstGeom prst="bentConnector3">
                                    <a:avLst>
                                      <a:gd name="adj1" fmla="val 1938580"/>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268153679" name="Connector: Elbow 1268153679"/>
                                <wps:cNvCnPr/>
                                <wps:spPr>
                                  <a:xfrm>
                                    <a:off x="1989364" y="830035"/>
                                    <a:ext cx="492839" cy="741685"/>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300994765" name="Straight Arrow Connector 300994765"/>
                            <wps:cNvCnPr/>
                            <wps:spPr>
                              <a:xfrm>
                                <a:off x="3284764" y="830036"/>
                                <a:ext cx="457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770747147" name="Straight Arrow Connector 1770747147"/>
                          <wps:cNvCnPr/>
                          <wps:spPr>
                            <a:xfrm>
                              <a:off x="3491593" y="1820636"/>
                              <a:ext cx="26562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107622789" name="Straight Connector 2107622789"/>
                        <wps:cNvCnPr/>
                        <wps:spPr>
                          <a:xfrm>
                            <a:off x="2000250" y="1853293"/>
                            <a:ext cx="17272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3A13389" id="Group 5" o:spid="_x0000_s1059" alt="Figure 2 demonstrates how IP Australia's total operating costs are assigned to products and services and then to the cost-recovered activity groups" style="position:absolute;margin-left:4.15pt;margin-top:7.05pt;width:451.3pt;height:215.25pt;z-index:251658241;mso-position-horizontal-relative:text;mso-position-vertical-relative:text" coordsize="57315,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">
                <v:group id="Group 4" o:spid="_x0000_s1060" style="position:absolute;width:57315;height:27336" coordsize="57315,2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">
                  <v:group id="Group 3" o:spid="_x0000_s1061" style="position:absolute;width:57315;height:27336" coordsize="57315,2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">
                    <v:group id="Group 2" o:spid="_x0000_s1062" style="position:absolute;width:57315;height:27336" coordsize="57315,2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">
                      <v:line id="Straight Connector 276984479" o:spid="_x0000_s1063" style="position:absolute;visibility:visible;mso-wrap-style:square" from="7810,16138" to="10053,16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" strokecolor="black [3213]" strokeweight=".5pt">
                        <v:stroke joinstyle="miter"/>
                      </v:line>
                      <v:group id="Group 1" o:spid="_x0000_s1064" style="position:absolute;width:57315;height:27336" coordsize="57315,2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">
                        <v:shape id="Connector: Elbow 930737270" o:spid="_x0000_s1065" type="#_x0000_t34" style="position:absolute;left:44277;top:8300;width:5181;height:103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" strokecolor="black [3213]" strokeweight=".5pt">
                          <v:stroke endarrow="block"/>
                        </v:shape>
                        <v:group id="Group 1639475678" o:spid="_x0000_s1066" style="position:absolute;width:57315;height:27336" coordsize="57315,2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">
                          <v:group id="Group 1" o:spid="_x0000_s1067" style="position:absolute;width:57315;height:27336" coordsize="57315,2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">
                            <v:group id="Group 1273557796" o:spid="_x0000_s1068" style="position:absolute;width:57315;height:27336" coordsize="57321,2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">
                              <v:shape id="Rectangle: Top Corners Snipped 1" o:spid="_x0000_s1069" style="position:absolute;top:3745;width:7709;height:22601;visibility:visible;mso-wrap-style:square;v-text-anchor:middle" coordsize="770986,22601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" adj="-11796480,,5400" path="m183626,l587360,,770986,183626r,2076495l770986,2260121,,2260121r,l,183626,183626,xe" fillcolor="#ecd9ff" strokecolor="#7030a0" strokeweight="1pt">
                                <v:stroke joinstyle="miter"/>
                                <v:formulas/>
                                <v:path arrowok="t" o:connecttype="custom" o:connectlocs="183626,0;587360,0;770986,183626;770986,2260121;770986,2260121;0,2260121;0,2260121;0,183626;183626,0" o:connectangles="0,0,0,0,0,0,0,0,0" textboxrect="0,0,770986,2260121"/>
                                <v:textbox inset="0,0,0,0">
                                  <w:txbxContent>
                                    <w:p w14:paraId="4AD3FDB4" w14:textId="77777777" w:rsidR="008A2166" w:rsidRPr="007275B5" w:rsidRDefault="008A2166" w:rsidP="008A2166">
                                      <w:pPr>
                                        <w:jc w:val="center"/>
                                        <w:rPr>
                                          <w:color w:val="000000" w:themeColor="text1"/>
                                          <w:sz w:val="16"/>
                                          <w:szCs w:val="16"/>
                                        </w:rPr>
                                      </w:pPr>
                                      <w:r>
                                        <w:rPr>
                                          <w:color w:val="000000" w:themeColor="text1"/>
                                          <w:sz w:val="16"/>
                                          <w:szCs w:val="16"/>
                                        </w:rPr>
                                        <w:t>Total Operating Costs</w:t>
                                      </w:r>
                                    </w:p>
                                  </w:txbxContent>
                                </v:textbox>
                              </v:shape>
                              <v:shape id="Rectangle: Top Corners Snipped 1" o:spid="_x0000_s1070" style="position:absolute;left:49601;top:3745;width:7720;height:22599;visibility:visible;mso-wrap-style:square;v-text-anchor:middle" coordsize="771921,22599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" adj="-11796480,,5400" path="m183848,l588073,,771921,183848r,2076117l771921,2259965,,2259965r,l,183848,183848,xe" fillcolor="#ffd1d1" strokecolor="#ff7575" strokeweight="1pt">
                                <v:stroke joinstyle="miter"/>
                                <v:formulas/>
                                <v:path arrowok="t" o:connecttype="custom" o:connectlocs="183848,0;588073,0;771921,183848;771921,2259965;771921,2259965;0,2259965;0,2259965;0,183848;183848,0" o:connectangles="0,0,0,0,0,0,0,0,0" textboxrect="0,0,771921,2259965"/>
                                <v:textbox inset="0,0,0,0">
                                  <w:txbxContent>
                                    <w:p w14:paraId="0D233FE9" w14:textId="77777777" w:rsidR="004C234F" w:rsidRDefault="008A2166" w:rsidP="008A2166">
                                      <w:pPr>
                                        <w:jc w:val="center"/>
                                        <w:rPr>
                                          <w:color w:val="000000" w:themeColor="text1"/>
                                          <w:sz w:val="16"/>
                                          <w:szCs w:val="16"/>
                                        </w:rPr>
                                      </w:pPr>
                                      <w:r>
                                        <w:rPr>
                                          <w:color w:val="000000" w:themeColor="text1"/>
                                          <w:sz w:val="16"/>
                                          <w:szCs w:val="16"/>
                                        </w:rPr>
                                        <w:t>Cost Recovered Activity Groups</w:t>
                                      </w:r>
                                    </w:p>
                                    <w:p w14:paraId="30C33EA3" w14:textId="1032EFB9" w:rsidR="008A2166" w:rsidRDefault="008A2166" w:rsidP="008A2166">
                                      <w:pPr>
                                        <w:spacing w:line="240" w:lineRule="auto"/>
                                        <w:jc w:val="center"/>
                                        <w:rPr>
                                          <w:color w:val="000000" w:themeColor="text1"/>
                                          <w:sz w:val="16"/>
                                          <w:szCs w:val="16"/>
                                        </w:rPr>
                                      </w:pPr>
                                      <w:r>
                                        <w:rPr>
                                          <w:color w:val="000000" w:themeColor="text1"/>
                                          <w:sz w:val="16"/>
                                          <w:szCs w:val="16"/>
                                        </w:rPr>
                                        <w:t>Patents</w:t>
                                      </w:r>
                                    </w:p>
                                    <w:p w14:paraId="4D46BFF1" w14:textId="77777777" w:rsidR="008A2166" w:rsidRDefault="008A2166" w:rsidP="008A2166">
                                      <w:pPr>
                                        <w:spacing w:line="240" w:lineRule="auto"/>
                                        <w:jc w:val="center"/>
                                        <w:rPr>
                                          <w:color w:val="000000" w:themeColor="text1"/>
                                          <w:sz w:val="16"/>
                                          <w:szCs w:val="16"/>
                                        </w:rPr>
                                      </w:pPr>
                                      <w:r>
                                        <w:rPr>
                                          <w:color w:val="000000" w:themeColor="text1"/>
                                          <w:sz w:val="16"/>
                                          <w:szCs w:val="16"/>
                                        </w:rPr>
                                        <w:t>Trade Marks</w:t>
                                      </w:r>
                                    </w:p>
                                    <w:p w14:paraId="2E3E5A64" w14:textId="77777777" w:rsidR="008A2166" w:rsidRDefault="008A2166" w:rsidP="008A2166">
                                      <w:pPr>
                                        <w:spacing w:line="240" w:lineRule="auto"/>
                                        <w:jc w:val="center"/>
                                        <w:rPr>
                                          <w:color w:val="000000" w:themeColor="text1"/>
                                          <w:sz w:val="16"/>
                                          <w:szCs w:val="16"/>
                                        </w:rPr>
                                      </w:pPr>
                                      <w:r>
                                        <w:rPr>
                                          <w:color w:val="000000" w:themeColor="text1"/>
                                          <w:sz w:val="16"/>
                                          <w:szCs w:val="16"/>
                                        </w:rPr>
                                        <w:t>Designs</w:t>
                                      </w:r>
                                    </w:p>
                                    <w:p w14:paraId="291E8000" w14:textId="77777777" w:rsidR="008A2166" w:rsidRDefault="008A2166" w:rsidP="008A2166">
                                      <w:pPr>
                                        <w:spacing w:line="240" w:lineRule="auto"/>
                                        <w:jc w:val="center"/>
                                        <w:rPr>
                                          <w:color w:val="000000" w:themeColor="text1"/>
                                          <w:sz w:val="16"/>
                                          <w:szCs w:val="16"/>
                                        </w:rPr>
                                      </w:pPr>
                                      <w:r>
                                        <w:rPr>
                                          <w:color w:val="000000" w:themeColor="text1"/>
                                          <w:sz w:val="16"/>
                                          <w:szCs w:val="16"/>
                                        </w:rPr>
                                        <w:t>PBR</w:t>
                                      </w:r>
                                    </w:p>
                                    <w:p w14:paraId="12215964" w14:textId="77777777" w:rsidR="008A2166" w:rsidRPr="007275B5" w:rsidRDefault="008A2166" w:rsidP="008A2166">
                                      <w:pPr>
                                        <w:spacing w:line="240" w:lineRule="auto"/>
                                        <w:jc w:val="center"/>
                                        <w:rPr>
                                          <w:color w:val="000000" w:themeColor="text1"/>
                                          <w:sz w:val="16"/>
                                          <w:szCs w:val="16"/>
                                        </w:rPr>
                                      </w:pPr>
                                      <w:r>
                                        <w:rPr>
                                          <w:color w:val="000000" w:themeColor="text1"/>
                                          <w:sz w:val="16"/>
                                          <w:szCs w:val="16"/>
                                        </w:rPr>
                                        <w:t>TTIPA</w:t>
                                      </w:r>
                                    </w:p>
                                  </w:txbxContent>
                                </v:textbox>
                              </v:shape>
                              <v:rect id="Rectangle 1" o:spid="_x0000_s1071" style="position:absolute;left:24499;width:7968;height:2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" fillcolor="#b4c6e7 [1300]" strokecolor="white [3201]" strokeweight="1.5pt">
                                <v:shadow on="t" color="black" opacity="26214f" origin=",-.5" offset="0,3pt"/>
                                <v:textbox>
                                  <w:txbxContent>
                                    <w:p w14:paraId="246F1F8E" w14:textId="77777777" w:rsidR="008A2166" w:rsidRPr="00551CBB" w:rsidRDefault="008A2166" w:rsidP="008A2166">
                                      <w:pPr>
                                        <w:jc w:val="center"/>
                                        <w:rPr>
                                          <w:b/>
                                          <w:bCs/>
                                          <w:color w:val="000000" w:themeColor="text1"/>
                                        </w:rPr>
                                      </w:pPr>
                                      <w:r w:rsidRPr="00551CBB">
                                        <w:rPr>
                                          <w:b/>
                                          <w:bCs/>
                                          <w:color w:val="000000" w:themeColor="text1"/>
                                        </w:rPr>
                                        <w:t>Products and Services</w:t>
                                      </w:r>
                                    </w:p>
                                  </w:txbxContent>
                                </v:textbox>
                              </v:rect>
                              <v:rect id="Rectangle 1" o:spid="_x0000_s1072" style="position:absolute;left:36662;width:8055;height:27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" fillcolor="#a8d08d [1945]" strokecolor="white [3201]" strokeweight="1.5pt">
                                <v:shadow on="t" color="black" opacity="26214f" origin=",-.5" offset="0,3pt"/>
                                <v:textbox>
                                  <w:txbxContent>
                                    <w:p w14:paraId="561A5656" w14:textId="77777777" w:rsidR="008A2166" w:rsidRPr="004B5731" w:rsidRDefault="008A2166" w:rsidP="008A2166">
                                      <w:pPr>
                                        <w:jc w:val="center"/>
                                        <w:rPr>
                                          <w:b/>
                                          <w:bCs/>
                                          <w:sz w:val="16"/>
                                          <w:szCs w:val="16"/>
                                        </w:rPr>
                                      </w:pPr>
                                    </w:p>
                                  </w:txbxContent>
                                </v:textbox>
                              </v:rect>
                              <v:rect id="Rectangle 1" o:spid="_x0000_s1073" style="position:absolute;left:12617;top:172;width:7963;height:27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" fillcolor="#4472c4 [3204]" strokecolor="white [3201]" strokeweight="1.5pt">
                                <v:shadow on="t" color="black" opacity="26214f" origin=",-.5" offset="0,3pt"/>
                                <v:textbox>
                                  <w:txbxContent>
                                    <w:p w14:paraId="4B6F1395" w14:textId="77777777" w:rsidR="008A2166" w:rsidRPr="004B5731" w:rsidRDefault="008A2166" w:rsidP="008A2166">
                                      <w:pPr>
                                        <w:jc w:val="center"/>
                                        <w:rPr>
                                          <w:b/>
                                          <w:bCs/>
                                          <w:sz w:val="16"/>
                                          <w:szCs w:val="16"/>
                                        </w:rPr>
                                      </w:pPr>
                                    </w:p>
                                  </w:txbxContent>
                                </v:textbox>
                              </v:rect>
                            </v:group>
                            <v:roundrect id="Rectangle: Rounded Corners 2" o:spid="_x0000_s1074" style="position:absolute;left:13049;top:1047;width:6806;height:129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" fillcolor="#d9e2f3 [660]" strokecolor="blue" strokeweight="1pt">
                              <v:stroke joinstyle="miter"/>
                              <v:textbox>
                                <w:txbxContent>
                                  <w:p w14:paraId="7F4F1C02" w14:textId="77777777" w:rsidR="008A2166" w:rsidRPr="00D844DB" w:rsidRDefault="008A2166" w:rsidP="008A2166">
                                    <w:pPr>
                                      <w:jc w:val="center"/>
                                      <w:rPr>
                                        <w:color w:val="000000" w:themeColor="text1"/>
                                        <w:sz w:val="16"/>
                                        <w:szCs w:val="16"/>
                                      </w:rPr>
                                    </w:pPr>
                                    <w:r>
                                      <w:rPr>
                                        <w:color w:val="000000" w:themeColor="text1"/>
                                        <w:sz w:val="16"/>
                                        <w:szCs w:val="16"/>
                                      </w:rPr>
                                      <w:t>Primary Activities</w:t>
                                    </w:r>
                                  </w:p>
                                </w:txbxContent>
                              </v:textbox>
                            </v:roundrect>
                            <v:roundrect id="Rectangle: Rounded Corners 2" o:spid="_x0000_s1075" style="position:absolute;left:13144;top:14859;width:6807;height:5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" fillcolor="#d9e2f3 [660]" strokecolor="blue" strokeweight="1pt">
                              <v:stroke joinstyle="miter"/>
                              <v:textbox>
                                <w:txbxContent>
                                  <w:p w14:paraId="18F2739D" w14:textId="77777777" w:rsidR="008A2166" w:rsidRPr="00D844DB" w:rsidRDefault="008A2166" w:rsidP="008A2166">
                                    <w:pPr>
                                      <w:jc w:val="center"/>
                                      <w:rPr>
                                        <w:color w:val="000000" w:themeColor="text1"/>
                                        <w:sz w:val="16"/>
                                        <w:szCs w:val="16"/>
                                      </w:rPr>
                                    </w:pPr>
                                    <w:r>
                                      <w:rPr>
                                        <w:color w:val="000000" w:themeColor="text1"/>
                                        <w:sz w:val="16"/>
                                        <w:szCs w:val="16"/>
                                      </w:rPr>
                                      <w:t>Support Activities</w:t>
                                    </w:r>
                                  </w:p>
                                </w:txbxContent>
                              </v:textbox>
                            </v:roundrect>
                            <v:roundrect id="Rectangle: Rounded Corners 2" o:spid="_x0000_s1076" style="position:absolute;left:13049;top:20955;width:6899;height:5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" fillcolor="#d9e2f3 [660]" strokecolor="blue" strokeweight="1pt">
                              <v:stroke joinstyle="miter"/>
                              <v:textbox>
                                <w:txbxContent>
                                  <w:p w14:paraId="2849FD51" w14:textId="77777777" w:rsidR="008A2166" w:rsidRPr="009C661D" w:rsidRDefault="008A2166" w:rsidP="008A2166">
                                    <w:pPr>
                                      <w:jc w:val="center"/>
                                      <w:rPr>
                                        <w:color w:val="000000" w:themeColor="text1"/>
                                        <w:sz w:val="16"/>
                                        <w:szCs w:val="16"/>
                                      </w:rPr>
                                    </w:pPr>
                                    <w:r w:rsidRPr="009C661D">
                                      <w:rPr>
                                        <w:color w:val="000000" w:themeColor="text1"/>
                                        <w:sz w:val="16"/>
                                        <w:szCs w:val="16"/>
                                      </w:rPr>
                                      <w:t>Corporate</w:t>
                                    </w:r>
                                    <w:r>
                                      <w:rPr>
                                        <w:color w:val="000000" w:themeColor="text1"/>
                                        <w:sz w:val="16"/>
                                        <w:szCs w:val="16"/>
                                      </w:rPr>
                                      <w:t xml:space="preserve"> Activities</w:t>
                                    </w:r>
                                  </w:p>
                                </w:txbxContent>
                              </v:textbox>
                            </v:roundrect>
                          </v:group>
                          <v:group id="Group 2" o:spid="_x0000_s1077" style="position:absolute;left:37338;top:952;width:6896;height:25508" coordsize="6896,2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">
                            <v:roundrect id="Rectangle: Rounded Corners 1656356282" o:spid="_x0000_s1078" style="position:absolute;top:19907;width:6896;height:5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" fillcolor="#efffef" strokecolor="#0f9" strokeweight="1pt">
                              <v:stroke joinstyle="miter"/>
                              <v:textbox>
                                <w:txbxContent>
                                  <w:p w14:paraId="3987D781" w14:textId="77777777" w:rsidR="008A2166" w:rsidRPr="00B33C5F" w:rsidRDefault="008A2166" w:rsidP="008A2166">
                                    <w:pPr>
                                      <w:jc w:val="center"/>
                                      <w:rPr>
                                        <w:b/>
                                        <w:bCs/>
                                        <w:color w:val="000000" w:themeColor="text1"/>
                                        <w:sz w:val="18"/>
                                        <w:szCs w:val="18"/>
                                      </w:rPr>
                                    </w:pPr>
                                    <w:r w:rsidRPr="00B33C5F">
                                      <w:rPr>
                                        <w:b/>
                                        <w:bCs/>
                                        <w:color w:val="000000" w:themeColor="text1"/>
                                        <w:sz w:val="18"/>
                                        <w:szCs w:val="18"/>
                                      </w:rPr>
                                      <w:t>Program 3</w:t>
                                    </w:r>
                                  </w:p>
                                </w:txbxContent>
                              </v:textbox>
                            </v:roundrect>
                            <v:roundrect id="Rectangle: Rounded Corners 1287840979" o:spid="_x0000_s1079" style="position:absolute;top:13716;width:6803;height:5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" fillcolor="#efffef" strokecolor="#0f9" strokeweight="1pt">
                              <v:stroke joinstyle="miter"/>
                              <v:textbox>
                                <w:txbxContent>
                                  <w:p w14:paraId="2B6349DB" w14:textId="77777777" w:rsidR="008A2166" w:rsidRPr="00B33C5F" w:rsidRDefault="008A2166" w:rsidP="008A2166">
                                    <w:pPr>
                                      <w:jc w:val="center"/>
                                      <w:rPr>
                                        <w:b/>
                                        <w:bCs/>
                                        <w:color w:val="000000" w:themeColor="text1"/>
                                        <w:sz w:val="18"/>
                                        <w:szCs w:val="18"/>
                                      </w:rPr>
                                    </w:pPr>
                                    <w:r w:rsidRPr="00B33C5F">
                                      <w:rPr>
                                        <w:b/>
                                        <w:bCs/>
                                        <w:color w:val="000000" w:themeColor="text1"/>
                                        <w:sz w:val="18"/>
                                        <w:szCs w:val="18"/>
                                      </w:rPr>
                                      <w:t>Program 2</w:t>
                                    </w:r>
                                  </w:p>
                                </w:txbxContent>
                              </v:textbox>
                            </v:roundrect>
                            <v:roundrect id="Rectangle: Rounded Corners 633495122" o:spid="_x0000_s1080" style="position:absolute;width:6803;height:129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" fillcolor="#efffef" strokecolor="#0f9" strokeweight="1pt">
                              <v:stroke joinstyle="miter"/>
                              <v:textbox>
                                <w:txbxContent>
                                  <w:p w14:paraId="1B150FCE" w14:textId="77777777" w:rsidR="008A2166" w:rsidRPr="00EE0371" w:rsidRDefault="008A2166" w:rsidP="008A2166">
                                    <w:pPr>
                                      <w:jc w:val="center"/>
                                      <w:rPr>
                                        <w:b/>
                                        <w:bCs/>
                                        <w:color w:val="000000" w:themeColor="text1"/>
                                        <w:sz w:val="18"/>
                                        <w:szCs w:val="18"/>
                                      </w:rPr>
                                    </w:pPr>
                                    <w:r w:rsidRPr="00EE0371">
                                      <w:rPr>
                                        <w:b/>
                                        <w:bCs/>
                                        <w:color w:val="000000" w:themeColor="text1"/>
                                        <w:sz w:val="18"/>
                                        <w:szCs w:val="18"/>
                                      </w:rPr>
                                      <w:t>Program 1</w:t>
                                    </w:r>
                                  </w:p>
                                </w:txbxContent>
                              </v:textbox>
                            </v:roundrect>
                          </v:group>
                        </v:group>
                        <v:shape id="Connector: Elbow 787112321" o:spid="_x0000_s1081" type="#_x0000_t34" style="position:absolute;left:34888;top:8300;width:2502;height:160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" adj="-399" strokecolor="black [3213]" strokeweight=".5pt">
                          <v:stroke endarrow="block"/>
                        </v:shape>
                        <v:group id="Group 1138480600" o:spid="_x0000_s1082" style="position:absolute;left:10069;top:8518;width:3232;height:16389" coordsize="3238,1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">
                          <v:shape id="Connector: Elbow 6" o:spid="_x0000_s1083" type="#_x0000_t34" style="position:absolute;left:3152;width:86;height:163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" adj="853172" strokecolor="black [3213]" strokeweight=".5pt">
                            <v:stroke startarrow="block" endarrow="block"/>
                          </v:shape>
                          <v:shape id="Straight Arrow Connector 11" o:spid="_x0000_s1084" type="#_x0000_t32" style="position:absolute;top:9920;width:31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" strokecolor="black [3213]" strokeweight=".5pt">
                            <v:stroke endarrow="block" joinstyle="miter"/>
                          </v:shape>
                        </v:group>
                        <v:shape id="Connector: Elbow 1177675096" o:spid="_x0000_s1085" type="#_x0000_t34" style="position:absolute;left:20056;top:11892;width:92;height:1276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" adj="418733" strokecolor="black [3213]" strokeweight=".5pt">
                          <v:stroke dashstyle="dash" endarrow="block"/>
                        </v:shape>
                        <v:shape id="Connector: Elbow 1268153679" o:spid="_x0000_s1086" type="#_x0000_t34" style="position:absolute;left:19893;top:8300;width:4929;height:74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" strokecolor="black [3213]" strokeweight=".5pt">
                          <v:stroke endarrow="block"/>
                        </v:shape>
                      </v:group>
                    </v:group>
                    <v:shape id="Straight Arrow Connector 300994765" o:spid="_x0000_s1087" type="#_x0000_t32" style="position:absolute;left:32847;top:8300;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" strokecolor="black [3213]" strokeweight=".5pt">
                      <v:stroke endarrow="block" joinstyle="miter"/>
                    </v:shape>
                  </v:group>
                  <v:shape id="Straight Arrow Connector 1770747147" o:spid="_x0000_s1088" type="#_x0000_t32" style="position:absolute;left:34915;top:18206;width:2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" strokecolor="black [3213]" strokeweight=".5pt">
                    <v:stroke endarrow="block" joinstyle="miter"/>
                  </v:shape>
                </v:group>
                <v:line id="Straight Connector 2107622789" o:spid="_x0000_s1089" style="position:absolute;visibility:visible;mso-wrap-style:square" from="20002,18532" to="21729,1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" strokecolor="black [3213]" strokeweight=".5pt">
                  <v:stroke dashstyle="dash" joinstyle="miter"/>
                </v:line>
              </v:group>
            </w:pict>
          </mc:Fallback>
        </mc:AlternateContent>
      </w:r>
    </w:p>
    <w:p w14:paraId="5C940256" w14:textId="2B9D343B" w:rsidR="008A2166" w:rsidRPr="004B782F" w:rsidRDefault="008A2166" w:rsidP="00480ADF">
      <w:pPr>
        <w:keepNext/>
        <w:spacing w:before="4440"/>
        <w:rPr>
          <w:iCs/>
        </w:rPr>
      </w:pPr>
      <w:r w:rsidRPr="004B782F">
        <w:rPr>
          <w:rFonts w:eastAsia="SimSun"/>
          <w:b/>
          <w:bCs/>
          <w:iCs/>
          <w:u w:val="single"/>
        </w:rPr>
        <w:t>IP Australia’s internal organisational structure</w:t>
      </w:r>
    </w:p>
    <w:p w14:paraId="3A0248C5" w14:textId="77777777" w:rsidR="00E50F6D" w:rsidRDefault="008A2166" w:rsidP="008A2166">
      <w:pPr>
        <w:rPr>
          <w:iCs/>
        </w:rPr>
      </w:pPr>
      <w:r w:rsidRPr="004B782F">
        <w:rPr>
          <w:iCs/>
        </w:rPr>
        <w:t>IP Australia’s internal organisational structure can be classified into direct and indirect business groups, due to the nature of the work they undertake. This structure assists in costing the activity groups, but more so in helping to identify the various types of costs. The direct groups or sections are patents, PBR, trade mark</w:t>
      </w:r>
      <w:r w:rsidR="00DE1796">
        <w:rPr>
          <w:iCs/>
        </w:rPr>
        <w:t xml:space="preserve"> and</w:t>
      </w:r>
      <w:r w:rsidRPr="004B782F">
        <w:rPr>
          <w:iCs/>
        </w:rPr>
        <w:t xml:space="preserve"> designs. The work undertaken within these business groups can be directly aligned to one of the five activity groups and therefore, all operating expenses incurred are considered a direct cost of the cost recoverable activity. The support and corporate activities, such as finance, human resources, ICT, and property, are considered indirect as they support the outcomes of the direct groups. The resource costs can therefore be classified as either direct or indirect.</w:t>
      </w:r>
    </w:p>
    <w:p w14:paraId="52B84527" w14:textId="3CFFBCFF" w:rsidR="008A2166" w:rsidRPr="004B782F" w:rsidRDefault="008A2166" w:rsidP="008A2166">
      <w:pPr>
        <w:rPr>
          <w:iCs/>
        </w:rPr>
      </w:pPr>
      <w:r w:rsidRPr="004B782F">
        <w:rPr>
          <w:rFonts w:eastAsia="SimSun"/>
          <w:b/>
          <w:bCs/>
          <w:iCs/>
          <w:u w:val="single"/>
        </w:rPr>
        <w:t>Direct costs</w:t>
      </w:r>
    </w:p>
    <w:p w14:paraId="0241CB54" w14:textId="77777777" w:rsidR="008A2166" w:rsidRPr="004B782F" w:rsidRDefault="008A2166" w:rsidP="008A2166">
      <w:r>
        <w:t>The direct costs of the activity groups are employee, supplier and depreciation expenses stemming from the direct business groups.  These direct costs are assigned to IP Australia’s activities using cost drivers contained within SAP PCM. It should be noted that most of the expenditure for these groups is staffing costs.</w:t>
      </w:r>
    </w:p>
    <w:p w14:paraId="3122070B" w14:textId="7C0A8E28" w:rsidR="008A2166" w:rsidRPr="004B782F" w:rsidRDefault="008A2166" w:rsidP="008A2166">
      <w:r>
        <w:t xml:space="preserve">The direct costs of the patents, </w:t>
      </w:r>
      <w:proofErr w:type="spellStart"/>
      <w:r>
        <w:t>trade marks</w:t>
      </w:r>
      <w:proofErr w:type="spellEnd"/>
      <w:r>
        <w:t xml:space="preserve">, designs and </w:t>
      </w:r>
      <w:r w:rsidR="00980F9B">
        <w:t>PBR</w:t>
      </w:r>
      <w:r>
        <w:t xml:space="preserve"> groups are allocated using the volumes for the various examination products or services provided. The volumes are then normalised to examination hours which is used to drive direct costs to the activities.</w:t>
      </w:r>
    </w:p>
    <w:p w14:paraId="1241C78A" w14:textId="77777777" w:rsidR="00E50F6D" w:rsidRDefault="008A2166" w:rsidP="008A2166">
      <w:pPr>
        <w:rPr>
          <w:iCs/>
        </w:rPr>
      </w:pPr>
      <w:r w:rsidRPr="004B782F">
        <w:rPr>
          <w:iCs/>
        </w:rPr>
        <w:t>All operating expenditure for administering the TTIPA is attributed directly to the activity.</w:t>
      </w:r>
    </w:p>
    <w:p w14:paraId="61EA2B96" w14:textId="41526D8E" w:rsidR="008A2166" w:rsidRPr="004B782F" w:rsidRDefault="008A2166" w:rsidP="008A2166">
      <w:pPr>
        <w:rPr>
          <w:iCs/>
        </w:rPr>
      </w:pPr>
      <w:r w:rsidRPr="004B782F">
        <w:rPr>
          <w:rFonts w:eastAsia="SimSun"/>
          <w:b/>
          <w:bCs/>
          <w:iCs/>
          <w:u w:val="single"/>
        </w:rPr>
        <w:t>Indirect costs</w:t>
      </w:r>
    </w:p>
    <w:p w14:paraId="1D9C7132" w14:textId="77777777" w:rsidR="00E50F6D" w:rsidRDefault="008A2166" w:rsidP="008A2166">
      <w:r>
        <w:t>The indirect costs include operating expenses, such as employee, supplier, accommodation, and depreciation, from the corporate areas of the organisation. Indirect costs are generally allocated to corporate activities and then re-assigned to the core primary activities undertaken by the direct business groups.</w:t>
      </w:r>
    </w:p>
    <w:p w14:paraId="5F8B60E9" w14:textId="77777777" w:rsidR="00E50F6D" w:rsidRDefault="008A2166" w:rsidP="008A2166">
      <w:r w:rsidRPr="007225FA">
        <w:lastRenderedPageBreak/>
        <w:t>The main cost drivers used to assign corporate type expenses are similar for each activity. For example, in the corporate groups, the costs for overtime, consultants, contractors, depreciation, accommodation, international travel, computer, communication, and other like expenses are analysed and assigned to an appropriate activity based on a proportion of ASL, while ICT services are allocated based on a combination of system usage and proportion of ASL.</w:t>
      </w:r>
    </w:p>
    <w:p w14:paraId="555CF1D5" w14:textId="546C732D" w:rsidR="008A2166" w:rsidRPr="004B782F" w:rsidRDefault="008A2166" w:rsidP="00B37560">
      <w:pPr>
        <w:keepNext/>
        <w:rPr>
          <w:iCs/>
        </w:rPr>
      </w:pPr>
      <w:r w:rsidRPr="004B782F">
        <w:rPr>
          <w:rFonts w:eastAsia="SimSun"/>
          <w:b/>
          <w:bCs/>
          <w:iCs/>
          <w:u w:val="single"/>
        </w:rPr>
        <w:t>Projected costs</w:t>
      </w:r>
    </w:p>
    <w:p w14:paraId="69B66758" w14:textId="1318D432" w:rsidR="008A2166" w:rsidRPr="004B782F" w:rsidRDefault="008A2166" w:rsidP="005C38AD">
      <w:pPr>
        <w:spacing w:after="80"/>
        <w:rPr>
          <w:iCs/>
        </w:rPr>
      </w:pPr>
      <w:r w:rsidRPr="004B782F">
        <w:rPr>
          <w:iCs/>
        </w:rPr>
        <w:t xml:space="preserve">Over the </w:t>
      </w:r>
      <w:r w:rsidR="005C38AD">
        <w:rPr>
          <w:iCs/>
        </w:rPr>
        <w:t>4</w:t>
      </w:r>
      <w:r w:rsidRPr="004B782F">
        <w:rPr>
          <w:iCs/>
        </w:rPr>
        <w:t xml:space="preserve">-year period covered by this CRIS, IP Australia will see increases to the overall cost base (Table 3 </w:t>
      </w:r>
      <w:r w:rsidRPr="00585FF3">
        <w:rPr>
          <w:iCs/>
        </w:rPr>
        <w:t>refers) of an average of 4%</w:t>
      </w:r>
      <w:r w:rsidRPr="00585FF3" w:rsidDel="00C4299E">
        <w:rPr>
          <w:iCs/>
        </w:rPr>
        <w:t xml:space="preserve"> </w:t>
      </w:r>
      <w:r w:rsidRPr="00585FF3">
        <w:rPr>
          <w:iCs/>
        </w:rPr>
        <w:t>per annum. This</w:t>
      </w:r>
      <w:r w:rsidRPr="004B782F">
        <w:rPr>
          <w:iCs/>
        </w:rPr>
        <w:t xml:space="preserve"> is driven by several factors:</w:t>
      </w:r>
    </w:p>
    <w:p w14:paraId="15A79B8C" w14:textId="77777777" w:rsidR="008A2166" w:rsidRPr="005C38AD" w:rsidRDefault="008A2166" w:rsidP="005C38AD">
      <w:pPr>
        <w:pStyle w:val="ListParagraph0"/>
        <w:numPr>
          <w:ilvl w:val="0"/>
          <w:numId w:val="38"/>
        </w:numPr>
        <w:spacing w:after="80" w:line="240" w:lineRule="auto"/>
        <w:contextualSpacing w:val="0"/>
        <w:rPr>
          <w:rFonts w:cstheme="minorHAnsi"/>
        </w:rPr>
      </w:pPr>
      <w:r w:rsidRPr="005C38AD">
        <w:rPr>
          <w:rFonts w:cstheme="minorHAnsi"/>
        </w:rPr>
        <w:t>Employee costs will increase because of expected annual increases to salaries under IP Australia’s Enterprise Agreement.</w:t>
      </w:r>
    </w:p>
    <w:p w14:paraId="5A071802" w14:textId="77777777" w:rsidR="008A2166" w:rsidRPr="005C38AD" w:rsidRDefault="008A2166" w:rsidP="005C38AD">
      <w:pPr>
        <w:pStyle w:val="ListParagraph0"/>
        <w:numPr>
          <w:ilvl w:val="0"/>
          <w:numId w:val="38"/>
        </w:numPr>
        <w:spacing w:after="80" w:line="240" w:lineRule="auto"/>
        <w:contextualSpacing w:val="0"/>
        <w:rPr>
          <w:rFonts w:cstheme="minorHAnsi"/>
        </w:rPr>
      </w:pPr>
      <w:r w:rsidRPr="005C38AD">
        <w:rPr>
          <w:rFonts w:cstheme="minorHAnsi"/>
        </w:rPr>
        <w:t>Supplier costs are forecast to rise over the forward estimates with a focus on transitioning ICT services to the Cloud, investment in software as a service, and the impact of general inflation.</w:t>
      </w:r>
    </w:p>
    <w:p w14:paraId="5B6992D6" w14:textId="77777777" w:rsidR="00E50F6D" w:rsidRPr="005C38AD" w:rsidRDefault="008A2166" w:rsidP="00CA3613">
      <w:pPr>
        <w:pStyle w:val="ListParagraph0"/>
        <w:numPr>
          <w:ilvl w:val="0"/>
          <w:numId w:val="38"/>
        </w:numPr>
        <w:spacing w:after="240" w:line="240" w:lineRule="auto"/>
        <w:contextualSpacing w:val="0"/>
        <w:rPr>
          <w:rFonts w:cstheme="minorHAnsi"/>
        </w:rPr>
      </w:pPr>
      <w:r w:rsidRPr="005C38AD">
        <w:rPr>
          <w:rFonts w:cstheme="minorHAnsi"/>
        </w:rPr>
        <w:t xml:space="preserve">Depreciation costs continue to increase over the four-year period because of the significant investment </w:t>
      </w:r>
      <w:r w:rsidRPr="005C38AD">
        <w:rPr>
          <w:rFonts w:cstheme="minorHAnsi"/>
          <w:iCs/>
        </w:rPr>
        <w:t>phase</w:t>
      </w:r>
      <w:r w:rsidRPr="005C38AD">
        <w:rPr>
          <w:rFonts w:cstheme="minorHAnsi"/>
        </w:rPr>
        <w:t xml:space="preserve"> the organisation has undergone in recent years.</w:t>
      </w:r>
    </w:p>
    <w:p w14:paraId="4642DA45" w14:textId="77777777" w:rsidR="005970B2" w:rsidRDefault="005970B2" w:rsidP="005970B2">
      <w:pPr>
        <w:keepNext/>
        <w:rPr>
          <w:rFonts w:eastAsia="SimSun"/>
          <w:iCs/>
        </w:rPr>
      </w:pPr>
      <w:r>
        <w:rPr>
          <w:rFonts w:eastAsia="SimSun"/>
          <w:iCs/>
        </w:rPr>
        <w:br w:type="page"/>
      </w:r>
    </w:p>
    <w:p w14:paraId="0C88B065" w14:textId="0F9E4828" w:rsidR="008A2166" w:rsidRDefault="008A2166" w:rsidP="005970B2">
      <w:pPr>
        <w:keepNext/>
        <w:rPr>
          <w:iCs/>
        </w:rPr>
      </w:pPr>
      <w:r>
        <w:rPr>
          <w:rFonts w:eastAsia="SimSun"/>
          <w:iCs/>
        </w:rPr>
        <w:lastRenderedPageBreak/>
        <w:t>Table 3: Projected total expenses for IP Australia</w:t>
      </w:r>
    </w:p>
    <w:tbl>
      <w:tblPr>
        <w:tblStyle w:val="TableGrid"/>
        <w:tblW w:w="8926" w:type="dxa"/>
        <w:tblLook w:val="04A0" w:firstRow="1" w:lastRow="0" w:firstColumn="1" w:lastColumn="0" w:noHBand="0" w:noVBand="1"/>
      </w:tblPr>
      <w:tblGrid>
        <w:gridCol w:w="3256"/>
        <w:gridCol w:w="1417"/>
        <w:gridCol w:w="1418"/>
        <w:gridCol w:w="1417"/>
        <w:gridCol w:w="1418"/>
      </w:tblGrid>
      <w:tr w:rsidR="008A2166" w14:paraId="75664357" w14:textId="77777777">
        <w:trPr>
          <w:trHeight w:val="340"/>
        </w:trPr>
        <w:tc>
          <w:tcPr>
            <w:tcW w:w="3256" w:type="dxa"/>
            <w:tcBorders>
              <w:top w:val="nil"/>
              <w:left w:val="nil"/>
              <w:bottom w:val="single" w:sz="4" w:space="0" w:color="auto"/>
            </w:tcBorders>
            <w:shd w:val="clear" w:color="auto" w:fill="auto"/>
            <w:vAlign w:val="bottom"/>
          </w:tcPr>
          <w:p w14:paraId="72E3BC80" w14:textId="77777777" w:rsidR="008A2166" w:rsidRPr="006C5CEA" w:rsidRDefault="008A2166">
            <w:pPr>
              <w:rPr>
                <w:rFonts w:asciiTheme="minorHAnsi" w:eastAsia="SimSun" w:hAnsiTheme="minorHAnsi" w:cstheme="minorHAnsi"/>
                <w:b/>
                <w:bCs/>
                <w:iCs/>
                <w:sz w:val="16"/>
                <w:szCs w:val="16"/>
              </w:rPr>
            </w:pPr>
          </w:p>
        </w:tc>
        <w:tc>
          <w:tcPr>
            <w:tcW w:w="1417" w:type="dxa"/>
            <w:tcBorders>
              <w:top w:val="single" w:sz="4" w:space="0" w:color="auto"/>
            </w:tcBorders>
            <w:shd w:val="clear" w:color="auto" w:fill="D9E2F3" w:themeFill="accent1" w:themeFillTint="33"/>
            <w:vAlign w:val="bottom"/>
          </w:tcPr>
          <w:p w14:paraId="25C361FA"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Budget Estimate</w:t>
            </w:r>
          </w:p>
          <w:p w14:paraId="539287D0" w14:textId="77777777" w:rsidR="008A2166" w:rsidRPr="006C5CEA"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2024-25</w:t>
            </w:r>
          </w:p>
        </w:tc>
        <w:tc>
          <w:tcPr>
            <w:tcW w:w="1418" w:type="dxa"/>
            <w:tcBorders>
              <w:top w:val="single" w:sz="4" w:space="0" w:color="auto"/>
            </w:tcBorders>
            <w:shd w:val="clear" w:color="auto" w:fill="D9E2F3" w:themeFill="accent1" w:themeFillTint="33"/>
            <w:vAlign w:val="bottom"/>
          </w:tcPr>
          <w:p w14:paraId="37712828"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0B1E4819"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2025-26</w:t>
            </w:r>
          </w:p>
        </w:tc>
        <w:tc>
          <w:tcPr>
            <w:tcW w:w="1417" w:type="dxa"/>
            <w:tcBorders>
              <w:top w:val="single" w:sz="4" w:space="0" w:color="auto"/>
            </w:tcBorders>
            <w:shd w:val="clear" w:color="auto" w:fill="D9E2F3" w:themeFill="accent1" w:themeFillTint="33"/>
            <w:vAlign w:val="bottom"/>
          </w:tcPr>
          <w:p w14:paraId="23C09816"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2E9755E4"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2026-27</w:t>
            </w:r>
          </w:p>
        </w:tc>
        <w:tc>
          <w:tcPr>
            <w:tcW w:w="1418" w:type="dxa"/>
            <w:tcBorders>
              <w:top w:val="single" w:sz="4" w:space="0" w:color="auto"/>
            </w:tcBorders>
            <w:shd w:val="clear" w:color="auto" w:fill="D9E2F3" w:themeFill="accent1" w:themeFillTint="33"/>
            <w:vAlign w:val="bottom"/>
          </w:tcPr>
          <w:p w14:paraId="7EC6D3C1"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2CB6A1B4"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2027-28</w:t>
            </w:r>
          </w:p>
        </w:tc>
      </w:tr>
      <w:tr w:rsidR="008A2166" w14:paraId="438B1C46" w14:textId="77777777">
        <w:trPr>
          <w:trHeight w:val="340"/>
        </w:trPr>
        <w:tc>
          <w:tcPr>
            <w:tcW w:w="3256" w:type="dxa"/>
            <w:tcBorders>
              <w:left w:val="single" w:sz="4" w:space="0" w:color="auto"/>
            </w:tcBorders>
            <w:shd w:val="clear" w:color="auto" w:fill="D9E2F3" w:themeFill="accent1" w:themeFillTint="33"/>
            <w:vAlign w:val="bottom"/>
          </w:tcPr>
          <w:p w14:paraId="6F324F59" w14:textId="77777777" w:rsidR="008A2166" w:rsidRPr="004C20FC" w:rsidRDefault="008A2166">
            <w:pP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Description</w:t>
            </w:r>
          </w:p>
        </w:tc>
        <w:tc>
          <w:tcPr>
            <w:tcW w:w="1417" w:type="dxa"/>
            <w:shd w:val="clear" w:color="auto" w:fill="D9E2F3" w:themeFill="accent1" w:themeFillTint="33"/>
            <w:vAlign w:val="bottom"/>
          </w:tcPr>
          <w:p w14:paraId="781AF527" w14:textId="77777777" w:rsidR="008A2166" w:rsidRPr="004C20FC" w:rsidRDefault="008A2166">
            <w:pPr>
              <w:jc w:val="cente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$’M</w:t>
            </w:r>
          </w:p>
        </w:tc>
        <w:tc>
          <w:tcPr>
            <w:tcW w:w="1418" w:type="dxa"/>
            <w:shd w:val="clear" w:color="auto" w:fill="D9E2F3" w:themeFill="accent1" w:themeFillTint="33"/>
            <w:vAlign w:val="bottom"/>
          </w:tcPr>
          <w:p w14:paraId="3D3BC1B2" w14:textId="77777777" w:rsidR="008A2166" w:rsidRPr="004C20FC" w:rsidRDefault="008A2166">
            <w:pPr>
              <w:jc w:val="cente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$’M</w:t>
            </w:r>
          </w:p>
        </w:tc>
        <w:tc>
          <w:tcPr>
            <w:tcW w:w="1417" w:type="dxa"/>
            <w:shd w:val="clear" w:color="auto" w:fill="D9E2F3" w:themeFill="accent1" w:themeFillTint="33"/>
            <w:vAlign w:val="bottom"/>
          </w:tcPr>
          <w:p w14:paraId="38828C20" w14:textId="77777777" w:rsidR="008A2166" w:rsidRPr="004C20FC" w:rsidRDefault="008A2166">
            <w:pPr>
              <w:jc w:val="cente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$’M</w:t>
            </w:r>
          </w:p>
        </w:tc>
        <w:tc>
          <w:tcPr>
            <w:tcW w:w="1418" w:type="dxa"/>
            <w:shd w:val="clear" w:color="auto" w:fill="D9E2F3" w:themeFill="accent1" w:themeFillTint="33"/>
            <w:vAlign w:val="bottom"/>
          </w:tcPr>
          <w:p w14:paraId="034685E4" w14:textId="77777777" w:rsidR="008A2166" w:rsidRPr="004C20FC" w:rsidRDefault="008A2166">
            <w:pPr>
              <w:jc w:val="cente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$’M</w:t>
            </w:r>
          </w:p>
        </w:tc>
      </w:tr>
      <w:tr w:rsidR="008A2166" w14:paraId="6AABA5E9" w14:textId="77777777">
        <w:trPr>
          <w:trHeight w:val="340"/>
        </w:trPr>
        <w:tc>
          <w:tcPr>
            <w:tcW w:w="3256" w:type="dxa"/>
            <w:tcBorders>
              <w:left w:val="single" w:sz="4" w:space="0" w:color="auto"/>
            </w:tcBorders>
            <w:shd w:val="clear" w:color="auto" w:fill="D9D9D9" w:themeFill="background1" w:themeFillShade="D9"/>
            <w:vAlign w:val="bottom"/>
          </w:tcPr>
          <w:p w14:paraId="4AC875DC" w14:textId="77777777" w:rsidR="008A2166" w:rsidRPr="004C20FC" w:rsidRDefault="008A2166">
            <w:pP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ASL</w:t>
            </w:r>
          </w:p>
        </w:tc>
        <w:tc>
          <w:tcPr>
            <w:tcW w:w="1417" w:type="dxa"/>
            <w:shd w:val="clear" w:color="auto" w:fill="D9D9D9" w:themeFill="background1" w:themeFillShade="D9"/>
            <w:vAlign w:val="bottom"/>
          </w:tcPr>
          <w:p w14:paraId="075E4DE5" w14:textId="77777777" w:rsidR="008A2166" w:rsidRPr="004C20FC" w:rsidRDefault="008A2166">
            <w:pPr>
              <w:jc w:val="right"/>
              <w:rPr>
                <w:rFonts w:asciiTheme="minorHAnsi" w:eastAsia="SimSun" w:hAnsiTheme="minorHAnsi" w:cstheme="minorHAnsi"/>
                <w:iCs/>
                <w:sz w:val="16"/>
                <w:szCs w:val="16"/>
              </w:rPr>
            </w:pPr>
            <w:r w:rsidRPr="004C20FC">
              <w:rPr>
                <w:rFonts w:asciiTheme="minorHAnsi" w:eastAsia="SimSun" w:hAnsiTheme="minorHAnsi" w:cstheme="minorHAnsi"/>
                <w:iCs/>
                <w:sz w:val="16"/>
                <w:szCs w:val="16"/>
              </w:rPr>
              <w:t>1,100</w:t>
            </w:r>
          </w:p>
        </w:tc>
        <w:tc>
          <w:tcPr>
            <w:tcW w:w="1418" w:type="dxa"/>
            <w:shd w:val="clear" w:color="auto" w:fill="D9D9D9" w:themeFill="background1" w:themeFillShade="D9"/>
            <w:vAlign w:val="bottom"/>
          </w:tcPr>
          <w:p w14:paraId="47DEFCEB" w14:textId="77777777" w:rsidR="008A2166" w:rsidRPr="004C20FC" w:rsidRDefault="008A2166">
            <w:pPr>
              <w:jc w:val="right"/>
              <w:rPr>
                <w:rFonts w:asciiTheme="minorHAnsi" w:eastAsia="SimSun" w:hAnsiTheme="minorHAnsi" w:cstheme="minorHAnsi"/>
                <w:iCs/>
                <w:sz w:val="16"/>
                <w:szCs w:val="16"/>
              </w:rPr>
            </w:pPr>
            <w:r w:rsidRPr="004C20FC">
              <w:rPr>
                <w:rFonts w:asciiTheme="minorHAnsi" w:eastAsia="SimSun" w:hAnsiTheme="minorHAnsi" w:cstheme="minorHAnsi"/>
                <w:iCs/>
                <w:sz w:val="16"/>
                <w:szCs w:val="16"/>
              </w:rPr>
              <w:t>1,100</w:t>
            </w:r>
          </w:p>
        </w:tc>
        <w:tc>
          <w:tcPr>
            <w:tcW w:w="1417" w:type="dxa"/>
            <w:shd w:val="clear" w:color="auto" w:fill="D9D9D9" w:themeFill="background1" w:themeFillShade="D9"/>
            <w:vAlign w:val="bottom"/>
          </w:tcPr>
          <w:p w14:paraId="50999C16" w14:textId="77777777" w:rsidR="008A2166" w:rsidRPr="004C20FC" w:rsidRDefault="008A2166">
            <w:pPr>
              <w:jc w:val="right"/>
              <w:rPr>
                <w:rFonts w:asciiTheme="minorHAnsi" w:eastAsia="SimSun" w:hAnsiTheme="minorHAnsi" w:cstheme="minorHAnsi"/>
                <w:iCs/>
                <w:sz w:val="16"/>
                <w:szCs w:val="16"/>
              </w:rPr>
            </w:pPr>
            <w:r w:rsidRPr="004C20FC">
              <w:rPr>
                <w:rFonts w:asciiTheme="minorHAnsi" w:eastAsia="SimSun" w:hAnsiTheme="minorHAnsi" w:cstheme="minorHAnsi"/>
                <w:iCs/>
                <w:sz w:val="16"/>
                <w:szCs w:val="16"/>
              </w:rPr>
              <w:t>1,100</w:t>
            </w:r>
          </w:p>
        </w:tc>
        <w:tc>
          <w:tcPr>
            <w:tcW w:w="1418" w:type="dxa"/>
            <w:shd w:val="clear" w:color="auto" w:fill="D9D9D9" w:themeFill="background1" w:themeFillShade="D9"/>
            <w:vAlign w:val="bottom"/>
          </w:tcPr>
          <w:p w14:paraId="3005D43B" w14:textId="77777777" w:rsidR="008A2166" w:rsidRPr="004C20FC" w:rsidRDefault="008A2166">
            <w:pPr>
              <w:jc w:val="right"/>
              <w:rPr>
                <w:rFonts w:asciiTheme="minorHAnsi" w:eastAsia="SimSun" w:hAnsiTheme="minorHAnsi" w:cstheme="minorHAnsi"/>
                <w:iCs/>
                <w:sz w:val="16"/>
                <w:szCs w:val="16"/>
              </w:rPr>
            </w:pPr>
            <w:r w:rsidRPr="004C20FC">
              <w:rPr>
                <w:rFonts w:asciiTheme="minorHAnsi" w:eastAsia="SimSun" w:hAnsiTheme="minorHAnsi" w:cstheme="minorHAnsi"/>
                <w:iCs/>
                <w:sz w:val="16"/>
                <w:szCs w:val="16"/>
              </w:rPr>
              <w:t>1,100</w:t>
            </w:r>
          </w:p>
        </w:tc>
      </w:tr>
      <w:tr w:rsidR="008A2166" w14:paraId="7FA0BC6A" w14:textId="77777777">
        <w:trPr>
          <w:trHeight w:val="340"/>
        </w:trPr>
        <w:tc>
          <w:tcPr>
            <w:tcW w:w="3256" w:type="dxa"/>
            <w:tcBorders>
              <w:left w:val="single" w:sz="4" w:space="0" w:color="auto"/>
            </w:tcBorders>
            <w:vAlign w:val="bottom"/>
          </w:tcPr>
          <w:p w14:paraId="5608CA9D" w14:textId="77777777" w:rsidR="008A2166" w:rsidRPr="004C20FC" w:rsidRDefault="008A2166">
            <w:pP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Employee Benefits</w:t>
            </w:r>
          </w:p>
        </w:tc>
        <w:tc>
          <w:tcPr>
            <w:tcW w:w="1417" w:type="dxa"/>
            <w:vAlign w:val="bottom"/>
          </w:tcPr>
          <w:p w14:paraId="2A51C340" w14:textId="77777777" w:rsidR="008A2166" w:rsidRPr="004C20FC" w:rsidRDefault="008A2166">
            <w:pPr>
              <w:jc w:val="right"/>
              <w:rPr>
                <w:rFonts w:asciiTheme="minorHAnsi" w:eastAsia="SimSun" w:hAnsiTheme="minorHAnsi" w:cstheme="minorHAnsi"/>
                <w:iCs/>
                <w:sz w:val="16"/>
                <w:szCs w:val="16"/>
              </w:rPr>
            </w:pPr>
            <w:r w:rsidRPr="004C20FC">
              <w:rPr>
                <w:rFonts w:asciiTheme="minorHAnsi" w:eastAsia="SimSun" w:hAnsiTheme="minorHAnsi" w:cstheme="minorHAnsi"/>
                <w:iCs/>
                <w:sz w:val="16"/>
                <w:szCs w:val="16"/>
              </w:rPr>
              <w:t>$15</w:t>
            </w:r>
            <w:r>
              <w:rPr>
                <w:rFonts w:asciiTheme="minorHAnsi" w:eastAsia="SimSun" w:hAnsiTheme="minorHAnsi" w:cstheme="minorHAnsi"/>
                <w:iCs/>
                <w:sz w:val="16"/>
                <w:szCs w:val="16"/>
              </w:rPr>
              <w:t>9.242</w:t>
            </w:r>
          </w:p>
        </w:tc>
        <w:tc>
          <w:tcPr>
            <w:tcW w:w="1418" w:type="dxa"/>
            <w:vAlign w:val="bottom"/>
          </w:tcPr>
          <w:p w14:paraId="1DBC3C67" w14:textId="77777777" w:rsidR="008A2166" w:rsidRPr="004C20FC" w:rsidRDefault="008A2166">
            <w:pPr>
              <w:jc w:val="right"/>
              <w:rPr>
                <w:rFonts w:asciiTheme="minorHAnsi" w:eastAsia="SimSun" w:hAnsiTheme="minorHAnsi" w:cstheme="minorHAnsi"/>
                <w:iCs/>
                <w:sz w:val="16"/>
                <w:szCs w:val="16"/>
              </w:rPr>
            </w:pPr>
            <w:r w:rsidRPr="004C20FC">
              <w:rPr>
                <w:rFonts w:asciiTheme="minorHAnsi" w:eastAsia="SimSun" w:hAnsiTheme="minorHAnsi" w:cstheme="minorHAnsi"/>
                <w:iCs/>
                <w:sz w:val="16"/>
                <w:szCs w:val="16"/>
              </w:rPr>
              <w:t>$16</w:t>
            </w:r>
            <w:r>
              <w:rPr>
                <w:rFonts w:asciiTheme="minorHAnsi" w:eastAsia="SimSun" w:hAnsiTheme="minorHAnsi" w:cstheme="minorHAnsi"/>
                <w:iCs/>
                <w:sz w:val="16"/>
                <w:szCs w:val="16"/>
              </w:rPr>
              <w:t>6.980</w:t>
            </w:r>
          </w:p>
        </w:tc>
        <w:tc>
          <w:tcPr>
            <w:tcW w:w="1417" w:type="dxa"/>
            <w:vAlign w:val="bottom"/>
          </w:tcPr>
          <w:p w14:paraId="59660033" w14:textId="77777777" w:rsidR="008A2166" w:rsidRPr="004C20FC" w:rsidRDefault="008A2166">
            <w:pPr>
              <w:jc w:val="right"/>
              <w:rPr>
                <w:rFonts w:asciiTheme="minorHAnsi" w:eastAsia="SimSun" w:hAnsiTheme="minorHAnsi" w:cstheme="minorHAnsi"/>
                <w:iCs/>
                <w:sz w:val="16"/>
                <w:szCs w:val="16"/>
              </w:rPr>
            </w:pPr>
            <w:r w:rsidRPr="004C20FC">
              <w:rPr>
                <w:rFonts w:asciiTheme="minorHAnsi" w:eastAsia="SimSun" w:hAnsiTheme="minorHAnsi" w:cstheme="minorHAnsi"/>
                <w:iCs/>
                <w:sz w:val="16"/>
                <w:szCs w:val="16"/>
              </w:rPr>
              <w:t>$17</w:t>
            </w:r>
            <w:r>
              <w:rPr>
                <w:rFonts w:asciiTheme="minorHAnsi" w:eastAsia="SimSun" w:hAnsiTheme="minorHAnsi" w:cstheme="minorHAnsi"/>
                <w:iCs/>
                <w:sz w:val="16"/>
                <w:szCs w:val="16"/>
              </w:rPr>
              <w:t>4.284</w:t>
            </w:r>
          </w:p>
        </w:tc>
        <w:tc>
          <w:tcPr>
            <w:tcW w:w="1418" w:type="dxa"/>
            <w:vAlign w:val="bottom"/>
          </w:tcPr>
          <w:p w14:paraId="39229AFD" w14:textId="77777777" w:rsidR="008A2166" w:rsidRPr="004C20FC" w:rsidRDefault="008A2166">
            <w:pPr>
              <w:jc w:val="right"/>
              <w:rPr>
                <w:rFonts w:asciiTheme="minorHAnsi" w:eastAsia="SimSun" w:hAnsiTheme="minorHAnsi" w:cstheme="minorHAnsi"/>
                <w:iCs/>
                <w:sz w:val="16"/>
                <w:szCs w:val="16"/>
              </w:rPr>
            </w:pPr>
            <w:r w:rsidRPr="004C20FC">
              <w:rPr>
                <w:rFonts w:asciiTheme="minorHAnsi" w:eastAsia="SimSun" w:hAnsiTheme="minorHAnsi" w:cstheme="minorHAnsi"/>
                <w:iCs/>
                <w:sz w:val="16"/>
                <w:szCs w:val="16"/>
              </w:rPr>
              <w:t>$1</w:t>
            </w:r>
            <w:r>
              <w:rPr>
                <w:rFonts w:asciiTheme="minorHAnsi" w:eastAsia="SimSun" w:hAnsiTheme="minorHAnsi" w:cstheme="minorHAnsi"/>
                <w:iCs/>
                <w:sz w:val="16"/>
                <w:szCs w:val="16"/>
              </w:rPr>
              <w:t>82.018</w:t>
            </w:r>
          </w:p>
        </w:tc>
      </w:tr>
      <w:tr w:rsidR="008A2166" w14:paraId="73C86D1C" w14:textId="77777777">
        <w:trPr>
          <w:trHeight w:val="340"/>
        </w:trPr>
        <w:tc>
          <w:tcPr>
            <w:tcW w:w="3256" w:type="dxa"/>
            <w:tcBorders>
              <w:left w:val="single" w:sz="4" w:space="0" w:color="auto"/>
            </w:tcBorders>
            <w:vAlign w:val="bottom"/>
          </w:tcPr>
          <w:p w14:paraId="54692CE9" w14:textId="77777777" w:rsidR="008A2166" w:rsidRPr="004C20FC" w:rsidRDefault="008A2166">
            <w:pP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Suppliers</w:t>
            </w:r>
          </w:p>
        </w:tc>
        <w:tc>
          <w:tcPr>
            <w:tcW w:w="1417" w:type="dxa"/>
            <w:vAlign w:val="bottom"/>
          </w:tcPr>
          <w:p w14:paraId="61ECD0F7" w14:textId="77777777" w:rsidR="008A2166" w:rsidRPr="004C20FC" w:rsidRDefault="008A2166">
            <w:pPr>
              <w:jc w:val="right"/>
              <w:rPr>
                <w:rFonts w:asciiTheme="minorHAnsi" w:eastAsia="SimSun" w:hAnsiTheme="minorHAnsi" w:cstheme="minorHAnsi"/>
                <w:iCs/>
                <w:sz w:val="16"/>
                <w:szCs w:val="16"/>
              </w:rPr>
            </w:pPr>
            <w:r>
              <w:rPr>
                <w:rFonts w:asciiTheme="minorHAnsi" w:eastAsia="SimSun" w:hAnsiTheme="minorHAnsi" w:cstheme="minorHAnsi"/>
                <w:iCs/>
                <w:sz w:val="16"/>
                <w:szCs w:val="16"/>
              </w:rPr>
              <w:t>$77.941</w:t>
            </w:r>
          </w:p>
        </w:tc>
        <w:tc>
          <w:tcPr>
            <w:tcW w:w="1418" w:type="dxa"/>
            <w:vAlign w:val="bottom"/>
          </w:tcPr>
          <w:p w14:paraId="55198A44" w14:textId="77777777" w:rsidR="008A2166" w:rsidRPr="004C20FC" w:rsidRDefault="008A2166">
            <w:pPr>
              <w:jc w:val="right"/>
              <w:rPr>
                <w:rFonts w:asciiTheme="minorHAnsi" w:eastAsia="SimSun" w:hAnsiTheme="minorHAnsi" w:cstheme="minorHAnsi"/>
                <w:iCs/>
                <w:sz w:val="16"/>
                <w:szCs w:val="16"/>
              </w:rPr>
            </w:pPr>
            <w:r>
              <w:rPr>
                <w:rFonts w:asciiTheme="minorHAnsi" w:eastAsia="SimSun" w:hAnsiTheme="minorHAnsi" w:cstheme="minorHAnsi"/>
                <w:iCs/>
                <w:sz w:val="16"/>
                <w:szCs w:val="16"/>
              </w:rPr>
              <w:t>$79.574</w:t>
            </w:r>
          </w:p>
        </w:tc>
        <w:tc>
          <w:tcPr>
            <w:tcW w:w="1417" w:type="dxa"/>
            <w:vAlign w:val="bottom"/>
          </w:tcPr>
          <w:p w14:paraId="4FDA3A2E" w14:textId="77777777" w:rsidR="008A2166" w:rsidRPr="004C20FC" w:rsidRDefault="008A2166">
            <w:pPr>
              <w:jc w:val="right"/>
              <w:rPr>
                <w:rFonts w:asciiTheme="minorHAnsi" w:eastAsia="SimSun" w:hAnsiTheme="minorHAnsi" w:cstheme="minorHAnsi"/>
                <w:iCs/>
                <w:sz w:val="16"/>
                <w:szCs w:val="16"/>
              </w:rPr>
            </w:pPr>
            <w:r>
              <w:rPr>
                <w:rFonts w:asciiTheme="minorHAnsi" w:eastAsia="SimSun" w:hAnsiTheme="minorHAnsi" w:cstheme="minorHAnsi"/>
                <w:iCs/>
                <w:sz w:val="16"/>
                <w:szCs w:val="16"/>
              </w:rPr>
              <w:t>$80.747</w:t>
            </w:r>
          </w:p>
        </w:tc>
        <w:tc>
          <w:tcPr>
            <w:tcW w:w="1418" w:type="dxa"/>
            <w:vAlign w:val="bottom"/>
          </w:tcPr>
          <w:p w14:paraId="01F6CAA2" w14:textId="77777777" w:rsidR="008A2166" w:rsidRPr="004C20FC" w:rsidRDefault="008A2166">
            <w:pPr>
              <w:jc w:val="right"/>
              <w:rPr>
                <w:rFonts w:asciiTheme="minorHAnsi" w:eastAsia="SimSun" w:hAnsiTheme="minorHAnsi" w:cstheme="minorHAnsi"/>
                <w:iCs/>
                <w:sz w:val="16"/>
                <w:szCs w:val="16"/>
              </w:rPr>
            </w:pPr>
            <w:r>
              <w:rPr>
                <w:rFonts w:asciiTheme="minorHAnsi" w:eastAsia="SimSun" w:hAnsiTheme="minorHAnsi" w:cstheme="minorHAnsi"/>
                <w:iCs/>
                <w:sz w:val="16"/>
                <w:szCs w:val="16"/>
              </w:rPr>
              <w:t>$81.919</w:t>
            </w:r>
          </w:p>
        </w:tc>
      </w:tr>
      <w:tr w:rsidR="008A2166" w14:paraId="5C03DCE6" w14:textId="77777777">
        <w:trPr>
          <w:trHeight w:val="340"/>
        </w:trPr>
        <w:tc>
          <w:tcPr>
            <w:tcW w:w="3256" w:type="dxa"/>
            <w:tcBorders>
              <w:left w:val="single" w:sz="4" w:space="0" w:color="auto"/>
            </w:tcBorders>
            <w:vAlign w:val="bottom"/>
          </w:tcPr>
          <w:p w14:paraId="6B0EB738" w14:textId="77777777" w:rsidR="008A2166" w:rsidRPr="004C20FC" w:rsidRDefault="008A2166">
            <w:pP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Depreciation and Amortisation</w:t>
            </w:r>
          </w:p>
        </w:tc>
        <w:tc>
          <w:tcPr>
            <w:tcW w:w="1417" w:type="dxa"/>
            <w:vAlign w:val="bottom"/>
          </w:tcPr>
          <w:p w14:paraId="2E97CD6A" w14:textId="77777777" w:rsidR="008A2166" w:rsidRPr="004C20FC" w:rsidRDefault="008A2166">
            <w:pPr>
              <w:jc w:val="right"/>
              <w:rPr>
                <w:rFonts w:asciiTheme="minorHAnsi" w:eastAsia="SimSun" w:hAnsiTheme="minorHAnsi" w:cstheme="minorHAnsi"/>
                <w:iCs/>
                <w:sz w:val="16"/>
                <w:szCs w:val="16"/>
              </w:rPr>
            </w:pPr>
            <w:r>
              <w:rPr>
                <w:rFonts w:asciiTheme="minorHAnsi" w:eastAsia="SimSun" w:hAnsiTheme="minorHAnsi" w:cstheme="minorHAnsi"/>
                <w:iCs/>
                <w:sz w:val="16"/>
                <w:szCs w:val="16"/>
              </w:rPr>
              <w:t>$36.969</w:t>
            </w:r>
          </w:p>
        </w:tc>
        <w:tc>
          <w:tcPr>
            <w:tcW w:w="1418" w:type="dxa"/>
            <w:vAlign w:val="bottom"/>
          </w:tcPr>
          <w:p w14:paraId="10B02EE8" w14:textId="77777777" w:rsidR="008A2166" w:rsidRPr="004C20FC" w:rsidRDefault="008A2166">
            <w:pPr>
              <w:jc w:val="right"/>
              <w:rPr>
                <w:rFonts w:asciiTheme="minorHAnsi" w:eastAsia="SimSun" w:hAnsiTheme="minorHAnsi" w:cstheme="minorHAnsi"/>
                <w:iCs/>
                <w:sz w:val="16"/>
                <w:szCs w:val="16"/>
              </w:rPr>
            </w:pPr>
            <w:r>
              <w:rPr>
                <w:rFonts w:asciiTheme="minorHAnsi" w:eastAsia="SimSun" w:hAnsiTheme="minorHAnsi" w:cstheme="minorHAnsi"/>
                <w:iCs/>
                <w:sz w:val="16"/>
                <w:szCs w:val="16"/>
              </w:rPr>
              <w:t>$36.081</w:t>
            </w:r>
          </w:p>
        </w:tc>
        <w:tc>
          <w:tcPr>
            <w:tcW w:w="1417" w:type="dxa"/>
            <w:vAlign w:val="bottom"/>
          </w:tcPr>
          <w:p w14:paraId="52043420" w14:textId="77777777" w:rsidR="008A2166" w:rsidRPr="004C20FC" w:rsidRDefault="008A2166">
            <w:pPr>
              <w:jc w:val="right"/>
              <w:rPr>
                <w:rFonts w:asciiTheme="minorHAnsi" w:eastAsia="SimSun" w:hAnsiTheme="minorHAnsi" w:cstheme="minorHAnsi"/>
                <w:iCs/>
                <w:sz w:val="16"/>
                <w:szCs w:val="16"/>
              </w:rPr>
            </w:pPr>
            <w:r>
              <w:rPr>
                <w:rFonts w:asciiTheme="minorHAnsi" w:eastAsia="SimSun" w:hAnsiTheme="minorHAnsi" w:cstheme="minorHAnsi"/>
                <w:iCs/>
                <w:sz w:val="16"/>
                <w:szCs w:val="16"/>
              </w:rPr>
              <w:t>$38.443</w:t>
            </w:r>
          </w:p>
        </w:tc>
        <w:tc>
          <w:tcPr>
            <w:tcW w:w="1418" w:type="dxa"/>
            <w:vAlign w:val="bottom"/>
          </w:tcPr>
          <w:p w14:paraId="06509229" w14:textId="77777777" w:rsidR="008A2166" w:rsidRPr="004C20FC" w:rsidRDefault="008A2166">
            <w:pPr>
              <w:jc w:val="right"/>
              <w:rPr>
                <w:rFonts w:asciiTheme="minorHAnsi" w:eastAsia="SimSun" w:hAnsiTheme="minorHAnsi" w:cstheme="minorHAnsi"/>
                <w:iCs/>
                <w:sz w:val="16"/>
                <w:szCs w:val="16"/>
              </w:rPr>
            </w:pPr>
            <w:r>
              <w:rPr>
                <w:rFonts w:asciiTheme="minorHAnsi" w:eastAsia="SimSun" w:hAnsiTheme="minorHAnsi" w:cstheme="minorHAnsi"/>
                <w:iCs/>
                <w:sz w:val="16"/>
                <w:szCs w:val="16"/>
              </w:rPr>
              <w:t>$40.420</w:t>
            </w:r>
          </w:p>
        </w:tc>
      </w:tr>
      <w:tr w:rsidR="008A2166" w14:paraId="06918840" w14:textId="77777777">
        <w:trPr>
          <w:trHeight w:val="340"/>
        </w:trPr>
        <w:tc>
          <w:tcPr>
            <w:tcW w:w="3256" w:type="dxa"/>
            <w:tcBorders>
              <w:left w:val="single" w:sz="4" w:space="0" w:color="auto"/>
            </w:tcBorders>
            <w:vAlign w:val="bottom"/>
          </w:tcPr>
          <w:p w14:paraId="1B3E51A0" w14:textId="77777777" w:rsidR="008A2166" w:rsidRPr="004C20FC" w:rsidRDefault="008A2166">
            <w:pPr>
              <w:jc w:val="both"/>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Finance Costs</w:t>
            </w:r>
          </w:p>
        </w:tc>
        <w:tc>
          <w:tcPr>
            <w:tcW w:w="1417" w:type="dxa"/>
            <w:vAlign w:val="bottom"/>
          </w:tcPr>
          <w:p w14:paraId="40CE3A72" w14:textId="77777777" w:rsidR="008A2166" w:rsidRPr="004C20FC" w:rsidRDefault="008A2166">
            <w:pPr>
              <w:jc w:val="right"/>
              <w:rPr>
                <w:rFonts w:asciiTheme="minorHAnsi" w:hAnsiTheme="minorHAnsi" w:cstheme="minorHAnsi"/>
                <w:sz w:val="16"/>
                <w:szCs w:val="16"/>
              </w:rPr>
            </w:pPr>
            <w:r>
              <w:rPr>
                <w:rFonts w:asciiTheme="minorHAnsi" w:hAnsiTheme="minorHAnsi" w:cstheme="minorHAnsi"/>
                <w:sz w:val="16"/>
                <w:szCs w:val="16"/>
              </w:rPr>
              <w:t>$1.467</w:t>
            </w:r>
          </w:p>
        </w:tc>
        <w:tc>
          <w:tcPr>
            <w:tcW w:w="1418" w:type="dxa"/>
            <w:vAlign w:val="bottom"/>
          </w:tcPr>
          <w:p w14:paraId="42A500A7" w14:textId="77777777" w:rsidR="008A2166" w:rsidRPr="004C20FC" w:rsidRDefault="008A2166">
            <w:pPr>
              <w:jc w:val="right"/>
              <w:rPr>
                <w:rFonts w:asciiTheme="minorHAnsi" w:hAnsiTheme="minorHAnsi" w:cstheme="minorHAnsi"/>
                <w:sz w:val="16"/>
                <w:szCs w:val="16"/>
              </w:rPr>
            </w:pPr>
            <w:r>
              <w:rPr>
                <w:rFonts w:asciiTheme="minorHAnsi" w:hAnsiTheme="minorHAnsi" w:cstheme="minorHAnsi"/>
                <w:sz w:val="16"/>
                <w:szCs w:val="16"/>
              </w:rPr>
              <w:t>$1.212</w:t>
            </w:r>
          </w:p>
        </w:tc>
        <w:tc>
          <w:tcPr>
            <w:tcW w:w="1417" w:type="dxa"/>
            <w:vAlign w:val="bottom"/>
          </w:tcPr>
          <w:p w14:paraId="4F16ED52" w14:textId="77777777" w:rsidR="008A2166" w:rsidRPr="004C20FC" w:rsidRDefault="008A2166">
            <w:pPr>
              <w:jc w:val="right"/>
              <w:rPr>
                <w:rFonts w:asciiTheme="minorHAnsi" w:hAnsiTheme="minorHAnsi" w:cstheme="minorHAnsi"/>
                <w:sz w:val="16"/>
                <w:szCs w:val="16"/>
              </w:rPr>
            </w:pPr>
            <w:r>
              <w:rPr>
                <w:rFonts w:asciiTheme="minorHAnsi" w:hAnsiTheme="minorHAnsi" w:cstheme="minorHAnsi"/>
                <w:sz w:val="16"/>
                <w:szCs w:val="16"/>
              </w:rPr>
              <w:t>$1.042</w:t>
            </w:r>
          </w:p>
        </w:tc>
        <w:tc>
          <w:tcPr>
            <w:tcW w:w="1418" w:type="dxa"/>
            <w:vAlign w:val="bottom"/>
          </w:tcPr>
          <w:p w14:paraId="3D9B36C9" w14:textId="77777777" w:rsidR="008A2166" w:rsidRPr="004C20FC" w:rsidRDefault="008A2166">
            <w:pPr>
              <w:jc w:val="right"/>
              <w:rPr>
                <w:rFonts w:asciiTheme="minorHAnsi" w:hAnsiTheme="minorHAnsi" w:cstheme="minorHAnsi"/>
                <w:sz w:val="16"/>
                <w:szCs w:val="16"/>
              </w:rPr>
            </w:pPr>
            <w:r>
              <w:rPr>
                <w:rFonts w:asciiTheme="minorHAnsi" w:hAnsiTheme="minorHAnsi" w:cstheme="minorHAnsi"/>
                <w:sz w:val="16"/>
                <w:szCs w:val="16"/>
              </w:rPr>
              <w:t>$0.862</w:t>
            </w:r>
          </w:p>
        </w:tc>
      </w:tr>
      <w:tr w:rsidR="008A2166" w14:paraId="0A1B25B0" w14:textId="77777777">
        <w:trPr>
          <w:trHeight w:val="340"/>
        </w:trPr>
        <w:tc>
          <w:tcPr>
            <w:tcW w:w="3256" w:type="dxa"/>
            <w:tcBorders>
              <w:left w:val="single" w:sz="4" w:space="0" w:color="auto"/>
              <w:bottom w:val="single" w:sz="4" w:space="0" w:color="auto"/>
            </w:tcBorders>
            <w:shd w:val="clear" w:color="auto" w:fill="D9D9D9" w:themeFill="background1" w:themeFillShade="D9"/>
            <w:vAlign w:val="bottom"/>
          </w:tcPr>
          <w:p w14:paraId="1824C0D1" w14:textId="77777777" w:rsidR="008A2166" w:rsidRPr="004C20FC" w:rsidRDefault="008A2166">
            <w:pPr>
              <w:rPr>
                <w:rFonts w:asciiTheme="minorHAnsi" w:eastAsia="SimSun" w:hAnsiTheme="minorHAnsi" w:cstheme="minorHAnsi"/>
                <w:b/>
                <w:bCs/>
                <w:iCs/>
                <w:sz w:val="18"/>
                <w:szCs w:val="18"/>
              </w:rPr>
            </w:pPr>
            <w:r w:rsidRPr="004C20FC">
              <w:rPr>
                <w:rFonts w:asciiTheme="minorHAnsi" w:eastAsia="SimSun" w:hAnsiTheme="minorHAnsi" w:cstheme="minorHAnsi"/>
                <w:b/>
                <w:bCs/>
                <w:iCs/>
                <w:sz w:val="18"/>
                <w:szCs w:val="18"/>
              </w:rPr>
              <w:t>Total Expenses</w:t>
            </w:r>
          </w:p>
        </w:tc>
        <w:tc>
          <w:tcPr>
            <w:tcW w:w="1417" w:type="dxa"/>
            <w:tcBorders>
              <w:bottom w:val="single" w:sz="4" w:space="0" w:color="auto"/>
            </w:tcBorders>
            <w:shd w:val="clear" w:color="auto" w:fill="D9D9D9" w:themeFill="background1" w:themeFillShade="D9"/>
            <w:vAlign w:val="bottom"/>
          </w:tcPr>
          <w:p w14:paraId="5505C2EE" w14:textId="77777777" w:rsidR="008A2166" w:rsidRPr="004C20FC" w:rsidRDefault="008A2166">
            <w:pPr>
              <w:jc w:val="right"/>
              <w:rPr>
                <w:rFonts w:asciiTheme="minorHAnsi" w:hAnsiTheme="minorHAnsi" w:cstheme="minorHAnsi"/>
                <w:b/>
                <w:bCs/>
                <w:sz w:val="16"/>
                <w:szCs w:val="16"/>
              </w:rPr>
            </w:pPr>
            <w:r>
              <w:rPr>
                <w:rFonts w:asciiTheme="minorHAnsi" w:hAnsiTheme="minorHAnsi" w:cstheme="minorHAnsi"/>
                <w:b/>
                <w:bCs/>
                <w:sz w:val="16"/>
                <w:szCs w:val="16"/>
              </w:rPr>
              <w:t>$275.619</w:t>
            </w:r>
          </w:p>
        </w:tc>
        <w:tc>
          <w:tcPr>
            <w:tcW w:w="1418" w:type="dxa"/>
            <w:tcBorders>
              <w:bottom w:val="single" w:sz="4" w:space="0" w:color="auto"/>
            </w:tcBorders>
            <w:shd w:val="clear" w:color="auto" w:fill="D9D9D9" w:themeFill="background1" w:themeFillShade="D9"/>
            <w:vAlign w:val="bottom"/>
          </w:tcPr>
          <w:p w14:paraId="5913F65B" w14:textId="77777777" w:rsidR="008A2166" w:rsidRPr="004C20FC" w:rsidRDefault="008A2166">
            <w:pPr>
              <w:jc w:val="right"/>
              <w:rPr>
                <w:rFonts w:asciiTheme="minorHAnsi" w:hAnsiTheme="minorHAnsi" w:cstheme="minorHAnsi"/>
                <w:b/>
                <w:bCs/>
                <w:sz w:val="16"/>
                <w:szCs w:val="16"/>
              </w:rPr>
            </w:pPr>
            <w:r>
              <w:rPr>
                <w:rFonts w:asciiTheme="minorHAnsi" w:hAnsiTheme="minorHAnsi" w:cstheme="minorHAnsi"/>
                <w:b/>
                <w:bCs/>
                <w:sz w:val="16"/>
                <w:szCs w:val="16"/>
              </w:rPr>
              <w:t>$283.847</w:t>
            </w:r>
          </w:p>
        </w:tc>
        <w:tc>
          <w:tcPr>
            <w:tcW w:w="1417" w:type="dxa"/>
            <w:tcBorders>
              <w:bottom w:val="single" w:sz="4" w:space="0" w:color="auto"/>
            </w:tcBorders>
            <w:shd w:val="clear" w:color="auto" w:fill="D9D9D9" w:themeFill="background1" w:themeFillShade="D9"/>
            <w:vAlign w:val="bottom"/>
          </w:tcPr>
          <w:p w14:paraId="6DDEEF5A" w14:textId="77777777" w:rsidR="008A2166" w:rsidRPr="004C20FC" w:rsidRDefault="008A2166">
            <w:pPr>
              <w:jc w:val="right"/>
              <w:rPr>
                <w:rFonts w:asciiTheme="minorHAnsi" w:hAnsiTheme="minorHAnsi" w:cstheme="minorHAnsi"/>
                <w:b/>
                <w:bCs/>
                <w:sz w:val="16"/>
                <w:szCs w:val="16"/>
              </w:rPr>
            </w:pPr>
            <w:r>
              <w:rPr>
                <w:rFonts w:asciiTheme="minorHAnsi" w:hAnsiTheme="minorHAnsi" w:cstheme="minorHAnsi"/>
                <w:b/>
                <w:bCs/>
                <w:sz w:val="16"/>
                <w:szCs w:val="16"/>
              </w:rPr>
              <w:t>$294.516</w:t>
            </w:r>
          </w:p>
        </w:tc>
        <w:tc>
          <w:tcPr>
            <w:tcW w:w="1418" w:type="dxa"/>
            <w:tcBorders>
              <w:bottom w:val="single" w:sz="4" w:space="0" w:color="auto"/>
            </w:tcBorders>
            <w:shd w:val="clear" w:color="auto" w:fill="D9D9D9" w:themeFill="background1" w:themeFillShade="D9"/>
            <w:vAlign w:val="bottom"/>
          </w:tcPr>
          <w:p w14:paraId="1C9137EC" w14:textId="77777777" w:rsidR="008A2166" w:rsidRPr="004C20FC" w:rsidRDefault="008A2166">
            <w:pPr>
              <w:jc w:val="right"/>
              <w:rPr>
                <w:rFonts w:asciiTheme="minorHAnsi" w:hAnsiTheme="minorHAnsi" w:cstheme="minorHAnsi"/>
                <w:b/>
                <w:bCs/>
                <w:sz w:val="16"/>
                <w:szCs w:val="16"/>
              </w:rPr>
            </w:pPr>
            <w:r>
              <w:rPr>
                <w:rFonts w:asciiTheme="minorHAnsi" w:hAnsiTheme="minorHAnsi" w:cstheme="minorHAnsi"/>
                <w:b/>
                <w:bCs/>
                <w:sz w:val="16"/>
                <w:szCs w:val="16"/>
              </w:rPr>
              <w:t>$305.219</w:t>
            </w:r>
          </w:p>
        </w:tc>
      </w:tr>
    </w:tbl>
    <w:p w14:paraId="194EEC8E" w14:textId="77777777" w:rsidR="00E50F6D" w:rsidRDefault="00E50F6D" w:rsidP="008A2166">
      <w:pPr>
        <w:rPr>
          <w:rFonts w:eastAsia="SimSun"/>
          <w:iCs/>
        </w:rPr>
      </w:pPr>
    </w:p>
    <w:p w14:paraId="241B2D99" w14:textId="77777777" w:rsidR="008A2166" w:rsidRDefault="008A2166" w:rsidP="00F61793">
      <w:pPr>
        <w:keepNext/>
        <w:rPr>
          <w:iCs/>
        </w:rPr>
      </w:pPr>
      <w:r>
        <w:rPr>
          <w:rFonts w:eastAsia="SimSun"/>
          <w:iCs/>
        </w:rPr>
        <w:t xml:space="preserve">Table 4: </w:t>
      </w:r>
      <w:r w:rsidRPr="00762158">
        <w:rPr>
          <w:rFonts w:eastAsia="SimSun"/>
          <w:iCs/>
        </w:rPr>
        <w:t>Cost breakdown estimate</w:t>
      </w:r>
      <w:r>
        <w:rPr>
          <w:rFonts w:eastAsia="SimSun"/>
          <w:iCs/>
        </w:rPr>
        <w:t>s between direct and indirect</w:t>
      </w:r>
      <w:r w:rsidRPr="00762158">
        <w:rPr>
          <w:rFonts w:eastAsia="SimSun"/>
          <w:iCs/>
        </w:rPr>
        <w:t xml:space="preserve"> for the </w:t>
      </w:r>
      <w:r>
        <w:rPr>
          <w:rFonts w:eastAsia="SimSun"/>
          <w:iCs/>
        </w:rPr>
        <w:t>2024-25</w:t>
      </w:r>
      <w:r w:rsidRPr="00762158">
        <w:rPr>
          <w:rFonts w:eastAsia="SimSun"/>
          <w:iCs/>
        </w:rPr>
        <w:t xml:space="preserve"> budget yea</w:t>
      </w:r>
      <w:r>
        <w:rPr>
          <w:rFonts w:eastAsia="SimSun"/>
          <w:iCs/>
        </w:rPr>
        <w:t>r.</w:t>
      </w:r>
    </w:p>
    <w:tbl>
      <w:tblPr>
        <w:tblStyle w:val="TableGrid"/>
        <w:tblW w:w="8926" w:type="dxa"/>
        <w:tblLayout w:type="fixed"/>
        <w:tblLook w:val="04A0" w:firstRow="1" w:lastRow="0" w:firstColumn="1" w:lastColumn="0" w:noHBand="0" w:noVBand="1"/>
      </w:tblPr>
      <w:tblGrid>
        <w:gridCol w:w="2405"/>
        <w:gridCol w:w="2173"/>
        <w:gridCol w:w="2174"/>
        <w:gridCol w:w="2174"/>
      </w:tblGrid>
      <w:tr w:rsidR="008A2166" w14:paraId="3F8235A6" w14:textId="77777777">
        <w:trPr>
          <w:trHeight w:val="312"/>
        </w:trPr>
        <w:tc>
          <w:tcPr>
            <w:tcW w:w="2405" w:type="dxa"/>
            <w:shd w:val="clear" w:color="auto" w:fill="D9E2F3" w:themeFill="accent1" w:themeFillTint="33"/>
            <w:vAlign w:val="bottom"/>
          </w:tcPr>
          <w:p w14:paraId="41B10A3E" w14:textId="77777777" w:rsidR="008A2166" w:rsidRPr="00BF6D4E" w:rsidRDefault="008A2166">
            <w:pPr>
              <w:rPr>
                <w:rFonts w:asciiTheme="minorHAnsi" w:hAnsiTheme="minorHAnsi" w:cstheme="minorHAnsi"/>
                <w:b/>
                <w:bCs/>
                <w:sz w:val="18"/>
                <w:szCs w:val="18"/>
              </w:rPr>
            </w:pPr>
            <w:r w:rsidRPr="00BF6D4E">
              <w:rPr>
                <w:rFonts w:asciiTheme="minorHAnsi" w:hAnsiTheme="minorHAnsi" w:cstheme="minorHAnsi"/>
                <w:b/>
                <w:bCs/>
                <w:sz w:val="18"/>
                <w:szCs w:val="18"/>
              </w:rPr>
              <w:t>2024-25 B</w:t>
            </w:r>
            <w:r>
              <w:rPr>
                <w:rFonts w:asciiTheme="minorHAnsi" w:hAnsiTheme="minorHAnsi" w:cstheme="minorHAnsi"/>
                <w:b/>
                <w:bCs/>
                <w:sz w:val="18"/>
                <w:szCs w:val="18"/>
              </w:rPr>
              <w:t>udget Estimate</w:t>
            </w:r>
          </w:p>
        </w:tc>
        <w:tc>
          <w:tcPr>
            <w:tcW w:w="2173" w:type="dxa"/>
            <w:shd w:val="clear" w:color="auto" w:fill="D9E2F3" w:themeFill="accent1" w:themeFillTint="33"/>
            <w:vAlign w:val="bottom"/>
          </w:tcPr>
          <w:p w14:paraId="3FE2C730" w14:textId="77777777" w:rsidR="008A2166" w:rsidRPr="00BF6D4E" w:rsidRDefault="008A2166">
            <w:pPr>
              <w:jc w:val="center"/>
              <w:rPr>
                <w:rFonts w:asciiTheme="minorHAnsi" w:hAnsiTheme="minorHAnsi" w:cstheme="minorHAnsi"/>
                <w:b/>
                <w:bCs/>
                <w:sz w:val="18"/>
                <w:szCs w:val="18"/>
              </w:rPr>
            </w:pPr>
            <w:r w:rsidRPr="00BF6D4E">
              <w:rPr>
                <w:rFonts w:asciiTheme="minorHAnsi" w:hAnsiTheme="minorHAnsi" w:cstheme="minorHAnsi"/>
                <w:b/>
                <w:bCs/>
                <w:sz w:val="18"/>
                <w:szCs w:val="18"/>
              </w:rPr>
              <w:t>Direct costs</w:t>
            </w:r>
          </w:p>
        </w:tc>
        <w:tc>
          <w:tcPr>
            <w:tcW w:w="2174" w:type="dxa"/>
            <w:shd w:val="clear" w:color="auto" w:fill="D9E2F3" w:themeFill="accent1" w:themeFillTint="33"/>
            <w:vAlign w:val="bottom"/>
          </w:tcPr>
          <w:p w14:paraId="7A004E08" w14:textId="77777777" w:rsidR="008A2166" w:rsidRPr="00BF6D4E" w:rsidRDefault="008A2166">
            <w:pPr>
              <w:jc w:val="center"/>
              <w:rPr>
                <w:rFonts w:asciiTheme="minorHAnsi" w:hAnsiTheme="minorHAnsi" w:cstheme="minorHAnsi"/>
                <w:b/>
                <w:bCs/>
                <w:sz w:val="18"/>
                <w:szCs w:val="18"/>
              </w:rPr>
            </w:pPr>
            <w:r w:rsidRPr="00BF6D4E">
              <w:rPr>
                <w:rFonts w:asciiTheme="minorHAnsi" w:hAnsiTheme="minorHAnsi" w:cstheme="minorHAnsi"/>
                <w:b/>
                <w:bCs/>
                <w:sz w:val="18"/>
                <w:szCs w:val="18"/>
              </w:rPr>
              <w:t>Indirect costs</w:t>
            </w:r>
          </w:p>
        </w:tc>
        <w:tc>
          <w:tcPr>
            <w:tcW w:w="2174" w:type="dxa"/>
            <w:shd w:val="clear" w:color="auto" w:fill="D9E2F3" w:themeFill="accent1" w:themeFillTint="33"/>
            <w:vAlign w:val="bottom"/>
          </w:tcPr>
          <w:p w14:paraId="78BE81B0" w14:textId="77777777" w:rsidR="008A2166" w:rsidRPr="00BF6D4E" w:rsidRDefault="008A2166">
            <w:pPr>
              <w:jc w:val="center"/>
              <w:rPr>
                <w:rFonts w:asciiTheme="minorHAnsi" w:hAnsiTheme="minorHAnsi" w:cstheme="minorHAnsi"/>
                <w:b/>
                <w:bCs/>
                <w:sz w:val="18"/>
                <w:szCs w:val="18"/>
              </w:rPr>
            </w:pPr>
            <w:r w:rsidRPr="00BF6D4E">
              <w:rPr>
                <w:rFonts w:asciiTheme="minorHAnsi" w:hAnsiTheme="minorHAnsi" w:cstheme="minorHAnsi"/>
                <w:b/>
                <w:bCs/>
                <w:sz w:val="18"/>
                <w:szCs w:val="18"/>
              </w:rPr>
              <w:t>Total costs</w:t>
            </w:r>
          </w:p>
        </w:tc>
      </w:tr>
      <w:tr w:rsidR="008A2166" w14:paraId="40B4F035" w14:textId="77777777">
        <w:trPr>
          <w:trHeight w:val="312"/>
        </w:trPr>
        <w:tc>
          <w:tcPr>
            <w:tcW w:w="2405" w:type="dxa"/>
            <w:shd w:val="clear" w:color="auto" w:fill="D9E2F3" w:themeFill="accent1" w:themeFillTint="33"/>
            <w:vAlign w:val="bottom"/>
          </w:tcPr>
          <w:p w14:paraId="0150ECC3" w14:textId="77777777" w:rsidR="008A2166" w:rsidRPr="00BF6D4E" w:rsidRDefault="008A2166">
            <w:pPr>
              <w:rPr>
                <w:rFonts w:cstheme="minorHAnsi"/>
                <w:b/>
                <w:bCs/>
                <w:sz w:val="18"/>
                <w:szCs w:val="18"/>
              </w:rPr>
            </w:pPr>
            <w:r w:rsidRPr="004C20FC">
              <w:rPr>
                <w:rFonts w:asciiTheme="minorHAnsi" w:eastAsia="SimSun" w:hAnsiTheme="minorHAnsi" w:cstheme="minorHAnsi"/>
                <w:iCs/>
                <w:sz w:val="18"/>
                <w:szCs w:val="18"/>
              </w:rPr>
              <w:t>Description</w:t>
            </w:r>
          </w:p>
        </w:tc>
        <w:tc>
          <w:tcPr>
            <w:tcW w:w="2173" w:type="dxa"/>
            <w:shd w:val="clear" w:color="auto" w:fill="D9E2F3" w:themeFill="accent1" w:themeFillTint="33"/>
            <w:vAlign w:val="bottom"/>
          </w:tcPr>
          <w:p w14:paraId="1897A4F2" w14:textId="77777777" w:rsidR="008A2166" w:rsidRPr="00BF6D4E" w:rsidRDefault="008A2166">
            <w:pPr>
              <w:jc w:val="center"/>
              <w:rPr>
                <w:rFonts w:cstheme="minorHAnsi"/>
                <w:b/>
                <w:bCs/>
                <w:sz w:val="18"/>
                <w:szCs w:val="18"/>
              </w:rPr>
            </w:pPr>
            <w:r w:rsidRPr="004C20FC">
              <w:rPr>
                <w:rFonts w:asciiTheme="minorHAnsi" w:eastAsia="SimSun" w:hAnsiTheme="minorHAnsi" w:cstheme="minorHAnsi"/>
                <w:iCs/>
                <w:sz w:val="18"/>
                <w:szCs w:val="18"/>
              </w:rPr>
              <w:t>$’M</w:t>
            </w:r>
          </w:p>
        </w:tc>
        <w:tc>
          <w:tcPr>
            <w:tcW w:w="2174" w:type="dxa"/>
            <w:shd w:val="clear" w:color="auto" w:fill="D9E2F3" w:themeFill="accent1" w:themeFillTint="33"/>
            <w:vAlign w:val="bottom"/>
          </w:tcPr>
          <w:p w14:paraId="0C9FA2EC" w14:textId="77777777" w:rsidR="008A2166" w:rsidRPr="00BF6D4E" w:rsidRDefault="008A2166">
            <w:pPr>
              <w:jc w:val="center"/>
              <w:rPr>
                <w:rFonts w:cstheme="minorHAnsi"/>
                <w:b/>
                <w:bCs/>
                <w:sz w:val="18"/>
                <w:szCs w:val="18"/>
              </w:rPr>
            </w:pPr>
            <w:r w:rsidRPr="004C20FC">
              <w:rPr>
                <w:rFonts w:asciiTheme="minorHAnsi" w:eastAsia="SimSun" w:hAnsiTheme="minorHAnsi" w:cstheme="minorHAnsi"/>
                <w:iCs/>
                <w:sz w:val="18"/>
                <w:szCs w:val="18"/>
              </w:rPr>
              <w:t>$’M</w:t>
            </w:r>
          </w:p>
        </w:tc>
        <w:tc>
          <w:tcPr>
            <w:tcW w:w="2174" w:type="dxa"/>
            <w:shd w:val="clear" w:color="auto" w:fill="D9E2F3" w:themeFill="accent1" w:themeFillTint="33"/>
            <w:vAlign w:val="bottom"/>
          </w:tcPr>
          <w:p w14:paraId="6339EFE4" w14:textId="77777777" w:rsidR="008A2166" w:rsidRPr="00BF6D4E" w:rsidRDefault="008A2166">
            <w:pPr>
              <w:jc w:val="center"/>
              <w:rPr>
                <w:rFonts w:cstheme="minorHAnsi"/>
                <w:b/>
                <w:bCs/>
                <w:sz w:val="18"/>
                <w:szCs w:val="18"/>
              </w:rPr>
            </w:pPr>
            <w:r w:rsidRPr="004C20FC">
              <w:rPr>
                <w:rFonts w:asciiTheme="minorHAnsi" w:eastAsia="SimSun" w:hAnsiTheme="minorHAnsi" w:cstheme="minorHAnsi"/>
                <w:iCs/>
                <w:sz w:val="18"/>
                <w:szCs w:val="18"/>
              </w:rPr>
              <w:t>$’M</w:t>
            </w:r>
          </w:p>
        </w:tc>
      </w:tr>
      <w:tr w:rsidR="008A2166" w14:paraId="24CF7F9F" w14:textId="77777777">
        <w:trPr>
          <w:trHeight w:val="312"/>
        </w:trPr>
        <w:tc>
          <w:tcPr>
            <w:tcW w:w="2405" w:type="dxa"/>
            <w:vAlign w:val="bottom"/>
          </w:tcPr>
          <w:p w14:paraId="786FF279" w14:textId="77777777" w:rsidR="008A2166" w:rsidRPr="005D5252" w:rsidRDefault="008A2166">
            <w:pPr>
              <w:rPr>
                <w:rFonts w:asciiTheme="minorHAnsi" w:hAnsiTheme="minorHAnsi" w:cstheme="minorHAnsi"/>
                <w:b/>
                <w:bCs/>
                <w:sz w:val="18"/>
                <w:szCs w:val="18"/>
              </w:rPr>
            </w:pPr>
            <w:r w:rsidRPr="005D5252">
              <w:rPr>
                <w:rFonts w:asciiTheme="minorHAnsi" w:hAnsiTheme="minorHAnsi" w:cstheme="minorHAnsi"/>
                <w:b/>
                <w:bCs/>
                <w:sz w:val="18"/>
                <w:szCs w:val="18"/>
              </w:rPr>
              <w:t>Output 1</w:t>
            </w:r>
          </w:p>
        </w:tc>
        <w:tc>
          <w:tcPr>
            <w:tcW w:w="2173" w:type="dxa"/>
            <w:vAlign w:val="bottom"/>
          </w:tcPr>
          <w:p w14:paraId="79B60843" w14:textId="77777777" w:rsidR="008A2166" w:rsidRPr="00BF6D4E" w:rsidRDefault="008A2166">
            <w:pPr>
              <w:jc w:val="right"/>
              <w:rPr>
                <w:rFonts w:asciiTheme="minorHAnsi" w:hAnsiTheme="minorHAnsi" w:cstheme="minorHAnsi"/>
                <w:sz w:val="18"/>
                <w:szCs w:val="18"/>
              </w:rPr>
            </w:pPr>
          </w:p>
        </w:tc>
        <w:tc>
          <w:tcPr>
            <w:tcW w:w="2174" w:type="dxa"/>
            <w:vAlign w:val="bottom"/>
          </w:tcPr>
          <w:p w14:paraId="5767D95D" w14:textId="77777777" w:rsidR="008A2166" w:rsidRPr="00BF6D4E" w:rsidRDefault="008A2166">
            <w:pPr>
              <w:jc w:val="right"/>
              <w:rPr>
                <w:rFonts w:asciiTheme="minorHAnsi" w:hAnsiTheme="minorHAnsi" w:cstheme="minorHAnsi"/>
                <w:sz w:val="18"/>
                <w:szCs w:val="18"/>
              </w:rPr>
            </w:pPr>
          </w:p>
        </w:tc>
        <w:tc>
          <w:tcPr>
            <w:tcW w:w="2174" w:type="dxa"/>
            <w:vAlign w:val="bottom"/>
          </w:tcPr>
          <w:p w14:paraId="460ABBB2" w14:textId="77777777" w:rsidR="008A2166" w:rsidRPr="00BF6D4E" w:rsidRDefault="008A2166">
            <w:pPr>
              <w:jc w:val="center"/>
              <w:rPr>
                <w:rFonts w:asciiTheme="minorHAnsi" w:hAnsiTheme="minorHAnsi" w:cstheme="minorHAnsi"/>
                <w:sz w:val="18"/>
                <w:szCs w:val="18"/>
              </w:rPr>
            </w:pPr>
          </w:p>
        </w:tc>
      </w:tr>
      <w:tr w:rsidR="008A2166" w14:paraId="1851C1CD" w14:textId="77777777">
        <w:trPr>
          <w:trHeight w:val="312"/>
        </w:trPr>
        <w:tc>
          <w:tcPr>
            <w:tcW w:w="2405" w:type="dxa"/>
            <w:vAlign w:val="bottom"/>
          </w:tcPr>
          <w:p w14:paraId="475FB613" w14:textId="77777777" w:rsidR="008A2166" w:rsidRPr="00BF6D4E" w:rsidRDefault="008A2166">
            <w:pPr>
              <w:ind w:left="306"/>
              <w:rPr>
                <w:rFonts w:asciiTheme="minorHAnsi" w:hAnsiTheme="minorHAnsi" w:cstheme="minorHAnsi"/>
                <w:sz w:val="18"/>
                <w:szCs w:val="18"/>
              </w:rPr>
            </w:pPr>
            <w:r w:rsidRPr="00BF6D4E">
              <w:rPr>
                <w:rFonts w:asciiTheme="minorHAnsi" w:hAnsiTheme="minorHAnsi" w:cstheme="minorHAnsi"/>
                <w:sz w:val="18"/>
                <w:szCs w:val="18"/>
              </w:rPr>
              <w:t>Patent</w:t>
            </w:r>
          </w:p>
        </w:tc>
        <w:tc>
          <w:tcPr>
            <w:tcW w:w="2173" w:type="dxa"/>
            <w:vAlign w:val="bottom"/>
          </w:tcPr>
          <w:p w14:paraId="3DD8E366"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$87.208</w:t>
            </w:r>
          </w:p>
        </w:tc>
        <w:tc>
          <w:tcPr>
            <w:tcW w:w="2174" w:type="dxa"/>
            <w:vAlign w:val="bottom"/>
          </w:tcPr>
          <w:p w14:paraId="44989A7E"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$94.432</w:t>
            </w:r>
          </w:p>
        </w:tc>
        <w:tc>
          <w:tcPr>
            <w:tcW w:w="2174" w:type="dxa"/>
            <w:vAlign w:val="bottom"/>
          </w:tcPr>
          <w:p w14:paraId="2D6BB6D5"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$181.640</w:t>
            </w:r>
          </w:p>
        </w:tc>
      </w:tr>
      <w:tr w:rsidR="008A2166" w14:paraId="09EFDFA8" w14:textId="77777777">
        <w:trPr>
          <w:trHeight w:val="312"/>
        </w:trPr>
        <w:tc>
          <w:tcPr>
            <w:tcW w:w="2405" w:type="dxa"/>
            <w:vAlign w:val="bottom"/>
          </w:tcPr>
          <w:p w14:paraId="1384A6B3" w14:textId="77777777" w:rsidR="008A2166" w:rsidRPr="00BF6D4E" w:rsidRDefault="008A2166">
            <w:pPr>
              <w:ind w:left="306"/>
              <w:rPr>
                <w:rFonts w:asciiTheme="minorHAnsi" w:hAnsiTheme="minorHAnsi" w:cstheme="minorHAnsi"/>
                <w:sz w:val="18"/>
                <w:szCs w:val="18"/>
              </w:rPr>
            </w:pPr>
            <w:r w:rsidRPr="00BF6D4E">
              <w:rPr>
                <w:rFonts w:asciiTheme="minorHAnsi" w:hAnsiTheme="minorHAnsi" w:cstheme="minorHAnsi"/>
                <w:sz w:val="18"/>
                <w:szCs w:val="18"/>
              </w:rPr>
              <w:t>Trade Mark</w:t>
            </w:r>
          </w:p>
        </w:tc>
        <w:tc>
          <w:tcPr>
            <w:tcW w:w="2173" w:type="dxa"/>
            <w:vAlign w:val="bottom"/>
          </w:tcPr>
          <w:p w14:paraId="62FBD09B"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$37.378</w:t>
            </w:r>
          </w:p>
        </w:tc>
        <w:tc>
          <w:tcPr>
            <w:tcW w:w="2174" w:type="dxa"/>
            <w:vAlign w:val="bottom"/>
          </w:tcPr>
          <w:p w14:paraId="717EB142"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$42.281</w:t>
            </w:r>
          </w:p>
        </w:tc>
        <w:tc>
          <w:tcPr>
            <w:tcW w:w="2174" w:type="dxa"/>
            <w:vAlign w:val="bottom"/>
          </w:tcPr>
          <w:p w14:paraId="246320D9"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$79.659</w:t>
            </w:r>
          </w:p>
        </w:tc>
      </w:tr>
      <w:tr w:rsidR="008A2166" w14:paraId="7F18D6F8" w14:textId="77777777">
        <w:trPr>
          <w:trHeight w:val="312"/>
        </w:trPr>
        <w:tc>
          <w:tcPr>
            <w:tcW w:w="2405" w:type="dxa"/>
            <w:vAlign w:val="bottom"/>
          </w:tcPr>
          <w:p w14:paraId="5263D3B2" w14:textId="77777777" w:rsidR="008A2166" w:rsidRPr="00BF6D4E" w:rsidRDefault="008A2166">
            <w:pPr>
              <w:ind w:left="306"/>
              <w:rPr>
                <w:rFonts w:asciiTheme="minorHAnsi" w:hAnsiTheme="minorHAnsi" w:cstheme="minorHAnsi"/>
                <w:sz w:val="18"/>
                <w:szCs w:val="18"/>
              </w:rPr>
            </w:pPr>
            <w:r w:rsidRPr="00BF6D4E">
              <w:rPr>
                <w:rFonts w:asciiTheme="minorHAnsi" w:hAnsiTheme="minorHAnsi" w:cstheme="minorHAnsi"/>
                <w:sz w:val="18"/>
                <w:szCs w:val="18"/>
              </w:rPr>
              <w:t>Design</w:t>
            </w:r>
          </w:p>
        </w:tc>
        <w:tc>
          <w:tcPr>
            <w:tcW w:w="2173" w:type="dxa"/>
            <w:vAlign w:val="bottom"/>
          </w:tcPr>
          <w:p w14:paraId="5ABD3F2F"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$3.396</w:t>
            </w:r>
          </w:p>
        </w:tc>
        <w:tc>
          <w:tcPr>
            <w:tcW w:w="2174" w:type="dxa"/>
            <w:vAlign w:val="bottom"/>
          </w:tcPr>
          <w:p w14:paraId="292DE104"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$4.709</w:t>
            </w:r>
          </w:p>
        </w:tc>
        <w:tc>
          <w:tcPr>
            <w:tcW w:w="2174" w:type="dxa"/>
            <w:vAlign w:val="bottom"/>
          </w:tcPr>
          <w:p w14:paraId="601E225B"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$8.105</w:t>
            </w:r>
          </w:p>
        </w:tc>
      </w:tr>
      <w:tr w:rsidR="008A2166" w14:paraId="7578CCEE" w14:textId="77777777">
        <w:trPr>
          <w:trHeight w:val="312"/>
        </w:trPr>
        <w:tc>
          <w:tcPr>
            <w:tcW w:w="2405" w:type="dxa"/>
            <w:vAlign w:val="bottom"/>
          </w:tcPr>
          <w:p w14:paraId="76FBE718" w14:textId="77777777" w:rsidR="008A2166" w:rsidRPr="00BF6D4E" w:rsidRDefault="008A2166">
            <w:pPr>
              <w:ind w:left="306"/>
              <w:rPr>
                <w:rFonts w:asciiTheme="minorHAnsi" w:hAnsiTheme="minorHAnsi" w:cstheme="minorHAnsi"/>
                <w:sz w:val="18"/>
                <w:szCs w:val="18"/>
              </w:rPr>
            </w:pPr>
            <w:r w:rsidRPr="00BF6D4E">
              <w:rPr>
                <w:rFonts w:asciiTheme="minorHAnsi" w:hAnsiTheme="minorHAnsi" w:cstheme="minorHAnsi"/>
                <w:sz w:val="18"/>
                <w:szCs w:val="18"/>
              </w:rPr>
              <w:t>Plant Breeder’s Rights</w:t>
            </w:r>
          </w:p>
        </w:tc>
        <w:tc>
          <w:tcPr>
            <w:tcW w:w="2173" w:type="dxa"/>
            <w:vAlign w:val="bottom"/>
          </w:tcPr>
          <w:p w14:paraId="38DD7F6D"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$1.949</w:t>
            </w:r>
          </w:p>
        </w:tc>
        <w:tc>
          <w:tcPr>
            <w:tcW w:w="2174" w:type="dxa"/>
            <w:vAlign w:val="bottom"/>
          </w:tcPr>
          <w:p w14:paraId="246E4E3E"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$2.692</w:t>
            </w:r>
          </w:p>
        </w:tc>
        <w:tc>
          <w:tcPr>
            <w:tcW w:w="2174" w:type="dxa"/>
            <w:vAlign w:val="bottom"/>
          </w:tcPr>
          <w:p w14:paraId="36BC6B9A"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$4.641</w:t>
            </w:r>
          </w:p>
        </w:tc>
      </w:tr>
      <w:tr w:rsidR="008A2166" w14:paraId="1EFFACE7" w14:textId="77777777">
        <w:trPr>
          <w:trHeight w:val="312"/>
        </w:trPr>
        <w:tc>
          <w:tcPr>
            <w:tcW w:w="2405" w:type="dxa"/>
            <w:vAlign w:val="bottom"/>
          </w:tcPr>
          <w:p w14:paraId="365ACC6F" w14:textId="77777777" w:rsidR="008A2166" w:rsidRPr="00BF6D4E" w:rsidRDefault="008A2166">
            <w:pPr>
              <w:ind w:left="306"/>
              <w:rPr>
                <w:rFonts w:asciiTheme="minorHAnsi" w:hAnsiTheme="minorHAnsi" w:cstheme="minorHAnsi"/>
                <w:sz w:val="18"/>
                <w:szCs w:val="18"/>
              </w:rPr>
            </w:pPr>
            <w:r w:rsidRPr="00BF6D4E">
              <w:rPr>
                <w:rFonts w:asciiTheme="minorHAnsi" w:hAnsiTheme="minorHAnsi" w:cstheme="minorHAnsi"/>
                <w:sz w:val="18"/>
                <w:szCs w:val="18"/>
              </w:rPr>
              <w:t>TTIPA</w:t>
            </w:r>
          </w:p>
        </w:tc>
        <w:tc>
          <w:tcPr>
            <w:tcW w:w="2173" w:type="dxa"/>
            <w:vAlign w:val="bottom"/>
          </w:tcPr>
          <w:p w14:paraId="54618F78"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$1.059</w:t>
            </w:r>
          </w:p>
        </w:tc>
        <w:tc>
          <w:tcPr>
            <w:tcW w:w="2174" w:type="dxa"/>
            <w:vAlign w:val="bottom"/>
          </w:tcPr>
          <w:p w14:paraId="3DC9E3EF"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$0.515</w:t>
            </w:r>
          </w:p>
        </w:tc>
        <w:tc>
          <w:tcPr>
            <w:tcW w:w="2174" w:type="dxa"/>
            <w:vAlign w:val="bottom"/>
          </w:tcPr>
          <w:p w14:paraId="053A0C8A" w14:textId="77777777" w:rsidR="008A2166" w:rsidRPr="005664D3" w:rsidRDefault="008A2166">
            <w:pPr>
              <w:jc w:val="right"/>
              <w:rPr>
                <w:rFonts w:asciiTheme="minorHAnsi" w:hAnsiTheme="minorHAnsi" w:cstheme="minorHAnsi"/>
                <w:sz w:val="18"/>
                <w:szCs w:val="18"/>
              </w:rPr>
            </w:pPr>
            <w:r>
              <w:rPr>
                <w:rFonts w:ascii="Calibri" w:hAnsi="Calibri" w:cs="Calibri"/>
                <w:color w:val="000000"/>
                <w:sz w:val="16"/>
                <w:szCs w:val="16"/>
              </w:rPr>
              <w:t>$1.574</w:t>
            </w:r>
          </w:p>
        </w:tc>
      </w:tr>
      <w:tr w:rsidR="008A2166" w14:paraId="4A53A63C" w14:textId="77777777">
        <w:trPr>
          <w:trHeight w:val="312"/>
        </w:trPr>
        <w:tc>
          <w:tcPr>
            <w:tcW w:w="2405" w:type="dxa"/>
            <w:shd w:val="clear" w:color="auto" w:fill="D9D9D9" w:themeFill="background1" w:themeFillShade="D9"/>
            <w:vAlign w:val="bottom"/>
          </w:tcPr>
          <w:p w14:paraId="5198D82F" w14:textId="77777777" w:rsidR="008A2166" w:rsidRPr="007F67F5" w:rsidRDefault="008A2166">
            <w:pPr>
              <w:ind w:left="317" w:hanging="317"/>
              <w:rPr>
                <w:rFonts w:asciiTheme="minorHAnsi" w:hAnsiTheme="minorHAnsi" w:cstheme="minorHAnsi"/>
                <w:b/>
                <w:bCs/>
                <w:sz w:val="18"/>
                <w:szCs w:val="18"/>
              </w:rPr>
            </w:pPr>
            <w:r w:rsidRPr="007F67F5">
              <w:rPr>
                <w:rFonts w:asciiTheme="minorHAnsi" w:hAnsiTheme="minorHAnsi" w:cstheme="minorHAnsi"/>
                <w:b/>
                <w:bCs/>
                <w:sz w:val="18"/>
                <w:szCs w:val="18"/>
              </w:rPr>
              <w:t>Total</w:t>
            </w:r>
          </w:p>
        </w:tc>
        <w:tc>
          <w:tcPr>
            <w:tcW w:w="2173" w:type="dxa"/>
            <w:shd w:val="clear" w:color="auto" w:fill="D9D9D9" w:themeFill="background1" w:themeFillShade="D9"/>
            <w:vAlign w:val="bottom"/>
          </w:tcPr>
          <w:p w14:paraId="6FAA5ABD" w14:textId="77777777" w:rsidR="008A2166" w:rsidRPr="005664D3" w:rsidRDefault="008A2166">
            <w:pPr>
              <w:jc w:val="right"/>
              <w:rPr>
                <w:rFonts w:asciiTheme="minorHAnsi" w:hAnsiTheme="minorHAnsi" w:cstheme="minorHAnsi"/>
                <w:b/>
                <w:bCs/>
                <w:sz w:val="18"/>
                <w:szCs w:val="18"/>
              </w:rPr>
            </w:pPr>
            <w:r>
              <w:rPr>
                <w:rFonts w:ascii="Calibri" w:hAnsi="Calibri" w:cs="Calibri"/>
                <w:b/>
                <w:color w:val="000000"/>
                <w:sz w:val="16"/>
                <w:szCs w:val="16"/>
              </w:rPr>
              <w:t>$130.</w:t>
            </w:r>
            <w:r>
              <w:rPr>
                <w:rFonts w:ascii="Calibri" w:hAnsi="Calibri" w:cs="Calibri"/>
                <w:b/>
                <w:bCs/>
                <w:color w:val="000000"/>
                <w:sz w:val="16"/>
                <w:szCs w:val="16"/>
              </w:rPr>
              <w:t>990</w:t>
            </w:r>
          </w:p>
        </w:tc>
        <w:tc>
          <w:tcPr>
            <w:tcW w:w="2174" w:type="dxa"/>
            <w:shd w:val="clear" w:color="auto" w:fill="D9D9D9" w:themeFill="background1" w:themeFillShade="D9"/>
            <w:vAlign w:val="bottom"/>
          </w:tcPr>
          <w:p w14:paraId="7567F26D" w14:textId="77777777" w:rsidR="008A2166" w:rsidRPr="005664D3" w:rsidRDefault="008A2166">
            <w:pPr>
              <w:jc w:val="right"/>
              <w:rPr>
                <w:rFonts w:asciiTheme="minorHAnsi" w:hAnsiTheme="minorHAnsi" w:cstheme="minorHAnsi"/>
                <w:b/>
                <w:bCs/>
                <w:sz w:val="18"/>
                <w:szCs w:val="18"/>
              </w:rPr>
            </w:pPr>
            <w:r>
              <w:rPr>
                <w:rFonts w:ascii="Calibri" w:hAnsi="Calibri" w:cs="Calibri"/>
                <w:b/>
                <w:bCs/>
                <w:color w:val="000000"/>
                <w:sz w:val="16"/>
                <w:szCs w:val="16"/>
              </w:rPr>
              <w:t>$144.629</w:t>
            </w:r>
          </w:p>
        </w:tc>
        <w:tc>
          <w:tcPr>
            <w:tcW w:w="2174" w:type="dxa"/>
            <w:shd w:val="clear" w:color="auto" w:fill="D9D9D9" w:themeFill="background1" w:themeFillShade="D9"/>
            <w:vAlign w:val="bottom"/>
          </w:tcPr>
          <w:p w14:paraId="2FCC43D9" w14:textId="77777777" w:rsidR="008A2166" w:rsidRPr="005664D3" w:rsidRDefault="008A2166">
            <w:pPr>
              <w:jc w:val="right"/>
              <w:rPr>
                <w:rFonts w:asciiTheme="minorHAnsi" w:hAnsiTheme="minorHAnsi" w:cstheme="minorHAnsi"/>
                <w:b/>
                <w:bCs/>
                <w:sz w:val="18"/>
                <w:szCs w:val="18"/>
              </w:rPr>
            </w:pPr>
            <w:r>
              <w:rPr>
                <w:rFonts w:ascii="Calibri" w:hAnsi="Calibri" w:cs="Calibri"/>
                <w:b/>
                <w:bCs/>
                <w:color w:val="000000"/>
                <w:sz w:val="16"/>
                <w:szCs w:val="16"/>
              </w:rPr>
              <w:t>$275.619</w:t>
            </w:r>
          </w:p>
        </w:tc>
      </w:tr>
    </w:tbl>
    <w:p w14:paraId="627E8C7E" w14:textId="77777777" w:rsidR="00E50F6D" w:rsidRDefault="00E50F6D" w:rsidP="008A2166">
      <w:pPr>
        <w:rPr>
          <w:rFonts w:eastAsia="SimSun"/>
          <w:iCs/>
        </w:rPr>
      </w:pPr>
    </w:p>
    <w:p w14:paraId="18D256E0" w14:textId="77777777" w:rsidR="00E50F6D" w:rsidRDefault="008A2166" w:rsidP="00494778">
      <w:pPr>
        <w:pStyle w:val="Heading2"/>
      </w:pPr>
      <w:bookmarkStart w:id="28" w:name="_Toc81919368"/>
      <w:bookmarkStart w:id="29" w:name="_Toc81919369"/>
      <w:bookmarkStart w:id="30" w:name="_Toc81919370"/>
      <w:bookmarkEnd w:id="28"/>
      <w:bookmarkEnd w:id="29"/>
      <w:bookmarkEnd w:id="30"/>
      <w:r>
        <w:t xml:space="preserve"> </w:t>
      </w:r>
      <w:bookmarkStart w:id="31" w:name="_Toc146552210"/>
      <w:r w:rsidRPr="00D57921">
        <w:t xml:space="preserve">Design of the regulatory </w:t>
      </w:r>
      <w:r>
        <w:t>charge</w:t>
      </w:r>
      <w:bookmarkEnd w:id="31"/>
    </w:p>
    <w:p w14:paraId="0AE39E84" w14:textId="37B0E873" w:rsidR="008A2166" w:rsidRPr="00103237" w:rsidRDefault="008A2166" w:rsidP="008A2166">
      <w:pPr>
        <w:rPr>
          <w:rFonts w:cstheme="minorHAnsi"/>
          <w:iCs/>
        </w:rPr>
      </w:pPr>
      <w:r w:rsidRPr="00103237">
        <w:rPr>
          <w:rFonts w:cstheme="minorHAnsi"/>
          <w:iCs/>
        </w:rPr>
        <w:t xml:space="preserve">IP Australia provides a regulatory service by administering exclusive IP </w:t>
      </w:r>
      <w:r w:rsidR="000320EF">
        <w:rPr>
          <w:rFonts w:cstheme="minorHAnsi"/>
          <w:iCs/>
        </w:rPr>
        <w:t>r</w:t>
      </w:r>
      <w:r w:rsidRPr="00103237">
        <w:rPr>
          <w:rFonts w:cstheme="minorHAnsi"/>
          <w:iCs/>
        </w:rPr>
        <w:t xml:space="preserve">ights in accordance with the relevant government legislation. Cost effectiveness and efficiency in providing these services </w:t>
      </w:r>
      <w:r>
        <w:rPr>
          <w:rFonts w:cstheme="minorHAnsi"/>
          <w:iCs/>
        </w:rPr>
        <w:t xml:space="preserve">is facilitated by </w:t>
      </w:r>
      <w:r w:rsidRPr="00103237">
        <w:rPr>
          <w:rFonts w:cstheme="minorHAnsi"/>
          <w:iCs/>
        </w:rPr>
        <w:t>charging discrete fees on individuals and organisations, rather than imposing broader based levies. The charging of fees is directly aligned to IP Australia’s innovation policy objectives.</w:t>
      </w:r>
    </w:p>
    <w:p w14:paraId="5944E639" w14:textId="3E5C9733" w:rsidR="008A2166" w:rsidRPr="00103237" w:rsidRDefault="008A2166" w:rsidP="008A2166">
      <w:r w:rsidRPr="00103237">
        <w:t xml:space="preserve">The Australian Government Cost Recovery Policy states that the users of government goods, services or regulations should bear the cost of their provision. In IP Australia’s case, those seeking protection for their intellectual property pay the cost of the effort involved administering the IP </w:t>
      </w:r>
      <w:r w:rsidR="000320EF">
        <w:t>r</w:t>
      </w:r>
      <w:r w:rsidRPr="00103237">
        <w:t>ights system. Each service provided can be mapped to the individual or organisation applying for that service, and as a result a fee for service is the most appropriate charge. Direct charging of services to customers is the most efficient cost recovery mechanism, consistent with the Australian Government Charging Framework.</w:t>
      </w:r>
    </w:p>
    <w:p w14:paraId="4341025B" w14:textId="5A3D8FDC" w:rsidR="008A2166" w:rsidRPr="00103237" w:rsidRDefault="008A2166" w:rsidP="008A2166">
      <w:pPr>
        <w:rPr>
          <w:rFonts w:cstheme="minorHAnsi"/>
          <w:iCs/>
        </w:rPr>
      </w:pPr>
      <w:r w:rsidRPr="00103237">
        <w:rPr>
          <w:rFonts w:cstheme="minorHAnsi"/>
          <w:iCs/>
        </w:rPr>
        <w:t>IP Australia structures fees on a unit basis with a fee schedule for each activity group, including applications, examinations, registrations, hearings</w:t>
      </w:r>
      <w:r w:rsidR="00DE1796">
        <w:rPr>
          <w:rFonts w:cstheme="minorHAnsi"/>
          <w:iCs/>
        </w:rPr>
        <w:t xml:space="preserve"> and</w:t>
      </w:r>
      <w:r w:rsidRPr="00103237">
        <w:rPr>
          <w:rFonts w:cstheme="minorHAnsi"/>
          <w:iCs/>
        </w:rPr>
        <w:t xml:space="preserve"> renewals. Applications can be received on‐line or lodged using a paper form, with lower costs for on‐line transactions reflecting the lower regulatory effort associated with such transactions.</w:t>
      </w:r>
    </w:p>
    <w:p w14:paraId="30043B3F" w14:textId="77777777" w:rsidR="008A2166" w:rsidRPr="00103237" w:rsidRDefault="008A2166" w:rsidP="008A2166">
      <w:r w:rsidRPr="00103237">
        <w:t>The fee setting process takes account of international comparative rates and benchmarking to ensure that IP Australia’s costs are efficient, and IP Australia remains competitive in the international market.</w:t>
      </w:r>
    </w:p>
    <w:p w14:paraId="4A38FEC6" w14:textId="77777777" w:rsidR="00E50F6D" w:rsidRDefault="008A2166" w:rsidP="008A2166">
      <w:r w:rsidRPr="00103237">
        <w:t>The current fee schedule for each activity group can be located within the various IP rights regulations identified in Section 2.2. Fee information can also be located on IP Australia’s website.</w:t>
      </w:r>
    </w:p>
    <w:p w14:paraId="242E86BA" w14:textId="77777777" w:rsidR="00F61793" w:rsidRDefault="00F61793" w:rsidP="008A2166">
      <w:pPr>
        <w:rPr>
          <w:rFonts w:eastAsia="SimSun"/>
          <w:b/>
          <w:bCs/>
          <w:iCs/>
          <w:sz w:val="28"/>
          <w:szCs w:val="28"/>
          <w:u w:val="single"/>
        </w:rPr>
      </w:pPr>
      <w:r>
        <w:rPr>
          <w:rFonts w:eastAsia="SimSun"/>
          <w:b/>
          <w:bCs/>
          <w:iCs/>
          <w:sz w:val="28"/>
          <w:szCs w:val="28"/>
          <w:u w:val="single"/>
        </w:rPr>
        <w:br w:type="page"/>
      </w:r>
    </w:p>
    <w:p w14:paraId="580229DA" w14:textId="49E9AA13" w:rsidR="008A2166" w:rsidRPr="00746133" w:rsidRDefault="008A2166" w:rsidP="008A2166">
      <w:pPr>
        <w:rPr>
          <w:iCs/>
          <w:sz w:val="28"/>
          <w:szCs w:val="28"/>
        </w:rPr>
      </w:pPr>
      <w:r w:rsidRPr="00A83D02">
        <w:rPr>
          <w:rFonts w:eastAsia="SimSun"/>
          <w:b/>
          <w:bCs/>
          <w:iCs/>
          <w:sz w:val="28"/>
          <w:szCs w:val="28"/>
          <w:u w:val="single"/>
        </w:rPr>
        <w:lastRenderedPageBreak/>
        <w:t>Summary of Fee Changes</w:t>
      </w:r>
    </w:p>
    <w:p w14:paraId="4D8E0365" w14:textId="5BA92926" w:rsidR="00E50F6D" w:rsidRDefault="008A2166" w:rsidP="008A2166">
      <w:r w:rsidRPr="00746133">
        <w:t>The fee changes are</w:t>
      </w:r>
      <w:r>
        <w:t xml:space="preserve"> designed to simplify fee structures, balance costs with work effort, encourage the strategic assessment of the value of IP </w:t>
      </w:r>
      <w:r w:rsidR="000320EF">
        <w:t>r</w:t>
      </w:r>
      <w:r>
        <w:t>ights, and streamline workflows. To assist in reducing cross-subsidy between charging activities, outlined in the financial tables in Section 6 “Financial Performance”, most fee changes are against the patent charging activity.</w:t>
      </w:r>
    </w:p>
    <w:p w14:paraId="7908CDA9" w14:textId="72F21EA1" w:rsidR="008A2166" w:rsidRPr="001476A0" w:rsidRDefault="008A2166" w:rsidP="006017B2">
      <w:pPr>
        <w:rPr>
          <w:b/>
          <w:bCs/>
          <w:sz w:val="32"/>
          <w:szCs w:val="32"/>
        </w:rPr>
      </w:pPr>
      <w:r w:rsidRPr="2EDC0C4A">
        <w:rPr>
          <w:b/>
          <w:bCs/>
          <w:sz w:val="32"/>
          <w:szCs w:val="32"/>
        </w:rPr>
        <w:t>Patents</w:t>
      </w:r>
    </w:p>
    <w:p w14:paraId="4AEBBBA4" w14:textId="77777777" w:rsidR="00E50F6D" w:rsidRDefault="008A2166" w:rsidP="008A2166">
      <w:pPr>
        <w:rPr>
          <w:iCs/>
        </w:rPr>
      </w:pPr>
      <w:r w:rsidRPr="003100F4">
        <w:rPr>
          <w:iCs/>
        </w:rPr>
        <w:t xml:space="preserve">Specific </w:t>
      </w:r>
      <w:r>
        <w:rPr>
          <w:iCs/>
        </w:rPr>
        <w:t xml:space="preserve">patent </w:t>
      </w:r>
      <w:r w:rsidRPr="003100F4">
        <w:rPr>
          <w:iCs/>
        </w:rPr>
        <w:t xml:space="preserve">fee changes </w:t>
      </w:r>
      <w:r>
        <w:rPr>
          <w:iCs/>
        </w:rPr>
        <w:t xml:space="preserve">can be found in Attachment A; however, the main fee changes </w:t>
      </w:r>
      <w:r w:rsidRPr="003100F4">
        <w:rPr>
          <w:iCs/>
        </w:rPr>
        <w:t>include:</w:t>
      </w:r>
    </w:p>
    <w:p w14:paraId="7EF9C64B" w14:textId="091D7A5B" w:rsidR="008A2166" w:rsidRDefault="008A2166" w:rsidP="008A2166">
      <w:r w:rsidRPr="1BF79CEE">
        <w:rPr>
          <w:b/>
          <w:bCs/>
        </w:rPr>
        <w:t>Patent Applications:</w:t>
      </w:r>
      <w:bookmarkStart w:id="32" w:name="_Hlk145946073"/>
      <w:r>
        <w:t xml:space="preserve"> </w:t>
      </w:r>
      <w:bookmarkEnd w:id="32"/>
      <w:r>
        <w:t>The application fee for both direct route and national phase entry standard applications will increase from $370 to $400, while the fee for filing by “another means” will increase from $570 to $600.</w:t>
      </w:r>
    </w:p>
    <w:p w14:paraId="4F391F4F" w14:textId="77777777" w:rsidR="008A2166" w:rsidRDefault="008A2166" w:rsidP="008A2166">
      <w:r>
        <w:t>For noting, the patent application fee, when filing by the preferred means, has not been increased since 2010-2011.</w:t>
      </w:r>
    </w:p>
    <w:p w14:paraId="4A9E3503" w14:textId="77777777" w:rsidR="00E50F6D" w:rsidRDefault="008A2166" w:rsidP="008A2166">
      <w:r>
        <w:t xml:space="preserve">The fee for filing an innovation application will increase from $180 to $200, while the fee for filing by “another means” will increase from $380 to $400. </w:t>
      </w:r>
      <w:r w:rsidRPr="00CA1C9F">
        <w:t>The Australian Government began the process of phasing out the innovation patent in 2020, and the last day for filing was 25 August 2021.</w:t>
      </w:r>
      <w:r>
        <w:t xml:space="preserve"> This fee remains in place, given it’s still possible to apply for an innovation patent in certain circumstances, for example, a standard application filed on or before the 25 August 2021 that hasn’t been accepted may be converted to an innovation patent.</w:t>
      </w:r>
    </w:p>
    <w:p w14:paraId="180195E4" w14:textId="3D463CFB" w:rsidR="008A2166" w:rsidRDefault="008A2166" w:rsidP="008A2166">
      <w:r w:rsidRPr="1BF79CEE">
        <w:rPr>
          <w:b/>
          <w:bCs/>
        </w:rPr>
        <w:t>Patent Examination:</w:t>
      </w:r>
      <w:r>
        <w:t xml:space="preserve"> The standard exam request fee will increase from $490 to $550, while the exam request with international preliminary report (IPE) will increase from $300 to $350, and the exam request under subsection 44(3) will increase from $100 to $150.</w:t>
      </w:r>
    </w:p>
    <w:p w14:paraId="0FE01303" w14:textId="77777777" w:rsidR="008A2166" w:rsidRDefault="008A2166" w:rsidP="008A2166">
      <w:r>
        <w:t>For noting, the patent exam request fees have not increased since 2012-13.</w:t>
      </w:r>
    </w:p>
    <w:p w14:paraId="3DB216F3" w14:textId="77777777" w:rsidR="00E50F6D" w:rsidRDefault="008A2166" w:rsidP="008A2166">
      <w:pPr>
        <w:rPr>
          <w:iCs/>
        </w:rPr>
      </w:pPr>
      <w:r>
        <w:rPr>
          <w:iCs/>
        </w:rPr>
        <w:t>The innovation exam request fee will increase from $500 to $550, while the innovation exam fees for both the patentee and third party will increase from $250 to $275.</w:t>
      </w:r>
    </w:p>
    <w:p w14:paraId="1988E790" w14:textId="77777777" w:rsidR="00E50F6D" w:rsidRPr="006017B2" w:rsidRDefault="008A2166" w:rsidP="006017B2">
      <w:pPr>
        <w:spacing w:line="240" w:lineRule="auto"/>
      </w:pPr>
      <w:r w:rsidRPr="006017B2">
        <w:rPr>
          <w:b/>
          <w:bCs/>
        </w:rPr>
        <w:t>Patent renewals:</w:t>
      </w:r>
      <w:r w:rsidRPr="006017B2">
        <w:t xml:space="preserve"> The patent 4th year and 5th year renewal fees will remain unchanged to assist patent customers who may </w:t>
      </w:r>
      <w:r w:rsidRPr="006017B2">
        <w:rPr>
          <w:shd w:val="clear" w:color="auto" w:fill="FFFFFF" w:themeFill="background1"/>
        </w:rPr>
        <w:t xml:space="preserve">not at that time be receiving a financial benefit from their patent. The 6th year renewal fee will increase by $10 with every subsequent renewal fee increasing by a further $10, </w:t>
      </w:r>
      <w:r w:rsidR="00C14AB0" w:rsidRPr="006017B2">
        <w:rPr>
          <w:shd w:val="clear" w:color="auto" w:fill="FFFFFF" w:themeFill="background1"/>
        </w:rPr>
        <w:t>that is</w:t>
      </w:r>
      <w:r w:rsidRPr="006017B2">
        <w:rPr>
          <w:shd w:val="clear" w:color="auto" w:fill="FFFFFF" w:themeFill="background1"/>
        </w:rPr>
        <w:t>, the 7th year fee by $20 and the 8th year fee by $30 and so on, until the 15th year where the annual increases are $15 each year until the 19th year (see Attachment A below).</w:t>
      </w:r>
    </w:p>
    <w:p w14:paraId="5B0A0B8F" w14:textId="77777777" w:rsidR="00E50F6D" w:rsidRDefault="008A2166" w:rsidP="006017B2">
      <w:pPr>
        <w:spacing w:line="240" w:lineRule="auto"/>
      </w:pPr>
      <w:r>
        <w:t>This maintains a fee structure that aims to keep renewal fees lower in the formative years and increase over time where there is a financial benefit to the patent holder, or they need to decide on their future investment in that patent.</w:t>
      </w:r>
    </w:p>
    <w:p w14:paraId="5E0EC4B0" w14:textId="7EC53825" w:rsidR="00E50F6D" w:rsidRDefault="008A2166" w:rsidP="006017B2">
      <w:r w:rsidRPr="1BF79CEE">
        <w:rPr>
          <w:b/>
          <w:bCs/>
        </w:rPr>
        <w:t>Patent excess claims:</w:t>
      </w:r>
      <w:r>
        <w:t xml:space="preserve"> The </w:t>
      </w:r>
      <w:r w:rsidR="00333D7A">
        <w:t xml:space="preserve">amounts of the </w:t>
      </w:r>
      <w:r>
        <w:t>fees for excess claims will remain unchanged, however, IP</w:t>
      </w:r>
      <w:r w:rsidR="00333D7A">
        <w:t> </w:t>
      </w:r>
      <w:r>
        <w:t>Australia will now look to charge for excess claims when</w:t>
      </w:r>
      <w:r w:rsidDel="00C37AA6">
        <w:t xml:space="preserve"> </w:t>
      </w:r>
      <w:r>
        <w:t xml:space="preserve">a </w:t>
      </w:r>
      <w:r w:rsidR="00AF4A84">
        <w:t>f</w:t>
      </w:r>
      <w:r>
        <w:t xml:space="preserve">irst </w:t>
      </w:r>
      <w:r w:rsidR="00AF4A84">
        <w:t>e</w:t>
      </w:r>
      <w:r>
        <w:t xml:space="preserve">xamination </w:t>
      </w:r>
      <w:r w:rsidR="00AF4A84">
        <w:t>r</w:t>
      </w:r>
      <w:r>
        <w:t xml:space="preserve">eport is issued based on the number of claims identified in the initial </w:t>
      </w:r>
      <w:r w:rsidDel="00184EA1">
        <w:t>examination.</w:t>
      </w:r>
      <w:r>
        <w:t xml:space="preserve"> The number of excess claims will then be reassessed at acceptance to capture the highest number of claims on file throughout the examination process. This change will be introduced via an amendment to the relevant regulations and </w:t>
      </w:r>
      <w:r w:rsidRPr="00DC3291">
        <w:t>will apply to applications where examination is requested on or after the date that the regulations are enacted</w:t>
      </w:r>
      <w:r>
        <w:t>.</w:t>
      </w:r>
    </w:p>
    <w:p w14:paraId="1C71AB17" w14:textId="77777777" w:rsidR="00E50F6D" w:rsidRDefault="008A2166" w:rsidP="008A2166">
      <w:r w:rsidRPr="1BF79CEE">
        <w:rPr>
          <w:b/>
          <w:bCs/>
        </w:rPr>
        <w:t>Patent hearings:</w:t>
      </w:r>
      <w:r>
        <w:t xml:space="preserve"> Patent hearings fees have not increased since 2012-13. The doubling of these fees reflects the increased cost of providing these services over the last 10-years and the period up to the next fee review.</w:t>
      </w:r>
    </w:p>
    <w:p w14:paraId="35C49AFD" w14:textId="2EE1832A" w:rsidR="008A2166" w:rsidRPr="001476A0" w:rsidRDefault="008A2166" w:rsidP="00646DE2">
      <w:pPr>
        <w:keepNext/>
        <w:rPr>
          <w:b/>
          <w:bCs/>
          <w:sz w:val="32"/>
          <w:szCs w:val="32"/>
        </w:rPr>
      </w:pPr>
      <w:r w:rsidRPr="2EDC0C4A">
        <w:rPr>
          <w:b/>
          <w:bCs/>
          <w:sz w:val="32"/>
          <w:szCs w:val="32"/>
        </w:rPr>
        <w:lastRenderedPageBreak/>
        <w:t>Trade Marks</w:t>
      </w:r>
    </w:p>
    <w:p w14:paraId="5D5953A0" w14:textId="1414E77D" w:rsidR="00E50F6D" w:rsidRPr="006239AD" w:rsidRDefault="008A2166" w:rsidP="008077A2">
      <w:pPr>
        <w:rPr>
          <w:iCs/>
        </w:rPr>
      </w:pPr>
      <w:r w:rsidRPr="006239AD">
        <w:rPr>
          <w:iCs/>
        </w:rPr>
        <w:t>Specific trade</w:t>
      </w:r>
      <w:r w:rsidR="00401B02">
        <w:rPr>
          <w:iCs/>
        </w:rPr>
        <w:t>-</w:t>
      </w:r>
      <w:r w:rsidRPr="006239AD">
        <w:rPr>
          <w:iCs/>
        </w:rPr>
        <w:t>mark fee changes can be found in Attachment A; however, the main fee changes include:</w:t>
      </w:r>
    </w:p>
    <w:p w14:paraId="55502130" w14:textId="381A2063" w:rsidR="008A2166" w:rsidRPr="006239AD" w:rsidRDefault="008A2166" w:rsidP="008A2166">
      <w:r w:rsidRPr="006239AD">
        <w:rPr>
          <w:b/>
          <w:bCs/>
        </w:rPr>
        <w:t xml:space="preserve">Trade </w:t>
      </w:r>
      <w:r w:rsidR="00A2695B" w:rsidRPr="006239AD">
        <w:rPr>
          <w:b/>
          <w:bCs/>
        </w:rPr>
        <w:t>m</w:t>
      </w:r>
      <w:r w:rsidRPr="006239AD">
        <w:rPr>
          <w:b/>
          <w:bCs/>
        </w:rPr>
        <w:t xml:space="preserve">ark </w:t>
      </w:r>
      <w:r w:rsidR="00A2695B" w:rsidRPr="006239AD">
        <w:rPr>
          <w:b/>
          <w:bCs/>
        </w:rPr>
        <w:t>h</w:t>
      </w:r>
      <w:r w:rsidRPr="006239AD">
        <w:rPr>
          <w:b/>
          <w:bCs/>
        </w:rPr>
        <w:t>earings:</w:t>
      </w:r>
    </w:p>
    <w:p w14:paraId="7E161623" w14:textId="67FA7545" w:rsidR="008A2166" w:rsidRPr="006239AD" w:rsidRDefault="008A2166" w:rsidP="00A82FA4">
      <w:pPr>
        <w:pStyle w:val="ListParagraph0"/>
        <w:numPr>
          <w:ilvl w:val="0"/>
          <w:numId w:val="35"/>
        </w:numPr>
        <w:spacing w:after="80" w:line="240" w:lineRule="auto"/>
        <w:ind w:hanging="357"/>
        <w:contextualSpacing w:val="0"/>
        <w:rPr>
          <w:rFonts w:eastAsiaTheme="minorEastAsia"/>
        </w:rPr>
      </w:pPr>
      <w:r w:rsidRPr="006239AD">
        <w:rPr>
          <w:rFonts w:eastAsiaTheme="minorEastAsia"/>
        </w:rPr>
        <w:t>Toward</w:t>
      </w:r>
      <w:r w:rsidR="00BD71A0" w:rsidRPr="006239AD">
        <w:rPr>
          <w:rFonts w:eastAsiaTheme="minorEastAsia"/>
        </w:rPr>
        <w:t>s</w:t>
      </w:r>
      <w:r w:rsidRPr="006239AD">
        <w:rPr>
          <w:rFonts w:eastAsiaTheme="minorEastAsia"/>
        </w:rPr>
        <w:t xml:space="preserve"> the end of an opposition, the parties have the option of being heard. Currently there are four different fees that can be charged, and at two different points of the process:</w:t>
      </w:r>
    </w:p>
    <w:p w14:paraId="305C258A" w14:textId="77777777" w:rsidR="008A2166" w:rsidRPr="006239AD" w:rsidRDefault="008A2166" w:rsidP="00A82FA4">
      <w:pPr>
        <w:pStyle w:val="ListParagraph0"/>
        <w:numPr>
          <w:ilvl w:val="0"/>
          <w:numId w:val="34"/>
        </w:numPr>
        <w:spacing w:after="80" w:line="240" w:lineRule="auto"/>
        <w:ind w:hanging="357"/>
        <w:contextualSpacing w:val="0"/>
        <w:rPr>
          <w:rFonts w:eastAsiaTheme="minorEastAsia"/>
        </w:rPr>
      </w:pPr>
      <w:r w:rsidRPr="006239AD">
        <w:rPr>
          <w:rFonts w:eastAsiaTheme="minorEastAsia"/>
        </w:rPr>
        <w:t>a hearing request fee, and</w:t>
      </w:r>
    </w:p>
    <w:p w14:paraId="5A18FD77" w14:textId="77777777" w:rsidR="008A2166" w:rsidRPr="006239AD" w:rsidRDefault="008A2166" w:rsidP="00A82FA4">
      <w:pPr>
        <w:pStyle w:val="ListParagraph0"/>
        <w:numPr>
          <w:ilvl w:val="0"/>
          <w:numId w:val="34"/>
        </w:numPr>
        <w:spacing w:after="240" w:line="240" w:lineRule="auto"/>
        <w:ind w:hanging="357"/>
        <w:contextualSpacing w:val="0"/>
        <w:rPr>
          <w:rFonts w:eastAsiaTheme="minorEastAsia"/>
        </w:rPr>
      </w:pPr>
      <w:r w:rsidRPr="006239AD">
        <w:rPr>
          <w:rFonts w:eastAsiaTheme="minorEastAsia"/>
        </w:rPr>
        <w:t>then three different hearing attendance fees, depending on how the hearing is to be conducted.</w:t>
      </w:r>
    </w:p>
    <w:p w14:paraId="0BC0B25F" w14:textId="77777777" w:rsidR="008A2166" w:rsidRPr="006239AD" w:rsidRDefault="008A2166" w:rsidP="008A2166">
      <w:pPr>
        <w:spacing w:after="240" w:line="240" w:lineRule="auto"/>
        <w:ind w:left="630"/>
      </w:pPr>
      <w:r w:rsidRPr="006239AD">
        <w:t>The $400 hearing request fee is being abolished.</w:t>
      </w:r>
    </w:p>
    <w:p w14:paraId="7A87AED0" w14:textId="77777777" w:rsidR="008A2166" w:rsidRDefault="008A2166" w:rsidP="008A2166">
      <w:pPr>
        <w:spacing w:after="240" w:line="240" w:lineRule="auto"/>
        <w:ind w:left="630"/>
      </w:pPr>
      <w:r w:rsidRPr="2EDC0C4A">
        <w:t xml:space="preserve">Since there are very few hearings conducted </w:t>
      </w:r>
      <w:r>
        <w:t>in person</w:t>
      </w:r>
      <w:r w:rsidRPr="2EDC0C4A">
        <w:t xml:space="preserve">, IP Australia will simplify the fee structure for hearings to include a </w:t>
      </w:r>
      <w:r>
        <w:t>single</w:t>
      </w:r>
      <w:r w:rsidRPr="2EDC0C4A">
        <w:t xml:space="preserve"> fee for being heard by the Registrar of Trade Marks by means of an oral hearing </w:t>
      </w:r>
      <w:r>
        <w:t>(not necessarily in person)</w:t>
      </w:r>
      <w:r w:rsidRPr="2EDC0C4A">
        <w:t xml:space="preserve"> of $700, levied at one point, and a fee for a hearing by means of written submission only which will increase from $400 to $500.</w:t>
      </w:r>
    </w:p>
    <w:p w14:paraId="7D8B7B3D" w14:textId="77777777" w:rsidR="00E50F6D" w:rsidRDefault="008A2166" w:rsidP="008A2166">
      <w:pPr>
        <w:spacing w:after="240" w:line="240" w:lineRule="auto"/>
        <w:ind w:left="630"/>
      </w:pPr>
      <w:r>
        <w:t>The current $800 and $600 appearance fees for being heard by the Registrar are replaced by the $700 fee mentioned above.</w:t>
      </w:r>
    </w:p>
    <w:p w14:paraId="0786FDEA" w14:textId="580972F1" w:rsidR="008A2166" w:rsidRPr="0071157A" w:rsidRDefault="008A2166" w:rsidP="00CA3613">
      <w:pPr>
        <w:pStyle w:val="ListParagraph0"/>
        <w:numPr>
          <w:ilvl w:val="0"/>
          <w:numId w:val="35"/>
        </w:numPr>
        <w:spacing w:after="240" w:line="240" w:lineRule="auto"/>
        <w:contextualSpacing w:val="0"/>
        <w:rPr>
          <w:rFonts w:eastAsiaTheme="minorEastAsia"/>
        </w:rPr>
      </w:pPr>
      <w:r w:rsidRPr="0071157A">
        <w:rPr>
          <w:rFonts w:eastAsiaTheme="minorEastAsia"/>
        </w:rPr>
        <w:t xml:space="preserve">The fee for filing a </w:t>
      </w:r>
      <w:r w:rsidR="00C74617" w:rsidRPr="0071157A">
        <w:rPr>
          <w:rFonts w:eastAsiaTheme="minorEastAsia"/>
        </w:rPr>
        <w:t>n</w:t>
      </w:r>
      <w:r w:rsidRPr="0071157A">
        <w:rPr>
          <w:rFonts w:eastAsiaTheme="minorEastAsia"/>
        </w:rPr>
        <w:t xml:space="preserve">otice of </w:t>
      </w:r>
      <w:r w:rsidR="00C74617" w:rsidRPr="0071157A">
        <w:rPr>
          <w:rFonts w:eastAsiaTheme="minorEastAsia"/>
        </w:rPr>
        <w:t>o</w:t>
      </w:r>
      <w:r w:rsidRPr="0071157A">
        <w:rPr>
          <w:rFonts w:eastAsiaTheme="minorEastAsia"/>
        </w:rPr>
        <w:t xml:space="preserve">pposition to the registration of a trade mark/extension of protection for an international registration designating Australia has not changed since its introduction in 1995 ($250). Rather than simply raise the flat fee for filing a </w:t>
      </w:r>
      <w:r w:rsidR="00E572B9" w:rsidRPr="0071157A">
        <w:rPr>
          <w:rFonts w:eastAsiaTheme="minorEastAsia"/>
        </w:rPr>
        <w:t>n</w:t>
      </w:r>
      <w:r w:rsidRPr="0071157A">
        <w:rPr>
          <w:rFonts w:eastAsiaTheme="minorEastAsia"/>
        </w:rPr>
        <w:t xml:space="preserve">otice of </w:t>
      </w:r>
      <w:r w:rsidR="00E572B9" w:rsidRPr="0071157A">
        <w:rPr>
          <w:rFonts w:eastAsiaTheme="minorEastAsia"/>
        </w:rPr>
        <w:t>i</w:t>
      </w:r>
      <w:r w:rsidRPr="0071157A">
        <w:rPr>
          <w:rFonts w:eastAsiaTheme="minorEastAsia"/>
        </w:rPr>
        <w:t xml:space="preserve">ntention to </w:t>
      </w:r>
      <w:r w:rsidR="00E572B9" w:rsidRPr="0071157A">
        <w:rPr>
          <w:rFonts w:eastAsiaTheme="minorEastAsia"/>
        </w:rPr>
        <w:t>o</w:t>
      </w:r>
      <w:r w:rsidRPr="0071157A">
        <w:rPr>
          <w:rFonts w:eastAsiaTheme="minorEastAsia"/>
        </w:rPr>
        <w:t>ppose, we have decided to introduce a sliding scale fee. This is to make more complex matters more likely to recoup their related expenditure.</w:t>
      </w:r>
    </w:p>
    <w:p w14:paraId="60C7B1D4" w14:textId="3AC64CEE" w:rsidR="008A2166" w:rsidRPr="0071157A" w:rsidRDefault="008A2166" w:rsidP="008A2166">
      <w:pPr>
        <w:pStyle w:val="ListParagraph0"/>
        <w:contextualSpacing w:val="0"/>
        <w:rPr>
          <w:rFonts w:eastAsiaTheme="minorEastAsia"/>
        </w:rPr>
      </w:pPr>
      <w:r w:rsidRPr="0071157A">
        <w:rPr>
          <w:rFonts w:eastAsiaTheme="minorEastAsia"/>
        </w:rPr>
        <w:t xml:space="preserve">The new fee will apply to filing or amending a </w:t>
      </w:r>
      <w:r w:rsidR="00AE79F2" w:rsidRPr="0071157A">
        <w:rPr>
          <w:rFonts w:eastAsiaTheme="minorEastAsia"/>
        </w:rPr>
        <w:t>s</w:t>
      </w:r>
      <w:r w:rsidRPr="0071157A">
        <w:rPr>
          <w:rFonts w:eastAsiaTheme="minorEastAsia"/>
        </w:rPr>
        <w:t xml:space="preserve">tatement of </w:t>
      </w:r>
      <w:r w:rsidR="00AE79F2" w:rsidRPr="0071157A">
        <w:rPr>
          <w:rFonts w:eastAsiaTheme="minorEastAsia"/>
        </w:rPr>
        <w:t>g</w:t>
      </w:r>
      <w:r w:rsidRPr="0071157A">
        <w:rPr>
          <w:rFonts w:eastAsiaTheme="minorEastAsia"/>
        </w:rPr>
        <w:t xml:space="preserve">rounds and </w:t>
      </w:r>
      <w:r w:rsidR="00AE79F2" w:rsidRPr="0071157A">
        <w:rPr>
          <w:rFonts w:eastAsiaTheme="minorEastAsia"/>
        </w:rPr>
        <w:t>p</w:t>
      </w:r>
      <w:r w:rsidRPr="0071157A">
        <w:rPr>
          <w:rFonts w:eastAsiaTheme="minorEastAsia"/>
        </w:rPr>
        <w:t>articulars (SGP) in certain circumstances in these proceedings. The first three grounds that are nominated on the SGP will continue not to attract this new fee. However, a fee of $250 per ground above the threshold will be levied against each of the subsequent grounds nominated. Section 58A will not be counted for this purpose, since that ground serves as an extension of section 44 (that is, it is not possible to invoke s 58A without first addressing s 44(4)/reg 4.15A(5)).</w:t>
      </w:r>
    </w:p>
    <w:p w14:paraId="67FDF837" w14:textId="77777777" w:rsidR="008A2166" w:rsidRPr="0071157A" w:rsidRDefault="008A2166" w:rsidP="008A2166">
      <w:pPr>
        <w:pStyle w:val="ListParagraph0"/>
        <w:contextualSpacing w:val="0"/>
        <w:rPr>
          <w:rFonts w:eastAsiaTheme="minorEastAsia"/>
        </w:rPr>
      </w:pPr>
      <w:r w:rsidRPr="0071157A">
        <w:rPr>
          <w:rFonts w:eastAsiaTheme="minorEastAsia"/>
        </w:rPr>
        <w:t xml:space="preserve">Where section 44 is nominated, it will count as one ground, but we may also levy a fee depending on the number of trade marks nominated. The opponent will be able to nominate up to 10 </w:t>
      </w:r>
      <w:proofErr w:type="spellStart"/>
      <w:r w:rsidRPr="0071157A">
        <w:rPr>
          <w:rFonts w:eastAsiaTheme="minorEastAsia"/>
        </w:rPr>
        <w:t>trade marks</w:t>
      </w:r>
      <w:proofErr w:type="spellEnd"/>
      <w:r w:rsidRPr="0071157A">
        <w:rPr>
          <w:rFonts w:eastAsiaTheme="minorEastAsia"/>
        </w:rPr>
        <w:t xml:space="preserve"> without incurring this fee, but the 11th, 12th, etc will each attract the fee.</w:t>
      </w:r>
    </w:p>
    <w:p w14:paraId="15284CE5" w14:textId="77777777" w:rsidR="008A2166" w:rsidRPr="0071157A" w:rsidRDefault="008A2166" w:rsidP="008A2166">
      <w:pPr>
        <w:pStyle w:val="ListParagraph0"/>
        <w:contextualSpacing w:val="0"/>
        <w:rPr>
          <w:rFonts w:eastAsiaTheme="minorEastAsia"/>
        </w:rPr>
      </w:pPr>
      <w:r w:rsidRPr="0071157A">
        <w:rPr>
          <w:rFonts w:eastAsiaTheme="minorEastAsia"/>
        </w:rPr>
        <w:t xml:space="preserve">The fee will be partially recoverable as an out-of-pocket expense, if costs are awarded to the opponent, capped at $500. This fee is partially recoverable to mitigate the potential for unfairness to both parties. For the opponent, it may be necessary in certain factual settings to nominate more than 3 grounds of opposition/more than 10 </w:t>
      </w:r>
      <w:proofErr w:type="spellStart"/>
      <w:r w:rsidRPr="0071157A">
        <w:rPr>
          <w:rFonts w:eastAsiaTheme="minorEastAsia"/>
        </w:rPr>
        <w:t>trade marks</w:t>
      </w:r>
      <w:proofErr w:type="spellEnd"/>
      <w:r w:rsidRPr="0071157A">
        <w:rPr>
          <w:rFonts w:eastAsiaTheme="minorEastAsia"/>
        </w:rPr>
        <w:t>. For the applicant, if this fee was fully recoverable an SGP nominating many grounds/</w:t>
      </w:r>
      <w:proofErr w:type="spellStart"/>
      <w:r w:rsidRPr="0071157A">
        <w:rPr>
          <w:rFonts w:eastAsiaTheme="minorEastAsia"/>
        </w:rPr>
        <w:t>trade marks</w:t>
      </w:r>
      <w:proofErr w:type="spellEnd"/>
      <w:r w:rsidRPr="0071157A">
        <w:rPr>
          <w:rFonts w:eastAsiaTheme="minorEastAsia"/>
        </w:rPr>
        <w:t xml:space="preserve"> could lead to an artificially inflated costs award.</w:t>
      </w:r>
    </w:p>
    <w:p w14:paraId="461AAAC8" w14:textId="77777777" w:rsidR="008A2166" w:rsidRPr="0071157A" w:rsidRDefault="008A2166" w:rsidP="00A82FA4">
      <w:pPr>
        <w:pStyle w:val="ListParagraph0"/>
        <w:spacing w:after="80"/>
        <w:contextualSpacing w:val="0"/>
        <w:rPr>
          <w:rFonts w:eastAsiaTheme="minorEastAsia"/>
        </w:rPr>
      </w:pPr>
      <w:r w:rsidRPr="0071157A">
        <w:rPr>
          <w:rFonts w:eastAsiaTheme="minorEastAsia"/>
        </w:rPr>
        <w:t>Examples:</w:t>
      </w:r>
    </w:p>
    <w:p w14:paraId="0816A056" w14:textId="67789F07" w:rsidR="008A2166" w:rsidRPr="0071157A" w:rsidRDefault="008A2166" w:rsidP="00A82FA4">
      <w:pPr>
        <w:pStyle w:val="ListParagraph0"/>
        <w:numPr>
          <w:ilvl w:val="0"/>
          <w:numId w:val="37"/>
        </w:numPr>
        <w:spacing w:after="80" w:line="240" w:lineRule="auto"/>
        <w:contextualSpacing w:val="0"/>
        <w:rPr>
          <w:rFonts w:eastAsiaTheme="minorEastAsia"/>
        </w:rPr>
      </w:pPr>
      <w:r w:rsidRPr="0071157A">
        <w:rPr>
          <w:rFonts w:eastAsiaTheme="minorEastAsia"/>
        </w:rPr>
        <w:t>SGP nominates sections 58, 60 and 42(b). No grounds nominated above the threshold: $0.</w:t>
      </w:r>
    </w:p>
    <w:p w14:paraId="6711C95F" w14:textId="77777777" w:rsidR="008A2166" w:rsidRPr="0071157A" w:rsidRDefault="008A2166" w:rsidP="00A82FA4">
      <w:pPr>
        <w:pStyle w:val="ListParagraph0"/>
        <w:numPr>
          <w:ilvl w:val="0"/>
          <w:numId w:val="37"/>
        </w:numPr>
        <w:spacing w:after="80" w:line="240" w:lineRule="auto"/>
        <w:contextualSpacing w:val="0"/>
        <w:rPr>
          <w:rFonts w:eastAsiaTheme="minorEastAsia"/>
        </w:rPr>
      </w:pPr>
      <w:r w:rsidRPr="0071157A">
        <w:rPr>
          <w:rFonts w:eastAsiaTheme="minorEastAsia"/>
        </w:rPr>
        <w:t>SGP nominates sections 58, 60, 42(b) and 62A. One ground nominated above the threshold: $250. This fee is recoverable following an award of costs.</w:t>
      </w:r>
    </w:p>
    <w:p w14:paraId="30674251" w14:textId="77777777" w:rsidR="008A2166" w:rsidRPr="0071157A" w:rsidRDefault="008A2166" w:rsidP="00A82FA4">
      <w:pPr>
        <w:pStyle w:val="ListParagraph0"/>
        <w:numPr>
          <w:ilvl w:val="0"/>
          <w:numId w:val="37"/>
        </w:numPr>
        <w:spacing w:after="80" w:line="240" w:lineRule="auto"/>
        <w:contextualSpacing w:val="0"/>
        <w:rPr>
          <w:rFonts w:eastAsiaTheme="minorEastAsia"/>
        </w:rPr>
      </w:pPr>
      <w:r w:rsidRPr="0071157A">
        <w:rPr>
          <w:rFonts w:eastAsiaTheme="minorEastAsia"/>
        </w:rPr>
        <w:t>SGP nominates sections 58, 60, 42(b), 62A and 59. Two grounds nominated above the threshold: $500. This fee is recoverable following an award of costs.</w:t>
      </w:r>
    </w:p>
    <w:p w14:paraId="0467DA1F" w14:textId="77777777" w:rsidR="008A2166" w:rsidRPr="0071157A" w:rsidRDefault="008A2166" w:rsidP="00A82FA4">
      <w:pPr>
        <w:pStyle w:val="ListParagraph0"/>
        <w:numPr>
          <w:ilvl w:val="0"/>
          <w:numId w:val="37"/>
        </w:numPr>
        <w:spacing w:after="80" w:line="240" w:lineRule="auto"/>
        <w:contextualSpacing w:val="0"/>
        <w:rPr>
          <w:rFonts w:eastAsiaTheme="minorEastAsia"/>
        </w:rPr>
      </w:pPr>
      <w:r w:rsidRPr="0071157A">
        <w:rPr>
          <w:rFonts w:eastAsiaTheme="minorEastAsia"/>
        </w:rPr>
        <w:lastRenderedPageBreak/>
        <w:t xml:space="preserve">SGP nominates sections 44, 58A, 58 and 60. Under section 44 it nominates 11 different </w:t>
      </w:r>
      <w:proofErr w:type="spellStart"/>
      <w:r w:rsidRPr="0071157A">
        <w:rPr>
          <w:rFonts w:eastAsiaTheme="minorEastAsia"/>
        </w:rPr>
        <w:t>trade marks</w:t>
      </w:r>
      <w:proofErr w:type="spellEnd"/>
      <w:r w:rsidRPr="0071157A">
        <w:rPr>
          <w:rFonts w:eastAsiaTheme="minorEastAsia"/>
        </w:rPr>
        <w:t>. No grounds nominated above the threshold (since section 58A is not counted); one mark nominated above the threshold: $0 + $250 = $250. This fee is recoverable following an award of costs.</w:t>
      </w:r>
    </w:p>
    <w:p w14:paraId="1F278FAF" w14:textId="77777777" w:rsidR="008A2166" w:rsidRPr="0071157A" w:rsidRDefault="008A2166" w:rsidP="00CA3613">
      <w:pPr>
        <w:pStyle w:val="ListParagraph0"/>
        <w:numPr>
          <w:ilvl w:val="0"/>
          <w:numId w:val="37"/>
        </w:numPr>
        <w:spacing w:after="240" w:line="240" w:lineRule="auto"/>
        <w:contextualSpacing w:val="0"/>
        <w:rPr>
          <w:rFonts w:eastAsiaTheme="minorEastAsia"/>
        </w:rPr>
      </w:pPr>
      <w:r w:rsidRPr="0071157A">
        <w:rPr>
          <w:rFonts w:eastAsiaTheme="minorEastAsia"/>
        </w:rPr>
        <w:t xml:space="preserve">SGP nominates sections 44, 58A, 58, 60 and 62A. Under section 44 it nominates 20 different </w:t>
      </w:r>
      <w:proofErr w:type="spellStart"/>
      <w:r w:rsidRPr="0071157A">
        <w:rPr>
          <w:rFonts w:eastAsiaTheme="minorEastAsia"/>
        </w:rPr>
        <w:t>trade marks</w:t>
      </w:r>
      <w:proofErr w:type="spellEnd"/>
      <w:r w:rsidRPr="0071157A">
        <w:rPr>
          <w:rFonts w:eastAsiaTheme="minorEastAsia"/>
        </w:rPr>
        <w:t>. One ground nominated above the threshold (since section 58A is not counted); 10 marks nominated above the threshold: $250 + $2,500 = $2,750. The first $500 of this fee is recoverable following an award of costs.</w:t>
      </w:r>
    </w:p>
    <w:p w14:paraId="4BBFFDCC" w14:textId="77777777" w:rsidR="008A2166" w:rsidRPr="0071157A" w:rsidRDefault="008A2166" w:rsidP="00CA3613">
      <w:pPr>
        <w:pStyle w:val="ListParagraph0"/>
        <w:numPr>
          <w:ilvl w:val="0"/>
          <w:numId w:val="35"/>
        </w:numPr>
        <w:spacing w:after="240" w:line="240" w:lineRule="auto"/>
        <w:contextualSpacing w:val="0"/>
        <w:rPr>
          <w:rFonts w:eastAsiaTheme="minorEastAsia"/>
        </w:rPr>
      </w:pPr>
      <w:r w:rsidRPr="0071157A">
        <w:rPr>
          <w:rFonts w:eastAsiaTheme="minorEastAsia"/>
        </w:rPr>
        <w:t>IP Australia intends to introduce a new fee of $500 for requesting what the office considers ‘a declaration that was filed out of time’ in relation to the regulated deadlines for filing evidence in support, evidence in answer or evidence in reply during a trade marks opposition process. The intention here is to put a price signal on what is a time-consuming process. Many of these requests are affixed to extension of time requests, asking that evidence is still considered even if an extension of time is not granted. This gives rise to significant effort from IP Australia and the contradictor to dispense with.</w:t>
      </w:r>
    </w:p>
    <w:p w14:paraId="07EBDC01" w14:textId="77777777" w:rsidR="00E50F6D" w:rsidRPr="0071157A" w:rsidRDefault="008A2166" w:rsidP="00CA3613">
      <w:pPr>
        <w:pStyle w:val="ListParagraph0"/>
        <w:numPr>
          <w:ilvl w:val="0"/>
          <w:numId w:val="35"/>
        </w:numPr>
        <w:spacing w:after="240" w:line="240" w:lineRule="auto"/>
        <w:contextualSpacing w:val="0"/>
        <w:rPr>
          <w:rFonts w:eastAsiaTheme="minorEastAsia"/>
        </w:rPr>
      </w:pPr>
      <w:r w:rsidRPr="0071157A">
        <w:rPr>
          <w:rFonts w:eastAsiaTheme="minorEastAsia"/>
        </w:rPr>
        <w:t xml:space="preserve">The fee to file an application for the removal of a </w:t>
      </w:r>
      <w:bookmarkStart w:id="33" w:name="_Int_lhQ03ItB"/>
      <w:r w:rsidRPr="0071157A">
        <w:rPr>
          <w:rFonts w:eastAsiaTheme="minorEastAsia"/>
        </w:rPr>
        <w:t>trade mark</w:t>
      </w:r>
      <w:bookmarkEnd w:id="33"/>
      <w:r w:rsidRPr="0071157A">
        <w:rPr>
          <w:rFonts w:eastAsiaTheme="minorEastAsia"/>
        </w:rPr>
        <w:t xml:space="preserve"> from the Register for non-use under section 92 of the Act is currently $250. IP Australia intends to increase this fee to $350.</w:t>
      </w:r>
    </w:p>
    <w:p w14:paraId="1C06245B" w14:textId="5921FCCB" w:rsidR="008A2166" w:rsidRPr="001476A0" w:rsidRDefault="008A2166" w:rsidP="008A2166">
      <w:pPr>
        <w:spacing w:after="0"/>
        <w:rPr>
          <w:b/>
          <w:bCs/>
          <w:sz w:val="32"/>
          <w:szCs w:val="32"/>
        </w:rPr>
      </w:pPr>
      <w:r w:rsidRPr="2EDC0C4A">
        <w:rPr>
          <w:b/>
          <w:bCs/>
          <w:sz w:val="32"/>
          <w:szCs w:val="32"/>
        </w:rPr>
        <w:t>Designs</w:t>
      </w:r>
    </w:p>
    <w:p w14:paraId="4B56B55D" w14:textId="77777777" w:rsidR="00E50F6D" w:rsidRPr="00176054" w:rsidRDefault="008A2166" w:rsidP="008A2166">
      <w:pPr>
        <w:rPr>
          <w:iCs/>
        </w:rPr>
      </w:pPr>
      <w:r w:rsidRPr="00176054">
        <w:rPr>
          <w:iCs/>
        </w:rPr>
        <w:t>Specific design fee changes can be found in Attachment A; however, the main fee changes include:</w:t>
      </w:r>
    </w:p>
    <w:p w14:paraId="198976D6" w14:textId="3A1178DE" w:rsidR="008A2166" w:rsidRPr="00176054" w:rsidRDefault="008A2166" w:rsidP="00CA3613">
      <w:pPr>
        <w:pStyle w:val="ListParagraph0"/>
        <w:numPr>
          <w:ilvl w:val="0"/>
          <w:numId w:val="33"/>
        </w:numPr>
        <w:spacing w:after="240" w:line="240" w:lineRule="auto"/>
        <w:contextualSpacing w:val="0"/>
        <w:rPr>
          <w:rFonts w:eastAsiaTheme="minorEastAsia"/>
        </w:rPr>
      </w:pPr>
      <w:r w:rsidRPr="00176054">
        <w:rPr>
          <w:rFonts w:eastAsiaTheme="minorEastAsia"/>
          <w:b/>
          <w:bCs/>
        </w:rPr>
        <w:t>Design applications:</w:t>
      </w:r>
      <w:r w:rsidRPr="00176054">
        <w:rPr>
          <w:rFonts w:eastAsiaTheme="minorEastAsia"/>
        </w:rPr>
        <w:t xml:space="preserve"> Based on stakeholder consultation through the Design Review project and to incentivise the Design Right as intellectual property that provides an economic benefit to designers, the application fees will be reduced.</w:t>
      </w:r>
    </w:p>
    <w:p w14:paraId="49A0BBF2" w14:textId="77777777" w:rsidR="008A2166" w:rsidRPr="00176054" w:rsidRDefault="008A2166" w:rsidP="008A2166">
      <w:pPr>
        <w:spacing w:after="240" w:line="240" w:lineRule="auto"/>
        <w:ind w:left="720"/>
        <w:rPr>
          <w:iCs/>
        </w:rPr>
      </w:pPr>
      <w:r w:rsidRPr="00176054">
        <w:t>A design filed through the preferred means will be reduced from $250 to $200, with additional designs on filing, through the preferred means, reduced from $200 to $150. The application fees when filing through “approved means” are an additional $200. Fees for excess designs will be reduced from $250 to $200.</w:t>
      </w:r>
    </w:p>
    <w:p w14:paraId="36570257" w14:textId="77777777" w:rsidR="008A2166" w:rsidRPr="00176054" w:rsidRDefault="008A2166" w:rsidP="00CA3613">
      <w:pPr>
        <w:pStyle w:val="ListParagraph0"/>
        <w:numPr>
          <w:ilvl w:val="0"/>
          <w:numId w:val="33"/>
        </w:numPr>
        <w:spacing w:after="240" w:line="240" w:lineRule="auto"/>
        <w:contextualSpacing w:val="0"/>
        <w:rPr>
          <w:rFonts w:eastAsiaTheme="minorEastAsia"/>
        </w:rPr>
      </w:pPr>
      <w:r w:rsidRPr="00176054">
        <w:rPr>
          <w:rFonts w:eastAsiaTheme="minorEastAsia"/>
          <w:b/>
          <w:bCs/>
        </w:rPr>
        <w:t xml:space="preserve">Design examination: </w:t>
      </w:r>
      <w:r w:rsidRPr="00176054">
        <w:rPr>
          <w:rFonts w:eastAsiaTheme="minorEastAsia"/>
        </w:rPr>
        <w:t>A substantive examination of a Design is voluntary and only needs to be pursued if the applicant intends to enforce their Right.</w:t>
      </w:r>
    </w:p>
    <w:p w14:paraId="304A2823" w14:textId="77777777" w:rsidR="00E50F6D" w:rsidRPr="00176054" w:rsidRDefault="008A2166" w:rsidP="008A2166">
      <w:pPr>
        <w:spacing w:after="240" w:line="240" w:lineRule="auto"/>
        <w:ind w:left="720"/>
      </w:pPr>
      <w:r w:rsidRPr="00176054">
        <w:t>The exam request fee will increase from $420 to $500, with an increase from $210 to $250 for any third-party requests. These increases will assist in an improved alignment of expenses and revenue for the design activity and help to offset any potential loss resulting from the reduction in application fees.</w:t>
      </w:r>
    </w:p>
    <w:p w14:paraId="2C7AB730" w14:textId="529EC721" w:rsidR="008A2166" w:rsidRPr="001476A0" w:rsidRDefault="008A2166" w:rsidP="00881676">
      <w:pPr>
        <w:rPr>
          <w:b/>
          <w:bCs/>
          <w:sz w:val="32"/>
          <w:szCs w:val="32"/>
        </w:rPr>
      </w:pPr>
      <w:r w:rsidRPr="2EDC0C4A">
        <w:rPr>
          <w:b/>
          <w:bCs/>
          <w:sz w:val="32"/>
          <w:szCs w:val="32"/>
        </w:rPr>
        <w:t>P</w:t>
      </w:r>
      <w:r w:rsidR="00980F9B">
        <w:rPr>
          <w:b/>
          <w:bCs/>
          <w:sz w:val="32"/>
          <w:szCs w:val="32"/>
        </w:rPr>
        <w:t>BR</w:t>
      </w:r>
    </w:p>
    <w:p w14:paraId="7178E6B3" w14:textId="77777777" w:rsidR="00E50F6D" w:rsidRPr="00881676" w:rsidRDefault="008A2166" w:rsidP="008A2166">
      <w:pPr>
        <w:rPr>
          <w:iCs/>
        </w:rPr>
      </w:pPr>
      <w:r w:rsidRPr="00881676">
        <w:rPr>
          <w:iCs/>
        </w:rPr>
        <w:t>Specific PBR fee changes can be found in Attachment A; however, the main fee changes assist in better aligning expenses with revenue for the PBR activity group and help address increasing PBR expenses over the forward years. The fee changes include:</w:t>
      </w:r>
    </w:p>
    <w:p w14:paraId="4CB0C1B3" w14:textId="271526A9" w:rsidR="008A2166" w:rsidRPr="00881676" w:rsidRDefault="008A2166" w:rsidP="00CA3613">
      <w:pPr>
        <w:pStyle w:val="ListParagraph0"/>
        <w:numPr>
          <w:ilvl w:val="0"/>
          <w:numId w:val="32"/>
        </w:numPr>
        <w:spacing w:after="240" w:line="240" w:lineRule="auto"/>
        <w:contextualSpacing w:val="0"/>
        <w:rPr>
          <w:rFonts w:eastAsiaTheme="minorEastAsia"/>
        </w:rPr>
      </w:pPr>
      <w:r w:rsidRPr="00881676">
        <w:rPr>
          <w:rFonts w:eastAsiaTheme="minorEastAsia"/>
          <w:b/>
          <w:bCs/>
        </w:rPr>
        <w:t>PBR applications:</w:t>
      </w:r>
      <w:r w:rsidRPr="00881676">
        <w:rPr>
          <w:rFonts w:eastAsiaTheme="minorEastAsia"/>
        </w:rPr>
        <w:t xml:space="preserve"> The PBR application fee, filed by the preferred means, will increase from $345 to $400. This increase sees the PBR application fee move from $300 in 2000-01 to $400; over </w:t>
      </w:r>
      <w:r w:rsidR="009B43C6" w:rsidRPr="00881676">
        <w:rPr>
          <w:rFonts w:eastAsiaTheme="minorEastAsia"/>
        </w:rPr>
        <w:t>20</w:t>
      </w:r>
      <w:r w:rsidRPr="00881676">
        <w:rPr>
          <w:rFonts w:eastAsiaTheme="minorEastAsia"/>
        </w:rPr>
        <w:t xml:space="preserve"> years later. The application fees when filing through “approved means” are an additional $200.</w:t>
      </w:r>
    </w:p>
    <w:p w14:paraId="3403C3E0" w14:textId="6DC82AB9" w:rsidR="008A2166" w:rsidRPr="00881676" w:rsidRDefault="008A2166" w:rsidP="00CA3613">
      <w:pPr>
        <w:pStyle w:val="ListParagraph0"/>
        <w:numPr>
          <w:ilvl w:val="0"/>
          <w:numId w:val="32"/>
        </w:numPr>
        <w:spacing w:after="120" w:line="240" w:lineRule="auto"/>
        <w:ind w:left="714" w:hanging="357"/>
        <w:contextualSpacing w:val="0"/>
      </w:pPr>
      <w:r w:rsidRPr="00881676">
        <w:rPr>
          <w:rFonts w:eastAsiaTheme="minorEastAsia"/>
          <w:b/>
          <w:bCs/>
        </w:rPr>
        <w:t>PBR examinations:</w:t>
      </w:r>
      <w:r w:rsidRPr="00881676">
        <w:rPr>
          <w:rFonts w:eastAsiaTheme="minorEastAsia"/>
        </w:rPr>
        <w:t xml:space="preserve"> The PBR examination fees will increase from $1,610 to $2,000 for a standard examination, from $1,380 to $1,600 for a discount examination fee, and from $920 to $1,400 for an examination at a centralised</w:t>
      </w:r>
      <w:r w:rsidR="004226C9" w:rsidRPr="00881676">
        <w:rPr>
          <w:rFonts w:eastAsiaTheme="minorEastAsia"/>
        </w:rPr>
        <w:t>-</w:t>
      </w:r>
      <w:r w:rsidRPr="00881676">
        <w:rPr>
          <w:rFonts w:eastAsiaTheme="minorEastAsia"/>
        </w:rPr>
        <w:t>testing centre.</w:t>
      </w:r>
    </w:p>
    <w:p w14:paraId="0F7E25AB" w14:textId="77777777" w:rsidR="008A2166" w:rsidRPr="00881676" w:rsidRDefault="008A2166" w:rsidP="008A2166">
      <w:pPr>
        <w:spacing w:line="240" w:lineRule="auto"/>
        <w:ind w:left="720"/>
        <w:rPr>
          <w:iCs/>
        </w:rPr>
      </w:pPr>
      <w:r w:rsidRPr="00881676">
        <w:lastRenderedPageBreak/>
        <w:t>While these fee increases are substantial, they reflect current costs and are reasonable given there have been very few increases over the last 20 years.</w:t>
      </w:r>
    </w:p>
    <w:p w14:paraId="26BD86BB" w14:textId="77777777" w:rsidR="00E50F6D" w:rsidRPr="00881676" w:rsidRDefault="008A2166" w:rsidP="00CA3613">
      <w:pPr>
        <w:pStyle w:val="ListParagraph0"/>
        <w:numPr>
          <w:ilvl w:val="0"/>
          <w:numId w:val="32"/>
        </w:numPr>
        <w:spacing w:after="240" w:line="240" w:lineRule="auto"/>
        <w:contextualSpacing w:val="0"/>
        <w:rPr>
          <w:rFonts w:eastAsiaTheme="minorEastAsia"/>
        </w:rPr>
      </w:pPr>
      <w:r w:rsidRPr="00881676">
        <w:rPr>
          <w:rFonts w:eastAsiaTheme="minorEastAsia"/>
          <w:b/>
          <w:bCs/>
        </w:rPr>
        <w:t>PBR renewals:</w:t>
      </w:r>
      <w:r w:rsidRPr="00881676">
        <w:rPr>
          <w:rFonts w:eastAsiaTheme="minorEastAsia"/>
        </w:rPr>
        <w:t xml:space="preserve"> The PBR renewal fees will increase from $400 to $600 for the annual maintenance of an PBR Right. This is a significant fee increase, but necessary, to recover the costs of providing PBR services based primarily on salary growth over the last 20 years and investment in the modernisation of PBR systems. In 2000-01, the PBR renewal fee was $300 per year and since then has only increased by $100 to the current fee of $400 per year.</w:t>
      </w:r>
    </w:p>
    <w:p w14:paraId="0621216D" w14:textId="6C31CF2E" w:rsidR="008A2166" w:rsidRPr="001476A0" w:rsidRDefault="008A2166" w:rsidP="00881676">
      <w:pPr>
        <w:rPr>
          <w:b/>
          <w:bCs/>
          <w:sz w:val="32"/>
          <w:szCs w:val="32"/>
        </w:rPr>
      </w:pPr>
      <w:r w:rsidRPr="2EDC0C4A">
        <w:rPr>
          <w:b/>
          <w:bCs/>
          <w:sz w:val="32"/>
          <w:szCs w:val="32"/>
        </w:rPr>
        <w:t>Trans-Tasman IP Attorney</w:t>
      </w:r>
      <w:r w:rsidR="00665A64">
        <w:rPr>
          <w:b/>
          <w:bCs/>
          <w:sz w:val="32"/>
          <w:szCs w:val="32"/>
        </w:rPr>
        <w:t>s</w:t>
      </w:r>
    </w:p>
    <w:p w14:paraId="72941ACF" w14:textId="77777777" w:rsidR="00E50F6D" w:rsidRPr="00881676" w:rsidRDefault="008A2166" w:rsidP="008A2166">
      <w:pPr>
        <w:rPr>
          <w:iCs/>
        </w:rPr>
      </w:pPr>
      <w:r w:rsidRPr="00881676">
        <w:rPr>
          <w:iCs/>
        </w:rPr>
        <w:t>Specific TTIPA fee changes can be found in Attachment A; however, the main fee changes include:</w:t>
      </w:r>
    </w:p>
    <w:p w14:paraId="51A534C5" w14:textId="082C943E" w:rsidR="008A2166" w:rsidRPr="00881676" w:rsidRDefault="008A2166" w:rsidP="00CA3613">
      <w:pPr>
        <w:pStyle w:val="ListParagraph0"/>
        <w:numPr>
          <w:ilvl w:val="0"/>
          <w:numId w:val="31"/>
        </w:numPr>
        <w:spacing w:after="240" w:line="240" w:lineRule="auto"/>
        <w:contextualSpacing w:val="0"/>
        <w:rPr>
          <w:rFonts w:eastAsiaTheme="minorEastAsia"/>
        </w:rPr>
      </w:pPr>
      <w:r w:rsidRPr="00881676">
        <w:rPr>
          <w:rFonts w:eastAsiaTheme="minorEastAsia"/>
          <w:b/>
          <w:bCs/>
        </w:rPr>
        <w:t>TTIPA renewal of registration:</w:t>
      </w:r>
      <w:r w:rsidRPr="00881676">
        <w:rPr>
          <w:rFonts w:eastAsiaTheme="minorEastAsia"/>
        </w:rPr>
        <w:t xml:space="preserve"> All fees to renew </w:t>
      </w:r>
      <w:r w:rsidR="006F1B9B">
        <w:rPr>
          <w:rFonts w:eastAsiaTheme="minorEastAsia"/>
        </w:rPr>
        <w:t xml:space="preserve">or restore </w:t>
      </w:r>
      <w:r w:rsidRPr="00881676">
        <w:rPr>
          <w:rFonts w:eastAsiaTheme="minorEastAsia"/>
        </w:rPr>
        <w:t xml:space="preserve">the registration as a patent and/or </w:t>
      </w:r>
      <w:bookmarkStart w:id="34" w:name="_Int_XZlFTzH2"/>
      <w:r w:rsidRPr="00881676">
        <w:rPr>
          <w:rFonts w:eastAsiaTheme="minorEastAsia"/>
        </w:rPr>
        <w:t>trade mark</w:t>
      </w:r>
      <w:bookmarkEnd w:id="34"/>
      <w:r w:rsidRPr="00881676">
        <w:rPr>
          <w:rFonts w:eastAsiaTheme="minorEastAsia"/>
        </w:rPr>
        <w:t xml:space="preserve"> attorney will increase by $50 to assist in covering the cost of administering the Trans-Tasman IP Attorney</w:t>
      </w:r>
      <w:r w:rsidR="009C1298">
        <w:rPr>
          <w:rFonts w:eastAsiaTheme="minorEastAsia"/>
        </w:rPr>
        <w:t>s</w:t>
      </w:r>
      <w:r w:rsidRPr="00881676">
        <w:rPr>
          <w:rFonts w:eastAsiaTheme="minorEastAsia"/>
        </w:rPr>
        <w:t xml:space="preserve"> system.</w:t>
      </w:r>
    </w:p>
    <w:p w14:paraId="0A3D5588" w14:textId="77777777" w:rsidR="00E50F6D" w:rsidRPr="00881676" w:rsidRDefault="008A2166" w:rsidP="008A2166">
      <w:pPr>
        <w:ind w:left="720"/>
      </w:pPr>
      <w:r w:rsidRPr="00881676">
        <w:t>The fees to apply for registration as a patent and/or trade mark attorney will remain unchanged.</w:t>
      </w:r>
    </w:p>
    <w:p w14:paraId="5E0E8B43" w14:textId="1CF9B34B" w:rsidR="00E50F6D" w:rsidRDefault="008A2166" w:rsidP="00101A7A">
      <w:pPr>
        <w:pStyle w:val="Heading1"/>
      </w:pPr>
      <w:bookmarkStart w:id="35" w:name="_Toc146552211"/>
      <w:r w:rsidRPr="00A95645">
        <w:t>RISK ASSESSMENT</w:t>
      </w:r>
      <w:bookmarkEnd w:id="35"/>
    </w:p>
    <w:p w14:paraId="215DB89B" w14:textId="77777777" w:rsidR="00E50F6D" w:rsidRDefault="008A2166" w:rsidP="00881676">
      <w:r>
        <w:t>IP Australia has undertaken a charging</w:t>
      </w:r>
      <w:r w:rsidR="00AF4A84">
        <w:t>-</w:t>
      </w:r>
      <w:r>
        <w:t xml:space="preserve">risk assessment, using the </w:t>
      </w:r>
      <w:r w:rsidR="00E50F4B">
        <w:t>c</w:t>
      </w:r>
      <w:r>
        <w:t>harging</w:t>
      </w:r>
      <w:r w:rsidR="00AF4A84">
        <w:t>-</w:t>
      </w:r>
      <w:r w:rsidR="00E50F4B">
        <w:t>r</w:t>
      </w:r>
      <w:r>
        <w:t xml:space="preserve">isk </w:t>
      </w:r>
      <w:r w:rsidR="00E50F4B">
        <w:t>a</w:t>
      </w:r>
      <w:r>
        <w:t xml:space="preserve">ssessment (CRA) template provided by the Department of Finance, to identify areas of implementation risk that could arise from the fee changes as outlined in this CRIS. IP Australia has assessed the overall CRA rating as </w:t>
      </w:r>
      <w:r w:rsidRPr="00AB1F79">
        <w:rPr>
          <w:b/>
          <w:bCs/>
        </w:rPr>
        <w:t>Medium</w:t>
      </w:r>
      <w:r w:rsidRPr="00576437">
        <w:t xml:space="preserve">, </w:t>
      </w:r>
      <w:r>
        <w:t xml:space="preserve">taking into consideration </w:t>
      </w:r>
      <w:r w:rsidRPr="00F9701E">
        <w:t xml:space="preserve">the expected </w:t>
      </w:r>
      <w:r>
        <w:t>growth</w:t>
      </w:r>
      <w:r w:rsidRPr="00F9701E">
        <w:t xml:space="preserve"> in revenue from the </w:t>
      </w:r>
      <w:r>
        <w:t xml:space="preserve">fee </w:t>
      </w:r>
      <w:r w:rsidRPr="00F9701E">
        <w:t xml:space="preserve">changes and the impact </w:t>
      </w:r>
      <w:r>
        <w:t>of</w:t>
      </w:r>
      <w:r w:rsidRPr="00702D94">
        <w:t xml:space="preserve"> </w:t>
      </w:r>
      <w:r>
        <w:t xml:space="preserve">these </w:t>
      </w:r>
      <w:r w:rsidRPr="00F9701E">
        <w:t xml:space="preserve">changes </w:t>
      </w:r>
      <w:r>
        <w:t>on</w:t>
      </w:r>
      <w:r w:rsidRPr="00F9701E">
        <w:t xml:space="preserve"> our customers.</w:t>
      </w:r>
    </w:p>
    <w:p w14:paraId="7C16088B" w14:textId="30FAD22C" w:rsidR="008A2166" w:rsidRPr="00037D89" w:rsidRDefault="008A2166" w:rsidP="00037D89">
      <w:pPr>
        <w:spacing w:after="80"/>
        <w:rPr>
          <w:iCs/>
        </w:rPr>
      </w:pPr>
      <w:r w:rsidRPr="00037D89">
        <w:rPr>
          <w:iCs/>
        </w:rPr>
        <w:t>When undertaking the risk assessment, IP Australia identified several risks consistent across all IP activity groups. These risks include:</w:t>
      </w:r>
    </w:p>
    <w:p w14:paraId="7452AF22" w14:textId="63523A93" w:rsidR="008A2166" w:rsidRPr="00037D89" w:rsidRDefault="00360127" w:rsidP="00037D89">
      <w:pPr>
        <w:pStyle w:val="ListParagraph0"/>
        <w:numPr>
          <w:ilvl w:val="0"/>
          <w:numId w:val="39"/>
        </w:numPr>
        <w:spacing w:after="80" w:line="240" w:lineRule="auto"/>
        <w:ind w:left="709" w:hanging="349"/>
        <w:contextualSpacing w:val="0"/>
        <w:rPr>
          <w:rFonts w:cstheme="minorHAnsi"/>
        </w:rPr>
      </w:pPr>
      <w:r w:rsidRPr="00037D89">
        <w:rPr>
          <w:rFonts w:cstheme="minorHAnsi"/>
        </w:rPr>
        <w:t>r</w:t>
      </w:r>
      <w:r w:rsidR="008A2166" w:rsidRPr="00037D89">
        <w:rPr>
          <w:rFonts w:cstheme="minorHAnsi"/>
        </w:rPr>
        <w:t>isk of an unforeseen and major global event that impacts demand</w:t>
      </w:r>
    </w:p>
    <w:p w14:paraId="2315A842" w14:textId="1CB14A5E" w:rsidR="008A2166" w:rsidRPr="00037D89" w:rsidRDefault="00360127" w:rsidP="00037D89">
      <w:pPr>
        <w:pStyle w:val="ListParagraph0"/>
        <w:numPr>
          <w:ilvl w:val="0"/>
          <w:numId w:val="39"/>
        </w:numPr>
        <w:spacing w:after="80" w:line="240" w:lineRule="auto"/>
        <w:ind w:left="709" w:hanging="349"/>
        <w:contextualSpacing w:val="0"/>
        <w:rPr>
          <w:rFonts w:cstheme="minorHAnsi"/>
        </w:rPr>
      </w:pPr>
      <w:r w:rsidRPr="00037D89">
        <w:rPr>
          <w:rFonts w:cstheme="minorHAnsi"/>
        </w:rPr>
        <w:t>d</w:t>
      </w:r>
      <w:r w:rsidR="008A2166" w:rsidRPr="00037D89">
        <w:rPr>
          <w:rFonts w:cstheme="minorHAnsi"/>
        </w:rPr>
        <w:t>ifficulties in forecasting national and international demand</w:t>
      </w:r>
    </w:p>
    <w:p w14:paraId="10E4BE07" w14:textId="10A192BF" w:rsidR="008A2166" w:rsidRPr="00037D89" w:rsidRDefault="00360127" w:rsidP="00037D89">
      <w:pPr>
        <w:pStyle w:val="ListParagraph0"/>
        <w:numPr>
          <w:ilvl w:val="0"/>
          <w:numId w:val="39"/>
        </w:numPr>
        <w:spacing w:after="80" w:line="240" w:lineRule="auto"/>
        <w:ind w:left="709" w:hanging="349"/>
        <w:contextualSpacing w:val="0"/>
        <w:rPr>
          <w:rFonts w:cstheme="minorHAnsi"/>
        </w:rPr>
      </w:pPr>
      <w:r w:rsidRPr="00037D89">
        <w:rPr>
          <w:rFonts w:cstheme="minorHAnsi"/>
        </w:rPr>
        <w:t>r</w:t>
      </w:r>
      <w:r w:rsidR="008A2166" w:rsidRPr="00037D89">
        <w:rPr>
          <w:rFonts w:cstheme="minorHAnsi"/>
        </w:rPr>
        <w:t>isk of a change in demand (and revenue) resulting from the introduction of the new fee changes</w:t>
      </w:r>
    </w:p>
    <w:p w14:paraId="325AC20C" w14:textId="610DDB70" w:rsidR="008A2166" w:rsidRPr="00037D89" w:rsidRDefault="00360127" w:rsidP="00037D89">
      <w:pPr>
        <w:pStyle w:val="ListParagraph0"/>
        <w:numPr>
          <w:ilvl w:val="0"/>
          <w:numId w:val="39"/>
        </w:numPr>
        <w:spacing w:after="80" w:line="240" w:lineRule="auto"/>
        <w:ind w:left="709" w:hanging="349"/>
        <w:contextualSpacing w:val="0"/>
        <w:rPr>
          <w:rFonts w:cstheme="minorHAnsi"/>
        </w:rPr>
      </w:pPr>
      <w:r w:rsidRPr="00037D89">
        <w:rPr>
          <w:rFonts w:cstheme="minorHAnsi"/>
        </w:rPr>
        <w:t>p</w:t>
      </w:r>
      <w:r w:rsidR="008A2166" w:rsidRPr="00037D89">
        <w:rPr>
          <w:rFonts w:cstheme="minorHAnsi"/>
        </w:rPr>
        <w:t>ossible delays with the passage of regulation changes</w:t>
      </w:r>
    </w:p>
    <w:p w14:paraId="5ED32657" w14:textId="31B6F4BB" w:rsidR="008A2166" w:rsidRPr="00037D89" w:rsidRDefault="00360127" w:rsidP="00037D89">
      <w:pPr>
        <w:pStyle w:val="ListParagraph0"/>
        <w:numPr>
          <w:ilvl w:val="0"/>
          <w:numId w:val="39"/>
        </w:numPr>
        <w:spacing w:after="80" w:line="240" w:lineRule="auto"/>
        <w:ind w:left="709" w:hanging="349"/>
        <w:contextualSpacing w:val="0"/>
        <w:rPr>
          <w:rFonts w:cstheme="minorHAnsi"/>
        </w:rPr>
      </w:pPr>
      <w:r w:rsidRPr="00037D89">
        <w:rPr>
          <w:rFonts w:cstheme="minorHAnsi"/>
        </w:rPr>
        <w:t>r</w:t>
      </w:r>
      <w:r w:rsidR="008A2166" w:rsidRPr="00037D89">
        <w:rPr>
          <w:rFonts w:cstheme="minorHAnsi"/>
        </w:rPr>
        <w:t>isks associated with not updating IP Australia’s internal fee processing systems in line with the approved legislative changes</w:t>
      </w:r>
    </w:p>
    <w:p w14:paraId="10FEF31A" w14:textId="77777777" w:rsidR="00E50F6D" w:rsidRPr="00037D89" w:rsidRDefault="00360127" w:rsidP="00881676">
      <w:pPr>
        <w:pStyle w:val="ListParagraph0"/>
        <w:numPr>
          <w:ilvl w:val="0"/>
          <w:numId w:val="39"/>
        </w:numPr>
        <w:spacing w:line="240" w:lineRule="auto"/>
        <w:ind w:left="709" w:hanging="349"/>
        <w:contextualSpacing w:val="0"/>
        <w:rPr>
          <w:rFonts w:cstheme="minorHAnsi"/>
        </w:rPr>
      </w:pPr>
      <w:r w:rsidRPr="00037D89">
        <w:rPr>
          <w:rFonts w:cstheme="minorHAnsi"/>
        </w:rPr>
        <w:t>c</w:t>
      </w:r>
      <w:r w:rsidR="008A2166" w:rsidRPr="00037D89">
        <w:rPr>
          <w:rFonts w:cstheme="minorHAnsi"/>
        </w:rPr>
        <w:t>ustomers not having their internal systems updated in line with the updated fees.</w:t>
      </w:r>
    </w:p>
    <w:p w14:paraId="79FFDA64" w14:textId="77777777" w:rsidR="00E50F6D" w:rsidRDefault="008A2166" w:rsidP="00881676">
      <w:pPr>
        <w:rPr>
          <w:rFonts w:ascii="Calibri" w:eastAsia="Calibri" w:hAnsi="Calibri" w:cs="Calibri"/>
        </w:rPr>
      </w:pPr>
      <w:r w:rsidRPr="004033AD">
        <w:rPr>
          <w:rFonts w:ascii="Calibri" w:eastAsia="Calibri" w:hAnsi="Calibri" w:cs="Calibri"/>
        </w:rPr>
        <w:t>IP Australia faces a broad range of risks reflecting its responsibilities as an administrator, service provider and regulator for Australia’s IP rights system. IP Australia uses 6 categorises of strategic risk to measure and monitor threats and opportunities that may impact the achievement of IP Australia’s Strategic Objectives and Purpose, and which are provided in IP Australia’s Corporate Plan and Annual Report.</w:t>
      </w:r>
    </w:p>
    <w:p w14:paraId="38E7664A" w14:textId="47C8B621" w:rsidR="008A2166" w:rsidRPr="00037D89" w:rsidRDefault="008A2166" w:rsidP="00467BA5">
      <w:pPr>
        <w:shd w:val="clear" w:color="auto" w:fill="FFFFFF" w:themeFill="background1"/>
        <w:spacing w:after="80"/>
      </w:pPr>
      <w:r w:rsidRPr="00153190">
        <w:t xml:space="preserve">IP Australia also has a comprehensive risk management framework, enabling the entity to effectively manage risks in accordance with its risk appetite. To ensure effective governance IP Australia embeds </w:t>
      </w:r>
      <w:r w:rsidRPr="00037D89">
        <w:t>risk management through the following business processes:</w:t>
      </w:r>
    </w:p>
    <w:p w14:paraId="204BFDAD" w14:textId="64730707" w:rsidR="008A2166" w:rsidRPr="00037D89" w:rsidRDefault="008A2166" w:rsidP="00467BA5">
      <w:pPr>
        <w:pStyle w:val="ListParagraph0"/>
        <w:numPr>
          <w:ilvl w:val="0"/>
          <w:numId w:val="30"/>
        </w:numPr>
        <w:spacing w:after="80" w:line="240" w:lineRule="auto"/>
        <w:ind w:left="714" w:hanging="357"/>
        <w:contextualSpacing w:val="0"/>
        <w:rPr>
          <w:rFonts w:eastAsiaTheme="minorEastAsia"/>
        </w:rPr>
      </w:pPr>
      <w:r w:rsidRPr="00037D89">
        <w:rPr>
          <w:rFonts w:eastAsiaTheme="minorEastAsia"/>
        </w:rPr>
        <w:t>risk management and assessment systems to support business processes including project, and planning activities</w:t>
      </w:r>
    </w:p>
    <w:p w14:paraId="1E4F92B1" w14:textId="77777777" w:rsidR="008A2166" w:rsidRPr="00037D89" w:rsidRDefault="008A2166" w:rsidP="00467BA5">
      <w:pPr>
        <w:pStyle w:val="ListParagraph0"/>
        <w:numPr>
          <w:ilvl w:val="0"/>
          <w:numId w:val="30"/>
        </w:numPr>
        <w:spacing w:after="80" w:line="240" w:lineRule="auto"/>
        <w:ind w:left="714" w:hanging="357"/>
        <w:contextualSpacing w:val="0"/>
        <w:rPr>
          <w:rFonts w:eastAsiaTheme="minorEastAsia"/>
        </w:rPr>
      </w:pPr>
      <w:r w:rsidRPr="00037D89">
        <w:rPr>
          <w:rFonts w:eastAsiaTheme="minorEastAsia"/>
        </w:rPr>
        <w:t>operational planning</w:t>
      </w:r>
    </w:p>
    <w:p w14:paraId="6DBB56A8" w14:textId="5426D5DA" w:rsidR="008A2166" w:rsidRPr="00037D89" w:rsidRDefault="008A2166" w:rsidP="00467BA5">
      <w:pPr>
        <w:pStyle w:val="ListParagraph0"/>
        <w:numPr>
          <w:ilvl w:val="0"/>
          <w:numId w:val="30"/>
        </w:numPr>
        <w:spacing w:after="80" w:line="240" w:lineRule="auto"/>
        <w:ind w:left="714" w:hanging="357"/>
        <w:contextualSpacing w:val="0"/>
        <w:rPr>
          <w:rFonts w:eastAsiaTheme="minorEastAsia"/>
        </w:rPr>
      </w:pPr>
      <w:r w:rsidRPr="00037D89">
        <w:rPr>
          <w:rFonts w:eastAsiaTheme="minorEastAsia"/>
        </w:rPr>
        <w:t>consideration of risk management as standing items at quarterly Executive Board meetings, governance committee meetings and IP Australia’s Audit Committee</w:t>
      </w:r>
    </w:p>
    <w:p w14:paraId="46F85A60" w14:textId="3B5F3856" w:rsidR="008A2166" w:rsidRPr="00037D89" w:rsidRDefault="008A2166" w:rsidP="00881676">
      <w:pPr>
        <w:pStyle w:val="ListParagraph0"/>
        <w:numPr>
          <w:ilvl w:val="0"/>
          <w:numId w:val="30"/>
        </w:numPr>
        <w:spacing w:line="240" w:lineRule="auto"/>
        <w:ind w:left="714" w:hanging="357"/>
        <w:contextualSpacing w:val="0"/>
        <w:rPr>
          <w:rFonts w:eastAsiaTheme="minorEastAsia"/>
        </w:rPr>
      </w:pPr>
      <w:r w:rsidRPr="00037D89">
        <w:rPr>
          <w:rFonts w:eastAsiaTheme="minorEastAsia"/>
        </w:rPr>
        <w:lastRenderedPageBreak/>
        <w:t>actively pursu</w:t>
      </w:r>
      <w:r w:rsidR="00CF27B7">
        <w:rPr>
          <w:rFonts w:eastAsiaTheme="minorEastAsia"/>
        </w:rPr>
        <w:t>ing</w:t>
      </w:r>
      <w:r w:rsidRPr="00037D89">
        <w:rPr>
          <w:rFonts w:eastAsiaTheme="minorEastAsia"/>
        </w:rPr>
        <w:t xml:space="preserve"> the development of a positive risk culture where staff at all levels understand and manage risk as part of their day-to-day activities.</w:t>
      </w:r>
    </w:p>
    <w:p w14:paraId="40AFEBB8" w14:textId="70E6F70A" w:rsidR="008A2166" w:rsidRDefault="008A2166" w:rsidP="007270F2">
      <w:r>
        <w:t>One of IP Australia’s controls is to maintain a financial model used to forecast demand and revenue trends. This model assists with providing valuable and timely information that is used for the planning and decision</w:t>
      </w:r>
      <w:r w:rsidR="00FB17B8">
        <w:t>-</w:t>
      </w:r>
      <w:r>
        <w:t>making of IP Australia’s Executive Board and has the capability to carry out sensitivity (what-if) analysis on proposed fee changes. IP Australia has also used this model to identify various scenarios, taking into consideration the risks identified above, and to ascertain the impact of proposed fee changes on IP Australia’s financial management strategy, financial sustainability and cost recovered arrangements. The CRIS will be updated where necessary to reflect changes.</w:t>
      </w:r>
    </w:p>
    <w:p w14:paraId="37F2B953" w14:textId="67A03B95" w:rsidR="008A2166" w:rsidRDefault="008A2166" w:rsidP="007270F2">
      <w:pPr>
        <w:rPr>
          <w:iCs/>
        </w:rPr>
      </w:pPr>
      <w:r>
        <w:rPr>
          <w:iCs/>
        </w:rPr>
        <w:t>IP Australia will manage any risk to the financial sustainability of the organisation by ensuring the m</w:t>
      </w:r>
      <w:r w:rsidRPr="00284C81">
        <w:rPr>
          <w:iCs/>
        </w:rPr>
        <w:t>aintenance of a healthy balance sheet, and the monitoring and management of the organisation’s cash reserve in accordance with IP Australia’s cash reserve policy</w:t>
      </w:r>
      <w:r>
        <w:rPr>
          <w:iCs/>
        </w:rPr>
        <w:t>.</w:t>
      </w:r>
    </w:p>
    <w:p w14:paraId="40CB51EA" w14:textId="77777777" w:rsidR="00E50F6D" w:rsidRDefault="008A2166" w:rsidP="007270F2">
      <w:pPr>
        <w:rPr>
          <w:iCs/>
        </w:rPr>
      </w:pPr>
      <w:r w:rsidRPr="00284C81">
        <w:rPr>
          <w:iCs/>
        </w:rPr>
        <w:t xml:space="preserve">Customers will be given </w:t>
      </w:r>
      <w:r>
        <w:rPr>
          <w:iCs/>
        </w:rPr>
        <w:t xml:space="preserve">notice in advance </w:t>
      </w:r>
      <w:r w:rsidRPr="00284C81">
        <w:rPr>
          <w:iCs/>
        </w:rPr>
        <w:t>of when the fee changes have been approved and of their effective date. This will provide time for customers that may need to update their internal systems in line with the new fees.</w:t>
      </w:r>
    </w:p>
    <w:p w14:paraId="4F9F2399" w14:textId="77777777" w:rsidR="00E50F6D" w:rsidRDefault="008A2166" w:rsidP="00101A7A">
      <w:pPr>
        <w:pStyle w:val="Heading1"/>
      </w:pPr>
      <w:bookmarkStart w:id="36" w:name="_Toc146552212"/>
      <w:r w:rsidRPr="00A95645">
        <w:t>STAKEHOLDER ENGAGEMENT</w:t>
      </w:r>
      <w:bookmarkEnd w:id="36"/>
    </w:p>
    <w:p w14:paraId="0CCB01F1" w14:textId="57576A8A" w:rsidR="008A2166" w:rsidRPr="0024112E" w:rsidRDefault="008A2166" w:rsidP="008A2166">
      <w:r w:rsidRPr="0024112E">
        <w:t>Achieving IP Australia’s purpose involves engaging effectively with customers and stakeholders.</w:t>
      </w:r>
    </w:p>
    <w:p w14:paraId="328DE642" w14:textId="77777777" w:rsidR="00E50F6D" w:rsidRDefault="008A2166" w:rsidP="008A2166">
      <w:r w:rsidRPr="0024112E">
        <w:t>By providing appropriate advice and systems to support effective engagement, IP Australia fulfils the role of raising awareness and educating customers about IP. Success includes the delivery of public education and awareness programs that promote the importance of IP and provide Australians with the tools they require to make informed decisions regarding IP.</w:t>
      </w:r>
    </w:p>
    <w:p w14:paraId="29879904" w14:textId="17C66E9B" w:rsidR="008A2166" w:rsidRPr="0024112E" w:rsidRDefault="008A2166" w:rsidP="008A2166">
      <w:pPr>
        <w:rPr>
          <w:iCs/>
        </w:rPr>
      </w:pPr>
      <w:r w:rsidRPr="0024112E">
        <w:t>IP Australia actively engages with a diverse range of stakeholders, through various channels, to canvas ideas, suggestions</w:t>
      </w:r>
      <w:r w:rsidR="00DE1796">
        <w:t xml:space="preserve"> and</w:t>
      </w:r>
      <w:r w:rsidRPr="0024112E">
        <w:t xml:space="preserve"> feedback in relation to IP Australia’s fees and fee structure.</w:t>
      </w:r>
    </w:p>
    <w:p w14:paraId="520600A6" w14:textId="278B08F8" w:rsidR="008A2166" w:rsidRPr="0024112E" w:rsidRDefault="008A2166" w:rsidP="008A2166">
      <w:pPr>
        <w:rPr>
          <w:iCs/>
        </w:rPr>
      </w:pPr>
      <w:r w:rsidRPr="0024112E">
        <w:rPr>
          <w:iCs/>
        </w:rPr>
        <w:t xml:space="preserve">IP Australia is involved in various </w:t>
      </w:r>
      <w:r w:rsidRPr="0091265E">
        <w:rPr>
          <w:iCs/>
        </w:rPr>
        <w:t>external forums</w:t>
      </w:r>
      <w:r w:rsidRPr="0024112E">
        <w:rPr>
          <w:iCs/>
        </w:rPr>
        <w:t xml:space="preserve"> including:</w:t>
      </w:r>
    </w:p>
    <w:p w14:paraId="4B53C41C" w14:textId="1FE91DB3" w:rsidR="008A2166" w:rsidRPr="0024112E" w:rsidRDefault="008A2166" w:rsidP="00CA3613">
      <w:pPr>
        <w:numPr>
          <w:ilvl w:val="0"/>
          <w:numId w:val="21"/>
        </w:numPr>
        <w:spacing w:after="120" w:line="240" w:lineRule="auto"/>
        <w:ind w:left="714" w:hanging="357"/>
        <w:rPr>
          <w:iCs/>
        </w:rPr>
      </w:pPr>
      <w:r w:rsidRPr="0024112E">
        <w:rPr>
          <w:iCs/>
        </w:rPr>
        <w:t>Patents Consultation Group (PCG)</w:t>
      </w:r>
    </w:p>
    <w:p w14:paraId="67973DE9" w14:textId="4D252B4D" w:rsidR="008A2166" w:rsidRPr="0024112E" w:rsidRDefault="008A2166" w:rsidP="00CA3613">
      <w:pPr>
        <w:numPr>
          <w:ilvl w:val="0"/>
          <w:numId w:val="21"/>
        </w:numPr>
        <w:spacing w:after="120" w:line="240" w:lineRule="auto"/>
        <w:ind w:left="714" w:hanging="357"/>
      </w:pPr>
      <w:bookmarkStart w:id="37" w:name="_Int_mqFjkUJm"/>
      <w:r w:rsidRPr="0024112E">
        <w:t>Trade Marks</w:t>
      </w:r>
      <w:bookmarkEnd w:id="37"/>
      <w:r w:rsidRPr="0024112E">
        <w:t xml:space="preserve"> and Designs Consultation Group (TMDCG)</w:t>
      </w:r>
    </w:p>
    <w:p w14:paraId="302F0862" w14:textId="77777777" w:rsidR="008A2166" w:rsidRPr="0024112E" w:rsidRDefault="008A2166" w:rsidP="00CA3613">
      <w:pPr>
        <w:numPr>
          <w:ilvl w:val="0"/>
          <w:numId w:val="21"/>
        </w:numPr>
        <w:spacing w:after="120" w:line="240" w:lineRule="auto"/>
        <w:ind w:left="714" w:hanging="357"/>
        <w:rPr>
          <w:iCs/>
        </w:rPr>
      </w:pPr>
      <w:r w:rsidRPr="0024112E">
        <w:rPr>
          <w:iCs/>
        </w:rPr>
        <w:t>Plant Breeder’s Rights Consultation Group (PBRCG)</w:t>
      </w:r>
    </w:p>
    <w:p w14:paraId="45DB5BF9" w14:textId="0D6CB4B6" w:rsidR="00E50F6D" w:rsidRDefault="008A2166" w:rsidP="00920492">
      <w:pPr>
        <w:numPr>
          <w:ilvl w:val="0"/>
          <w:numId w:val="21"/>
        </w:numPr>
        <w:spacing w:line="240" w:lineRule="auto"/>
        <w:ind w:left="714" w:hanging="357"/>
        <w:rPr>
          <w:iCs/>
          <w:u w:val="single"/>
        </w:rPr>
      </w:pPr>
      <w:r w:rsidRPr="0091265E">
        <w:rPr>
          <w:iCs/>
        </w:rPr>
        <w:t>Trans-Tasman IP Attorneys Board</w:t>
      </w:r>
    </w:p>
    <w:p w14:paraId="768EA805" w14:textId="77777777" w:rsidR="00E50F6D" w:rsidRDefault="008A2166" w:rsidP="008A2166">
      <w:pPr>
        <w:spacing w:after="240"/>
      </w:pPr>
      <w:r w:rsidRPr="0024112E">
        <w:rPr>
          <w:iCs/>
        </w:rPr>
        <w:t>These Groups are the principal forums for consultation, discussion and information exchange on issues relating to the IP system which could impact on IP policy, practice</w:t>
      </w:r>
      <w:r w:rsidR="00DE1796">
        <w:rPr>
          <w:iCs/>
        </w:rPr>
        <w:t xml:space="preserve"> and</w:t>
      </w:r>
      <w:r w:rsidRPr="0024112E">
        <w:rPr>
          <w:iCs/>
        </w:rPr>
        <w:t xml:space="preserve"> legislation in Australia. Information updates on the current fee review has been provided to these forums, including consultation with Intellectual Property Office of New Zealand</w:t>
      </w:r>
      <w:r>
        <w:rPr>
          <w:iCs/>
        </w:rPr>
        <w:t>.</w:t>
      </w:r>
    </w:p>
    <w:p w14:paraId="5CE4B436" w14:textId="67F9D5DF" w:rsidR="008A2166" w:rsidRPr="0024112E" w:rsidRDefault="008A2166" w:rsidP="00CF27B7">
      <w:pPr>
        <w:spacing w:after="80"/>
        <w:rPr>
          <w:iCs/>
        </w:rPr>
      </w:pPr>
      <w:r w:rsidRPr="0024112E">
        <w:rPr>
          <w:iCs/>
        </w:rPr>
        <w:t>The consultation and communication process for the current fee review commenced with an official notice posted on IP Australia’s website on 24 May 2023. This notice invited stakeholders to provide ideas and suggestions on IP Australia’s current fee structures, and where improvements could be made.</w:t>
      </w:r>
      <w:r>
        <w:rPr>
          <w:iCs/>
        </w:rPr>
        <w:t xml:space="preserve"> </w:t>
      </w:r>
      <w:r w:rsidRPr="0024112E">
        <w:rPr>
          <w:iCs/>
        </w:rPr>
        <w:t>Over 50 submissions were received, and each one was triaged to determine their initial feasibility. From these, several common themes were identified including:</w:t>
      </w:r>
    </w:p>
    <w:p w14:paraId="4CE270CE" w14:textId="78C6BED0" w:rsidR="008A2166" w:rsidRPr="0024112E" w:rsidRDefault="00B90361" w:rsidP="00CF27B7">
      <w:pPr>
        <w:numPr>
          <w:ilvl w:val="0"/>
          <w:numId w:val="22"/>
        </w:numPr>
        <w:spacing w:after="80" w:line="264" w:lineRule="auto"/>
        <w:ind w:hanging="720"/>
        <w:rPr>
          <w:bCs/>
          <w:iCs/>
        </w:rPr>
      </w:pPr>
      <w:r>
        <w:t>s</w:t>
      </w:r>
      <w:r w:rsidR="008A2166" w:rsidRPr="0024112E">
        <w:t xml:space="preserve">implifying fee structures </w:t>
      </w:r>
      <w:r w:rsidR="008A2166">
        <w:t>–</w:t>
      </w:r>
      <w:r w:rsidR="008A2166" w:rsidRPr="0024112E">
        <w:t xml:space="preserve"> reduce confusion and complexities around fee structures for customers.</w:t>
      </w:r>
    </w:p>
    <w:p w14:paraId="260E6BF9" w14:textId="57620F8A" w:rsidR="008A2166" w:rsidRPr="0024112E" w:rsidRDefault="00B90361" w:rsidP="00CF27B7">
      <w:pPr>
        <w:numPr>
          <w:ilvl w:val="0"/>
          <w:numId w:val="22"/>
        </w:numPr>
        <w:spacing w:after="80" w:line="264" w:lineRule="auto"/>
        <w:ind w:hanging="720"/>
        <w:rPr>
          <w:bCs/>
          <w:iCs/>
        </w:rPr>
      </w:pPr>
      <w:r>
        <w:t>b</w:t>
      </w:r>
      <w:r w:rsidR="008A2166" w:rsidRPr="0024112E">
        <w:t xml:space="preserve">alancing costs with work effort </w:t>
      </w:r>
      <w:r w:rsidR="008A2166">
        <w:t>–</w:t>
      </w:r>
      <w:r w:rsidR="008A2166" w:rsidRPr="0024112E">
        <w:t xml:space="preserve"> aligning the cost of examination with the associated fees. For example, customers pay for the number of claims examined rather than the number of claims at acceptance to better align with the work required of an examiner.</w:t>
      </w:r>
    </w:p>
    <w:p w14:paraId="125100D5" w14:textId="1285E402" w:rsidR="008A2166" w:rsidRPr="0024112E" w:rsidRDefault="00B90361" w:rsidP="00CF27B7">
      <w:pPr>
        <w:numPr>
          <w:ilvl w:val="0"/>
          <w:numId w:val="22"/>
        </w:numPr>
        <w:spacing w:after="80" w:line="264" w:lineRule="auto"/>
        <w:ind w:hanging="720"/>
        <w:rPr>
          <w:bCs/>
          <w:iCs/>
        </w:rPr>
      </w:pPr>
      <w:r>
        <w:lastRenderedPageBreak/>
        <w:t>e</w:t>
      </w:r>
      <w:r w:rsidR="008A2166" w:rsidRPr="0024112E">
        <w:t>ncourag</w:t>
      </w:r>
      <w:r>
        <w:t>ing</w:t>
      </w:r>
      <w:r w:rsidR="008A2166" w:rsidRPr="0024112E">
        <w:t xml:space="preserve"> strategic assessment of the value of IP </w:t>
      </w:r>
      <w:r w:rsidR="000320EF">
        <w:t>r</w:t>
      </w:r>
      <w:r w:rsidR="008A2166" w:rsidRPr="0024112E">
        <w:t xml:space="preserve">ights </w:t>
      </w:r>
      <w:r w:rsidR="008A2166">
        <w:t>–</w:t>
      </w:r>
      <w:r w:rsidR="008A2166" w:rsidRPr="0024112E">
        <w:t xml:space="preserve"> encourage IP owners to be </w:t>
      </w:r>
      <w:r w:rsidR="008A2166">
        <w:t xml:space="preserve">more </w:t>
      </w:r>
      <w:r w:rsidR="008A2166" w:rsidRPr="001B2B00">
        <w:t>considered</w:t>
      </w:r>
      <w:r w:rsidR="008A2166" w:rsidRPr="0024112E">
        <w:t xml:space="preserve"> when it comes to renewing their rights.</w:t>
      </w:r>
    </w:p>
    <w:p w14:paraId="00BEF663" w14:textId="77777777" w:rsidR="00E50F6D" w:rsidRDefault="00BA634B" w:rsidP="00CA3613">
      <w:pPr>
        <w:numPr>
          <w:ilvl w:val="0"/>
          <w:numId w:val="22"/>
        </w:numPr>
        <w:spacing w:after="120" w:line="264" w:lineRule="auto"/>
        <w:ind w:hanging="720"/>
      </w:pPr>
      <w:r>
        <w:t>m</w:t>
      </w:r>
      <w:r w:rsidR="008A2166" w:rsidRPr="0024112E">
        <w:t>aintain</w:t>
      </w:r>
      <w:r>
        <w:t>ing</w:t>
      </w:r>
      <w:r w:rsidR="008A2166" w:rsidRPr="0024112E">
        <w:t xml:space="preserve"> low up-front costs where possible to encourage innovation and make the IP </w:t>
      </w:r>
      <w:r w:rsidR="000320EF">
        <w:t>r</w:t>
      </w:r>
      <w:r w:rsidR="008A2166" w:rsidRPr="0024112E">
        <w:t>ights system accessible.</w:t>
      </w:r>
    </w:p>
    <w:p w14:paraId="45FA632C" w14:textId="2C457C51" w:rsidR="008A2166" w:rsidRPr="001629D7" w:rsidRDefault="008A2166" w:rsidP="008A2166">
      <w:pPr>
        <w:spacing w:after="240"/>
        <w:rPr>
          <w:rFonts w:cstheme="minorHAnsi"/>
        </w:rPr>
      </w:pPr>
      <w:r>
        <w:rPr>
          <w:rFonts w:cstheme="minorHAnsi"/>
        </w:rPr>
        <w:t>Several</w:t>
      </w:r>
      <w:r w:rsidRPr="00192E26">
        <w:rPr>
          <w:rFonts w:cstheme="minorHAnsi"/>
        </w:rPr>
        <w:t xml:space="preserve"> suggestions were deemed </w:t>
      </w:r>
      <w:r>
        <w:rPr>
          <w:rFonts w:cstheme="minorHAnsi"/>
        </w:rPr>
        <w:t>feasible,</w:t>
      </w:r>
      <w:r w:rsidRPr="00192E26">
        <w:rPr>
          <w:rFonts w:cstheme="minorHAnsi"/>
        </w:rPr>
        <w:t xml:space="preserve"> and in accordance with the Australian Government Charging Framework and </w:t>
      </w:r>
      <w:r>
        <w:rPr>
          <w:rFonts w:cstheme="minorHAnsi"/>
        </w:rPr>
        <w:t xml:space="preserve">were included in the draft CRIS. </w:t>
      </w:r>
      <w:r w:rsidRPr="001629D7">
        <w:rPr>
          <w:rFonts w:eastAsia="Segoe UI" w:cstheme="minorHAnsi"/>
        </w:rPr>
        <w:t xml:space="preserve">The draft CRIS was </w:t>
      </w:r>
      <w:r>
        <w:rPr>
          <w:rFonts w:eastAsia="Segoe UI" w:cstheme="minorHAnsi"/>
        </w:rPr>
        <w:t xml:space="preserve">released for public consultation on </w:t>
      </w:r>
      <w:r w:rsidRPr="001629D7">
        <w:rPr>
          <w:rFonts w:eastAsia="Segoe UI" w:cstheme="minorHAnsi"/>
        </w:rPr>
        <w:t>1 December 2023</w:t>
      </w:r>
      <w:r>
        <w:rPr>
          <w:rFonts w:eastAsia="Segoe UI" w:cstheme="minorHAnsi"/>
        </w:rPr>
        <w:t xml:space="preserve"> and f</w:t>
      </w:r>
      <w:r w:rsidRPr="001629D7">
        <w:rPr>
          <w:rFonts w:eastAsia="Segoe UI" w:cstheme="minorHAnsi"/>
        </w:rPr>
        <w:t xml:space="preserve">eedback on </w:t>
      </w:r>
      <w:r>
        <w:rPr>
          <w:rFonts w:eastAsia="Segoe UI" w:cstheme="minorHAnsi"/>
        </w:rPr>
        <w:t>the</w:t>
      </w:r>
      <w:r w:rsidRPr="001629D7">
        <w:rPr>
          <w:rFonts w:eastAsia="Segoe UI" w:cstheme="minorHAnsi"/>
        </w:rPr>
        <w:t xml:space="preserve"> proposed fee changes</w:t>
      </w:r>
      <w:r>
        <w:rPr>
          <w:rFonts w:eastAsia="Segoe UI" w:cstheme="minorHAnsi"/>
        </w:rPr>
        <w:t xml:space="preserve"> was</w:t>
      </w:r>
      <w:r w:rsidRPr="001629D7">
        <w:rPr>
          <w:rFonts w:eastAsia="Segoe UI" w:cstheme="minorHAnsi"/>
        </w:rPr>
        <w:t xml:space="preserve"> accepted up until 21 January 2024</w:t>
      </w:r>
      <w:r w:rsidRPr="001629D7">
        <w:rPr>
          <w:rFonts w:cstheme="minorHAnsi"/>
        </w:rPr>
        <w:t xml:space="preserve">. </w:t>
      </w:r>
      <w:r>
        <w:rPr>
          <w:rFonts w:cstheme="minorHAnsi"/>
        </w:rPr>
        <w:t>IP Australia communicated</w:t>
      </w:r>
      <w:r w:rsidRPr="001629D7">
        <w:rPr>
          <w:rFonts w:cstheme="minorHAnsi"/>
        </w:rPr>
        <w:t xml:space="preserve"> extensively </w:t>
      </w:r>
      <w:r>
        <w:rPr>
          <w:rFonts w:cstheme="minorHAnsi"/>
        </w:rPr>
        <w:t>with</w:t>
      </w:r>
      <w:r w:rsidRPr="001629D7">
        <w:rPr>
          <w:rFonts w:cstheme="minorHAnsi"/>
        </w:rPr>
        <w:t xml:space="preserve"> staff and customers through IP Australia</w:t>
      </w:r>
      <w:r>
        <w:rPr>
          <w:rFonts w:cstheme="minorHAnsi"/>
        </w:rPr>
        <w:t>’s</w:t>
      </w:r>
      <w:r w:rsidRPr="001629D7">
        <w:rPr>
          <w:rFonts w:cstheme="minorHAnsi"/>
        </w:rPr>
        <w:t xml:space="preserve"> website via an official notice and news article</w:t>
      </w:r>
      <w:r>
        <w:rPr>
          <w:rFonts w:cstheme="minorHAnsi"/>
        </w:rPr>
        <w:t>s</w:t>
      </w:r>
      <w:r w:rsidRPr="001629D7">
        <w:rPr>
          <w:rFonts w:cstheme="minorHAnsi"/>
        </w:rPr>
        <w:t xml:space="preserve">. In addition, </w:t>
      </w:r>
      <w:r>
        <w:rPr>
          <w:rFonts w:cstheme="minorHAnsi"/>
        </w:rPr>
        <w:t xml:space="preserve">notifications were posted on IP Australia’s </w:t>
      </w:r>
      <w:r w:rsidRPr="001629D7">
        <w:rPr>
          <w:rFonts w:cstheme="minorHAnsi"/>
        </w:rPr>
        <w:t xml:space="preserve">social media </w:t>
      </w:r>
      <w:r>
        <w:rPr>
          <w:rFonts w:cstheme="minorHAnsi"/>
        </w:rPr>
        <w:t xml:space="preserve">pages </w:t>
      </w:r>
      <w:r w:rsidRPr="001629D7">
        <w:rPr>
          <w:rFonts w:cstheme="minorHAnsi"/>
        </w:rPr>
        <w:t>through the feedback period.</w:t>
      </w:r>
    </w:p>
    <w:p w14:paraId="31BB690D" w14:textId="62D3783B" w:rsidR="008A2166" w:rsidRDefault="008A2166" w:rsidP="008A2166">
      <w:pPr>
        <w:spacing w:after="240"/>
        <w:rPr>
          <w:rFonts w:eastAsia="Times New Roman" w:cstheme="minorHAnsi"/>
        </w:rPr>
      </w:pPr>
      <w:r>
        <w:rPr>
          <w:rFonts w:eastAsia="Times New Roman" w:cstheme="minorHAnsi"/>
        </w:rPr>
        <w:t>Most of the feedback received related to the proposed changes to costs</w:t>
      </w:r>
      <w:r w:rsidRPr="005E62CB">
        <w:rPr>
          <w:rFonts w:eastAsia="Times New Roman" w:cstheme="minorHAnsi"/>
        </w:rPr>
        <w:t xml:space="preserve"> awarded</w:t>
      </w:r>
      <w:r w:rsidRPr="001629D7">
        <w:rPr>
          <w:rFonts w:eastAsia="Times New Roman" w:cstheme="minorHAnsi"/>
        </w:rPr>
        <w:t xml:space="preserve"> and </w:t>
      </w:r>
      <w:r w:rsidRPr="005E62CB">
        <w:rPr>
          <w:rFonts w:eastAsia="Times New Roman" w:cstheme="minorHAnsi"/>
        </w:rPr>
        <w:t>hearing fees</w:t>
      </w:r>
      <w:r>
        <w:rPr>
          <w:rFonts w:eastAsia="Times New Roman" w:cstheme="minorHAnsi"/>
        </w:rPr>
        <w:t>, while other comments related to the proposed changes to p</w:t>
      </w:r>
      <w:r w:rsidRPr="001629D7">
        <w:rPr>
          <w:rFonts w:eastAsia="Times New Roman" w:cstheme="minorHAnsi"/>
        </w:rPr>
        <w:t>atent</w:t>
      </w:r>
      <w:r w:rsidRPr="008958A6">
        <w:rPr>
          <w:rFonts w:eastAsia="Times New Roman" w:cstheme="minorHAnsi"/>
        </w:rPr>
        <w:t xml:space="preserve"> excess </w:t>
      </w:r>
      <w:r w:rsidRPr="001629D7">
        <w:rPr>
          <w:rFonts w:eastAsia="Times New Roman" w:cstheme="minorHAnsi"/>
        </w:rPr>
        <w:t>claim</w:t>
      </w:r>
      <w:r>
        <w:rPr>
          <w:rFonts w:eastAsia="Times New Roman" w:cstheme="minorHAnsi"/>
        </w:rPr>
        <w:t>s,</w:t>
      </w:r>
      <w:r w:rsidRPr="008958A6">
        <w:rPr>
          <w:rFonts w:eastAsia="Times New Roman" w:cstheme="minorHAnsi"/>
        </w:rPr>
        <w:t xml:space="preserve"> </w:t>
      </w:r>
      <w:r>
        <w:rPr>
          <w:rFonts w:eastAsia="Times New Roman" w:cstheme="minorHAnsi"/>
        </w:rPr>
        <w:t>patent innovation fees,</w:t>
      </w:r>
      <w:r w:rsidRPr="008958A6">
        <w:rPr>
          <w:rFonts w:eastAsia="Times New Roman" w:cstheme="minorHAnsi"/>
        </w:rPr>
        <w:t xml:space="preserve"> </w:t>
      </w:r>
      <w:r>
        <w:rPr>
          <w:rFonts w:eastAsia="Times New Roman" w:cstheme="minorHAnsi"/>
        </w:rPr>
        <w:t>patent international</w:t>
      </w:r>
      <w:r w:rsidR="00D559B2">
        <w:rPr>
          <w:rFonts w:eastAsia="Times New Roman" w:cstheme="minorHAnsi"/>
        </w:rPr>
        <w:t>-</w:t>
      </w:r>
      <w:r>
        <w:rPr>
          <w:rFonts w:eastAsia="Times New Roman" w:cstheme="minorHAnsi"/>
        </w:rPr>
        <w:t>type search</w:t>
      </w:r>
      <w:r w:rsidR="008C56F9">
        <w:rPr>
          <w:rFonts w:eastAsia="Times New Roman" w:cstheme="minorHAnsi"/>
        </w:rPr>
        <w:t xml:space="preserve"> and</w:t>
      </w:r>
      <w:r>
        <w:rPr>
          <w:rFonts w:eastAsia="Times New Roman" w:cstheme="minorHAnsi"/>
        </w:rPr>
        <w:t xml:space="preserve"> </w:t>
      </w:r>
      <w:r w:rsidRPr="008958A6">
        <w:rPr>
          <w:rFonts w:eastAsia="Times New Roman" w:cstheme="minorHAnsi"/>
        </w:rPr>
        <w:t>PBR</w:t>
      </w:r>
      <w:r>
        <w:rPr>
          <w:rFonts w:eastAsia="Times New Roman" w:cstheme="minorHAnsi"/>
        </w:rPr>
        <w:t xml:space="preserve"> fees. IP Australia considered all feedback received and incorporated some suggestions into the final fee list as provided</w:t>
      </w:r>
      <w:r w:rsidRPr="001629D7">
        <w:rPr>
          <w:rFonts w:cstheme="minorHAnsi"/>
        </w:rPr>
        <w:t xml:space="preserve"> in Attachment A.</w:t>
      </w:r>
      <w:r>
        <w:rPr>
          <w:rFonts w:cstheme="minorHAnsi"/>
        </w:rPr>
        <w:t xml:space="preserve"> </w:t>
      </w:r>
      <w:r w:rsidRPr="000F5192" w:rsidDel="008B3CEC">
        <w:rPr>
          <w:rFonts w:eastAsia="Times New Roman" w:cstheme="minorHAnsi"/>
        </w:rPr>
        <w:t xml:space="preserve">The feedback </w:t>
      </w:r>
      <w:r w:rsidDel="008B3CEC">
        <w:rPr>
          <w:rFonts w:eastAsia="Times New Roman" w:cstheme="minorHAnsi"/>
        </w:rPr>
        <w:t xml:space="preserve">also </w:t>
      </w:r>
      <w:r w:rsidRPr="003C2D4B" w:rsidDel="008B3CEC">
        <w:rPr>
          <w:rFonts w:eastAsia="Times New Roman" w:cstheme="minorHAnsi"/>
        </w:rPr>
        <w:t xml:space="preserve">raised other </w:t>
      </w:r>
      <w:r>
        <w:rPr>
          <w:rFonts w:eastAsia="Times New Roman" w:cstheme="minorHAnsi"/>
        </w:rPr>
        <w:t>considerations</w:t>
      </w:r>
      <w:r w:rsidRPr="003C2D4B" w:rsidDel="008B3CEC">
        <w:rPr>
          <w:rFonts w:eastAsia="Times New Roman" w:cstheme="minorHAnsi"/>
        </w:rPr>
        <w:t xml:space="preserve"> including the potential for small to medium enterprise fee discounts</w:t>
      </w:r>
      <w:r>
        <w:rPr>
          <w:rFonts w:eastAsia="Times New Roman" w:cstheme="minorHAnsi"/>
        </w:rPr>
        <w:t xml:space="preserve"> and potential</w:t>
      </w:r>
      <w:r w:rsidRPr="004D124D" w:rsidDel="008B3CEC">
        <w:rPr>
          <w:rFonts w:eastAsia="Times New Roman" w:cstheme="minorHAnsi"/>
        </w:rPr>
        <w:t xml:space="preserve"> efficiency gains from the use of </w:t>
      </w:r>
      <w:bookmarkStart w:id="38" w:name="_Int_s729E3Wh"/>
      <w:r w:rsidR="00C93753">
        <w:rPr>
          <w:rFonts w:eastAsia="Times New Roman" w:cstheme="minorHAnsi"/>
        </w:rPr>
        <w:t>a</w:t>
      </w:r>
      <w:r w:rsidR="00F0184B">
        <w:rPr>
          <w:rFonts w:eastAsia="Times New Roman" w:cstheme="minorHAnsi"/>
        </w:rPr>
        <w:t xml:space="preserve">rtificial </w:t>
      </w:r>
      <w:r w:rsidRPr="004D124D" w:rsidDel="008B3CEC">
        <w:rPr>
          <w:rFonts w:eastAsia="Times New Roman" w:cstheme="minorHAnsi"/>
        </w:rPr>
        <w:t>I</w:t>
      </w:r>
      <w:bookmarkEnd w:id="38"/>
      <w:r w:rsidR="005469A5">
        <w:rPr>
          <w:rFonts w:eastAsia="Times New Roman" w:cstheme="minorHAnsi"/>
        </w:rPr>
        <w:t>ntelligence</w:t>
      </w:r>
      <w:r w:rsidRPr="004D124D" w:rsidDel="008B3CEC">
        <w:rPr>
          <w:rFonts w:eastAsia="Times New Roman" w:cstheme="minorHAnsi"/>
        </w:rPr>
        <w:t xml:space="preserve"> </w:t>
      </w:r>
      <w:r w:rsidR="002F52A3">
        <w:rPr>
          <w:rFonts w:eastAsia="Times New Roman" w:cstheme="minorHAnsi"/>
        </w:rPr>
        <w:t xml:space="preserve">(AI) </w:t>
      </w:r>
      <w:r w:rsidRPr="004D124D" w:rsidDel="008B3CEC">
        <w:rPr>
          <w:rFonts w:eastAsia="Times New Roman" w:cstheme="minorHAnsi"/>
        </w:rPr>
        <w:t>technology</w:t>
      </w:r>
      <w:r w:rsidRPr="004D124D">
        <w:rPr>
          <w:rFonts w:eastAsia="Times New Roman" w:cstheme="minorHAnsi"/>
        </w:rPr>
        <w:t>.</w:t>
      </w:r>
    </w:p>
    <w:p w14:paraId="7DB9D7EF" w14:textId="77777777" w:rsidR="008A2166" w:rsidRPr="0024112E" w:rsidRDefault="008A2166" w:rsidP="00CF27B7">
      <w:pPr>
        <w:spacing w:after="80"/>
        <w:rPr>
          <w:iCs/>
        </w:rPr>
      </w:pPr>
      <w:r w:rsidRPr="0024112E">
        <w:rPr>
          <w:iCs/>
        </w:rPr>
        <w:t>IP Australia continues to provide ongoing mechanisms for stakeholders to provide feedback on IP Australia’s fees and cost recovery arrangements. These include:</w:t>
      </w:r>
    </w:p>
    <w:p w14:paraId="5D9DDF36" w14:textId="77777777" w:rsidR="008A2166" w:rsidRPr="0024112E" w:rsidRDefault="008A2166" w:rsidP="00CF27B7">
      <w:pPr>
        <w:numPr>
          <w:ilvl w:val="0"/>
          <w:numId w:val="23"/>
        </w:numPr>
        <w:spacing w:after="80" w:line="264" w:lineRule="auto"/>
        <w:ind w:hanging="720"/>
      </w:pPr>
      <w:r w:rsidRPr="0024112E">
        <w:t xml:space="preserve">IP Australia’s Customer Service Charter, </w:t>
      </w:r>
      <w:r>
        <w:t xml:space="preserve">and Strategic Corporate Plan </w:t>
      </w:r>
      <w:r w:rsidRPr="0024112E">
        <w:t>which outlines the agency’s commitments to customers, and</w:t>
      </w:r>
    </w:p>
    <w:p w14:paraId="0C891055" w14:textId="69AC166D" w:rsidR="008A2166" w:rsidRPr="0024112E" w:rsidRDefault="008A2166" w:rsidP="00CF27B7">
      <w:pPr>
        <w:numPr>
          <w:ilvl w:val="0"/>
          <w:numId w:val="23"/>
        </w:numPr>
        <w:spacing w:line="264" w:lineRule="auto"/>
        <w:ind w:hanging="720"/>
        <w:rPr>
          <w:iCs/>
        </w:rPr>
      </w:pPr>
      <w:r w:rsidRPr="0024112E">
        <w:rPr>
          <w:iCs/>
        </w:rPr>
        <w:t>a customer feedback database that captures customer compliments, complaints</w:t>
      </w:r>
      <w:r w:rsidR="008C56F9">
        <w:rPr>
          <w:iCs/>
        </w:rPr>
        <w:t xml:space="preserve"> and</w:t>
      </w:r>
      <w:r w:rsidRPr="0024112E">
        <w:rPr>
          <w:iCs/>
        </w:rPr>
        <w:t xml:space="preserve"> suggestions for improvement.</w:t>
      </w:r>
    </w:p>
    <w:p w14:paraId="76FABE20" w14:textId="01E47EFA" w:rsidR="004C234F" w:rsidRDefault="008A2166" w:rsidP="008A2166">
      <w:pPr>
        <w:spacing w:after="240"/>
      </w:pPr>
      <w:r w:rsidRPr="0024112E">
        <w:t xml:space="preserve">As an entity of the Australian Government, IP Australia’s primary accountability is to the Australian public through the </w:t>
      </w:r>
      <w:r w:rsidR="007E2159" w:rsidRPr="0091265E">
        <w:t>Minister for Industry and Science</w:t>
      </w:r>
      <w:r w:rsidRPr="0024112E">
        <w:t xml:space="preserve">. In addition, the agents and representatives of IP Australia’s direct customers are important stakeholders. IP Australia maintains an active involvement with industry, business groups, the IP attorney profession, </w:t>
      </w:r>
      <w:r w:rsidR="002750B7">
        <w:t>g</w:t>
      </w:r>
      <w:r w:rsidRPr="0024112E">
        <w:t>overnment policy makers, academic and research bodies</w:t>
      </w:r>
      <w:r w:rsidR="008C56F9">
        <w:t xml:space="preserve"> and</w:t>
      </w:r>
      <w:r w:rsidRPr="0024112E">
        <w:t xml:space="preserve"> the wider legal community. IP Australia is also an active participant in the proceedings of the World Intellectual Property Organi</w:t>
      </w:r>
      <w:r w:rsidR="00F87ED5">
        <w:t>z</w:t>
      </w:r>
      <w:r w:rsidRPr="0024112E">
        <w:t>ation (WIPO) which administers the international IP rights system on behalf of all member states.</w:t>
      </w:r>
    </w:p>
    <w:p w14:paraId="61FC1F48" w14:textId="3CB14040" w:rsidR="008A2166" w:rsidRPr="00D57921" w:rsidRDefault="008A2166" w:rsidP="00101A7A">
      <w:pPr>
        <w:pStyle w:val="Heading1"/>
      </w:pPr>
      <w:bookmarkStart w:id="39" w:name="_Toc146552213"/>
      <w:r w:rsidRPr="00D57921">
        <w:t>FINANCIAL PERFORMANCE</w:t>
      </w:r>
      <w:bookmarkEnd w:id="39"/>
    </w:p>
    <w:p w14:paraId="71070BF3" w14:textId="77777777" w:rsidR="00E50F6D" w:rsidRDefault="008A2166" w:rsidP="008A2166">
      <w:pPr>
        <w:rPr>
          <w:iCs/>
        </w:rPr>
      </w:pPr>
      <w:r w:rsidRPr="00577900">
        <w:rPr>
          <w:iCs/>
        </w:rPr>
        <w:t>The fee changes listed in Attachment A are forecast to result in the projected financial outcomes for IP Australia.</w:t>
      </w:r>
    </w:p>
    <w:p w14:paraId="627CD7B2" w14:textId="77777777" w:rsidR="0085798D" w:rsidRDefault="0085798D" w:rsidP="008A2166">
      <w:pPr>
        <w:rPr>
          <w:i/>
          <w:iCs/>
        </w:rPr>
      </w:pPr>
      <w:r>
        <w:rPr>
          <w:i/>
          <w:iCs/>
        </w:rPr>
        <w:br w:type="page"/>
      </w:r>
    </w:p>
    <w:p w14:paraId="0BF0D47C" w14:textId="12C31EAF" w:rsidR="008A2166" w:rsidRDefault="008A2166" w:rsidP="008A2166">
      <w:pPr>
        <w:rPr>
          <w:iCs/>
        </w:rPr>
      </w:pPr>
      <w:r w:rsidRPr="00577900">
        <w:rPr>
          <w:i/>
          <w:iCs/>
        </w:rPr>
        <w:lastRenderedPageBreak/>
        <w:t xml:space="preserve">Table </w:t>
      </w:r>
      <w:r>
        <w:rPr>
          <w:i/>
          <w:iCs/>
        </w:rPr>
        <w:t>5</w:t>
      </w:r>
      <w:r w:rsidRPr="00577900">
        <w:rPr>
          <w:i/>
          <w:iCs/>
        </w:rPr>
        <w:t xml:space="preserve"> – Projected Financial Outcomes for IP Australia</w:t>
      </w:r>
    </w:p>
    <w:tbl>
      <w:tblPr>
        <w:tblStyle w:val="TableGrid"/>
        <w:tblW w:w="8926" w:type="dxa"/>
        <w:tblLook w:val="04A0" w:firstRow="1" w:lastRow="0" w:firstColumn="1" w:lastColumn="0" w:noHBand="0" w:noVBand="1"/>
      </w:tblPr>
      <w:tblGrid>
        <w:gridCol w:w="3256"/>
        <w:gridCol w:w="1417"/>
        <w:gridCol w:w="1418"/>
        <w:gridCol w:w="1417"/>
        <w:gridCol w:w="1418"/>
      </w:tblGrid>
      <w:tr w:rsidR="008A2166" w14:paraId="4E383EA4" w14:textId="77777777">
        <w:trPr>
          <w:trHeight w:val="340"/>
        </w:trPr>
        <w:tc>
          <w:tcPr>
            <w:tcW w:w="3256" w:type="dxa"/>
            <w:tcBorders>
              <w:top w:val="nil"/>
              <w:left w:val="nil"/>
              <w:bottom w:val="single" w:sz="4" w:space="0" w:color="auto"/>
            </w:tcBorders>
            <w:shd w:val="clear" w:color="auto" w:fill="auto"/>
            <w:vAlign w:val="bottom"/>
          </w:tcPr>
          <w:p w14:paraId="31144D46" w14:textId="77777777" w:rsidR="008A2166" w:rsidRPr="006C5CEA" w:rsidRDefault="008A2166">
            <w:pPr>
              <w:rPr>
                <w:rFonts w:asciiTheme="minorHAnsi" w:eastAsia="SimSun" w:hAnsiTheme="minorHAnsi" w:cstheme="minorHAnsi"/>
                <w:b/>
                <w:bCs/>
                <w:iCs/>
                <w:sz w:val="16"/>
                <w:szCs w:val="16"/>
              </w:rPr>
            </w:pPr>
          </w:p>
        </w:tc>
        <w:tc>
          <w:tcPr>
            <w:tcW w:w="1417" w:type="dxa"/>
            <w:tcBorders>
              <w:top w:val="single" w:sz="4" w:space="0" w:color="auto"/>
            </w:tcBorders>
            <w:shd w:val="clear" w:color="auto" w:fill="D9E2F3" w:themeFill="accent1" w:themeFillTint="33"/>
            <w:vAlign w:val="bottom"/>
          </w:tcPr>
          <w:p w14:paraId="72E5410E"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Budget Estimate</w:t>
            </w:r>
          </w:p>
          <w:p w14:paraId="5FFDB2FD" w14:textId="77777777" w:rsidR="008A2166" w:rsidRPr="006C5CEA"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2024-25</w:t>
            </w:r>
          </w:p>
        </w:tc>
        <w:tc>
          <w:tcPr>
            <w:tcW w:w="1418" w:type="dxa"/>
            <w:tcBorders>
              <w:top w:val="single" w:sz="4" w:space="0" w:color="auto"/>
            </w:tcBorders>
            <w:shd w:val="clear" w:color="auto" w:fill="D9E2F3" w:themeFill="accent1" w:themeFillTint="33"/>
            <w:vAlign w:val="bottom"/>
          </w:tcPr>
          <w:p w14:paraId="22C88C52"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02BBFBA9"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2025-26</w:t>
            </w:r>
          </w:p>
        </w:tc>
        <w:tc>
          <w:tcPr>
            <w:tcW w:w="1417" w:type="dxa"/>
            <w:tcBorders>
              <w:top w:val="single" w:sz="4" w:space="0" w:color="auto"/>
            </w:tcBorders>
            <w:shd w:val="clear" w:color="auto" w:fill="D9E2F3" w:themeFill="accent1" w:themeFillTint="33"/>
            <w:vAlign w:val="bottom"/>
          </w:tcPr>
          <w:p w14:paraId="00B23C05"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50B53315"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2026-27</w:t>
            </w:r>
          </w:p>
        </w:tc>
        <w:tc>
          <w:tcPr>
            <w:tcW w:w="1418" w:type="dxa"/>
            <w:tcBorders>
              <w:top w:val="single" w:sz="4" w:space="0" w:color="auto"/>
            </w:tcBorders>
            <w:shd w:val="clear" w:color="auto" w:fill="D9E2F3" w:themeFill="accent1" w:themeFillTint="33"/>
            <w:vAlign w:val="bottom"/>
          </w:tcPr>
          <w:p w14:paraId="52757DFF"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006F706A"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2027-28</w:t>
            </w:r>
          </w:p>
        </w:tc>
      </w:tr>
      <w:tr w:rsidR="008A2166" w14:paraId="0C49C62E" w14:textId="77777777">
        <w:trPr>
          <w:trHeight w:val="340"/>
        </w:trPr>
        <w:tc>
          <w:tcPr>
            <w:tcW w:w="3256" w:type="dxa"/>
            <w:tcBorders>
              <w:left w:val="single" w:sz="4" w:space="0" w:color="auto"/>
            </w:tcBorders>
            <w:shd w:val="clear" w:color="auto" w:fill="D9E2F3" w:themeFill="accent1" w:themeFillTint="33"/>
            <w:vAlign w:val="bottom"/>
          </w:tcPr>
          <w:p w14:paraId="5EC7F2E4" w14:textId="77777777" w:rsidR="008A2166" w:rsidRPr="004C20FC" w:rsidRDefault="008A2166">
            <w:pP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Description</w:t>
            </w:r>
          </w:p>
        </w:tc>
        <w:tc>
          <w:tcPr>
            <w:tcW w:w="1417" w:type="dxa"/>
            <w:shd w:val="clear" w:color="auto" w:fill="D9E2F3" w:themeFill="accent1" w:themeFillTint="33"/>
            <w:vAlign w:val="bottom"/>
          </w:tcPr>
          <w:p w14:paraId="37BE0DEA" w14:textId="77777777" w:rsidR="008A2166" w:rsidRPr="004C20FC" w:rsidRDefault="008A2166">
            <w:pPr>
              <w:jc w:val="cente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$’M</w:t>
            </w:r>
          </w:p>
        </w:tc>
        <w:tc>
          <w:tcPr>
            <w:tcW w:w="1418" w:type="dxa"/>
            <w:shd w:val="clear" w:color="auto" w:fill="D9E2F3" w:themeFill="accent1" w:themeFillTint="33"/>
            <w:vAlign w:val="bottom"/>
          </w:tcPr>
          <w:p w14:paraId="112891DE" w14:textId="77777777" w:rsidR="008A2166" w:rsidRPr="004C20FC" w:rsidRDefault="008A2166">
            <w:pPr>
              <w:jc w:val="cente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$’M</w:t>
            </w:r>
          </w:p>
        </w:tc>
        <w:tc>
          <w:tcPr>
            <w:tcW w:w="1417" w:type="dxa"/>
            <w:shd w:val="clear" w:color="auto" w:fill="D9E2F3" w:themeFill="accent1" w:themeFillTint="33"/>
            <w:vAlign w:val="bottom"/>
          </w:tcPr>
          <w:p w14:paraId="5C70AC8A" w14:textId="77777777" w:rsidR="008A2166" w:rsidRPr="004C20FC" w:rsidRDefault="008A2166">
            <w:pPr>
              <w:jc w:val="cente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$’M</w:t>
            </w:r>
          </w:p>
        </w:tc>
        <w:tc>
          <w:tcPr>
            <w:tcW w:w="1418" w:type="dxa"/>
            <w:shd w:val="clear" w:color="auto" w:fill="D9E2F3" w:themeFill="accent1" w:themeFillTint="33"/>
            <w:vAlign w:val="bottom"/>
          </w:tcPr>
          <w:p w14:paraId="6998217E" w14:textId="77777777" w:rsidR="008A2166" w:rsidRPr="004C20FC" w:rsidRDefault="008A2166">
            <w:pPr>
              <w:jc w:val="cente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$’M</w:t>
            </w:r>
          </w:p>
        </w:tc>
      </w:tr>
      <w:tr w:rsidR="008A2166" w14:paraId="50427B89" w14:textId="77777777">
        <w:trPr>
          <w:trHeight w:val="340"/>
        </w:trPr>
        <w:tc>
          <w:tcPr>
            <w:tcW w:w="3256" w:type="dxa"/>
            <w:tcBorders>
              <w:left w:val="single" w:sz="4" w:space="0" w:color="auto"/>
            </w:tcBorders>
            <w:vAlign w:val="bottom"/>
          </w:tcPr>
          <w:p w14:paraId="0544794E" w14:textId="77777777" w:rsidR="008A2166" w:rsidRPr="004C20FC" w:rsidRDefault="008A2166">
            <w:pP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Income</w:t>
            </w:r>
          </w:p>
        </w:tc>
        <w:tc>
          <w:tcPr>
            <w:tcW w:w="1417" w:type="dxa"/>
            <w:vAlign w:val="bottom"/>
          </w:tcPr>
          <w:p w14:paraId="2EEE475B" w14:textId="77777777" w:rsidR="008A2166" w:rsidRPr="004C20FC" w:rsidRDefault="008A2166">
            <w:pPr>
              <w:jc w:val="right"/>
              <w:rPr>
                <w:rFonts w:asciiTheme="minorHAnsi" w:eastAsia="SimSun" w:hAnsiTheme="minorHAnsi" w:cstheme="minorHAnsi"/>
                <w:iCs/>
                <w:sz w:val="16"/>
                <w:szCs w:val="16"/>
              </w:rPr>
            </w:pPr>
            <w:r w:rsidRPr="004C20FC">
              <w:rPr>
                <w:rFonts w:asciiTheme="minorHAnsi" w:hAnsiTheme="minorHAnsi" w:cstheme="minorHAnsi"/>
                <w:sz w:val="16"/>
                <w:szCs w:val="16"/>
              </w:rPr>
              <w:t>$27</w:t>
            </w:r>
            <w:r>
              <w:rPr>
                <w:rFonts w:asciiTheme="minorHAnsi" w:hAnsiTheme="minorHAnsi" w:cstheme="minorHAnsi"/>
                <w:sz w:val="16"/>
                <w:szCs w:val="16"/>
              </w:rPr>
              <w:t>7.739</w:t>
            </w:r>
          </w:p>
        </w:tc>
        <w:tc>
          <w:tcPr>
            <w:tcW w:w="1418" w:type="dxa"/>
            <w:vAlign w:val="bottom"/>
          </w:tcPr>
          <w:p w14:paraId="0634335F" w14:textId="77777777" w:rsidR="008A2166" w:rsidRPr="0020699B" w:rsidRDefault="008A2166">
            <w:pPr>
              <w:jc w:val="right"/>
              <w:rPr>
                <w:rFonts w:asciiTheme="minorHAnsi" w:eastAsia="SimSun" w:hAnsiTheme="minorHAnsi" w:cstheme="minorHAnsi"/>
                <w:iCs/>
                <w:sz w:val="16"/>
                <w:szCs w:val="16"/>
              </w:rPr>
            </w:pPr>
            <w:r w:rsidRPr="0020699B">
              <w:rPr>
                <w:rFonts w:asciiTheme="minorHAnsi" w:hAnsiTheme="minorHAnsi" w:cstheme="minorHAnsi"/>
                <w:sz w:val="16"/>
                <w:szCs w:val="16"/>
              </w:rPr>
              <w:t>$283.66</w:t>
            </w:r>
            <w:r>
              <w:rPr>
                <w:rFonts w:asciiTheme="minorHAnsi" w:hAnsiTheme="minorHAnsi" w:cstheme="minorHAnsi"/>
                <w:sz w:val="16"/>
                <w:szCs w:val="16"/>
              </w:rPr>
              <w:t>5</w:t>
            </w:r>
          </w:p>
        </w:tc>
        <w:tc>
          <w:tcPr>
            <w:tcW w:w="1417" w:type="dxa"/>
            <w:vAlign w:val="bottom"/>
          </w:tcPr>
          <w:p w14:paraId="1BA377AA" w14:textId="77777777" w:rsidR="008A2166" w:rsidRPr="0020699B" w:rsidRDefault="008A2166">
            <w:pPr>
              <w:jc w:val="right"/>
              <w:rPr>
                <w:rFonts w:asciiTheme="minorHAnsi" w:eastAsia="SimSun" w:hAnsiTheme="minorHAnsi" w:cstheme="minorHAnsi"/>
                <w:iCs/>
                <w:sz w:val="16"/>
                <w:szCs w:val="16"/>
              </w:rPr>
            </w:pPr>
            <w:r w:rsidRPr="0020699B">
              <w:rPr>
                <w:rFonts w:asciiTheme="minorHAnsi" w:hAnsiTheme="minorHAnsi" w:cstheme="minorHAnsi"/>
                <w:sz w:val="16"/>
                <w:szCs w:val="16"/>
              </w:rPr>
              <w:t>$290.52</w:t>
            </w:r>
            <w:r>
              <w:rPr>
                <w:rFonts w:asciiTheme="minorHAnsi" w:hAnsiTheme="minorHAnsi" w:cstheme="minorHAnsi"/>
                <w:sz w:val="16"/>
                <w:szCs w:val="16"/>
              </w:rPr>
              <w:t>8</w:t>
            </w:r>
          </w:p>
        </w:tc>
        <w:tc>
          <w:tcPr>
            <w:tcW w:w="1418" w:type="dxa"/>
            <w:vAlign w:val="bottom"/>
          </w:tcPr>
          <w:p w14:paraId="6932786A" w14:textId="77777777" w:rsidR="008A2166" w:rsidRPr="0020699B" w:rsidRDefault="008A2166">
            <w:pPr>
              <w:jc w:val="right"/>
              <w:rPr>
                <w:rFonts w:asciiTheme="minorHAnsi" w:eastAsia="SimSun" w:hAnsiTheme="minorHAnsi" w:cstheme="minorHAnsi"/>
                <w:iCs/>
                <w:sz w:val="16"/>
                <w:szCs w:val="16"/>
              </w:rPr>
            </w:pPr>
            <w:r w:rsidRPr="0020699B">
              <w:rPr>
                <w:rFonts w:asciiTheme="minorHAnsi" w:hAnsiTheme="minorHAnsi" w:cstheme="minorHAnsi"/>
                <w:sz w:val="16"/>
                <w:szCs w:val="16"/>
              </w:rPr>
              <w:t>$296.22</w:t>
            </w:r>
            <w:r>
              <w:rPr>
                <w:rFonts w:asciiTheme="minorHAnsi" w:hAnsiTheme="minorHAnsi" w:cstheme="minorHAnsi"/>
                <w:sz w:val="16"/>
                <w:szCs w:val="16"/>
              </w:rPr>
              <w:t>7</w:t>
            </w:r>
          </w:p>
        </w:tc>
      </w:tr>
      <w:tr w:rsidR="008A2166" w14:paraId="187725CC" w14:textId="77777777">
        <w:trPr>
          <w:trHeight w:val="340"/>
        </w:trPr>
        <w:tc>
          <w:tcPr>
            <w:tcW w:w="3256" w:type="dxa"/>
            <w:tcBorders>
              <w:left w:val="single" w:sz="4" w:space="0" w:color="auto"/>
            </w:tcBorders>
            <w:vAlign w:val="bottom"/>
          </w:tcPr>
          <w:p w14:paraId="218A085E" w14:textId="77777777" w:rsidR="008A2166" w:rsidRPr="004C20FC" w:rsidRDefault="008A2166">
            <w:pP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Revenue from Government</w:t>
            </w:r>
          </w:p>
        </w:tc>
        <w:tc>
          <w:tcPr>
            <w:tcW w:w="1417" w:type="dxa"/>
            <w:vAlign w:val="bottom"/>
          </w:tcPr>
          <w:p w14:paraId="476FD092" w14:textId="77777777" w:rsidR="008A2166" w:rsidRPr="004C20FC" w:rsidRDefault="008A2166">
            <w:pPr>
              <w:jc w:val="right"/>
              <w:rPr>
                <w:rFonts w:asciiTheme="minorHAnsi" w:eastAsia="SimSun" w:hAnsiTheme="minorHAnsi" w:cstheme="minorHAnsi"/>
                <w:iCs/>
                <w:sz w:val="16"/>
                <w:szCs w:val="16"/>
              </w:rPr>
            </w:pPr>
            <w:r w:rsidRPr="004C20FC">
              <w:rPr>
                <w:rFonts w:asciiTheme="minorHAnsi" w:hAnsiTheme="minorHAnsi" w:cstheme="minorHAnsi"/>
                <w:sz w:val="16"/>
                <w:szCs w:val="16"/>
              </w:rPr>
              <w:t>$0.380</w:t>
            </w:r>
          </w:p>
        </w:tc>
        <w:tc>
          <w:tcPr>
            <w:tcW w:w="1418" w:type="dxa"/>
            <w:vAlign w:val="bottom"/>
          </w:tcPr>
          <w:p w14:paraId="27A14363" w14:textId="77777777" w:rsidR="008A2166" w:rsidRPr="0020699B" w:rsidRDefault="008A2166">
            <w:pPr>
              <w:jc w:val="right"/>
              <w:rPr>
                <w:rFonts w:asciiTheme="minorHAnsi" w:eastAsia="SimSun" w:hAnsiTheme="minorHAnsi" w:cstheme="minorHAnsi"/>
                <w:iCs/>
                <w:sz w:val="16"/>
                <w:szCs w:val="16"/>
              </w:rPr>
            </w:pPr>
            <w:r w:rsidRPr="0020699B">
              <w:rPr>
                <w:rFonts w:asciiTheme="minorHAnsi" w:hAnsiTheme="minorHAnsi" w:cstheme="minorHAnsi"/>
                <w:sz w:val="16"/>
                <w:szCs w:val="16"/>
              </w:rPr>
              <w:t>$0.38</w:t>
            </w:r>
            <w:r>
              <w:rPr>
                <w:rFonts w:asciiTheme="minorHAnsi" w:hAnsiTheme="minorHAnsi" w:cstheme="minorHAnsi"/>
                <w:sz w:val="16"/>
                <w:szCs w:val="16"/>
              </w:rPr>
              <w:t>2</w:t>
            </w:r>
          </w:p>
        </w:tc>
        <w:tc>
          <w:tcPr>
            <w:tcW w:w="1417" w:type="dxa"/>
            <w:vAlign w:val="bottom"/>
          </w:tcPr>
          <w:p w14:paraId="70A2F857" w14:textId="77777777" w:rsidR="008A2166" w:rsidRPr="0020699B" w:rsidRDefault="008A2166">
            <w:pPr>
              <w:jc w:val="right"/>
              <w:rPr>
                <w:rFonts w:asciiTheme="minorHAnsi" w:eastAsia="SimSun" w:hAnsiTheme="minorHAnsi" w:cstheme="minorHAnsi"/>
                <w:iCs/>
                <w:sz w:val="16"/>
                <w:szCs w:val="16"/>
              </w:rPr>
            </w:pPr>
            <w:r w:rsidRPr="0020699B">
              <w:rPr>
                <w:rFonts w:asciiTheme="minorHAnsi" w:hAnsiTheme="minorHAnsi" w:cstheme="minorHAnsi"/>
                <w:sz w:val="16"/>
                <w:szCs w:val="16"/>
              </w:rPr>
              <w:t>$0.38</w:t>
            </w:r>
            <w:r>
              <w:rPr>
                <w:rFonts w:asciiTheme="minorHAnsi" w:hAnsiTheme="minorHAnsi" w:cstheme="minorHAnsi"/>
                <w:sz w:val="16"/>
                <w:szCs w:val="16"/>
              </w:rPr>
              <w:t>8</w:t>
            </w:r>
          </w:p>
        </w:tc>
        <w:tc>
          <w:tcPr>
            <w:tcW w:w="1418" w:type="dxa"/>
            <w:vAlign w:val="bottom"/>
          </w:tcPr>
          <w:p w14:paraId="371E1778" w14:textId="77777777" w:rsidR="008A2166" w:rsidRPr="0020699B" w:rsidRDefault="008A2166">
            <w:pPr>
              <w:jc w:val="right"/>
              <w:rPr>
                <w:rFonts w:asciiTheme="minorHAnsi" w:eastAsia="SimSun" w:hAnsiTheme="minorHAnsi" w:cstheme="minorHAnsi"/>
                <w:iCs/>
                <w:sz w:val="16"/>
                <w:szCs w:val="16"/>
              </w:rPr>
            </w:pPr>
            <w:r w:rsidRPr="0020699B">
              <w:rPr>
                <w:rFonts w:asciiTheme="minorHAnsi" w:hAnsiTheme="minorHAnsi" w:cstheme="minorHAnsi"/>
                <w:sz w:val="16"/>
                <w:szCs w:val="16"/>
              </w:rPr>
              <w:t>$0.39</w:t>
            </w:r>
            <w:r>
              <w:rPr>
                <w:rFonts w:asciiTheme="minorHAnsi" w:hAnsiTheme="minorHAnsi" w:cstheme="minorHAnsi"/>
                <w:sz w:val="16"/>
                <w:szCs w:val="16"/>
              </w:rPr>
              <w:t>2</w:t>
            </w:r>
          </w:p>
        </w:tc>
      </w:tr>
      <w:tr w:rsidR="008A2166" w14:paraId="3EF95D27" w14:textId="77777777">
        <w:trPr>
          <w:trHeight w:val="340"/>
        </w:trPr>
        <w:tc>
          <w:tcPr>
            <w:tcW w:w="3256" w:type="dxa"/>
            <w:tcBorders>
              <w:left w:val="single" w:sz="4" w:space="0" w:color="auto"/>
            </w:tcBorders>
            <w:vAlign w:val="bottom"/>
          </w:tcPr>
          <w:p w14:paraId="2DF1B65D" w14:textId="77777777" w:rsidR="008A2166" w:rsidRPr="004C20FC" w:rsidRDefault="008A2166">
            <w:pP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Expense</w:t>
            </w:r>
          </w:p>
        </w:tc>
        <w:tc>
          <w:tcPr>
            <w:tcW w:w="1417" w:type="dxa"/>
            <w:vAlign w:val="bottom"/>
          </w:tcPr>
          <w:p w14:paraId="2CEDCA8E" w14:textId="77777777" w:rsidR="008A2166" w:rsidRPr="004C20FC" w:rsidRDefault="008A2166">
            <w:pPr>
              <w:jc w:val="right"/>
              <w:rPr>
                <w:rFonts w:asciiTheme="minorHAnsi" w:eastAsia="SimSun" w:hAnsiTheme="minorHAnsi" w:cstheme="minorHAnsi"/>
                <w:iCs/>
                <w:sz w:val="16"/>
                <w:szCs w:val="16"/>
              </w:rPr>
            </w:pPr>
            <w:r w:rsidRPr="004C20FC">
              <w:rPr>
                <w:rFonts w:asciiTheme="minorHAnsi" w:hAnsiTheme="minorHAnsi" w:cstheme="minorHAnsi"/>
                <w:sz w:val="16"/>
                <w:szCs w:val="16"/>
              </w:rPr>
              <w:t>$27</w:t>
            </w:r>
            <w:r>
              <w:rPr>
                <w:rFonts w:asciiTheme="minorHAnsi" w:hAnsiTheme="minorHAnsi" w:cstheme="minorHAnsi"/>
                <w:sz w:val="16"/>
                <w:szCs w:val="16"/>
              </w:rPr>
              <w:t>5.619</w:t>
            </w:r>
          </w:p>
        </w:tc>
        <w:tc>
          <w:tcPr>
            <w:tcW w:w="1418" w:type="dxa"/>
            <w:vAlign w:val="bottom"/>
          </w:tcPr>
          <w:p w14:paraId="398068FA" w14:textId="77777777" w:rsidR="008A2166" w:rsidRPr="0020699B" w:rsidRDefault="008A2166">
            <w:pPr>
              <w:jc w:val="right"/>
              <w:rPr>
                <w:rFonts w:asciiTheme="minorHAnsi" w:eastAsia="SimSun" w:hAnsiTheme="minorHAnsi" w:cstheme="minorHAnsi"/>
                <w:iCs/>
                <w:sz w:val="16"/>
                <w:szCs w:val="16"/>
              </w:rPr>
            </w:pPr>
            <w:r w:rsidRPr="0020699B">
              <w:rPr>
                <w:rFonts w:asciiTheme="minorHAnsi" w:hAnsiTheme="minorHAnsi" w:cstheme="minorHAnsi"/>
                <w:sz w:val="16"/>
                <w:szCs w:val="16"/>
              </w:rPr>
              <w:t>$283.84</w:t>
            </w:r>
            <w:r>
              <w:rPr>
                <w:rFonts w:asciiTheme="minorHAnsi" w:hAnsiTheme="minorHAnsi" w:cstheme="minorHAnsi"/>
                <w:sz w:val="16"/>
                <w:szCs w:val="16"/>
              </w:rPr>
              <w:t>7</w:t>
            </w:r>
          </w:p>
        </w:tc>
        <w:tc>
          <w:tcPr>
            <w:tcW w:w="1417" w:type="dxa"/>
            <w:vAlign w:val="bottom"/>
          </w:tcPr>
          <w:p w14:paraId="0E480BED" w14:textId="77777777" w:rsidR="008A2166" w:rsidRPr="0020699B" w:rsidRDefault="008A2166">
            <w:pPr>
              <w:jc w:val="right"/>
              <w:rPr>
                <w:rFonts w:asciiTheme="minorHAnsi" w:eastAsia="SimSun" w:hAnsiTheme="minorHAnsi" w:cstheme="minorHAnsi"/>
                <w:iCs/>
                <w:sz w:val="16"/>
                <w:szCs w:val="16"/>
              </w:rPr>
            </w:pPr>
            <w:r w:rsidRPr="0020699B">
              <w:rPr>
                <w:rFonts w:asciiTheme="minorHAnsi" w:hAnsiTheme="minorHAnsi" w:cstheme="minorHAnsi"/>
                <w:sz w:val="16"/>
                <w:szCs w:val="16"/>
              </w:rPr>
              <w:t>$294.51</w:t>
            </w:r>
            <w:r>
              <w:rPr>
                <w:rFonts w:asciiTheme="minorHAnsi" w:hAnsiTheme="minorHAnsi" w:cstheme="minorHAnsi"/>
                <w:sz w:val="16"/>
                <w:szCs w:val="16"/>
              </w:rPr>
              <w:t>6</w:t>
            </w:r>
          </w:p>
        </w:tc>
        <w:tc>
          <w:tcPr>
            <w:tcW w:w="1418" w:type="dxa"/>
            <w:vAlign w:val="bottom"/>
          </w:tcPr>
          <w:p w14:paraId="7CFE330C" w14:textId="77777777" w:rsidR="008A2166" w:rsidRPr="0020699B" w:rsidRDefault="008A2166">
            <w:pPr>
              <w:jc w:val="right"/>
              <w:rPr>
                <w:rFonts w:asciiTheme="minorHAnsi" w:eastAsia="SimSun" w:hAnsiTheme="minorHAnsi" w:cstheme="minorHAnsi"/>
                <w:iCs/>
                <w:sz w:val="16"/>
                <w:szCs w:val="16"/>
              </w:rPr>
            </w:pPr>
            <w:r w:rsidRPr="0020699B">
              <w:rPr>
                <w:rFonts w:asciiTheme="minorHAnsi" w:hAnsiTheme="minorHAnsi" w:cstheme="minorHAnsi"/>
                <w:sz w:val="16"/>
                <w:szCs w:val="16"/>
              </w:rPr>
              <w:t>$305.2</w:t>
            </w:r>
            <w:r>
              <w:rPr>
                <w:rFonts w:asciiTheme="minorHAnsi" w:hAnsiTheme="minorHAnsi" w:cstheme="minorHAnsi"/>
                <w:sz w:val="16"/>
                <w:szCs w:val="16"/>
              </w:rPr>
              <w:t>19</w:t>
            </w:r>
          </w:p>
        </w:tc>
      </w:tr>
      <w:tr w:rsidR="008A2166" w14:paraId="69402863" w14:textId="77777777">
        <w:trPr>
          <w:trHeight w:val="340"/>
        </w:trPr>
        <w:tc>
          <w:tcPr>
            <w:tcW w:w="3256" w:type="dxa"/>
            <w:tcBorders>
              <w:left w:val="single" w:sz="4" w:space="0" w:color="auto"/>
              <w:bottom w:val="single" w:sz="4" w:space="0" w:color="auto"/>
            </w:tcBorders>
            <w:vAlign w:val="bottom"/>
          </w:tcPr>
          <w:p w14:paraId="7F777C81" w14:textId="77777777" w:rsidR="008A2166" w:rsidRPr="004C20FC" w:rsidRDefault="008A2166">
            <w:pP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Total comprehensive income/(loss)</w:t>
            </w:r>
          </w:p>
        </w:tc>
        <w:tc>
          <w:tcPr>
            <w:tcW w:w="1417" w:type="dxa"/>
            <w:tcBorders>
              <w:bottom w:val="single" w:sz="4" w:space="0" w:color="auto"/>
            </w:tcBorders>
            <w:vAlign w:val="bottom"/>
          </w:tcPr>
          <w:p w14:paraId="25F04AD0" w14:textId="77777777" w:rsidR="008A2166" w:rsidRPr="004C20FC" w:rsidRDefault="008A2166">
            <w:pPr>
              <w:jc w:val="right"/>
              <w:rPr>
                <w:rFonts w:asciiTheme="minorHAnsi" w:eastAsia="SimSun" w:hAnsiTheme="minorHAnsi" w:cstheme="minorHAnsi"/>
                <w:iCs/>
                <w:sz w:val="16"/>
                <w:szCs w:val="16"/>
              </w:rPr>
            </w:pPr>
            <w:r w:rsidRPr="004C20FC">
              <w:rPr>
                <w:rFonts w:asciiTheme="minorHAnsi" w:hAnsiTheme="minorHAnsi" w:cstheme="minorHAnsi"/>
                <w:sz w:val="16"/>
                <w:szCs w:val="16"/>
              </w:rPr>
              <w:t>$</w:t>
            </w:r>
            <w:r>
              <w:rPr>
                <w:rFonts w:asciiTheme="minorHAnsi" w:hAnsiTheme="minorHAnsi" w:cstheme="minorHAnsi"/>
                <w:sz w:val="16"/>
                <w:szCs w:val="16"/>
              </w:rPr>
              <w:t>2.500</w:t>
            </w:r>
          </w:p>
        </w:tc>
        <w:tc>
          <w:tcPr>
            <w:tcW w:w="1418" w:type="dxa"/>
            <w:tcBorders>
              <w:bottom w:val="single" w:sz="4" w:space="0" w:color="auto"/>
            </w:tcBorders>
            <w:vAlign w:val="bottom"/>
          </w:tcPr>
          <w:p w14:paraId="0E72E169" w14:textId="77777777" w:rsidR="008A2166" w:rsidRPr="0020699B" w:rsidRDefault="008A2166">
            <w:pPr>
              <w:jc w:val="right"/>
              <w:rPr>
                <w:rFonts w:asciiTheme="minorHAnsi" w:eastAsia="SimSun" w:hAnsiTheme="minorHAnsi" w:cstheme="minorHAnsi"/>
                <w:iCs/>
                <w:sz w:val="16"/>
                <w:szCs w:val="16"/>
              </w:rPr>
            </w:pPr>
            <w:r w:rsidRPr="0020699B">
              <w:rPr>
                <w:rFonts w:asciiTheme="minorHAnsi" w:hAnsiTheme="minorHAnsi" w:cstheme="minorHAnsi"/>
                <w:sz w:val="16"/>
                <w:szCs w:val="16"/>
              </w:rPr>
              <w:t>$0.200</w:t>
            </w:r>
          </w:p>
        </w:tc>
        <w:tc>
          <w:tcPr>
            <w:tcW w:w="1417" w:type="dxa"/>
            <w:tcBorders>
              <w:bottom w:val="single" w:sz="4" w:space="0" w:color="auto"/>
            </w:tcBorders>
            <w:vAlign w:val="bottom"/>
          </w:tcPr>
          <w:p w14:paraId="683E366F" w14:textId="77777777" w:rsidR="008A2166" w:rsidRPr="0020699B" w:rsidRDefault="008A2166">
            <w:pPr>
              <w:jc w:val="right"/>
              <w:rPr>
                <w:rFonts w:asciiTheme="minorHAnsi" w:eastAsia="SimSun" w:hAnsiTheme="minorHAnsi" w:cstheme="minorHAnsi"/>
                <w:iCs/>
                <w:sz w:val="16"/>
                <w:szCs w:val="16"/>
              </w:rPr>
            </w:pPr>
            <w:r w:rsidRPr="0020699B">
              <w:rPr>
                <w:rFonts w:asciiTheme="minorHAnsi" w:hAnsiTheme="minorHAnsi" w:cstheme="minorHAnsi"/>
                <w:sz w:val="16"/>
                <w:szCs w:val="16"/>
              </w:rPr>
              <w:t>($3.600)</w:t>
            </w:r>
          </w:p>
        </w:tc>
        <w:tc>
          <w:tcPr>
            <w:tcW w:w="1418" w:type="dxa"/>
            <w:tcBorders>
              <w:bottom w:val="single" w:sz="4" w:space="0" w:color="auto"/>
            </w:tcBorders>
            <w:vAlign w:val="bottom"/>
          </w:tcPr>
          <w:p w14:paraId="35BB307E" w14:textId="77777777" w:rsidR="008A2166" w:rsidRPr="0020699B" w:rsidRDefault="008A2166">
            <w:pPr>
              <w:jc w:val="right"/>
              <w:rPr>
                <w:rFonts w:asciiTheme="minorHAnsi" w:eastAsia="SimSun" w:hAnsiTheme="minorHAnsi" w:cstheme="minorHAnsi"/>
                <w:iCs/>
                <w:sz w:val="16"/>
                <w:szCs w:val="16"/>
              </w:rPr>
            </w:pPr>
            <w:r w:rsidRPr="0020699B">
              <w:rPr>
                <w:rFonts w:asciiTheme="minorHAnsi" w:hAnsiTheme="minorHAnsi" w:cstheme="minorHAnsi"/>
                <w:sz w:val="16"/>
                <w:szCs w:val="16"/>
              </w:rPr>
              <w:t>($8.600)</w:t>
            </w:r>
          </w:p>
        </w:tc>
      </w:tr>
      <w:tr w:rsidR="008A2166" w14:paraId="1CE1FDD4" w14:textId="77777777">
        <w:trPr>
          <w:trHeight w:val="340"/>
        </w:trPr>
        <w:tc>
          <w:tcPr>
            <w:tcW w:w="3256" w:type="dxa"/>
            <w:tcBorders>
              <w:left w:val="nil"/>
              <w:right w:val="nil"/>
            </w:tcBorders>
            <w:vAlign w:val="bottom"/>
          </w:tcPr>
          <w:p w14:paraId="5D5A5D44" w14:textId="77777777" w:rsidR="008A2166" w:rsidRPr="004C20FC" w:rsidRDefault="008A2166">
            <w:pPr>
              <w:rPr>
                <w:rFonts w:asciiTheme="minorHAnsi" w:eastAsia="SimSun" w:hAnsiTheme="minorHAnsi" w:cstheme="minorHAnsi"/>
                <w:iCs/>
                <w:sz w:val="18"/>
                <w:szCs w:val="18"/>
              </w:rPr>
            </w:pPr>
          </w:p>
        </w:tc>
        <w:tc>
          <w:tcPr>
            <w:tcW w:w="1417" w:type="dxa"/>
            <w:tcBorders>
              <w:left w:val="nil"/>
              <w:right w:val="nil"/>
            </w:tcBorders>
            <w:vAlign w:val="bottom"/>
          </w:tcPr>
          <w:p w14:paraId="6EB8EAD8" w14:textId="77777777" w:rsidR="008A2166" w:rsidRPr="004C20FC" w:rsidRDefault="008A2166">
            <w:pPr>
              <w:rPr>
                <w:rFonts w:asciiTheme="minorHAnsi" w:eastAsia="SimSun" w:hAnsiTheme="minorHAnsi" w:cstheme="minorHAnsi"/>
                <w:iCs/>
                <w:sz w:val="18"/>
                <w:szCs w:val="18"/>
              </w:rPr>
            </w:pPr>
          </w:p>
        </w:tc>
        <w:tc>
          <w:tcPr>
            <w:tcW w:w="1418" w:type="dxa"/>
            <w:tcBorders>
              <w:left w:val="nil"/>
              <w:right w:val="nil"/>
            </w:tcBorders>
            <w:vAlign w:val="bottom"/>
          </w:tcPr>
          <w:p w14:paraId="471644F3" w14:textId="77777777" w:rsidR="008A2166" w:rsidRPr="00491298" w:rsidRDefault="008A2166">
            <w:pPr>
              <w:rPr>
                <w:rFonts w:asciiTheme="minorHAnsi" w:eastAsia="SimSun" w:hAnsiTheme="minorHAnsi" w:cstheme="minorHAnsi"/>
                <w:iCs/>
                <w:sz w:val="18"/>
                <w:szCs w:val="18"/>
                <w:highlight w:val="yellow"/>
              </w:rPr>
            </w:pPr>
          </w:p>
        </w:tc>
        <w:tc>
          <w:tcPr>
            <w:tcW w:w="1417" w:type="dxa"/>
            <w:tcBorders>
              <w:left w:val="nil"/>
              <w:right w:val="nil"/>
            </w:tcBorders>
            <w:vAlign w:val="bottom"/>
          </w:tcPr>
          <w:p w14:paraId="3C5FE815" w14:textId="77777777" w:rsidR="008A2166" w:rsidRPr="00491298" w:rsidRDefault="008A2166">
            <w:pPr>
              <w:rPr>
                <w:rFonts w:asciiTheme="minorHAnsi" w:eastAsia="SimSun" w:hAnsiTheme="minorHAnsi" w:cstheme="minorHAnsi"/>
                <w:iCs/>
                <w:sz w:val="18"/>
                <w:szCs w:val="18"/>
                <w:highlight w:val="yellow"/>
              </w:rPr>
            </w:pPr>
          </w:p>
        </w:tc>
        <w:tc>
          <w:tcPr>
            <w:tcW w:w="1418" w:type="dxa"/>
            <w:tcBorders>
              <w:left w:val="nil"/>
              <w:right w:val="nil"/>
            </w:tcBorders>
            <w:vAlign w:val="bottom"/>
          </w:tcPr>
          <w:p w14:paraId="4657443F" w14:textId="77777777" w:rsidR="008A2166" w:rsidRPr="00491298" w:rsidRDefault="008A2166">
            <w:pPr>
              <w:rPr>
                <w:rFonts w:asciiTheme="minorHAnsi" w:eastAsia="SimSun" w:hAnsiTheme="minorHAnsi" w:cstheme="minorHAnsi"/>
                <w:iCs/>
                <w:sz w:val="18"/>
                <w:szCs w:val="18"/>
                <w:highlight w:val="yellow"/>
              </w:rPr>
            </w:pPr>
          </w:p>
        </w:tc>
      </w:tr>
      <w:tr w:rsidR="008A2166" w14:paraId="6687E680" w14:textId="77777777">
        <w:trPr>
          <w:trHeight w:val="340"/>
        </w:trPr>
        <w:tc>
          <w:tcPr>
            <w:tcW w:w="3256" w:type="dxa"/>
            <w:tcBorders>
              <w:left w:val="single" w:sz="4" w:space="0" w:color="auto"/>
              <w:bottom w:val="single" w:sz="4" w:space="0" w:color="auto"/>
            </w:tcBorders>
            <w:vAlign w:val="bottom"/>
          </w:tcPr>
          <w:p w14:paraId="24D378CC" w14:textId="77777777" w:rsidR="008A2166" w:rsidRPr="004C20FC" w:rsidRDefault="008A2166">
            <w:pP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Capital Expenditure</w:t>
            </w:r>
          </w:p>
        </w:tc>
        <w:tc>
          <w:tcPr>
            <w:tcW w:w="1417" w:type="dxa"/>
            <w:tcBorders>
              <w:bottom w:val="single" w:sz="4" w:space="0" w:color="auto"/>
            </w:tcBorders>
            <w:vAlign w:val="bottom"/>
          </w:tcPr>
          <w:p w14:paraId="5FCDE839" w14:textId="77777777" w:rsidR="008A2166" w:rsidRPr="004C20FC" w:rsidRDefault="008A2166">
            <w:pPr>
              <w:jc w:val="right"/>
              <w:rPr>
                <w:rFonts w:asciiTheme="minorHAnsi" w:eastAsia="SimSun" w:hAnsiTheme="minorHAnsi" w:cstheme="minorHAnsi"/>
                <w:iCs/>
                <w:sz w:val="16"/>
                <w:szCs w:val="16"/>
              </w:rPr>
            </w:pPr>
            <w:r w:rsidRPr="004C20FC">
              <w:rPr>
                <w:rFonts w:asciiTheme="minorHAnsi" w:hAnsiTheme="minorHAnsi" w:cstheme="minorHAnsi"/>
                <w:sz w:val="16"/>
                <w:szCs w:val="16"/>
              </w:rPr>
              <w:t>$25.000</w:t>
            </w:r>
          </w:p>
        </w:tc>
        <w:tc>
          <w:tcPr>
            <w:tcW w:w="1418" w:type="dxa"/>
            <w:tcBorders>
              <w:bottom w:val="single" w:sz="4" w:space="0" w:color="auto"/>
            </w:tcBorders>
            <w:vAlign w:val="bottom"/>
          </w:tcPr>
          <w:p w14:paraId="7952C2CC" w14:textId="77777777" w:rsidR="008A2166" w:rsidRPr="00AB401E" w:rsidRDefault="008A2166">
            <w:pPr>
              <w:jc w:val="right"/>
              <w:rPr>
                <w:rFonts w:asciiTheme="minorHAnsi" w:eastAsia="SimSun" w:hAnsiTheme="minorHAnsi" w:cstheme="minorHAnsi"/>
                <w:iCs/>
                <w:sz w:val="16"/>
                <w:szCs w:val="16"/>
              </w:rPr>
            </w:pPr>
            <w:r w:rsidRPr="00AB401E">
              <w:rPr>
                <w:rFonts w:asciiTheme="minorHAnsi" w:hAnsiTheme="minorHAnsi" w:cstheme="minorHAnsi"/>
                <w:sz w:val="16"/>
                <w:szCs w:val="16"/>
              </w:rPr>
              <w:t>$25.000</w:t>
            </w:r>
          </w:p>
        </w:tc>
        <w:tc>
          <w:tcPr>
            <w:tcW w:w="1417" w:type="dxa"/>
            <w:tcBorders>
              <w:bottom w:val="single" w:sz="4" w:space="0" w:color="auto"/>
            </w:tcBorders>
            <w:vAlign w:val="bottom"/>
          </w:tcPr>
          <w:p w14:paraId="7708021E" w14:textId="77777777" w:rsidR="008A2166" w:rsidRPr="00AB401E" w:rsidRDefault="008A2166">
            <w:pPr>
              <w:jc w:val="right"/>
              <w:rPr>
                <w:rFonts w:asciiTheme="minorHAnsi" w:eastAsia="SimSun" w:hAnsiTheme="minorHAnsi" w:cstheme="minorHAnsi"/>
                <w:iCs/>
                <w:sz w:val="16"/>
                <w:szCs w:val="16"/>
              </w:rPr>
            </w:pPr>
            <w:r w:rsidRPr="00AB401E">
              <w:rPr>
                <w:rFonts w:asciiTheme="minorHAnsi" w:hAnsiTheme="minorHAnsi" w:cstheme="minorHAnsi"/>
                <w:sz w:val="16"/>
                <w:szCs w:val="16"/>
              </w:rPr>
              <w:t>$25.000</w:t>
            </w:r>
          </w:p>
        </w:tc>
        <w:tc>
          <w:tcPr>
            <w:tcW w:w="1418" w:type="dxa"/>
            <w:tcBorders>
              <w:bottom w:val="single" w:sz="4" w:space="0" w:color="auto"/>
            </w:tcBorders>
            <w:vAlign w:val="bottom"/>
          </w:tcPr>
          <w:p w14:paraId="09463C67" w14:textId="77777777" w:rsidR="008A2166" w:rsidRPr="00AB401E" w:rsidRDefault="008A2166">
            <w:pPr>
              <w:jc w:val="right"/>
              <w:rPr>
                <w:rFonts w:asciiTheme="minorHAnsi" w:eastAsia="SimSun" w:hAnsiTheme="minorHAnsi" w:cstheme="minorHAnsi"/>
                <w:iCs/>
                <w:sz w:val="16"/>
                <w:szCs w:val="16"/>
              </w:rPr>
            </w:pPr>
            <w:r w:rsidRPr="00AB401E">
              <w:rPr>
                <w:rFonts w:asciiTheme="minorHAnsi" w:hAnsiTheme="minorHAnsi" w:cstheme="minorHAnsi"/>
                <w:sz w:val="16"/>
                <w:szCs w:val="16"/>
              </w:rPr>
              <w:t>$25.000</w:t>
            </w:r>
          </w:p>
        </w:tc>
      </w:tr>
      <w:tr w:rsidR="008A2166" w14:paraId="61185B4F" w14:textId="77777777">
        <w:trPr>
          <w:trHeight w:val="340"/>
        </w:trPr>
        <w:tc>
          <w:tcPr>
            <w:tcW w:w="3256" w:type="dxa"/>
            <w:tcBorders>
              <w:left w:val="nil"/>
              <w:right w:val="nil"/>
            </w:tcBorders>
            <w:vAlign w:val="bottom"/>
          </w:tcPr>
          <w:p w14:paraId="06A2A75A" w14:textId="77777777" w:rsidR="008A2166" w:rsidRPr="004C20FC" w:rsidRDefault="008A2166">
            <w:pPr>
              <w:rPr>
                <w:rFonts w:asciiTheme="minorHAnsi" w:eastAsia="SimSun" w:hAnsiTheme="minorHAnsi" w:cstheme="minorHAnsi"/>
                <w:iCs/>
                <w:sz w:val="18"/>
                <w:szCs w:val="18"/>
              </w:rPr>
            </w:pPr>
          </w:p>
        </w:tc>
        <w:tc>
          <w:tcPr>
            <w:tcW w:w="1417" w:type="dxa"/>
            <w:tcBorders>
              <w:left w:val="nil"/>
              <w:right w:val="nil"/>
            </w:tcBorders>
            <w:vAlign w:val="bottom"/>
          </w:tcPr>
          <w:p w14:paraId="28FADBEC" w14:textId="77777777" w:rsidR="008A2166" w:rsidRPr="004C20FC" w:rsidRDefault="008A2166">
            <w:pPr>
              <w:jc w:val="right"/>
              <w:rPr>
                <w:rFonts w:asciiTheme="minorHAnsi" w:eastAsia="SimSun" w:hAnsiTheme="minorHAnsi" w:cstheme="minorHAnsi"/>
                <w:iCs/>
                <w:sz w:val="18"/>
                <w:szCs w:val="18"/>
              </w:rPr>
            </w:pPr>
          </w:p>
        </w:tc>
        <w:tc>
          <w:tcPr>
            <w:tcW w:w="1418" w:type="dxa"/>
            <w:tcBorders>
              <w:left w:val="nil"/>
              <w:right w:val="nil"/>
            </w:tcBorders>
            <w:vAlign w:val="bottom"/>
          </w:tcPr>
          <w:p w14:paraId="3AD3B75D" w14:textId="77777777" w:rsidR="008A2166" w:rsidRPr="00AB401E" w:rsidRDefault="008A2166">
            <w:pPr>
              <w:jc w:val="right"/>
              <w:rPr>
                <w:rFonts w:asciiTheme="minorHAnsi" w:eastAsia="SimSun" w:hAnsiTheme="minorHAnsi" w:cstheme="minorHAnsi"/>
                <w:iCs/>
                <w:sz w:val="18"/>
                <w:szCs w:val="18"/>
              </w:rPr>
            </w:pPr>
          </w:p>
        </w:tc>
        <w:tc>
          <w:tcPr>
            <w:tcW w:w="1417" w:type="dxa"/>
            <w:tcBorders>
              <w:left w:val="nil"/>
              <w:right w:val="nil"/>
            </w:tcBorders>
            <w:vAlign w:val="bottom"/>
          </w:tcPr>
          <w:p w14:paraId="672E4153" w14:textId="77777777" w:rsidR="008A2166" w:rsidRPr="00AB401E" w:rsidRDefault="008A2166">
            <w:pPr>
              <w:jc w:val="right"/>
              <w:rPr>
                <w:rFonts w:asciiTheme="minorHAnsi" w:eastAsia="SimSun" w:hAnsiTheme="minorHAnsi" w:cstheme="minorHAnsi"/>
                <w:iCs/>
                <w:sz w:val="18"/>
                <w:szCs w:val="18"/>
              </w:rPr>
            </w:pPr>
          </w:p>
        </w:tc>
        <w:tc>
          <w:tcPr>
            <w:tcW w:w="1418" w:type="dxa"/>
            <w:tcBorders>
              <w:left w:val="nil"/>
              <w:right w:val="nil"/>
            </w:tcBorders>
            <w:vAlign w:val="bottom"/>
          </w:tcPr>
          <w:p w14:paraId="748D057C" w14:textId="77777777" w:rsidR="008A2166" w:rsidRPr="00AB401E" w:rsidRDefault="008A2166">
            <w:pPr>
              <w:jc w:val="right"/>
              <w:rPr>
                <w:rFonts w:asciiTheme="minorHAnsi" w:eastAsia="SimSun" w:hAnsiTheme="minorHAnsi" w:cstheme="minorHAnsi"/>
                <w:iCs/>
                <w:sz w:val="18"/>
                <w:szCs w:val="18"/>
              </w:rPr>
            </w:pPr>
          </w:p>
        </w:tc>
      </w:tr>
      <w:tr w:rsidR="008A2166" w14:paraId="3019B0DA" w14:textId="77777777">
        <w:trPr>
          <w:trHeight w:val="340"/>
        </w:trPr>
        <w:tc>
          <w:tcPr>
            <w:tcW w:w="3256" w:type="dxa"/>
            <w:tcBorders>
              <w:left w:val="single" w:sz="4" w:space="0" w:color="auto"/>
            </w:tcBorders>
            <w:vAlign w:val="bottom"/>
          </w:tcPr>
          <w:p w14:paraId="7E73C9E0" w14:textId="77777777" w:rsidR="008A2166" w:rsidRPr="004C20FC" w:rsidRDefault="008A2166">
            <w:pPr>
              <w:rPr>
                <w:rFonts w:asciiTheme="minorHAnsi" w:eastAsia="SimSun" w:hAnsiTheme="minorHAnsi" w:cstheme="minorHAnsi"/>
                <w:iCs/>
                <w:sz w:val="18"/>
                <w:szCs w:val="18"/>
              </w:rPr>
            </w:pPr>
            <w:r w:rsidRPr="004C20FC">
              <w:rPr>
                <w:rFonts w:asciiTheme="minorHAnsi" w:eastAsia="SimSun" w:hAnsiTheme="minorHAnsi" w:cstheme="minorHAnsi"/>
                <w:iCs/>
                <w:sz w:val="18"/>
                <w:szCs w:val="18"/>
              </w:rPr>
              <w:t>Official Public Account Balance</w:t>
            </w:r>
          </w:p>
        </w:tc>
        <w:tc>
          <w:tcPr>
            <w:tcW w:w="1417" w:type="dxa"/>
            <w:vAlign w:val="bottom"/>
          </w:tcPr>
          <w:p w14:paraId="3B1490F5" w14:textId="77777777" w:rsidR="008A2166" w:rsidRPr="004C20FC" w:rsidRDefault="008A2166">
            <w:pPr>
              <w:jc w:val="right"/>
              <w:rPr>
                <w:rFonts w:asciiTheme="minorHAnsi" w:eastAsia="SimSun" w:hAnsiTheme="minorHAnsi" w:cstheme="minorHAnsi"/>
                <w:iCs/>
                <w:sz w:val="16"/>
                <w:szCs w:val="16"/>
              </w:rPr>
            </w:pPr>
            <w:r w:rsidRPr="004C20FC">
              <w:rPr>
                <w:rFonts w:asciiTheme="minorHAnsi" w:hAnsiTheme="minorHAnsi" w:cstheme="minorHAnsi"/>
                <w:sz w:val="16"/>
                <w:szCs w:val="16"/>
              </w:rPr>
              <w:t>$</w:t>
            </w:r>
            <w:r>
              <w:rPr>
                <w:rFonts w:asciiTheme="minorHAnsi" w:hAnsiTheme="minorHAnsi" w:cstheme="minorHAnsi"/>
                <w:sz w:val="16"/>
                <w:szCs w:val="16"/>
              </w:rPr>
              <w:t>83.885</w:t>
            </w:r>
          </w:p>
        </w:tc>
        <w:tc>
          <w:tcPr>
            <w:tcW w:w="1418" w:type="dxa"/>
            <w:vAlign w:val="bottom"/>
          </w:tcPr>
          <w:p w14:paraId="1F09E724" w14:textId="77777777" w:rsidR="008A2166" w:rsidRPr="00AB401E" w:rsidRDefault="008A2166">
            <w:pPr>
              <w:jc w:val="right"/>
              <w:rPr>
                <w:rFonts w:asciiTheme="minorHAnsi" w:eastAsia="SimSun" w:hAnsiTheme="minorHAnsi" w:cstheme="minorHAnsi"/>
                <w:iCs/>
                <w:sz w:val="16"/>
                <w:szCs w:val="16"/>
              </w:rPr>
            </w:pPr>
            <w:r w:rsidRPr="00AB401E">
              <w:rPr>
                <w:rFonts w:asciiTheme="minorHAnsi" w:hAnsiTheme="minorHAnsi" w:cstheme="minorHAnsi"/>
                <w:sz w:val="16"/>
                <w:szCs w:val="16"/>
              </w:rPr>
              <w:t>$84.37</w:t>
            </w:r>
            <w:r w:rsidRPr="00491298">
              <w:rPr>
                <w:rFonts w:cstheme="minorHAnsi"/>
                <w:sz w:val="16"/>
                <w:szCs w:val="16"/>
              </w:rPr>
              <w:t>1</w:t>
            </w:r>
          </w:p>
        </w:tc>
        <w:tc>
          <w:tcPr>
            <w:tcW w:w="1417" w:type="dxa"/>
            <w:vAlign w:val="bottom"/>
          </w:tcPr>
          <w:p w14:paraId="59F50547" w14:textId="77777777" w:rsidR="008A2166" w:rsidRPr="00AB401E" w:rsidRDefault="008A2166">
            <w:pPr>
              <w:jc w:val="right"/>
              <w:rPr>
                <w:rFonts w:asciiTheme="minorHAnsi" w:eastAsia="SimSun" w:hAnsiTheme="minorHAnsi" w:cstheme="minorHAnsi"/>
                <w:iCs/>
                <w:sz w:val="16"/>
                <w:szCs w:val="16"/>
              </w:rPr>
            </w:pPr>
            <w:r w:rsidRPr="00AB401E">
              <w:rPr>
                <w:rFonts w:asciiTheme="minorHAnsi" w:hAnsiTheme="minorHAnsi" w:cstheme="minorHAnsi"/>
                <w:sz w:val="16"/>
                <w:szCs w:val="16"/>
              </w:rPr>
              <w:t>$81.446</w:t>
            </w:r>
          </w:p>
        </w:tc>
        <w:tc>
          <w:tcPr>
            <w:tcW w:w="1418" w:type="dxa"/>
            <w:vAlign w:val="bottom"/>
          </w:tcPr>
          <w:p w14:paraId="27D84D49" w14:textId="77777777" w:rsidR="008A2166" w:rsidRPr="00AB401E" w:rsidRDefault="008A2166">
            <w:pPr>
              <w:jc w:val="right"/>
              <w:rPr>
                <w:rFonts w:asciiTheme="minorHAnsi" w:eastAsia="SimSun" w:hAnsiTheme="minorHAnsi" w:cstheme="minorHAnsi"/>
                <w:iCs/>
                <w:sz w:val="16"/>
                <w:szCs w:val="16"/>
              </w:rPr>
            </w:pPr>
            <w:r w:rsidRPr="00AB401E">
              <w:rPr>
                <w:rFonts w:asciiTheme="minorHAnsi" w:hAnsiTheme="minorHAnsi" w:cstheme="minorHAnsi"/>
                <w:sz w:val="16"/>
                <w:szCs w:val="16"/>
              </w:rPr>
              <w:t>$74.806</w:t>
            </w:r>
          </w:p>
        </w:tc>
      </w:tr>
    </w:tbl>
    <w:p w14:paraId="255C289D" w14:textId="77777777" w:rsidR="00E50F6D" w:rsidRDefault="00E50F6D" w:rsidP="008A2166">
      <w:pPr>
        <w:rPr>
          <w:iCs/>
        </w:rPr>
      </w:pPr>
    </w:p>
    <w:p w14:paraId="0D808A51" w14:textId="602C87B9" w:rsidR="008A2166" w:rsidRDefault="008A2166" w:rsidP="008A2166">
      <w:pPr>
        <w:spacing w:after="240"/>
        <w:rPr>
          <w:iCs/>
        </w:rPr>
      </w:pPr>
      <w:r>
        <w:rPr>
          <w:iCs/>
        </w:rPr>
        <w:t xml:space="preserve">IP Australia last adjusted fees in 2020 with </w:t>
      </w:r>
      <w:r>
        <w:t>the</w:t>
      </w:r>
      <w:r>
        <w:rPr>
          <w:iCs/>
        </w:rPr>
        <w:t xml:space="preserve"> strategy </w:t>
      </w:r>
      <w:r>
        <w:t>of rebuilding</w:t>
      </w:r>
      <w:r>
        <w:rPr>
          <w:iCs/>
        </w:rPr>
        <w:t xml:space="preserve"> the </w:t>
      </w:r>
      <w:r>
        <w:t>organisation’s</w:t>
      </w:r>
      <w:r>
        <w:rPr>
          <w:iCs/>
        </w:rPr>
        <w:t xml:space="preserve"> cash reserves</w:t>
      </w:r>
      <w:r>
        <w:t>,</w:t>
      </w:r>
      <w:r>
        <w:rPr>
          <w:iCs/>
        </w:rPr>
        <w:t xml:space="preserve"> following major investments in the modernisation of our trade mark and design administration systems</w:t>
      </w:r>
      <w:r>
        <w:t>,</w:t>
      </w:r>
      <w:r>
        <w:rPr>
          <w:iCs/>
        </w:rPr>
        <w:t xml:space="preserve"> and our Future Way of Working Program. </w:t>
      </w:r>
      <w:r>
        <w:t>In addition, the</w:t>
      </w:r>
      <w:r>
        <w:rPr>
          <w:iCs/>
        </w:rPr>
        <w:t xml:space="preserve"> office successfully navigated through a period of uncertainty caused by </w:t>
      </w:r>
      <w:r>
        <w:t xml:space="preserve">the global health pandemic, </w:t>
      </w:r>
      <w:r>
        <w:rPr>
          <w:iCs/>
        </w:rPr>
        <w:t>COVID-19</w:t>
      </w:r>
      <w:r w:rsidR="007467C1">
        <w:t xml:space="preserve"> and</w:t>
      </w:r>
      <w:r>
        <w:rPr>
          <w:iCs/>
        </w:rPr>
        <w:t xml:space="preserve"> managed the impacts to the working environment.</w:t>
      </w:r>
    </w:p>
    <w:p w14:paraId="174704AB" w14:textId="6ED90837" w:rsidR="008A2166" w:rsidRDefault="008A2166" w:rsidP="008A2166">
      <w:pPr>
        <w:spacing w:after="240"/>
        <w:rPr>
          <w:iCs/>
        </w:rPr>
      </w:pPr>
      <w:r>
        <w:rPr>
          <w:iCs/>
        </w:rPr>
        <w:t xml:space="preserve">The </w:t>
      </w:r>
      <w:r>
        <w:t xml:space="preserve">organisation’s </w:t>
      </w:r>
      <w:r>
        <w:rPr>
          <w:iCs/>
        </w:rPr>
        <w:t xml:space="preserve">current financial strategy is to </w:t>
      </w:r>
      <w:r w:rsidRPr="0003044D">
        <w:rPr>
          <w:iCs/>
        </w:rPr>
        <w:t xml:space="preserve">maintain </w:t>
      </w:r>
      <w:r>
        <w:t xml:space="preserve">its </w:t>
      </w:r>
      <w:r w:rsidRPr="0003044D">
        <w:rPr>
          <w:iCs/>
        </w:rPr>
        <w:t xml:space="preserve">cash reserves in accordance with </w:t>
      </w:r>
      <w:r>
        <w:t xml:space="preserve">the </w:t>
      </w:r>
      <w:r w:rsidRPr="0003044D">
        <w:rPr>
          <w:iCs/>
        </w:rPr>
        <w:t xml:space="preserve">thresholds outlined in IP Australia’s </w:t>
      </w:r>
      <w:r w:rsidR="003B5EF3">
        <w:t>c</w:t>
      </w:r>
      <w:r>
        <w:t>ash</w:t>
      </w:r>
      <w:r w:rsidR="003B5EF3">
        <w:t>-r</w:t>
      </w:r>
      <w:r>
        <w:t xml:space="preserve">eserve </w:t>
      </w:r>
      <w:r w:rsidR="003B5EF3">
        <w:t>p</w:t>
      </w:r>
      <w:r>
        <w:t>olicy (3-month operating reserve),</w:t>
      </w:r>
      <w:r>
        <w:rPr>
          <w:iCs/>
        </w:rPr>
        <w:t xml:space="preserve"> and to manage planned </w:t>
      </w:r>
      <w:r>
        <w:t>investments</w:t>
      </w:r>
      <w:r>
        <w:rPr>
          <w:iCs/>
        </w:rPr>
        <w:t xml:space="preserve"> </w:t>
      </w:r>
      <w:r w:rsidRPr="0049411E">
        <w:rPr>
          <w:iCs/>
        </w:rPr>
        <w:t>and projected cost growth through moderate fee changes</w:t>
      </w:r>
      <w:r>
        <w:rPr>
          <w:iCs/>
        </w:rPr>
        <w:t xml:space="preserve"> and an ongoing focus on efficiency</w:t>
      </w:r>
      <w:r w:rsidRPr="0049411E">
        <w:rPr>
          <w:iCs/>
        </w:rPr>
        <w:t xml:space="preserve">. Current forecasts have operating costs </w:t>
      </w:r>
      <w:r w:rsidRPr="0049411E">
        <w:t>increasing by approximately 17% between 2023-24 to 2027-28 because of inflationary and wage pressures</w:t>
      </w:r>
      <w:r>
        <w:t>, whil</w:t>
      </w:r>
      <w:r w:rsidR="00BD71A0">
        <w:t>e</w:t>
      </w:r>
      <w:r>
        <w:t xml:space="preserve"> maintaining </w:t>
      </w:r>
      <w:r w:rsidR="009A1C1B">
        <w:t>ASL</w:t>
      </w:r>
      <w:r>
        <w:t xml:space="preserve"> at 1,100</w:t>
      </w:r>
      <w:r w:rsidRPr="0049411E">
        <w:t>.  Revenue is forecast to increase by approximately 15.5% over the same period</w:t>
      </w:r>
      <w:r>
        <w:t>. This includes an average increase of 5.5%</w:t>
      </w:r>
      <w:r w:rsidRPr="0049411E">
        <w:t xml:space="preserve"> </w:t>
      </w:r>
      <w:r>
        <w:t xml:space="preserve">in revenue each year based on </w:t>
      </w:r>
      <w:r w:rsidRPr="0049411E">
        <w:t>the fee changes</w:t>
      </w:r>
      <w:r>
        <w:t xml:space="preserve"> listed </w:t>
      </w:r>
      <w:r w:rsidRPr="0049411E">
        <w:t xml:space="preserve">in Attachment A. This will see the agency report small surpluses over the next two financial years, </w:t>
      </w:r>
      <w:r w:rsidRPr="0049411E">
        <w:rPr>
          <w:iCs/>
        </w:rPr>
        <w:t xml:space="preserve">with </w:t>
      </w:r>
      <w:r w:rsidRPr="0049411E">
        <w:rPr>
          <w:iCs/>
          <w:shd w:val="clear" w:color="auto" w:fill="FFFFFF" w:themeFill="background1"/>
        </w:rPr>
        <w:t>projected losses forecast in 2026-27 and 2027-28 (based on the current customer demand projections noted in Table 2 above).</w:t>
      </w:r>
    </w:p>
    <w:p w14:paraId="1A8AD34A" w14:textId="1CA9083B" w:rsidR="008A2166" w:rsidRDefault="008A2166" w:rsidP="008A2166">
      <w:pPr>
        <w:spacing w:after="240"/>
      </w:pPr>
      <w:r>
        <w:t xml:space="preserve">Consistent with IP Australia’s ICT Strategy 2025, we will continue to invest in our people and innovative technology to create digital services that will see IP Australia continue to optimise interactions with our customers. Rapid developments in device connectivity, computing power, </w:t>
      </w:r>
      <w:r w:rsidR="00C93753">
        <w:t>AI</w:t>
      </w:r>
      <w:r>
        <w:t>, and data capacity are fuelling growth in digital technologies, and these will have implications for IP functions and processes. These advances will provide IP Australia with more progressive options for administering, examining</w:t>
      </w:r>
      <w:r w:rsidR="007467C1">
        <w:t xml:space="preserve"> and</w:t>
      </w:r>
      <w:r>
        <w:t xml:space="preserve"> monitoring IP rights, especially given our customers expect leading-edge online services in relation to the IP system, and will provide a powerful platform for us to interact and engage with our stakeholders.</w:t>
      </w:r>
    </w:p>
    <w:p w14:paraId="5AD87614" w14:textId="77777777" w:rsidR="008A2166" w:rsidRDefault="008A2166" w:rsidP="008A2166">
      <w:pPr>
        <w:spacing w:after="240"/>
      </w:pPr>
      <w:r>
        <w:t>IP Australia will continue to carefully manage budgets to address the natural growth in costs (primarily in the areas of staff wages and ICT support costs), which are expected to exceed the natural increase in revenue from the projected growth in demand for services over the same period (relatively flat and between 2.0 to 2.5 per annum).  For example, staffing levels will not increase unless it is deemed necessary to maintain the agency’s service level commitments, and in response to any significant increase in the demand for IP rights.</w:t>
      </w:r>
    </w:p>
    <w:p w14:paraId="3D36BFF2" w14:textId="77777777" w:rsidR="008A2166" w:rsidRDefault="008A2166" w:rsidP="008A2166">
      <w:pPr>
        <w:spacing w:after="240"/>
        <w:rPr>
          <w:iCs/>
        </w:rPr>
      </w:pPr>
      <w:r>
        <w:rPr>
          <w:iCs/>
        </w:rPr>
        <w:t>If the assumptions that underpin the financial projections in this CRIS do not change significantly, IP Australia will not look to make any further changes to fees until 2028.</w:t>
      </w:r>
    </w:p>
    <w:p w14:paraId="786E8938" w14:textId="77777777" w:rsidR="008A2166" w:rsidRDefault="008A2166" w:rsidP="008A2166">
      <w:pPr>
        <w:spacing w:after="240"/>
      </w:pPr>
      <w:r>
        <w:t xml:space="preserve">Table 6 to Table 11 show the financial performance against each of the 5 cost recovered activities and IP Australia’s overall financial position. The tables outline the actual performance for financial </w:t>
      </w:r>
      <w:r>
        <w:lastRenderedPageBreak/>
        <w:t>years 2020-21 to 2022-23, and the planned figures for the years 2023-24 to 2027-28 based on current financial forecasts modelled in this fee review.</w:t>
      </w:r>
    </w:p>
    <w:p w14:paraId="569364DB" w14:textId="0C92E135" w:rsidR="005721B9" w:rsidRDefault="008A2166" w:rsidP="008A2166">
      <w:pPr>
        <w:spacing w:after="240"/>
      </w:pPr>
      <w:r>
        <w:t>The fee changes listed in Attachment A, help to minimise the cross subsidisation between our two largest activities, patents</w:t>
      </w:r>
      <w:r w:rsidR="007467C1">
        <w:t xml:space="preserve"> and</w:t>
      </w:r>
      <w:r>
        <w:t xml:space="preserve"> </w:t>
      </w:r>
      <w:proofErr w:type="spellStart"/>
      <w:r>
        <w:t>trade marks</w:t>
      </w:r>
      <w:proofErr w:type="spellEnd"/>
      <w:r>
        <w:t>. Given the patent activity is forecast to under recover over the budget and forward estimates, the majority (96%) of the increase in total revenue from the fee changes is in patents. The changes in PBR and TTIPA fees help to recover the growing direct cost base of these activities, while the design fee changes are planned to incentivise uptake in this IP right.</w:t>
      </w:r>
    </w:p>
    <w:p w14:paraId="24B1CE28" w14:textId="2A749C0D" w:rsidR="008A2166" w:rsidRDefault="008A2166" w:rsidP="008A2166">
      <w:r w:rsidRPr="00577900">
        <w:rPr>
          <w:i/>
          <w:iCs/>
        </w:rPr>
        <w:t xml:space="preserve">Table </w:t>
      </w:r>
      <w:r>
        <w:rPr>
          <w:i/>
          <w:iCs/>
        </w:rPr>
        <w:t>6</w:t>
      </w:r>
      <w:r w:rsidRPr="00577900">
        <w:rPr>
          <w:i/>
          <w:iCs/>
        </w:rPr>
        <w:t xml:space="preserve"> – </w:t>
      </w:r>
      <w:r>
        <w:rPr>
          <w:i/>
          <w:iCs/>
        </w:rPr>
        <w:t>PATENT cost recovered activity: Financial Performance &amp; Forecast</w:t>
      </w:r>
    </w:p>
    <w:tbl>
      <w:tblPr>
        <w:tblStyle w:val="TableGrid"/>
        <w:tblW w:w="9781" w:type="dxa"/>
        <w:tblLayout w:type="fixed"/>
        <w:tblLook w:val="04A0" w:firstRow="1" w:lastRow="0" w:firstColumn="1" w:lastColumn="0" w:noHBand="0" w:noVBand="1"/>
      </w:tblPr>
      <w:tblGrid>
        <w:gridCol w:w="1840"/>
        <w:gridCol w:w="992"/>
        <w:gridCol w:w="993"/>
        <w:gridCol w:w="992"/>
        <w:gridCol w:w="993"/>
        <w:gridCol w:w="993"/>
        <w:gridCol w:w="992"/>
        <w:gridCol w:w="993"/>
        <w:gridCol w:w="993"/>
      </w:tblGrid>
      <w:tr w:rsidR="008A2166" w:rsidRPr="006C5CEA" w14:paraId="7861B3B7" w14:textId="77777777">
        <w:trPr>
          <w:trHeight w:val="340"/>
        </w:trPr>
        <w:tc>
          <w:tcPr>
            <w:tcW w:w="1840" w:type="dxa"/>
            <w:tcBorders>
              <w:top w:val="nil"/>
              <w:left w:val="nil"/>
              <w:bottom w:val="single" w:sz="4" w:space="0" w:color="auto"/>
            </w:tcBorders>
            <w:shd w:val="clear" w:color="auto" w:fill="auto"/>
            <w:vAlign w:val="center"/>
          </w:tcPr>
          <w:p w14:paraId="543E8E00" w14:textId="77777777" w:rsidR="008A2166" w:rsidRPr="00EC0AA8" w:rsidRDefault="008A2166">
            <w:pPr>
              <w:jc w:val="center"/>
              <w:rPr>
                <w:rFonts w:asciiTheme="minorHAnsi" w:eastAsia="SimSun" w:hAnsiTheme="minorHAnsi" w:cstheme="minorHAnsi"/>
                <w:b/>
                <w:bCs/>
                <w:iCs/>
                <w:sz w:val="24"/>
                <w:szCs w:val="24"/>
              </w:rPr>
            </w:pPr>
          </w:p>
        </w:tc>
        <w:tc>
          <w:tcPr>
            <w:tcW w:w="992" w:type="dxa"/>
            <w:tcBorders>
              <w:top w:val="single" w:sz="4" w:space="0" w:color="auto"/>
            </w:tcBorders>
            <w:shd w:val="clear" w:color="auto" w:fill="D9E2F3" w:themeFill="accent1" w:themeFillTint="33"/>
            <w:vAlign w:val="bottom"/>
          </w:tcPr>
          <w:p w14:paraId="7EDA7C0C"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1ED5E7B3"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2020-21</w:t>
            </w:r>
          </w:p>
        </w:tc>
        <w:tc>
          <w:tcPr>
            <w:tcW w:w="993" w:type="dxa"/>
            <w:tcBorders>
              <w:top w:val="single" w:sz="4" w:space="0" w:color="auto"/>
            </w:tcBorders>
            <w:shd w:val="clear" w:color="auto" w:fill="D9E2F3" w:themeFill="accent1" w:themeFillTint="33"/>
            <w:vAlign w:val="bottom"/>
          </w:tcPr>
          <w:p w14:paraId="0F2683F0"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53A053B8"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2021-22</w:t>
            </w:r>
          </w:p>
        </w:tc>
        <w:tc>
          <w:tcPr>
            <w:tcW w:w="992" w:type="dxa"/>
            <w:tcBorders>
              <w:top w:val="single" w:sz="4" w:space="0" w:color="auto"/>
            </w:tcBorders>
            <w:shd w:val="clear" w:color="auto" w:fill="D9E2F3" w:themeFill="accent1" w:themeFillTint="33"/>
            <w:vAlign w:val="bottom"/>
          </w:tcPr>
          <w:p w14:paraId="48B8A943"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6F424CFF"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2022-23</w:t>
            </w:r>
          </w:p>
        </w:tc>
        <w:tc>
          <w:tcPr>
            <w:tcW w:w="993" w:type="dxa"/>
            <w:tcBorders>
              <w:top w:val="single" w:sz="4" w:space="0" w:color="auto"/>
            </w:tcBorders>
            <w:shd w:val="clear" w:color="auto" w:fill="D9E2F3" w:themeFill="accent1" w:themeFillTint="33"/>
            <w:vAlign w:val="bottom"/>
          </w:tcPr>
          <w:p w14:paraId="5D90D4C9"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Estimated Actual</w:t>
            </w:r>
          </w:p>
          <w:p w14:paraId="1840107E"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2023-24</w:t>
            </w:r>
          </w:p>
        </w:tc>
        <w:tc>
          <w:tcPr>
            <w:tcW w:w="993" w:type="dxa"/>
            <w:tcBorders>
              <w:top w:val="single" w:sz="4" w:space="0" w:color="auto"/>
            </w:tcBorders>
            <w:shd w:val="clear" w:color="auto" w:fill="D9E2F3" w:themeFill="accent1" w:themeFillTint="33"/>
            <w:vAlign w:val="bottom"/>
          </w:tcPr>
          <w:p w14:paraId="6CC573B5"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Budget Estimate</w:t>
            </w:r>
          </w:p>
          <w:p w14:paraId="6DF4E0F6" w14:textId="77777777" w:rsidR="008A2166" w:rsidRPr="006C5CEA" w:rsidRDefault="008A2166">
            <w:pPr>
              <w:jc w:val="center"/>
              <w:rPr>
                <w:rFonts w:eastAsia="SimSun" w:cstheme="minorHAnsi"/>
                <w:b/>
                <w:bCs/>
                <w:iCs/>
                <w:sz w:val="16"/>
                <w:szCs w:val="16"/>
              </w:rPr>
            </w:pPr>
            <w:r w:rsidRPr="006C5CEA">
              <w:rPr>
                <w:rFonts w:asciiTheme="minorHAnsi" w:eastAsia="SimSun" w:hAnsiTheme="minorHAnsi" w:cstheme="minorHAnsi"/>
                <w:b/>
                <w:bCs/>
                <w:iCs/>
                <w:sz w:val="16"/>
                <w:szCs w:val="16"/>
              </w:rPr>
              <w:t>2024-25</w:t>
            </w:r>
          </w:p>
        </w:tc>
        <w:tc>
          <w:tcPr>
            <w:tcW w:w="992" w:type="dxa"/>
            <w:tcBorders>
              <w:top w:val="single" w:sz="4" w:space="0" w:color="auto"/>
            </w:tcBorders>
            <w:shd w:val="clear" w:color="auto" w:fill="D9E2F3" w:themeFill="accent1" w:themeFillTint="33"/>
            <w:vAlign w:val="bottom"/>
          </w:tcPr>
          <w:p w14:paraId="66672118"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1D6D8CEF"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2025-26</w:t>
            </w:r>
          </w:p>
        </w:tc>
        <w:tc>
          <w:tcPr>
            <w:tcW w:w="993" w:type="dxa"/>
            <w:tcBorders>
              <w:top w:val="single" w:sz="4" w:space="0" w:color="auto"/>
            </w:tcBorders>
            <w:shd w:val="clear" w:color="auto" w:fill="D9E2F3" w:themeFill="accent1" w:themeFillTint="33"/>
            <w:vAlign w:val="bottom"/>
          </w:tcPr>
          <w:p w14:paraId="0EC45FEE"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1EA0DC4B"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2026-27</w:t>
            </w:r>
          </w:p>
        </w:tc>
        <w:tc>
          <w:tcPr>
            <w:tcW w:w="993" w:type="dxa"/>
            <w:tcBorders>
              <w:top w:val="single" w:sz="4" w:space="0" w:color="auto"/>
            </w:tcBorders>
            <w:shd w:val="clear" w:color="auto" w:fill="D9E2F3" w:themeFill="accent1" w:themeFillTint="33"/>
            <w:vAlign w:val="bottom"/>
          </w:tcPr>
          <w:p w14:paraId="1C2FF0E1"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7638B416"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2027-28</w:t>
            </w:r>
          </w:p>
        </w:tc>
      </w:tr>
      <w:tr w:rsidR="008A2166" w:rsidRPr="00723F84" w14:paraId="6525E6D8" w14:textId="77777777">
        <w:trPr>
          <w:trHeight w:val="283"/>
        </w:trPr>
        <w:tc>
          <w:tcPr>
            <w:tcW w:w="1840" w:type="dxa"/>
            <w:tcBorders>
              <w:left w:val="single" w:sz="4" w:space="0" w:color="auto"/>
              <w:bottom w:val="single" w:sz="4" w:space="0" w:color="auto"/>
            </w:tcBorders>
            <w:shd w:val="clear" w:color="auto" w:fill="D9E2F3" w:themeFill="accent1" w:themeFillTint="33"/>
            <w:vAlign w:val="bottom"/>
          </w:tcPr>
          <w:p w14:paraId="573859E8" w14:textId="77777777" w:rsidR="008A2166" w:rsidRPr="00C84F7A" w:rsidRDefault="008A2166">
            <w:pPr>
              <w:rPr>
                <w:rFonts w:asciiTheme="minorHAnsi" w:eastAsia="SimSun" w:hAnsiTheme="minorHAnsi" w:cstheme="minorHAnsi"/>
                <w:b/>
                <w:bCs/>
                <w:iCs/>
                <w:sz w:val="18"/>
                <w:szCs w:val="18"/>
              </w:rPr>
            </w:pPr>
            <w:r w:rsidRPr="00C84F7A">
              <w:rPr>
                <w:rFonts w:asciiTheme="minorHAnsi" w:eastAsia="SimSun" w:hAnsiTheme="minorHAnsi" w:cstheme="minorHAnsi"/>
                <w:b/>
                <w:bCs/>
                <w:iCs/>
                <w:sz w:val="18"/>
                <w:szCs w:val="18"/>
              </w:rPr>
              <w:t>Patent Activity Group</w:t>
            </w:r>
          </w:p>
        </w:tc>
        <w:tc>
          <w:tcPr>
            <w:tcW w:w="992" w:type="dxa"/>
            <w:tcBorders>
              <w:bottom w:val="single" w:sz="4" w:space="0" w:color="auto"/>
            </w:tcBorders>
            <w:shd w:val="clear" w:color="auto" w:fill="D9E2F3" w:themeFill="accent1" w:themeFillTint="33"/>
            <w:vAlign w:val="bottom"/>
          </w:tcPr>
          <w:p w14:paraId="27DDFED0" w14:textId="77777777" w:rsidR="008A2166" w:rsidRPr="00723F84" w:rsidRDefault="008A2166">
            <w:pPr>
              <w:jc w:val="center"/>
              <w:rPr>
                <w:rFonts w:asciiTheme="minorHAnsi" w:eastAsia="SimSun" w:hAnsiTheme="minorHAnsi" w:cstheme="minorHAnsi"/>
                <w:iCs/>
                <w:sz w:val="18"/>
                <w:szCs w:val="18"/>
              </w:rPr>
            </w:pPr>
            <w:r>
              <w:rPr>
                <w:rFonts w:asciiTheme="minorHAnsi" w:eastAsia="SimSun" w:hAnsiTheme="minorHAnsi" w:cstheme="minorHAnsi"/>
                <w:iCs/>
                <w:sz w:val="18"/>
                <w:szCs w:val="18"/>
              </w:rPr>
              <w:t>$’M</w:t>
            </w:r>
          </w:p>
        </w:tc>
        <w:tc>
          <w:tcPr>
            <w:tcW w:w="993" w:type="dxa"/>
            <w:tcBorders>
              <w:bottom w:val="single" w:sz="4" w:space="0" w:color="auto"/>
            </w:tcBorders>
            <w:shd w:val="clear" w:color="auto" w:fill="D9E2F3" w:themeFill="accent1" w:themeFillTint="33"/>
            <w:vAlign w:val="bottom"/>
          </w:tcPr>
          <w:p w14:paraId="0A8529C3"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92" w:type="dxa"/>
            <w:tcBorders>
              <w:bottom w:val="single" w:sz="4" w:space="0" w:color="auto"/>
            </w:tcBorders>
            <w:shd w:val="clear" w:color="auto" w:fill="D9E2F3" w:themeFill="accent1" w:themeFillTint="33"/>
            <w:vAlign w:val="bottom"/>
          </w:tcPr>
          <w:p w14:paraId="319FDA29"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93" w:type="dxa"/>
            <w:tcBorders>
              <w:bottom w:val="single" w:sz="4" w:space="0" w:color="auto"/>
            </w:tcBorders>
            <w:shd w:val="clear" w:color="auto" w:fill="D9E2F3" w:themeFill="accent1" w:themeFillTint="33"/>
            <w:vAlign w:val="bottom"/>
          </w:tcPr>
          <w:p w14:paraId="5C8112D6"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93" w:type="dxa"/>
            <w:tcBorders>
              <w:bottom w:val="single" w:sz="4" w:space="0" w:color="auto"/>
            </w:tcBorders>
            <w:shd w:val="clear" w:color="auto" w:fill="D9E2F3" w:themeFill="accent1" w:themeFillTint="33"/>
            <w:vAlign w:val="bottom"/>
          </w:tcPr>
          <w:p w14:paraId="5EBC8191" w14:textId="77777777" w:rsidR="008A2166" w:rsidRPr="003C6FBC" w:rsidRDefault="008A2166">
            <w:pPr>
              <w:jc w:val="center"/>
              <w:rPr>
                <w:rFonts w:eastAsia="SimSun" w:cstheme="minorHAnsi"/>
                <w:iCs/>
                <w:sz w:val="18"/>
                <w:szCs w:val="18"/>
              </w:rPr>
            </w:pPr>
            <w:r>
              <w:rPr>
                <w:rFonts w:asciiTheme="minorHAnsi" w:eastAsia="SimSun" w:hAnsiTheme="minorHAnsi" w:cstheme="minorHAnsi"/>
                <w:iCs/>
                <w:sz w:val="18"/>
                <w:szCs w:val="18"/>
              </w:rPr>
              <w:t>$’M</w:t>
            </w:r>
          </w:p>
        </w:tc>
        <w:tc>
          <w:tcPr>
            <w:tcW w:w="992" w:type="dxa"/>
            <w:tcBorders>
              <w:bottom w:val="single" w:sz="4" w:space="0" w:color="auto"/>
            </w:tcBorders>
            <w:shd w:val="clear" w:color="auto" w:fill="D9E2F3" w:themeFill="accent1" w:themeFillTint="33"/>
            <w:vAlign w:val="bottom"/>
          </w:tcPr>
          <w:p w14:paraId="00C3921D"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c>
          <w:tcPr>
            <w:tcW w:w="993" w:type="dxa"/>
            <w:tcBorders>
              <w:bottom w:val="single" w:sz="4" w:space="0" w:color="auto"/>
            </w:tcBorders>
            <w:shd w:val="clear" w:color="auto" w:fill="D9E2F3" w:themeFill="accent1" w:themeFillTint="33"/>
            <w:vAlign w:val="bottom"/>
          </w:tcPr>
          <w:p w14:paraId="69C90E5E"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c>
          <w:tcPr>
            <w:tcW w:w="993" w:type="dxa"/>
            <w:tcBorders>
              <w:bottom w:val="single" w:sz="4" w:space="0" w:color="auto"/>
            </w:tcBorders>
            <w:shd w:val="clear" w:color="auto" w:fill="D9E2F3" w:themeFill="accent1" w:themeFillTint="33"/>
            <w:vAlign w:val="bottom"/>
          </w:tcPr>
          <w:p w14:paraId="61390FF4"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r>
      <w:tr w:rsidR="008A2166" w:rsidRPr="00BF3D82" w14:paraId="3339F5C8" w14:textId="77777777">
        <w:trPr>
          <w:trHeight w:val="283"/>
        </w:trPr>
        <w:tc>
          <w:tcPr>
            <w:tcW w:w="9781" w:type="dxa"/>
            <w:gridSpan w:val="9"/>
            <w:tcBorders>
              <w:left w:val="single" w:sz="4" w:space="0" w:color="auto"/>
            </w:tcBorders>
            <w:shd w:val="clear" w:color="auto" w:fill="F7FFFB"/>
            <w:vAlign w:val="center"/>
          </w:tcPr>
          <w:p w14:paraId="7A15D930" w14:textId="77777777" w:rsidR="008A2166" w:rsidRPr="00622E2F" w:rsidRDefault="008A2166">
            <w:pPr>
              <w:jc w:val="center"/>
              <w:rPr>
                <w:rFonts w:ascii="Tahoma" w:eastAsia="SimSun" w:hAnsi="Tahoma" w:cs="Tahoma"/>
                <w:b/>
                <w:bCs/>
                <w:iCs/>
                <w:sz w:val="16"/>
                <w:szCs w:val="16"/>
              </w:rPr>
            </w:pPr>
            <w:r>
              <w:rPr>
                <w:rFonts w:ascii="Tahoma" w:eastAsia="SimSun" w:hAnsi="Tahoma" w:cs="Tahoma"/>
                <w:b/>
                <w:bCs/>
                <w:iCs/>
                <w:sz w:val="16"/>
                <w:szCs w:val="16"/>
              </w:rPr>
              <w:t>ACTUAL / FORECAST</w:t>
            </w:r>
          </w:p>
        </w:tc>
      </w:tr>
      <w:tr w:rsidR="008A2166" w:rsidRPr="00BF3D82" w14:paraId="7B4CAF26" w14:textId="77777777">
        <w:trPr>
          <w:trHeight w:val="340"/>
        </w:trPr>
        <w:tc>
          <w:tcPr>
            <w:tcW w:w="1840" w:type="dxa"/>
            <w:tcBorders>
              <w:left w:val="single" w:sz="4" w:space="0" w:color="auto"/>
            </w:tcBorders>
            <w:vAlign w:val="bottom"/>
          </w:tcPr>
          <w:p w14:paraId="5196D07F"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Revenue = Y</w:t>
            </w:r>
          </w:p>
        </w:tc>
        <w:tc>
          <w:tcPr>
            <w:tcW w:w="992" w:type="dxa"/>
            <w:vAlign w:val="bottom"/>
          </w:tcPr>
          <w:p w14:paraId="21C985FC"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$147.511</w:t>
            </w:r>
          </w:p>
        </w:tc>
        <w:tc>
          <w:tcPr>
            <w:tcW w:w="993" w:type="dxa"/>
            <w:vAlign w:val="bottom"/>
          </w:tcPr>
          <w:p w14:paraId="4B25D2F6"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$156.265</w:t>
            </w:r>
          </w:p>
        </w:tc>
        <w:tc>
          <w:tcPr>
            <w:tcW w:w="992" w:type="dxa"/>
            <w:vAlign w:val="bottom"/>
          </w:tcPr>
          <w:p w14:paraId="051B0CF9"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$159.709</w:t>
            </w:r>
          </w:p>
        </w:tc>
        <w:tc>
          <w:tcPr>
            <w:tcW w:w="993" w:type="dxa"/>
            <w:vAlign w:val="bottom"/>
          </w:tcPr>
          <w:p w14:paraId="79CD6B9E"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$164.475</w:t>
            </w:r>
          </w:p>
        </w:tc>
        <w:tc>
          <w:tcPr>
            <w:tcW w:w="993" w:type="dxa"/>
            <w:shd w:val="clear" w:color="auto" w:fill="F2F2F2" w:themeFill="background1" w:themeFillShade="F2"/>
            <w:vAlign w:val="bottom"/>
          </w:tcPr>
          <w:p w14:paraId="58A69152"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$181.596</w:t>
            </w:r>
          </w:p>
        </w:tc>
        <w:tc>
          <w:tcPr>
            <w:tcW w:w="992" w:type="dxa"/>
            <w:vAlign w:val="bottom"/>
          </w:tcPr>
          <w:p w14:paraId="0921D9A0"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$184.029</w:t>
            </w:r>
          </w:p>
        </w:tc>
        <w:tc>
          <w:tcPr>
            <w:tcW w:w="993" w:type="dxa"/>
            <w:vAlign w:val="bottom"/>
          </w:tcPr>
          <w:p w14:paraId="72A672A3"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$187.837</w:t>
            </w:r>
          </w:p>
        </w:tc>
        <w:tc>
          <w:tcPr>
            <w:tcW w:w="993" w:type="dxa"/>
            <w:vAlign w:val="bottom"/>
          </w:tcPr>
          <w:p w14:paraId="7688DB29"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$190.502</w:t>
            </w:r>
          </w:p>
        </w:tc>
      </w:tr>
      <w:tr w:rsidR="008A2166" w:rsidRPr="00BF3D82" w14:paraId="302CF42A" w14:textId="77777777">
        <w:trPr>
          <w:trHeight w:val="340"/>
        </w:trPr>
        <w:tc>
          <w:tcPr>
            <w:tcW w:w="1840" w:type="dxa"/>
            <w:tcBorders>
              <w:left w:val="single" w:sz="4" w:space="0" w:color="auto"/>
            </w:tcBorders>
            <w:vAlign w:val="bottom"/>
          </w:tcPr>
          <w:p w14:paraId="47E83D5D" w14:textId="77777777" w:rsidR="008A2166" w:rsidRPr="009632BA" w:rsidRDefault="008A2166">
            <w:pPr>
              <w:rPr>
                <w:rFonts w:eastAsia="SimSun" w:cstheme="minorHAnsi"/>
                <w:iCs/>
                <w:sz w:val="18"/>
                <w:szCs w:val="18"/>
              </w:rPr>
            </w:pPr>
            <w:r w:rsidRPr="0075344F">
              <w:rPr>
                <w:rFonts w:asciiTheme="minorHAnsi" w:eastAsia="SimSun" w:hAnsiTheme="minorHAnsi" w:cstheme="minorHAnsi"/>
                <w:iCs/>
                <w:sz w:val="18"/>
                <w:szCs w:val="18"/>
              </w:rPr>
              <w:t>Expenses = X</w:t>
            </w:r>
          </w:p>
        </w:tc>
        <w:tc>
          <w:tcPr>
            <w:tcW w:w="992" w:type="dxa"/>
            <w:vAlign w:val="bottom"/>
          </w:tcPr>
          <w:p w14:paraId="3386FCAA"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$137.903</w:t>
            </w:r>
          </w:p>
        </w:tc>
        <w:tc>
          <w:tcPr>
            <w:tcW w:w="993" w:type="dxa"/>
            <w:vAlign w:val="bottom"/>
          </w:tcPr>
          <w:p w14:paraId="5C97E477"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$145.938</w:t>
            </w:r>
          </w:p>
        </w:tc>
        <w:tc>
          <w:tcPr>
            <w:tcW w:w="992" w:type="dxa"/>
            <w:vAlign w:val="bottom"/>
          </w:tcPr>
          <w:p w14:paraId="4A2499D9"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$159.866</w:t>
            </w:r>
          </w:p>
        </w:tc>
        <w:tc>
          <w:tcPr>
            <w:tcW w:w="993" w:type="dxa"/>
            <w:vAlign w:val="bottom"/>
          </w:tcPr>
          <w:p w14:paraId="792EF3E5"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$172.159</w:t>
            </w:r>
          </w:p>
        </w:tc>
        <w:tc>
          <w:tcPr>
            <w:tcW w:w="993" w:type="dxa"/>
            <w:shd w:val="clear" w:color="auto" w:fill="F2F2F2" w:themeFill="background1" w:themeFillShade="F2"/>
            <w:vAlign w:val="bottom"/>
          </w:tcPr>
          <w:p w14:paraId="194F7EC5"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$181.640</w:t>
            </w:r>
          </w:p>
        </w:tc>
        <w:tc>
          <w:tcPr>
            <w:tcW w:w="992" w:type="dxa"/>
            <w:vAlign w:val="bottom"/>
          </w:tcPr>
          <w:p w14:paraId="19BF18AC"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$186.900</w:t>
            </w:r>
          </w:p>
        </w:tc>
        <w:tc>
          <w:tcPr>
            <w:tcW w:w="993" w:type="dxa"/>
            <w:vAlign w:val="bottom"/>
          </w:tcPr>
          <w:p w14:paraId="53222E70"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$194.021</w:t>
            </w:r>
          </w:p>
        </w:tc>
        <w:tc>
          <w:tcPr>
            <w:tcW w:w="993" w:type="dxa"/>
            <w:vAlign w:val="bottom"/>
          </w:tcPr>
          <w:p w14:paraId="615C621E"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$201.064</w:t>
            </w:r>
          </w:p>
        </w:tc>
      </w:tr>
      <w:tr w:rsidR="008A2166" w:rsidRPr="000D77FF" w14:paraId="7424B3D7" w14:textId="77777777">
        <w:trPr>
          <w:trHeight w:val="340"/>
        </w:trPr>
        <w:tc>
          <w:tcPr>
            <w:tcW w:w="1840" w:type="dxa"/>
            <w:tcBorders>
              <w:left w:val="single" w:sz="4" w:space="0" w:color="auto"/>
            </w:tcBorders>
            <w:vAlign w:val="bottom"/>
          </w:tcPr>
          <w:p w14:paraId="479FABE0"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Balance = Y – X</w:t>
            </w:r>
          </w:p>
        </w:tc>
        <w:tc>
          <w:tcPr>
            <w:tcW w:w="992" w:type="dxa"/>
            <w:vAlign w:val="bottom"/>
          </w:tcPr>
          <w:p w14:paraId="53918831"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$9.608</w:t>
            </w:r>
          </w:p>
        </w:tc>
        <w:tc>
          <w:tcPr>
            <w:tcW w:w="993" w:type="dxa"/>
            <w:vAlign w:val="bottom"/>
          </w:tcPr>
          <w:p w14:paraId="11229526"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$10.327</w:t>
            </w:r>
          </w:p>
        </w:tc>
        <w:tc>
          <w:tcPr>
            <w:tcW w:w="992" w:type="dxa"/>
            <w:vAlign w:val="bottom"/>
          </w:tcPr>
          <w:p w14:paraId="76C08202"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-$0.157</w:t>
            </w:r>
          </w:p>
        </w:tc>
        <w:tc>
          <w:tcPr>
            <w:tcW w:w="993" w:type="dxa"/>
            <w:vAlign w:val="bottom"/>
          </w:tcPr>
          <w:p w14:paraId="52487133"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-$7.684</w:t>
            </w:r>
          </w:p>
        </w:tc>
        <w:tc>
          <w:tcPr>
            <w:tcW w:w="993" w:type="dxa"/>
            <w:shd w:val="clear" w:color="auto" w:fill="F2F2F2" w:themeFill="background1" w:themeFillShade="F2"/>
            <w:vAlign w:val="bottom"/>
          </w:tcPr>
          <w:p w14:paraId="402B8FB6"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-$0.044</w:t>
            </w:r>
          </w:p>
        </w:tc>
        <w:tc>
          <w:tcPr>
            <w:tcW w:w="992" w:type="dxa"/>
            <w:vAlign w:val="bottom"/>
          </w:tcPr>
          <w:p w14:paraId="62351F51"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-$2.871</w:t>
            </w:r>
          </w:p>
        </w:tc>
        <w:tc>
          <w:tcPr>
            <w:tcW w:w="993" w:type="dxa"/>
            <w:vAlign w:val="bottom"/>
          </w:tcPr>
          <w:p w14:paraId="2AFF5D57"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-$6.185</w:t>
            </w:r>
          </w:p>
        </w:tc>
        <w:tc>
          <w:tcPr>
            <w:tcW w:w="993" w:type="dxa"/>
            <w:vAlign w:val="bottom"/>
          </w:tcPr>
          <w:p w14:paraId="21AC9033"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-$10.562</w:t>
            </w:r>
          </w:p>
        </w:tc>
      </w:tr>
      <w:tr w:rsidR="008A2166" w:rsidRPr="00664613" w14:paraId="77BA657E" w14:textId="77777777">
        <w:trPr>
          <w:trHeight w:val="340"/>
        </w:trPr>
        <w:tc>
          <w:tcPr>
            <w:tcW w:w="1840" w:type="dxa"/>
            <w:tcBorders>
              <w:left w:val="single" w:sz="4" w:space="0" w:color="auto"/>
            </w:tcBorders>
            <w:vAlign w:val="bottom"/>
          </w:tcPr>
          <w:p w14:paraId="3F142B9A"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Cumulative Balance</w:t>
            </w:r>
          </w:p>
        </w:tc>
        <w:tc>
          <w:tcPr>
            <w:tcW w:w="992" w:type="dxa"/>
            <w:vAlign w:val="bottom"/>
          </w:tcPr>
          <w:p w14:paraId="03D98D63"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$9.608</w:t>
            </w:r>
          </w:p>
        </w:tc>
        <w:tc>
          <w:tcPr>
            <w:tcW w:w="993" w:type="dxa"/>
            <w:vAlign w:val="bottom"/>
          </w:tcPr>
          <w:p w14:paraId="4C11CBA8"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$19.935</w:t>
            </w:r>
          </w:p>
        </w:tc>
        <w:tc>
          <w:tcPr>
            <w:tcW w:w="992" w:type="dxa"/>
            <w:vAlign w:val="bottom"/>
          </w:tcPr>
          <w:p w14:paraId="61BECAD0"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$19.778</w:t>
            </w:r>
          </w:p>
        </w:tc>
        <w:tc>
          <w:tcPr>
            <w:tcW w:w="993" w:type="dxa"/>
            <w:vAlign w:val="bottom"/>
          </w:tcPr>
          <w:p w14:paraId="6F778525"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$12.094</w:t>
            </w:r>
          </w:p>
        </w:tc>
        <w:tc>
          <w:tcPr>
            <w:tcW w:w="993" w:type="dxa"/>
            <w:shd w:val="clear" w:color="auto" w:fill="F2F2F2" w:themeFill="background1" w:themeFillShade="F2"/>
            <w:vAlign w:val="bottom"/>
          </w:tcPr>
          <w:p w14:paraId="573BD8BF"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$12.050</w:t>
            </w:r>
          </w:p>
        </w:tc>
        <w:tc>
          <w:tcPr>
            <w:tcW w:w="992" w:type="dxa"/>
            <w:vAlign w:val="bottom"/>
          </w:tcPr>
          <w:p w14:paraId="2DF6FE6A"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$9.179</w:t>
            </w:r>
          </w:p>
        </w:tc>
        <w:tc>
          <w:tcPr>
            <w:tcW w:w="993" w:type="dxa"/>
            <w:vAlign w:val="bottom"/>
          </w:tcPr>
          <w:p w14:paraId="778AF8FA"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$2.995</w:t>
            </w:r>
          </w:p>
        </w:tc>
        <w:tc>
          <w:tcPr>
            <w:tcW w:w="993" w:type="dxa"/>
            <w:vAlign w:val="bottom"/>
          </w:tcPr>
          <w:p w14:paraId="297E922C"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-$7.567</w:t>
            </w:r>
          </w:p>
        </w:tc>
      </w:tr>
    </w:tbl>
    <w:p w14:paraId="44D485DD" w14:textId="77777777" w:rsidR="008A2166" w:rsidRDefault="008A2166" w:rsidP="008A2166">
      <w:pPr>
        <w:spacing w:after="0"/>
      </w:pPr>
    </w:p>
    <w:p w14:paraId="28204920" w14:textId="77777777" w:rsidR="008A2166" w:rsidRDefault="008A2166" w:rsidP="008A2166">
      <w:pPr>
        <w:spacing w:before="120"/>
      </w:pPr>
      <w:r w:rsidRPr="00577900">
        <w:rPr>
          <w:i/>
          <w:iCs/>
        </w:rPr>
        <w:t xml:space="preserve">Table </w:t>
      </w:r>
      <w:r>
        <w:rPr>
          <w:i/>
          <w:iCs/>
        </w:rPr>
        <w:t>7</w:t>
      </w:r>
      <w:r w:rsidRPr="00577900">
        <w:rPr>
          <w:i/>
          <w:iCs/>
        </w:rPr>
        <w:t xml:space="preserve"> – </w:t>
      </w:r>
      <w:r>
        <w:rPr>
          <w:i/>
          <w:iCs/>
        </w:rPr>
        <w:t>TRADE MARK cost recovered activity: Financial Performance &amp; Forecast</w:t>
      </w:r>
    </w:p>
    <w:tbl>
      <w:tblPr>
        <w:tblStyle w:val="TableGrid"/>
        <w:tblW w:w="9781" w:type="dxa"/>
        <w:tblLook w:val="04A0" w:firstRow="1" w:lastRow="0" w:firstColumn="1" w:lastColumn="0" w:noHBand="0" w:noVBand="1"/>
      </w:tblPr>
      <w:tblGrid>
        <w:gridCol w:w="2151"/>
        <w:gridCol w:w="953"/>
        <w:gridCol w:w="954"/>
        <w:gridCol w:w="954"/>
        <w:gridCol w:w="954"/>
        <w:gridCol w:w="953"/>
        <w:gridCol w:w="954"/>
        <w:gridCol w:w="954"/>
        <w:gridCol w:w="954"/>
      </w:tblGrid>
      <w:tr w:rsidR="008A2166" w:rsidRPr="006C5CEA" w14:paraId="5370924B" w14:textId="77777777">
        <w:trPr>
          <w:trHeight w:val="340"/>
        </w:trPr>
        <w:tc>
          <w:tcPr>
            <w:tcW w:w="2151" w:type="dxa"/>
            <w:tcBorders>
              <w:top w:val="nil"/>
              <w:left w:val="nil"/>
              <w:bottom w:val="single" w:sz="4" w:space="0" w:color="auto"/>
            </w:tcBorders>
            <w:shd w:val="clear" w:color="auto" w:fill="auto"/>
            <w:vAlign w:val="center"/>
          </w:tcPr>
          <w:p w14:paraId="79A2224B" w14:textId="77777777" w:rsidR="008A2166" w:rsidRPr="00EC0AA8" w:rsidRDefault="008A2166">
            <w:pPr>
              <w:jc w:val="center"/>
              <w:rPr>
                <w:rFonts w:asciiTheme="minorHAnsi" w:eastAsia="SimSun" w:hAnsiTheme="minorHAnsi" w:cstheme="minorHAnsi"/>
                <w:b/>
                <w:bCs/>
                <w:iCs/>
                <w:sz w:val="24"/>
                <w:szCs w:val="24"/>
              </w:rPr>
            </w:pPr>
          </w:p>
        </w:tc>
        <w:tc>
          <w:tcPr>
            <w:tcW w:w="953" w:type="dxa"/>
            <w:tcBorders>
              <w:top w:val="single" w:sz="4" w:space="0" w:color="auto"/>
            </w:tcBorders>
            <w:shd w:val="clear" w:color="auto" w:fill="D9E2F3" w:themeFill="accent1" w:themeFillTint="33"/>
            <w:vAlign w:val="bottom"/>
          </w:tcPr>
          <w:p w14:paraId="5C0A96FF"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1D4FA94D"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2020-21</w:t>
            </w:r>
          </w:p>
        </w:tc>
        <w:tc>
          <w:tcPr>
            <w:tcW w:w="954" w:type="dxa"/>
            <w:tcBorders>
              <w:top w:val="single" w:sz="4" w:space="0" w:color="auto"/>
            </w:tcBorders>
            <w:shd w:val="clear" w:color="auto" w:fill="D9E2F3" w:themeFill="accent1" w:themeFillTint="33"/>
            <w:vAlign w:val="bottom"/>
          </w:tcPr>
          <w:p w14:paraId="141EC1B2"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7AF99184"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2021-22</w:t>
            </w:r>
          </w:p>
        </w:tc>
        <w:tc>
          <w:tcPr>
            <w:tcW w:w="954" w:type="dxa"/>
            <w:tcBorders>
              <w:top w:val="single" w:sz="4" w:space="0" w:color="auto"/>
            </w:tcBorders>
            <w:shd w:val="clear" w:color="auto" w:fill="D9E2F3" w:themeFill="accent1" w:themeFillTint="33"/>
            <w:vAlign w:val="bottom"/>
          </w:tcPr>
          <w:p w14:paraId="53507C93"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51C7E48D"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2022-23</w:t>
            </w:r>
          </w:p>
        </w:tc>
        <w:tc>
          <w:tcPr>
            <w:tcW w:w="954" w:type="dxa"/>
            <w:tcBorders>
              <w:top w:val="single" w:sz="4" w:space="0" w:color="auto"/>
            </w:tcBorders>
            <w:shd w:val="clear" w:color="auto" w:fill="D9E2F3" w:themeFill="accent1" w:themeFillTint="33"/>
            <w:vAlign w:val="bottom"/>
          </w:tcPr>
          <w:p w14:paraId="7C97C432"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Estimated Actual</w:t>
            </w:r>
          </w:p>
          <w:p w14:paraId="654E9D3C"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2023-24</w:t>
            </w:r>
          </w:p>
        </w:tc>
        <w:tc>
          <w:tcPr>
            <w:tcW w:w="953" w:type="dxa"/>
            <w:tcBorders>
              <w:top w:val="single" w:sz="4" w:space="0" w:color="auto"/>
            </w:tcBorders>
            <w:shd w:val="clear" w:color="auto" w:fill="D9E2F3" w:themeFill="accent1" w:themeFillTint="33"/>
            <w:vAlign w:val="bottom"/>
          </w:tcPr>
          <w:p w14:paraId="13F2F65E"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Budget Estimate</w:t>
            </w:r>
          </w:p>
          <w:p w14:paraId="6AE23961" w14:textId="77777777" w:rsidR="008A2166" w:rsidRPr="006C5CEA" w:rsidRDefault="008A2166">
            <w:pPr>
              <w:jc w:val="center"/>
              <w:rPr>
                <w:rFonts w:eastAsia="SimSun" w:cstheme="minorHAnsi"/>
                <w:b/>
                <w:bCs/>
                <w:iCs/>
                <w:sz w:val="16"/>
                <w:szCs w:val="16"/>
              </w:rPr>
            </w:pPr>
            <w:r w:rsidRPr="006C5CEA">
              <w:rPr>
                <w:rFonts w:asciiTheme="minorHAnsi" w:eastAsia="SimSun" w:hAnsiTheme="minorHAnsi" w:cstheme="minorHAnsi"/>
                <w:b/>
                <w:bCs/>
                <w:iCs/>
                <w:sz w:val="16"/>
                <w:szCs w:val="16"/>
              </w:rPr>
              <w:t>2024-25</w:t>
            </w:r>
          </w:p>
        </w:tc>
        <w:tc>
          <w:tcPr>
            <w:tcW w:w="954" w:type="dxa"/>
            <w:tcBorders>
              <w:top w:val="single" w:sz="4" w:space="0" w:color="auto"/>
            </w:tcBorders>
            <w:shd w:val="clear" w:color="auto" w:fill="D9E2F3" w:themeFill="accent1" w:themeFillTint="33"/>
            <w:vAlign w:val="bottom"/>
          </w:tcPr>
          <w:p w14:paraId="03C03827"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0036D1AA"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2025-26</w:t>
            </w:r>
          </w:p>
        </w:tc>
        <w:tc>
          <w:tcPr>
            <w:tcW w:w="954" w:type="dxa"/>
            <w:tcBorders>
              <w:top w:val="single" w:sz="4" w:space="0" w:color="auto"/>
            </w:tcBorders>
            <w:shd w:val="clear" w:color="auto" w:fill="D9E2F3" w:themeFill="accent1" w:themeFillTint="33"/>
            <w:vAlign w:val="bottom"/>
          </w:tcPr>
          <w:p w14:paraId="521621A7"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3615D4AB"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2026-27</w:t>
            </w:r>
          </w:p>
        </w:tc>
        <w:tc>
          <w:tcPr>
            <w:tcW w:w="954" w:type="dxa"/>
            <w:tcBorders>
              <w:top w:val="single" w:sz="4" w:space="0" w:color="auto"/>
            </w:tcBorders>
            <w:shd w:val="clear" w:color="auto" w:fill="D9E2F3" w:themeFill="accent1" w:themeFillTint="33"/>
            <w:vAlign w:val="bottom"/>
          </w:tcPr>
          <w:p w14:paraId="7E8C738B"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6D398A03"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2027-28</w:t>
            </w:r>
          </w:p>
        </w:tc>
      </w:tr>
      <w:tr w:rsidR="008A2166" w:rsidRPr="00723F84" w14:paraId="38E49BD4" w14:textId="77777777">
        <w:trPr>
          <w:trHeight w:val="283"/>
        </w:trPr>
        <w:tc>
          <w:tcPr>
            <w:tcW w:w="2151" w:type="dxa"/>
            <w:tcBorders>
              <w:left w:val="single" w:sz="4" w:space="0" w:color="auto"/>
              <w:bottom w:val="single" w:sz="4" w:space="0" w:color="auto"/>
            </w:tcBorders>
            <w:shd w:val="clear" w:color="auto" w:fill="D9E2F3" w:themeFill="accent1" w:themeFillTint="33"/>
            <w:vAlign w:val="bottom"/>
          </w:tcPr>
          <w:p w14:paraId="20A9352B" w14:textId="77777777" w:rsidR="008A2166" w:rsidRPr="00C84F7A" w:rsidRDefault="008A2166">
            <w:pPr>
              <w:rPr>
                <w:rFonts w:asciiTheme="minorHAnsi" w:eastAsia="SimSun" w:hAnsiTheme="minorHAnsi" w:cstheme="minorHAnsi"/>
                <w:b/>
                <w:bCs/>
                <w:iCs/>
                <w:sz w:val="18"/>
                <w:szCs w:val="18"/>
              </w:rPr>
            </w:pPr>
            <w:r>
              <w:rPr>
                <w:rFonts w:asciiTheme="minorHAnsi" w:eastAsia="SimSun" w:hAnsiTheme="minorHAnsi" w:cstheme="minorHAnsi"/>
                <w:b/>
                <w:bCs/>
                <w:iCs/>
                <w:sz w:val="18"/>
                <w:szCs w:val="18"/>
              </w:rPr>
              <w:t>Trade Mark</w:t>
            </w:r>
            <w:r w:rsidRPr="00C84F7A">
              <w:rPr>
                <w:rFonts w:asciiTheme="minorHAnsi" w:eastAsia="SimSun" w:hAnsiTheme="minorHAnsi" w:cstheme="minorHAnsi"/>
                <w:b/>
                <w:bCs/>
                <w:iCs/>
                <w:sz w:val="18"/>
                <w:szCs w:val="18"/>
              </w:rPr>
              <w:t xml:space="preserve"> Activity Group</w:t>
            </w:r>
          </w:p>
        </w:tc>
        <w:tc>
          <w:tcPr>
            <w:tcW w:w="953" w:type="dxa"/>
            <w:tcBorders>
              <w:bottom w:val="single" w:sz="4" w:space="0" w:color="auto"/>
            </w:tcBorders>
            <w:shd w:val="clear" w:color="auto" w:fill="D9E2F3" w:themeFill="accent1" w:themeFillTint="33"/>
            <w:vAlign w:val="bottom"/>
          </w:tcPr>
          <w:p w14:paraId="16697802" w14:textId="77777777" w:rsidR="008A2166" w:rsidRPr="00723F84" w:rsidRDefault="008A2166">
            <w:pPr>
              <w:jc w:val="center"/>
              <w:rPr>
                <w:rFonts w:asciiTheme="minorHAnsi" w:eastAsia="SimSun" w:hAnsiTheme="minorHAnsi" w:cstheme="minorHAnsi"/>
                <w:iCs/>
                <w:sz w:val="18"/>
                <w:szCs w:val="18"/>
              </w:rPr>
            </w:pPr>
            <w:r>
              <w:rPr>
                <w:rFonts w:asciiTheme="minorHAnsi" w:eastAsia="SimSun" w:hAnsiTheme="minorHAnsi" w:cstheme="minorHAnsi"/>
                <w:iCs/>
                <w:sz w:val="18"/>
                <w:szCs w:val="18"/>
              </w:rPr>
              <w:t>$’M</w:t>
            </w:r>
          </w:p>
        </w:tc>
        <w:tc>
          <w:tcPr>
            <w:tcW w:w="954" w:type="dxa"/>
            <w:tcBorders>
              <w:bottom w:val="single" w:sz="4" w:space="0" w:color="auto"/>
            </w:tcBorders>
            <w:shd w:val="clear" w:color="auto" w:fill="D9E2F3" w:themeFill="accent1" w:themeFillTint="33"/>
            <w:vAlign w:val="bottom"/>
          </w:tcPr>
          <w:p w14:paraId="672D9FD8"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54" w:type="dxa"/>
            <w:tcBorders>
              <w:bottom w:val="single" w:sz="4" w:space="0" w:color="auto"/>
            </w:tcBorders>
            <w:shd w:val="clear" w:color="auto" w:fill="D9E2F3" w:themeFill="accent1" w:themeFillTint="33"/>
            <w:vAlign w:val="bottom"/>
          </w:tcPr>
          <w:p w14:paraId="5C5A075F"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54" w:type="dxa"/>
            <w:tcBorders>
              <w:bottom w:val="single" w:sz="4" w:space="0" w:color="auto"/>
            </w:tcBorders>
            <w:shd w:val="clear" w:color="auto" w:fill="D9E2F3" w:themeFill="accent1" w:themeFillTint="33"/>
            <w:vAlign w:val="bottom"/>
          </w:tcPr>
          <w:p w14:paraId="04D9A28E"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53" w:type="dxa"/>
            <w:tcBorders>
              <w:bottom w:val="single" w:sz="4" w:space="0" w:color="auto"/>
            </w:tcBorders>
            <w:shd w:val="clear" w:color="auto" w:fill="D9E2F3" w:themeFill="accent1" w:themeFillTint="33"/>
            <w:vAlign w:val="bottom"/>
          </w:tcPr>
          <w:p w14:paraId="2C3DC94D" w14:textId="77777777" w:rsidR="008A2166" w:rsidRPr="003C6FBC" w:rsidRDefault="008A2166">
            <w:pPr>
              <w:jc w:val="center"/>
              <w:rPr>
                <w:rFonts w:eastAsia="SimSun" w:cstheme="minorHAnsi"/>
                <w:iCs/>
                <w:sz w:val="18"/>
                <w:szCs w:val="18"/>
              </w:rPr>
            </w:pPr>
            <w:r>
              <w:rPr>
                <w:rFonts w:asciiTheme="minorHAnsi" w:eastAsia="SimSun" w:hAnsiTheme="minorHAnsi" w:cstheme="minorHAnsi"/>
                <w:iCs/>
                <w:sz w:val="18"/>
                <w:szCs w:val="18"/>
              </w:rPr>
              <w:t>$’M</w:t>
            </w:r>
          </w:p>
        </w:tc>
        <w:tc>
          <w:tcPr>
            <w:tcW w:w="954" w:type="dxa"/>
            <w:tcBorders>
              <w:bottom w:val="single" w:sz="4" w:space="0" w:color="auto"/>
            </w:tcBorders>
            <w:shd w:val="clear" w:color="auto" w:fill="D9E2F3" w:themeFill="accent1" w:themeFillTint="33"/>
            <w:vAlign w:val="bottom"/>
          </w:tcPr>
          <w:p w14:paraId="59604CCA"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c>
          <w:tcPr>
            <w:tcW w:w="954" w:type="dxa"/>
            <w:tcBorders>
              <w:bottom w:val="single" w:sz="4" w:space="0" w:color="auto"/>
            </w:tcBorders>
            <w:shd w:val="clear" w:color="auto" w:fill="D9E2F3" w:themeFill="accent1" w:themeFillTint="33"/>
            <w:vAlign w:val="bottom"/>
          </w:tcPr>
          <w:p w14:paraId="5E6EB59A"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c>
          <w:tcPr>
            <w:tcW w:w="954" w:type="dxa"/>
            <w:tcBorders>
              <w:bottom w:val="single" w:sz="4" w:space="0" w:color="auto"/>
            </w:tcBorders>
            <w:shd w:val="clear" w:color="auto" w:fill="D9E2F3" w:themeFill="accent1" w:themeFillTint="33"/>
            <w:vAlign w:val="bottom"/>
          </w:tcPr>
          <w:p w14:paraId="5839B514"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r>
      <w:tr w:rsidR="008A2166" w:rsidRPr="00BF3D82" w14:paraId="308FFE8F" w14:textId="77777777">
        <w:trPr>
          <w:trHeight w:val="283"/>
        </w:trPr>
        <w:tc>
          <w:tcPr>
            <w:tcW w:w="9781" w:type="dxa"/>
            <w:gridSpan w:val="9"/>
            <w:tcBorders>
              <w:left w:val="single" w:sz="4" w:space="0" w:color="auto"/>
            </w:tcBorders>
            <w:shd w:val="clear" w:color="auto" w:fill="F7FFFB"/>
            <w:vAlign w:val="center"/>
          </w:tcPr>
          <w:p w14:paraId="353AEC82" w14:textId="77777777" w:rsidR="008A2166" w:rsidRPr="00622E2F" w:rsidRDefault="008A2166">
            <w:pPr>
              <w:jc w:val="center"/>
              <w:rPr>
                <w:rFonts w:ascii="Tahoma" w:eastAsia="SimSun" w:hAnsi="Tahoma" w:cs="Tahoma"/>
                <w:b/>
                <w:bCs/>
                <w:iCs/>
                <w:sz w:val="16"/>
                <w:szCs w:val="16"/>
              </w:rPr>
            </w:pPr>
            <w:r>
              <w:rPr>
                <w:rFonts w:ascii="Tahoma" w:eastAsia="SimSun" w:hAnsi="Tahoma" w:cs="Tahoma"/>
                <w:b/>
                <w:bCs/>
                <w:iCs/>
                <w:sz w:val="16"/>
                <w:szCs w:val="16"/>
              </w:rPr>
              <w:t>ACTUAL / FORECAST</w:t>
            </w:r>
          </w:p>
        </w:tc>
      </w:tr>
      <w:tr w:rsidR="008A2166" w:rsidRPr="00BF3D82" w14:paraId="798F4D72" w14:textId="77777777">
        <w:trPr>
          <w:trHeight w:val="340"/>
        </w:trPr>
        <w:tc>
          <w:tcPr>
            <w:tcW w:w="2151" w:type="dxa"/>
            <w:tcBorders>
              <w:left w:val="single" w:sz="4" w:space="0" w:color="auto"/>
            </w:tcBorders>
            <w:vAlign w:val="bottom"/>
          </w:tcPr>
          <w:p w14:paraId="1F258ACB"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Revenue = Y</w:t>
            </w:r>
          </w:p>
        </w:tc>
        <w:tc>
          <w:tcPr>
            <w:tcW w:w="953" w:type="dxa"/>
            <w:vAlign w:val="bottom"/>
          </w:tcPr>
          <w:p w14:paraId="7E4A5539"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$77.542</w:t>
            </w:r>
          </w:p>
        </w:tc>
        <w:tc>
          <w:tcPr>
            <w:tcW w:w="954" w:type="dxa"/>
            <w:vAlign w:val="bottom"/>
          </w:tcPr>
          <w:p w14:paraId="04B476DA"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$85.323</w:t>
            </w:r>
          </w:p>
        </w:tc>
        <w:tc>
          <w:tcPr>
            <w:tcW w:w="954" w:type="dxa"/>
            <w:vAlign w:val="bottom"/>
          </w:tcPr>
          <w:p w14:paraId="1A404883"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$86.407</w:t>
            </w:r>
          </w:p>
        </w:tc>
        <w:tc>
          <w:tcPr>
            <w:tcW w:w="954" w:type="dxa"/>
            <w:vAlign w:val="bottom"/>
          </w:tcPr>
          <w:p w14:paraId="2F2A8FB9"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$85.120</w:t>
            </w:r>
          </w:p>
        </w:tc>
        <w:tc>
          <w:tcPr>
            <w:tcW w:w="953" w:type="dxa"/>
            <w:shd w:val="clear" w:color="auto" w:fill="F2F2F2" w:themeFill="background1" w:themeFillShade="F2"/>
            <w:vAlign w:val="bottom"/>
          </w:tcPr>
          <w:p w14:paraId="0ED886A6"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$89.172</w:t>
            </w:r>
          </w:p>
        </w:tc>
        <w:tc>
          <w:tcPr>
            <w:tcW w:w="954" w:type="dxa"/>
            <w:vAlign w:val="bottom"/>
          </w:tcPr>
          <w:p w14:paraId="23B24B00"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$92.737</w:t>
            </w:r>
          </w:p>
        </w:tc>
        <w:tc>
          <w:tcPr>
            <w:tcW w:w="954" w:type="dxa"/>
            <w:vAlign w:val="bottom"/>
          </w:tcPr>
          <w:p w14:paraId="09F3F76D"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$95.451</w:t>
            </w:r>
          </w:p>
        </w:tc>
        <w:tc>
          <w:tcPr>
            <w:tcW w:w="954" w:type="dxa"/>
            <w:vAlign w:val="bottom"/>
          </w:tcPr>
          <w:p w14:paraId="6F67BB74"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$98.572</w:t>
            </w:r>
          </w:p>
        </w:tc>
      </w:tr>
      <w:tr w:rsidR="008A2166" w:rsidRPr="00BF3D82" w14:paraId="3CACCDE2" w14:textId="77777777">
        <w:trPr>
          <w:trHeight w:val="340"/>
        </w:trPr>
        <w:tc>
          <w:tcPr>
            <w:tcW w:w="2151" w:type="dxa"/>
            <w:tcBorders>
              <w:left w:val="single" w:sz="4" w:space="0" w:color="auto"/>
            </w:tcBorders>
            <w:vAlign w:val="bottom"/>
          </w:tcPr>
          <w:p w14:paraId="099AF572" w14:textId="77777777" w:rsidR="008A2166" w:rsidRPr="009632BA" w:rsidRDefault="008A2166">
            <w:pPr>
              <w:rPr>
                <w:rFonts w:eastAsia="SimSun" w:cstheme="minorHAnsi"/>
                <w:iCs/>
                <w:sz w:val="18"/>
                <w:szCs w:val="18"/>
              </w:rPr>
            </w:pPr>
            <w:r w:rsidRPr="0075344F">
              <w:rPr>
                <w:rFonts w:asciiTheme="minorHAnsi" w:eastAsia="SimSun" w:hAnsiTheme="minorHAnsi" w:cstheme="minorHAnsi"/>
                <w:iCs/>
                <w:sz w:val="18"/>
                <w:szCs w:val="18"/>
              </w:rPr>
              <w:t>Expenses = X</w:t>
            </w:r>
          </w:p>
        </w:tc>
        <w:tc>
          <w:tcPr>
            <w:tcW w:w="953" w:type="dxa"/>
            <w:vAlign w:val="bottom"/>
          </w:tcPr>
          <w:p w14:paraId="18C6C09A"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$61.347</w:t>
            </w:r>
          </w:p>
        </w:tc>
        <w:tc>
          <w:tcPr>
            <w:tcW w:w="954" w:type="dxa"/>
            <w:vAlign w:val="bottom"/>
          </w:tcPr>
          <w:p w14:paraId="1BD7918A"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$69.871</w:t>
            </w:r>
          </w:p>
        </w:tc>
        <w:tc>
          <w:tcPr>
            <w:tcW w:w="954" w:type="dxa"/>
            <w:vAlign w:val="bottom"/>
          </w:tcPr>
          <w:p w14:paraId="37F71A73"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$77.441</w:t>
            </w:r>
          </w:p>
        </w:tc>
        <w:tc>
          <w:tcPr>
            <w:tcW w:w="954" w:type="dxa"/>
            <w:vAlign w:val="bottom"/>
          </w:tcPr>
          <w:p w14:paraId="1DBE73EA"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$75.563</w:t>
            </w:r>
          </w:p>
        </w:tc>
        <w:tc>
          <w:tcPr>
            <w:tcW w:w="953" w:type="dxa"/>
            <w:shd w:val="clear" w:color="auto" w:fill="F2F2F2" w:themeFill="background1" w:themeFillShade="F2"/>
            <w:vAlign w:val="bottom"/>
          </w:tcPr>
          <w:p w14:paraId="2E718C16"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$79.659</w:t>
            </w:r>
          </w:p>
        </w:tc>
        <w:tc>
          <w:tcPr>
            <w:tcW w:w="954" w:type="dxa"/>
            <w:vAlign w:val="bottom"/>
          </w:tcPr>
          <w:p w14:paraId="5517E4AF"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$82.149</w:t>
            </w:r>
          </w:p>
        </w:tc>
        <w:tc>
          <w:tcPr>
            <w:tcW w:w="954" w:type="dxa"/>
            <w:vAlign w:val="bottom"/>
          </w:tcPr>
          <w:p w14:paraId="10ACEC5D"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$85.141</w:t>
            </w:r>
          </w:p>
        </w:tc>
        <w:tc>
          <w:tcPr>
            <w:tcW w:w="954" w:type="dxa"/>
            <w:vAlign w:val="bottom"/>
          </w:tcPr>
          <w:p w14:paraId="54F456A5"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$88.238</w:t>
            </w:r>
          </w:p>
        </w:tc>
      </w:tr>
      <w:tr w:rsidR="008A2166" w:rsidRPr="000D77FF" w14:paraId="5AF8198C" w14:textId="77777777">
        <w:trPr>
          <w:trHeight w:val="340"/>
        </w:trPr>
        <w:tc>
          <w:tcPr>
            <w:tcW w:w="2151" w:type="dxa"/>
            <w:tcBorders>
              <w:left w:val="single" w:sz="4" w:space="0" w:color="auto"/>
            </w:tcBorders>
            <w:vAlign w:val="bottom"/>
          </w:tcPr>
          <w:p w14:paraId="4C633E0D" w14:textId="77777777" w:rsidR="008A2166" w:rsidRPr="009632BA" w:rsidRDefault="008A2166">
            <w:pPr>
              <w:rPr>
                <w:rFonts w:asciiTheme="minorHAnsi" w:eastAsia="SimSun" w:hAnsiTheme="minorHAnsi" w:cstheme="minorHAnsi"/>
                <w:iCs/>
                <w:sz w:val="18"/>
                <w:szCs w:val="18"/>
              </w:rPr>
            </w:pPr>
            <w:bookmarkStart w:id="40" w:name="_Hlk147757715"/>
            <w:r>
              <w:rPr>
                <w:rFonts w:asciiTheme="minorHAnsi" w:eastAsia="SimSun" w:hAnsiTheme="minorHAnsi" w:cstheme="minorHAnsi"/>
                <w:iCs/>
                <w:sz w:val="18"/>
                <w:szCs w:val="18"/>
              </w:rPr>
              <w:t>Balance = Y – X</w:t>
            </w:r>
          </w:p>
        </w:tc>
        <w:tc>
          <w:tcPr>
            <w:tcW w:w="953" w:type="dxa"/>
            <w:vAlign w:val="bottom"/>
          </w:tcPr>
          <w:p w14:paraId="16506898"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$16.195</w:t>
            </w:r>
          </w:p>
        </w:tc>
        <w:tc>
          <w:tcPr>
            <w:tcW w:w="954" w:type="dxa"/>
            <w:vAlign w:val="bottom"/>
          </w:tcPr>
          <w:p w14:paraId="25C949F7"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$15.452</w:t>
            </w:r>
          </w:p>
        </w:tc>
        <w:tc>
          <w:tcPr>
            <w:tcW w:w="954" w:type="dxa"/>
            <w:vAlign w:val="bottom"/>
          </w:tcPr>
          <w:p w14:paraId="36274BCB"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$8.967</w:t>
            </w:r>
          </w:p>
        </w:tc>
        <w:tc>
          <w:tcPr>
            <w:tcW w:w="954" w:type="dxa"/>
            <w:vAlign w:val="bottom"/>
          </w:tcPr>
          <w:p w14:paraId="1C937407"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$9.557</w:t>
            </w:r>
          </w:p>
        </w:tc>
        <w:tc>
          <w:tcPr>
            <w:tcW w:w="953" w:type="dxa"/>
            <w:shd w:val="clear" w:color="auto" w:fill="F2F2F2" w:themeFill="background1" w:themeFillShade="F2"/>
            <w:vAlign w:val="bottom"/>
          </w:tcPr>
          <w:p w14:paraId="5FD6FCBE"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$9.513</w:t>
            </w:r>
          </w:p>
        </w:tc>
        <w:tc>
          <w:tcPr>
            <w:tcW w:w="954" w:type="dxa"/>
            <w:vAlign w:val="bottom"/>
          </w:tcPr>
          <w:p w14:paraId="55AAFACF"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$10.588</w:t>
            </w:r>
          </w:p>
        </w:tc>
        <w:tc>
          <w:tcPr>
            <w:tcW w:w="954" w:type="dxa"/>
            <w:vAlign w:val="bottom"/>
          </w:tcPr>
          <w:p w14:paraId="1B64C5B9"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$10.310</w:t>
            </w:r>
          </w:p>
        </w:tc>
        <w:tc>
          <w:tcPr>
            <w:tcW w:w="954" w:type="dxa"/>
            <w:vAlign w:val="bottom"/>
          </w:tcPr>
          <w:p w14:paraId="0401FA9D"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$10.334</w:t>
            </w:r>
          </w:p>
        </w:tc>
      </w:tr>
      <w:bookmarkEnd w:id="40"/>
      <w:tr w:rsidR="008A2166" w:rsidRPr="00664613" w14:paraId="22FEF1A3" w14:textId="77777777">
        <w:trPr>
          <w:trHeight w:val="340"/>
        </w:trPr>
        <w:tc>
          <w:tcPr>
            <w:tcW w:w="2151" w:type="dxa"/>
            <w:tcBorders>
              <w:left w:val="single" w:sz="4" w:space="0" w:color="auto"/>
            </w:tcBorders>
            <w:vAlign w:val="bottom"/>
          </w:tcPr>
          <w:p w14:paraId="7AF8F8C1"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Cumulative Balance</w:t>
            </w:r>
          </w:p>
        </w:tc>
        <w:tc>
          <w:tcPr>
            <w:tcW w:w="953" w:type="dxa"/>
            <w:vAlign w:val="bottom"/>
          </w:tcPr>
          <w:p w14:paraId="3C6C0FB5"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$16.195</w:t>
            </w:r>
          </w:p>
        </w:tc>
        <w:tc>
          <w:tcPr>
            <w:tcW w:w="954" w:type="dxa"/>
            <w:vAlign w:val="bottom"/>
          </w:tcPr>
          <w:p w14:paraId="18A35585"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$31.646</w:t>
            </w:r>
          </w:p>
        </w:tc>
        <w:tc>
          <w:tcPr>
            <w:tcW w:w="954" w:type="dxa"/>
            <w:vAlign w:val="bottom"/>
          </w:tcPr>
          <w:p w14:paraId="4D147CB9"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$40.613</w:t>
            </w:r>
          </w:p>
        </w:tc>
        <w:tc>
          <w:tcPr>
            <w:tcW w:w="954" w:type="dxa"/>
            <w:vAlign w:val="bottom"/>
          </w:tcPr>
          <w:p w14:paraId="2601A1E5"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$50.169</w:t>
            </w:r>
          </w:p>
        </w:tc>
        <w:tc>
          <w:tcPr>
            <w:tcW w:w="953" w:type="dxa"/>
            <w:shd w:val="clear" w:color="auto" w:fill="F2F2F2" w:themeFill="background1" w:themeFillShade="F2"/>
            <w:vAlign w:val="bottom"/>
          </w:tcPr>
          <w:p w14:paraId="27AC9C1E"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$59.682</w:t>
            </w:r>
          </w:p>
        </w:tc>
        <w:tc>
          <w:tcPr>
            <w:tcW w:w="954" w:type="dxa"/>
            <w:vAlign w:val="bottom"/>
          </w:tcPr>
          <w:p w14:paraId="23EE0125"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$70.270</w:t>
            </w:r>
          </w:p>
        </w:tc>
        <w:tc>
          <w:tcPr>
            <w:tcW w:w="954" w:type="dxa"/>
            <w:vAlign w:val="bottom"/>
          </w:tcPr>
          <w:p w14:paraId="7CAE9E89"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$80.580</w:t>
            </w:r>
          </w:p>
        </w:tc>
        <w:tc>
          <w:tcPr>
            <w:tcW w:w="954" w:type="dxa"/>
            <w:vAlign w:val="bottom"/>
          </w:tcPr>
          <w:p w14:paraId="5204F384"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$90.914</w:t>
            </w:r>
          </w:p>
        </w:tc>
      </w:tr>
    </w:tbl>
    <w:p w14:paraId="4DCA69DB" w14:textId="77777777" w:rsidR="00E50F6D" w:rsidRDefault="00E50F6D" w:rsidP="008A2166">
      <w:pPr>
        <w:spacing w:after="0"/>
      </w:pPr>
    </w:p>
    <w:p w14:paraId="1384577F" w14:textId="77777777" w:rsidR="008A2166" w:rsidRDefault="008A2166" w:rsidP="008A2166">
      <w:pPr>
        <w:spacing w:before="120"/>
      </w:pPr>
      <w:r w:rsidRPr="00577900">
        <w:rPr>
          <w:i/>
          <w:iCs/>
        </w:rPr>
        <w:t xml:space="preserve">Table </w:t>
      </w:r>
      <w:r>
        <w:rPr>
          <w:i/>
          <w:iCs/>
        </w:rPr>
        <w:t>8</w:t>
      </w:r>
      <w:r w:rsidRPr="00577900">
        <w:rPr>
          <w:i/>
          <w:iCs/>
        </w:rPr>
        <w:t xml:space="preserve"> – </w:t>
      </w:r>
      <w:r>
        <w:rPr>
          <w:i/>
          <w:iCs/>
        </w:rPr>
        <w:t>DESIGN cost recovered activity: Financial Performance &amp; Forecast</w:t>
      </w:r>
    </w:p>
    <w:tbl>
      <w:tblPr>
        <w:tblStyle w:val="TableGrid"/>
        <w:tblW w:w="9781" w:type="dxa"/>
        <w:tblLook w:val="04A0" w:firstRow="1" w:lastRow="0" w:firstColumn="1" w:lastColumn="0" w:noHBand="0" w:noVBand="1"/>
      </w:tblPr>
      <w:tblGrid>
        <w:gridCol w:w="2268"/>
        <w:gridCol w:w="939"/>
        <w:gridCol w:w="939"/>
        <w:gridCol w:w="939"/>
        <w:gridCol w:w="939"/>
        <w:gridCol w:w="939"/>
        <w:gridCol w:w="939"/>
        <w:gridCol w:w="939"/>
        <w:gridCol w:w="940"/>
      </w:tblGrid>
      <w:tr w:rsidR="008A2166" w:rsidRPr="006C5CEA" w14:paraId="7EE184D5" w14:textId="77777777">
        <w:trPr>
          <w:trHeight w:val="340"/>
        </w:trPr>
        <w:tc>
          <w:tcPr>
            <w:tcW w:w="2268" w:type="dxa"/>
            <w:tcBorders>
              <w:top w:val="nil"/>
              <w:left w:val="nil"/>
              <w:bottom w:val="single" w:sz="4" w:space="0" w:color="auto"/>
            </w:tcBorders>
            <w:shd w:val="clear" w:color="auto" w:fill="auto"/>
            <w:vAlign w:val="center"/>
          </w:tcPr>
          <w:p w14:paraId="571D4F1E" w14:textId="77777777" w:rsidR="008A2166" w:rsidRPr="00EC0AA8" w:rsidRDefault="008A2166">
            <w:pPr>
              <w:jc w:val="center"/>
              <w:rPr>
                <w:rFonts w:asciiTheme="minorHAnsi" w:eastAsia="SimSun" w:hAnsiTheme="minorHAnsi" w:cstheme="minorHAnsi"/>
                <w:b/>
                <w:bCs/>
                <w:iCs/>
                <w:sz w:val="24"/>
                <w:szCs w:val="24"/>
              </w:rPr>
            </w:pPr>
          </w:p>
        </w:tc>
        <w:tc>
          <w:tcPr>
            <w:tcW w:w="939" w:type="dxa"/>
            <w:tcBorders>
              <w:top w:val="single" w:sz="4" w:space="0" w:color="auto"/>
            </w:tcBorders>
            <w:shd w:val="clear" w:color="auto" w:fill="D9E2F3" w:themeFill="accent1" w:themeFillTint="33"/>
            <w:vAlign w:val="bottom"/>
          </w:tcPr>
          <w:p w14:paraId="1A7123A4"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01711A15"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2020-21</w:t>
            </w:r>
          </w:p>
        </w:tc>
        <w:tc>
          <w:tcPr>
            <w:tcW w:w="939" w:type="dxa"/>
            <w:tcBorders>
              <w:top w:val="single" w:sz="4" w:space="0" w:color="auto"/>
            </w:tcBorders>
            <w:shd w:val="clear" w:color="auto" w:fill="D9E2F3" w:themeFill="accent1" w:themeFillTint="33"/>
            <w:vAlign w:val="bottom"/>
          </w:tcPr>
          <w:p w14:paraId="6B024063"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506D0EF9"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2021-22</w:t>
            </w:r>
          </w:p>
        </w:tc>
        <w:tc>
          <w:tcPr>
            <w:tcW w:w="939" w:type="dxa"/>
            <w:tcBorders>
              <w:top w:val="single" w:sz="4" w:space="0" w:color="auto"/>
            </w:tcBorders>
            <w:shd w:val="clear" w:color="auto" w:fill="D9E2F3" w:themeFill="accent1" w:themeFillTint="33"/>
            <w:vAlign w:val="bottom"/>
          </w:tcPr>
          <w:p w14:paraId="02E45953"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0D438A17"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2022-23</w:t>
            </w:r>
          </w:p>
        </w:tc>
        <w:tc>
          <w:tcPr>
            <w:tcW w:w="939" w:type="dxa"/>
            <w:tcBorders>
              <w:top w:val="single" w:sz="4" w:space="0" w:color="auto"/>
            </w:tcBorders>
            <w:shd w:val="clear" w:color="auto" w:fill="D9E2F3" w:themeFill="accent1" w:themeFillTint="33"/>
            <w:vAlign w:val="bottom"/>
          </w:tcPr>
          <w:p w14:paraId="73154C07"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Estimated Actual</w:t>
            </w:r>
          </w:p>
          <w:p w14:paraId="131297CE"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2023-24</w:t>
            </w:r>
          </w:p>
        </w:tc>
        <w:tc>
          <w:tcPr>
            <w:tcW w:w="939" w:type="dxa"/>
            <w:tcBorders>
              <w:top w:val="single" w:sz="4" w:space="0" w:color="auto"/>
            </w:tcBorders>
            <w:shd w:val="clear" w:color="auto" w:fill="D9E2F3" w:themeFill="accent1" w:themeFillTint="33"/>
            <w:vAlign w:val="bottom"/>
          </w:tcPr>
          <w:p w14:paraId="4B567A59"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Budget Estimate</w:t>
            </w:r>
          </w:p>
          <w:p w14:paraId="4FA0913B" w14:textId="77777777" w:rsidR="008A2166" w:rsidRPr="006C5CEA" w:rsidRDefault="008A2166">
            <w:pPr>
              <w:jc w:val="center"/>
              <w:rPr>
                <w:rFonts w:eastAsia="SimSun" w:cstheme="minorHAnsi"/>
                <w:b/>
                <w:bCs/>
                <w:iCs/>
                <w:sz w:val="16"/>
                <w:szCs w:val="16"/>
              </w:rPr>
            </w:pPr>
            <w:r w:rsidRPr="006C5CEA">
              <w:rPr>
                <w:rFonts w:asciiTheme="minorHAnsi" w:eastAsia="SimSun" w:hAnsiTheme="minorHAnsi" w:cstheme="minorHAnsi"/>
                <w:b/>
                <w:bCs/>
                <w:iCs/>
                <w:sz w:val="16"/>
                <w:szCs w:val="16"/>
              </w:rPr>
              <w:t>2024-25</w:t>
            </w:r>
          </w:p>
        </w:tc>
        <w:tc>
          <w:tcPr>
            <w:tcW w:w="939" w:type="dxa"/>
            <w:tcBorders>
              <w:top w:val="single" w:sz="4" w:space="0" w:color="auto"/>
            </w:tcBorders>
            <w:shd w:val="clear" w:color="auto" w:fill="D9E2F3" w:themeFill="accent1" w:themeFillTint="33"/>
            <w:vAlign w:val="bottom"/>
          </w:tcPr>
          <w:p w14:paraId="5DF069A9"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6B126171"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2025-26</w:t>
            </w:r>
          </w:p>
        </w:tc>
        <w:tc>
          <w:tcPr>
            <w:tcW w:w="939" w:type="dxa"/>
            <w:tcBorders>
              <w:top w:val="single" w:sz="4" w:space="0" w:color="auto"/>
            </w:tcBorders>
            <w:shd w:val="clear" w:color="auto" w:fill="D9E2F3" w:themeFill="accent1" w:themeFillTint="33"/>
            <w:vAlign w:val="bottom"/>
          </w:tcPr>
          <w:p w14:paraId="3B311F37"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668761DC"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2026-27</w:t>
            </w:r>
          </w:p>
        </w:tc>
        <w:tc>
          <w:tcPr>
            <w:tcW w:w="940" w:type="dxa"/>
            <w:tcBorders>
              <w:top w:val="single" w:sz="4" w:space="0" w:color="auto"/>
            </w:tcBorders>
            <w:shd w:val="clear" w:color="auto" w:fill="D9E2F3" w:themeFill="accent1" w:themeFillTint="33"/>
            <w:vAlign w:val="bottom"/>
          </w:tcPr>
          <w:p w14:paraId="72C22FCD"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1EB0C77B"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2027-28</w:t>
            </w:r>
          </w:p>
        </w:tc>
      </w:tr>
      <w:tr w:rsidR="008A2166" w:rsidRPr="00723F84" w14:paraId="152AA531" w14:textId="77777777">
        <w:trPr>
          <w:trHeight w:val="283"/>
        </w:trPr>
        <w:tc>
          <w:tcPr>
            <w:tcW w:w="2268" w:type="dxa"/>
            <w:tcBorders>
              <w:left w:val="single" w:sz="4" w:space="0" w:color="auto"/>
              <w:bottom w:val="single" w:sz="4" w:space="0" w:color="auto"/>
            </w:tcBorders>
            <w:shd w:val="clear" w:color="auto" w:fill="D9E2F3" w:themeFill="accent1" w:themeFillTint="33"/>
            <w:vAlign w:val="bottom"/>
          </w:tcPr>
          <w:p w14:paraId="2CB1E6B3" w14:textId="77777777" w:rsidR="008A2166" w:rsidRPr="00C84F7A" w:rsidRDefault="008A2166">
            <w:pPr>
              <w:rPr>
                <w:rFonts w:asciiTheme="minorHAnsi" w:eastAsia="SimSun" w:hAnsiTheme="minorHAnsi" w:cstheme="minorHAnsi"/>
                <w:b/>
                <w:bCs/>
                <w:iCs/>
                <w:sz w:val="18"/>
                <w:szCs w:val="18"/>
              </w:rPr>
            </w:pPr>
            <w:r>
              <w:rPr>
                <w:rFonts w:asciiTheme="minorHAnsi" w:eastAsia="SimSun" w:hAnsiTheme="minorHAnsi" w:cstheme="minorHAnsi"/>
                <w:b/>
                <w:bCs/>
                <w:iCs/>
                <w:sz w:val="18"/>
                <w:szCs w:val="18"/>
              </w:rPr>
              <w:t>Design</w:t>
            </w:r>
            <w:r w:rsidRPr="00C84F7A">
              <w:rPr>
                <w:rFonts w:asciiTheme="minorHAnsi" w:eastAsia="SimSun" w:hAnsiTheme="minorHAnsi" w:cstheme="minorHAnsi"/>
                <w:b/>
                <w:bCs/>
                <w:iCs/>
                <w:sz w:val="18"/>
                <w:szCs w:val="18"/>
              </w:rPr>
              <w:t xml:space="preserve"> Activity Group</w:t>
            </w:r>
          </w:p>
        </w:tc>
        <w:tc>
          <w:tcPr>
            <w:tcW w:w="939" w:type="dxa"/>
            <w:tcBorders>
              <w:bottom w:val="single" w:sz="4" w:space="0" w:color="auto"/>
            </w:tcBorders>
            <w:shd w:val="clear" w:color="auto" w:fill="D9E2F3" w:themeFill="accent1" w:themeFillTint="33"/>
            <w:vAlign w:val="bottom"/>
          </w:tcPr>
          <w:p w14:paraId="3FEC3CAA" w14:textId="77777777" w:rsidR="008A2166" w:rsidRPr="00723F84" w:rsidRDefault="008A2166">
            <w:pPr>
              <w:jc w:val="center"/>
              <w:rPr>
                <w:rFonts w:asciiTheme="minorHAnsi" w:eastAsia="SimSun" w:hAnsiTheme="minorHAnsi" w:cstheme="minorHAnsi"/>
                <w:iCs/>
                <w:sz w:val="18"/>
                <w:szCs w:val="18"/>
              </w:rPr>
            </w:pPr>
            <w:r>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64E02537"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0600988F"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5FE956CD"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15B3E0CC" w14:textId="77777777" w:rsidR="008A2166" w:rsidRPr="003C6FBC" w:rsidRDefault="008A2166">
            <w:pPr>
              <w:jc w:val="center"/>
              <w:rPr>
                <w:rFonts w:eastAsia="SimSun" w:cstheme="minorHAnsi"/>
                <w:iCs/>
                <w:sz w:val="18"/>
                <w:szCs w:val="18"/>
              </w:rPr>
            </w:pPr>
            <w:r>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30C3C249"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61012BA1"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c>
          <w:tcPr>
            <w:tcW w:w="940" w:type="dxa"/>
            <w:tcBorders>
              <w:bottom w:val="single" w:sz="4" w:space="0" w:color="auto"/>
            </w:tcBorders>
            <w:shd w:val="clear" w:color="auto" w:fill="D9E2F3" w:themeFill="accent1" w:themeFillTint="33"/>
            <w:vAlign w:val="bottom"/>
          </w:tcPr>
          <w:p w14:paraId="04F3B9C6"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r>
      <w:tr w:rsidR="008A2166" w:rsidRPr="00BF3D82" w14:paraId="2308820A" w14:textId="77777777">
        <w:trPr>
          <w:trHeight w:val="283"/>
        </w:trPr>
        <w:tc>
          <w:tcPr>
            <w:tcW w:w="9781" w:type="dxa"/>
            <w:gridSpan w:val="9"/>
            <w:tcBorders>
              <w:left w:val="single" w:sz="4" w:space="0" w:color="auto"/>
            </w:tcBorders>
            <w:shd w:val="clear" w:color="auto" w:fill="F7FFFB"/>
            <w:vAlign w:val="center"/>
          </w:tcPr>
          <w:p w14:paraId="20100E7D" w14:textId="77777777" w:rsidR="008A2166" w:rsidRPr="00622E2F" w:rsidRDefault="008A2166">
            <w:pPr>
              <w:jc w:val="center"/>
              <w:rPr>
                <w:rFonts w:ascii="Tahoma" w:eastAsia="SimSun" w:hAnsi="Tahoma" w:cs="Tahoma"/>
                <w:b/>
                <w:bCs/>
                <w:iCs/>
                <w:sz w:val="16"/>
                <w:szCs w:val="16"/>
              </w:rPr>
            </w:pPr>
            <w:r>
              <w:rPr>
                <w:rFonts w:ascii="Tahoma" w:eastAsia="SimSun" w:hAnsi="Tahoma" w:cs="Tahoma"/>
                <w:b/>
                <w:bCs/>
                <w:iCs/>
                <w:sz w:val="16"/>
                <w:szCs w:val="16"/>
              </w:rPr>
              <w:t>ACTUAL / FORECAST</w:t>
            </w:r>
          </w:p>
        </w:tc>
      </w:tr>
      <w:tr w:rsidR="008A2166" w:rsidRPr="00BF3D82" w14:paraId="1FF253F7" w14:textId="77777777">
        <w:trPr>
          <w:trHeight w:val="340"/>
        </w:trPr>
        <w:tc>
          <w:tcPr>
            <w:tcW w:w="2268" w:type="dxa"/>
            <w:tcBorders>
              <w:left w:val="single" w:sz="4" w:space="0" w:color="auto"/>
            </w:tcBorders>
            <w:vAlign w:val="bottom"/>
          </w:tcPr>
          <w:p w14:paraId="18718F0E"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Revenue = Y</w:t>
            </w:r>
          </w:p>
        </w:tc>
        <w:tc>
          <w:tcPr>
            <w:tcW w:w="939" w:type="dxa"/>
            <w:vAlign w:val="bottom"/>
          </w:tcPr>
          <w:p w14:paraId="5789C242"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$3.971</w:t>
            </w:r>
          </w:p>
        </w:tc>
        <w:tc>
          <w:tcPr>
            <w:tcW w:w="939" w:type="dxa"/>
            <w:vAlign w:val="bottom"/>
          </w:tcPr>
          <w:p w14:paraId="5AEE4454"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$4.517</w:t>
            </w:r>
          </w:p>
        </w:tc>
        <w:tc>
          <w:tcPr>
            <w:tcW w:w="939" w:type="dxa"/>
            <w:vAlign w:val="bottom"/>
          </w:tcPr>
          <w:p w14:paraId="01C02901"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$4.593</w:t>
            </w:r>
          </w:p>
        </w:tc>
        <w:tc>
          <w:tcPr>
            <w:tcW w:w="939" w:type="dxa"/>
            <w:vAlign w:val="bottom"/>
          </w:tcPr>
          <w:p w14:paraId="43F1C0B6"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$4.820</w:t>
            </w:r>
          </w:p>
        </w:tc>
        <w:tc>
          <w:tcPr>
            <w:tcW w:w="939" w:type="dxa"/>
            <w:shd w:val="clear" w:color="auto" w:fill="F2F2F2" w:themeFill="background1" w:themeFillShade="F2"/>
            <w:vAlign w:val="bottom"/>
          </w:tcPr>
          <w:p w14:paraId="2C7AEC8C"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$4.447</w:t>
            </w:r>
          </w:p>
        </w:tc>
        <w:tc>
          <w:tcPr>
            <w:tcW w:w="939" w:type="dxa"/>
            <w:vAlign w:val="bottom"/>
          </w:tcPr>
          <w:p w14:paraId="02D18CF5"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$4.427</w:t>
            </w:r>
          </w:p>
        </w:tc>
        <w:tc>
          <w:tcPr>
            <w:tcW w:w="939" w:type="dxa"/>
            <w:vAlign w:val="bottom"/>
          </w:tcPr>
          <w:p w14:paraId="3C193B2B"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$4.535</w:t>
            </w:r>
          </w:p>
        </w:tc>
        <w:tc>
          <w:tcPr>
            <w:tcW w:w="940" w:type="dxa"/>
            <w:vAlign w:val="bottom"/>
          </w:tcPr>
          <w:p w14:paraId="2EFFA1E3"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$4.696</w:t>
            </w:r>
          </w:p>
        </w:tc>
      </w:tr>
      <w:tr w:rsidR="008A2166" w:rsidRPr="00BF3D82" w14:paraId="42C3F822" w14:textId="77777777">
        <w:trPr>
          <w:trHeight w:val="340"/>
        </w:trPr>
        <w:tc>
          <w:tcPr>
            <w:tcW w:w="2268" w:type="dxa"/>
            <w:tcBorders>
              <w:left w:val="single" w:sz="4" w:space="0" w:color="auto"/>
            </w:tcBorders>
            <w:vAlign w:val="bottom"/>
          </w:tcPr>
          <w:p w14:paraId="2E8BDDAF" w14:textId="77777777" w:rsidR="008A2166" w:rsidRPr="009632BA" w:rsidRDefault="008A2166">
            <w:pPr>
              <w:rPr>
                <w:rFonts w:eastAsia="SimSun" w:cstheme="minorHAnsi"/>
                <w:iCs/>
                <w:sz w:val="18"/>
                <w:szCs w:val="18"/>
              </w:rPr>
            </w:pPr>
            <w:r w:rsidRPr="0075344F">
              <w:rPr>
                <w:rFonts w:asciiTheme="minorHAnsi" w:eastAsia="SimSun" w:hAnsiTheme="minorHAnsi" w:cstheme="minorHAnsi"/>
                <w:iCs/>
                <w:sz w:val="18"/>
                <w:szCs w:val="18"/>
              </w:rPr>
              <w:t>Expenses = X</w:t>
            </w:r>
          </w:p>
        </w:tc>
        <w:tc>
          <w:tcPr>
            <w:tcW w:w="939" w:type="dxa"/>
            <w:vAlign w:val="bottom"/>
          </w:tcPr>
          <w:p w14:paraId="46C449D5"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$5.881</w:t>
            </w:r>
          </w:p>
        </w:tc>
        <w:tc>
          <w:tcPr>
            <w:tcW w:w="939" w:type="dxa"/>
            <w:vAlign w:val="bottom"/>
          </w:tcPr>
          <w:p w14:paraId="73514040"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$6.667</w:t>
            </w:r>
          </w:p>
        </w:tc>
        <w:tc>
          <w:tcPr>
            <w:tcW w:w="939" w:type="dxa"/>
            <w:vAlign w:val="bottom"/>
          </w:tcPr>
          <w:p w14:paraId="0F1AC938"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$7.391</w:t>
            </w:r>
          </w:p>
        </w:tc>
        <w:tc>
          <w:tcPr>
            <w:tcW w:w="939" w:type="dxa"/>
            <w:vAlign w:val="bottom"/>
          </w:tcPr>
          <w:p w14:paraId="11A62776"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$7.695</w:t>
            </w:r>
          </w:p>
        </w:tc>
        <w:tc>
          <w:tcPr>
            <w:tcW w:w="939" w:type="dxa"/>
            <w:shd w:val="clear" w:color="auto" w:fill="F2F2F2" w:themeFill="background1" w:themeFillShade="F2"/>
            <w:vAlign w:val="bottom"/>
          </w:tcPr>
          <w:p w14:paraId="2E44A399"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$8.105</w:t>
            </w:r>
          </w:p>
        </w:tc>
        <w:tc>
          <w:tcPr>
            <w:tcW w:w="939" w:type="dxa"/>
            <w:vAlign w:val="bottom"/>
          </w:tcPr>
          <w:p w14:paraId="1A44F43C"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$8.383</w:t>
            </w:r>
          </w:p>
        </w:tc>
        <w:tc>
          <w:tcPr>
            <w:tcW w:w="939" w:type="dxa"/>
            <w:vAlign w:val="bottom"/>
          </w:tcPr>
          <w:p w14:paraId="625A587E"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$8.699</w:t>
            </w:r>
          </w:p>
        </w:tc>
        <w:tc>
          <w:tcPr>
            <w:tcW w:w="940" w:type="dxa"/>
            <w:vAlign w:val="bottom"/>
          </w:tcPr>
          <w:p w14:paraId="3F01CA8A"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$9.023</w:t>
            </w:r>
          </w:p>
        </w:tc>
      </w:tr>
      <w:tr w:rsidR="008A2166" w:rsidRPr="000D77FF" w14:paraId="2E968458" w14:textId="77777777">
        <w:trPr>
          <w:trHeight w:val="340"/>
        </w:trPr>
        <w:tc>
          <w:tcPr>
            <w:tcW w:w="2268" w:type="dxa"/>
            <w:tcBorders>
              <w:left w:val="single" w:sz="4" w:space="0" w:color="auto"/>
            </w:tcBorders>
            <w:vAlign w:val="bottom"/>
          </w:tcPr>
          <w:p w14:paraId="73130EAF"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Balance = Y – X</w:t>
            </w:r>
          </w:p>
        </w:tc>
        <w:tc>
          <w:tcPr>
            <w:tcW w:w="939" w:type="dxa"/>
            <w:vAlign w:val="bottom"/>
          </w:tcPr>
          <w:p w14:paraId="3D2743B7"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-$1.910</w:t>
            </w:r>
          </w:p>
        </w:tc>
        <w:tc>
          <w:tcPr>
            <w:tcW w:w="939" w:type="dxa"/>
            <w:vAlign w:val="bottom"/>
          </w:tcPr>
          <w:p w14:paraId="265D8BF0"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-$2.150</w:t>
            </w:r>
          </w:p>
        </w:tc>
        <w:tc>
          <w:tcPr>
            <w:tcW w:w="939" w:type="dxa"/>
            <w:vAlign w:val="bottom"/>
          </w:tcPr>
          <w:p w14:paraId="6DCE4276"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-$2.798</w:t>
            </w:r>
          </w:p>
        </w:tc>
        <w:tc>
          <w:tcPr>
            <w:tcW w:w="939" w:type="dxa"/>
            <w:vAlign w:val="bottom"/>
          </w:tcPr>
          <w:p w14:paraId="1CD8A5A0"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-$2.875</w:t>
            </w:r>
          </w:p>
        </w:tc>
        <w:tc>
          <w:tcPr>
            <w:tcW w:w="939" w:type="dxa"/>
            <w:shd w:val="clear" w:color="auto" w:fill="F2F2F2" w:themeFill="background1" w:themeFillShade="F2"/>
            <w:vAlign w:val="bottom"/>
          </w:tcPr>
          <w:p w14:paraId="3E56AF3C"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-$3.658</w:t>
            </w:r>
          </w:p>
        </w:tc>
        <w:tc>
          <w:tcPr>
            <w:tcW w:w="939" w:type="dxa"/>
            <w:vAlign w:val="bottom"/>
          </w:tcPr>
          <w:p w14:paraId="1E8D6EE9"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-$3.956</w:t>
            </w:r>
          </w:p>
        </w:tc>
        <w:tc>
          <w:tcPr>
            <w:tcW w:w="939" w:type="dxa"/>
            <w:vAlign w:val="bottom"/>
          </w:tcPr>
          <w:p w14:paraId="32E49984"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-$4.164</w:t>
            </w:r>
          </w:p>
        </w:tc>
        <w:tc>
          <w:tcPr>
            <w:tcW w:w="940" w:type="dxa"/>
            <w:vAlign w:val="bottom"/>
          </w:tcPr>
          <w:p w14:paraId="06E231A0"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-$4.327</w:t>
            </w:r>
          </w:p>
        </w:tc>
      </w:tr>
      <w:tr w:rsidR="008A2166" w:rsidRPr="00664613" w14:paraId="0E68751C" w14:textId="77777777">
        <w:trPr>
          <w:trHeight w:val="340"/>
        </w:trPr>
        <w:tc>
          <w:tcPr>
            <w:tcW w:w="2268" w:type="dxa"/>
            <w:tcBorders>
              <w:left w:val="single" w:sz="4" w:space="0" w:color="auto"/>
            </w:tcBorders>
            <w:vAlign w:val="bottom"/>
          </w:tcPr>
          <w:p w14:paraId="5F5FE6CE"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Cumulative Balance</w:t>
            </w:r>
          </w:p>
        </w:tc>
        <w:tc>
          <w:tcPr>
            <w:tcW w:w="939" w:type="dxa"/>
            <w:vAlign w:val="bottom"/>
          </w:tcPr>
          <w:p w14:paraId="7D264792"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-$1.910</w:t>
            </w:r>
          </w:p>
        </w:tc>
        <w:tc>
          <w:tcPr>
            <w:tcW w:w="939" w:type="dxa"/>
            <w:vAlign w:val="bottom"/>
          </w:tcPr>
          <w:p w14:paraId="4094AAF8"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-$4.060</w:t>
            </w:r>
          </w:p>
        </w:tc>
        <w:tc>
          <w:tcPr>
            <w:tcW w:w="939" w:type="dxa"/>
            <w:vAlign w:val="bottom"/>
          </w:tcPr>
          <w:p w14:paraId="226FBA8C"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-$6.858</w:t>
            </w:r>
          </w:p>
        </w:tc>
        <w:tc>
          <w:tcPr>
            <w:tcW w:w="939" w:type="dxa"/>
            <w:vAlign w:val="bottom"/>
          </w:tcPr>
          <w:p w14:paraId="33544728"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-$9.732</w:t>
            </w:r>
          </w:p>
        </w:tc>
        <w:tc>
          <w:tcPr>
            <w:tcW w:w="939" w:type="dxa"/>
            <w:shd w:val="clear" w:color="auto" w:fill="F2F2F2" w:themeFill="background1" w:themeFillShade="F2"/>
            <w:vAlign w:val="bottom"/>
          </w:tcPr>
          <w:p w14:paraId="433A8925"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-$13.391</w:t>
            </w:r>
          </w:p>
        </w:tc>
        <w:tc>
          <w:tcPr>
            <w:tcW w:w="939" w:type="dxa"/>
            <w:vAlign w:val="bottom"/>
          </w:tcPr>
          <w:p w14:paraId="37AC3273"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-$17.346</w:t>
            </w:r>
          </w:p>
        </w:tc>
        <w:tc>
          <w:tcPr>
            <w:tcW w:w="939" w:type="dxa"/>
            <w:vAlign w:val="bottom"/>
          </w:tcPr>
          <w:p w14:paraId="64182FBB"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-$21.511</w:t>
            </w:r>
          </w:p>
        </w:tc>
        <w:tc>
          <w:tcPr>
            <w:tcW w:w="940" w:type="dxa"/>
            <w:vAlign w:val="bottom"/>
          </w:tcPr>
          <w:p w14:paraId="0EEBFD7E"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-$25.838</w:t>
            </w:r>
          </w:p>
        </w:tc>
      </w:tr>
    </w:tbl>
    <w:p w14:paraId="4DBEDE38" w14:textId="77777777" w:rsidR="005F63D7" w:rsidRDefault="005F63D7" w:rsidP="008A2166">
      <w:pPr>
        <w:rPr>
          <w:i/>
          <w:iCs/>
        </w:rPr>
      </w:pPr>
      <w:r>
        <w:rPr>
          <w:i/>
          <w:iCs/>
        </w:rPr>
        <w:br w:type="page"/>
      </w:r>
    </w:p>
    <w:p w14:paraId="2DC87DEF" w14:textId="3C3B65D8" w:rsidR="008A2166" w:rsidRDefault="008A2166" w:rsidP="008A2166">
      <w:r w:rsidRPr="00577900">
        <w:rPr>
          <w:i/>
          <w:iCs/>
        </w:rPr>
        <w:lastRenderedPageBreak/>
        <w:t xml:space="preserve">Table </w:t>
      </w:r>
      <w:r>
        <w:rPr>
          <w:i/>
          <w:iCs/>
        </w:rPr>
        <w:t>9</w:t>
      </w:r>
      <w:r w:rsidRPr="00577900">
        <w:rPr>
          <w:i/>
          <w:iCs/>
        </w:rPr>
        <w:t xml:space="preserve"> – </w:t>
      </w:r>
      <w:r>
        <w:rPr>
          <w:i/>
          <w:iCs/>
        </w:rPr>
        <w:t>PBR cost recovered activity: Financial Performance &amp; Forecast</w:t>
      </w:r>
    </w:p>
    <w:tbl>
      <w:tblPr>
        <w:tblStyle w:val="TableGrid"/>
        <w:tblW w:w="9781" w:type="dxa"/>
        <w:tblLook w:val="04A0" w:firstRow="1" w:lastRow="0" w:firstColumn="1" w:lastColumn="0" w:noHBand="0" w:noVBand="1"/>
      </w:tblPr>
      <w:tblGrid>
        <w:gridCol w:w="2268"/>
        <w:gridCol w:w="939"/>
        <w:gridCol w:w="939"/>
        <w:gridCol w:w="939"/>
        <w:gridCol w:w="939"/>
        <w:gridCol w:w="939"/>
        <w:gridCol w:w="939"/>
        <w:gridCol w:w="939"/>
        <w:gridCol w:w="940"/>
      </w:tblGrid>
      <w:tr w:rsidR="008A2166" w:rsidRPr="006C5CEA" w14:paraId="5A135BF5" w14:textId="77777777">
        <w:trPr>
          <w:trHeight w:val="340"/>
        </w:trPr>
        <w:tc>
          <w:tcPr>
            <w:tcW w:w="2268" w:type="dxa"/>
            <w:tcBorders>
              <w:top w:val="nil"/>
              <w:left w:val="nil"/>
              <w:bottom w:val="single" w:sz="4" w:space="0" w:color="auto"/>
            </w:tcBorders>
            <w:shd w:val="clear" w:color="auto" w:fill="auto"/>
            <w:vAlign w:val="center"/>
          </w:tcPr>
          <w:p w14:paraId="7F93F3AA" w14:textId="77777777" w:rsidR="008A2166" w:rsidRPr="00EC0AA8" w:rsidRDefault="008A2166">
            <w:pPr>
              <w:jc w:val="center"/>
              <w:rPr>
                <w:rFonts w:asciiTheme="minorHAnsi" w:eastAsia="SimSun" w:hAnsiTheme="minorHAnsi" w:cstheme="minorHAnsi"/>
                <w:b/>
                <w:bCs/>
                <w:iCs/>
                <w:sz w:val="24"/>
                <w:szCs w:val="24"/>
              </w:rPr>
            </w:pPr>
          </w:p>
        </w:tc>
        <w:tc>
          <w:tcPr>
            <w:tcW w:w="939" w:type="dxa"/>
            <w:tcBorders>
              <w:top w:val="single" w:sz="4" w:space="0" w:color="auto"/>
            </w:tcBorders>
            <w:shd w:val="clear" w:color="auto" w:fill="D9E2F3" w:themeFill="accent1" w:themeFillTint="33"/>
            <w:vAlign w:val="bottom"/>
          </w:tcPr>
          <w:p w14:paraId="69F7C9A6"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61FFE01C"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2020-21</w:t>
            </w:r>
          </w:p>
        </w:tc>
        <w:tc>
          <w:tcPr>
            <w:tcW w:w="939" w:type="dxa"/>
            <w:tcBorders>
              <w:top w:val="single" w:sz="4" w:space="0" w:color="auto"/>
            </w:tcBorders>
            <w:shd w:val="clear" w:color="auto" w:fill="D9E2F3" w:themeFill="accent1" w:themeFillTint="33"/>
            <w:vAlign w:val="bottom"/>
          </w:tcPr>
          <w:p w14:paraId="30458736"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7660F1D0"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2021-22</w:t>
            </w:r>
          </w:p>
        </w:tc>
        <w:tc>
          <w:tcPr>
            <w:tcW w:w="939" w:type="dxa"/>
            <w:tcBorders>
              <w:top w:val="single" w:sz="4" w:space="0" w:color="auto"/>
            </w:tcBorders>
            <w:shd w:val="clear" w:color="auto" w:fill="D9E2F3" w:themeFill="accent1" w:themeFillTint="33"/>
            <w:vAlign w:val="bottom"/>
          </w:tcPr>
          <w:p w14:paraId="0029B88B"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5B996943"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2022-23</w:t>
            </w:r>
          </w:p>
        </w:tc>
        <w:tc>
          <w:tcPr>
            <w:tcW w:w="939" w:type="dxa"/>
            <w:tcBorders>
              <w:top w:val="single" w:sz="4" w:space="0" w:color="auto"/>
            </w:tcBorders>
            <w:shd w:val="clear" w:color="auto" w:fill="D9E2F3" w:themeFill="accent1" w:themeFillTint="33"/>
            <w:vAlign w:val="bottom"/>
          </w:tcPr>
          <w:p w14:paraId="27681519"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Estimated Actual</w:t>
            </w:r>
          </w:p>
          <w:p w14:paraId="5EFE1534"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2023-24</w:t>
            </w:r>
          </w:p>
        </w:tc>
        <w:tc>
          <w:tcPr>
            <w:tcW w:w="939" w:type="dxa"/>
            <w:tcBorders>
              <w:top w:val="single" w:sz="4" w:space="0" w:color="auto"/>
            </w:tcBorders>
            <w:shd w:val="clear" w:color="auto" w:fill="D9E2F3" w:themeFill="accent1" w:themeFillTint="33"/>
            <w:vAlign w:val="bottom"/>
          </w:tcPr>
          <w:p w14:paraId="548063C6"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Budget Estimate</w:t>
            </w:r>
          </w:p>
          <w:p w14:paraId="5C8094BF" w14:textId="77777777" w:rsidR="008A2166" w:rsidRPr="006C5CEA" w:rsidRDefault="008A2166">
            <w:pPr>
              <w:jc w:val="center"/>
              <w:rPr>
                <w:rFonts w:eastAsia="SimSun" w:cstheme="minorHAnsi"/>
                <w:b/>
                <w:bCs/>
                <w:iCs/>
                <w:sz w:val="16"/>
                <w:szCs w:val="16"/>
              </w:rPr>
            </w:pPr>
            <w:r w:rsidRPr="006C5CEA">
              <w:rPr>
                <w:rFonts w:asciiTheme="minorHAnsi" w:eastAsia="SimSun" w:hAnsiTheme="minorHAnsi" w:cstheme="minorHAnsi"/>
                <w:b/>
                <w:bCs/>
                <w:iCs/>
                <w:sz w:val="16"/>
                <w:szCs w:val="16"/>
              </w:rPr>
              <w:t>2024-25</w:t>
            </w:r>
          </w:p>
        </w:tc>
        <w:tc>
          <w:tcPr>
            <w:tcW w:w="939" w:type="dxa"/>
            <w:tcBorders>
              <w:top w:val="single" w:sz="4" w:space="0" w:color="auto"/>
            </w:tcBorders>
            <w:shd w:val="clear" w:color="auto" w:fill="D9E2F3" w:themeFill="accent1" w:themeFillTint="33"/>
            <w:vAlign w:val="bottom"/>
          </w:tcPr>
          <w:p w14:paraId="4BD739DB"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1AD35190"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2025-26</w:t>
            </w:r>
          </w:p>
        </w:tc>
        <w:tc>
          <w:tcPr>
            <w:tcW w:w="939" w:type="dxa"/>
            <w:tcBorders>
              <w:top w:val="single" w:sz="4" w:space="0" w:color="auto"/>
            </w:tcBorders>
            <w:shd w:val="clear" w:color="auto" w:fill="D9E2F3" w:themeFill="accent1" w:themeFillTint="33"/>
            <w:vAlign w:val="bottom"/>
          </w:tcPr>
          <w:p w14:paraId="37ECD455"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139AA49D"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2026-27</w:t>
            </w:r>
          </w:p>
        </w:tc>
        <w:tc>
          <w:tcPr>
            <w:tcW w:w="940" w:type="dxa"/>
            <w:tcBorders>
              <w:top w:val="single" w:sz="4" w:space="0" w:color="auto"/>
            </w:tcBorders>
            <w:shd w:val="clear" w:color="auto" w:fill="D9E2F3" w:themeFill="accent1" w:themeFillTint="33"/>
            <w:vAlign w:val="bottom"/>
          </w:tcPr>
          <w:p w14:paraId="2EA9C572"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420878E9"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2027-28</w:t>
            </w:r>
          </w:p>
        </w:tc>
      </w:tr>
      <w:tr w:rsidR="008A2166" w:rsidRPr="00723F84" w14:paraId="2A967EBB" w14:textId="77777777">
        <w:trPr>
          <w:trHeight w:val="283"/>
        </w:trPr>
        <w:tc>
          <w:tcPr>
            <w:tcW w:w="2268" w:type="dxa"/>
            <w:tcBorders>
              <w:left w:val="single" w:sz="4" w:space="0" w:color="auto"/>
              <w:bottom w:val="single" w:sz="4" w:space="0" w:color="auto"/>
            </w:tcBorders>
            <w:shd w:val="clear" w:color="auto" w:fill="D9E2F3" w:themeFill="accent1" w:themeFillTint="33"/>
            <w:vAlign w:val="bottom"/>
          </w:tcPr>
          <w:p w14:paraId="33BBB3A0" w14:textId="77777777" w:rsidR="008A2166" w:rsidRPr="00C84F7A" w:rsidRDefault="008A2166">
            <w:pPr>
              <w:rPr>
                <w:rFonts w:asciiTheme="minorHAnsi" w:eastAsia="SimSun" w:hAnsiTheme="minorHAnsi" w:cstheme="minorHAnsi"/>
                <w:b/>
                <w:bCs/>
                <w:iCs/>
                <w:sz w:val="18"/>
                <w:szCs w:val="18"/>
              </w:rPr>
            </w:pPr>
            <w:r>
              <w:rPr>
                <w:rFonts w:asciiTheme="minorHAnsi" w:eastAsia="SimSun" w:hAnsiTheme="minorHAnsi" w:cstheme="minorHAnsi"/>
                <w:b/>
                <w:bCs/>
                <w:iCs/>
                <w:sz w:val="18"/>
                <w:szCs w:val="18"/>
              </w:rPr>
              <w:t>PBR</w:t>
            </w:r>
            <w:r w:rsidRPr="00C84F7A">
              <w:rPr>
                <w:rFonts w:asciiTheme="minorHAnsi" w:eastAsia="SimSun" w:hAnsiTheme="minorHAnsi" w:cstheme="minorHAnsi"/>
                <w:b/>
                <w:bCs/>
                <w:iCs/>
                <w:sz w:val="18"/>
                <w:szCs w:val="18"/>
              </w:rPr>
              <w:t xml:space="preserve"> Activity Group</w:t>
            </w:r>
          </w:p>
        </w:tc>
        <w:tc>
          <w:tcPr>
            <w:tcW w:w="939" w:type="dxa"/>
            <w:tcBorders>
              <w:bottom w:val="single" w:sz="4" w:space="0" w:color="auto"/>
            </w:tcBorders>
            <w:shd w:val="clear" w:color="auto" w:fill="D9E2F3" w:themeFill="accent1" w:themeFillTint="33"/>
            <w:vAlign w:val="bottom"/>
          </w:tcPr>
          <w:p w14:paraId="42E6D100" w14:textId="77777777" w:rsidR="008A2166" w:rsidRPr="00723F84" w:rsidRDefault="008A2166">
            <w:pPr>
              <w:jc w:val="center"/>
              <w:rPr>
                <w:rFonts w:asciiTheme="minorHAnsi" w:eastAsia="SimSun" w:hAnsiTheme="minorHAnsi" w:cstheme="minorHAnsi"/>
                <w:iCs/>
                <w:sz w:val="18"/>
                <w:szCs w:val="18"/>
              </w:rPr>
            </w:pPr>
            <w:r>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2BECB89B"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3372D05A"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56AFCF75"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31B68F46" w14:textId="77777777" w:rsidR="008A2166" w:rsidRPr="003C6FBC" w:rsidRDefault="008A2166">
            <w:pPr>
              <w:jc w:val="center"/>
              <w:rPr>
                <w:rFonts w:eastAsia="SimSun" w:cstheme="minorHAnsi"/>
                <w:iCs/>
                <w:sz w:val="18"/>
                <w:szCs w:val="18"/>
              </w:rPr>
            </w:pPr>
            <w:r>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43A34D1E"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6AD245D2"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c>
          <w:tcPr>
            <w:tcW w:w="940" w:type="dxa"/>
            <w:tcBorders>
              <w:bottom w:val="single" w:sz="4" w:space="0" w:color="auto"/>
            </w:tcBorders>
            <w:shd w:val="clear" w:color="auto" w:fill="D9E2F3" w:themeFill="accent1" w:themeFillTint="33"/>
            <w:vAlign w:val="bottom"/>
          </w:tcPr>
          <w:p w14:paraId="1FCD85E6"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r>
      <w:tr w:rsidR="008A2166" w:rsidRPr="00BF3D82" w14:paraId="136CBB39" w14:textId="77777777">
        <w:trPr>
          <w:trHeight w:val="283"/>
        </w:trPr>
        <w:tc>
          <w:tcPr>
            <w:tcW w:w="9781" w:type="dxa"/>
            <w:gridSpan w:val="9"/>
            <w:tcBorders>
              <w:left w:val="single" w:sz="4" w:space="0" w:color="auto"/>
            </w:tcBorders>
            <w:shd w:val="clear" w:color="auto" w:fill="F7FFFB"/>
            <w:vAlign w:val="center"/>
          </w:tcPr>
          <w:p w14:paraId="6A888BEC" w14:textId="77777777" w:rsidR="008A2166" w:rsidRPr="00622E2F" w:rsidRDefault="008A2166">
            <w:pPr>
              <w:jc w:val="center"/>
              <w:rPr>
                <w:rFonts w:ascii="Tahoma" w:eastAsia="SimSun" w:hAnsi="Tahoma" w:cs="Tahoma"/>
                <w:b/>
                <w:bCs/>
                <w:iCs/>
                <w:sz w:val="16"/>
                <w:szCs w:val="16"/>
              </w:rPr>
            </w:pPr>
            <w:r>
              <w:rPr>
                <w:rFonts w:ascii="Tahoma" w:eastAsia="SimSun" w:hAnsi="Tahoma" w:cs="Tahoma"/>
                <w:b/>
                <w:bCs/>
                <w:iCs/>
                <w:sz w:val="16"/>
                <w:szCs w:val="16"/>
              </w:rPr>
              <w:t>ACTUAL / FORECAST</w:t>
            </w:r>
          </w:p>
        </w:tc>
      </w:tr>
      <w:tr w:rsidR="008A2166" w:rsidRPr="00BF3D82" w14:paraId="003F5004" w14:textId="77777777">
        <w:trPr>
          <w:trHeight w:val="340"/>
        </w:trPr>
        <w:tc>
          <w:tcPr>
            <w:tcW w:w="2268" w:type="dxa"/>
            <w:tcBorders>
              <w:left w:val="single" w:sz="4" w:space="0" w:color="auto"/>
            </w:tcBorders>
            <w:vAlign w:val="bottom"/>
          </w:tcPr>
          <w:p w14:paraId="4D572F0E"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Revenue = Y</w:t>
            </w:r>
          </w:p>
        </w:tc>
        <w:tc>
          <w:tcPr>
            <w:tcW w:w="939" w:type="dxa"/>
            <w:vAlign w:val="bottom"/>
          </w:tcPr>
          <w:p w14:paraId="24B51284"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$1.507</w:t>
            </w:r>
          </w:p>
        </w:tc>
        <w:tc>
          <w:tcPr>
            <w:tcW w:w="939" w:type="dxa"/>
            <w:vAlign w:val="bottom"/>
          </w:tcPr>
          <w:p w14:paraId="5194110B"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$1.488</w:t>
            </w:r>
          </w:p>
        </w:tc>
        <w:tc>
          <w:tcPr>
            <w:tcW w:w="939" w:type="dxa"/>
            <w:vAlign w:val="bottom"/>
          </w:tcPr>
          <w:p w14:paraId="385EAA97"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$1.534</w:t>
            </w:r>
          </w:p>
        </w:tc>
        <w:tc>
          <w:tcPr>
            <w:tcW w:w="939" w:type="dxa"/>
            <w:vAlign w:val="bottom"/>
          </w:tcPr>
          <w:p w14:paraId="22C3234C"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$1.540</w:t>
            </w:r>
          </w:p>
        </w:tc>
        <w:tc>
          <w:tcPr>
            <w:tcW w:w="939" w:type="dxa"/>
            <w:shd w:val="clear" w:color="auto" w:fill="F2F2F2" w:themeFill="background1" w:themeFillShade="F2"/>
            <w:vAlign w:val="bottom"/>
          </w:tcPr>
          <w:p w14:paraId="332DD62E"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$1.932</w:t>
            </w:r>
          </w:p>
        </w:tc>
        <w:tc>
          <w:tcPr>
            <w:tcW w:w="939" w:type="dxa"/>
            <w:vAlign w:val="bottom"/>
          </w:tcPr>
          <w:p w14:paraId="007E65B3"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$2.085</w:t>
            </w:r>
          </w:p>
        </w:tc>
        <w:tc>
          <w:tcPr>
            <w:tcW w:w="939" w:type="dxa"/>
            <w:vAlign w:val="bottom"/>
          </w:tcPr>
          <w:p w14:paraId="0C104658"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$2.077</w:t>
            </w:r>
          </w:p>
        </w:tc>
        <w:tc>
          <w:tcPr>
            <w:tcW w:w="940" w:type="dxa"/>
            <w:vAlign w:val="bottom"/>
          </w:tcPr>
          <w:p w14:paraId="676747ED"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$2.075</w:t>
            </w:r>
          </w:p>
        </w:tc>
      </w:tr>
      <w:tr w:rsidR="008A2166" w:rsidRPr="00BF3D82" w14:paraId="2108D2D2" w14:textId="77777777">
        <w:trPr>
          <w:trHeight w:val="340"/>
        </w:trPr>
        <w:tc>
          <w:tcPr>
            <w:tcW w:w="2268" w:type="dxa"/>
            <w:tcBorders>
              <w:left w:val="single" w:sz="4" w:space="0" w:color="auto"/>
            </w:tcBorders>
            <w:vAlign w:val="bottom"/>
          </w:tcPr>
          <w:p w14:paraId="17ED5D75" w14:textId="77777777" w:rsidR="008A2166" w:rsidRPr="00171DC3" w:rsidRDefault="008A2166">
            <w:pPr>
              <w:rPr>
                <w:rFonts w:asciiTheme="minorHAnsi" w:eastAsia="SimSun" w:hAnsiTheme="minorHAnsi" w:cstheme="minorHAnsi"/>
                <w:sz w:val="18"/>
                <w:szCs w:val="18"/>
              </w:rPr>
            </w:pPr>
            <w:r w:rsidRPr="00171DC3">
              <w:rPr>
                <w:rFonts w:asciiTheme="minorHAnsi" w:eastAsia="SimSun" w:hAnsiTheme="minorHAnsi" w:cstheme="minorHAnsi"/>
                <w:sz w:val="18"/>
                <w:szCs w:val="18"/>
              </w:rPr>
              <w:t>Expenses = X</w:t>
            </w:r>
          </w:p>
        </w:tc>
        <w:tc>
          <w:tcPr>
            <w:tcW w:w="939" w:type="dxa"/>
            <w:vAlign w:val="bottom"/>
          </w:tcPr>
          <w:p w14:paraId="0827073C"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$2.497</w:t>
            </w:r>
          </w:p>
        </w:tc>
        <w:tc>
          <w:tcPr>
            <w:tcW w:w="939" w:type="dxa"/>
            <w:vAlign w:val="bottom"/>
          </w:tcPr>
          <w:p w14:paraId="5C4D2D57"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$3.573</w:t>
            </w:r>
          </w:p>
        </w:tc>
        <w:tc>
          <w:tcPr>
            <w:tcW w:w="939" w:type="dxa"/>
            <w:vAlign w:val="bottom"/>
          </w:tcPr>
          <w:p w14:paraId="17D15CDF"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$4.222</w:t>
            </w:r>
          </w:p>
        </w:tc>
        <w:tc>
          <w:tcPr>
            <w:tcW w:w="939" w:type="dxa"/>
            <w:vAlign w:val="bottom"/>
          </w:tcPr>
          <w:p w14:paraId="55E4A323"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$4.396</w:t>
            </w:r>
          </w:p>
        </w:tc>
        <w:tc>
          <w:tcPr>
            <w:tcW w:w="939" w:type="dxa"/>
            <w:shd w:val="clear" w:color="auto" w:fill="F2F2F2" w:themeFill="background1" w:themeFillShade="F2"/>
            <w:vAlign w:val="bottom"/>
          </w:tcPr>
          <w:p w14:paraId="3F536489"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$4.641</w:t>
            </w:r>
          </w:p>
        </w:tc>
        <w:tc>
          <w:tcPr>
            <w:tcW w:w="939" w:type="dxa"/>
            <w:vAlign w:val="bottom"/>
          </w:tcPr>
          <w:p w14:paraId="7D44A80B"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$4.793</w:t>
            </w:r>
          </w:p>
        </w:tc>
        <w:tc>
          <w:tcPr>
            <w:tcW w:w="939" w:type="dxa"/>
            <w:vAlign w:val="bottom"/>
          </w:tcPr>
          <w:p w14:paraId="4DEFAAC0"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$4.974</w:t>
            </w:r>
          </w:p>
        </w:tc>
        <w:tc>
          <w:tcPr>
            <w:tcW w:w="940" w:type="dxa"/>
            <w:vAlign w:val="bottom"/>
          </w:tcPr>
          <w:p w14:paraId="7E767238"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$5.157</w:t>
            </w:r>
          </w:p>
        </w:tc>
      </w:tr>
      <w:tr w:rsidR="008A2166" w:rsidRPr="000D77FF" w14:paraId="3D765804" w14:textId="77777777">
        <w:trPr>
          <w:trHeight w:val="340"/>
        </w:trPr>
        <w:tc>
          <w:tcPr>
            <w:tcW w:w="2268" w:type="dxa"/>
            <w:tcBorders>
              <w:left w:val="single" w:sz="4" w:space="0" w:color="auto"/>
            </w:tcBorders>
            <w:vAlign w:val="bottom"/>
          </w:tcPr>
          <w:p w14:paraId="6A8C7B28"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Balance = Y – X</w:t>
            </w:r>
          </w:p>
        </w:tc>
        <w:tc>
          <w:tcPr>
            <w:tcW w:w="939" w:type="dxa"/>
            <w:vAlign w:val="bottom"/>
          </w:tcPr>
          <w:p w14:paraId="2A5DA891"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-$0.989</w:t>
            </w:r>
          </w:p>
        </w:tc>
        <w:tc>
          <w:tcPr>
            <w:tcW w:w="939" w:type="dxa"/>
            <w:vAlign w:val="bottom"/>
          </w:tcPr>
          <w:p w14:paraId="66187FE4"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-$2.085</w:t>
            </w:r>
          </w:p>
        </w:tc>
        <w:tc>
          <w:tcPr>
            <w:tcW w:w="939" w:type="dxa"/>
            <w:vAlign w:val="bottom"/>
          </w:tcPr>
          <w:p w14:paraId="54EF3707"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-$2.688</w:t>
            </w:r>
          </w:p>
        </w:tc>
        <w:tc>
          <w:tcPr>
            <w:tcW w:w="939" w:type="dxa"/>
            <w:vAlign w:val="bottom"/>
          </w:tcPr>
          <w:p w14:paraId="781EE247"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-$2.856</w:t>
            </w:r>
          </w:p>
        </w:tc>
        <w:tc>
          <w:tcPr>
            <w:tcW w:w="939" w:type="dxa"/>
            <w:shd w:val="clear" w:color="auto" w:fill="F2F2F2" w:themeFill="background1" w:themeFillShade="F2"/>
            <w:vAlign w:val="bottom"/>
          </w:tcPr>
          <w:p w14:paraId="53DBBCB8"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-$2.708</w:t>
            </w:r>
          </w:p>
        </w:tc>
        <w:tc>
          <w:tcPr>
            <w:tcW w:w="939" w:type="dxa"/>
            <w:vAlign w:val="bottom"/>
          </w:tcPr>
          <w:p w14:paraId="2FE3D3A9"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-$2.707</w:t>
            </w:r>
          </w:p>
        </w:tc>
        <w:tc>
          <w:tcPr>
            <w:tcW w:w="939" w:type="dxa"/>
            <w:vAlign w:val="bottom"/>
          </w:tcPr>
          <w:p w14:paraId="523BB4B0"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-$2.897</w:t>
            </w:r>
          </w:p>
        </w:tc>
        <w:tc>
          <w:tcPr>
            <w:tcW w:w="940" w:type="dxa"/>
            <w:vAlign w:val="bottom"/>
          </w:tcPr>
          <w:p w14:paraId="578FA9EA"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-$3.081</w:t>
            </w:r>
          </w:p>
        </w:tc>
      </w:tr>
      <w:tr w:rsidR="008A2166" w:rsidRPr="00664613" w14:paraId="6EDAE088" w14:textId="77777777">
        <w:trPr>
          <w:trHeight w:val="340"/>
        </w:trPr>
        <w:tc>
          <w:tcPr>
            <w:tcW w:w="2268" w:type="dxa"/>
            <w:tcBorders>
              <w:left w:val="single" w:sz="4" w:space="0" w:color="auto"/>
            </w:tcBorders>
            <w:vAlign w:val="bottom"/>
          </w:tcPr>
          <w:p w14:paraId="001B5B69"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Cumulative Balance</w:t>
            </w:r>
          </w:p>
        </w:tc>
        <w:tc>
          <w:tcPr>
            <w:tcW w:w="939" w:type="dxa"/>
            <w:vAlign w:val="bottom"/>
          </w:tcPr>
          <w:p w14:paraId="348E8956"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-$0.989</w:t>
            </w:r>
          </w:p>
        </w:tc>
        <w:tc>
          <w:tcPr>
            <w:tcW w:w="939" w:type="dxa"/>
            <w:vAlign w:val="bottom"/>
          </w:tcPr>
          <w:p w14:paraId="5B3778F1"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-$3.074</w:t>
            </w:r>
          </w:p>
        </w:tc>
        <w:tc>
          <w:tcPr>
            <w:tcW w:w="939" w:type="dxa"/>
            <w:vAlign w:val="bottom"/>
          </w:tcPr>
          <w:p w14:paraId="7A278F76"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-$5.762</w:t>
            </w:r>
          </w:p>
        </w:tc>
        <w:tc>
          <w:tcPr>
            <w:tcW w:w="939" w:type="dxa"/>
            <w:vAlign w:val="bottom"/>
          </w:tcPr>
          <w:p w14:paraId="5AB7A0DF"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-$8.618</w:t>
            </w:r>
          </w:p>
        </w:tc>
        <w:tc>
          <w:tcPr>
            <w:tcW w:w="939" w:type="dxa"/>
            <w:shd w:val="clear" w:color="auto" w:fill="F2F2F2" w:themeFill="background1" w:themeFillShade="F2"/>
            <w:vAlign w:val="bottom"/>
          </w:tcPr>
          <w:p w14:paraId="51A3605B"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-$11.326</w:t>
            </w:r>
          </w:p>
        </w:tc>
        <w:tc>
          <w:tcPr>
            <w:tcW w:w="939" w:type="dxa"/>
            <w:vAlign w:val="bottom"/>
          </w:tcPr>
          <w:p w14:paraId="03B458A1"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-$14.033</w:t>
            </w:r>
          </w:p>
        </w:tc>
        <w:tc>
          <w:tcPr>
            <w:tcW w:w="939" w:type="dxa"/>
            <w:vAlign w:val="bottom"/>
          </w:tcPr>
          <w:p w14:paraId="38B8DC99"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-$16.931</w:t>
            </w:r>
          </w:p>
        </w:tc>
        <w:tc>
          <w:tcPr>
            <w:tcW w:w="940" w:type="dxa"/>
            <w:vAlign w:val="bottom"/>
          </w:tcPr>
          <w:p w14:paraId="26F3B7B2"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-$20.012</w:t>
            </w:r>
          </w:p>
        </w:tc>
      </w:tr>
    </w:tbl>
    <w:p w14:paraId="413BDCF1" w14:textId="77777777" w:rsidR="00E50F6D" w:rsidRDefault="00E50F6D" w:rsidP="008A2166">
      <w:pPr>
        <w:spacing w:after="0"/>
        <w:rPr>
          <w:i/>
          <w:iCs/>
        </w:rPr>
      </w:pPr>
    </w:p>
    <w:p w14:paraId="37CFF1A5" w14:textId="77777777" w:rsidR="008A2166" w:rsidRDefault="008A2166" w:rsidP="008A2166">
      <w:r w:rsidRPr="00577900">
        <w:rPr>
          <w:i/>
          <w:iCs/>
        </w:rPr>
        <w:t xml:space="preserve">Table </w:t>
      </w:r>
      <w:r>
        <w:rPr>
          <w:i/>
          <w:iCs/>
        </w:rPr>
        <w:t>10</w:t>
      </w:r>
      <w:r w:rsidRPr="00577900">
        <w:rPr>
          <w:i/>
          <w:iCs/>
        </w:rPr>
        <w:t xml:space="preserve"> – </w:t>
      </w:r>
      <w:r>
        <w:rPr>
          <w:i/>
          <w:iCs/>
        </w:rPr>
        <w:t>TTIPA cost recovered activity: Financial Performance &amp; Forecast</w:t>
      </w:r>
    </w:p>
    <w:tbl>
      <w:tblPr>
        <w:tblStyle w:val="TableGrid"/>
        <w:tblW w:w="9781" w:type="dxa"/>
        <w:tblLook w:val="04A0" w:firstRow="1" w:lastRow="0" w:firstColumn="1" w:lastColumn="0" w:noHBand="0" w:noVBand="1"/>
      </w:tblPr>
      <w:tblGrid>
        <w:gridCol w:w="2268"/>
        <w:gridCol w:w="939"/>
        <w:gridCol w:w="939"/>
        <w:gridCol w:w="939"/>
        <w:gridCol w:w="939"/>
        <w:gridCol w:w="939"/>
        <w:gridCol w:w="939"/>
        <w:gridCol w:w="939"/>
        <w:gridCol w:w="940"/>
      </w:tblGrid>
      <w:tr w:rsidR="008A2166" w:rsidRPr="006C5CEA" w14:paraId="45678DDC" w14:textId="77777777">
        <w:trPr>
          <w:trHeight w:val="340"/>
        </w:trPr>
        <w:tc>
          <w:tcPr>
            <w:tcW w:w="2268" w:type="dxa"/>
            <w:tcBorders>
              <w:top w:val="nil"/>
              <w:left w:val="nil"/>
              <w:bottom w:val="single" w:sz="4" w:space="0" w:color="auto"/>
            </w:tcBorders>
            <w:shd w:val="clear" w:color="auto" w:fill="auto"/>
            <w:vAlign w:val="center"/>
          </w:tcPr>
          <w:p w14:paraId="3F761970" w14:textId="77777777" w:rsidR="008A2166" w:rsidRPr="00EC0AA8" w:rsidRDefault="008A2166">
            <w:pPr>
              <w:jc w:val="center"/>
              <w:rPr>
                <w:rFonts w:asciiTheme="minorHAnsi" w:eastAsia="SimSun" w:hAnsiTheme="minorHAnsi" w:cstheme="minorHAnsi"/>
                <w:b/>
                <w:bCs/>
                <w:iCs/>
                <w:sz w:val="24"/>
                <w:szCs w:val="24"/>
              </w:rPr>
            </w:pPr>
          </w:p>
        </w:tc>
        <w:tc>
          <w:tcPr>
            <w:tcW w:w="939" w:type="dxa"/>
            <w:tcBorders>
              <w:top w:val="single" w:sz="4" w:space="0" w:color="auto"/>
            </w:tcBorders>
            <w:shd w:val="clear" w:color="auto" w:fill="D9E2F3" w:themeFill="accent1" w:themeFillTint="33"/>
            <w:vAlign w:val="bottom"/>
          </w:tcPr>
          <w:p w14:paraId="30BAB701"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060B68A0"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2020-21</w:t>
            </w:r>
          </w:p>
        </w:tc>
        <w:tc>
          <w:tcPr>
            <w:tcW w:w="939" w:type="dxa"/>
            <w:tcBorders>
              <w:top w:val="single" w:sz="4" w:space="0" w:color="auto"/>
            </w:tcBorders>
            <w:shd w:val="clear" w:color="auto" w:fill="D9E2F3" w:themeFill="accent1" w:themeFillTint="33"/>
            <w:vAlign w:val="bottom"/>
          </w:tcPr>
          <w:p w14:paraId="7EB96BA2"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2A6317D2"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2021-22</w:t>
            </w:r>
          </w:p>
        </w:tc>
        <w:tc>
          <w:tcPr>
            <w:tcW w:w="939" w:type="dxa"/>
            <w:tcBorders>
              <w:top w:val="single" w:sz="4" w:space="0" w:color="auto"/>
            </w:tcBorders>
            <w:shd w:val="clear" w:color="auto" w:fill="D9E2F3" w:themeFill="accent1" w:themeFillTint="33"/>
            <w:vAlign w:val="bottom"/>
          </w:tcPr>
          <w:p w14:paraId="36959168"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22F80C83"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2022-23</w:t>
            </w:r>
          </w:p>
        </w:tc>
        <w:tc>
          <w:tcPr>
            <w:tcW w:w="939" w:type="dxa"/>
            <w:tcBorders>
              <w:top w:val="single" w:sz="4" w:space="0" w:color="auto"/>
            </w:tcBorders>
            <w:shd w:val="clear" w:color="auto" w:fill="D9E2F3" w:themeFill="accent1" w:themeFillTint="33"/>
            <w:vAlign w:val="bottom"/>
          </w:tcPr>
          <w:p w14:paraId="2104CD3E"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Estimated Actual</w:t>
            </w:r>
          </w:p>
          <w:p w14:paraId="50427A38"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2023-24</w:t>
            </w:r>
          </w:p>
        </w:tc>
        <w:tc>
          <w:tcPr>
            <w:tcW w:w="939" w:type="dxa"/>
            <w:tcBorders>
              <w:top w:val="single" w:sz="4" w:space="0" w:color="auto"/>
            </w:tcBorders>
            <w:shd w:val="clear" w:color="auto" w:fill="D9E2F3" w:themeFill="accent1" w:themeFillTint="33"/>
            <w:vAlign w:val="bottom"/>
          </w:tcPr>
          <w:p w14:paraId="2157A71D"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Budget Estimate</w:t>
            </w:r>
          </w:p>
          <w:p w14:paraId="3AB2C52C" w14:textId="77777777" w:rsidR="008A2166" w:rsidRPr="006C5CEA" w:rsidRDefault="008A2166">
            <w:pPr>
              <w:jc w:val="center"/>
              <w:rPr>
                <w:rFonts w:eastAsia="SimSun" w:cstheme="minorHAnsi"/>
                <w:b/>
                <w:bCs/>
                <w:iCs/>
                <w:sz w:val="16"/>
                <w:szCs w:val="16"/>
              </w:rPr>
            </w:pPr>
            <w:r w:rsidRPr="006C5CEA">
              <w:rPr>
                <w:rFonts w:asciiTheme="minorHAnsi" w:eastAsia="SimSun" w:hAnsiTheme="minorHAnsi" w:cstheme="minorHAnsi"/>
                <w:b/>
                <w:bCs/>
                <w:iCs/>
                <w:sz w:val="16"/>
                <w:szCs w:val="16"/>
              </w:rPr>
              <w:t>2024-25</w:t>
            </w:r>
          </w:p>
        </w:tc>
        <w:tc>
          <w:tcPr>
            <w:tcW w:w="939" w:type="dxa"/>
            <w:tcBorders>
              <w:top w:val="single" w:sz="4" w:space="0" w:color="auto"/>
            </w:tcBorders>
            <w:shd w:val="clear" w:color="auto" w:fill="D9E2F3" w:themeFill="accent1" w:themeFillTint="33"/>
            <w:vAlign w:val="bottom"/>
          </w:tcPr>
          <w:p w14:paraId="77430751"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617CA290"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2025-26</w:t>
            </w:r>
          </w:p>
        </w:tc>
        <w:tc>
          <w:tcPr>
            <w:tcW w:w="939" w:type="dxa"/>
            <w:tcBorders>
              <w:top w:val="single" w:sz="4" w:space="0" w:color="auto"/>
            </w:tcBorders>
            <w:shd w:val="clear" w:color="auto" w:fill="D9E2F3" w:themeFill="accent1" w:themeFillTint="33"/>
            <w:vAlign w:val="bottom"/>
          </w:tcPr>
          <w:p w14:paraId="05755D23"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0282ADA2"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2026-27</w:t>
            </w:r>
          </w:p>
        </w:tc>
        <w:tc>
          <w:tcPr>
            <w:tcW w:w="940" w:type="dxa"/>
            <w:tcBorders>
              <w:top w:val="single" w:sz="4" w:space="0" w:color="auto"/>
            </w:tcBorders>
            <w:shd w:val="clear" w:color="auto" w:fill="D9E2F3" w:themeFill="accent1" w:themeFillTint="33"/>
            <w:vAlign w:val="bottom"/>
          </w:tcPr>
          <w:p w14:paraId="6A4BCFE1"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7972D523"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2027-28</w:t>
            </w:r>
          </w:p>
        </w:tc>
      </w:tr>
      <w:tr w:rsidR="008A2166" w:rsidRPr="00723F84" w14:paraId="003F91CC" w14:textId="77777777">
        <w:trPr>
          <w:trHeight w:val="283"/>
        </w:trPr>
        <w:tc>
          <w:tcPr>
            <w:tcW w:w="2268" w:type="dxa"/>
            <w:tcBorders>
              <w:left w:val="single" w:sz="4" w:space="0" w:color="auto"/>
              <w:bottom w:val="single" w:sz="4" w:space="0" w:color="auto"/>
            </w:tcBorders>
            <w:shd w:val="clear" w:color="auto" w:fill="D9E2F3" w:themeFill="accent1" w:themeFillTint="33"/>
            <w:vAlign w:val="bottom"/>
          </w:tcPr>
          <w:p w14:paraId="30BA0B5D" w14:textId="77777777" w:rsidR="008A2166" w:rsidRPr="00C84F7A" w:rsidRDefault="008A2166">
            <w:pPr>
              <w:rPr>
                <w:rFonts w:asciiTheme="minorHAnsi" w:eastAsia="SimSun" w:hAnsiTheme="minorHAnsi" w:cstheme="minorHAnsi"/>
                <w:b/>
                <w:bCs/>
                <w:iCs/>
                <w:sz w:val="18"/>
                <w:szCs w:val="18"/>
              </w:rPr>
            </w:pPr>
            <w:r>
              <w:rPr>
                <w:rFonts w:asciiTheme="minorHAnsi" w:eastAsia="SimSun" w:hAnsiTheme="minorHAnsi" w:cstheme="minorHAnsi"/>
                <w:b/>
                <w:bCs/>
                <w:iCs/>
                <w:sz w:val="18"/>
                <w:szCs w:val="18"/>
              </w:rPr>
              <w:t>TTIPA</w:t>
            </w:r>
            <w:r w:rsidRPr="00C84F7A">
              <w:rPr>
                <w:rFonts w:asciiTheme="minorHAnsi" w:eastAsia="SimSun" w:hAnsiTheme="minorHAnsi" w:cstheme="minorHAnsi"/>
                <w:b/>
                <w:bCs/>
                <w:iCs/>
                <w:sz w:val="18"/>
                <w:szCs w:val="18"/>
              </w:rPr>
              <w:t xml:space="preserve"> Activity Group</w:t>
            </w:r>
          </w:p>
        </w:tc>
        <w:tc>
          <w:tcPr>
            <w:tcW w:w="939" w:type="dxa"/>
            <w:tcBorders>
              <w:bottom w:val="single" w:sz="4" w:space="0" w:color="auto"/>
            </w:tcBorders>
            <w:shd w:val="clear" w:color="auto" w:fill="D9E2F3" w:themeFill="accent1" w:themeFillTint="33"/>
            <w:vAlign w:val="bottom"/>
          </w:tcPr>
          <w:p w14:paraId="6C52AB7A" w14:textId="77777777" w:rsidR="008A2166" w:rsidRPr="00723F84" w:rsidRDefault="008A2166">
            <w:pPr>
              <w:jc w:val="center"/>
              <w:rPr>
                <w:rFonts w:asciiTheme="minorHAnsi" w:eastAsia="SimSun" w:hAnsiTheme="minorHAnsi" w:cstheme="minorHAnsi"/>
                <w:iCs/>
                <w:sz w:val="18"/>
                <w:szCs w:val="18"/>
              </w:rPr>
            </w:pPr>
            <w:r>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3A89461B"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3F534B1B"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797527B7"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1E81A0AD" w14:textId="77777777" w:rsidR="008A2166" w:rsidRPr="003C6FBC" w:rsidRDefault="008A2166">
            <w:pPr>
              <w:jc w:val="center"/>
              <w:rPr>
                <w:rFonts w:eastAsia="SimSun" w:cstheme="minorHAnsi"/>
                <w:iCs/>
                <w:sz w:val="18"/>
                <w:szCs w:val="18"/>
              </w:rPr>
            </w:pPr>
            <w:r>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6DFDD6CD"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c>
          <w:tcPr>
            <w:tcW w:w="939" w:type="dxa"/>
            <w:tcBorders>
              <w:bottom w:val="single" w:sz="4" w:space="0" w:color="auto"/>
            </w:tcBorders>
            <w:shd w:val="clear" w:color="auto" w:fill="D9E2F3" w:themeFill="accent1" w:themeFillTint="33"/>
            <w:vAlign w:val="bottom"/>
          </w:tcPr>
          <w:p w14:paraId="3E265B07"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c>
          <w:tcPr>
            <w:tcW w:w="940" w:type="dxa"/>
            <w:tcBorders>
              <w:bottom w:val="single" w:sz="4" w:space="0" w:color="auto"/>
            </w:tcBorders>
            <w:shd w:val="clear" w:color="auto" w:fill="D9E2F3" w:themeFill="accent1" w:themeFillTint="33"/>
            <w:vAlign w:val="bottom"/>
          </w:tcPr>
          <w:p w14:paraId="607EEC64"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r>
      <w:tr w:rsidR="008A2166" w:rsidRPr="00BF3D82" w14:paraId="345CFE2F" w14:textId="77777777">
        <w:trPr>
          <w:trHeight w:val="283"/>
        </w:trPr>
        <w:tc>
          <w:tcPr>
            <w:tcW w:w="9781" w:type="dxa"/>
            <w:gridSpan w:val="9"/>
            <w:tcBorders>
              <w:left w:val="single" w:sz="4" w:space="0" w:color="auto"/>
            </w:tcBorders>
            <w:shd w:val="clear" w:color="auto" w:fill="F7FFFB"/>
            <w:vAlign w:val="center"/>
          </w:tcPr>
          <w:p w14:paraId="21C8EDF1" w14:textId="77777777" w:rsidR="008A2166" w:rsidRPr="00622E2F" w:rsidRDefault="008A2166">
            <w:pPr>
              <w:jc w:val="center"/>
              <w:rPr>
                <w:rFonts w:ascii="Tahoma" w:eastAsia="SimSun" w:hAnsi="Tahoma" w:cs="Tahoma"/>
                <w:b/>
                <w:bCs/>
                <w:iCs/>
                <w:sz w:val="16"/>
                <w:szCs w:val="16"/>
              </w:rPr>
            </w:pPr>
            <w:r>
              <w:rPr>
                <w:rFonts w:ascii="Tahoma" w:eastAsia="SimSun" w:hAnsi="Tahoma" w:cs="Tahoma"/>
                <w:b/>
                <w:bCs/>
                <w:iCs/>
                <w:sz w:val="16"/>
                <w:szCs w:val="16"/>
              </w:rPr>
              <w:t>ACTUAL / FORECAST</w:t>
            </w:r>
          </w:p>
        </w:tc>
      </w:tr>
      <w:tr w:rsidR="008A2166" w:rsidRPr="00BF3D82" w14:paraId="29F92890" w14:textId="77777777">
        <w:trPr>
          <w:trHeight w:val="340"/>
        </w:trPr>
        <w:tc>
          <w:tcPr>
            <w:tcW w:w="2268" w:type="dxa"/>
            <w:tcBorders>
              <w:left w:val="single" w:sz="4" w:space="0" w:color="auto"/>
            </w:tcBorders>
            <w:vAlign w:val="bottom"/>
          </w:tcPr>
          <w:p w14:paraId="6E902BCF"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Revenue = Y</w:t>
            </w:r>
          </w:p>
        </w:tc>
        <w:tc>
          <w:tcPr>
            <w:tcW w:w="939" w:type="dxa"/>
            <w:vAlign w:val="bottom"/>
          </w:tcPr>
          <w:p w14:paraId="2BEDA321"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$0.873</w:t>
            </w:r>
          </w:p>
        </w:tc>
        <w:tc>
          <w:tcPr>
            <w:tcW w:w="939" w:type="dxa"/>
            <w:vAlign w:val="bottom"/>
          </w:tcPr>
          <w:p w14:paraId="5697F770"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$0.683</w:t>
            </w:r>
          </w:p>
        </w:tc>
        <w:tc>
          <w:tcPr>
            <w:tcW w:w="939" w:type="dxa"/>
            <w:vAlign w:val="bottom"/>
          </w:tcPr>
          <w:p w14:paraId="1EFC6459"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$0.813</w:t>
            </w:r>
          </w:p>
        </w:tc>
        <w:tc>
          <w:tcPr>
            <w:tcW w:w="939" w:type="dxa"/>
            <w:vAlign w:val="bottom"/>
          </w:tcPr>
          <w:p w14:paraId="53A269F2"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$0.864</w:t>
            </w:r>
          </w:p>
        </w:tc>
        <w:tc>
          <w:tcPr>
            <w:tcW w:w="939" w:type="dxa"/>
            <w:shd w:val="clear" w:color="auto" w:fill="F2F2F2" w:themeFill="background1" w:themeFillShade="F2"/>
            <w:vAlign w:val="bottom"/>
          </w:tcPr>
          <w:p w14:paraId="18C74AEC"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$0.972</w:t>
            </w:r>
          </w:p>
        </w:tc>
        <w:tc>
          <w:tcPr>
            <w:tcW w:w="939" w:type="dxa"/>
            <w:vAlign w:val="bottom"/>
          </w:tcPr>
          <w:p w14:paraId="309209B1"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$0.768</w:t>
            </w:r>
          </w:p>
        </w:tc>
        <w:tc>
          <w:tcPr>
            <w:tcW w:w="939" w:type="dxa"/>
            <w:vAlign w:val="bottom"/>
          </w:tcPr>
          <w:p w14:paraId="6D8A897D"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$1.017</w:t>
            </w:r>
          </w:p>
        </w:tc>
        <w:tc>
          <w:tcPr>
            <w:tcW w:w="940" w:type="dxa"/>
            <w:vAlign w:val="bottom"/>
          </w:tcPr>
          <w:p w14:paraId="76C97778"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$0.773</w:t>
            </w:r>
          </w:p>
        </w:tc>
      </w:tr>
      <w:tr w:rsidR="008A2166" w:rsidRPr="00BF3D82" w14:paraId="0BBE25D2" w14:textId="77777777">
        <w:trPr>
          <w:trHeight w:val="340"/>
        </w:trPr>
        <w:tc>
          <w:tcPr>
            <w:tcW w:w="2268" w:type="dxa"/>
            <w:tcBorders>
              <w:left w:val="single" w:sz="4" w:space="0" w:color="auto"/>
            </w:tcBorders>
            <w:vAlign w:val="bottom"/>
          </w:tcPr>
          <w:p w14:paraId="5695DA6D" w14:textId="77777777" w:rsidR="008A2166" w:rsidRPr="009632BA" w:rsidRDefault="008A2166">
            <w:pPr>
              <w:rPr>
                <w:rFonts w:eastAsia="SimSun" w:cstheme="minorHAnsi"/>
                <w:iCs/>
                <w:sz w:val="18"/>
                <w:szCs w:val="18"/>
              </w:rPr>
            </w:pPr>
            <w:r w:rsidRPr="00171DC3">
              <w:rPr>
                <w:rFonts w:asciiTheme="minorHAnsi" w:eastAsia="SimSun" w:hAnsiTheme="minorHAnsi" w:cstheme="minorHAnsi"/>
                <w:sz w:val="18"/>
                <w:szCs w:val="18"/>
              </w:rPr>
              <w:t>Expenses = X</w:t>
            </w:r>
          </w:p>
        </w:tc>
        <w:tc>
          <w:tcPr>
            <w:tcW w:w="939" w:type="dxa"/>
            <w:vAlign w:val="bottom"/>
          </w:tcPr>
          <w:p w14:paraId="4DE977B1"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$0.911</w:t>
            </w:r>
          </w:p>
        </w:tc>
        <w:tc>
          <w:tcPr>
            <w:tcW w:w="939" w:type="dxa"/>
            <w:vAlign w:val="bottom"/>
          </w:tcPr>
          <w:p w14:paraId="10A190F4"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$1.024</w:t>
            </w:r>
          </w:p>
        </w:tc>
        <w:tc>
          <w:tcPr>
            <w:tcW w:w="939" w:type="dxa"/>
            <w:vAlign w:val="bottom"/>
          </w:tcPr>
          <w:p w14:paraId="21429757"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$1.150</w:t>
            </w:r>
          </w:p>
        </w:tc>
        <w:tc>
          <w:tcPr>
            <w:tcW w:w="939" w:type="dxa"/>
            <w:vAlign w:val="bottom"/>
          </w:tcPr>
          <w:p w14:paraId="12B4AF03"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$1.505</w:t>
            </w:r>
          </w:p>
        </w:tc>
        <w:tc>
          <w:tcPr>
            <w:tcW w:w="939" w:type="dxa"/>
            <w:shd w:val="clear" w:color="auto" w:fill="F2F2F2" w:themeFill="background1" w:themeFillShade="F2"/>
            <w:vAlign w:val="bottom"/>
          </w:tcPr>
          <w:p w14:paraId="38AAC7BA"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$1.574</w:t>
            </w:r>
          </w:p>
        </w:tc>
        <w:tc>
          <w:tcPr>
            <w:tcW w:w="939" w:type="dxa"/>
            <w:vAlign w:val="bottom"/>
          </w:tcPr>
          <w:p w14:paraId="0ABD08E9"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$1.623</w:t>
            </w:r>
          </w:p>
        </w:tc>
        <w:tc>
          <w:tcPr>
            <w:tcW w:w="939" w:type="dxa"/>
            <w:vAlign w:val="bottom"/>
          </w:tcPr>
          <w:p w14:paraId="110B7A0F"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$1.680</w:t>
            </w:r>
          </w:p>
        </w:tc>
        <w:tc>
          <w:tcPr>
            <w:tcW w:w="940" w:type="dxa"/>
            <w:vAlign w:val="bottom"/>
          </w:tcPr>
          <w:p w14:paraId="005659C2"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$1.737</w:t>
            </w:r>
          </w:p>
        </w:tc>
      </w:tr>
      <w:tr w:rsidR="008A2166" w:rsidRPr="000D77FF" w14:paraId="209FB0CE" w14:textId="77777777">
        <w:trPr>
          <w:trHeight w:val="340"/>
        </w:trPr>
        <w:tc>
          <w:tcPr>
            <w:tcW w:w="2268" w:type="dxa"/>
            <w:tcBorders>
              <w:left w:val="single" w:sz="4" w:space="0" w:color="auto"/>
            </w:tcBorders>
            <w:vAlign w:val="bottom"/>
          </w:tcPr>
          <w:p w14:paraId="18BDA190"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Balance = Y – X</w:t>
            </w:r>
          </w:p>
        </w:tc>
        <w:tc>
          <w:tcPr>
            <w:tcW w:w="939" w:type="dxa"/>
            <w:vAlign w:val="bottom"/>
          </w:tcPr>
          <w:p w14:paraId="3DEBE2FA"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-$0.037</w:t>
            </w:r>
          </w:p>
        </w:tc>
        <w:tc>
          <w:tcPr>
            <w:tcW w:w="939" w:type="dxa"/>
            <w:vAlign w:val="bottom"/>
          </w:tcPr>
          <w:p w14:paraId="1D6F5AF7"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-$0.340</w:t>
            </w:r>
          </w:p>
        </w:tc>
        <w:tc>
          <w:tcPr>
            <w:tcW w:w="939" w:type="dxa"/>
            <w:vAlign w:val="bottom"/>
          </w:tcPr>
          <w:p w14:paraId="5401721F"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-$0.337</w:t>
            </w:r>
          </w:p>
        </w:tc>
        <w:tc>
          <w:tcPr>
            <w:tcW w:w="939" w:type="dxa"/>
            <w:vAlign w:val="bottom"/>
          </w:tcPr>
          <w:p w14:paraId="5683F889"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-$0.641</w:t>
            </w:r>
          </w:p>
        </w:tc>
        <w:tc>
          <w:tcPr>
            <w:tcW w:w="939" w:type="dxa"/>
            <w:shd w:val="clear" w:color="auto" w:fill="F2F2F2" w:themeFill="background1" w:themeFillShade="F2"/>
            <w:vAlign w:val="bottom"/>
          </w:tcPr>
          <w:p w14:paraId="1FE2817A"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-$0.602</w:t>
            </w:r>
          </w:p>
        </w:tc>
        <w:tc>
          <w:tcPr>
            <w:tcW w:w="939" w:type="dxa"/>
            <w:vAlign w:val="bottom"/>
          </w:tcPr>
          <w:p w14:paraId="4F8DF9C4"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-$0.855</w:t>
            </w:r>
          </w:p>
        </w:tc>
        <w:tc>
          <w:tcPr>
            <w:tcW w:w="939" w:type="dxa"/>
            <w:vAlign w:val="bottom"/>
          </w:tcPr>
          <w:p w14:paraId="14B3A2E1"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-$0.663</w:t>
            </w:r>
          </w:p>
        </w:tc>
        <w:tc>
          <w:tcPr>
            <w:tcW w:w="940" w:type="dxa"/>
            <w:vAlign w:val="bottom"/>
          </w:tcPr>
          <w:p w14:paraId="4A7C60F0"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-$0.964</w:t>
            </w:r>
          </w:p>
        </w:tc>
      </w:tr>
      <w:tr w:rsidR="008A2166" w:rsidRPr="00664613" w14:paraId="7ABA80B0" w14:textId="77777777">
        <w:trPr>
          <w:trHeight w:val="340"/>
        </w:trPr>
        <w:tc>
          <w:tcPr>
            <w:tcW w:w="2268" w:type="dxa"/>
            <w:tcBorders>
              <w:left w:val="single" w:sz="4" w:space="0" w:color="auto"/>
            </w:tcBorders>
            <w:vAlign w:val="bottom"/>
          </w:tcPr>
          <w:p w14:paraId="294E8B9B"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Cumulative Balance</w:t>
            </w:r>
          </w:p>
        </w:tc>
        <w:tc>
          <w:tcPr>
            <w:tcW w:w="939" w:type="dxa"/>
            <w:vAlign w:val="bottom"/>
          </w:tcPr>
          <w:p w14:paraId="454E78B3"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-$0.037</w:t>
            </w:r>
          </w:p>
        </w:tc>
        <w:tc>
          <w:tcPr>
            <w:tcW w:w="939" w:type="dxa"/>
            <w:vAlign w:val="bottom"/>
          </w:tcPr>
          <w:p w14:paraId="6E793820"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-$0.377</w:t>
            </w:r>
          </w:p>
        </w:tc>
        <w:tc>
          <w:tcPr>
            <w:tcW w:w="939" w:type="dxa"/>
            <w:vAlign w:val="bottom"/>
          </w:tcPr>
          <w:p w14:paraId="3B6B204E"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-$0.714</w:t>
            </w:r>
          </w:p>
        </w:tc>
        <w:tc>
          <w:tcPr>
            <w:tcW w:w="939" w:type="dxa"/>
            <w:vAlign w:val="bottom"/>
          </w:tcPr>
          <w:p w14:paraId="17C333C5"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-$1.356</w:t>
            </w:r>
          </w:p>
        </w:tc>
        <w:tc>
          <w:tcPr>
            <w:tcW w:w="939" w:type="dxa"/>
            <w:shd w:val="clear" w:color="auto" w:fill="F2F2F2" w:themeFill="background1" w:themeFillShade="F2"/>
            <w:vAlign w:val="bottom"/>
          </w:tcPr>
          <w:p w14:paraId="36A5C177"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-$1.958</w:t>
            </w:r>
          </w:p>
        </w:tc>
        <w:tc>
          <w:tcPr>
            <w:tcW w:w="939" w:type="dxa"/>
            <w:vAlign w:val="bottom"/>
          </w:tcPr>
          <w:p w14:paraId="0FFBD537"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-$2.813</w:t>
            </w:r>
          </w:p>
        </w:tc>
        <w:tc>
          <w:tcPr>
            <w:tcW w:w="939" w:type="dxa"/>
            <w:vAlign w:val="bottom"/>
          </w:tcPr>
          <w:p w14:paraId="4B2F506F"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-$3.476</w:t>
            </w:r>
          </w:p>
        </w:tc>
        <w:tc>
          <w:tcPr>
            <w:tcW w:w="940" w:type="dxa"/>
            <w:vAlign w:val="bottom"/>
          </w:tcPr>
          <w:p w14:paraId="712D87AA"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-$4.440</w:t>
            </w:r>
          </w:p>
        </w:tc>
      </w:tr>
    </w:tbl>
    <w:p w14:paraId="52B20772" w14:textId="77777777" w:rsidR="00E50F6D" w:rsidRDefault="00E50F6D" w:rsidP="008A2166">
      <w:pPr>
        <w:spacing w:after="0"/>
      </w:pPr>
    </w:p>
    <w:p w14:paraId="3305DC80" w14:textId="77777777" w:rsidR="008A2166" w:rsidRDefault="008A2166" w:rsidP="008A2166">
      <w:pPr>
        <w:spacing w:before="120"/>
      </w:pPr>
      <w:r w:rsidRPr="00577900">
        <w:rPr>
          <w:i/>
          <w:iCs/>
        </w:rPr>
        <w:t xml:space="preserve">Table </w:t>
      </w:r>
      <w:r>
        <w:rPr>
          <w:i/>
          <w:iCs/>
        </w:rPr>
        <w:t>11</w:t>
      </w:r>
      <w:r w:rsidRPr="00577900">
        <w:rPr>
          <w:i/>
          <w:iCs/>
        </w:rPr>
        <w:t xml:space="preserve"> – </w:t>
      </w:r>
      <w:r>
        <w:rPr>
          <w:i/>
          <w:iCs/>
        </w:rPr>
        <w:t>TOTAL IP AUSTRALIA: Financial Performance &amp; Forecast</w:t>
      </w:r>
    </w:p>
    <w:tbl>
      <w:tblPr>
        <w:tblStyle w:val="TableGrid"/>
        <w:tblW w:w="9781" w:type="dxa"/>
        <w:tblLook w:val="04A0" w:firstRow="1" w:lastRow="0" w:firstColumn="1" w:lastColumn="0" w:noHBand="0" w:noVBand="1"/>
      </w:tblPr>
      <w:tblGrid>
        <w:gridCol w:w="2082"/>
        <w:gridCol w:w="962"/>
        <w:gridCol w:w="962"/>
        <w:gridCol w:w="963"/>
        <w:gridCol w:w="962"/>
        <w:gridCol w:w="962"/>
        <w:gridCol w:w="963"/>
        <w:gridCol w:w="962"/>
        <w:gridCol w:w="963"/>
      </w:tblGrid>
      <w:tr w:rsidR="008A2166" w:rsidRPr="006C5CEA" w14:paraId="4C2B6E3E" w14:textId="77777777">
        <w:trPr>
          <w:trHeight w:val="340"/>
        </w:trPr>
        <w:tc>
          <w:tcPr>
            <w:tcW w:w="2082" w:type="dxa"/>
            <w:tcBorders>
              <w:top w:val="nil"/>
              <w:left w:val="nil"/>
              <w:bottom w:val="single" w:sz="4" w:space="0" w:color="auto"/>
            </w:tcBorders>
            <w:shd w:val="clear" w:color="auto" w:fill="auto"/>
            <w:vAlign w:val="center"/>
          </w:tcPr>
          <w:p w14:paraId="02E8EBCD" w14:textId="77777777" w:rsidR="008A2166" w:rsidRPr="00EC0AA8" w:rsidRDefault="008A2166">
            <w:pPr>
              <w:jc w:val="center"/>
              <w:rPr>
                <w:rFonts w:asciiTheme="minorHAnsi" w:eastAsia="SimSun" w:hAnsiTheme="minorHAnsi" w:cstheme="minorHAnsi"/>
                <w:b/>
                <w:bCs/>
                <w:iCs/>
                <w:sz w:val="24"/>
                <w:szCs w:val="24"/>
              </w:rPr>
            </w:pPr>
          </w:p>
        </w:tc>
        <w:tc>
          <w:tcPr>
            <w:tcW w:w="962" w:type="dxa"/>
            <w:tcBorders>
              <w:top w:val="single" w:sz="4" w:space="0" w:color="auto"/>
            </w:tcBorders>
            <w:shd w:val="clear" w:color="auto" w:fill="D9E2F3" w:themeFill="accent1" w:themeFillTint="33"/>
            <w:vAlign w:val="bottom"/>
          </w:tcPr>
          <w:p w14:paraId="3CAACE05"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7FAE78A5"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2020-21</w:t>
            </w:r>
          </w:p>
        </w:tc>
        <w:tc>
          <w:tcPr>
            <w:tcW w:w="962" w:type="dxa"/>
            <w:tcBorders>
              <w:top w:val="single" w:sz="4" w:space="0" w:color="auto"/>
            </w:tcBorders>
            <w:shd w:val="clear" w:color="auto" w:fill="D9E2F3" w:themeFill="accent1" w:themeFillTint="33"/>
            <w:vAlign w:val="bottom"/>
          </w:tcPr>
          <w:p w14:paraId="6357592F"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29055B09"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2021-22</w:t>
            </w:r>
          </w:p>
        </w:tc>
        <w:tc>
          <w:tcPr>
            <w:tcW w:w="963" w:type="dxa"/>
            <w:tcBorders>
              <w:top w:val="single" w:sz="4" w:space="0" w:color="auto"/>
            </w:tcBorders>
            <w:shd w:val="clear" w:color="auto" w:fill="D9E2F3" w:themeFill="accent1" w:themeFillTint="33"/>
            <w:vAlign w:val="bottom"/>
          </w:tcPr>
          <w:p w14:paraId="4D821E84"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Actual</w:t>
            </w:r>
          </w:p>
          <w:p w14:paraId="13D99B47"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2022-23</w:t>
            </w:r>
          </w:p>
        </w:tc>
        <w:tc>
          <w:tcPr>
            <w:tcW w:w="962" w:type="dxa"/>
            <w:tcBorders>
              <w:top w:val="single" w:sz="4" w:space="0" w:color="auto"/>
            </w:tcBorders>
            <w:shd w:val="clear" w:color="auto" w:fill="D9E2F3" w:themeFill="accent1" w:themeFillTint="33"/>
            <w:vAlign w:val="bottom"/>
          </w:tcPr>
          <w:p w14:paraId="1E26A6CC" w14:textId="77777777" w:rsidR="008A2166"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Estimated Actual</w:t>
            </w:r>
          </w:p>
          <w:p w14:paraId="4BD995D5"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2023-24</w:t>
            </w:r>
          </w:p>
        </w:tc>
        <w:tc>
          <w:tcPr>
            <w:tcW w:w="962" w:type="dxa"/>
            <w:tcBorders>
              <w:top w:val="single" w:sz="4" w:space="0" w:color="auto"/>
            </w:tcBorders>
            <w:shd w:val="clear" w:color="auto" w:fill="D9E2F3" w:themeFill="accent1" w:themeFillTint="33"/>
            <w:vAlign w:val="bottom"/>
          </w:tcPr>
          <w:p w14:paraId="7555EF48" w14:textId="77777777" w:rsidR="008A2166" w:rsidRPr="006C5CEA" w:rsidRDefault="008A2166">
            <w:pPr>
              <w:jc w:val="center"/>
              <w:rPr>
                <w:rFonts w:asciiTheme="minorHAnsi" w:eastAsia="SimSun" w:hAnsiTheme="minorHAnsi" w:cstheme="minorHAnsi"/>
                <w:b/>
                <w:bCs/>
                <w:iCs/>
                <w:sz w:val="16"/>
                <w:szCs w:val="16"/>
              </w:rPr>
            </w:pPr>
            <w:r>
              <w:rPr>
                <w:rFonts w:asciiTheme="minorHAnsi" w:eastAsia="SimSun" w:hAnsiTheme="minorHAnsi" w:cstheme="minorHAnsi"/>
                <w:b/>
                <w:bCs/>
                <w:iCs/>
                <w:sz w:val="16"/>
                <w:szCs w:val="16"/>
              </w:rPr>
              <w:t>Budget Estimate</w:t>
            </w:r>
          </w:p>
          <w:p w14:paraId="7CC9945D" w14:textId="77777777" w:rsidR="008A2166" w:rsidRPr="006C5CEA" w:rsidRDefault="008A2166">
            <w:pPr>
              <w:jc w:val="center"/>
              <w:rPr>
                <w:rFonts w:eastAsia="SimSun" w:cstheme="minorHAnsi"/>
                <w:b/>
                <w:bCs/>
                <w:iCs/>
                <w:sz w:val="16"/>
                <w:szCs w:val="16"/>
              </w:rPr>
            </w:pPr>
            <w:r w:rsidRPr="006C5CEA">
              <w:rPr>
                <w:rFonts w:asciiTheme="minorHAnsi" w:eastAsia="SimSun" w:hAnsiTheme="minorHAnsi" w:cstheme="minorHAnsi"/>
                <w:b/>
                <w:bCs/>
                <w:iCs/>
                <w:sz w:val="16"/>
                <w:szCs w:val="16"/>
              </w:rPr>
              <w:t>2024-25</w:t>
            </w:r>
          </w:p>
        </w:tc>
        <w:tc>
          <w:tcPr>
            <w:tcW w:w="963" w:type="dxa"/>
            <w:tcBorders>
              <w:top w:val="single" w:sz="4" w:space="0" w:color="auto"/>
            </w:tcBorders>
            <w:shd w:val="clear" w:color="auto" w:fill="D9E2F3" w:themeFill="accent1" w:themeFillTint="33"/>
            <w:vAlign w:val="bottom"/>
          </w:tcPr>
          <w:p w14:paraId="5C4DB3B0"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2BF3432D"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2025-26</w:t>
            </w:r>
          </w:p>
        </w:tc>
        <w:tc>
          <w:tcPr>
            <w:tcW w:w="962" w:type="dxa"/>
            <w:tcBorders>
              <w:top w:val="single" w:sz="4" w:space="0" w:color="auto"/>
            </w:tcBorders>
            <w:shd w:val="clear" w:color="auto" w:fill="D9E2F3" w:themeFill="accent1" w:themeFillTint="33"/>
            <w:vAlign w:val="bottom"/>
          </w:tcPr>
          <w:p w14:paraId="2E64DFD4"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6EEB909E"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2026-27</w:t>
            </w:r>
          </w:p>
        </w:tc>
        <w:tc>
          <w:tcPr>
            <w:tcW w:w="963" w:type="dxa"/>
            <w:tcBorders>
              <w:top w:val="single" w:sz="4" w:space="0" w:color="auto"/>
            </w:tcBorders>
            <w:shd w:val="clear" w:color="auto" w:fill="D9E2F3" w:themeFill="accent1" w:themeFillTint="33"/>
            <w:vAlign w:val="bottom"/>
          </w:tcPr>
          <w:p w14:paraId="5E17FDF9" w14:textId="77777777" w:rsidR="008A2166" w:rsidRDefault="008A2166">
            <w:pPr>
              <w:jc w:val="center"/>
              <w:rPr>
                <w:rFonts w:asciiTheme="minorHAnsi" w:eastAsia="SimSun" w:hAnsiTheme="minorHAnsi" w:cstheme="minorHAnsi"/>
                <w:b/>
                <w:bCs/>
                <w:iCs/>
                <w:sz w:val="16"/>
                <w:szCs w:val="16"/>
              </w:rPr>
            </w:pPr>
            <w:r w:rsidRPr="006C5CEA">
              <w:rPr>
                <w:rFonts w:asciiTheme="minorHAnsi" w:eastAsia="SimSun" w:hAnsiTheme="minorHAnsi" w:cstheme="minorHAnsi"/>
                <w:b/>
                <w:bCs/>
                <w:iCs/>
                <w:sz w:val="16"/>
                <w:szCs w:val="16"/>
              </w:rPr>
              <w:t>Forward Estimate</w:t>
            </w:r>
          </w:p>
          <w:p w14:paraId="59772DF8" w14:textId="77777777" w:rsidR="008A2166" w:rsidRPr="006C5CEA" w:rsidRDefault="008A2166">
            <w:pPr>
              <w:jc w:val="center"/>
              <w:rPr>
                <w:rFonts w:eastAsia="SimSun" w:cstheme="minorHAnsi"/>
                <w:b/>
                <w:bCs/>
                <w:iCs/>
                <w:sz w:val="16"/>
                <w:szCs w:val="16"/>
              </w:rPr>
            </w:pPr>
            <w:r>
              <w:rPr>
                <w:rFonts w:asciiTheme="minorHAnsi" w:eastAsia="SimSun" w:hAnsiTheme="minorHAnsi" w:cstheme="minorHAnsi"/>
                <w:b/>
                <w:bCs/>
                <w:iCs/>
                <w:sz w:val="16"/>
                <w:szCs w:val="16"/>
              </w:rPr>
              <w:t>2027-28</w:t>
            </w:r>
          </w:p>
        </w:tc>
      </w:tr>
      <w:tr w:rsidR="008A2166" w:rsidRPr="00723F84" w14:paraId="3AAD1C19" w14:textId="77777777">
        <w:trPr>
          <w:trHeight w:val="283"/>
        </w:trPr>
        <w:tc>
          <w:tcPr>
            <w:tcW w:w="2082" w:type="dxa"/>
            <w:tcBorders>
              <w:left w:val="single" w:sz="4" w:space="0" w:color="auto"/>
              <w:bottom w:val="single" w:sz="4" w:space="0" w:color="auto"/>
            </w:tcBorders>
            <w:shd w:val="clear" w:color="auto" w:fill="D9E2F3" w:themeFill="accent1" w:themeFillTint="33"/>
            <w:vAlign w:val="bottom"/>
          </w:tcPr>
          <w:p w14:paraId="3931109F" w14:textId="77777777" w:rsidR="008A2166" w:rsidRPr="00C84F7A" w:rsidRDefault="008A2166">
            <w:pPr>
              <w:rPr>
                <w:rFonts w:asciiTheme="minorHAnsi" w:eastAsia="SimSun" w:hAnsiTheme="minorHAnsi" w:cstheme="minorHAnsi"/>
                <w:b/>
                <w:bCs/>
                <w:iCs/>
                <w:sz w:val="18"/>
                <w:szCs w:val="18"/>
              </w:rPr>
            </w:pPr>
            <w:r>
              <w:rPr>
                <w:rFonts w:asciiTheme="minorHAnsi" w:eastAsia="SimSun" w:hAnsiTheme="minorHAnsi" w:cstheme="minorHAnsi"/>
                <w:b/>
                <w:bCs/>
                <w:iCs/>
                <w:sz w:val="18"/>
                <w:szCs w:val="18"/>
              </w:rPr>
              <w:t>Total IP Australia</w:t>
            </w:r>
          </w:p>
        </w:tc>
        <w:tc>
          <w:tcPr>
            <w:tcW w:w="962" w:type="dxa"/>
            <w:tcBorders>
              <w:bottom w:val="single" w:sz="4" w:space="0" w:color="auto"/>
            </w:tcBorders>
            <w:shd w:val="clear" w:color="auto" w:fill="D9E2F3" w:themeFill="accent1" w:themeFillTint="33"/>
            <w:vAlign w:val="bottom"/>
          </w:tcPr>
          <w:p w14:paraId="2A578445" w14:textId="77777777" w:rsidR="008A2166" w:rsidRPr="00723F84" w:rsidRDefault="008A2166">
            <w:pPr>
              <w:jc w:val="center"/>
              <w:rPr>
                <w:rFonts w:asciiTheme="minorHAnsi" w:eastAsia="SimSun" w:hAnsiTheme="minorHAnsi" w:cstheme="minorHAnsi"/>
                <w:iCs/>
                <w:sz w:val="18"/>
                <w:szCs w:val="18"/>
              </w:rPr>
            </w:pPr>
            <w:r>
              <w:rPr>
                <w:rFonts w:asciiTheme="minorHAnsi" w:eastAsia="SimSun" w:hAnsiTheme="minorHAnsi" w:cstheme="minorHAnsi"/>
                <w:iCs/>
                <w:sz w:val="18"/>
                <w:szCs w:val="18"/>
              </w:rPr>
              <w:t>$’M</w:t>
            </w:r>
          </w:p>
        </w:tc>
        <w:tc>
          <w:tcPr>
            <w:tcW w:w="962" w:type="dxa"/>
            <w:tcBorders>
              <w:bottom w:val="single" w:sz="4" w:space="0" w:color="auto"/>
            </w:tcBorders>
            <w:shd w:val="clear" w:color="auto" w:fill="D9E2F3" w:themeFill="accent1" w:themeFillTint="33"/>
            <w:vAlign w:val="bottom"/>
          </w:tcPr>
          <w:p w14:paraId="7A7A231B"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63" w:type="dxa"/>
            <w:tcBorders>
              <w:bottom w:val="single" w:sz="4" w:space="0" w:color="auto"/>
            </w:tcBorders>
            <w:shd w:val="clear" w:color="auto" w:fill="D9E2F3" w:themeFill="accent1" w:themeFillTint="33"/>
            <w:vAlign w:val="bottom"/>
          </w:tcPr>
          <w:p w14:paraId="3AA1AD0F"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62" w:type="dxa"/>
            <w:tcBorders>
              <w:bottom w:val="single" w:sz="4" w:space="0" w:color="auto"/>
            </w:tcBorders>
            <w:shd w:val="clear" w:color="auto" w:fill="D9E2F3" w:themeFill="accent1" w:themeFillTint="33"/>
            <w:vAlign w:val="bottom"/>
          </w:tcPr>
          <w:p w14:paraId="6778E1CD" w14:textId="77777777" w:rsidR="008A2166" w:rsidRPr="00723F84" w:rsidRDefault="008A2166">
            <w:pPr>
              <w:jc w:val="center"/>
              <w:rPr>
                <w:rFonts w:asciiTheme="minorHAnsi" w:eastAsia="SimSun" w:hAnsiTheme="minorHAnsi" w:cstheme="minorHAnsi"/>
                <w:iCs/>
                <w:sz w:val="18"/>
                <w:szCs w:val="18"/>
              </w:rPr>
            </w:pPr>
            <w:r w:rsidRPr="003C6FBC">
              <w:rPr>
                <w:rFonts w:asciiTheme="minorHAnsi" w:eastAsia="SimSun" w:hAnsiTheme="minorHAnsi" w:cstheme="minorHAnsi"/>
                <w:iCs/>
                <w:sz w:val="18"/>
                <w:szCs w:val="18"/>
              </w:rPr>
              <w:t>$’M</w:t>
            </w:r>
          </w:p>
        </w:tc>
        <w:tc>
          <w:tcPr>
            <w:tcW w:w="962" w:type="dxa"/>
            <w:tcBorders>
              <w:bottom w:val="single" w:sz="4" w:space="0" w:color="auto"/>
            </w:tcBorders>
            <w:shd w:val="clear" w:color="auto" w:fill="D9E2F3" w:themeFill="accent1" w:themeFillTint="33"/>
            <w:vAlign w:val="bottom"/>
          </w:tcPr>
          <w:p w14:paraId="237B6F02" w14:textId="77777777" w:rsidR="008A2166" w:rsidRPr="003C6FBC" w:rsidRDefault="008A2166">
            <w:pPr>
              <w:jc w:val="center"/>
              <w:rPr>
                <w:rFonts w:eastAsia="SimSun" w:cstheme="minorHAnsi"/>
                <w:iCs/>
                <w:sz w:val="18"/>
                <w:szCs w:val="18"/>
              </w:rPr>
            </w:pPr>
            <w:r>
              <w:rPr>
                <w:rFonts w:asciiTheme="minorHAnsi" w:eastAsia="SimSun" w:hAnsiTheme="minorHAnsi" w:cstheme="minorHAnsi"/>
                <w:iCs/>
                <w:sz w:val="18"/>
                <w:szCs w:val="18"/>
              </w:rPr>
              <w:t>$’M</w:t>
            </w:r>
          </w:p>
        </w:tc>
        <w:tc>
          <w:tcPr>
            <w:tcW w:w="963" w:type="dxa"/>
            <w:tcBorders>
              <w:bottom w:val="single" w:sz="4" w:space="0" w:color="auto"/>
            </w:tcBorders>
            <w:shd w:val="clear" w:color="auto" w:fill="D9E2F3" w:themeFill="accent1" w:themeFillTint="33"/>
            <w:vAlign w:val="bottom"/>
          </w:tcPr>
          <w:p w14:paraId="515E6B07"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c>
          <w:tcPr>
            <w:tcW w:w="962" w:type="dxa"/>
            <w:tcBorders>
              <w:bottom w:val="single" w:sz="4" w:space="0" w:color="auto"/>
            </w:tcBorders>
            <w:shd w:val="clear" w:color="auto" w:fill="D9E2F3" w:themeFill="accent1" w:themeFillTint="33"/>
            <w:vAlign w:val="bottom"/>
          </w:tcPr>
          <w:p w14:paraId="2E3CDA70"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c>
          <w:tcPr>
            <w:tcW w:w="963" w:type="dxa"/>
            <w:tcBorders>
              <w:bottom w:val="single" w:sz="4" w:space="0" w:color="auto"/>
            </w:tcBorders>
            <w:shd w:val="clear" w:color="auto" w:fill="D9E2F3" w:themeFill="accent1" w:themeFillTint="33"/>
            <w:vAlign w:val="bottom"/>
          </w:tcPr>
          <w:p w14:paraId="6F94CDEE" w14:textId="77777777" w:rsidR="008A2166" w:rsidRPr="003C6FBC" w:rsidRDefault="008A2166">
            <w:pPr>
              <w:jc w:val="center"/>
              <w:rPr>
                <w:rFonts w:eastAsia="SimSun" w:cstheme="minorHAnsi"/>
                <w:iCs/>
                <w:sz w:val="18"/>
                <w:szCs w:val="18"/>
              </w:rPr>
            </w:pPr>
            <w:r w:rsidRPr="003C6FBC">
              <w:rPr>
                <w:rFonts w:asciiTheme="minorHAnsi" w:eastAsia="SimSun" w:hAnsiTheme="minorHAnsi" w:cstheme="minorHAnsi"/>
                <w:iCs/>
                <w:sz w:val="18"/>
                <w:szCs w:val="18"/>
              </w:rPr>
              <w:t>$’M</w:t>
            </w:r>
          </w:p>
        </w:tc>
      </w:tr>
      <w:tr w:rsidR="008A2166" w:rsidRPr="00BF3D82" w14:paraId="272E0823" w14:textId="77777777">
        <w:trPr>
          <w:trHeight w:val="283"/>
        </w:trPr>
        <w:tc>
          <w:tcPr>
            <w:tcW w:w="9781" w:type="dxa"/>
            <w:gridSpan w:val="9"/>
            <w:tcBorders>
              <w:left w:val="single" w:sz="4" w:space="0" w:color="auto"/>
            </w:tcBorders>
            <w:shd w:val="clear" w:color="auto" w:fill="F7FFFB"/>
            <w:vAlign w:val="center"/>
          </w:tcPr>
          <w:p w14:paraId="1E1BAFA5" w14:textId="77777777" w:rsidR="008A2166" w:rsidRPr="00622E2F" w:rsidRDefault="008A2166">
            <w:pPr>
              <w:jc w:val="center"/>
              <w:rPr>
                <w:rFonts w:ascii="Tahoma" w:eastAsia="SimSun" w:hAnsi="Tahoma" w:cs="Tahoma"/>
                <w:b/>
                <w:bCs/>
                <w:iCs/>
                <w:sz w:val="16"/>
                <w:szCs w:val="16"/>
              </w:rPr>
            </w:pPr>
            <w:r>
              <w:rPr>
                <w:rFonts w:ascii="Tahoma" w:eastAsia="SimSun" w:hAnsi="Tahoma" w:cs="Tahoma"/>
                <w:b/>
                <w:bCs/>
                <w:iCs/>
                <w:sz w:val="16"/>
                <w:szCs w:val="16"/>
              </w:rPr>
              <w:t>ACTUAL / FORECAST</w:t>
            </w:r>
          </w:p>
        </w:tc>
      </w:tr>
      <w:tr w:rsidR="008A2166" w:rsidRPr="00BF3D82" w14:paraId="4FE7425D" w14:textId="77777777">
        <w:trPr>
          <w:trHeight w:val="340"/>
        </w:trPr>
        <w:tc>
          <w:tcPr>
            <w:tcW w:w="2082" w:type="dxa"/>
            <w:tcBorders>
              <w:left w:val="single" w:sz="4" w:space="0" w:color="auto"/>
            </w:tcBorders>
            <w:vAlign w:val="bottom"/>
          </w:tcPr>
          <w:p w14:paraId="2BFAED39"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Revenue = Y</w:t>
            </w:r>
          </w:p>
        </w:tc>
        <w:tc>
          <w:tcPr>
            <w:tcW w:w="962" w:type="dxa"/>
            <w:vAlign w:val="bottom"/>
          </w:tcPr>
          <w:p w14:paraId="546B7A9F"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$231.405</w:t>
            </w:r>
          </w:p>
        </w:tc>
        <w:tc>
          <w:tcPr>
            <w:tcW w:w="962" w:type="dxa"/>
            <w:vAlign w:val="bottom"/>
          </w:tcPr>
          <w:p w14:paraId="3A4C1A93"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$248.275</w:t>
            </w:r>
          </w:p>
        </w:tc>
        <w:tc>
          <w:tcPr>
            <w:tcW w:w="963" w:type="dxa"/>
            <w:vAlign w:val="bottom"/>
          </w:tcPr>
          <w:p w14:paraId="14A45A10"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$253.056</w:t>
            </w:r>
          </w:p>
        </w:tc>
        <w:tc>
          <w:tcPr>
            <w:tcW w:w="962" w:type="dxa"/>
            <w:vAlign w:val="bottom"/>
          </w:tcPr>
          <w:p w14:paraId="001FD76E" w14:textId="77777777" w:rsidR="008A2166" w:rsidRPr="00BF3D82" w:rsidRDefault="008A2166">
            <w:pPr>
              <w:jc w:val="right"/>
              <w:rPr>
                <w:rFonts w:asciiTheme="minorHAnsi" w:eastAsia="SimSun" w:hAnsiTheme="minorHAnsi" w:cstheme="minorHAnsi"/>
                <w:iCs/>
                <w:sz w:val="16"/>
                <w:szCs w:val="16"/>
              </w:rPr>
            </w:pPr>
            <w:r>
              <w:rPr>
                <w:rFonts w:ascii="Calibri" w:hAnsi="Calibri" w:cs="Calibri"/>
                <w:color w:val="000000"/>
                <w:sz w:val="16"/>
                <w:szCs w:val="16"/>
              </w:rPr>
              <w:t>$256.819</w:t>
            </w:r>
          </w:p>
        </w:tc>
        <w:tc>
          <w:tcPr>
            <w:tcW w:w="962" w:type="dxa"/>
            <w:shd w:val="clear" w:color="auto" w:fill="F2F2F2" w:themeFill="background1" w:themeFillShade="F2"/>
            <w:vAlign w:val="bottom"/>
          </w:tcPr>
          <w:p w14:paraId="6098529A"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$278.119</w:t>
            </w:r>
          </w:p>
        </w:tc>
        <w:tc>
          <w:tcPr>
            <w:tcW w:w="963" w:type="dxa"/>
            <w:vAlign w:val="bottom"/>
          </w:tcPr>
          <w:p w14:paraId="4EA5CE44"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$284.047</w:t>
            </w:r>
          </w:p>
        </w:tc>
        <w:tc>
          <w:tcPr>
            <w:tcW w:w="962" w:type="dxa"/>
            <w:vAlign w:val="bottom"/>
          </w:tcPr>
          <w:p w14:paraId="49E6D348"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$290.916</w:t>
            </w:r>
          </w:p>
        </w:tc>
        <w:tc>
          <w:tcPr>
            <w:tcW w:w="963" w:type="dxa"/>
            <w:vAlign w:val="bottom"/>
          </w:tcPr>
          <w:p w14:paraId="37443D0F"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$296.619</w:t>
            </w:r>
          </w:p>
        </w:tc>
      </w:tr>
      <w:tr w:rsidR="008A2166" w:rsidRPr="00BF3D82" w14:paraId="25AC6C1E" w14:textId="77777777">
        <w:trPr>
          <w:trHeight w:val="340"/>
        </w:trPr>
        <w:tc>
          <w:tcPr>
            <w:tcW w:w="2082" w:type="dxa"/>
            <w:tcBorders>
              <w:left w:val="single" w:sz="4" w:space="0" w:color="auto"/>
            </w:tcBorders>
            <w:vAlign w:val="bottom"/>
          </w:tcPr>
          <w:p w14:paraId="75E9C26C" w14:textId="77777777" w:rsidR="008A2166" w:rsidRPr="009632BA" w:rsidRDefault="008A2166">
            <w:pPr>
              <w:rPr>
                <w:rFonts w:eastAsia="SimSun" w:cstheme="minorHAnsi"/>
                <w:iCs/>
                <w:sz w:val="18"/>
                <w:szCs w:val="18"/>
              </w:rPr>
            </w:pPr>
            <w:r w:rsidRPr="00171DC3">
              <w:rPr>
                <w:rFonts w:asciiTheme="minorHAnsi" w:eastAsia="SimSun" w:hAnsiTheme="minorHAnsi" w:cstheme="minorHAnsi"/>
                <w:sz w:val="18"/>
                <w:szCs w:val="18"/>
              </w:rPr>
              <w:t>Expenses = X</w:t>
            </w:r>
          </w:p>
        </w:tc>
        <w:tc>
          <w:tcPr>
            <w:tcW w:w="962" w:type="dxa"/>
            <w:vAlign w:val="bottom"/>
          </w:tcPr>
          <w:p w14:paraId="23D4A4DE"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$208.538</w:t>
            </w:r>
          </w:p>
        </w:tc>
        <w:tc>
          <w:tcPr>
            <w:tcW w:w="962" w:type="dxa"/>
            <w:vAlign w:val="bottom"/>
          </w:tcPr>
          <w:p w14:paraId="2FC5A766"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$227.072</w:t>
            </w:r>
          </w:p>
        </w:tc>
        <w:tc>
          <w:tcPr>
            <w:tcW w:w="963" w:type="dxa"/>
            <w:vAlign w:val="bottom"/>
          </w:tcPr>
          <w:p w14:paraId="4CB3CA39"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$250.069</w:t>
            </w:r>
          </w:p>
        </w:tc>
        <w:tc>
          <w:tcPr>
            <w:tcW w:w="962" w:type="dxa"/>
            <w:vAlign w:val="bottom"/>
          </w:tcPr>
          <w:p w14:paraId="2861C234"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$261.319</w:t>
            </w:r>
          </w:p>
        </w:tc>
        <w:tc>
          <w:tcPr>
            <w:tcW w:w="962" w:type="dxa"/>
            <w:shd w:val="clear" w:color="auto" w:fill="F2F2F2" w:themeFill="background1" w:themeFillShade="F2"/>
            <w:vAlign w:val="bottom"/>
          </w:tcPr>
          <w:p w14:paraId="49640208"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$275.619</w:t>
            </w:r>
          </w:p>
        </w:tc>
        <w:tc>
          <w:tcPr>
            <w:tcW w:w="963" w:type="dxa"/>
            <w:vAlign w:val="bottom"/>
          </w:tcPr>
          <w:p w14:paraId="1CAECF24"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$283.847</w:t>
            </w:r>
          </w:p>
        </w:tc>
        <w:tc>
          <w:tcPr>
            <w:tcW w:w="962" w:type="dxa"/>
            <w:vAlign w:val="bottom"/>
          </w:tcPr>
          <w:p w14:paraId="794D5092"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$294.516</w:t>
            </w:r>
          </w:p>
        </w:tc>
        <w:tc>
          <w:tcPr>
            <w:tcW w:w="963" w:type="dxa"/>
            <w:vAlign w:val="bottom"/>
          </w:tcPr>
          <w:p w14:paraId="2618EF98" w14:textId="77777777" w:rsidR="008A2166" w:rsidRPr="00BF3D82" w:rsidRDefault="008A2166">
            <w:pPr>
              <w:jc w:val="right"/>
              <w:rPr>
                <w:rFonts w:eastAsia="SimSun" w:cstheme="minorHAnsi"/>
                <w:iCs/>
                <w:sz w:val="16"/>
                <w:szCs w:val="16"/>
              </w:rPr>
            </w:pPr>
            <w:r>
              <w:rPr>
                <w:rFonts w:ascii="Calibri" w:hAnsi="Calibri" w:cs="Calibri"/>
                <w:color w:val="000000"/>
                <w:sz w:val="16"/>
                <w:szCs w:val="16"/>
              </w:rPr>
              <w:t>$305.219</w:t>
            </w:r>
          </w:p>
        </w:tc>
      </w:tr>
      <w:tr w:rsidR="008A2166" w:rsidRPr="000D77FF" w14:paraId="6C997662" w14:textId="77777777">
        <w:trPr>
          <w:trHeight w:val="340"/>
        </w:trPr>
        <w:tc>
          <w:tcPr>
            <w:tcW w:w="2082" w:type="dxa"/>
            <w:tcBorders>
              <w:left w:val="single" w:sz="4" w:space="0" w:color="auto"/>
            </w:tcBorders>
            <w:vAlign w:val="bottom"/>
          </w:tcPr>
          <w:p w14:paraId="62BC82D4"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Balance = Y – X</w:t>
            </w:r>
          </w:p>
        </w:tc>
        <w:tc>
          <w:tcPr>
            <w:tcW w:w="962" w:type="dxa"/>
            <w:vAlign w:val="bottom"/>
          </w:tcPr>
          <w:p w14:paraId="74F3E73D"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$22.867</w:t>
            </w:r>
          </w:p>
        </w:tc>
        <w:tc>
          <w:tcPr>
            <w:tcW w:w="962" w:type="dxa"/>
            <w:vAlign w:val="bottom"/>
          </w:tcPr>
          <w:p w14:paraId="4BFB0266"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$21.203</w:t>
            </w:r>
          </w:p>
        </w:tc>
        <w:tc>
          <w:tcPr>
            <w:tcW w:w="963" w:type="dxa"/>
            <w:vAlign w:val="bottom"/>
          </w:tcPr>
          <w:p w14:paraId="7797EAFA"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$2.987</w:t>
            </w:r>
          </w:p>
        </w:tc>
        <w:tc>
          <w:tcPr>
            <w:tcW w:w="962" w:type="dxa"/>
            <w:vAlign w:val="bottom"/>
          </w:tcPr>
          <w:p w14:paraId="1A1E768D" w14:textId="77777777" w:rsidR="008A2166" w:rsidRPr="000D77FF" w:rsidRDefault="008A2166">
            <w:pPr>
              <w:jc w:val="right"/>
              <w:rPr>
                <w:rFonts w:asciiTheme="minorHAnsi" w:eastAsia="SimSun" w:hAnsiTheme="minorHAnsi" w:cstheme="minorHAnsi"/>
                <w:iCs/>
                <w:sz w:val="16"/>
                <w:szCs w:val="16"/>
              </w:rPr>
            </w:pPr>
            <w:r>
              <w:rPr>
                <w:rFonts w:ascii="Calibri" w:hAnsi="Calibri" w:cs="Calibri"/>
                <w:color w:val="000000"/>
                <w:sz w:val="16"/>
                <w:szCs w:val="16"/>
              </w:rPr>
              <w:t>-$4.500</w:t>
            </w:r>
          </w:p>
        </w:tc>
        <w:tc>
          <w:tcPr>
            <w:tcW w:w="962" w:type="dxa"/>
            <w:shd w:val="clear" w:color="auto" w:fill="F2F2F2" w:themeFill="background1" w:themeFillShade="F2"/>
            <w:vAlign w:val="bottom"/>
          </w:tcPr>
          <w:p w14:paraId="1DB6D146"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$2.500</w:t>
            </w:r>
          </w:p>
        </w:tc>
        <w:tc>
          <w:tcPr>
            <w:tcW w:w="963" w:type="dxa"/>
            <w:vAlign w:val="bottom"/>
          </w:tcPr>
          <w:p w14:paraId="098719F0"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$0.200</w:t>
            </w:r>
          </w:p>
        </w:tc>
        <w:tc>
          <w:tcPr>
            <w:tcW w:w="962" w:type="dxa"/>
            <w:vAlign w:val="bottom"/>
          </w:tcPr>
          <w:p w14:paraId="1EFAC5CF"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-$3.600</w:t>
            </w:r>
          </w:p>
        </w:tc>
        <w:tc>
          <w:tcPr>
            <w:tcW w:w="963" w:type="dxa"/>
            <w:vAlign w:val="bottom"/>
          </w:tcPr>
          <w:p w14:paraId="158363D4" w14:textId="77777777" w:rsidR="008A2166" w:rsidRPr="000D77FF" w:rsidRDefault="008A2166">
            <w:pPr>
              <w:jc w:val="right"/>
              <w:rPr>
                <w:rFonts w:eastAsia="SimSun" w:cstheme="minorHAnsi"/>
                <w:iCs/>
                <w:sz w:val="16"/>
                <w:szCs w:val="16"/>
              </w:rPr>
            </w:pPr>
            <w:r>
              <w:rPr>
                <w:rFonts w:ascii="Calibri" w:hAnsi="Calibri" w:cs="Calibri"/>
                <w:color w:val="000000"/>
                <w:sz w:val="16"/>
                <w:szCs w:val="16"/>
              </w:rPr>
              <w:t>-$8.600</w:t>
            </w:r>
          </w:p>
        </w:tc>
      </w:tr>
      <w:tr w:rsidR="008A2166" w:rsidRPr="00664613" w14:paraId="186467AE" w14:textId="77777777">
        <w:trPr>
          <w:trHeight w:val="340"/>
        </w:trPr>
        <w:tc>
          <w:tcPr>
            <w:tcW w:w="2082" w:type="dxa"/>
            <w:tcBorders>
              <w:left w:val="single" w:sz="4" w:space="0" w:color="auto"/>
            </w:tcBorders>
            <w:vAlign w:val="bottom"/>
          </w:tcPr>
          <w:p w14:paraId="565F7A8C" w14:textId="77777777" w:rsidR="008A2166" w:rsidRPr="009632BA" w:rsidRDefault="008A2166">
            <w:pPr>
              <w:rPr>
                <w:rFonts w:asciiTheme="minorHAnsi" w:eastAsia="SimSun" w:hAnsiTheme="minorHAnsi" w:cstheme="minorHAnsi"/>
                <w:iCs/>
                <w:sz w:val="18"/>
                <w:szCs w:val="18"/>
              </w:rPr>
            </w:pPr>
            <w:r>
              <w:rPr>
                <w:rFonts w:asciiTheme="minorHAnsi" w:eastAsia="SimSun" w:hAnsiTheme="minorHAnsi" w:cstheme="minorHAnsi"/>
                <w:iCs/>
                <w:sz w:val="18"/>
                <w:szCs w:val="18"/>
              </w:rPr>
              <w:t>Cumulative Balance</w:t>
            </w:r>
          </w:p>
        </w:tc>
        <w:tc>
          <w:tcPr>
            <w:tcW w:w="962" w:type="dxa"/>
            <w:vAlign w:val="bottom"/>
          </w:tcPr>
          <w:p w14:paraId="27ED2AE5"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$22.867</w:t>
            </w:r>
          </w:p>
        </w:tc>
        <w:tc>
          <w:tcPr>
            <w:tcW w:w="962" w:type="dxa"/>
            <w:vAlign w:val="bottom"/>
          </w:tcPr>
          <w:p w14:paraId="50936B75"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$44.070</w:t>
            </w:r>
          </w:p>
        </w:tc>
        <w:tc>
          <w:tcPr>
            <w:tcW w:w="963" w:type="dxa"/>
            <w:vAlign w:val="bottom"/>
          </w:tcPr>
          <w:p w14:paraId="428E404B"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$47.057</w:t>
            </w:r>
          </w:p>
        </w:tc>
        <w:tc>
          <w:tcPr>
            <w:tcW w:w="962" w:type="dxa"/>
            <w:vAlign w:val="bottom"/>
          </w:tcPr>
          <w:p w14:paraId="66456073" w14:textId="77777777" w:rsidR="008A2166" w:rsidRPr="00664613" w:rsidRDefault="008A2166">
            <w:pPr>
              <w:jc w:val="right"/>
              <w:rPr>
                <w:rFonts w:asciiTheme="minorHAnsi" w:eastAsia="SimSun" w:hAnsiTheme="minorHAnsi" w:cstheme="minorHAnsi"/>
                <w:iCs/>
                <w:sz w:val="16"/>
                <w:szCs w:val="16"/>
              </w:rPr>
            </w:pPr>
            <w:r>
              <w:rPr>
                <w:rFonts w:ascii="Calibri" w:hAnsi="Calibri" w:cs="Calibri"/>
                <w:color w:val="000000"/>
                <w:sz w:val="16"/>
                <w:szCs w:val="16"/>
              </w:rPr>
              <w:t>$42.557</w:t>
            </w:r>
          </w:p>
        </w:tc>
        <w:tc>
          <w:tcPr>
            <w:tcW w:w="962" w:type="dxa"/>
            <w:shd w:val="clear" w:color="auto" w:fill="F2F2F2" w:themeFill="background1" w:themeFillShade="F2"/>
            <w:vAlign w:val="bottom"/>
          </w:tcPr>
          <w:p w14:paraId="0E920880" w14:textId="77777777" w:rsidR="008A2166" w:rsidRPr="00EE3009" w:rsidRDefault="008A2166">
            <w:pPr>
              <w:jc w:val="right"/>
              <w:rPr>
                <w:rFonts w:ascii="Calibri" w:hAnsi="Calibri" w:cs="Calibri"/>
                <w:color w:val="000000"/>
                <w:sz w:val="16"/>
                <w:szCs w:val="16"/>
              </w:rPr>
            </w:pPr>
            <w:r>
              <w:rPr>
                <w:rFonts w:ascii="Calibri" w:hAnsi="Calibri" w:cs="Calibri"/>
                <w:color w:val="000000"/>
                <w:sz w:val="16"/>
                <w:szCs w:val="16"/>
              </w:rPr>
              <w:t>$45.057</w:t>
            </w:r>
          </w:p>
        </w:tc>
        <w:tc>
          <w:tcPr>
            <w:tcW w:w="963" w:type="dxa"/>
            <w:vAlign w:val="bottom"/>
          </w:tcPr>
          <w:p w14:paraId="135CDF7C"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$45.257</w:t>
            </w:r>
          </w:p>
        </w:tc>
        <w:tc>
          <w:tcPr>
            <w:tcW w:w="962" w:type="dxa"/>
            <w:vAlign w:val="bottom"/>
          </w:tcPr>
          <w:p w14:paraId="6CF64860"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$41.657</w:t>
            </w:r>
          </w:p>
        </w:tc>
        <w:tc>
          <w:tcPr>
            <w:tcW w:w="963" w:type="dxa"/>
            <w:vAlign w:val="bottom"/>
          </w:tcPr>
          <w:p w14:paraId="3F436AC9" w14:textId="77777777" w:rsidR="008A2166" w:rsidRPr="00664613" w:rsidRDefault="008A2166">
            <w:pPr>
              <w:jc w:val="right"/>
              <w:rPr>
                <w:rFonts w:eastAsia="SimSun" w:cstheme="minorHAnsi"/>
                <w:iCs/>
                <w:sz w:val="16"/>
                <w:szCs w:val="16"/>
              </w:rPr>
            </w:pPr>
            <w:r>
              <w:rPr>
                <w:rFonts w:ascii="Calibri" w:hAnsi="Calibri" w:cs="Calibri"/>
                <w:color w:val="000000"/>
                <w:sz w:val="16"/>
                <w:szCs w:val="16"/>
              </w:rPr>
              <w:t>$33.057</w:t>
            </w:r>
          </w:p>
        </w:tc>
      </w:tr>
    </w:tbl>
    <w:p w14:paraId="41584DBA" w14:textId="77777777" w:rsidR="00E50F6D" w:rsidRDefault="00E50F6D" w:rsidP="008A2166">
      <w:pPr>
        <w:spacing w:after="0"/>
      </w:pPr>
    </w:p>
    <w:p w14:paraId="2D08756A" w14:textId="77777777" w:rsidR="00E50F6D" w:rsidRDefault="008A2166" w:rsidP="00101A7A">
      <w:pPr>
        <w:pStyle w:val="Heading1"/>
      </w:pPr>
      <w:bookmarkStart w:id="41" w:name="_Toc146552214"/>
      <w:r w:rsidRPr="00D1274B">
        <w:t>NON-FINANCIAL PERFORMANCE</w:t>
      </w:r>
      <w:bookmarkEnd w:id="41"/>
    </w:p>
    <w:p w14:paraId="33E05AA1" w14:textId="46B8725F" w:rsidR="008A2166" w:rsidRDefault="008A2166" w:rsidP="008A2166">
      <w:pPr>
        <w:spacing w:after="240"/>
        <w:rPr>
          <w:rFonts w:ascii="Calibri" w:eastAsia="Calibri" w:hAnsi="Calibri" w:cs="Calibri"/>
        </w:rPr>
      </w:pPr>
      <w:r w:rsidRPr="2EDC0C4A">
        <w:rPr>
          <w:rFonts w:ascii="Calibri" w:eastAsia="Calibri" w:hAnsi="Calibri" w:cs="Calibri"/>
        </w:rPr>
        <w:t>IP Australia reports against its non-financial performance targets in the Department of Industry, Science and Resources PBS, Annual Report and IP Australia’s Corporate Plan. IP Australia’s Customer Service Charter sets out our key commitments and provides an overview of how we will meet customer expectations for IP rights administration</w:t>
      </w:r>
      <w:r>
        <w:rPr>
          <w:rFonts w:ascii="Calibri" w:eastAsia="Calibri" w:hAnsi="Calibri" w:cs="Calibri"/>
        </w:rPr>
        <w:t>.</w:t>
      </w:r>
    </w:p>
    <w:p w14:paraId="4101A030" w14:textId="6A81B35D" w:rsidR="008A2166" w:rsidRDefault="008A2166" w:rsidP="008A2166">
      <w:pPr>
        <w:spacing w:after="240"/>
      </w:pPr>
      <w:r>
        <w:t xml:space="preserve">In accordance with the </w:t>
      </w:r>
      <w:r w:rsidRPr="2EDC0C4A">
        <w:rPr>
          <w:i/>
          <w:iCs/>
        </w:rPr>
        <w:t>Public Governance, Performance and Accountability Act 2013</w:t>
      </w:r>
      <w:r>
        <w:t xml:space="preserve">, and </w:t>
      </w:r>
      <w:r w:rsidRPr="2EDC0C4A">
        <w:rPr>
          <w:i/>
          <w:iCs/>
        </w:rPr>
        <w:t>Public Governance, Performance and Accountability Rule 2014</w:t>
      </w:r>
      <w:r>
        <w:t xml:space="preserve">, </w:t>
      </w:r>
      <w:r w:rsidRPr="2EDC0C4A">
        <w:rPr>
          <w:rFonts w:ascii="Calibri" w:eastAsia="Calibri" w:hAnsi="Calibri" w:cs="Calibri"/>
        </w:rPr>
        <w:t>IP Australia’s Corporate Plan</w:t>
      </w:r>
      <w:r>
        <w:t xml:space="preserve"> set out the performance measures that the agency uses to determine whether it is achieving its purpose. These measures are aligned to the outcomes, programs and key activities presented in our P</w:t>
      </w:r>
      <w:r w:rsidR="00397166">
        <w:t>BS</w:t>
      </w:r>
      <w:r>
        <w:t>.</w:t>
      </w:r>
    </w:p>
    <w:p w14:paraId="7B8F4884" w14:textId="77777777" w:rsidR="00E50F6D" w:rsidRDefault="008A2166" w:rsidP="008A2166">
      <w:pPr>
        <w:spacing w:after="240"/>
      </w:pPr>
      <w:r>
        <w:t>A full breakdown of IP Australia’s non-financial performance measures, targets</w:t>
      </w:r>
      <w:r w:rsidR="001C46DD">
        <w:t xml:space="preserve"> and</w:t>
      </w:r>
      <w:r>
        <w:t xml:space="preserve"> methodology can be found in IP Australia’s 2023 Strategic Corporate Plan, with an extract provided below for ease of reference.</w:t>
      </w:r>
    </w:p>
    <w:p w14:paraId="4CC87878" w14:textId="11F83ED6" w:rsidR="008A2166" w:rsidRPr="00042C60" w:rsidRDefault="008A2166" w:rsidP="008A2166">
      <w:pPr>
        <w:rPr>
          <w:b/>
          <w:bCs/>
          <w:sz w:val="24"/>
          <w:szCs w:val="24"/>
        </w:rPr>
      </w:pPr>
      <w:r w:rsidRPr="2EDC0C4A">
        <w:rPr>
          <w:b/>
          <w:bCs/>
          <w:sz w:val="24"/>
          <w:szCs w:val="24"/>
        </w:rPr>
        <w:lastRenderedPageBreak/>
        <w:t>Performance Measures</w:t>
      </w:r>
    </w:p>
    <w:p w14:paraId="41C2615F" w14:textId="36EF01B9" w:rsidR="008A2166" w:rsidRPr="00042C60" w:rsidRDefault="008A2166" w:rsidP="008A2166">
      <w:pPr>
        <w:rPr>
          <w:b/>
          <w:bCs/>
          <w:sz w:val="24"/>
          <w:szCs w:val="24"/>
        </w:rPr>
      </w:pPr>
      <w:r w:rsidRPr="2EDC0C4A">
        <w:rPr>
          <w:b/>
          <w:bCs/>
          <w:sz w:val="24"/>
          <w:szCs w:val="24"/>
        </w:rPr>
        <w:t>Performance Measure 1</w:t>
      </w:r>
    </w:p>
    <w:p w14:paraId="591E41D1" w14:textId="0ACFBF0C" w:rsidR="008A2166" w:rsidRPr="00540D8C" w:rsidRDefault="008A2166" w:rsidP="008A2166">
      <w:pPr>
        <w:rPr>
          <w:i/>
        </w:rPr>
      </w:pPr>
      <w:r w:rsidRPr="00540D8C">
        <w:rPr>
          <w:i/>
        </w:rPr>
        <w:t>IP Australia’s timeliness, quality, satisfaction</w:t>
      </w:r>
      <w:r w:rsidR="001C46DD" w:rsidRPr="00540D8C">
        <w:rPr>
          <w:i/>
        </w:rPr>
        <w:t xml:space="preserve"> and</w:t>
      </w:r>
      <w:r w:rsidRPr="00540D8C">
        <w:rPr>
          <w:i/>
        </w:rPr>
        <w:t xml:space="preserve"> availability commitments are met.</w:t>
      </w:r>
    </w:p>
    <w:p w14:paraId="78CFD3A0" w14:textId="77777777" w:rsidR="008A2166" w:rsidRPr="00540D8C" w:rsidRDefault="008A2166" w:rsidP="008A2166">
      <w:pPr>
        <w:rPr>
          <w:iCs/>
        </w:rPr>
      </w:pPr>
      <w:r w:rsidRPr="00540D8C">
        <w:rPr>
          <w:iCs/>
        </w:rPr>
        <w:t>The timeliness, quality, satisfaction, and availability commitments are measured by:</w:t>
      </w:r>
    </w:p>
    <w:p w14:paraId="57F6A61F" w14:textId="7DA24226" w:rsidR="008A2166" w:rsidRPr="00540D8C" w:rsidRDefault="00BA634B" w:rsidP="00CA3613">
      <w:pPr>
        <w:pStyle w:val="ListParagraph0"/>
        <w:numPr>
          <w:ilvl w:val="0"/>
          <w:numId w:val="24"/>
        </w:numPr>
        <w:spacing w:after="120" w:line="240" w:lineRule="auto"/>
        <w:ind w:left="714" w:hanging="357"/>
        <w:contextualSpacing w:val="0"/>
        <w:rPr>
          <w:rFonts w:cstheme="minorHAnsi"/>
          <w:iCs/>
        </w:rPr>
      </w:pPr>
      <w:r w:rsidRPr="00540D8C">
        <w:rPr>
          <w:rFonts w:cstheme="minorHAnsi"/>
          <w:iCs/>
        </w:rPr>
        <w:t>t</w:t>
      </w:r>
      <w:r w:rsidR="008A2166" w:rsidRPr="00540D8C">
        <w:rPr>
          <w:rFonts w:cstheme="minorHAnsi"/>
          <w:iCs/>
        </w:rPr>
        <w:t>he timeliness of IP rights products and services</w:t>
      </w:r>
    </w:p>
    <w:p w14:paraId="2C4FDCFD" w14:textId="63E81709" w:rsidR="008A2166" w:rsidRPr="00540D8C" w:rsidRDefault="00BA634B" w:rsidP="00CA3613">
      <w:pPr>
        <w:pStyle w:val="ListParagraph0"/>
        <w:numPr>
          <w:ilvl w:val="0"/>
          <w:numId w:val="24"/>
        </w:numPr>
        <w:spacing w:after="120" w:line="240" w:lineRule="auto"/>
        <w:ind w:left="714" w:hanging="357"/>
        <w:contextualSpacing w:val="0"/>
        <w:rPr>
          <w:rFonts w:cstheme="minorHAnsi"/>
          <w:iCs/>
        </w:rPr>
      </w:pPr>
      <w:r w:rsidRPr="00540D8C">
        <w:rPr>
          <w:rFonts w:cstheme="minorHAnsi"/>
          <w:iCs/>
        </w:rPr>
        <w:t>c</w:t>
      </w:r>
      <w:r w:rsidR="008A2166" w:rsidRPr="00540D8C">
        <w:rPr>
          <w:rFonts w:cstheme="minorHAnsi"/>
          <w:iCs/>
        </w:rPr>
        <w:t>ustomer satisfaction with the administration of the IP system</w:t>
      </w:r>
    </w:p>
    <w:p w14:paraId="0EDD94B4" w14:textId="012E1540" w:rsidR="008A2166" w:rsidRPr="00540D8C" w:rsidRDefault="00BA634B" w:rsidP="00CA3613">
      <w:pPr>
        <w:pStyle w:val="ListParagraph0"/>
        <w:numPr>
          <w:ilvl w:val="0"/>
          <w:numId w:val="24"/>
        </w:numPr>
        <w:spacing w:after="120" w:line="240" w:lineRule="auto"/>
        <w:ind w:left="714" w:hanging="357"/>
        <w:contextualSpacing w:val="0"/>
        <w:rPr>
          <w:rFonts w:cstheme="minorHAnsi"/>
          <w:iCs/>
        </w:rPr>
      </w:pPr>
      <w:r w:rsidRPr="00540D8C">
        <w:rPr>
          <w:rFonts w:cstheme="minorHAnsi"/>
          <w:iCs/>
        </w:rPr>
        <w:t>c</w:t>
      </w:r>
      <w:r w:rsidR="008A2166" w:rsidRPr="00540D8C">
        <w:rPr>
          <w:rFonts w:cstheme="minorHAnsi"/>
          <w:iCs/>
        </w:rPr>
        <w:t>ustomer satisfaction with the quality of our products and services</w:t>
      </w:r>
    </w:p>
    <w:p w14:paraId="1C5D89E5" w14:textId="77777777" w:rsidR="00E50F6D" w:rsidRPr="00540D8C" w:rsidRDefault="00BA634B" w:rsidP="00540D8C">
      <w:pPr>
        <w:pStyle w:val="ListParagraph0"/>
        <w:numPr>
          <w:ilvl w:val="0"/>
          <w:numId w:val="24"/>
        </w:numPr>
        <w:spacing w:line="240" w:lineRule="auto"/>
        <w:ind w:left="714" w:hanging="357"/>
        <w:contextualSpacing w:val="0"/>
      </w:pPr>
      <w:r w:rsidRPr="00540D8C">
        <w:t>t</w:t>
      </w:r>
      <w:r w:rsidR="008A2166" w:rsidRPr="00540D8C">
        <w:t>he availability of online services portal for customers</w:t>
      </w:r>
      <w:r w:rsidR="001E4D97" w:rsidRPr="00540D8C">
        <w:t>.</w:t>
      </w:r>
    </w:p>
    <w:p w14:paraId="06729128" w14:textId="2C88EFA0" w:rsidR="008A2166" w:rsidRPr="00540D8C" w:rsidRDefault="008A2166" w:rsidP="001A161D">
      <w:pPr>
        <w:spacing w:after="240"/>
      </w:pPr>
      <w:r w:rsidRPr="00540D8C">
        <w:rPr>
          <w:b/>
          <w:bCs/>
        </w:rPr>
        <w:t>Targets</w:t>
      </w:r>
      <w:r w:rsidRPr="00540D8C">
        <w:t>: The timeliness of IP rights will be measured through the proportion of IP right reports in patent, trade mark, design</w:t>
      </w:r>
      <w:r w:rsidR="001C46DD" w:rsidRPr="00540D8C">
        <w:t xml:space="preserve"> and</w:t>
      </w:r>
      <w:r w:rsidRPr="00540D8C">
        <w:t xml:space="preserve"> </w:t>
      </w:r>
      <w:r w:rsidR="00980F9B" w:rsidRPr="00540D8C">
        <w:t>PBR</w:t>
      </w:r>
      <w:r w:rsidRPr="00540D8C">
        <w:t xml:space="preserve"> that meet the relevant </w:t>
      </w:r>
      <w:bookmarkStart w:id="42" w:name="_Int_OVhUQF5i"/>
      <w:r w:rsidRPr="00540D8C">
        <w:t>timeframes</w:t>
      </w:r>
      <w:bookmarkEnd w:id="42"/>
      <w:r w:rsidRPr="00540D8C">
        <w:t xml:space="preserve"> as set out below.</w:t>
      </w:r>
    </w:p>
    <w:p w14:paraId="12F342D0" w14:textId="77777777" w:rsidR="00E50F6D" w:rsidRDefault="008A2166" w:rsidP="008A2166">
      <w:pPr>
        <w:rPr>
          <w:iCs/>
        </w:rPr>
      </w:pPr>
      <w:r w:rsidRPr="00205D77">
        <w:rPr>
          <w:iCs/>
          <w:noProof/>
        </w:rPr>
        <w:drawing>
          <wp:inline distT="0" distB="0" distL="0" distR="0" wp14:anchorId="00F71BF9" wp14:editId="4C9896F0">
            <wp:extent cx="4149306" cy="3843333"/>
            <wp:effectExtent l="0" t="0" r="3810" b="5080"/>
            <wp:docPr id="1638011116" name="Picture 1638011116" descr="A text-heavy figure detailing the timeliness standards for reports on applications and rights under the patents, designs, trade marks and plant breeder's legislation. Apparently set as a figure so that the graphic indicators of the rights could be used: 'P', 'D', 'TM' and 'PBR' in circles in different 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11116" name="Picture 1638011116" descr="A text-heavy figure detailing the timeliness standards for reports on applications and rights under the patents, designs, trade marks and plant breeder's legislation. Apparently set as a figure so that the graphic indicators of the rights could be used: 'P', 'D', 'TM' and 'PBR' in circles in different colours."/>
                    <pic:cNvPicPr/>
                  </pic:nvPicPr>
                  <pic:blipFill>
                    <a:blip r:embed="rId16"/>
                    <a:stretch>
                      <a:fillRect/>
                    </a:stretch>
                  </pic:blipFill>
                  <pic:spPr>
                    <a:xfrm>
                      <a:off x="0" y="0"/>
                      <a:ext cx="4151590" cy="3845448"/>
                    </a:xfrm>
                    <a:prstGeom prst="rect">
                      <a:avLst/>
                    </a:prstGeom>
                  </pic:spPr>
                </pic:pic>
              </a:graphicData>
            </a:graphic>
          </wp:inline>
        </w:drawing>
      </w:r>
    </w:p>
    <w:p w14:paraId="7CC23A4F" w14:textId="5E919AFA" w:rsidR="008A2166" w:rsidRPr="00042C60" w:rsidRDefault="008A2166" w:rsidP="008A2166">
      <w:pPr>
        <w:rPr>
          <w:b/>
          <w:bCs/>
          <w:sz w:val="24"/>
          <w:szCs w:val="24"/>
        </w:rPr>
      </w:pPr>
      <w:r w:rsidRPr="2EDC0C4A">
        <w:rPr>
          <w:b/>
          <w:bCs/>
          <w:sz w:val="24"/>
          <w:szCs w:val="24"/>
        </w:rPr>
        <w:t>Performance Measure 2</w:t>
      </w:r>
    </w:p>
    <w:p w14:paraId="6FB45B0E" w14:textId="77777777" w:rsidR="00E50F6D" w:rsidRDefault="008A2166" w:rsidP="008A2166">
      <w:pPr>
        <w:rPr>
          <w:i/>
          <w:iCs/>
        </w:rPr>
      </w:pPr>
      <w:r w:rsidRPr="00C254D6">
        <w:rPr>
          <w:i/>
          <w:iCs/>
        </w:rPr>
        <w:t>Process trans-Tasman attorney registration applications within 15 working days from the date that the application complies with registration requirements.</w:t>
      </w:r>
    </w:p>
    <w:p w14:paraId="20501E02" w14:textId="562F4D46" w:rsidR="008A2166" w:rsidRPr="00CB7992" w:rsidRDefault="008A2166" w:rsidP="008A2166">
      <w:r w:rsidRPr="2EDC0C4A">
        <w:rPr>
          <w:b/>
          <w:bCs/>
        </w:rPr>
        <w:t xml:space="preserve">Target: </w:t>
      </w:r>
      <w:r w:rsidR="00A705B1">
        <w:t>All</w:t>
      </w:r>
      <w:r w:rsidRPr="2EDC0C4A">
        <w:t xml:space="preserve"> applications are processed within the required </w:t>
      </w:r>
      <w:bookmarkStart w:id="43" w:name="_Int_X50V42yG"/>
      <w:r w:rsidRPr="2EDC0C4A">
        <w:t>timeframe</w:t>
      </w:r>
      <w:bookmarkEnd w:id="43"/>
      <w:r w:rsidRPr="2EDC0C4A">
        <w:t xml:space="preserve"> from 2023-24 to 2027-28.</w:t>
      </w:r>
    </w:p>
    <w:p w14:paraId="3C9BF4BD" w14:textId="77777777" w:rsidR="008A2166" w:rsidRPr="00042C60" w:rsidRDefault="008A2166" w:rsidP="008A2166">
      <w:pPr>
        <w:rPr>
          <w:b/>
          <w:bCs/>
          <w:sz w:val="24"/>
          <w:szCs w:val="24"/>
        </w:rPr>
      </w:pPr>
      <w:r w:rsidRPr="2EDC0C4A">
        <w:rPr>
          <w:b/>
          <w:bCs/>
          <w:sz w:val="24"/>
          <w:szCs w:val="24"/>
        </w:rPr>
        <w:t>Performance Measure 3</w:t>
      </w:r>
    </w:p>
    <w:p w14:paraId="4608D179" w14:textId="77777777" w:rsidR="008A2166" w:rsidRPr="00C54543" w:rsidRDefault="008A2166" w:rsidP="008A2166">
      <w:pPr>
        <w:rPr>
          <w:i/>
          <w:iCs/>
        </w:rPr>
      </w:pPr>
      <w:r w:rsidRPr="00C54543">
        <w:rPr>
          <w:i/>
          <w:iCs/>
        </w:rPr>
        <w:t>Improved awareness of the IP rights system</w:t>
      </w:r>
      <w:r>
        <w:rPr>
          <w:i/>
          <w:iCs/>
        </w:rPr>
        <w:t>.</w:t>
      </w:r>
    </w:p>
    <w:p w14:paraId="5B58EE7D" w14:textId="77777777" w:rsidR="008A2166" w:rsidRDefault="008A2166" w:rsidP="008A2166">
      <w:r w:rsidRPr="00E27CA0">
        <w:t>Improved awareness of the IP rights system from 2023-24 to 2027-28 measured by:</w:t>
      </w:r>
    </w:p>
    <w:p w14:paraId="00006E10" w14:textId="77777777" w:rsidR="00E50F6D" w:rsidRPr="00A657FD" w:rsidRDefault="008A2166" w:rsidP="00CA3613">
      <w:pPr>
        <w:pStyle w:val="ListParagraph0"/>
        <w:numPr>
          <w:ilvl w:val="0"/>
          <w:numId w:val="25"/>
        </w:numPr>
        <w:spacing w:after="120" w:line="240" w:lineRule="auto"/>
        <w:ind w:left="714" w:hanging="357"/>
        <w:contextualSpacing w:val="0"/>
        <w:rPr>
          <w:rFonts w:cstheme="minorHAnsi"/>
        </w:rPr>
      </w:pPr>
      <w:r w:rsidRPr="00A657FD">
        <w:t>Effective delivery of public education and awareness programs, which promote the importance of IP and provide Australians with the tools they require to make informed decisions.</w:t>
      </w:r>
    </w:p>
    <w:p w14:paraId="388B4864" w14:textId="77777777" w:rsidR="001A161D" w:rsidRDefault="001A161D" w:rsidP="008A2166">
      <w:pPr>
        <w:rPr>
          <w:b/>
          <w:bCs/>
        </w:rPr>
      </w:pPr>
      <w:r>
        <w:rPr>
          <w:b/>
          <w:bCs/>
        </w:rPr>
        <w:br w:type="page"/>
      </w:r>
    </w:p>
    <w:p w14:paraId="7F94F711" w14:textId="7312EFED" w:rsidR="008A2166" w:rsidRPr="001A161D" w:rsidRDefault="008A2166" w:rsidP="008A2166">
      <w:pPr>
        <w:rPr>
          <w:rFonts w:ascii="Tahoma" w:hAnsi="Tahoma" w:cs="Tahoma"/>
        </w:rPr>
      </w:pPr>
      <w:r w:rsidRPr="001A161D">
        <w:rPr>
          <w:b/>
          <w:bCs/>
        </w:rPr>
        <w:lastRenderedPageBreak/>
        <w:t>Targets:</w:t>
      </w:r>
    </w:p>
    <w:p w14:paraId="10D7412A" w14:textId="77777777" w:rsidR="008A2166" w:rsidRPr="001A161D" w:rsidRDefault="008A2166" w:rsidP="00CA3613">
      <w:pPr>
        <w:pStyle w:val="ListParagraph0"/>
        <w:numPr>
          <w:ilvl w:val="0"/>
          <w:numId w:val="26"/>
        </w:numPr>
        <w:spacing w:after="120" w:line="240" w:lineRule="auto"/>
        <w:ind w:left="426" w:hanging="499"/>
        <w:contextualSpacing w:val="0"/>
        <w:rPr>
          <w:rFonts w:cstheme="minorHAnsi"/>
        </w:rPr>
      </w:pPr>
      <w:r w:rsidRPr="001A161D">
        <w:rPr>
          <w:rFonts w:cstheme="minorHAnsi"/>
        </w:rPr>
        <w:t>Meet the key performance metrics for public education and awareness programs.</w:t>
      </w:r>
    </w:p>
    <w:p w14:paraId="2CEB90A5" w14:textId="24DF5D8E" w:rsidR="008A2166" w:rsidRPr="001A161D" w:rsidRDefault="00657EA9" w:rsidP="00CA3613">
      <w:pPr>
        <w:pStyle w:val="ListParagraph0"/>
        <w:numPr>
          <w:ilvl w:val="0"/>
          <w:numId w:val="27"/>
        </w:numPr>
        <w:spacing w:after="120" w:line="240" w:lineRule="auto"/>
        <w:ind w:left="1134" w:hanging="425"/>
        <w:contextualSpacing w:val="0"/>
        <w:rPr>
          <w:rFonts w:cstheme="minorHAnsi"/>
        </w:rPr>
      </w:pPr>
      <w:r w:rsidRPr="001A161D">
        <w:rPr>
          <w:rFonts w:cstheme="minorHAnsi"/>
        </w:rPr>
        <w:t>r</w:t>
      </w:r>
      <w:r w:rsidR="008A2166" w:rsidRPr="001A161D">
        <w:rPr>
          <w:rFonts w:cstheme="minorHAnsi"/>
        </w:rPr>
        <w:t>each: increased volume of partners and multipliers</w:t>
      </w:r>
    </w:p>
    <w:p w14:paraId="6418E01B" w14:textId="413959E5" w:rsidR="008A2166" w:rsidRPr="001A161D" w:rsidRDefault="00657EA9" w:rsidP="00CA3613">
      <w:pPr>
        <w:pStyle w:val="ListParagraph0"/>
        <w:numPr>
          <w:ilvl w:val="0"/>
          <w:numId w:val="27"/>
        </w:numPr>
        <w:spacing w:after="120" w:line="240" w:lineRule="auto"/>
        <w:ind w:left="1134" w:hanging="425"/>
        <w:contextualSpacing w:val="0"/>
        <w:rPr>
          <w:rFonts w:cstheme="minorHAnsi"/>
        </w:rPr>
      </w:pPr>
      <w:r w:rsidRPr="001A161D">
        <w:rPr>
          <w:rFonts w:cstheme="minorHAnsi"/>
        </w:rPr>
        <w:t>e</w:t>
      </w:r>
      <w:r w:rsidR="008A2166" w:rsidRPr="001A161D">
        <w:rPr>
          <w:rFonts w:cstheme="minorHAnsi"/>
        </w:rPr>
        <w:t>ngagement: increased number of participants engaging with online material (website, newsletter</w:t>
      </w:r>
      <w:r w:rsidR="001C46DD" w:rsidRPr="001A161D">
        <w:rPr>
          <w:rFonts w:cstheme="minorHAnsi"/>
        </w:rPr>
        <w:t xml:space="preserve"> and</w:t>
      </w:r>
      <w:r w:rsidR="008A2166" w:rsidRPr="001A161D">
        <w:rPr>
          <w:rFonts w:cstheme="minorHAnsi"/>
        </w:rPr>
        <w:t xml:space="preserve"> social media)</w:t>
      </w:r>
    </w:p>
    <w:p w14:paraId="295A67AB" w14:textId="717C2B7C" w:rsidR="008A2166" w:rsidRPr="001A161D" w:rsidRDefault="00657EA9" w:rsidP="00CA3613">
      <w:pPr>
        <w:pStyle w:val="ListParagraph0"/>
        <w:numPr>
          <w:ilvl w:val="0"/>
          <w:numId w:val="27"/>
        </w:numPr>
        <w:spacing w:after="120" w:line="240" w:lineRule="auto"/>
        <w:ind w:left="1134" w:hanging="425"/>
        <w:contextualSpacing w:val="0"/>
        <w:rPr>
          <w:rFonts w:cstheme="minorHAnsi"/>
        </w:rPr>
      </w:pPr>
      <w:r w:rsidRPr="001A161D">
        <w:rPr>
          <w:rFonts w:cstheme="minorHAnsi"/>
        </w:rPr>
        <w:t>s</w:t>
      </w:r>
      <w:r w:rsidR="008A2166" w:rsidRPr="001A161D">
        <w:rPr>
          <w:rFonts w:cstheme="minorHAnsi"/>
        </w:rPr>
        <w:t>atisfaction: 85%+ of participants are satisfied with the education and awareness activity delivered</w:t>
      </w:r>
    </w:p>
    <w:p w14:paraId="5A615A58" w14:textId="77777777" w:rsidR="00E50F6D" w:rsidRPr="001A161D" w:rsidRDefault="00657EA9" w:rsidP="00CA3613">
      <w:pPr>
        <w:pStyle w:val="ListParagraph0"/>
        <w:numPr>
          <w:ilvl w:val="0"/>
          <w:numId w:val="28"/>
        </w:numPr>
        <w:spacing w:after="120" w:line="240" w:lineRule="auto"/>
        <w:ind w:left="1134" w:hanging="425"/>
        <w:contextualSpacing w:val="0"/>
        <w:rPr>
          <w:rFonts w:cstheme="minorHAnsi"/>
        </w:rPr>
      </w:pPr>
      <w:r w:rsidRPr="001A161D">
        <w:t>k</w:t>
      </w:r>
      <w:r w:rsidR="008A2166" w:rsidRPr="001A161D">
        <w:t>nowledge: 85%+ of participants identify an increased understanding and awareness of the IP system</w:t>
      </w:r>
    </w:p>
    <w:p w14:paraId="348283E6" w14:textId="407818EF" w:rsidR="008A2166" w:rsidRPr="001A161D" w:rsidRDefault="008A2166" w:rsidP="008A2166">
      <w:pPr>
        <w:rPr>
          <w:b/>
          <w:bCs/>
        </w:rPr>
      </w:pPr>
      <w:r w:rsidRPr="001A161D">
        <w:rPr>
          <w:b/>
          <w:bCs/>
        </w:rPr>
        <w:t>Performance Measure 4</w:t>
      </w:r>
    </w:p>
    <w:p w14:paraId="7BD279B3" w14:textId="77777777" w:rsidR="00E50F6D" w:rsidRPr="001A161D" w:rsidRDefault="008A2166" w:rsidP="008A2166">
      <w:pPr>
        <w:rPr>
          <w:i/>
          <w:iCs/>
        </w:rPr>
      </w:pPr>
      <w:r w:rsidRPr="001A161D">
        <w:rPr>
          <w:i/>
          <w:iCs/>
        </w:rPr>
        <w:t xml:space="preserve">Provision of </w:t>
      </w:r>
      <w:proofErr w:type="gramStart"/>
      <w:r w:rsidRPr="001A161D">
        <w:rPr>
          <w:i/>
          <w:iCs/>
        </w:rPr>
        <w:t>high</w:t>
      </w:r>
      <w:r w:rsidR="00FE58D8" w:rsidRPr="001A161D">
        <w:rPr>
          <w:i/>
          <w:iCs/>
        </w:rPr>
        <w:t xml:space="preserve"> </w:t>
      </w:r>
      <w:r w:rsidRPr="001A161D">
        <w:rPr>
          <w:i/>
          <w:iCs/>
        </w:rPr>
        <w:t>quality</w:t>
      </w:r>
      <w:proofErr w:type="gramEnd"/>
      <w:r w:rsidRPr="001A161D">
        <w:rPr>
          <w:i/>
          <w:iCs/>
        </w:rPr>
        <w:t xml:space="preserve"> advice to the Australian Government on policy, legislation, ministerial correspondence</w:t>
      </w:r>
      <w:r w:rsidR="001C46DD" w:rsidRPr="001A161D">
        <w:rPr>
          <w:i/>
          <w:iCs/>
        </w:rPr>
        <w:t xml:space="preserve"> and</w:t>
      </w:r>
      <w:r w:rsidRPr="001A161D">
        <w:rPr>
          <w:i/>
          <w:iCs/>
        </w:rPr>
        <w:t xml:space="preserve"> briefs.</w:t>
      </w:r>
    </w:p>
    <w:p w14:paraId="4C457B94" w14:textId="632E21C5" w:rsidR="008A2166" w:rsidRPr="001A161D" w:rsidRDefault="008A2166" w:rsidP="008A2166">
      <w:pPr>
        <w:rPr>
          <w:rFonts w:ascii="Tahoma" w:hAnsi="Tahoma" w:cs="Tahoma"/>
        </w:rPr>
      </w:pPr>
      <w:r w:rsidRPr="001A161D">
        <w:rPr>
          <w:b/>
          <w:bCs/>
        </w:rPr>
        <w:t>Targets:</w:t>
      </w:r>
    </w:p>
    <w:p w14:paraId="20A2C91D" w14:textId="56DC3342" w:rsidR="008A2166" w:rsidRPr="001A161D" w:rsidRDefault="008A2166" w:rsidP="00CA3613">
      <w:pPr>
        <w:pStyle w:val="ListParagraph0"/>
        <w:numPr>
          <w:ilvl w:val="0"/>
          <w:numId w:val="29"/>
        </w:numPr>
        <w:spacing w:after="120" w:line="240" w:lineRule="auto"/>
        <w:ind w:left="426" w:hanging="426"/>
        <w:contextualSpacing w:val="0"/>
        <w:rPr>
          <w:rFonts w:cstheme="minorHAnsi"/>
        </w:rPr>
      </w:pPr>
      <w:r w:rsidRPr="001A161D">
        <w:rPr>
          <w:rFonts w:cstheme="minorHAnsi"/>
        </w:rPr>
        <w:t xml:space="preserve">Ministerial briefs and correspondence delivered to the Minister’s </w:t>
      </w:r>
      <w:r w:rsidR="00CB581C" w:rsidRPr="001A161D">
        <w:rPr>
          <w:rFonts w:cstheme="minorHAnsi"/>
        </w:rPr>
        <w:t>o</w:t>
      </w:r>
      <w:r w:rsidRPr="001A161D">
        <w:rPr>
          <w:rFonts w:cstheme="minorHAnsi"/>
        </w:rPr>
        <w:t>ffice are of a high quality with less than 10% resubmitted due to error or omission.</w:t>
      </w:r>
    </w:p>
    <w:p w14:paraId="4D1812B8" w14:textId="77777777" w:rsidR="00E50F6D" w:rsidRPr="001A161D" w:rsidRDefault="00B3638D" w:rsidP="00CA3613">
      <w:pPr>
        <w:pStyle w:val="ListParagraph0"/>
        <w:numPr>
          <w:ilvl w:val="0"/>
          <w:numId w:val="29"/>
        </w:numPr>
        <w:spacing w:after="120" w:line="240" w:lineRule="auto"/>
        <w:ind w:left="426" w:hanging="426"/>
        <w:contextualSpacing w:val="0"/>
      </w:pPr>
      <w:r w:rsidRPr="001A161D">
        <w:t>All</w:t>
      </w:r>
      <w:r w:rsidR="008A2166" w:rsidRPr="001A161D">
        <w:t xml:space="preserve"> ministerial briefs and correspondence requested by the Minister’s </w:t>
      </w:r>
      <w:r w:rsidR="00CB581C" w:rsidRPr="001A161D">
        <w:t>o</w:t>
      </w:r>
      <w:r w:rsidR="008A2166" w:rsidRPr="001A161D">
        <w:t xml:space="preserve">ffice are delivered within the agreed </w:t>
      </w:r>
      <w:bookmarkStart w:id="44" w:name="_Int_tAH40CZz"/>
      <w:r w:rsidR="008A2166" w:rsidRPr="001A161D">
        <w:t>timeframes</w:t>
      </w:r>
      <w:bookmarkEnd w:id="44"/>
      <w:r w:rsidR="008A2166" w:rsidRPr="001A161D">
        <w:t>.</w:t>
      </w:r>
    </w:p>
    <w:p w14:paraId="0AAA0033" w14:textId="77777777" w:rsidR="00BC26FE" w:rsidRDefault="00BC26FE" w:rsidP="00101A7A">
      <w:pPr>
        <w:pStyle w:val="Heading1"/>
        <w:rPr>
          <w:lang w:eastAsia="en-AU"/>
        </w:rPr>
      </w:pPr>
      <w:bookmarkStart w:id="45" w:name="_Toc146552217"/>
      <w:r>
        <w:rPr>
          <w:lang w:eastAsia="en-AU"/>
        </w:rPr>
        <w:t>ATTACHMENT A</w:t>
      </w:r>
      <w:bookmarkEnd w:id="45"/>
    </w:p>
    <w:p w14:paraId="36D651C9" w14:textId="39CF7954" w:rsidR="00BC26FE" w:rsidRPr="00FE42BF" w:rsidRDefault="00BC26FE" w:rsidP="00BC26FE">
      <w:pPr>
        <w:pStyle w:val="NoSpacing"/>
        <w:rPr>
          <w:iCs/>
          <w:sz w:val="22"/>
          <w:szCs w:val="22"/>
          <w:lang w:eastAsia="en-AU"/>
        </w:rPr>
      </w:pPr>
      <w:r w:rsidRPr="00FE42BF">
        <w:rPr>
          <w:iCs/>
          <w:sz w:val="22"/>
          <w:szCs w:val="22"/>
          <w:lang w:eastAsia="en-AU"/>
        </w:rPr>
        <w:t>The following table provides a summary of the fee changes.</w:t>
      </w:r>
    </w:p>
    <w:p w14:paraId="570C5AC5" w14:textId="77777777" w:rsidR="00BC26FE" w:rsidRPr="009372C3" w:rsidRDefault="00BC26FE" w:rsidP="00BC26FE">
      <w:pPr>
        <w:pStyle w:val="NoSpacing"/>
        <w:rPr>
          <w:sz w:val="16"/>
          <w:szCs w:val="16"/>
          <w:lang w:eastAsia="en-AU"/>
        </w:rPr>
      </w:pPr>
    </w:p>
    <w:tbl>
      <w:tblPr>
        <w:tblW w:w="793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957"/>
        <w:gridCol w:w="567"/>
        <w:gridCol w:w="923"/>
        <w:gridCol w:w="284"/>
        <w:gridCol w:w="1207"/>
      </w:tblGrid>
      <w:tr w:rsidR="00BC26FE" w:rsidRPr="00FE42BF" w14:paraId="22F278B3" w14:textId="77777777" w:rsidTr="00CF28D1">
        <w:trPr>
          <w:trHeight w:val="300"/>
          <w:tblHeader/>
        </w:trPr>
        <w:tc>
          <w:tcPr>
            <w:tcW w:w="4957" w:type="dxa"/>
            <w:tcBorders>
              <w:top w:val="single" w:sz="4" w:space="0" w:color="auto"/>
              <w:bottom w:val="single" w:sz="4" w:space="0" w:color="auto"/>
            </w:tcBorders>
            <w:shd w:val="clear" w:color="000000" w:fill="C5D9F1"/>
          </w:tcPr>
          <w:p w14:paraId="10030DBD" w14:textId="77777777" w:rsidR="00BC26FE" w:rsidRPr="00FE42BF" w:rsidRDefault="00BC26FE">
            <w:pPr>
              <w:spacing w:after="0" w:line="240" w:lineRule="auto"/>
              <w:outlineLvl w:val="0"/>
              <w:rPr>
                <w:rFonts w:ascii="Calibri" w:eastAsia="Times New Roman" w:hAnsi="Calibri" w:cs="Calibri"/>
                <w:b/>
                <w:bCs/>
                <w:color w:val="0070C0"/>
                <w:sz w:val="20"/>
                <w:szCs w:val="20"/>
                <w:lang w:eastAsia="en-AU"/>
              </w:rPr>
            </w:pPr>
            <w:r w:rsidRPr="00FE42BF">
              <w:rPr>
                <w:rFonts w:ascii="Calibri" w:eastAsia="Times New Roman" w:hAnsi="Calibri" w:cs="Calibri"/>
                <w:b/>
                <w:bCs/>
                <w:color w:val="000000" w:themeColor="text1"/>
                <w:sz w:val="20"/>
                <w:szCs w:val="20"/>
                <w:lang w:eastAsia="en-AU"/>
              </w:rPr>
              <w:t>Patent Fees</w:t>
            </w:r>
          </w:p>
        </w:tc>
        <w:tc>
          <w:tcPr>
            <w:tcW w:w="1490" w:type="dxa"/>
            <w:gridSpan w:val="2"/>
            <w:tcBorders>
              <w:top w:val="single" w:sz="4" w:space="0" w:color="auto"/>
              <w:bottom w:val="single" w:sz="4" w:space="0" w:color="auto"/>
            </w:tcBorders>
            <w:shd w:val="clear" w:color="000000" w:fill="C5D9F1"/>
            <w:noWrap/>
            <w:vAlign w:val="bottom"/>
            <w:hideMark/>
          </w:tcPr>
          <w:p w14:paraId="6032BACA" w14:textId="77777777" w:rsidR="00BC26FE" w:rsidRPr="00FE42BF" w:rsidRDefault="00BC26FE">
            <w:pPr>
              <w:spacing w:after="0" w:line="240" w:lineRule="auto"/>
              <w:jc w:val="right"/>
              <w:outlineLvl w:val="0"/>
              <w:rPr>
                <w:rFonts w:ascii="Calibri" w:eastAsia="Times New Roman" w:hAnsi="Calibri" w:cs="Calibri"/>
                <w:b/>
                <w:bCs/>
                <w:color w:val="000000"/>
                <w:sz w:val="20"/>
                <w:szCs w:val="20"/>
                <w:lang w:eastAsia="en-AU"/>
              </w:rPr>
            </w:pPr>
            <w:r w:rsidRPr="00FE42BF">
              <w:rPr>
                <w:rFonts w:ascii="Calibri" w:eastAsia="Times New Roman" w:hAnsi="Calibri" w:cs="Calibri"/>
                <w:b/>
                <w:bCs/>
                <w:color w:val="000000" w:themeColor="text1"/>
                <w:sz w:val="20"/>
                <w:szCs w:val="20"/>
                <w:lang w:eastAsia="en-AU"/>
              </w:rPr>
              <w:t> </w:t>
            </w:r>
            <w:bookmarkStart w:id="46" w:name="_Toc146545950"/>
            <w:bookmarkStart w:id="47" w:name="_Toc146552219"/>
            <w:r w:rsidRPr="00FE42BF">
              <w:rPr>
                <w:rFonts w:ascii="Calibri" w:eastAsia="Times New Roman" w:hAnsi="Calibri" w:cs="Calibri"/>
                <w:b/>
                <w:bCs/>
                <w:color w:val="000000" w:themeColor="text1"/>
                <w:sz w:val="20"/>
                <w:szCs w:val="20"/>
                <w:lang w:eastAsia="en-AU"/>
              </w:rPr>
              <w:t>Old Fee</w:t>
            </w:r>
            <w:bookmarkEnd w:id="46"/>
            <w:bookmarkEnd w:id="47"/>
          </w:p>
        </w:tc>
        <w:tc>
          <w:tcPr>
            <w:tcW w:w="1491" w:type="dxa"/>
            <w:gridSpan w:val="2"/>
            <w:tcBorders>
              <w:top w:val="single" w:sz="4" w:space="0" w:color="auto"/>
              <w:bottom w:val="single" w:sz="4" w:space="0" w:color="auto"/>
            </w:tcBorders>
            <w:shd w:val="clear" w:color="000000" w:fill="C5D9F1"/>
            <w:noWrap/>
            <w:vAlign w:val="bottom"/>
            <w:hideMark/>
          </w:tcPr>
          <w:p w14:paraId="1534BAE4" w14:textId="77777777" w:rsidR="00BC26FE" w:rsidRPr="00FE42BF" w:rsidRDefault="00BC26FE">
            <w:pPr>
              <w:spacing w:after="0" w:line="240" w:lineRule="auto"/>
              <w:jc w:val="right"/>
              <w:outlineLvl w:val="0"/>
              <w:rPr>
                <w:rFonts w:ascii="Calibri" w:eastAsia="Times New Roman" w:hAnsi="Calibri" w:cs="Calibri"/>
                <w:b/>
                <w:bCs/>
                <w:color w:val="000000" w:themeColor="text1"/>
                <w:sz w:val="20"/>
                <w:szCs w:val="20"/>
                <w:lang w:eastAsia="en-AU"/>
              </w:rPr>
            </w:pPr>
            <w:bookmarkStart w:id="48" w:name="_Toc146545951"/>
            <w:bookmarkStart w:id="49" w:name="_Toc146552220"/>
            <w:r w:rsidRPr="00FE42BF">
              <w:rPr>
                <w:rFonts w:ascii="Calibri" w:eastAsia="Times New Roman" w:hAnsi="Calibri" w:cs="Calibri"/>
                <w:b/>
                <w:bCs/>
                <w:color w:val="000000" w:themeColor="text1"/>
                <w:sz w:val="20"/>
                <w:szCs w:val="20"/>
                <w:lang w:eastAsia="en-AU"/>
              </w:rPr>
              <w:t>New Fee</w:t>
            </w:r>
            <w:bookmarkEnd w:id="48"/>
            <w:bookmarkEnd w:id="49"/>
            <w:r w:rsidRPr="00FE42BF">
              <w:rPr>
                <w:rFonts w:ascii="Calibri" w:eastAsia="Times New Roman" w:hAnsi="Calibri" w:cs="Calibri"/>
                <w:b/>
                <w:bCs/>
                <w:color w:val="000000" w:themeColor="text1"/>
                <w:sz w:val="20"/>
                <w:szCs w:val="20"/>
                <w:lang w:eastAsia="en-AU"/>
              </w:rPr>
              <w:t> </w:t>
            </w:r>
          </w:p>
        </w:tc>
      </w:tr>
      <w:tr w:rsidR="00BC26FE" w:rsidRPr="00F662D9" w14:paraId="1A8F99B5" w14:textId="77777777">
        <w:trPr>
          <w:trHeight w:val="300"/>
        </w:trPr>
        <w:tc>
          <w:tcPr>
            <w:tcW w:w="5524" w:type="dxa"/>
            <w:gridSpan w:val="2"/>
            <w:tcBorders>
              <w:top w:val="single" w:sz="4" w:space="0" w:color="auto"/>
            </w:tcBorders>
            <w:shd w:val="clear" w:color="000000" w:fill="D9D9D9"/>
            <w:noWrap/>
            <w:vAlign w:val="bottom"/>
            <w:hideMark/>
          </w:tcPr>
          <w:p w14:paraId="4B0D2386" w14:textId="77777777" w:rsidR="00BC26FE" w:rsidRPr="00F662D9" w:rsidRDefault="00BC26FE">
            <w:pPr>
              <w:spacing w:after="0" w:line="240" w:lineRule="auto"/>
              <w:ind w:firstLineChars="100" w:firstLine="180"/>
              <w:outlineLvl w:val="0"/>
              <w:rPr>
                <w:rFonts w:ascii="Calibri" w:eastAsia="Times New Roman" w:hAnsi="Calibri" w:cs="Calibri"/>
                <w:color w:val="0070C0"/>
                <w:sz w:val="18"/>
                <w:szCs w:val="18"/>
                <w:lang w:eastAsia="en-AU"/>
              </w:rPr>
            </w:pPr>
            <w:bookmarkStart w:id="50" w:name="_Toc146545981"/>
            <w:bookmarkStart w:id="51" w:name="_Toc146552250"/>
            <w:r w:rsidRPr="00AB7D56">
              <w:rPr>
                <w:rFonts w:ascii="Calibri" w:eastAsia="Times New Roman" w:hAnsi="Calibri" w:cs="Calibri"/>
                <w:color w:val="1F3864" w:themeColor="accent1" w:themeShade="80"/>
                <w:sz w:val="18"/>
                <w:szCs w:val="18"/>
                <w:lang w:eastAsia="en-AU"/>
              </w:rPr>
              <w:t>Change International PCT fees</w:t>
            </w:r>
            <w:bookmarkEnd w:id="50"/>
            <w:bookmarkEnd w:id="51"/>
          </w:p>
        </w:tc>
        <w:tc>
          <w:tcPr>
            <w:tcW w:w="1207" w:type="dxa"/>
            <w:gridSpan w:val="2"/>
            <w:tcBorders>
              <w:top w:val="single" w:sz="4" w:space="0" w:color="auto"/>
            </w:tcBorders>
            <w:shd w:val="clear" w:color="000000" w:fill="D9D9D9"/>
            <w:noWrap/>
            <w:vAlign w:val="bottom"/>
            <w:hideMark/>
          </w:tcPr>
          <w:p w14:paraId="5218A3DF"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tcBorders>
              <w:top w:val="single" w:sz="4" w:space="0" w:color="auto"/>
            </w:tcBorders>
            <w:shd w:val="clear" w:color="000000" w:fill="D9D9D9"/>
            <w:noWrap/>
            <w:vAlign w:val="bottom"/>
            <w:hideMark/>
          </w:tcPr>
          <w:p w14:paraId="165373D6"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 </w:t>
            </w:r>
          </w:p>
        </w:tc>
      </w:tr>
      <w:tr w:rsidR="00BC26FE" w:rsidRPr="00F662D9" w14:paraId="1D07BED7" w14:textId="77777777">
        <w:trPr>
          <w:trHeight w:val="300"/>
        </w:trPr>
        <w:tc>
          <w:tcPr>
            <w:tcW w:w="5524" w:type="dxa"/>
            <w:gridSpan w:val="2"/>
            <w:shd w:val="clear" w:color="auto" w:fill="auto"/>
            <w:noWrap/>
            <w:vAlign w:val="bottom"/>
            <w:hideMark/>
          </w:tcPr>
          <w:p w14:paraId="12087ABD"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52" w:name="_Toc146545982"/>
            <w:bookmarkStart w:id="53" w:name="_Toc146552251"/>
            <w:r w:rsidRPr="00F662D9">
              <w:rPr>
                <w:rFonts w:ascii="Calibri" w:eastAsia="Times New Roman" w:hAnsi="Calibri" w:cs="Calibri"/>
                <w:color w:val="000000"/>
                <w:sz w:val="18"/>
                <w:szCs w:val="18"/>
                <w:lang w:eastAsia="en-AU"/>
              </w:rPr>
              <w:t>PCT Transmittal Fee</w:t>
            </w:r>
            <w:bookmarkEnd w:id="52"/>
            <w:bookmarkEnd w:id="53"/>
          </w:p>
        </w:tc>
        <w:tc>
          <w:tcPr>
            <w:tcW w:w="1207" w:type="dxa"/>
            <w:gridSpan w:val="2"/>
            <w:shd w:val="clear" w:color="auto" w:fill="auto"/>
            <w:noWrap/>
            <w:vAlign w:val="bottom"/>
            <w:hideMark/>
          </w:tcPr>
          <w:p w14:paraId="6A597129"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54" w:name="_Toc146545983"/>
            <w:bookmarkStart w:id="55" w:name="_Toc146552252"/>
            <w:r w:rsidRPr="00F662D9">
              <w:rPr>
                <w:rFonts w:ascii="Calibri" w:eastAsia="Times New Roman" w:hAnsi="Calibri" w:cs="Calibri"/>
                <w:color w:val="000000"/>
                <w:sz w:val="18"/>
                <w:szCs w:val="18"/>
                <w:lang w:eastAsia="en-AU"/>
              </w:rPr>
              <w:t>$200</w:t>
            </w:r>
            <w:bookmarkEnd w:id="54"/>
            <w:bookmarkEnd w:id="55"/>
          </w:p>
        </w:tc>
        <w:tc>
          <w:tcPr>
            <w:tcW w:w="1207" w:type="dxa"/>
            <w:shd w:val="clear" w:color="auto" w:fill="auto"/>
            <w:noWrap/>
            <w:vAlign w:val="bottom"/>
            <w:hideMark/>
          </w:tcPr>
          <w:p w14:paraId="04571D32"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6" w:name="_Toc146545984"/>
            <w:bookmarkStart w:id="57" w:name="_Toc146552253"/>
            <w:r w:rsidRPr="00F662D9">
              <w:rPr>
                <w:rFonts w:ascii="Calibri" w:eastAsia="Times New Roman" w:hAnsi="Calibri" w:cs="Calibri"/>
                <w:color w:val="000000" w:themeColor="text1"/>
                <w:sz w:val="18"/>
                <w:szCs w:val="18"/>
                <w:lang w:eastAsia="en-AU"/>
              </w:rPr>
              <w:t>$0</w:t>
            </w:r>
            <w:bookmarkEnd w:id="56"/>
            <w:bookmarkEnd w:id="57"/>
          </w:p>
        </w:tc>
      </w:tr>
      <w:tr w:rsidR="00BC26FE" w:rsidRPr="00F662D9" w14:paraId="696AC740" w14:textId="77777777">
        <w:trPr>
          <w:trHeight w:val="227"/>
        </w:trPr>
        <w:tc>
          <w:tcPr>
            <w:tcW w:w="5524" w:type="dxa"/>
            <w:gridSpan w:val="2"/>
            <w:shd w:val="clear" w:color="auto" w:fill="auto"/>
            <w:noWrap/>
            <w:vAlign w:val="bottom"/>
            <w:hideMark/>
          </w:tcPr>
          <w:p w14:paraId="4D30F002"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gridSpan w:val="2"/>
            <w:shd w:val="clear" w:color="auto" w:fill="auto"/>
            <w:noWrap/>
            <w:vAlign w:val="bottom"/>
            <w:hideMark/>
          </w:tcPr>
          <w:p w14:paraId="69745584"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shd w:val="clear" w:color="auto" w:fill="auto"/>
            <w:noWrap/>
            <w:vAlign w:val="bottom"/>
            <w:hideMark/>
          </w:tcPr>
          <w:p w14:paraId="2F018C29"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 </w:t>
            </w:r>
          </w:p>
        </w:tc>
      </w:tr>
      <w:tr w:rsidR="00BC26FE" w:rsidRPr="00F662D9" w14:paraId="48B7CA3E" w14:textId="77777777">
        <w:trPr>
          <w:trHeight w:val="300"/>
        </w:trPr>
        <w:tc>
          <w:tcPr>
            <w:tcW w:w="5524" w:type="dxa"/>
            <w:gridSpan w:val="2"/>
            <w:shd w:val="clear" w:color="000000" w:fill="D9D9D9"/>
            <w:noWrap/>
            <w:vAlign w:val="bottom"/>
            <w:hideMark/>
          </w:tcPr>
          <w:p w14:paraId="406AD198" w14:textId="77777777" w:rsidR="00BC26FE" w:rsidRPr="00AB7D56" w:rsidRDefault="00BC26FE">
            <w:pPr>
              <w:spacing w:after="0" w:line="240" w:lineRule="auto"/>
              <w:ind w:firstLineChars="100" w:firstLine="180"/>
              <w:outlineLvl w:val="0"/>
              <w:rPr>
                <w:rFonts w:ascii="Calibri" w:eastAsia="Times New Roman" w:hAnsi="Calibri" w:cs="Calibri"/>
                <w:color w:val="1F3864" w:themeColor="accent1" w:themeShade="80"/>
                <w:sz w:val="18"/>
                <w:szCs w:val="18"/>
                <w:lang w:eastAsia="en-AU"/>
              </w:rPr>
            </w:pPr>
            <w:bookmarkStart w:id="58" w:name="_Toc146545985"/>
            <w:bookmarkStart w:id="59" w:name="_Toc146552254"/>
            <w:r w:rsidRPr="00AB7D56">
              <w:rPr>
                <w:rFonts w:ascii="Calibri" w:eastAsia="Times New Roman" w:hAnsi="Calibri" w:cs="Calibri"/>
                <w:color w:val="1F3864" w:themeColor="accent1" w:themeShade="80"/>
                <w:sz w:val="18"/>
                <w:szCs w:val="18"/>
                <w:lang w:eastAsia="en-AU"/>
              </w:rPr>
              <w:t>Change to Patent Application fees</w:t>
            </w:r>
            <w:bookmarkEnd w:id="58"/>
            <w:bookmarkEnd w:id="59"/>
          </w:p>
        </w:tc>
        <w:tc>
          <w:tcPr>
            <w:tcW w:w="1207" w:type="dxa"/>
            <w:gridSpan w:val="2"/>
            <w:shd w:val="clear" w:color="000000" w:fill="D9D9D9"/>
            <w:noWrap/>
            <w:vAlign w:val="bottom"/>
            <w:hideMark/>
          </w:tcPr>
          <w:p w14:paraId="5CF78AE9"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shd w:val="clear" w:color="000000" w:fill="D9D9D9"/>
            <w:noWrap/>
            <w:vAlign w:val="bottom"/>
            <w:hideMark/>
          </w:tcPr>
          <w:p w14:paraId="1F98EC8E"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 </w:t>
            </w:r>
          </w:p>
        </w:tc>
      </w:tr>
      <w:tr w:rsidR="00BC26FE" w:rsidRPr="00F662D9" w14:paraId="73CF9138" w14:textId="77777777">
        <w:trPr>
          <w:trHeight w:val="300"/>
        </w:trPr>
        <w:tc>
          <w:tcPr>
            <w:tcW w:w="5524" w:type="dxa"/>
            <w:gridSpan w:val="2"/>
            <w:shd w:val="clear" w:color="auto" w:fill="auto"/>
            <w:noWrap/>
            <w:vAlign w:val="bottom"/>
          </w:tcPr>
          <w:p w14:paraId="4DD69160"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xml:space="preserve">Patent Provisional Application </w:t>
            </w:r>
            <w:r>
              <w:rPr>
                <w:rFonts w:ascii="Calibri" w:hAnsi="Calibri" w:cs="Calibri"/>
                <w:color w:val="000000"/>
                <w:sz w:val="18"/>
                <w:szCs w:val="18"/>
              </w:rPr>
              <w:t>(by preferred means)</w:t>
            </w:r>
          </w:p>
        </w:tc>
        <w:tc>
          <w:tcPr>
            <w:tcW w:w="1207" w:type="dxa"/>
            <w:gridSpan w:val="2"/>
            <w:shd w:val="clear" w:color="auto" w:fill="auto"/>
            <w:noWrap/>
            <w:vAlign w:val="bottom"/>
          </w:tcPr>
          <w:p w14:paraId="3B93FC72"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$110</w:t>
            </w:r>
          </w:p>
        </w:tc>
        <w:tc>
          <w:tcPr>
            <w:tcW w:w="1207" w:type="dxa"/>
            <w:shd w:val="clear" w:color="auto" w:fill="auto"/>
            <w:noWrap/>
            <w:vAlign w:val="bottom"/>
          </w:tcPr>
          <w:p w14:paraId="374882D2"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$100</w:t>
            </w:r>
          </w:p>
        </w:tc>
      </w:tr>
      <w:tr w:rsidR="00BC26FE" w:rsidRPr="00F662D9" w14:paraId="7A0FE574" w14:textId="77777777">
        <w:trPr>
          <w:trHeight w:val="300"/>
        </w:trPr>
        <w:tc>
          <w:tcPr>
            <w:tcW w:w="5524" w:type="dxa"/>
            <w:gridSpan w:val="2"/>
            <w:shd w:val="clear" w:color="auto" w:fill="auto"/>
            <w:noWrap/>
            <w:vAlign w:val="bottom"/>
          </w:tcPr>
          <w:p w14:paraId="7D0316DD"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xml:space="preserve">Patent Provisional Application </w:t>
            </w:r>
            <w:r>
              <w:rPr>
                <w:rFonts w:ascii="Calibri" w:eastAsia="Times New Roman" w:hAnsi="Calibri" w:cs="Calibri"/>
                <w:color w:val="000000"/>
                <w:sz w:val="18"/>
                <w:szCs w:val="18"/>
                <w:lang w:eastAsia="en-AU"/>
              </w:rPr>
              <w:t>(by another m</w:t>
            </w:r>
            <w:r w:rsidRPr="00F662D9">
              <w:rPr>
                <w:rFonts w:ascii="Calibri" w:eastAsia="Times New Roman" w:hAnsi="Calibri" w:cs="Calibri"/>
                <w:color w:val="000000"/>
                <w:sz w:val="18"/>
                <w:szCs w:val="18"/>
                <w:lang w:eastAsia="en-AU"/>
              </w:rPr>
              <w:t>eans</w:t>
            </w:r>
            <w:r>
              <w:rPr>
                <w:rFonts w:ascii="Calibri" w:eastAsia="Times New Roman" w:hAnsi="Calibri" w:cs="Calibri"/>
                <w:color w:val="000000"/>
                <w:sz w:val="18"/>
                <w:szCs w:val="18"/>
                <w:lang w:eastAsia="en-AU"/>
              </w:rPr>
              <w:t>)</w:t>
            </w:r>
          </w:p>
        </w:tc>
        <w:tc>
          <w:tcPr>
            <w:tcW w:w="1207" w:type="dxa"/>
            <w:gridSpan w:val="2"/>
            <w:shd w:val="clear" w:color="auto" w:fill="auto"/>
            <w:noWrap/>
            <w:vAlign w:val="bottom"/>
          </w:tcPr>
          <w:p w14:paraId="7A91107F"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$210</w:t>
            </w:r>
          </w:p>
        </w:tc>
        <w:tc>
          <w:tcPr>
            <w:tcW w:w="1207" w:type="dxa"/>
            <w:shd w:val="clear" w:color="auto" w:fill="auto"/>
            <w:noWrap/>
            <w:vAlign w:val="bottom"/>
          </w:tcPr>
          <w:p w14:paraId="2A32CDDA"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$200</w:t>
            </w:r>
          </w:p>
        </w:tc>
      </w:tr>
      <w:tr w:rsidR="00BC26FE" w:rsidRPr="00F662D9" w14:paraId="32B135CC" w14:textId="77777777">
        <w:trPr>
          <w:trHeight w:val="300"/>
        </w:trPr>
        <w:tc>
          <w:tcPr>
            <w:tcW w:w="5524" w:type="dxa"/>
            <w:gridSpan w:val="2"/>
            <w:shd w:val="clear" w:color="auto" w:fill="auto"/>
            <w:noWrap/>
            <w:vAlign w:val="bottom"/>
          </w:tcPr>
          <w:p w14:paraId="4EE29B5C"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xml:space="preserve">Patent Innovation Application </w:t>
            </w:r>
            <w:r>
              <w:rPr>
                <w:rFonts w:ascii="Calibri" w:hAnsi="Calibri" w:cs="Calibri"/>
                <w:color w:val="000000"/>
                <w:sz w:val="18"/>
                <w:szCs w:val="18"/>
              </w:rPr>
              <w:t>(by preferred means)</w:t>
            </w:r>
          </w:p>
        </w:tc>
        <w:tc>
          <w:tcPr>
            <w:tcW w:w="1207" w:type="dxa"/>
            <w:gridSpan w:val="2"/>
            <w:shd w:val="clear" w:color="auto" w:fill="auto"/>
            <w:noWrap/>
            <w:vAlign w:val="bottom"/>
          </w:tcPr>
          <w:p w14:paraId="666EFAF3"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$180</w:t>
            </w:r>
          </w:p>
        </w:tc>
        <w:tc>
          <w:tcPr>
            <w:tcW w:w="1207" w:type="dxa"/>
            <w:shd w:val="clear" w:color="auto" w:fill="auto"/>
            <w:noWrap/>
            <w:vAlign w:val="bottom"/>
          </w:tcPr>
          <w:p w14:paraId="4A9E3702"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Pr>
                <w:rFonts w:ascii="Calibri" w:eastAsia="Times New Roman" w:hAnsi="Calibri" w:cs="Calibri"/>
                <w:color w:val="000000" w:themeColor="text1"/>
                <w:sz w:val="18"/>
                <w:szCs w:val="18"/>
                <w:lang w:eastAsia="en-AU"/>
              </w:rPr>
              <w:t>$200</w:t>
            </w:r>
          </w:p>
        </w:tc>
      </w:tr>
      <w:tr w:rsidR="00BC26FE" w:rsidRPr="00F662D9" w14:paraId="57B532B4" w14:textId="77777777">
        <w:trPr>
          <w:trHeight w:val="300"/>
        </w:trPr>
        <w:tc>
          <w:tcPr>
            <w:tcW w:w="5524" w:type="dxa"/>
            <w:gridSpan w:val="2"/>
            <w:shd w:val="clear" w:color="auto" w:fill="auto"/>
            <w:noWrap/>
            <w:vAlign w:val="bottom"/>
          </w:tcPr>
          <w:p w14:paraId="5369A66E"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xml:space="preserve">Patent Innovation Application </w:t>
            </w:r>
            <w:r>
              <w:rPr>
                <w:rFonts w:ascii="Calibri" w:eastAsia="Times New Roman" w:hAnsi="Calibri" w:cs="Calibri"/>
                <w:color w:val="000000"/>
                <w:sz w:val="18"/>
                <w:szCs w:val="18"/>
                <w:lang w:eastAsia="en-AU"/>
              </w:rPr>
              <w:t>(by another m</w:t>
            </w:r>
            <w:r w:rsidRPr="00F662D9">
              <w:rPr>
                <w:rFonts w:ascii="Calibri" w:eastAsia="Times New Roman" w:hAnsi="Calibri" w:cs="Calibri"/>
                <w:color w:val="000000"/>
                <w:sz w:val="18"/>
                <w:szCs w:val="18"/>
                <w:lang w:eastAsia="en-AU"/>
              </w:rPr>
              <w:t>eans</w:t>
            </w:r>
            <w:r>
              <w:rPr>
                <w:rFonts w:ascii="Calibri" w:eastAsia="Times New Roman" w:hAnsi="Calibri" w:cs="Calibri"/>
                <w:color w:val="000000"/>
                <w:sz w:val="18"/>
                <w:szCs w:val="18"/>
                <w:lang w:eastAsia="en-AU"/>
              </w:rPr>
              <w:t>)</w:t>
            </w:r>
          </w:p>
        </w:tc>
        <w:tc>
          <w:tcPr>
            <w:tcW w:w="1207" w:type="dxa"/>
            <w:gridSpan w:val="2"/>
            <w:shd w:val="clear" w:color="auto" w:fill="auto"/>
            <w:noWrap/>
            <w:vAlign w:val="bottom"/>
          </w:tcPr>
          <w:p w14:paraId="1722A334"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$380</w:t>
            </w:r>
          </w:p>
        </w:tc>
        <w:tc>
          <w:tcPr>
            <w:tcW w:w="1207" w:type="dxa"/>
            <w:shd w:val="clear" w:color="auto" w:fill="auto"/>
            <w:noWrap/>
            <w:vAlign w:val="bottom"/>
          </w:tcPr>
          <w:p w14:paraId="26DBC22E"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Pr>
                <w:rFonts w:ascii="Calibri" w:eastAsia="Times New Roman" w:hAnsi="Calibri" w:cs="Calibri"/>
                <w:color w:val="000000" w:themeColor="text1"/>
                <w:sz w:val="18"/>
                <w:szCs w:val="18"/>
                <w:lang w:eastAsia="en-AU"/>
              </w:rPr>
              <w:t>$400</w:t>
            </w:r>
          </w:p>
        </w:tc>
      </w:tr>
      <w:tr w:rsidR="00BC26FE" w:rsidRPr="00F662D9" w14:paraId="30269608" w14:textId="77777777">
        <w:trPr>
          <w:trHeight w:val="300"/>
        </w:trPr>
        <w:tc>
          <w:tcPr>
            <w:tcW w:w="5524" w:type="dxa"/>
            <w:gridSpan w:val="2"/>
            <w:shd w:val="clear" w:color="auto" w:fill="auto"/>
            <w:noWrap/>
            <w:vAlign w:val="bottom"/>
            <w:hideMark/>
          </w:tcPr>
          <w:p w14:paraId="5D6714FB"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60" w:name="_Toc146545989"/>
            <w:bookmarkStart w:id="61" w:name="_Toc146552258"/>
            <w:r w:rsidRPr="00F662D9">
              <w:rPr>
                <w:rFonts w:ascii="Calibri" w:eastAsia="Times New Roman" w:hAnsi="Calibri" w:cs="Calibri"/>
                <w:color w:val="000000"/>
                <w:sz w:val="18"/>
                <w:szCs w:val="18"/>
                <w:lang w:eastAsia="en-AU"/>
              </w:rPr>
              <w:t xml:space="preserve">Patent Standard Application </w:t>
            </w:r>
            <w:bookmarkEnd w:id="60"/>
            <w:bookmarkEnd w:id="61"/>
            <w:r>
              <w:rPr>
                <w:rFonts w:ascii="Calibri" w:hAnsi="Calibri" w:cs="Calibri"/>
                <w:color w:val="000000"/>
                <w:sz w:val="18"/>
                <w:szCs w:val="18"/>
              </w:rPr>
              <w:t>(by preferred means)</w:t>
            </w:r>
          </w:p>
        </w:tc>
        <w:tc>
          <w:tcPr>
            <w:tcW w:w="1207" w:type="dxa"/>
            <w:gridSpan w:val="2"/>
            <w:shd w:val="clear" w:color="auto" w:fill="auto"/>
            <w:noWrap/>
            <w:vAlign w:val="bottom"/>
            <w:hideMark/>
          </w:tcPr>
          <w:p w14:paraId="569CC91C"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62" w:name="_Toc146545990"/>
            <w:bookmarkStart w:id="63" w:name="_Toc146552259"/>
            <w:r w:rsidRPr="00F662D9">
              <w:rPr>
                <w:rFonts w:ascii="Calibri" w:eastAsia="Times New Roman" w:hAnsi="Calibri" w:cs="Calibri"/>
                <w:color w:val="000000"/>
                <w:sz w:val="18"/>
                <w:szCs w:val="18"/>
                <w:lang w:eastAsia="en-AU"/>
              </w:rPr>
              <w:t>$370</w:t>
            </w:r>
            <w:bookmarkEnd w:id="62"/>
            <w:bookmarkEnd w:id="63"/>
          </w:p>
        </w:tc>
        <w:tc>
          <w:tcPr>
            <w:tcW w:w="1207" w:type="dxa"/>
            <w:shd w:val="clear" w:color="auto" w:fill="auto"/>
            <w:noWrap/>
            <w:vAlign w:val="bottom"/>
            <w:hideMark/>
          </w:tcPr>
          <w:p w14:paraId="57DC0E8A"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64" w:name="_Toc146545991"/>
            <w:bookmarkStart w:id="65" w:name="_Toc146552260"/>
            <w:r w:rsidRPr="00F662D9">
              <w:rPr>
                <w:rFonts w:ascii="Calibri" w:eastAsia="Times New Roman" w:hAnsi="Calibri" w:cs="Calibri"/>
                <w:color w:val="000000" w:themeColor="text1"/>
                <w:sz w:val="18"/>
                <w:szCs w:val="18"/>
                <w:lang w:eastAsia="en-AU"/>
              </w:rPr>
              <w:t>$400</w:t>
            </w:r>
            <w:bookmarkEnd w:id="64"/>
            <w:bookmarkEnd w:id="65"/>
          </w:p>
        </w:tc>
      </w:tr>
      <w:tr w:rsidR="00BC26FE" w:rsidRPr="00F662D9" w14:paraId="4E7148DE" w14:textId="77777777">
        <w:trPr>
          <w:trHeight w:val="300"/>
        </w:trPr>
        <w:tc>
          <w:tcPr>
            <w:tcW w:w="5524" w:type="dxa"/>
            <w:gridSpan w:val="2"/>
            <w:shd w:val="clear" w:color="auto" w:fill="auto"/>
            <w:noWrap/>
            <w:vAlign w:val="bottom"/>
          </w:tcPr>
          <w:p w14:paraId="535678D6"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xml:space="preserve">Patent Standard Application </w:t>
            </w:r>
            <w:r>
              <w:rPr>
                <w:rFonts w:ascii="Calibri" w:eastAsia="Times New Roman" w:hAnsi="Calibri" w:cs="Calibri"/>
                <w:color w:val="000000"/>
                <w:sz w:val="18"/>
                <w:szCs w:val="18"/>
                <w:lang w:eastAsia="en-AU"/>
              </w:rPr>
              <w:t>(by another m</w:t>
            </w:r>
            <w:r w:rsidRPr="00F662D9">
              <w:rPr>
                <w:rFonts w:ascii="Calibri" w:eastAsia="Times New Roman" w:hAnsi="Calibri" w:cs="Calibri"/>
                <w:color w:val="000000"/>
                <w:sz w:val="18"/>
                <w:szCs w:val="18"/>
                <w:lang w:eastAsia="en-AU"/>
              </w:rPr>
              <w:t>eans</w:t>
            </w:r>
            <w:r>
              <w:rPr>
                <w:rFonts w:ascii="Calibri" w:eastAsia="Times New Roman" w:hAnsi="Calibri" w:cs="Calibri"/>
                <w:color w:val="000000"/>
                <w:sz w:val="18"/>
                <w:szCs w:val="18"/>
                <w:lang w:eastAsia="en-AU"/>
              </w:rPr>
              <w:t>)</w:t>
            </w:r>
          </w:p>
        </w:tc>
        <w:tc>
          <w:tcPr>
            <w:tcW w:w="1207" w:type="dxa"/>
            <w:gridSpan w:val="2"/>
            <w:shd w:val="clear" w:color="auto" w:fill="auto"/>
            <w:noWrap/>
            <w:vAlign w:val="bottom"/>
          </w:tcPr>
          <w:p w14:paraId="376691F8"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$570</w:t>
            </w:r>
          </w:p>
        </w:tc>
        <w:tc>
          <w:tcPr>
            <w:tcW w:w="1207" w:type="dxa"/>
            <w:shd w:val="clear" w:color="auto" w:fill="auto"/>
            <w:noWrap/>
            <w:vAlign w:val="bottom"/>
          </w:tcPr>
          <w:p w14:paraId="74FAA3F8"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$600</w:t>
            </w:r>
          </w:p>
        </w:tc>
      </w:tr>
      <w:tr w:rsidR="00BC26FE" w:rsidRPr="00F662D9" w14:paraId="4B045FA8" w14:textId="77777777">
        <w:trPr>
          <w:trHeight w:val="300"/>
        </w:trPr>
        <w:tc>
          <w:tcPr>
            <w:tcW w:w="5524" w:type="dxa"/>
            <w:gridSpan w:val="2"/>
            <w:shd w:val="clear" w:color="auto" w:fill="auto"/>
            <w:noWrap/>
            <w:vAlign w:val="bottom"/>
            <w:hideMark/>
          </w:tcPr>
          <w:p w14:paraId="6B055C84"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66" w:name="_Toc146545992"/>
            <w:bookmarkStart w:id="67" w:name="_Toc146552261"/>
            <w:r w:rsidRPr="00F662D9">
              <w:rPr>
                <w:rFonts w:ascii="Calibri" w:eastAsia="Times New Roman" w:hAnsi="Calibri" w:cs="Calibri"/>
                <w:color w:val="000000"/>
                <w:sz w:val="18"/>
                <w:szCs w:val="18"/>
                <w:lang w:eastAsia="en-AU"/>
              </w:rPr>
              <w:t xml:space="preserve">Patent NPE </w:t>
            </w:r>
            <w:r>
              <w:rPr>
                <w:rFonts w:ascii="Calibri" w:eastAsia="Times New Roman" w:hAnsi="Calibri" w:cs="Calibri"/>
                <w:color w:val="000000"/>
                <w:sz w:val="18"/>
                <w:szCs w:val="18"/>
                <w:lang w:eastAsia="en-AU"/>
              </w:rPr>
              <w:t>(by preferred m</w:t>
            </w:r>
            <w:r w:rsidRPr="00F662D9">
              <w:rPr>
                <w:rFonts w:ascii="Calibri" w:eastAsia="Times New Roman" w:hAnsi="Calibri" w:cs="Calibri"/>
                <w:color w:val="000000"/>
                <w:sz w:val="18"/>
                <w:szCs w:val="18"/>
                <w:lang w:eastAsia="en-AU"/>
              </w:rPr>
              <w:t>eans</w:t>
            </w:r>
            <w:r>
              <w:rPr>
                <w:rFonts w:ascii="Calibri" w:eastAsia="Times New Roman" w:hAnsi="Calibri" w:cs="Calibri"/>
                <w:color w:val="000000"/>
                <w:sz w:val="18"/>
                <w:szCs w:val="18"/>
                <w:lang w:eastAsia="en-AU"/>
              </w:rPr>
              <w:t>)</w:t>
            </w:r>
            <w:bookmarkEnd w:id="66"/>
            <w:bookmarkEnd w:id="67"/>
          </w:p>
        </w:tc>
        <w:tc>
          <w:tcPr>
            <w:tcW w:w="1207" w:type="dxa"/>
            <w:gridSpan w:val="2"/>
            <w:shd w:val="clear" w:color="auto" w:fill="auto"/>
            <w:noWrap/>
            <w:vAlign w:val="bottom"/>
            <w:hideMark/>
          </w:tcPr>
          <w:p w14:paraId="47BB150F"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68" w:name="_Toc146545993"/>
            <w:bookmarkStart w:id="69" w:name="_Toc146552262"/>
            <w:r w:rsidRPr="00F662D9">
              <w:rPr>
                <w:rFonts w:ascii="Calibri" w:eastAsia="Times New Roman" w:hAnsi="Calibri" w:cs="Calibri"/>
                <w:color w:val="000000"/>
                <w:sz w:val="18"/>
                <w:szCs w:val="18"/>
                <w:lang w:eastAsia="en-AU"/>
              </w:rPr>
              <w:t>$</w:t>
            </w:r>
            <w:r>
              <w:rPr>
                <w:rFonts w:ascii="Calibri" w:eastAsia="Times New Roman" w:hAnsi="Calibri" w:cs="Calibri"/>
                <w:color w:val="000000"/>
                <w:sz w:val="18"/>
                <w:szCs w:val="18"/>
                <w:lang w:eastAsia="en-AU"/>
              </w:rPr>
              <w:t>3</w:t>
            </w:r>
            <w:r w:rsidRPr="00F662D9">
              <w:rPr>
                <w:rFonts w:ascii="Calibri" w:eastAsia="Times New Roman" w:hAnsi="Calibri" w:cs="Calibri"/>
                <w:color w:val="000000"/>
                <w:sz w:val="18"/>
                <w:szCs w:val="18"/>
                <w:lang w:eastAsia="en-AU"/>
              </w:rPr>
              <w:t>70</w:t>
            </w:r>
            <w:bookmarkEnd w:id="68"/>
            <w:bookmarkEnd w:id="69"/>
          </w:p>
        </w:tc>
        <w:tc>
          <w:tcPr>
            <w:tcW w:w="1207" w:type="dxa"/>
            <w:shd w:val="clear" w:color="auto" w:fill="auto"/>
            <w:noWrap/>
            <w:vAlign w:val="bottom"/>
            <w:hideMark/>
          </w:tcPr>
          <w:p w14:paraId="6F23C9DF"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70" w:name="_Toc146545994"/>
            <w:bookmarkStart w:id="71" w:name="_Toc146552263"/>
            <w:r w:rsidRPr="00F662D9">
              <w:rPr>
                <w:rFonts w:ascii="Calibri" w:eastAsia="Times New Roman" w:hAnsi="Calibri" w:cs="Calibri"/>
                <w:color w:val="000000" w:themeColor="text1"/>
                <w:sz w:val="18"/>
                <w:szCs w:val="18"/>
                <w:lang w:eastAsia="en-AU"/>
              </w:rPr>
              <w:t>$</w:t>
            </w:r>
            <w:r>
              <w:rPr>
                <w:rFonts w:ascii="Calibri" w:eastAsia="Times New Roman" w:hAnsi="Calibri" w:cs="Calibri"/>
                <w:color w:val="000000" w:themeColor="text1"/>
                <w:sz w:val="18"/>
                <w:szCs w:val="18"/>
                <w:lang w:eastAsia="en-AU"/>
              </w:rPr>
              <w:t>4</w:t>
            </w:r>
            <w:r w:rsidRPr="00F662D9">
              <w:rPr>
                <w:rFonts w:ascii="Calibri" w:eastAsia="Times New Roman" w:hAnsi="Calibri" w:cs="Calibri"/>
                <w:color w:val="000000" w:themeColor="text1"/>
                <w:sz w:val="18"/>
                <w:szCs w:val="18"/>
                <w:lang w:eastAsia="en-AU"/>
              </w:rPr>
              <w:t>00</w:t>
            </w:r>
            <w:bookmarkEnd w:id="70"/>
            <w:bookmarkEnd w:id="71"/>
          </w:p>
        </w:tc>
      </w:tr>
      <w:tr w:rsidR="00BC26FE" w:rsidRPr="00F662D9" w14:paraId="4038D776" w14:textId="77777777">
        <w:trPr>
          <w:trHeight w:val="300"/>
        </w:trPr>
        <w:tc>
          <w:tcPr>
            <w:tcW w:w="5524" w:type="dxa"/>
            <w:gridSpan w:val="2"/>
            <w:shd w:val="clear" w:color="auto" w:fill="auto"/>
            <w:noWrap/>
            <w:vAlign w:val="bottom"/>
            <w:hideMark/>
          </w:tcPr>
          <w:p w14:paraId="01D67C63"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72" w:name="_Toc146545995"/>
            <w:bookmarkStart w:id="73" w:name="_Toc146552264"/>
            <w:r w:rsidRPr="00F662D9">
              <w:rPr>
                <w:rFonts w:ascii="Calibri" w:eastAsia="Times New Roman" w:hAnsi="Calibri" w:cs="Calibri"/>
                <w:color w:val="000000"/>
                <w:sz w:val="18"/>
                <w:szCs w:val="18"/>
                <w:lang w:eastAsia="en-AU"/>
              </w:rPr>
              <w:t xml:space="preserve">Patent NPE </w:t>
            </w:r>
            <w:r>
              <w:rPr>
                <w:rFonts w:ascii="Calibri" w:hAnsi="Calibri" w:cs="Calibri"/>
                <w:color w:val="000000"/>
                <w:sz w:val="18"/>
                <w:szCs w:val="18"/>
              </w:rPr>
              <w:t>(by another means)</w:t>
            </w:r>
            <w:bookmarkEnd w:id="72"/>
            <w:bookmarkEnd w:id="73"/>
          </w:p>
        </w:tc>
        <w:tc>
          <w:tcPr>
            <w:tcW w:w="1207" w:type="dxa"/>
            <w:gridSpan w:val="2"/>
            <w:shd w:val="clear" w:color="auto" w:fill="auto"/>
            <w:noWrap/>
            <w:vAlign w:val="bottom"/>
            <w:hideMark/>
          </w:tcPr>
          <w:p w14:paraId="1C6E98F7"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74" w:name="_Toc146545996"/>
            <w:bookmarkStart w:id="75" w:name="_Toc146552265"/>
            <w:r w:rsidRPr="00F662D9">
              <w:rPr>
                <w:rFonts w:ascii="Calibri" w:eastAsia="Times New Roman" w:hAnsi="Calibri" w:cs="Calibri"/>
                <w:color w:val="000000"/>
                <w:sz w:val="18"/>
                <w:szCs w:val="18"/>
                <w:lang w:eastAsia="en-AU"/>
              </w:rPr>
              <w:t>$</w:t>
            </w:r>
            <w:r>
              <w:rPr>
                <w:rFonts w:ascii="Calibri" w:eastAsia="Times New Roman" w:hAnsi="Calibri" w:cs="Calibri"/>
                <w:color w:val="000000"/>
                <w:sz w:val="18"/>
                <w:szCs w:val="18"/>
                <w:lang w:eastAsia="en-AU"/>
              </w:rPr>
              <w:t>5</w:t>
            </w:r>
            <w:r w:rsidRPr="00F662D9">
              <w:rPr>
                <w:rFonts w:ascii="Calibri" w:eastAsia="Times New Roman" w:hAnsi="Calibri" w:cs="Calibri"/>
                <w:color w:val="000000"/>
                <w:sz w:val="18"/>
                <w:szCs w:val="18"/>
                <w:lang w:eastAsia="en-AU"/>
              </w:rPr>
              <w:t>70</w:t>
            </w:r>
            <w:bookmarkEnd w:id="74"/>
            <w:bookmarkEnd w:id="75"/>
          </w:p>
        </w:tc>
        <w:tc>
          <w:tcPr>
            <w:tcW w:w="1207" w:type="dxa"/>
            <w:shd w:val="clear" w:color="auto" w:fill="auto"/>
            <w:noWrap/>
            <w:vAlign w:val="bottom"/>
            <w:hideMark/>
          </w:tcPr>
          <w:p w14:paraId="59EEFBA5"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76" w:name="_Toc146545997"/>
            <w:bookmarkStart w:id="77" w:name="_Toc146552266"/>
            <w:r w:rsidRPr="00F662D9">
              <w:rPr>
                <w:rFonts w:ascii="Calibri" w:eastAsia="Times New Roman" w:hAnsi="Calibri" w:cs="Calibri"/>
                <w:color w:val="000000" w:themeColor="text1"/>
                <w:sz w:val="18"/>
                <w:szCs w:val="18"/>
                <w:lang w:eastAsia="en-AU"/>
              </w:rPr>
              <w:t>$</w:t>
            </w:r>
            <w:r>
              <w:rPr>
                <w:rFonts w:ascii="Calibri" w:eastAsia="Times New Roman" w:hAnsi="Calibri" w:cs="Calibri"/>
                <w:color w:val="000000" w:themeColor="text1"/>
                <w:sz w:val="18"/>
                <w:szCs w:val="18"/>
                <w:lang w:eastAsia="en-AU"/>
              </w:rPr>
              <w:t>6</w:t>
            </w:r>
            <w:r w:rsidRPr="00F662D9">
              <w:rPr>
                <w:rFonts w:ascii="Calibri" w:eastAsia="Times New Roman" w:hAnsi="Calibri" w:cs="Calibri"/>
                <w:color w:val="000000" w:themeColor="text1"/>
                <w:sz w:val="18"/>
                <w:szCs w:val="18"/>
                <w:lang w:eastAsia="en-AU"/>
              </w:rPr>
              <w:t>00</w:t>
            </w:r>
            <w:bookmarkEnd w:id="76"/>
            <w:bookmarkEnd w:id="77"/>
          </w:p>
        </w:tc>
      </w:tr>
      <w:tr w:rsidR="00BC26FE" w:rsidRPr="00F662D9" w14:paraId="0771FDD3" w14:textId="77777777">
        <w:trPr>
          <w:trHeight w:val="227"/>
        </w:trPr>
        <w:tc>
          <w:tcPr>
            <w:tcW w:w="5524" w:type="dxa"/>
            <w:gridSpan w:val="2"/>
            <w:shd w:val="clear" w:color="auto" w:fill="auto"/>
            <w:noWrap/>
            <w:vAlign w:val="bottom"/>
            <w:hideMark/>
          </w:tcPr>
          <w:p w14:paraId="5FAEA0A2"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gridSpan w:val="2"/>
            <w:shd w:val="clear" w:color="auto" w:fill="auto"/>
            <w:noWrap/>
            <w:vAlign w:val="bottom"/>
            <w:hideMark/>
          </w:tcPr>
          <w:p w14:paraId="49554DBA"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shd w:val="clear" w:color="auto" w:fill="auto"/>
            <w:noWrap/>
            <w:vAlign w:val="bottom"/>
            <w:hideMark/>
          </w:tcPr>
          <w:p w14:paraId="6893C178"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 </w:t>
            </w:r>
          </w:p>
        </w:tc>
      </w:tr>
      <w:tr w:rsidR="00BC26FE" w:rsidRPr="00F662D9" w14:paraId="69C5C467" w14:textId="77777777">
        <w:trPr>
          <w:trHeight w:val="300"/>
        </w:trPr>
        <w:tc>
          <w:tcPr>
            <w:tcW w:w="5524" w:type="dxa"/>
            <w:gridSpan w:val="2"/>
            <w:shd w:val="clear" w:color="000000" w:fill="D9D9D9"/>
            <w:noWrap/>
            <w:vAlign w:val="bottom"/>
            <w:hideMark/>
          </w:tcPr>
          <w:p w14:paraId="3B234A57" w14:textId="77777777" w:rsidR="00BC26FE" w:rsidRPr="00F662D9" w:rsidRDefault="00BC26FE">
            <w:pPr>
              <w:spacing w:after="0" w:line="240" w:lineRule="auto"/>
              <w:ind w:firstLineChars="100" w:firstLine="180"/>
              <w:outlineLvl w:val="0"/>
              <w:rPr>
                <w:rFonts w:ascii="Calibri" w:eastAsia="Times New Roman" w:hAnsi="Calibri" w:cs="Calibri"/>
                <w:color w:val="0070C0"/>
                <w:sz w:val="18"/>
                <w:szCs w:val="18"/>
                <w:lang w:eastAsia="en-AU"/>
              </w:rPr>
            </w:pPr>
            <w:bookmarkStart w:id="78" w:name="_Toc146546010"/>
            <w:bookmarkStart w:id="79" w:name="_Toc146552279"/>
            <w:r w:rsidRPr="00AB7D56">
              <w:rPr>
                <w:rFonts w:ascii="Calibri" w:eastAsia="Times New Roman" w:hAnsi="Calibri" w:cs="Calibri"/>
                <w:color w:val="1F3864" w:themeColor="accent1" w:themeShade="80"/>
                <w:sz w:val="18"/>
                <w:szCs w:val="18"/>
                <w:lang w:eastAsia="en-AU"/>
              </w:rPr>
              <w:t>Change to Patent Exam fees</w:t>
            </w:r>
            <w:bookmarkEnd w:id="78"/>
            <w:bookmarkEnd w:id="79"/>
          </w:p>
        </w:tc>
        <w:tc>
          <w:tcPr>
            <w:tcW w:w="1207" w:type="dxa"/>
            <w:gridSpan w:val="2"/>
            <w:shd w:val="clear" w:color="000000" w:fill="D9D9D9"/>
            <w:noWrap/>
            <w:vAlign w:val="bottom"/>
            <w:hideMark/>
          </w:tcPr>
          <w:p w14:paraId="53E7B868"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shd w:val="clear" w:color="000000" w:fill="D9D9D9"/>
            <w:noWrap/>
            <w:vAlign w:val="bottom"/>
            <w:hideMark/>
          </w:tcPr>
          <w:p w14:paraId="7B9A4E96"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 </w:t>
            </w:r>
          </w:p>
        </w:tc>
      </w:tr>
      <w:tr w:rsidR="00BC26FE" w:rsidRPr="00F662D9" w14:paraId="754DA5C7" w14:textId="77777777">
        <w:trPr>
          <w:trHeight w:val="300"/>
        </w:trPr>
        <w:tc>
          <w:tcPr>
            <w:tcW w:w="5524" w:type="dxa"/>
            <w:gridSpan w:val="2"/>
            <w:shd w:val="clear" w:color="auto" w:fill="auto"/>
            <w:noWrap/>
            <w:vAlign w:val="bottom"/>
          </w:tcPr>
          <w:p w14:paraId="630CA39E"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80" w:name="_Toc146546017"/>
            <w:bookmarkStart w:id="81" w:name="_Toc146552286"/>
            <w:r w:rsidRPr="00F662D9">
              <w:rPr>
                <w:rFonts w:ascii="Calibri" w:eastAsia="Times New Roman" w:hAnsi="Calibri" w:cs="Calibri"/>
                <w:color w:val="000000"/>
                <w:sz w:val="18"/>
                <w:szCs w:val="18"/>
                <w:lang w:eastAsia="en-AU"/>
              </w:rPr>
              <w:t>Patent Standard Exam - with IPE Report</w:t>
            </w:r>
            <w:bookmarkEnd w:id="80"/>
            <w:bookmarkEnd w:id="81"/>
          </w:p>
        </w:tc>
        <w:tc>
          <w:tcPr>
            <w:tcW w:w="1207" w:type="dxa"/>
            <w:gridSpan w:val="2"/>
            <w:shd w:val="clear" w:color="auto" w:fill="auto"/>
            <w:noWrap/>
            <w:vAlign w:val="bottom"/>
          </w:tcPr>
          <w:p w14:paraId="76EDDC6E"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82" w:name="_Toc146546018"/>
            <w:bookmarkStart w:id="83" w:name="_Toc146552287"/>
            <w:r w:rsidRPr="00F662D9">
              <w:rPr>
                <w:rFonts w:ascii="Calibri" w:eastAsia="Times New Roman" w:hAnsi="Calibri" w:cs="Calibri"/>
                <w:color w:val="000000"/>
                <w:sz w:val="18"/>
                <w:szCs w:val="18"/>
                <w:lang w:eastAsia="en-AU"/>
              </w:rPr>
              <w:t>$300</w:t>
            </w:r>
            <w:bookmarkEnd w:id="82"/>
            <w:bookmarkEnd w:id="83"/>
          </w:p>
        </w:tc>
        <w:tc>
          <w:tcPr>
            <w:tcW w:w="1207" w:type="dxa"/>
            <w:shd w:val="clear" w:color="auto" w:fill="auto"/>
            <w:noWrap/>
            <w:vAlign w:val="bottom"/>
          </w:tcPr>
          <w:p w14:paraId="1E2E67B7"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84" w:name="_Toc146546019"/>
            <w:bookmarkStart w:id="85" w:name="_Toc146552288"/>
            <w:r w:rsidRPr="00F662D9">
              <w:rPr>
                <w:rFonts w:ascii="Calibri" w:eastAsia="Times New Roman" w:hAnsi="Calibri" w:cs="Calibri"/>
                <w:color w:val="000000" w:themeColor="text1"/>
                <w:sz w:val="18"/>
                <w:szCs w:val="18"/>
                <w:lang w:eastAsia="en-AU"/>
              </w:rPr>
              <w:t>$350</w:t>
            </w:r>
            <w:bookmarkEnd w:id="84"/>
            <w:bookmarkEnd w:id="85"/>
          </w:p>
        </w:tc>
      </w:tr>
      <w:tr w:rsidR="00BC26FE" w:rsidRPr="00F662D9" w14:paraId="2D9881D2" w14:textId="77777777">
        <w:trPr>
          <w:trHeight w:val="300"/>
        </w:trPr>
        <w:tc>
          <w:tcPr>
            <w:tcW w:w="5524" w:type="dxa"/>
            <w:gridSpan w:val="2"/>
            <w:shd w:val="clear" w:color="auto" w:fill="auto"/>
            <w:noWrap/>
            <w:vAlign w:val="bottom"/>
            <w:hideMark/>
          </w:tcPr>
          <w:p w14:paraId="3EDDBC61"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86" w:name="_Toc146546011"/>
            <w:bookmarkStart w:id="87" w:name="_Toc146552280"/>
            <w:r w:rsidRPr="00F662D9">
              <w:rPr>
                <w:rFonts w:ascii="Calibri" w:eastAsia="Times New Roman" w:hAnsi="Calibri" w:cs="Calibri"/>
                <w:color w:val="000000"/>
                <w:sz w:val="18"/>
                <w:szCs w:val="18"/>
                <w:lang w:eastAsia="en-AU"/>
              </w:rPr>
              <w:t>Patent Standard Exam - Full Exam</w:t>
            </w:r>
            <w:bookmarkEnd w:id="86"/>
            <w:bookmarkEnd w:id="87"/>
          </w:p>
        </w:tc>
        <w:tc>
          <w:tcPr>
            <w:tcW w:w="1207" w:type="dxa"/>
            <w:gridSpan w:val="2"/>
            <w:shd w:val="clear" w:color="auto" w:fill="auto"/>
            <w:noWrap/>
            <w:vAlign w:val="bottom"/>
            <w:hideMark/>
          </w:tcPr>
          <w:p w14:paraId="5B909D18"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88" w:name="_Toc146546012"/>
            <w:bookmarkStart w:id="89" w:name="_Toc146552281"/>
            <w:r w:rsidRPr="00F662D9">
              <w:rPr>
                <w:rFonts w:ascii="Calibri" w:eastAsia="Times New Roman" w:hAnsi="Calibri" w:cs="Calibri"/>
                <w:color w:val="000000"/>
                <w:sz w:val="18"/>
                <w:szCs w:val="18"/>
                <w:lang w:eastAsia="en-AU"/>
              </w:rPr>
              <w:t>$490</w:t>
            </w:r>
            <w:bookmarkEnd w:id="88"/>
            <w:bookmarkEnd w:id="89"/>
          </w:p>
        </w:tc>
        <w:tc>
          <w:tcPr>
            <w:tcW w:w="1207" w:type="dxa"/>
            <w:shd w:val="clear" w:color="auto" w:fill="auto"/>
            <w:noWrap/>
            <w:vAlign w:val="bottom"/>
            <w:hideMark/>
          </w:tcPr>
          <w:p w14:paraId="55E782FA"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90" w:name="_Toc146546013"/>
            <w:bookmarkStart w:id="91" w:name="_Toc146552282"/>
            <w:r w:rsidRPr="00F662D9">
              <w:rPr>
                <w:rFonts w:ascii="Calibri" w:eastAsia="Times New Roman" w:hAnsi="Calibri" w:cs="Calibri"/>
                <w:color w:val="000000" w:themeColor="text1"/>
                <w:sz w:val="18"/>
                <w:szCs w:val="18"/>
                <w:lang w:eastAsia="en-AU"/>
              </w:rPr>
              <w:t>$550</w:t>
            </w:r>
            <w:bookmarkEnd w:id="90"/>
            <w:bookmarkEnd w:id="91"/>
          </w:p>
        </w:tc>
      </w:tr>
      <w:tr w:rsidR="00BC26FE" w:rsidRPr="00F662D9" w14:paraId="2D243C21" w14:textId="77777777">
        <w:trPr>
          <w:trHeight w:val="300"/>
        </w:trPr>
        <w:tc>
          <w:tcPr>
            <w:tcW w:w="5524" w:type="dxa"/>
            <w:gridSpan w:val="2"/>
            <w:shd w:val="clear" w:color="auto" w:fill="auto"/>
            <w:noWrap/>
            <w:vAlign w:val="bottom"/>
          </w:tcPr>
          <w:p w14:paraId="4EB91654"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r w:rsidRPr="00882448">
              <w:rPr>
                <w:rFonts w:ascii="Calibri" w:eastAsia="Times New Roman" w:hAnsi="Calibri" w:cs="Calibri"/>
                <w:color w:val="000000"/>
                <w:sz w:val="18"/>
                <w:szCs w:val="18"/>
                <w:lang w:eastAsia="en-AU"/>
              </w:rPr>
              <w:t>Patent Innovation Exam - Patentee</w:t>
            </w:r>
          </w:p>
        </w:tc>
        <w:tc>
          <w:tcPr>
            <w:tcW w:w="1207" w:type="dxa"/>
            <w:gridSpan w:val="2"/>
            <w:shd w:val="clear" w:color="auto" w:fill="auto"/>
            <w:noWrap/>
            <w:vAlign w:val="bottom"/>
          </w:tcPr>
          <w:p w14:paraId="2D9A6178"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 xml:space="preserve"> $500</w:t>
            </w:r>
          </w:p>
        </w:tc>
        <w:tc>
          <w:tcPr>
            <w:tcW w:w="1207" w:type="dxa"/>
            <w:shd w:val="clear" w:color="auto" w:fill="auto"/>
            <w:noWrap/>
            <w:vAlign w:val="bottom"/>
          </w:tcPr>
          <w:p w14:paraId="169A00FA"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Pr>
                <w:rFonts w:ascii="Calibri" w:eastAsia="Times New Roman" w:hAnsi="Calibri" w:cs="Calibri"/>
                <w:color w:val="000000"/>
                <w:sz w:val="18"/>
                <w:szCs w:val="18"/>
                <w:lang w:eastAsia="en-AU"/>
              </w:rPr>
              <w:t>$550</w:t>
            </w:r>
          </w:p>
        </w:tc>
      </w:tr>
      <w:tr w:rsidR="00BC26FE" w:rsidRPr="00F662D9" w14:paraId="40E7A491" w14:textId="77777777">
        <w:trPr>
          <w:trHeight w:val="300"/>
        </w:trPr>
        <w:tc>
          <w:tcPr>
            <w:tcW w:w="5524" w:type="dxa"/>
            <w:gridSpan w:val="2"/>
            <w:shd w:val="clear" w:color="auto" w:fill="auto"/>
            <w:noWrap/>
            <w:vAlign w:val="bottom"/>
          </w:tcPr>
          <w:p w14:paraId="62239880"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r w:rsidRPr="00882448">
              <w:rPr>
                <w:rFonts w:ascii="Calibri" w:eastAsia="Times New Roman" w:hAnsi="Calibri" w:cs="Calibri"/>
                <w:color w:val="000000"/>
                <w:sz w:val="18"/>
                <w:szCs w:val="18"/>
                <w:lang w:eastAsia="en-AU"/>
              </w:rPr>
              <w:t>Patent Innovation Exam - 3rd Party (Patentee)</w:t>
            </w:r>
          </w:p>
        </w:tc>
        <w:tc>
          <w:tcPr>
            <w:tcW w:w="1207" w:type="dxa"/>
            <w:gridSpan w:val="2"/>
            <w:shd w:val="clear" w:color="auto" w:fill="auto"/>
            <w:noWrap/>
            <w:vAlign w:val="bottom"/>
          </w:tcPr>
          <w:p w14:paraId="0A9E5087"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$250</w:t>
            </w:r>
          </w:p>
        </w:tc>
        <w:tc>
          <w:tcPr>
            <w:tcW w:w="1207" w:type="dxa"/>
            <w:shd w:val="clear" w:color="auto" w:fill="auto"/>
            <w:noWrap/>
            <w:vAlign w:val="bottom"/>
          </w:tcPr>
          <w:p w14:paraId="7683FF57"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Pr>
                <w:rFonts w:ascii="Calibri" w:eastAsia="Times New Roman" w:hAnsi="Calibri" w:cs="Calibri"/>
                <w:color w:val="000000"/>
                <w:sz w:val="18"/>
                <w:szCs w:val="18"/>
                <w:lang w:eastAsia="en-AU"/>
              </w:rPr>
              <w:t>$275</w:t>
            </w:r>
          </w:p>
        </w:tc>
      </w:tr>
      <w:tr w:rsidR="00BC26FE" w:rsidRPr="00F662D9" w14:paraId="678F7261" w14:textId="77777777">
        <w:trPr>
          <w:trHeight w:val="300"/>
        </w:trPr>
        <w:tc>
          <w:tcPr>
            <w:tcW w:w="5524" w:type="dxa"/>
            <w:gridSpan w:val="2"/>
            <w:shd w:val="clear" w:color="auto" w:fill="auto"/>
            <w:noWrap/>
            <w:vAlign w:val="bottom"/>
          </w:tcPr>
          <w:p w14:paraId="11A1212D"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r w:rsidRPr="00882448">
              <w:rPr>
                <w:rFonts w:ascii="Calibri" w:eastAsia="Times New Roman" w:hAnsi="Calibri" w:cs="Calibri"/>
                <w:color w:val="000000"/>
                <w:sz w:val="18"/>
                <w:szCs w:val="18"/>
                <w:lang w:eastAsia="en-AU"/>
              </w:rPr>
              <w:t>Patent Innovation Exam - 3rd Party (3rd Party)</w:t>
            </w:r>
          </w:p>
        </w:tc>
        <w:tc>
          <w:tcPr>
            <w:tcW w:w="1207" w:type="dxa"/>
            <w:gridSpan w:val="2"/>
            <w:shd w:val="clear" w:color="auto" w:fill="auto"/>
            <w:noWrap/>
            <w:vAlign w:val="bottom"/>
          </w:tcPr>
          <w:p w14:paraId="6D826E4C"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$250</w:t>
            </w:r>
          </w:p>
        </w:tc>
        <w:tc>
          <w:tcPr>
            <w:tcW w:w="1207" w:type="dxa"/>
            <w:shd w:val="clear" w:color="auto" w:fill="auto"/>
            <w:noWrap/>
            <w:vAlign w:val="bottom"/>
          </w:tcPr>
          <w:p w14:paraId="3FCE473B"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Pr>
                <w:rFonts w:ascii="Calibri" w:eastAsia="Times New Roman" w:hAnsi="Calibri" w:cs="Calibri"/>
                <w:color w:val="000000"/>
                <w:sz w:val="18"/>
                <w:szCs w:val="18"/>
                <w:lang w:eastAsia="en-AU"/>
              </w:rPr>
              <w:t>$275</w:t>
            </w:r>
          </w:p>
        </w:tc>
      </w:tr>
      <w:tr w:rsidR="00BC26FE" w:rsidRPr="00F662D9" w14:paraId="3849E124" w14:textId="77777777">
        <w:trPr>
          <w:trHeight w:val="300"/>
        </w:trPr>
        <w:tc>
          <w:tcPr>
            <w:tcW w:w="5524" w:type="dxa"/>
            <w:gridSpan w:val="2"/>
            <w:shd w:val="clear" w:color="auto" w:fill="auto"/>
            <w:noWrap/>
            <w:vAlign w:val="bottom"/>
            <w:hideMark/>
          </w:tcPr>
          <w:p w14:paraId="0523EC2D"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92" w:name="_Toc146546014"/>
            <w:bookmarkStart w:id="93" w:name="_Toc146552283"/>
            <w:r w:rsidRPr="00F662D9">
              <w:rPr>
                <w:rFonts w:ascii="Calibri" w:eastAsia="Times New Roman" w:hAnsi="Calibri" w:cs="Calibri"/>
                <w:color w:val="000000"/>
                <w:sz w:val="18"/>
                <w:szCs w:val="18"/>
                <w:lang w:eastAsia="en-AU"/>
              </w:rPr>
              <w:t>Patent Standard Exam - Commissioner Direct Applicant</w:t>
            </w:r>
            <w:bookmarkEnd w:id="92"/>
            <w:bookmarkEnd w:id="93"/>
          </w:p>
        </w:tc>
        <w:tc>
          <w:tcPr>
            <w:tcW w:w="1207" w:type="dxa"/>
            <w:gridSpan w:val="2"/>
            <w:shd w:val="clear" w:color="auto" w:fill="auto"/>
            <w:noWrap/>
            <w:vAlign w:val="bottom"/>
            <w:hideMark/>
          </w:tcPr>
          <w:p w14:paraId="4E283444"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94" w:name="_Toc146546015"/>
            <w:bookmarkStart w:id="95" w:name="_Toc146552284"/>
            <w:r w:rsidRPr="00F662D9">
              <w:rPr>
                <w:rFonts w:ascii="Calibri" w:eastAsia="Times New Roman" w:hAnsi="Calibri" w:cs="Calibri"/>
                <w:color w:val="000000"/>
                <w:sz w:val="18"/>
                <w:szCs w:val="18"/>
                <w:lang w:eastAsia="en-AU"/>
              </w:rPr>
              <w:t>$100</w:t>
            </w:r>
            <w:bookmarkEnd w:id="94"/>
            <w:bookmarkEnd w:id="95"/>
          </w:p>
        </w:tc>
        <w:tc>
          <w:tcPr>
            <w:tcW w:w="1207" w:type="dxa"/>
            <w:shd w:val="clear" w:color="auto" w:fill="auto"/>
            <w:noWrap/>
            <w:vAlign w:val="bottom"/>
            <w:hideMark/>
          </w:tcPr>
          <w:p w14:paraId="7769FE33"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96" w:name="_Toc146546016"/>
            <w:bookmarkStart w:id="97" w:name="_Toc146552285"/>
            <w:r w:rsidRPr="00F662D9">
              <w:rPr>
                <w:rFonts w:ascii="Calibri" w:eastAsia="Times New Roman" w:hAnsi="Calibri" w:cs="Calibri"/>
                <w:color w:val="000000" w:themeColor="text1"/>
                <w:sz w:val="18"/>
                <w:szCs w:val="18"/>
                <w:lang w:eastAsia="en-AU"/>
              </w:rPr>
              <w:t>$150</w:t>
            </w:r>
            <w:bookmarkEnd w:id="96"/>
            <w:bookmarkEnd w:id="97"/>
          </w:p>
        </w:tc>
      </w:tr>
      <w:tr w:rsidR="00BC26FE" w:rsidRPr="00F662D9" w14:paraId="41DECF56" w14:textId="77777777">
        <w:trPr>
          <w:trHeight w:val="227"/>
        </w:trPr>
        <w:tc>
          <w:tcPr>
            <w:tcW w:w="5524" w:type="dxa"/>
            <w:gridSpan w:val="2"/>
            <w:shd w:val="clear" w:color="auto" w:fill="auto"/>
            <w:noWrap/>
            <w:vAlign w:val="bottom"/>
          </w:tcPr>
          <w:p w14:paraId="054EEA3D"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p>
        </w:tc>
        <w:tc>
          <w:tcPr>
            <w:tcW w:w="1207" w:type="dxa"/>
            <w:gridSpan w:val="2"/>
            <w:shd w:val="clear" w:color="auto" w:fill="auto"/>
            <w:noWrap/>
            <w:vAlign w:val="bottom"/>
          </w:tcPr>
          <w:p w14:paraId="3F7CD690"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p>
        </w:tc>
        <w:tc>
          <w:tcPr>
            <w:tcW w:w="1207" w:type="dxa"/>
            <w:shd w:val="clear" w:color="auto" w:fill="auto"/>
            <w:noWrap/>
            <w:vAlign w:val="bottom"/>
          </w:tcPr>
          <w:p w14:paraId="33403931" w14:textId="77777777" w:rsidR="00BC26FE" w:rsidRPr="00F662D9" w:rsidRDefault="00BC26FE">
            <w:pPr>
              <w:spacing w:after="0" w:line="240" w:lineRule="auto"/>
              <w:outlineLvl w:val="0"/>
              <w:rPr>
                <w:rFonts w:ascii="Calibri" w:eastAsia="Times New Roman" w:hAnsi="Calibri" w:cs="Calibri"/>
                <w:color w:val="000000" w:themeColor="text1"/>
                <w:sz w:val="18"/>
                <w:szCs w:val="18"/>
                <w:lang w:eastAsia="en-AU"/>
              </w:rPr>
            </w:pPr>
          </w:p>
        </w:tc>
      </w:tr>
      <w:tr w:rsidR="00BC26FE" w:rsidRPr="00F662D9" w14:paraId="0F34F2E9" w14:textId="77777777">
        <w:trPr>
          <w:trHeight w:val="300"/>
        </w:trPr>
        <w:tc>
          <w:tcPr>
            <w:tcW w:w="5524" w:type="dxa"/>
            <w:gridSpan w:val="2"/>
            <w:shd w:val="clear" w:color="000000" w:fill="D9D9D9"/>
            <w:noWrap/>
            <w:vAlign w:val="bottom"/>
            <w:hideMark/>
          </w:tcPr>
          <w:p w14:paraId="1BC4FB79" w14:textId="30E10888" w:rsidR="00BC26FE" w:rsidRPr="00F662D9" w:rsidRDefault="00BC26FE">
            <w:pPr>
              <w:spacing w:after="0" w:line="240" w:lineRule="auto"/>
              <w:outlineLvl w:val="0"/>
              <w:rPr>
                <w:rFonts w:ascii="Calibri" w:eastAsia="Times New Roman" w:hAnsi="Calibri" w:cs="Calibri"/>
                <w:color w:val="0070C0"/>
                <w:sz w:val="18"/>
                <w:szCs w:val="18"/>
                <w:lang w:eastAsia="en-AU"/>
              </w:rPr>
            </w:pPr>
            <w:bookmarkStart w:id="98" w:name="_Toc146546020"/>
            <w:bookmarkStart w:id="99" w:name="_Toc146552289"/>
            <w:r w:rsidRPr="00AB7D56">
              <w:rPr>
                <w:rFonts w:ascii="Calibri" w:eastAsia="Times New Roman" w:hAnsi="Calibri" w:cs="Calibri"/>
                <w:color w:val="1F3864" w:themeColor="accent1" w:themeShade="80"/>
                <w:sz w:val="18"/>
                <w:szCs w:val="18"/>
                <w:lang w:eastAsia="en-AU"/>
              </w:rPr>
              <w:t>Change to Patent Standard Renewal fees</w:t>
            </w:r>
            <w:bookmarkEnd w:id="98"/>
            <w:bookmarkEnd w:id="99"/>
            <w:r w:rsidR="0085488D" w:rsidRPr="00AB7D56">
              <w:rPr>
                <w:rFonts w:ascii="Calibri" w:eastAsia="Times New Roman" w:hAnsi="Calibri" w:cs="Calibri"/>
                <w:color w:val="1F3864" w:themeColor="accent1" w:themeShade="80"/>
                <w:sz w:val="18"/>
                <w:szCs w:val="18"/>
                <w:lang w:eastAsia="en-AU"/>
              </w:rPr>
              <w:t xml:space="preserve"> – </w:t>
            </w:r>
            <w:r w:rsidR="006225EC" w:rsidRPr="00AB7D56">
              <w:rPr>
                <w:rFonts w:ascii="Calibri" w:eastAsia="Times New Roman" w:hAnsi="Calibri" w:cs="Calibri"/>
                <w:color w:val="1F3864" w:themeColor="accent1" w:themeShade="80"/>
                <w:sz w:val="18"/>
                <w:szCs w:val="18"/>
                <w:lang w:eastAsia="en-AU"/>
              </w:rPr>
              <w:t xml:space="preserve">paid </w:t>
            </w:r>
            <w:r w:rsidR="0085488D" w:rsidRPr="00AB7D56">
              <w:rPr>
                <w:rFonts w:ascii="Calibri" w:eastAsia="Times New Roman" w:hAnsi="Calibri" w:cs="Calibri"/>
                <w:color w:val="1F3864" w:themeColor="accent1" w:themeShade="80"/>
                <w:sz w:val="18"/>
                <w:szCs w:val="18"/>
                <w:lang w:eastAsia="en-AU"/>
              </w:rPr>
              <w:t>by preferred means</w:t>
            </w:r>
          </w:p>
        </w:tc>
        <w:tc>
          <w:tcPr>
            <w:tcW w:w="1207" w:type="dxa"/>
            <w:gridSpan w:val="2"/>
            <w:shd w:val="clear" w:color="000000" w:fill="D9D9D9"/>
            <w:noWrap/>
            <w:vAlign w:val="bottom"/>
            <w:hideMark/>
          </w:tcPr>
          <w:p w14:paraId="6EF013A4" w14:textId="77777777" w:rsidR="00BC26FE" w:rsidRPr="00F662D9" w:rsidRDefault="00BC26FE">
            <w:pPr>
              <w:spacing w:after="0" w:line="240" w:lineRule="auto"/>
              <w:outlineLvl w:val="0"/>
              <w:rPr>
                <w:rFonts w:ascii="Calibri" w:eastAsia="Times New Roman" w:hAnsi="Calibri" w:cs="Calibri"/>
                <w:b/>
                <w:bCs/>
                <w:color w:val="000000"/>
                <w:sz w:val="18"/>
                <w:szCs w:val="18"/>
                <w:lang w:eastAsia="en-AU"/>
              </w:rPr>
            </w:pPr>
            <w:r w:rsidRPr="00F662D9">
              <w:rPr>
                <w:rFonts w:ascii="Calibri" w:eastAsia="Times New Roman" w:hAnsi="Calibri" w:cs="Calibri"/>
                <w:b/>
                <w:bCs/>
                <w:color w:val="000000"/>
                <w:sz w:val="18"/>
                <w:szCs w:val="18"/>
                <w:lang w:eastAsia="en-AU"/>
              </w:rPr>
              <w:t> </w:t>
            </w:r>
          </w:p>
        </w:tc>
        <w:tc>
          <w:tcPr>
            <w:tcW w:w="1207" w:type="dxa"/>
            <w:shd w:val="clear" w:color="000000" w:fill="D9D9D9"/>
            <w:noWrap/>
            <w:vAlign w:val="bottom"/>
            <w:hideMark/>
          </w:tcPr>
          <w:p w14:paraId="0B2E6DBF" w14:textId="77777777" w:rsidR="00BC26FE" w:rsidRPr="00F662D9" w:rsidRDefault="00BC26FE">
            <w:pPr>
              <w:spacing w:after="0" w:line="240" w:lineRule="auto"/>
              <w:outlineLvl w:val="0"/>
              <w:rPr>
                <w:rFonts w:ascii="Calibri" w:eastAsia="Times New Roman" w:hAnsi="Calibri" w:cs="Calibri"/>
                <w:b/>
                <w:bCs/>
                <w:color w:val="000000" w:themeColor="text1"/>
                <w:sz w:val="18"/>
                <w:szCs w:val="18"/>
                <w:lang w:eastAsia="en-AU"/>
              </w:rPr>
            </w:pPr>
            <w:r w:rsidRPr="00F662D9">
              <w:rPr>
                <w:rFonts w:ascii="Calibri" w:eastAsia="Times New Roman" w:hAnsi="Calibri" w:cs="Calibri"/>
                <w:b/>
                <w:bCs/>
                <w:color w:val="000000" w:themeColor="text1"/>
                <w:sz w:val="18"/>
                <w:szCs w:val="18"/>
                <w:lang w:eastAsia="en-AU"/>
              </w:rPr>
              <w:t> </w:t>
            </w:r>
          </w:p>
        </w:tc>
      </w:tr>
      <w:tr w:rsidR="00BC26FE" w:rsidRPr="00F662D9" w14:paraId="66A0BDAE" w14:textId="77777777">
        <w:trPr>
          <w:trHeight w:val="300"/>
        </w:trPr>
        <w:tc>
          <w:tcPr>
            <w:tcW w:w="5524" w:type="dxa"/>
            <w:gridSpan w:val="2"/>
            <w:shd w:val="clear" w:color="auto" w:fill="auto"/>
            <w:noWrap/>
            <w:vAlign w:val="bottom"/>
            <w:hideMark/>
          </w:tcPr>
          <w:p w14:paraId="7D5782CC"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00" w:name="_Toc146546021"/>
            <w:bookmarkStart w:id="101" w:name="_Toc146552290"/>
            <w:r>
              <w:rPr>
                <w:rFonts w:ascii="Calibri" w:hAnsi="Calibri" w:cs="Calibri"/>
                <w:color w:val="000000"/>
                <w:sz w:val="18"/>
                <w:szCs w:val="18"/>
              </w:rPr>
              <w:t>Standard Patent - 6th Year Renewal (by preferred means)</w:t>
            </w:r>
            <w:bookmarkEnd w:id="100"/>
            <w:bookmarkEnd w:id="101"/>
          </w:p>
        </w:tc>
        <w:tc>
          <w:tcPr>
            <w:tcW w:w="1207" w:type="dxa"/>
            <w:gridSpan w:val="2"/>
            <w:shd w:val="clear" w:color="auto" w:fill="auto"/>
            <w:noWrap/>
            <w:vAlign w:val="bottom"/>
            <w:hideMark/>
          </w:tcPr>
          <w:p w14:paraId="2141C81E"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02" w:name="_Toc146546022"/>
            <w:bookmarkStart w:id="103" w:name="_Toc146552291"/>
            <w:r w:rsidRPr="00F662D9">
              <w:rPr>
                <w:rFonts w:ascii="Calibri" w:eastAsia="Times New Roman" w:hAnsi="Calibri" w:cs="Calibri"/>
                <w:color w:val="000000"/>
                <w:sz w:val="18"/>
                <w:szCs w:val="18"/>
                <w:lang w:eastAsia="en-AU"/>
              </w:rPr>
              <w:t>$335</w:t>
            </w:r>
            <w:bookmarkEnd w:id="102"/>
            <w:bookmarkEnd w:id="103"/>
          </w:p>
        </w:tc>
        <w:tc>
          <w:tcPr>
            <w:tcW w:w="1207" w:type="dxa"/>
            <w:shd w:val="clear" w:color="auto" w:fill="auto"/>
            <w:noWrap/>
            <w:vAlign w:val="bottom"/>
            <w:hideMark/>
          </w:tcPr>
          <w:p w14:paraId="73A6F20C"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04" w:name="_Toc146546023"/>
            <w:bookmarkStart w:id="105" w:name="_Toc146552292"/>
            <w:r w:rsidRPr="00F662D9">
              <w:rPr>
                <w:rFonts w:ascii="Calibri" w:eastAsia="Times New Roman" w:hAnsi="Calibri" w:cs="Calibri"/>
                <w:color w:val="000000" w:themeColor="text1"/>
                <w:sz w:val="18"/>
                <w:szCs w:val="18"/>
                <w:lang w:eastAsia="en-AU"/>
              </w:rPr>
              <w:t>$345</w:t>
            </w:r>
            <w:bookmarkEnd w:id="104"/>
            <w:bookmarkEnd w:id="105"/>
          </w:p>
        </w:tc>
      </w:tr>
      <w:tr w:rsidR="00BC26FE" w:rsidRPr="00F662D9" w14:paraId="2945D6B9" w14:textId="77777777">
        <w:trPr>
          <w:trHeight w:val="300"/>
        </w:trPr>
        <w:tc>
          <w:tcPr>
            <w:tcW w:w="5524" w:type="dxa"/>
            <w:gridSpan w:val="2"/>
            <w:shd w:val="clear" w:color="auto" w:fill="auto"/>
            <w:noWrap/>
            <w:vAlign w:val="bottom"/>
            <w:hideMark/>
          </w:tcPr>
          <w:p w14:paraId="3F9997D9"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06" w:name="_Toc146546024"/>
            <w:bookmarkStart w:id="107" w:name="_Toc146552293"/>
            <w:r>
              <w:rPr>
                <w:rFonts w:ascii="Calibri" w:hAnsi="Calibri" w:cs="Calibri"/>
                <w:color w:val="000000"/>
                <w:sz w:val="18"/>
                <w:szCs w:val="18"/>
              </w:rPr>
              <w:t>Standard Patent - 7th Year Renewal (by preferred means)</w:t>
            </w:r>
            <w:bookmarkEnd w:id="106"/>
            <w:bookmarkEnd w:id="107"/>
          </w:p>
        </w:tc>
        <w:tc>
          <w:tcPr>
            <w:tcW w:w="1207" w:type="dxa"/>
            <w:gridSpan w:val="2"/>
            <w:shd w:val="clear" w:color="auto" w:fill="auto"/>
            <w:noWrap/>
            <w:vAlign w:val="bottom"/>
            <w:hideMark/>
          </w:tcPr>
          <w:p w14:paraId="02633F4B"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08" w:name="_Toc146546025"/>
            <w:bookmarkStart w:id="109" w:name="_Toc146552294"/>
            <w:r w:rsidRPr="00F662D9">
              <w:rPr>
                <w:rFonts w:ascii="Calibri" w:eastAsia="Times New Roman" w:hAnsi="Calibri" w:cs="Calibri"/>
                <w:color w:val="000000"/>
                <w:sz w:val="18"/>
                <w:szCs w:val="18"/>
                <w:lang w:eastAsia="en-AU"/>
              </w:rPr>
              <w:t>$360</w:t>
            </w:r>
            <w:bookmarkEnd w:id="108"/>
            <w:bookmarkEnd w:id="109"/>
          </w:p>
        </w:tc>
        <w:tc>
          <w:tcPr>
            <w:tcW w:w="1207" w:type="dxa"/>
            <w:shd w:val="clear" w:color="auto" w:fill="auto"/>
            <w:noWrap/>
            <w:vAlign w:val="bottom"/>
            <w:hideMark/>
          </w:tcPr>
          <w:p w14:paraId="347FE375"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10" w:name="_Toc146546026"/>
            <w:bookmarkStart w:id="111" w:name="_Toc146552295"/>
            <w:r w:rsidRPr="00F662D9">
              <w:rPr>
                <w:rFonts w:ascii="Calibri" w:eastAsia="Times New Roman" w:hAnsi="Calibri" w:cs="Calibri"/>
                <w:color w:val="000000" w:themeColor="text1"/>
                <w:sz w:val="18"/>
                <w:szCs w:val="18"/>
                <w:lang w:eastAsia="en-AU"/>
              </w:rPr>
              <w:t>$380</w:t>
            </w:r>
            <w:bookmarkEnd w:id="110"/>
            <w:bookmarkEnd w:id="111"/>
          </w:p>
        </w:tc>
      </w:tr>
      <w:tr w:rsidR="00BC26FE" w:rsidRPr="00F662D9" w14:paraId="1056C3C0" w14:textId="77777777">
        <w:trPr>
          <w:trHeight w:val="300"/>
        </w:trPr>
        <w:tc>
          <w:tcPr>
            <w:tcW w:w="5524" w:type="dxa"/>
            <w:gridSpan w:val="2"/>
            <w:shd w:val="clear" w:color="auto" w:fill="auto"/>
            <w:noWrap/>
            <w:vAlign w:val="bottom"/>
            <w:hideMark/>
          </w:tcPr>
          <w:p w14:paraId="774B522B"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12" w:name="_Toc146546027"/>
            <w:bookmarkStart w:id="113" w:name="_Toc146552296"/>
            <w:r>
              <w:rPr>
                <w:rFonts w:ascii="Calibri" w:hAnsi="Calibri" w:cs="Calibri"/>
                <w:color w:val="000000"/>
                <w:sz w:val="18"/>
                <w:szCs w:val="18"/>
              </w:rPr>
              <w:lastRenderedPageBreak/>
              <w:t>Standard Patent - 8th Year Renewal (by preferred means)</w:t>
            </w:r>
            <w:bookmarkEnd w:id="112"/>
            <w:bookmarkEnd w:id="113"/>
          </w:p>
        </w:tc>
        <w:tc>
          <w:tcPr>
            <w:tcW w:w="1207" w:type="dxa"/>
            <w:gridSpan w:val="2"/>
            <w:shd w:val="clear" w:color="auto" w:fill="auto"/>
            <w:noWrap/>
            <w:vAlign w:val="bottom"/>
            <w:hideMark/>
          </w:tcPr>
          <w:p w14:paraId="1F9C2918"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14" w:name="_Toc146546028"/>
            <w:bookmarkStart w:id="115" w:name="_Toc146552297"/>
            <w:r w:rsidRPr="00F662D9">
              <w:rPr>
                <w:rFonts w:ascii="Calibri" w:eastAsia="Times New Roman" w:hAnsi="Calibri" w:cs="Calibri"/>
                <w:color w:val="000000"/>
                <w:sz w:val="18"/>
                <w:szCs w:val="18"/>
                <w:lang w:eastAsia="en-AU"/>
              </w:rPr>
              <w:t>$390</w:t>
            </w:r>
            <w:bookmarkEnd w:id="114"/>
            <w:bookmarkEnd w:id="115"/>
          </w:p>
        </w:tc>
        <w:tc>
          <w:tcPr>
            <w:tcW w:w="1207" w:type="dxa"/>
            <w:shd w:val="clear" w:color="auto" w:fill="auto"/>
            <w:noWrap/>
            <w:vAlign w:val="bottom"/>
            <w:hideMark/>
          </w:tcPr>
          <w:p w14:paraId="44E13FBB"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16" w:name="_Toc146546029"/>
            <w:bookmarkStart w:id="117" w:name="_Toc146552298"/>
            <w:r w:rsidRPr="00F662D9">
              <w:rPr>
                <w:rFonts w:ascii="Calibri" w:eastAsia="Times New Roman" w:hAnsi="Calibri" w:cs="Calibri"/>
                <w:color w:val="000000" w:themeColor="text1"/>
                <w:sz w:val="18"/>
                <w:szCs w:val="18"/>
                <w:lang w:eastAsia="en-AU"/>
              </w:rPr>
              <w:t>$420</w:t>
            </w:r>
            <w:bookmarkEnd w:id="116"/>
            <w:bookmarkEnd w:id="117"/>
          </w:p>
        </w:tc>
      </w:tr>
      <w:tr w:rsidR="00BC26FE" w:rsidRPr="00F662D9" w14:paraId="0177ABE4" w14:textId="77777777">
        <w:trPr>
          <w:trHeight w:val="300"/>
        </w:trPr>
        <w:tc>
          <w:tcPr>
            <w:tcW w:w="5524" w:type="dxa"/>
            <w:gridSpan w:val="2"/>
            <w:shd w:val="clear" w:color="auto" w:fill="auto"/>
            <w:noWrap/>
            <w:vAlign w:val="bottom"/>
            <w:hideMark/>
          </w:tcPr>
          <w:p w14:paraId="6BA055EB"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18" w:name="_Toc146546030"/>
            <w:bookmarkStart w:id="119" w:name="_Toc146552299"/>
            <w:r>
              <w:rPr>
                <w:rFonts w:ascii="Calibri" w:hAnsi="Calibri" w:cs="Calibri"/>
                <w:color w:val="000000"/>
                <w:sz w:val="18"/>
                <w:szCs w:val="18"/>
              </w:rPr>
              <w:t>Standard Patent - 9th Year Renewal (by preferred means)</w:t>
            </w:r>
            <w:bookmarkEnd w:id="118"/>
            <w:bookmarkEnd w:id="119"/>
          </w:p>
        </w:tc>
        <w:tc>
          <w:tcPr>
            <w:tcW w:w="1207" w:type="dxa"/>
            <w:gridSpan w:val="2"/>
            <w:shd w:val="clear" w:color="auto" w:fill="auto"/>
            <w:noWrap/>
            <w:vAlign w:val="bottom"/>
            <w:hideMark/>
          </w:tcPr>
          <w:p w14:paraId="010D08EB"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20" w:name="_Toc146546031"/>
            <w:bookmarkStart w:id="121" w:name="_Toc146552300"/>
            <w:r w:rsidRPr="00F662D9">
              <w:rPr>
                <w:rFonts w:ascii="Calibri" w:eastAsia="Times New Roman" w:hAnsi="Calibri" w:cs="Calibri"/>
                <w:color w:val="000000"/>
                <w:sz w:val="18"/>
                <w:szCs w:val="18"/>
                <w:lang w:eastAsia="en-AU"/>
              </w:rPr>
              <w:t>$425</w:t>
            </w:r>
            <w:bookmarkEnd w:id="120"/>
            <w:bookmarkEnd w:id="121"/>
          </w:p>
        </w:tc>
        <w:tc>
          <w:tcPr>
            <w:tcW w:w="1207" w:type="dxa"/>
            <w:shd w:val="clear" w:color="auto" w:fill="auto"/>
            <w:noWrap/>
            <w:vAlign w:val="bottom"/>
            <w:hideMark/>
          </w:tcPr>
          <w:p w14:paraId="6C1BCC40"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22" w:name="_Toc146546032"/>
            <w:bookmarkStart w:id="123" w:name="_Toc146552301"/>
            <w:r w:rsidRPr="00F662D9">
              <w:rPr>
                <w:rFonts w:ascii="Calibri" w:eastAsia="Times New Roman" w:hAnsi="Calibri" w:cs="Calibri"/>
                <w:color w:val="000000" w:themeColor="text1"/>
                <w:sz w:val="18"/>
                <w:szCs w:val="18"/>
                <w:lang w:eastAsia="en-AU"/>
              </w:rPr>
              <w:t>$465</w:t>
            </w:r>
            <w:bookmarkEnd w:id="122"/>
            <w:bookmarkEnd w:id="123"/>
          </w:p>
        </w:tc>
      </w:tr>
      <w:tr w:rsidR="00BC26FE" w:rsidRPr="00F662D9" w14:paraId="64EC8F92" w14:textId="77777777">
        <w:trPr>
          <w:trHeight w:val="300"/>
        </w:trPr>
        <w:tc>
          <w:tcPr>
            <w:tcW w:w="5524" w:type="dxa"/>
            <w:gridSpan w:val="2"/>
            <w:shd w:val="clear" w:color="auto" w:fill="auto"/>
            <w:noWrap/>
            <w:vAlign w:val="bottom"/>
            <w:hideMark/>
          </w:tcPr>
          <w:p w14:paraId="6709F369"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24" w:name="_Toc146546033"/>
            <w:bookmarkStart w:id="125" w:name="_Toc146552302"/>
            <w:r>
              <w:rPr>
                <w:rFonts w:ascii="Calibri" w:hAnsi="Calibri" w:cs="Calibri"/>
                <w:color w:val="000000"/>
                <w:sz w:val="18"/>
                <w:szCs w:val="18"/>
              </w:rPr>
              <w:t>Standard Patent - 10th Year Renewal (by preferred means)</w:t>
            </w:r>
            <w:bookmarkEnd w:id="124"/>
            <w:bookmarkEnd w:id="125"/>
          </w:p>
        </w:tc>
        <w:tc>
          <w:tcPr>
            <w:tcW w:w="1207" w:type="dxa"/>
            <w:gridSpan w:val="2"/>
            <w:shd w:val="clear" w:color="auto" w:fill="auto"/>
            <w:noWrap/>
            <w:vAlign w:val="bottom"/>
            <w:hideMark/>
          </w:tcPr>
          <w:p w14:paraId="03CBFC15"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26" w:name="_Toc146546034"/>
            <w:bookmarkStart w:id="127" w:name="_Toc146552303"/>
            <w:r w:rsidRPr="00F662D9">
              <w:rPr>
                <w:rFonts w:ascii="Calibri" w:eastAsia="Times New Roman" w:hAnsi="Calibri" w:cs="Calibri"/>
                <w:color w:val="000000"/>
                <w:sz w:val="18"/>
                <w:szCs w:val="18"/>
                <w:lang w:eastAsia="en-AU"/>
              </w:rPr>
              <w:t>$490</w:t>
            </w:r>
            <w:bookmarkEnd w:id="126"/>
            <w:bookmarkEnd w:id="127"/>
          </w:p>
        </w:tc>
        <w:tc>
          <w:tcPr>
            <w:tcW w:w="1207" w:type="dxa"/>
            <w:shd w:val="clear" w:color="auto" w:fill="auto"/>
            <w:noWrap/>
            <w:vAlign w:val="bottom"/>
            <w:hideMark/>
          </w:tcPr>
          <w:p w14:paraId="43927703"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28" w:name="_Toc146546035"/>
            <w:bookmarkStart w:id="129" w:name="_Toc146552304"/>
            <w:r w:rsidRPr="00F662D9">
              <w:rPr>
                <w:rFonts w:ascii="Calibri" w:eastAsia="Times New Roman" w:hAnsi="Calibri" w:cs="Calibri"/>
                <w:color w:val="000000" w:themeColor="text1"/>
                <w:sz w:val="18"/>
                <w:szCs w:val="18"/>
                <w:lang w:eastAsia="en-AU"/>
              </w:rPr>
              <w:t>$540</w:t>
            </w:r>
            <w:bookmarkEnd w:id="128"/>
            <w:bookmarkEnd w:id="129"/>
          </w:p>
        </w:tc>
      </w:tr>
      <w:tr w:rsidR="00BC26FE" w:rsidRPr="00F662D9" w14:paraId="18F5D9A5" w14:textId="77777777">
        <w:trPr>
          <w:trHeight w:val="300"/>
        </w:trPr>
        <w:tc>
          <w:tcPr>
            <w:tcW w:w="5524" w:type="dxa"/>
            <w:gridSpan w:val="2"/>
            <w:shd w:val="clear" w:color="auto" w:fill="auto"/>
            <w:noWrap/>
            <w:vAlign w:val="bottom"/>
            <w:hideMark/>
          </w:tcPr>
          <w:p w14:paraId="624CB9F1"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30" w:name="_Toc146546036"/>
            <w:bookmarkStart w:id="131" w:name="_Toc146552305"/>
            <w:r>
              <w:rPr>
                <w:rFonts w:ascii="Calibri" w:hAnsi="Calibri" w:cs="Calibri"/>
                <w:color w:val="000000"/>
                <w:sz w:val="18"/>
                <w:szCs w:val="18"/>
              </w:rPr>
              <w:t>Standard Patent - 11th Year Renewal (by preferred means)</w:t>
            </w:r>
            <w:bookmarkEnd w:id="130"/>
            <w:bookmarkEnd w:id="131"/>
          </w:p>
        </w:tc>
        <w:tc>
          <w:tcPr>
            <w:tcW w:w="1207" w:type="dxa"/>
            <w:gridSpan w:val="2"/>
            <w:shd w:val="clear" w:color="auto" w:fill="auto"/>
            <w:noWrap/>
            <w:vAlign w:val="bottom"/>
            <w:hideMark/>
          </w:tcPr>
          <w:p w14:paraId="34862D97"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32" w:name="_Toc146546037"/>
            <w:bookmarkStart w:id="133" w:name="_Toc146552306"/>
            <w:r w:rsidRPr="00F662D9">
              <w:rPr>
                <w:rFonts w:ascii="Calibri" w:eastAsia="Times New Roman" w:hAnsi="Calibri" w:cs="Calibri"/>
                <w:color w:val="000000"/>
                <w:sz w:val="18"/>
                <w:szCs w:val="18"/>
                <w:lang w:eastAsia="en-AU"/>
              </w:rPr>
              <w:t>$585</w:t>
            </w:r>
            <w:bookmarkEnd w:id="132"/>
            <w:bookmarkEnd w:id="133"/>
          </w:p>
        </w:tc>
        <w:tc>
          <w:tcPr>
            <w:tcW w:w="1207" w:type="dxa"/>
            <w:shd w:val="clear" w:color="auto" w:fill="auto"/>
            <w:noWrap/>
            <w:vAlign w:val="bottom"/>
            <w:hideMark/>
          </w:tcPr>
          <w:p w14:paraId="1A8FC7EF"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34" w:name="_Toc146546038"/>
            <w:bookmarkStart w:id="135" w:name="_Toc146552307"/>
            <w:r w:rsidRPr="00F662D9">
              <w:rPr>
                <w:rFonts w:ascii="Calibri" w:eastAsia="Times New Roman" w:hAnsi="Calibri" w:cs="Calibri"/>
                <w:color w:val="000000" w:themeColor="text1"/>
                <w:sz w:val="18"/>
                <w:szCs w:val="18"/>
                <w:lang w:eastAsia="en-AU"/>
              </w:rPr>
              <w:t>$645</w:t>
            </w:r>
            <w:bookmarkEnd w:id="134"/>
            <w:bookmarkEnd w:id="135"/>
          </w:p>
        </w:tc>
      </w:tr>
      <w:tr w:rsidR="00BC26FE" w:rsidRPr="00F662D9" w14:paraId="423EA07C" w14:textId="77777777">
        <w:trPr>
          <w:trHeight w:val="300"/>
        </w:trPr>
        <w:tc>
          <w:tcPr>
            <w:tcW w:w="5524" w:type="dxa"/>
            <w:gridSpan w:val="2"/>
            <w:shd w:val="clear" w:color="auto" w:fill="auto"/>
            <w:noWrap/>
            <w:vAlign w:val="bottom"/>
            <w:hideMark/>
          </w:tcPr>
          <w:p w14:paraId="2AAB3CCD"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36" w:name="_Toc146546039"/>
            <w:bookmarkStart w:id="137" w:name="_Toc146552308"/>
            <w:r>
              <w:rPr>
                <w:rFonts w:ascii="Calibri" w:hAnsi="Calibri" w:cs="Calibri"/>
                <w:color w:val="000000"/>
                <w:sz w:val="18"/>
                <w:szCs w:val="18"/>
              </w:rPr>
              <w:t>Standard Patent - 12th Year Renewal (by preferred means)</w:t>
            </w:r>
            <w:bookmarkEnd w:id="136"/>
            <w:bookmarkEnd w:id="137"/>
          </w:p>
        </w:tc>
        <w:tc>
          <w:tcPr>
            <w:tcW w:w="1207" w:type="dxa"/>
            <w:gridSpan w:val="2"/>
            <w:shd w:val="clear" w:color="auto" w:fill="auto"/>
            <w:noWrap/>
            <w:vAlign w:val="bottom"/>
            <w:hideMark/>
          </w:tcPr>
          <w:p w14:paraId="06483E3F"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38" w:name="_Toc146546040"/>
            <w:bookmarkStart w:id="139" w:name="_Toc146552309"/>
            <w:r w:rsidRPr="00F662D9">
              <w:rPr>
                <w:rFonts w:ascii="Calibri" w:eastAsia="Times New Roman" w:hAnsi="Calibri" w:cs="Calibri"/>
                <w:color w:val="000000"/>
                <w:sz w:val="18"/>
                <w:szCs w:val="18"/>
                <w:lang w:eastAsia="en-AU"/>
              </w:rPr>
              <w:t>$710</w:t>
            </w:r>
            <w:bookmarkEnd w:id="138"/>
            <w:bookmarkEnd w:id="139"/>
          </w:p>
        </w:tc>
        <w:tc>
          <w:tcPr>
            <w:tcW w:w="1207" w:type="dxa"/>
            <w:shd w:val="clear" w:color="auto" w:fill="auto"/>
            <w:noWrap/>
            <w:vAlign w:val="bottom"/>
            <w:hideMark/>
          </w:tcPr>
          <w:p w14:paraId="1C88AC17"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40" w:name="_Toc146546041"/>
            <w:bookmarkStart w:id="141" w:name="_Toc146552310"/>
            <w:r w:rsidRPr="00F662D9">
              <w:rPr>
                <w:rFonts w:ascii="Calibri" w:eastAsia="Times New Roman" w:hAnsi="Calibri" w:cs="Calibri"/>
                <w:color w:val="000000" w:themeColor="text1"/>
                <w:sz w:val="18"/>
                <w:szCs w:val="18"/>
                <w:lang w:eastAsia="en-AU"/>
              </w:rPr>
              <w:t>$780</w:t>
            </w:r>
            <w:bookmarkEnd w:id="140"/>
            <w:bookmarkEnd w:id="141"/>
          </w:p>
        </w:tc>
      </w:tr>
      <w:tr w:rsidR="00BC26FE" w:rsidRPr="00F662D9" w14:paraId="0E66DBD3" w14:textId="77777777">
        <w:trPr>
          <w:trHeight w:val="300"/>
        </w:trPr>
        <w:tc>
          <w:tcPr>
            <w:tcW w:w="5524" w:type="dxa"/>
            <w:gridSpan w:val="2"/>
            <w:shd w:val="clear" w:color="auto" w:fill="auto"/>
            <w:noWrap/>
            <w:vAlign w:val="bottom"/>
            <w:hideMark/>
          </w:tcPr>
          <w:p w14:paraId="779F7C60"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42" w:name="_Toc146546042"/>
            <w:bookmarkStart w:id="143" w:name="_Toc146552311"/>
            <w:r>
              <w:rPr>
                <w:rFonts w:ascii="Calibri" w:hAnsi="Calibri" w:cs="Calibri"/>
                <w:color w:val="000000"/>
                <w:sz w:val="18"/>
                <w:szCs w:val="18"/>
              </w:rPr>
              <w:t>Standard Patent - 13th Year Renewal (by preferred means)</w:t>
            </w:r>
            <w:bookmarkEnd w:id="142"/>
            <w:bookmarkEnd w:id="143"/>
          </w:p>
        </w:tc>
        <w:tc>
          <w:tcPr>
            <w:tcW w:w="1207" w:type="dxa"/>
            <w:gridSpan w:val="2"/>
            <w:shd w:val="clear" w:color="auto" w:fill="auto"/>
            <w:noWrap/>
            <w:vAlign w:val="bottom"/>
            <w:hideMark/>
          </w:tcPr>
          <w:p w14:paraId="3C736C15"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44" w:name="_Toc146546043"/>
            <w:bookmarkStart w:id="145" w:name="_Toc146552312"/>
            <w:r w:rsidRPr="00F662D9">
              <w:rPr>
                <w:rFonts w:ascii="Calibri" w:eastAsia="Times New Roman" w:hAnsi="Calibri" w:cs="Calibri"/>
                <w:color w:val="000000"/>
                <w:sz w:val="18"/>
                <w:szCs w:val="18"/>
                <w:lang w:eastAsia="en-AU"/>
              </w:rPr>
              <w:t>$865</w:t>
            </w:r>
            <w:bookmarkEnd w:id="144"/>
            <w:bookmarkEnd w:id="145"/>
          </w:p>
        </w:tc>
        <w:tc>
          <w:tcPr>
            <w:tcW w:w="1207" w:type="dxa"/>
            <w:shd w:val="clear" w:color="auto" w:fill="auto"/>
            <w:noWrap/>
            <w:vAlign w:val="bottom"/>
            <w:hideMark/>
          </w:tcPr>
          <w:p w14:paraId="33062930"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46" w:name="_Toc146546044"/>
            <w:bookmarkStart w:id="147" w:name="_Toc146552313"/>
            <w:r w:rsidRPr="00F662D9">
              <w:rPr>
                <w:rFonts w:ascii="Calibri" w:eastAsia="Times New Roman" w:hAnsi="Calibri" w:cs="Calibri"/>
                <w:color w:val="000000" w:themeColor="text1"/>
                <w:sz w:val="18"/>
                <w:szCs w:val="18"/>
                <w:lang w:eastAsia="en-AU"/>
              </w:rPr>
              <w:t>$945</w:t>
            </w:r>
            <w:bookmarkEnd w:id="146"/>
            <w:bookmarkEnd w:id="147"/>
          </w:p>
        </w:tc>
      </w:tr>
      <w:tr w:rsidR="00BC26FE" w:rsidRPr="00F662D9" w14:paraId="0FE55DEE" w14:textId="77777777">
        <w:trPr>
          <w:trHeight w:val="300"/>
        </w:trPr>
        <w:tc>
          <w:tcPr>
            <w:tcW w:w="5524" w:type="dxa"/>
            <w:gridSpan w:val="2"/>
            <w:shd w:val="clear" w:color="auto" w:fill="auto"/>
            <w:noWrap/>
            <w:vAlign w:val="bottom"/>
            <w:hideMark/>
          </w:tcPr>
          <w:p w14:paraId="1B0BE8C6"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48" w:name="_Toc146546045"/>
            <w:bookmarkStart w:id="149" w:name="_Toc146552314"/>
            <w:r>
              <w:rPr>
                <w:rFonts w:ascii="Calibri" w:hAnsi="Calibri" w:cs="Calibri"/>
                <w:color w:val="000000"/>
                <w:sz w:val="18"/>
                <w:szCs w:val="18"/>
              </w:rPr>
              <w:t>Standard Patent - 14th Year Renewal (by preferred means)</w:t>
            </w:r>
            <w:bookmarkEnd w:id="148"/>
            <w:bookmarkEnd w:id="149"/>
          </w:p>
        </w:tc>
        <w:tc>
          <w:tcPr>
            <w:tcW w:w="1207" w:type="dxa"/>
            <w:gridSpan w:val="2"/>
            <w:shd w:val="clear" w:color="auto" w:fill="auto"/>
            <w:noWrap/>
            <w:vAlign w:val="bottom"/>
            <w:hideMark/>
          </w:tcPr>
          <w:p w14:paraId="32EDB378"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50" w:name="_Toc146546046"/>
            <w:bookmarkStart w:id="151" w:name="_Toc146552315"/>
            <w:r w:rsidRPr="00F662D9">
              <w:rPr>
                <w:rFonts w:ascii="Calibri" w:eastAsia="Times New Roman" w:hAnsi="Calibri" w:cs="Calibri"/>
                <w:color w:val="000000"/>
                <w:sz w:val="18"/>
                <w:szCs w:val="18"/>
                <w:lang w:eastAsia="en-AU"/>
              </w:rPr>
              <w:t>$1,050</w:t>
            </w:r>
            <w:bookmarkEnd w:id="150"/>
            <w:bookmarkEnd w:id="151"/>
          </w:p>
        </w:tc>
        <w:tc>
          <w:tcPr>
            <w:tcW w:w="1207" w:type="dxa"/>
            <w:shd w:val="clear" w:color="auto" w:fill="auto"/>
            <w:noWrap/>
            <w:vAlign w:val="bottom"/>
            <w:hideMark/>
          </w:tcPr>
          <w:p w14:paraId="640ADDA1"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52" w:name="_Toc146546047"/>
            <w:bookmarkStart w:id="153" w:name="_Toc146552316"/>
            <w:r w:rsidRPr="00F662D9">
              <w:rPr>
                <w:rFonts w:ascii="Calibri" w:eastAsia="Times New Roman" w:hAnsi="Calibri" w:cs="Calibri"/>
                <w:color w:val="000000" w:themeColor="text1"/>
                <w:sz w:val="18"/>
                <w:szCs w:val="18"/>
                <w:lang w:eastAsia="en-AU"/>
              </w:rPr>
              <w:t>$1,140</w:t>
            </w:r>
            <w:bookmarkEnd w:id="152"/>
            <w:bookmarkEnd w:id="153"/>
          </w:p>
        </w:tc>
      </w:tr>
      <w:tr w:rsidR="00BC26FE" w:rsidRPr="00F662D9" w14:paraId="7E21BA44" w14:textId="77777777">
        <w:trPr>
          <w:trHeight w:val="300"/>
        </w:trPr>
        <w:tc>
          <w:tcPr>
            <w:tcW w:w="5524" w:type="dxa"/>
            <w:gridSpan w:val="2"/>
            <w:shd w:val="clear" w:color="auto" w:fill="auto"/>
            <w:noWrap/>
            <w:vAlign w:val="bottom"/>
            <w:hideMark/>
          </w:tcPr>
          <w:p w14:paraId="6D513146"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54" w:name="_Toc146546048"/>
            <w:bookmarkStart w:id="155" w:name="_Toc146552317"/>
            <w:r>
              <w:rPr>
                <w:rFonts w:ascii="Calibri" w:hAnsi="Calibri" w:cs="Calibri"/>
                <w:color w:val="000000"/>
                <w:sz w:val="18"/>
                <w:szCs w:val="18"/>
              </w:rPr>
              <w:t>Standard Patent - 15th Year Renewal (by preferred means)</w:t>
            </w:r>
            <w:bookmarkEnd w:id="154"/>
            <w:bookmarkEnd w:id="155"/>
          </w:p>
        </w:tc>
        <w:tc>
          <w:tcPr>
            <w:tcW w:w="1207" w:type="dxa"/>
            <w:gridSpan w:val="2"/>
            <w:shd w:val="clear" w:color="auto" w:fill="auto"/>
            <w:noWrap/>
            <w:vAlign w:val="bottom"/>
            <w:hideMark/>
          </w:tcPr>
          <w:p w14:paraId="5EDC4503"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56" w:name="_Toc146546049"/>
            <w:bookmarkStart w:id="157" w:name="_Toc146552318"/>
            <w:r w:rsidRPr="00F662D9">
              <w:rPr>
                <w:rFonts w:ascii="Calibri" w:eastAsia="Times New Roman" w:hAnsi="Calibri" w:cs="Calibri"/>
                <w:color w:val="000000"/>
                <w:sz w:val="18"/>
                <w:szCs w:val="18"/>
                <w:lang w:eastAsia="en-AU"/>
              </w:rPr>
              <w:t>$1,280</w:t>
            </w:r>
            <w:bookmarkEnd w:id="156"/>
            <w:bookmarkEnd w:id="157"/>
          </w:p>
        </w:tc>
        <w:tc>
          <w:tcPr>
            <w:tcW w:w="1207" w:type="dxa"/>
            <w:shd w:val="clear" w:color="auto" w:fill="auto"/>
            <w:noWrap/>
            <w:vAlign w:val="bottom"/>
            <w:hideMark/>
          </w:tcPr>
          <w:p w14:paraId="43506439"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58" w:name="_Toc146546050"/>
            <w:bookmarkStart w:id="159" w:name="_Toc146552319"/>
            <w:r w:rsidRPr="00F662D9">
              <w:rPr>
                <w:rFonts w:ascii="Calibri" w:eastAsia="Times New Roman" w:hAnsi="Calibri" w:cs="Calibri"/>
                <w:color w:val="000000" w:themeColor="text1"/>
                <w:sz w:val="18"/>
                <w:szCs w:val="18"/>
                <w:lang w:eastAsia="en-AU"/>
              </w:rPr>
              <w:t>$1,385</w:t>
            </w:r>
            <w:bookmarkEnd w:id="158"/>
            <w:bookmarkEnd w:id="159"/>
          </w:p>
        </w:tc>
      </w:tr>
      <w:tr w:rsidR="00BC26FE" w:rsidRPr="00F662D9" w14:paraId="2958F03F" w14:textId="77777777">
        <w:trPr>
          <w:trHeight w:val="300"/>
        </w:trPr>
        <w:tc>
          <w:tcPr>
            <w:tcW w:w="5524" w:type="dxa"/>
            <w:gridSpan w:val="2"/>
            <w:shd w:val="clear" w:color="auto" w:fill="auto"/>
            <w:noWrap/>
            <w:vAlign w:val="bottom"/>
          </w:tcPr>
          <w:p w14:paraId="6EF3C18E" w14:textId="77777777" w:rsidR="00BC26FE" w:rsidRPr="00A830A6" w:rsidRDefault="00BC26FE">
            <w:pPr>
              <w:spacing w:after="0" w:line="240" w:lineRule="auto"/>
              <w:ind w:firstLineChars="200" w:firstLine="360"/>
              <w:outlineLvl w:val="0"/>
              <w:rPr>
                <w:rFonts w:ascii="Calibri" w:hAnsi="Calibri" w:cs="Calibri"/>
                <w:color w:val="000000" w:themeColor="text1"/>
                <w:sz w:val="18"/>
                <w:szCs w:val="18"/>
              </w:rPr>
            </w:pPr>
            <w:bookmarkStart w:id="160" w:name="_Toc146546051"/>
            <w:bookmarkStart w:id="161" w:name="_Toc146552320"/>
            <w:r w:rsidRPr="00A830A6">
              <w:rPr>
                <w:rFonts w:ascii="Calibri" w:hAnsi="Calibri" w:cs="Calibri"/>
                <w:color w:val="000000" w:themeColor="text1"/>
                <w:sz w:val="18"/>
                <w:szCs w:val="18"/>
              </w:rPr>
              <w:t xml:space="preserve">Standard Patent - 16th Year Renewal </w:t>
            </w:r>
            <w:r>
              <w:rPr>
                <w:rFonts w:ascii="Calibri" w:hAnsi="Calibri" w:cs="Calibri"/>
                <w:color w:val="000000"/>
                <w:sz w:val="18"/>
                <w:szCs w:val="18"/>
              </w:rPr>
              <w:t>(by preferred means)</w:t>
            </w:r>
            <w:bookmarkEnd w:id="160"/>
            <w:bookmarkEnd w:id="161"/>
          </w:p>
        </w:tc>
        <w:tc>
          <w:tcPr>
            <w:tcW w:w="1207" w:type="dxa"/>
            <w:gridSpan w:val="2"/>
            <w:shd w:val="clear" w:color="auto" w:fill="auto"/>
            <w:noWrap/>
            <w:vAlign w:val="bottom"/>
          </w:tcPr>
          <w:p w14:paraId="1855525C" w14:textId="77777777" w:rsidR="00BC26FE" w:rsidRPr="00A830A6" w:rsidRDefault="00BC26FE">
            <w:pPr>
              <w:spacing w:after="0" w:line="240" w:lineRule="auto"/>
              <w:ind w:firstLineChars="200" w:firstLine="360"/>
              <w:jc w:val="right"/>
              <w:outlineLvl w:val="0"/>
              <w:rPr>
                <w:rFonts w:ascii="Calibri" w:hAnsi="Calibri" w:cs="Calibri"/>
                <w:color w:val="000000" w:themeColor="text1"/>
                <w:sz w:val="18"/>
                <w:szCs w:val="18"/>
              </w:rPr>
            </w:pPr>
            <w:bookmarkStart w:id="162" w:name="_Toc146546052"/>
            <w:bookmarkStart w:id="163" w:name="_Toc146552321"/>
            <w:r w:rsidRPr="00A830A6">
              <w:rPr>
                <w:rFonts w:ascii="Calibri" w:hAnsi="Calibri" w:cs="Calibri"/>
                <w:color w:val="000000" w:themeColor="text1"/>
                <w:sz w:val="18"/>
                <w:szCs w:val="18"/>
              </w:rPr>
              <w:t>$1,555</w:t>
            </w:r>
            <w:bookmarkEnd w:id="162"/>
            <w:bookmarkEnd w:id="163"/>
          </w:p>
        </w:tc>
        <w:tc>
          <w:tcPr>
            <w:tcW w:w="1207" w:type="dxa"/>
            <w:shd w:val="clear" w:color="auto" w:fill="auto"/>
            <w:noWrap/>
            <w:vAlign w:val="bottom"/>
          </w:tcPr>
          <w:p w14:paraId="1C454AF2" w14:textId="77777777" w:rsidR="00BC26FE" w:rsidRPr="00A830A6" w:rsidRDefault="00BC26FE">
            <w:pPr>
              <w:spacing w:after="0" w:line="240" w:lineRule="auto"/>
              <w:ind w:firstLineChars="200" w:firstLine="360"/>
              <w:jc w:val="right"/>
              <w:outlineLvl w:val="0"/>
              <w:rPr>
                <w:rFonts w:ascii="Calibri" w:hAnsi="Calibri" w:cs="Calibri"/>
                <w:color w:val="000000" w:themeColor="text1"/>
                <w:sz w:val="18"/>
                <w:szCs w:val="18"/>
              </w:rPr>
            </w:pPr>
            <w:bookmarkStart w:id="164" w:name="_Toc146546053"/>
            <w:bookmarkStart w:id="165" w:name="_Toc146552322"/>
            <w:r w:rsidRPr="00A830A6">
              <w:rPr>
                <w:rFonts w:ascii="Calibri" w:hAnsi="Calibri" w:cs="Calibri"/>
                <w:color w:val="000000" w:themeColor="text1"/>
                <w:sz w:val="18"/>
                <w:szCs w:val="18"/>
              </w:rPr>
              <w:t>$1,675</w:t>
            </w:r>
            <w:bookmarkEnd w:id="164"/>
            <w:bookmarkEnd w:id="165"/>
          </w:p>
        </w:tc>
      </w:tr>
      <w:tr w:rsidR="00BC26FE" w:rsidRPr="00F662D9" w14:paraId="45759CF5" w14:textId="77777777">
        <w:trPr>
          <w:trHeight w:val="300"/>
        </w:trPr>
        <w:tc>
          <w:tcPr>
            <w:tcW w:w="5524" w:type="dxa"/>
            <w:gridSpan w:val="2"/>
            <w:shd w:val="clear" w:color="auto" w:fill="auto"/>
            <w:noWrap/>
            <w:vAlign w:val="bottom"/>
            <w:hideMark/>
          </w:tcPr>
          <w:p w14:paraId="54055B8E"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66" w:name="_Toc146546057"/>
            <w:bookmarkStart w:id="167" w:name="_Toc146552326"/>
            <w:r>
              <w:rPr>
                <w:rFonts w:ascii="Calibri" w:hAnsi="Calibri" w:cs="Calibri"/>
                <w:color w:val="000000"/>
                <w:sz w:val="18"/>
                <w:szCs w:val="18"/>
              </w:rPr>
              <w:t>Standard Patent - 17th Year Renewal (by preferred means)</w:t>
            </w:r>
            <w:bookmarkEnd w:id="166"/>
            <w:bookmarkEnd w:id="167"/>
          </w:p>
        </w:tc>
        <w:tc>
          <w:tcPr>
            <w:tcW w:w="1207" w:type="dxa"/>
            <w:gridSpan w:val="2"/>
            <w:shd w:val="clear" w:color="auto" w:fill="auto"/>
            <w:noWrap/>
            <w:vAlign w:val="bottom"/>
            <w:hideMark/>
          </w:tcPr>
          <w:p w14:paraId="6C96390A"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68" w:name="_Toc146546058"/>
            <w:bookmarkStart w:id="169" w:name="_Toc146552327"/>
            <w:r w:rsidRPr="00F662D9">
              <w:rPr>
                <w:rFonts w:ascii="Calibri" w:eastAsia="Times New Roman" w:hAnsi="Calibri" w:cs="Calibri"/>
                <w:color w:val="000000"/>
                <w:sz w:val="18"/>
                <w:szCs w:val="18"/>
                <w:lang w:eastAsia="en-AU"/>
              </w:rPr>
              <w:t>$1,875</w:t>
            </w:r>
            <w:bookmarkEnd w:id="168"/>
            <w:bookmarkEnd w:id="169"/>
          </w:p>
        </w:tc>
        <w:tc>
          <w:tcPr>
            <w:tcW w:w="1207" w:type="dxa"/>
            <w:shd w:val="clear" w:color="auto" w:fill="auto"/>
            <w:noWrap/>
            <w:vAlign w:val="bottom"/>
            <w:hideMark/>
          </w:tcPr>
          <w:p w14:paraId="5A172865"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70" w:name="_Toc146546059"/>
            <w:bookmarkStart w:id="171" w:name="_Toc146552328"/>
            <w:r w:rsidRPr="00F662D9">
              <w:rPr>
                <w:rFonts w:ascii="Calibri" w:eastAsia="Times New Roman" w:hAnsi="Calibri" w:cs="Calibri"/>
                <w:color w:val="000000" w:themeColor="text1"/>
                <w:sz w:val="18"/>
                <w:szCs w:val="18"/>
                <w:lang w:eastAsia="en-AU"/>
              </w:rPr>
              <w:t>$2,010</w:t>
            </w:r>
            <w:bookmarkEnd w:id="170"/>
            <w:bookmarkEnd w:id="171"/>
          </w:p>
        </w:tc>
      </w:tr>
      <w:tr w:rsidR="00BC26FE" w:rsidRPr="00F662D9" w14:paraId="236A7C06" w14:textId="77777777">
        <w:trPr>
          <w:trHeight w:val="300"/>
        </w:trPr>
        <w:tc>
          <w:tcPr>
            <w:tcW w:w="5524" w:type="dxa"/>
            <w:gridSpan w:val="2"/>
            <w:shd w:val="clear" w:color="auto" w:fill="auto"/>
            <w:noWrap/>
            <w:vAlign w:val="bottom"/>
            <w:hideMark/>
          </w:tcPr>
          <w:p w14:paraId="4C133CEB"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72" w:name="_Toc146546060"/>
            <w:bookmarkStart w:id="173" w:name="_Toc146552329"/>
            <w:r>
              <w:rPr>
                <w:rFonts w:ascii="Calibri" w:hAnsi="Calibri" w:cs="Calibri"/>
                <w:color w:val="000000"/>
                <w:sz w:val="18"/>
                <w:szCs w:val="18"/>
              </w:rPr>
              <w:t>Standard Patent - 18th Year Renewal (by preferred means)</w:t>
            </w:r>
            <w:bookmarkEnd w:id="172"/>
            <w:bookmarkEnd w:id="173"/>
          </w:p>
        </w:tc>
        <w:tc>
          <w:tcPr>
            <w:tcW w:w="1207" w:type="dxa"/>
            <w:gridSpan w:val="2"/>
            <w:shd w:val="clear" w:color="auto" w:fill="auto"/>
            <w:noWrap/>
            <w:vAlign w:val="bottom"/>
            <w:hideMark/>
          </w:tcPr>
          <w:p w14:paraId="1914DC04"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74" w:name="_Toc146546061"/>
            <w:bookmarkStart w:id="175" w:name="_Toc146552330"/>
            <w:r w:rsidRPr="00F662D9">
              <w:rPr>
                <w:rFonts w:ascii="Calibri" w:eastAsia="Times New Roman" w:hAnsi="Calibri" w:cs="Calibri"/>
                <w:color w:val="000000"/>
                <w:sz w:val="18"/>
                <w:szCs w:val="18"/>
                <w:lang w:eastAsia="en-AU"/>
              </w:rPr>
              <w:t>$2,240</w:t>
            </w:r>
            <w:bookmarkEnd w:id="174"/>
            <w:bookmarkEnd w:id="175"/>
          </w:p>
        </w:tc>
        <w:tc>
          <w:tcPr>
            <w:tcW w:w="1207" w:type="dxa"/>
            <w:shd w:val="clear" w:color="auto" w:fill="auto"/>
            <w:noWrap/>
            <w:vAlign w:val="bottom"/>
            <w:hideMark/>
          </w:tcPr>
          <w:p w14:paraId="5049345C"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76" w:name="_Toc146546062"/>
            <w:bookmarkStart w:id="177" w:name="_Toc146552331"/>
            <w:r w:rsidRPr="00F662D9">
              <w:rPr>
                <w:rFonts w:ascii="Calibri" w:eastAsia="Times New Roman" w:hAnsi="Calibri" w:cs="Calibri"/>
                <w:color w:val="000000" w:themeColor="text1"/>
                <w:sz w:val="18"/>
                <w:szCs w:val="18"/>
                <w:lang w:eastAsia="en-AU"/>
              </w:rPr>
              <w:t>$2,390</w:t>
            </w:r>
            <w:bookmarkEnd w:id="176"/>
            <w:bookmarkEnd w:id="177"/>
          </w:p>
        </w:tc>
      </w:tr>
      <w:tr w:rsidR="00BC26FE" w:rsidRPr="00F662D9" w14:paraId="565A800C" w14:textId="77777777">
        <w:trPr>
          <w:trHeight w:val="300"/>
        </w:trPr>
        <w:tc>
          <w:tcPr>
            <w:tcW w:w="5524" w:type="dxa"/>
            <w:gridSpan w:val="2"/>
            <w:shd w:val="clear" w:color="auto" w:fill="auto"/>
            <w:noWrap/>
            <w:vAlign w:val="bottom"/>
            <w:hideMark/>
          </w:tcPr>
          <w:p w14:paraId="4724BA69"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78" w:name="_Toc146546063"/>
            <w:bookmarkStart w:id="179" w:name="_Toc146552332"/>
            <w:r>
              <w:rPr>
                <w:rFonts w:ascii="Calibri" w:hAnsi="Calibri" w:cs="Calibri"/>
                <w:color w:val="000000"/>
                <w:sz w:val="18"/>
                <w:szCs w:val="18"/>
              </w:rPr>
              <w:t>Standard Patent - 19th Year Renewal (by preferred means)</w:t>
            </w:r>
            <w:bookmarkEnd w:id="178"/>
            <w:bookmarkEnd w:id="179"/>
          </w:p>
        </w:tc>
        <w:tc>
          <w:tcPr>
            <w:tcW w:w="1207" w:type="dxa"/>
            <w:gridSpan w:val="2"/>
            <w:shd w:val="clear" w:color="auto" w:fill="auto"/>
            <w:noWrap/>
            <w:vAlign w:val="bottom"/>
            <w:hideMark/>
          </w:tcPr>
          <w:p w14:paraId="67102BE1"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80" w:name="_Toc146546064"/>
            <w:bookmarkStart w:id="181" w:name="_Toc146552333"/>
            <w:r w:rsidRPr="00F662D9">
              <w:rPr>
                <w:rFonts w:ascii="Calibri" w:eastAsia="Times New Roman" w:hAnsi="Calibri" w:cs="Calibri"/>
                <w:color w:val="000000"/>
                <w:sz w:val="18"/>
                <w:szCs w:val="18"/>
                <w:lang w:eastAsia="en-AU"/>
              </w:rPr>
              <w:t>$2,650</w:t>
            </w:r>
            <w:bookmarkEnd w:id="180"/>
            <w:bookmarkEnd w:id="181"/>
          </w:p>
        </w:tc>
        <w:tc>
          <w:tcPr>
            <w:tcW w:w="1207" w:type="dxa"/>
            <w:shd w:val="clear" w:color="auto" w:fill="auto"/>
            <w:noWrap/>
            <w:vAlign w:val="bottom"/>
            <w:hideMark/>
          </w:tcPr>
          <w:p w14:paraId="7270397E"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82" w:name="_Toc146546065"/>
            <w:bookmarkStart w:id="183" w:name="_Toc146552334"/>
            <w:r w:rsidRPr="00F662D9">
              <w:rPr>
                <w:rFonts w:ascii="Calibri" w:eastAsia="Times New Roman" w:hAnsi="Calibri" w:cs="Calibri"/>
                <w:color w:val="000000" w:themeColor="text1"/>
                <w:sz w:val="18"/>
                <w:szCs w:val="18"/>
                <w:lang w:eastAsia="en-AU"/>
              </w:rPr>
              <w:t>$2,815</w:t>
            </w:r>
            <w:bookmarkEnd w:id="182"/>
            <w:bookmarkEnd w:id="183"/>
          </w:p>
        </w:tc>
      </w:tr>
      <w:tr w:rsidR="006A5901" w:rsidRPr="00F662D9" w14:paraId="61A0447D" w14:textId="77777777" w:rsidTr="00007866">
        <w:trPr>
          <w:trHeight w:val="300"/>
        </w:trPr>
        <w:tc>
          <w:tcPr>
            <w:tcW w:w="5524" w:type="dxa"/>
            <w:gridSpan w:val="2"/>
            <w:tcBorders>
              <w:bottom w:val="single" w:sz="4" w:space="0" w:color="D9D9D9" w:themeColor="background1" w:themeShade="D9"/>
            </w:tcBorders>
            <w:shd w:val="clear" w:color="auto" w:fill="auto"/>
            <w:noWrap/>
            <w:vAlign w:val="bottom"/>
          </w:tcPr>
          <w:p w14:paraId="2C2AFE1A" w14:textId="77777777" w:rsidR="006A5901" w:rsidRDefault="006A5901">
            <w:pPr>
              <w:spacing w:after="0" w:line="240" w:lineRule="auto"/>
              <w:ind w:firstLineChars="200" w:firstLine="360"/>
              <w:outlineLvl w:val="0"/>
              <w:rPr>
                <w:rFonts w:ascii="Calibri" w:hAnsi="Calibri" w:cs="Calibri"/>
                <w:color w:val="000000"/>
                <w:sz w:val="18"/>
                <w:szCs w:val="18"/>
              </w:rPr>
            </w:pPr>
          </w:p>
        </w:tc>
        <w:tc>
          <w:tcPr>
            <w:tcW w:w="1207" w:type="dxa"/>
            <w:gridSpan w:val="2"/>
            <w:tcBorders>
              <w:bottom w:val="single" w:sz="4" w:space="0" w:color="D9D9D9" w:themeColor="background1" w:themeShade="D9"/>
            </w:tcBorders>
            <w:shd w:val="clear" w:color="auto" w:fill="auto"/>
            <w:noWrap/>
            <w:vAlign w:val="bottom"/>
          </w:tcPr>
          <w:p w14:paraId="0862EC69" w14:textId="77777777" w:rsidR="006A5901" w:rsidRPr="00F662D9" w:rsidRDefault="006A5901">
            <w:pPr>
              <w:spacing w:after="0" w:line="240" w:lineRule="auto"/>
              <w:jc w:val="right"/>
              <w:outlineLvl w:val="0"/>
              <w:rPr>
                <w:rFonts w:ascii="Calibri" w:eastAsia="Times New Roman" w:hAnsi="Calibri" w:cs="Calibri"/>
                <w:color w:val="000000"/>
                <w:sz w:val="18"/>
                <w:szCs w:val="18"/>
                <w:lang w:eastAsia="en-AU"/>
              </w:rPr>
            </w:pPr>
          </w:p>
        </w:tc>
        <w:tc>
          <w:tcPr>
            <w:tcW w:w="1207" w:type="dxa"/>
            <w:tcBorders>
              <w:bottom w:val="single" w:sz="4" w:space="0" w:color="D9D9D9" w:themeColor="background1" w:themeShade="D9"/>
            </w:tcBorders>
            <w:shd w:val="clear" w:color="auto" w:fill="auto"/>
            <w:noWrap/>
            <w:vAlign w:val="bottom"/>
          </w:tcPr>
          <w:p w14:paraId="56143E20" w14:textId="77777777" w:rsidR="006A5901" w:rsidRPr="00F662D9" w:rsidRDefault="006A5901">
            <w:pPr>
              <w:spacing w:after="0" w:line="240" w:lineRule="auto"/>
              <w:jc w:val="right"/>
              <w:outlineLvl w:val="0"/>
              <w:rPr>
                <w:rFonts w:ascii="Calibri" w:eastAsia="Times New Roman" w:hAnsi="Calibri" w:cs="Calibri"/>
                <w:color w:val="000000" w:themeColor="text1"/>
                <w:sz w:val="18"/>
                <w:szCs w:val="18"/>
                <w:lang w:eastAsia="en-AU"/>
              </w:rPr>
            </w:pPr>
          </w:p>
        </w:tc>
      </w:tr>
      <w:tr w:rsidR="0085488D" w:rsidRPr="00F662D9" w14:paraId="66CBF10D" w14:textId="77777777" w:rsidTr="00007866">
        <w:trPr>
          <w:trHeight w:val="300"/>
        </w:trPr>
        <w:tc>
          <w:tcPr>
            <w:tcW w:w="5524" w:type="dxa"/>
            <w:gridSpan w:val="2"/>
            <w:tcBorders>
              <w:top w:val="single" w:sz="4" w:space="0" w:color="D9D9D9" w:themeColor="background1" w:themeShade="D9"/>
              <w:bottom w:val="nil"/>
            </w:tcBorders>
            <w:shd w:val="clear" w:color="000000" w:fill="D9D9D9"/>
            <w:noWrap/>
            <w:vAlign w:val="bottom"/>
            <w:hideMark/>
          </w:tcPr>
          <w:p w14:paraId="6ECE9C91" w14:textId="7BFB99C3" w:rsidR="0085488D" w:rsidRPr="00AB7D56" w:rsidRDefault="0085488D">
            <w:pPr>
              <w:spacing w:after="0" w:line="240" w:lineRule="auto"/>
              <w:outlineLvl w:val="0"/>
              <w:rPr>
                <w:rFonts w:ascii="Calibri" w:eastAsia="Times New Roman" w:hAnsi="Calibri" w:cs="Calibri"/>
                <w:color w:val="1F3864" w:themeColor="accent1" w:themeShade="80"/>
                <w:sz w:val="18"/>
                <w:szCs w:val="18"/>
                <w:lang w:eastAsia="en-AU"/>
              </w:rPr>
            </w:pPr>
            <w:r w:rsidRPr="00AB7D56">
              <w:rPr>
                <w:rFonts w:ascii="Calibri" w:eastAsia="Times New Roman" w:hAnsi="Calibri" w:cs="Calibri"/>
                <w:color w:val="1F3864" w:themeColor="accent1" w:themeShade="80"/>
                <w:sz w:val="18"/>
                <w:szCs w:val="18"/>
                <w:lang w:eastAsia="en-AU"/>
              </w:rPr>
              <w:t xml:space="preserve">Change to Patent Standard Renewal fees – </w:t>
            </w:r>
            <w:r w:rsidR="006225EC" w:rsidRPr="00AB7D56">
              <w:rPr>
                <w:rFonts w:ascii="Calibri" w:eastAsia="Times New Roman" w:hAnsi="Calibri" w:cs="Calibri"/>
                <w:color w:val="1F3864" w:themeColor="accent1" w:themeShade="80"/>
                <w:sz w:val="18"/>
                <w:szCs w:val="18"/>
                <w:lang w:eastAsia="en-AU"/>
              </w:rPr>
              <w:t xml:space="preserve">paid </w:t>
            </w:r>
            <w:r w:rsidRPr="00AB7D56">
              <w:rPr>
                <w:rFonts w:ascii="Calibri" w:eastAsia="Times New Roman" w:hAnsi="Calibri" w:cs="Calibri"/>
                <w:color w:val="1F3864" w:themeColor="accent1" w:themeShade="80"/>
                <w:sz w:val="18"/>
                <w:szCs w:val="18"/>
                <w:lang w:eastAsia="en-AU"/>
              </w:rPr>
              <w:t>by another means</w:t>
            </w:r>
          </w:p>
        </w:tc>
        <w:tc>
          <w:tcPr>
            <w:tcW w:w="1207" w:type="dxa"/>
            <w:gridSpan w:val="2"/>
            <w:tcBorders>
              <w:top w:val="single" w:sz="4" w:space="0" w:color="D9D9D9" w:themeColor="background1" w:themeShade="D9"/>
              <w:bottom w:val="nil"/>
            </w:tcBorders>
            <w:shd w:val="clear" w:color="000000" w:fill="D9D9D9"/>
            <w:noWrap/>
            <w:vAlign w:val="bottom"/>
            <w:hideMark/>
          </w:tcPr>
          <w:p w14:paraId="07595340" w14:textId="77777777" w:rsidR="0085488D" w:rsidRPr="00F662D9" w:rsidRDefault="0085488D">
            <w:pPr>
              <w:spacing w:after="0" w:line="240" w:lineRule="auto"/>
              <w:outlineLvl w:val="0"/>
              <w:rPr>
                <w:rFonts w:ascii="Calibri" w:eastAsia="Times New Roman" w:hAnsi="Calibri" w:cs="Calibri"/>
                <w:b/>
                <w:bCs/>
                <w:color w:val="000000"/>
                <w:sz w:val="18"/>
                <w:szCs w:val="18"/>
                <w:lang w:eastAsia="en-AU"/>
              </w:rPr>
            </w:pPr>
            <w:r w:rsidRPr="00F662D9">
              <w:rPr>
                <w:rFonts w:ascii="Calibri" w:eastAsia="Times New Roman" w:hAnsi="Calibri" w:cs="Calibri"/>
                <w:b/>
                <w:bCs/>
                <w:color w:val="000000"/>
                <w:sz w:val="18"/>
                <w:szCs w:val="18"/>
                <w:lang w:eastAsia="en-AU"/>
              </w:rPr>
              <w:t> </w:t>
            </w:r>
          </w:p>
        </w:tc>
        <w:tc>
          <w:tcPr>
            <w:tcW w:w="1207" w:type="dxa"/>
            <w:tcBorders>
              <w:top w:val="single" w:sz="4" w:space="0" w:color="D9D9D9" w:themeColor="background1" w:themeShade="D9"/>
              <w:bottom w:val="nil"/>
            </w:tcBorders>
            <w:shd w:val="clear" w:color="000000" w:fill="D9D9D9"/>
            <w:noWrap/>
            <w:vAlign w:val="bottom"/>
            <w:hideMark/>
          </w:tcPr>
          <w:p w14:paraId="08DB795F" w14:textId="77777777" w:rsidR="0085488D" w:rsidRPr="00F662D9" w:rsidRDefault="0085488D">
            <w:pPr>
              <w:spacing w:after="0" w:line="240" w:lineRule="auto"/>
              <w:outlineLvl w:val="0"/>
              <w:rPr>
                <w:rFonts w:ascii="Calibri" w:eastAsia="Times New Roman" w:hAnsi="Calibri" w:cs="Calibri"/>
                <w:b/>
                <w:bCs/>
                <w:color w:val="000000" w:themeColor="text1"/>
                <w:sz w:val="18"/>
                <w:szCs w:val="18"/>
                <w:lang w:eastAsia="en-AU"/>
              </w:rPr>
            </w:pPr>
            <w:r w:rsidRPr="00F662D9">
              <w:rPr>
                <w:rFonts w:ascii="Calibri" w:eastAsia="Times New Roman" w:hAnsi="Calibri" w:cs="Calibri"/>
                <w:b/>
                <w:bCs/>
                <w:color w:val="000000" w:themeColor="text1"/>
                <w:sz w:val="18"/>
                <w:szCs w:val="18"/>
                <w:lang w:eastAsia="en-AU"/>
              </w:rPr>
              <w:t> </w:t>
            </w:r>
          </w:p>
        </w:tc>
      </w:tr>
      <w:tr w:rsidR="00BC26FE" w:rsidRPr="00F662D9" w14:paraId="7450E3D9" w14:textId="77777777" w:rsidTr="00007866">
        <w:trPr>
          <w:trHeight w:val="300"/>
        </w:trPr>
        <w:tc>
          <w:tcPr>
            <w:tcW w:w="5524" w:type="dxa"/>
            <w:gridSpan w:val="2"/>
            <w:tcBorders>
              <w:top w:val="nil"/>
            </w:tcBorders>
            <w:shd w:val="clear" w:color="auto" w:fill="auto"/>
            <w:noWrap/>
            <w:vAlign w:val="bottom"/>
            <w:hideMark/>
          </w:tcPr>
          <w:p w14:paraId="0516FCA0"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84" w:name="_Toc146546066"/>
            <w:bookmarkStart w:id="185" w:name="_Toc146552335"/>
            <w:r>
              <w:rPr>
                <w:rFonts w:ascii="Calibri" w:hAnsi="Calibri" w:cs="Calibri"/>
                <w:color w:val="000000"/>
                <w:sz w:val="18"/>
                <w:szCs w:val="18"/>
              </w:rPr>
              <w:t>Standard Patent - 6th Year Renewal (by another means)</w:t>
            </w:r>
            <w:bookmarkEnd w:id="184"/>
            <w:bookmarkEnd w:id="185"/>
          </w:p>
        </w:tc>
        <w:tc>
          <w:tcPr>
            <w:tcW w:w="1207" w:type="dxa"/>
            <w:gridSpan w:val="2"/>
            <w:tcBorders>
              <w:top w:val="nil"/>
            </w:tcBorders>
            <w:shd w:val="clear" w:color="auto" w:fill="auto"/>
            <w:noWrap/>
            <w:vAlign w:val="bottom"/>
            <w:hideMark/>
          </w:tcPr>
          <w:p w14:paraId="5DE63780"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86" w:name="_Toc146546067"/>
            <w:bookmarkStart w:id="187" w:name="_Toc146552336"/>
            <w:r w:rsidRPr="00F662D9">
              <w:rPr>
                <w:rFonts w:ascii="Calibri" w:eastAsia="Times New Roman" w:hAnsi="Calibri" w:cs="Calibri"/>
                <w:color w:val="000000"/>
                <w:sz w:val="18"/>
                <w:szCs w:val="18"/>
                <w:lang w:eastAsia="en-AU"/>
              </w:rPr>
              <w:t>$385</w:t>
            </w:r>
            <w:bookmarkEnd w:id="186"/>
            <w:bookmarkEnd w:id="187"/>
          </w:p>
        </w:tc>
        <w:tc>
          <w:tcPr>
            <w:tcW w:w="1207" w:type="dxa"/>
            <w:tcBorders>
              <w:top w:val="nil"/>
            </w:tcBorders>
            <w:shd w:val="clear" w:color="auto" w:fill="auto"/>
            <w:noWrap/>
            <w:vAlign w:val="bottom"/>
            <w:hideMark/>
          </w:tcPr>
          <w:p w14:paraId="63EC1E3D"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88" w:name="_Toc146546068"/>
            <w:bookmarkStart w:id="189" w:name="_Toc146552337"/>
            <w:r w:rsidRPr="00F662D9">
              <w:rPr>
                <w:rFonts w:ascii="Calibri" w:eastAsia="Times New Roman" w:hAnsi="Calibri" w:cs="Calibri"/>
                <w:color w:val="000000" w:themeColor="text1"/>
                <w:sz w:val="18"/>
                <w:szCs w:val="18"/>
                <w:lang w:eastAsia="en-AU"/>
              </w:rPr>
              <w:t>$395</w:t>
            </w:r>
            <w:bookmarkEnd w:id="188"/>
            <w:bookmarkEnd w:id="189"/>
          </w:p>
        </w:tc>
      </w:tr>
      <w:tr w:rsidR="00BC26FE" w:rsidRPr="00F662D9" w14:paraId="14D8C3F6" w14:textId="77777777">
        <w:trPr>
          <w:trHeight w:val="300"/>
        </w:trPr>
        <w:tc>
          <w:tcPr>
            <w:tcW w:w="5524" w:type="dxa"/>
            <w:gridSpan w:val="2"/>
            <w:shd w:val="clear" w:color="auto" w:fill="auto"/>
            <w:noWrap/>
            <w:vAlign w:val="bottom"/>
            <w:hideMark/>
          </w:tcPr>
          <w:p w14:paraId="5E41E5EE"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90" w:name="_Toc146546069"/>
            <w:bookmarkStart w:id="191" w:name="_Toc146552338"/>
            <w:r>
              <w:rPr>
                <w:rFonts w:ascii="Calibri" w:hAnsi="Calibri" w:cs="Calibri"/>
                <w:color w:val="000000"/>
                <w:sz w:val="18"/>
                <w:szCs w:val="18"/>
              </w:rPr>
              <w:t>Standard Patent - 7th Year Renewal (by another means)</w:t>
            </w:r>
            <w:bookmarkEnd w:id="190"/>
            <w:bookmarkEnd w:id="191"/>
          </w:p>
        </w:tc>
        <w:tc>
          <w:tcPr>
            <w:tcW w:w="1207" w:type="dxa"/>
            <w:gridSpan w:val="2"/>
            <w:shd w:val="clear" w:color="auto" w:fill="auto"/>
            <w:noWrap/>
            <w:vAlign w:val="bottom"/>
            <w:hideMark/>
          </w:tcPr>
          <w:p w14:paraId="211EBD18"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92" w:name="_Toc146546070"/>
            <w:bookmarkStart w:id="193" w:name="_Toc146552339"/>
            <w:r w:rsidRPr="00F662D9">
              <w:rPr>
                <w:rFonts w:ascii="Calibri" w:eastAsia="Times New Roman" w:hAnsi="Calibri" w:cs="Calibri"/>
                <w:color w:val="000000"/>
                <w:sz w:val="18"/>
                <w:szCs w:val="18"/>
                <w:lang w:eastAsia="en-AU"/>
              </w:rPr>
              <w:t>$410</w:t>
            </w:r>
            <w:bookmarkEnd w:id="192"/>
            <w:bookmarkEnd w:id="193"/>
          </w:p>
        </w:tc>
        <w:tc>
          <w:tcPr>
            <w:tcW w:w="1207" w:type="dxa"/>
            <w:shd w:val="clear" w:color="auto" w:fill="auto"/>
            <w:noWrap/>
            <w:vAlign w:val="bottom"/>
            <w:hideMark/>
          </w:tcPr>
          <w:p w14:paraId="33490F32"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194" w:name="_Toc146546071"/>
            <w:bookmarkStart w:id="195" w:name="_Toc146552340"/>
            <w:r w:rsidRPr="00F662D9">
              <w:rPr>
                <w:rFonts w:ascii="Calibri" w:eastAsia="Times New Roman" w:hAnsi="Calibri" w:cs="Calibri"/>
                <w:color w:val="000000" w:themeColor="text1"/>
                <w:sz w:val="18"/>
                <w:szCs w:val="18"/>
                <w:lang w:eastAsia="en-AU"/>
              </w:rPr>
              <w:t>$430</w:t>
            </w:r>
            <w:bookmarkEnd w:id="194"/>
            <w:bookmarkEnd w:id="195"/>
          </w:p>
        </w:tc>
      </w:tr>
      <w:tr w:rsidR="00BC26FE" w:rsidRPr="00F662D9" w14:paraId="68905CD4" w14:textId="77777777">
        <w:trPr>
          <w:trHeight w:val="300"/>
        </w:trPr>
        <w:tc>
          <w:tcPr>
            <w:tcW w:w="5524" w:type="dxa"/>
            <w:gridSpan w:val="2"/>
            <w:shd w:val="clear" w:color="auto" w:fill="auto"/>
            <w:noWrap/>
            <w:vAlign w:val="bottom"/>
            <w:hideMark/>
          </w:tcPr>
          <w:p w14:paraId="5AE28331"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196" w:name="_Toc146546072"/>
            <w:bookmarkStart w:id="197" w:name="_Toc146552341"/>
            <w:r>
              <w:rPr>
                <w:rFonts w:ascii="Calibri" w:hAnsi="Calibri" w:cs="Calibri"/>
                <w:color w:val="000000"/>
                <w:sz w:val="18"/>
                <w:szCs w:val="18"/>
              </w:rPr>
              <w:t>Standard Patent - 8th Year Renewal (by another means)</w:t>
            </w:r>
            <w:bookmarkEnd w:id="196"/>
            <w:bookmarkEnd w:id="197"/>
          </w:p>
        </w:tc>
        <w:tc>
          <w:tcPr>
            <w:tcW w:w="1207" w:type="dxa"/>
            <w:gridSpan w:val="2"/>
            <w:shd w:val="clear" w:color="auto" w:fill="auto"/>
            <w:noWrap/>
            <w:vAlign w:val="bottom"/>
            <w:hideMark/>
          </w:tcPr>
          <w:p w14:paraId="3ECFCBF0"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198" w:name="_Toc146546073"/>
            <w:bookmarkStart w:id="199" w:name="_Toc146552342"/>
            <w:r w:rsidRPr="00F662D9">
              <w:rPr>
                <w:rFonts w:ascii="Calibri" w:eastAsia="Times New Roman" w:hAnsi="Calibri" w:cs="Calibri"/>
                <w:color w:val="000000"/>
                <w:sz w:val="18"/>
                <w:szCs w:val="18"/>
                <w:lang w:eastAsia="en-AU"/>
              </w:rPr>
              <w:t>$440</w:t>
            </w:r>
            <w:bookmarkEnd w:id="198"/>
            <w:bookmarkEnd w:id="199"/>
          </w:p>
        </w:tc>
        <w:tc>
          <w:tcPr>
            <w:tcW w:w="1207" w:type="dxa"/>
            <w:shd w:val="clear" w:color="auto" w:fill="auto"/>
            <w:noWrap/>
            <w:vAlign w:val="bottom"/>
            <w:hideMark/>
          </w:tcPr>
          <w:p w14:paraId="44CF878F"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00" w:name="_Toc146546074"/>
            <w:bookmarkStart w:id="201" w:name="_Toc146552343"/>
            <w:r w:rsidRPr="00F662D9">
              <w:rPr>
                <w:rFonts w:ascii="Calibri" w:eastAsia="Times New Roman" w:hAnsi="Calibri" w:cs="Calibri"/>
                <w:color w:val="000000" w:themeColor="text1"/>
                <w:sz w:val="18"/>
                <w:szCs w:val="18"/>
                <w:lang w:eastAsia="en-AU"/>
              </w:rPr>
              <w:t>$470</w:t>
            </w:r>
            <w:bookmarkEnd w:id="200"/>
            <w:bookmarkEnd w:id="201"/>
          </w:p>
        </w:tc>
      </w:tr>
      <w:tr w:rsidR="00BC26FE" w:rsidRPr="00F662D9" w14:paraId="35E7E735" w14:textId="77777777">
        <w:trPr>
          <w:trHeight w:val="300"/>
        </w:trPr>
        <w:tc>
          <w:tcPr>
            <w:tcW w:w="5524" w:type="dxa"/>
            <w:gridSpan w:val="2"/>
            <w:shd w:val="clear" w:color="auto" w:fill="auto"/>
            <w:noWrap/>
            <w:vAlign w:val="bottom"/>
            <w:hideMark/>
          </w:tcPr>
          <w:p w14:paraId="05460FBB"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02" w:name="_Toc146546075"/>
            <w:bookmarkStart w:id="203" w:name="_Toc146552344"/>
            <w:r>
              <w:rPr>
                <w:rFonts w:ascii="Calibri" w:hAnsi="Calibri" w:cs="Calibri"/>
                <w:color w:val="000000"/>
                <w:sz w:val="18"/>
                <w:szCs w:val="18"/>
              </w:rPr>
              <w:t>Standard Patent - 9th Year Renewal (by another means)</w:t>
            </w:r>
            <w:bookmarkEnd w:id="202"/>
            <w:bookmarkEnd w:id="203"/>
          </w:p>
        </w:tc>
        <w:tc>
          <w:tcPr>
            <w:tcW w:w="1207" w:type="dxa"/>
            <w:gridSpan w:val="2"/>
            <w:shd w:val="clear" w:color="auto" w:fill="auto"/>
            <w:noWrap/>
            <w:vAlign w:val="bottom"/>
            <w:hideMark/>
          </w:tcPr>
          <w:p w14:paraId="6BD61CD2"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04" w:name="_Toc146546076"/>
            <w:bookmarkStart w:id="205" w:name="_Toc146552345"/>
            <w:r w:rsidRPr="00F662D9">
              <w:rPr>
                <w:rFonts w:ascii="Calibri" w:eastAsia="Times New Roman" w:hAnsi="Calibri" w:cs="Calibri"/>
                <w:color w:val="000000"/>
                <w:sz w:val="18"/>
                <w:szCs w:val="18"/>
                <w:lang w:eastAsia="en-AU"/>
              </w:rPr>
              <w:t>$475</w:t>
            </w:r>
            <w:bookmarkEnd w:id="204"/>
            <w:bookmarkEnd w:id="205"/>
          </w:p>
        </w:tc>
        <w:tc>
          <w:tcPr>
            <w:tcW w:w="1207" w:type="dxa"/>
            <w:shd w:val="clear" w:color="auto" w:fill="auto"/>
            <w:noWrap/>
            <w:vAlign w:val="bottom"/>
            <w:hideMark/>
          </w:tcPr>
          <w:p w14:paraId="101CA4B8"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06" w:name="_Toc146546077"/>
            <w:bookmarkStart w:id="207" w:name="_Toc146552346"/>
            <w:r w:rsidRPr="00F662D9">
              <w:rPr>
                <w:rFonts w:ascii="Calibri" w:eastAsia="Times New Roman" w:hAnsi="Calibri" w:cs="Calibri"/>
                <w:color w:val="000000" w:themeColor="text1"/>
                <w:sz w:val="18"/>
                <w:szCs w:val="18"/>
                <w:lang w:eastAsia="en-AU"/>
              </w:rPr>
              <w:t>$515</w:t>
            </w:r>
            <w:bookmarkEnd w:id="206"/>
            <w:bookmarkEnd w:id="207"/>
          </w:p>
        </w:tc>
      </w:tr>
      <w:tr w:rsidR="00BC26FE" w:rsidRPr="00F662D9" w14:paraId="02C53D1D" w14:textId="77777777">
        <w:trPr>
          <w:trHeight w:val="300"/>
        </w:trPr>
        <w:tc>
          <w:tcPr>
            <w:tcW w:w="5524" w:type="dxa"/>
            <w:gridSpan w:val="2"/>
            <w:shd w:val="clear" w:color="auto" w:fill="auto"/>
            <w:noWrap/>
            <w:vAlign w:val="bottom"/>
            <w:hideMark/>
          </w:tcPr>
          <w:p w14:paraId="1C9DB738"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08" w:name="_Toc146546078"/>
            <w:bookmarkStart w:id="209" w:name="_Toc146552347"/>
            <w:r>
              <w:rPr>
                <w:rFonts w:ascii="Calibri" w:hAnsi="Calibri" w:cs="Calibri"/>
                <w:color w:val="000000"/>
                <w:sz w:val="18"/>
                <w:szCs w:val="18"/>
              </w:rPr>
              <w:t>Standard Patent - 10th Year Renewal (by another means)</w:t>
            </w:r>
            <w:bookmarkEnd w:id="208"/>
            <w:bookmarkEnd w:id="209"/>
          </w:p>
        </w:tc>
        <w:tc>
          <w:tcPr>
            <w:tcW w:w="1207" w:type="dxa"/>
            <w:gridSpan w:val="2"/>
            <w:shd w:val="clear" w:color="auto" w:fill="auto"/>
            <w:noWrap/>
            <w:vAlign w:val="bottom"/>
            <w:hideMark/>
          </w:tcPr>
          <w:p w14:paraId="698AA673"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10" w:name="_Toc146546079"/>
            <w:bookmarkStart w:id="211" w:name="_Toc146552348"/>
            <w:r w:rsidRPr="00F662D9">
              <w:rPr>
                <w:rFonts w:ascii="Calibri" w:eastAsia="Times New Roman" w:hAnsi="Calibri" w:cs="Calibri"/>
                <w:color w:val="000000"/>
                <w:sz w:val="18"/>
                <w:szCs w:val="18"/>
                <w:lang w:eastAsia="en-AU"/>
              </w:rPr>
              <w:t>$540</w:t>
            </w:r>
            <w:bookmarkEnd w:id="210"/>
            <w:bookmarkEnd w:id="211"/>
          </w:p>
        </w:tc>
        <w:tc>
          <w:tcPr>
            <w:tcW w:w="1207" w:type="dxa"/>
            <w:shd w:val="clear" w:color="auto" w:fill="auto"/>
            <w:noWrap/>
            <w:vAlign w:val="bottom"/>
            <w:hideMark/>
          </w:tcPr>
          <w:p w14:paraId="07207215"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12" w:name="_Toc146546080"/>
            <w:bookmarkStart w:id="213" w:name="_Toc146552349"/>
            <w:r w:rsidRPr="00F662D9">
              <w:rPr>
                <w:rFonts w:ascii="Calibri" w:eastAsia="Times New Roman" w:hAnsi="Calibri" w:cs="Calibri"/>
                <w:color w:val="000000" w:themeColor="text1"/>
                <w:sz w:val="18"/>
                <w:szCs w:val="18"/>
                <w:lang w:eastAsia="en-AU"/>
              </w:rPr>
              <w:t>$590</w:t>
            </w:r>
            <w:bookmarkEnd w:id="212"/>
            <w:bookmarkEnd w:id="213"/>
          </w:p>
        </w:tc>
      </w:tr>
      <w:tr w:rsidR="00BC26FE" w:rsidRPr="00F662D9" w14:paraId="2B6F1F85" w14:textId="77777777">
        <w:trPr>
          <w:trHeight w:val="300"/>
        </w:trPr>
        <w:tc>
          <w:tcPr>
            <w:tcW w:w="5524" w:type="dxa"/>
            <w:gridSpan w:val="2"/>
            <w:shd w:val="clear" w:color="auto" w:fill="auto"/>
            <w:noWrap/>
            <w:vAlign w:val="bottom"/>
            <w:hideMark/>
          </w:tcPr>
          <w:p w14:paraId="63C63ED3"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14" w:name="_Toc146546081"/>
            <w:bookmarkStart w:id="215" w:name="_Toc146552350"/>
            <w:r>
              <w:rPr>
                <w:rFonts w:ascii="Calibri" w:hAnsi="Calibri" w:cs="Calibri"/>
                <w:color w:val="000000"/>
                <w:sz w:val="18"/>
                <w:szCs w:val="18"/>
              </w:rPr>
              <w:t>Standard Patent - 11th Year Renewal (by another means)</w:t>
            </w:r>
            <w:bookmarkEnd w:id="214"/>
            <w:bookmarkEnd w:id="215"/>
          </w:p>
        </w:tc>
        <w:tc>
          <w:tcPr>
            <w:tcW w:w="1207" w:type="dxa"/>
            <w:gridSpan w:val="2"/>
            <w:shd w:val="clear" w:color="auto" w:fill="auto"/>
            <w:noWrap/>
            <w:vAlign w:val="bottom"/>
            <w:hideMark/>
          </w:tcPr>
          <w:p w14:paraId="476514D2"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16" w:name="_Toc146546082"/>
            <w:bookmarkStart w:id="217" w:name="_Toc146552351"/>
            <w:r w:rsidRPr="00F662D9">
              <w:rPr>
                <w:rFonts w:ascii="Calibri" w:eastAsia="Times New Roman" w:hAnsi="Calibri" w:cs="Calibri"/>
                <w:color w:val="000000"/>
                <w:sz w:val="18"/>
                <w:szCs w:val="18"/>
                <w:lang w:eastAsia="en-AU"/>
              </w:rPr>
              <w:t>$635</w:t>
            </w:r>
            <w:bookmarkEnd w:id="216"/>
            <w:bookmarkEnd w:id="217"/>
          </w:p>
        </w:tc>
        <w:tc>
          <w:tcPr>
            <w:tcW w:w="1207" w:type="dxa"/>
            <w:shd w:val="clear" w:color="auto" w:fill="auto"/>
            <w:noWrap/>
            <w:vAlign w:val="bottom"/>
            <w:hideMark/>
          </w:tcPr>
          <w:p w14:paraId="0BDCA9EA"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18" w:name="_Toc146546083"/>
            <w:bookmarkStart w:id="219" w:name="_Toc146552352"/>
            <w:r w:rsidRPr="00F662D9">
              <w:rPr>
                <w:rFonts w:ascii="Calibri" w:eastAsia="Times New Roman" w:hAnsi="Calibri" w:cs="Calibri"/>
                <w:color w:val="000000" w:themeColor="text1"/>
                <w:sz w:val="18"/>
                <w:szCs w:val="18"/>
                <w:lang w:eastAsia="en-AU"/>
              </w:rPr>
              <w:t>$695</w:t>
            </w:r>
            <w:bookmarkEnd w:id="218"/>
            <w:bookmarkEnd w:id="219"/>
          </w:p>
        </w:tc>
      </w:tr>
      <w:tr w:rsidR="00BC26FE" w:rsidRPr="00F662D9" w14:paraId="6BB62CDA" w14:textId="77777777">
        <w:trPr>
          <w:trHeight w:val="300"/>
        </w:trPr>
        <w:tc>
          <w:tcPr>
            <w:tcW w:w="5524" w:type="dxa"/>
            <w:gridSpan w:val="2"/>
            <w:shd w:val="clear" w:color="auto" w:fill="auto"/>
            <w:noWrap/>
            <w:vAlign w:val="bottom"/>
            <w:hideMark/>
          </w:tcPr>
          <w:p w14:paraId="6118FCEB"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20" w:name="_Toc146546084"/>
            <w:bookmarkStart w:id="221" w:name="_Toc146552353"/>
            <w:r>
              <w:rPr>
                <w:rFonts w:ascii="Calibri" w:hAnsi="Calibri" w:cs="Calibri"/>
                <w:color w:val="000000"/>
                <w:sz w:val="18"/>
                <w:szCs w:val="18"/>
              </w:rPr>
              <w:t>Standard Patent - 12th Year Renewal (by another means)</w:t>
            </w:r>
            <w:bookmarkEnd w:id="220"/>
            <w:bookmarkEnd w:id="221"/>
          </w:p>
        </w:tc>
        <w:tc>
          <w:tcPr>
            <w:tcW w:w="1207" w:type="dxa"/>
            <w:gridSpan w:val="2"/>
            <w:shd w:val="clear" w:color="auto" w:fill="auto"/>
            <w:noWrap/>
            <w:vAlign w:val="bottom"/>
            <w:hideMark/>
          </w:tcPr>
          <w:p w14:paraId="16ABA7C7"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22" w:name="_Toc146546085"/>
            <w:bookmarkStart w:id="223" w:name="_Toc146552354"/>
            <w:r w:rsidRPr="00F662D9">
              <w:rPr>
                <w:rFonts w:ascii="Calibri" w:eastAsia="Times New Roman" w:hAnsi="Calibri" w:cs="Calibri"/>
                <w:color w:val="000000"/>
                <w:sz w:val="18"/>
                <w:szCs w:val="18"/>
                <w:lang w:eastAsia="en-AU"/>
              </w:rPr>
              <w:t>$760</w:t>
            </w:r>
            <w:bookmarkEnd w:id="222"/>
            <w:bookmarkEnd w:id="223"/>
          </w:p>
        </w:tc>
        <w:tc>
          <w:tcPr>
            <w:tcW w:w="1207" w:type="dxa"/>
            <w:shd w:val="clear" w:color="auto" w:fill="auto"/>
            <w:noWrap/>
            <w:vAlign w:val="bottom"/>
            <w:hideMark/>
          </w:tcPr>
          <w:p w14:paraId="5250400E"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24" w:name="_Toc146546086"/>
            <w:bookmarkStart w:id="225" w:name="_Toc146552355"/>
            <w:r w:rsidRPr="00F662D9">
              <w:rPr>
                <w:rFonts w:ascii="Calibri" w:eastAsia="Times New Roman" w:hAnsi="Calibri" w:cs="Calibri"/>
                <w:color w:val="000000" w:themeColor="text1"/>
                <w:sz w:val="18"/>
                <w:szCs w:val="18"/>
                <w:lang w:eastAsia="en-AU"/>
              </w:rPr>
              <w:t>$830</w:t>
            </w:r>
            <w:bookmarkEnd w:id="224"/>
            <w:bookmarkEnd w:id="225"/>
          </w:p>
        </w:tc>
      </w:tr>
      <w:tr w:rsidR="00BC26FE" w:rsidRPr="00F662D9" w14:paraId="40138230" w14:textId="77777777">
        <w:trPr>
          <w:trHeight w:val="300"/>
        </w:trPr>
        <w:tc>
          <w:tcPr>
            <w:tcW w:w="5524" w:type="dxa"/>
            <w:gridSpan w:val="2"/>
            <w:shd w:val="clear" w:color="auto" w:fill="auto"/>
            <w:noWrap/>
            <w:vAlign w:val="bottom"/>
            <w:hideMark/>
          </w:tcPr>
          <w:p w14:paraId="46E3AA3F"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26" w:name="_Toc146546087"/>
            <w:bookmarkStart w:id="227" w:name="_Toc146552356"/>
            <w:r>
              <w:rPr>
                <w:rFonts w:ascii="Calibri" w:hAnsi="Calibri" w:cs="Calibri"/>
                <w:color w:val="000000"/>
                <w:sz w:val="18"/>
                <w:szCs w:val="18"/>
              </w:rPr>
              <w:t>Standard Patent - 13th Year Renewal (by another means)</w:t>
            </w:r>
            <w:bookmarkEnd w:id="226"/>
            <w:bookmarkEnd w:id="227"/>
          </w:p>
        </w:tc>
        <w:tc>
          <w:tcPr>
            <w:tcW w:w="1207" w:type="dxa"/>
            <w:gridSpan w:val="2"/>
            <w:shd w:val="clear" w:color="auto" w:fill="auto"/>
            <w:noWrap/>
            <w:vAlign w:val="bottom"/>
            <w:hideMark/>
          </w:tcPr>
          <w:p w14:paraId="270700E4"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28" w:name="_Toc146546088"/>
            <w:bookmarkStart w:id="229" w:name="_Toc146552357"/>
            <w:r w:rsidRPr="00F662D9">
              <w:rPr>
                <w:rFonts w:ascii="Calibri" w:eastAsia="Times New Roman" w:hAnsi="Calibri" w:cs="Calibri"/>
                <w:color w:val="000000"/>
                <w:sz w:val="18"/>
                <w:szCs w:val="18"/>
                <w:lang w:eastAsia="en-AU"/>
              </w:rPr>
              <w:t>$915</w:t>
            </w:r>
            <w:bookmarkEnd w:id="228"/>
            <w:bookmarkEnd w:id="229"/>
          </w:p>
        </w:tc>
        <w:tc>
          <w:tcPr>
            <w:tcW w:w="1207" w:type="dxa"/>
            <w:shd w:val="clear" w:color="auto" w:fill="auto"/>
            <w:noWrap/>
            <w:vAlign w:val="bottom"/>
            <w:hideMark/>
          </w:tcPr>
          <w:p w14:paraId="52B9E1AD"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30" w:name="_Toc146546089"/>
            <w:bookmarkStart w:id="231" w:name="_Toc146552358"/>
            <w:r w:rsidRPr="00F662D9">
              <w:rPr>
                <w:rFonts w:ascii="Calibri" w:eastAsia="Times New Roman" w:hAnsi="Calibri" w:cs="Calibri"/>
                <w:color w:val="000000" w:themeColor="text1"/>
                <w:sz w:val="18"/>
                <w:szCs w:val="18"/>
                <w:lang w:eastAsia="en-AU"/>
              </w:rPr>
              <w:t>$995</w:t>
            </w:r>
            <w:bookmarkEnd w:id="230"/>
            <w:bookmarkEnd w:id="231"/>
          </w:p>
        </w:tc>
      </w:tr>
      <w:tr w:rsidR="00BC26FE" w:rsidRPr="00F662D9" w14:paraId="13ADCE02" w14:textId="77777777">
        <w:trPr>
          <w:trHeight w:val="300"/>
        </w:trPr>
        <w:tc>
          <w:tcPr>
            <w:tcW w:w="5524" w:type="dxa"/>
            <w:gridSpan w:val="2"/>
            <w:shd w:val="clear" w:color="auto" w:fill="auto"/>
            <w:noWrap/>
            <w:vAlign w:val="bottom"/>
            <w:hideMark/>
          </w:tcPr>
          <w:p w14:paraId="47764B32"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32" w:name="_Toc146546090"/>
            <w:bookmarkStart w:id="233" w:name="_Toc146552359"/>
            <w:r>
              <w:rPr>
                <w:rFonts w:ascii="Calibri" w:hAnsi="Calibri" w:cs="Calibri"/>
                <w:color w:val="000000"/>
                <w:sz w:val="18"/>
                <w:szCs w:val="18"/>
              </w:rPr>
              <w:t>Standard Patent - 14th Year Renewal (by another means)</w:t>
            </w:r>
            <w:bookmarkEnd w:id="232"/>
            <w:bookmarkEnd w:id="233"/>
          </w:p>
        </w:tc>
        <w:tc>
          <w:tcPr>
            <w:tcW w:w="1207" w:type="dxa"/>
            <w:gridSpan w:val="2"/>
            <w:shd w:val="clear" w:color="auto" w:fill="auto"/>
            <w:noWrap/>
            <w:vAlign w:val="bottom"/>
            <w:hideMark/>
          </w:tcPr>
          <w:p w14:paraId="202F9C40"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34" w:name="_Toc146546091"/>
            <w:bookmarkStart w:id="235" w:name="_Toc146552360"/>
            <w:r w:rsidRPr="00F662D9">
              <w:rPr>
                <w:rFonts w:ascii="Calibri" w:eastAsia="Times New Roman" w:hAnsi="Calibri" w:cs="Calibri"/>
                <w:color w:val="000000"/>
                <w:sz w:val="18"/>
                <w:szCs w:val="18"/>
                <w:lang w:eastAsia="en-AU"/>
              </w:rPr>
              <w:t>$1,100</w:t>
            </w:r>
            <w:bookmarkEnd w:id="234"/>
            <w:bookmarkEnd w:id="235"/>
          </w:p>
        </w:tc>
        <w:tc>
          <w:tcPr>
            <w:tcW w:w="1207" w:type="dxa"/>
            <w:shd w:val="clear" w:color="auto" w:fill="auto"/>
            <w:noWrap/>
            <w:vAlign w:val="bottom"/>
            <w:hideMark/>
          </w:tcPr>
          <w:p w14:paraId="5D8A09FB"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36" w:name="_Toc146546092"/>
            <w:bookmarkStart w:id="237" w:name="_Toc146552361"/>
            <w:r w:rsidRPr="00F662D9">
              <w:rPr>
                <w:rFonts w:ascii="Calibri" w:eastAsia="Times New Roman" w:hAnsi="Calibri" w:cs="Calibri"/>
                <w:color w:val="000000" w:themeColor="text1"/>
                <w:sz w:val="18"/>
                <w:szCs w:val="18"/>
                <w:lang w:eastAsia="en-AU"/>
              </w:rPr>
              <w:t>$1,190</w:t>
            </w:r>
            <w:bookmarkEnd w:id="236"/>
            <w:bookmarkEnd w:id="237"/>
          </w:p>
        </w:tc>
      </w:tr>
      <w:tr w:rsidR="00BC26FE" w:rsidRPr="00F662D9" w14:paraId="625B2227" w14:textId="77777777">
        <w:trPr>
          <w:trHeight w:val="300"/>
        </w:trPr>
        <w:tc>
          <w:tcPr>
            <w:tcW w:w="5524" w:type="dxa"/>
            <w:gridSpan w:val="2"/>
            <w:shd w:val="clear" w:color="auto" w:fill="auto"/>
            <w:noWrap/>
            <w:vAlign w:val="bottom"/>
            <w:hideMark/>
          </w:tcPr>
          <w:p w14:paraId="0DC4E4D1"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38" w:name="_Toc146546093"/>
            <w:bookmarkStart w:id="239" w:name="_Toc146552362"/>
            <w:r>
              <w:rPr>
                <w:rFonts w:ascii="Calibri" w:hAnsi="Calibri" w:cs="Calibri"/>
                <w:color w:val="000000"/>
                <w:sz w:val="18"/>
                <w:szCs w:val="18"/>
              </w:rPr>
              <w:t>Standard Patent - 15th Year Renewal (by another means)</w:t>
            </w:r>
            <w:bookmarkEnd w:id="238"/>
            <w:bookmarkEnd w:id="239"/>
          </w:p>
        </w:tc>
        <w:tc>
          <w:tcPr>
            <w:tcW w:w="1207" w:type="dxa"/>
            <w:gridSpan w:val="2"/>
            <w:shd w:val="clear" w:color="auto" w:fill="auto"/>
            <w:noWrap/>
            <w:vAlign w:val="bottom"/>
            <w:hideMark/>
          </w:tcPr>
          <w:p w14:paraId="558AE158"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40" w:name="_Toc146546094"/>
            <w:bookmarkStart w:id="241" w:name="_Toc146552363"/>
            <w:r w:rsidRPr="00F662D9">
              <w:rPr>
                <w:rFonts w:ascii="Calibri" w:eastAsia="Times New Roman" w:hAnsi="Calibri" w:cs="Calibri"/>
                <w:color w:val="000000"/>
                <w:sz w:val="18"/>
                <w:szCs w:val="18"/>
                <w:lang w:eastAsia="en-AU"/>
              </w:rPr>
              <w:t>$1,330</w:t>
            </w:r>
            <w:bookmarkEnd w:id="240"/>
            <w:bookmarkEnd w:id="241"/>
          </w:p>
        </w:tc>
        <w:tc>
          <w:tcPr>
            <w:tcW w:w="1207" w:type="dxa"/>
            <w:shd w:val="clear" w:color="auto" w:fill="auto"/>
            <w:noWrap/>
            <w:vAlign w:val="bottom"/>
            <w:hideMark/>
          </w:tcPr>
          <w:p w14:paraId="4BF3C862"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42" w:name="_Toc146546095"/>
            <w:bookmarkStart w:id="243" w:name="_Toc146552364"/>
            <w:r w:rsidRPr="00F662D9">
              <w:rPr>
                <w:rFonts w:ascii="Calibri" w:eastAsia="Times New Roman" w:hAnsi="Calibri" w:cs="Calibri"/>
                <w:color w:val="000000" w:themeColor="text1"/>
                <w:sz w:val="18"/>
                <w:szCs w:val="18"/>
                <w:lang w:eastAsia="en-AU"/>
              </w:rPr>
              <w:t>$1,435</w:t>
            </w:r>
            <w:bookmarkEnd w:id="242"/>
            <w:bookmarkEnd w:id="243"/>
          </w:p>
        </w:tc>
      </w:tr>
      <w:tr w:rsidR="00BC26FE" w:rsidRPr="00F662D9" w14:paraId="542083AD" w14:textId="77777777">
        <w:trPr>
          <w:trHeight w:val="300"/>
        </w:trPr>
        <w:tc>
          <w:tcPr>
            <w:tcW w:w="5524" w:type="dxa"/>
            <w:gridSpan w:val="2"/>
            <w:shd w:val="clear" w:color="auto" w:fill="auto"/>
            <w:noWrap/>
            <w:vAlign w:val="bottom"/>
            <w:hideMark/>
          </w:tcPr>
          <w:p w14:paraId="5D3A281B"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44" w:name="_Toc146546096"/>
            <w:bookmarkStart w:id="245" w:name="_Toc146552365"/>
            <w:r>
              <w:rPr>
                <w:rFonts w:ascii="Calibri" w:hAnsi="Calibri" w:cs="Calibri"/>
                <w:color w:val="000000"/>
                <w:sz w:val="18"/>
                <w:szCs w:val="18"/>
              </w:rPr>
              <w:t>Standard Patent - 16th Year Renewal (by another means)</w:t>
            </w:r>
            <w:bookmarkEnd w:id="244"/>
            <w:bookmarkEnd w:id="245"/>
          </w:p>
        </w:tc>
        <w:tc>
          <w:tcPr>
            <w:tcW w:w="1207" w:type="dxa"/>
            <w:gridSpan w:val="2"/>
            <w:shd w:val="clear" w:color="auto" w:fill="auto"/>
            <w:noWrap/>
            <w:vAlign w:val="bottom"/>
            <w:hideMark/>
          </w:tcPr>
          <w:p w14:paraId="1B2169E7"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46" w:name="_Toc146546097"/>
            <w:bookmarkStart w:id="247" w:name="_Toc146552366"/>
            <w:r w:rsidRPr="00F662D9">
              <w:rPr>
                <w:rFonts w:ascii="Calibri" w:eastAsia="Times New Roman" w:hAnsi="Calibri" w:cs="Calibri"/>
                <w:color w:val="000000"/>
                <w:sz w:val="18"/>
                <w:szCs w:val="18"/>
                <w:lang w:eastAsia="en-AU"/>
              </w:rPr>
              <w:t>$1,605</w:t>
            </w:r>
            <w:bookmarkEnd w:id="246"/>
            <w:bookmarkEnd w:id="247"/>
          </w:p>
        </w:tc>
        <w:tc>
          <w:tcPr>
            <w:tcW w:w="1207" w:type="dxa"/>
            <w:shd w:val="clear" w:color="auto" w:fill="auto"/>
            <w:noWrap/>
            <w:vAlign w:val="bottom"/>
            <w:hideMark/>
          </w:tcPr>
          <w:p w14:paraId="6BE89171"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48" w:name="_Toc146546098"/>
            <w:bookmarkStart w:id="249" w:name="_Toc146552367"/>
            <w:r w:rsidRPr="00F662D9">
              <w:rPr>
                <w:rFonts w:ascii="Calibri" w:eastAsia="Times New Roman" w:hAnsi="Calibri" w:cs="Calibri"/>
                <w:color w:val="000000" w:themeColor="text1"/>
                <w:sz w:val="18"/>
                <w:szCs w:val="18"/>
                <w:lang w:eastAsia="en-AU"/>
              </w:rPr>
              <w:t>$1,725</w:t>
            </w:r>
            <w:bookmarkEnd w:id="248"/>
            <w:bookmarkEnd w:id="249"/>
          </w:p>
        </w:tc>
      </w:tr>
      <w:tr w:rsidR="00BC26FE" w:rsidRPr="00F662D9" w14:paraId="33B025AE" w14:textId="77777777">
        <w:trPr>
          <w:trHeight w:val="300"/>
        </w:trPr>
        <w:tc>
          <w:tcPr>
            <w:tcW w:w="5524" w:type="dxa"/>
            <w:gridSpan w:val="2"/>
            <w:shd w:val="clear" w:color="auto" w:fill="auto"/>
            <w:noWrap/>
            <w:vAlign w:val="bottom"/>
            <w:hideMark/>
          </w:tcPr>
          <w:p w14:paraId="7E6865C7"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50" w:name="_Toc146546099"/>
            <w:bookmarkStart w:id="251" w:name="_Toc146552368"/>
            <w:r>
              <w:rPr>
                <w:rFonts w:ascii="Calibri" w:hAnsi="Calibri" w:cs="Calibri"/>
                <w:color w:val="000000"/>
                <w:sz w:val="18"/>
                <w:szCs w:val="18"/>
              </w:rPr>
              <w:t>Standard Patent - 17th Year Renewal (by another means)</w:t>
            </w:r>
            <w:bookmarkEnd w:id="250"/>
            <w:bookmarkEnd w:id="251"/>
          </w:p>
        </w:tc>
        <w:tc>
          <w:tcPr>
            <w:tcW w:w="1207" w:type="dxa"/>
            <w:gridSpan w:val="2"/>
            <w:shd w:val="clear" w:color="auto" w:fill="auto"/>
            <w:noWrap/>
            <w:vAlign w:val="bottom"/>
            <w:hideMark/>
          </w:tcPr>
          <w:p w14:paraId="06156CA5"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52" w:name="_Toc146546100"/>
            <w:bookmarkStart w:id="253" w:name="_Toc146552369"/>
            <w:r w:rsidRPr="00F662D9">
              <w:rPr>
                <w:rFonts w:ascii="Calibri" w:eastAsia="Times New Roman" w:hAnsi="Calibri" w:cs="Calibri"/>
                <w:color w:val="000000"/>
                <w:sz w:val="18"/>
                <w:szCs w:val="18"/>
                <w:lang w:eastAsia="en-AU"/>
              </w:rPr>
              <w:t>$1,925</w:t>
            </w:r>
            <w:bookmarkEnd w:id="252"/>
            <w:bookmarkEnd w:id="253"/>
          </w:p>
        </w:tc>
        <w:tc>
          <w:tcPr>
            <w:tcW w:w="1207" w:type="dxa"/>
            <w:shd w:val="clear" w:color="auto" w:fill="auto"/>
            <w:noWrap/>
            <w:vAlign w:val="bottom"/>
            <w:hideMark/>
          </w:tcPr>
          <w:p w14:paraId="7EF5B866"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54" w:name="_Toc146546101"/>
            <w:bookmarkStart w:id="255" w:name="_Toc146552370"/>
            <w:r w:rsidRPr="00F662D9">
              <w:rPr>
                <w:rFonts w:ascii="Calibri" w:eastAsia="Times New Roman" w:hAnsi="Calibri" w:cs="Calibri"/>
                <w:color w:val="000000" w:themeColor="text1"/>
                <w:sz w:val="18"/>
                <w:szCs w:val="18"/>
                <w:lang w:eastAsia="en-AU"/>
              </w:rPr>
              <w:t>$2,060</w:t>
            </w:r>
            <w:bookmarkEnd w:id="254"/>
            <w:bookmarkEnd w:id="255"/>
          </w:p>
        </w:tc>
      </w:tr>
      <w:tr w:rsidR="00BC26FE" w:rsidRPr="00F662D9" w14:paraId="376B46D5" w14:textId="77777777">
        <w:trPr>
          <w:trHeight w:val="300"/>
        </w:trPr>
        <w:tc>
          <w:tcPr>
            <w:tcW w:w="5524" w:type="dxa"/>
            <w:gridSpan w:val="2"/>
            <w:shd w:val="clear" w:color="auto" w:fill="auto"/>
            <w:noWrap/>
            <w:vAlign w:val="bottom"/>
            <w:hideMark/>
          </w:tcPr>
          <w:p w14:paraId="07A24B2C"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56" w:name="_Toc146546102"/>
            <w:bookmarkStart w:id="257" w:name="_Toc146552371"/>
            <w:r>
              <w:rPr>
                <w:rFonts w:ascii="Calibri" w:hAnsi="Calibri" w:cs="Calibri"/>
                <w:color w:val="000000"/>
                <w:sz w:val="18"/>
                <w:szCs w:val="18"/>
              </w:rPr>
              <w:t>Standard Patent - 18th Year Renewal (by another means)</w:t>
            </w:r>
            <w:bookmarkEnd w:id="256"/>
            <w:bookmarkEnd w:id="257"/>
          </w:p>
        </w:tc>
        <w:tc>
          <w:tcPr>
            <w:tcW w:w="1207" w:type="dxa"/>
            <w:gridSpan w:val="2"/>
            <w:shd w:val="clear" w:color="auto" w:fill="auto"/>
            <w:noWrap/>
            <w:vAlign w:val="bottom"/>
            <w:hideMark/>
          </w:tcPr>
          <w:p w14:paraId="782A8AFB"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58" w:name="_Toc146546103"/>
            <w:bookmarkStart w:id="259" w:name="_Toc146552372"/>
            <w:r w:rsidRPr="00F662D9">
              <w:rPr>
                <w:rFonts w:ascii="Calibri" w:eastAsia="Times New Roman" w:hAnsi="Calibri" w:cs="Calibri"/>
                <w:color w:val="000000"/>
                <w:sz w:val="18"/>
                <w:szCs w:val="18"/>
                <w:lang w:eastAsia="en-AU"/>
              </w:rPr>
              <w:t>$2,290</w:t>
            </w:r>
            <w:bookmarkEnd w:id="258"/>
            <w:bookmarkEnd w:id="259"/>
          </w:p>
        </w:tc>
        <w:tc>
          <w:tcPr>
            <w:tcW w:w="1207" w:type="dxa"/>
            <w:shd w:val="clear" w:color="auto" w:fill="auto"/>
            <w:noWrap/>
            <w:vAlign w:val="bottom"/>
            <w:hideMark/>
          </w:tcPr>
          <w:p w14:paraId="1322C1A3"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60" w:name="_Toc146546104"/>
            <w:bookmarkStart w:id="261" w:name="_Toc146552373"/>
            <w:r w:rsidRPr="00F662D9">
              <w:rPr>
                <w:rFonts w:ascii="Calibri" w:eastAsia="Times New Roman" w:hAnsi="Calibri" w:cs="Calibri"/>
                <w:color w:val="000000" w:themeColor="text1"/>
                <w:sz w:val="18"/>
                <w:szCs w:val="18"/>
                <w:lang w:eastAsia="en-AU"/>
              </w:rPr>
              <w:t>$2,440</w:t>
            </w:r>
            <w:bookmarkEnd w:id="260"/>
            <w:bookmarkEnd w:id="261"/>
          </w:p>
        </w:tc>
      </w:tr>
      <w:tr w:rsidR="00BC26FE" w:rsidRPr="00F662D9" w14:paraId="53FA8638" w14:textId="77777777">
        <w:trPr>
          <w:trHeight w:val="300"/>
        </w:trPr>
        <w:tc>
          <w:tcPr>
            <w:tcW w:w="5524" w:type="dxa"/>
            <w:gridSpan w:val="2"/>
            <w:shd w:val="clear" w:color="auto" w:fill="auto"/>
            <w:noWrap/>
            <w:vAlign w:val="bottom"/>
            <w:hideMark/>
          </w:tcPr>
          <w:p w14:paraId="29893132"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62" w:name="_Toc146546105"/>
            <w:bookmarkStart w:id="263" w:name="_Toc146552374"/>
            <w:r>
              <w:rPr>
                <w:rFonts w:ascii="Calibri" w:hAnsi="Calibri" w:cs="Calibri"/>
                <w:color w:val="000000"/>
                <w:sz w:val="18"/>
                <w:szCs w:val="18"/>
              </w:rPr>
              <w:t>Standard Patent - 19th Year Renewal (by another means)</w:t>
            </w:r>
            <w:bookmarkEnd w:id="262"/>
            <w:bookmarkEnd w:id="263"/>
          </w:p>
        </w:tc>
        <w:tc>
          <w:tcPr>
            <w:tcW w:w="1207" w:type="dxa"/>
            <w:gridSpan w:val="2"/>
            <w:shd w:val="clear" w:color="auto" w:fill="auto"/>
            <w:noWrap/>
            <w:vAlign w:val="bottom"/>
            <w:hideMark/>
          </w:tcPr>
          <w:p w14:paraId="0F312083"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64" w:name="_Toc146546106"/>
            <w:bookmarkStart w:id="265" w:name="_Toc146552375"/>
            <w:r w:rsidRPr="00F662D9">
              <w:rPr>
                <w:rFonts w:ascii="Calibri" w:eastAsia="Times New Roman" w:hAnsi="Calibri" w:cs="Calibri"/>
                <w:color w:val="000000"/>
                <w:sz w:val="18"/>
                <w:szCs w:val="18"/>
                <w:lang w:eastAsia="en-AU"/>
              </w:rPr>
              <w:t>$2,700</w:t>
            </w:r>
            <w:bookmarkEnd w:id="264"/>
            <w:bookmarkEnd w:id="265"/>
          </w:p>
        </w:tc>
        <w:tc>
          <w:tcPr>
            <w:tcW w:w="1207" w:type="dxa"/>
            <w:shd w:val="clear" w:color="auto" w:fill="auto"/>
            <w:noWrap/>
            <w:vAlign w:val="bottom"/>
            <w:hideMark/>
          </w:tcPr>
          <w:p w14:paraId="6AB8F0CB"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66" w:name="_Toc146546107"/>
            <w:bookmarkStart w:id="267" w:name="_Toc146552376"/>
            <w:r w:rsidRPr="00F662D9">
              <w:rPr>
                <w:rFonts w:ascii="Calibri" w:eastAsia="Times New Roman" w:hAnsi="Calibri" w:cs="Calibri"/>
                <w:color w:val="000000" w:themeColor="text1"/>
                <w:sz w:val="18"/>
                <w:szCs w:val="18"/>
                <w:lang w:eastAsia="en-AU"/>
              </w:rPr>
              <w:t>$2,865</w:t>
            </w:r>
            <w:bookmarkEnd w:id="266"/>
            <w:bookmarkEnd w:id="267"/>
          </w:p>
        </w:tc>
      </w:tr>
      <w:tr w:rsidR="00BC26FE" w:rsidRPr="00F662D9" w14:paraId="42586C3A" w14:textId="77777777">
        <w:trPr>
          <w:trHeight w:val="300"/>
        </w:trPr>
        <w:tc>
          <w:tcPr>
            <w:tcW w:w="5524" w:type="dxa"/>
            <w:gridSpan w:val="2"/>
            <w:shd w:val="clear" w:color="auto" w:fill="auto"/>
            <w:noWrap/>
            <w:vAlign w:val="bottom"/>
            <w:hideMark/>
          </w:tcPr>
          <w:p w14:paraId="4CFBF074"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gridSpan w:val="2"/>
            <w:shd w:val="clear" w:color="auto" w:fill="auto"/>
            <w:noWrap/>
            <w:vAlign w:val="bottom"/>
            <w:hideMark/>
          </w:tcPr>
          <w:p w14:paraId="7844715F"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shd w:val="clear" w:color="auto" w:fill="auto"/>
            <w:noWrap/>
            <w:vAlign w:val="bottom"/>
            <w:hideMark/>
          </w:tcPr>
          <w:p w14:paraId="74BE448B" w14:textId="77777777" w:rsidR="00BC26FE" w:rsidRPr="00F662D9" w:rsidRDefault="00BC26FE">
            <w:pPr>
              <w:spacing w:after="0" w:line="240" w:lineRule="auto"/>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 </w:t>
            </w:r>
          </w:p>
        </w:tc>
      </w:tr>
      <w:tr w:rsidR="00BC26FE" w:rsidRPr="00F662D9" w14:paraId="4E088DD2" w14:textId="77777777">
        <w:trPr>
          <w:trHeight w:val="300"/>
        </w:trPr>
        <w:tc>
          <w:tcPr>
            <w:tcW w:w="5524" w:type="dxa"/>
            <w:gridSpan w:val="2"/>
            <w:shd w:val="clear" w:color="000000" w:fill="D9D9D9"/>
            <w:noWrap/>
            <w:vAlign w:val="bottom"/>
            <w:hideMark/>
          </w:tcPr>
          <w:p w14:paraId="553CBDEB" w14:textId="77777777" w:rsidR="00BC26FE" w:rsidRPr="00AB7D56" w:rsidRDefault="00BC26FE">
            <w:pPr>
              <w:spacing w:after="0" w:line="240" w:lineRule="auto"/>
              <w:ind w:firstLineChars="100" w:firstLine="180"/>
              <w:outlineLvl w:val="0"/>
              <w:rPr>
                <w:rFonts w:ascii="Calibri" w:eastAsia="Times New Roman" w:hAnsi="Calibri" w:cs="Calibri"/>
                <w:color w:val="1F3864" w:themeColor="accent1" w:themeShade="80"/>
                <w:sz w:val="18"/>
                <w:szCs w:val="18"/>
                <w:lang w:eastAsia="en-AU"/>
              </w:rPr>
            </w:pPr>
            <w:bookmarkStart w:id="268" w:name="_Toc146546108"/>
            <w:bookmarkStart w:id="269" w:name="_Toc146552377"/>
            <w:r w:rsidRPr="00AB7D56">
              <w:rPr>
                <w:rFonts w:ascii="Calibri" w:eastAsia="Times New Roman" w:hAnsi="Calibri" w:cs="Calibri"/>
                <w:color w:val="1F3864" w:themeColor="accent1" w:themeShade="80"/>
                <w:sz w:val="18"/>
                <w:szCs w:val="18"/>
                <w:lang w:eastAsia="en-AU"/>
              </w:rPr>
              <w:t>Change to Patent General fees</w:t>
            </w:r>
            <w:bookmarkEnd w:id="268"/>
            <w:bookmarkEnd w:id="269"/>
          </w:p>
        </w:tc>
        <w:tc>
          <w:tcPr>
            <w:tcW w:w="1207" w:type="dxa"/>
            <w:gridSpan w:val="2"/>
            <w:shd w:val="clear" w:color="000000" w:fill="D9D9D9"/>
            <w:noWrap/>
            <w:vAlign w:val="bottom"/>
            <w:hideMark/>
          </w:tcPr>
          <w:p w14:paraId="164EB9D7"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shd w:val="clear" w:color="000000" w:fill="D9D9D9"/>
            <w:noWrap/>
            <w:vAlign w:val="bottom"/>
            <w:hideMark/>
          </w:tcPr>
          <w:p w14:paraId="653C1BEF" w14:textId="77777777" w:rsidR="00BC26FE" w:rsidRPr="00F662D9" w:rsidRDefault="00BC26FE">
            <w:pPr>
              <w:spacing w:after="0" w:line="240" w:lineRule="auto"/>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 </w:t>
            </w:r>
          </w:p>
        </w:tc>
      </w:tr>
      <w:tr w:rsidR="00BC26FE" w:rsidRPr="00F662D9" w14:paraId="2F7556C0" w14:textId="77777777">
        <w:trPr>
          <w:trHeight w:val="300"/>
        </w:trPr>
        <w:tc>
          <w:tcPr>
            <w:tcW w:w="5524" w:type="dxa"/>
            <w:gridSpan w:val="2"/>
            <w:shd w:val="clear" w:color="auto" w:fill="auto"/>
            <w:noWrap/>
            <w:vAlign w:val="bottom"/>
            <w:hideMark/>
          </w:tcPr>
          <w:p w14:paraId="39357DA4" w14:textId="786DEDC2"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70" w:name="_Toc146546109"/>
            <w:bookmarkStart w:id="271" w:name="_Toc146552378"/>
            <w:r w:rsidRPr="00F662D9">
              <w:rPr>
                <w:rFonts w:ascii="Calibri" w:eastAsia="Times New Roman" w:hAnsi="Calibri" w:cs="Calibri"/>
                <w:color w:val="000000"/>
                <w:sz w:val="18"/>
                <w:szCs w:val="18"/>
                <w:lang w:eastAsia="en-AU"/>
              </w:rPr>
              <w:t>Art 15(5) International</w:t>
            </w:r>
            <w:r w:rsidR="00D559B2">
              <w:rPr>
                <w:rFonts w:ascii="Calibri" w:eastAsia="Times New Roman" w:hAnsi="Calibri" w:cs="Calibri"/>
                <w:color w:val="000000"/>
                <w:sz w:val="18"/>
                <w:szCs w:val="18"/>
                <w:lang w:eastAsia="en-AU"/>
              </w:rPr>
              <w:t>-</w:t>
            </w:r>
            <w:r w:rsidRPr="00F662D9">
              <w:rPr>
                <w:rFonts w:ascii="Calibri" w:eastAsia="Times New Roman" w:hAnsi="Calibri" w:cs="Calibri"/>
                <w:color w:val="000000"/>
                <w:sz w:val="18"/>
                <w:szCs w:val="18"/>
                <w:lang w:eastAsia="en-AU"/>
              </w:rPr>
              <w:t>Type Search</w:t>
            </w:r>
            <w:bookmarkEnd w:id="270"/>
            <w:bookmarkEnd w:id="271"/>
          </w:p>
        </w:tc>
        <w:tc>
          <w:tcPr>
            <w:tcW w:w="1207" w:type="dxa"/>
            <w:gridSpan w:val="2"/>
            <w:shd w:val="clear" w:color="auto" w:fill="auto"/>
            <w:noWrap/>
            <w:vAlign w:val="bottom"/>
            <w:hideMark/>
          </w:tcPr>
          <w:p w14:paraId="5421D9F0"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72" w:name="_Toc146546110"/>
            <w:bookmarkStart w:id="273" w:name="_Toc146552379"/>
            <w:r w:rsidRPr="00F662D9">
              <w:rPr>
                <w:rFonts w:ascii="Calibri" w:eastAsia="Times New Roman" w:hAnsi="Calibri" w:cs="Calibri"/>
                <w:color w:val="000000"/>
                <w:sz w:val="18"/>
                <w:szCs w:val="18"/>
                <w:lang w:eastAsia="en-AU"/>
              </w:rPr>
              <w:t>$950</w:t>
            </w:r>
            <w:bookmarkEnd w:id="272"/>
            <w:bookmarkEnd w:id="273"/>
          </w:p>
        </w:tc>
        <w:tc>
          <w:tcPr>
            <w:tcW w:w="1207" w:type="dxa"/>
            <w:shd w:val="clear" w:color="auto" w:fill="auto"/>
            <w:noWrap/>
            <w:vAlign w:val="bottom"/>
            <w:hideMark/>
          </w:tcPr>
          <w:p w14:paraId="31B2B277"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74" w:name="_Toc146546111"/>
            <w:bookmarkStart w:id="275" w:name="_Toc146552380"/>
            <w:r w:rsidRPr="00F662D9">
              <w:rPr>
                <w:rFonts w:ascii="Calibri" w:eastAsia="Times New Roman" w:hAnsi="Calibri" w:cs="Calibri"/>
                <w:color w:val="000000" w:themeColor="text1"/>
                <w:sz w:val="18"/>
                <w:szCs w:val="18"/>
                <w:lang w:eastAsia="en-AU"/>
              </w:rPr>
              <w:t>$1,</w:t>
            </w:r>
            <w:bookmarkEnd w:id="274"/>
            <w:bookmarkEnd w:id="275"/>
            <w:r>
              <w:rPr>
                <w:rFonts w:ascii="Calibri" w:eastAsia="Times New Roman" w:hAnsi="Calibri" w:cs="Calibri"/>
                <w:color w:val="000000" w:themeColor="text1"/>
                <w:sz w:val="18"/>
                <w:szCs w:val="18"/>
                <w:lang w:eastAsia="en-AU"/>
              </w:rPr>
              <w:t>1</w:t>
            </w:r>
            <w:r w:rsidRPr="00F662D9">
              <w:rPr>
                <w:rFonts w:ascii="Calibri" w:eastAsia="Times New Roman" w:hAnsi="Calibri" w:cs="Calibri"/>
                <w:color w:val="000000" w:themeColor="text1"/>
                <w:sz w:val="18"/>
                <w:szCs w:val="18"/>
                <w:lang w:eastAsia="en-AU"/>
              </w:rPr>
              <w:t>00</w:t>
            </w:r>
          </w:p>
        </w:tc>
      </w:tr>
      <w:tr w:rsidR="00BC26FE" w:rsidRPr="00F662D9" w14:paraId="23BE2FF5" w14:textId="77777777">
        <w:trPr>
          <w:trHeight w:val="300"/>
        </w:trPr>
        <w:tc>
          <w:tcPr>
            <w:tcW w:w="5524" w:type="dxa"/>
            <w:gridSpan w:val="2"/>
            <w:shd w:val="clear" w:color="auto" w:fill="auto"/>
            <w:noWrap/>
            <w:vAlign w:val="bottom"/>
          </w:tcPr>
          <w:p w14:paraId="438DBD38"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r w:rsidRPr="00334B27">
              <w:rPr>
                <w:rFonts w:ascii="Calibri" w:eastAsia="Times New Roman" w:hAnsi="Calibri" w:cs="Calibri"/>
                <w:color w:val="000000"/>
                <w:sz w:val="18"/>
                <w:szCs w:val="18"/>
                <w:lang w:eastAsia="en-AU"/>
              </w:rPr>
              <w:t>Patent Examination Search Fee</w:t>
            </w:r>
          </w:p>
        </w:tc>
        <w:tc>
          <w:tcPr>
            <w:tcW w:w="1207" w:type="dxa"/>
            <w:gridSpan w:val="2"/>
            <w:shd w:val="clear" w:color="auto" w:fill="auto"/>
            <w:noWrap/>
            <w:vAlign w:val="bottom"/>
          </w:tcPr>
          <w:p w14:paraId="2FA0F366"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$950</w:t>
            </w:r>
          </w:p>
        </w:tc>
        <w:tc>
          <w:tcPr>
            <w:tcW w:w="1207" w:type="dxa"/>
            <w:shd w:val="clear" w:color="auto" w:fill="auto"/>
            <w:noWrap/>
            <w:vAlign w:val="bottom"/>
          </w:tcPr>
          <w:p w14:paraId="4CA652AA"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Pr>
                <w:rFonts w:ascii="Calibri" w:eastAsia="Times New Roman" w:hAnsi="Calibri" w:cs="Calibri"/>
                <w:color w:val="000000" w:themeColor="text1"/>
                <w:sz w:val="18"/>
                <w:szCs w:val="18"/>
                <w:lang w:eastAsia="en-AU"/>
              </w:rPr>
              <w:t>$1,100</w:t>
            </w:r>
          </w:p>
        </w:tc>
      </w:tr>
      <w:tr w:rsidR="00BC26FE" w:rsidRPr="00F662D9" w14:paraId="7C012502" w14:textId="77777777">
        <w:trPr>
          <w:trHeight w:val="300"/>
        </w:trPr>
        <w:tc>
          <w:tcPr>
            <w:tcW w:w="5524" w:type="dxa"/>
            <w:gridSpan w:val="2"/>
            <w:shd w:val="clear" w:color="auto" w:fill="auto"/>
            <w:noWrap/>
            <w:vAlign w:val="bottom"/>
            <w:hideMark/>
          </w:tcPr>
          <w:p w14:paraId="52428891"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76" w:name="_Toc146546112"/>
            <w:bookmarkStart w:id="277" w:name="_Toc146552381"/>
            <w:r w:rsidRPr="00F662D9">
              <w:rPr>
                <w:rFonts w:ascii="Calibri" w:eastAsia="Times New Roman" w:hAnsi="Calibri" w:cs="Calibri"/>
                <w:color w:val="000000"/>
                <w:sz w:val="18"/>
                <w:szCs w:val="18"/>
                <w:lang w:eastAsia="en-AU"/>
              </w:rPr>
              <w:t xml:space="preserve">Patent EOT </w:t>
            </w:r>
            <w:r>
              <w:rPr>
                <w:rFonts w:ascii="Calibri" w:eastAsia="Times New Roman" w:hAnsi="Calibri" w:cs="Calibri"/>
                <w:color w:val="000000"/>
                <w:sz w:val="18"/>
                <w:szCs w:val="18"/>
                <w:lang w:eastAsia="en-AU"/>
              </w:rPr>
              <w:t>–</w:t>
            </w:r>
            <w:r w:rsidRPr="00F662D9">
              <w:rPr>
                <w:rFonts w:ascii="Calibri" w:eastAsia="Times New Roman" w:hAnsi="Calibri" w:cs="Calibri"/>
                <w:color w:val="000000"/>
                <w:sz w:val="18"/>
                <w:szCs w:val="18"/>
                <w:lang w:eastAsia="en-AU"/>
              </w:rPr>
              <w:t xml:space="preserve"> s</w:t>
            </w:r>
            <w:r>
              <w:rPr>
                <w:rFonts w:ascii="Calibri" w:eastAsia="Times New Roman" w:hAnsi="Calibri" w:cs="Calibri"/>
                <w:color w:val="000000"/>
                <w:sz w:val="18"/>
                <w:szCs w:val="18"/>
                <w:lang w:eastAsia="en-AU"/>
              </w:rPr>
              <w:t xml:space="preserve">ubsection </w:t>
            </w:r>
            <w:r w:rsidRPr="00F662D9">
              <w:rPr>
                <w:rFonts w:ascii="Calibri" w:eastAsia="Times New Roman" w:hAnsi="Calibri" w:cs="Calibri"/>
                <w:color w:val="000000"/>
                <w:sz w:val="18"/>
                <w:szCs w:val="18"/>
                <w:lang w:eastAsia="en-AU"/>
              </w:rPr>
              <w:t>70</w:t>
            </w:r>
            <w:r>
              <w:rPr>
                <w:rFonts w:ascii="Calibri" w:eastAsia="Times New Roman" w:hAnsi="Calibri" w:cs="Calibri"/>
                <w:color w:val="000000"/>
                <w:sz w:val="18"/>
                <w:szCs w:val="18"/>
                <w:lang w:eastAsia="en-AU"/>
              </w:rPr>
              <w:t>(1)</w:t>
            </w:r>
            <w:r w:rsidRPr="00F662D9">
              <w:rPr>
                <w:rFonts w:ascii="Calibri" w:eastAsia="Times New Roman" w:hAnsi="Calibri" w:cs="Calibri"/>
                <w:color w:val="000000"/>
                <w:sz w:val="18"/>
                <w:szCs w:val="18"/>
                <w:lang w:eastAsia="en-AU"/>
              </w:rPr>
              <w:t xml:space="preserve"> Pharmaceutical</w:t>
            </w:r>
            <w:bookmarkEnd w:id="276"/>
            <w:bookmarkEnd w:id="277"/>
          </w:p>
        </w:tc>
        <w:tc>
          <w:tcPr>
            <w:tcW w:w="1207" w:type="dxa"/>
            <w:gridSpan w:val="2"/>
            <w:shd w:val="clear" w:color="auto" w:fill="auto"/>
            <w:noWrap/>
            <w:vAlign w:val="bottom"/>
            <w:hideMark/>
          </w:tcPr>
          <w:p w14:paraId="5D7E1637"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78" w:name="_Toc146546113"/>
            <w:bookmarkStart w:id="279" w:name="_Toc146552382"/>
            <w:r w:rsidRPr="00F662D9">
              <w:rPr>
                <w:rFonts w:ascii="Calibri" w:eastAsia="Times New Roman" w:hAnsi="Calibri" w:cs="Calibri"/>
                <w:color w:val="000000"/>
                <w:sz w:val="18"/>
                <w:szCs w:val="18"/>
                <w:lang w:eastAsia="en-AU"/>
              </w:rPr>
              <w:t>$2,000</w:t>
            </w:r>
            <w:bookmarkEnd w:id="278"/>
            <w:bookmarkEnd w:id="279"/>
          </w:p>
        </w:tc>
        <w:tc>
          <w:tcPr>
            <w:tcW w:w="1207" w:type="dxa"/>
            <w:shd w:val="clear" w:color="auto" w:fill="auto"/>
            <w:noWrap/>
            <w:vAlign w:val="bottom"/>
            <w:hideMark/>
          </w:tcPr>
          <w:p w14:paraId="49271944"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80" w:name="_Toc146546114"/>
            <w:bookmarkStart w:id="281" w:name="_Toc146552383"/>
            <w:r w:rsidRPr="00F662D9">
              <w:rPr>
                <w:rFonts w:ascii="Calibri" w:eastAsia="Times New Roman" w:hAnsi="Calibri" w:cs="Calibri"/>
                <w:color w:val="000000" w:themeColor="text1"/>
                <w:sz w:val="18"/>
                <w:szCs w:val="18"/>
                <w:lang w:eastAsia="en-AU"/>
              </w:rPr>
              <w:t>$2,500</w:t>
            </w:r>
            <w:bookmarkEnd w:id="280"/>
            <w:bookmarkEnd w:id="281"/>
          </w:p>
        </w:tc>
      </w:tr>
      <w:tr w:rsidR="00BC26FE" w:rsidRPr="00F662D9" w14:paraId="61F3D001" w14:textId="77777777">
        <w:trPr>
          <w:trHeight w:val="300"/>
        </w:trPr>
        <w:tc>
          <w:tcPr>
            <w:tcW w:w="5524" w:type="dxa"/>
            <w:gridSpan w:val="2"/>
            <w:shd w:val="clear" w:color="auto" w:fill="auto"/>
            <w:noWrap/>
            <w:vAlign w:val="bottom"/>
            <w:hideMark/>
          </w:tcPr>
          <w:p w14:paraId="52F5BFBA"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82" w:name="_Toc146546115"/>
            <w:bookmarkStart w:id="283" w:name="_Toc146552384"/>
            <w:r w:rsidRPr="00F662D9">
              <w:rPr>
                <w:rFonts w:ascii="Calibri" w:eastAsia="Times New Roman" w:hAnsi="Calibri" w:cs="Calibri"/>
                <w:color w:val="000000"/>
                <w:sz w:val="18"/>
                <w:szCs w:val="18"/>
                <w:lang w:eastAsia="en-AU"/>
              </w:rPr>
              <w:t>Patent Convert Innovation to Standard</w:t>
            </w:r>
            <w:bookmarkEnd w:id="282"/>
            <w:bookmarkEnd w:id="283"/>
          </w:p>
        </w:tc>
        <w:tc>
          <w:tcPr>
            <w:tcW w:w="1207" w:type="dxa"/>
            <w:gridSpan w:val="2"/>
            <w:shd w:val="clear" w:color="auto" w:fill="auto"/>
            <w:noWrap/>
            <w:vAlign w:val="bottom"/>
            <w:hideMark/>
          </w:tcPr>
          <w:p w14:paraId="38C9221B"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84" w:name="_Toc146546116"/>
            <w:bookmarkStart w:id="285" w:name="_Toc146552385"/>
            <w:r w:rsidRPr="00F662D9">
              <w:rPr>
                <w:rFonts w:ascii="Calibri" w:eastAsia="Times New Roman" w:hAnsi="Calibri" w:cs="Calibri"/>
                <w:color w:val="000000"/>
                <w:sz w:val="18"/>
                <w:szCs w:val="18"/>
                <w:lang w:eastAsia="en-AU"/>
              </w:rPr>
              <w:t>$190</w:t>
            </w:r>
            <w:bookmarkEnd w:id="284"/>
            <w:bookmarkEnd w:id="285"/>
          </w:p>
        </w:tc>
        <w:tc>
          <w:tcPr>
            <w:tcW w:w="1207" w:type="dxa"/>
            <w:shd w:val="clear" w:color="auto" w:fill="auto"/>
            <w:noWrap/>
            <w:vAlign w:val="bottom"/>
            <w:hideMark/>
          </w:tcPr>
          <w:p w14:paraId="172E2FFE"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86" w:name="_Toc146546117"/>
            <w:bookmarkStart w:id="287" w:name="_Toc146552386"/>
            <w:r w:rsidRPr="00F662D9">
              <w:rPr>
                <w:rFonts w:ascii="Calibri" w:eastAsia="Times New Roman" w:hAnsi="Calibri" w:cs="Calibri"/>
                <w:color w:val="000000" w:themeColor="text1"/>
                <w:sz w:val="18"/>
                <w:szCs w:val="18"/>
                <w:lang w:eastAsia="en-AU"/>
              </w:rPr>
              <w:t>$220</w:t>
            </w:r>
            <w:bookmarkEnd w:id="286"/>
            <w:bookmarkEnd w:id="287"/>
          </w:p>
        </w:tc>
      </w:tr>
      <w:tr w:rsidR="00BC26FE" w:rsidRPr="00F662D9" w14:paraId="17422A64" w14:textId="77777777">
        <w:trPr>
          <w:trHeight w:val="300"/>
        </w:trPr>
        <w:tc>
          <w:tcPr>
            <w:tcW w:w="5524" w:type="dxa"/>
            <w:gridSpan w:val="2"/>
            <w:shd w:val="clear" w:color="auto" w:fill="auto"/>
            <w:noWrap/>
            <w:vAlign w:val="bottom"/>
            <w:hideMark/>
          </w:tcPr>
          <w:p w14:paraId="617FA10F"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88" w:name="_Toc146546118"/>
            <w:bookmarkStart w:id="289" w:name="_Toc146552387"/>
            <w:r w:rsidRPr="00F662D9">
              <w:rPr>
                <w:rFonts w:ascii="Calibri" w:eastAsia="Times New Roman" w:hAnsi="Calibri" w:cs="Calibri"/>
                <w:color w:val="000000"/>
                <w:sz w:val="18"/>
                <w:szCs w:val="18"/>
                <w:lang w:eastAsia="en-AU"/>
              </w:rPr>
              <w:t>Standard Patent - Acceptance</w:t>
            </w:r>
            <w:bookmarkEnd w:id="288"/>
            <w:bookmarkEnd w:id="289"/>
          </w:p>
        </w:tc>
        <w:tc>
          <w:tcPr>
            <w:tcW w:w="1207" w:type="dxa"/>
            <w:gridSpan w:val="2"/>
            <w:shd w:val="clear" w:color="auto" w:fill="auto"/>
            <w:noWrap/>
            <w:vAlign w:val="bottom"/>
            <w:hideMark/>
          </w:tcPr>
          <w:p w14:paraId="7852AF76"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90" w:name="_Toc146546119"/>
            <w:bookmarkStart w:id="291" w:name="_Toc146552388"/>
            <w:r w:rsidRPr="00F662D9">
              <w:rPr>
                <w:rFonts w:ascii="Calibri" w:eastAsia="Times New Roman" w:hAnsi="Calibri" w:cs="Calibri"/>
                <w:color w:val="000000"/>
                <w:sz w:val="18"/>
                <w:szCs w:val="18"/>
                <w:lang w:eastAsia="en-AU"/>
              </w:rPr>
              <w:t>$250</w:t>
            </w:r>
            <w:bookmarkEnd w:id="290"/>
            <w:bookmarkEnd w:id="291"/>
          </w:p>
        </w:tc>
        <w:tc>
          <w:tcPr>
            <w:tcW w:w="1207" w:type="dxa"/>
            <w:shd w:val="clear" w:color="auto" w:fill="auto"/>
            <w:noWrap/>
            <w:vAlign w:val="bottom"/>
            <w:hideMark/>
          </w:tcPr>
          <w:p w14:paraId="17223B1B"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92" w:name="_Toc146546120"/>
            <w:bookmarkStart w:id="293" w:name="_Toc146552389"/>
            <w:r w:rsidRPr="00F662D9">
              <w:rPr>
                <w:rFonts w:ascii="Calibri" w:eastAsia="Times New Roman" w:hAnsi="Calibri" w:cs="Calibri"/>
                <w:color w:val="000000" w:themeColor="text1"/>
                <w:sz w:val="18"/>
                <w:szCs w:val="18"/>
                <w:lang w:eastAsia="en-AU"/>
              </w:rPr>
              <w:t>$300</w:t>
            </w:r>
            <w:bookmarkEnd w:id="292"/>
            <w:bookmarkEnd w:id="293"/>
          </w:p>
        </w:tc>
      </w:tr>
      <w:tr w:rsidR="00BC26FE" w:rsidRPr="00F662D9" w14:paraId="2AEFB81C" w14:textId="77777777">
        <w:trPr>
          <w:trHeight w:val="300"/>
        </w:trPr>
        <w:tc>
          <w:tcPr>
            <w:tcW w:w="5524" w:type="dxa"/>
            <w:gridSpan w:val="2"/>
            <w:shd w:val="clear" w:color="auto" w:fill="auto"/>
            <w:noWrap/>
            <w:vAlign w:val="bottom"/>
            <w:hideMark/>
          </w:tcPr>
          <w:p w14:paraId="6060FEEA"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294" w:name="_Toc146546121"/>
            <w:bookmarkStart w:id="295" w:name="_Toc146552390"/>
            <w:r w:rsidRPr="00F662D9">
              <w:rPr>
                <w:rFonts w:ascii="Calibri" w:eastAsia="Times New Roman" w:hAnsi="Calibri" w:cs="Calibri"/>
                <w:color w:val="000000"/>
                <w:sz w:val="18"/>
                <w:szCs w:val="18"/>
                <w:lang w:eastAsia="en-AU"/>
              </w:rPr>
              <w:t>Request for Preliminary Search &amp; Opinion</w:t>
            </w:r>
            <w:bookmarkEnd w:id="294"/>
            <w:bookmarkEnd w:id="295"/>
          </w:p>
        </w:tc>
        <w:tc>
          <w:tcPr>
            <w:tcW w:w="1207" w:type="dxa"/>
            <w:gridSpan w:val="2"/>
            <w:shd w:val="clear" w:color="auto" w:fill="auto"/>
            <w:noWrap/>
            <w:vAlign w:val="bottom"/>
            <w:hideMark/>
          </w:tcPr>
          <w:p w14:paraId="042046E1"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296" w:name="_Toc146546122"/>
            <w:bookmarkStart w:id="297" w:name="_Toc146552391"/>
            <w:r w:rsidRPr="00F662D9">
              <w:rPr>
                <w:rFonts w:ascii="Calibri" w:eastAsia="Times New Roman" w:hAnsi="Calibri" w:cs="Calibri"/>
                <w:color w:val="000000"/>
                <w:sz w:val="18"/>
                <w:szCs w:val="18"/>
                <w:lang w:eastAsia="en-AU"/>
              </w:rPr>
              <w:t>$950</w:t>
            </w:r>
            <w:bookmarkEnd w:id="296"/>
            <w:bookmarkEnd w:id="297"/>
          </w:p>
        </w:tc>
        <w:tc>
          <w:tcPr>
            <w:tcW w:w="1207" w:type="dxa"/>
            <w:shd w:val="clear" w:color="auto" w:fill="auto"/>
            <w:noWrap/>
            <w:vAlign w:val="bottom"/>
            <w:hideMark/>
          </w:tcPr>
          <w:p w14:paraId="654BE07B"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298" w:name="_Toc146546123"/>
            <w:bookmarkStart w:id="299" w:name="_Toc146552392"/>
            <w:r w:rsidRPr="00F662D9">
              <w:rPr>
                <w:rFonts w:ascii="Calibri" w:eastAsia="Times New Roman" w:hAnsi="Calibri" w:cs="Calibri"/>
                <w:color w:val="000000" w:themeColor="text1"/>
                <w:sz w:val="18"/>
                <w:szCs w:val="18"/>
                <w:lang w:eastAsia="en-AU"/>
              </w:rPr>
              <w:t>$1,</w:t>
            </w:r>
            <w:bookmarkEnd w:id="298"/>
            <w:bookmarkEnd w:id="299"/>
            <w:r>
              <w:rPr>
                <w:rFonts w:ascii="Calibri" w:eastAsia="Times New Roman" w:hAnsi="Calibri" w:cs="Calibri"/>
                <w:color w:val="000000" w:themeColor="text1"/>
                <w:sz w:val="18"/>
                <w:szCs w:val="18"/>
                <w:lang w:eastAsia="en-AU"/>
              </w:rPr>
              <w:t>1</w:t>
            </w:r>
            <w:r w:rsidRPr="00F662D9">
              <w:rPr>
                <w:rFonts w:ascii="Calibri" w:eastAsia="Times New Roman" w:hAnsi="Calibri" w:cs="Calibri"/>
                <w:color w:val="000000" w:themeColor="text1"/>
                <w:sz w:val="18"/>
                <w:szCs w:val="18"/>
                <w:lang w:eastAsia="en-AU"/>
              </w:rPr>
              <w:t>00</w:t>
            </w:r>
          </w:p>
        </w:tc>
      </w:tr>
      <w:tr w:rsidR="00BC26FE" w:rsidRPr="00F662D9" w14:paraId="6139CAD8" w14:textId="77777777">
        <w:trPr>
          <w:trHeight w:val="300"/>
        </w:trPr>
        <w:tc>
          <w:tcPr>
            <w:tcW w:w="5524" w:type="dxa"/>
            <w:gridSpan w:val="2"/>
            <w:shd w:val="clear" w:color="auto" w:fill="auto"/>
            <w:noWrap/>
            <w:vAlign w:val="bottom"/>
            <w:hideMark/>
          </w:tcPr>
          <w:p w14:paraId="4976D374"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00" w:name="_Toc146546124"/>
            <w:bookmarkStart w:id="301" w:name="_Toc146552393"/>
            <w:r w:rsidRPr="00F662D9">
              <w:rPr>
                <w:rFonts w:ascii="Calibri" w:eastAsia="Times New Roman" w:hAnsi="Calibri" w:cs="Calibri"/>
                <w:color w:val="000000"/>
                <w:sz w:val="18"/>
                <w:szCs w:val="18"/>
                <w:lang w:eastAsia="en-AU"/>
              </w:rPr>
              <w:t>Notice of Patent Opposition</w:t>
            </w:r>
            <w:bookmarkEnd w:id="300"/>
            <w:bookmarkEnd w:id="301"/>
          </w:p>
        </w:tc>
        <w:tc>
          <w:tcPr>
            <w:tcW w:w="1207" w:type="dxa"/>
            <w:gridSpan w:val="2"/>
            <w:shd w:val="clear" w:color="auto" w:fill="auto"/>
            <w:noWrap/>
            <w:vAlign w:val="bottom"/>
            <w:hideMark/>
          </w:tcPr>
          <w:p w14:paraId="6E9AD557"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302" w:name="_Toc146546125"/>
            <w:bookmarkStart w:id="303" w:name="_Toc146552394"/>
            <w:r w:rsidRPr="00F662D9">
              <w:rPr>
                <w:rFonts w:ascii="Calibri" w:eastAsia="Times New Roman" w:hAnsi="Calibri" w:cs="Calibri"/>
                <w:color w:val="000000"/>
                <w:sz w:val="18"/>
                <w:szCs w:val="18"/>
                <w:lang w:eastAsia="en-AU"/>
              </w:rPr>
              <w:t>$600</w:t>
            </w:r>
            <w:bookmarkEnd w:id="302"/>
            <w:bookmarkEnd w:id="303"/>
          </w:p>
        </w:tc>
        <w:tc>
          <w:tcPr>
            <w:tcW w:w="1207" w:type="dxa"/>
            <w:shd w:val="clear" w:color="auto" w:fill="auto"/>
            <w:noWrap/>
            <w:vAlign w:val="bottom"/>
            <w:hideMark/>
          </w:tcPr>
          <w:p w14:paraId="44F76065"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04" w:name="_Toc146546126"/>
            <w:bookmarkStart w:id="305" w:name="_Toc146552395"/>
            <w:r w:rsidRPr="00F662D9">
              <w:rPr>
                <w:rFonts w:ascii="Calibri" w:eastAsia="Times New Roman" w:hAnsi="Calibri" w:cs="Calibri"/>
                <w:color w:val="000000" w:themeColor="text1"/>
                <w:sz w:val="18"/>
                <w:szCs w:val="18"/>
                <w:lang w:eastAsia="en-AU"/>
              </w:rPr>
              <w:t>$1,200</w:t>
            </w:r>
            <w:bookmarkEnd w:id="304"/>
            <w:bookmarkEnd w:id="305"/>
          </w:p>
        </w:tc>
      </w:tr>
      <w:tr w:rsidR="00BC26FE" w:rsidRPr="00F662D9" w14:paraId="4105922F" w14:textId="77777777">
        <w:trPr>
          <w:trHeight w:val="300"/>
        </w:trPr>
        <w:tc>
          <w:tcPr>
            <w:tcW w:w="5524" w:type="dxa"/>
            <w:gridSpan w:val="2"/>
            <w:shd w:val="clear" w:color="auto" w:fill="auto"/>
            <w:noWrap/>
            <w:vAlign w:val="bottom"/>
            <w:hideMark/>
          </w:tcPr>
          <w:p w14:paraId="0127BD9A"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06" w:name="_Toc146546127"/>
            <w:bookmarkStart w:id="307" w:name="_Toc146552396"/>
            <w:r w:rsidRPr="00F662D9">
              <w:rPr>
                <w:rFonts w:ascii="Calibri" w:eastAsia="Times New Roman" w:hAnsi="Calibri" w:cs="Calibri"/>
                <w:color w:val="000000"/>
                <w:sz w:val="18"/>
                <w:szCs w:val="18"/>
                <w:lang w:eastAsia="en-AU"/>
              </w:rPr>
              <w:t>Request for a Patent Hearing</w:t>
            </w:r>
            <w:bookmarkEnd w:id="306"/>
            <w:bookmarkEnd w:id="307"/>
          </w:p>
        </w:tc>
        <w:tc>
          <w:tcPr>
            <w:tcW w:w="1207" w:type="dxa"/>
            <w:gridSpan w:val="2"/>
            <w:shd w:val="clear" w:color="auto" w:fill="auto"/>
            <w:noWrap/>
            <w:vAlign w:val="bottom"/>
            <w:hideMark/>
          </w:tcPr>
          <w:p w14:paraId="6CA17D75"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308" w:name="_Toc146546128"/>
            <w:bookmarkStart w:id="309" w:name="_Toc146552397"/>
            <w:r w:rsidRPr="00F662D9">
              <w:rPr>
                <w:rFonts w:ascii="Calibri" w:eastAsia="Times New Roman" w:hAnsi="Calibri" w:cs="Calibri"/>
                <w:color w:val="000000"/>
                <w:sz w:val="18"/>
                <w:szCs w:val="18"/>
                <w:lang w:eastAsia="en-AU"/>
              </w:rPr>
              <w:t>$600</w:t>
            </w:r>
            <w:bookmarkEnd w:id="308"/>
            <w:bookmarkEnd w:id="309"/>
          </w:p>
        </w:tc>
        <w:tc>
          <w:tcPr>
            <w:tcW w:w="1207" w:type="dxa"/>
            <w:shd w:val="clear" w:color="auto" w:fill="auto"/>
            <w:noWrap/>
            <w:vAlign w:val="bottom"/>
            <w:hideMark/>
          </w:tcPr>
          <w:p w14:paraId="0A56DA69"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10" w:name="_Toc146546129"/>
            <w:bookmarkStart w:id="311" w:name="_Toc146552398"/>
            <w:r w:rsidRPr="00F662D9">
              <w:rPr>
                <w:rFonts w:ascii="Calibri" w:eastAsia="Times New Roman" w:hAnsi="Calibri" w:cs="Calibri"/>
                <w:color w:val="000000" w:themeColor="text1"/>
                <w:sz w:val="18"/>
                <w:szCs w:val="18"/>
                <w:lang w:eastAsia="en-AU"/>
              </w:rPr>
              <w:t>$1,200</w:t>
            </w:r>
            <w:bookmarkEnd w:id="310"/>
            <w:bookmarkEnd w:id="311"/>
          </w:p>
        </w:tc>
      </w:tr>
      <w:tr w:rsidR="00BC26FE" w:rsidRPr="00F662D9" w14:paraId="0FE6ECA5" w14:textId="77777777">
        <w:trPr>
          <w:trHeight w:val="300"/>
        </w:trPr>
        <w:tc>
          <w:tcPr>
            <w:tcW w:w="5524" w:type="dxa"/>
            <w:gridSpan w:val="2"/>
            <w:shd w:val="clear" w:color="auto" w:fill="auto"/>
            <w:noWrap/>
            <w:vAlign w:val="bottom"/>
            <w:hideMark/>
          </w:tcPr>
          <w:p w14:paraId="0DC5FD14"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12" w:name="_Toc146546130"/>
            <w:bookmarkStart w:id="313" w:name="_Toc146552399"/>
            <w:r w:rsidRPr="00F662D9">
              <w:rPr>
                <w:rFonts w:ascii="Calibri" w:eastAsia="Times New Roman" w:hAnsi="Calibri" w:cs="Calibri"/>
                <w:color w:val="000000"/>
                <w:sz w:val="18"/>
                <w:szCs w:val="18"/>
                <w:lang w:eastAsia="en-AU"/>
              </w:rPr>
              <w:t>Appearing at a Patent Hearing</w:t>
            </w:r>
            <w:bookmarkEnd w:id="312"/>
            <w:bookmarkEnd w:id="313"/>
          </w:p>
        </w:tc>
        <w:tc>
          <w:tcPr>
            <w:tcW w:w="1207" w:type="dxa"/>
            <w:gridSpan w:val="2"/>
            <w:shd w:val="clear" w:color="auto" w:fill="auto"/>
            <w:noWrap/>
            <w:vAlign w:val="bottom"/>
            <w:hideMark/>
          </w:tcPr>
          <w:p w14:paraId="7F8AA03C"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314" w:name="_Toc146546131"/>
            <w:bookmarkStart w:id="315" w:name="_Toc146552400"/>
            <w:r w:rsidRPr="00F662D9">
              <w:rPr>
                <w:rFonts w:ascii="Calibri" w:eastAsia="Times New Roman" w:hAnsi="Calibri" w:cs="Calibri"/>
                <w:color w:val="000000"/>
                <w:sz w:val="18"/>
                <w:szCs w:val="18"/>
                <w:lang w:eastAsia="en-AU"/>
              </w:rPr>
              <w:t>$1,000</w:t>
            </w:r>
            <w:bookmarkEnd w:id="314"/>
            <w:bookmarkEnd w:id="315"/>
          </w:p>
        </w:tc>
        <w:tc>
          <w:tcPr>
            <w:tcW w:w="1207" w:type="dxa"/>
            <w:shd w:val="clear" w:color="auto" w:fill="auto"/>
            <w:noWrap/>
            <w:vAlign w:val="bottom"/>
            <w:hideMark/>
          </w:tcPr>
          <w:p w14:paraId="043211F1"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16" w:name="_Toc146546132"/>
            <w:bookmarkStart w:id="317" w:name="_Toc146552401"/>
            <w:r w:rsidRPr="00F662D9">
              <w:rPr>
                <w:rFonts w:ascii="Calibri" w:eastAsia="Times New Roman" w:hAnsi="Calibri" w:cs="Calibri"/>
                <w:color w:val="000000" w:themeColor="text1"/>
                <w:sz w:val="18"/>
                <w:szCs w:val="18"/>
                <w:lang w:eastAsia="en-AU"/>
              </w:rPr>
              <w:t>$2,000</w:t>
            </w:r>
            <w:bookmarkEnd w:id="316"/>
            <w:bookmarkEnd w:id="317"/>
          </w:p>
        </w:tc>
      </w:tr>
      <w:tr w:rsidR="00BC26FE" w:rsidRPr="00F662D9" w14:paraId="76BB55CD" w14:textId="77777777">
        <w:trPr>
          <w:trHeight w:val="300"/>
        </w:trPr>
        <w:tc>
          <w:tcPr>
            <w:tcW w:w="5524" w:type="dxa"/>
            <w:gridSpan w:val="2"/>
            <w:shd w:val="clear" w:color="auto" w:fill="auto"/>
            <w:noWrap/>
            <w:vAlign w:val="bottom"/>
            <w:hideMark/>
          </w:tcPr>
          <w:p w14:paraId="29114238"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18" w:name="_Toc146546133"/>
            <w:bookmarkStart w:id="319" w:name="_Toc146552402"/>
            <w:r w:rsidRPr="00F662D9">
              <w:rPr>
                <w:rFonts w:ascii="Calibri" w:eastAsia="Times New Roman" w:hAnsi="Calibri" w:cs="Calibri"/>
                <w:color w:val="000000"/>
                <w:sz w:val="18"/>
                <w:szCs w:val="18"/>
                <w:lang w:eastAsia="en-AU"/>
              </w:rPr>
              <w:t xml:space="preserve">Direction to Co-Owners by Patent </w:t>
            </w:r>
            <w:bookmarkEnd w:id="318"/>
            <w:bookmarkEnd w:id="319"/>
            <w:r w:rsidRPr="00F662D9">
              <w:rPr>
                <w:rFonts w:ascii="Calibri" w:eastAsia="Times New Roman" w:hAnsi="Calibri" w:cs="Calibri"/>
                <w:color w:val="000000"/>
                <w:sz w:val="18"/>
                <w:szCs w:val="18"/>
                <w:lang w:eastAsia="en-AU"/>
              </w:rPr>
              <w:t>Comm</w:t>
            </w:r>
            <w:r>
              <w:rPr>
                <w:rFonts w:ascii="Calibri" w:eastAsia="Times New Roman" w:hAnsi="Calibri" w:cs="Calibri"/>
                <w:color w:val="000000"/>
                <w:sz w:val="18"/>
                <w:szCs w:val="18"/>
                <w:lang w:eastAsia="en-AU"/>
              </w:rPr>
              <w:t>issioner</w:t>
            </w:r>
          </w:p>
        </w:tc>
        <w:tc>
          <w:tcPr>
            <w:tcW w:w="1207" w:type="dxa"/>
            <w:gridSpan w:val="2"/>
            <w:shd w:val="clear" w:color="auto" w:fill="auto"/>
            <w:noWrap/>
            <w:vAlign w:val="bottom"/>
            <w:hideMark/>
          </w:tcPr>
          <w:p w14:paraId="162634BD"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320" w:name="_Toc146546134"/>
            <w:bookmarkStart w:id="321" w:name="_Toc146552403"/>
            <w:r w:rsidRPr="00F662D9">
              <w:rPr>
                <w:rFonts w:ascii="Calibri" w:eastAsia="Times New Roman" w:hAnsi="Calibri" w:cs="Calibri"/>
                <w:color w:val="000000"/>
                <w:sz w:val="18"/>
                <w:szCs w:val="18"/>
                <w:lang w:eastAsia="en-AU"/>
              </w:rPr>
              <w:t>$600</w:t>
            </w:r>
            <w:bookmarkEnd w:id="320"/>
            <w:bookmarkEnd w:id="321"/>
          </w:p>
        </w:tc>
        <w:tc>
          <w:tcPr>
            <w:tcW w:w="1207" w:type="dxa"/>
            <w:shd w:val="clear" w:color="auto" w:fill="auto"/>
            <w:noWrap/>
            <w:vAlign w:val="bottom"/>
            <w:hideMark/>
          </w:tcPr>
          <w:p w14:paraId="52C1FAB2"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22" w:name="_Toc146546135"/>
            <w:bookmarkStart w:id="323" w:name="_Toc146552404"/>
            <w:r w:rsidRPr="00F662D9">
              <w:rPr>
                <w:rFonts w:ascii="Calibri" w:eastAsia="Times New Roman" w:hAnsi="Calibri" w:cs="Calibri"/>
                <w:color w:val="000000" w:themeColor="text1"/>
                <w:sz w:val="18"/>
                <w:szCs w:val="18"/>
                <w:lang w:eastAsia="en-AU"/>
              </w:rPr>
              <w:t>$1,200</w:t>
            </w:r>
            <w:bookmarkEnd w:id="322"/>
            <w:bookmarkEnd w:id="323"/>
          </w:p>
        </w:tc>
      </w:tr>
      <w:tr w:rsidR="00BC26FE" w:rsidRPr="00F662D9" w14:paraId="46720183" w14:textId="77777777">
        <w:trPr>
          <w:trHeight w:val="300"/>
        </w:trPr>
        <w:tc>
          <w:tcPr>
            <w:tcW w:w="5524" w:type="dxa"/>
            <w:gridSpan w:val="2"/>
            <w:shd w:val="clear" w:color="auto" w:fill="auto"/>
            <w:noWrap/>
            <w:vAlign w:val="bottom"/>
            <w:hideMark/>
          </w:tcPr>
          <w:p w14:paraId="0BD7A332"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24" w:name="_Toc146546136"/>
            <w:bookmarkStart w:id="325" w:name="_Toc146552405"/>
            <w:r w:rsidRPr="00F662D9">
              <w:rPr>
                <w:rFonts w:ascii="Calibri" w:eastAsia="Times New Roman" w:hAnsi="Calibri" w:cs="Calibri"/>
                <w:color w:val="000000"/>
                <w:sz w:val="18"/>
                <w:szCs w:val="18"/>
                <w:lang w:eastAsia="en-AU"/>
              </w:rPr>
              <w:t>Patent Hearing on the Written Record</w:t>
            </w:r>
            <w:bookmarkEnd w:id="324"/>
            <w:bookmarkEnd w:id="325"/>
          </w:p>
        </w:tc>
        <w:tc>
          <w:tcPr>
            <w:tcW w:w="1207" w:type="dxa"/>
            <w:gridSpan w:val="2"/>
            <w:shd w:val="clear" w:color="auto" w:fill="auto"/>
            <w:noWrap/>
            <w:vAlign w:val="bottom"/>
            <w:hideMark/>
          </w:tcPr>
          <w:p w14:paraId="6A9C633E"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326" w:name="_Toc146546137"/>
            <w:bookmarkStart w:id="327" w:name="_Toc146552406"/>
            <w:r w:rsidRPr="00F662D9">
              <w:rPr>
                <w:rFonts w:ascii="Calibri" w:eastAsia="Times New Roman" w:hAnsi="Calibri" w:cs="Calibri"/>
                <w:color w:val="000000"/>
                <w:sz w:val="18"/>
                <w:szCs w:val="18"/>
                <w:lang w:eastAsia="en-AU"/>
              </w:rPr>
              <w:t>$600</w:t>
            </w:r>
            <w:bookmarkEnd w:id="326"/>
            <w:bookmarkEnd w:id="327"/>
          </w:p>
        </w:tc>
        <w:tc>
          <w:tcPr>
            <w:tcW w:w="1207" w:type="dxa"/>
            <w:shd w:val="clear" w:color="auto" w:fill="auto"/>
            <w:noWrap/>
            <w:vAlign w:val="bottom"/>
            <w:hideMark/>
          </w:tcPr>
          <w:p w14:paraId="0C983691"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28" w:name="_Toc146546138"/>
            <w:bookmarkStart w:id="329" w:name="_Toc146552407"/>
            <w:r w:rsidRPr="00F662D9">
              <w:rPr>
                <w:rFonts w:ascii="Calibri" w:eastAsia="Times New Roman" w:hAnsi="Calibri" w:cs="Calibri"/>
                <w:color w:val="000000" w:themeColor="text1"/>
                <w:sz w:val="18"/>
                <w:szCs w:val="18"/>
                <w:lang w:eastAsia="en-AU"/>
              </w:rPr>
              <w:t>$1,200</w:t>
            </w:r>
            <w:bookmarkEnd w:id="328"/>
            <w:bookmarkEnd w:id="329"/>
          </w:p>
        </w:tc>
      </w:tr>
      <w:tr w:rsidR="00BC26FE" w:rsidRPr="00F662D9" w14:paraId="197C7525" w14:textId="77777777">
        <w:trPr>
          <w:trHeight w:val="300"/>
        </w:trPr>
        <w:tc>
          <w:tcPr>
            <w:tcW w:w="5524" w:type="dxa"/>
            <w:gridSpan w:val="2"/>
            <w:shd w:val="clear" w:color="auto" w:fill="auto"/>
            <w:noWrap/>
            <w:vAlign w:val="bottom"/>
          </w:tcPr>
          <w:p w14:paraId="1EB0D835"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30" w:name="_Toc146546139"/>
            <w:bookmarkStart w:id="331" w:name="_Toc146552408"/>
            <w:r w:rsidRPr="00F662D9">
              <w:rPr>
                <w:rFonts w:ascii="Calibri" w:eastAsia="Times New Roman" w:hAnsi="Calibri" w:cs="Calibri"/>
                <w:color w:val="000000"/>
                <w:sz w:val="18"/>
                <w:szCs w:val="18"/>
                <w:lang w:eastAsia="en-AU"/>
              </w:rPr>
              <w:t>Appearing at a Hearing - Balance Fee</w:t>
            </w:r>
            <w:bookmarkEnd w:id="330"/>
            <w:bookmarkEnd w:id="331"/>
          </w:p>
        </w:tc>
        <w:tc>
          <w:tcPr>
            <w:tcW w:w="1207" w:type="dxa"/>
            <w:gridSpan w:val="2"/>
            <w:shd w:val="clear" w:color="auto" w:fill="auto"/>
            <w:noWrap/>
            <w:vAlign w:val="bottom"/>
          </w:tcPr>
          <w:p w14:paraId="01632606" w14:textId="77777777" w:rsidR="00BC26FE" w:rsidRPr="00F662D9" w:rsidRDefault="00BC26FE">
            <w:pPr>
              <w:spacing w:after="0" w:line="240" w:lineRule="auto"/>
              <w:jc w:val="right"/>
              <w:outlineLvl w:val="0"/>
              <w:rPr>
                <w:rFonts w:ascii="Calibri" w:eastAsia="Times New Roman" w:hAnsi="Calibri" w:cs="Calibri"/>
                <w:color w:val="000000"/>
                <w:sz w:val="18"/>
                <w:szCs w:val="18"/>
                <w:lang w:eastAsia="en-AU"/>
              </w:rPr>
            </w:pPr>
            <w:bookmarkStart w:id="332" w:name="_Toc146546140"/>
            <w:bookmarkStart w:id="333" w:name="_Toc146552409"/>
            <w:r w:rsidRPr="00F662D9">
              <w:rPr>
                <w:rFonts w:ascii="Calibri" w:eastAsia="Times New Roman" w:hAnsi="Calibri" w:cs="Calibri"/>
                <w:color w:val="000000"/>
                <w:sz w:val="18"/>
                <w:szCs w:val="18"/>
                <w:lang w:eastAsia="en-AU"/>
              </w:rPr>
              <w:t>$400</w:t>
            </w:r>
            <w:bookmarkEnd w:id="332"/>
            <w:bookmarkEnd w:id="333"/>
          </w:p>
        </w:tc>
        <w:tc>
          <w:tcPr>
            <w:tcW w:w="1207" w:type="dxa"/>
            <w:shd w:val="clear" w:color="auto" w:fill="auto"/>
            <w:noWrap/>
            <w:vAlign w:val="bottom"/>
          </w:tcPr>
          <w:p w14:paraId="53B67391"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34" w:name="_Toc146546141"/>
            <w:bookmarkStart w:id="335" w:name="_Toc146552410"/>
            <w:r w:rsidRPr="00F662D9">
              <w:rPr>
                <w:rFonts w:ascii="Calibri" w:eastAsia="Times New Roman" w:hAnsi="Calibri" w:cs="Calibri"/>
                <w:color w:val="000000" w:themeColor="text1"/>
                <w:sz w:val="18"/>
                <w:szCs w:val="18"/>
                <w:lang w:eastAsia="en-AU"/>
              </w:rPr>
              <w:t>$800</w:t>
            </w:r>
            <w:bookmarkEnd w:id="334"/>
            <w:bookmarkEnd w:id="335"/>
          </w:p>
        </w:tc>
      </w:tr>
    </w:tbl>
    <w:p w14:paraId="56A6C7DC" w14:textId="77777777" w:rsidR="00BC26FE" w:rsidRDefault="00BC26FE" w:rsidP="00BC26FE">
      <w:pPr>
        <w:pStyle w:val="NoSpacing"/>
        <w:rPr>
          <w:iCs/>
          <w:lang w:eastAsia="en-AU"/>
        </w:rPr>
      </w:pPr>
    </w:p>
    <w:p w14:paraId="574E1E55" w14:textId="4EB7193D" w:rsidR="00FE42BF" w:rsidRDefault="00FE42BF" w:rsidP="00BC26FE">
      <w:pPr>
        <w:pStyle w:val="NoSpacing"/>
        <w:rPr>
          <w:iCs/>
          <w:lang w:eastAsia="en-AU"/>
        </w:rPr>
      </w:pPr>
      <w:r>
        <w:rPr>
          <w:iCs/>
          <w:lang w:eastAsia="en-AU"/>
        </w:rPr>
        <w:br w:type="page"/>
      </w:r>
    </w:p>
    <w:p w14:paraId="6150237B" w14:textId="77777777" w:rsidR="00BC26FE" w:rsidRDefault="00BC26FE" w:rsidP="00BC26FE">
      <w:pPr>
        <w:pStyle w:val="NoSpacing"/>
        <w:rPr>
          <w:iCs/>
          <w:lang w:eastAsia="en-AU"/>
        </w:rPr>
      </w:pPr>
    </w:p>
    <w:tbl>
      <w:tblPr>
        <w:tblW w:w="793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24"/>
        <w:gridCol w:w="1207"/>
        <w:gridCol w:w="1207"/>
      </w:tblGrid>
      <w:tr w:rsidR="00BC26FE" w:rsidRPr="00FE42BF" w14:paraId="21C3A964" w14:textId="77777777">
        <w:trPr>
          <w:trHeight w:val="300"/>
        </w:trPr>
        <w:tc>
          <w:tcPr>
            <w:tcW w:w="5524" w:type="dxa"/>
            <w:tcBorders>
              <w:top w:val="single" w:sz="4" w:space="0" w:color="auto"/>
              <w:bottom w:val="single" w:sz="4" w:space="0" w:color="auto"/>
            </w:tcBorders>
            <w:shd w:val="clear" w:color="000000" w:fill="C5D9F1"/>
            <w:noWrap/>
            <w:vAlign w:val="bottom"/>
            <w:hideMark/>
          </w:tcPr>
          <w:p w14:paraId="6AEE93CB" w14:textId="77777777" w:rsidR="00BC26FE" w:rsidRPr="00FE42BF" w:rsidRDefault="00BC26FE">
            <w:pPr>
              <w:spacing w:after="0" w:line="240" w:lineRule="auto"/>
              <w:outlineLvl w:val="0"/>
              <w:rPr>
                <w:rFonts w:ascii="Calibri" w:eastAsia="Times New Roman" w:hAnsi="Calibri" w:cs="Calibri"/>
                <w:b/>
                <w:bCs/>
                <w:color w:val="0070C0"/>
                <w:sz w:val="20"/>
                <w:szCs w:val="20"/>
                <w:lang w:eastAsia="en-AU"/>
              </w:rPr>
            </w:pPr>
            <w:bookmarkStart w:id="336" w:name="_Toc146546142"/>
            <w:bookmarkStart w:id="337" w:name="_Toc146552411"/>
            <w:r w:rsidRPr="00FE42BF">
              <w:rPr>
                <w:rFonts w:ascii="Calibri" w:eastAsia="Times New Roman" w:hAnsi="Calibri" w:cs="Calibri"/>
                <w:b/>
                <w:bCs/>
                <w:color w:val="000000" w:themeColor="text1"/>
                <w:sz w:val="20"/>
                <w:szCs w:val="20"/>
                <w:lang w:eastAsia="en-AU"/>
              </w:rPr>
              <w:t>Trade Mark Fees</w:t>
            </w:r>
            <w:bookmarkEnd w:id="336"/>
            <w:bookmarkEnd w:id="337"/>
          </w:p>
        </w:tc>
        <w:tc>
          <w:tcPr>
            <w:tcW w:w="1207" w:type="dxa"/>
            <w:tcBorders>
              <w:top w:val="single" w:sz="4" w:space="0" w:color="auto"/>
              <w:bottom w:val="single" w:sz="4" w:space="0" w:color="auto"/>
            </w:tcBorders>
            <w:shd w:val="clear" w:color="000000" w:fill="C5D9F1"/>
            <w:noWrap/>
            <w:vAlign w:val="bottom"/>
            <w:hideMark/>
          </w:tcPr>
          <w:p w14:paraId="5DA8C8AF" w14:textId="77777777" w:rsidR="00BC26FE" w:rsidRPr="00FE42BF" w:rsidRDefault="00BC26FE">
            <w:pPr>
              <w:spacing w:after="0" w:line="240" w:lineRule="auto"/>
              <w:jc w:val="right"/>
              <w:outlineLvl w:val="0"/>
              <w:rPr>
                <w:rFonts w:ascii="Calibri" w:eastAsia="Times New Roman" w:hAnsi="Calibri" w:cs="Calibri"/>
                <w:b/>
                <w:bCs/>
                <w:color w:val="000000"/>
                <w:sz w:val="20"/>
                <w:szCs w:val="20"/>
                <w:lang w:eastAsia="en-AU"/>
              </w:rPr>
            </w:pPr>
            <w:r w:rsidRPr="00FE42BF">
              <w:rPr>
                <w:rFonts w:ascii="Calibri" w:eastAsia="Times New Roman" w:hAnsi="Calibri" w:cs="Calibri"/>
                <w:b/>
                <w:bCs/>
                <w:color w:val="000000" w:themeColor="text1"/>
                <w:sz w:val="20"/>
                <w:szCs w:val="20"/>
                <w:lang w:eastAsia="en-AU"/>
              </w:rPr>
              <w:t> </w:t>
            </w:r>
            <w:bookmarkStart w:id="338" w:name="_Toc146546143"/>
            <w:bookmarkStart w:id="339" w:name="_Toc146552412"/>
            <w:r w:rsidRPr="00FE42BF">
              <w:rPr>
                <w:rFonts w:ascii="Calibri" w:eastAsia="Times New Roman" w:hAnsi="Calibri" w:cs="Calibri"/>
                <w:b/>
                <w:bCs/>
                <w:color w:val="000000" w:themeColor="text1"/>
                <w:sz w:val="20"/>
                <w:szCs w:val="20"/>
                <w:lang w:eastAsia="en-AU"/>
              </w:rPr>
              <w:t>Old Fee</w:t>
            </w:r>
            <w:bookmarkEnd w:id="338"/>
            <w:bookmarkEnd w:id="339"/>
          </w:p>
        </w:tc>
        <w:tc>
          <w:tcPr>
            <w:tcW w:w="1207" w:type="dxa"/>
            <w:tcBorders>
              <w:top w:val="single" w:sz="4" w:space="0" w:color="auto"/>
              <w:bottom w:val="single" w:sz="4" w:space="0" w:color="auto"/>
            </w:tcBorders>
            <w:shd w:val="clear" w:color="000000" w:fill="C5D9F1"/>
            <w:noWrap/>
            <w:vAlign w:val="bottom"/>
            <w:hideMark/>
          </w:tcPr>
          <w:p w14:paraId="2F27B7D1" w14:textId="77777777" w:rsidR="00BC26FE" w:rsidRPr="00FE42BF" w:rsidRDefault="00BC26FE">
            <w:pPr>
              <w:spacing w:after="0" w:line="240" w:lineRule="auto"/>
              <w:jc w:val="right"/>
              <w:outlineLvl w:val="0"/>
              <w:rPr>
                <w:rFonts w:ascii="Calibri" w:eastAsia="Times New Roman" w:hAnsi="Calibri" w:cs="Calibri"/>
                <w:b/>
                <w:bCs/>
                <w:color w:val="000000" w:themeColor="text1"/>
                <w:sz w:val="20"/>
                <w:szCs w:val="20"/>
                <w:lang w:eastAsia="en-AU"/>
              </w:rPr>
            </w:pPr>
            <w:bookmarkStart w:id="340" w:name="_Toc146546144"/>
            <w:bookmarkStart w:id="341" w:name="_Toc146552413"/>
            <w:r w:rsidRPr="00FE42BF">
              <w:rPr>
                <w:rFonts w:ascii="Calibri" w:eastAsia="Times New Roman" w:hAnsi="Calibri" w:cs="Calibri"/>
                <w:b/>
                <w:bCs/>
                <w:color w:val="000000" w:themeColor="text1"/>
                <w:sz w:val="20"/>
                <w:szCs w:val="20"/>
                <w:lang w:eastAsia="en-AU"/>
              </w:rPr>
              <w:t>New Fee</w:t>
            </w:r>
            <w:bookmarkEnd w:id="340"/>
            <w:bookmarkEnd w:id="341"/>
            <w:r w:rsidRPr="00FE42BF">
              <w:rPr>
                <w:rFonts w:ascii="Calibri" w:eastAsia="Times New Roman" w:hAnsi="Calibri" w:cs="Calibri"/>
                <w:b/>
                <w:bCs/>
                <w:color w:val="000000" w:themeColor="text1"/>
                <w:sz w:val="20"/>
                <w:szCs w:val="20"/>
                <w:lang w:eastAsia="en-AU"/>
              </w:rPr>
              <w:t> </w:t>
            </w:r>
          </w:p>
        </w:tc>
      </w:tr>
      <w:tr w:rsidR="00BC26FE" w:rsidRPr="00153E10" w14:paraId="6BA5C2A0" w14:textId="77777777">
        <w:trPr>
          <w:trHeight w:val="300"/>
        </w:trPr>
        <w:tc>
          <w:tcPr>
            <w:tcW w:w="5524" w:type="dxa"/>
            <w:tcBorders>
              <w:top w:val="single" w:sz="4" w:space="0" w:color="auto"/>
            </w:tcBorders>
            <w:shd w:val="clear" w:color="000000" w:fill="D9D9D9"/>
            <w:noWrap/>
            <w:vAlign w:val="bottom"/>
            <w:hideMark/>
          </w:tcPr>
          <w:p w14:paraId="6A461A59" w14:textId="77777777" w:rsidR="00BC26FE" w:rsidRPr="00F662D9" w:rsidRDefault="00BC26FE">
            <w:pPr>
              <w:spacing w:after="0" w:line="240" w:lineRule="auto"/>
              <w:ind w:firstLineChars="100" w:firstLine="180"/>
              <w:outlineLvl w:val="0"/>
              <w:rPr>
                <w:rFonts w:ascii="Calibri" w:eastAsia="Times New Roman" w:hAnsi="Calibri" w:cs="Calibri"/>
                <w:color w:val="0070C0"/>
                <w:sz w:val="18"/>
                <w:szCs w:val="18"/>
                <w:lang w:eastAsia="en-AU"/>
              </w:rPr>
            </w:pPr>
            <w:bookmarkStart w:id="342" w:name="_Toc146546145"/>
            <w:bookmarkStart w:id="343" w:name="_Toc146552414"/>
            <w:r w:rsidRPr="00AB7D56">
              <w:rPr>
                <w:rFonts w:ascii="Calibri" w:eastAsia="Times New Roman" w:hAnsi="Calibri" w:cs="Calibri"/>
                <w:color w:val="1F3864" w:themeColor="accent1" w:themeShade="80"/>
                <w:sz w:val="18"/>
                <w:szCs w:val="18"/>
                <w:lang w:eastAsia="en-AU"/>
              </w:rPr>
              <w:t>Change to TM Hearing fees</w:t>
            </w:r>
            <w:bookmarkEnd w:id="342"/>
            <w:bookmarkEnd w:id="343"/>
          </w:p>
        </w:tc>
        <w:tc>
          <w:tcPr>
            <w:tcW w:w="1207" w:type="dxa"/>
            <w:tcBorders>
              <w:top w:val="single" w:sz="4" w:space="0" w:color="auto"/>
            </w:tcBorders>
            <w:shd w:val="clear" w:color="000000" w:fill="D9D9D9"/>
            <w:noWrap/>
            <w:vAlign w:val="bottom"/>
            <w:hideMark/>
          </w:tcPr>
          <w:p w14:paraId="1E6DAAF1"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tcBorders>
              <w:top w:val="single" w:sz="4" w:space="0" w:color="auto"/>
            </w:tcBorders>
            <w:shd w:val="clear" w:color="000000" w:fill="D9D9D9"/>
            <w:noWrap/>
            <w:vAlign w:val="bottom"/>
            <w:hideMark/>
          </w:tcPr>
          <w:p w14:paraId="70439486" w14:textId="77777777" w:rsidR="00BC26FE" w:rsidRPr="00F662D9" w:rsidRDefault="00BC26FE">
            <w:pPr>
              <w:spacing w:after="0" w:line="240" w:lineRule="auto"/>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 </w:t>
            </w:r>
          </w:p>
        </w:tc>
      </w:tr>
      <w:tr w:rsidR="00BC26FE" w:rsidRPr="00F662D9" w14:paraId="3E827AE9" w14:textId="77777777">
        <w:trPr>
          <w:trHeight w:val="300"/>
        </w:trPr>
        <w:tc>
          <w:tcPr>
            <w:tcW w:w="5524" w:type="dxa"/>
            <w:shd w:val="clear" w:color="auto" w:fill="auto"/>
            <w:noWrap/>
            <w:vAlign w:val="bottom"/>
            <w:hideMark/>
          </w:tcPr>
          <w:p w14:paraId="51286E55"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44" w:name="_Toc146546146"/>
            <w:bookmarkStart w:id="345" w:name="_Toc146552415"/>
            <w:r>
              <w:rPr>
                <w:rFonts w:ascii="Calibri" w:hAnsi="Calibri" w:cs="Calibri"/>
                <w:color w:val="000000"/>
                <w:sz w:val="18"/>
                <w:szCs w:val="18"/>
              </w:rPr>
              <w:t>Removal of Trade Mark for Non-use</w:t>
            </w:r>
            <w:bookmarkEnd w:id="344"/>
            <w:bookmarkEnd w:id="345"/>
          </w:p>
        </w:tc>
        <w:tc>
          <w:tcPr>
            <w:tcW w:w="1207" w:type="dxa"/>
            <w:shd w:val="clear" w:color="auto" w:fill="auto"/>
            <w:noWrap/>
            <w:vAlign w:val="bottom"/>
            <w:hideMark/>
          </w:tcPr>
          <w:p w14:paraId="171D969C"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46" w:name="_Toc146546147"/>
            <w:bookmarkStart w:id="347" w:name="_Toc146552416"/>
            <w:r w:rsidRPr="002D13FA">
              <w:rPr>
                <w:rFonts w:ascii="Calibri" w:hAnsi="Calibri" w:cs="Calibri"/>
                <w:color w:val="000000" w:themeColor="text1"/>
                <w:sz w:val="18"/>
                <w:szCs w:val="18"/>
              </w:rPr>
              <w:t>$250</w:t>
            </w:r>
            <w:bookmarkEnd w:id="346"/>
            <w:bookmarkEnd w:id="347"/>
          </w:p>
        </w:tc>
        <w:tc>
          <w:tcPr>
            <w:tcW w:w="1207" w:type="dxa"/>
            <w:shd w:val="clear" w:color="auto" w:fill="auto"/>
            <w:noWrap/>
            <w:vAlign w:val="bottom"/>
            <w:hideMark/>
          </w:tcPr>
          <w:p w14:paraId="6527AF71"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48" w:name="_Toc146546148"/>
            <w:bookmarkStart w:id="349" w:name="_Toc146552417"/>
            <w:r w:rsidRPr="002D13FA">
              <w:rPr>
                <w:rFonts w:ascii="Calibri" w:hAnsi="Calibri" w:cs="Calibri"/>
                <w:color w:val="000000" w:themeColor="text1"/>
                <w:sz w:val="18"/>
                <w:szCs w:val="18"/>
              </w:rPr>
              <w:t>$</w:t>
            </w:r>
            <w:r>
              <w:rPr>
                <w:rFonts w:ascii="Calibri" w:hAnsi="Calibri" w:cs="Calibri"/>
                <w:color w:val="000000" w:themeColor="text1"/>
                <w:sz w:val="18"/>
                <w:szCs w:val="18"/>
              </w:rPr>
              <w:t>350</w:t>
            </w:r>
            <w:bookmarkEnd w:id="348"/>
            <w:bookmarkEnd w:id="349"/>
          </w:p>
        </w:tc>
      </w:tr>
      <w:tr w:rsidR="00BC26FE" w:rsidRPr="00F662D9" w14:paraId="22565A9B" w14:textId="77777777">
        <w:trPr>
          <w:trHeight w:val="300"/>
        </w:trPr>
        <w:tc>
          <w:tcPr>
            <w:tcW w:w="5524" w:type="dxa"/>
            <w:shd w:val="clear" w:color="auto" w:fill="auto"/>
            <w:noWrap/>
            <w:vAlign w:val="bottom"/>
            <w:hideMark/>
          </w:tcPr>
          <w:p w14:paraId="2EB215F6"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50" w:name="_Toc146546149"/>
            <w:bookmarkStart w:id="351" w:name="_Toc146552418"/>
            <w:r>
              <w:rPr>
                <w:rFonts w:ascii="Calibri" w:hAnsi="Calibri" w:cs="Calibri"/>
                <w:color w:val="000000"/>
                <w:sz w:val="18"/>
                <w:szCs w:val="18"/>
              </w:rPr>
              <w:t>TM Hearing Heard by Registrar in person</w:t>
            </w:r>
            <w:bookmarkEnd w:id="350"/>
            <w:bookmarkEnd w:id="351"/>
          </w:p>
        </w:tc>
        <w:tc>
          <w:tcPr>
            <w:tcW w:w="1207" w:type="dxa"/>
            <w:shd w:val="clear" w:color="auto" w:fill="auto"/>
            <w:noWrap/>
            <w:vAlign w:val="bottom"/>
            <w:hideMark/>
          </w:tcPr>
          <w:p w14:paraId="010145A1"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52" w:name="_Toc146546150"/>
            <w:bookmarkStart w:id="353" w:name="_Toc146552419"/>
            <w:r w:rsidRPr="002D13FA">
              <w:rPr>
                <w:rFonts w:ascii="Calibri" w:hAnsi="Calibri" w:cs="Calibri"/>
                <w:color w:val="000000" w:themeColor="text1"/>
                <w:sz w:val="18"/>
                <w:szCs w:val="18"/>
              </w:rPr>
              <w:t>$800</w:t>
            </w:r>
            <w:bookmarkEnd w:id="352"/>
            <w:bookmarkEnd w:id="353"/>
          </w:p>
        </w:tc>
        <w:tc>
          <w:tcPr>
            <w:tcW w:w="1207" w:type="dxa"/>
            <w:shd w:val="clear" w:color="auto" w:fill="auto"/>
            <w:noWrap/>
            <w:vAlign w:val="bottom"/>
            <w:hideMark/>
          </w:tcPr>
          <w:p w14:paraId="28D8DB00"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2D13FA">
              <w:rPr>
                <w:rFonts w:ascii="Calibri" w:hAnsi="Calibri" w:cs="Calibri"/>
                <w:color w:val="000000" w:themeColor="text1"/>
                <w:sz w:val="18"/>
                <w:szCs w:val="18"/>
              </w:rPr>
              <w:t>Remove</w:t>
            </w:r>
          </w:p>
        </w:tc>
      </w:tr>
      <w:tr w:rsidR="00BC26FE" w:rsidRPr="00F662D9" w14:paraId="6A52162C" w14:textId="77777777">
        <w:trPr>
          <w:trHeight w:val="300"/>
        </w:trPr>
        <w:tc>
          <w:tcPr>
            <w:tcW w:w="5524" w:type="dxa"/>
            <w:shd w:val="clear" w:color="auto" w:fill="auto"/>
            <w:noWrap/>
            <w:vAlign w:val="bottom"/>
            <w:hideMark/>
          </w:tcPr>
          <w:p w14:paraId="65DEB5D9"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54" w:name="_Toc146546152"/>
            <w:bookmarkStart w:id="355" w:name="_Toc146552421"/>
            <w:r>
              <w:rPr>
                <w:rFonts w:ascii="Calibri" w:hAnsi="Calibri" w:cs="Calibri"/>
                <w:color w:val="000000"/>
                <w:sz w:val="18"/>
                <w:szCs w:val="18"/>
              </w:rPr>
              <w:t>TM Hearing Heard by Registrar in person Additional Day</w:t>
            </w:r>
            <w:bookmarkEnd w:id="354"/>
            <w:bookmarkEnd w:id="355"/>
          </w:p>
        </w:tc>
        <w:tc>
          <w:tcPr>
            <w:tcW w:w="1207" w:type="dxa"/>
            <w:shd w:val="clear" w:color="auto" w:fill="auto"/>
            <w:noWrap/>
            <w:vAlign w:val="bottom"/>
            <w:hideMark/>
          </w:tcPr>
          <w:p w14:paraId="2BF33D9B"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56" w:name="_Toc146546153"/>
            <w:bookmarkStart w:id="357" w:name="_Toc146552422"/>
            <w:r w:rsidRPr="002D13FA">
              <w:rPr>
                <w:rFonts w:ascii="Calibri" w:hAnsi="Calibri" w:cs="Calibri"/>
                <w:color w:val="000000" w:themeColor="text1"/>
                <w:sz w:val="18"/>
                <w:szCs w:val="18"/>
              </w:rPr>
              <w:t>$800</w:t>
            </w:r>
            <w:bookmarkEnd w:id="356"/>
            <w:bookmarkEnd w:id="357"/>
          </w:p>
        </w:tc>
        <w:tc>
          <w:tcPr>
            <w:tcW w:w="1207" w:type="dxa"/>
            <w:shd w:val="clear" w:color="auto" w:fill="auto"/>
            <w:noWrap/>
            <w:vAlign w:val="bottom"/>
            <w:hideMark/>
          </w:tcPr>
          <w:p w14:paraId="2D8F3788"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2D13FA">
              <w:rPr>
                <w:rFonts w:ascii="Calibri" w:hAnsi="Calibri" w:cs="Calibri"/>
                <w:color w:val="000000" w:themeColor="text1"/>
                <w:sz w:val="18"/>
                <w:szCs w:val="18"/>
              </w:rPr>
              <w:t>Remove</w:t>
            </w:r>
          </w:p>
        </w:tc>
      </w:tr>
      <w:tr w:rsidR="00BC26FE" w:rsidRPr="00F662D9" w14:paraId="3BBDDF34" w14:textId="77777777">
        <w:trPr>
          <w:trHeight w:val="300"/>
        </w:trPr>
        <w:tc>
          <w:tcPr>
            <w:tcW w:w="5524" w:type="dxa"/>
            <w:shd w:val="clear" w:color="auto" w:fill="auto"/>
            <w:noWrap/>
            <w:vAlign w:val="bottom"/>
            <w:hideMark/>
          </w:tcPr>
          <w:p w14:paraId="6A2997E8"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58" w:name="_Toc146546155"/>
            <w:bookmarkStart w:id="359" w:name="_Toc146552424"/>
            <w:r>
              <w:rPr>
                <w:rFonts w:ascii="Calibri" w:hAnsi="Calibri" w:cs="Calibri"/>
                <w:color w:val="000000"/>
                <w:sz w:val="18"/>
                <w:szCs w:val="18"/>
              </w:rPr>
              <w:t>TM Hearing Heard by Registrar NOT in person</w:t>
            </w:r>
            <w:bookmarkEnd w:id="358"/>
            <w:bookmarkEnd w:id="359"/>
          </w:p>
        </w:tc>
        <w:tc>
          <w:tcPr>
            <w:tcW w:w="1207" w:type="dxa"/>
            <w:shd w:val="clear" w:color="auto" w:fill="auto"/>
            <w:noWrap/>
            <w:vAlign w:val="bottom"/>
            <w:hideMark/>
          </w:tcPr>
          <w:p w14:paraId="58B59E22"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60" w:name="_Toc146546156"/>
            <w:bookmarkStart w:id="361" w:name="_Toc146552425"/>
            <w:r w:rsidRPr="002D13FA">
              <w:rPr>
                <w:rFonts w:ascii="Calibri" w:hAnsi="Calibri" w:cs="Calibri"/>
                <w:color w:val="000000" w:themeColor="text1"/>
                <w:sz w:val="18"/>
                <w:szCs w:val="18"/>
              </w:rPr>
              <w:t>$600</w:t>
            </w:r>
            <w:bookmarkEnd w:id="360"/>
            <w:bookmarkEnd w:id="361"/>
          </w:p>
        </w:tc>
        <w:tc>
          <w:tcPr>
            <w:tcW w:w="1207" w:type="dxa"/>
            <w:shd w:val="clear" w:color="auto" w:fill="auto"/>
            <w:noWrap/>
            <w:vAlign w:val="bottom"/>
            <w:hideMark/>
          </w:tcPr>
          <w:p w14:paraId="4A806C0C"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2D13FA">
              <w:rPr>
                <w:rFonts w:ascii="Calibri" w:hAnsi="Calibri" w:cs="Calibri"/>
                <w:color w:val="000000" w:themeColor="text1"/>
                <w:sz w:val="18"/>
                <w:szCs w:val="18"/>
              </w:rPr>
              <w:t>Remove</w:t>
            </w:r>
          </w:p>
        </w:tc>
      </w:tr>
      <w:tr w:rsidR="00BC26FE" w:rsidRPr="00F662D9" w14:paraId="6B1DB885" w14:textId="77777777">
        <w:trPr>
          <w:trHeight w:val="300"/>
        </w:trPr>
        <w:tc>
          <w:tcPr>
            <w:tcW w:w="5524" w:type="dxa"/>
            <w:shd w:val="clear" w:color="auto" w:fill="auto"/>
            <w:noWrap/>
            <w:vAlign w:val="bottom"/>
            <w:hideMark/>
          </w:tcPr>
          <w:p w14:paraId="7E28955E"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62" w:name="_Toc146546158"/>
            <w:bookmarkStart w:id="363" w:name="_Toc146552427"/>
            <w:r>
              <w:rPr>
                <w:rFonts w:ascii="Calibri" w:hAnsi="Calibri" w:cs="Calibri"/>
                <w:color w:val="000000"/>
                <w:sz w:val="18"/>
                <w:szCs w:val="18"/>
              </w:rPr>
              <w:t>TM Hearing Heard by Registrar NOT in person Additional Day</w:t>
            </w:r>
            <w:bookmarkEnd w:id="362"/>
            <w:bookmarkEnd w:id="363"/>
          </w:p>
        </w:tc>
        <w:tc>
          <w:tcPr>
            <w:tcW w:w="1207" w:type="dxa"/>
            <w:shd w:val="clear" w:color="auto" w:fill="auto"/>
            <w:noWrap/>
            <w:vAlign w:val="bottom"/>
            <w:hideMark/>
          </w:tcPr>
          <w:p w14:paraId="75F7424A"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64" w:name="_Toc146546159"/>
            <w:bookmarkStart w:id="365" w:name="_Toc146552428"/>
            <w:r w:rsidRPr="002D13FA">
              <w:rPr>
                <w:rFonts w:ascii="Calibri" w:hAnsi="Calibri" w:cs="Calibri"/>
                <w:color w:val="000000" w:themeColor="text1"/>
                <w:sz w:val="18"/>
                <w:szCs w:val="18"/>
              </w:rPr>
              <w:t>$600</w:t>
            </w:r>
            <w:bookmarkEnd w:id="364"/>
            <w:bookmarkEnd w:id="365"/>
          </w:p>
        </w:tc>
        <w:tc>
          <w:tcPr>
            <w:tcW w:w="1207" w:type="dxa"/>
            <w:shd w:val="clear" w:color="auto" w:fill="auto"/>
            <w:noWrap/>
            <w:vAlign w:val="bottom"/>
            <w:hideMark/>
          </w:tcPr>
          <w:p w14:paraId="29B6F690"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2D13FA">
              <w:rPr>
                <w:rFonts w:ascii="Calibri" w:hAnsi="Calibri" w:cs="Calibri"/>
                <w:color w:val="000000" w:themeColor="text1"/>
                <w:sz w:val="18"/>
                <w:szCs w:val="18"/>
              </w:rPr>
              <w:t>Remove</w:t>
            </w:r>
          </w:p>
        </w:tc>
      </w:tr>
      <w:tr w:rsidR="00BC26FE" w:rsidRPr="00F662D9" w14:paraId="089220BC" w14:textId="77777777">
        <w:trPr>
          <w:trHeight w:val="300"/>
        </w:trPr>
        <w:tc>
          <w:tcPr>
            <w:tcW w:w="5524" w:type="dxa"/>
            <w:shd w:val="clear" w:color="auto" w:fill="auto"/>
            <w:noWrap/>
            <w:vAlign w:val="bottom"/>
            <w:hideMark/>
          </w:tcPr>
          <w:p w14:paraId="6E3CA7B8"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66" w:name="_Toc146546161"/>
            <w:bookmarkStart w:id="367" w:name="_Toc146552430"/>
            <w:r>
              <w:rPr>
                <w:rFonts w:ascii="Calibri" w:hAnsi="Calibri" w:cs="Calibri"/>
                <w:color w:val="000000"/>
                <w:sz w:val="18"/>
                <w:szCs w:val="18"/>
              </w:rPr>
              <w:t>TM Hearing by Written Submissions</w:t>
            </w:r>
            <w:bookmarkEnd w:id="366"/>
            <w:bookmarkEnd w:id="367"/>
          </w:p>
        </w:tc>
        <w:tc>
          <w:tcPr>
            <w:tcW w:w="1207" w:type="dxa"/>
            <w:shd w:val="clear" w:color="auto" w:fill="auto"/>
            <w:noWrap/>
            <w:vAlign w:val="bottom"/>
            <w:hideMark/>
          </w:tcPr>
          <w:p w14:paraId="27FB4325"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68" w:name="_Toc146546162"/>
            <w:bookmarkStart w:id="369" w:name="_Toc146552431"/>
            <w:r w:rsidRPr="002D13FA">
              <w:rPr>
                <w:rFonts w:ascii="Calibri" w:hAnsi="Calibri" w:cs="Calibri"/>
                <w:color w:val="000000" w:themeColor="text1"/>
                <w:sz w:val="18"/>
                <w:szCs w:val="18"/>
              </w:rPr>
              <w:t>$400</w:t>
            </w:r>
            <w:bookmarkEnd w:id="368"/>
            <w:bookmarkEnd w:id="369"/>
          </w:p>
        </w:tc>
        <w:tc>
          <w:tcPr>
            <w:tcW w:w="1207" w:type="dxa"/>
            <w:shd w:val="clear" w:color="auto" w:fill="auto"/>
            <w:noWrap/>
            <w:vAlign w:val="bottom"/>
            <w:hideMark/>
          </w:tcPr>
          <w:p w14:paraId="6D4B9B4F"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70" w:name="_Toc146546163"/>
            <w:bookmarkStart w:id="371" w:name="_Toc146552432"/>
            <w:r w:rsidRPr="002D13FA">
              <w:rPr>
                <w:rFonts w:ascii="Calibri" w:hAnsi="Calibri" w:cs="Calibri"/>
                <w:color w:val="000000" w:themeColor="text1"/>
                <w:sz w:val="18"/>
                <w:szCs w:val="18"/>
              </w:rPr>
              <w:t>$500</w:t>
            </w:r>
            <w:bookmarkEnd w:id="370"/>
            <w:bookmarkEnd w:id="371"/>
          </w:p>
        </w:tc>
      </w:tr>
      <w:tr w:rsidR="00BC26FE" w:rsidRPr="00F662D9" w14:paraId="0283C53D" w14:textId="77777777">
        <w:trPr>
          <w:trHeight w:val="300"/>
        </w:trPr>
        <w:tc>
          <w:tcPr>
            <w:tcW w:w="5524" w:type="dxa"/>
            <w:shd w:val="clear" w:color="auto" w:fill="auto"/>
            <w:noWrap/>
            <w:vAlign w:val="bottom"/>
          </w:tcPr>
          <w:p w14:paraId="68FE89A9" w14:textId="77777777" w:rsidR="00BC26FE" w:rsidRDefault="00BC26FE">
            <w:pPr>
              <w:spacing w:after="0" w:line="240" w:lineRule="auto"/>
              <w:ind w:firstLineChars="200" w:firstLine="360"/>
              <w:outlineLvl w:val="0"/>
              <w:rPr>
                <w:rFonts w:ascii="Calibri" w:hAnsi="Calibri" w:cs="Calibri"/>
                <w:color w:val="000000"/>
                <w:sz w:val="18"/>
                <w:szCs w:val="18"/>
              </w:rPr>
            </w:pPr>
            <w:r>
              <w:rPr>
                <w:rFonts w:ascii="Calibri" w:hAnsi="Calibri" w:cs="Calibri"/>
                <w:color w:val="000000"/>
                <w:sz w:val="18"/>
                <w:szCs w:val="18"/>
              </w:rPr>
              <w:t xml:space="preserve">TM Oral Hearing </w:t>
            </w:r>
          </w:p>
        </w:tc>
        <w:tc>
          <w:tcPr>
            <w:tcW w:w="1207" w:type="dxa"/>
            <w:shd w:val="clear" w:color="auto" w:fill="auto"/>
            <w:noWrap/>
            <w:vAlign w:val="bottom"/>
          </w:tcPr>
          <w:p w14:paraId="07F40F89" w14:textId="77777777" w:rsidR="00BC26FE" w:rsidRPr="002D13FA" w:rsidRDefault="00BC26FE">
            <w:pPr>
              <w:spacing w:after="0" w:line="240" w:lineRule="auto"/>
              <w:jc w:val="right"/>
              <w:outlineLvl w:val="0"/>
              <w:rPr>
                <w:rFonts w:ascii="Calibri" w:hAnsi="Calibri" w:cs="Calibri"/>
                <w:color w:val="000000" w:themeColor="text1"/>
                <w:sz w:val="18"/>
                <w:szCs w:val="18"/>
              </w:rPr>
            </w:pPr>
            <w:r>
              <w:rPr>
                <w:rFonts w:ascii="Calibri" w:hAnsi="Calibri" w:cs="Calibri"/>
                <w:color w:val="000000" w:themeColor="text1"/>
                <w:sz w:val="18"/>
                <w:szCs w:val="18"/>
              </w:rPr>
              <w:t>New Fee</w:t>
            </w:r>
          </w:p>
        </w:tc>
        <w:tc>
          <w:tcPr>
            <w:tcW w:w="1207" w:type="dxa"/>
            <w:shd w:val="clear" w:color="auto" w:fill="auto"/>
            <w:noWrap/>
            <w:vAlign w:val="bottom"/>
          </w:tcPr>
          <w:p w14:paraId="3904A6E7" w14:textId="77777777" w:rsidR="00BC26FE" w:rsidRPr="002D13FA" w:rsidRDefault="00BC26FE">
            <w:pPr>
              <w:spacing w:after="0" w:line="240" w:lineRule="auto"/>
              <w:jc w:val="right"/>
              <w:outlineLvl w:val="0"/>
              <w:rPr>
                <w:rFonts w:ascii="Calibri" w:hAnsi="Calibri" w:cs="Calibri"/>
                <w:color w:val="000000" w:themeColor="text1"/>
                <w:sz w:val="18"/>
                <w:szCs w:val="18"/>
              </w:rPr>
            </w:pPr>
            <w:r>
              <w:rPr>
                <w:rFonts w:ascii="Calibri" w:hAnsi="Calibri" w:cs="Calibri"/>
                <w:color w:val="000000" w:themeColor="text1"/>
                <w:sz w:val="18"/>
                <w:szCs w:val="18"/>
              </w:rPr>
              <w:t>$700</w:t>
            </w:r>
          </w:p>
        </w:tc>
      </w:tr>
      <w:tr w:rsidR="00BC26FE" w:rsidRPr="00F662D9" w14:paraId="50C664CB" w14:textId="77777777">
        <w:trPr>
          <w:trHeight w:val="300"/>
        </w:trPr>
        <w:tc>
          <w:tcPr>
            <w:tcW w:w="5524" w:type="dxa"/>
            <w:shd w:val="clear" w:color="auto" w:fill="auto"/>
            <w:noWrap/>
            <w:vAlign w:val="bottom"/>
          </w:tcPr>
          <w:p w14:paraId="1432560F" w14:textId="77777777" w:rsidR="00BC26FE" w:rsidRDefault="00BC26FE">
            <w:pPr>
              <w:spacing w:after="0" w:line="240" w:lineRule="auto"/>
              <w:ind w:firstLineChars="200" w:firstLine="360"/>
              <w:outlineLvl w:val="0"/>
              <w:rPr>
                <w:rFonts w:ascii="Calibri" w:hAnsi="Calibri" w:cs="Calibri"/>
                <w:color w:val="000000"/>
                <w:sz w:val="18"/>
                <w:szCs w:val="18"/>
              </w:rPr>
            </w:pPr>
            <w:r>
              <w:rPr>
                <w:rFonts w:ascii="Calibri" w:hAnsi="Calibri" w:cs="Calibri"/>
                <w:color w:val="000000"/>
                <w:sz w:val="18"/>
                <w:szCs w:val="18"/>
              </w:rPr>
              <w:t>TM Oral Hearing Additional Day</w:t>
            </w:r>
          </w:p>
        </w:tc>
        <w:tc>
          <w:tcPr>
            <w:tcW w:w="1207" w:type="dxa"/>
            <w:shd w:val="clear" w:color="auto" w:fill="auto"/>
            <w:noWrap/>
            <w:vAlign w:val="bottom"/>
          </w:tcPr>
          <w:p w14:paraId="6A1C26F6" w14:textId="77777777" w:rsidR="00BC26FE" w:rsidRDefault="00BC26FE">
            <w:pPr>
              <w:spacing w:after="0" w:line="240" w:lineRule="auto"/>
              <w:jc w:val="right"/>
              <w:outlineLvl w:val="0"/>
              <w:rPr>
                <w:rFonts w:ascii="Calibri" w:hAnsi="Calibri" w:cs="Calibri"/>
                <w:color w:val="000000" w:themeColor="text1"/>
                <w:sz w:val="18"/>
                <w:szCs w:val="18"/>
              </w:rPr>
            </w:pPr>
            <w:r>
              <w:rPr>
                <w:rFonts w:ascii="Calibri" w:hAnsi="Calibri" w:cs="Calibri"/>
                <w:color w:val="000000" w:themeColor="text1"/>
                <w:sz w:val="18"/>
                <w:szCs w:val="18"/>
              </w:rPr>
              <w:t>New Fee</w:t>
            </w:r>
          </w:p>
        </w:tc>
        <w:tc>
          <w:tcPr>
            <w:tcW w:w="1207" w:type="dxa"/>
            <w:shd w:val="clear" w:color="auto" w:fill="auto"/>
            <w:noWrap/>
            <w:vAlign w:val="bottom"/>
          </w:tcPr>
          <w:p w14:paraId="550F8DF9" w14:textId="77777777" w:rsidR="00BC26FE" w:rsidRDefault="00BC26FE">
            <w:pPr>
              <w:spacing w:after="0" w:line="240" w:lineRule="auto"/>
              <w:jc w:val="right"/>
              <w:outlineLvl w:val="0"/>
              <w:rPr>
                <w:rFonts w:ascii="Calibri" w:hAnsi="Calibri" w:cs="Calibri"/>
                <w:color w:val="000000" w:themeColor="text1"/>
                <w:sz w:val="18"/>
                <w:szCs w:val="18"/>
              </w:rPr>
            </w:pPr>
            <w:r>
              <w:rPr>
                <w:rFonts w:ascii="Calibri" w:hAnsi="Calibri" w:cs="Calibri"/>
                <w:color w:val="000000" w:themeColor="text1"/>
                <w:sz w:val="18"/>
                <w:szCs w:val="18"/>
              </w:rPr>
              <w:t>$700</w:t>
            </w:r>
          </w:p>
        </w:tc>
      </w:tr>
      <w:tr w:rsidR="00BC26FE" w:rsidRPr="00F662D9" w14:paraId="184FC721" w14:textId="77777777">
        <w:trPr>
          <w:trHeight w:val="300"/>
        </w:trPr>
        <w:tc>
          <w:tcPr>
            <w:tcW w:w="5524" w:type="dxa"/>
            <w:shd w:val="clear" w:color="auto" w:fill="auto"/>
            <w:noWrap/>
            <w:vAlign w:val="bottom"/>
            <w:hideMark/>
          </w:tcPr>
          <w:p w14:paraId="6615A9B1" w14:textId="77777777" w:rsidR="00BC26FE" w:rsidRPr="00F662D9" w:rsidRDefault="00BC26FE">
            <w:pPr>
              <w:spacing w:after="0" w:line="240" w:lineRule="auto"/>
              <w:ind w:firstLineChars="200" w:firstLine="360"/>
              <w:outlineLvl w:val="0"/>
              <w:rPr>
                <w:rFonts w:ascii="Calibri" w:hAnsi="Calibri" w:cs="Calibri"/>
                <w:color w:val="000000"/>
                <w:sz w:val="18"/>
                <w:szCs w:val="18"/>
              </w:rPr>
            </w:pPr>
            <w:r>
              <w:rPr>
                <w:rFonts w:ascii="Calibri" w:hAnsi="Calibri" w:cs="Calibri"/>
                <w:color w:val="000000"/>
                <w:sz w:val="18"/>
                <w:szCs w:val="18"/>
              </w:rPr>
              <w:t>Request a Hearing</w:t>
            </w:r>
          </w:p>
        </w:tc>
        <w:tc>
          <w:tcPr>
            <w:tcW w:w="1207" w:type="dxa"/>
            <w:shd w:val="clear" w:color="auto" w:fill="auto"/>
            <w:noWrap/>
            <w:vAlign w:val="bottom"/>
            <w:hideMark/>
          </w:tcPr>
          <w:p w14:paraId="681BE55B"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72" w:name="_Toc146546165"/>
            <w:bookmarkStart w:id="373" w:name="_Toc146552434"/>
            <w:r w:rsidRPr="002D13FA">
              <w:rPr>
                <w:rFonts w:ascii="Calibri" w:hAnsi="Calibri" w:cs="Calibri"/>
                <w:color w:val="000000" w:themeColor="text1"/>
                <w:sz w:val="18"/>
                <w:szCs w:val="18"/>
              </w:rPr>
              <w:t>$400</w:t>
            </w:r>
            <w:bookmarkEnd w:id="372"/>
            <w:bookmarkEnd w:id="373"/>
          </w:p>
        </w:tc>
        <w:tc>
          <w:tcPr>
            <w:tcW w:w="1207" w:type="dxa"/>
            <w:shd w:val="clear" w:color="auto" w:fill="auto"/>
            <w:noWrap/>
            <w:vAlign w:val="bottom"/>
            <w:hideMark/>
          </w:tcPr>
          <w:p w14:paraId="113AD025"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74" w:name="_Toc146546166"/>
            <w:bookmarkStart w:id="375" w:name="_Toc146552435"/>
            <w:r w:rsidRPr="002D13FA">
              <w:rPr>
                <w:rFonts w:ascii="Calibri" w:hAnsi="Calibri" w:cs="Calibri"/>
                <w:color w:val="000000" w:themeColor="text1"/>
                <w:sz w:val="18"/>
                <w:szCs w:val="18"/>
              </w:rPr>
              <w:t>Remove</w:t>
            </w:r>
            <w:bookmarkEnd w:id="374"/>
            <w:bookmarkEnd w:id="375"/>
          </w:p>
        </w:tc>
      </w:tr>
      <w:tr w:rsidR="00BC26FE" w:rsidRPr="00F662D9" w14:paraId="3F454B2E" w14:textId="77777777">
        <w:trPr>
          <w:trHeight w:val="300"/>
        </w:trPr>
        <w:tc>
          <w:tcPr>
            <w:tcW w:w="5524" w:type="dxa"/>
            <w:shd w:val="clear" w:color="auto" w:fill="auto"/>
            <w:noWrap/>
            <w:vAlign w:val="bottom"/>
            <w:hideMark/>
          </w:tcPr>
          <w:p w14:paraId="4796EC7E" w14:textId="77777777" w:rsidR="00BC26FE" w:rsidRPr="00F86F73" w:rsidRDefault="00BC26FE">
            <w:pPr>
              <w:spacing w:after="0" w:line="240" w:lineRule="auto"/>
              <w:ind w:firstLineChars="200" w:firstLine="360"/>
              <w:outlineLvl w:val="0"/>
              <w:rPr>
                <w:rFonts w:ascii="Calibri" w:eastAsia="Times New Roman" w:hAnsi="Calibri" w:cs="Calibri"/>
                <w:color w:val="0070C0"/>
                <w:sz w:val="18"/>
                <w:szCs w:val="18"/>
                <w:lang w:eastAsia="en-AU"/>
              </w:rPr>
            </w:pPr>
            <w:bookmarkStart w:id="376" w:name="_Toc146546173"/>
            <w:bookmarkStart w:id="377" w:name="_Toc146552442"/>
            <w:r w:rsidRPr="00F86F73">
              <w:rPr>
                <w:rFonts w:ascii="Calibri" w:hAnsi="Calibri" w:cs="Calibri"/>
                <w:color w:val="000000"/>
                <w:sz w:val="18"/>
                <w:szCs w:val="18"/>
              </w:rPr>
              <w:t>Opposition Grounds above threshold - National (fee per grounds)</w:t>
            </w:r>
            <w:bookmarkEnd w:id="376"/>
            <w:bookmarkEnd w:id="377"/>
          </w:p>
        </w:tc>
        <w:tc>
          <w:tcPr>
            <w:tcW w:w="1207" w:type="dxa"/>
            <w:shd w:val="clear" w:color="auto" w:fill="auto"/>
            <w:noWrap/>
            <w:vAlign w:val="bottom"/>
            <w:hideMark/>
          </w:tcPr>
          <w:p w14:paraId="03FB7DC3"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78" w:name="_Toc146546174"/>
            <w:bookmarkStart w:id="379" w:name="_Toc146552443"/>
            <w:r>
              <w:rPr>
                <w:rFonts w:ascii="Calibri" w:eastAsia="Times New Roman" w:hAnsi="Calibri" w:cs="Calibri"/>
                <w:color w:val="000000" w:themeColor="text1"/>
                <w:sz w:val="18"/>
                <w:szCs w:val="18"/>
                <w:lang w:eastAsia="en-AU"/>
              </w:rPr>
              <w:t>New Fee</w:t>
            </w:r>
            <w:bookmarkEnd w:id="378"/>
            <w:bookmarkEnd w:id="379"/>
          </w:p>
        </w:tc>
        <w:tc>
          <w:tcPr>
            <w:tcW w:w="1207" w:type="dxa"/>
            <w:shd w:val="clear" w:color="auto" w:fill="auto"/>
            <w:noWrap/>
            <w:vAlign w:val="bottom"/>
            <w:hideMark/>
          </w:tcPr>
          <w:p w14:paraId="6214491A"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80" w:name="_Toc146546175"/>
            <w:bookmarkStart w:id="381" w:name="_Toc146552444"/>
            <w:r w:rsidRPr="002D13FA">
              <w:rPr>
                <w:rFonts w:ascii="Calibri" w:hAnsi="Calibri" w:cs="Calibri"/>
                <w:color w:val="000000" w:themeColor="text1"/>
                <w:sz w:val="18"/>
                <w:szCs w:val="18"/>
              </w:rPr>
              <w:t>$250</w:t>
            </w:r>
            <w:bookmarkEnd w:id="380"/>
            <w:bookmarkEnd w:id="381"/>
          </w:p>
        </w:tc>
      </w:tr>
      <w:tr w:rsidR="00BC26FE" w:rsidRPr="00F662D9" w14:paraId="0DC7D33F" w14:textId="77777777">
        <w:trPr>
          <w:trHeight w:val="300"/>
        </w:trPr>
        <w:tc>
          <w:tcPr>
            <w:tcW w:w="5524" w:type="dxa"/>
            <w:shd w:val="clear" w:color="auto" w:fill="auto"/>
            <w:noWrap/>
            <w:vAlign w:val="bottom"/>
            <w:hideMark/>
          </w:tcPr>
          <w:p w14:paraId="6061EA4B" w14:textId="77777777" w:rsidR="00BC26FE" w:rsidRPr="00F86F73"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82" w:name="_Toc146546176"/>
            <w:bookmarkStart w:id="383" w:name="_Toc146552445"/>
            <w:r w:rsidRPr="00F86F73">
              <w:rPr>
                <w:rFonts w:ascii="Calibri" w:hAnsi="Calibri" w:cs="Calibri"/>
                <w:color w:val="000000"/>
                <w:sz w:val="18"/>
                <w:szCs w:val="18"/>
              </w:rPr>
              <w:t>Opposition Grounds above threshold - IRDA (fee per grounds)</w:t>
            </w:r>
            <w:bookmarkEnd w:id="382"/>
            <w:bookmarkEnd w:id="383"/>
          </w:p>
        </w:tc>
        <w:tc>
          <w:tcPr>
            <w:tcW w:w="1207" w:type="dxa"/>
            <w:shd w:val="clear" w:color="auto" w:fill="auto"/>
            <w:noWrap/>
            <w:vAlign w:val="bottom"/>
            <w:hideMark/>
          </w:tcPr>
          <w:p w14:paraId="27661D22"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84" w:name="_Toc146546177"/>
            <w:bookmarkStart w:id="385" w:name="_Toc146552446"/>
            <w:r>
              <w:rPr>
                <w:rFonts w:ascii="Calibri" w:eastAsia="Times New Roman" w:hAnsi="Calibri" w:cs="Calibri"/>
                <w:color w:val="000000" w:themeColor="text1"/>
                <w:sz w:val="18"/>
                <w:szCs w:val="18"/>
                <w:lang w:eastAsia="en-AU"/>
              </w:rPr>
              <w:t>New Fee</w:t>
            </w:r>
            <w:bookmarkEnd w:id="384"/>
            <w:bookmarkEnd w:id="385"/>
          </w:p>
        </w:tc>
        <w:tc>
          <w:tcPr>
            <w:tcW w:w="1207" w:type="dxa"/>
            <w:shd w:val="clear" w:color="auto" w:fill="auto"/>
            <w:noWrap/>
            <w:vAlign w:val="bottom"/>
            <w:hideMark/>
          </w:tcPr>
          <w:p w14:paraId="13786BAF"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86" w:name="_Toc146546178"/>
            <w:bookmarkStart w:id="387" w:name="_Toc146552447"/>
            <w:r w:rsidRPr="002D13FA">
              <w:rPr>
                <w:rFonts w:ascii="Calibri" w:hAnsi="Calibri" w:cs="Calibri"/>
                <w:color w:val="000000" w:themeColor="text1"/>
                <w:sz w:val="18"/>
                <w:szCs w:val="18"/>
              </w:rPr>
              <w:t>$250</w:t>
            </w:r>
            <w:bookmarkEnd w:id="386"/>
            <w:bookmarkEnd w:id="387"/>
          </w:p>
        </w:tc>
      </w:tr>
      <w:tr w:rsidR="00BC26FE" w:rsidRPr="00F662D9" w14:paraId="7FFBE3BC" w14:textId="77777777">
        <w:trPr>
          <w:trHeight w:val="300"/>
        </w:trPr>
        <w:tc>
          <w:tcPr>
            <w:tcW w:w="5524" w:type="dxa"/>
            <w:shd w:val="clear" w:color="auto" w:fill="auto"/>
            <w:noWrap/>
            <w:vAlign w:val="bottom"/>
            <w:hideMark/>
          </w:tcPr>
          <w:p w14:paraId="45FFD3FB" w14:textId="77777777" w:rsidR="00BC26FE" w:rsidRPr="00F86F73"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88" w:name="_Toc146546179"/>
            <w:bookmarkStart w:id="389" w:name="_Toc146552448"/>
            <w:r w:rsidRPr="00F86F73">
              <w:rPr>
                <w:rFonts w:ascii="Calibri" w:hAnsi="Calibri" w:cs="Calibri"/>
                <w:color w:val="000000"/>
                <w:sz w:val="18"/>
                <w:szCs w:val="18"/>
              </w:rPr>
              <w:t>Request for consideration of out of time evidence</w:t>
            </w:r>
            <w:bookmarkEnd w:id="388"/>
            <w:bookmarkEnd w:id="389"/>
          </w:p>
        </w:tc>
        <w:tc>
          <w:tcPr>
            <w:tcW w:w="1207" w:type="dxa"/>
            <w:shd w:val="clear" w:color="auto" w:fill="auto"/>
            <w:noWrap/>
            <w:vAlign w:val="bottom"/>
            <w:hideMark/>
          </w:tcPr>
          <w:p w14:paraId="02741197"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90" w:name="_Toc146546180"/>
            <w:bookmarkStart w:id="391" w:name="_Toc146552449"/>
            <w:r>
              <w:rPr>
                <w:rFonts w:ascii="Calibri" w:eastAsia="Times New Roman" w:hAnsi="Calibri" w:cs="Calibri"/>
                <w:color w:val="000000" w:themeColor="text1"/>
                <w:sz w:val="18"/>
                <w:szCs w:val="18"/>
                <w:lang w:eastAsia="en-AU"/>
              </w:rPr>
              <w:t>New Fee</w:t>
            </w:r>
            <w:bookmarkEnd w:id="390"/>
            <w:bookmarkEnd w:id="391"/>
          </w:p>
        </w:tc>
        <w:tc>
          <w:tcPr>
            <w:tcW w:w="1207" w:type="dxa"/>
            <w:shd w:val="clear" w:color="auto" w:fill="auto"/>
            <w:noWrap/>
            <w:vAlign w:val="bottom"/>
            <w:hideMark/>
          </w:tcPr>
          <w:p w14:paraId="39D37352"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392" w:name="_Toc146546181"/>
            <w:bookmarkStart w:id="393" w:name="_Toc146552450"/>
            <w:r w:rsidRPr="002D13FA">
              <w:rPr>
                <w:rFonts w:ascii="Calibri" w:hAnsi="Calibri" w:cs="Calibri"/>
                <w:color w:val="000000" w:themeColor="text1"/>
                <w:sz w:val="18"/>
                <w:szCs w:val="18"/>
              </w:rPr>
              <w:t>$500</w:t>
            </w:r>
            <w:bookmarkEnd w:id="392"/>
            <w:bookmarkEnd w:id="393"/>
          </w:p>
        </w:tc>
      </w:tr>
    </w:tbl>
    <w:p w14:paraId="5824CC7E" w14:textId="77777777" w:rsidR="00965C6C" w:rsidRDefault="00965C6C"/>
    <w:tbl>
      <w:tblPr>
        <w:tblW w:w="793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24"/>
        <w:gridCol w:w="1207"/>
        <w:gridCol w:w="1207"/>
      </w:tblGrid>
      <w:tr w:rsidR="00BC26FE" w:rsidRPr="00FE42BF" w14:paraId="3605B534" w14:textId="77777777">
        <w:trPr>
          <w:trHeight w:val="283"/>
        </w:trPr>
        <w:tc>
          <w:tcPr>
            <w:tcW w:w="5524" w:type="dxa"/>
            <w:tcBorders>
              <w:top w:val="single" w:sz="4" w:space="0" w:color="auto"/>
              <w:bottom w:val="single" w:sz="4" w:space="0" w:color="auto"/>
            </w:tcBorders>
            <w:shd w:val="clear" w:color="000000" w:fill="C5D9F1"/>
            <w:noWrap/>
            <w:vAlign w:val="bottom"/>
            <w:hideMark/>
          </w:tcPr>
          <w:p w14:paraId="7D5C970F" w14:textId="77777777" w:rsidR="00BC26FE" w:rsidRPr="00FE42BF" w:rsidRDefault="00BC26FE">
            <w:pPr>
              <w:spacing w:after="0" w:line="240" w:lineRule="auto"/>
              <w:outlineLvl w:val="0"/>
              <w:rPr>
                <w:rFonts w:ascii="Calibri" w:eastAsia="Times New Roman" w:hAnsi="Calibri" w:cs="Calibri"/>
                <w:b/>
                <w:bCs/>
                <w:color w:val="0070C0"/>
                <w:sz w:val="20"/>
                <w:szCs w:val="20"/>
                <w:lang w:eastAsia="en-AU"/>
              </w:rPr>
            </w:pPr>
            <w:bookmarkStart w:id="394" w:name="_Toc146546182"/>
            <w:bookmarkStart w:id="395" w:name="_Toc146552451"/>
            <w:r w:rsidRPr="00FE42BF">
              <w:rPr>
                <w:rFonts w:ascii="Calibri" w:eastAsia="Times New Roman" w:hAnsi="Calibri" w:cs="Calibri"/>
                <w:b/>
                <w:bCs/>
                <w:color w:val="000000" w:themeColor="text1"/>
                <w:sz w:val="20"/>
                <w:szCs w:val="20"/>
                <w:lang w:eastAsia="en-AU"/>
              </w:rPr>
              <w:t>Design Fees</w:t>
            </w:r>
            <w:bookmarkEnd w:id="394"/>
            <w:bookmarkEnd w:id="395"/>
          </w:p>
        </w:tc>
        <w:tc>
          <w:tcPr>
            <w:tcW w:w="1207" w:type="dxa"/>
            <w:tcBorders>
              <w:top w:val="single" w:sz="4" w:space="0" w:color="auto"/>
              <w:bottom w:val="single" w:sz="4" w:space="0" w:color="auto"/>
            </w:tcBorders>
            <w:shd w:val="clear" w:color="000000" w:fill="C5D9F1"/>
            <w:noWrap/>
            <w:vAlign w:val="bottom"/>
            <w:hideMark/>
          </w:tcPr>
          <w:p w14:paraId="641C0CB7" w14:textId="77777777" w:rsidR="00BC26FE" w:rsidRPr="00FE42BF" w:rsidRDefault="00BC26FE">
            <w:pPr>
              <w:spacing w:after="0" w:line="240" w:lineRule="auto"/>
              <w:jc w:val="right"/>
              <w:outlineLvl w:val="0"/>
              <w:rPr>
                <w:rFonts w:ascii="Calibri" w:eastAsia="Times New Roman" w:hAnsi="Calibri" w:cs="Calibri"/>
                <w:b/>
                <w:bCs/>
                <w:color w:val="000000"/>
                <w:sz w:val="20"/>
                <w:szCs w:val="20"/>
                <w:lang w:eastAsia="en-AU"/>
              </w:rPr>
            </w:pPr>
            <w:r w:rsidRPr="00FE42BF">
              <w:rPr>
                <w:rFonts w:ascii="Calibri" w:eastAsia="Times New Roman" w:hAnsi="Calibri" w:cs="Calibri"/>
                <w:b/>
                <w:bCs/>
                <w:color w:val="000000" w:themeColor="text1"/>
                <w:sz w:val="20"/>
                <w:szCs w:val="20"/>
                <w:lang w:eastAsia="en-AU"/>
              </w:rPr>
              <w:t> Old Fee</w:t>
            </w:r>
          </w:p>
        </w:tc>
        <w:tc>
          <w:tcPr>
            <w:tcW w:w="1207" w:type="dxa"/>
            <w:tcBorders>
              <w:top w:val="single" w:sz="4" w:space="0" w:color="auto"/>
              <w:bottom w:val="single" w:sz="4" w:space="0" w:color="auto"/>
            </w:tcBorders>
            <w:shd w:val="clear" w:color="000000" w:fill="C5D9F1"/>
            <w:noWrap/>
            <w:vAlign w:val="bottom"/>
            <w:hideMark/>
          </w:tcPr>
          <w:p w14:paraId="2320A279" w14:textId="77777777" w:rsidR="00BC26FE" w:rsidRPr="00FE42BF" w:rsidRDefault="00BC26FE">
            <w:pPr>
              <w:spacing w:after="0" w:line="240" w:lineRule="auto"/>
              <w:jc w:val="right"/>
              <w:outlineLvl w:val="0"/>
              <w:rPr>
                <w:rFonts w:ascii="Calibri" w:eastAsia="Times New Roman" w:hAnsi="Calibri" w:cs="Calibri"/>
                <w:b/>
                <w:bCs/>
                <w:color w:val="000000" w:themeColor="text1"/>
                <w:sz w:val="20"/>
                <w:szCs w:val="20"/>
                <w:lang w:eastAsia="en-AU"/>
              </w:rPr>
            </w:pPr>
            <w:r w:rsidRPr="00FE42BF">
              <w:rPr>
                <w:rFonts w:ascii="Calibri" w:eastAsia="Times New Roman" w:hAnsi="Calibri" w:cs="Calibri"/>
                <w:b/>
                <w:bCs/>
                <w:color w:val="000000" w:themeColor="text1"/>
                <w:sz w:val="20"/>
                <w:szCs w:val="20"/>
                <w:lang w:eastAsia="en-AU"/>
              </w:rPr>
              <w:t>New Fee </w:t>
            </w:r>
          </w:p>
        </w:tc>
      </w:tr>
      <w:tr w:rsidR="00BC26FE" w:rsidRPr="00153E10" w14:paraId="104EF8BC" w14:textId="77777777">
        <w:trPr>
          <w:trHeight w:val="283"/>
        </w:trPr>
        <w:tc>
          <w:tcPr>
            <w:tcW w:w="5524" w:type="dxa"/>
            <w:tcBorders>
              <w:top w:val="single" w:sz="4" w:space="0" w:color="auto"/>
            </w:tcBorders>
            <w:shd w:val="clear" w:color="000000" w:fill="D9D9D9"/>
            <w:noWrap/>
            <w:vAlign w:val="bottom"/>
            <w:hideMark/>
          </w:tcPr>
          <w:p w14:paraId="14055D0A" w14:textId="77777777" w:rsidR="00BC26FE" w:rsidRPr="00AB7D56" w:rsidRDefault="00BC26FE">
            <w:pPr>
              <w:spacing w:after="0" w:line="240" w:lineRule="auto"/>
              <w:ind w:firstLineChars="100" w:firstLine="180"/>
              <w:outlineLvl w:val="0"/>
              <w:rPr>
                <w:rFonts w:ascii="Calibri" w:eastAsia="Times New Roman" w:hAnsi="Calibri" w:cs="Calibri"/>
                <w:color w:val="1F3864" w:themeColor="accent1" w:themeShade="80"/>
                <w:sz w:val="18"/>
                <w:szCs w:val="18"/>
                <w:lang w:eastAsia="en-AU"/>
              </w:rPr>
            </w:pPr>
            <w:bookmarkStart w:id="396" w:name="_Toc146546183"/>
            <w:bookmarkStart w:id="397" w:name="_Toc146552452"/>
            <w:r w:rsidRPr="00AB7D56">
              <w:rPr>
                <w:rFonts w:ascii="Calibri" w:eastAsia="Times New Roman" w:hAnsi="Calibri" w:cs="Calibri"/>
                <w:color w:val="1F3864" w:themeColor="accent1" w:themeShade="80"/>
                <w:sz w:val="18"/>
                <w:szCs w:val="18"/>
                <w:lang w:eastAsia="en-AU"/>
              </w:rPr>
              <w:t>Change to Design Application fees</w:t>
            </w:r>
            <w:bookmarkEnd w:id="396"/>
            <w:bookmarkEnd w:id="397"/>
          </w:p>
        </w:tc>
        <w:tc>
          <w:tcPr>
            <w:tcW w:w="1207" w:type="dxa"/>
            <w:tcBorders>
              <w:top w:val="single" w:sz="4" w:space="0" w:color="auto"/>
            </w:tcBorders>
            <w:shd w:val="clear" w:color="000000" w:fill="D9D9D9"/>
            <w:noWrap/>
            <w:vAlign w:val="bottom"/>
            <w:hideMark/>
          </w:tcPr>
          <w:p w14:paraId="2CCF179C"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tcBorders>
              <w:top w:val="single" w:sz="4" w:space="0" w:color="auto"/>
            </w:tcBorders>
            <w:shd w:val="clear" w:color="000000" w:fill="D9D9D9"/>
            <w:noWrap/>
            <w:vAlign w:val="bottom"/>
            <w:hideMark/>
          </w:tcPr>
          <w:p w14:paraId="1FC98062" w14:textId="77777777" w:rsidR="00BC26FE" w:rsidRPr="00F662D9" w:rsidRDefault="00BC26FE">
            <w:pPr>
              <w:spacing w:after="0" w:line="240" w:lineRule="auto"/>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 </w:t>
            </w:r>
          </w:p>
        </w:tc>
      </w:tr>
      <w:tr w:rsidR="00BC26FE" w:rsidRPr="00F662D9" w14:paraId="762BDFAA" w14:textId="77777777">
        <w:trPr>
          <w:trHeight w:val="397"/>
        </w:trPr>
        <w:tc>
          <w:tcPr>
            <w:tcW w:w="5524" w:type="dxa"/>
            <w:shd w:val="clear" w:color="auto" w:fill="auto"/>
            <w:noWrap/>
            <w:vAlign w:val="bottom"/>
            <w:hideMark/>
          </w:tcPr>
          <w:p w14:paraId="40A90290"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398" w:name="_Toc146546184"/>
            <w:bookmarkStart w:id="399" w:name="_Toc146552453"/>
            <w:r>
              <w:rPr>
                <w:rFonts w:ascii="Calibri" w:hAnsi="Calibri" w:cs="Calibri"/>
                <w:color w:val="000000"/>
                <w:sz w:val="18"/>
                <w:szCs w:val="18"/>
              </w:rPr>
              <w:t>Olympic Design Application</w:t>
            </w:r>
            <w:bookmarkEnd w:id="398"/>
            <w:bookmarkEnd w:id="399"/>
          </w:p>
        </w:tc>
        <w:tc>
          <w:tcPr>
            <w:tcW w:w="1207" w:type="dxa"/>
            <w:shd w:val="clear" w:color="auto" w:fill="auto"/>
            <w:noWrap/>
            <w:vAlign w:val="bottom"/>
            <w:hideMark/>
          </w:tcPr>
          <w:p w14:paraId="2ED425FB"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00" w:name="_Toc146546185"/>
            <w:bookmarkStart w:id="401" w:name="_Toc146552454"/>
            <w:r>
              <w:rPr>
                <w:rFonts w:ascii="Calibri" w:hAnsi="Calibri" w:cs="Calibri"/>
                <w:color w:val="000000"/>
                <w:sz w:val="18"/>
                <w:szCs w:val="18"/>
              </w:rPr>
              <w:t>$450</w:t>
            </w:r>
            <w:bookmarkEnd w:id="400"/>
            <w:bookmarkEnd w:id="401"/>
          </w:p>
        </w:tc>
        <w:tc>
          <w:tcPr>
            <w:tcW w:w="1207" w:type="dxa"/>
            <w:shd w:val="clear" w:color="auto" w:fill="auto"/>
            <w:noWrap/>
            <w:vAlign w:val="bottom"/>
            <w:hideMark/>
          </w:tcPr>
          <w:p w14:paraId="1BC1D598"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02" w:name="_Toc146546186"/>
            <w:bookmarkStart w:id="403" w:name="_Toc146552455"/>
            <w:r w:rsidRPr="000D7EAC">
              <w:rPr>
                <w:rFonts w:ascii="Calibri" w:hAnsi="Calibri" w:cs="Calibri"/>
                <w:color w:val="000000" w:themeColor="text1"/>
                <w:sz w:val="18"/>
                <w:szCs w:val="18"/>
              </w:rPr>
              <w:t>$400</w:t>
            </w:r>
            <w:bookmarkEnd w:id="402"/>
            <w:bookmarkEnd w:id="403"/>
          </w:p>
        </w:tc>
      </w:tr>
      <w:tr w:rsidR="00BC26FE" w:rsidRPr="00F662D9" w14:paraId="0C5A4978" w14:textId="77777777">
        <w:trPr>
          <w:trHeight w:val="397"/>
        </w:trPr>
        <w:tc>
          <w:tcPr>
            <w:tcW w:w="5524" w:type="dxa"/>
            <w:shd w:val="clear" w:color="auto" w:fill="auto"/>
            <w:noWrap/>
            <w:vAlign w:val="bottom"/>
          </w:tcPr>
          <w:p w14:paraId="0C30667C" w14:textId="77777777" w:rsidR="00BC26FE" w:rsidRDefault="00BC26FE">
            <w:pPr>
              <w:spacing w:after="0" w:line="240" w:lineRule="auto"/>
              <w:ind w:firstLineChars="200" w:firstLine="360"/>
              <w:outlineLvl w:val="0"/>
              <w:rPr>
                <w:rFonts w:ascii="Calibri" w:hAnsi="Calibri" w:cs="Calibri"/>
                <w:color w:val="000000"/>
                <w:sz w:val="18"/>
                <w:szCs w:val="18"/>
              </w:rPr>
            </w:pPr>
            <w:bookmarkStart w:id="404" w:name="_Toc146546190"/>
            <w:bookmarkStart w:id="405" w:name="_Toc146552459"/>
            <w:r>
              <w:rPr>
                <w:rFonts w:ascii="Calibri" w:hAnsi="Calibri" w:cs="Calibri"/>
                <w:color w:val="000000"/>
                <w:sz w:val="18"/>
                <w:szCs w:val="18"/>
              </w:rPr>
              <w:t>New Design Application (by preferred means)</w:t>
            </w:r>
            <w:bookmarkEnd w:id="404"/>
            <w:bookmarkEnd w:id="405"/>
          </w:p>
        </w:tc>
        <w:tc>
          <w:tcPr>
            <w:tcW w:w="1207" w:type="dxa"/>
            <w:shd w:val="clear" w:color="auto" w:fill="auto"/>
            <w:noWrap/>
            <w:vAlign w:val="bottom"/>
          </w:tcPr>
          <w:p w14:paraId="37D861EA" w14:textId="77777777" w:rsidR="00BC26FE" w:rsidRDefault="00BC26FE">
            <w:pPr>
              <w:spacing w:after="0" w:line="240" w:lineRule="auto"/>
              <w:jc w:val="right"/>
              <w:outlineLvl w:val="0"/>
              <w:rPr>
                <w:rFonts w:ascii="Calibri" w:hAnsi="Calibri" w:cs="Calibri"/>
                <w:color w:val="000000"/>
                <w:sz w:val="18"/>
                <w:szCs w:val="18"/>
              </w:rPr>
            </w:pPr>
            <w:bookmarkStart w:id="406" w:name="_Toc146546191"/>
            <w:bookmarkStart w:id="407" w:name="_Toc146552460"/>
            <w:r>
              <w:rPr>
                <w:rFonts w:ascii="Calibri" w:hAnsi="Calibri" w:cs="Calibri"/>
                <w:color w:val="000000"/>
                <w:sz w:val="18"/>
                <w:szCs w:val="18"/>
              </w:rPr>
              <w:t>$250</w:t>
            </w:r>
            <w:bookmarkEnd w:id="406"/>
            <w:bookmarkEnd w:id="407"/>
          </w:p>
        </w:tc>
        <w:tc>
          <w:tcPr>
            <w:tcW w:w="1207" w:type="dxa"/>
            <w:shd w:val="clear" w:color="auto" w:fill="auto"/>
            <w:noWrap/>
            <w:vAlign w:val="bottom"/>
          </w:tcPr>
          <w:p w14:paraId="033110B3" w14:textId="77777777" w:rsidR="00BC26FE" w:rsidRPr="000D7EAC" w:rsidRDefault="00BC26FE">
            <w:pPr>
              <w:spacing w:after="0" w:line="240" w:lineRule="auto"/>
              <w:jc w:val="right"/>
              <w:outlineLvl w:val="0"/>
              <w:rPr>
                <w:rFonts w:ascii="Calibri" w:hAnsi="Calibri" w:cs="Calibri"/>
                <w:color w:val="000000" w:themeColor="text1"/>
                <w:sz w:val="18"/>
                <w:szCs w:val="18"/>
              </w:rPr>
            </w:pPr>
            <w:bookmarkStart w:id="408" w:name="_Toc146546192"/>
            <w:bookmarkStart w:id="409" w:name="_Toc146552461"/>
            <w:r w:rsidRPr="000D7EAC">
              <w:rPr>
                <w:rFonts w:ascii="Calibri" w:hAnsi="Calibri" w:cs="Calibri"/>
                <w:color w:val="000000" w:themeColor="text1"/>
                <w:sz w:val="18"/>
                <w:szCs w:val="18"/>
              </w:rPr>
              <w:t>$200</w:t>
            </w:r>
            <w:bookmarkEnd w:id="408"/>
            <w:bookmarkEnd w:id="409"/>
          </w:p>
        </w:tc>
      </w:tr>
      <w:tr w:rsidR="00BC26FE" w:rsidRPr="00F662D9" w14:paraId="66DD4DCB" w14:textId="77777777">
        <w:trPr>
          <w:trHeight w:val="397"/>
        </w:trPr>
        <w:tc>
          <w:tcPr>
            <w:tcW w:w="5524" w:type="dxa"/>
            <w:shd w:val="clear" w:color="auto" w:fill="auto"/>
            <w:noWrap/>
            <w:vAlign w:val="bottom"/>
            <w:hideMark/>
          </w:tcPr>
          <w:p w14:paraId="7EC13B09"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410" w:name="_Toc146546187"/>
            <w:bookmarkStart w:id="411" w:name="_Toc146552456"/>
            <w:r>
              <w:rPr>
                <w:rFonts w:ascii="Calibri" w:hAnsi="Calibri" w:cs="Calibri"/>
                <w:color w:val="000000"/>
                <w:sz w:val="18"/>
                <w:szCs w:val="18"/>
              </w:rPr>
              <w:t>New Design Application</w:t>
            </w:r>
            <w:bookmarkEnd w:id="410"/>
            <w:bookmarkEnd w:id="411"/>
            <w:r>
              <w:rPr>
                <w:rFonts w:ascii="Calibri" w:hAnsi="Calibri" w:cs="Calibri"/>
                <w:color w:val="000000"/>
                <w:sz w:val="18"/>
                <w:szCs w:val="18"/>
              </w:rPr>
              <w:t xml:space="preserve"> (by another means)</w:t>
            </w:r>
          </w:p>
        </w:tc>
        <w:tc>
          <w:tcPr>
            <w:tcW w:w="1207" w:type="dxa"/>
            <w:shd w:val="clear" w:color="auto" w:fill="auto"/>
            <w:noWrap/>
            <w:vAlign w:val="bottom"/>
            <w:hideMark/>
          </w:tcPr>
          <w:p w14:paraId="5602D32D"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12" w:name="_Toc146546188"/>
            <w:bookmarkStart w:id="413" w:name="_Toc146552457"/>
            <w:r>
              <w:rPr>
                <w:rFonts w:ascii="Calibri" w:hAnsi="Calibri" w:cs="Calibri"/>
                <w:color w:val="000000"/>
                <w:sz w:val="18"/>
                <w:szCs w:val="18"/>
              </w:rPr>
              <w:t>$450</w:t>
            </w:r>
            <w:bookmarkEnd w:id="412"/>
            <w:bookmarkEnd w:id="413"/>
          </w:p>
        </w:tc>
        <w:tc>
          <w:tcPr>
            <w:tcW w:w="1207" w:type="dxa"/>
            <w:shd w:val="clear" w:color="auto" w:fill="auto"/>
            <w:noWrap/>
            <w:vAlign w:val="bottom"/>
            <w:hideMark/>
          </w:tcPr>
          <w:p w14:paraId="456C4D46"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14" w:name="_Toc146546189"/>
            <w:bookmarkStart w:id="415" w:name="_Toc146552458"/>
            <w:r w:rsidRPr="000D7EAC">
              <w:rPr>
                <w:rFonts w:ascii="Calibri" w:hAnsi="Calibri" w:cs="Calibri"/>
                <w:color w:val="000000" w:themeColor="text1"/>
                <w:sz w:val="18"/>
                <w:szCs w:val="18"/>
              </w:rPr>
              <w:t>$400</w:t>
            </w:r>
            <w:bookmarkEnd w:id="414"/>
            <w:bookmarkEnd w:id="415"/>
          </w:p>
        </w:tc>
      </w:tr>
      <w:tr w:rsidR="00BC26FE" w:rsidRPr="00F662D9" w14:paraId="6EB2D6DA" w14:textId="77777777">
        <w:trPr>
          <w:trHeight w:val="300"/>
        </w:trPr>
        <w:tc>
          <w:tcPr>
            <w:tcW w:w="5524" w:type="dxa"/>
            <w:shd w:val="clear" w:color="auto" w:fill="auto"/>
            <w:noWrap/>
            <w:vAlign w:val="bottom"/>
          </w:tcPr>
          <w:p w14:paraId="52FE5D01" w14:textId="77777777" w:rsidR="00BC26FE" w:rsidRDefault="00BC26FE">
            <w:pPr>
              <w:spacing w:after="0" w:line="240" w:lineRule="auto"/>
              <w:ind w:firstLineChars="200" w:firstLine="360"/>
              <w:outlineLvl w:val="0"/>
              <w:rPr>
                <w:rFonts w:ascii="Calibri" w:hAnsi="Calibri" w:cs="Calibri"/>
                <w:color w:val="000000"/>
                <w:sz w:val="18"/>
                <w:szCs w:val="18"/>
              </w:rPr>
            </w:pPr>
            <w:bookmarkStart w:id="416" w:name="_Toc146546196"/>
            <w:bookmarkStart w:id="417" w:name="_Toc146552465"/>
            <w:r w:rsidRPr="00BB36B1">
              <w:rPr>
                <w:rFonts w:ascii="Calibri" w:hAnsi="Calibri" w:cs="Calibri"/>
                <w:color w:val="000000"/>
                <w:sz w:val="18"/>
                <w:szCs w:val="18"/>
              </w:rPr>
              <w:t xml:space="preserve">Additional Design on Filing </w:t>
            </w:r>
            <w:r>
              <w:rPr>
                <w:rFonts w:ascii="Calibri" w:hAnsi="Calibri" w:cs="Calibri"/>
                <w:color w:val="000000"/>
                <w:sz w:val="18"/>
                <w:szCs w:val="18"/>
              </w:rPr>
              <w:t>(by preferred means)</w:t>
            </w:r>
            <w:bookmarkEnd w:id="416"/>
            <w:bookmarkEnd w:id="417"/>
          </w:p>
        </w:tc>
        <w:tc>
          <w:tcPr>
            <w:tcW w:w="1207" w:type="dxa"/>
            <w:shd w:val="clear" w:color="auto" w:fill="auto"/>
            <w:noWrap/>
            <w:vAlign w:val="bottom"/>
          </w:tcPr>
          <w:p w14:paraId="0342DDA9" w14:textId="77777777" w:rsidR="00BC26FE" w:rsidRDefault="00BC26FE">
            <w:pPr>
              <w:spacing w:after="0" w:line="240" w:lineRule="auto"/>
              <w:jc w:val="right"/>
              <w:outlineLvl w:val="0"/>
              <w:rPr>
                <w:rFonts w:ascii="Calibri" w:hAnsi="Calibri" w:cs="Calibri"/>
                <w:color w:val="000000"/>
                <w:sz w:val="18"/>
                <w:szCs w:val="18"/>
              </w:rPr>
            </w:pPr>
            <w:bookmarkStart w:id="418" w:name="_Toc146546197"/>
            <w:bookmarkStart w:id="419" w:name="_Toc146552466"/>
            <w:r>
              <w:rPr>
                <w:rFonts w:ascii="Calibri" w:hAnsi="Calibri" w:cs="Calibri"/>
                <w:color w:val="000000"/>
                <w:sz w:val="18"/>
                <w:szCs w:val="18"/>
              </w:rPr>
              <w:t>$200</w:t>
            </w:r>
            <w:bookmarkEnd w:id="418"/>
            <w:bookmarkEnd w:id="419"/>
          </w:p>
        </w:tc>
        <w:tc>
          <w:tcPr>
            <w:tcW w:w="1207" w:type="dxa"/>
            <w:shd w:val="clear" w:color="auto" w:fill="auto"/>
            <w:noWrap/>
            <w:vAlign w:val="bottom"/>
          </w:tcPr>
          <w:p w14:paraId="373E5E42" w14:textId="77777777" w:rsidR="00BC26FE" w:rsidRDefault="00BC26FE">
            <w:pPr>
              <w:spacing w:after="0" w:line="240" w:lineRule="auto"/>
              <w:jc w:val="right"/>
              <w:outlineLvl w:val="0"/>
              <w:rPr>
                <w:rFonts w:ascii="Calibri" w:hAnsi="Calibri" w:cs="Calibri"/>
                <w:color w:val="000000" w:themeColor="text1"/>
                <w:sz w:val="18"/>
                <w:szCs w:val="18"/>
              </w:rPr>
            </w:pPr>
            <w:bookmarkStart w:id="420" w:name="_Toc146546198"/>
            <w:bookmarkStart w:id="421" w:name="_Toc146552467"/>
            <w:r w:rsidRPr="000D7EAC">
              <w:rPr>
                <w:rFonts w:ascii="Calibri" w:hAnsi="Calibri" w:cs="Calibri"/>
                <w:color w:val="000000" w:themeColor="text1"/>
                <w:sz w:val="18"/>
                <w:szCs w:val="18"/>
              </w:rPr>
              <w:t>$150</w:t>
            </w:r>
            <w:bookmarkEnd w:id="420"/>
            <w:bookmarkEnd w:id="421"/>
          </w:p>
        </w:tc>
      </w:tr>
      <w:tr w:rsidR="00BC26FE" w:rsidRPr="00F662D9" w14:paraId="6E7C06BD" w14:textId="77777777">
        <w:trPr>
          <w:trHeight w:val="300"/>
        </w:trPr>
        <w:tc>
          <w:tcPr>
            <w:tcW w:w="5524" w:type="dxa"/>
            <w:shd w:val="clear" w:color="auto" w:fill="auto"/>
            <w:noWrap/>
            <w:vAlign w:val="bottom"/>
          </w:tcPr>
          <w:p w14:paraId="5DE967F9"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422" w:name="_Toc146546199"/>
            <w:bookmarkStart w:id="423" w:name="_Toc146552468"/>
            <w:r w:rsidRPr="00BB36B1">
              <w:rPr>
                <w:rFonts w:ascii="Calibri" w:hAnsi="Calibri" w:cs="Calibri"/>
                <w:color w:val="000000"/>
                <w:sz w:val="18"/>
                <w:szCs w:val="18"/>
              </w:rPr>
              <w:t xml:space="preserve">Additional Design on Filing </w:t>
            </w:r>
            <w:r>
              <w:rPr>
                <w:rFonts w:ascii="Calibri" w:hAnsi="Calibri" w:cs="Calibri"/>
                <w:color w:val="000000"/>
                <w:sz w:val="18"/>
                <w:szCs w:val="18"/>
              </w:rPr>
              <w:t>(by another means)</w:t>
            </w:r>
            <w:bookmarkEnd w:id="422"/>
            <w:bookmarkEnd w:id="423"/>
          </w:p>
        </w:tc>
        <w:tc>
          <w:tcPr>
            <w:tcW w:w="1207" w:type="dxa"/>
            <w:shd w:val="clear" w:color="auto" w:fill="auto"/>
            <w:noWrap/>
            <w:vAlign w:val="bottom"/>
          </w:tcPr>
          <w:p w14:paraId="5E46A22F"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24" w:name="_Toc146546200"/>
            <w:bookmarkStart w:id="425" w:name="_Toc146552469"/>
            <w:r>
              <w:rPr>
                <w:rFonts w:ascii="Calibri" w:hAnsi="Calibri" w:cs="Calibri"/>
                <w:color w:val="000000"/>
                <w:sz w:val="18"/>
                <w:szCs w:val="18"/>
              </w:rPr>
              <w:t>$400</w:t>
            </w:r>
            <w:bookmarkEnd w:id="424"/>
            <w:bookmarkEnd w:id="425"/>
          </w:p>
        </w:tc>
        <w:tc>
          <w:tcPr>
            <w:tcW w:w="1207" w:type="dxa"/>
            <w:shd w:val="clear" w:color="auto" w:fill="auto"/>
            <w:noWrap/>
            <w:vAlign w:val="bottom"/>
          </w:tcPr>
          <w:p w14:paraId="56C8C009"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26" w:name="_Toc146546201"/>
            <w:bookmarkStart w:id="427" w:name="_Toc146552470"/>
            <w:r w:rsidRPr="000D7EAC">
              <w:rPr>
                <w:rFonts w:ascii="Calibri" w:hAnsi="Calibri" w:cs="Calibri"/>
                <w:color w:val="000000" w:themeColor="text1"/>
                <w:sz w:val="18"/>
                <w:szCs w:val="18"/>
              </w:rPr>
              <w:t>$350</w:t>
            </w:r>
            <w:bookmarkEnd w:id="426"/>
            <w:bookmarkEnd w:id="427"/>
          </w:p>
        </w:tc>
      </w:tr>
      <w:tr w:rsidR="00BC26FE" w:rsidRPr="00F662D9" w14:paraId="0C72773D" w14:textId="77777777">
        <w:trPr>
          <w:trHeight w:val="300"/>
        </w:trPr>
        <w:tc>
          <w:tcPr>
            <w:tcW w:w="5524" w:type="dxa"/>
            <w:shd w:val="clear" w:color="auto" w:fill="auto"/>
            <w:noWrap/>
            <w:vAlign w:val="bottom"/>
          </w:tcPr>
          <w:p w14:paraId="271B68F6" w14:textId="77777777" w:rsidR="00BC26FE" w:rsidRPr="00BB36B1" w:rsidRDefault="00BC26FE">
            <w:pPr>
              <w:spacing w:after="0" w:line="240" w:lineRule="auto"/>
              <w:ind w:firstLineChars="200" w:firstLine="360"/>
              <w:outlineLvl w:val="0"/>
              <w:rPr>
                <w:rFonts w:ascii="Calibri" w:hAnsi="Calibri" w:cs="Calibri"/>
                <w:color w:val="000000"/>
                <w:sz w:val="18"/>
                <w:szCs w:val="18"/>
              </w:rPr>
            </w:pPr>
            <w:bookmarkStart w:id="428" w:name="_Toc146546193"/>
            <w:bookmarkStart w:id="429" w:name="_Toc146552462"/>
            <w:r>
              <w:rPr>
                <w:rFonts w:ascii="Calibri" w:hAnsi="Calibri" w:cs="Calibri"/>
                <w:color w:val="000000"/>
                <w:sz w:val="18"/>
                <w:szCs w:val="18"/>
              </w:rPr>
              <w:t>Excess Design (by preferred means)</w:t>
            </w:r>
            <w:bookmarkEnd w:id="428"/>
            <w:bookmarkEnd w:id="429"/>
          </w:p>
        </w:tc>
        <w:tc>
          <w:tcPr>
            <w:tcW w:w="1207" w:type="dxa"/>
            <w:shd w:val="clear" w:color="auto" w:fill="auto"/>
            <w:noWrap/>
            <w:vAlign w:val="bottom"/>
          </w:tcPr>
          <w:p w14:paraId="61967936" w14:textId="77777777" w:rsidR="00BC26FE" w:rsidRDefault="00BC26FE">
            <w:pPr>
              <w:spacing w:after="0" w:line="240" w:lineRule="auto"/>
              <w:jc w:val="right"/>
              <w:outlineLvl w:val="0"/>
              <w:rPr>
                <w:rFonts w:ascii="Calibri" w:hAnsi="Calibri" w:cs="Calibri"/>
                <w:color w:val="000000"/>
                <w:sz w:val="18"/>
                <w:szCs w:val="18"/>
              </w:rPr>
            </w:pPr>
            <w:bookmarkStart w:id="430" w:name="_Toc146546194"/>
            <w:bookmarkStart w:id="431" w:name="_Toc146552463"/>
            <w:r>
              <w:rPr>
                <w:rFonts w:ascii="Calibri" w:hAnsi="Calibri" w:cs="Calibri"/>
                <w:color w:val="000000"/>
                <w:sz w:val="18"/>
                <w:szCs w:val="18"/>
              </w:rPr>
              <w:t>$250</w:t>
            </w:r>
            <w:bookmarkEnd w:id="430"/>
            <w:bookmarkEnd w:id="431"/>
          </w:p>
        </w:tc>
        <w:tc>
          <w:tcPr>
            <w:tcW w:w="1207" w:type="dxa"/>
            <w:shd w:val="clear" w:color="auto" w:fill="auto"/>
            <w:noWrap/>
            <w:vAlign w:val="bottom"/>
          </w:tcPr>
          <w:p w14:paraId="64B4F045" w14:textId="77777777" w:rsidR="00BC26FE" w:rsidRPr="000D7EAC" w:rsidRDefault="00BC26FE">
            <w:pPr>
              <w:spacing w:after="0" w:line="240" w:lineRule="auto"/>
              <w:jc w:val="right"/>
              <w:outlineLvl w:val="0"/>
              <w:rPr>
                <w:rFonts w:ascii="Calibri" w:hAnsi="Calibri" w:cs="Calibri"/>
                <w:color w:val="000000" w:themeColor="text1"/>
                <w:sz w:val="18"/>
                <w:szCs w:val="18"/>
              </w:rPr>
            </w:pPr>
            <w:bookmarkStart w:id="432" w:name="_Toc146546195"/>
            <w:bookmarkStart w:id="433" w:name="_Toc146552464"/>
            <w:r w:rsidRPr="000D7EAC">
              <w:rPr>
                <w:rFonts w:ascii="Calibri" w:hAnsi="Calibri" w:cs="Calibri"/>
                <w:color w:val="000000" w:themeColor="text1"/>
                <w:sz w:val="18"/>
                <w:szCs w:val="18"/>
              </w:rPr>
              <w:t>$200</w:t>
            </w:r>
            <w:bookmarkEnd w:id="432"/>
            <w:bookmarkEnd w:id="433"/>
          </w:p>
        </w:tc>
      </w:tr>
      <w:tr w:rsidR="00BC26FE" w:rsidRPr="00F662D9" w14:paraId="56ED7810" w14:textId="77777777">
        <w:trPr>
          <w:trHeight w:val="300"/>
        </w:trPr>
        <w:tc>
          <w:tcPr>
            <w:tcW w:w="5524" w:type="dxa"/>
            <w:shd w:val="clear" w:color="auto" w:fill="auto"/>
            <w:noWrap/>
            <w:vAlign w:val="bottom"/>
          </w:tcPr>
          <w:p w14:paraId="1E550F6B" w14:textId="77777777" w:rsidR="00BC26FE" w:rsidRPr="00BB36B1" w:rsidRDefault="00BC26FE">
            <w:pPr>
              <w:spacing w:after="0" w:line="240" w:lineRule="auto"/>
              <w:ind w:firstLineChars="200" w:firstLine="360"/>
              <w:outlineLvl w:val="0"/>
              <w:rPr>
                <w:rFonts w:ascii="Calibri" w:hAnsi="Calibri" w:cs="Calibri"/>
                <w:color w:val="000000"/>
                <w:sz w:val="18"/>
                <w:szCs w:val="18"/>
              </w:rPr>
            </w:pPr>
            <w:r>
              <w:rPr>
                <w:rFonts w:ascii="Calibri" w:hAnsi="Calibri" w:cs="Calibri"/>
                <w:color w:val="000000"/>
                <w:sz w:val="18"/>
                <w:szCs w:val="18"/>
              </w:rPr>
              <w:t>Excess Design (by another means)</w:t>
            </w:r>
          </w:p>
        </w:tc>
        <w:tc>
          <w:tcPr>
            <w:tcW w:w="1207" w:type="dxa"/>
            <w:shd w:val="clear" w:color="auto" w:fill="auto"/>
            <w:noWrap/>
            <w:vAlign w:val="bottom"/>
          </w:tcPr>
          <w:p w14:paraId="403D2E73" w14:textId="77777777" w:rsidR="00BC26FE" w:rsidRDefault="00BC26FE">
            <w:pPr>
              <w:spacing w:after="0" w:line="240" w:lineRule="auto"/>
              <w:jc w:val="right"/>
              <w:outlineLvl w:val="0"/>
              <w:rPr>
                <w:rFonts w:ascii="Calibri" w:hAnsi="Calibri" w:cs="Calibri"/>
                <w:color w:val="000000"/>
                <w:sz w:val="18"/>
                <w:szCs w:val="18"/>
              </w:rPr>
            </w:pPr>
            <w:r>
              <w:rPr>
                <w:rFonts w:ascii="Calibri" w:hAnsi="Calibri" w:cs="Calibri"/>
                <w:color w:val="000000"/>
                <w:sz w:val="18"/>
                <w:szCs w:val="18"/>
              </w:rPr>
              <w:t>$450</w:t>
            </w:r>
          </w:p>
        </w:tc>
        <w:tc>
          <w:tcPr>
            <w:tcW w:w="1207" w:type="dxa"/>
            <w:shd w:val="clear" w:color="auto" w:fill="auto"/>
            <w:noWrap/>
            <w:vAlign w:val="bottom"/>
          </w:tcPr>
          <w:p w14:paraId="062BBC8F" w14:textId="77777777" w:rsidR="00BC26FE" w:rsidRPr="000D7EAC" w:rsidRDefault="00BC26FE">
            <w:pPr>
              <w:spacing w:after="0" w:line="240" w:lineRule="auto"/>
              <w:jc w:val="right"/>
              <w:outlineLvl w:val="0"/>
              <w:rPr>
                <w:rFonts w:ascii="Calibri" w:hAnsi="Calibri" w:cs="Calibri"/>
                <w:color w:val="000000" w:themeColor="text1"/>
                <w:sz w:val="18"/>
                <w:szCs w:val="18"/>
              </w:rPr>
            </w:pPr>
            <w:r>
              <w:rPr>
                <w:rFonts w:ascii="Calibri" w:hAnsi="Calibri" w:cs="Calibri"/>
                <w:color w:val="000000" w:themeColor="text1"/>
                <w:sz w:val="18"/>
                <w:szCs w:val="18"/>
              </w:rPr>
              <w:t>$400</w:t>
            </w:r>
          </w:p>
        </w:tc>
      </w:tr>
      <w:tr w:rsidR="00BC26FE" w:rsidRPr="00F662D9" w14:paraId="688BD5F4" w14:textId="77777777">
        <w:trPr>
          <w:trHeight w:val="227"/>
        </w:trPr>
        <w:tc>
          <w:tcPr>
            <w:tcW w:w="5524" w:type="dxa"/>
            <w:shd w:val="clear" w:color="auto" w:fill="auto"/>
            <w:noWrap/>
            <w:vAlign w:val="bottom"/>
          </w:tcPr>
          <w:p w14:paraId="6F23EDE7" w14:textId="77777777" w:rsidR="00BC26FE" w:rsidRPr="00BB36B1" w:rsidRDefault="00BC26FE">
            <w:pPr>
              <w:spacing w:after="0" w:line="240" w:lineRule="auto"/>
              <w:ind w:firstLineChars="200" w:firstLine="360"/>
              <w:outlineLvl w:val="0"/>
              <w:rPr>
                <w:rFonts w:ascii="Calibri" w:hAnsi="Calibri" w:cs="Calibri"/>
                <w:color w:val="000000"/>
                <w:sz w:val="18"/>
                <w:szCs w:val="18"/>
              </w:rPr>
            </w:pPr>
          </w:p>
        </w:tc>
        <w:tc>
          <w:tcPr>
            <w:tcW w:w="1207" w:type="dxa"/>
            <w:shd w:val="clear" w:color="auto" w:fill="auto"/>
            <w:noWrap/>
            <w:vAlign w:val="bottom"/>
          </w:tcPr>
          <w:p w14:paraId="506AACEE" w14:textId="77777777" w:rsidR="00BC26FE" w:rsidRDefault="00BC26FE">
            <w:pPr>
              <w:spacing w:after="0" w:line="240" w:lineRule="auto"/>
              <w:jc w:val="right"/>
              <w:outlineLvl w:val="0"/>
              <w:rPr>
                <w:rFonts w:ascii="Calibri" w:hAnsi="Calibri" w:cs="Calibri"/>
                <w:color w:val="000000"/>
                <w:sz w:val="18"/>
                <w:szCs w:val="18"/>
              </w:rPr>
            </w:pPr>
          </w:p>
        </w:tc>
        <w:tc>
          <w:tcPr>
            <w:tcW w:w="1207" w:type="dxa"/>
            <w:shd w:val="clear" w:color="auto" w:fill="auto"/>
            <w:noWrap/>
            <w:vAlign w:val="bottom"/>
          </w:tcPr>
          <w:p w14:paraId="27790399" w14:textId="77777777" w:rsidR="00BC26FE" w:rsidRPr="000D7EAC" w:rsidRDefault="00BC26FE">
            <w:pPr>
              <w:spacing w:after="0" w:line="240" w:lineRule="auto"/>
              <w:jc w:val="right"/>
              <w:outlineLvl w:val="0"/>
              <w:rPr>
                <w:rFonts w:ascii="Calibri" w:hAnsi="Calibri" w:cs="Calibri"/>
                <w:color w:val="000000" w:themeColor="text1"/>
                <w:sz w:val="18"/>
                <w:szCs w:val="18"/>
              </w:rPr>
            </w:pPr>
          </w:p>
        </w:tc>
      </w:tr>
      <w:tr w:rsidR="00BC26FE" w:rsidRPr="00F662D9" w14:paraId="7783482C" w14:textId="77777777">
        <w:trPr>
          <w:trHeight w:val="283"/>
        </w:trPr>
        <w:tc>
          <w:tcPr>
            <w:tcW w:w="5524" w:type="dxa"/>
            <w:shd w:val="clear" w:color="auto" w:fill="D9D9D9" w:themeFill="background1" w:themeFillShade="D9"/>
            <w:noWrap/>
            <w:vAlign w:val="bottom"/>
          </w:tcPr>
          <w:p w14:paraId="579BD585" w14:textId="77777777" w:rsidR="00BC26FE" w:rsidRPr="00AB7D56" w:rsidRDefault="00BC26FE">
            <w:pPr>
              <w:spacing w:after="0" w:line="240" w:lineRule="auto"/>
              <w:ind w:firstLineChars="100" w:firstLine="180"/>
              <w:outlineLvl w:val="0"/>
              <w:rPr>
                <w:rFonts w:ascii="Calibri" w:eastAsia="Times New Roman" w:hAnsi="Calibri" w:cs="Calibri"/>
                <w:color w:val="1F3864" w:themeColor="accent1" w:themeShade="80"/>
                <w:sz w:val="18"/>
                <w:szCs w:val="18"/>
                <w:lang w:eastAsia="en-AU"/>
              </w:rPr>
            </w:pPr>
            <w:bookmarkStart w:id="434" w:name="_Toc146546202"/>
            <w:bookmarkStart w:id="435" w:name="_Toc146552471"/>
            <w:r w:rsidRPr="00AB7D56">
              <w:rPr>
                <w:rFonts w:ascii="Calibri" w:eastAsia="Times New Roman" w:hAnsi="Calibri" w:cs="Calibri"/>
                <w:color w:val="1F3864" w:themeColor="accent1" w:themeShade="80"/>
                <w:sz w:val="18"/>
                <w:szCs w:val="18"/>
                <w:lang w:eastAsia="en-AU"/>
              </w:rPr>
              <w:t>Change to Design Exam fees</w:t>
            </w:r>
            <w:bookmarkEnd w:id="434"/>
            <w:bookmarkEnd w:id="435"/>
          </w:p>
        </w:tc>
        <w:tc>
          <w:tcPr>
            <w:tcW w:w="1207" w:type="dxa"/>
            <w:shd w:val="clear" w:color="auto" w:fill="D9D9D9" w:themeFill="background1" w:themeFillShade="D9"/>
            <w:noWrap/>
            <w:vAlign w:val="bottom"/>
          </w:tcPr>
          <w:p w14:paraId="105B2E07"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sz w:val="18"/>
                <w:szCs w:val="18"/>
                <w:lang w:eastAsia="en-AU"/>
              </w:rPr>
              <w:t> </w:t>
            </w:r>
          </w:p>
        </w:tc>
        <w:tc>
          <w:tcPr>
            <w:tcW w:w="1207" w:type="dxa"/>
            <w:shd w:val="clear" w:color="auto" w:fill="D9D9D9" w:themeFill="background1" w:themeFillShade="D9"/>
            <w:noWrap/>
            <w:vAlign w:val="bottom"/>
          </w:tcPr>
          <w:p w14:paraId="15018CCD"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 </w:t>
            </w:r>
          </w:p>
        </w:tc>
      </w:tr>
      <w:tr w:rsidR="00BC26FE" w:rsidRPr="00F662D9" w14:paraId="467DD816" w14:textId="77777777">
        <w:trPr>
          <w:trHeight w:val="300"/>
        </w:trPr>
        <w:tc>
          <w:tcPr>
            <w:tcW w:w="5524" w:type="dxa"/>
            <w:shd w:val="clear" w:color="auto" w:fill="auto"/>
            <w:noWrap/>
            <w:vAlign w:val="bottom"/>
          </w:tcPr>
          <w:p w14:paraId="0274A691"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436" w:name="_Toc146546203"/>
            <w:bookmarkStart w:id="437" w:name="_Toc146552472"/>
            <w:r>
              <w:rPr>
                <w:rFonts w:ascii="Calibri" w:hAnsi="Calibri" w:cs="Calibri"/>
                <w:color w:val="000000"/>
                <w:sz w:val="18"/>
                <w:szCs w:val="18"/>
              </w:rPr>
              <w:t>Registered Design - Exam by Registered Owner</w:t>
            </w:r>
            <w:bookmarkEnd w:id="436"/>
            <w:bookmarkEnd w:id="437"/>
          </w:p>
        </w:tc>
        <w:tc>
          <w:tcPr>
            <w:tcW w:w="1207" w:type="dxa"/>
            <w:shd w:val="clear" w:color="auto" w:fill="auto"/>
            <w:noWrap/>
            <w:vAlign w:val="bottom"/>
          </w:tcPr>
          <w:p w14:paraId="5026AF6A"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38" w:name="_Toc146546204"/>
            <w:bookmarkStart w:id="439" w:name="_Toc146552473"/>
            <w:r>
              <w:rPr>
                <w:rFonts w:ascii="Calibri" w:hAnsi="Calibri" w:cs="Calibri"/>
                <w:color w:val="000000"/>
                <w:sz w:val="18"/>
                <w:szCs w:val="18"/>
              </w:rPr>
              <w:t>$420</w:t>
            </w:r>
            <w:bookmarkEnd w:id="438"/>
            <w:bookmarkEnd w:id="439"/>
          </w:p>
        </w:tc>
        <w:tc>
          <w:tcPr>
            <w:tcW w:w="1207" w:type="dxa"/>
            <w:shd w:val="clear" w:color="auto" w:fill="auto"/>
            <w:noWrap/>
            <w:vAlign w:val="bottom"/>
          </w:tcPr>
          <w:p w14:paraId="77244BD3"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40" w:name="_Toc146546205"/>
            <w:bookmarkStart w:id="441" w:name="_Toc146552474"/>
            <w:r w:rsidRPr="000D7EAC">
              <w:rPr>
                <w:rFonts w:ascii="Calibri" w:hAnsi="Calibri" w:cs="Calibri"/>
                <w:color w:val="000000" w:themeColor="text1"/>
                <w:sz w:val="18"/>
                <w:szCs w:val="18"/>
              </w:rPr>
              <w:t>$500</w:t>
            </w:r>
            <w:bookmarkEnd w:id="440"/>
            <w:bookmarkEnd w:id="441"/>
          </w:p>
        </w:tc>
      </w:tr>
      <w:tr w:rsidR="00BC26FE" w:rsidRPr="00F662D9" w14:paraId="0A71647D" w14:textId="77777777">
        <w:trPr>
          <w:trHeight w:val="300"/>
        </w:trPr>
        <w:tc>
          <w:tcPr>
            <w:tcW w:w="5524" w:type="dxa"/>
            <w:shd w:val="clear" w:color="auto" w:fill="auto"/>
            <w:noWrap/>
            <w:vAlign w:val="bottom"/>
          </w:tcPr>
          <w:p w14:paraId="64D79656" w14:textId="77777777" w:rsidR="00BC26FE" w:rsidRPr="00F662D9" w:rsidRDefault="00BC26FE">
            <w:pPr>
              <w:spacing w:after="0" w:line="240" w:lineRule="auto"/>
              <w:ind w:firstLineChars="200" w:firstLine="360"/>
              <w:outlineLvl w:val="0"/>
              <w:rPr>
                <w:rFonts w:ascii="Calibri" w:eastAsia="Times New Roman" w:hAnsi="Calibri" w:cs="Calibri"/>
                <w:color w:val="0070C0"/>
                <w:sz w:val="18"/>
                <w:szCs w:val="18"/>
                <w:highlight w:val="yellow"/>
                <w:lang w:eastAsia="en-AU"/>
              </w:rPr>
            </w:pPr>
            <w:bookmarkStart w:id="442" w:name="_Toc146546206"/>
            <w:bookmarkStart w:id="443" w:name="_Toc146552475"/>
            <w:r>
              <w:rPr>
                <w:rFonts w:ascii="Calibri" w:hAnsi="Calibri" w:cs="Calibri"/>
                <w:color w:val="000000"/>
                <w:sz w:val="18"/>
                <w:szCs w:val="18"/>
              </w:rPr>
              <w:t>Registered Design - Exam by 3rd Party</w:t>
            </w:r>
            <w:bookmarkEnd w:id="442"/>
            <w:bookmarkEnd w:id="443"/>
          </w:p>
        </w:tc>
        <w:tc>
          <w:tcPr>
            <w:tcW w:w="1207" w:type="dxa"/>
            <w:shd w:val="clear" w:color="auto" w:fill="auto"/>
            <w:noWrap/>
            <w:vAlign w:val="bottom"/>
          </w:tcPr>
          <w:p w14:paraId="3DAF52FC"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44" w:name="_Toc146546207"/>
            <w:bookmarkStart w:id="445" w:name="_Toc146552476"/>
            <w:r>
              <w:rPr>
                <w:rFonts w:ascii="Calibri" w:hAnsi="Calibri" w:cs="Calibri"/>
                <w:color w:val="000000"/>
                <w:sz w:val="18"/>
                <w:szCs w:val="18"/>
              </w:rPr>
              <w:t>$210</w:t>
            </w:r>
            <w:bookmarkEnd w:id="444"/>
            <w:bookmarkEnd w:id="445"/>
          </w:p>
        </w:tc>
        <w:tc>
          <w:tcPr>
            <w:tcW w:w="1207" w:type="dxa"/>
            <w:shd w:val="clear" w:color="auto" w:fill="auto"/>
            <w:noWrap/>
            <w:vAlign w:val="bottom"/>
          </w:tcPr>
          <w:p w14:paraId="0A0F5D0D"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46" w:name="_Toc146546208"/>
            <w:bookmarkStart w:id="447" w:name="_Toc146552477"/>
            <w:r w:rsidRPr="000D7EAC">
              <w:rPr>
                <w:rFonts w:ascii="Calibri" w:hAnsi="Calibri" w:cs="Calibri"/>
                <w:color w:val="000000" w:themeColor="text1"/>
                <w:sz w:val="18"/>
                <w:szCs w:val="18"/>
              </w:rPr>
              <w:t>$250</w:t>
            </w:r>
            <w:bookmarkEnd w:id="446"/>
            <w:bookmarkEnd w:id="447"/>
          </w:p>
        </w:tc>
      </w:tr>
      <w:tr w:rsidR="00BC26FE" w:rsidRPr="00F662D9" w14:paraId="5EB54E91" w14:textId="77777777">
        <w:trPr>
          <w:trHeight w:val="300"/>
        </w:trPr>
        <w:tc>
          <w:tcPr>
            <w:tcW w:w="5524" w:type="dxa"/>
            <w:shd w:val="clear" w:color="auto" w:fill="auto"/>
            <w:noWrap/>
            <w:vAlign w:val="bottom"/>
          </w:tcPr>
          <w:p w14:paraId="3B28BBB2"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highlight w:val="yellow"/>
                <w:lang w:eastAsia="en-AU"/>
              </w:rPr>
            </w:pPr>
            <w:bookmarkStart w:id="448" w:name="_Toc146546209"/>
            <w:bookmarkStart w:id="449" w:name="_Toc146552478"/>
            <w:r>
              <w:rPr>
                <w:rFonts w:ascii="Calibri" w:hAnsi="Calibri" w:cs="Calibri"/>
                <w:color w:val="000000"/>
                <w:sz w:val="18"/>
                <w:szCs w:val="18"/>
              </w:rPr>
              <w:t>Registered Design - Exam by 3rd Party - Owner Component</w:t>
            </w:r>
            <w:bookmarkEnd w:id="448"/>
            <w:bookmarkEnd w:id="449"/>
          </w:p>
        </w:tc>
        <w:tc>
          <w:tcPr>
            <w:tcW w:w="1207" w:type="dxa"/>
            <w:shd w:val="clear" w:color="auto" w:fill="auto"/>
            <w:noWrap/>
            <w:vAlign w:val="bottom"/>
          </w:tcPr>
          <w:p w14:paraId="24B55C8E"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50" w:name="_Toc146546210"/>
            <w:bookmarkStart w:id="451" w:name="_Toc146552479"/>
            <w:r>
              <w:rPr>
                <w:rFonts w:ascii="Calibri" w:hAnsi="Calibri" w:cs="Calibri"/>
                <w:color w:val="000000"/>
                <w:sz w:val="18"/>
                <w:szCs w:val="18"/>
              </w:rPr>
              <w:t>$210</w:t>
            </w:r>
            <w:bookmarkEnd w:id="450"/>
            <w:bookmarkEnd w:id="451"/>
          </w:p>
        </w:tc>
        <w:tc>
          <w:tcPr>
            <w:tcW w:w="1207" w:type="dxa"/>
            <w:shd w:val="clear" w:color="auto" w:fill="auto"/>
            <w:noWrap/>
            <w:vAlign w:val="bottom"/>
          </w:tcPr>
          <w:p w14:paraId="5CAC7299"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52" w:name="_Toc146546211"/>
            <w:bookmarkStart w:id="453" w:name="_Toc146552480"/>
            <w:r w:rsidRPr="000D7EAC">
              <w:rPr>
                <w:rFonts w:ascii="Calibri" w:hAnsi="Calibri" w:cs="Calibri"/>
                <w:color w:val="000000" w:themeColor="text1"/>
                <w:sz w:val="18"/>
                <w:szCs w:val="18"/>
              </w:rPr>
              <w:t>$250</w:t>
            </w:r>
            <w:bookmarkEnd w:id="452"/>
            <w:bookmarkEnd w:id="453"/>
          </w:p>
        </w:tc>
      </w:tr>
    </w:tbl>
    <w:p w14:paraId="6C93FB99" w14:textId="77777777" w:rsidR="00BC26FE" w:rsidRPr="00F61478" w:rsidRDefault="00BC26FE" w:rsidP="00965C6C">
      <w:pPr>
        <w:pStyle w:val="NoSpacing"/>
        <w:spacing w:after="240"/>
        <w:rPr>
          <w:iCs/>
          <w:sz w:val="16"/>
          <w:szCs w:val="16"/>
          <w:lang w:eastAsia="en-AU"/>
        </w:rPr>
      </w:pPr>
    </w:p>
    <w:tbl>
      <w:tblPr>
        <w:tblW w:w="793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24"/>
        <w:gridCol w:w="1207"/>
        <w:gridCol w:w="1207"/>
      </w:tblGrid>
      <w:tr w:rsidR="00BC26FE" w:rsidRPr="00FE42BF" w14:paraId="7EBE845F" w14:textId="77777777">
        <w:trPr>
          <w:trHeight w:val="283"/>
        </w:trPr>
        <w:tc>
          <w:tcPr>
            <w:tcW w:w="5524" w:type="dxa"/>
            <w:tcBorders>
              <w:top w:val="single" w:sz="4" w:space="0" w:color="auto"/>
              <w:bottom w:val="single" w:sz="4" w:space="0" w:color="auto"/>
            </w:tcBorders>
            <w:shd w:val="clear" w:color="000000" w:fill="C5D9F1"/>
            <w:noWrap/>
            <w:vAlign w:val="bottom"/>
            <w:hideMark/>
          </w:tcPr>
          <w:p w14:paraId="0427FE25" w14:textId="77777777" w:rsidR="00BC26FE" w:rsidRPr="00FE42BF" w:rsidRDefault="00BC26FE">
            <w:pPr>
              <w:spacing w:after="0" w:line="240" w:lineRule="auto"/>
              <w:outlineLvl w:val="0"/>
              <w:rPr>
                <w:rFonts w:ascii="Calibri" w:eastAsia="Times New Roman" w:hAnsi="Calibri" w:cs="Calibri"/>
                <w:b/>
                <w:bCs/>
                <w:color w:val="0070C0"/>
                <w:sz w:val="20"/>
                <w:szCs w:val="20"/>
                <w:lang w:eastAsia="en-AU"/>
              </w:rPr>
            </w:pPr>
            <w:bookmarkStart w:id="454" w:name="_Toc146546212"/>
            <w:bookmarkStart w:id="455" w:name="_Toc146552481"/>
            <w:r w:rsidRPr="00FE42BF">
              <w:rPr>
                <w:rFonts w:ascii="Calibri" w:eastAsia="Times New Roman" w:hAnsi="Calibri" w:cs="Calibri"/>
                <w:b/>
                <w:bCs/>
                <w:color w:val="000000" w:themeColor="text1"/>
                <w:sz w:val="20"/>
                <w:szCs w:val="20"/>
                <w:lang w:eastAsia="en-AU"/>
              </w:rPr>
              <w:t>PBR Fees</w:t>
            </w:r>
            <w:bookmarkEnd w:id="454"/>
            <w:bookmarkEnd w:id="455"/>
          </w:p>
        </w:tc>
        <w:tc>
          <w:tcPr>
            <w:tcW w:w="1207" w:type="dxa"/>
            <w:tcBorders>
              <w:top w:val="single" w:sz="4" w:space="0" w:color="auto"/>
              <w:bottom w:val="single" w:sz="4" w:space="0" w:color="auto"/>
            </w:tcBorders>
            <w:shd w:val="clear" w:color="000000" w:fill="C5D9F1"/>
            <w:noWrap/>
            <w:vAlign w:val="bottom"/>
            <w:hideMark/>
          </w:tcPr>
          <w:p w14:paraId="0D4D71BD" w14:textId="77777777" w:rsidR="00BC26FE" w:rsidRPr="00FE42BF" w:rsidRDefault="00BC26FE">
            <w:pPr>
              <w:spacing w:after="0" w:line="240" w:lineRule="auto"/>
              <w:jc w:val="right"/>
              <w:outlineLvl w:val="0"/>
              <w:rPr>
                <w:rFonts w:ascii="Calibri" w:eastAsia="Times New Roman" w:hAnsi="Calibri" w:cs="Calibri"/>
                <w:b/>
                <w:bCs/>
                <w:color w:val="000000"/>
                <w:sz w:val="20"/>
                <w:szCs w:val="20"/>
                <w:lang w:eastAsia="en-AU"/>
              </w:rPr>
            </w:pPr>
            <w:r w:rsidRPr="00FE42BF">
              <w:rPr>
                <w:rFonts w:ascii="Calibri" w:eastAsia="Times New Roman" w:hAnsi="Calibri" w:cs="Calibri"/>
                <w:b/>
                <w:bCs/>
                <w:color w:val="000000" w:themeColor="text1"/>
                <w:sz w:val="20"/>
                <w:szCs w:val="20"/>
                <w:lang w:eastAsia="en-AU"/>
              </w:rPr>
              <w:t> </w:t>
            </w:r>
            <w:bookmarkStart w:id="456" w:name="_Toc146546213"/>
            <w:bookmarkStart w:id="457" w:name="_Toc146552482"/>
            <w:r w:rsidRPr="00FE42BF">
              <w:rPr>
                <w:rFonts w:ascii="Calibri" w:eastAsia="Times New Roman" w:hAnsi="Calibri" w:cs="Calibri"/>
                <w:b/>
                <w:bCs/>
                <w:color w:val="000000" w:themeColor="text1"/>
                <w:sz w:val="20"/>
                <w:szCs w:val="20"/>
                <w:lang w:eastAsia="en-AU"/>
              </w:rPr>
              <w:t>Old Fee</w:t>
            </w:r>
            <w:bookmarkEnd w:id="456"/>
            <w:bookmarkEnd w:id="457"/>
          </w:p>
        </w:tc>
        <w:tc>
          <w:tcPr>
            <w:tcW w:w="1207" w:type="dxa"/>
            <w:tcBorders>
              <w:top w:val="single" w:sz="4" w:space="0" w:color="auto"/>
              <w:bottom w:val="single" w:sz="4" w:space="0" w:color="auto"/>
            </w:tcBorders>
            <w:shd w:val="clear" w:color="000000" w:fill="C5D9F1"/>
            <w:noWrap/>
            <w:vAlign w:val="bottom"/>
            <w:hideMark/>
          </w:tcPr>
          <w:p w14:paraId="6F111E26" w14:textId="77777777" w:rsidR="00BC26FE" w:rsidRPr="00FE42BF" w:rsidRDefault="00BC26FE">
            <w:pPr>
              <w:spacing w:after="0" w:line="240" w:lineRule="auto"/>
              <w:jc w:val="right"/>
              <w:outlineLvl w:val="0"/>
              <w:rPr>
                <w:rFonts w:ascii="Calibri" w:eastAsia="Times New Roman" w:hAnsi="Calibri" w:cs="Calibri"/>
                <w:b/>
                <w:bCs/>
                <w:color w:val="000000" w:themeColor="text1"/>
                <w:sz w:val="20"/>
                <w:szCs w:val="20"/>
                <w:lang w:eastAsia="en-AU"/>
              </w:rPr>
            </w:pPr>
            <w:bookmarkStart w:id="458" w:name="_Toc146546214"/>
            <w:bookmarkStart w:id="459" w:name="_Toc146552483"/>
            <w:r w:rsidRPr="00FE42BF">
              <w:rPr>
                <w:rFonts w:ascii="Calibri" w:eastAsia="Times New Roman" w:hAnsi="Calibri" w:cs="Calibri"/>
                <w:b/>
                <w:bCs/>
                <w:color w:val="000000" w:themeColor="text1"/>
                <w:sz w:val="20"/>
                <w:szCs w:val="20"/>
                <w:lang w:eastAsia="en-AU"/>
              </w:rPr>
              <w:t>New Fee</w:t>
            </w:r>
            <w:bookmarkEnd w:id="458"/>
            <w:bookmarkEnd w:id="459"/>
            <w:r w:rsidRPr="00FE42BF">
              <w:rPr>
                <w:rFonts w:ascii="Calibri" w:eastAsia="Times New Roman" w:hAnsi="Calibri" w:cs="Calibri"/>
                <w:b/>
                <w:bCs/>
                <w:color w:val="000000" w:themeColor="text1"/>
                <w:sz w:val="20"/>
                <w:szCs w:val="20"/>
                <w:lang w:eastAsia="en-AU"/>
              </w:rPr>
              <w:t> </w:t>
            </w:r>
          </w:p>
        </w:tc>
      </w:tr>
      <w:tr w:rsidR="00BC26FE" w:rsidRPr="00153E10" w14:paraId="2350659F" w14:textId="77777777">
        <w:trPr>
          <w:trHeight w:val="283"/>
        </w:trPr>
        <w:tc>
          <w:tcPr>
            <w:tcW w:w="5524" w:type="dxa"/>
            <w:tcBorders>
              <w:top w:val="single" w:sz="4" w:space="0" w:color="auto"/>
            </w:tcBorders>
            <w:shd w:val="clear" w:color="000000" w:fill="D9D9D9"/>
            <w:noWrap/>
            <w:vAlign w:val="bottom"/>
            <w:hideMark/>
          </w:tcPr>
          <w:p w14:paraId="6DE9385B" w14:textId="6DE41E04" w:rsidR="00BC26FE" w:rsidRPr="00F662D9" w:rsidRDefault="00BC26FE">
            <w:pPr>
              <w:spacing w:after="0" w:line="240" w:lineRule="auto"/>
              <w:ind w:firstLineChars="100" w:firstLine="180"/>
              <w:outlineLvl w:val="0"/>
              <w:rPr>
                <w:rFonts w:ascii="Calibri" w:eastAsia="Times New Roman" w:hAnsi="Calibri" w:cs="Calibri"/>
                <w:color w:val="0070C0"/>
                <w:sz w:val="18"/>
                <w:szCs w:val="18"/>
                <w:lang w:eastAsia="en-AU"/>
              </w:rPr>
            </w:pPr>
            <w:bookmarkStart w:id="460" w:name="_Toc146546215"/>
            <w:bookmarkStart w:id="461" w:name="_Toc146552484"/>
            <w:r w:rsidRPr="00AB7D56">
              <w:rPr>
                <w:rFonts w:ascii="Calibri" w:eastAsia="Times New Roman" w:hAnsi="Calibri" w:cs="Calibri"/>
                <w:color w:val="1F3864" w:themeColor="accent1" w:themeShade="80"/>
                <w:sz w:val="18"/>
                <w:szCs w:val="18"/>
                <w:lang w:eastAsia="en-AU"/>
              </w:rPr>
              <w:t>Change to PBR Application, Exam, Renewal</w:t>
            </w:r>
            <w:r w:rsidR="001C46DD" w:rsidRPr="00AB7D56">
              <w:rPr>
                <w:rFonts w:ascii="Calibri" w:eastAsia="Times New Roman" w:hAnsi="Calibri" w:cs="Calibri"/>
                <w:color w:val="1F3864" w:themeColor="accent1" w:themeShade="80"/>
                <w:sz w:val="18"/>
                <w:szCs w:val="18"/>
                <w:lang w:eastAsia="en-AU"/>
              </w:rPr>
              <w:t xml:space="preserve"> and</w:t>
            </w:r>
            <w:r w:rsidRPr="00AB7D56">
              <w:rPr>
                <w:rFonts w:ascii="Calibri" w:eastAsia="Times New Roman" w:hAnsi="Calibri" w:cs="Calibri"/>
                <w:color w:val="1F3864" w:themeColor="accent1" w:themeShade="80"/>
                <w:sz w:val="18"/>
                <w:szCs w:val="18"/>
                <w:lang w:eastAsia="en-AU"/>
              </w:rPr>
              <w:t xml:space="preserve"> General fees</w:t>
            </w:r>
            <w:bookmarkEnd w:id="460"/>
            <w:bookmarkEnd w:id="461"/>
          </w:p>
        </w:tc>
        <w:tc>
          <w:tcPr>
            <w:tcW w:w="1207" w:type="dxa"/>
            <w:tcBorders>
              <w:top w:val="single" w:sz="4" w:space="0" w:color="auto"/>
            </w:tcBorders>
            <w:shd w:val="clear" w:color="000000" w:fill="D9D9D9"/>
            <w:noWrap/>
            <w:vAlign w:val="bottom"/>
            <w:hideMark/>
          </w:tcPr>
          <w:p w14:paraId="2723E10A"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r w:rsidRPr="00F662D9">
              <w:rPr>
                <w:rFonts w:ascii="Calibri" w:eastAsia="Times New Roman" w:hAnsi="Calibri" w:cs="Calibri"/>
                <w:color w:val="000000"/>
                <w:sz w:val="18"/>
                <w:szCs w:val="18"/>
                <w:lang w:eastAsia="en-AU"/>
              </w:rPr>
              <w:t> </w:t>
            </w:r>
          </w:p>
        </w:tc>
        <w:tc>
          <w:tcPr>
            <w:tcW w:w="1207" w:type="dxa"/>
            <w:tcBorders>
              <w:top w:val="single" w:sz="4" w:space="0" w:color="auto"/>
            </w:tcBorders>
            <w:shd w:val="clear" w:color="000000" w:fill="D9D9D9"/>
            <w:noWrap/>
            <w:vAlign w:val="bottom"/>
            <w:hideMark/>
          </w:tcPr>
          <w:p w14:paraId="267CF85A" w14:textId="77777777" w:rsidR="00BC26FE" w:rsidRPr="00F662D9" w:rsidRDefault="00BC26FE">
            <w:pPr>
              <w:spacing w:after="0" w:line="240" w:lineRule="auto"/>
              <w:outlineLvl w:val="0"/>
              <w:rPr>
                <w:rFonts w:ascii="Calibri" w:eastAsia="Times New Roman" w:hAnsi="Calibri" w:cs="Calibri"/>
                <w:color w:val="000000" w:themeColor="text1"/>
                <w:sz w:val="18"/>
                <w:szCs w:val="18"/>
                <w:lang w:eastAsia="en-AU"/>
              </w:rPr>
            </w:pPr>
            <w:r w:rsidRPr="00F662D9">
              <w:rPr>
                <w:rFonts w:ascii="Calibri" w:eastAsia="Times New Roman" w:hAnsi="Calibri" w:cs="Calibri"/>
                <w:color w:val="000000" w:themeColor="text1"/>
                <w:sz w:val="18"/>
                <w:szCs w:val="18"/>
                <w:lang w:eastAsia="en-AU"/>
              </w:rPr>
              <w:t> </w:t>
            </w:r>
          </w:p>
        </w:tc>
      </w:tr>
      <w:tr w:rsidR="00BC26FE" w:rsidRPr="00F662D9" w14:paraId="2A538EA3" w14:textId="77777777">
        <w:trPr>
          <w:trHeight w:val="300"/>
        </w:trPr>
        <w:tc>
          <w:tcPr>
            <w:tcW w:w="5524" w:type="dxa"/>
            <w:shd w:val="clear" w:color="auto" w:fill="auto"/>
            <w:noWrap/>
            <w:vAlign w:val="bottom"/>
          </w:tcPr>
          <w:p w14:paraId="5E573ED4" w14:textId="77777777" w:rsidR="00BC26FE" w:rsidRDefault="00BC26FE">
            <w:pPr>
              <w:spacing w:after="0" w:line="240" w:lineRule="auto"/>
              <w:ind w:firstLineChars="200" w:firstLine="360"/>
              <w:outlineLvl w:val="0"/>
              <w:rPr>
                <w:rFonts w:ascii="Calibri" w:hAnsi="Calibri" w:cs="Calibri"/>
                <w:color w:val="000000"/>
                <w:sz w:val="18"/>
                <w:szCs w:val="18"/>
              </w:rPr>
            </w:pPr>
            <w:bookmarkStart w:id="462" w:name="_Toc146546234"/>
            <w:bookmarkStart w:id="463" w:name="_Toc146552503"/>
            <w:r>
              <w:rPr>
                <w:rFonts w:ascii="Calibri" w:hAnsi="Calibri" w:cs="Calibri"/>
                <w:color w:val="000000"/>
                <w:sz w:val="18"/>
                <w:szCs w:val="18"/>
              </w:rPr>
              <w:t>Accreditation of a Q</w:t>
            </w:r>
            <w:bookmarkEnd w:id="462"/>
            <w:bookmarkEnd w:id="463"/>
            <w:r>
              <w:rPr>
                <w:rFonts w:ascii="Calibri" w:hAnsi="Calibri" w:cs="Calibri"/>
                <w:color w:val="000000"/>
                <w:sz w:val="18"/>
                <w:szCs w:val="18"/>
              </w:rPr>
              <w:t>ualified Person</w:t>
            </w:r>
          </w:p>
        </w:tc>
        <w:tc>
          <w:tcPr>
            <w:tcW w:w="1207" w:type="dxa"/>
            <w:shd w:val="clear" w:color="auto" w:fill="auto"/>
            <w:noWrap/>
            <w:vAlign w:val="bottom"/>
          </w:tcPr>
          <w:p w14:paraId="54124273" w14:textId="77777777" w:rsidR="00BC26FE" w:rsidRPr="00CF775D" w:rsidRDefault="00BC26FE">
            <w:pPr>
              <w:spacing w:after="0" w:line="240" w:lineRule="auto"/>
              <w:jc w:val="right"/>
              <w:outlineLvl w:val="0"/>
              <w:rPr>
                <w:rFonts w:ascii="Calibri" w:hAnsi="Calibri" w:cs="Calibri"/>
                <w:color w:val="000000" w:themeColor="text1"/>
                <w:sz w:val="18"/>
                <w:szCs w:val="18"/>
              </w:rPr>
            </w:pPr>
            <w:bookmarkStart w:id="464" w:name="_Toc146546235"/>
            <w:bookmarkStart w:id="465" w:name="_Toc146552504"/>
            <w:r w:rsidRPr="00CF775D">
              <w:rPr>
                <w:rFonts w:ascii="Calibri" w:hAnsi="Calibri" w:cs="Calibri"/>
                <w:color w:val="000000" w:themeColor="text1"/>
                <w:sz w:val="18"/>
                <w:szCs w:val="18"/>
              </w:rPr>
              <w:t>$240</w:t>
            </w:r>
            <w:bookmarkEnd w:id="464"/>
            <w:bookmarkEnd w:id="465"/>
          </w:p>
        </w:tc>
        <w:tc>
          <w:tcPr>
            <w:tcW w:w="1207" w:type="dxa"/>
            <w:shd w:val="clear" w:color="auto" w:fill="auto"/>
            <w:noWrap/>
            <w:vAlign w:val="bottom"/>
          </w:tcPr>
          <w:p w14:paraId="5B8C2425" w14:textId="77777777" w:rsidR="00BC26FE" w:rsidRPr="00CF775D" w:rsidRDefault="00BC26FE">
            <w:pPr>
              <w:spacing w:after="0" w:line="240" w:lineRule="auto"/>
              <w:jc w:val="right"/>
              <w:outlineLvl w:val="0"/>
              <w:rPr>
                <w:rFonts w:ascii="Calibri" w:hAnsi="Calibri" w:cs="Calibri"/>
                <w:color w:val="000000" w:themeColor="text1"/>
                <w:sz w:val="18"/>
                <w:szCs w:val="18"/>
              </w:rPr>
            </w:pPr>
            <w:bookmarkStart w:id="466" w:name="_Toc146546236"/>
            <w:bookmarkStart w:id="467" w:name="_Toc146552505"/>
            <w:r w:rsidRPr="00CF775D">
              <w:rPr>
                <w:rFonts w:ascii="Calibri" w:hAnsi="Calibri" w:cs="Calibri"/>
                <w:color w:val="000000" w:themeColor="text1"/>
                <w:sz w:val="18"/>
                <w:szCs w:val="18"/>
              </w:rPr>
              <w:t>$350</w:t>
            </w:r>
            <w:bookmarkEnd w:id="466"/>
            <w:bookmarkEnd w:id="467"/>
          </w:p>
        </w:tc>
      </w:tr>
      <w:tr w:rsidR="00BC26FE" w:rsidRPr="00F662D9" w14:paraId="32560EA5" w14:textId="77777777">
        <w:trPr>
          <w:trHeight w:val="300"/>
        </w:trPr>
        <w:tc>
          <w:tcPr>
            <w:tcW w:w="5524" w:type="dxa"/>
            <w:shd w:val="clear" w:color="auto" w:fill="auto"/>
            <w:noWrap/>
            <w:vAlign w:val="bottom"/>
          </w:tcPr>
          <w:p w14:paraId="6293CBF8" w14:textId="77777777" w:rsidR="00BC26FE" w:rsidRDefault="00BC26FE">
            <w:pPr>
              <w:spacing w:after="0" w:line="240" w:lineRule="auto"/>
              <w:ind w:firstLineChars="200" w:firstLine="360"/>
              <w:outlineLvl w:val="0"/>
              <w:rPr>
                <w:rFonts w:ascii="Calibri" w:hAnsi="Calibri" w:cs="Calibri"/>
                <w:color w:val="000000"/>
                <w:sz w:val="18"/>
                <w:szCs w:val="18"/>
              </w:rPr>
            </w:pPr>
            <w:bookmarkStart w:id="468" w:name="_Toc146546237"/>
            <w:bookmarkStart w:id="469" w:name="_Toc146552506"/>
            <w:r>
              <w:rPr>
                <w:rFonts w:ascii="Calibri" w:hAnsi="Calibri" w:cs="Calibri"/>
                <w:color w:val="000000"/>
                <w:sz w:val="18"/>
                <w:szCs w:val="18"/>
              </w:rPr>
              <w:t>Renew Accreditation of a Qualified P</w:t>
            </w:r>
            <w:bookmarkEnd w:id="468"/>
            <w:bookmarkEnd w:id="469"/>
            <w:r>
              <w:rPr>
                <w:rFonts w:ascii="Calibri" w:hAnsi="Calibri" w:cs="Calibri"/>
                <w:color w:val="000000"/>
                <w:sz w:val="18"/>
                <w:szCs w:val="18"/>
              </w:rPr>
              <w:t>erson</w:t>
            </w:r>
          </w:p>
        </w:tc>
        <w:tc>
          <w:tcPr>
            <w:tcW w:w="1207" w:type="dxa"/>
            <w:shd w:val="clear" w:color="auto" w:fill="auto"/>
            <w:noWrap/>
            <w:vAlign w:val="bottom"/>
          </w:tcPr>
          <w:p w14:paraId="5B04D13E" w14:textId="77777777" w:rsidR="00BC26FE" w:rsidRPr="00CF775D" w:rsidRDefault="00BC26FE">
            <w:pPr>
              <w:spacing w:after="0" w:line="240" w:lineRule="auto"/>
              <w:jc w:val="right"/>
              <w:outlineLvl w:val="0"/>
              <w:rPr>
                <w:rFonts w:ascii="Calibri" w:hAnsi="Calibri" w:cs="Calibri"/>
                <w:color w:val="000000" w:themeColor="text1"/>
                <w:sz w:val="18"/>
                <w:szCs w:val="18"/>
              </w:rPr>
            </w:pPr>
            <w:bookmarkStart w:id="470" w:name="_Toc146546238"/>
            <w:bookmarkStart w:id="471" w:name="_Toc146552507"/>
            <w:r w:rsidRPr="00CF775D">
              <w:rPr>
                <w:rFonts w:ascii="Calibri" w:hAnsi="Calibri" w:cs="Calibri"/>
                <w:color w:val="000000" w:themeColor="text1"/>
                <w:sz w:val="18"/>
                <w:szCs w:val="18"/>
              </w:rPr>
              <w:t>$240</w:t>
            </w:r>
            <w:bookmarkEnd w:id="470"/>
            <w:bookmarkEnd w:id="471"/>
          </w:p>
        </w:tc>
        <w:tc>
          <w:tcPr>
            <w:tcW w:w="1207" w:type="dxa"/>
            <w:shd w:val="clear" w:color="auto" w:fill="auto"/>
            <w:noWrap/>
            <w:vAlign w:val="bottom"/>
          </w:tcPr>
          <w:p w14:paraId="62DC23CB" w14:textId="77777777" w:rsidR="00BC26FE" w:rsidRPr="00CF775D" w:rsidRDefault="00BC26FE">
            <w:pPr>
              <w:spacing w:after="0" w:line="240" w:lineRule="auto"/>
              <w:jc w:val="right"/>
              <w:outlineLvl w:val="0"/>
              <w:rPr>
                <w:rFonts w:ascii="Calibri" w:hAnsi="Calibri" w:cs="Calibri"/>
                <w:color w:val="000000" w:themeColor="text1"/>
                <w:sz w:val="18"/>
                <w:szCs w:val="18"/>
              </w:rPr>
            </w:pPr>
            <w:bookmarkStart w:id="472" w:name="_Toc146546239"/>
            <w:bookmarkStart w:id="473" w:name="_Toc146552508"/>
            <w:r w:rsidRPr="00CF775D">
              <w:rPr>
                <w:rFonts w:ascii="Calibri" w:hAnsi="Calibri" w:cs="Calibri"/>
                <w:color w:val="000000" w:themeColor="text1"/>
                <w:sz w:val="18"/>
                <w:szCs w:val="18"/>
              </w:rPr>
              <w:t>$350</w:t>
            </w:r>
            <w:bookmarkEnd w:id="472"/>
            <w:bookmarkEnd w:id="473"/>
          </w:p>
        </w:tc>
      </w:tr>
      <w:tr w:rsidR="00BC26FE" w:rsidRPr="00F662D9" w14:paraId="7C529F15" w14:textId="77777777">
        <w:trPr>
          <w:trHeight w:val="300"/>
        </w:trPr>
        <w:tc>
          <w:tcPr>
            <w:tcW w:w="5524" w:type="dxa"/>
            <w:shd w:val="clear" w:color="auto" w:fill="auto"/>
            <w:noWrap/>
            <w:vAlign w:val="bottom"/>
          </w:tcPr>
          <w:p w14:paraId="2A7C9900" w14:textId="77777777" w:rsidR="00BC26FE" w:rsidRDefault="00BC26FE">
            <w:pPr>
              <w:spacing w:after="0" w:line="240" w:lineRule="auto"/>
              <w:ind w:firstLineChars="200" w:firstLine="360"/>
              <w:outlineLvl w:val="0"/>
              <w:rPr>
                <w:rFonts w:ascii="Calibri" w:hAnsi="Calibri" w:cs="Calibri"/>
                <w:color w:val="000000"/>
                <w:sz w:val="18"/>
                <w:szCs w:val="18"/>
              </w:rPr>
            </w:pPr>
            <w:bookmarkStart w:id="474" w:name="_Toc146546219"/>
            <w:bookmarkStart w:id="475" w:name="_Toc146552488"/>
            <w:r>
              <w:rPr>
                <w:rFonts w:ascii="Calibri" w:hAnsi="Calibri" w:cs="Calibri"/>
                <w:color w:val="000000"/>
                <w:sz w:val="18"/>
                <w:szCs w:val="18"/>
              </w:rPr>
              <w:t>New PBR Application (by preferred means)</w:t>
            </w:r>
            <w:bookmarkEnd w:id="474"/>
            <w:bookmarkEnd w:id="475"/>
          </w:p>
        </w:tc>
        <w:tc>
          <w:tcPr>
            <w:tcW w:w="1207" w:type="dxa"/>
            <w:shd w:val="clear" w:color="auto" w:fill="auto"/>
            <w:noWrap/>
            <w:vAlign w:val="bottom"/>
          </w:tcPr>
          <w:p w14:paraId="09064C4D" w14:textId="77777777" w:rsidR="00BC26FE" w:rsidRPr="00CF775D" w:rsidRDefault="00BC26FE">
            <w:pPr>
              <w:spacing w:after="0" w:line="240" w:lineRule="auto"/>
              <w:jc w:val="right"/>
              <w:outlineLvl w:val="0"/>
              <w:rPr>
                <w:rFonts w:ascii="Calibri" w:hAnsi="Calibri" w:cs="Calibri"/>
                <w:color w:val="000000" w:themeColor="text1"/>
                <w:sz w:val="18"/>
                <w:szCs w:val="18"/>
              </w:rPr>
            </w:pPr>
            <w:bookmarkStart w:id="476" w:name="_Toc146546220"/>
            <w:bookmarkStart w:id="477" w:name="_Toc146552489"/>
            <w:r w:rsidRPr="00CF775D">
              <w:rPr>
                <w:rFonts w:ascii="Calibri" w:hAnsi="Calibri" w:cs="Calibri"/>
                <w:color w:val="000000" w:themeColor="text1"/>
                <w:sz w:val="18"/>
                <w:szCs w:val="18"/>
              </w:rPr>
              <w:t>$345</w:t>
            </w:r>
            <w:bookmarkEnd w:id="476"/>
            <w:bookmarkEnd w:id="477"/>
          </w:p>
        </w:tc>
        <w:tc>
          <w:tcPr>
            <w:tcW w:w="1207" w:type="dxa"/>
            <w:shd w:val="clear" w:color="auto" w:fill="auto"/>
            <w:noWrap/>
            <w:vAlign w:val="bottom"/>
          </w:tcPr>
          <w:p w14:paraId="51A9DB65" w14:textId="77777777" w:rsidR="00BC26FE" w:rsidRPr="00CF775D" w:rsidRDefault="00BC26FE">
            <w:pPr>
              <w:spacing w:after="0" w:line="240" w:lineRule="auto"/>
              <w:jc w:val="right"/>
              <w:outlineLvl w:val="0"/>
              <w:rPr>
                <w:rFonts w:ascii="Calibri" w:hAnsi="Calibri" w:cs="Calibri"/>
                <w:color w:val="000000" w:themeColor="text1"/>
                <w:sz w:val="18"/>
                <w:szCs w:val="18"/>
              </w:rPr>
            </w:pPr>
            <w:bookmarkStart w:id="478" w:name="_Toc146546221"/>
            <w:bookmarkStart w:id="479" w:name="_Toc146552490"/>
            <w:r w:rsidRPr="00CF775D">
              <w:rPr>
                <w:rFonts w:ascii="Calibri" w:hAnsi="Calibri" w:cs="Calibri"/>
                <w:color w:val="000000" w:themeColor="text1"/>
                <w:sz w:val="18"/>
                <w:szCs w:val="18"/>
              </w:rPr>
              <w:t>$400</w:t>
            </w:r>
            <w:bookmarkEnd w:id="478"/>
            <w:bookmarkEnd w:id="479"/>
          </w:p>
        </w:tc>
      </w:tr>
      <w:tr w:rsidR="00BC26FE" w:rsidRPr="00F662D9" w14:paraId="7B1DEDED" w14:textId="77777777">
        <w:trPr>
          <w:trHeight w:val="300"/>
        </w:trPr>
        <w:tc>
          <w:tcPr>
            <w:tcW w:w="5524" w:type="dxa"/>
            <w:shd w:val="clear" w:color="auto" w:fill="auto"/>
            <w:noWrap/>
            <w:vAlign w:val="bottom"/>
            <w:hideMark/>
          </w:tcPr>
          <w:p w14:paraId="08ADF054"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480" w:name="_Toc146546216"/>
            <w:bookmarkStart w:id="481" w:name="_Toc146552485"/>
            <w:r>
              <w:rPr>
                <w:rFonts w:ascii="Calibri" w:hAnsi="Calibri" w:cs="Calibri"/>
                <w:color w:val="000000"/>
                <w:sz w:val="18"/>
                <w:szCs w:val="18"/>
              </w:rPr>
              <w:t>New PBR Application</w:t>
            </w:r>
            <w:bookmarkEnd w:id="480"/>
            <w:bookmarkEnd w:id="481"/>
            <w:r>
              <w:rPr>
                <w:rFonts w:ascii="Calibri" w:hAnsi="Calibri" w:cs="Calibri"/>
                <w:color w:val="000000"/>
                <w:sz w:val="18"/>
                <w:szCs w:val="18"/>
              </w:rPr>
              <w:t xml:space="preserve"> (by another means)</w:t>
            </w:r>
          </w:p>
        </w:tc>
        <w:tc>
          <w:tcPr>
            <w:tcW w:w="1207" w:type="dxa"/>
            <w:shd w:val="clear" w:color="auto" w:fill="auto"/>
            <w:noWrap/>
            <w:vAlign w:val="bottom"/>
            <w:hideMark/>
          </w:tcPr>
          <w:p w14:paraId="13E97832"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82" w:name="_Toc146546217"/>
            <w:bookmarkStart w:id="483" w:name="_Toc146552486"/>
            <w:r w:rsidRPr="00CF775D">
              <w:rPr>
                <w:rFonts w:ascii="Calibri" w:hAnsi="Calibri" w:cs="Calibri"/>
                <w:color w:val="000000" w:themeColor="text1"/>
                <w:sz w:val="18"/>
                <w:szCs w:val="18"/>
              </w:rPr>
              <w:t>$545</w:t>
            </w:r>
            <w:bookmarkEnd w:id="482"/>
            <w:bookmarkEnd w:id="483"/>
          </w:p>
        </w:tc>
        <w:tc>
          <w:tcPr>
            <w:tcW w:w="1207" w:type="dxa"/>
            <w:shd w:val="clear" w:color="auto" w:fill="auto"/>
            <w:noWrap/>
            <w:vAlign w:val="bottom"/>
            <w:hideMark/>
          </w:tcPr>
          <w:p w14:paraId="7EB4DA0C"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84" w:name="_Toc146546218"/>
            <w:bookmarkStart w:id="485" w:name="_Toc146552487"/>
            <w:r w:rsidRPr="00CF775D">
              <w:rPr>
                <w:rFonts w:ascii="Calibri" w:hAnsi="Calibri" w:cs="Calibri"/>
                <w:color w:val="000000" w:themeColor="text1"/>
                <w:sz w:val="18"/>
                <w:szCs w:val="18"/>
              </w:rPr>
              <w:t>$600</w:t>
            </w:r>
            <w:bookmarkEnd w:id="484"/>
            <w:bookmarkEnd w:id="485"/>
          </w:p>
        </w:tc>
      </w:tr>
      <w:tr w:rsidR="00BC26FE" w:rsidRPr="00F662D9" w14:paraId="01550871" w14:textId="77777777">
        <w:trPr>
          <w:trHeight w:val="300"/>
        </w:trPr>
        <w:tc>
          <w:tcPr>
            <w:tcW w:w="5524" w:type="dxa"/>
            <w:shd w:val="clear" w:color="auto" w:fill="auto"/>
            <w:noWrap/>
            <w:vAlign w:val="bottom"/>
            <w:hideMark/>
          </w:tcPr>
          <w:p w14:paraId="463D88C5" w14:textId="38B3CC5E"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486" w:name="_Toc146546222"/>
            <w:bookmarkStart w:id="487" w:name="_Toc146552491"/>
            <w:r>
              <w:rPr>
                <w:rFonts w:ascii="Calibri" w:hAnsi="Calibri" w:cs="Calibri"/>
                <w:color w:val="000000"/>
                <w:sz w:val="18"/>
                <w:szCs w:val="18"/>
              </w:rPr>
              <w:t>Exam - Centralised</w:t>
            </w:r>
            <w:r w:rsidR="004226C9">
              <w:rPr>
                <w:rFonts w:ascii="Calibri" w:hAnsi="Calibri" w:cs="Calibri"/>
                <w:color w:val="000000"/>
                <w:sz w:val="18"/>
                <w:szCs w:val="18"/>
              </w:rPr>
              <w:t>-</w:t>
            </w:r>
            <w:r>
              <w:rPr>
                <w:rFonts w:ascii="Calibri" w:hAnsi="Calibri" w:cs="Calibri"/>
                <w:color w:val="000000"/>
                <w:sz w:val="18"/>
                <w:szCs w:val="18"/>
              </w:rPr>
              <w:t>Testing Centre</w:t>
            </w:r>
            <w:bookmarkEnd w:id="486"/>
            <w:bookmarkEnd w:id="487"/>
          </w:p>
        </w:tc>
        <w:tc>
          <w:tcPr>
            <w:tcW w:w="1207" w:type="dxa"/>
            <w:shd w:val="clear" w:color="auto" w:fill="auto"/>
            <w:noWrap/>
            <w:vAlign w:val="bottom"/>
            <w:hideMark/>
          </w:tcPr>
          <w:p w14:paraId="41B4C828"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88" w:name="_Toc146546223"/>
            <w:bookmarkStart w:id="489" w:name="_Toc146552492"/>
            <w:r w:rsidRPr="00CF775D">
              <w:rPr>
                <w:rFonts w:ascii="Calibri" w:hAnsi="Calibri" w:cs="Calibri"/>
                <w:color w:val="000000" w:themeColor="text1"/>
                <w:sz w:val="18"/>
                <w:szCs w:val="18"/>
              </w:rPr>
              <w:t>$920</w:t>
            </w:r>
            <w:bookmarkEnd w:id="488"/>
            <w:bookmarkEnd w:id="489"/>
          </w:p>
        </w:tc>
        <w:tc>
          <w:tcPr>
            <w:tcW w:w="1207" w:type="dxa"/>
            <w:shd w:val="clear" w:color="auto" w:fill="auto"/>
            <w:noWrap/>
            <w:vAlign w:val="bottom"/>
            <w:hideMark/>
          </w:tcPr>
          <w:p w14:paraId="4F6F7129"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90" w:name="_Toc146546224"/>
            <w:bookmarkStart w:id="491" w:name="_Toc146552493"/>
            <w:r w:rsidRPr="00CF775D">
              <w:rPr>
                <w:rFonts w:ascii="Calibri" w:hAnsi="Calibri" w:cs="Calibri"/>
                <w:color w:val="000000" w:themeColor="text1"/>
                <w:sz w:val="18"/>
                <w:szCs w:val="18"/>
              </w:rPr>
              <w:t>$1,400</w:t>
            </w:r>
            <w:bookmarkEnd w:id="490"/>
            <w:bookmarkEnd w:id="491"/>
          </w:p>
        </w:tc>
      </w:tr>
      <w:tr w:rsidR="00BC26FE" w:rsidRPr="00F662D9" w14:paraId="420E4F29" w14:textId="77777777">
        <w:trPr>
          <w:trHeight w:val="300"/>
        </w:trPr>
        <w:tc>
          <w:tcPr>
            <w:tcW w:w="5524" w:type="dxa"/>
            <w:shd w:val="clear" w:color="auto" w:fill="auto"/>
            <w:noWrap/>
            <w:vAlign w:val="bottom"/>
            <w:hideMark/>
          </w:tcPr>
          <w:p w14:paraId="363182A9"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492" w:name="_Toc146546225"/>
            <w:bookmarkStart w:id="493" w:name="_Toc146552494"/>
            <w:r>
              <w:rPr>
                <w:rFonts w:ascii="Calibri" w:hAnsi="Calibri" w:cs="Calibri"/>
                <w:color w:val="000000"/>
                <w:sz w:val="18"/>
                <w:szCs w:val="18"/>
              </w:rPr>
              <w:t>Exam - S</w:t>
            </w:r>
            <w:bookmarkEnd w:id="492"/>
            <w:bookmarkEnd w:id="493"/>
            <w:r>
              <w:rPr>
                <w:rFonts w:ascii="Calibri" w:hAnsi="Calibri" w:cs="Calibri"/>
                <w:color w:val="000000"/>
                <w:sz w:val="18"/>
                <w:szCs w:val="18"/>
              </w:rPr>
              <w:t>ingle Application</w:t>
            </w:r>
          </w:p>
        </w:tc>
        <w:tc>
          <w:tcPr>
            <w:tcW w:w="1207" w:type="dxa"/>
            <w:shd w:val="clear" w:color="auto" w:fill="auto"/>
            <w:noWrap/>
            <w:vAlign w:val="bottom"/>
            <w:hideMark/>
          </w:tcPr>
          <w:p w14:paraId="246E5C4C"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94" w:name="_Toc146546226"/>
            <w:bookmarkStart w:id="495" w:name="_Toc146552495"/>
            <w:r w:rsidRPr="00CF775D">
              <w:rPr>
                <w:rFonts w:ascii="Calibri" w:hAnsi="Calibri" w:cs="Calibri"/>
                <w:color w:val="000000" w:themeColor="text1"/>
                <w:sz w:val="18"/>
                <w:szCs w:val="18"/>
              </w:rPr>
              <w:t>$1,610</w:t>
            </w:r>
            <w:bookmarkEnd w:id="494"/>
            <w:bookmarkEnd w:id="495"/>
          </w:p>
        </w:tc>
        <w:tc>
          <w:tcPr>
            <w:tcW w:w="1207" w:type="dxa"/>
            <w:shd w:val="clear" w:color="auto" w:fill="auto"/>
            <w:noWrap/>
            <w:vAlign w:val="bottom"/>
            <w:hideMark/>
          </w:tcPr>
          <w:p w14:paraId="38D798D1"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496" w:name="_Toc146546227"/>
            <w:bookmarkStart w:id="497" w:name="_Toc146552496"/>
            <w:r w:rsidRPr="00CF775D">
              <w:rPr>
                <w:rFonts w:ascii="Calibri" w:hAnsi="Calibri" w:cs="Calibri"/>
                <w:color w:val="000000" w:themeColor="text1"/>
                <w:sz w:val="18"/>
                <w:szCs w:val="18"/>
              </w:rPr>
              <w:t>$2,000</w:t>
            </w:r>
            <w:bookmarkEnd w:id="496"/>
            <w:bookmarkEnd w:id="497"/>
          </w:p>
        </w:tc>
      </w:tr>
      <w:tr w:rsidR="00BC26FE" w:rsidRPr="00F662D9" w14:paraId="73F0433D" w14:textId="77777777">
        <w:trPr>
          <w:trHeight w:val="300"/>
        </w:trPr>
        <w:tc>
          <w:tcPr>
            <w:tcW w:w="5524" w:type="dxa"/>
            <w:shd w:val="clear" w:color="auto" w:fill="auto"/>
            <w:noWrap/>
            <w:vAlign w:val="bottom"/>
            <w:hideMark/>
          </w:tcPr>
          <w:p w14:paraId="39FFAB71"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498" w:name="_Toc146546228"/>
            <w:bookmarkStart w:id="499" w:name="_Toc146552497"/>
            <w:r>
              <w:rPr>
                <w:rFonts w:ascii="Calibri" w:hAnsi="Calibri" w:cs="Calibri"/>
                <w:color w:val="000000"/>
                <w:sz w:val="18"/>
                <w:szCs w:val="18"/>
              </w:rPr>
              <w:t xml:space="preserve">Exam - </w:t>
            </w:r>
            <w:bookmarkEnd w:id="498"/>
            <w:bookmarkEnd w:id="499"/>
            <w:r>
              <w:rPr>
                <w:rFonts w:ascii="Calibri" w:hAnsi="Calibri" w:cs="Calibri"/>
                <w:color w:val="000000"/>
                <w:sz w:val="18"/>
                <w:szCs w:val="18"/>
              </w:rPr>
              <w:t>Application based solely on overseas test data</w:t>
            </w:r>
          </w:p>
        </w:tc>
        <w:tc>
          <w:tcPr>
            <w:tcW w:w="1207" w:type="dxa"/>
            <w:shd w:val="clear" w:color="auto" w:fill="auto"/>
            <w:noWrap/>
            <w:vAlign w:val="bottom"/>
            <w:hideMark/>
          </w:tcPr>
          <w:p w14:paraId="2060D5D6"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00" w:name="_Toc146546229"/>
            <w:bookmarkStart w:id="501" w:name="_Toc146552498"/>
            <w:r w:rsidRPr="00CF775D">
              <w:rPr>
                <w:rFonts w:ascii="Calibri" w:hAnsi="Calibri" w:cs="Calibri"/>
                <w:color w:val="000000" w:themeColor="text1"/>
                <w:sz w:val="18"/>
                <w:szCs w:val="18"/>
              </w:rPr>
              <w:t>$1,610</w:t>
            </w:r>
            <w:bookmarkEnd w:id="500"/>
            <w:bookmarkEnd w:id="501"/>
          </w:p>
        </w:tc>
        <w:tc>
          <w:tcPr>
            <w:tcW w:w="1207" w:type="dxa"/>
            <w:shd w:val="clear" w:color="auto" w:fill="auto"/>
            <w:noWrap/>
            <w:vAlign w:val="bottom"/>
            <w:hideMark/>
          </w:tcPr>
          <w:p w14:paraId="3DF826AB"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02" w:name="_Toc146546230"/>
            <w:bookmarkStart w:id="503" w:name="_Toc146552499"/>
            <w:r w:rsidRPr="00CF775D">
              <w:rPr>
                <w:rFonts w:ascii="Calibri" w:hAnsi="Calibri" w:cs="Calibri"/>
                <w:color w:val="000000" w:themeColor="text1"/>
                <w:sz w:val="18"/>
                <w:szCs w:val="18"/>
              </w:rPr>
              <w:t>$2,000</w:t>
            </w:r>
            <w:bookmarkEnd w:id="502"/>
            <w:bookmarkEnd w:id="503"/>
          </w:p>
        </w:tc>
      </w:tr>
      <w:tr w:rsidR="00BC26FE" w:rsidRPr="00F662D9" w14:paraId="4AE4722D" w14:textId="77777777">
        <w:trPr>
          <w:trHeight w:val="300"/>
        </w:trPr>
        <w:tc>
          <w:tcPr>
            <w:tcW w:w="5524" w:type="dxa"/>
            <w:shd w:val="clear" w:color="auto" w:fill="auto"/>
            <w:noWrap/>
            <w:vAlign w:val="bottom"/>
            <w:hideMark/>
          </w:tcPr>
          <w:p w14:paraId="6350622F"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504" w:name="_Toc146546231"/>
            <w:bookmarkStart w:id="505" w:name="_Toc146552500"/>
            <w:r>
              <w:rPr>
                <w:rFonts w:ascii="Calibri" w:hAnsi="Calibri" w:cs="Calibri"/>
                <w:color w:val="000000"/>
                <w:sz w:val="18"/>
                <w:szCs w:val="18"/>
              </w:rPr>
              <w:t>Exam – Multiple Applications</w:t>
            </w:r>
            <w:bookmarkEnd w:id="504"/>
            <w:bookmarkEnd w:id="505"/>
            <w:r>
              <w:rPr>
                <w:rFonts w:ascii="Calibri" w:hAnsi="Calibri" w:cs="Calibri"/>
                <w:color w:val="000000"/>
                <w:sz w:val="18"/>
                <w:szCs w:val="18"/>
              </w:rPr>
              <w:t xml:space="preserve"> (each)</w:t>
            </w:r>
          </w:p>
        </w:tc>
        <w:tc>
          <w:tcPr>
            <w:tcW w:w="1207" w:type="dxa"/>
            <w:shd w:val="clear" w:color="auto" w:fill="auto"/>
            <w:noWrap/>
            <w:vAlign w:val="bottom"/>
            <w:hideMark/>
          </w:tcPr>
          <w:p w14:paraId="1DD39BFD"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06" w:name="_Toc146546232"/>
            <w:bookmarkStart w:id="507" w:name="_Toc146552501"/>
            <w:r w:rsidRPr="00CF775D">
              <w:rPr>
                <w:rFonts w:ascii="Calibri" w:hAnsi="Calibri" w:cs="Calibri"/>
                <w:color w:val="000000" w:themeColor="text1"/>
                <w:sz w:val="18"/>
                <w:szCs w:val="18"/>
              </w:rPr>
              <w:t>$1,380</w:t>
            </w:r>
            <w:bookmarkEnd w:id="506"/>
            <w:bookmarkEnd w:id="507"/>
          </w:p>
        </w:tc>
        <w:tc>
          <w:tcPr>
            <w:tcW w:w="1207" w:type="dxa"/>
            <w:shd w:val="clear" w:color="auto" w:fill="auto"/>
            <w:noWrap/>
            <w:vAlign w:val="bottom"/>
            <w:hideMark/>
          </w:tcPr>
          <w:p w14:paraId="5A13F680"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08" w:name="_Toc146546233"/>
            <w:bookmarkStart w:id="509" w:name="_Toc146552502"/>
            <w:r w:rsidRPr="00CF775D">
              <w:rPr>
                <w:rFonts w:ascii="Calibri" w:hAnsi="Calibri" w:cs="Calibri"/>
                <w:color w:val="000000" w:themeColor="text1"/>
                <w:sz w:val="18"/>
                <w:szCs w:val="18"/>
              </w:rPr>
              <w:t>$1,600</w:t>
            </w:r>
            <w:bookmarkEnd w:id="508"/>
            <w:bookmarkEnd w:id="509"/>
          </w:p>
        </w:tc>
      </w:tr>
      <w:tr w:rsidR="00BC26FE" w:rsidRPr="00F662D9" w14:paraId="5F9DC906" w14:textId="77777777">
        <w:trPr>
          <w:trHeight w:val="300"/>
        </w:trPr>
        <w:tc>
          <w:tcPr>
            <w:tcW w:w="5524" w:type="dxa"/>
            <w:shd w:val="clear" w:color="auto" w:fill="auto"/>
            <w:noWrap/>
            <w:vAlign w:val="bottom"/>
          </w:tcPr>
          <w:p w14:paraId="38FD14D8" w14:textId="77777777" w:rsidR="00BC26FE" w:rsidRPr="00F662D9" w:rsidRDefault="00BC26FE">
            <w:pPr>
              <w:spacing w:after="0" w:line="240" w:lineRule="auto"/>
              <w:ind w:firstLineChars="200" w:firstLine="360"/>
              <w:outlineLvl w:val="0"/>
              <w:rPr>
                <w:rFonts w:ascii="Calibri" w:hAnsi="Calibri" w:cs="Calibri"/>
                <w:color w:val="000000"/>
                <w:sz w:val="18"/>
                <w:szCs w:val="18"/>
              </w:rPr>
            </w:pPr>
            <w:bookmarkStart w:id="510" w:name="_Toc146546240"/>
            <w:bookmarkStart w:id="511" w:name="_Toc146552509"/>
            <w:r>
              <w:rPr>
                <w:rFonts w:ascii="Calibri" w:hAnsi="Calibri" w:cs="Calibri"/>
                <w:color w:val="000000"/>
                <w:sz w:val="18"/>
                <w:szCs w:val="18"/>
              </w:rPr>
              <w:t>Declaration of E</w:t>
            </w:r>
            <w:bookmarkEnd w:id="510"/>
            <w:bookmarkEnd w:id="511"/>
            <w:r>
              <w:rPr>
                <w:rFonts w:ascii="Calibri" w:hAnsi="Calibri" w:cs="Calibri"/>
                <w:color w:val="000000"/>
                <w:sz w:val="18"/>
                <w:szCs w:val="18"/>
              </w:rPr>
              <w:t>ssential Derivation</w:t>
            </w:r>
          </w:p>
        </w:tc>
        <w:tc>
          <w:tcPr>
            <w:tcW w:w="1207" w:type="dxa"/>
            <w:shd w:val="clear" w:color="auto" w:fill="auto"/>
            <w:noWrap/>
            <w:vAlign w:val="bottom"/>
          </w:tcPr>
          <w:p w14:paraId="60157CE8"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12" w:name="_Toc146546241"/>
            <w:bookmarkStart w:id="513" w:name="_Toc146552510"/>
            <w:r w:rsidRPr="00CF775D">
              <w:rPr>
                <w:rFonts w:ascii="Calibri" w:hAnsi="Calibri" w:cs="Calibri"/>
                <w:color w:val="000000" w:themeColor="text1"/>
                <w:sz w:val="18"/>
                <w:szCs w:val="18"/>
              </w:rPr>
              <w:t>$800</w:t>
            </w:r>
            <w:bookmarkEnd w:id="512"/>
            <w:bookmarkEnd w:id="513"/>
          </w:p>
        </w:tc>
        <w:tc>
          <w:tcPr>
            <w:tcW w:w="1207" w:type="dxa"/>
            <w:shd w:val="clear" w:color="auto" w:fill="auto"/>
            <w:noWrap/>
            <w:vAlign w:val="bottom"/>
          </w:tcPr>
          <w:p w14:paraId="3365B356"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14" w:name="_Toc146546242"/>
            <w:bookmarkStart w:id="515" w:name="_Toc146552511"/>
            <w:r w:rsidRPr="00CF775D">
              <w:rPr>
                <w:rFonts w:ascii="Calibri" w:hAnsi="Calibri" w:cs="Calibri"/>
                <w:color w:val="000000" w:themeColor="text1"/>
                <w:sz w:val="18"/>
                <w:szCs w:val="18"/>
              </w:rPr>
              <w:t>$850</w:t>
            </w:r>
            <w:bookmarkEnd w:id="514"/>
            <w:bookmarkEnd w:id="515"/>
          </w:p>
        </w:tc>
      </w:tr>
      <w:tr w:rsidR="00BC26FE" w:rsidRPr="00F662D9" w14:paraId="649D5D32" w14:textId="77777777">
        <w:trPr>
          <w:trHeight w:val="300"/>
        </w:trPr>
        <w:tc>
          <w:tcPr>
            <w:tcW w:w="5524" w:type="dxa"/>
            <w:shd w:val="clear" w:color="auto" w:fill="auto"/>
            <w:noWrap/>
            <w:vAlign w:val="bottom"/>
          </w:tcPr>
          <w:p w14:paraId="4335E2C4"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516" w:name="_Toc146546243"/>
            <w:bookmarkStart w:id="517" w:name="_Toc146552512"/>
            <w:r>
              <w:rPr>
                <w:rFonts w:ascii="Calibri" w:hAnsi="Calibri" w:cs="Calibri"/>
                <w:color w:val="000000"/>
                <w:sz w:val="18"/>
                <w:szCs w:val="18"/>
              </w:rPr>
              <w:t>Certificate Fee</w:t>
            </w:r>
            <w:bookmarkEnd w:id="516"/>
            <w:bookmarkEnd w:id="517"/>
          </w:p>
        </w:tc>
        <w:tc>
          <w:tcPr>
            <w:tcW w:w="1207" w:type="dxa"/>
            <w:shd w:val="clear" w:color="auto" w:fill="auto"/>
            <w:noWrap/>
            <w:vAlign w:val="bottom"/>
          </w:tcPr>
          <w:p w14:paraId="05494F26"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18" w:name="_Toc146546244"/>
            <w:bookmarkStart w:id="519" w:name="_Toc146552513"/>
            <w:r w:rsidRPr="00CF775D">
              <w:rPr>
                <w:rFonts w:ascii="Calibri" w:hAnsi="Calibri" w:cs="Calibri"/>
                <w:color w:val="000000" w:themeColor="text1"/>
                <w:sz w:val="18"/>
                <w:szCs w:val="18"/>
              </w:rPr>
              <w:t>$345</w:t>
            </w:r>
            <w:bookmarkEnd w:id="518"/>
            <w:bookmarkEnd w:id="519"/>
          </w:p>
        </w:tc>
        <w:tc>
          <w:tcPr>
            <w:tcW w:w="1207" w:type="dxa"/>
            <w:shd w:val="clear" w:color="auto" w:fill="auto"/>
            <w:noWrap/>
            <w:vAlign w:val="bottom"/>
          </w:tcPr>
          <w:p w14:paraId="686E2564"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20" w:name="_Toc146546245"/>
            <w:bookmarkStart w:id="521" w:name="_Toc146552514"/>
            <w:r w:rsidRPr="00CF775D">
              <w:rPr>
                <w:rFonts w:ascii="Calibri" w:hAnsi="Calibri" w:cs="Calibri"/>
                <w:color w:val="000000" w:themeColor="text1"/>
                <w:sz w:val="18"/>
                <w:szCs w:val="18"/>
              </w:rPr>
              <w:t>$500</w:t>
            </w:r>
            <w:bookmarkEnd w:id="520"/>
            <w:bookmarkEnd w:id="521"/>
          </w:p>
        </w:tc>
      </w:tr>
      <w:tr w:rsidR="00BC26FE" w:rsidRPr="00F662D9" w14:paraId="2BF50C4A" w14:textId="77777777">
        <w:trPr>
          <w:trHeight w:val="300"/>
        </w:trPr>
        <w:tc>
          <w:tcPr>
            <w:tcW w:w="5524" w:type="dxa"/>
            <w:shd w:val="clear" w:color="auto" w:fill="auto"/>
            <w:noWrap/>
            <w:vAlign w:val="bottom"/>
          </w:tcPr>
          <w:p w14:paraId="040D2846"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highlight w:val="yellow"/>
                <w:lang w:eastAsia="en-AU"/>
              </w:rPr>
            </w:pPr>
            <w:bookmarkStart w:id="522" w:name="_Toc146546249"/>
            <w:bookmarkStart w:id="523" w:name="_Toc146552518"/>
            <w:r>
              <w:rPr>
                <w:rFonts w:ascii="Calibri" w:hAnsi="Calibri" w:cs="Calibri"/>
                <w:color w:val="000000"/>
                <w:sz w:val="18"/>
                <w:szCs w:val="18"/>
              </w:rPr>
              <w:t>Annual Maintenance of a Granted PBR (by preferred means)</w:t>
            </w:r>
            <w:bookmarkEnd w:id="522"/>
            <w:bookmarkEnd w:id="523"/>
          </w:p>
        </w:tc>
        <w:tc>
          <w:tcPr>
            <w:tcW w:w="1207" w:type="dxa"/>
            <w:shd w:val="clear" w:color="auto" w:fill="auto"/>
            <w:noWrap/>
            <w:vAlign w:val="bottom"/>
          </w:tcPr>
          <w:p w14:paraId="07CEC87F"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24" w:name="_Toc146546250"/>
            <w:bookmarkStart w:id="525" w:name="_Toc146552519"/>
            <w:r w:rsidRPr="00CF775D">
              <w:rPr>
                <w:rFonts w:ascii="Calibri" w:hAnsi="Calibri" w:cs="Calibri"/>
                <w:color w:val="000000" w:themeColor="text1"/>
                <w:sz w:val="18"/>
                <w:szCs w:val="18"/>
              </w:rPr>
              <w:t>$400</w:t>
            </w:r>
            <w:bookmarkEnd w:id="524"/>
            <w:bookmarkEnd w:id="525"/>
          </w:p>
        </w:tc>
        <w:tc>
          <w:tcPr>
            <w:tcW w:w="1207" w:type="dxa"/>
            <w:shd w:val="clear" w:color="auto" w:fill="auto"/>
            <w:noWrap/>
            <w:vAlign w:val="bottom"/>
          </w:tcPr>
          <w:p w14:paraId="22EE530E"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26" w:name="_Toc146546251"/>
            <w:bookmarkStart w:id="527" w:name="_Toc146552520"/>
            <w:r w:rsidRPr="00CF775D">
              <w:rPr>
                <w:rFonts w:ascii="Calibri" w:hAnsi="Calibri" w:cs="Calibri"/>
                <w:color w:val="000000" w:themeColor="text1"/>
                <w:sz w:val="18"/>
                <w:szCs w:val="18"/>
              </w:rPr>
              <w:t>$</w:t>
            </w:r>
            <w:r>
              <w:rPr>
                <w:rFonts w:ascii="Calibri" w:hAnsi="Calibri" w:cs="Calibri"/>
                <w:color w:val="000000" w:themeColor="text1"/>
                <w:sz w:val="18"/>
                <w:szCs w:val="18"/>
              </w:rPr>
              <w:t>600</w:t>
            </w:r>
            <w:bookmarkEnd w:id="526"/>
            <w:bookmarkEnd w:id="527"/>
          </w:p>
        </w:tc>
      </w:tr>
      <w:tr w:rsidR="00BC26FE" w:rsidRPr="00F662D9" w14:paraId="56A696E6" w14:textId="77777777">
        <w:trPr>
          <w:trHeight w:val="300"/>
        </w:trPr>
        <w:tc>
          <w:tcPr>
            <w:tcW w:w="5524" w:type="dxa"/>
            <w:shd w:val="clear" w:color="auto" w:fill="auto"/>
            <w:noWrap/>
            <w:vAlign w:val="bottom"/>
          </w:tcPr>
          <w:p w14:paraId="72E5424E"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highlight w:val="yellow"/>
                <w:lang w:eastAsia="en-AU"/>
              </w:rPr>
            </w:pPr>
            <w:bookmarkStart w:id="528" w:name="_Toc146546246"/>
            <w:bookmarkStart w:id="529" w:name="_Toc146552515"/>
            <w:r>
              <w:rPr>
                <w:rFonts w:ascii="Calibri" w:hAnsi="Calibri" w:cs="Calibri"/>
                <w:color w:val="000000"/>
                <w:sz w:val="18"/>
                <w:szCs w:val="18"/>
              </w:rPr>
              <w:t>Annual Maintenance of a Granted PBR (by another means)</w:t>
            </w:r>
            <w:bookmarkEnd w:id="528"/>
            <w:bookmarkEnd w:id="529"/>
          </w:p>
        </w:tc>
        <w:tc>
          <w:tcPr>
            <w:tcW w:w="1207" w:type="dxa"/>
            <w:shd w:val="clear" w:color="auto" w:fill="auto"/>
            <w:noWrap/>
            <w:vAlign w:val="bottom"/>
          </w:tcPr>
          <w:p w14:paraId="602D98DB"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30" w:name="_Toc146546247"/>
            <w:bookmarkStart w:id="531" w:name="_Toc146552516"/>
            <w:r w:rsidRPr="00CF775D">
              <w:rPr>
                <w:rFonts w:ascii="Calibri" w:hAnsi="Calibri" w:cs="Calibri"/>
                <w:color w:val="000000" w:themeColor="text1"/>
                <w:sz w:val="18"/>
                <w:szCs w:val="18"/>
              </w:rPr>
              <w:t>$450</w:t>
            </w:r>
            <w:bookmarkEnd w:id="530"/>
            <w:bookmarkEnd w:id="531"/>
          </w:p>
        </w:tc>
        <w:tc>
          <w:tcPr>
            <w:tcW w:w="1207" w:type="dxa"/>
            <w:shd w:val="clear" w:color="auto" w:fill="auto"/>
            <w:noWrap/>
            <w:vAlign w:val="bottom"/>
          </w:tcPr>
          <w:p w14:paraId="504DE066"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32" w:name="_Toc146546248"/>
            <w:bookmarkStart w:id="533" w:name="_Toc146552517"/>
            <w:r w:rsidRPr="00CF775D">
              <w:rPr>
                <w:rFonts w:ascii="Calibri" w:hAnsi="Calibri" w:cs="Calibri"/>
                <w:color w:val="000000" w:themeColor="text1"/>
                <w:sz w:val="18"/>
                <w:szCs w:val="18"/>
              </w:rPr>
              <w:t>$</w:t>
            </w:r>
            <w:r>
              <w:rPr>
                <w:rFonts w:ascii="Calibri" w:hAnsi="Calibri" w:cs="Calibri"/>
                <w:color w:val="000000" w:themeColor="text1"/>
                <w:sz w:val="18"/>
                <w:szCs w:val="18"/>
              </w:rPr>
              <w:t>650</w:t>
            </w:r>
            <w:bookmarkEnd w:id="532"/>
            <w:bookmarkEnd w:id="533"/>
          </w:p>
        </w:tc>
      </w:tr>
    </w:tbl>
    <w:p w14:paraId="4FF7DA55" w14:textId="77777777" w:rsidR="00BC26FE" w:rsidRPr="00F61478" w:rsidRDefault="00BC26FE" w:rsidP="00965C6C">
      <w:pPr>
        <w:pStyle w:val="NoSpacing"/>
        <w:spacing w:before="240"/>
        <w:rPr>
          <w:iCs/>
          <w:sz w:val="16"/>
          <w:szCs w:val="16"/>
          <w:lang w:eastAsia="en-AU"/>
        </w:rPr>
      </w:pPr>
    </w:p>
    <w:tbl>
      <w:tblPr>
        <w:tblW w:w="793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24"/>
        <w:gridCol w:w="1207"/>
        <w:gridCol w:w="1207"/>
      </w:tblGrid>
      <w:tr w:rsidR="00BC26FE" w:rsidRPr="00FE42BF" w14:paraId="7CF3F6E5" w14:textId="77777777">
        <w:trPr>
          <w:trHeight w:val="283"/>
        </w:trPr>
        <w:tc>
          <w:tcPr>
            <w:tcW w:w="5524" w:type="dxa"/>
            <w:tcBorders>
              <w:top w:val="single" w:sz="4" w:space="0" w:color="auto"/>
              <w:left w:val="single" w:sz="4" w:space="0" w:color="auto"/>
              <w:bottom w:val="single" w:sz="4" w:space="0" w:color="auto"/>
              <w:right w:val="nil"/>
            </w:tcBorders>
            <w:shd w:val="clear" w:color="000000" w:fill="C5D9F1"/>
            <w:noWrap/>
            <w:vAlign w:val="bottom"/>
            <w:hideMark/>
          </w:tcPr>
          <w:p w14:paraId="727FD47B" w14:textId="77777777" w:rsidR="00BC26FE" w:rsidRPr="00FE42BF" w:rsidRDefault="00BC26FE">
            <w:pPr>
              <w:spacing w:after="0" w:line="240" w:lineRule="auto"/>
              <w:outlineLvl w:val="0"/>
              <w:rPr>
                <w:rFonts w:ascii="Calibri" w:eastAsia="Times New Roman" w:hAnsi="Calibri" w:cs="Calibri"/>
                <w:b/>
                <w:bCs/>
                <w:color w:val="0070C0"/>
                <w:sz w:val="20"/>
                <w:szCs w:val="20"/>
                <w:lang w:eastAsia="en-AU"/>
              </w:rPr>
            </w:pPr>
            <w:bookmarkStart w:id="534" w:name="_Toc146546252"/>
            <w:bookmarkStart w:id="535" w:name="_Toc146552521"/>
            <w:r w:rsidRPr="00FE42BF">
              <w:rPr>
                <w:rFonts w:ascii="Calibri" w:eastAsia="Times New Roman" w:hAnsi="Calibri" w:cs="Calibri"/>
                <w:b/>
                <w:bCs/>
                <w:color w:val="000000" w:themeColor="text1"/>
                <w:sz w:val="20"/>
                <w:szCs w:val="20"/>
                <w:lang w:eastAsia="en-AU"/>
              </w:rPr>
              <w:lastRenderedPageBreak/>
              <w:t>Trans-Tasman IP Attorney Fees</w:t>
            </w:r>
            <w:bookmarkEnd w:id="534"/>
            <w:bookmarkEnd w:id="535"/>
          </w:p>
        </w:tc>
        <w:tc>
          <w:tcPr>
            <w:tcW w:w="1207" w:type="dxa"/>
            <w:tcBorders>
              <w:top w:val="single" w:sz="4" w:space="0" w:color="auto"/>
              <w:left w:val="nil"/>
              <w:bottom w:val="single" w:sz="4" w:space="0" w:color="auto"/>
              <w:right w:val="nil"/>
            </w:tcBorders>
            <w:shd w:val="clear" w:color="000000" w:fill="C5D9F1"/>
            <w:noWrap/>
            <w:vAlign w:val="bottom"/>
            <w:hideMark/>
          </w:tcPr>
          <w:p w14:paraId="2D075837" w14:textId="77777777" w:rsidR="00BC26FE" w:rsidRPr="00FE42BF" w:rsidRDefault="00BC26FE">
            <w:pPr>
              <w:spacing w:after="0" w:line="240" w:lineRule="auto"/>
              <w:jc w:val="right"/>
              <w:outlineLvl w:val="0"/>
              <w:rPr>
                <w:rFonts w:ascii="Calibri" w:eastAsia="Times New Roman" w:hAnsi="Calibri" w:cs="Calibri"/>
                <w:b/>
                <w:bCs/>
                <w:color w:val="000000"/>
                <w:sz w:val="20"/>
                <w:szCs w:val="20"/>
                <w:lang w:eastAsia="en-AU"/>
              </w:rPr>
            </w:pPr>
            <w:r w:rsidRPr="00FE42BF">
              <w:rPr>
                <w:rFonts w:ascii="Calibri" w:eastAsia="Times New Roman" w:hAnsi="Calibri" w:cs="Calibri"/>
                <w:b/>
                <w:bCs/>
                <w:color w:val="000000" w:themeColor="text1"/>
                <w:sz w:val="20"/>
                <w:szCs w:val="20"/>
                <w:lang w:eastAsia="en-AU"/>
              </w:rPr>
              <w:t> </w:t>
            </w:r>
            <w:bookmarkStart w:id="536" w:name="_Toc146546253"/>
            <w:bookmarkStart w:id="537" w:name="_Toc146552522"/>
            <w:r w:rsidRPr="00FE42BF">
              <w:rPr>
                <w:rFonts w:ascii="Calibri" w:eastAsia="Times New Roman" w:hAnsi="Calibri" w:cs="Calibri"/>
                <w:b/>
                <w:bCs/>
                <w:color w:val="000000" w:themeColor="text1"/>
                <w:sz w:val="20"/>
                <w:szCs w:val="20"/>
                <w:lang w:eastAsia="en-AU"/>
              </w:rPr>
              <w:t>Old Fee</w:t>
            </w:r>
            <w:bookmarkEnd w:id="536"/>
            <w:bookmarkEnd w:id="537"/>
          </w:p>
        </w:tc>
        <w:tc>
          <w:tcPr>
            <w:tcW w:w="1207" w:type="dxa"/>
            <w:tcBorders>
              <w:top w:val="single" w:sz="4" w:space="0" w:color="auto"/>
              <w:left w:val="nil"/>
              <w:bottom w:val="single" w:sz="4" w:space="0" w:color="auto"/>
              <w:right w:val="single" w:sz="4" w:space="0" w:color="auto"/>
            </w:tcBorders>
            <w:shd w:val="clear" w:color="000000" w:fill="C5D9F1"/>
            <w:noWrap/>
            <w:vAlign w:val="bottom"/>
            <w:hideMark/>
          </w:tcPr>
          <w:p w14:paraId="0DCFEE41" w14:textId="77777777" w:rsidR="00BC26FE" w:rsidRPr="00FE42BF" w:rsidRDefault="00BC26FE">
            <w:pPr>
              <w:spacing w:after="0" w:line="240" w:lineRule="auto"/>
              <w:jc w:val="right"/>
              <w:outlineLvl w:val="0"/>
              <w:rPr>
                <w:rFonts w:ascii="Calibri" w:eastAsia="Times New Roman" w:hAnsi="Calibri" w:cs="Calibri"/>
                <w:b/>
                <w:bCs/>
                <w:color w:val="000000" w:themeColor="text1"/>
                <w:sz w:val="20"/>
                <w:szCs w:val="20"/>
                <w:lang w:eastAsia="en-AU"/>
              </w:rPr>
            </w:pPr>
            <w:bookmarkStart w:id="538" w:name="_Toc146546254"/>
            <w:bookmarkStart w:id="539" w:name="_Toc146552523"/>
            <w:r w:rsidRPr="00FE42BF">
              <w:rPr>
                <w:rFonts w:ascii="Calibri" w:eastAsia="Times New Roman" w:hAnsi="Calibri" w:cs="Calibri"/>
                <w:b/>
                <w:bCs/>
                <w:color w:val="000000" w:themeColor="text1"/>
                <w:sz w:val="20"/>
                <w:szCs w:val="20"/>
                <w:lang w:eastAsia="en-AU"/>
              </w:rPr>
              <w:t>New Fee</w:t>
            </w:r>
            <w:bookmarkEnd w:id="538"/>
            <w:bookmarkEnd w:id="539"/>
            <w:r w:rsidRPr="00FE42BF">
              <w:rPr>
                <w:rFonts w:ascii="Calibri" w:eastAsia="Times New Roman" w:hAnsi="Calibri" w:cs="Calibri"/>
                <w:b/>
                <w:bCs/>
                <w:color w:val="000000" w:themeColor="text1"/>
                <w:sz w:val="20"/>
                <w:szCs w:val="20"/>
                <w:lang w:eastAsia="en-AU"/>
              </w:rPr>
              <w:t> </w:t>
            </w:r>
          </w:p>
        </w:tc>
      </w:tr>
      <w:tr w:rsidR="00BC26FE" w:rsidRPr="00153E10" w14:paraId="40A62639" w14:textId="77777777">
        <w:trPr>
          <w:trHeight w:val="283"/>
        </w:trPr>
        <w:tc>
          <w:tcPr>
            <w:tcW w:w="5524" w:type="dxa"/>
            <w:tcBorders>
              <w:top w:val="single" w:sz="4" w:space="0" w:color="auto"/>
            </w:tcBorders>
            <w:shd w:val="clear" w:color="000000" w:fill="D9D9D9"/>
            <w:noWrap/>
            <w:vAlign w:val="bottom"/>
            <w:hideMark/>
          </w:tcPr>
          <w:p w14:paraId="3653B3BE" w14:textId="77777777" w:rsidR="00BC26FE" w:rsidRPr="00F662D9" w:rsidRDefault="00BC26FE">
            <w:pPr>
              <w:spacing w:after="0" w:line="240" w:lineRule="auto"/>
              <w:ind w:firstLineChars="100" w:firstLine="180"/>
              <w:outlineLvl w:val="0"/>
              <w:rPr>
                <w:rFonts w:ascii="Calibri" w:eastAsia="Times New Roman" w:hAnsi="Calibri" w:cs="Calibri"/>
                <w:color w:val="0070C0"/>
                <w:sz w:val="18"/>
                <w:szCs w:val="18"/>
                <w:lang w:eastAsia="en-AU"/>
              </w:rPr>
            </w:pPr>
            <w:bookmarkStart w:id="540" w:name="_Toc146546255"/>
            <w:bookmarkStart w:id="541" w:name="_Toc146552524"/>
            <w:r w:rsidRPr="00AB7D56">
              <w:rPr>
                <w:rFonts w:ascii="Calibri" w:hAnsi="Calibri" w:cs="Calibri"/>
                <w:color w:val="1F3864" w:themeColor="accent1" w:themeShade="80"/>
                <w:sz w:val="18"/>
                <w:szCs w:val="18"/>
              </w:rPr>
              <w:t>TTIPA Renewal of Registration</w:t>
            </w:r>
            <w:bookmarkEnd w:id="540"/>
            <w:bookmarkEnd w:id="541"/>
            <w:r w:rsidRPr="00AB7D56">
              <w:rPr>
                <w:rFonts w:ascii="Calibri" w:hAnsi="Calibri" w:cs="Calibri"/>
                <w:color w:val="1F3864" w:themeColor="accent1" w:themeShade="80"/>
                <w:sz w:val="18"/>
                <w:szCs w:val="18"/>
              </w:rPr>
              <w:t xml:space="preserve"> – Patent attorneys</w:t>
            </w:r>
          </w:p>
        </w:tc>
        <w:tc>
          <w:tcPr>
            <w:tcW w:w="1207" w:type="dxa"/>
            <w:tcBorders>
              <w:top w:val="single" w:sz="4" w:space="0" w:color="auto"/>
            </w:tcBorders>
            <w:shd w:val="clear" w:color="000000" w:fill="D9D9D9"/>
            <w:noWrap/>
            <w:vAlign w:val="bottom"/>
            <w:hideMark/>
          </w:tcPr>
          <w:p w14:paraId="44233FF0" w14:textId="77777777" w:rsidR="00BC26FE" w:rsidRPr="00F662D9" w:rsidRDefault="00BC26FE">
            <w:pPr>
              <w:spacing w:after="0" w:line="240" w:lineRule="auto"/>
              <w:outlineLvl w:val="0"/>
              <w:rPr>
                <w:rFonts w:ascii="Calibri" w:eastAsia="Times New Roman" w:hAnsi="Calibri" w:cs="Calibri"/>
                <w:color w:val="000000"/>
                <w:sz w:val="18"/>
                <w:szCs w:val="18"/>
                <w:lang w:eastAsia="en-AU"/>
              </w:rPr>
            </w:pPr>
            <w:r>
              <w:rPr>
                <w:rFonts w:ascii="Calibri" w:hAnsi="Calibri" w:cs="Calibri"/>
                <w:color w:val="000000"/>
                <w:sz w:val="18"/>
                <w:szCs w:val="18"/>
              </w:rPr>
              <w:t> </w:t>
            </w:r>
          </w:p>
        </w:tc>
        <w:tc>
          <w:tcPr>
            <w:tcW w:w="1207" w:type="dxa"/>
            <w:tcBorders>
              <w:top w:val="single" w:sz="4" w:space="0" w:color="auto"/>
            </w:tcBorders>
            <w:shd w:val="clear" w:color="000000" w:fill="D9D9D9"/>
            <w:noWrap/>
            <w:vAlign w:val="bottom"/>
            <w:hideMark/>
          </w:tcPr>
          <w:p w14:paraId="1758B1B5" w14:textId="77777777" w:rsidR="00BC26FE" w:rsidRPr="00F662D9" w:rsidRDefault="00BC26FE">
            <w:pPr>
              <w:spacing w:after="0" w:line="240" w:lineRule="auto"/>
              <w:outlineLvl w:val="0"/>
              <w:rPr>
                <w:rFonts w:ascii="Calibri" w:eastAsia="Times New Roman" w:hAnsi="Calibri" w:cs="Calibri"/>
                <w:color w:val="000000" w:themeColor="text1"/>
                <w:sz w:val="18"/>
                <w:szCs w:val="18"/>
                <w:lang w:eastAsia="en-AU"/>
              </w:rPr>
            </w:pPr>
            <w:r w:rsidRPr="00153E10">
              <w:rPr>
                <w:rFonts w:ascii="Calibri" w:hAnsi="Calibri" w:cs="Calibri"/>
                <w:color w:val="000000" w:themeColor="text1"/>
                <w:sz w:val="18"/>
                <w:szCs w:val="18"/>
              </w:rPr>
              <w:t> </w:t>
            </w:r>
          </w:p>
        </w:tc>
      </w:tr>
      <w:tr w:rsidR="00BC26FE" w:rsidRPr="00F662D9" w14:paraId="7E0FA962" w14:textId="77777777">
        <w:trPr>
          <w:trHeight w:val="300"/>
        </w:trPr>
        <w:tc>
          <w:tcPr>
            <w:tcW w:w="5524" w:type="dxa"/>
            <w:shd w:val="clear" w:color="auto" w:fill="auto"/>
            <w:noWrap/>
            <w:vAlign w:val="bottom"/>
            <w:hideMark/>
          </w:tcPr>
          <w:p w14:paraId="41153EC2"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542" w:name="_Toc146546256"/>
            <w:bookmarkStart w:id="543" w:name="_Toc146552525"/>
            <w:r>
              <w:rPr>
                <w:rFonts w:ascii="Calibri" w:hAnsi="Calibri" w:cs="Calibri"/>
                <w:color w:val="000000"/>
                <w:sz w:val="18"/>
                <w:szCs w:val="18"/>
              </w:rPr>
              <w:t>Patent Attorney Annual Registration</w:t>
            </w:r>
            <w:bookmarkEnd w:id="542"/>
            <w:bookmarkEnd w:id="543"/>
          </w:p>
        </w:tc>
        <w:tc>
          <w:tcPr>
            <w:tcW w:w="1207" w:type="dxa"/>
            <w:shd w:val="clear" w:color="auto" w:fill="auto"/>
            <w:noWrap/>
            <w:vAlign w:val="bottom"/>
            <w:hideMark/>
          </w:tcPr>
          <w:p w14:paraId="67158173"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44" w:name="_Toc146546257"/>
            <w:bookmarkStart w:id="545" w:name="_Toc146552526"/>
            <w:r>
              <w:rPr>
                <w:rFonts w:ascii="Calibri" w:hAnsi="Calibri" w:cs="Calibri"/>
                <w:color w:val="000000"/>
                <w:sz w:val="18"/>
                <w:szCs w:val="18"/>
              </w:rPr>
              <w:t>$400</w:t>
            </w:r>
            <w:bookmarkEnd w:id="544"/>
            <w:bookmarkEnd w:id="545"/>
          </w:p>
        </w:tc>
        <w:tc>
          <w:tcPr>
            <w:tcW w:w="1207" w:type="dxa"/>
            <w:shd w:val="clear" w:color="auto" w:fill="auto"/>
            <w:noWrap/>
            <w:vAlign w:val="bottom"/>
            <w:hideMark/>
          </w:tcPr>
          <w:p w14:paraId="3F1404F9" w14:textId="77777777" w:rsidR="00BC26FE" w:rsidRPr="00564667" w:rsidRDefault="00BC26FE">
            <w:pPr>
              <w:spacing w:after="0" w:line="240" w:lineRule="auto"/>
              <w:jc w:val="right"/>
              <w:outlineLvl w:val="0"/>
              <w:rPr>
                <w:rFonts w:ascii="Calibri" w:eastAsia="Times New Roman" w:hAnsi="Calibri" w:cs="Calibri"/>
                <w:sz w:val="18"/>
                <w:szCs w:val="18"/>
                <w:lang w:eastAsia="en-AU"/>
              </w:rPr>
            </w:pPr>
            <w:bookmarkStart w:id="546" w:name="_Toc146546258"/>
            <w:bookmarkStart w:id="547" w:name="_Toc146552527"/>
            <w:r w:rsidRPr="00564667">
              <w:rPr>
                <w:rFonts w:ascii="Calibri" w:hAnsi="Calibri" w:cs="Calibri"/>
                <w:sz w:val="18"/>
                <w:szCs w:val="18"/>
              </w:rPr>
              <w:t>$450</w:t>
            </w:r>
            <w:bookmarkEnd w:id="546"/>
            <w:bookmarkEnd w:id="547"/>
          </w:p>
        </w:tc>
      </w:tr>
      <w:tr w:rsidR="00BC26FE" w:rsidRPr="00F662D9" w14:paraId="14CE7524" w14:textId="77777777">
        <w:trPr>
          <w:trHeight w:val="300"/>
        </w:trPr>
        <w:tc>
          <w:tcPr>
            <w:tcW w:w="5524" w:type="dxa"/>
            <w:shd w:val="clear" w:color="auto" w:fill="auto"/>
            <w:noWrap/>
            <w:vAlign w:val="bottom"/>
          </w:tcPr>
          <w:p w14:paraId="39E20824" w14:textId="77777777" w:rsidR="00BC26FE" w:rsidRDefault="00BC26FE">
            <w:pPr>
              <w:spacing w:after="0" w:line="240" w:lineRule="auto"/>
              <w:ind w:firstLineChars="200" w:firstLine="360"/>
              <w:outlineLvl w:val="0"/>
              <w:rPr>
                <w:rFonts w:ascii="Calibri" w:hAnsi="Calibri" w:cs="Calibri"/>
                <w:color w:val="000000"/>
                <w:sz w:val="18"/>
                <w:szCs w:val="18"/>
              </w:rPr>
            </w:pPr>
            <w:r>
              <w:rPr>
                <w:rFonts w:ascii="Calibri" w:hAnsi="Calibri" w:cs="Calibri"/>
                <w:color w:val="000000"/>
                <w:sz w:val="18"/>
                <w:szCs w:val="18"/>
              </w:rPr>
              <w:t>Annual Patent &amp; TM Attorney Registration</w:t>
            </w:r>
          </w:p>
        </w:tc>
        <w:tc>
          <w:tcPr>
            <w:tcW w:w="1207" w:type="dxa"/>
            <w:shd w:val="clear" w:color="auto" w:fill="auto"/>
            <w:noWrap/>
            <w:vAlign w:val="bottom"/>
          </w:tcPr>
          <w:p w14:paraId="2F5F2A84" w14:textId="77777777" w:rsidR="00BC26FE" w:rsidRDefault="00BC26FE">
            <w:pPr>
              <w:spacing w:after="0" w:line="240" w:lineRule="auto"/>
              <w:jc w:val="right"/>
              <w:outlineLvl w:val="0"/>
              <w:rPr>
                <w:rFonts w:ascii="Calibri" w:hAnsi="Calibri" w:cs="Calibri"/>
                <w:color w:val="000000"/>
                <w:sz w:val="18"/>
                <w:szCs w:val="18"/>
              </w:rPr>
            </w:pPr>
            <w:r>
              <w:rPr>
                <w:rFonts w:ascii="Calibri" w:hAnsi="Calibri" w:cs="Calibri"/>
                <w:color w:val="000000"/>
                <w:sz w:val="18"/>
                <w:szCs w:val="18"/>
              </w:rPr>
              <w:t>$600</w:t>
            </w:r>
          </w:p>
        </w:tc>
        <w:tc>
          <w:tcPr>
            <w:tcW w:w="1207" w:type="dxa"/>
            <w:shd w:val="clear" w:color="auto" w:fill="auto"/>
            <w:noWrap/>
            <w:vAlign w:val="bottom"/>
          </w:tcPr>
          <w:p w14:paraId="70EED0D5" w14:textId="77777777" w:rsidR="00BC26FE" w:rsidRPr="00564667" w:rsidRDefault="00BC26FE">
            <w:pPr>
              <w:spacing w:after="0" w:line="240" w:lineRule="auto"/>
              <w:jc w:val="right"/>
              <w:outlineLvl w:val="0"/>
              <w:rPr>
                <w:rFonts w:ascii="Calibri" w:hAnsi="Calibri" w:cs="Calibri"/>
                <w:sz w:val="18"/>
                <w:szCs w:val="18"/>
              </w:rPr>
            </w:pPr>
            <w:r w:rsidRPr="00564667">
              <w:rPr>
                <w:rFonts w:ascii="Calibri" w:hAnsi="Calibri" w:cs="Calibri"/>
                <w:sz w:val="18"/>
                <w:szCs w:val="18"/>
              </w:rPr>
              <w:t>$650</w:t>
            </w:r>
          </w:p>
        </w:tc>
      </w:tr>
      <w:tr w:rsidR="00BC26FE" w:rsidRPr="00F662D9" w14:paraId="2F041CD0" w14:textId="77777777">
        <w:trPr>
          <w:trHeight w:val="300"/>
        </w:trPr>
        <w:tc>
          <w:tcPr>
            <w:tcW w:w="5524" w:type="dxa"/>
            <w:shd w:val="clear" w:color="auto" w:fill="auto"/>
            <w:noWrap/>
            <w:vAlign w:val="bottom"/>
            <w:hideMark/>
          </w:tcPr>
          <w:p w14:paraId="4F709FFF"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548" w:name="_Toc146546259"/>
            <w:bookmarkStart w:id="549" w:name="_Toc146552528"/>
            <w:r>
              <w:rPr>
                <w:rFonts w:ascii="Calibri" w:hAnsi="Calibri" w:cs="Calibri"/>
                <w:color w:val="000000"/>
                <w:sz w:val="18"/>
                <w:szCs w:val="18"/>
              </w:rPr>
              <w:t>Restore Patent Attorney Name to Register</w:t>
            </w:r>
            <w:bookmarkEnd w:id="548"/>
            <w:bookmarkEnd w:id="549"/>
          </w:p>
        </w:tc>
        <w:tc>
          <w:tcPr>
            <w:tcW w:w="1207" w:type="dxa"/>
            <w:shd w:val="clear" w:color="auto" w:fill="auto"/>
            <w:noWrap/>
            <w:vAlign w:val="bottom"/>
            <w:hideMark/>
          </w:tcPr>
          <w:p w14:paraId="2EB6E323"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50" w:name="_Toc146546260"/>
            <w:bookmarkStart w:id="551" w:name="_Toc146552529"/>
            <w:r>
              <w:rPr>
                <w:rFonts w:ascii="Calibri" w:hAnsi="Calibri" w:cs="Calibri"/>
                <w:color w:val="000000"/>
                <w:sz w:val="18"/>
                <w:szCs w:val="18"/>
              </w:rPr>
              <w:t>$300</w:t>
            </w:r>
            <w:bookmarkEnd w:id="550"/>
            <w:bookmarkEnd w:id="551"/>
          </w:p>
        </w:tc>
        <w:tc>
          <w:tcPr>
            <w:tcW w:w="1207" w:type="dxa"/>
            <w:shd w:val="clear" w:color="auto" w:fill="auto"/>
            <w:noWrap/>
            <w:vAlign w:val="bottom"/>
            <w:hideMark/>
          </w:tcPr>
          <w:p w14:paraId="393485F7" w14:textId="77777777" w:rsidR="00BC26FE" w:rsidRPr="00564667" w:rsidRDefault="00BC26FE">
            <w:pPr>
              <w:spacing w:after="0" w:line="240" w:lineRule="auto"/>
              <w:jc w:val="right"/>
              <w:outlineLvl w:val="0"/>
              <w:rPr>
                <w:rFonts w:ascii="Calibri" w:eastAsia="Times New Roman" w:hAnsi="Calibri" w:cs="Calibri"/>
                <w:sz w:val="18"/>
                <w:szCs w:val="18"/>
                <w:lang w:eastAsia="en-AU"/>
              </w:rPr>
            </w:pPr>
            <w:bookmarkStart w:id="552" w:name="_Toc146546261"/>
            <w:bookmarkStart w:id="553" w:name="_Toc146552530"/>
            <w:r w:rsidRPr="00564667">
              <w:rPr>
                <w:rFonts w:ascii="Calibri" w:hAnsi="Calibri" w:cs="Calibri"/>
                <w:sz w:val="18"/>
                <w:szCs w:val="18"/>
              </w:rPr>
              <w:t>$350</w:t>
            </w:r>
            <w:bookmarkEnd w:id="552"/>
            <w:bookmarkEnd w:id="553"/>
          </w:p>
        </w:tc>
      </w:tr>
      <w:tr w:rsidR="00BC26FE" w:rsidRPr="00F662D9" w14:paraId="59D3AF71" w14:textId="77777777">
        <w:trPr>
          <w:trHeight w:val="300"/>
        </w:trPr>
        <w:tc>
          <w:tcPr>
            <w:tcW w:w="5524" w:type="dxa"/>
            <w:shd w:val="clear" w:color="auto" w:fill="auto"/>
            <w:noWrap/>
            <w:vAlign w:val="bottom"/>
          </w:tcPr>
          <w:p w14:paraId="4BD2275C" w14:textId="77777777" w:rsidR="00BC26FE" w:rsidRDefault="00BC26FE">
            <w:pPr>
              <w:spacing w:after="0" w:line="240" w:lineRule="auto"/>
              <w:ind w:firstLineChars="200" w:firstLine="360"/>
              <w:outlineLvl w:val="0"/>
              <w:rPr>
                <w:rFonts w:ascii="Calibri" w:hAnsi="Calibri" w:cs="Calibri"/>
                <w:color w:val="000000"/>
                <w:sz w:val="18"/>
                <w:szCs w:val="18"/>
              </w:rPr>
            </w:pPr>
            <w:r>
              <w:rPr>
                <w:rFonts w:ascii="Calibri" w:hAnsi="Calibri" w:cs="Calibri"/>
                <w:color w:val="000000"/>
                <w:sz w:val="18"/>
                <w:szCs w:val="18"/>
              </w:rPr>
              <w:t>Annual Registration as incorporated Patent Attorney</w:t>
            </w:r>
          </w:p>
        </w:tc>
        <w:tc>
          <w:tcPr>
            <w:tcW w:w="1207" w:type="dxa"/>
            <w:shd w:val="clear" w:color="auto" w:fill="auto"/>
            <w:noWrap/>
            <w:vAlign w:val="bottom"/>
          </w:tcPr>
          <w:p w14:paraId="583CDF6B" w14:textId="77777777" w:rsidR="00BC26FE" w:rsidRDefault="00BC26FE">
            <w:pPr>
              <w:spacing w:after="0" w:line="240" w:lineRule="auto"/>
              <w:jc w:val="right"/>
              <w:outlineLvl w:val="0"/>
              <w:rPr>
                <w:rFonts w:ascii="Calibri" w:hAnsi="Calibri" w:cs="Calibri"/>
                <w:color w:val="000000"/>
                <w:sz w:val="18"/>
                <w:szCs w:val="18"/>
              </w:rPr>
            </w:pPr>
            <w:r>
              <w:rPr>
                <w:rFonts w:ascii="Calibri" w:hAnsi="Calibri" w:cs="Calibri"/>
                <w:color w:val="000000"/>
                <w:sz w:val="18"/>
                <w:szCs w:val="18"/>
              </w:rPr>
              <w:t>$400</w:t>
            </w:r>
          </w:p>
        </w:tc>
        <w:tc>
          <w:tcPr>
            <w:tcW w:w="1207" w:type="dxa"/>
            <w:shd w:val="clear" w:color="auto" w:fill="auto"/>
            <w:noWrap/>
            <w:vAlign w:val="bottom"/>
          </w:tcPr>
          <w:p w14:paraId="3253F466" w14:textId="77777777" w:rsidR="00BC26FE" w:rsidRPr="00564667" w:rsidRDefault="00BC26FE">
            <w:pPr>
              <w:spacing w:after="0" w:line="240" w:lineRule="auto"/>
              <w:jc w:val="right"/>
              <w:outlineLvl w:val="0"/>
              <w:rPr>
                <w:rFonts w:ascii="Calibri" w:hAnsi="Calibri" w:cs="Calibri"/>
                <w:sz w:val="18"/>
                <w:szCs w:val="18"/>
              </w:rPr>
            </w:pPr>
            <w:r w:rsidRPr="00564667">
              <w:rPr>
                <w:rFonts w:ascii="Calibri" w:hAnsi="Calibri" w:cs="Calibri"/>
                <w:sz w:val="18"/>
                <w:szCs w:val="18"/>
              </w:rPr>
              <w:t>$450</w:t>
            </w:r>
          </w:p>
        </w:tc>
      </w:tr>
      <w:tr w:rsidR="00BC26FE" w:rsidRPr="00F662D9" w14:paraId="57B88028" w14:textId="77777777">
        <w:trPr>
          <w:trHeight w:val="300"/>
        </w:trPr>
        <w:tc>
          <w:tcPr>
            <w:tcW w:w="5524" w:type="dxa"/>
            <w:shd w:val="clear" w:color="auto" w:fill="auto"/>
            <w:noWrap/>
            <w:vAlign w:val="bottom"/>
          </w:tcPr>
          <w:p w14:paraId="28FE5958" w14:textId="77777777" w:rsidR="00BC26FE" w:rsidRDefault="00BC26FE">
            <w:pPr>
              <w:spacing w:after="0" w:line="240" w:lineRule="auto"/>
              <w:ind w:firstLineChars="200" w:firstLine="360"/>
              <w:outlineLvl w:val="0"/>
              <w:rPr>
                <w:rFonts w:ascii="Calibri" w:hAnsi="Calibri" w:cs="Calibri"/>
                <w:color w:val="000000"/>
                <w:sz w:val="18"/>
                <w:szCs w:val="18"/>
              </w:rPr>
            </w:pPr>
            <w:r>
              <w:rPr>
                <w:rFonts w:ascii="Calibri" w:hAnsi="Calibri" w:cs="Calibri"/>
                <w:color w:val="000000"/>
                <w:sz w:val="18"/>
                <w:szCs w:val="18"/>
              </w:rPr>
              <w:t>Annual Registration combined incorporated Patent/TM Attorney</w:t>
            </w:r>
          </w:p>
        </w:tc>
        <w:tc>
          <w:tcPr>
            <w:tcW w:w="1207" w:type="dxa"/>
            <w:shd w:val="clear" w:color="auto" w:fill="auto"/>
            <w:noWrap/>
            <w:vAlign w:val="bottom"/>
          </w:tcPr>
          <w:p w14:paraId="40B64FE6" w14:textId="77777777" w:rsidR="00BC26FE" w:rsidRDefault="00BC26FE">
            <w:pPr>
              <w:spacing w:after="0" w:line="240" w:lineRule="auto"/>
              <w:jc w:val="right"/>
              <w:outlineLvl w:val="0"/>
              <w:rPr>
                <w:rFonts w:ascii="Calibri" w:hAnsi="Calibri" w:cs="Calibri"/>
                <w:color w:val="000000"/>
                <w:sz w:val="18"/>
                <w:szCs w:val="18"/>
              </w:rPr>
            </w:pPr>
            <w:r>
              <w:rPr>
                <w:rFonts w:ascii="Calibri" w:hAnsi="Calibri" w:cs="Calibri"/>
                <w:color w:val="000000"/>
                <w:sz w:val="18"/>
                <w:szCs w:val="18"/>
              </w:rPr>
              <w:t>$600</w:t>
            </w:r>
          </w:p>
        </w:tc>
        <w:tc>
          <w:tcPr>
            <w:tcW w:w="1207" w:type="dxa"/>
            <w:shd w:val="clear" w:color="auto" w:fill="auto"/>
            <w:noWrap/>
            <w:vAlign w:val="bottom"/>
          </w:tcPr>
          <w:p w14:paraId="2D23F69C" w14:textId="77777777" w:rsidR="00BC26FE" w:rsidRPr="00564667" w:rsidRDefault="00BC26FE">
            <w:pPr>
              <w:spacing w:after="0" w:line="240" w:lineRule="auto"/>
              <w:jc w:val="right"/>
              <w:outlineLvl w:val="0"/>
              <w:rPr>
                <w:rFonts w:ascii="Calibri" w:hAnsi="Calibri" w:cs="Calibri"/>
                <w:sz w:val="18"/>
                <w:szCs w:val="18"/>
              </w:rPr>
            </w:pPr>
            <w:r w:rsidRPr="00564667">
              <w:rPr>
                <w:rFonts w:ascii="Calibri" w:hAnsi="Calibri" w:cs="Calibri"/>
                <w:sz w:val="18"/>
                <w:szCs w:val="18"/>
              </w:rPr>
              <w:t>$650</w:t>
            </w:r>
          </w:p>
        </w:tc>
      </w:tr>
      <w:tr w:rsidR="00BC26FE" w:rsidRPr="00F662D9" w14:paraId="33141BB9" w14:textId="77777777">
        <w:trPr>
          <w:trHeight w:val="300"/>
        </w:trPr>
        <w:tc>
          <w:tcPr>
            <w:tcW w:w="5524" w:type="dxa"/>
            <w:tcBorders>
              <w:bottom w:val="single" w:sz="4" w:space="0" w:color="auto"/>
            </w:tcBorders>
            <w:shd w:val="clear" w:color="auto" w:fill="auto"/>
            <w:noWrap/>
            <w:vAlign w:val="bottom"/>
          </w:tcPr>
          <w:p w14:paraId="5C19754B" w14:textId="77777777" w:rsidR="00BC26FE" w:rsidRDefault="00BC26FE">
            <w:pPr>
              <w:spacing w:after="0" w:line="240" w:lineRule="auto"/>
              <w:ind w:firstLineChars="200" w:firstLine="360"/>
              <w:outlineLvl w:val="0"/>
              <w:rPr>
                <w:rFonts w:ascii="Calibri" w:hAnsi="Calibri" w:cs="Calibri"/>
                <w:color w:val="000000"/>
                <w:sz w:val="18"/>
                <w:szCs w:val="18"/>
              </w:rPr>
            </w:pPr>
            <w:r>
              <w:rPr>
                <w:rFonts w:ascii="Calibri" w:hAnsi="Calibri" w:cs="Calibri"/>
                <w:color w:val="000000"/>
                <w:sz w:val="18"/>
                <w:szCs w:val="18"/>
              </w:rPr>
              <w:t>Apply to Restore to Register of Patent Attorney</w:t>
            </w:r>
          </w:p>
        </w:tc>
        <w:tc>
          <w:tcPr>
            <w:tcW w:w="1207" w:type="dxa"/>
            <w:tcBorders>
              <w:bottom w:val="single" w:sz="4" w:space="0" w:color="auto"/>
            </w:tcBorders>
            <w:shd w:val="clear" w:color="auto" w:fill="auto"/>
            <w:noWrap/>
            <w:vAlign w:val="bottom"/>
          </w:tcPr>
          <w:p w14:paraId="57B59443" w14:textId="77777777" w:rsidR="00BC26FE" w:rsidRDefault="00BC26FE">
            <w:pPr>
              <w:spacing w:after="0" w:line="240" w:lineRule="auto"/>
              <w:jc w:val="right"/>
              <w:outlineLvl w:val="0"/>
              <w:rPr>
                <w:rFonts w:ascii="Calibri" w:hAnsi="Calibri" w:cs="Calibri"/>
                <w:color w:val="000000"/>
                <w:sz w:val="18"/>
                <w:szCs w:val="18"/>
              </w:rPr>
            </w:pPr>
            <w:r>
              <w:rPr>
                <w:rFonts w:ascii="Calibri" w:hAnsi="Calibri" w:cs="Calibri"/>
                <w:color w:val="000000"/>
                <w:sz w:val="18"/>
                <w:szCs w:val="18"/>
              </w:rPr>
              <w:t>$300</w:t>
            </w:r>
          </w:p>
        </w:tc>
        <w:tc>
          <w:tcPr>
            <w:tcW w:w="1207" w:type="dxa"/>
            <w:tcBorders>
              <w:bottom w:val="single" w:sz="4" w:space="0" w:color="auto"/>
            </w:tcBorders>
            <w:shd w:val="clear" w:color="auto" w:fill="auto"/>
            <w:noWrap/>
            <w:vAlign w:val="bottom"/>
          </w:tcPr>
          <w:p w14:paraId="6C05BC42" w14:textId="77777777" w:rsidR="00BC26FE" w:rsidRPr="00564667" w:rsidRDefault="00BC26FE">
            <w:pPr>
              <w:spacing w:after="0" w:line="240" w:lineRule="auto"/>
              <w:jc w:val="right"/>
              <w:outlineLvl w:val="0"/>
              <w:rPr>
                <w:rFonts w:ascii="Calibri" w:hAnsi="Calibri" w:cs="Calibri"/>
                <w:sz w:val="18"/>
                <w:szCs w:val="18"/>
              </w:rPr>
            </w:pPr>
            <w:r w:rsidRPr="00564667">
              <w:rPr>
                <w:rFonts w:ascii="Calibri" w:hAnsi="Calibri" w:cs="Calibri"/>
                <w:sz w:val="18"/>
                <w:szCs w:val="18"/>
              </w:rPr>
              <w:t>$350</w:t>
            </w:r>
          </w:p>
        </w:tc>
      </w:tr>
      <w:tr w:rsidR="00BC26FE" w:rsidRPr="00F662D9" w14:paraId="55051AEC" w14:textId="77777777">
        <w:trPr>
          <w:trHeight w:val="283"/>
        </w:trPr>
        <w:tc>
          <w:tcPr>
            <w:tcW w:w="5524" w:type="dxa"/>
            <w:tcBorders>
              <w:top w:val="single" w:sz="4" w:space="0" w:color="auto"/>
            </w:tcBorders>
            <w:shd w:val="clear" w:color="auto" w:fill="D9D9D9" w:themeFill="background1" w:themeFillShade="D9"/>
            <w:noWrap/>
            <w:vAlign w:val="bottom"/>
          </w:tcPr>
          <w:p w14:paraId="257869D7" w14:textId="77777777" w:rsidR="00BC26FE" w:rsidRPr="00AB7D56" w:rsidRDefault="00BC26FE">
            <w:pPr>
              <w:spacing w:after="0" w:line="240" w:lineRule="auto"/>
              <w:ind w:firstLineChars="200" w:firstLine="360"/>
              <w:outlineLvl w:val="0"/>
              <w:rPr>
                <w:rFonts w:ascii="Calibri" w:hAnsi="Calibri" w:cs="Calibri"/>
                <w:color w:val="1F3864" w:themeColor="accent1" w:themeShade="80"/>
                <w:sz w:val="18"/>
                <w:szCs w:val="18"/>
              </w:rPr>
            </w:pPr>
            <w:r w:rsidRPr="00AB7D56">
              <w:rPr>
                <w:rFonts w:ascii="Calibri" w:hAnsi="Calibri" w:cs="Calibri"/>
                <w:color w:val="1F3864" w:themeColor="accent1" w:themeShade="80"/>
                <w:sz w:val="18"/>
                <w:szCs w:val="18"/>
              </w:rPr>
              <w:t>TTIPA Renewal of Registration – Trade Mark attorneys</w:t>
            </w:r>
          </w:p>
        </w:tc>
        <w:tc>
          <w:tcPr>
            <w:tcW w:w="1207" w:type="dxa"/>
            <w:tcBorders>
              <w:top w:val="single" w:sz="4" w:space="0" w:color="auto"/>
            </w:tcBorders>
            <w:shd w:val="clear" w:color="auto" w:fill="D9D9D9" w:themeFill="background1" w:themeFillShade="D9"/>
            <w:noWrap/>
            <w:vAlign w:val="bottom"/>
          </w:tcPr>
          <w:p w14:paraId="17812A96" w14:textId="77777777" w:rsidR="00BC26FE" w:rsidRDefault="00BC26FE">
            <w:pPr>
              <w:spacing w:after="0" w:line="240" w:lineRule="auto"/>
              <w:jc w:val="right"/>
              <w:outlineLvl w:val="0"/>
              <w:rPr>
                <w:rFonts w:ascii="Calibri" w:hAnsi="Calibri" w:cs="Calibri"/>
                <w:color w:val="000000"/>
                <w:sz w:val="18"/>
                <w:szCs w:val="18"/>
              </w:rPr>
            </w:pPr>
            <w:r>
              <w:rPr>
                <w:rFonts w:ascii="Calibri" w:hAnsi="Calibri" w:cs="Calibri"/>
                <w:color w:val="000000"/>
                <w:sz w:val="18"/>
                <w:szCs w:val="18"/>
              </w:rPr>
              <w:t> </w:t>
            </w:r>
          </w:p>
        </w:tc>
        <w:tc>
          <w:tcPr>
            <w:tcW w:w="1207" w:type="dxa"/>
            <w:tcBorders>
              <w:top w:val="single" w:sz="4" w:space="0" w:color="auto"/>
            </w:tcBorders>
            <w:shd w:val="clear" w:color="auto" w:fill="D9D9D9" w:themeFill="background1" w:themeFillShade="D9"/>
            <w:noWrap/>
            <w:vAlign w:val="bottom"/>
          </w:tcPr>
          <w:p w14:paraId="514B68ED" w14:textId="77777777" w:rsidR="00BC26FE" w:rsidRPr="00564667" w:rsidRDefault="00BC26FE">
            <w:pPr>
              <w:spacing w:after="0" w:line="240" w:lineRule="auto"/>
              <w:jc w:val="right"/>
              <w:outlineLvl w:val="0"/>
              <w:rPr>
                <w:rFonts w:ascii="Calibri" w:hAnsi="Calibri" w:cs="Calibri"/>
                <w:sz w:val="18"/>
                <w:szCs w:val="18"/>
              </w:rPr>
            </w:pPr>
            <w:r w:rsidRPr="00153E10">
              <w:rPr>
                <w:rFonts w:ascii="Calibri" w:hAnsi="Calibri" w:cs="Calibri"/>
                <w:color w:val="000000" w:themeColor="text1"/>
                <w:sz w:val="18"/>
                <w:szCs w:val="18"/>
              </w:rPr>
              <w:t> </w:t>
            </w:r>
          </w:p>
        </w:tc>
      </w:tr>
      <w:tr w:rsidR="00BC26FE" w:rsidRPr="00F662D9" w14:paraId="03702C66" w14:textId="77777777">
        <w:trPr>
          <w:trHeight w:val="300"/>
        </w:trPr>
        <w:tc>
          <w:tcPr>
            <w:tcW w:w="5524" w:type="dxa"/>
            <w:shd w:val="clear" w:color="auto" w:fill="auto"/>
            <w:noWrap/>
            <w:vAlign w:val="bottom"/>
            <w:hideMark/>
          </w:tcPr>
          <w:p w14:paraId="3FE6ACDF"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554" w:name="_Toc146546265"/>
            <w:bookmarkStart w:id="555" w:name="_Toc146552534"/>
            <w:r>
              <w:rPr>
                <w:rFonts w:ascii="Calibri" w:hAnsi="Calibri" w:cs="Calibri"/>
                <w:color w:val="000000"/>
                <w:sz w:val="18"/>
                <w:szCs w:val="18"/>
              </w:rPr>
              <w:t>Annual TM Attorney registration</w:t>
            </w:r>
            <w:bookmarkEnd w:id="554"/>
            <w:bookmarkEnd w:id="555"/>
          </w:p>
        </w:tc>
        <w:tc>
          <w:tcPr>
            <w:tcW w:w="1207" w:type="dxa"/>
            <w:shd w:val="clear" w:color="auto" w:fill="auto"/>
            <w:noWrap/>
            <w:vAlign w:val="bottom"/>
            <w:hideMark/>
          </w:tcPr>
          <w:p w14:paraId="0F82B863"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56" w:name="_Toc146546266"/>
            <w:bookmarkStart w:id="557" w:name="_Toc146552535"/>
            <w:r>
              <w:rPr>
                <w:rFonts w:ascii="Calibri" w:hAnsi="Calibri" w:cs="Calibri"/>
                <w:color w:val="000000"/>
                <w:sz w:val="18"/>
                <w:szCs w:val="18"/>
              </w:rPr>
              <w:t>$400</w:t>
            </w:r>
            <w:bookmarkEnd w:id="556"/>
            <w:bookmarkEnd w:id="557"/>
          </w:p>
        </w:tc>
        <w:tc>
          <w:tcPr>
            <w:tcW w:w="1207" w:type="dxa"/>
            <w:shd w:val="clear" w:color="auto" w:fill="auto"/>
            <w:noWrap/>
            <w:vAlign w:val="bottom"/>
            <w:hideMark/>
          </w:tcPr>
          <w:p w14:paraId="24E86B7C" w14:textId="77777777" w:rsidR="00BC26FE" w:rsidRPr="00564667" w:rsidRDefault="00BC26FE">
            <w:pPr>
              <w:spacing w:after="0" w:line="240" w:lineRule="auto"/>
              <w:jc w:val="right"/>
              <w:outlineLvl w:val="0"/>
              <w:rPr>
                <w:rFonts w:ascii="Calibri" w:eastAsia="Times New Roman" w:hAnsi="Calibri" w:cs="Calibri"/>
                <w:sz w:val="18"/>
                <w:szCs w:val="18"/>
                <w:lang w:eastAsia="en-AU"/>
              </w:rPr>
            </w:pPr>
            <w:bookmarkStart w:id="558" w:name="_Toc146546267"/>
            <w:bookmarkStart w:id="559" w:name="_Toc146552536"/>
            <w:r w:rsidRPr="00564667">
              <w:rPr>
                <w:rFonts w:ascii="Calibri" w:hAnsi="Calibri" w:cs="Calibri"/>
                <w:sz w:val="18"/>
                <w:szCs w:val="18"/>
              </w:rPr>
              <w:t>$450</w:t>
            </w:r>
            <w:bookmarkEnd w:id="558"/>
            <w:bookmarkEnd w:id="559"/>
          </w:p>
        </w:tc>
      </w:tr>
      <w:tr w:rsidR="00BC26FE" w:rsidRPr="00F662D9" w14:paraId="016237B3" w14:textId="77777777">
        <w:trPr>
          <w:trHeight w:val="300"/>
        </w:trPr>
        <w:tc>
          <w:tcPr>
            <w:tcW w:w="5524" w:type="dxa"/>
            <w:shd w:val="clear" w:color="auto" w:fill="auto"/>
            <w:noWrap/>
            <w:vAlign w:val="bottom"/>
          </w:tcPr>
          <w:p w14:paraId="0163E8F3" w14:textId="77777777" w:rsidR="00BC26FE" w:rsidRDefault="00BC26FE">
            <w:pPr>
              <w:spacing w:after="0" w:line="240" w:lineRule="auto"/>
              <w:ind w:firstLineChars="200" w:firstLine="360"/>
              <w:outlineLvl w:val="0"/>
              <w:rPr>
                <w:rFonts w:ascii="Calibri" w:hAnsi="Calibri" w:cs="Calibri"/>
                <w:color w:val="000000"/>
                <w:sz w:val="18"/>
                <w:szCs w:val="18"/>
              </w:rPr>
            </w:pPr>
            <w:bookmarkStart w:id="560" w:name="_Toc146546262"/>
            <w:bookmarkStart w:id="561" w:name="_Toc146552531"/>
            <w:r>
              <w:rPr>
                <w:rFonts w:ascii="Calibri" w:hAnsi="Calibri" w:cs="Calibri"/>
                <w:color w:val="000000"/>
                <w:sz w:val="18"/>
                <w:szCs w:val="18"/>
              </w:rPr>
              <w:t>Annual Patent &amp; TM Attorney Registration</w:t>
            </w:r>
            <w:bookmarkEnd w:id="560"/>
            <w:bookmarkEnd w:id="561"/>
          </w:p>
        </w:tc>
        <w:tc>
          <w:tcPr>
            <w:tcW w:w="1207" w:type="dxa"/>
            <w:shd w:val="clear" w:color="auto" w:fill="auto"/>
            <w:noWrap/>
            <w:vAlign w:val="bottom"/>
          </w:tcPr>
          <w:p w14:paraId="70EC65FA" w14:textId="77777777" w:rsidR="00BC26FE" w:rsidRDefault="00BC26FE">
            <w:pPr>
              <w:spacing w:after="0" w:line="240" w:lineRule="auto"/>
              <w:jc w:val="right"/>
              <w:outlineLvl w:val="0"/>
              <w:rPr>
                <w:rFonts w:ascii="Calibri" w:hAnsi="Calibri" w:cs="Calibri"/>
                <w:color w:val="000000"/>
                <w:sz w:val="18"/>
                <w:szCs w:val="18"/>
              </w:rPr>
            </w:pPr>
            <w:bookmarkStart w:id="562" w:name="_Toc146546263"/>
            <w:bookmarkStart w:id="563" w:name="_Toc146552532"/>
            <w:r>
              <w:rPr>
                <w:rFonts w:ascii="Calibri" w:hAnsi="Calibri" w:cs="Calibri"/>
                <w:color w:val="000000"/>
                <w:sz w:val="18"/>
                <w:szCs w:val="18"/>
              </w:rPr>
              <w:t>$600</w:t>
            </w:r>
            <w:bookmarkEnd w:id="562"/>
            <w:bookmarkEnd w:id="563"/>
          </w:p>
        </w:tc>
        <w:tc>
          <w:tcPr>
            <w:tcW w:w="1207" w:type="dxa"/>
            <w:shd w:val="clear" w:color="auto" w:fill="auto"/>
            <w:noWrap/>
            <w:vAlign w:val="bottom"/>
          </w:tcPr>
          <w:p w14:paraId="38110E66" w14:textId="77777777" w:rsidR="00BC26FE" w:rsidRPr="00564667" w:rsidRDefault="00BC26FE">
            <w:pPr>
              <w:spacing w:after="0" w:line="240" w:lineRule="auto"/>
              <w:jc w:val="right"/>
              <w:outlineLvl w:val="0"/>
              <w:rPr>
                <w:rFonts w:ascii="Calibri" w:hAnsi="Calibri" w:cs="Calibri"/>
                <w:sz w:val="18"/>
                <w:szCs w:val="18"/>
              </w:rPr>
            </w:pPr>
            <w:bookmarkStart w:id="564" w:name="_Toc146546264"/>
            <w:bookmarkStart w:id="565" w:name="_Toc146552533"/>
            <w:r w:rsidRPr="00564667">
              <w:rPr>
                <w:rFonts w:ascii="Calibri" w:hAnsi="Calibri" w:cs="Calibri"/>
                <w:sz w:val="18"/>
                <w:szCs w:val="18"/>
              </w:rPr>
              <w:t>$650</w:t>
            </w:r>
            <w:bookmarkEnd w:id="564"/>
            <w:bookmarkEnd w:id="565"/>
          </w:p>
        </w:tc>
      </w:tr>
      <w:tr w:rsidR="00BC26FE" w:rsidRPr="00F662D9" w14:paraId="6534AAEF" w14:textId="77777777">
        <w:trPr>
          <w:trHeight w:val="300"/>
        </w:trPr>
        <w:tc>
          <w:tcPr>
            <w:tcW w:w="5524" w:type="dxa"/>
            <w:shd w:val="clear" w:color="auto" w:fill="auto"/>
            <w:noWrap/>
            <w:vAlign w:val="bottom"/>
            <w:hideMark/>
          </w:tcPr>
          <w:p w14:paraId="2FFF7CEF"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566" w:name="_Toc146546268"/>
            <w:bookmarkStart w:id="567" w:name="_Toc146552537"/>
            <w:r>
              <w:rPr>
                <w:rFonts w:ascii="Calibri" w:hAnsi="Calibri" w:cs="Calibri"/>
                <w:color w:val="000000"/>
                <w:sz w:val="18"/>
                <w:szCs w:val="18"/>
              </w:rPr>
              <w:t>Restore TM attorney's name to register</w:t>
            </w:r>
            <w:bookmarkEnd w:id="566"/>
            <w:bookmarkEnd w:id="567"/>
          </w:p>
        </w:tc>
        <w:tc>
          <w:tcPr>
            <w:tcW w:w="1207" w:type="dxa"/>
            <w:shd w:val="clear" w:color="auto" w:fill="auto"/>
            <w:noWrap/>
            <w:vAlign w:val="bottom"/>
            <w:hideMark/>
          </w:tcPr>
          <w:p w14:paraId="7768AB6C"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68" w:name="_Toc146546269"/>
            <w:bookmarkStart w:id="569" w:name="_Toc146552538"/>
            <w:r>
              <w:rPr>
                <w:rFonts w:ascii="Calibri" w:hAnsi="Calibri" w:cs="Calibri"/>
                <w:color w:val="000000"/>
                <w:sz w:val="18"/>
                <w:szCs w:val="18"/>
              </w:rPr>
              <w:t>$300</w:t>
            </w:r>
            <w:bookmarkEnd w:id="568"/>
            <w:bookmarkEnd w:id="569"/>
          </w:p>
        </w:tc>
        <w:tc>
          <w:tcPr>
            <w:tcW w:w="1207" w:type="dxa"/>
            <w:shd w:val="clear" w:color="auto" w:fill="auto"/>
            <w:noWrap/>
            <w:vAlign w:val="bottom"/>
            <w:hideMark/>
          </w:tcPr>
          <w:p w14:paraId="05854855" w14:textId="77777777" w:rsidR="00BC26FE" w:rsidRPr="00564667" w:rsidRDefault="00BC26FE">
            <w:pPr>
              <w:spacing w:after="0" w:line="240" w:lineRule="auto"/>
              <w:jc w:val="right"/>
              <w:outlineLvl w:val="0"/>
              <w:rPr>
                <w:rFonts w:ascii="Calibri" w:eastAsia="Times New Roman" w:hAnsi="Calibri" w:cs="Calibri"/>
                <w:sz w:val="18"/>
                <w:szCs w:val="18"/>
                <w:lang w:eastAsia="en-AU"/>
              </w:rPr>
            </w:pPr>
            <w:bookmarkStart w:id="570" w:name="_Toc146546270"/>
            <w:bookmarkStart w:id="571" w:name="_Toc146552539"/>
            <w:r w:rsidRPr="00564667">
              <w:rPr>
                <w:rFonts w:ascii="Calibri" w:hAnsi="Calibri" w:cs="Calibri"/>
                <w:sz w:val="18"/>
                <w:szCs w:val="18"/>
              </w:rPr>
              <w:t>$350</w:t>
            </w:r>
            <w:bookmarkEnd w:id="570"/>
            <w:bookmarkEnd w:id="571"/>
          </w:p>
        </w:tc>
      </w:tr>
      <w:tr w:rsidR="00BC26FE" w:rsidRPr="00F662D9" w14:paraId="1641F181" w14:textId="77777777">
        <w:trPr>
          <w:trHeight w:val="300"/>
        </w:trPr>
        <w:tc>
          <w:tcPr>
            <w:tcW w:w="5524" w:type="dxa"/>
            <w:shd w:val="clear" w:color="auto" w:fill="auto"/>
            <w:noWrap/>
            <w:vAlign w:val="bottom"/>
            <w:hideMark/>
          </w:tcPr>
          <w:p w14:paraId="308E8CA9"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lang w:eastAsia="en-AU"/>
              </w:rPr>
            </w:pPr>
            <w:bookmarkStart w:id="572" w:name="_Toc146546280"/>
            <w:bookmarkStart w:id="573" w:name="_Toc146552549"/>
            <w:r>
              <w:rPr>
                <w:rFonts w:ascii="Calibri" w:hAnsi="Calibri" w:cs="Calibri"/>
                <w:color w:val="000000"/>
                <w:sz w:val="18"/>
                <w:szCs w:val="18"/>
              </w:rPr>
              <w:t>Annual Registration as Incorporated TM Attorney</w:t>
            </w:r>
            <w:bookmarkEnd w:id="572"/>
            <w:bookmarkEnd w:id="573"/>
          </w:p>
        </w:tc>
        <w:tc>
          <w:tcPr>
            <w:tcW w:w="1207" w:type="dxa"/>
            <w:shd w:val="clear" w:color="auto" w:fill="auto"/>
            <w:noWrap/>
            <w:vAlign w:val="bottom"/>
            <w:hideMark/>
          </w:tcPr>
          <w:p w14:paraId="67B6F035"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74" w:name="_Toc146546281"/>
            <w:bookmarkStart w:id="575" w:name="_Toc146552550"/>
            <w:r>
              <w:rPr>
                <w:rFonts w:ascii="Calibri" w:hAnsi="Calibri" w:cs="Calibri"/>
                <w:color w:val="000000"/>
                <w:sz w:val="18"/>
                <w:szCs w:val="18"/>
              </w:rPr>
              <w:t>$400</w:t>
            </w:r>
            <w:bookmarkEnd w:id="574"/>
            <w:bookmarkEnd w:id="575"/>
          </w:p>
        </w:tc>
        <w:tc>
          <w:tcPr>
            <w:tcW w:w="1207" w:type="dxa"/>
            <w:shd w:val="clear" w:color="auto" w:fill="auto"/>
            <w:noWrap/>
            <w:vAlign w:val="bottom"/>
            <w:hideMark/>
          </w:tcPr>
          <w:p w14:paraId="7029FFA9" w14:textId="77777777" w:rsidR="00BC26FE" w:rsidRPr="00564667" w:rsidRDefault="00BC26FE">
            <w:pPr>
              <w:spacing w:after="0" w:line="240" w:lineRule="auto"/>
              <w:jc w:val="right"/>
              <w:outlineLvl w:val="0"/>
              <w:rPr>
                <w:rFonts w:ascii="Calibri" w:eastAsia="Times New Roman" w:hAnsi="Calibri" w:cs="Calibri"/>
                <w:sz w:val="18"/>
                <w:szCs w:val="18"/>
                <w:lang w:eastAsia="en-AU"/>
              </w:rPr>
            </w:pPr>
            <w:bookmarkStart w:id="576" w:name="_Toc146546282"/>
            <w:bookmarkStart w:id="577" w:name="_Toc146552551"/>
            <w:r w:rsidRPr="00564667">
              <w:rPr>
                <w:rFonts w:ascii="Calibri" w:hAnsi="Calibri" w:cs="Calibri"/>
                <w:sz w:val="18"/>
                <w:szCs w:val="18"/>
              </w:rPr>
              <w:t>$450</w:t>
            </w:r>
            <w:bookmarkEnd w:id="576"/>
            <w:bookmarkEnd w:id="577"/>
          </w:p>
        </w:tc>
      </w:tr>
      <w:tr w:rsidR="00BC26FE" w:rsidRPr="00F662D9" w14:paraId="0E9F0B77" w14:textId="77777777">
        <w:trPr>
          <w:trHeight w:val="300"/>
        </w:trPr>
        <w:tc>
          <w:tcPr>
            <w:tcW w:w="5524" w:type="dxa"/>
            <w:shd w:val="clear" w:color="auto" w:fill="auto"/>
            <w:noWrap/>
            <w:vAlign w:val="bottom"/>
            <w:hideMark/>
          </w:tcPr>
          <w:p w14:paraId="7ADAA61F" w14:textId="77777777" w:rsidR="00BC26FE" w:rsidRPr="00F662D9" w:rsidRDefault="00BC26FE">
            <w:pPr>
              <w:spacing w:after="0" w:line="240" w:lineRule="auto"/>
              <w:ind w:firstLineChars="200" w:firstLine="360"/>
              <w:outlineLvl w:val="0"/>
              <w:rPr>
                <w:rFonts w:ascii="Calibri" w:eastAsia="Times New Roman" w:hAnsi="Calibri" w:cs="Calibri"/>
                <w:color w:val="0070C0"/>
                <w:sz w:val="18"/>
                <w:szCs w:val="18"/>
                <w:highlight w:val="yellow"/>
                <w:lang w:eastAsia="en-AU"/>
              </w:rPr>
            </w:pPr>
            <w:bookmarkStart w:id="578" w:name="_Toc146546283"/>
            <w:bookmarkStart w:id="579" w:name="_Toc146552552"/>
            <w:r>
              <w:rPr>
                <w:rFonts w:ascii="Calibri" w:hAnsi="Calibri" w:cs="Calibri"/>
                <w:color w:val="000000"/>
                <w:sz w:val="18"/>
                <w:szCs w:val="18"/>
              </w:rPr>
              <w:t>Annual Registration for combined Patent/TM Attorney</w:t>
            </w:r>
            <w:bookmarkEnd w:id="578"/>
            <w:bookmarkEnd w:id="579"/>
          </w:p>
        </w:tc>
        <w:tc>
          <w:tcPr>
            <w:tcW w:w="1207" w:type="dxa"/>
            <w:shd w:val="clear" w:color="auto" w:fill="auto"/>
            <w:noWrap/>
            <w:vAlign w:val="bottom"/>
            <w:hideMark/>
          </w:tcPr>
          <w:p w14:paraId="3123DF4F"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80" w:name="_Toc146546284"/>
            <w:bookmarkStart w:id="581" w:name="_Toc146552553"/>
            <w:r>
              <w:rPr>
                <w:rFonts w:ascii="Calibri" w:hAnsi="Calibri" w:cs="Calibri"/>
                <w:color w:val="000000"/>
                <w:sz w:val="18"/>
                <w:szCs w:val="18"/>
              </w:rPr>
              <w:t>$600</w:t>
            </w:r>
            <w:bookmarkEnd w:id="580"/>
            <w:bookmarkEnd w:id="581"/>
          </w:p>
        </w:tc>
        <w:tc>
          <w:tcPr>
            <w:tcW w:w="1207" w:type="dxa"/>
            <w:shd w:val="clear" w:color="auto" w:fill="auto"/>
            <w:noWrap/>
            <w:vAlign w:val="bottom"/>
            <w:hideMark/>
          </w:tcPr>
          <w:p w14:paraId="483AB0D7" w14:textId="77777777" w:rsidR="00BC26FE" w:rsidRPr="00564667" w:rsidRDefault="00BC26FE">
            <w:pPr>
              <w:spacing w:after="0" w:line="240" w:lineRule="auto"/>
              <w:jc w:val="right"/>
              <w:outlineLvl w:val="0"/>
              <w:rPr>
                <w:rFonts w:ascii="Calibri" w:eastAsia="Times New Roman" w:hAnsi="Calibri" w:cs="Calibri"/>
                <w:sz w:val="18"/>
                <w:szCs w:val="18"/>
                <w:lang w:eastAsia="en-AU"/>
              </w:rPr>
            </w:pPr>
            <w:bookmarkStart w:id="582" w:name="_Toc146546285"/>
            <w:bookmarkStart w:id="583" w:name="_Toc146552554"/>
            <w:r w:rsidRPr="00564667">
              <w:rPr>
                <w:rFonts w:ascii="Calibri" w:hAnsi="Calibri" w:cs="Calibri"/>
                <w:sz w:val="18"/>
                <w:szCs w:val="18"/>
              </w:rPr>
              <w:t>$650</w:t>
            </w:r>
            <w:bookmarkEnd w:id="582"/>
            <w:bookmarkEnd w:id="583"/>
          </w:p>
        </w:tc>
      </w:tr>
      <w:tr w:rsidR="00BC26FE" w:rsidRPr="00F662D9" w14:paraId="3AF81B22" w14:textId="77777777">
        <w:trPr>
          <w:trHeight w:val="300"/>
        </w:trPr>
        <w:tc>
          <w:tcPr>
            <w:tcW w:w="5524" w:type="dxa"/>
            <w:shd w:val="clear" w:color="auto" w:fill="auto"/>
            <w:noWrap/>
            <w:vAlign w:val="bottom"/>
            <w:hideMark/>
          </w:tcPr>
          <w:p w14:paraId="0687822A" w14:textId="77777777" w:rsidR="00BC26FE" w:rsidRPr="00F662D9" w:rsidRDefault="00BC26FE">
            <w:pPr>
              <w:spacing w:after="0" w:line="240" w:lineRule="auto"/>
              <w:ind w:firstLineChars="200" w:firstLine="360"/>
              <w:outlineLvl w:val="0"/>
              <w:rPr>
                <w:rFonts w:ascii="Calibri" w:eastAsia="Times New Roman" w:hAnsi="Calibri" w:cs="Calibri"/>
                <w:color w:val="000000"/>
                <w:sz w:val="18"/>
                <w:szCs w:val="18"/>
                <w:highlight w:val="yellow"/>
                <w:lang w:eastAsia="en-AU"/>
              </w:rPr>
            </w:pPr>
            <w:bookmarkStart w:id="584" w:name="_Toc146546286"/>
            <w:bookmarkStart w:id="585" w:name="_Toc146552555"/>
            <w:r>
              <w:rPr>
                <w:rFonts w:ascii="Calibri" w:hAnsi="Calibri" w:cs="Calibri"/>
                <w:color w:val="000000"/>
                <w:sz w:val="18"/>
                <w:szCs w:val="18"/>
              </w:rPr>
              <w:t>Apply to Restore to Register for TM Attorney</w:t>
            </w:r>
            <w:bookmarkEnd w:id="584"/>
            <w:bookmarkEnd w:id="585"/>
          </w:p>
        </w:tc>
        <w:tc>
          <w:tcPr>
            <w:tcW w:w="1207" w:type="dxa"/>
            <w:shd w:val="clear" w:color="auto" w:fill="auto"/>
            <w:noWrap/>
            <w:vAlign w:val="bottom"/>
            <w:hideMark/>
          </w:tcPr>
          <w:p w14:paraId="17994600" w14:textId="77777777" w:rsidR="00BC26FE" w:rsidRPr="00F662D9" w:rsidRDefault="00BC26FE">
            <w:pPr>
              <w:spacing w:after="0" w:line="240" w:lineRule="auto"/>
              <w:jc w:val="right"/>
              <w:outlineLvl w:val="0"/>
              <w:rPr>
                <w:rFonts w:ascii="Calibri" w:eastAsia="Times New Roman" w:hAnsi="Calibri" w:cs="Calibri"/>
                <w:color w:val="000000" w:themeColor="text1"/>
                <w:sz w:val="18"/>
                <w:szCs w:val="18"/>
                <w:lang w:eastAsia="en-AU"/>
              </w:rPr>
            </w:pPr>
            <w:bookmarkStart w:id="586" w:name="_Toc146546287"/>
            <w:bookmarkStart w:id="587" w:name="_Toc146552556"/>
            <w:r>
              <w:rPr>
                <w:rFonts w:ascii="Calibri" w:hAnsi="Calibri" w:cs="Calibri"/>
                <w:color w:val="000000"/>
                <w:sz w:val="18"/>
                <w:szCs w:val="18"/>
              </w:rPr>
              <w:t>$300</w:t>
            </w:r>
            <w:bookmarkEnd w:id="586"/>
            <w:bookmarkEnd w:id="587"/>
          </w:p>
        </w:tc>
        <w:tc>
          <w:tcPr>
            <w:tcW w:w="1207" w:type="dxa"/>
            <w:shd w:val="clear" w:color="auto" w:fill="auto"/>
            <w:noWrap/>
            <w:vAlign w:val="bottom"/>
            <w:hideMark/>
          </w:tcPr>
          <w:p w14:paraId="6E1F1F13" w14:textId="77777777" w:rsidR="00BC26FE" w:rsidRPr="00564667" w:rsidRDefault="00BC26FE">
            <w:pPr>
              <w:spacing w:after="0" w:line="240" w:lineRule="auto"/>
              <w:jc w:val="right"/>
              <w:outlineLvl w:val="0"/>
              <w:rPr>
                <w:rFonts w:ascii="Calibri" w:eastAsia="Times New Roman" w:hAnsi="Calibri" w:cs="Calibri"/>
                <w:sz w:val="18"/>
                <w:szCs w:val="18"/>
                <w:lang w:eastAsia="en-AU"/>
              </w:rPr>
            </w:pPr>
            <w:bookmarkStart w:id="588" w:name="_Toc146546288"/>
            <w:bookmarkStart w:id="589" w:name="_Toc146552557"/>
            <w:r w:rsidRPr="00564667">
              <w:rPr>
                <w:rFonts w:ascii="Calibri" w:hAnsi="Calibri" w:cs="Calibri"/>
                <w:sz w:val="18"/>
                <w:szCs w:val="18"/>
              </w:rPr>
              <w:t>$350</w:t>
            </w:r>
            <w:bookmarkEnd w:id="588"/>
            <w:bookmarkEnd w:id="589"/>
          </w:p>
        </w:tc>
      </w:tr>
    </w:tbl>
    <w:p w14:paraId="5B35AB4F" w14:textId="77777777" w:rsidR="00BC26FE" w:rsidRPr="006A6ED5" w:rsidRDefault="00BC26FE" w:rsidP="006A6ED5">
      <w:pPr>
        <w:pStyle w:val="NoSpacing"/>
        <w:rPr>
          <w:iCs/>
          <w:sz w:val="2"/>
          <w:szCs w:val="2"/>
          <w:lang w:eastAsia="en-AU"/>
        </w:rPr>
      </w:pPr>
    </w:p>
    <w:sectPr w:rsidR="00BC26FE" w:rsidRPr="006A6ED5" w:rsidSect="00467BA5">
      <w:headerReference w:type="even" r:id="rId17"/>
      <w:footerReference w:type="even" r:id="rId18"/>
      <w:footerReference w:type="default" r:id="rId19"/>
      <w:pgSz w:w="11906" w:h="16838"/>
      <w:pgMar w:top="993" w:right="1440" w:bottom="568" w:left="1440" w:header="708" w:footer="3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C6169" w14:textId="77777777" w:rsidR="00BA32CE" w:rsidRDefault="00BA32CE" w:rsidP="001B4E8A">
      <w:pPr>
        <w:spacing w:after="0" w:line="240" w:lineRule="auto"/>
      </w:pPr>
      <w:r>
        <w:separator/>
      </w:r>
    </w:p>
  </w:endnote>
  <w:endnote w:type="continuationSeparator" w:id="0">
    <w:p w14:paraId="2E517184" w14:textId="77777777" w:rsidR="00BA32CE" w:rsidRDefault="00BA32CE" w:rsidP="001B4E8A">
      <w:pPr>
        <w:spacing w:after="0" w:line="240" w:lineRule="auto"/>
      </w:pPr>
      <w:r>
        <w:continuationSeparator/>
      </w:r>
    </w:p>
  </w:endnote>
  <w:endnote w:type="continuationNotice" w:id="1">
    <w:p w14:paraId="165C8C32" w14:textId="77777777" w:rsidR="00BA32CE" w:rsidRDefault="00BA3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3310097"/>
      <w:docPartObj>
        <w:docPartGallery w:val="Page Numbers (Bottom of Page)"/>
        <w:docPartUnique/>
      </w:docPartObj>
    </w:sdtPr>
    <w:sdtEndPr>
      <w:rPr>
        <w:noProof/>
      </w:rPr>
    </w:sdtEndPr>
    <w:sdtContent>
      <w:p w14:paraId="50A12674" w14:textId="3D0A7971" w:rsidR="00213E0F" w:rsidRDefault="00213E0F" w:rsidP="00E84157">
        <w:pPr>
          <w:pStyle w:val="Footer"/>
          <w:spacing w:before="16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3A612" w14:textId="77777777" w:rsidR="004C234F" w:rsidRDefault="00010D5D">
    <w:pPr>
      <w:pStyle w:val="Footer"/>
    </w:pPr>
    <w:r>
      <w:rPr>
        <w:noProof/>
      </w:rPr>
      <mc:AlternateContent>
        <mc:Choice Requires="wps">
          <w:drawing>
            <wp:anchor distT="0" distB="0" distL="0" distR="0" simplePos="0" relativeHeight="251658241" behindDoc="0" locked="0" layoutInCell="1" allowOverlap="1" wp14:anchorId="7DD47F52" wp14:editId="041D53E0">
              <wp:simplePos x="635" y="635"/>
              <wp:positionH relativeFrom="page">
                <wp:align>center</wp:align>
              </wp:positionH>
              <wp:positionV relativeFrom="page">
                <wp:align>bottom</wp:align>
              </wp:positionV>
              <wp:extent cx="2451100" cy="391160"/>
              <wp:effectExtent l="0" t="0" r="6350" b="0"/>
              <wp:wrapNone/>
              <wp:docPr id="1857090688" name="Text Box 5" descr="OFFICIAL: Sensitive//Legislative-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1100" cy="391160"/>
                      </a:xfrm>
                      <a:prstGeom prst="rect">
                        <a:avLst/>
                      </a:prstGeom>
                      <a:noFill/>
                      <a:ln>
                        <a:noFill/>
                      </a:ln>
                    </wps:spPr>
                    <wps:txbx>
                      <w:txbxContent>
                        <w:p w14:paraId="0435B4AF" w14:textId="1B6156E6" w:rsidR="00010D5D" w:rsidRPr="00010D5D" w:rsidRDefault="00010D5D" w:rsidP="00010D5D">
                          <w:pPr>
                            <w:spacing w:after="0"/>
                            <w:rPr>
                              <w:rFonts w:ascii="Calibri" w:eastAsia="Calibri" w:hAnsi="Calibri" w:cs="Calibri"/>
                              <w:noProof/>
                              <w:color w:val="FF0000"/>
                              <w:sz w:val="24"/>
                              <w:szCs w:val="24"/>
                            </w:rPr>
                          </w:pPr>
                          <w:r w:rsidRPr="00010D5D">
                            <w:rPr>
                              <w:rFonts w:ascii="Calibri" w:eastAsia="Calibri" w:hAnsi="Calibri" w:cs="Calibri"/>
                              <w:noProof/>
                              <w:color w:val="FF0000"/>
                              <w:sz w:val="24"/>
                              <w:szCs w:val="24"/>
                            </w:rPr>
                            <w:t>OFFICIAL: Sensitive//Legislative-Secrecy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47F52" id="_x0000_t202" coordsize="21600,21600" o:spt="202" path="m,l,21600r21600,l21600,xe">
              <v:stroke joinstyle="miter"/>
              <v:path gradientshapeok="t" o:connecttype="rect"/>
            </v:shapetype>
            <v:shape id="Text Box 5" o:spid="_x0000_s1092" type="#_x0000_t202" alt="OFFICIAL: Sensitive//Legislative-Secrecy" style="position:absolute;margin-left:0;margin-top:0;width:193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" filled="f" stroked="f">
              <v:textbox style="mso-fit-shape-to-text:t" inset="0,0,0,15pt">
                <w:txbxContent>
                  <w:p w14:paraId="0435B4AF" w14:textId="1B6156E6" w:rsidR="00010D5D" w:rsidRPr="00010D5D" w:rsidRDefault="00010D5D" w:rsidP="00010D5D">
                    <w:pPr>
                      <w:spacing w:after="0"/>
                      <w:rPr>
                        <w:rFonts w:ascii="Calibri" w:eastAsia="Calibri" w:hAnsi="Calibri" w:cs="Calibri"/>
                        <w:noProof/>
                        <w:color w:val="FF0000"/>
                        <w:sz w:val="24"/>
                        <w:szCs w:val="24"/>
                      </w:rPr>
                    </w:pPr>
                    <w:r w:rsidRPr="00010D5D">
                      <w:rPr>
                        <w:rFonts w:ascii="Calibri" w:eastAsia="Calibri" w:hAnsi="Calibri" w:cs="Calibri"/>
                        <w:noProof/>
                        <w:color w:val="FF0000"/>
                        <w:sz w:val="24"/>
                        <w:szCs w:val="24"/>
                      </w:rPr>
                      <w:t>OFFICIAL: Sensitive//Legislative-Secrecy</w:t>
                    </w:r>
                  </w:p>
                </w:txbxContent>
              </v:textbox>
              <w10:wrap anchorx="page" anchory="page"/>
            </v:shape>
          </w:pict>
        </mc:Fallback>
      </mc:AlternateContent>
    </w:r>
  </w:p>
  <w:p w14:paraId="3889C54E" w14:textId="730A40C4" w:rsidR="00492650" w:rsidRDefault="004926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D9455" w14:textId="77777777" w:rsidR="004C234F" w:rsidRDefault="008B0532" w:rsidP="00492650">
    <w:pPr>
      <w:pStyle w:val="Footer"/>
      <w:spacing w:before="160"/>
      <w:jc w:val="center"/>
    </w:pPr>
    <w:sdt>
      <w:sdtPr>
        <w:id w:val="362019590"/>
        <w:docPartObj>
          <w:docPartGallery w:val="Page Numbers (Bottom of Page)"/>
          <w:docPartUnique/>
        </w:docPartObj>
      </w:sdtPr>
      <w:sdtEndPr>
        <w:rPr>
          <w:noProof/>
        </w:rPr>
      </w:sdtEndPr>
      <w:sdtContent>
        <w:r w:rsidR="00BA34AF">
          <w:t xml:space="preserve">- </w:t>
        </w:r>
        <w:r w:rsidR="00BA34AF">
          <w:fldChar w:fldCharType="begin"/>
        </w:r>
        <w:r w:rsidR="00BA34AF">
          <w:instrText xml:space="preserve"> PAGE   \* MERGEFORMAT </w:instrText>
        </w:r>
        <w:r w:rsidR="00BA34AF">
          <w:fldChar w:fldCharType="separate"/>
        </w:r>
        <w:r w:rsidR="00BA34AF">
          <w:rPr>
            <w:noProof/>
          </w:rPr>
          <w:t>2</w:t>
        </w:r>
        <w:r w:rsidR="00BA34AF">
          <w:rPr>
            <w:noProof/>
          </w:rPr>
          <w:fldChar w:fldCharType="end"/>
        </w:r>
        <w:r w:rsidR="00BA34AF">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93612" w14:textId="77777777" w:rsidR="00BA32CE" w:rsidRDefault="00BA32CE" w:rsidP="001B4E8A">
      <w:pPr>
        <w:spacing w:after="0" w:line="240" w:lineRule="auto"/>
      </w:pPr>
      <w:r>
        <w:separator/>
      </w:r>
    </w:p>
  </w:footnote>
  <w:footnote w:type="continuationSeparator" w:id="0">
    <w:p w14:paraId="60AA28CE" w14:textId="77777777" w:rsidR="00BA32CE" w:rsidRDefault="00BA32CE" w:rsidP="001B4E8A">
      <w:pPr>
        <w:spacing w:after="0" w:line="240" w:lineRule="auto"/>
      </w:pPr>
      <w:r>
        <w:continuationSeparator/>
      </w:r>
    </w:p>
  </w:footnote>
  <w:footnote w:type="continuationNotice" w:id="1">
    <w:p w14:paraId="597C04D7" w14:textId="77777777" w:rsidR="00BA32CE" w:rsidRDefault="00BA32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525EF" w14:textId="77777777" w:rsidR="008A2166" w:rsidRDefault="008A2166">
    <w:pPr>
      <w:pStyle w:val="Header"/>
    </w:pPr>
    <w:r>
      <w:rPr>
        <w:noProof/>
        <w:color w:val="2B579A"/>
        <w:shd w:val="clear" w:color="auto" w:fill="E6E6E6"/>
      </w:rPr>
      <mc:AlternateContent>
        <mc:Choice Requires="wps">
          <w:drawing>
            <wp:anchor distT="0" distB="0" distL="0" distR="0" simplePos="0" relativeHeight="251658242" behindDoc="0" locked="0" layoutInCell="1" allowOverlap="1" wp14:anchorId="2E2E9C5D" wp14:editId="4D317540">
              <wp:simplePos x="635" y="635"/>
              <wp:positionH relativeFrom="page">
                <wp:align>center</wp:align>
              </wp:positionH>
              <wp:positionV relativeFrom="page">
                <wp:align>top</wp:align>
              </wp:positionV>
              <wp:extent cx="443865" cy="443865"/>
              <wp:effectExtent l="0" t="0" r="13970" b="5080"/>
              <wp:wrapNone/>
              <wp:docPr id="740379862" name="Text Box 74037986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4831EE" w14:textId="77777777" w:rsidR="008A2166" w:rsidRPr="00325CA0" w:rsidRDefault="008A2166">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2E9C5D" id="_x0000_t202" coordsize="21600,21600" o:spt="202" path="m,l,21600r21600,l21600,xe">
              <v:stroke joinstyle="miter"/>
              <v:path gradientshapeok="t" o:connecttype="rect"/>
            </v:shapetype>
            <v:shape id="Text Box 740379862" o:spid="_x0000_s109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E4831EE" w14:textId="77777777" w:rsidR="008A2166" w:rsidRPr="00325CA0" w:rsidRDefault="008A2166">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6A467" w14:textId="77777777" w:rsidR="004C234F" w:rsidRDefault="00010D5D">
    <w:pPr>
      <w:pStyle w:val="Header"/>
    </w:pPr>
    <w:r>
      <w:rPr>
        <w:noProof/>
      </w:rPr>
      <mc:AlternateContent>
        <mc:Choice Requires="wps">
          <w:drawing>
            <wp:anchor distT="0" distB="0" distL="0" distR="0" simplePos="0" relativeHeight="251658240" behindDoc="0" locked="0" layoutInCell="1" allowOverlap="1" wp14:anchorId="5A5585DB" wp14:editId="270F2267">
              <wp:simplePos x="635" y="635"/>
              <wp:positionH relativeFrom="page">
                <wp:align>center</wp:align>
              </wp:positionH>
              <wp:positionV relativeFrom="page">
                <wp:align>top</wp:align>
              </wp:positionV>
              <wp:extent cx="2451100" cy="391160"/>
              <wp:effectExtent l="0" t="0" r="6350" b="8890"/>
              <wp:wrapNone/>
              <wp:docPr id="334646717" name="Text Box 2" descr="OFFICIAL: Sensitive//Legislative-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51100" cy="391160"/>
                      </a:xfrm>
                      <a:prstGeom prst="rect">
                        <a:avLst/>
                      </a:prstGeom>
                      <a:noFill/>
                      <a:ln>
                        <a:noFill/>
                      </a:ln>
                    </wps:spPr>
                    <wps:txbx>
                      <w:txbxContent>
                        <w:p w14:paraId="60226E82" w14:textId="23F6558F" w:rsidR="00010D5D" w:rsidRPr="00010D5D" w:rsidRDefault="00010D5D" w:rsidP="00010D5D">
                          <w:pPr>
                            <w:spacing w:after="0"/>
                            <w:rPr>
                              <w:rFonts w:ascii="Calibri" w:eastAsia="Calibri" w:hAnsi="Calibri" w:cs="Calibri"/>
                              <w:noProof/>
                              <w:color w:val="FF0000"/>
                              <w:sz w:val="24"/>
                              <w:szCs w:val="24"/>
                            </w:rPr>
                          </w:pPr>
                          <w:r w:rsidRPr="00010D5D">
                            <w:rPr>
                              <w:rFonts w:ascii="Calibri" w:eastAsia="Calibri" w:hAnsi="Calibri" w:cs="Calibri"/>
                              <w:noProof/>
                              <w:color w:val="FF0000"/>
                              <w:sz w:val="24"/>
                              <w:szCs w:val="24"/>
                            </w:rPr>
                            <w:t>OFFICIAL: Sensitive//Legislative-Secrecy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5585DB" id="_x0000_t202" coordsize="21600,21600" o:spt="202" path="m,l,21600r21600,l21600,xe">
              <v:stroke joinstyle="miter"/>
              <v:path gradientshapeok="t" o:connecttype="rect"/>
            </v:shapetype>
            <v:shape id="Text Box 2" o:spid="_x0000_s1091" type="#_x0000_t202" alt="OFFICIAL: Sensitive//Legislative-Secrecy" style="position:absolute;margin-left:0;margin-top:0;width:193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" filled="f" stroked="f">
              <v:textbox style="mso-fit-shape-to-text:t" inset="0,15pt,0,0">
                <w:txbxContent>
                  <w:p w14:paraId="60226E82" w14:textId="23F6558F" w:rsidR="00010D5D" w:rsidRPr="00010D5D" w:rsidRDefault="00010D5D" w:rsidP="00010D5D">
                    <w:pPr>
                      <w:spacing w:after="0"/>
                      <w:rPr>
                        <w:rFonts w:ascii="Calibri" w:eastAsia="Calibri" w:hAnsi="Calibri" w:cs="Calibri"/>
                        <w:noProof/>
                        <w:color w:val="FF0000"/>
                        <w:sz w:val="24"/>
                        <w:szCs w:val="24"/>
                      </w:rPr>
                    </w:pPr>
                    <w:r w:rsidRPr="00010D5D">
                      <w:rPr>
                        <w:rFonts w:ascii="Calibri" w:eastAsia="Calibri" w:hAnsi="Calibri" w:cs="Calibri"/>
                        <w:noProof/>
                        <w:color w:val="FF0000"/>
                        <w:sz w:val="24"/>
                        <w:szCs w:val="24"/>
                      </w:rPr>
                      <w:t>OFFICIAL: Sensitive//Legislative-Secrecy</w:t>
                    </w:r>
                  </w:p>
                </w:txbxContent>
              </v:textbox>
              <w10:wrap anchorx="page" anchory="page"/>
            </v:shape>
          </w:pict>
        </mc:Fallback>
      </mc:AlternateContent>
    </w:r>
  </w:p>
  <w:p w14:paraId="36C750CF" w14:textId="702BCDE4" w:rsidR="00492650" w:rsidRDefault="004926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8EA"/>
    <w:multiLevelType w:val="hybridMultilevel"/>
    <w:tmpl w:val="FBAA7076"/>
    <w:lvl w:ilvl="0" w:tplc="0C090001">
      <w:start w:val="1"/>
      <w:numFmt w:val="bullet"/>
      <w:lvlText w:val=""/>
      <w:lvlJc w:val="left"/>
      <w:pPr>
        <w:ind w:left="1996" w:hanging="360"/>
      </w:pPr>
      <w:rPr>
        <w:rFonts w:ascii="Symbol" w:hAnsi="Symbol" w:hint="default"/>
      </w:rPr>
    </w:lvl>
    <w:lvl w:ilvl="1" w:tplc="6DF83448">
      <w:start w:val="1"/>
      <w:numFmt w:val="bullet"/>
      <w:lvlText w:val=""/>
      <w:lvlJc w:val="left"/>
      <w:pPr>
        <w:ind w:left="2716" w:hanging="360"/>
      </w:pPr>
      <w:rPr>
        <w:rFonts w:ascii="Symbol" w:hAnsi="Symbol" w:hint="default"/>
      </w:rPr>
    </w:lvl>
    <w:lvl w:ilvl="2" w:tplc="878214AC">
      <w:numFmt w:val="bullet"/>
      <w:lvlText w:val="–"/>
      <w:lvlJc w:val="left"/>
      <w:pPr>
        <w:ind w:left="3436" w:hanging="360"/>
      </w:pPr>
      <w:rPr>
        <w:rFonts w:ascii="Times New Roman" w:eastAsia="Calibri" w:hAnsi="Times New Roman" w:cs="Times New Roman"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 w15:restartNumberingAfterBreak="0">
    <w:nsid w:val="04C80A42"/>
    <w:multiLevelType w:val="hybridMultilevel"/>
    <w:tmpl w:val="B1E2AF4E"/>
    <w:lvl w:ilvl="0" w:tplc="B644CF28">
      <w:start w:val="1"/>
      <w:numFmt w:val="decimal"/>
      <w:lvlText w:val="%1."/>
      <w:lvlJc w:val="left"/>
      <w:pPr>
        <w:ind w:left="720" w:hanging="360"/>
      </w:pPr>
      <w:rPr>
        <w:rFonts w:asciiTheme="minorHAnsi" w:hAnsiTheme="minorHAnsi" w:cstheme="minorHAns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D161A8"/>
    <w:multiLevelType w:val="hybridMultilevel"/>
    <w:tmpl w:val="87CE7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76BB7"/>
    <w:multiLevelType w:val="hybridMultilevel"/>
    <w:tmpl w:val="1C5C7948"/>
    <w:lvl w:ilvl="0" w:tplc="0C090001">
      <w:start w:val="1"/>
      <w:numFmt w:val="bullet"/>
      <w:lvlText w:val=""/>
      <w:lvlJc w:val="left"/>
      <w:pPr>
        <w:ind w:left="1996" w:hanging="360"/>
      </w:pPr>
      <w:rPr>
        <w:rFonts w:ascii="Symbol" w:hAnsi="Symbol" w:hint="default"/>
      </w:rPr>
    </w:lvl>
    <w:lvl w:ilvl="1" w:tplc="6DF83448">
      <w:start w:val="1"/>
      <w:numFmt w:val="bullet"/>
      <w:lvlText w:val=""/>
      <w:lvlJc w:val="left"/>
      <w:pPr>
        <w:ind w:left="2716" w:hanging="360"/>
      </w:pPr>
      <w:rPr>
        <w:rFonts w:ascii="Symbol" w:hAnsi="Symbol"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4" w15:restartNumberingAfterBreak="0">
    <w:nsid w:val="08832CA4"/>
    <w:multiLevelType w:val="hybridMultilevel"/>
    <w:tmpl w:val="B2C85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576F7D"/>
    <w:multiLevelType w:val="hybridMultilevel"/>
    <w:tmpl w:val="F45C1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20496E"/>
    <w:multiLevelType w:val="hybridMultilevel"/>
    <w:tmpl w:val="FFFFFFFF"/>
    <w:lvl w:ilvl="0" w:tplc="74429370">
      <w:start w:val="1"/>
      <w:numFmt w:val="decimal"/>
      <w:lvlText w:val="%1."/>
      <w:lvlJc w:val="left"/>
      <w:pPr>
        <w:ind w:left="720" w:hanging="360"/>
      </w:pPr>
    </w:lvl>
    <w:lvl w:ilvl="1" w:tplc="C1C057B4">
      <w:start w:val="1"/>
      <w:numFmt w:val="lowerLetter"/>
      <w:lvlText w:val="%2."/>
      <w:lvlJc w:val="left"/>
      <w:pPr>
        <w:ind w:left="1440" w:hanging="360"/>
      </w:pPr>
    </w:lvl>
    <w:lvl w:ilvl="2" w:tplc="FB0ED57C">
      <w:start w:val="1"/>
      <w:numFmt w:val="lowerRoman"/>
      <w:lvlText w:val="%3."/>
      <w:lvlJc w:val="right"/>
      <w:pPr>
        <w:ind w:left="2160" w:hanging="180"/>
      </w:pPr>
    </w:lvl>
    <w:lvl w:ilvl="3" w:tplc="B1687FF6">
      <w:start w:val="1"/>
      <w:numFmt w:val="decimal"/>
      <w:lvlText w:val="%4."/>
      <w:lvlJc w:val="left"/>
      <w:pPr>
        <w:ind w:left="2880" w:hanging="360"/>
      </w:pPr>
    </w:lvl>
    <w:lvl w:ilvl="4" w:tplc="A8EAB90E">
      <w:start w:val="1"/>
      <w:numFmt w:val="lowerLetter"/>
      <w:lvlText w:val="%5."/>
      <w:lvlJc w:val="left"/>
      <w:pPr>
        <w:ind w:left="3600" w:hanging="360"/>
      </w:pPr>
    </w:lvl>
    <w:lvl w:ilvl="5" w:tplc="ED98A7A0">
      <w:start w:val="1"/>
      <w:numFmt w:val="lowerRoman"/>
      <w:lvlText w:val="%6."/>
      <w:lvlJc w:val="right"/>
      <w:pPr>
        <w:ind w:left="4320" w:hanging="180"/>
      </w:pPr>
    </w:lvl>
    <w:lvl w:ilvl="6" w:tplc="38765824">
      <w:start w:val="1"/>
      <w:numFmt w:val="decimal"/>
      <w:lvlText w:val="%7."/>
      <w:lvlJc w:val="left"/>
      <w:pPr>
        <w:ind w:left="5040" w:hanging="360"/>
      </w:pPr>
    </w:lvl>
    <w:lvl w:ilvl="7" w:tplc="B7802556">
      <w:start w:val="1"/>
      <w:numFmt w:val="lowerLetter"/>
      <w:lvlText w:val="%8."/>
      <w:lvlJc w:val="left"/>
      <w:pPr>
        <w:ind w:left="5760" w:hanging="360"/>
      </w:pPr>
    </w:lvl>
    <w:lvl w:ilvl="8" w:tplc="E1F04CBA">
      <w:start w:val="1"/>
      <w:numFmt w:val="lowerRoman"/>
      <w:lvlText w:val="%9."/>
      <w:lvlJc w:val="right"/>
      <w:pPr>
        <w:ind w:left="6480" w:hanging="180"/>
      </w:pPr>
    </w:lvl>
  </w:abstractNum>
  <w:abstractNum w:abstractNumId="7" w15:restartNumberingAfterBreak="0">
    <w:nsid w:val="0D63FC2C"/>
    <w:multiLevelType w:val="hybridMultilevel"/>
    <w:tmpl w:val="6CB82D94"/>
    <w:lvl w:ilvl="0" w:tplc="F8FA49F2">
      <w:start w:val="1"/>
      <w:numFmt w:val="bullet"/>
      <w:lvlText w:val=""/>
      <w:lvlJc w:val="left"/>
      <w:pPr>
        <w:ind w:left="720" w:hanging="360"/>
      </w:pPr>
      <w:rPr>
        <w:rFonts w:ascii="Symbol" w:hAnsi="Symbol" w:hint="default"/>
        <w:color w:val="auto"/>
      </w:rPr>
    </w:lvl>
    <w:lvl w:ilvl="1" w:tplc="238AE6A0">
      <w:start w:val="1"/>
      <w:numFmt w:val="bullet"/>
      <w:lvlText w:val="o"/>
      <w:lvlJc w:val="left"/>
      <w:pPr>
        <w:ind w:left="1440" w:hanging="360"/>
      </w:pPr>
      <w:rPr>
        <w:rFonts w:ascii="Courier New" w:hAnsi="Courier New" w:hint="default"/>
      </w:rPr>
    </w:lvl>
    <w:lvl w:ilvl="2" w:tplc="25602B8C">
      <w:start w:val="1"/>
      <w:numFmt w:val="bullet"/>
      <w:lvlText w:val=""/>
      <w:lvlJc w:val="left"/>
      <w:pPr>
        <w:ind w:left="2160" w:hanging="360"/>
      </w:pPr>
      <w:rPr>
        <w:rFonts w:ascii="Wingdings" w:hAnsi="Wingdings" w:hint="default"/>
      </w:rPr>
    </w:lvl>
    <w:lvl w:ilvl="3" w:tplc="297E22FE">
      <w:start w:val="1"/>
      <w:numFmt w:val="bullet"/>
      <w:lvlText w:val=""/>
      <w:lvlJc w:val="left"/>
      <w:pPr>
        <w:ind w:left="2880" w:hanging="360"/>
      </w:pPr>
      <w:rPr>
        <w:rFonts w:ascii="Symbol" w:hAnsi="Symbol" w:hint="default"/>
      </w:rPr>
    </w:lvl>
    <w:lvl w:ilvl="4" w:tplc="EB187E6E">
      <w:start w:val="1"/>
      <w:numFmt w:val="bullet"/>
      <w:lvlText w:val="o"/>
      <w:lvlJc w:val="left"/>
      <w:pPr>
        <w:ind w:left="3600" w:hanging="360"/>
      </w:pPr>
      <w:rPr>
        <w:rFonts w:ascii="Courier New" w:hAnsi="Courier New" w:hint="default"/>
      </w:rPr>
    </w:lvl>
    <w:lvl w:ilvl="5" w:tplc="D85AA7A2">
      <w:start w:val="1"/>
      <w:numFmt w:val="bullet"/>
      <w:lvlText w:val=""/>
      <w:lvlJc w:val="left"/>
      <w:pPr>
        <w:ind w:left="4320" w:hanging="360"/>
      </w:pPr>
      <w:rPr>
        <w:rFonts w:ascii="Wingdings" w:hAnsi="Wingdings" w:hint="default"/>
      </w:rPr>
    </w:lvl>
    <w:lvl w:ilvl="6" w:tplc="944C8D6C">
      <w:start w:val="1"/>
      <w:numFmt w:val="bullet"/>
      <w:lvlText w:val=""/>
      <w:lvlJc w:val="left"/>
      <w:pPr>
        <w:ind w:left="5040" w:hanging="360"/>
      </w:pPr>
      <w:rPr>
        <w:rFonts w:ascii="Symbol" w:hAnsi="Symbol" w:hint="default"/>
      </w:rPr>
    </w:lvl>
    <w:lvl w:ilvl="7" w:tplc="0C8A4852">
      <w:start w:val="1"/>
      <w:numFmt w:val="bullet"/>
      <w:lvlText w:val="o"/>
      <w:lvlJc w:val="left"/>
      <w:pPr>
        <w:ind w:left="5760" w:hanging="360"/>
      </w:pPr>
      <w:rPr>
        <w:rFonts w:ascii="Courier New" w:hAnsi="Courier New" w:hint="default"/>
      </w:rPr>
    </w:lvl>
    <w:lvl w:ilvl="8" w:tplc="BE36A69C">
      <w:start w:val="1"/>
      <w:numFmt w:val="bullet"/>
      <w:lvlText w:val=""/>
      <w:lvlJc w:val="left"/>
      <w:pPr>
        <w:ind w:left="6480" w:hanging="360"/>
      </w:pPr>
      <w:rPr>
        <w:rFonts w:ascii="Wingdings" w:hAnsi="Wingdings" w:hint="default"/>
      </w:rPr>
    </w:lvl>
  </w:abstractNum>
  <w:abstractNum w:abstractNumId="8" w15:restartNumberingAfterBreak="0">
    <w:nsid w:val="0DB3AEEE"/>
    <w:multiLevelType w:val="hybridMultilevel"/>
    <w:tmpl w:val="FFFFFFFF"/>
    <w:lvl w:ilvl="0" w:tplc="3B3CD940">
      <w:start w:val="1"/>
      <w:numFmt w:val="decimal"/>
      <w:lvlText w:val="%1."/>
      <w:lvlJc w:val="left"/>
      <w:pPr>
        <w:ind w:left="720" w:hanging="360"/>
      </w:pPr>
    </w:lvl>
    <w:lvl w:ilvl="1" w:tplc="FC9EE8EC">
      <w:start w:val="1"/>
      <w:numFmt w:val="lowerLetter"/>
      <w:lvlText w:val="%2."/>
      <w:lvlJc w:val="left"/>
      <w:pPr>
        <w:ind w:left="1440" w:hanging="360"/>
      </w:pPr>
    </w:lvl>
    <w:lvl w:ilvl="2" w:tplc="30B8751E">
      <w:start w:val="1"/>
      <w:numFmt w:val="lowerRoman"/>
      <w:lvlText w:val="%3."/>
      <w:lvlJc w:val="right"/>
      <w:pPr>
        <w:ind w:left="2160" w:hanging="180"/>
      </w:pPr>
    </w:lvl>
    <w:lvl w:ilvl="3" w:tplc="9B4AF972">
      <w:start w:val="1"/>
      <w:numFmt w:val="decimal"/>
      <w:lvlText w:val="%4."/>
      <w:lvlJc w:val="left"/>
      <w:pPr>
        <w:ind w:left="2880" w:hanging="360"/>
      </w:pPr>
    </w:lvl>
    <w:lvl w:ilvl="4" w:tplc="155E3026">
      <w:start w:val="1"/>
      <w:numFmt w:val="lowerLetter"/>
      <w:lvlText w:val="%5."/>
      <w:lvlJc w:val="left"/>
      <w:pPr>
        <w:ind w:left="3600" w:hanging="360"/>
      </w:pPr>
    </w:lvl>
    <w:lvl w:ilvl="5" w:tplc="A09C18EC">
      <w:start w:val="1"/>
      <w:numFmt w:val="lowerRoman"/>
      <w:lvlText w:val="%6."/>
      <w:lvlJc w:val="right"/>
      <w:pPr>
        <w:ind w:left="4320" w:hanging="180"/>
      </w:pPr>
    </w:lvl>
    <w:lvl w:ilvl="6" w:tplc="9238F8DA">
      <w:start w:val="1"/>
      <w:numFmt w:val="decimal"/>
      <w:lvlText w:val="%7."/>
      <w:lvlJc w:val="left"/>
      <w:pPr>
        <w:ind w:left="5040" w:hanging="360"/>
      </w:pPr>
    </w:lvl>
    <w:lvl w:ilvl="7" w:tplc="73D4F80C">
      <w:start w:val="1"/>
      <w:numFmt w:val="lowerLetter"/>
      <w:lvlText w:val="%8."/>
      <w:lvlJc w:val="left"/>
      <w:pPr>
        <w:ind w:left="5760" w:hanging="360"/>
      </w:pPr>
    </w:lvl>
    <w:lvl w:ilvl="8" w:tplc="684CC6AE">
      <w:start w:val="1"/>
      <w:numFmt w:val="lowerRoman"/>
      <w:lvlText w:val="%9."/>
      <w:lvlJc w:val="right"/>
      <w:pPr>
        <w:ind w:left="6480" w:hanging="180"/>
      </w:pPr>
    </w:lvl>
  </w:abstractNum>
  <w:abstractNum w:abstractNumId="9" w15:restartNumberingAfterBreak="0">
    <w:nsid w:val="0E174344"/>
    <w:multiLevelType w:val="hybridMultilevel"/>
    <w:tmpl w:val="D742C102"/>
    <w:lvl w:ilvl="0" w:tplc="F8FA49F2">
      <w:start w:val="1"/>
      <w:numFmt w:val="bullet"/>
      <w:lvlText w:val=""/>
      <w:lvlJc w:val="left"/>
      <w:pPr>
        <w:ind w:left="1080" w:hanging="72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F43815"/>
    <w:multiLevelType w:val="hybridMultilevel"/>
    <w:tmpl w:val="9E8025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0B0C90"/>
    <w:multiLevelType w:val="hybridMultilevel"/>
    <w:tmpl w:val="493E4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AC07CF"/>
    <w:multiLevelType w:val="hybridMultilevel"/>
    <w:tmpl w:val="9C8ACBBA"/>
    <w:lvl w:ilvl="0" w:tplc="6DF83448">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180641BD"/>
    <w:multiLevelType w:val="hybridMultilevel"/>
    <w:tmpl w:val="4AEA4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2F15CE"/>
    <w:multiLevelType w:val="hybridMultilevel"/>
    <w:tmpl w:val="7ADE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945767"/>
    <w:multiLevelType w:val="hybridMultilevel"/>
    <w:tmpl w:val="ACC465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6722302"/>
    <w:multiLevelType w:val="hybridMultilevel"/>
    <w:tmpl w:val="64FED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874CC4"/>
    <w:multiLevelType w:val="hybridMultilevel"/>
    <w:tmpl w:val="7F7AD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3B72EA"/>
    <w:multiLevelType w:val="hybridMultilevel"/>
    <w:tmpl w:val="FFFFFFFF"/>
    <w:lvl w:ilvl="0" w:tplc="7B1E9648">
      <w:start w:val="1"/>
      <w:numFmt w:val="decimal"/>
      <w:lvlText w:val="%1."/>
      <w:lvlJc w:val="left"/>
      <w:pPr>
        <w:ind w:left="720" w:hanging="360"/>
      </w:pPr>
    </w:lvl>
    <w:lvl w:ilvl="1" w:tplc="C4B25206">
      <w:start w:val="1"/>
      <w:numFmt w:val="lowerLetter"/>
      <w:lvlText w:val="%2."/>
      <w:lvlJc w:val="left"/>
      <w:pPr>
        <w:ind w:left="1440" w:hanging="360"/>
      </w:pPr>
    </w:lvl>
    <w:lvl w:ilvl="2" w:tplc="12DAB314">
      <w:start w:val="1"/>
      <w:numFmt w:val="lowerRoman"/>
      <w:lvlText w:val="%3."/>
      <w:lvlJc w:val="right"/>
      <w:pPr>
        <w:ind w:left="2160" w:hanging="180"/>
      </w:pPr>
    </w:lvl>
    <w:lvl w:ilvl="3" w:tplc="7B42EFAA">
      <w:start w:val="1"/>
      <w:numFmt w:val="decimal"/>
      <w:lvlText w:val="%4."/>
      <w:lvlJc w:val="left"/>
      <w:pPr>
        <w:ind w:left="2880" w:hanging="360"/>
      </w:pPr>
    </w:lvl>
    <w:lvl w:ilvl="4" w:tplc="115C3D1E">
      <w:start w:val="1"/>
      <w:numFmt w:val="lowerLetter"/>
      <w:lvlText w:val="%5."/>
      <w:lvlJc w:val="left"/>
      <w:pPr>
        <w:ind w:left="3600" w:hanging="360"/>
      </w:pPr>
    </w:lvl>
    <w:lvl w:ilvl="5" w:tplc="3ADEB3D8">
      <w:start w:val="1"/>
      <w:numFmt w:val="lowerRoman"/>
      <w:lvlText w:val="%6."/>
      <w:lvlJc w:val="right"/>
      <w:pPr>
        <w:ind w:left="4320" w:hanging="180"/>
      </w:pPr>
    </w:lvl>
    <w:lvl w:ilvl="6" w:tplc="0AF60062">
      <w:start w:val="1"/>
      <w:numFmt w:val="decimal"/>
      <w:lvlText w:val="%7."/>
      <w:lvlJc w:val="left"/>
      <w:pPr>
        <w:ind w:left="5040" w:hanging="360"/>
      </w:pPr>
    </w:lvl>
    <w:lvl w:ilvl="7" w:tplc="EA683C30">
      <w:start w:val="1"/>
      <w:numFmt w:val="lowerLetter"/>
      <w:lvlText w:val="%8."/>
      <w:lvlJc w:val="left"/>
      <w:pPr>
        <w:ind w:left="5760" w:hanging="360"/>
      </w:pPr>
    </w:lvl>
    <w:lvl w:ilvl="8" w:tplc="9026AB9A">
      <w:start w:val="1"/>
      <w:numFmt w:val="lowerRoman"/>
      <w:lvlText w:val="%9."/>
      <w:lvlJc w:val="right"/>
      <w:pPr>
        <w:ind w:left="6480" w:hanging="180"/>
      </w:pPr>
    </w:lvl>
  </w:abstractNum>
  <w:abstractNum w:abstractNumId="19" w15:restartNumberingAfterBreak="0">
    <w:nsid w:val="2BB73DCE"/>
    <w:multiLevelType w:val="hybridMultilevel"/>
    <w:tmpl w:val="796CBB1E"/>
    <w:lvl w:ilvl="0" w:tplc="0C090001">
      <w:start w:val="1"/>
      <w:numFmt w:val="bullet"/>
      <w:lvlText w:val=""/>
      <w:lvlJc w:val="left"/>
      <w:pPr>
        <w:ind w:left="720" w:hanging="360"/>
      </w:pPr>
      <w:rPr>
        <w:rFonts w:ascii="Symbol" w:hAnsi="Symbol" w:hint="default"/>
      </w:rPr>
    </w:lvl>
    <w:lvl w:ilvl="1" w:tplc="6DF8344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836201"/>
    <w:multiLevelType w:val="hybridMultilevel"/>
    <w:tmpl w:val="2B68A174"/>
    <w:lvl w:ilvl="0" w:tplc="01DA44BE">
      <w:start w:val="1"/>
      <w:numFmt w:val="bullet"/>
      <w:lvlText w:val="•"/>
      <w:lvlJc w:val="left"/>
      <w:pPr>
        <w:ind w:left="366" w:hanging="720"/>
      </w:pPr>
      <w:rPr>
        <w:rFonts w:ascii="Calibri" w:eastAsia="Times New Roman" w:hAnsi="Calibri" w:cs="Calibri"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1" w15:restartNumberingAfterBreak="0">
    <w:nsid w:val="302B24AF"/>
    <w:multiLevelType w:val="hybridMultilevel"/>
    <w:tmpl w:val="29D05C8E"/>
    <w:lvl w:ilvl="0" w:tplc="6DF83448">
      <w:start w:val="1"/>
      <w:numFmt w:val="bullet"/>
      <w:lvlText w:val=""/>
      <w:lvlJc w:val="left"/>
      <w:pPr>
        <w:ind w:left="2520" w:hanging="360"/>
      </w:pPr>
      <w:rPr>
        <w:rFonts w:ascii="Symbol" w:hAnsi="Symbol" w:hint="default"/>
      </w:rPr>
    </w:lvl>
    <w:lvl w:ilvl="1" w:tplc="41C0AD68">
      <w:numFmt w:val="bullet"/>
      <w:lvlText w:val="•"/>
      <w:lvlJc w:val="left"/>
      <w:pPr>
        <w:ind w:left="3240" w:hanging="360"/>
      </w:pPr>
      <w:rPr>
        <w:rFonts w:ascii="Times New Roman" w:eastAsia="Calibri" w:hAnsi="Times New Roman" w:cs="Times New Roman"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2" w15:restartNumberingAfterBreak="0">
    <w:nsid w:val="34137E73"/>
    <w:multiLevelType w:val="hybridMultilevel"/>
    <w:tmpl w:val="9418F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624B23"/>
    <w:multiLevelType w:val="hybridMultilevel"/>
    <w:tmpl w:val="F560E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B13791"/>
    <w:multiLevelType w:val="hybridMultilevel"/>
    <w:tmpl w:val="F6388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AD3B7E"/>
    <w:multiLevelType w:val="hybridMultilevel"/>
    <w:tmpl w:val="3EE89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BC7FE5"/>
    <w:multiLevelType w:val="hybridMultilevel"/>
    <w:tmpl w:val="572466FA"/>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0E52B1"/>
    <w:multiLevelType w:val="hybridMultilevel"/>
    <w:tmpl w:val="22324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64E003"/>
    <w:multiLevelType w:val="hybridMultilevel"/>
    <w:tmpl w:val="04B4AADC"/>
    <w:lvl w:ilvl="0" w:tplc="6FB85F32">
      <w:start w:val="1"/>
      <w:numFmt w:val="decimal"/>
      <w:lvlText w:val="%1."/>
      <w:lvlJc w:val="left"/>
      <w:pPr>
        <w:ind w:left="720" w:hanging="360"/>
      </w:pPr>
      <w:rPr>
        <w:rFonts w:asciiTheme="minorHAnsi" w:hAnsiTheme="minorHAnsi" w:cstheme="minorHAnsi" w:hint="default"/>
        <w:sz w:val="20"/>
        <w:szCs w:val="20"/>
      </w:rPr>
    </w:lvl>
    <w:lvl w:ilvl="1" w:tplc="6DC48EAA">
      <w:start w:val="1"/>
      <w:numFmt w:val="lowerLetter"/>
      <w:lvlText w:val="%2."/>
      <w:lvlJc w:val="left"/>
      <w:pPr>
        <w:ind w:left="1440" w:hanging="360"/>
      </w:pPr>
    </w:lvl>
    <w:lvl w:ilvl="2" w:tplc="85627A68">
      <w:start w:val="1"/>
      <w:numFmt w:val="lowerRoman"/>
      <w:lvlText w:val="%3."/>
      <w:lvlJc w:val="right"/>
      <w:pPr>
        <w:ind w:left="2160" w:hanging="180"/>
      </w:pPr>
    </w:lvl>
    <w:lvl w:ilvl="3" w:tplc="7F74F9F4">
      <w:start w:val="1"/>
      <w:numFmt w:val="decimal"/>
      <w:lvlText w:val="%4."/>
      <w:lvlJc w:val="left"/>
      <w:pPr>
        <w:ind w:left="2880" w:hanging="360"/>
      </w:pPr>
    </w:lvl>
    <w:lvl w:ilvl="4" w:tplc="9B5E1008">
      <w:start w:val="1"/>
      <w:numFmt w:val="lowerLetter"/>
      <w:lvlText w:val="%5."/>
      <w:lvlJc w:val="left"/>
      <w:pPr>
        <w:ind w:left="3600" w:hanging="360"/>
      </w:pPr>
    </w:lvl>
    <w:lvl w:ilvl="5" w:tplc="637613F6">
      <w:start w:val="1"/>
      <w:numFmt w:val="lowerRoman"/>
      <w:lvlText w:val="%6."/>
      <w:lvlJc w:val="right"/>
      <w:pPr>
        <w:ind w:left="4320" w:hanging="180"/>
      </w:pPr>
    </w:lvl>
    <w:lvl w:ilvl="6" w:tplc="077EAB6C">
      <w:start w:val="1"/>
      <w:numFmt w:val="decimal"/>
      <w:lvlText w:val="%7."/>
      <w:lvlJc w:val="left"/>
      <w:pPr>
        <w:ind w:left="5040" w:hanging="360"/>
      </w:pPr>
    </w:lvl>
    <w:lvl w:ilvl="7" w:tplc="C2921564">
      <w:start w:val="1"/>
      <w:numFmt w:val="lowerLetter"/>
      <w:lvlText w:val="%8."/>
      <w:lvlJc w:val="left"/>
      <w:pPr>
        <w:ind w:left="5760" w:hanging="360"/>
      </w:pPr>
    </w:lvl>
    <w:lvl w:ilvl="8" w:tplc="0BC009FA">
      <w:start w:val="1"/>
      <w:numFmt w:val="lowerRoman"/>
      <w:lvlText w:val="%9."/>
      <w:lvlJc w:val="right"/>
      <w:pPr>
        <w:ind w:left="6480" w:hanging="180"/>
      </w:pPr>
    </w:lvl>
  </w:abstractNum>
  <w:abstractNum w:abstractNumId="29" w15:restartNumberingAfterBreak="0">
    <w:nsid w:val="5020116D"/>
    <w:multiLevelType w:val="multilevel"/>
    <w:tmpl w:val="B3DEF67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7F7E43"/>
    <w:multiLevelType w:val="hybridMultilevel"/>
    <w:tmpl w:val="2466C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D940C8"/>
    <w:multiLevelType w:val="hybridMultilevel"/>
    <w:tmpl w:val="170CA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1667CF"/>
    <w:multiLevelType w:val="hybridMultilevel"/>
    <w:tmpl w:val="6AC468B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3" w15:restartNumberingAfterBreak="0">
    <w:nsid w:val="64AE3594"/>
    <w:multiLevelType w:val="hybridMultilevel"/>
    <w:tmpl w:val="F63A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35" w15:restartNumberingAfterBreak="0">
    <w:nsid w:val="68977934"/>
    <w:multiLevelType w:val="hybridMultilevel"/>
    <w:tmpl w:val="FFFFFFFF"/>
    <w:lvl w:ilvl="0" w:tplc="48EAB250">
      <w:start w:val="1"/>
      <w:numFmt w:val="lowerLetter"/>
      <w:lvlText w:val="%1."/>
      <w:lvlJc w:val="left"/>
      <w:pPr>
        <w:ind w:left="1440" w:hanging="360"/>
      </w:pPr>
    </w:lvl>
    <w:lvl w:ilvl="1" w:tplc="36BAF3D4">
      <w:start w:val="1"/>
      <w:numFmt w:val="lowerLetter"/>
      <w:lvlText w:val="%2."/>
      <w:lvlJc w:val="left"/>
      <w:pPr>
        <w:ind w:left="2160" w:hanging="360"/>
      </w:pPr>
    </w:lvl>
    <w:lvl w:ilvl="2" w:tplc="A0CC63AC">
      <w:start w:val="1"/>
      <w:numFmt w:val="lowerRoman"/>
      <w:lvlText w:val="%3."/>
      <w:lvlJc w:val="right"/>
      <w:pPr>
        <w:ind w:left="2880" w:hanging="180"/>
      </w:pPr>
    </w:lvl>
    <w:lvl w:ilvl="3" w:tplc="49CCAE98">
      <w:start w:val="1"/>
      <w:numFmt w:val="decimal"/>
      <w:lvlText w:val="%4."/>
      <w:lvlJc w:val="left"/>
      <w:pPr>
        <w:ind w:left="3600" w:hanging="360"/>
      </w:pPr>
    </w:lvl>
    <w:lvl w:ilvl="4" w:tplc="8E84F638">
      <w:start w:val="1"/>
      <w:numFmt w:val="lowerLetter"/>
      <w:lvlText w:val="%5."/>
      <w:lvlJc w:val="left"/>
      <w:pPr>
        <w:ind w:left="4320" w:hanging="360"/>
      </w:pPr>
    </w:lvl>
    <w:lvl w:ilvl="5" w:tplc="7DA257EA">
      <w:start w:val="1"/>
      <w:numFmt w:val="lowerRoman"/>
      <w:lvlText w:val="%6."/>
      <w:lvlJc w:val="right"/>
      <w:pPr>
        <w:ind w:left="5040" w:hanging="180"/>
      </w:pPr>
    </w:lvl>
    <w:lvl w:ilvl="6" w:tplc="27AAFDB8">
      <w:start w:val="1"/>
      <w:numFmt w:val="decimal"/>
      <w:lvlText w:val="%7."/>
      <w:lvlJc w:val="left"/>
      <w:pPr>
        <w:ind w:left="5760" w:hanging="360"/>
      </w:pPr>
    </w:lvl>
    <w:lvl w:ilvl="7" w:tplc="1EAC3148">
      <w:start w:val="1"/>
      <w:numFmt w:val="lowerLetter"/>
      <w:lvlText w:val="%8."/>
      <w:lvlJc w:val="left"/>
      <w:pPr>
        <w:ind w:left="6480" w:hanging="360"/>
      </w:pPr>
    </w:lvl>
    <w:lvl w:ilvl="8" w:tplc="1D189A42">
      <w:start w:val="1"/>
      <w:numFmt w:val="lowerRoman"/>
      <w:lvlText w:val="%9."/>
      <w:lvlJc w:val="right"/>
      <w:pPr>
        <w:ind w:left="7200" w:hanging="180"/>
      </w:pPr>
    </w:lvl>
  </w:abstractNum>
  <w:abstractNum w:abstractNumId="36" w15:restartNumberingAfterBreak="0">
    <w:nsid w:val="6ECB21E8"/>
    <w:multiLevelType w:val="hybridMultilevel"/>
    <w:tmpl w:val="1520BBDC"/>
    <w:lvl w:ilvl="0" w:tplc="804419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6F295B"/>
    <w:multiLevelType w:val="hybridMultilevel"/>
    <w:tmpl w:val="534615A2"/>
    <w:lvl w:ilvl="0" w:tplc="99C0C056">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AC0262"/>
    <w:multiLevelType w:val="hybridMultilevel"/>
    <w:tmpl w:val="1AD01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7998972">
    <w:abstractNumId w:val="37"/>
  </w:num>
  <w:num w:numId="2" w16cid:durableId="1589774949">
    <w:abstractNumId w:val="3"/>
  </w:num>
  <w:num w:numId="3" w16cid:durableId="542209919">
    <w:abstractNumId w:val="4"/>
  </w:num>
  <w:num w:numId="4" w16cid:durableId="295526449">
    <w:abstractNumId w:val="38"/>
  </w:num>
  <w:num w:numId="5" w16cid:durableId="1628857744">
    <w:abstractNumId w:val="12"/>
  </w:num>
  <w:num w:numId="6" w16cid:durableId="1237477419">
    <w:abstractNumId w:val="0"/>
  </w:num>
  <w:num w:numId="7" w16cid:durableId="250704113">
    <w:abstractNumId w:val="21"/>
  </w:num>
  <w:num w:numId="8" w16cid:durableId="1118796935">
    <w:abstractNumId w:val="26"/>
  </w:num>
  <w:num w:numId="9" w16cid:durableId="1819229605">
    <w:abstractNumId w:val="13"/>
  </w:num>
  <w:num w:numId="10" w16cid:durableId="1663195553">
    <w:abstractNumId w:val="19"/>
  </w:num>
  <w:num w:numId="11" w16cid:durableId="1199969084">
    <w:abstractNumId w:val="11"/>
  </w:num>
  <w:num w:numId="12" w16cid:durableId="99033353">
    <w:abstractNumId w:val="14"/>
  </w:num>
  <w:num w:numId="13" w16cid:durableId="1651983221">
    <w:abstractNumId w:val="23"/>
  </w:num>
  <w:num w:numId="14" w16cid:durableId="2127894193">
    <w:abstractNumId w:val="25"/>
  </w:num>
  <w:num w:numId="15" w16cid:durableId="1238707713">
    <w:abstractNumId w:val="2"/>
  </w:num>
  <w:num w:numId="16" w16cid:durableId="1964456932">
    <w:abstractNumId w:val="30"/>
  </w:num>
  <w:num w:numId="17" w16cid:durableId="989019099">
    <w:abstractNumId w:val="36"/>
  </w:num>
  <w:num w:numId="18" w16cid:durableId="1150900972">
    <w:abstractNumId w:val="32"/>
  </w:num>
  <w:num w:numId="19" w16cid:durableId="1003168712">
    <w:abstractNumId w:val="29"/>
  </w:num>
  <w:num w:numId="20" w16cid:durableId="948202404">
    <w:abstractNumId w:val="20"/>
  </w:num>
  <w:num w:numId="21" w16cid:durableId="2125270917">
    <w:abstractNumId w:val="24"/>
  </w:num>
  <w:num w:numId="22" w16cid:durableId="1872107344">
    <w:abstractNumId w:val="31"/>
  </w:num>
  <w:num w:numId="23" w16cid:durableId="2068455514">
    <w:abstractNumId w:val="10"/>
  </w:num>
  <w:num w:numId="24" w16cid:durableId="664548293">
    <w:abstractNumId w:val="27"/>
  </w:num>
  <w:num w:numId="25" w16cid:durableId="1413968631">
    <w:abstractNumId w:val="22"/>
  </w:num>
  <w:num w:numId="26" w16cid:durableId="1324773670">
    <w:abstractNumId w:val="5"/>
  </w:num>
  <w:num w:numId="27" w16cid:durableId="707611795">
    <w:abstractNumId w:val="33"/>
  </w:num>
  <w:num w:numId="28" w16cid:durableId="439837453">
    <w:abstractNumId w:val="16"/>
  </w:num>
  <w:num w:numId="29" w16cid:durableId="872231165">
    <w:abstractNumId w:val="1"/>
  </w:num>
  <w:num w:numId="30" w16cid:durableId="702556201">
    <w:abstractNumId w:val="7"/>
  </w:num>
  <w:num w:numId="31" w16cid:durableId="1465737068">
    <w:abstractNumId w:val="6"/>
  </w:num>
  <w:num w:numId="32" w16cid:durableId="1924878544">
    <w:abstractNumId w:val="28"/>
  </w:num>
  <w:num w:numId="33" w16cid:durableId="91902122">
    <w:abstractNumId w:val="8"/>
  </w:num>
  <w:num w:numId="34" w16cid:durableId="1631977669">
    <w:abstractNumId w:val="35"/>
  </w:num>
  <w:num w:numId="35" w16cid:durableId="981345688">
    <w:abstractNumId w:val="18"/>
  </w:num>
  <w:num w:numId="36" w16cid:durableId="8177662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2415206">
    <w:abstractNumId w:val="15"/>
  </w:num>
  <w:num w:numId="38" w16cid:durableId="1016810761">
    <w:abstractNumId w:val="17"/>
  </w:num>
  <w:num w:numId="39" w16cid:durableId="1087654383">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12"/>
    <w:rsid w:val="000001A0"/>
    <w:rsid w:val="00001BD8"/>
    <w:rsid w:val="00001C39"/>
    <w:rsid w:val="00002836"/>
    <w:rsid w:val="00002A2E"/>
    <w:rsid w:val="000030E8"/>
    <w:rsid w:val="00003136"/>
    <w:rsid w:val="0000395E"/>
    <w:rsid w:val="00003C20"/>
    <w:rsid w:val="0000406B"/>
    <w:rsid w:val="00004BF1"/>
    <w:rsid w:val="00004E64"/>
    <w:rsid w:val="0000528F"/>
    <w:rsid w:val="000067EF"/>
    <w:rsid w:val="00006DB8"/>
    <w:rsid w:val="000073F7"/>
    <w:rsid w:val="0000747F"/>
    <w:rsid w:val="00007520"/>
    <w:rsid w:val="00007827"/>
    <w:rsid w:val="00007866"/>
    <w:rsid w:val="000078AA"/>
    <w:rsid w:val="00007D60"/>
    <w:rsid w:val="000101E7"/>
    <w:rsid w:val="00010320"/>
    <w:rsid w:val="00010746"/>
    <w:rsid w:val="00010D5D"/>
    <w:rsid w:val="00011391"/>
    <w:rsid w:val="00011BF8"/>
    <w:rsid w:val="0001262B"/>
    <w:rsid w:val="0001266E"/>
    <w:rsid w:val="00013EBF"/>
    <w:rsid w:val="0001506F"/>
    <w:rsid w:val="00015777"/>
    <w:rsid w:val="0001589A"/>
    <w:rsid w:val="00015D59"/>
    <w:rsid w:val="00016836"/>
    <w:rsid w:val="0001684E"/>
    <w:rsid w:val="00017439"/>
    <w:rsid w:val="00020BF8"/>
    <w:rsid w:val="00020E9A"/>
    <w:rsid w:val="0002129A"/>
    <w:rsid w:val="000227A9"/>
    <w:rsid w:val="00024DFD"/>
    <w:rsid w:val="00024FE6"/>
    <w:rsid w:val="00025185"/>
    <w:rsid w:val="00025969"/>
    <w:rsid w:val="00025CBA"/>
    <w:rsid w:val="000269D4"/>
    <w:rsid w:val="0002746C"/>
    <w:rsid w:val="0002755A"/>
    <w:rsid w:val="000304FF"/>
    <w:rsid w:val="00030656"/>
    <w:rsid w:val="00030FD3"/>
    <w:rsid w:val="0003173E"/>
    <w:rsid w:val="000320EF"/>
    <w:rsid w:val="00033B30"/>
    <w:rsid w:val="00036953"/>
    <w:rsid w:val="00037BA5"/>
    <w:rsid w:val="00037D89"/>
    <w:rsid w:val="00040526"/>
    <w:rsid w:val="00040956"/>
    <w:rsid w:val="00040D84"/>
    <w:rsid w:val="0004175C"/>
    <w:rsid w:val="00041B60"/>
    <w:rsid w:val="00042A1D"/>
    <w:rsid w:val="000442A0"/>
    <w:rsid w:val="00045776"/>
    <w:rsid w:val="000471A4"/>
    <w:rsid w:val="00047A98"/>
    <w:rsid w:val="000508E5"/>
    <w:rsid w:val="00050EBF"/>
    <w:rsid w:val="00052083"/>
    <w:rsid w:val="00053BB6"/>
    <w:rsid w:val="00054157"/>
    <w:rsid w:val="0005476D"/>
    <w:rsid w:val="00054A4A"/>
    <w:rsid w:val="00054E35"/>
    <w:rsid w:val="00055067"/>
    <w:rsid w:val="00055300"/>
    <w:rsid w:val="0005556B"/>
    <w:rsid w:val="000555C4"/>
    <w:rsid w:val="000559BB"/>
    <w:rsid w:val="00057372"/>
    <w:rsid w:val="00057547"/>
    <w:rsid w:val="000575F1"/>
    <w:rsid w:val="000601E4"/>
    <w:rsid w:val="00060904"/>
    <w:rsid w:val="00060F4B"/>
    <w:rsid w:val="00061138"/>
    <w:rsid w:val="00061781"/>
    <w:rsid w:val="00062C66"/>
    <w:rsid w:val="00063E3B"/>
    <w:rsid w:val="000659FA"/>
    <w:rsid w:val="00066BA7"/>
    <w:rsid w:val="00066F71"/>
    <w:rsid w:val="0006728A"/>
    <w:rsid w:val="00067BBE"/>
    <w:rsid w:val="00067D9A"/>
    <w:rsid w:val="00071035"/>
    <w:rsid w:val="00071D3E"/>
    <w:rsid w:val="00071E9D"/>
    <w:rsid w:val="00071ECE"/>
    <w:rsid w:val="000726DC"/>
    <w:rsid w:val="0007356A"/>
    <w:rsid w:val="00073AC2"/>
    <w:rsid w:val="00074A2C"/>
    <w:rsid w:val="00074B22"/>
    <w:rsid w:val="000754A9"/>
    <w:rsid w:val="0007593F"/>
    <w:rsid w:val="00076ACF"/>
    <w:rsid w:val="0007742E"/>
    <w:rsid w:val="00077509"/>
    <w:rsid w:val="00077AD1"/>
    <w:rsid w:val="0008057D"/>
    <w:rsid w:val="000806A7"/>
    <w:rsid w:val="000809AE"/>
    <w:rsid w:val="00081163"/>
    <w:rsid w:val="0008176C"/>
    <w:rsid w:val="00083370"/>
    <w:rsid w:val="000838C8"/>
    <w:rsid w:val="000841A5"/>
    <w:rsid w:val="00085106"/>
    <w:rsid w:val="00086438"/>
    <w:rsid w:val="00087825"/>
    <w:rsid w:val="00087A56"/>
    <w:rsid w:val="00090E00"/>
    <w:rsid w:val="000911DE"/>
    <w:rsid w:val="00092DC5"/>
    <w:rsid w:val="00092EDE"/>
    <w:rsid w:val="00094802"/>
    <w:rsid w:val="0009514D"/>
    <w:rsid w:val="000960DB"/>
    <w:rsid w:val="0009626B"/>
    <w:rsid w:val="000977D9"/>
    <w:rsid w:val="00097928"/>
    <w:rsid w:val="00097A48"/>
    <w:rsid w:val="000A0087"/>
    <w:rsid w:val="000A0626"/>
    <w:rsid w:val="000A0890"/>
    <w:rsid w:val="000A1659"/>
    <w:rsid w:val="000A2B13"/>
    <w:rsid w:val="000A3063"/>
    <w:rsid w:val="000A3718"/>
    <w:rsid w:val="000A3B1D"/>
    <w:rsid w:val="000A3CBC"/>
    <w:rsid w:val="000A418F"/>
    <w:rsid w:val="000A4517"/>
    <w:rsid w:val="000A4E74"/>
    <w:rsid w:val="000A548E"/>
    <w:rsid w:val="000A5740"/>
    <w:rsid w:val="000A5E4B"/>
    <w:rsid w:val="000B038D"/>
    <w:rsid w:val="000B0782"/>
    <w:rsid w:val="000B2C44"/>
    <w:rsid w:val="000B31E8"/>
    <w:rsid w:val="000B3238"/>
    <w:rsid w:val="000B35E8"/>
    <w:rsid w:val="000B365A"/>
    <w:rsid w:val="000B3D24"/>
    <w:rsid w:val="000B5D8E"/>
    <w:rsid w:val="000B6124"/>
    <w:rsid w:val="000B64B5"/>
    <w:rsid w:val="000B7DCC"/>
    <w:rsid w:val="000C0172"/>
    <w:rsid w:val="000C0DB7"/>
    <w:rsid w:val="000C1080"/>
    <w:rsid w:val="000C1E42"/>
    <w:rsid w:val="000C244C"/>
    <w:rsid w:val="000C383B"/>
    <w:rsid w:val="000C4680"/>
    <w:rsid w:val="000C474B"/>
    <w:rsid w:val="000C6253"/>
    <w:rsid w:val="000C6F78"/>
    <w:rsid w:val="000D0133"/>
    <w:rsid w:val="000D01DE"/>
    <w:rsid w:val="000D0C76"/>
    <w:rsid w:val="000D17F5"/>
    <w:rsid w:val="000D1833"/>
    <w:rsid w:val="000D1D17"/>
    <w:rsid w:val="000D2316"/>
    <w:rsid w:val="000D2F92"/>
    <w:rsid w:val="000D30F4"/>
    <w:rsid w:val="000D3931"/>
    <w:rsid w:val="000D3C56"/>
    <w:rsid w:val="000D5AEB"/>
    <w:rsid w:val="000D60B3"/>
    <w:rsid w:val="000E03B5"/>
    <w:rsid w:val="000E06F5"/>
    <w:rsid w:val="000E09B1"/>
    <w:rsid w:val="000E0BB2"/>
    <w:rsid w:val="000E19B9"/>
    <w:rsid w:val="000E3799"/>
    <w:rsid w:val="000E3C58"/>
    <w:rsid w:val="000E3E94"/>
    <w:rsid w:val="000E4537"/>
    <w:rsid w:val="000E5334"/>
    <w:rsid w:val="000E604F"/>
    <w:rsid w:val="000E6715"/>
    <w:rsid w:val="000E682E"/>
    <w:rsid w:val="000E6856"/>
    <w:rsid w:val="000E69CD"/>
    <w:rsid w:val="000E7CAB"/>
    <w:rsid w:val="000E7E79"/>
    <w:rsid w:val="000F04D4"/>
    <w:rsid w:val="000F0FC5"/>
    <w:rsid w:val="000F2D02"/>
    <w:rsid w:val="000F4D16"/>
    <w:rsid w:val="000F4DA8"/>
    <w:rsid w:val="000F4F33"/>
    <w:rsid w:val="000F54C1"/>
    <w:rsid w:val="000F56F1"/>
    <w:rsid w:val="000F5A5D"/>
    <w:rsid w:val="000F5C31"/>
    <w:rsid w:val="000F67A3"/>
    <w:rsid w:val="000F7010"/>
    <w:rsid w:val="00100245"/>
    <w:rsid w:val="00100634"/>
    <w:rsid w:val="00100843"/>
    <w:rsid w:val="00101A7A"/>
    <w:rsid w:val="001025E3"/>
    <w:rsid w:val="0010315D"/>
    <w:rsid w:val="00103ABF"/>
    <w:rsid w:val="00104550"/>
    <w:rsid w:val="00104966"/>
    <w:rsid w:val="00104F56"/>
    <w:rsid w:val="0010530D"/>
    <w:rsid w:val="001056FD"/>
    <w:rsid w:val="00105721"/>
    <w:rsid w:val="00105724"/>
    <w:rsid w:val="00106AA7"/>
    <w:rsid w:val="00106AD2"/>
    <w:rsid w:val="001075E8"/>
    <w:rsid w:val="00107F8E"/>
    <w:rsid w:val="001100A7"/>
    <w:rsid w:val="001101D3"/>
    <w:rsid w:val="00110D86"/>
    <w:rsid w:val="001110D8"/>
    <w:rsid w:val="00111446"/>
    <w:rsid w:val="001128D1"/>
    <w:rsid w:val="00112A7A"/>
    <w:rsid w:val="001133DB"/>
    <w:rsid w:val="00113D9F"/>
    <w:rsid w:val="001141B3"/>
    <w:rsid w:val="0011439E"/>
    <w:rsid w:val="001148B5"/>
    <w:rsid w:val="00114CA2"/>
    <w:rsid w:val="001151A6"/>
    <w:rsid w:val="00115600"/>
    <w:rsid w:val="001156A8"/>
    <w:rsid w:val="00115DDB"/>
    <w:rsid w:val="00117C9F"/>
    <w:rsid w:val="00121168"/>
    <w:rsid w:val="0012157A"/>
    <w:rsid w:val="001220DD"/>
    <w:rsid w:val="0012251B"/>
    <w:rsid w:val="001227CA"/>
    <w:rsid w:val="00122934"/>
    <w:rsid w:val="00123180"/>
    <w:rsid w:val="00125E9A"/>
    <w:rsid w:val="001263E9"/>
    <w:rsid w:val="00126845"/>
    <w:rsid w:val="00131031"/>
    <w:rsid w:val="00131947"/>
    <w:rsid w:val="00131970"/>
    <w:rsid w:val="00131B14"/>
    <w:rsid w:val="00131F65"/>
    <w:rsid w:val="001320D6"/>
    <w:rsid w:val="00133C28"/>
    <w:rsid w:val="001340F8"/>
    <w:rsid w:val="001342E4"/>
    <w:rsid w:val="00134C05"/>
    <w:rsid w:val="00135481"/>
    <w:rsid w:val="001355AE"/>
    <w:rsid w:val="00135D1F"/>
    <w:rsid w:val="00135E3C"/>
    <w:rsid w:val="00136D8F"/>
    <w:rsid w:val="0013770A"/>
    <w:rsid w:val="001402D8"/>
    <w:rsid w:val="00140945"/>
    <w:rsid w:val="0014193F"/>
    <w:rsid w:val="00142C36"/>
    <w:rsid w:val="00142D50"/>
    <w:rsid w:val="001430CC"/>
    <w:rsid w:val="001435F4"/>
    <w:rsid w:val="0014363F"/>
    <w:rsid w:val="0014436F"/>
    <w:rsid w:val="001452A0"/>
    <w:rsid w:val="00146326"/>
    <w:rsid w:val="001469B8"/>
    <w:rsid w:val="00147621"/>
    <w:rsid w:val="00150EFF"/>
    <w:rsid w:val="001518A4"/>
    <w:rsid w:val="00151D7B"/>
    <w:rsid w:val="00152D86"/>
    <w:rsid w:val="00152F12"/>
    <w:rsid w:val="00153174"/>
    <w:rsid w:val="001532AB"/>
    <w:rsid w:val="0015331C"/>
    <w:rsid w:val="00153A54"/>
    <w:rsid w:val="00154310"/>
    <w:rsid w:val="00154357"/>
    <w:rsid w:val="001546EA"/>
    <w:rsid w:val="00154F14"/>
    <w:rsid w:val="001551F2"/>
    <w:rsid w:val="0015586E"/>
    <w:rsid w:val="00155A5F"/>
    <w:rsid w:val="001577BB"/>
    <w:rsid w:val="00160E09"/>
    <w:rsid w:val="00160E88"/>
    <w:rsid w:val="0016129E"/>
    <w:rsid w:val="00161984"/>
    <w:rsid w:val="00161F21"/>
    <w:rsid w:val="00161FAB"/>
    <w:rsid w:val="0016299C"/>
    <w:rsid w:val="0016301B"/>
    <w:rsid w:val="0016327B"/>
    <w:rsid w:val="00163ADE"/>
    <w:rsid w:val="00163B45"/>
    <w:rsid w:val="00163D9B"/>
    <w:rsid w:val="00164133"/>
    <w:rsid w:val="00165459"/>
    <w:rsid w:val="00165787"/>
    <w:rsid w:val="0016640F"/>
    <w:rsid w:val="001666A0"/>
    <w:rsid w:val="001673DF"/>
    <w:rsid w:val="00167D97"/>
    <w:rsid w:val="0017074A"/>
    <w:rsid w:val="00170DBA"/>
    <w:rsid w:val="00170E06"/>
    <w:rsid w:val="001714BB"/>
    <w:rsid w:val="00171A9F"/>
    <w:rsid w:val="00171C0F"/>
    <w:rsid w:val="00172CDC"/>
    <w:rsid w:val="00172EEF"/>
    <w:rsid w:val="00173284"/>
    <w:rsid w:val="00173F8C"/>
    <w:rsid w:val="00174CA3"/>
    <w:rsid w:val="00175288"/>
    <w:rsid w:val="00176054"/>
    <w:rsid w:val="001779C8"/>
    <w:rsid w:val="00177F42"/>
    <w:rsid w:val="00180670"/>
    <w:rsid w:val="00180AF8"/>
    <w:rsid w:val="00181A3F"/>
    <w:rsid w:val="00181F20"/>
    <w:rsid w:val="001823E9"/>
    <w:rsid w:val="00182D68"/>
    <w:rsid w:val="00184DD1"/>
    <w:rsid w:val="00184DF7"/>
    <w:rsid w:val="001869B1"/>
    <w:rsid w:val="0018715D"/>
    <w:rsid w:val="00187483"/>
    <w:rsid w:val="00187A5E"/>
    <w:rsid w:val="00187C5C"/>
    <w:rsid w:val="001901C9"/>
    <w:rsid w:val="001901D5"/>
    <w:rsid w:val="00190D42"/>
    <w:rsid w:val="001921AC"/>
    <w:rsid w:val="0019231F"/>
    <w:rsid w:val="00192E6B"/>
    <w:rsid w:val="00193BA9"/>
    <w:rsid w:val="00193BB8"/>
    <w:rsid w:val="00193E47"/>
    <w:rsid w:val="0019554D"/>
    <w:rsid w:val="00195C09"/>
    <w:rsid w:val="0019631A"/>
    <w:rsid w:val="001968ED"/>
    <w:rsid w:val="00196CD4"/>
    <w:rsid w:val="00196E49"/>
    <w:rsid w:val="00197EEE"/>
    <w:rsid w:val="001A0204"/>
    <w:rsid w:val="001A0392"/>
    <w:rsid w:val="001A0A3A"/>
    <w:rsid w:val="001A104F"/>
    <w:rsid w:val="001A161D"/>
    <w:rsid w:val="001A2B54"/>
    <w:rsid w:val="001A2CE9"/>
    <w:rsid w:val="001A5891"/>
    <w:rsid w:val="001A597D"/>
    <w:rsid w:val="001A5A2B"/>
    <w:rsid w:val="001A5DD3"/>
    <w:rsid w:val="001A6ADE"/>
    <w:rsid w:val="001A74EC"/>
    <w:rsid w:val="001A7642"/>
    <w:rsid w:val="001B01A1"/>
    <w:rsid w:val="001B0B9A"/>
    <w:rsid w:val="001B0E41"/>
    <w:rsid w:val="001B17EC"/>
    <w:rsid w:val="001B1961"/>
    <w:rsid w:val="001B1C52"/>
    <w:rsid w:val="001B21B7"/>
    <w:rsid w:val="001B2A72"/>
    <w:rsid w:val="001B3C24"/>
    <w:rsid w:val="001B4627"/>
    <w:rsid w:val="001B4D29"/>
    <w:rsid w:val="001B4E8A"/>
    <w:rsid w:val="001B5002"/>
    <w:rsid w:val="001B59F5"/>
    <w:rsid w:val="001B5E18"/>
    <w:rsid w:val="001B6449"/>
    <w:rsid w:val="001C00AF"/>
    <w:rsid w:val="001C043C"/>
    <w:rsid w:val="001C0A85"/>
    <w:rsid w:val="001C0C92"/>
    <w:rsid w:val="001C0DA0"/>
    <w:rsid w:val="001C0DC6"/>
    <w:rsid w:val="001C10C9"/>
    <w:rsid w:val="001C1241"/>
    <w:rsid w:val="001C1E28"/>
    <w:rsid w:val="001C1FFD"/>
    <w:rsid w:val="001C2716"/>
    <w:rsid w:val="001C3239"/>
    <w:rsid w:val="001C3275"/>
    <w:rsid w:val="001C3E02"/>
    <w:rsid w:val="001C46DD"/>
    <w:rsid w:val="001C5CA7"/>
    <w:rsid w:val="001C5F21"/>
    <w:rsid w:val="001C6E7A"/>
    <w:rsid w:val="001C6E8F"/>
    <w:rsid w:val="001C7B8E"/>
    <w:rsid w:val="001C7C09"/>
    <w:rsid w:val="001D080B"/>
    <w:rsid w:val="001D17E9"/>
    <w:rsid w:val="001D1949"/>
    <w:rsid w:val="001D1B35"/>
    <w:rsid w:val="001D1C4C"/>
    <w:rsid w:val="001D2145"/>
    <w:rsid w:val="001D3043"/>
    <w:rsid w:val="001D3E41"/>
    <w:rsid w:val="001D4112"/>
    <w:rsid w:val="001D431A"/>
    <w:rsid w:val="001D43D5"/>
    <w:rsid w:val="001D48E0"/>
    <w:rsid w:val="001D491D"/>
    <w:rsid w:val="001D4CEB"/>
    <w:rsid w:val="001D4D46"/>
    <w:rsid w:val="001D63B6"/>
    <w:rsid w:val="001D68CF"/>
    <w:rsid w:val="001D6A29"/>
    <w:rsid w:val="001D6ED0"/>
    <w:rsid w:val="001D73AD"/>
    <w:rsid w:val="001D786B"/>
    <w:rsid w:val="001D7992"/>
    <w:rsid w:val="001D7D04"/>
    <w:rsid w:val="001E0DB0"/>
    <w:rsid w:val="001E1EB2"/>
    <w:rsid w:val="001E2C02"/>
    <w:rsid w:val="001E44C3"/>
    <w:rsid w:val="001E4A77"/>
    <w:rsid w:val="001E4D97"/>
    <w:rsid w:val="001E5C76"/>
    <w:rsid w:val="001E63A8"/>
    <w:rsid w:val="001E712E"/>
    <w:rsid w:val="001E75FB"/>
    <w:rsid w:val="001F0AFF"/>
    <w:rsid w:val="001F0ED6"/>
    <w:rsid w:val="001F1298"/>
    <w:rsid w:val="001F2E18"/>
    <w:rsid w:val="001F30F1"/>
    <w:rsid w:val="001F344E"/>
    <w:rsid w:val="001F3E8A"/>
    <w:rsid w:val="001F4514"/>
    <w:rsid w:val="001F45EC"/>
    <w:rsid w:val="001F6B80"/>
    <w:rsid w:val="001F76AE"/>
    <w:rsid w:val="00201275"/>
    <w:rsid w:val="00201B4D"/>
    <w:rsid w:val="00202947"/>
    <w:rsid w:val="00203424"/>
    <w:rsid w:val="00203B9A"/>
    <w:rsid w:val="00204AC3"/>
    <w:rsid w:val="00205234"/>
    <w:rsid w:val="002054C5"/>
    <w:rsid w:val="0020666B"/>
    <w:rsid w:val="002068CD"/>
    <w:rsid w:val="00206944"/>
    <w:rsid w:val="00206DD6"/>
    <w:rsid w:val="0020710E"/>
    <w:rsid w:val="0020739E"/>
    <w:rsid w:val="00210410"/>
    <w:rsid w:val="002115E6"/>
    <w:rsid w:val="00211842"/>
    <w:rsid w:val="00211E4E"/>
    <w:rsid w:val="002123F7"/>
    <w:rsid w:val="002131F8"/>
    <w:rsid w:val="00213D2E"/>
    <w:rsid w:val="00213E0F"/>
    <w:rsid w:val="002142A7"/>
    <w:rsid w:val="00214F9E"/>
    <w:rsid w:val="00215156"/>
    <w:rsid w:val="0021518A"/>
    <w:rsid w:val="00216770"/>
    <w:rsid w:val="00216E9F"/>
    <w:rsid w:val="0021708E"/>
    <w:rsid w:val="00217EF1"/>
    <w:rsid w:val="002203FE"/>
    <w:rsid w:val="0022095C"/>
    <w:rsid w:val="002213A5"/>
    <w:rsid w:val="00221E38"/>
    <w:rsid w:val="00222951"/>
    <w:rsid w:val="00222C8A"/>
    <w:rsid w:val="0022309A"/>
    <w:rsid w:val="00223192"/>
    <w:rsid w:val="00223673"/>
    <w:rsid w:val="002249BC"/>
    <w:rsid w:val="00225AB9"/>
    <w:rsid w:val="00225C8E"/>
    <w:rsid w:val="00225C9D"/>
    <w:rsid w:val="0022674C"/>
    <w:rsid w:val="00226EDA"/>
    <w:rsid w:val="00226F2C"/>
    <w:rsid w:val="0023013C"/>
    <w:rsid w:val="00230828"/>
    <w:rsid w:val="0023103C"/>
    <w:rsid w:val="0023180B"/>
    <w:rsid w:val="00231C72"/>
    <w:rsid w:val="002329A1"/>
    <w:rsid w:val="0023355B"/>
    <w:rsid w:val="00233AE2"/>
    <w:rsid w:val="00234382"/>
    <w:rsid w:val="002344FF"/>
    <w:rsid w:val="00235380"/>
    <w:rsid w:val="0023672B"/>
    <w:rsid w:val="0023772A"/>
    <w:rsid w:val="002379A1"/>
    <w:rsid w:val="00240107"/>
    <w:rsid w:val="00241567"/>
    <w:rsid w:val="002415DC"/>
    <w:rsid w:val="002423CB"/>
    <w:rsid w:val="00242402"/>
    <w:rsid w:val="002427D3"/>
    <w:rsid w:val="0024398C"/>
    <w:rsid w:val="002444B3"/>
    <w:rsid w:val="002448A8"/>
    <w:rsid w:val="00244F52"/>
    <w:rsid w:val="00245536"/>
    <w:rsid w:val="00245547"/>
    <w:rsid w:val="002456D4"/>
    <w:rsid w:val="00245A13"/>
    <w:rsid w:val="002462FF"/>
    <w:rsid w:val="0024711D"/>
    <w:rsid w:val="00247187"/>
    <w:rsid w:val="00247330"/>
    <w:rsid w:val="00247A77"/>
    <w:rsid w:val="00250BBF"/>
    <w:rsid w:val="00251583"/>
    <w:rsid w:val="00253C2D"/>
    <w:rsid w:val="00254B98"/>
    <w:rsid w:val="002557C7"/>
    <w:rsid w:val="002560F3"/>
    <w:rsid w:val="00256728"/>
    <w:rsid w:val="0026020E"/>
    <w:rsid w:val="002605BD"/>
    <w:rsid w:val="0026087F"/>
    <w:rsid w:val="0026123D"/>
    <w:rsid w:val="002612C6"/>
    <w:rsid w:val="00261335"/>
    <w:rsid w:val="0026133C"/>
    <w:rsid w:val="002614A3"/>
    <w:rsid w:val="00261573"/>
    <w:rsid w:val="0026176C"/>
    <w:rsid w:val="002617AD"/>
    <w:rsid w:val="00261BDC"/>
    <w:rsid w:val="00262E1F"/>
    <w:rsid w:val="00263E4E"/>
    <w:rsid w:val="002640C9"/>
    <w:rsid w:val="002645EF"/>
    <w:rsid w:val="00264E3D"/>
    <w:rsid w:val="00265F68"/>
    <w:rsid w:val="00266F0F"/>
    <w:rsid w:val="00266F1E"/>
    <w:rsid w:val="00267B2E"/>
    <w:rsid w:val="0027028F"/>
    <w:rsid w:val="0027166A"/>
    <w:rsid w:val="00271CDD"/>
    <w:rsid w:val="002723BA"/>
    <w:rsid w:val="002726C4"/>
    <w:rsid w:val="00272D99"/>
    <w:rsid w:val="00274B59"/>
    <w:rsid w:val="002750B7"/>
    <w:rsid w:val="00275B57"/>
    <w:rsid w:val="00275DF1"/>
    <w:rsid w:val="00276B4C"/>
    <w:rsid w:val="00280BF7"/>
    <w:rsid w:val="002817E1"/>
    <w:rsid w:val="00281AF8"/>
    <w:rsid w:val="00281B31"/>
    <w:rsid w:val="00282A80"/>
    <w:rsid w:val="00282AAF"/>
    <w:rsid w:val="002839EA"/>
    <w:rsid w:val="0028535D"/>
    <w:rsid w:val="00286EED"/>
    <w:rsid w:val="002873A1"/>
    <w:rsid w:val="00287554"/>
    <w:rsid w:val="00287C9A"/>
    <w:rsid w:val="002902DD"/>
    <w:rsid w:val="0029103A"/>
    <w:rsid w:val="00291150"/>
    <w:rsid w:val="0029183B"/>
    <w:rsid w:val="00291841"/>
    <w:rsid w:val="00291956"/>
    <w:rsid w:val="00291985"/>
    <w:rsid w:val="00291A4B"/>
    <w:rsid w:val="00291F14"/>
    <w:rsid w:val="00292621"/>
    <w:rsid w:val="002942AD"/>
    <w:rsid w:val="00294883"/>
    <w:rsid w:val="00294A01"/>
    <w:rsid w:val="0029573A"/>
    <w:rsid w:val="00297408"/>
    <w:rsid w:val="002974A2"/>
    <w:rsid w:val="002975F8"/>
    <w:rsid w:val="002A086B"/>
    <w:rsid w:val="002A1863"/>
    <w:rsid w:val="002A1E59"/>
    <w:rsid w:val="002A1E7B"/>
    <w:rsid w:val="002A281A"/>
    <w:rsid w:val="002A3A9A"/>
    <w:rsid w:val="002A3CE7"/>
    <w:rsid w:val="002A426E"/>
    <w:rsid w:val="002A4B93"/>
    <w:rsid w:val="002A58FF"/>
    <w:rsid w:val="002A5EBC"/>
    <w:rsid w:val="002A6693"/>
    <w:rsid w:val="002A769D"/>
    <w:rsid w:val="002A7D2B"/>
    <w:rsid w:val="002B09BB"/>
    <w:rsid w:val="002B0F04"/>
    <w:rsid w:val="002B1996"/>
    <w:rsid w:val="002B2717"/>
    <w:rsid w:val="002B27B6"/>
    <w:rsid w:val="002B2EDD"/>
    <w:rsid w:val="002B34CA"/>
    <w:rsid w:val="002B3F08"/>
    <w:rsid w:val="002B4889"/>
    <w:rsid w:val="002B4B40"/>
    <w:rsid w:val="002B588C"/>
    <w:rsid w:val="002B631F"/>
    <w:rsid w:val="002B6C2C"/>
    <w:rsid w:val="002B7285"/>
    <w:rsid w:val="002C2577"/>
    <w:rsid w:val="002C33E8"/>
    <w:rsid w:val="002C3B5D"/>
    <w:rsid w:val="002C3C5A"/>
    <w:rsid w:val="002C4D3E"/>
    <w:rsid w:val="002C586A"/>
    <w:rsid w:val="002C5FB1"/>
    <w:rsid w:val="002C7566"/>
    <w:rsid w:val="002C77BF"/>
    <w:rsid w:val="002C7B9D"/>
    <w:rsid w:val="002C7D75"/>
    <w:rsid w:val="002C7E37"/>
    <w:rsid w:val="002C7FA8"/>
    <w:rsid w:val="002D0DE4"/>
    <w:rsid w:val="002D1141"/>
    <w:rsid w:val="002D1237"/>
    <w:rsid w:val="002D1B9B"/>
    <w:rsid w:val="002D22A0"/>
    <w:rsid w:val="002D3078"/>
    <w:rsid w:val="002D3623"/>
    <w:rsid w:val="002D3851"/>
    <w:rsid w:val="002D3B20"/>
    <w:rsid w:val="002D46E0"/>
    <w:rsid w:val="002D4C93"/>
    <w:rsid w:val="002D5077"/>
    <w:rsid w:val="002D56D5"/>
    <w:rsid w:val="002D5E8C"/>
    <w:rsid w:val="002D5EA4"/>
    <w:rsid w:val="002D6CBD"/>
    <w:rsid w:val="002D7639"/>
    <w:rsid w:val="002D7711"/>
    <w:rsid w:val="002E0092"/>
    <w:rsid w:val="002E14E7"/>
    <w:rsid w:val="002E1E4F"/>
    <w:rsid w:val="002E23C5"/>
    <w:rsid w:val="002E27E5"/>
    <w:rsid w:val="002E30BE"/>
    <w:rsid w:val="002E3A7F"/>
    <w:rsid w:val="002E4029"/>
    <w:rsid w:val="002E4441"/>
    <w:rsid w:val="002E49E6"/>
    <w:rsid w:val="002E4CE6"/>
    <w:rsid w:val="002E4D66"/>
    <w:rsid w:val="002E61E7"/>
    <w:rsid w:val="002E6CCD"/>
    <w:rsid w:val="002E6D36"/>
    <w:rsid w:val="002F04B6"/>
    <w:rsid w:val="002F08F1"/>
    <w:rsid w:val="002F0991"/>
    <w:rsid w:val="002F0DF9"/>
    <w:rsid w:val="002F1338"/>
    <w:rsid w:val="002F1A92"/>
    <w:rsid w:val="002F1B9D"/>
    <w:rsid w:val="002F218F"/>
    <w:rsid w:val="002F2D3A"/>
    <w:rsid w:val="002F301E"/>
    <w:rsid w:val="002F3D53"/>
    <w:rsid w:val="002F447B"/>
    <w:rsid w:val="002F47C1"/>
    <w:rsid w:val="002F52A3"/>
    <w:rsid w:val="002F58C0"/>
    <w:rsid w:val="002F7A37"/>
    <w:rsid w:val="002F7C32"/>
    <w:rsid w:val="002F7FC5"/>
    <w:rsid w:val="00300C94"/>
    <w:rsid w:val="00301423"/>
    <w:rsid w:val="00301FF0"/>
    <w:rsid w:val="00302496"/>
    <w:rsid w:val="00303E5F"/>
    <w:rsid w:val="00304349"/>
    <w:rsid w:val="00304AD6"/>
    <w:rsid w:val="00304E3D"/>
    <w:rsid w:val="00304E7D"/>
    <w:rsid w:val="003052DB"/>
    <w:rsid w:val="0030553C"/>
    <w:rsid w:val="00306276"/>
    <w:rsid w:val="00306CD6"/>
    <w:rsid w:val="00307419"/>
    <w:rsid w:val="003078EC"/>
    <w:rsid w:val="00307D03"/>
    <w:rsid w:val="00307E30"/>
    <w:rsid w:val="003105F7"/>
    <w:rsid w:val="0031082A"/>
    <w:rsid w:val="00310F93"/>
    <w:rsid w:val="003114DA"/>
    <w:rsid w:val="00311E66"/>
    <w:rsid w:val="00312228"/>
    <w:rsid w:val="00312342"/>
    <w:rsid w:val="003127DA"/>
    <w:rsid w:val="003128F3"/>
    <w:rsid w:val="00312DD6"/>
    <w:rsid w:val="003139A7"/>
    <w:rsid w:val="00313A9D"/>
    <w:rsid w:val="00313E20"/>
    <w:rsid w:val="00313F69"/>
    <w:rsid w:val="003143D4"/>
    <w:rsid w:val="00314ED2"/>
    <w:rsid w:val="00316476"/>
    <w:rsid w:val="00316B56"/>
    <w:rsid w:val="003170EA"/>
    <w:rsid w:val="003178E8"/>
    <w:rsid w:val="00320E19"/>
    <w:rsid w:val="0032132E"/>
    <w:rsid w:val="00321C32"/>
    <w:rsid w:val="0032342E"/>
    <w:rsid w:val="003239F9"/>
    <w:rsid w:val="00324386"/>
    <w:rsid w:val="003256D0"/>
    <w:rsid w:val="0032610B"/>
    <w:rsid w:val="00326817"/>
    <w:rsid w:val="00326CEE"/>
    <w:rsid w:val="003271E6"/>
    <w:rsid w:val="00330396"/>
    <w:rsid w:val="00330A4A"/>
    <w:rsid w:val="00330A80"/>
    <w:rsid w:val="003317B5"/>
    <w:rsid w:val="003317F2"/>
    <w:rsid w:val="003327C7"/>
    <w:rsid w:val="003327DD"/>
    <w:rsid w:val="00332B34"/>
    <w:rsid w:val="0033372E"/>
    <w:rsid w:val="003338E3"/>
    <w:rsid w:val="003339D2"/>
    <w:rsid w:val="00333D7A"/>
    <w:rsid w:val="00333EC7"/>
    <w:rsid w:val="003348F7"/>
    <w:rsid w:val="00336C13"/>
    <w:rsid w:val="003372A9"/>
    <w:rsid w:val="00337A42"/>
    <w:rsid w:val="0034006C"/>
    <w:rsid w:val="0034058D"/>
    <w:rsid w:val="003408FA"/>
    <w:rsid w:val="003408FD"/>
    <w:rsid w:val="00340A32"/>
    <w:rsid w:val="00340CD6"/>
    <w:rsid w:val="00341357"/>
    <w:rsid w:val="00341900"/>
    <w:rsid w:val="00341930"/>
    <w:rsid w:val="00342711"/>
    <w:rsid w:val="003430B8"/>
    <w:rsid w:val="00343371"/>
    <w:rsid w:val="00343492"/>
    <w:rsid w:val="00343A5B"/>
    <w:rsid w:val="00343C1D"/>
    <w:rsid w:val="00344C23"/>
    <w:rsid w:val="00344EF3"/>
    <w:rsid w:val="00345ED2"/>
    <w:rsid w:val="003468FA"/>
    <w:rsid w:val="00347FCE"/>
    <w:rsid w:val="003527CD"/>
    <w:rsid w:val="00353C5E"/>
    <w:rsid w:val="00353D4D"/>
    <w:rsid w:val="00355962"/>
    <w:rsid w:val="003559ED"/>
    <w:rsid w:val="0035690E"/>
    <w:rsid w:val="003569FC"/>
    <w:rsid w:val="00356D1C"/>
    <w:rsid w:val="00356D56"/>
    <w:rsid w:val="003571D6"/>
    <w:rsid w:val="003575B6"/>
    <w:rsid w:val="00357837"/>
    <w:rsid w:val="00360127"/>
    <w:rsid w:val="0036068A"/>
    <w:rsid w:val="00360E6E"/>
    <w:rsid w:val="00361418"/>
    <w:rsid w:val="003616C3"/>
    <w:rsid w:val="00361A3A"/>
    <w:rsid w:val="00361B07"/>
    <w:rsid w:val="00362D21"/>
    <w:rsid w:val="0036325C"/>
    <w:rsid w:val="0036330A"/>
    <w:rsid w:val="0036345F"/>
    <w:rsid w:val="00363531"/>
    <w:rsid w:val="00363D8B"/>
    <w:rsid w:val="003642C4"/>
    <w:rsid w:val="003650E3"/>
    <w:rsid w:val="0036523C"/>
    <w:rsid w:val="0036596A"/>
    <w:rsid w:val="00365CBF"/>
    <w:rsid w:val="00366930"/>
    <w:rsid w:val="00366D90"/>
    <w:rsid w:val="00367079"/>
    <w:rsid w:val="00370AD8"/>
    <w:rsid w:val="00370BD4"/>
    <w:rsid w:val="00370C15"/>
    <w:rsid w:val="00370EC2"/>
    <w:rsid w:val="003711CC"/>
    <w:rsid w:val="00373F6A"/>
    <w:rsid w:val="003756CA"/>
    <w:rsid w:val="00375DA8"/>
    <w:rsid w:val="00375FCA"/>
    <w:rsid w:val="00376D03"/>
    <w:rsid w:val="003771DA"/>
    <w:rsid w:val="003800D6"/>
    <w:rsid w:val="00380821"/>
    <w:rsid w:val="00380C4B"/>
    <w:rsid w:val="003810E2"/>
    <w:rsid w:val="00381E5D"/>
    <w:rsid w:val="00383CA9"/>
    <w:rsid w:val="00383CDB"/>
    <w:rsid w:val="0038425E"/>
    <w:rsid w:val="00384647"/>
    <w:rsid w:val="0038502D"/>
    <w:rsid w:val="0038782F"/>
    <w:rsid w:val="003905A9"/>
    <w:rsid w:val="00391426"/>
    <w:rsid w:val="00391FF4"/>
    <w:rsid w:val="00392A11"/>
    <w:rsid w:val="003938A6"/>
    <w:rsid w:val="003947F9"/>
    <w:rsid w:val="00394861"/>
    <w:rsid w:val="00394C85"/>
    <w:rsid w:val="00394F2C"/>
    <w:rsid w:val="00397166"/>
    <w:rsid w:val="003974E2"/>
    <w:rsid w:val="003A0033"/>
    <w:rsid w:val="003A034E"/>
    <w:rsid w:val="003A1F59"/>
    <w:rsid w:val="003A2245"/>
    <w:rsid w:val="003A4874"/>
    <w:rsid w:val="003A493A"/>
    <w:rsid w:val="003A49DE"/>
    <w:rsid w:val="003A4D5F"/>
    <w:rsid w:val="003A528F"/>
    <w:rsid w:val="003A54FD"/>
    <w:rsid w:val="003A5588"/>
    <w:rsid w:val="003A5F63"/>
    <w:rsid w:val="003A758A"/>
    <w:rsid w:val="003A75A8"/>
    <w:rsid w:val="003A78E1"/>
    <w:rsid w:val="003A7957"/>
    <w:rsid w:val="003A7C1D"/>
    <w:rsid w:val="003B03D9"/>
    <w:rsid w:val="003B05BD"/>
    <w:rsid w:val="003B0DDC"/>
    <w:rsid w:val="003B24DB"/>
    <w:rsid w:val="003B3A6C"/>
    <w:rsid w:val="003B42DC"/>
    <w:rsid w:val="003B43EC"/>
    <w:rsid w:val="003B453C"/>
    <w:rsid w:val="003B48FF"/>
    <w:rsid w:val="003B4D78"/>
    <w:rsid w:val="003B5548"/>
    <w:rsid w:val="003B5EF3"/>
    <w:rsid w:val="003B6992"/>
    <w:rsid w:val="003B7570"/>
    <w:rsid w:val="003C04BF"/>
    <w:rsid w:val="003C0CFD"/>
    <w:rsid w:val="003C0FED"/>
    <w:rsid w:val="003C16EF"/>
    <w:rsid w:val="003C279F"/>
    <w:rsid w:val="003C38D2"/>
    <w:rsid w:val="003C41A6"/>
    <w:rsid w:val="003C43F1"/>
    <w:rsid w:val="003C4DB3"/>
    <w:rsid w:val="003C618C"/>
    <w:rsid w:val="003C6B07"/>
    <w:rsid w:val="003C71E1"/>
    <w:rsid w:val="003C7953"/>
    <w:rsid w:val="003C79C6"/>
    <w:rsid w:val="003D0E44"/>
    <w:rsid w:val="003D1034"/>
    <w:rsid w:val="003D13AD"/>
    <w:rsid w:val="003D2844"/>
    <w:rsid w:val="003D2A2B"/>
    <w:rsid w:val="003D2F10"/>
    <w:rsid w:val="003D4BFF"/>
    <w:rsid w:val="003D5473"/>
    <w:rsid w:val="003D6E6C"/>
    <w:rsid w:val="003D7751"/>
    <w:rsid w:val="003E0905"/>
    <w:rsid w:val="003E0B9A"/>
    <w:rsid w:val="003E2827"/>
    <w:rsid w:val="003E2906"/>
    <w:rsid w:val="003E29F1"/>
    <w:rsid w:val="003E2C5B"/>
    <w:rsid w:val="003E33BA"/>
    <w:rsid w:val="003E421E"/>
    <w:rsid w:val="003E4355"/>
    <w:rsid w:val="003E57E4"/>
    <w:rsid w:val="003E5C9C"/>
    <w:rsid w:val="003E624B"/>
    <w:rsid w:val="003E7799"/>
    <w:rsid w:val="003E7A17"/>
    <w:rsid w:val="003E7DE8"/>
    <w:rsid w:val="003F1DC4"/>
    <w:rsid w:val="003F2968"/>
    <w:rsid w:val="003F2F32"/>
    <w:rsid w:val="003F366D"/>
    <w:rsid w:val="003F3BC6"/>
    <w:rsid w:val="003F4AC9"/>
    <w:rsid w:val="003F5522"/>
    <w:rsid w:val="003F635B"/>
    <w:rsid w:val="003F65AA"/>
    <w:rsid w:val="003F69E4"/>
    <w:rsid w:val="00400EBA"/>
    <w:rsid w:val="004011D8"/>
    <w:rsid w:val="004019E9"/>
    <w:rsid w:val="00401B02"/>
    <w:rsid w:val="00402ED0"/>
    <w:rsid w:val="00403B90"/>
    <w:rsid w:val="00403C84"/>
    <w:rsid w:val="00403CCF"/>
    <w:rsid w:val="0040424C"/>
    <w:rsid w:val="0040425F"/>
    <w:rsid w:val="00405019"/>
    <w:rsid w:val="004054E6"/>
    <w:rsid w:val="0040568F"/>
    <w:rsid w:val="0040728E"/>
    <w:rsid w:val="0040741A"/>
    <w:rsid w:val="00407560"/>
    <w:rsid w:val="00410891"/>
    <w:rsid w:val="00410C15"/>
    <w:rsid w:val="00410CA9"/>
    <w:rsid w:val="004127BC"/>
    <w:rsid w:val="00413060"/>
    <w:rsid w:val="00413433"/>
    <w:rsid w:val="00413D9E"/>
    <w:rsid w:val="004155D9"/>
    <w:rsid w:val="00416E87"/>
    <w:rsid w:val="00417293"/>
    <w:rsid w:val="0041733F"/>
    <w:rsid w:val="00417E4D"/>
    <w:rsid w:val="00420845"/>
    <w:rsid w:val="00420E72"/>
    <w:rsid w:val="004218CA"/>
    <w:rsid w:val="004226C9"/>
    <w:rsid w:val="00422900"/>
    <w:rsid w:val="0042394E"/>
    <w:rsid w:val="00423974"/>
    <w:rsid w:val="00424451"/>
    <w:rsid w:val="004244C5"/>
    <w:rsid w:val="00425B82"/>
    <w:rsid w:val="00426891"/>
    <w:rsid w:val="00427A84"/>
    <w:rsid w:val="00427FDB"/>
    <w:rsid w:val="00430DE9"/>
    <w:rsid w:val="00431270"/>
    <w:rsid w:val="00432646"/>
    <w:rsid w:val="0043326C"/>
    <w:rsid w:val="00433D46"/>
    <w:rsid w:val="00433F09"/>
    <w:rsid w:val="004346EA"/>
    <w:rsid w:val="00434D8F"/>
    <w:rsid w:val="004353BF"/>
    <w:rsid w:val="00435B07"/>
    <w:rsid w:val="00436677"/>
    <w:rsid w:val="00436881"/>
    <w:rsid w:val="00437199"/>
    <w:rsid w:val="00437842"/>
    <w:rsid w:val="00437B6C"/>
    <w:rsid w:val="00437D94"/>
    <w:rsid w:val="00441A1B"/>
    <w:rsid w:val="00441CCA"/>
    <w:rsid w:val="00441E19"/>
    <w:rsid w:val="00441E61"/>
    <w:rsid w:val="004422FA"/>
    <w:rsid w:val="0044242F"/>
    <w:rsid w:val="0044285E"/>
    <w:rsid w:val="00442E36"/>
    <w:rsid w:val="0044301B"/>
    <w:rsid w:val="004436AD"/>
    <w:rsid w:val="00443FA8"/>
    <w:rsid w:val="0044440A"/>
    <w:rsid w:val="00444D03"/>
    <w:rsid w:val="0044622F"/>
    <w:rsid w:val="00446435"/>
    <w:rsid w:val="00446A00"/>
    <w:rsid w:val="00446EC3"/>
    <w:rsid w:val="0045009B"/>
    <w:rsid w:val="00451996"/>
    <w:rsid w:val="00451DBF"/>
    <w:rsid w:val="004523F1"/>
    <w:rsid w:val="00453A54"/>
    <w:rsid w:val="00453AA5"/>
    <w:rsid w:val="004552E5"/>
    <w:rsid w:val="0045563A"/>
    <w:rsid w:val="00455648"/>
    <w:rsid w:val="00455659"/>
    <w:rsid w:val="00455DFA"/>
    <w:rsid w:val="00456FE7"/>
    <w:rsid w:val="0045717F"/>
    <w:rsid w:val="00457DE2"/>
    <w:rsid w:val="00460406"/>
    <w:rsid w:val="00461226"/>
    <w:rsid w:val="00461247"/>
    <w:rsid w:val="00461394"/>
    <w:rsid w:val="004627C6"/>
    <w:rsid w:val="00462D1A"/>
    <w:rsid w:val="004635AF"/>
    <w:rsid w:val="0046365C"/>
    <w:rsid w:val="00463C19"/>
    <w:rsid w:val="00463D32"/>
    <w:rsid w:val="004645E6"/>
    <w:rsid w:val="00464C1F"/>
    <w:rsid w:val="00464E4F"/>
    <w:rsid w:val="00464EDF"/>
    <w:rsid w:val="004655FC"/>
    <w:rsid w:val="00466F86"/>
    <w:rsid w:val="0046745C"/>
    <w:rsid w:val="00467B6F"/>
    <w:rsid w:val="00467BA5"/>
    <w:rsid w:val="0047020A"/>
    <w:rsid w:val="0047086D"/>
    <w:rsid w:val="00471875"/>
    <w:rsid w:val="00471A09"/>
    <w:rsid w:val="00471DC8"/>
    <w:rsid w:val="00471F4F"/>
    <w:rsid w:val="004725DA"/>
    <w:rsid w:val="00472D7B"/>
    <w:rsid w:val="00474097"/>
    <w:rsid w:val="00475B29"/>
    <w:rsid w:val="00476BCB"/>
    <w:rsid w:val="00476C3A"/>
    <w:rsid w:val="00477E81"/>
    <w:rsid w:val="00477FE5"/>
    <w:rsid w:val="00480299"/>
    <w:rsid w:val="00480590"/>
    <w:rsid w:val="004807C3"/>
    <w:rsid w:val="00480ADF"/>
    <w:rsid w:val="00480C00"/>
    <w:rsid w:val="004814E4"/>
    <w:rsid w:val="00481C46"/>
    <w:rsid w:val="00482932"/>
    <w:rsid w:val="00482E9B"/>
    <w:rsid w:val="0048365B"/>
    <w:rsid w:val="00483A1D"/>
    <w:rsid w:val="004845EA"/>
    <w:rsid w:val="00484A7E"/>
    <w:rsid w:val="00484C65"/>
    <w:rsid w:val="0048531E"/>
    <w:rsid w:val="00485BE3"/>
    <w:rsid w:val="0048664A"/>
    <w:rsid w:val="004870C2"/>
    <w:rsid w:val="00487415"/>
    <w:rsid w:val="0048784D"/>
    <w:rsid w:val="00490662"/>
    <w:rsid w:val="00490EE7"/>
    <w:rsid w:val="00491072"/>
    <w:rsid w:val="00491130"/>
    <w:rsid w:val="004911F3"/>
    <w:rsid w:val="004912B5"/>
    <w:rsid w:val="00492650"/>
    <w:rsid w:val="004928CF"/>
    <w:rsid w:val="00492A52"/>
    <w:rsid w:val="00492BDB"/>
    <w:rsid w:val="00493373"/>
    <w:rsid w:val="004939AF"/>
    <w:rsid w:val="00494778"/>
    <w:rsid w:val="00496FBB"/>
    <w:rsid w:val="004A09E5"/>
    <w:rsid w:val="004A1066"/>
    <w:rsid w:val="004A13A7"/>
    <w:rsid w:val="004A16DB"/>
    <w:rsid w:val="004A266F"/>
    <w:rsid w:val="004A298B"/>
    <w:rsid w:val="004A2A17"/>
    <w:rsid w:val="004A2E12"/>
    <w:rsid w:val="004A3D19"/>
    <w:rsid w:val="004A3F10"/>
    <w:rsid w:val="004A401F"/>
    <w:rsid w:val="004A45EC"/>
    <w:rsid w:val="004A5A55"/>
    <w:rsid w:val="004A611E"/>
    <w:rsid w:val="004A623E"/>
    <w:rsid w:val="004A6518"/>
    <w:rsid w:val="004A68D9"/>
    <w:rsid w:val="004A6947"/>
    <w:rsid w:val="004A6C57"/>
    <w:rsid w:val="004A7495"/>
    <w:rsid w:val="004B058C"/>
    <w:rsid w:val="004B19AE"/>
    <w:rsid w:val="004B1C2A"/>
    <w:rsid w:val="004B2B94"/>
    <w:rsid w:val="004B2C98"/>
    <w:rsid w:val="004B316B"/>
    <w:rsid w:val="004B32E3"/>
    <w:rsid w:val="004B3680"/>
    <w:rsid w:val="004B3E13"/>
    <w:rsid w:val="004B438F"/>
    <w:rsid w:val="004B50A5"/>
    <w:rsid w:val="004B5151"/>
    <w:rsid w:val="004B55AE"/>
    <w:rsid w:val="004B59B4"/>
    <w:rsid w:val="004B7347"/>
    <w:rsid w:val="004B7FA3"/>
    <w:rsid w:val="004C04DF"/>
    <w:rsid w:val="004C06E6"/>
    <w:rsid w:val="004C078B"/>
    <w:rsid w:val="004C154C"/>
    <w:rsid w:val="004C1A9E"/>
    <w:rsid w:val="004C218C"/>
    <w:rsid w:val="004C234F"/>
    <w:rsid w:val="004C27B7"/>
    <w:rsid w:val="004C2A5F"/>
    <w:rsid w:val="004C3DEF"/>
    <w:rsid w:val="004C40C6"/>
    <w:rsid w:val="004C4645"/>
    <w:rsid w:val="004C4811"/>
    <w:rsid w:val="004C4D57"/>
    <w:rsid w:val="004C54AA"/>
    <w:rsid w:val="004C6196"/>
    <w:rsid w:val="004C666A"/>
    <w:rsid w:val="004C706F"/>
    <w:rsid w:val="004D04AD"/>
    <w:rsid w:val="004D0884"/>
    <w:rsid w:val="004D0E94"/>
    <w:rsid w:val="004D1F4C"/>
    <w:rsid w:val="004D2F2A"/>
    <w:rsid w:val="004D5951"/>
    <w:rsid w:val="004D64C4"/>
    <w:rsid w:val="004D68CB"/>
    <w:rsid w:val="004D6C4C"/>
    <w:rsid w:val="004E19C1"/>
    <w:rsid w:val="004E1BF1"/>
    <w:rsid w:val="004E2BED"/>
    <w:rsid w:val="004E2F10"/>
    <w:rsid w:val="004E33EE"/>
    <w:rsid w:val="004E4D66"/>
    <w:rsid w:val="004E59E6"/>
    <w:rsid w:val="004E6061"/>
    <w:rsid w:val="004E6215"/>
    <w:rsid w:val="004E622D"/>
    <w:rsid w:val="004E66D3"/>
    <w:rsid w:val="004E71EE"/>
    <w:rsid w:val="004E76B0"/>
    <w:rsid w:val="004E7A1A"/>
    <w:rsid w:val="004F0135"/>
    <w:rsid w:val="004F07D3"/>
    <w:rsid w:val="004F174C"/>
    <w:rsid w:val="004F1923"/>
    <w:rsid w:val="004F1C2C"/>
    <w:rsid w:val="004F22C2"/>
    <w:rsid w:val="004F2AC0"/>
    <w:rsid w:val="004F2AFD"/>
    <w:rsid w:val="004F3575"/>
    <w:rsid w:val="004F359B"/>
    <w:rsid w:val="004F45B7"/>
    <w:rsid w:val="004F54C6"/>
    <w:rsid w:val="004F6E64"/>
    <w:rsid w:val="004F6E8D"/>
    <w:rsid w:val="004F7291"/>
    <w:rsid w:val="004F7A13"/>
    <w:rsid w:val="004F7E16"/>
    <w:rsid w:val="0050041A"/>
    <w:rsid w:val="00500664"/>
    <w:rsid w:val="00500A11"/>
    <w:rsid w:val="005010D6"/>
    <w:rsid w:val="005011D0"/>
    <w:rsid w:val="005012F9"/>
    <w:rsid w:val="00501400"/>
    <w:rsid w:val="005016D3"/>
    <w:rsid w:val="00502B44"/>
    <w:rsid w:val="005032DD"/>
    <w:rsid w:val="005044F7"/>
    <w:rsid w:val="005048B9"/>
    <w:rsid w:val="00505D7E"/>
    <w:rsid w:val="00505DF1"/>
    <w:rsid w:val="00505EC7"/>
    <w:rsid w:val="005069D7"/>
    <w:rsid w:val="00507CD4"/>
    <w:rsid w:val="005108B1"/>
    <w:rsid w:val="00510A24"/>
    <w:rsid w:val="00511B82"/>
    <w:rsid w:val="00512E67"/>
    <w:rsid w:val="00513D3E"/>
    <w:rsid w:val="0051402D"/>
    <w:rsid w:val="005147A9"/>
    <w:rsid w:val="0051581A"/>
    <w:rsid w:val="00515CDA"/>
    <w:rsid w:val="00516D41"/>
    <w:rsid w:val="00516EDC"/>
    <w:rsid w:val="00516F72"/>
    <w:rsid w:val="005172F5"/>
    <w:rsid w:val="005174A7"/>
    <w:rsid w:val="00517B10"/>
    <w:rsid w:val="005209E6"/>
    <w:rsid w:val="00521455"/>
    <w:rsid w:val="005214F6"/>
    <w:rsid w:val="00521A9B"/>
    <w:rsid w:val="00522369"/>
    <w:rsid w:val="0052258B"/>
    <w:rsid w:val="00523391"/>
    <w:rsid w:val="00524583"/>
    <w:rsid w:val="00524772"/>
    <w:rsid w:val="0052511E"/>
    <w:rsid w:val="00526707"/>
    <w:rsid w:val="00526807"/>
    <w:rsid w:val="00530674"/>
    <w:rsid w:val="005307AB"/>
    <w:rsid w:val="00531FF3"/>
    <w:rsid w:val="005338EC"/>
    <w:rsid w:val="005343BB"/>
    <w:rsid w:val="005345BF"/>
    <w:rsid w:val="00534926"/>
    <w:rsid w:val="0053512E"/>
    <w:rsid w:val="00535482"/>
    <w:rsid w:val="00535862"/>
    <w:rsid w:val="00536D3D"/>
    <w:rsid w:val="0053723A"/>
    <w:rsid w:val="0054048D"/>
    <w:rsid w:val="00540D8C"/>
    <w:rsid w:val="00541ADA"/>
    <w:rsid w:val="00541D53"/>
    <w:rsid w:val="00543701"/>
    <w:rsid w:val="00543CF4"/>
    <w:rsid w:val="00544E6B"/>
    <w:rsid w:val="005453D0"/>
    <w:rsid w:val="00545692"/>
    <w:rsid w:val="0054589D"/>
    <w:rsid w:val="005464BF"/>
    <w:rsid w:val="005469A5"/>
    <w:rsid w:val="00547C58"/>
    <w:rsid w:val="00547D76"/>
    <w:rsid w:val="0055005C"/>
    <w:rsid w:val="00552329"/>
    <w:rsid w:val="00552603"/>
    <w:rsid w:val="0055344A"/>
    <w:rsid w:val="00553861"/>
    <w:rsid w:val="005547C9"/>
    <w:rsid w:val="00554F39"/>
    <w:rsid w:val="00555E8D"/>
    <w:rsid w:val="005564CD"/>
    <w:rsid w:val="005565D6"/>
    <w:rsid w:val="005571E6"/>
    <w:rsid w:val="0055723B"/>
    <w:rsid w:val="00557CF4"/>
    <w:rsid w:val="00562CB0"/>
    <w:rsid w:val="00562EA4"/>
    <w:rsid w:val="005647CD"/>
    <w:rsid w:val="00564822"/>
    <w:rsid w:val="0056570D"/>
    <w:rsid w:val="00565B25"/>
    <w:rsid w:val="00565DCB"/>
    <w:rsid w:val="00565E29"/>
    <w:rsid w:val="00565E7C"/>
    <w:rsid w:val="005678F8"/>
    <w:rsid w:val="005721B9"/>
    <w:rsid w:val="00572523"/>
    <w:rsid w:val="005728B4"/>
    <w:rsid w:val="00573502"/>
    <w:rsid w:val="005740C8"/>
    <w:rsid w:val="00574876"/>
    <w:rsid w:val="005753BE"/>
    <w:rsid w:val="00575429"/>
    <w:rsid w:val="005756C3"/>
    <w:rsid w:val="00575895"/>
    <w:rsid w:val="00575F50"/>
    <w:rsid w:val="0057635F"/>
    <w:rsid w:val="005769E5"/>
    <w:rsid w:val="0057758C"/>
    <w:rsid w:val="00577CDB"/>
    <w:rsid w:val="00577E72"/>
    <w:rsid w:val="0058050E"/>
    <w:rsid w:val="005805C3"/>
    <w:rsid w:val="00580CDB"/>
    <w:rsid w:val="00581725"/>
    <w:rsid w:val="00582061"/>
    <w:rsid w:val="00582D69"/>
    <w:rsid w:val="00583114"/>
    <w:rsid w:val="0058383C"/>
    <w:rsid w:val="00583A8B"/>
    <w:rsid w:val="00583C57"/>
    <w:rsid w:val="00583C63"/>
    <w:rsid w:val="00584313"/>
    <w:rsid w:val="005849C6"/>
    <w:rsid w:val="00584BB6"/>
    <w:rsid w:val="005856EE"/>
    <w:rsid w:val="00586CC1"/>
    <w:rsid w:val="005870B4"/>
    <w:rsid w:val="005873EA"/>
    <w:rsid w:val="005876B8"/>
    <w:rsid w:val="00590387"/>
    <w:rsid w:val="005904F6"/>
    <w:rsid w:val="0059086B"/>
    <w:rsid w:val="00591112"/>
    <w:rsid w:val="0059147E"/>
    <w:rsid w:val="00591CC5"/>
    <w:rsid w:val="0059321C"/>
    <w:rsid w:val="0059331A"/>
    <w:rsid w:val="00594F2E"/>
    <w:rsid w:val="00596688"/>
    <w:rsid w:val="00596E3F"/>
    <w:rsid w:val="005970B2"/>
    <w:rsid w:val="005A0D9A"/>
    <w:rsid w:val="005A0E15"/>
    <w:rsid w:val="005A1C13"/>
    <w:rsid w:val="005A2823"/>
    <w:rsid w:val="005A2B76"/>
    <w:rsid w:val="005A2EA2"/>
    <w:rsid w:val="005A3605"/>
    <w:rsid w:val="005A3850"/>
    <w:rsid w:val="005A3942"/>
    <w:rsid w:val="005A3B70"/>
    <w:rsid w:val="005A4905"/>
    <w:rsid w:val="005A6192"/>
    <w:rsid w:val="005A628A"/>
    <w:rsid w:val="005A6A47"/>
    <w:rsid w:val="005A6EBE"/>
    <w:rsid w:val="005A796B"/>
    <w:rsid w:val="005A7C90"/>
    <w:rsid w:val="005B0343"/>
    <w:rsid w:val="005B040E"/>
    <w:rsid w:val="005B04F1"/>
    <w:rsid w:val="005B0E6E"/>
    <w:rsid w:val="005B2AD1"/>
    <w:rsid w:val="005B2FEF"/>
    <w:rsid w:val="005B3A96"/>
    <w:rsid w:val="005B4253"/>
    <w:rsid w:val="005B4A70"/>
    <w:rsid w:val="005B4D68"/>
    <w:rsid w:val="005B4DFE"/>
    <w:rsid w:val="005B514A"/>
    <w:rsid w:val="005B7086"/>
    <w:rsid w:val="005B7A2C"/>
    <w:rsid w:val="005C06DD"/>
    <w:rsid w:val="005C254E"/>
    <w:rsid w:val="005C2A40"/>
    <w:rsid w:val="005C310C"/>
    <w:rsid w:val="005C38AD"/>
    <w:rsid w:val="005C41B6"/>
    <w:rsid w:val="005C4F48"/>
    <w:rsid w:val="005C67D4"/>
    <w:rsid w:val="005C7963"/>
    <w:rsid w:val="005C7ECB"/>
    <w:rsid w:val="005C7F98"/>
    <w:rsid w:val="005D3190"/>
    <w:rsid w:val="005D3840"/>
    <w:rsid w:val="005D46C0"/>
    <w:rsid w:val="005D4B2F"/>
    <w:rsid w:val="005D5102"/>
    <w:rsid w:val="005D56AD"/>
    <w:rsid w:val="005D59E6"/>
    <w:rsid w:val="005D5FCD"/>
    <w:rsid w:val="005D61AE"/>
    <w:rsid w:val="005D653E"/>
    <w:rsid w:val="005D6C81"/>
    <w:rsid w:val="005D6D7E"/>
    <w:rsid w:val="005D7321"/>
    <w:rsid w:val="005D757D"/>
    <w:rsid w:val="005D799C"/>
    <w:rsid w:val="005E0036"/>
    <w:rsid w:val="005E067A"/>
    <w:rsid w:val="005E1953"/>
    <w:rsid w:val="005E1AD3"/>
    <w:rsid w:val="005E29A4"/>
    <w:rsid w:val="005E2B96"/>
    <w:rsid w:val="005E394A"/>
    <w:rsid w:val="005E491B"/>
    <w:rsid w:val="005E61A0"/>
    <w:rsid w:val="005E66BB"/>
    <w:rsid w:val="005E6FC0"/>
    <w:rsid w:val="005E7930"/>
    <w:rsid w:val="005F08FF"/>
    <w:rsid w:val="005F0D9A"/>
    <w:rsid w:val="005F0F6B"/>
    <w:rsid w:val="005F1198"/>
    <w:rsid w:val="005F1556"/>
    <w:rsid w:val="005F2014"/>
    <w:rsid w:val="005F2B50"/>
    <w:rsid w:val="005F3045"/>
    <w:rsid w:val="005F4293"/>
    <w:rsid w:val="005F4DE3"/>
    <w:rsid w:val="005F5659"/>
    <w:rsid w:val="005F58F1"/>
    <w:rsid w:val="005F5E65"/>
    <w:rsid w:val="005F63D7"/>
    <w:rsid w:val="005F700E"/>
    <w:rsid w:val="00600255"/>
    <w:rsid w:val="006017B2"/>
    <w:rsid w:val="0060220E"/>
    <w:rsid w:val="00603186"/>
    <w:rsid w:val="00604D84"/>
    <w:rsid w:val="00604ED7"/>
    <w:rsid w:val="006053C0"/>
    <w:rsid w:val="00606C67"/>
    <w:rsid w:val="00607143"/>
    <w:rsid w:val="006071DE"/>
    <w:rsid w:val="006079E2"/>
    <w:rsid w:val="00607A1C"/>
    <w:rsid w:val="00607D39"/>
    <w:rsid w:val="006103E0"/>
    <w:rsid w:val="00611967"/>
    <w:rsid w:val="006121C5"/>
    <w:rsid w:val="00614975"/>
    <w:rsid w:val="00614B9C"/>
    <w:rsid w:val="00614EA5"/>
    <w:rsid w:val="00615E7E"/>
    <w:rsid w:val="006201E9"/>
    <w:rsid w:val="006201F2"/>
    <w:rsid w:val="00620F97"/>
    <w:rsid w:val="006211F0"/>
    <w:rsid w:val="00622149"/>
    <w:rsid w:val="006225EC"/>
    <w:rsid w:val="006233B3"/>
    <w:rsid w:val="00623997"/>
    <w:rsid w:val="006239AD"/>
    <w:rsid w:val="00624058"/>
    <w:rsid w:val="006247BD"/>
    <w:rsid w:val="00624ED0"/>
    <w:rsid w:val="0062682D"/>
    <w:rsid w:val="00626F50"/>
    <w:rsid w:val="00630AB7"/>
    <w:rsid w:val="00631018"/>
    <w:rsid w:val="0063121F"/>
    <w:rsid w:val="006313E4"/>
    <w:rsid w:val="006314FD"/>
    <w:rsid w:val="00631A2B"/>
    <w:rsid w:val="00632411"/>
    <w:rsid w:val="006325F4"/>
    <w:rsid w:val="0063267E"/>
    <w:rsid w:val="006326F3"/>
    <w:rsid w:val="006327DB"/>
    <w:rsid w:val="00632C7D"/>
    <w:rsid w:val="006353A9"/>
    <w:rsid w:val="00635638"/>
    <w:rsid w:val="00635902"/>
    <w:rsid w:val="00636A64"/>
    <w:rsid w:val="00636C4D"/>
    <w:rsid w:val="00637C78"/>
    <w:rsid w:val="006411F5"/>
    <w:rsid w:val="00641F2B"/>
    <w:rsid w:val="006426FA"/>
    <w:rsid w:val="006429D5"/>
    <w:rsid w:val="00643709"/>
    <w:rsid w:val="006454C3"/>
    <w:rsid w:val="006458D5"/>
    <w:rsid w:val="00646781"/>
    <w:rsid w:val="00646DE2"/>
    <w:rsid w:val="00647034"/>
    <w:rsid w:val="00650F4D"/>
    <w:rsid w:val="0065126D"/>
    <w:rsid w:val="00652B49"/>
    <w:rsid w:val="00652C58"/>
    <w:rsid w:val="00652EA8"/>
    <w:rsid w:val="00653175"/>
    <w:rsid w:val="006536FB"/>
    <w:rsid w:val="00653E5C"/>
    <w:rsid w:val="00653EFC"/>
    <w:rsid w:val="0065448D"/>
    <w:rsid w:val="00655377"/>
    <w:rsid w:val="00655740"/>
    <w:rsid w:val="0065671F"/>
    <w:rsid w:val="00657140"/>
    <w:rsid w:val="00657544"/>
    <w:rsid w:val="00657920"/>
    <w:rsid w:val="00657D9D"/>
    <w:rsid w:val="00657EA8"/>
    <w:rsid w:val="00657EA9"/>
    <w:rsid w:val="00657F48"/>
    <w:rsid w:val="006601D1"/>
    <w:rsid w:val="0066060B"/>
    <w:rsid w:val="00661A1C"/>
    <w:rsid w:val="00661C8F"/>
    <w:rsid w:val="00662D70"/>
    <w:rsid w:val="00662DF2"/>
    <w:rsid w:val="00662E28"/>
    <w:rsid w:val="0066396D"/>
    <w:rsid w:val="00663A58"/>
    <w:rsid w:val="00663C3B"/>
    <w:rsid w:val="00663F57"/>
    <w:rsid w:val="006646F1"/>
    <w:rsid w:val="0066578F"/>
    <w:rsid w:val="00665A64"/>
    <w:rsid w:val="00665B90"/>
    <w:rsid w:val="00665BD7"/>
    <w:rsid w:val="006666D0"/>
    <w:rsid w:val="0067029E"/>
    <w:rsid w:val="00671B10"/>
    <w:rsid w:val="00671D9B"/>
    <w:rsid w:val="00672506"/>
    <w:rsid w:val="00672A6B"/>
    <w:rsid w:val="00672C69"/>
    <w:rsid w:val="00672E90"/>
    <w:rsid w:val="00673CC0"/>
    <w:rsid w:val="0067423B"/>
    <w:rsid w:val="00674ED9"/>
    <w:rsid w:val="00675018"/>
    <w:rsid w:val="00675422"/>
    <w:rsid w:val="00676BFC"/>
    <w:rsid w:val="00676EBB"/>
    <w:rsid w:val="00676FA1"/>
    <w:rsid w:val="00677D4C"/>
    <w:rsid w:val="0068075D"/>
    <w:rsid w:val="00681C0C"/>
    <w:rsid w:val="0068247A"/>
    <w:rsid w:val="0068324E"/>
    <w:rsid w:val="006835BC"/>
    <w:rsid w:val="0068487D"/>
    <w:rsid w:val="00685777"/>
    <w:rsid w:val="00686C61"/>
    <w:rsid w:val="00687755"/>
    <w:rsid w:val="00690090"/>
    <w:rsid w:val="00690318"/>
    <w:rsid w:val="006909EB"/>
    <w:rsid w:val="00691870"/>
    <w:rsid w:val="00691F6C"/>
    <w:rsid w:val="006920F4"/>
    <w:rsid w:val="0069210B"/>
    <w:rsid w:val="0069280D"/>
    <w:rsid w:val="00692BB7"/>
    <w:rsid w:val="00693BE8"/>
    <w:rsid w:val="00694AB1"/>
    <w:rsid w:val="00694FE8"/>
    <w:rsid w:val="00695A74"/>
    <w:rsid w:val="00695B95"/>
    <w:rsid w:val="006966AD"/>
    <w:rsid w:val="00697AD4"/>
    <w:rsid w:val="006A0C91"/>
    <w:rsid w:val="006A2089"/>
    <w:rsid w:val="006A2A4C"/>
    <w:rsid w:val="006A3A73"/>
    <w:rsid w:val="006A3CFB"/>
    <w:rsid w:val="006A4D9D"/>
    <w:rsid w:val="006A5901"/>
    <w:rsid w:val="006A69CE"/>
    <w:rsid w:val="006A6ED5"/>
    <w:rsid w:val="006A7CC1"/>
    <w:rsid w:val="006B00A0"/>
    <w:rsid w:val="006B01B7"/>
    <w:rsid w:val="006B08A7"/>
    <w:rsid w:val="006B0DF8"/>
    <w:rsid w:val="006B1F7A"/>
    <w:rsid w:val="006B2859"/>
    <w:rsid w:val="006B2F4D"/>
    <w:rsid w:val="006B3614"/>
    <w:rsid w:val="006B3725"/>
    <w:rsid w:val="006B3FA8"/>
    <w:rsid w:val="006B4035"/>
    <w:rsid w:val="006B49B2"/>
    <w:rsid w:val="006B557F"/>
    <w:rsid w:val="006B58D2"/>
    <w:rsid w:val="006B5F69"/>
    <w:rsid w:val="006B6A57"/>
    <w:rsid w:val="006B6D7E"/>
    <w:rsid w:val="006B73B6"/>
    <w:rsid w:val="006B74FD"/>
    <w:rsid w:val="006B75A7"/>
    <w:rsid w:val="006B7888"/>
    <w:rsid w:val="006C19B7"/>
    <w:rsid w:val="006C1B85"/>
    <w:rsid w:val="006C3A02"/>
    <w:rsid w:val="006C3A2A"/>
    <w:rsid w:val="006C4555"/>
    <w:rsid w:val="006C4892"/>
    <w:rsid w:val="006C5E8E"/>
    <w:rsid w:val="006C6F4D"/>
    <w:rsid w:val="006C794B"/>
    <w:rsid w:val="006C7D75"/>
    <w:rsid w:val="006C7F83"/>
    <w:rsid w:val="006D0ED8"/>
    <w:rsid w:val="006D116F"/>
    <w:rsid w:val="006D1716"/>
    <w:rsid w:val="006D17C6"/>
    <w:rsid w:val="006D20FE"/>
    <w:rsid w:val="006D21E6"/>
    <w:rsid w:val="006D28D8"/>
    <w:rsid w:val="006D4AA6"/>
    <w:rsid w:val="006D5D71"/>
    <w:rsid w:val="006D6F7B"/>
    <w:rsid w:val="006D7327"/>
    <w:rsid w:val="006D76D5"/>
    <w:rsid w:val="006D77D8"/>
    <w:rsid w:val="006D7D79"/>
    <w:rsid w:val="006E00EA"/>
    <w:rsid w:val="006E0B1C"/>
    <w:rsid w:val="006E0B1D"/>
    <w:rsid w:val="006E1110"/>
    <w:rsid w:val="006E13F1"/>
    <w:rsid w:val="006E140B"/>
    <w:rsid w:val="006E308E"/>
    <w:rsid w:val="006E3573"/>
    <w:rsid w:val="006E4A0F"/>
    <w:rsid w:val="006E4DA5"/>
    <w:rsid w:val="006E5507"/>
    <w:rsid w:val="006E5B39"/>
    <w:rsid w:val="006E61BB"/>
    <w:rsid w:val="006E7107"/>
    <w:rsid w:val="006E7132"/>
    <w:rsid w:val="006E7A41"/>
    <w:rsid w:val="006F11CF"/>
    <w:rsid w:val="006F1B52"/>
    <w:rsid w:val="006F1B9B"/>
    <w:rsid w:val="006F20F1"/>
    <w:rsid w:val="006F2478"/>
    <w:rsid w:val="006F2A26"/>
    <w:rsid w:val="006F2BD9"/>
    <w:rsid w:val="006F3845"/>
    <w:rsid w:val="006F4102"/>
    <w:rsid w:val="006F54CE"/>
    <w:rsid w:val="006F551D"/>
    <w:rsid w:val="006F638C"/>
    <w:rsid w:val="006F67C9"/>
    <w:rsid w:val="006F6F44"/>
    <w:rsid w:val="006F7C61"/>
    <w:rsid w:val="007008BA"/>
    <w:rsid w:val="0070133A"/>
    <w:rsid w:val="007024C2"/>
    <w:rsid w:val="00702923"/>
    <w:rsid w:val="00702E4B"/>
    <w:rsid w:val="00703BC7"/>
    <w:rsid w:val="00704810"/>
    <w:rsid w:val="00704DBF"/>
    <w:rsid w:val="00705684"/>
    <w:rsid w:val="00706803"/>
    <w:rsid w:val="00706E67"/>
    <w:rsid w:val="00707A6D"/>
    <w:rsid w:val="00707F78"/>
    <w:rsid w:val="0071157A"/>
    <w:rsid w:val="0071179E"/>
    <w:rsid w:val="007121B9"/>
    <w:rsid w:val="007141C4"/>
    <w:rsid w:val="00714EC5"/>
    <w:rsid w:val="0071576B"/>
    <w:rsid w:val="00715829"/>
    <w:rsid w:val="00716AFF"/>
    <w:rsid w:val="00716B6F"/>
    <w:rsid w:val="00716FC2"/>
    <w:rsid w:val="007218B8"/>
    <w:rsid w:val="0072392E"/>
    <w:rsid w:val="007239B1"/>
    <w:rsid w:val="00723A48"/>
    <w:rsid w:val="00724D0A"/>
    <w:rsid w:val="00725456"/>
    <w:rsid w:val="007256C0"/>
    <w:rsid w:val="00726FE7"/>
    <w:rsid w:val="007270F2"/>
    <w:rsid w:val="0073140A"/>
    <w:rsid w:val="00734AF0"/>
    <w:rsid w:val="00735F4C"/>
    <w:rsid w:val="007362B9"/>
    <w:rsid w:val="00736BCC"/>
    <w:rsid w:val="00737022"/>
    <w:rsid w:val="007373D2"/>
    <w:rsid w:val="00737695"/>
    <w:rsid w:val="007377E6"/>
    <w:rsid w:val="007415B7"/>
    <w:rsid w:val="00741751"/>
    <w:rsid w:val="00741957"/>
    <w:rsid w:val="00741A3A"/>
    <w:rsid w:val="00742364"/>
    <w:rsid w:val="007428D9"/>
    <w:rsid w:val="00742994"/>
    <w:rsid w:val="00742C82"/>
    <w:rsid w:val="00745679"/>
    <w:rsid w:val="007458DE"/>
    <w:rsid w:val="00745C34"/>
    <w:rsid w:val="007467C1"/>
    <w:rsid w:val="00747B07"/>
    <w:rsid w:val="0075291F"/>
    <w:rsid w:val="0075380D"/>
    <w:rsid w:val="00753B9F"/>
    <w:rsid w:val="007547AF"/>
    <w:rsid w:val="0075483E"/>
    <w:rsid w:val="0075512C"/>
    <w:rsid w:val="007554AA"/>
    <w:rsid w:val="007554D3"/>
    <w:rsid w:val="007554FB"/>
    <w:rsid w:val="00755E2B"/>
    <w:rsid w:val="00756B32"/>
    <w:rsid w:val="00756C03"/>
    <w:rsid w:val="00757CF2"/>
    <w:rsid w:val="00761359"/>
    <w:rsid w:val="00761CB1"/>
    <w:rsid w:val="007622F1"/>
    <w:rsid w:val="0076258B"/>
    <w:rsid w:val="00762D79"/>
    <w:rsid w:val="007638FD"/>
    <w:rsid w:val="00763FA0"/>
    <w:rsid w:val="00765944"/>
    <w:rsid w:val="00765BB0"/>
    <w:rsid w:val="00766377"/>
    <w:rsid w:val="00766E3A"/>
    <w:rsid w:val="00767AAA"/>
    <w:rsid w:val="00771464"/>
    <w:rsid w:val="00771E7C"/>
    <w:rsid w:val="00772719"/>
    <w:rsid w:val="0077355D"/>
    <w:rsid w:val="0077366A"/>
    <w:rsid w:val="00774574"/>
    <w:rsid w:val="00774DDC"/>
    <w:rsid w:val="0077507A"/>
    <w:rsid w:val="00776E83"/>
    <w:rsid w:val="007805F7"/>
    <w:rsid w:val="00780A21"/>
    <w:rsid w:val="007819A1"/>
    <w:rsid w:val="00782830"/>
    <w:rsid w:val="00782B96"/>
    <w:rsid w:val="0078398B"/>
    <w:rsid w:val="00784196"/>
    <w:rsid w:val="007847E6"/>
    <w:rsid w:val="00784C93"/>
    <w:rsid w:val="00785EFD"/>
    <w:rsid w:val="007873DC"/>
    <w:rsid w:val="00787FE4"/>
    <w:rsid w:val="007903AC"/>
    <w:rsid w:val="007904C5"/>
    <w:rsid w:val="00790D86"/>
    <w:rsid w:val="00790E57"/>
    <w:rsid w:val="007916E4"/>
    <w:rsid w:val="00791827"/>
    <w:rsid w:val="00791E1B"/>
    <w:rsid w:val="0079227A"/>
    <w:rsid w:val="007926BD"/>
    <w:rsid w:val="00793496"/>
    <w:rsid w:val="00794A1E"/>
    <w:rsid w:val="00794C0A"/>
    <w:rsid w:val="00795A3A"/>
    <w:rsid w:val="00797208"/>
    <w:rsid w:val="00797662"/>
    <w:rsid w:val="007A1976"/>
    <w:rsid w:val="007A1A1B"/>
    <w:rsid w:val="007A1F93"/>
    <w:rsid w:val="007A24C3"/>
    <w:rsid w:val="007A4230"/>
    <w:rsid w:val="007A6A44"/>
    <w:rsid w:val="007A7474"/>
    <w:rsid w:val="007A7E85"/>
    <w:rsid w:val="007B00F6"/>
    <w:rsid w:val="007B0349"/>
    <w:rsid w:val="007B0F32"/>
    <w:rsid w:val="007B2A3D"/>
    <w:rsid w:val="007B2C2E"/>
    <w:rsid w:val="007B34F2"/>
    <w:rsid w:val="007B353D"/>
    <w:rsid w:val="007B3F52"/>
    <w:rsid w:val="007B3F67"/>
    <w:rsid w:val="007B4DD4"/>
    <w:rsid w:val="007B5B3C"/>
    <w:rsid w:val="007B5C8D"/>
    <w:rsid w:val="007B60B9"/>
    <w:rsid w:val="007B6172"/>
    <w:rsid w:val="007B72C0"/>
    <w:rsid w:val="007B767B"/>
    <w:rsid w:val="007B7939"/>
    <w:rsid w:val="007B7ED1"/>
    <w:rsid w:val="007C13A8"/>
    <w:rsid w:val="007C216B"/>
    <w:rsid w:val="007C29ED"/>
    <w:rsid w:val="007C3BB6"/>
    <w:rsid w:val="007C3D43"/>
    <w:rsid w:val="007C3E56"/>
    <w:rsid w:val="007C420F"/>
    <w:rsid w:val="007C52BB"/>
    <w:rsid w:val="007C55C5"/>
    <w:rsid w:val="007C71A4"/>
    <w:rsid w:val="007C7E6C"/>
    <w:rsid w:val="007D0874"/>
    <w:rsid w:val="007D099C"/>
    <w:rsid w:val="007D143F"/>
    <w:rsid w:val="007D1A08"/>
    <w:rsid w:val="007D2578"/>
    <w:rsid w:val="007D28A6"/>
    <w:rsid w:val="007D360C"/>
    <w:rsid w:val="007D3620"/>
    <w:rsid w:val="007D4846"/>
    <w:rsid w:val="007D55F8"/>
    <w:rsid w:val="007D6A9A"/>
    <w:rsid w:val="007D707C"/>
    <w:rsid w:val="007D7574"/>
    <w:rsid w:val="007E01B9"/>
    <w:rsid w:val="007E0876"/>
    <w:rsid w:val="007E08EA"/>
    <w:rsid w:val="007E11FA"/>
    <w:rsid w:val="007E178B"/>
    <w:rsid w:val="007E1934"/>
    <w:rsid w:val="007E1DDF"/>
    <w:rsid w:val="007E2159"/>
    <w:rsid w:val="007E25AF"/>
    <w:rsid w:val="007E2A9D"/>
    <w:rsid w:val="007E2F9F"/>
    <w:rsid w:val="007E351F"/>
    <w:rsid w:val="007E36E0"/>
    <w:rsid w:val="007E49E8"/>
    <w:rsid w:val="007E4D85"/>
    <w:rsid w:val="007E56A0"/>
    <w:rsid w:val="007E57C9"/>
    <w:rsid w:val="007E6A9A"/>
    <w:rsid w:val="007F0334"/>
    <w:rsid w:val="007F0D06"/>
    <w:rsid w:val="007F106D"/>
    <w:rsid w:val="007F2108"/>
    <w:rsid w:val="007F2780"/>
    <w:rsid w:val="007F2FE5"/>
    <w:rsid w:val="007F4106"/>
    <w:rsid w:val="007F58DC"/>
    <w:rsid w:val="007F5DA5"/>
    <w:rsid w:val="007F66B7"/>
    <w:rsid w:val="007F6C61"/>
    <w:rsid w:val="007F6E11"/>
    <w:rsid w:val="007F6EEF"/>
    <w:rsid w:val="007F769D"/>
    <w:rsid w:val="007F77FD"/>
    <w:rsid w:val="008023DC"/>
    <w:rsid w:val="008028C0"/>
    <w:rsid w:val="008029B3"/>
    <w:rsid w:val="00802BBB"/>
    <w:rsid w:val="00802C4F"/>
    <w:rsid w:val="00802FB6"/>
    <w:rsid w:val="0080312A"/>
    <w:rsid w:val="00803AC7"/>
    <w:rsid w:val="00803B52"/>
    <w:rsid w:val="00804E8F"/>
    <w:rsid w:val="00805236"/>
    <w:rsid w:val="008059F9"/>
    <w:rsid w:val="00806067"/>
    <w:rsid w:val="008062DB"/>
    <w:rsid w:val="00806963"/>
    <w:rsid w:val="00806C9B"/>
    <w:rsid w:val="00807048"/>
    <w:rsid w:val="008077A2"/>
    <w:rsid w:val="00807AC5"/>
    <w:rsid w:val="00810224"/>
    <w:rsid w:val="00810AE7"/>
    <w:rsid w:val="00810C1E"/>
    <w:rsid w:val="00810E2A"/>
    <w:rsid w:val="0081221E"/>
    <w:rsid w:val="0081237E"/>
    <w:rsid w:val="00813650"/>
    <w:rsid w:val="0081447A"/>
    <w:rsid w:val="008144FB"/>
    <w:rsid w:val="00814FAD"/>
    <w:rsid w:val="0081553A"/>
    <w:rsid w:val="008164B4"/>
    <w:rsid w:val="00816662"/>
    <w:rsid w:val="00816F81"/>
    <w:rsid w:val="008170C9"/>
    <w:rsid w:val="00820497"/>
    <w:rsid w:val="008209FE"/>
    <w:rsid w:val="00820D00"/>
    <w:rsid w:val="00821D00"/>
    <w:rsid w:val="00822C4A"/>
    <w:rsid w:val="00823679"/>
    <w:rsid w:val="008244F4"/>
    <w:rsid w:val="00824D4A"/>
    <w:rsid w:val="00825836"/>
    <w:rsid w:val="00825E6B"/>
    <w:rsid w:val="008260C8"/>
    <w:rsid w:val="0082624F"/>
    <w:rsid w:val="00826966"/>
    <w:rsid w:val="00826F75"/>
    <w:rsid w:val="008316FD"/>
    <w:rsid w:val="008317F7"/>
    <w:rsid w:val="008321AE"/>
    <w:rsid w:val="00832D57"/>
    <w:rsid w:val="00832D72"/>
    <w:rsid w:val="00833A17"/>
    <w:rsid w:val="008341A6"/>
    <w:rsid w:val="00834244"/>
    <w:rsid w:val="00834D72"/>
    <w:rsid w:val="00836138"/>
    <w:rsid w:val="00836389"/>
    <w:rsid w:val="008366EC"/>
    <w:rsid w:val="00836C46"/>
    <w:rsid w:val="00837047"/>
    <w:rsid w:val="00837EB0"/>
    <w:rsid w:val="00837FE4"/>
    <w:rsid w:val="00840198"/>
    <w:rsid w:val="008420AD"/>
    <w:rsid w:val="008420F2"/>
    <w:rsid w:val="00842A73"/>
    <w:rsid w:val="0084309C"/>
    <w:rsid w:val="00843670"/>
    <w:rsid w:val="00843F29"/>
    <w:rsid w:val="0084513E"/>
    <w:rsid w:val="0084553F"/>
    <w:rsid w:val="008455C2"/>
    <w:rsid w:val="00845A53"/>
    <w:rsid w:val="00846445"/>
    <w:rsid w:val="00846806"/>
    <w:rsid w:val="00847792"/>
    <w:rsid w:val="00850330"/>
    <w:rsid w:val="00850A4C"/>
    <w:rsid w:val="00851A2F"/>
    <w:rsid w:val="00852046"/>
    <w:rsid w:val="008522BC"/>
    <w:rsid w:val="008522DA"/>
    <w:rsid w:val="00852FAE"/>
    <w:rsid w:val="00853CE3"/>
    <w:rsid w:val="008544EC"/>
    <w:rsid w:val="0085488D"/>
    <w:rsid w:val="0085502E"/>
    <w:rsid w:val="00855371"/>
    <w:rsid w:val="00855EF3"/>
    <w:rsid w:val="00856372"/>
    <w:rsid w:val="00856A01"/>
    <w:rsid w:val="00856C29"/>
    <w:rsid w:val="00856D67"/>
    <w:rsid w:val="00856DF0"/>
    <w:rsid w:val="00857095"/>
    <w:rsid w:val="0085798D"/>
    <w:rsid w:val="00857C35"/>
    <w:rsid w:val="00857CA6"/>
    <w:rsid w:val="008606D9"/>
    <w:rsid w:val="008619D2"/>
    <w:rsid w:val="008636A7"/>
    <w:rsid w:val="0086596F"/>
    <w:rsid w:val="00866181"/>
    <w:rsid w:val="00866525"/>
    <w:rsid w:val="00866797"/>
    <w:rsid w:val="0086740D"/>
    <w:rsid w:val="00867993"/>
    <w:rsid w:val="0087013A"/>
    <w:rsid w:val="0087233C"/>
    <w:rsid w:val="00872BAC"/>
    <w:rsid w:val="0087323A"/>
    <w:rsid w:val="00873BDB"/>
    <w:rsid w:val="00874056"/>
    <w:rsid w:val="008750A5"/>
    <w:rsid w:val="0087598C"/>
    <w:rsid w:val="00875E37"/>
    <w:rsid w:val="0087628D"/>
    <w:rsid w:val="008764E0"/>
    <w:rsid w:val="008774EC"/>
    <w:rsid w:val="00877F18"/>
    <w:rsid w:val="00880BC6"/>
    <w:rsid w:val="00881676"/>
    <w:rsid w:val="00881905"/>
    <w:rsid w:val="00882A4E"/>
    <w:rsid w:val="00883271"/>
    <w:rsid w:val="00884456"/>
    <w:rsid w:val="00884D19"/>
    <w:rsid w:val="0088667C"/>
    <w:rsid w:val="00886DDF"/>
    <w:rsid w:val="008878BE"/>
    <w:rsid w:val="00887E91"/>
    <w:rsid w:val="00890D87"/>
    <w:rsid w:val="008910A2"/>
    <w:rsid w:val="00891359"/>
    <w:rsid w:val="00891717"/>
    <w:rsid w:val="00891773"/>
    <w:rsid w:val="008927F5"/>
    <w:rsid w:val="00892F61"/>
    <w:rsid w:val="00893176"/>
    <w:rsid w:val="008931CA"/>
    <w:rsid w:val="00893C31"/>
    <w:rsid w:val="008941C9"/>
    <w:rsid w:val="008947DE"/>
    <w:rsid w:val="00894FEB"/>
    <w:rsid w:val="00895DE9"/>
    <w:rsid w:val="008974C6"/>
    <w:rsid w:val="00897F5D"/>
    <w:rsid w:val="008A1518"/>
    <w:rsid w:val="008A169D"/>
    <w:rsid w:val="008A1F35"/>
    <w:rsid w:val="008A1F59"/>
    <w:rsid w:val="008A2166"/>
    <w:rsid w:val="008A2F88"/>
    <w:rsid w:val="008A358F"/>
    <w:rsid w:val="008A3F5A"/>
    <w:rsid w:val="008A528E"/>
    <w:rsid w:val="008A5860"/>
    <w:rsid w:val="008A58A3"/>
    <w:rsid w:val="008A6787"/>
    <w:rsid w:val="008A67A2"/>
    <w:rsid w:val="008A72EE"/>
    <w:rsid w:val="008A7BBE"/>
    <w:rsid w:val="008B00CA"/>
    <w:rsid w:val="008B017F"/>
    <w:rsid w:val="008B0532"/>
    <w:rsid w:val="008B0547"/>
    <w:rsid w:val="008B07B7"/>
    <w:rsid w:val="008B0F9E"/>
    <w:rsid w:val="008B1049"/>
    <w:rsid w:val="008B1367"/>
    <w:rsid w:val="008B180B"/>
    <w:rsid w:val="008B1864"/>
    <w:rsid w:val="008B305E"/>
    <w:rsid w:val="008B3259"/>
    <w:rsid w:val="008B35DE"/>
    <w:rsid w:val="008B38D9"/>
    <w:rsid w:val="008B3965"/>
    <w:rsid w:val="008B4CB4"/>
    <w:rsid w:val="008B5E05"/>
    <w:rsid w:val="008B61AB"/>
    <w:rsid w:val="008B7B1C"/>
    <w:rsid w:val="008C088D"/>
    <w:rsid w:val="008C0B56"/>
    <w:rsid w:val="008C1125"/>
    <w:rsid w:val="008C11CF"/>
    <w:rsid w:val="008C17A5"/>
    <w:rsid w:val="008C189C"/>
    <w:rsid w:val="008C1A31"/>
    <w:rsid w:val="008C1B42"/>
    <w:rsid w:val="008C1DA4"/>
    <w:rsid w:val="008C3992"/>
    <w:rsid w:val="008C3D0E"/>
    <w:rsid w:val="008C434C"/>
    <w:rsid w:val="008C4D48"/>
    <w:rsid w:val="008C56F9"/>
    <w:rsid w:val="008C5A67"/>
    <w:rsid w:val="008C6370"/>
    <w:rsid w:val="008C72A6"/>
    <w:rsid w:val="008D01C5"/>
    <w:rsid w:val="008D03A8"/>
    <w:rsid w:val="008D1EC5"/>
    <w:rsid w:val="008D2C6D"/>
    <w:rsid w:val="008D3B7D"/>
    <w:rsid w:val="008D3C31"/>
    <w:rsid w:val="008D3EBF"/>
    <w:rsid w:val="008D430D"/>
    <w:rsid w:val="008D48EE"/>
    <w:rsid w:val="008D492A"/>
    <w:rsid w:val="008D54FF"/>
    <w:rsid w:val="008D6302"/>
    <w:rsid w:val="008D6DC7"/>
    <w:rsid w:val="008D6E4B"/>
    <w:rsid w:val="008D6F75"/>
    <w:rsid w:val="008E0121"/>
    <w:rsid w:val="008E0928"/>
    <w:rsid w:val="008E21AD"/>
    <w:rsid w:val="008E2B91"/>
    <w:rsid w:val="008E2F92"/>
    <w:rsid w:val="008E37A2"/>
    <w:rsid w:val="008E3922"/>
    <w:rsid w:val="008E4EE5"/>
    <w:rsid w:val="008E52C0"/>
    <w:rsid w:val="008F044C"/>
    <w:rsid w:val="008F2012"/>
    <w:rsid w:val="008F2C6A"/>
    <w:rsid w:val="008F43BE"/>
    <w:rsid w:val="008F49DD"/>
    <w:rsid w:val="008F4CF6"/>
    <w:rsid w:val="008F4F29"/>
    <w:rsid w:val="008F5125"/>
    <w:rsid w:val="008F6323"/>
    <w:rsid w:val="008F6664"/>
    <w:rsid w:val="008F66F2"/>
    <w:rsid w:val="008F7533"/>
    <w:rsid w:val="008F7909"/>
    <w:rsid w:val="008F7DB0"/>
    <w:rsid w:val="009009D7"/>
    <w:rsid w:val="00902A19"/>
    <w:rsid w:val="009043DE"/>
    <w:rsid w:val="00904590"/>
    <w:rsid w:val="0090582C"/>
    <w:rsid w:val="00906314"/>
    <w:rsid w:val="0090710F"/>
    <w:rsid w:val="009073CE"/>
    <w:rsid w:val="00910B2E"/>
    <w:rsid w:val="0091189B"/>
    <w:rsid w:val="00911CC0"/>
    <w:rsid w:val="009120D7"/>
    <w:rsid w:val="0091265E"/>
    <w:rsid w:val="00912CD6"/>
    <w:rsid w:val="00913396"/>
    <w:rsid w:val="00913699"/>
    <w:rsid w:val="00913ECF"/>
    <w:rsid w:val="009146F4"/>
    <w:rsid w:val="00914A2C"/>
    <w:rsid w:val="00914C49"/>
    <w:rsid w:val="00920354"/>
    <w:rsid w:val="00920492"/>
    <w:rsid w:val="00921F6C"/>
    <w:rsid w:val="00922B38"/>
    <w:rsid w:val="00923134"/>
    <w:rsid w:val="0092354D"/>
    <w:rsid w:val="009260C7"/>
    <w:rsid w:val="00927109"/>
    <w:rsid w:val="0093236F"/>
    <w:rsid w:val="00934719"/>
    <w:rsid w:val="00935463"/>
    <w:rsid w:val="00935481"/>
    <w:rsid w:val="009359A0"/>
    <w:rsid w:val="00940B76"/>
    <w:rsid w:val="00940E98"/>
    <w:rsid w:val="009414C1"/>
    <w:rsid w:val="00941AD6"/>
    <w:rsid w:val="00941B90"/>
    <w:rsid w:val="00942475"/>
    <w:rsid w:val="009424EB"/>
    <w:rsid w:val="00942A9C"/>
    <w:rsid w:val="009445DB"/>
    <w:rsid w:val="009450E8"/>
    <w:rsid w:val="00945413"/>
    <w:rsid w:val="00945920"/>
    <w:rsid w:val="009461A1"/>
    <w:rsid w:val="0094698C"/>
    <w:rsid w:val="00946B4E"/>
    <w:rsid w:val="009473F1"/>
    <w:rsid w:val="00950A2E"/>
    <w:rsid w:val="0095151B"/>
    <w:rsid w:val="009519D7"/>
    <w:rsid w:val="00952062"/>
    <w:rsid w:val="0095283C"/>
    <w:rsid w:val="0095447B"/>
    <w:rsid w:val="0095492E"/>
    <w:rsid w:val="00954BB6"/>
    <w:rsid w:val="009569B8"/>
    <w:rsid w:val="00957C4E"/>
    <w:rsid w:val="009607D7"/>
    <w:rsid w:val="00960833"/>
    <w:rsid w:val="00960AEB"/>
    <w:rsid w:val="00961237"/>
    <w:rsid w:val="00961DCC"/>
    <w:rsid w:val="00961E70"/>
    <w:rsid w:val="00962677"/>
    <w:rsid w:val="009633C1"/>
    <w:rsid w:val="0096361B"/>
    <w:rsid w:val="00963F7D"/>
    <w:rsid w:val="009643E7"/>
    <w:rsid w:val="00964611"/>
    <w:rsid w:val="009653DE"/>
    <w:rsid w:val="00965811"/>
    <w:rsid w:val="00965C6C"/>
    <w:rsid w:val="00966F45"/>
    <w:rsid w:val="00967196"/>
    <w:rsid w:val="00970B13"/>
    <w:rsid w:val="00971353"/>
    <w:rsid w:val="00971F44"/>
    <w:rsid w:val="009722D1"/>
    <w:rsid w:val="00972DDC"/>
    <w:rsid w:val="00973248"/>
    <w:rsid w:val="00973293"/>
    <w:rsid w:val="0097396B"/>
    <w:rsid w:val="009746C5"/>
    <w:rsid w:val="00974904"/>
    <w:rsid w:val="0097555C"/>
    <w:rsid w:val="00975588"/>
    <w:rsid w:val="00975D88"/>
    <w:rsid w:val="00975FE4"/>
    <w:rsid w:val="009774E5"/>
    <w:rsid w:val="009775A8"/>
    <w:rsid w:val="0097777A"/>
    <w:rsid w:val="0098043A"/>
    <w:rsid w:val="00980C61"/>
    <w:rsid w:val="00980EA4"/>
    <w:rsid w:val="00980F9B"/>
    <w:rsid w:val="00981586"/>
    <w:rsid w:val="00981F27"/>
    <w:rsid w:val="00982160"/>
    <w:rsid w:val="009821C1"/>
    <w:rsid w:val="009823B0"/>
    <w:rsid w:val="009826B5"/>
    <w:rsid w:val="009828F6"/>
    <w:rsid w:val="00983A95"/>
    <w:rsid w:val="00984409"/>
    <w:rsid w:val="00984A31"/>
    <w:rsid w:val="00985B5F"/>
    <w:rsid w:val="009863C0"/>
    <w:rsid w:val="00986BF8"/>
    <w:rsid w:val="00986C47"/>
    <w:rsid w:val="0098787D"/>
    <w:rsid w:val="00987979"/>
    <w:rsid w:val="00987F40"/>
    <w:rsid w:val="00990DF9"/>
    <w:rsid w:val="00992548"/>
    <w:rsid w:val="0099285E"/>
    <w:rsid w:val="009938AB"/>
    <w:rsid w:val="00993D3E"/>
    <w:rsid w:val="00993D4D"/>
    <w:rsid w:val="00994513"/>
    <w:rsid w:val="00994F31"/>
    <w:rsid w:val="009953D7"/>
    <w:rsid w:val="009962AF"/>
    <w:rsid w:val="0099676A"/>
    <w:rsid w:val="009968DE"/>
    <w:rsid w:val="00996F44"/>
    <w:rsid w:val="00997098"/>
    <w:rsid w:val="009973D8"/>
    <w:rsid w:val="0099775F"/>
    <w:rsid w:val="00997AE4"/>
    <w:rsid w:val="00997C0C"/>
    <w:rsid w:val="009A052B"/>
    <w:rsid w:val="009A1595"/>
    <w:rsid w:val="009A1C1B"/>
    <w:rsid w:val="009A2809"/>
    <w:rsid w:val="009A2825"/>
    <w:rsid w:val="009A2D69"/>
    <w:rsid w:val="009A3A42"/>
    <w:rsid w:val="009A3C77"/>
    <w:rsid w:val="009A3EE2"/>
    <w:rsid w:val="009A59B1"/>
    <w:rsid w:val="009A59FE"/>
    <w:rsid w:val="009A5A6F"/>
    <w:rsid w:val="009A5C65"/>
    <w:rsid w:val="009A6350"/>
    <w:rsid w:val="009B030F"/>
    <w:rsid w:val="009B06C1"/>
    <w:rsid w:val="009B0E1D"/>
    <w:rsid w:val="009B0F58"/>
    <w:rsid w:val="009B1F30"/>
    <w:rsid w:val="009B2333"/>
    <w:rsid w:val="009B366D"/>
    <w:rsid w:val="009B37FF"/>
    <w:rsid w:val="009B392A"/>
    <w:rsid w:val="009B3D33"/>
    <w:rsid w:val="009B43C6"/>
    <w:rsid w:val="009B4A7C"/>
    <w:rsid w:val="009B638E"/>
    <w:rsid w:val="009B67CA"/>
    <w:rsid w:val="009B6C0C"/>
    <w:rsid w:val="009B71C7"/>
    <w:rsid w:val="009B73CB"/>
    <w:rsid w:val="009B7425"/>
    <w:rsid w:val="009B7644"/>
    <w:rsid w:val="009B7B61"/>
    <w:rsid w:val="009B7BAC"/>
    <w:rsid w:val="009C007C"/>
    <w:rsid w:val="009C064C"/>
    <w:rsid w:val="009C08FD"/>
    <w:rsid w:val="009C0993"/>
    <w:rsid w:val="009C1298"/>
    <w:rsid w:val="009C2800"/>
    <w:rsid w:val="009C33A2"/>
    <w:rsid w:val="009C3DC3"/>
    <w:rsid w:val="009C4BD2"/>
    <w:rsid w:val="009C4F86"/>
    <w:rsid w:val="009C5249"/>
    <w:rsid w:val="009C5B95"/>
    <w:rsid w:val="009C6331"/>
    <w:rsid w:val="009C6BE4"/>
    <w:rsid w:val="009C781B"/>
    <w:rsid w:val="009D1CFE"/>
    <w:rsid w:val="009D1F8C"/>
    <w:rsid w:val="009D3386"/>
    <w:rsid w:val="009D339E"/>
    <w:rsid w:val="009D3A10"/>
    <w:rsid w:val="009D3BAE"/>
    <w:rsid w:val="009D597A"/>
    <w:rsid w:val="009D6E32"/>
    <w:rsid w:val="009D722F"/>
    <w:rsid w:val="009D7624"/>
    <w:rsid w:val="009E0CA4"/>
    <w:rsid w:val="009E131F"/>
    <w:rsid w:val="009E1385"/>
    <w:rsid w:val="009E2811"/>
    <w:rsid w:val="009E3630"/>
    <w:rsid w:val="009E3BED"/>
    <w:rsid w:val="009E44F1"/>
    <w:rsid w:val="009E4903"/>
    <w:rsid w:val="009E49F1"/>
    <w:rsid w:val="009E4ABE"/>
    <w:rsid w:val="009E4CE6"/>
    <w:rsid w:val="009E4E5B"/>
    <w:rsid w:val="009E5805"/>
    <w:rsid w:val="009E62CE"/>
    <w:rsid w:val="009F0864"/>
    <w:rsid w:val="009F108D"/>
    <w:rsid w:val="009F11CC"/>
    <w:rsid w:val="009F168F"/>
    <w:rsid w:val="009F17FC"/>
    <w:rsid w:val="009F18B4"/>
    <w:rsid w:val="009F2345"/>
    <w:rsid w:val="009F271A"/>
    <w:rsid w:val="009F27CF"/>
    <w:rsid w:val="009F398B"/>
    <w:rsid w:val="009F43CB"/>
    <w:rsid w:val="009F4E67"/>
    <w:rsid w:val="009F55D1"/>
    <w:rsid w:val="009F5B02"/>
    <w:rsid w:val="009F72E1"/>
    <w:rsid w:val="00A00402"/>
    <w:rsid w:val="00A010C5"/>
    <w:rsid w:val="00A01384"/>
    <w:rsid w:val="00A014F2"/>
    <w:rsid w:val="00A01A35"/>
    <w:rsid w:val="00A01E20"/>
    <w:rsid w:val="00A025A9"/>
    <w:rsid w:val="00A0368A"/>
    <w:rsid w:val="00A041F9"/>
    <w:rsid w:val="00A04279"/>
    <w:rsid w:val="00A043DA"/>
    <w:rsid w:val="00A04B89"/>
    <w:rsid w:val="00A05109"/>
    <w:rsid w:val="00A05118"/>
    <w:rsid w:val="00A0524C"/>
    <w:rsid w:val="00A0592B"/>
    <w:rsid w:val="00A05BE5"/>
    <w:rsid w:val="00A05CB6"/>
    <w:rsid w:val="00A05FCB"/>
    <w:rsid w:val="00A06EA5"/>
    <w:rsid w:val="00A071D6"/>
    <w:rsid w:val="00A07EE4"/>
    <w:rsid w:val="00A10546"/>
    <w:rsid w:val="00A10AE0"/>
    <w:rsid w:val="00A11C2D"/>
    <w:rsid w:val="00A11D19"/>
    <w:rsid w:val="00A12F62"/>
    <w:rsid w:val="00A132E1"/>
    <w:rsid w:val="00A14C8E"/>
    <w:rsid w:val="00A15504"/>
    <w:rsid w:val="00A15D69"/>
    <w:rsid w:val="00A1683F"/>
    <w:rsid w:val="00A16C92"/>
    <w:rsid w:val="00A17B24"/>
    <w:rsid w:val="00A20110"/>
    <w:rsid w:val="00A204BB"/>
    <w:rsid w:val="00A20E2B"/>
    <w:rsid w:val="00A21F90"/>
    <w:rsid w:val="00A22803"/>
    <w:rsid w:val="00A233B9"/>
    <w:rsid w:val="00A2406A"/>
    <w:rsid w:val="00A24501"/>
    <w:rsid w:val="00A24745"/>
    <w:rsid w:val="00A2524D"/>
    <w:rsid w:val="00A252E5"/>
    <w:rsid w:val="00A25A4B"/>
    <w:rsid w:val="00A26688"/>
    <w:rsid w:val="00A2695B"/>
    <w:rsid w:val="00A26FA9"/>
    <w:rsid w:val="00A277D5"/>
    <w:rsid w:val="00A27E16"/>
    <w:rsid w:val="00A302B8"/>
    <w:rsid w:val="00A3136D"/>
    <w:rsid w:val="00A31FC4"/>
    <w:rsid w:val="00A320CE"/>
    <w:rsid w:val="00A33197"/>
    <w:rsid w:val="00A33B28"/>
    <w:rsid w:val="00A34F27"/>
    <w:rsid w:val="00A369C4"/>
    <w:rsid w:val="00A3708C"/>
    <w:rsid w:val="00A375D0"/>
    <w:rsid w:val="00A41E38"/>
    <w:rsid w:val="00A4294A"/>
    <w:rsid w:val="00A43211"/>
    <w:rsid w:val="00A43670"/>
    <w:rsid w:val="00A43C46"/>
    <w:rsid w:val="00A450AF"/>
    <w:rsid w:val="00A45B48"/>
    <w:rsid w:val="00A45D8A"/>
    <w:rsid w:val="00A463D3"/>
    <w:rsid w:val="00A463EF"/>
    <w:rsid w:val="00A470FE"/>
    <w:rsid w:val="00A4756C"/>
    <w:rsid w:val="00A47CB9"/>
    <w:rsid w:val="00A51434"/>
    <w:rsid w:val="00A521F8"/>
    <w:rsid w:val="00A523A8"/>
    <w:rsid w:val="00A52C02"/>
    <w:rsid w:val="00A52FD3"/>
    <w:rsid w:val="00A53753"/>
    <w:rsid w:val="00A537A2"/>
    <w:rsid w:val="00A537CE"/>
    <w:rsid w:val="00A53CC2"/>
    <w:rsid w:val="00A543E6"/>
    <w:rsid w:val="00A54A7A"/>
    <w:rsid w:val="00A54EC3"/>
    <w:rsid w:val="00A5625F"/>
    <w:rsid w:val="00A57153"/>
    <w:rsid w:val="00A57A43"/>
    <w:rsid w:val="00A57F62"/>
    <w:rsid w:val="00A613E1"/>
    <w:rsid w:val="00A616D9"/>
    <w:rsid w:val="00A6253E"/>
    <w:rsid w:val="00A63393"/>
    <w:rsid w:val="00A63BA1"/>
    <w:rsid w:val="00A657FD"/>
    <w:rsid w:val="00A65E07"/>
    <w:rsid w:val="00A66C66"/>
    <w:rsid w:val="00A66FEF"/>
    <w:rsid w:val="00A67EFE"/>
    <w:rsid w:val="00A700A9"/>
    <w:rsid w:val="00A705B1"/>
    <w:rsid w:val="00A708BB"/>
    <w:rsid w:val="00A718B0"/>
    <w:rsid w:val="00A71F94"/>
    <w:rsid w:val="00A72227"/>
    <w:rsid w:val="00A72314"/>
    <w:rsid w:val="00A72794"/>
    <w:rsid w:val="00A728E4"/>
    <w:rsid w:val="00A72C08"/>
    <w:rsid w:val="00A74A3F"/>
    <w:rsid w:val="00A80027"/>
    <w:rsid w:val="00A80F89"/>
    <w:rsid w:val="00A81299"/>
    <w:rsid w:val="00A81DFA"/>
    <w:rsid w:val="00A82993"/>
    <w:rsid w:val="00A82BBB"/>
    <w:rsid w:val="00A82FA4"/>
    <w:rsid w:val="00A831FB"/>
    <w:rsid w:val="00A83C23"/>
    <w:rsid w:val="00A843D5"/>
    <w:rsid w:val="00A84FD0"/>
    <w:rsid w:val="00A85829"/>
    <w:rsid w:val="00A85838"/>
    <w:rsid w:val="00A86F6C"/>
    <w:rsid w:val="00A91EF4"/>
    <w:rsid w:val="00A92A6B"/>
    <w:rsid w:val="00A9318E"/>
    <w:rsid w:val="00A938E8"/>
    <w:rsid w:val="00A93DF6"/>
    <w:rsid w:val="00A94189"/>
    <w:rsid w:val="00A94624"/>
    <w:rsid w:val="00A954BE"/>
    <w:rsid w:val="00A956D7"/>
    <w:rsid w:val="00A95E9C"/>
    <w:rsid w:val="00A970A1"/>
    <w:rsid w:val="00A9711E"/>
    <w:rsid w:val="00A971EA"/>
    <w:rsid w:val="00A97208"/>
    <w:rsid w:val="00A97619"/>
    <w:rsid w:val="00A97691"/>
    <w:rsid w:val="00A97AE4"/>
    <w:rsid w:val="00AA0613"/>
    <w:rsid w:val="00AA1476"/>
    <w:rsid w:val="00AA1CD1"/>
    <w:rsid w:val="00AA2027"/>
    <w:rsid w:val="00AA23EE"/>
    <w:rsid w:val="00AA257F"/>
    <w:rsid w:val="00AA4E87"/>
    <w:rsid w:val="00AA5065"/>
    <w:rsid w:val="00AA5851"/>
    <w:rsid w:val="00AA590C"/>
    <w:rsid w:val="00AA5B41"/>
    <w:rsid w:val="00AA5E61"/>
    <w:rsid w:val="00AA67D4"/>
    <w:rsid w:val="00AA6B38"/>
    <w:rsid w:val="00AA6D9B"/>
    <w:rsid w:val="00AA73AC"/>
    <w:rsid w:val="00AA7932"/>
    <w:rsid w:val="00AB05D4"/>
    <w:rsid w:val="00AB0FB9"/>
    <w:rsid w:val="00AB10CE"/>
    <w:rsid w:val="00AB1270"/>
    <w:rsid w:val="00AB259E"/>
    <w:rsid w:val="00AB27EB"/>
    <w:rsid w:val="00AB2962"/>
    <w:rsid w:val="00AB304C"/>
    <w:rsid w:val="00AB34AD"/>
    <w:rsid w:val="00AB3DCC"/>
    <w:rsid w:val="00AB4A5D"/>
    <w:rsid w:val="00AB5D2E"/>
    <w:rsid w:val="00AB7530"/>
    <w:rsid w:val="00AB7D56"/>
    <w:rsid w:val="00AC0832"/>
    <w:rsid w:val="00AC1E30"/>
    <w:rsid w:val="00AC33EB"/>
    <w:rsid w:val="00AC349A"/>
    <w:rsid w:val="00AC3A76"/>
    <w:rsid w:val="00AC40D0"/>
    <w:rsid w:val="00AC413E"/>
    <w:rsid w:val="00AC41E6"/>
    <w:rsid w:val="00AC4C45"/>
    <w:rsid w:val="00AC5191"/>
    <w:rsid w:val="00AC5E42"/>
    <w:rsid w:val="00AC77C6"/>
    <w:rsid w:val="00AD0846"/>
    <w:rsid w:val="00AD0D80"/>
    <w:rsid w:val="00AD14FF"/>
    <w:rsid w:val="00AD1F73"/>
    <w:rsid w:val="00AD21C1"/>
    <w:rsid w:val="00AD23F4"/>
    <w:rsid w:val="00AD347E"/>
    <w:rsid w:val="00AD3C67"/>
    <w:rsid w:val="00AD3E70"/>
    <w:rsid w:val="00AD436F"/>
    <w:rsid w:val="00AD48DB"/>
    <w:rsid w:val="00AD5243"/>
    <w:rsid w:val="00AD5F83"/>
    <w:rsid w:val="00AD73F9"/>
    <w:rsid w:val="00AD78AA"/>
    <w:rsid w:val="00AD7BC8"/>
    <w:rsid w:val="00AD7DD7"/>
    <w:rsid w:val="00AE108B"/>
    <w:rsid w:val="00AE1B35"/>
    <w:rsid w:val="00AE235D"/>
    <w:rsid w:val="00AE31BA"/>
    <w:rsid w:val="00AE46E2"/>
    <w:rsid w:val="00AE4F63"/>
    <w:rsid w:val="00AE4FCF"/>
    <w:rsid w:val="00AE5127"/>
    <w:rsid w:val="00AE5287"/>
    <w:rsid w:val="00AE58A4"/>
    <w:rsid w:val="00AE5C27"/>
    <w:rsid w:val="00AE67DF"/>
    <w:rsid w:val="00AE79F2"/>
    <w:rsid w:val="00AF08FB"/>
    <w:rsid w:val="00AF1E42"/>
    <w:rsid w:val="00AF3616"/>
    <w:rsid w:val="00AF4549"/>
    <w:rsid w:val="00AF47C8"/>
    <w:rsid w:val="00AF4A84"/>
    <w:rsid w:val="00AF5132"/>
    <w:rsid w:val="00AF63F6"/>
    <w:rsid w:val="00AF754D"/>
    <w:rsid w:val="00AF7CFE"/>
    <w:rsid w:val="00B00E47"/>
    <w:rsid w:val="00B014FC"/>
    <w:rsid w:val="00B01BB0"/>
    <w:rsid w:val="00B0227C"/>
    <w:rsid w:val="00B02727"/>
    <w:rsid w:val="00B02EC8"/>
    <w:rsid w:val="00B0301B"/>
    <w:rsid w:val="00B0319D"/>
    <w:rsid w:val="00B04744"/>
    <w:rsid w:val="00B053A3"/>
    <w:rsid w:val="00B06956"/>
    <w:rsid w:val="00B101C6"/>
    <w:rsid w:val="00B106E6"/>
    <w:rsid w:val="00B11359"/>
    <w:rsid w:val="00B11791"/>
    <w:rsid w:val="00B12241"/>
    <w:rsid w:val="00B129FA"/>
    <w:rsid w:val="00B12AF0"/>
    <w:rsid w:val="00B12DDB"/>
    <w:rsid w:val="00B1359F"/>
    <w:rsid w:val="00B1363C"/>
    <w:rsid w:val="00B13B2A"/>
    <w:rsid w:val="00B13E3E"/>
    <w:rsid w:val="00B1445E"/>
    <w:rsid w:val="00B14758"/>
    <w:rsid w:val="00B14A5A"/>
    <w:rsid w:val="00B15796"/>
    <w:rsid w:val="00B15EE4"/>
    <w:rsid w:val="00B16732"/>
    <w:rsid w:val="00B17020"/>
    <w:rsid w:val="00B17C3E"/>
    <w:rsid w:val="00B20A02"/>
    <w:rsid w:val="00B20A4B"/>
    <w:rsid w:val="00B20F43"/>
    <w:rsid w:val="00B226F0"/>
    <w:rsid w:val="00B22D4C"/>
    <w:rsid w:val="00B231B4"/>
    <w:rsid w:val="00B23F12"/>
    <w:rsid w:val="00B25044"/>
    <w:rsid w:val="00B255C9"/>
    <w:rsid w:val="00B256B6"/>
    <w:rsid w:val="00B25777"/>
    <w:rsid w:val="00B263C9"/>
    <w:rsid w:val="00B26963"/>
    <w:rsid w:val="00B31BFC"/>
    <w:rsid w:val="00B31FA6"/>
    <w:rsid w:val="00B32425"/>
    <w:rsid w:val="00B3258A"/>
    <w:rsid w:val="00B329B4"/>
    <w:rsid w:val="00B33AF3"/>
    <w:rsid w:val="00B33C8E"/>
    <w:rsid w:val="00B341CB"/>
    <w:rsid w:val="00B34362"/>
    <w:rsid w:val="00B35A74"/>
    <w:rsid w:val="00B36191"/>
    <w:rsid w:val="00B3638D"/>
    <w:rsid w:val="00B368ED"/>
    <w:rsid w:val="00B372E3"/>
    <w:rsid w:val="00B37560"/>
    <w:rsid w:val="00B40324"/>
    <w:rsid w:val="00B406B1"/>
    <w:rsid w:val="00B40C4F"/>
    <w:rsid w:val="00B41051"/>
    <w:rsid w:val="00B413A9"/>
    <w:rsid w:val="00B416CE"/>
    <w:rsid w:val="00B42055"/>
    <w:rsid w:val="00B426BE"/>
    <w:rsid w:val="00B4303F"/>
    <w:rsid w:val="00B43191"/>
    <w:rsid w:val="00B43ECC"/>
    <w:rsid w:val="00B4441A"/>
    <w:rsid w:val="00B4490D"/>
    <w:rsid w:val="00B44D3E"/>
    <w:rsid w:val="00B464CF"/>
    <w:rsid w:val="00B46BA7"/>
    <w:rsid w:val="00B46C04"/>
    <w:rsid w:val="00B46C1C"/>
    <w:rsid w:val="00B47AFE"/>
    <w:rsid w:val="00B500AB"/>
    <w:rsid w:val="00B50556"/>
    <w:rsid w:val="00B50B50"/>
    <w:rsid w:val="00B51282"/>
    <w:rsid w:val="00B52C56"/>
    <w:rsid w:val="00B52D81"/>
    <w:rsid w:val="00B53851"/>
    <w:rsid w:val="00B54F2A"/>
    <w:rsid w:val="00B55021"/>
    <w:rsid w:val="00B56195"/>
    <w:rsid w:val="00B566D5"/>
    <w:rsid w:val="00B578C3"/>
    <w:rsid w:val="00B608C1"/>
    <w:rsid w:val="00B60A08"/>
    <w:rsid w:val="00B61BE9"/>
    <w:rsid w:val="00B61CA9"/>
    <w:rsid w:val="00B62AEE"/>
    <w:rsid w:val="00B62B77"/>
    <w:rsid w:val="00B62F81"/>
    <w:rsid w:val="00B63506"/>
    <w:rsid w:val="00B63A1D"/>
    <w:rsid w:val="00B63DA5"/>
    <w:rsid w:val="00B63FA0"/>
    <w:rsid w:val="00B6415C"/>
    <w:rsid w:val="00B642A8"/>
    <w:rsid w:val="00B64E90"/>
    <w:rsid w:val="00B656CB"/>
    <w:rsid w:val="00B658C5"/>
    <w:rsid w:val="00B659A9"/>
    <w:rsid w:val="00B65DE1"/>
    <w:rsid w:val="00B66071"/>
    <w:rsid w:val="00B66354"/>
    <w:rsid w:val="00B664B8"/>
    <w:rsid w:val="00B670EF"/>
    <w:rsid w:val="00B672B9"/>
    <w:rsid w:val="00B675F3"/>
    <w:rsid w:val="00B67652"/>
    <w:rsid w:val="00B67DCB"/>
    <w:rsid w:val="00B709E5"/>
    <w:rsid w:val="00B71057"/>
    <w:rsid w:val="00B7107A"/>
    <w:rsid w:val="00B719AD"/>
    <w:rsid w:val="00B72D9C"/>
    <w:rsid w:val="00B737D1"/>
    <w:rsid w:val="00B73916"/>
    <w:rsid w:val="00B74268"/>
    <w:rsid w:val="00B74317"/>
    <w:rsid w:val="00B7476E"/>
    <w:rsid w:val="00B75E75"/>
    <w:rsid w:val="00B7608B"/>
    <w:rsid w:val="00B76C3C"/>
    <w:rsid w:val="00B7728E"/>
    <w:rsid w:val="00B80796"/>
    <w:rsid w:val="00B82D72"/>
    <w:rsid w:val="00B831CE"/>
    <w:rsid w:val="00B83563"/>
    <w:rsid w:val="00B835D3"/>
    <w:rsid w:val="00B83D91"/>
    <w:rsid w:val="00B84C68"/>
    <w:rsid w:val="00B84E10"/>
    <w:rsid w:val="00B85469"/>
    <w:rsid w:val="00B85C9B"/>
    <w:rsid w:val="00B870E4"/>
    <w:rsid w:val="00B8713F"/>
    <w:rsid w:val="00B8743E"/>
    <w:rsid w:val="00B876FC"/>
    <w:rsid w:val="00B87A5E"/>
    <w:rsid w:val="00B90361"/>
    <w:rsid w:val="00B9050B"/>
    <w:rsid w:val="00B90F63"/>
    <w:rsid w:val="00B90F83"/>
    <w:rsid w:val="00B93086"/>
    <w:rsid w:val="00B9379B"/>
    <w:rsid w:val="00B93D38"/>
    <w:rsid w:val="00B94159"/>
    <w:rsid w:val="00B94656"/>
    <w:rsid w:val="00B94787"/>
    <w:rsid w:val="00B95480"/>
    <w:rsid w:val="00B95CF9"/>
    <w:rsid w:val="00B96452"/>
    <w:rsid w:val="00B9667C"/>
    <w:rsid w:val="00B96E07"/>
    <w:rsid w:val="00B9757E"/>
    <w:rsid w:val="00BA07ED"/>
    <w:rsid w:val="00BA0976"/>
    <w:rsid w:val="00BA0B68"/>
    <w:rsid w:val="00BA0C41"/>
    <w:rsid w:val="00BA32CE"/>
    <w:rsid w:val="00BA34AF"/>
    <w:rsid w:val="00BA44B3"/>
    <w:rsid w:val="00BA4D1A"/>
    <w:rsid w:val="00BA634B"/>
    <w:rsid w:val="00BA67EE"/>
    <w:rsid w:val="00BA6C5A"/>
    <w:rsid w:val="00BA749C"/>
    <w:rsid w:val="00BA7A6D"/>
    <w:rsid w:val="00BB0118"/>
    <w:rsid w:val="00BB125E"/>
    <w:rsid w:val="00BB18B7"/>
    <w:rsid w:val="00BB1E57"/>
    <w:rsid w:val="00BB2691"/>
    <w:rsid w:val="00BB2AF9"/>
    <w:rsid w:val="00BB39F1"/>
    <w:rsid w:val="00BB3D04"/>
    <w:rsid w:val="00BB3D27"/>
    <w:rsid w:val="00BB421C"/>
    <w:rsid w:val="00BB534F"/>
    <w:rsid w:val="00BB57B6"/>
    <w:rsid w:val="00BB5A4F"/>
    <w:rsid w:val="00BB5C06"/>
    <w:rsid w:val="00BB6282"/>
    <w:rsid w:val="00BB6313"/>
    <w:rsid w:val="00BB66A2"/>
    <w:rsid w:val="00BB6A08"/>
    <w:rsid w:val="00BB6EBE"/>
    <w:rsid w:val="00BB78B9"/>
    <w:rsid w:val="00BC085C"/>
    <w:rsid w:val="00BC14D4"/>
    <w:rsid w:val="00BC2323"/>
    <w:rsid w:val="00BC26FE"/>
    <w:rsid w:val="00BC2874"/>
    <w:rsid w:val="00BC298C"/>
    <w:rsid w:val="00BC30D3"/>
    <w:rsid w:val="00BC4AD8"/>
    <w:rsid w:val="00BC5483"/>
    <w:rsid w:val="00BC6A52"/>
    <w:rsid w:val="00BC6F45"/>
    <w:rsid w:val="00BC7775"/>
    <w:rsid w:val="00BC79AE"/>
    <w:rsid w:val="00BC7DEB"/>
    <w:rsid w:val="00BD0C9E"/>
    <w:rsid w:val="00BD1589"/>
    <w:rsid w:val="00BD1F31"/>
    <w:rsid w:val="00BD2328"/>
    <w:rsid w:val="00BD357B"/>
    <w:rsid w:val="00BD516A"/>
    <w:rsid w:val="00BD596A"/>
    <w:rsid w:val="00BD627C"/>
    <w:rsid w:val="00BD6791"/>
    <w:rsid w:val="00BD6DDA"/>
    <w:rsid w:val="00BD70D5"/>
    <w:rsid w:val="00BD71A0"/>
    <w:rsid w:val="00BD7B82"/>
    <w:rsid w:val="00BE03D2"/>
    <w:rsid w:val="00BE0994"/>
    <w:rsid w:val="00BE0BAA"/>
    <w:rsid w:val="00BE0D3D"/>
    <w:rsid w:val="00BE1534"/>
    <w:rsid w:val="00BE156E"/>
    <w:rsid w:val="00BE1EE9"/>
    <w:rsid w:val="00BE2BE8"/>
    <w:rsid w:val="00BE2D23"/>
    <w:rsid w:val="00BE2E63"/>
    <w:rsid w:val="00BE2E68"/>
    <w:rsid w:val="00BE2E99"/>
    <w:rsid w:val="00BE32EB"/>
    <w:rsid w:val="00BE3FA0"/>
    <w:rsid w:val="00BE46BC"/>
    <w:rsid w:val="00BE48A8"/>
    <w:rsid w:val="00BE4CA8"/>
    <w:rsid w:val="00BE5560"/>
    <w:rsid w:val="00BE571D"/>
    <w:rsid w:val="00BE5932"/>
    <w:rsid w:val="00BE5937"/>
    <w:rsid w:val="00BE5B4F"/>
    <w:rsid w:val="00BE6026"/>
    <w:rsid w:val="00BE641E"/>
    <w:rsid w:val="00BE6771"/>
    <w:rsid w:val="00BE7B41"/>
    <w:rsid w:val="00BE7B62"/>
    <w:rsid w:val="00BF1119"/>
    <w:rsid w:val="00BF1C09"/>
    <w:rsid w:val="00BF276B"/>
    <w:rsid w:val="00BF291F"/>
    <w:rsid w:val="00BF31AD"/>
    <w:rsid w:val="00BF39C3"/>
    <w:rsid w:val="00BF3CE8"/>
    <w:rsid w:val="00BF47C4"/>
    <w:rsid w:val="00BF542F"/>
    <w:rsid w:val="00BF5DE5"/>
    <w:rsid w:val="00BF68EB"/>
    <w:rsid w:val="00BF6E82"/>
    <w:rsid w:val="00C002DE"/>
    <w:rsid w:val="00C003F0"/>
    <w:rsid w:val="00C00665"/>
    <w:rsid w:val="00C00840"/>
    <w:rsid w:val="00C00C6C"/>
    <w:rsid w:val="00C01827"/>
    <w:rsid w:val="00C02238"/>
    <w:rsid w:val="00C0237C"/>
    <w:rsid w:val="00C0268B"/>
    <w:rsid w:val="00C02FFE"/>
    <w:rsid w:val="00C03293"/>
    <w:rsid w:val="00C0330E"/>
    <w:rsid w:val="00C04940"/>
    <w:rsid w:val="00C04A15"/>
    <w:rsid w:val="00C04EA4"/>
    <w:rsid w:val="00C05D9B"/>
    <w:rsid w:val="00C06C58"/>
    <w:rsid w:val="00C06CE6"/>
    <w:rsid w:val="00C06D8F"/>
    <w:rsid w:val="00C07024"/>
    <w:rsid w:val="00C074F2"/>
    <w:rsid w:val="00C0750D"/>
    <w:rsid w:val="00C0790B"/>
    <w:rsid w:val="00C079C3"/>
    <w:rsid w:val="00C10435"/>
    <w:rsid w:val="00C108B5"/>
    <w:rsid w:val="00C10B2E"/>
    <w:rsid w:val="00C10BA6"/>
    <w:rsid w:val="00C110A6"/>
    <w:rsid w:val="00C12540"/>
    <w:rsid w:val="00C12FE8"/>
    <w:rsid w:val="00C14AB0"/>
    <w:rsid w:val="00C15035"/>
    <w:rsid w:val="00C15A17"/>
    <w:rsid w:val="00C15A2F"/>
    <w:rsid w:val="00C15D89"/>
    <w:rsid w:val="00C15E00"/>
    <w:rsid w:val="00C20436"/>
    <w:rsid w:val="00C22AFB"/>
    <w:rsid w:val="00C23098"/>
    <w:rsid w:val="00C246FC"/>
    <w:rsid w:val="00C24BC1"/>
    <w:rsid w:val="00C24D2A"/>
    <w:rsid w:val="00C24F49"/>
    <w:rsid w:val="00C251AF"/>
    <w:rsid w:val="00C25457"/>
    <w:rsid w:val="00C25B8F"/>
    <w:rsid w:val="00C25E3B"/>
    <w:rsid w:val="00C25F6F"/>
    <w:rsid w:val="00C26776"/>
    <w:rsid w:val="00C275F1"/>
    <w:rsid w:val="00C2768F"/>
    <w:rsid w:val="00C30112"/>
    <w:rsid w:val="00C302A7"/>
    <w:rsid w:val="00C307DF"/>
    <w:rsid w:val="00C315AC"/>
    <w:rsid w:val="00C31B17"/>
    <w:rsid w:val="00C31D70"/>
    <w:rsid w:val="00C31F68"/>
    <w:rsid w:val="00C32091"/>
    <w:rsid w:val="00C33062"/>
    <w:rsid w:val="00C33451"/>
    <w:rsid w:val="00C33768"/>
    <w:rsid w:val="00C33A32"/>
    <w:rsid w:val="00C33E21"/>
    <w:rsid w:val="00C34642"/>
    <w:rsid w:val="00C34D33"/>
    <w:rsid w:val="00C34DDF"/>
    <w:rsid w:val="00C36195"/>
    <w:rsid w:val="00C367C9"/>
    <w:rsid w:val="00C36871"/>
    <w:rsid w:val="00C369B4"/>
    <w:rsid w:val="00C36B8F"/>
    <w:rsid w:val="00C4099C"/>
    <w:rsid w:val="00C40E3B"/>
    <w:rsid w:val="00C41556"/>
    <w:rsid w:val="00C42A54"/>
    <w:rsid w:val="00C43B8D"/>
    <w:rsid w:val="00C43EDD"/>
    <w:rsid w:val="00C44FB7"/>
    <w:rsid w:val="00C452F3"/>
    <w:rsid w:val="00C4677A"/>
    <w:rsid w:val="00C4751C"/>
    <w:rsid w:val="00C47616"/>
    <w:rsid w:val="00C47CBB"/>
    <w:rsid w:val="00C50138"/>
    <w:rsid w:val="00C5036B"/>
    <w:rsid w:val="00C50EA3"/>
    <w:rsid w:val="00C512A3"/>
    <w:rsid w:val="00C51866"/>
    <w:rsid w:val="00C520D5"/>
    <w:rsid w:val="00C52D87"/>
    <w:rsid w:val="00C53D5A"/>
    <w:rsid w:val="00C53EFF"/>
    <w:rsid w:val="00C5446D"/>
    <w:rsid w:val="00C5583F"/>
    <w:rsid w:val="00C56F25"/>
    <w:rsid w:val="00C5709A"/>
    <w:rsid w:val="00C572B3"/>
    <w:rsid w:val="00C57A77"/>
    <w:rsid w:val="00C61A8C"/>
    <w:rsid w:val="00C62269"/>
    <w:rsid w:val="00C62549"/>
    <w:rsid w:val="00C625ED"/>
    <w:rsid w:val="00C63900"/>
    <w:rsid w:val="00C648FD"/>
    <w:rsid w:val="00C64E70"/>
    <w:rsid w:val="00C65977"/>
    <w:rsid w:val="00C65A4A"/>
    <w:rsid w:val="00C65D7A"/>
    <w:rsid w:val="00C660E6"/>
    <w:rsid w:val="00C661CC"/>
    <w:rsid w:val="00C6670A"/>
    <w:rsid w:val="00C66BE1"/>
    <w:rsid w:val="00C711D9"/>
    <w:rsid w:val="00C72914"/>
    <w:rsid w:val="00C73060"/>
    <w:rsid w:val="00C7395E"/>
    <w:rsid w:val="00C73E58"/>
    <w:rsid w:val="00C73E5F"/>
    <w:rsid w:val="00C74617"/>
    <w:rsid w:val="00C74B2E"/>
    <w:rsid w:val="00C75836"/>
    <w:rsid w:val="00C75BD6"/>
    <w:rsid w:val="00C75D8B"/>
    <w:rsid w:val="00C76D47"/>
    <w:rsid w:val="00C76FA2"/>
    <w:rsid w:val="00C80283"/>
    <w:rsid w:val="00C80D36"/>
    <w:rsid w:val="00C813B9"/>
    <w:rsid w:val="00C814E6"/>
    <w:rsid w:val="00C81E01"/>
    <w:rsid w:val="00C84357"/>
    <w:rsid w:val="00C84A1B"/>
    <w:rsid w:val="00C85EC5"/>
    <w:rsid w:val="00C86062"/>
    <w:rsid w:val="00C863F3"/>
    <w:rsid w:val="00C867BC"/>
    <w:rsid w:val="00C86972"/>
    <w:rsid w:val="00C86BC1"/>
    <w:rsid w:val="00C87701"/>
    <w:rsid w:val="00C9038F"/>
    <w:rsid w:val="00C90780"/>
    <w:rsid w:val="00C90B4C"/>
    <w:rsid w:val="00C90D60"/>
    <w:rsid w:val="00C90EF7"/>
    <w:rsid w:val="00C91AF0"/>
    <w:rsid w:val="00C91D18"/>
    <w:rsid w:val="00C9251A"/>
    <w:rsid w:val="00C92D8D"/>
    <w:rsid w:val="00C93753"/>
    <w:rsid w:val="00C93F77"/>
    <w:rsid w:val="00C9466D"/>
    <w:rsid w:val="00C95BBA"/>
    <w:rsid w:val="00C96354"/>
    <w:rsid w:val="00CA142E"/>
    <w:rsid w:val="00CA14ED"/>
    <w:rsid w:val="00CA159E"/>
    <w:rsid w:val="00CA188C"/>
    <w:rsid w:val="00CA21E0"/>
    <w:rsid w:val="00CA22F7"/>
    <w:rsid w:val="00CA2483"/>
    <w:rsid w:val="00CA2A5D"/>
    <w:rsid w:val="00CA2B32"/>
    <w:rsid w:val="00CA32DA"/>
    <w:rsid w:val="00CA3613"/>
    <w:rsid w:val="00CA39D4"/>
    <w:rsid w:val="00CA4802"/>
    <w:rsid w:val="00CA4BDD"/>
    <w:rsid w:val="00CA4ECC"/>
    <w:rsid w:val="00CA5F84"/>
    <w:rsid w:val="00CA7A8A"/>
    <w:rsid w:val="00CB14FB"/>
    <w:rsid w:val="00CB22BA"/>
    <w:rsid w:val="00CB2305"/>
    <w:rsid w:val="00CB5166"/>
    <w:rsid w:val="00CB55E4"/>
    <w:rsid w:val="00CB581C"/>
    <w:rsid w:val="00CB5F83"/>
    <w:rsid w:val="00CB71D1"/>
    <w:rsid w:val="00CB71F2"/>
    <w:rsid w:val="00CB74D7"/>
    <w:rsid w:val="00CB77E0"/>
    <w:rsid w:val="00CC02A4"/>
    <w:rsid w:val="00CC0365"/>
    <w:rsid w:val="00CC0BA5"/>
    <w:rsid w:val="00CC12E3"/>
    <w:rsid w:val="00CC14EE"/>
    <w:rsid w:val="00CC2A24"/>
    <w:rsid w:val="00CC37B3"/>
    <w:rsid w:val="00CC4E8C"/>
    <w:rsid w:val="00CC5559"/>
    <w:rsid w:val="00CC580D"/>
    <w:rsid w:val="00CC5B5D"/>
    <w:rsid w:val="00CC5BCC"/>
    <w:rsid w:val="00CC698B"/>
    <w:rsid w:val="00CC7438"/>
    <w:rsid w:val="00CC7582"/>
    <w:rsid w:val="00CC7CB7"/>
    <w:rsid w:val="00CD0D3D"/>
    <w:rsid w:val="00CD18D6"/>
    <w:rsid w:val="00CD1E7D"/>
    <w:rsid w:val="00CD2754"/>
    <w:rsid w:val="00CD40F5"/>
    <w:rsid w:val="00CD4E99"/>
    <w:rsid w:val="00CD5388"/>
    <w:rsid w:val="00CD5532"/>
    <w:rsid w:val="00CD5680"/>
    <w:rsid w:val="00CD6CA9"/>
    <w:rsid w:val="00CD77E2"/>
    <w:rsid w:val="00CE0065"/>
    <w:rsid w:val="00CE03F5"/>
    <w:rsid w:val="00CE1CAE"/>
    <w:rsid w:val="00CE4345"/>
    <w:rsid w:val="00CE57B1"/>
    <w:rsid w:val="00CE609B"/>
    <w:rsid w:val="00CE6749"/>
    <w:rsid w:val="00CE7131"/>
    <w:rsid w:val="00CE73F7"/>
    <w:rsid w:val="00CE7832"/>
    <w:rsid w:val="00CE7924"/>
    <w:rsid w:val="00CE7BB7"/>
    <w:rsid w:val="00CF1201"/>
    <w:rsid w:val="00CF16B9"/>
    <w:rsid w:val="00CF1B86"/>
    <w:rsid w:val="00CF271D"/>
    <w:rsid w:val="00CF27B7"/>
    <w:rsid w:val="00CF28D1"/>
    <w:rsid w:val="00CF2D36"/>
    <w:rsid w:val="00CF3312"/>
    <w:rsid w:val="00CF57DA"/>
    <w:rsid w:val="00CF6627"/>
    <w:rsid w:val="00CF749A"/>
    <w:rsid w:val="00CF78C2"/>
    <w:rsid w:val="00CFDCB1"/>
    <w:rsid w:val="00D000CB"/>
    <w:rsid w:val="00D0055E"/>
    <w:rsid w:val="00D016D1"/>
    <w:rsid w:val="00D01B75"/>
    <w:rsid w:val="00D0291C"/>
    <w:rsid w:val="00D02AC7"/>
    <w:rsid w:val="00D03535"/>
    <w:rsid w:val="00D04443"/>
    <w:rsid w:val="00D066E9"/>
    <w:rsid w:val="00D07CE7"/>
    <w:rsid w:val="00D07E61"/>
    <w:rsid w:val="00D07F6D"/>
    <w:rsid w:val="00D101E5"/>
    <w:rsid w:val="00D1037B"/>
    <w:rsid w:val="00D111D0"/>
    <w:rsid w:val="00D12AFD"/>
    <w:rsid w:val="00D13929"/>
    <w:rsid w:val="00D14E74"/>
    <w:rsid w:val="00D159B6"/>
    <w:rsid w:val="00D2134C"/>
    <w:rsid w:val="00D214E1"/>
    <w:rsid w:val="00D2231D"/>
    <w:rsid w:val="00D2314C"/>
    <w:rsid w:val="00D251B0"/>
    <w:rsid w:val="00D2543A"/>
    <w:rsid w:val="00D2566C"/>
    <w:rsid w:val="00D25CE4"/>
    <w:rsid w:val="00D26116"/>
    <w:rsid w:val="00D26B24"/>
    <w:rsid w:val="00D26C10"/>
    <w:rsid w:val="00D27583"/>
    <w:rsid w:val="00D27775"/>
    <w:rsid w:val="00D27F72"/>
    <w:rsid w:val="00D317CF"/>
    <w:rsid w:val="00D3181B"/>
    <w:rsid w:val="00D328D6"/>
    <w:rsid w:val="00D32B8D"/>
    <w:rsid w:val="00D32EDE"/>
    <w:rsid w:val="00D33F1A"/>
    <w:rsid w:val="00D34068"/>
    <w:rsid w:val="00D37FAC"/>
    <w:rsid w:val="00D402AA"/>
    <w:rsid w:val="00D40B38"/>
    <w:rsid w:val="00D413D6"/>
    <w:rsid w:val="00D41B57"/>
    <w:rsid w:val="00D41EF5"/>
    <w:rsid w:val="00D42038"/>
    <w:rsid w:val="00D42930"/>
    <w:rsid w:val="00D429B6"/>
    <w:rsid w:val="00D444ED"/>
    <w:rsid w:val="00D444F1"/>
    <w:rsid w:val="00D4507D"/>
    <w:rsid w:val="00D45110"/>
    <w:rsid w:val="00D45718"/>
    <w:rsid w:val="00D46D94"/>
    <w:rsid w:val="00D46E77"/>
    <w:rsid w:val="00D47610"/>
    <w:rsid w:val="00D504FE"/>
    <w:rsid w:val="00D50C1C"/>
    <w:rsid w:val="00D52226"/>
    <w:rsid w:val="00D533E5"/>
    <w:rsid w:val="00D53451"/>
    <w:rsid w:val="00D5418F"/>
    <w:rsid w:val="00D5429A"/>
    <w:rsid w:val="00D545EF"/>
    <w:rsid w:val="00D559B2"/>
    <w:rsid w:val="00D56421"/>
    <w:rsid w:val="00D56614"/>
    <w:rsid w:val="00D56790"/>
    <w:rsid w:val="00D56CA1"/>
    <w:rsid w:val="00D56D04"/>
    <w:rsid w:val="00D57EE7"/>
    <w:rsid w:val="00D60665"/>
    <w:rsid w:val="00D61603"/>
    <w:rsid w:val="00D61E7C"/>
    <w:rsid w:val="00D62142"/>
    <w:rsid w:val="00D62FA3"/>
    <w:rsid w:val="00D6374E"/>
    <w:rsid w:val="00D64847"/>
    <w:rsid w:val="00D65A09"/>
    <w:rsid w:val="00D65D1F"/>
    <w:rsid w:val="00D66BAA"/>
    <w:rsid w:val="00D66ED1"/>
    <w:rsid w:val="00D670BF"/>
    <w:rsid w:val="00D6712C"/>
    <w:rsid w:val="00D7007B"/>
    <w:rsid w:val="00D7029C"/>
    <w:rsid w:val="00D70359"/>
    <w:rsid w:val="00D70489"/>
    <w:rsid w:val="00D72396"/>
    <w:rsid w:val="00D72448"/>
    <w:rsid w:val="00D727A5"/>
    <w:rsid w:val="00D72822"/>
    <w:rsid w:val="00D72A5D"/>
    <w:rsid w:val="00D72EF0"/>
    <w:rsid w:val="00D7651D"/>
    <w:rsid w:val="00D8038D"/>
    <w:rsid w:val="00D8108E"/>
    <w:rsid w:val="00D81F18"/>
    <w:rsid w:val="00D84DEF"/>
    <w:rsid w:val="00D84DF3"/>
    <w:rsid w:val="00D84E65"/>
    <w:rsid w:val="00D855B6"/>
    <w:rsid w:val="00D86883"/>
    <w:rsid w:val="00D86A3E"/>
    <w:rsid w:val="00D86E26"/>
    <w:rsid w:val="00D90BE5"/>
    <w:rsid w:val="00D91B4D"/>
    <w:rsid w:val="00D91E35"/>
    <w:rsid w:val="00D92D30"/>
    <w:rsid w:val="00D93142"/>
    <w:rsid w:val="00D93269"/>
    <w:rsid w:val="00D93D5A"/>
    <w:rsid w:val="00D942F3"/>
    <w:rsid w:val="00D94B6D"/>
    <w:rsid w:val="00D9568D"/>
    <w:rsid w:val="00D95736"/>
    <w:rsid w:val="00D95EAE"/>
    <w:rsid w:val="00D95ED4"/>
    <w:rsid w:val="00DA0D6C"/>
    <w:rsid w:val="00DA1E13"/>
    <w:rsid w:val="00DA219E"/>
    <w:rsid w:val="00DA37C0"/>
    <w:rsid w:val="00DA3D52"/>
    <w:rsid w:val="00DA45FC"/>
    <w:rsid w:val="00DA4DAB"/>
    <w:rsid w:val="00DA5AC8"/>
    <w:rsid w:val="00DB0CCA"/>
    <w:rsid w:val="00DB12AA"/>
    <w:rsid w:val="00DB175C"/>
    <w:rsid w:val="00DB24DE"/>
    <w:rsid w:val="00DB398C"/>
    <w:rsid w:val="00DB41F9"/>
    <w:rsid w:val="00DB472C"/>
    <w:rsid w:val="00DB4EAF"/>
    <w:rsid w:val="00DB5727"/>
    <w:rsid w:val="00DB58B9"/>
    <w:rsid w:val="00DB5B2D"/>
    <w:rsid w:val="00DB63A6"/>
    <w:rsid w:val="00DB6518"/>
    <w:rsid w:val="00DB676F"/>
    <w:rsid w:val="00DB7554"/>
    <w:rsid w:val="00DB7BC4"/>
    <w:rsid w:val="00DB7C1E"/>
    <w:rsid w:val="00DC0449"/>
    <w:rsid w:val="00DC0A4C"/>
    <w:rsid w:val="00DC0D5F"/>
    <w:rsid w:val="00DC28FC"/>
    <w:rsid w:val="00DC3013"/>
    <w:rsid w:val="00DC3B28"/>
    <w:rsid w:val="00DC4293"/>
    <w:rsid w:val="00DC47ED"/>
    <w:rsid w:val="00DC4F08"/>
    <w:rsid w:val="00DC5318"/>
    <w:rsid w:val="00DC541B"/>
    <w:rsid w:val="00DC5EA5"/>
    <w:rsid w:val="00DC6782"/>
    <w:rsid w:val="00DC6D3C"/>
    <w:rsid w:val="00DC75A8"/>
    <w:rsid w:val="00DD04C4"/>
    <w:rsid w:val="00DD260C"/>
    <w:rsid w:val="00DD3715"/>
    <w:rsid w:val="00DD3974"/>
    <w:rsid w:val="00DD3F64"/>
    <w:rsid w:val="00DD4CCD"/>
    <w:rsid w:val="00DD72EC"/>
    <w:rsid w:val="00DD743C"/>
    <w:rsid w:val="00DD7BB1"/>
    <w:rsid w:val="00DE0477"/>
    <w:rsid w:val="00DE04E8"/>
    <w:rsid w:val="00DE0E41"/>
    <w:rsid w:val="00DE1796"/>
    <w:rsid w:val="00DE1E14"/>
    <w:rsid w:val="00DE2354"/>
    <w:rsid w:val="00DE2782"/>
    <w:rsid w:val="00DE283F"/>
    <w:rsid w:val="00DE298C"/>
    <w:rsid w:val="00DE2BA9"/>
    <w:rsid w:val="00DE3004"/>
    <w:rsid w:val="00DE3306"/>
    <w:rsid w:val="00DE37DA"/>
    <w:rsid w:val="00DE37E6"/>
    <w:rsid w:val="00DE3961"/>
    <w:rsid w:val="00DE40FF"/>
    <w:rsid w:val="00DE4C0B"/>
    <w:rsid w:val="00DE594B"/>
    <w:rsid w:val="00DE62B8"/>
    <w:rsid w:val="00DE6A50"/>
    <w:rsid w:val="00DE7078"/>
    <w:rsid w:val="00DE72AE"/>
    <w:rsid w:val="00DF1A6E"/>
    <w:rsid w:val="00DF22C8"/>
    <w:rsid w:val="00DF24F8"/>
    <w:rsid w:val="00DF2A07"/>
    <w:rsid w:val="00DF2AA0"/>
    <w:rsid w:val="00DF3583"/>
    <w:rsid w:val="00DF3A50"/>
    <w:rsid w:val="00DF4736"/>
    <w:rsid w:val="00DF54BD"/>
    <w:rsid w:val="00DF5B9C"/>
    <w:rsid w:val="00DF6310"/>
    <w:rsid w:val="00DF6AFD"/>
    <w:rsid w:val="00E002DA"/>
    <w:rsid w:val="00E00E73"/>
    <w:rsid w:val="00E017BB"/>
    <w:rsid w:val="00E029C6"/>
    <w:rsid w:val="00E036C3"/>
    <w:rsid w:val="00E04844"/>
    <w:rsid w:val="00E04870"/>
    <w:rsid w:val="00E05F36"/>
    <w:rsid w:val="00E066CB"/>
    <w:rsid w:val="00E073FD"/>
    <w:rsid w:val="00E0774A"/>
    <w:rsid w:val="00E07F66"/>
    <w:rsid w:val="00E11251"/>
    <w:rsid w:val="00E112AC"/>
    <w:rsid w:val="00E1136F"/>
    <w:rsid w:val="00E1142D"/>
    <w:rsid w:val="00E123FA"/>
    <w:rsid w:val="00E127FF"/>
    <w:rsid w:val="00E13AC6"/>
    <w:rsid w:val="00E145AD"/>
    <w:rsid w:val="00E14F24"/>
    <w:rsid w:val="00E15076"/>
    <w:rsid w:val="00E158B7"/>
    <w:rsid w:val="00E15C9C"/>
    <w:rsid w:val="00E16344"/>
    <w:rsid w:val="00E16C2D"/>
    <w:rsid w:val="00E17A9C"/>
    <w:rsid w:val="00E209E9"/>
    <w:rsid w:val="00E20DFE"/>
    <w:rsid w:val="00E21151"/>
    <w:rsid w:val="00E21B7B"/>
    <w:rsid w:val="00E21F55"/>
    <w:rsid w:val="00E2250D"/>
    <w:rsid w:val="00E22DA3"/>
    <w:rsid w:val="00E2363F"/>
    <w:rsid w:val="00E23DC7"/>
    <w:rsid w:val="00E23DFE"/>
    <w:rsid w:val="00E245F3"/>
    <w:rsid w:val="00E24B5B"/>
    <w:rsid w:val="00E24F13"/>
    <w:rsid w:val="00E2500D"/>
    <w:rsid w:val="00E25ADC"/>
    <w:rsid w:val="00E26000"/>
    <w:rsid w:val="00E27104"/>
    <w:rsid w:val="00E307D0"/>
    <w:rsid w:val="00E30A4D"/>
    <w:rsid w:val="00E30C7F"/>
    <w:rsid w:val="00E31FB8"/>
    <w:rsid w:val="00E32A9C"/>
    <w:rsid w:val="00E338B8"/>
    <w:rsid w:val="00E34C1D"/>
    <w:rsid w:val="00E3542B"/>
    <w:rsid w:val="00E35ECF"/>
    <w:rsid w:val="00E35FA7"/>
    <w:rsid w:val="00E36550"/>
    <w:rsid w:val="00E36D53"/>
    <w:rsid w:val="00E414D9"/>
    <w:rsid w:val="00E41707"/>
    <w:rsid w:val="00E41AA1"/>
    <w:rsid w:val="00E43D93"/>
    <w:rsid w:val="00E44120"/>
    <w:rsid w:val="00E446E0"/>
    <w:rsid w:val="00E45499"/>
    <w:rsid w:val="00E46DBA"/>
    <w:rsid w:val="00E471DD"/>
    <w:rsid w:val="00E50ABB"/>
    <w:rsid w:val="00E50F4B"/>
    <w:rsid w:val="00E50F6D"/>
    <w:rsid w:val="00E51BF9"/>
    <w:rsid w:val="00E52058"/>
    <w:rsid w:val="00E523CA"/>
    <w:rsid w:val="00E52A63"/>
    <w:rsid w:val="00E53297"/>
    <w:rsid w:val="00E534D2"/>
    <w:rsid w:val="00E53848"/>
    <w:rsid w:val="00E54838"/>
    <w:rsid w:val="00E554BA"/>
    <w:rsid w:val="00E55B7C"/>
    <w:rsid w:val="00E56B28"/>
    <w:rsid w:val="00E572B9"/>
    <w:rsid w:val="00E60992"/>
    <w:rsid w:val="00E60BB3"/>
    <w:rsid w:val="00E60C57"/>
    <w:rsid w:val="00E60DE7"/>
    <w:rsid w:val="00E61779"/>
    <w:rsid w:val="00E623A1"/>
    <w:rsid w:val="00E62C20"/>
    <w:rsid w:val="00E63A5C"/>
    <w:rsid w:val="00E64B0F"/>
    <w:rsid w:val="00E64C6D"/>
    <w:rsid w:val="00E65643"/>
    <w:rsid w:val="00E65C13"/>
    <w:rsid w:val="00E65C6D"/>
    <w:rsid w:val="00E66D6D"/>
    <w:rsid w:val="00E675B3"/>
    <w:rsid w:val="00E67680"/>
    <w:rsid w:val="00E67FE6"/>
    <w:rsid w:val="00E70579"/>
    <w:rsid w:val="00E70F5A"/>
    <w:rsid w:val="00E7184F"/>
    <w:rsid w:val="00E71A06"/>
    <w:rsid w:val="00E72345"/>
    <w:rsid w:val="00E72D97"/>
    <w:rsid w:val="00E72EE9"/>
    <w:rsid w:val="00E73918"/>
    <w:rsid w:val="00E74D76"/>
    <w:rsid w:val="00E7521A"/>
    <w:rsid w:val="00E7537A"/>
    <w:rsid w:val="00E7561D"/>
    <w:rsid w:val="00E757E0"/>
    <w:rsid w:val="00E762A1"/>
    <w:rsid w:val="00E76BFE"/>
    <w:rsid w:val="00E76C16"/>
    <w:rsid w:val="00E76C35"/>
    <w:rsid w:val="00E76CD6"/>
    <w:rsid w:val="00E77220"/>
    <w:rsid w:val="00E77424"/>
    <w:rsid w:val="00E77C32"/>
    <w:rsid w:val="00E77C89"/>
    <w:rsid w:val="00E81615"/>
    <w:rsid w:val="00E82291"/>
    <w:rsid w:val="00E83790"/>
    <w:rsid w:val="00E8395C"/>
    <w:rsid w:val="00E84157"/>
    <w:rsid w:val="00E8484C"/>
    <w:rsid w:val="00E84A6C"/>
    <w:rsid w:val="00E8553F"/>
    <w:rsid w:val="00E8588D"/>
    <w:rsid w:val="00E85A51"/>
    <w:rsid w:val="00E85AC7"/>
    <w:rsid w:val="00E85F6F"/>
    <w:rsid w:val="00E86435"/>
    <w:rsid w:val="00E86864"/>
    <w:rsid w:val="00E86F44"/>
    <w:rsid w:val="00E8714B"/>
    <w:rsid w:val="00E8741B"/>
    <w:rsid w:val="00E8764E"/>
    <w:rsid w:val="00E90BCB"/>
    <w:rsid w:val="00E90D3D"/>
    <w:rsid w:val="00E913D4"/>
    <w:rsid w:val="00E92AA7"/>
    <w:rsid w:val="00E92D4A"/>
    <w:rsid w:val="00E939C1"/>
    <w:rsid w:val="00E93AC0"/>
    <w:rsid w:val="00E95232"/>
    <w:rsid w:val="00E97569"/>
    <w:rsid w:val="00E97DE0"/>
    <w:rsid w:val="00EA014E"/>
    <w:rsid w:val="00EA0A0C"/>
    <w:rsid w:val="00EA1829"/>
    <w:rsid w:val="00EA1B44"/>
    <w:rsid w:val="00EA1E27"/>
    <w:rsid w:val="00EA1EAC"/>
    <w:rsid w:val="00EA3868"/>
    <w:rsid w:val="00EA5064"/>
    <w:rsid w:val="00EA50CD"/>
    <w:rsid w:val="00EA5573"/>
    <w:rsid w:val="00EA605E"/>
    <w:rsid w:val="00EA67FF"/>
    <w:rsid w:val="00EB04DE"/>
    <w:rsid w:val="00EB06D4"/>
    <w:rsid w:val="00EB108D"/>
    <w:rsid w:val="00EB11F0"/>
    <w:rsid w:val="00EB19EC"/>
    <w:rsid w:val="00EB285B"/>
    <w:rsid w:val="00EB32F1"/>
    <w:rsid w:val="00EB330F"/>
    <w:rsid w:val="00EB55D0"/>
    <w:rsid w:val="00EB574E"/>
    <w:rsid w:val="00EB5CE4"/>
    <w:rsid w:val="00EB6750"/>
    <w:rsid w:val="00EB6D0E"/>
    <w:rsid w:val="00EB6D5F"/>
    <w:rsid w:val="00EB6F0B"/>
    <w:rsid w:val="00EB7801"/>
    <w:rsid w:val="00EB7D53"/>
    <w:rsid w:val="00EB7DD1"/>
    <w:rsid w:val="00EB7FBD"/>
    <w:rsid w:val="00EC0F04"/>
    <w:rsid w:val="00EC14CB"/>
    <w:rsid w:val="00EC188E"/>
    <w:rsid w:val="00EC2097"/>
    <w:rsid w:val="00EC2C2D"/>
    <w:rsid w:val="00EC30F8"/>
    <w:rsid w:val="00EC371E"/>
    <w:rsid w:val="00EC3DF5"/>
    <w:rsid w:val="00EC3DFE"/>
    <w:rsid w:val="00EC3E7D"/>
    <w:rsid w:val="00EC4380"/>
    <w:rsid w:val="00EC61C4"/>
    <w:rsid w:val="00EC6666"/>
    <w:rsid w:val="00EC6877"/>
    <w:rsid w:val="00EC6D1C"/>
    <w:rsid w:val="00EC6DFC"/>
    <w:rsid w:val="00EC6EEA"/>
    <w:rsid w:val="00EC712E"/>
    <w:rsid w:val="00EC722A"/>
    <w:rsid w:val="00EC7FC4"/>
    <w:rsid w:val="00ED0632"/>
    <w:rsid w:val="00ED0FF1"/>
    <w:rsid w:val="00ED141B"/>
    <w:rsid w:val="00ED1D5F"/>
    <w:rsid w:val="00ED1D63"/>
    <w:rsid w:val="00ED21D8"/>
    <w:rsid w:val="00ED3CCE"/>
    <w:rsid w:val="00ED434E"/>
    <w:rsid w:val="00ED45F0"/>
    <w:rsid w:val="00ED4A75"/>
    <w:rsid w:val="00ED5271"/>
    <w:rsid w:val="00ED5B2C"/>
    <w:rsid w:val="00ED7768"/>
    <w:rsid w:val="00ED79D7"/>
    <w:rsid w:val="00ED79EA"/>
    <w:rsid w:val="00ED7A21"/>
    <w:rsid w:val="00EE0DE2"/>
    <w:rsid w:val="00EE1E5E"/>
    <w:rsid w:val="00EE2610"/>
    <w:rsid w:val="00EE3C42"/>
    <w:rsid w:val="00EE3CEC"/>
    <w:rsid w:val="00EE3E1F"/>
    <w:rsid w:val="00EE4653"/>
    <w:rsid w:val="00EE4A0E"/>
    <w:rsid w:val="00EE4E9A"/>
    <w:rsid w:val="00EE533F"/>
    <w:rsid w:val="00EE609D"/>
    <w:rsid w:val="00EE65A3"/>
    <w:rsid w:val="00EE6BDE"/>
    <w:rsid w:val="00EE73AD"/>
    <w:rsid w:val="00EE7885"/>
    <w:rsid w:val="00EE7FFC"/>
    <w:rsid w:val="00EF0C01"/>
    <w:rsid w:val="00EF438B"/>
    <w:rsid w:val="00EF4E21"/>
    <w:rsid w:val="00EF5487"/>
    <w:rsid w:val="00EF5D4A"/>
    <w:rsid w:val="00EF63DE"/>
    <w:rsid w:val="00EF6721"/>
    <w:rsid w:val="00EF6963"/>
    <w:rsid w:val="00EF6978"/>
    <w:rsid w:val="00EF6B5D"/>
    <w:rsid w:val="00EF736A"/>
    <w:rsid w:val="00EF7D53"/>
    <w:rsid w:val="00EF7E85"/>
    <w:rsid w:val="00F014A1"/>
    <w:rsid w:val="00F016F7"/>
    <w:rsid w:val="00F0184B"/>
    <w:rsid w:val="00F037E1"/>
    <w:rsid w:val="00F04471"/>
    <w:rsid w:val="00F04752"/>
    <w:rsid w:val="00F06145"/>
    <w:rsid w:val="00F067D9"/>
    <w:rsid w:val="00F06DCC"/>
    <w:rsid w:val="00F0701D"/>
    <w:rsid w:val="00F120A7"/>
    <w:rsid w:val="00F128BD"/>
    <w:rsid w:val="00F12BC7"/>
    <w:rsid w:val="00F135F0"/>
    <w:rsid w:val="00F13CE3"/>
    <w:rsid w:val="00F13D18"/>
    <w:rsid w:val="00F15B29"/>
    <w:rsid w:val="00F15C8C"/>
    <w:rsid w:val="00F15E02"/>
    <w:rsid w:val="00F162CE"/>
    <w:rsid w:val="00F1650F"/>
    <w:rsid w:val="00F16E54"/>
    <w:rsid w:val="00F17AB7"/>
    <w:rsid w:val="00F17D12"/>
    <w:rsid w:val="00F2043C"/>
    <w:rsid w:val="00F204A5"/>
    <w:rsid w:val="00F205DD"/>
    <w:rsid w:val="00F20FFA"/>
    <w:rsid w:val="00F21005"/>
    <w:rsid w:val="00F213F7"/>
    <w:rsid w:val="00F227FE"/>
    <w:rsid w:val="00F2407F"/>
    <w:rsid w:val="00F265CF"/>
    <w:rsid w:val="00F26C5D"/>
    <w:rsid w:val="00F26D16"/>
    <w:rsid w:val="00F27739"/>
    <w:rsid w:val="00F301CE"/>
    <w:rsid w:val="00F31AB7"/>
    <w:rsid w:val="00F32E20"/>
    <w:rsid w:val="00F32E42"/>
    <w:rsid w:val="00F3321E"/>
    <w:rsid w:val="00F34269"/>
    <w:rsid w:val="00F35275"/>
    <w:rsid w:val="00F353DF"/>
    <w:rsid w:val="00F358AF"/>
    <w:rsid w:val="00F36965"/>
    <w:rsid w:val="00F37172"/>
    <w:rsid w:val="00F37449"/>
    <w:rsid w:val="00F3D6CC"/>
    <w:rsid w:val="00F400E0"/>
    <w:rsid w:val="00F40416"/>
    <w:rsid w:val="00F4075D"/>
    <w:rsid w:val="00F42E77"/>
    <w:rsid w:val="00F450C2"/>
    <w:rsid w:val="00F453DB"/>
    <w:rsid w:val="00F45E9B"/>
    <w:rsid w:val="00F45FC3"/>
    <w:rsid w:val="00F4645B"/>
    <w:rsid w:val="00F472B2"/>
    <w:rsid w:val="00F50056"/>
    <w:rsid w:val="00F50EFC"/>
    <w:rsid w:val="00F515AC"/>
    <w:rsid w:val="00F51E61"/>
    <w:rsid w:val="00F52EF4"/>
    <w:rsid w:val="00F547E0"/>
    <w:rsid w:val="00F55751"/>
    <w:rsid w:val="00F56362"/>
    <w:rsid w:val="00F56658"/>
    <w:rsid w:val="00F56674"/>
    <w:rsid w:val="00F56D37"/>
    <w:rsid w:val="00F572CB"/>
    <w:rsid w:val="00F61793"/>
    <w:rsid w:val="00F618C8"/>
    <w:rsid w:val="00F61BFE"/>
    <w:rsid w:val="00F62793"/>
    <w:rsid w:val="00F635DA"/>
    <w:rsid w:val="00F63C3D"/>
    <w:rsid w:val="00F65045"/>
    <w:rsid w:val="00F6642F"/>
    <w:rsid w:val="00F66B40"/>
    <w:rsid w:val="00F67F1D"/>
    <w:rsid w:val="00F67F8E"/>
    <w:rsid w:val="00F70F56"/>
    <w:rsid w:val="00F717E2"/>
    <w:rsid w:val="00F719B6"/>
    <w:rsid w:val="00F71A4F"/>
    <w:rsid w:val="00F72269"/>
    <w:rsid w:val="00F72370"/>
    <w:rsid w:val="00F7398A"/>
    <w:rsid w:val="00F743E1"/>
    <w:rsid w:val="00F74E31"/>
    <w:rsid w:val="00F76A2C"/>
    <w:rsid w:val="00F76BF1"/>
    <w:rsid w:val="00F77122"/>
    <w:rsid w:val="00F7724C"/>
    <w:rsid w:val="00F807D7"/>
    <w:rsid w:val="00F80B8D"/>
    <w:rsid w:val="00F812DB"/>
    <w:rsid w:val="00F816D5"/>
    <w:rsid w:val="00F81EC4"/>
    <w:rsid w:val="00F8203C"/>
    <w:rsid w:val="00F82A96"/>
    <w:rsid w:val="00F82AD1"/>
    <w:rsid w:val="00F83A61"/>
    <w:rsid w:val="00F83C4D"/>
    <w:rsid w:val="00F856AE"/>
    <w:rsid w:val="00F858F5"/>
    <w:rsid w:val="00F8617E"/>
    <w:rsid w:val="00F86E3B"/>
    <w:rsid w:val="00F87208"/>
    <w:rsid w:val="00F87D7B"/>
    <w:rsid w:val="00F87ED5"/>
    <w:rsid w:val="00F909CD"/>
    <w:rsid w:val="00F91395"/>
    <w:rsid w:val="00F921FF"/>
    <w:rsid w:val="00F930C2"/>
    <w:rsid w:val="00F93261"/>
    <w:rsid w:val="00F93F06"/>
    <w:rsid w:val="00F941B7"/>
    <w:rsid w:val="00F942EE"/>
    <w:rsid w:val="00F94415"/>
    <w:rsid w:val="00F951C7"/>
    <w:rsid w:val="00F958E5"/>
    <w:rsid w:val="00F95A5C"/>
    <w:rsid w:val="00F96480"/>
    <w:rsid w:val="00F96678"/>
    <w:rsid w:val="00F96C77"/>
    <w:rsid w:val="00F972E6"/>
    <w:rsid w:val="00F97754"/>
    <w:rsid w:val="00F97A5E"/>
    <w:rsid w:val="00F97AC6"/>
    <w:rsid w:val="00FA0D4C"/>
    <w:rsid w:val="00FA142D"/>
    <w:rsid w:val="00FA282F"/>
    <w:rsid w:val="00FA49A5"/>
    <w:rsid w:val="00FA703A"/>
    <w:rsid w:val="00FA7E07"/>
    <w:rsid w:val="00FB08C8"/>
    <w:rsid w:val="00FB11AE"/>
    <w:rsid w:val="00FB17B8"/>
    <w:rsid w:val="00FB1C28"/>
    <w:rsid w:val="00FB24A1"/>
    <w:rsid w:val="00FB2D6C"/>
    <w:rsid w:val="00FB30B0"/>
    <w:rsid w:val="00FB3E04"/>
    <w:rsid w:val="00FB42DE"/>
    <w:rsid w:val="00FB46A9"/>
    <w:rsid w:val="00FB58D6"/>
    <w:rsid w:val="00FB6C1F"/>
    <w:rsid w:val="00FB6E9D"/>
    <w:rsid w:val="00FB7222"/>
    <w:rsid w:val="00FB7BE2"/>
    <w:rsid w:val="00FC025D"/>
    <w:rsid w:val="00FC08E8"/>
    <w:rsid w:val="00FC0C35"/>
    <w:rsid w:val="00FC14CE"/>
    <w:rsid w:val="00FC2005"/>
    <w:rsid w:val="00FC204B"/>
    <w:rsid w:val="00FC2164"/>
    <w:rsid w:val="00FC2443"/>
    <w:rsid w:val="00FC2E02"/>
    <w:rsid w:val="00FC397D"/>
    <w:rsid w:val="00FC3A73"/>
    <w:rsid w:val="00FC4D07"/>
    <w:rsid w:val="00FC4EDF"/>
    <w:rsid w:val="00FC55A8"/>
    <w:rsid w:val="00FC56A1"/>
    <w:rsid w:val="00FC72E1"/>
    <w:rsid w:val="00FC7D91"/>
    <w:rsid w:val="00FC7E8C"/>
    <w:rsid w:val="00FD0B0A"/>
    <w:rsid w:val="00FD0D0C"/>
    <w:rsid w:val="00FD15E9"/>
    <w:rsid w:val="00FD1DA0"/>
    <w:rsid w:val="00FD2B03"/>
    <w:rsid w:val="00FD2FCE"/>
    <w:rsid w:val="00FD3304"/>
    <w:rsid w:val="00FD3489"/>
    <w:rsid w:val="00FD39BA"/>
    <w:rsid w:val="00FD3F66"/>
    <w:rsid w:val="00FD50A8"/>
    <w:rsid w:val="00FD5490"/>
    <w:rsid w:val="00FD613A"/>
    <w:rsid w:val="00FD703F"/>
    <w:rsid w:val="00FD76DD"/>
    <w:rsid w:val="00FE068A"/>
    <w:rsid w:val="00FE09BC"/>
    <w:rsid w:val="00FE0D2A"/>
    <w:rsid w:val="00FE0E4F"/>
    <w:rsid w:val="00FE2258"/>
    <w:rsid w:val="00FE2420"/>
    <w:rsid w:val="00FE2463"/>
    <w:rsid w:val="00FE29ED"/>
    <w:rsid w:val="00FE2B92"/>
    <w:rsid w:val="00FE2E6F"/>
    <w:rsid w:val="00FE3300"/>
    <w:rsid w:val="00FE3792"/>
    <w:rsid w:val="00FE42BF"/>
    <w:rsid w:val="00FE436C"/>
    <w:rsid w:val="00FE43E3"/>
    <w:rsid w:val="00FE4583"/>
    <w:rsid w:val="00FE58D8"/>
    <w:rsid w:val="00FE601B"/>
    <w:rsid w:val="00FE67F1"/>
    <w:rsid w:val="00FE6C6E"/>
    <w:rsid w:val="00FE6E1C"/>
    <w:rsid w:val="00FE7FA2"/>
    <w:rsid w:val="00FF1691"/>
    <w:rsid w:val="00FF16B5"/>
    <w:rsid w:val="00FF1E66"/>
    <w:rsid w:val="00FF2B0F"/>
    <w:rsid w:val="00FF2B96"/>
    <w:rsid w:val="00FF2EA5"/>
    <w:rsid w:val="00FF3266"/>
    <w:rsid w:val="00FF36A9"/>
    <w:rsid w:val="00FF55F6"/>
    <w:rsid w:val="00FF6140"/>
    <w:rsid w:val="00FF639F"/>
    <w:rsid w:val="00FF69F7"/>
    <w:rsid w:val="00FF6D0F"/>
    <w:rsid w:val="00FF6FC5"/>
    <w:rsid w:val="00FF78B1"/>
    <w:rsid w:val="023097B4"/>
    <w:rsid w:val="02C18836"/>
    <w:rsid w:val="02DDD0C0"/>
    <w:rsid w:val="03460897"/>
    <w:rsid w:val="0369488E"/>
    <w:rsid w:val="03A74635"/>
    <w:rsid w:val="04495B39"/>
    <w:rsid w:val="050254FF"/>
    <w:rsid w:val="05A77D81"/>
    <w:rsid w:val="0602DCF5"/>
    <w:rsid w:val="06760514"/>
    <w:rsid w:val="06948E1B"/>
    <w:rsid w:val="07094513"/>
    <w:rsid w:val="070C18D4"/>
    <w:rsid w:val="084F4855"/>
    <w:rsid w:val="088FACB8"/>
    <w:rsid w:val="09694B2F"/>
    <w:rsid w:val="0A4A66F2"/>
    <w:rsid w:val="0AB251E5"/>
    <w:rsid w:val="0C36FC97"/>
    <w:rsid w:val="0C5021E2"/>
    <w:rsid w:val="0CBF83CD"/>
    <w:rsid w:val="0D8A14D8"/>
    <w:rsid w:val="0D8DF04E"/>
    <w:rsid w:val="0E6231F0"/>
    <w:rsid w:val="0EDB7F94"/>
    <w:rsid w:val="0EF4129F"/>
    <w:rsid w:val="0F298DDE"/>
    <w:rsid w:val="0F2A89FD"/>
    <w:rsid w:val="0F3DF1D3"/>
    <w:rsid w:val="0F5F5AC0"/>
    <w:rsid w:val="0FB8E6D7"/>
    <w:rsid w:val="1049E9AC"/>
    <w:rsid w:val="10D14A29"/>
    <w:rsid w:val="1140F505"/>
    <w:rsid w:val="1158B1FA"/>
    <w:rsid w:val="11648303"/>
    <w:rsid w:val="11A481C4"/>
    <w:rsid w:val="1228B825"/>
    <w:rsid w:val="1293428B"/>
    <w:rsid w:val="13B9DC10"/>
    <w:rsid w:val="13EE9E42"/>
    <w:rsid w:val="14B3B790"/>
    <w:rsid w:val="1536B922"/>
    <w:rsid w:val="1537090B"/>
    <w:rsid w:val="15730B45"/>
    <w:rsid w:val="1576BE5B"/>
    <w:rsid w:val="159FF29F"/>
    <w:rsid w:val="15B5924C"/>
    <w:rsid w:val="15E0E526"/>
    <w:rsid w:val="15F7063F"/>
    <w:rsid w:val="17B1B380"/>
    <w:rsid w:val="17E4AEAD"/>
    <w:rsid w:val="17F13904"/>
    <w:rsid w:val="18F29304"/>
    <w:rsid w:val="197D9FB5"/>
    <w:rsid w:val="1AC0919E"/>
    <w:rsid w:val="1AFA48AD"/>
    <w:rsid w:val="1BDF13A4"/>
    <w:rsid w:val="1BE5FFDF"/>
    <w:rsid w:val="1C65F363"/>
    <w:rsid w:val="1C6C9AC2"/>
    <w:rsid w:val="1CC0634E"/>
    <w:rsid w:val="1CF302C0"/>
    <w:rsid w:val="1D530C56"/>
    <w:rsid w:val="1DDB49CD"/>
    <w:rsid w:val="1EF414AC"/>
    <w:rsid w:val="1F804C01"/>
    <w:rsid w:val="1FA5E652"/>
    <w:rsid w:val="1FB835FE"/>
    <w:rsid w:val="1FE43341"/>
    <w:rsid w:val="1FF786EF"/>
    <w:rsid w:val="20244A8E"/>
    <w:rsid w:val="20599844"/>
    <w:rsid w:val="2068AA05"/>
    <w:rsid w:val="2095BA92"/>
    <w:rsid w:val="20ABC200"/>
    <w:rsid w:val="20B1470E"/>
    <w:rsid w:val="20F00732"/>
    <w:rsid w:val="21530C96"/>
    <w:rsid w:val="216B5D60"/>
    <w:rsid w:val="21E81633"/>
    <w:rsid w:val="224BABC9"/>
    <w:rsid w:val="226E8719"/>
    <w:rsid w:val="227B080D"/>
    <w:rsid w:val="22D24B32"/>
    <w:rsid w:val="23CE37E8"/>
    <w:rsid w:val="25510E9D"/>
    <w:rsid w:val="25A486FE"/>
    <w:rsid w:val="25C70666"/>
    <w:rsid w:val="25D0FB30"/>
    <w:rsid w:val="25E8A391"/>
    <w:rsid w:val="26139E3D"/>
    <w:rsid w:val="261BA50D"/>
    <w:rsid w:val="26607AE2"/>
    <w:rsid w:val="26981E9E"/>
    <w:rsid w:val="27D82D93"/>
    <w:rsid w:val="2852C5D1"/>
    <w:rsid w:val="2882A288"/>
    <w:rsid w:val="2898E62B"/>
    <w:rsid w:val="28ABF71A"/>
    <w:rsid w:val="295F1844"/>
    <w:rsid w:val="29AF5875"/>
    <w:rsid w:val="2AB062EA"/>
    <w:rsid w:val="2B3E7AAE"/>
    <w:rsid w:val="2B49305C"/>
    <w:rsid w:val="2B4EA7CD"/>
    <w:rsid w:val="2BFF1901"/>
    <w:rsid w:val="2C0F7ADC"/>
    <w:rsid w:val="2C32ECAA"/>
    <w:rsid w:val="2C9F8666"/>
    <w:rsid w:val="2DA159A9"/>
    <w:rsid w:val="2DEACAA9"/>
    <w:rsid w:val="2E2F5E19"/>
    <w:rsid w:val="2E4BB83C"/>
    <w:rsid w:val="2F4DBEC5"/>
    <w:rsid w:val="304AAEC9"/>
    <w:rsid w:val="30A12AA1"/>
    <w:rsid w:val="30BA5DE6"/>
    <w:rsid w:val="30C166DE"/>
    <w:rsid w:val="32359471"/>
    <w:rsid w:val="32D38839"/>
    <w:rsid w:val="33077FFE"/>
    <w:rsid w:val="33467013"/>
    <w:rsid w:val="344DF663"/>
    <w:rsid w:val="349F69E6"/>
    <w:rsid w:val="34B29CFB"/>
    <w:rsid w:val="357C4DC6"/>
    <w:rsid w:val="3584D4C6"/>
    <w:rsid w:val="35CD91F6"/>
    <w:rsid w:val="35D2AA9A"/>
    <w:rsid w:val="36D8513C"/>
    <w:rsid w:val="36DFD920"/>
    <w:rsid w:val="36DFE31E"/>
    <w:rsid w:val="379B1FE0"/>
    <w:rsid w:val="37E15933"/>
    <w:rsid w:val="383004FE"/>
    <w:rsid w:val="38479D58"/>
    <w:rsid w:val="387181A0"/>
    <w:rsid w:val="38E69DC2"/>
    <w:rsid w:val="39413174"/>
    <w:rsid w:val="3A6E3E97"/>
    <w:rsid w:val="3A900EAE"/>
    <w:rsid w:val="3AE87AA2"/>
    <w:rsid w:val="3B63C114"/>
    <w:rsid w:val="3BE1DB46"/>
    <w:rsid w:val="3C133524"/>
    <w:rsid w:val="3C8041C6"/>
    <w:rsid w:val="3CD6E1D5"/>
    <w:rsid w:val="3CE9FAEC"/>
    <w:rsid w:val="3DAC3DD1"/>
    <w:rsid w:val="3DAEE21D"/>
    <w:rsid w:val="3DDAC69A"/>
    <w:rsid w:val="3DE07326"/>
    <w:rsid w:val="3E045A76"/>
    <w:rsid w:val="3E69CDA9"/>
    <w:rsid w:val="3F383421"/>
    <w:rsid w:val="3F88535F"/>
    <w:rsid w:val="3FEC6B18"/>
    <w:rsid w:val="4014951F"/>
    <w:rsid w:val="406F4610"/>
    <w:rsid w:val="40A5B9D5"/>
    <w:rsid w:val="40E328E0"/>
    <w:rsid w:val="411B8578"/>
    <w:rsid w:val="4183352D"/>
    <w:rsid w:val="41883B79"/>
    <w:rsid w:val="4237FF7C"/>
    <w:rsid w:val="429A6C4B"/>
    <w:rsid w:val="42CC5F2E"/>
    <w:rsid w:val="431AB96E"/>
    <w:rsid w:val="431F385F"/>
    <w:rsid w:val="43276C51"/>
    <w:rsid w:val="43364948"/>
    <w:rsid w:val="43ABE94C"/>
    <w:rsid w:val="4425DD5B"/>
    <w:rsid w:val="44EAF4F0"/>
    <w:rsid w:val="458D3806"/>
    <w:rsid w:val="45A5425C"/>
    <w:rsid w:val="463D14F6"/>
    <w:rsid w:val="4642843F"/>
    <w:rsid w:val="46EF85BB"/>
    <w:rsid w:val="47DE54A0"/>
    <w:rsid w:val="4831C1AC"/>
    <w:rsid w:val="4947C169"/>
    <w:rsid w:val="49532A26"/>
    <w:rsid w:val="4A09514F"/>
    <w:rsid w:val="4A2A4E23"/>
    <w:rsid w:val="4A7C7D5C"/>
    <w:rsid w:val="4ABB1B57"/>
    <w:rsid w:val="4ACD59E8"/>
    <w:rsid w:val="4B0B0F5F"/>
    <w:rsid w:val="4B4FA1A7"/>
    <w:rsid w:val="4BA48A84"/>
    <w:rsid w:val="4BF38ED6"/>
    <w:rsid w:val="4C0A540C"/>
    <w:rsid w:val="4CADD127"/>
    <w:rsid w:val="4D49E462"/>
    <w:rsid w:val="4DDB9D93"/>
    <w:rsid w:val="4E1425EE"/>
    <w:rsid w:val="4E972101"/>
    <w:rsid w:val="4F572DDE"/>
    <w:rsid w:val="4F9123CB"/>
    <w:rsid w:val="4FE3EB4B"/>
    <w:rsid w:val="5047A523"/>
    <w:rsid w:val="50F105F7"/>
    <w:rsid w:val="516A77CD"/>
    <w:rsid w:val="517D136A"/>
    <w:rsid w:val="51876D85"/>
    <w:rsid w:val="5285DA72"/>
    <w:rsid w:val="5347D98B"/>
    <w:rsid w:val="537B16B7"/>
    <w:rsid w:val="5504733C"/>
    <w:rsid w:val="55747EA5"/>
    <w:rsid w:val="559B3B65"/>
    <w:rsid w:val="55BE0C64"/>
    <w:rsid w:val="55E9531C"/>
    <w:rsid w:val="561A514B"/>
    <w:rsid w:val="564E7AB6"/>
    <w:rsid w:val="56F9FF27"/>
    <w:rsid w:val="570F105D"/>
    <w:rsid w:val="5725C24E"/>
    <w:rsid w:val="574CF8B0"/>
    <w:rsid w:val="5793E383"/>
    <w:rsid w:val="57D5FC1B"/>
    <w:rsid w:val="582DADBF"/>
    <w:rsid w:val="58418A95"/>
    <w:rsid w:val="58720AE9"/>
    <w:rsid w:val="59339FAC"/>
    <w:rsid w:val="597289C2"/>
    <w:rsid w:val="59D904D8"/>
    <w:rsid w:val="5A2FCE16"/>
    <w:rsid w:val="5A3110FD"/>
    <w:rsid w:val="5A6AE361"/>
    <w:rsid w:val="5A866752"/>
    <w:rsid w:val="5A9C4182"/>
    <w:rsid w:val="5B578B3D"/>
    <w:rsid w:val="5B6B86ED"/>
    <w:rsid w:val="5BAC5424"/>
    <w:rsid w:val="5BD57E28"/>
    <w:rsid w:val="5BF5C5D7"/>
    <w:rsid w:val="5C08B681"/>
    <w:rsid w:val="5DA68582"/>
    <w:rsid w:val="5DBD303E"/>
    <w:rsid w:val="5E676505"/>
    <w:rsid w:val="5F1F87C3"/>
    <w:rsid w:val="600DE43A"/>
    <w:rsid w:val="607C1FA7"/>
    <w:rsid w:val="614C4C2F"/>
    <w:rsid w:val="618E9AAA"/>
    <w:rsid w:val="61DF70C4"/>
    <w:rsid w:val="61F119B1"/>
    <w:rsid w:val="629B4C7F"/>
    <w:rsid w:val="636B93A7"/>
    <w:rsid w:val="638BE5B9"/>
    <w:rsid w:val="638E4BD3"/>
    <w:rsid w:val="63E2818E"/>
    <w:rsid w:val="64465F79"/>
    <w:rsid w:val="64B7ECB8"/>
    <w:rsid w:val="6546A82D"/>
    <w:rsid w:val="657D6D38"/>
    <w:rsid w:val="65B5D27C"/>
    <w:rsid w:val="66161650"/>
    <w:rsid w:val="6621FBCA"/>
    <w:rsid w:val="666D6630"/>
    <w:rsid w:val="672F4C20"/>
    <w:rsid w:val="67329BEC"/>
    <w:rsid w:val="6749F9C1"/>
    <w:rsid w:val="682E92A7"/>
    <w:rsid w:val="6834AA9A"/>
    <w:rsid w:val="6891FCE5"/>
    <w:rsid w:val="68CB8FCF"/>
    <w:rsid w:val="68D0BC0F"/>
    <w:rsid w:val="68DDAAC6"/>
    <w:rsid w:val="691AB52A"/>
    <w:rsid w:val="6947E482"/>
    <w:rsid w:val="6965EA39"/>
    <w:rsid w:val="698A054F"/>
    <w:rsid w:val="69BDFD3B"/>
    <w:rsid w:val="6A09E496"/>
    <w:rsid w:val="6A140C79"/>
    <w:rsid w:val="6A37FED0"/>
    <w:rsid w:val="6BD349F1"/>
    <w:rsid w:val="6C35BD93"/>
    <w:rsid w:val="6C4B8D38"/>
    <w:rsid w:val="6C678CD2"/>
    <w:rsid w:val="6CCE66D6"/>
    <w:rsid w:val="6CD70924"/>
    <w:rsid w:val="6CF7D3A4"/>
    <w:rsid w:val="6D0F4D2A"/>
    <w:rsid w:val="6E36D1E4"/>
    <w:rsid w:val="6F4AE75A"/>
    <w:rsid w:val="6F88CCFF"/>
    <w:rsid w:val="6F8A3107"/>
    <w:rsid w:val="7080A400"/>
    <w:rsid w:val="709BFA69"/>
    <w:rsid w:val="714D67BC"/>
    <w:rsid w:val="719FFC14"/>
    <w:rsid w:val="723B910B"/>
    <w:rsid w:val="72940696"/>
    <w:rsid w:val="729A5496"/>
    <w:rsid w:val="72EC053C"/>
    <w:rsid w:val="7318F580"/>
    <w:rsid w:val="752DA366"/>
    <w:rsid w:val="7558B6C8"/>
    <w:rsid w:val="75C383DC"/>
    <w:rsid w:val="760F50F2"/>
    <w:rsid w:val="7653013B"/>
    <w:rsid w:val="77C82D33"/>
    <w:rsid w:val="782A65CE"/>
    <w:rsid w:val="78C55603"/>
    <w:rsid w:val="78F93A80"/>
    <w:rsid w:val="794B8AEA"/>
    <w:rsid w:val="79BD2E4F"/>
    <w:rsid w:val="7A1038E7"/>
    <w:rsid w:val="7C91D6CD"/>
    <w:rsid w:val="7CB66FB2"/>
    <w:rsid w:val="7D34F9CF"/>
    <w:rsid w:val="7E6C15EF"/>
    <w:rsid w:val="7E9D0779"/>
    <w:rsid w:val="7E9DCCFD"/>
    <w:rsid w:val="7ED0CA30"/>
    <w:rsid w:val="7EEAB8B1"/>
    <w:rsid w:val="7F13056C"/>
    <w:rsid w:val="7F5ABE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B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FD"/>
  </w:style>
  <w:style w:type="paragraph" w:styleId="Heading1">
    <w:name w:val="heading 1"/>
    <w:basedOn w:val="Normal"/>
    <w:next w:val="Normal"/>
    <w:link w:val="Heading1Char"/>
    <w:autoRedefine/>
    <w:uiPriority w:val="9"/>
    <w:qFormat/>
    <w:rsid w:val="00101A7A"/>
    <w:pPr>
      <w:keepNext/>
      <w:keepLines/>
      <w:numPr>
        <w:numId w:val="19"/>
      </w:numPr>
      <w:spacing w:before="240"/>
      <w:ind w:left="567" w:hanging="578"/>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94778"/>
    <w:pPr>
      <w:keepNext/>
      <w:keepLines/>
      <w:numPr>
        <w:ilvl w:val="1"/>
        <w:numId w:val="19"/>
      </w:numPr>
      <w:spacing w:before="160"/>
      <w:ind w:left="426" w:hanging="426"/>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2166"/>
    <w:pPr>
      <w:keepNext/>
      <w:keepLines/>
      <w:spacing w:before="40" w:after="0" w:line="240" w:lineRule="auto"/>
      <w:outlineLvl w:val="2"/>
    </w:pPr>
    <w:rPr>
      <w:rFonts w:asciiTheme="majorHAnsi" w:eastAsiaTheme="majorEastAsia" w:hAnsiTheme="majorHAnsi" w:cstheme="majorBidi"/>
      <w:color w:val="44546A" w:themeColor="text2"/>
      <w:kern w:val="0"/>
      <w:sz w:val="24"/>
      <w:szCs w:val="24"/>
      <w14:ligatures w14:val="none"/>
    </w:rPr>
  </w:style>
  <w:style w:type="paragraph" w:styleId="Heading4">
    <w:name w:val="heading 4"/>
    <w:basedOn w:val="Normal"/>
    <w:link w:val="Heading4Char"/>
    <w:uiPriority w:val="9"/>
    <w:unhideWhenUsed/>
    <w:qFormat/>
    <w:rsid w:val="000B3D24"/>
    <w:pPr>
      <w:widowControl w:val="0"/>
      <w:autoSpaceDE w:val="0"/>
      <w:autoSpaceDN w:val="0"/>
      <w:spacing w:before="31" w:after="0" w:line="240" w:lineRule="auto"/>
      <w:jc w:val="right"/>
      <w:outlineLvl w:val="3"/>
    </w:pPr>
    <w:rPr>
      <w:rFonts w:ascii="Calibri" w:eastAsia="Calibri" w:hAnsi="Calibri" w:cs="Calibri"/>
      <w:b/>
      <w:bCs/>
      <w:kern w:val="0"/>
      <w:sz w:val="24"/>
      <w:szCs w:val="24"/>
      <w:lang w:val="en-US"/>
    </w:rPr>
  </w:style>
  <w:style w:type="paragraph" w:styleId="Heading5">
    <w:name w:val="heading 5"/>
    <w:basedOn w:val="Normal"/>
    <w:link w:val="Heading5Char"/>
    <w:uiPriority w:val="9"/>
    <w:unhideWhenUsed/>
    <w:qFormat/>
    <w:rsid w:val="000B3D24"/>
    <w:pPr>
      <w:widowControl w:val="0"/>
      <w:autoSpaceDE w:val="0"/>
      <w:autoSpaceDN w:val="0"/>
      <w:spacing w:after="0" w:line="274" w:lineRule="exact"/>
      <w:ind w:left="1244"/>
      <w:outlineLvl w:val="4"/>
    </w:pPr>
    <w:rPr>
      <w:rFonts w:ascii="Times New Roman" w:eastAsia="Times New Roman" w:hAnsi="Times New Roman" w:cs="Times New Roman"/>
      <w:b/>
      <w:bCs/>
      <w:kern w:val="0"/>
      <w:sz w:val="24"/>
      <w:szCs w:val="24"/>
      <w:lang w:val="en-US"/>
    </w:rPr>
  </w:style>
  <w:style w:type="paragraph" w:styleId="Heading6">
    <w:name w:val="heading 6"/>
    <w:basedOn w:val="Normal"/>
    <w:link w:val="Heading6Char"/>
    <w:uiPriority w:val="9"/>
    <w:unhideWhenUsed/>
    <w:qFormat/>
    <w:rsid w:val="000B3D24"/>
    <w:pPr>
      <w:widowControl w:val="0"/>
      <w:autoSpaceDE w:val="0"/>
      <w:autoSpaceDN w:val="0"/>
      <w:spacing w:after="0" w:line="240" w:lineRule="auto"/>
      <w:ind w:left="1244" w:right="960"/>
      <w:outlineLvl w:val="5"/>
    </w:pPr>
    <w:rPr>
      <w:rFonts w:ascii="Times New Roman" w:eastAsia="Times New Roman" w:hAnsi="Times New Roman" w:cs="Times New Roman"/>
      <w:b/>
      <w:bCs/>
      <w:i/>
      <w:iCs/>
      <w:kern w:val="0"/>
      <w:sz w:val="24"/>
      <w:szCs w:val="24"/>
      <w:lang w:val="en-US"/>
    </w:rPr>
  </w:style>
  <w:style w:type="paragraph" w:styleId="Heading7">
    <w:name w:val="heading 7"/>
    <w:basedOn w:val="Normal"/>
    <w:next w:val="Normal"/>
    <w:link w:val="Heading7Char"/>
    <w:uiPriority w:val="9"/>
    <w:unhideWhenUsed/>
    <w:qFormat/>
    <w:rsid w:val="008A2166"/>
    <w:pPr>
      <w:keepNext/>
      <w:keepLines/>
      <w:spacing w:before="40" w:after="0" w:line="264" w:lineRule="auto"/>
      <w:outlineLvl w:val="6"/>
    </w:pPr>
    <w:rPr>
      <w:rFonts w:asciiTheme="majorHAnsi" w:eastAsiaTheme="majorEastAsia" w:hAnsiTheme="majorHAnsi" w:cstheme="majorBidi"/>
      <w:i/>
      <w:iCs/>
      <w:color w:val="1F3864" w:themeColor="accent1" w:themeShade="80"/>
      <w:kern w:val="0"/>
      <w:sz w:val="21"/>
      <w:szCs w:val="21"/>
      <w14:ligatures w14:val="none"/>
    </w:rPr>
  </w:style>
  <w:style w:type="paragraph" w:styleId="Heading8">
    <w:name w:val="heading 8"/>
    <w:basedOn w:val="Normal"/>
    <w:next w:val="Normal"/>
    <w:link w:val="Heading8Char"/>
    <w:uiPriority w:val="9"/>
    <w:unhideWhenUsed/>
    <w:qFormat/>
    <w:rsid w:val="008A2166"/>
    <w:pPr>
      <w:keepNext/>
      <w:keepLines/>
      <w:spacing w:before="40" w:after="0" w:line="264" w:lineRule="auto"/>
      <w:outlineLvl w:val="7"/>
    </w:pPr>
    <w:rPr>
      <w:rFonts w:asciiTheme="majorHAnsi" w:eastAsiaTheme="majorEastAsia" w:hAnsiTheme="majorHAnsi" w:cstheme="majorBidi"/>
      <w:b/>
      <w:bCs/>
      <w:color w:val="44546A" w:themeColor="text2"/>
      <w:kern w:val="0"/>
      <w:sz w:val="20"/>
      <w:szCs w:val="20"/>
      <w14:ligatures w14:val="none"/>
    </w:rPr>
  </w:style>
  <w:style w:type="paragraph" w:styleId="Heading9">
    <w:name w:val="heading 9"/>
    <w:basedOn w:val="Normal"/>
    <w:next w:val="Normal"/>
    <w:link w:val="Heading9Char"/>
    <w:uiPriority w:val="9"/>
    <w:unhideWhenUsed/>
    <w:qFormat/>
    <w:rsid w:val="008A2166"/>
    <w:pPr>
      <w:keepNext/>
      <w:keepLines/>
      <w:spacing w:before="40" w:after="0" w:line="264" w:lineRule="auto"/>
      <w:outlineLvl w:val="8"/>
    </w:pPr>
    <w:rPr>
      <w:rFonts w:asciiTheme="majorHAnsi" w:eastAsiaTheme="majorEastAsia" w:hAnsiTheme="majorHAnsi" w:cstheme="majorBidi"/>
      <w:b/>
      <w:bCs/>
      <w:i/>
      <w:iCs/>
      <w:color w:val="44546A" w:themeColor="text2"/>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7D1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footnotereference">
    <w:name w:val="footnotereference"/>
    <w:basedOn w:val="DefaultParagraphFont"/>
    <w:rsid w:val="00F17D12"/>
  </w:style>
  <w:style w:type="paragraph" w:customStyle="1" w:styleId="default">
    <w:name w:val="default"/>
    <w:basedOn w:val="Normal"/>
    <w:rsid w:val="00F17D1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CommentReference">
    <w:name w:val="annotation reference"/>
    <w:basedOn w:val="DefaultParagraphFont"/>
    <w:uiPriority w:val="99"/>
    <w:semiHidden/>
    <w:unhideWhenUsed/>
    <w:rsid w:val="00922B38"/>
    <w:rPr>
      <w:sz w:val="16"/>
      <w:szCs w:val="16"/>
    </w:rPr>
  </w:style>
  <w:style w:type="paragraph" w:styleId="CommentText">
    <w:name w:val="annotation text"/>
    <w:basedOn w:val="Normal"/>
    <w:link w:val="CommentTextChar"/>
    <w:uiPriority w:val="99"/>
    <w:unhideWhenUsed/>
    <w:rsid w:val="00922B38"/>
    <w:pPr>
      <w:spacing w:after="200" w:line="240" w:lineRule="auto"/>
    </w:pPr>
    <w:rPr>
      <w:rFonts w:ascii="Arial" w:eastAsia="Calibri" w:hAnsi="Arial" w:cs="Times New Roman"/>
      <w:kern w:val="0"/>
      <w:sz w:val="20"/>
      <w:szCs w:val="20"/>
      <w14:ligatures w14:val="none"/>
    </w:rPr>
  </w:style>
  <w:style w:type="character" w:customStyle="1" w:styleId="CommentTextChar">
    <w:name w:val="Comment Text Char"/>
    <w:basedOn w:val="DefaultParagraphFont"/>
    <w:link w:val="CommentText"/>
    <w:uiPriority w:val="99"/>
    <w:rsid w:val="00922B38"/>
    <w:rPr>
      <w:rFonts w:ascii="Arial" w:eastAsia="Calibri" w:hAnsi="Arial" w:cs="Times New Roman"/>
      <w:kern w:val="0"/>
      <w:sz w:val="20"/>
      <w:szCs w:val="20"/>
      <w14:ligatures w14:val="none"/>
    </w:rPr>
  </w:style>
  <w:style w:type="paragraph" w:styleId="BodyText">
    <w:name w:val="Body Text"/>
    <w:basedOn w:val="Normal"/>
    <w:link w:val="BodyTextChar"/>
    <w:uiPriority w:val="1"/>
    <w:qFormat/>
    <w:rsid w:val="0042394E"/>
    <w:pPr>
      <w:widowControl w:val="0"/>
      <w:autoSpaceDE w:val="0"/>
      <w:autoSpaceDN w:val="0"/>
      <w:spacing w:after="0" w:line="240" w:lineRule="auto"/>
    </w:pPr>
    <w:rPr>
      <w:rFonts w:ascii="Calibri" w:eastAsia="Calibri" w:hAnsi="Calibri" w:cs="Calibri"/>
      <w:kern w:val="0"/>
      <w:sz w:val="24"/>
      <w:szCs w:val="24"/>
      <w:lang w:val="en-US"/>
    </w:rPr>
  </w:style>
  <w:style w:type="character" w:customStyle="1" w:styleId="BodyTextChar">
    <w:name w:val="Body Text Char"/>
    <w:basedOn w:val="DefaultParagraphFont"/>
    <w:link w:val="BodyText"/>
    <w:uiPriority w:val="1"/>
    <w:rsid w:val="0042394E"/>
    <w:rPr>
      <w:rFonts w:ascii="Calibri" w:eastAsia="Calibri" w:hAnsi="Calibri" w:cs="Calibri"/>
      <w:kern w:val="0"/>
      <w:sz w:val="24"/>
      <w:szCs w:val="24"/>
      <w:lang w:val="en-US"/>
    </w:rPr>
  </w:style>
  <w:style w:type="paragraph" w:customStyle="1" w:styleId="listparagraph">
    <w:name w:val="listparagraph"/>
    <w:basedOn w:val="Normal"/>
    <w:rsid w:val="00E1125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3E2906"/>
  </w:style>
  <w:style w:type="character" w:customStyle="1" w:styleId="eop">
    <w:name w:val="eop"/>
    <w:basedOn w:val="DefaultParagraphFont"/>
    <w:rsid w:val="003E2906"/>
  </w:style>
  <w:style w:type="paragraph" w:customStyle="1" w:styleId="paragraph">
    <w:name w:val="paragraph"/>
    <w:basedOn w:val="Normal"/>
    <w:rsid w:val="0090459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superscript">
    <w:name w:val="superscript"/>
    <w:basedOn w:val="DefaultParagraphFont"/>
    <w:rsid w:val="00904590"/>
  </w:style>
  <w:style w:type="paragraph" w:styleId="CommentSubject">
    <w:name w:val="annotation subject"/>
    <w:basedOn w:val="CommentText"/>
    <w:next w:val="CommentText"/>
    <w:link w:val="CommentSubjectChar"/>
    <w:uiPriority w:val="99"/>
    <w:semiHidden/>
    <w:unhideWhenUsed/>
    <w:rsid w:val="00C74B2E"/>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74B2E"/>
    <w:rPr>
      <w:rFonts w:ascii="Arial" w:eastAsia="Calibri" w:hAnsi="Arial" w:cs="Times New Roman"/>
      <w:b/>
      <w:bCs/>
      <w:kern w:val="0"/>
      <w:sz w:val="20"/>
      <w:szCs w:val="20"/>
      <w14:ligatures w14:val="none"/>
    </w:rPr>
  </w:style>
  <w:style w:type="paragraph" w:styleId="Revision">
    <w:name w:val="Revision"/>
    <w:hidden/>
    <w:uiPriority w:val="99"/>
    <w:semiHidden/>
    <w:rsid w:val="006325F4"/>
    <w:pPr>
      <w:spacing w:after="0" w:line="240" w:lineRule="auto"/>
    </w:pPr>
  </w:style>
  <w:style w:type="character" w:styleId="Hyperlink">
    <w:name w:val="Hyperlink"/>
    <w:basedOn w:val="DefaultParagraphFont"/>
    <w:uiPriority w:val="99"/>
    <w:unhideWhenUsed/>
    <w:rsid w:val="0032610B"/>
    <w:rPr>
      <w:color w:val="0563C1" w:themeColor="hyperlink"/>
      <w:u w:val="single"/>
    </w:rPr>
  </w:style>
  <w:style w:type="character" w:styleId="UnresolvedMention">
    <w:name w:val="Unresolved Mention"/>
    <w:basedOn w:val="DefaultParagraphFont"/>
    <w:uiPriority w:val="99"/>
    <w:semiHidden/>
    <w:unhideWhenUsed/>
    <w:rsid w:val="000A5E4B"/>
    <w:rPr>
      <w:color w:val="605E5C"/>
      <w:shd w:val="clear" w:color="auto" w:fill="E1DFDD"/>
    </w:rPr>
  </w:style>
  <w:style w:type="paragraph" w:styleId="FootnoteText">
    <w:name w:val="footnote text"/>
    <w:aliases w:val="Footnote ak"/>
    <w:basedOn w:val="Normal"/>
    <w:link w:val="FootnoteTextChar"/>
    <w:uiPriority w:val="99"/>
    <w:unhideWhenUsed/>
    <w:qFormat/>
    <w:rsid w:val="001B4E8A"/>
    <w:pPr>
      <w:spacing w:after="0" w:line="240" w:lineRule="auto"/>
    </w:pPr>
    <w:rPr>
      <w:sz w:val="20"/>
      <w:szCs w:val="20"/>
    </w:rPr>
  </w:style>
  <w:style w:type="character" w:customStyle="1" w:styleId="FootnoteTextChar">
    <w:name w:val="Footnote Text Char"/>
    <w:aliases w:val="Footnote ak Char"/>
    <w:basedOn w:val="DefaultParagraphFont"/>
    <w:link w:val="FootnoteText"/>
    <w:uiPriority w:val="99"/>
    <w:rsid w:val="001B4E8A"/>
    <w:rPr>
      <w:sz w:val="20"/>
      <w:szCs w:val="20"/>
    </w:rPr>
  </w:style>
  <w:style w:type="character" w:styleId="FootnoteReference0">
    <w:name w:val="footnote reference"/>
    <w:basedOn w:val="DefaultParagraphFont"/>
    <w:uiPriority w:val="99"/>
    <w:unhideWhenUsed/>
    <w:rsid w:val="001B4E8A"/>
    <w:rPr>
      <w:vertAlign w:val="superscript"/>
    </w:rPr>
  </w:style>
  <w:style w:type="paragraph" w:styleId="Header">
    <w:name w:val="header"/>
    <w:basedOn w:val="Normal"/>
    <w:link w:val="HeaderChar"/>
    <w:uiPriority w:val="99"/>
    <w:unhideWhenUsed/>
    <w:rsid w:val="00ED0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632"/>
  </w:style>
  <w:style w:type="paragraph" w:styleId="Footer">
    <w:name w:val="footer"/>
    <w:basedOn w:val="Normal"/>
    <w:link w:val="FooterChar"/>
    <w:uiPriority w:val="99"/>
    <w:unhideWhenUsed/>
    <w:rsid w:val="00ED0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632"/>
  </w:style>
  <w:style w:type="character" w:styleId="Mention">
    <w:name w:val="Mention"/>
    <w:basedOn w:val="DefaultParagraphFont"/>
    <w:uiPriority w:val="99"/>
    <w:unhideWhenUsed/>
    <w:rPr>
      <w:color w:val="2B579A"/>
      <w:shd w:val="clear" w:color="auto" w:fill="E6E6E6"/>
    </w:rPr>
  </w:style>
  <w:style w:type="paragraph" w:styleId="ListParagraph0">
    <w:name w:val="List Paragraph"/>
    <w:aliases w:val="NFP GP Bulleted List,List Paragraph1,Recommendation,#List Paragraph,List Paragraph11,L,Table Dots,List Paragraph - bullets,Use Case List Paragraph"/>
    <w:basedOn w:val="Normal"/>
    <w:link w:val="ListParagraphChar"/>
    <w:uiPriority w:val="34"/>
    <w:qFormat/>
    <w:rsid w:val="00E81615"/>
    <w:pPr>
      <w:ind w:left="720"/>
      <w:contextualSpacing/>
    </w:pPr>
  </w:style>
  <w:style w:type="character" w:customStyle="1" w:styleId="Heading4Char">
    <w:name w:val="Heading 4 Char"/>
    <w:basedOn w:val="DefaultParagraphFont"/>
    <w:link w:val="Heading4"/>
    <w:uiPriority w:val="9"/>
    <w:rsid w:val="000B3D24"/>
    <w:rPr>
      <w:rFonts w:ascii="Calibri" w:eastAsia="Calibri" w:hAnsi="Calibri" w:cs="Calibri"/>
      <w:b/>
      <w:bCs/>
      <w:kern w:val="0"/>
      <w:sz w:val="24"/>
      <w:szCs w:val="24"/>
      <w:lang w:val="en-US"/>
    </w:rPr>
  </w:style>
  <w:style w:type="character" w:customStyle="1" w:styleId="Heading5Char">
    <w:name w:val="Heading 5 Char"/>
    <w:basedOn w:val="DefaultParagraphFont"/>
    <w:link w:val="Heading5"/>
    <w:uiPriority w:val="9"/>
    <w:rsid w:val="000B3D24"/>
    <w:rPr>
      <w:rFonts w:ascii="Times New Roman" w:eastAsia="Times New Roman" w:hAnsi="Times New Roman" w:cs="Times New Roman"/>
      <w:b/>
      <w:bCs/>
      <w:kern w:val="0"/>
      <w:sz w:val="24"/>
      <w:szCs w:val="24"/>
      <w:lang w:val="en-US"/>
    </w:rPr>
  </w:style>
  <w:style w:type="character" w:customStyle="1" w:styleId="Heading6Char">
    <w:name w:val="Heading 6 Char"/>
    <w:basedOn w:val="DefaultParagraphFont"/>
    <w:link w:val="Heading6"/>
    <w:uiPriority w:val="9"/>
    <w:rsid w:val="000B3D24"/>
    <w:rPr>
      <w:rFonts w:ascii="Times New Roman" w:eastAsia="Times New Roman" w:hAnsi="Times New Roman" w:cs="Times New Roman"/>
      <w:b/>
      <w:bCs/>
      <w:i/>
      <w:iCs/>
      <w:kern w:val="0"/>
      <w:sz w:val="24"/>
      <w:szCs w:val="24"/>
      <w:lang w:val="en-US"/>
    </w:rPr>
  </w:style>
  <w:style w:type="numbering" w:customStyle="1" w:styleId="NoList1">
    <w:name w:val="No List1"/>
    <w:next w:val="NoList"/>
    <w:uiPriority w:val="99"/>
    <w:semiHidden/>
    <w:unhideWhenUsed/>
    <w:rsid w:val="000B3D24"/>
  </w:style>
  <w:style w:type="paragraph" w:customStyle="1" w:styleId="TableParagraph">
    <w:name w:val="Table Paragraph"/>
    <w:basedOn w:val="Normal"/>
    <w:uiPriority w:val="1"/>
    <w:qFormat/>
    <w:rsid w:val="000B3D24"/>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Mention1">
    <w:name w:val="Mention1"/>
    <w:basedOn w:val="DefaultParagraphFont"/>
    <w:uiPriority w:val="99"/>
    <w:unhideWhenUsed/>
    <w:rsid w:val="000B3D24"/>
    <w:rPr>
      <w:color w:val="2B579A"/>
      <w:shd w:val="clear" w:color="auto" w:fill="E6E6E6"/>
    </w:rPr>
  </w:style>
  <w:style w:type="character" w:customStyle="1" w:styleId="UnresolvedMention1">
    <w:name w:val="Unresolved Mention1"/>
    <w:basedOn w:val="DefaultParagraphFont"/>
    <w:uiPriority w:val="99"/>
    <w:semiHidden/>
    <w:unhideWhenUsed/>
    <w:rsid w:val="000B3D24"/>
    <w:rPr>
      <w:color w:val="605E5C"/>
      <w:shd w:val="clear" w:color="auto" w:fill="E1DFDD"/>
    </w:rPr>
  </w:style>
  <w:style w:type="paragraph" w:customStyle="1" w:styleId="EMtext">
    <w:name w:val="EM text"/>
    <w:basedOn w:val="BodyText"/>
    <w:link w:val="EMtextChar"/>
    <w:qFormat/>
    <w:rsid w:val="000B3D24"/>
    <w:pPr>
      <w:spacing w:after="240" w:line="252" w:lineRule="auto"/>
      <w:ind w:left="1244" w:right="667"/>
    </w:pPr>
    <w:rPr>
      <w:rFonts w:ascii="Times New Roman"/>
    </w:rPr>
  </w:style>
  <w:style w:type="character" w:customStyle="1" w:styleId="EMtextChar">
    <w:name w:val="EM text Char"/>
    <w:basedOn w:val="BodyTextChar"/>
    <w:link w:val="EMtext"/>
    <w:rsid w:val="000B3D24"/>
    <w:rPr>
      <w:rFonts w:ascii="Times New Roman" w:eastAsia="Calibri" w:hAnsi="Calibri" w:cs="Calibri"/>
      <w:kern w:val="0"/>
      <w:sz w:val="24"/>
      <w:szCs w:val="24"/>
      <w:lang w:val="en-US"/>
    </w:rPr>
  </w:style>
  <w:style w:type="paragraph" w:customStyle="1" w:styleId="PartHeadingforEM">
    <w:name w:val="Part Heading for EM"/>
    <w:basedOn w:val="EMtext"/>
    <w:link w:val="PartHeadingforEMChar"/>
    <w:qFormat/>
    <w:rsid w:val="000B3D24"/>
    <w:pPr>
      <w:ind w:left="1276"/>
    </w:pPr>
    <w:rPr>
      <w:b/>
      <w:bCs/>
      <w:u w:val="single"/>
    </w:rPr>
  </w:style>
  <w:style w:type="character" w:customStyle="1" w:styleId="PartHeadingforEMChar">
    <w:name w:val="Part Heading for EM Char"/>
    <w:basedOn w:val="EMtextChar"/>
    <w:link w:val="PartHeadingforEM"/>
    <w:rsid w:val="000B3D24"/>
    <w:rPr>
      <w:rFonts w:ascii="Times New Roman" w:eastAsia="Calibri" w:hAnsi="Calibri" w:cs="Calibri"/>
      <w:b/>
      <w:bCs/>
      <w:kern w:val="0"/>
      <w:sz w:val="24"/>
      <w:szCs w:val="24"/>
      <w:u w:val="single"/>
      <w:lang w:val="en-US"/>
    </w:rPr>
  </w:style>
  <w:style w:type="paragraph" w:styleId="BalloonText">
    <w:name w:val="Balloon Text"/>
    <w:basedOn w:val="Normal"/>
    <w:link w:val="BalloonTextChar"/>
    <w:uiPriority w:val="99"/>
    <w:semiHidden/>
    <w:unhideWhenUsed/>
    <w:rsid w:val="000B3D24"/>
    <w:pPr>
      <w:widowControl w:val="0"/>
      <w:autoSpaceDE w:val="0"/>
      <w:autoSpaceDN w:val="0"/>
      <w:spacing w:after="0" w:line="240" w:lineRule="auto"/>
    </w:pPr>
    <w:rPr>
      <w:rFonts w:ascii="Segoe UI" w:eastAsia="Calibri" w:hAnsi="Segoe UI" w:cs="Segoe UI"/>
      <w:kern w:val="0"/>
      <w:sz w:val="18"/>
      <w:szCs w:val="18"/>
      <w:lang w:val="en-US"/>
    </w:rPr>
  </w:style>
  <w:style w:type="character" w:customStyle="1" w:styleId="BalloonTextChar">
    <w:name w:val="Balloon Text Char"/>
    <w:basedOn w:val="DefaultParagraphFont"/>
    <w:link w:val="BalloonText"/>
    <w:uiPriority w:val="99"/>
    <w:semiHidden/>
    <w:rsid w:val="000B3D24"/>
    <w:rPr>
      <w:rFonts w:ascii="Segoe UI" w:eastAsia="Calibri" w:hAnsi="Segoe UI" w:cs="Segoe UI"/>
      <w:kern w:val="0"/>
      <w:sz w:val="18"/>
      <w:szCs w:val="18"/>
      <w:lang w:val="en-US"/>
    </w:rPr>
  </w:style>
  <w:style w:type="character" w:customStyle="1" w:styleId="Mention2">
    <w:name w:val="Mention2"/>
    <w:basedOn w:val="DefaultParagraphFont"/>
    <w:uiPriority w:val="99"/>
    <w:unhideWhenUsed/>
    <w:rsid w:val="000B3D24"/>
    <w:rPr>
      <w:color w:val="2B579A"/>
      <w:shd w:val="clear" w:color="auto" w:fill="E1DFDD"/>
    </w:rPr>
  </w:style>
  <w:style w:type="character" w:customStyle="1" w:styleId="Heading1Char">
    <w:name w:val="Heading 1 Char"/>
    <w:basedOn w:val="DefaultParagraphFont"/>
    <w:link w:val="Heading1"/>
    <w:uiPriority w:val="9"/>
    <w:rsid w:val="00101A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47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2166"/>
    <w:rPr>
      <w:rFonts w:asciiTheme="majorHAnsi" w:eastAsiaTheme="majorEastAsia" w:hAnsiTheme="majorHAnsi" w:cstheme="majorBidi"/>
      <w:color w:val="44546A" w:themeColor="text2"/>
      <w:kern w:val="0"/>
      <w:sz w:val="24"/>
      <w:szCs w:val="24"/>
      <w14:ligatures w14:val="none"/>
    </w:rPr>
  </w:style>
  <w:style w:type="character" w:customStyle="1" w:styleId="Heading7Char">
    <w:name w:val="Heading 7 Char"/>
    <w:basedOn w:val="DefaultParagraphFont"/>
    <w:link w:val="Heading7"/>
    <w:uiPriority w:val="9"/>
    <w:rsid w:val="008A2166"/>
    <w:rPr>
      <w:rFonts w:asciiTheme="majorHAnsi" w:eastAsiaTheme="majorEastAsia" w:hAnsiTheme="majorHAnsi" w:cstheme="majorBidi"/>
      <w:i/>
      <w:iCs/>
      <w:color w:val="1F3864" w:themeColor="accent1" w:themeShade="80"/>
      <w:kern w:val="0"/>
      <w:sz w:val="21"/>
      <w:szCs w:val="21"/>
      <w14:ligatures w14:val="none"/>
    </w:rPr>
  </w:style>
  <w:style w:type="character" w:customStyle="1" w:styleId="Heading8Char">
    <w:name w:val="Heading 8 Char"/>
    <w:basedOn w:val="DefaultParagraphFont"/>
    <w:link w:val="Heading8"/>
    <w:uiPriority w:val="9"/>
    <w:rsid w:val="008A2166"/>
    <w:rPr>
      <w:rFonts w:asciiTheme="majorHAnsi" w:eastAsiaTheme="majorEastAsia" w:hAnsiTheme="majorHAnsi" w:cstheme="majorBidi"/>
      <w:b/>
      <w:bCs/>
      <w:color w:val="44546A" w:themeColor="text2"/>
      <w:kern w:val="0"/>
      <w:sz w:val="20"/>
      <w:szCs w:val="20"/>
      <w14:ligatures w14:val="none"/>
    </w:rPr>
  </w:style>
  <w:style w:type="character" w:customStyle="1" w:styleId="Heading9Char">
    <w:name w:val="Heading 9 Char"/>
    <w:basedOn w:val="DefaultParagraphFont"/>
    <w:link w:val="Heading9"/>
    <w:uiPriority w:val="9"/>
    <w:rsid w:val="008A2166"/>
    <w:rPr>
      <w:rFonts w:asciiTheme="majorHAnsi" w:eastAsiaTheme="majorEastAsia" w:hAnsiTheme="majorHAnsi" w:cstheme="majorBidi"/>
      <w:b/>
      <w:bCs/>
      <w:i/>
      <w:iCs/>
      <w:color w:val="44546A" w:themeColor="text2"/>
      <w:kern w:val="0"/>
      <w:sz w:val="20"/>
      <w:szCs w:val="20"/>
      <w14:ligatures w14:val="none"/>
    </w:rPr>
  </w:style>
  <w:style w:type="table" w:styleId="TableGrid">
    <w:name w:val="Table Grid"/>
    <w:basedOn w:val="TableNormal"/>
    <w:uiPriority w:val="59"/>
    <w:rsid w:val="008A2166"/>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8A2166"/>
    <w:pPr>
      <w:widowControl w:val="0"/>
      <w:autoSpaceDE w:val="0"/>
      <w:autoSpaceDN w:val="0"/>
      <w:adjustRightInd w:val="0"/>
      <w:spacing w:line="201" w:lineRule="atLeast"/>
    </w:pPr>
    <w:rPr>
      <w:rFonts w:ascii="Univers" w:eastAsia="SimSun" w:hAnsi="Univers" w:cs="Univers"/>
      <w:kern w:val="0"/>
      <w:sz w:val="20"/>
      <w:szCs w:val="20"/>
      <w:lang w:val="en-US"/>
      <w14:ligatures w14:val="none"/>
    </w:rPr>
  </w:style>
  <w:style w:type="paragraph" w:customStyle="1" w:styleId="Pa12">
    <w:name w:val="Pa12"/>
    <w:basedOn w:val="Normal"/>
    <w:next w:val="Normal"/>
    <w:uiPriority w:val="99"/>
    <w:rsid w:val="008A2166"/>
    <w:pPr>
      <w:widowControl w:val="0"/>
      <w:autoSpaceDE w:val="0"/>
      <w:autoSpaceDN w:val="0"/>
      <w:adjustRightInd w:val="0"/>
      <w:spacing w:line="241" w:lineRule="atLeast"/>
    </w:pPr>
    <w:rPr>
      <w:rFonts w:ascii="Univers" w:eastAsia="SimSun" w:hAnsi="Univers" w:cs="Univers"/>
      <w:kern w:val="0"/>
      <w:sz w:val="20"/>
      <w:szCs w:val="20"/>
      <w:lang w:val="en-US"/>
      <w14:ligatures w14:val="none"/>
    </w:rPr>
  </w:style>
  <w:style w:type="paragraph" w:styleId="Caption">
    <w:name w:val="caption"/>
    <w:basedOn w:val="Normal"/>
    <w:next w:val="Normal"/>
    <w:uiPriority w:val="35"/>
    <w:semiHidden/>
    <w:unhideWhenUsed/>
    <w:qFormat/>
    <w:rsid w:val="008A2166"/>
    <w:pPr>
      <w:spacing w:after="120" w:line="240" w:lineRule="auto"/>
    </w:pPr>
    <w:rPr>
      <w:rFonts w:eastAsiaTheme="minorEastAsia"/>
      <w:b/>
      <w:bCs/>
      <w:smallCaps/>
      <w:color w:val="595959" w:themeColor="text1" w:themeTint="A6"/>
      <w:spacing w:val="6"/>
      <w:kern w:val="0"/>
      <w:sz w:val="20"/>
      <w:szCs w:val="20"/>
      <w14:ligatures w14:val="none"/>
    </w:rPr>
  </w:style>
  <w:style w:type="paragraph" w:styleId="Title">
    <w:name w:val="Title"/>
    <w:basedOn w:val="Normal"/>
    <w:next w:val="Normal"/>
    <w:link w:val="TitleChar"/>
    <w:uiPriority w:val="10"/>
    <w:qFormat/>
    <w:rsid w:val="008A2166"/>
    <w:pPr>
      <w:spacing w:after="0" w:line="240" w:lineRule="auto"/>
      <w:contextualSpacing/>
    </w:pPr>
    <w:rPr>
      <w:rFonts w:asciiTheme="majorHAnsi" w:eastAsiaTheme="majorEastAsia" w:hAnsiTheme="majorHAnsi" w:cstheme="majorBidi"/>
      <w:color w:val="4472C4" w:themeColor="accent1"/>
      <w:spacing w:val="-10"/>
      <w:kern w:val="0"/>
      <w:sz w:val="56"/>
      <w:szCs w:val="56"/>
      <w14:ligatures w14:val="none"/>
    </w:rPr>
  </w:style>
  <w:style w:type="character" w:customStyle="1" w:styleId="TitleChar">
    <w:name w:val="Title Char"/>
    <w:basedOn w:val="DefaultParagraphFont"/>
    <w:link w:val="Title"/>
    <w:uiPriority w:val="10"/>
    <w:rsid w:val="008A2166"/>
    <w:rPr>
      <w:rFonts w:asciiTheme="majorHAnsi" w:eastAsiaTheme="majorEastAsia" w:hAnsiTheme="majorHAnsi" w:cstheme="majorBidi"/>
      <w:color w:val="4472C4" w:themeColor="accent1"/>
      <w:spacing w:val="-10"/>
      <w:kern w:val="0"/>
      <w:sz w:val="56"/>
      <w:szCs w:val="56"/>
      <w14:ligatures w14:val="none"/>
    </w:rPr>
  </w:style>
  <w:style w:type="paragraph" w:styleId="Subtitle">
    <w:name w:val="Subtitle"/>
    <w:basedOn w:val="Normal"/>
    <w:next w:val="Normal"/>
    <w:link w:val="SubtitleChar"/>
    <w:uiPriority w:val="11"/>
    <w:qFormat/>
    <w:rsid w:val="008A2166"/>
    <w:pPr>
      <w:numPr>
        <w:ilvl w:val="1"/>
      </w:numPr>
      <w:spacing w:after="120" w:line="240" w:lineRule="auto"/>
    </w:pPr>
    <w:rPr>
      <w:rFonts w:asciiTheme="majorHAnsi" w:eastAsiaTheme="majorEastAsia" w:hAnsiTheme="majorHAnsi" w:cstheme="majorBidi"/>
      <w:kern w:val="0"/>
      <w:sz w:val="24"/>
      <w:szCs w:val="24"/>
      <w14:ligatures w14:val="none"/>
    </w:rPr>
  </w:style>
  <w:style w:type="character" w:customStyle="1" w:styleId="SubtitleChar">
    <w:name w:val="Subtitle Char"/>
    <w:basedOn w:val="DefaultParagraphFont"/>
    <w:link w:val="Subtitle"/>
    <w:uiPriority w:val="11"/>
    <w:rsid w:val="008A2166"/>
    <w:rPr>
      <w:rFonts w:asciiTheme="majorHAnsi" w:eastAsiaTheme="majorEastAsia" w:hAnsiTheme="majorHAnsi" w:cstheme="majorBidi"/>
      <w:kern w:val="0"/>
      <w:sz w:val="24"/>
      <w:szCs w:val="24"/>
      <w14:ligatures w14:val="none"/>
    </w:rPr>
  </w:style>
  <w:style w:type="character" w:styleId="Strong">
    <w:name w:val="Strong"/>
    <w:basedOn w:val="DefaultParagraphFont"/>
    <w:uiPriority w:val="99"/>
    <w:qFormat/>
    <w:rsid w:val="008A2166"/>
    <w:rPr>
      <w:b/>
      <w:bCs/>
    </w:rPr>
  </w:style>
  <w:style w:type="character" w:styleId="Emphasis">
    <w:name w:val="Emphasis"/>
    <w:basedOn w:val="DefaultParagraphFont"/>
    <w:uiPriority w:val="20"/>
    <w:qFormat/>
    <w:rsid w:val="008A2166"/>
    <w:rPr>
      <w:i/>
      <w:iCs/>
    </w:rPr>
  </w:style>
  <w:style w:type="paragraph" w:styleId="NoSpacing">
    <w:name w:val="No Spacing"/>
    <w:uiPriority w:val="1"/>
    <w:qFormat/>
    <w:rsid w:val="008A2166"/>
    <w:pPr>
      <w:spacing w:after="0" w:line="240" w:lineRule="auto"/>
    </w:pPr>
    <w:rPr>
      <w:rFonts w:eastAsiaTheme="minorEastAsia"/>
      <w:kern w:val="0"/>
      <w:sz w:val="20"/>
      <w:szCs w:val="20"/>
      <w14:ligatures w14:val="none"/>
    </w:rPr>
  </w:style>
  <w:style w:type="paragraph" w:styleId="Quote">
    <w:name w:val="Quote"/>
    <w:basedOn w:val="Normal"/>
    <w:next w:val="Normal"/>
    <w:link w:val="QuoteChar"/>
    <w:uiPriority w:val="29"/>
    <w:qFormat/>
    <w:rsid w:val="008A2166"/>
    <w:pPr>
      <w:spacing w:before="160" w:after="120" w:line="264" w:lineRule="auto"/>
      <w:ind w:left="720" w:right="720"/>
    </w:pPr>
    <w:rPr>
      <w:rFonts w:eastAsiaTheme="minorEastAsia"/>
      <w:i/>
      <w:iCs/>
      <w:color w:val="404040" w:themeColor="text1" w:themeTint="BF"/>
      <w:kern w:val="0"/>
      <w:sz w:val="20"/>
      <w:szCs w:val="20"/>
      <w14:ligatures w14:val="none"/>
    </w:rPr>
  </w:style>
  <w:style w:type="character" w:customStyle="1" w:styleId="QuoteChar">
    <w:name w:val="Quote Char"/>
    <w:basedOn w:val="DefaultParagraphFont"/>
    <w:link w:val="Quote"/>
    <w:uiPriority w:val="29"/>
    <w:rsid w:val="008A2166"/>
    <w:rPr>
      <w:rFonts w:eastAsiaTheme="minorEastAsia"/>
      <w:i/>
      <w:iCs/>
      <w:color w:val="404040" w:themeColor="text1" w:themeTint="BF"/>
      <w:kern w:val="0"/>
      <w:sz w:val="20"/>
      <w:szCs w:val="20"/>
      <w14:ligatures w14:val="none"/>
    </w:rPr>
  </w:style>
  <w:style w:type="paragraph" w:styleId="IntenseQuote">
    <w:name w:val="Intense Quote"/>
    <w:basedOn w:val="Normal"/>
    <w:next w:val="Normal"/>
    <w:link w:val="IntenseQuoteChar"/>
    <w:uiPriority w:val="30"/>
    <w:qFormat/>
    <w:rsid w:val="008A2166"/>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kern w:val="0"/>
      <w:sz w:val="28"/>
      <w:szCs w:val="28"/>
      <w14:ligatures w14:val="none"/>
    </w:rPr>
  </w:style>
  <w:style w:type="character" w:customStyle="1" w:styleId="IntenseQuoteChar">
    <w:name w:val="Intense Quote Char"/>
    <w:basedOn w:val="DefaultParagraphFont"/>
    <w:link w:val="IntenseQuote"/>
    <w:uiPriority w:val="30"/>
    <w:rsid w:val="008A2166"/>
    <w:rPr>
      <w:rFonts w:asciiTheme="majorHAnsi" w:eastAsiaTheme="majorEastAsia" w:hAnsiTheme="majorHAnsi" w:cstheme="majorBidi"/>
      <w:color w:val="4472C4" w:themeColor="accent1"/>
      <w:kern w:val="0"/>
      <w:sz w:val="28"/>
      <w:szCs w:val="28"/>
      <w14:ligatures w14:val="none"/>
    </w:rPr>
  </w:style>
  <w:style w:type="character" w:styleId="SubtleEmphasis">
    <w:name w:val="Subtle Emphasis"/>
    <w:basedOn w:val="DefaultParagraphFont"/>
    <w:uiPriority w:val="19"/>
    <w:qFormat/>
    <w:rsid w:val="008A2166"/>
    <w:rPr>
      <w:i/>
      <w:iCs/>
      <w:color w:val="404040" w:themeColor="text1" w:themeTint="BF"/>
    </w:rPr>
  </w:style>
  <w:style w:type="character" w:styleId="IntenseEmphasis">
    <w:name w:val="Intense Emphasis"/>
    <w:basedOn w:val="DefaultParagraphFont"/>
    <w:uiPriority w:val="21"/>
    <w:qFormat/>
    <w:rsid w:val="008A2166"/>
    <w:rPr>
      <w:b/>
      <w:bCs/>
      <w:i/>
      <w:iCs/>
    </w:rPr>
  </w:style>
  <w:style w:type="character" w:styleId="SubtleReference">
    <w:name w:val="Subtle Reference"/>
    <w:basedOn w:val="DefaultParagraphFont"/>
    <w:uiPriority w:val="31"/>
    <w:qFormat/>
    <w:rsid w:val="008A216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A2166"/>
    <w:rPr>
      <w:b/>
      <w:bCs/>
      <w:smallCaps/>
      <w:spacing w:val="5"/>
      <w:u w:val="single"/>
    </w:rPr>
  </w:style>
  <w:style w:type="character" w:styleId="BookTitle">
    <w:name w:val="Book Title"/>
    <w:basedOn w:val="DefaultParagraphFont"/>
    <w:uiPriority w:val="33"/>
    <w:qFormat/>
    <w:rsid w:val="008A2166"/>
    <w:rPr>
      <w:b/>
      <w:bCs/>
      <w:smallCaps/>
    </w:rPr>
  </w:style>
  <w:style w:type="paragraph" w:styleId="TOCHeading">
    <w:name w:val="TOC Heading"/>
    <w:basedOn w:val="Heading1"/>
    <w:next w:val="Normal"/>
    <w:uiPriority w:val="39"/>
    <w:unhideWhenUsed/>
    <w:qFormat/>
    <w:rsid w:val="008A2166"/>
    <w:pPr>
      <w:spacing w:before="320" w:line="240" w:lineRule="auto"/>
      <w:outlineLvl w:val="9"/>
    </w:pPr>
    <w:rPr>
      <w:kern w:val="0"/>
      <w14:ligatures w14:val="none"/>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
    <w:basedOn w:val="DefaultParagraphFont"/>
    <w:link w:val="ListParagraph0"/>
    <w:uiPriority w:val="34"/>
    <w:locked/>
    <w:rsid w:val="008A2166"/>
  </w:style>
  <w:style w:type="paragraph" w:styleId="TOC2">
    <w:name w:val="toc 2"/>
    <w:basedOn w:val="Normal"/>
    <w:next w:val="Normal"/>
    <w:autoRedefine/>
    <w:uiPriority w:val="39"/>
    <w:unhideWhenUsed/>
    <w:rsid w:val="008A2166"/>
    <w:pPr>
      <w:spacing w:after="100" w:line="264" w:lineRule="auto"/>
      <w:ind w:left="200"/>
    </w:pPr>
    <w:rPr>
      <w:rFonts w:eastAsiaTheme="minorEastAsia"/>
      <w:kern w:val="0"/>
      <w:sz w:val="20"/>
      <w:szCs w:val="20"/>
      <w14:ligatures w14:val="none"/>
    </w:rPr>
  </w:style>
  <w:style w:type="paragraph" w:styleId="TOC1">
    <w:name w:val="toc 1"/>
    <w:basedOn w:val="Normal"/>
    <w:next w:val="Normal"/>
    <w:autoRedefine/>
    <w:uiPriority w:val="39"/>
    <w:unhideWhenUsed/>
    <w:rsid w:val="008A2166"/>
    <w:pPr>
      <w:spacing w:after="100" w:line="264" w:lineRule="auto"/>
    </w:pPr>
    <w:rPr>
      <w:rFonts w:eastAsiaTheme="minorEastAsia"/>
      <w:kern w:val="0"/>
      <w:sz w:val="20"/>
      <w:szCs w:val="20"/>
      <w14:ligatures w14:val="none"/>
    </w:rPr>
  </w:style>
  <w:style w:type="paragraph" w:customStyle="1" w:styleId="TableText">
    <w:name w:val="Table Text"/>
    <w:basedOn w:val="Normal"/>
    <w:uiPriority w:val="13"/>
    <w:qFormat/>
    <w:rsid w:val="008A2166"/>
    <w:pPr>
      <w:spacing w:before="60" w:after="60" w:line="240" w:lineRule="auto"/>
    </w:pPr>
    <w:rPr>
      <w:rFonts w:ascii="Cambria" w:hAnsi="Cambria"/>
      <w:kern w:val="0"/>
      <w:sz w:val="18"/>
      <w14:ligatures w14:val="none"/>
    </w:rPr>
  </w:style>
  <w:style w:type="paragraph" w:customStyle="1" w:styleId="TableHeading">
    <w:name w:val="Table Heading"/>
    <w:basedOn w:val="TableText"/>
    <w:uiPriority w:val="14"/>
    <w:qFormat/>
    <w:rsid w:val="008A2166"/>
    <w:pPr>
      <w:keepNext/>
    </w:pPr>
    <w:rPr>
      <w:b/>
    </w:rPr>
  </w:style>
  <w:style w:type="paragraph" w:customStyle="1" w:styleId="NormalIndented">
    <w:name w:val="Normal Indented"/>
    <w:basedOn w:val="Normal"/>
    <w:qFormat/>
    <w:rsid w:val="008A2166"/>
    <w:pPr>
      <w:suppressAutoHyphens/>
      <w:spacing w:before="180" w:after="60" w:line="280" w:lineRule="atLeast"/>
      <w:ind w:left="284"/>
    </w:pPr>
    <w:rPr>
      <w:kern w:val="0"/>
      <w14:ligatures w14:val="none"/>
    </w:rPr>
  </w:style>
  <w:style w:type="table" w:styleId="TableGridLight">
    <w:name w:val="Grid Table Light"/>
    <w:basedOn w:val="TableNormal"/>
    <w:uiPriority w:val="40"/>
    <w:rsid w:val="008A2166"/>
    <w:pPr>
      <w:spacing w:after="0" w:line="240" w:lineRule="auto"/>
    </w:pPr>
    <w:rPr>
      <w:rFonts w:eastAsiaTheme="minorEastAsia"/>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8A2166"/>
    <w:pPr>
      <w:spacing w:after="100"/>
      <w:ind w:left="440"/>
    </w:pPr>
    <w:rPr>
      <w:rFonts w:eastAsiaTheme="minorEastAsia"/>
      <w:lang w:eastAsia="en-AU"/>
    </w:rPr>
  </w:style>
  <w:style w:type="paragraph" w:styleId="TOC4">
    <w:name w:val="toc 4"/>
    <w:basedOn w:val="Normal"/>
    <w:next w:val="Normal"/>
    <w:autoRedefine/>
    <w:uiPriority w:val="39"/>
    <w:unhideWhenUsed/>
    <w:rsid w:val="008A2166"/>
    <w:pPr>
      <w:spacing w:after="100"/>
      <w:ind w:left="660"/>
    </w:pPr>
    <w:rPr>
      <w:rFonts w:eastAsiaTheme="minorEastAsia"/>
      <w:lang w:eastAsia="en-AU"/>
    </w:rPr>
  </w:style>
  <w:style w:type="paragraph" w:styleId="TOC5">
    <w:name w:val="toc 5"/>
    <w:basedOn w:val="Normal"/>
    <w:next w:val="Normal"/>
    <w:autoRedefine/>
    <w:uiPriority w:val="39"/>
    <w:unhideWhenUsed/>
    <w:rsid w:val="008A2166"/>
    <w:pPr>
      <w:spacing w:after="100"/>
      <w:ind w:left="880"/>
    </w:pPr>
    <w:rPr>
      <w:rFonts w:eastAsiaTheme="minorEastAsia"/>
      <w:lang w:eastAsia="en-AU"/>
    </w:rPr>
  </w:style>
  <w:style w:type="paragraph" w:styleId="TOC6">
    <w:name w:val="toc 6"/>
    <w:basedOn w:val="Normal"/>
    <w:next w:val="Normal"/>
    <w:autoRedefine/>
    <w:uiPriority w:val="39"/>
    <w:unhideWhenUsed/>
    <w:rsid w:val="008A2166"/>
    <w:pPr>
      <w:spacing w:after="100"/>
      <w:ind w:left="1100"/>
    </w:pPr>
    <w:rPr>
      <w:rFonts w:eastAsiaTheme="minorEastAsia"/>
      <w:lang w:eastAsia="en-AU"/>
    </w:rPr>
  </w:style>
  <w:style w:type="paragraph" w:styleId="TOC7">
    <w:name w:val="toc 7"/>
    <w:basedOn w:val="Normal"/>
    <w:next w:val="Normal"/>
    <w:autoRedefine/>
    <w:uiPriority w:val="39"/>
    <w:unhideWhenUsed/>
    <w:rsid w:val="008A2166"/>
    <w:pPr>
      <w:spacing w:after="100"/>
      <w:ind w:left="1320"/>
    </w:pPr>
    <w:rPr>
      <w:rFonts w:eastAsiaTheme="minorEastAsia"/>
      <w:lang w:eastAsia="en-AU"/>
    </w:rPr>
  </w:style>
  <w:style w:type="paragraph" w:styleId="TOC8">
    <w:name w:val="toc 8"/>
    <w:basedOn w:val="Normal"/>
    <w:next w:val="Normal"/>
    <w:autoRedefine/>
    <w:uiPriority w:val="39"/>
    <w:unhideWhenUsed/>
    <w:rsid w:val="008A2166"/>
    <w:pPr>
      <w:spacing w:after="100"/>
      <w:ind w:left="1540"/>
    </w:pPr>
    <w:rPr>
      <w:rFonts w:eastAsiaTheme="minorEastAsia"/>
      <w:lang w:eastAsia="en-AU"/>
    </w:rPr>
  </w:style>
  <w:style w:type="paragraph" w:styleId="TOC9">
    <w:name w:val="toc 9"/>
    <w:basedOn w:val="Normal"/>
    <w:next w:val="Normal"/>
    <w:autoRedefine/>
    <w:uiPriority w:val="39"/>
    <w:unhideWhenUsed/>
    <w:rsid w:val="008A2166"/>
    <w:pPr>
      <w:spacing w:after="100"/>
      <w:ind w:left="1760"/>
    </w:pPr>
    <w:rPr>
      <w:rFonts w:eastAsiaTheme="minorEastAsia"/>
      <w:lang w:eastAsia="en-AU"/>
    </w:rPr>
  </w:style>
  <w:style w:type="paragraph" w:customStyle="1" w:styleId="pf0">
    <w:name w:val="pf0"/>
    <w:basedOn w:val="Normal"/>
    <w:rsid w:val="008A216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A2166"/>
    <w:rPr>
      <w:rFonts w:ascii="Segoe UI" w:hAnsi="Segoe UI" w:cs="Segoe UI" w:hint="default"/>
      <w:sz w:val="18"/>
      <w:szCs w:val="18"/>
    </w:rPr>
  </w:style>
  <w:style w:type="paragraph" w:styleId="ListNumber">
    <w:name w:val="List Number"/>
    <w:basedOn w:val="Normal"/>
    <w:uiPriority w:val="99"/>
    <w:semiHidden/>
    <w:unhideWhenUsed/>
    <w:rsid w:val="008A2166"/>
    <w:pPr>
      <w:numPr>
        <w:numId w:val="36"/>
      </w:numPr>
      <w:spacing w:after="200" w:line="276" w:lineRule="auto"/>
    </w:pPr>
    <w:rPr>
      <w:rFonts w:ascii="Arial" w:hAnsi="Arial" w:cs="Arial"/>
      <w:kern w:val="0"/>
      <w14:ligatures w14:val="none"/>
    </w:rPr>
  </w:style>
  <w:style w:type="paragraph" w:styleId="ListNumber2">
    <w:name w:val="List Number 2"/>
    <w:basedOn w:val="Normal"/>
    <w:uiPriority w:val="99"/>
    <w:semiHidden/>
    <w:unhideWhenUsed/>
    <w:rsid w:val="008A2166"/>
    <w:pPr>
      <w:numPr>
        <w:ilvl w:val="1"/>
        <w:numId w:val="36"/>
      </w:numPr>
      <w:spacing w:after="200" w:line="276" w:lineRule="auto"/>
    </w:pPr>
    <w:rPr>
      <w:rFonts w:ascii="Arial" w:hAnsi="Arial" w:cs="Arial"/>
      <w:kern w:val="0"/>
      <w14:ligatures w14:val="none"/>
    </w:rPr>
  </w:style>
  <w:style w:type="paragraph" w:styleId="ListNumber3">
    <w:name w:val="List Number 3"/>
    <w:basedOn w:val="Normal"/>
    <w:uiPriority w:val="99"/>
    <w:semiHidden/>
    <w:unhideWhenUsed/>
    <w:rsid w:val="008A2166"/>
    <w:pPr>
      <w:numPr>
        <w:ilvl w:val="2"/>
        <w:numId w:val="36"/>
      </w:numPr>
      <w:spacing w:after="200" w:line="276" w:lineRule="auto"/>
    </w:pPr>
    <w:rPr>
      <w:rFonts w:ascii="Arial" w:hAnsi="Arial" w:cs="Arial"/>
      <w:kern w:val="0"/>
      <w14:ligatures w14:val="none"/>
    </w:rPr>
  </w:style>
  <w:style w:type="paragraph" w:styleId="ListNumber4">
    <w:name w:val="List Number 4"/>
    <w:basedOn w:val="Normal"/>
    <w:uiPriority w:val="99"/>
    <w:semiHidden/>
    <w:unhideWhenUsed/>
    <w:rsid w:val="008A2166"/>
    <w:pPr>
      <w:numPr>
        <w:ilvl w:val="3"/>
        <w:numId w:val="36"/>
      </w:numPr>
      <w:spacing w:after="200" w:line="276" w:lineRule="auto"/>
    </w:pPr>
    <w:rPr>
      <w:rFonts w:ascii="Arial" w:hAnsi="Arial" w:cs="Arial"/>
      <w:kern w:val="0"/>
      <w14:ligatures w14:val="none"/>
    </w:rPr>
  </w:style>
  <w:style w:type="paragraph" w:styleId="ListNumber5">
    <w:name w:val="List Number 5"/>
    <w:basedOn w:val="Normal"/>
    <w:uiPriority w:val="99"/>
    <w:semiHidden/>
    <w:unhideWhenUsed/>
    <w:rsid w:val="008A2166"/>
    <w:pPr>
      <w:numPr>
        <w:ilvl w:val="4"/>
        <w:numId w:val="36"/>
      </w:numPr>
      <w:spacing w:after="200" w:line="276" w:lineRule="auto"/>
    </w:pPr>
    <w:rPr>
      <w:rFonts w:ascii="Arial" w:hAnsi="Arial" w:cs="Arial"/>
      <w:kern w:val="0"/>
      <w14:ligatures w14:val="none"/>
    </w:rPr>
  </w:style>
  <w:style w:type="character" w:styleId="FollowedHyperlink">
    <w:name w:val="FollowedHyperlink"/>
    <w:basedOn w:val="DefaultParagraphFont"/>
    <w:uiPriority w:val="99"/>
    <w:semiHidden/>
    <w:unhideWhenUsed/>
    <w:rsid w:val="008A2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4744">
      <w:bodyDiv w:val="1"/>
      <w:marLeft w:val="0"/>
      <w:marRight w:val="0"/>
      <w:marTop w:val="0"/>
      <w:marBottom w:val="0"/>
      <w:divBdr>
        <w:top w:val="none" w:sz="0" w:space="0" w:color="auto"/>
        <w:left w:val="none" w:sz="0" w:space="0" w:color="auto"/>
        <w:bottom w:val="none" w:sz="0" w:space="0" w:color="auto"/>
        <w:right w:val="none" w:sz="0" w:space="0" w:color="auto"/>
      </w:divBdr>
      <w:divsChild>
        <w:div w:id="3364507">
          <w:marLeft w:val="0"/>
          <w:marRight w:val="0"/>
          <w:marTop w:val="0"/>
          <w:marBottom w:val="0"/>
          <w:divBdr>
            <w:top w:val="none" w:sz="0" w:space="0" w:color="auto"/>
            <w:left w:val="none" w:sz="0" w:space="0" w:color="auto"/>
            <w:bottom w:val="none" w:sz="0" w:space="0" w:color="auto"/>
            <w:right w:val="none" w:sz="0" w:space="0" w:color="auto"/>
          </w:divBdr>
        </w:div>
        <w:div w:id="296035928">
          <w:marLeft w:val="0"/>
          <w:marRight w:val="0"/>
          <w:marTop w:val="0"/>
          <w:marBottom w:val="0"/>
          <w:divBdr>
            <w:top w:val="none" w:sz="0" w:space="0" w:color="auto"/>
            <w:left w:val="none" w:sz="0" w:space="0" w:color="auto"/>
            <w:bottom w:val="none" w:sz="0" w:space="0" w:color="auto"/>
            <w:right w:val="none" w:sz="0" w:space="0" w:color="auto"/>
          </w:divBdr>
        </w:div>
      </w:divsChild>
    </w:div>
    <w:div w:id="18089281">
      <w:bodyDiv w:val="1"/>
      <w:marLeft w:val="0"/>
      <w:marRight w:val="0"/>
      <w:marTop w:val="0"/>
      <w:marBottom w:val="0"/>
      <w:divBdr>
        <w:top w:val="none" w:sz="0" w:space="0" w:color="auto"/>
        <w:left w:val="none" w:sz="0" w:space="0" w:color="auto"/>
        <w:bottom w:val="none" w:sz="0" w:space="0" w:color="auto"/>
        <w:right w:val="none" w:sz="0" w:space="0" w:color="auto"/>
      </w:divBdr>
    </w:div>
    <w:div w:id="690493901">
      <w:bodyDiv w:val="1"/>
      <w:marLeft w:val="0"/>
      <w:marRight w:val="0"/>
      <w:marTop w:val="0"/>
      <w:marBottom w:val="0"/>
      <w:divBdr>
        <w:top w:val="none" w:sz="0" w:space="0" w:color="auto"/>
        <w:left w:val="none" w:sz="0" w:space="0" w:color="auto"/>
        <w:bottom w:val="none" w:sz="0" w:space="0" w:color="auto"/>
        <w:right w:val="none" w:sz="0" w:space="0" w:color="auto"/>
      </w:divBdr>
      <w:divsChild>
        <w:div w:id="186062897">
          <w:marLeft w:val="0"/>
          <w:marRight w:val="0"/>
          <w:marTop w:val="0"/>
          <w:marBottom w:val="0"/>
          <w:divBdr>
            <w:top w:val="none" w:sz="0" w:space="0" w:color="auto"/>
            <w:left w:val="none" w:sz="0" w:space="0" w:color="auto"/>
            <w:bottom w:val="none" w:sz="0" w:space="0" w:color="auto"/>
            <w:right w:val="none" w:sz="0" w:space="0" w:color="auto"/>
          </w:divBdr>
        </w:div>
        <w:div w:id="1446268299">
          <w:marLeft w:val="0"/>
          <w:marRight w:val="0"/>
          <w:marTop w:val="0"/>
          <w:marBottom w:val="0"/>
          <w:divBdr>
            <w:top w:val="none" w:sz="0" w:space="0" w:color="auto"/>
            <w:left w:val="none" w:sz="0" w:space="0" w:color="auto"/>
            <w:bottom w:val="none" w:sz="0" w:space="0" w:color="auto"/>
            <w:right w:val="none" w:sz="0" w:space="0" w:color="auto"/>
          </w:divBdr>
        </w:div>
        <w:div w:id="1635136436">
          <w:marLeft w:val="0"/>
          <w:marRight w:val="0"/>
          <w:marTop w:val="0"/>
          <w:marBottom w:val="0"/>
          <w:divBdr>
            <w:top w:val="none" w:sz="0" w:space="0" w:color="auto"/>
            <w:left w:val="none" w:sz="0" w:space="0" w:color="auto"/>
            <w:bottom w:val="none" w:sz="0" w:space="0" w:color="auto"/>
            <w:right w:val="none" w:sz="0" w:space="0" w:color="auto"/>
          </w:divBdr>
          <w:divsChild>
            <w:div w:id="1233546427">
              <w:marLeft w:val="0"/>
              <w:marRight w:val="0"/>
              <w:marTop w:val="30"/>
              <w:marBottom w:val="30"/>
              <w:divBdr>
                <w:top w:val="none" w:sz="0" w:space="0" w:color="auto"/>
                <w:left w:val="none" w:sz="0" w:space="0" w:color="auto"/>
                <w:bottom w:val="none" w:sz="0" w:space="0" w:color="auto"/>
                <w:right w:val="none" w:sz="0" w:space="0" w:color="auto"/>
              </w:divBdr>
              <w:divsChild>
                <w:div w:id="20210309">
                  <w:marLeft w:val="0"/>
                  <w:marRight w:val="0"/>
                  <w:marTop w:val="0"/>
                  <w:marBottom w:val="0"/>
                  <w:divBdr>
                    <w:top w:val="none" w:sz="0" w:space="0" w:color="auto"/>
                    <w:left w:val="none" w:sz="0" w:space="0" w:color="auto"/>
                    <w:bottom w:val="none" w:sz="0" w:space="0" w:color="auto"/>
                    <w:right w:val="none" w:sz="0" w:space="0" w:color="auto"/>
                  </w:divBdr>
                  <w:divsChild>
                    <w:div w:id="139927981">
                      <w:marLeft w:val="0"/>
                      <w:marRight w:val="0"/>
                      <w:marTop w:val="0"/>
                      <w:marBottom w:val="0"/>
                      <w:divBdr>
                        <w:top w:val="none" w:sz="0" w:space="0" w:color="auto"/>
                        <w:left w:val="none" w:sz="0" w:space="0" w:color="auto"/>
                        <w:bottom w:val="none" w:sz="0" w:space="0" w:color="auto"/>
                        <w:right w:val="none" w:sz="0" w:space="0" w:color="auto"/>
                      </w:divBdr>
                    </w:div>
                  </w:divsChild>
                </w:div>
                <w:div w:id="502210090">
                  <w:marLeft w:val="0"/>
                  <w:marRight w:val="0"/>
                  <w:marTop w:val="0"/>
                  <w:marBottom w:val="0"/>
                  <w:divBdr>
                    <w:top w:val="none" w:sz="0" w:space="0" w:color="auto"/>
                    <w:left w:val="none" w:sz="0" w:space="0" w:color="auto"/>
                    <w:bottom w:val="none" w:sz="0" w:space="0" w:color="auto"/>
                    <w:right w:val="none" w:sz="0" w:space="0" w:color="auto"/>
                  </w:divBdr>
                  <w:divsChild>
                    <w:div w:id="410977911">
                      <w:marLeft w:val="0"/>
                      <w:marRight w:val="0"/>
                      <w:marTop w:val="0"/>
                      <w:marBottom w:val="0"/>
                      <w:divBdr>
                        <w:top w:val="none" w:sz="0" w:space="0" w:color="auto"/>
                        <w:left w:val="none" w:sz="0" w:space="0" w:color="auto"/>
                        <w:bottom w:val="none" w:sz="0" w:space="0" w:color="auto"/>
                        <w:right w:val="none" w:sz="0" w:space="0" w:color="auto"/>
                      </w:divBdr>
                    </w:div>
                  </w:divsChild>
                </w:div>
                <w:div w:id="525413687">
                  <w:marLeft w:val="0"/>
                  <w:marRight w:val="0"/>
                  <w:marTop w:val="0"/>
                  <w:marBottom w:val="0"/>
                  <w:divBdr>
                    <w:top w:val="none" w:sz="0" w:space="0" w:color="auto"/>
                    <w:left w:val="none" w:sz="0" w:space="0" w:color="auto"/>
                    <w:bottom w:val="none" w:sz="0" w:space="0" w:color="auto"/>
                    <w:right w:val="none" w:sz="0" w:space="0" w:color="auto"/>
                  </w:divBdr>
                  <w:divsChild>
                    <w:div w:id="1065490184">
                      <w:marLeft w:val="0"/>
                      <w:marRight w:val="0"/>
                      <w:marTop w:val="0"/>
                      <w:marBottom w:val="0"/>
                      <w:divBdr>
                        <w:top w:val="none" w:sz="0" w:space="0" w:color="auto"/>
                        <w:left w:val="none" w:sz="0" w:space="0" w:color="auto"/>
                        <w:bottom w:val="none" w:sz="0" w:space="0" w:color="auto"/>
                        <w:right w:val="none" w:sz="0" w:space="0" w:color="auto"/>
                      </w:divBdr>
                    </w:div>
                  </w:divsChild>
                </w:div>
                <w:div w:id="617419899">
                  <w:marLeft w:val="0"/>
                  <w:marRight w:val="0"/>
                  <w:marTop w:val="0"/>
                  <w:marBottom w:val="0"/>
                  <w:divBdr>
                    <w:top w:val="none" w:sz="0" w:space="0" w:color="auto"/>
                    <w:left w:val="none" w:sz="0" w:space="0" w:color="auto"/>
                    <w:bottom w:val="none" w:sz="0" w:space="0" w:color="auto"/>
                    <w:right w:val="none" w:sz="0" w:space="0" w:color="auto"/>
                  </w:divBdr>
                  <w:divsChild>
                    <w:div w:id="446966104">
                      <w:marLeft w:val="0"/>
                      <w:marRight w:val="0"/>
                      <w:marTop w:val="0"/>
                      <w:marBottom w:val="0"/>
                      <w:divBdr>
                        <w:top w:val="none" w:sz="0" w:space="0" w:color="auto"/>
                        <w:left w:val="none" w:sz="0" w:space="0" w:color="auto"/>
                        <w:bottom w:val="none" w:sz="0" w:space="0" w:color="auto"/>
                        <w:right w:val="none" w:sz="0" w:space="0" w:color="auto"/>
                      </w:divBdr>
                    </w:div>
                  </w:divsChild>
                </w:div>
                <w:div w:id="727918272">
                  <w:marLeft w:val="0"/>
                  <w:marRight w:val="0"/>
                  <w:marTop w:val="0"/>
                  <w:marBottom w:val="0"/>
                  <w:divBdr>
                    <w:top w:val="none" w:sz="0" w:space="0" w:color="auto"/>
                    <w:left w:val="none" w:sz="0" w:space="0" w:color="auto"/>
                    <w:bottom w:val="none" w:sz="0" w:space="0" w:color="auto"/>
                    <w:right w:val="none" w:sz="0" w:space="0" w:color="auto"/>
                  </w:divBdr>
                  <w:divsChild>
                    <w:div w:id="1721782445">
                      <w:marLeft w:val="0"/>
                      <w:marRight w:val="0"/>
                      <w:marTop w:val="0"/>
                      <w:marBottom w:val="0"/>
                      <w:divBdr>
                        <w:top w:val="none" w:sz="0" w:space="0" w:color="auto"/>
                        <w:left w:val="none" w:sz="0" w:space="0" w:color="auto"/>
                        <w:bottom w:val="none" w:sz="0" w:space="0" w:color="auto"/>
                        <w:right w:val="none" w:sz="0" w:space="0" w:color="auto"/>
                      </w:divBdr>
                    </w:div>
                  </w:divsChild>
                </w:div>
                <w:div w:id="1406222244">
                  <w:marLeft w:val="0"/>
                  <w:marRight w:val="0"/>
                  <w:marTop w:val="0"/>
                  <w:marBottom w:val="0"/>
                  <w:divBdr>
                    <w:top w:val="none" w:sz="0" w:space="0" w:color="auto"/>
                    <w:left w:val="none" w:sz="0" w:space="0" w:color="auto"/>
                    <w:bottom w:val="none" w:sz="0" w:space="0" w:color="auto"/>
                    <w:right w:val="none" w:sz="0" w:space="0" w:color="auto"/>
                  </w:divBdr>
                  <w:divsChild>
                    <w:div w:id="1319387570">
                      <w:marLeft w:val="0"/>
                      <w:marRight w:val="0"/>
                      <w:marTop w:val="0"/>
                      <w:marBottom w:val="0"/>
                      <w:divBdr>
                        <w:top w:val="none" w:sz="0" w:space="0" w:color="auto"/>
                        <w:left w:val="none" w:sz="0" w:space="0" w:color="auto"/>
                        <w:bottom w:val="none" w:sz="0" w:space="0" w:color="auto"/>
                        <w:right w:val="none" w:sz="0" w:space="0" w:color="auto"/>
                      </w:divBdr>
                    </w:div>
                  </w:divsChild>
                </w:div>
                <w:div w:id="1468088747">
                  <w:marLeft w:val="0"/>
                  <w:marRight w:val="0"/>
                  <w:marTop w:val="0"/>
                  <w:marBottom w:val="0"/>
                  <w:divBdr>
                    <w:top w:val="none" w:sz="0" w:space="0" w:color="auto"/>
                    <w:left w:val="none" w:sz="0" w:space="0" w:color="auto"/>
                    <w:bottom w:val="none" w:sz="0" w:space="0" w:color="auto"/>
                    <w:right w:val="none" w:sz="0" w:space="0" w:color="auto"/>
                  </w:divBdr>
                  <w:divsChild>
                    <w:div w:id="396251027">
                      <w:marLeft w:val="0"/>
                      <w:marRight w:val="0"/>
                      <w:marTop w:val="0"/>
                      <w:marBottom w:val="0"/>
                      <w:divBdr>
                        <w:top w:val="none" w:sz="0" w:space="0" w:color="auto"/>
                        <w:left w:val="none" w:sz="0" w:space="0" w:color="auto"/>
                        <w:bottom w:val="none" w:sz="0" w:space="0" w:color="auto"/>
                        <w:right w:val="none" w:sz="0" w:space="0" w:color="auto"/>
                      </w:divBdr>
                    </w:div>
                  </w:divsChild>
                </w:div>
                <w:div w:id="1553729281">
                  <w:marLeft w:val="0"/>
                  <w:marRight w:val="0"/>
                  <w:marTop w:val="0"/>
                  <w:marBottom w:val="0"/>
                  <w:divBdr>
                    <w:top w:val="none" w:sz="0" w:space="0" w:color="auto"/>
                    <w:left w:val="none" w:sz="0" w:space="0" w:color="auto"/>
                    <w:bottom w:val="none" w:sz="0" w:space="0" w:color="auto"/>
                    <w:right w:val="none" w:sz="0" w:space="0" w:color="auto"/>
                  </w:divBdr>
                  <w:divsChild>
                    <w:div w:id="1115365844">
                      <w:marLeft w:val="0"/>
                      <w:marRight w:val="0"/>
                      <w:marTop w:val="0"/>
                      <w:marBottom w:val="0"/>
                      <w:divBdr>
                        <w:top w:val="none" w:sz="0" w:space="0" w:color="auto"/>
                        <w:left w:val="none" w:sz="0" w:space="0" w:color="auto"/>
                        <w:bottom w:val="none" w:sz="0" w:space="0" w:color="auto"/>
                        <w:right w:val="none" w:sz="0" w:space="0" w:color="auto"/>
                      </w:divBdr>
                    </w:div>
                  </w:divsChild>
                </w:div>
                <w:div w:id="2095397115">
                  <w:marLeft w:val="0"/>
                  <w:marRight w:val="0"/>
                  <w:marTop w:val="0"/>
                  <w:marBottom w:val="0"/>
                  <w:divBdr>
                    <w:top w:val="none" w:sz="0" w:space="0" w:color="auto"/>
                    <w:left w:val="none" w:sz="0" w:space="0" w:color="auto"/>
                    <w:bottom w:val="none" w:sz="0" w:space="0" w:color="auto"/>
                    <w:right w:val="none" w:sz="0" w:space="0" w:color="auto"/>
                  </w:divBdr>
                  <w:divsChild>
                    <w:div w:id="12961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1765">
          <w:marLeft w:val="0"/>
          <w:marRight w:val="0"/>
          <w:marTop w:val="0"/>
          <w:marBottom w:val="0"/>
          <w:divBdr>
            <w:top w:val="none" w:sz="0" w:space="0" w:color="auto"/>
            <w:left w:val="none" w:sz="0" w:space="0" w:color="auto"/>
            <w:bottom w:val="none" w:sz="0" w:space="0" w:color="auto"/>
            <w:right w:val="none" w:sz="0" w:space="0" w:color="auto"/>
          </w:divBdr>
        </w:div>
      </w:divsChild>
    </w:div>
    <w:div w:id="702483191">
      <w:bodyDiv w:val="1"/>
      <w:marLeft w:val="0"/>
      <w:marRight w:val="0"/>
      <w:marTop w:val="0"/>
      <w:marBottom w:val="0"/>
      <w:divBdr>
        <w:top w:val="none" w:sz="0" w:space="0" w:color="auto"/>
        <w:left w:val="none" w:sz="0" w:space="0" w:color="auto"/>
        <w:bottom w:val="none" w:sz="0" w:space="0" w:color="auto"/>
        <w:right w:val="none" w:sz="0" w:space="0" w:color="auto"/>
      </w:divBdr>
      <w:divsChild>
        <w:div w:id="1325664753">
          <w:marLeft w:val="0"/>
          <w:marRight w:val="0"/>
          <w:marTop w:val="0"/>
          <w:marBottom w:val="0"/>
          <w:divBdr>
            <w:top w:val="none" w:sz="0" w:space="0" w:color="auto"/>
            <w:left w:val="none" w:sz="0" w:space="0" w:color="auto"/>
            <w:bottom w:val="none" w:sz="0" w:space="0" w:color="auto"/>
            <w:right w:val="none" w:sz="0" w:space="0" w:color="auto"/>
          </w:divBdr>
        </w:div>
        <w:div w:id="1532450395">
          <w:marLeft w:val="0"/>
          <w:marRight w:val="0"/>
          <w:marTop w:val="0"/>
          <w:marBottom w:val="0"/>
          <w:divBdr>
            <w:top w:val="none" w:sz="0" w:space="0" w:color="auto"/>
            <w:left w:val="none" w:sz="0" w:space="0" w:color="auto"/>
            <w:bottom w:val="none" w:sz="0" w:space="0" w:color="auto"/>
            <w:right w:val="none" w:sz="0" w:space="0" w:color="auto"/>
          </w:divBdr>
        </w:div>
        <w:div w:id="1639140002">
          <w:marLeft w:val="0"/>
          <w:marRight w:val="0"/>
          <w:marTop w:val="0"/>
          <w:marBottom w:val="0"/>
          <w:divBdr>
            <w:top w:val="none" w:sz="0" w:space="0" w:color="auto"/>
            <w:left w:val="none" w:sz="0" w:space="0" w:color="auto"/>
            <w:bottom w:val="none" w:sz="0" w:space="0" w:color="auto"/>
            <w:right w:val="none" w:sz="0" w:space="0" w:color="auto"/>
          </w:divBdr>
        </w:div>
        <w:div w:id="2086414460">
          <w:marLeft w:val="0"/>
          <w:marRight w:val="0"/>
          <w:marTop w:val="0"/>
          <w:marBottom w:val="0"/>
          <w:divBdr>
            <w:top w:val="none" w:sz="0" w:space="0" w:color="auto"/>
            <w:left w:val="none" w:sz="0" w:space="0" w:color="auto"/>
            <w:bottom w:val="none" w:sz="0" w:space="0" w:color="auto"/>
            <w:right w:val="none" w:sz="0" w:space="0" w:color="auto"/>
          </w:divBdr>
        </w:div>
      </w:divsChild>
    </w:div>
    <w:div w:id="785202040">
      <w:bodyDiv w:val="1"/>
      <w:marLeft w:val="0"/>
      <w:marRight w:val="0"/>
      <w:marTop w:val="0"/>
      <w:marBottom w:val="0"/>
      <w:divBdr>
        <w:top w:val="none" w:sz="0" w:space="0" w:color="auto"/>
        <w:left w:val="none" w:sz="0" w:space="0" w:color="auto"/>
        <w:bottom w:val="none" w:sz="0" w:space="0" w:color="auto"/>
        <w:right w:val="none" w:sz="0" w:space="0" w:color="auto"/>
      </w:divBdr>
    </w:div>
    <w:div w:id="834415303">
      <w:bodyDiv w:val="1"/>
      <w:marLeft w:val="0"/>
      <w:marRight w:val="0"/>
      <w:marTop w:val="0"/>
      <w:marBottom w:val="0"/>
      <w:divBdr>
        <w:top w:val="none" w:sz="0" w:space="0" w:color="auto"/>
        <w:left w:val="none" w:sz="0" w:space="0" w:color="auto"/>
        <w:bottom w:val="none" w:sz="0" w:space="0" w:color="auto"/>
        <w:right w:val="none" w:sz="0" w:space="0" w:color="auto"/>
      </w:divBdr>
      <w:divsChild>
        <w:div w:id="357586131">
          <w:marLeft w:val="0"/>
          <w:marRight w:val="0"/>
          <w:marTop w:val="0"/>
          <w:marBottom w:val="0"/>
          <w:divBdr>
            <w:top w:val="none" w:sz="0" w:space="0" w:color="auto"/>
            <w:left w:val="none" w:sz="0" w:space="0" w:color="auto"/>
            <w:bottom w:val="none" w:sz="0" w:space="0" w:color="auto"/>
            <w:right w:val="none" w:sz="0" w:space="0" w:color="auto"/>
          </w:divBdr>
        </w:div>
        <w:div w:id="1360593358">
          <w:marLeft w:val="0"/>
          <w:marRight w:val="0"/>
          <w:marTop w:val="0"/>
          <w:marBottom w:val="0"/>
          <w:divBdr>
            <w:top w:val="none" w:sz="0" w:space="0" w:color="auto"/>
            <w:left w:val="none" w:sz="0" w:space="0" w:color="auto"/>
            <w:bottom w:val="none" w:sz="0" w:space="0" w:color="auto"/>
            <w:right w:val="none" w:sz="0" w:space="0" w:color="auto"/>
          </w:divBdr>
        </w:div>
      </w:divsChild>
    </w:div>
    <w:div w:id="1061708546">
      <w:bodyDiv w:val="1"/>
      <w:marLeft w:val="0"/>
      <w:marRight w:val="0"/>
      <w:marTop w:val="0"/>
      <w:marBottom w:val="0"/>
      <w:divBdr>
        <w:top w:val="none" w:sz="0" w:space="0" w:color="auto"/>
        <w:left w:val="none" w:sz="0" w:space="0" w:color="auto"/>
        <w:bottom w:val="none" w:sz="0" w:space="0" w:color="auto"/>
        <w:right w:val="none" w:sz="0" w:space="0" w:color="auto"/>
      </w:divBdr>
      <w:divsChild>
        <w:div w:id="1131450">
          <w:marLeft w:val="0"/>
          <w:marRight w:val="0"/>
          <w:marTop w:val="0"/>
          <w:marBottom w:val="0"/>
          <w:divBdr>
            <w:top w:val="none" w:sz="0" w:space="0" w:color="auto"/>
            <w:left w:val="none" w:sz="0" w:space="0" w:color="auto"/>
            <w:bottom w:val="none" w:sz="0" w:space="0" w:color="auto"/>
            <w:right w:val="none" w:sz="0" w:space="0" w:color="auto"/>
          </w:divBdr>
          <w:divsChild>
            <w:div w:id="1784765203">
              <w:marLeft w:val="0"/>
              <w:marRight w:val="0"/>
              <w:marTop w:val="0"/>
              <w:marBottom w:val="0"/>
              <w:divBdr>
                <w:top w:val="none" w:sz="0" w:space="0" w:color="auto"/>
                <w:left w:val="none" w:sz="0" w:space="0" w:color="auto"/>
                <w:bottom w:val="none" w:sz="0" w:space="0" w:color="auto"/>
                <w:right w:val="none" w:sz="0" w:space="0" w:color="auto"/>
              </w:divBdr>
            </w:div>
          </w:divsChild>
        </w:div>
        <w:div w:id="1665297">
          <w:marLeft w:val="0"/>
          <w:marRight w:val="0"/>
          <w:marTop w:val="0"/>
          <w:marBottom w:val="0"/>
          <w:divBdr>
            <w:top w:val="none" w:sz="0" w:space="0" w:color="auto"/>
            <w:left w:val="none" w:sz="0" w:space="0" w:color="auto"/>
            <w:bottom w:val="none" w:sz="0" w:space="0" w:color="auto"/>
            <w:right w:val="none" w:sz="0" w:space="0" w:color="auto"/>
          </w:divBdr>
          <w:divsChild>
            <w:div w:id="1543784993">
              <w:marLeft w:val="0"/>
              <w:marRight w:val="0"/>
              <w:marTop w:val="0"/>
              <w:marBottom w:val="0"/>
              <w:divBdr>
                <w:top w:val="none" w:sz="0" w:space="0" w:color="auto"/>
                <w:left w:val="none" w:sz="0" w:space="0" w:color="auto"/>
                <w:bottom w:val="none" w:sz="0" w:space="0" w:color="auto"/>
                <w:right w:val="none" w:sz="0" w:space="0" w:color="auto"/>
              </w:divBdr>
            </w:div>
          </w:divsChild>
        </w:div>
        <w:div w:id="30691420">
          <w:marLeft w:val="0"/>
          <w:marRight w:val="0"/>
          <w:marTop w:val="0"/>
          <w:marBottom w:val="0"/>
          <w:divBdr>
            <w:top w:val="none" w:sz="0" w:space="0" w:color="auto"/>
            <w:left w:val="none" w:sz="0" w:space="0" w:color="auto"/>
            <w:bottom w:val="none" w:sz="0" w:space="0" w:color="auto"/>
            <w:right w:val="none" w:sz="0" w:space="0" w:color="auto"/>
          </w:divBdr>
          <w:divsChild>
            <w:div w:id="679550604">
              <w:marLeft w:val="0"/>
              <w:marRight w:val="0"/>
              <w:marTop w:val="0"/>
              <w:marBottom w:val="0"/>
              <w:divBdr>
                <w:top w:val="none" w:sz="0" w:space="0" w:color="auto"/>
                <w:left w:val="none" w:sz="0" w:space="0" w:color="auto"/>
                <w:bottom w:val="none" w:sz="0" w:space="0" w:color="auto"/>
                <w:right w:val="none" w:sz="0" w:space="0" w:color="auto"/>
              </w:divBdr>
            </w:div>
          </w:divsChild>
        </w:div>
        <w:div w:id="39407413">
          <w:marLeft w:val="0"/>
          <w:marRight w:val="0"/>
          <w:marTop w:val="0"/>
          <w:marBottom w:val="0"/>
          <w:divBdr>
            <w:top w:val="none" w:sz="0" w:space="0" w:color="auto"/>
            <w:left w:val="none" w:sz="0" w:space="0" w:color="auto"/>
            <w:bottom w:val="none" w:sz="0" w:space="0" w:color="auto"/>
            <w:right w:val="none" w:sz="0" w:space="0" w:color="auto"/>
          </w:divBdr>
          <w:divsChild>
            <w:div w:id="2104062080">
              <w:marLeft w:val="0"/>
              <w:marRight w:val="0"/>
              <w:marTop w:val="0"/>
              <w:marBottom w:val="0"/>
              <w:divBdr>
                <w:top w:val="none" w:sz="0" w:space="0" w:color="auto"/>
                <w:left w:val="none" w:sz="0" w:space="0" w:color="auto"/>
                <w:bottom w:val="none" w:sz="0" w:space="0" w:color="auto"/>
                <w:right w:val="none" w:sz="0" w:space="0" w:color="auto"/>
              </w:divBdr>
            </w:div>
          </w:divsChild>
        </w:div>
        <w:div w:id="55671726">
          <w:marLeft w:val="0"/>
          <w:marRight w:val="0"/>
          <w:marTop w:val="0"/>
          <w:marBottom w:val="0"/>
          <w:divBdr>
            <w:top w:val="none" w:sz="0" w:space="0" w:color="auto"/>
            <w:left w:val="none" w:sz="0" w:space="0" w:color="auto"/>
            <w:bottom w:val="none" w:sz="0" w:space="0" w:color="auto"/>
            <w:right w:val="none" w:sz="0" w:space="0" w:color="auto"/>
          </w:divBdr>
          <w:divsChild>
            <w:div w:id="2110348431">
              <w:marLeft w:val="0"/>
              <w:marRight w:val="0"/>
              <w:marTop w:val="0"/>
              <w:marBottom w:val="0"/>
              <w:divBdr>
                <w:top w:val="none" w:sz="0" w:space="0" w:color="auto"/>
                <w:left w:val="none" w:sz="0" w:space="0" w:color="auto"/>
                <w:bottom w:val="none" w:sz="0" w:space="0" w:color="auto"/>
                <w:right w:val="none" w:sz="0" w:space="0" w:color="auto"/>
              </w:divBdr>
            </w:div>
          </w:divsChild>
        </w:div>
        <w:div w:id="77094484">
          <w:marLeft w:val="0"/>
          <w:marRight w:val="0"/>
          <w:marTop w:val="0"/>
          <w:marBottom w:val="0"/>
          <w:divBdr>
            <w:top w:val="none" w:sz="0" w:space="0" w:color="auto"/>
            <w:left w:val="none" w:sz="0" w:space="0" w:color="auto"/>
            <w:bottom w:val="none" w:sz="0" w:space="0" w:color="auto"/>
            <w:right w:val="none" w:sz="0" w:space="0" w:color="auto"/>
          </w:divBdr>
          <w:divsChild>
            <w:div w:id="597521520">
              <w:marLeft w:val="0"/>
              <w:marRight w:val="0"/>
              <w:marTop w:val="0"/>
              <w:marBottom w:val="0"/>
              <w:divBdr>
                <w:top w:val="none" w:sz="0" w:space="0" w:color="auto"/>
                <w:left w:val="none" w:sz="0" w:space="0" w:color="auto"/>
                <w:bottom w:val="none" w:sz="0" w:space="0" w:color="auto"/>
                <w:right w:val="none" w:sz="0" w:space="0" w:color="auto"/>
              </w:divBdr>
            </w:div>
          </w:divsChild>
        </w:div>
        <w:div w:id="95057679">
          <w:marLeft w:val="0"/>
          <w:marRight w:val="0"/>
          <w:marTop w:val="0"/>
          <w:marBottom w:val="0"/>
          <w:divBdr>
            <w:top w:val="none" w:sz="0" w:space="0" w:color="auto"/>
            <w:left w:val="none" w:sz="0" w:space="0" w:color="auto"/>
            <w:bottom w:val="none" w:sz="0" w:space="0" w:color="auto"/>
            <w:right w:val="none" w:sz="0" w:space="0" w:color="auto"/>
          </w:divBdr>
          <w:divsChild>
            <w:div w:id="2046515840">
              <w:marLeft w:val="0"/>
              <w:marRight w:val="0"/>
              <w:marTop w:val="0"/>
              <w:marBottom w:val="0"/>
              <w:divBdr>
                <w:top w:val="none" w:sz="0" w:space="0" w:color="auto"/>
                <w:left w:val="none" w:sz="0" w:space="0" w:color="auto"/>
                <w:bottom w:val="none" w:sz="0" w:space="0" w:color="auto"/>
                <w:right w:val="none" w:sz="0" w:space="0" w:color="auto"/>
              </w:divBdr>
            </w:div>
          </w:divsChild>
        </w:div>
        <w:div w:id="104934325">
          <w:marLeft w:val="0"/>
          <w:marRight w:val="0"/>
          <w:marTop w:val="0"/>
          <w:marBottom w:val="0"/>
          <w:divBdr>
            <w:top w:val="none" w:sz="0" w:space="0" w:color="auto"/>
            <w:left w:val="none" w:sz="0" w:space="0" w:color="auto"/>
            <w:bottom w:val="none" w:sz="0" w:space="0" w:color="auto"/>
            <w:right w:val="none" w:sz="0" w:space="0" w:color="auto"/>
          </w:divBdr>
          <w:divsChild>
            <w:div w:id="8334499">
              <w:marLeft w:val="0"/>
              <w:marRight w:val="0"/>
              <w:marTop w:val="0"/>
              <w:marBottom w:val="0"/>
              <w:divBdr>
                <w:top w:val="none" w:sz="0" w:space="0" w:color="auto"/>
                <w:left w:val="none" w:sz="0" w:space="0" w:color="auto"/>
                <w:bottom w:val="none" w:sz="0" w:space="0" w:color="auto"/>
                <w:right w:val="none" w:sz="0" w:space="0" w:color="auto"/>
              </w:divBdr>
            </w:div>
          </w:divsChild>
        </w:div>
        <w:div w:id="112091860">
          <w:marLeft w:val="0"/>
          <w:marRight w:val="0"/>
          <w:marTop w:val="0"/>
          <w:marBottom w:val="0"/>
          <w:divBdr>
            <w:top w:val="none" w:sz="0" w:space="0" w:color="auto"/>
            <w:left w:val="none" w:sz="0" w:space="0" w:color="auto"/>
            <w:bottom w:val="none" w:sz="0" w:space="0" w:color="auto"/>
            <w:right w:val="none" w:sz="0" w:space="0" w:color="auto"/>
          </w:divBdr>
          <w:divsChild>
            <w:div w:id="514463559">
              <w:marLeft w:val="0"/>
              <w:marRight w:val="0"/>
              <w:marTop w:val="0"/>
              <w:marBottom w:val="0"/>
              <w:divBdr>
                <w:top w:val="none" w:sz="0" w:space="0" w:color="auto"/>
                <w:left w:val="none" w:sz="0" w:space="0" w:color="auto"/>
                <w:bottom w:val="none" w:sz="0" w:space="0" w:color="auto"/>
                <w:right w:val="none" w:sz="0" w:space="0" w:color="auto"/>
              </w:divBdr>
            </w:div>
          </w:divsChild>
        </w:div>
        <w:div w:id="119038450">
          <w:marLeft w:val="0"/>
          <w:marRight w:val="0"/>
          <w:marTop w:val="0"/>
          <w:marBottom w:val="0"/>
          <w:divBdr>
            <w:top w:val="none" w:sz="0" w:space="0" w:color="auto"/>
            <w:left w:val="none" w:sz="0" w:space="0" w:color="auto"/>
            <w:bottom w:val="none" w:sz="0" w:space="0" w:color="auto"/>
            <w:right w:val="none" w:sz="0" w:space="0" w:color="auto"/>
          </w:divBdr>
          <w:divsChild>
            <w:div w:id="1063286629">
              <w:marLeft w:val="0"/>
              <w:marRight w:val="0"/>
              <w:marTop w:val="0"/>
              <w:marBottom w:val="0"/>
              <w:divBdr>
                <w:top w:val="none" w:sz="0" w:space="0" w:color="auto"/>
                <w:left w:val="none" w:sz="0" w:space="0" w:color="auto"/>
                <w:bottom w:val="none" w:sz="0" w:space="0" w:color="auto"/>
                <w:right w:val="none" w:sz="0" w:space="0" w:color="auto"/>
              </w:divBdr>
            </w:div>
          </w:divsChild>
        </w:div>
        <w:div w:id="124399427">
          <w:marLeft w:val="0"/>
          <w:marRight w:val="0"/>
          <w:marTop w:val="0"/>
          <w:marBottom w:val="0"/>
          <w:divBdr>
            <w:top w:val="none" w:sz="0" w:space="0" w:color="auto"/>
            <w:left w:val="none" w:sz="0" w:space="0" w:color="auto"/>
            <w:bottom w:val="none" w:sz="0" w:space="0" w:color="auto"/>
            <w:right w:val="none" w:sz="0" w:space="0" w:color="auto"/>
          </w:divBdr>
          <w:divsChild>
            <w:div w:id="361170207">
              <w:marLeft w:val="0"/>
              <w:marRight w:val="0"/>
              <w:marTop w:val="0"/>
              <w:marBottom w:val="0"/>
              <w:divBdr>
                <w:top w:val="none" w:sz="0" w:space="0" w:color="auto"/>
                <w:left w:val="none" w:sz="0" w:space="0" w:color="auto"/>
                <w:bottom w:val="none" w:sz="0" w:space="0" w:color="auto"/>
                <w:right w:val="none" w:sz="0" w:space="0" w:color="auto"/>
              </w:divBdr>
            </w:div>
          </w:divsChild>
        </w:div>
        <w:div w:id="143661808">
          <w:marLeft w:val="0"/>
          <w:marRight w:val="0"/>
          <w:marTop w:val="0"/>
          <w:marBottom w:val="0"/>
          <w:divBdr>
            <w:top w:val="none" w:sz="0" w:space="0" w:color="auto"/>
            <w:left w:val="none" w:sz="0" w:space="0" w:color="auto"/>
            <w:bottom w:val="none" w:sz="0" w:space="0" w:color="auto"/>
            <w:right w:val="none" w:sz="0" w:space="0" w:color="auto"/>
          </w:divBdr>
          <w:divsChild>
            <w:div w:id="1477062906">
              <w:marLeft w:val="0"/>
              <w:marRight w:val="0"/>
              <w:marTop w:val="0"/>
              <w:marBottom w:val="0"/>
              <w:divBdr>
                <w:top w:val="none" w:sz="0" w:space="0" w:color="auto"/>
                <w:left w:val="none" w:sz="0" w:space="0" w:color="auto"/>
                <w:bottom w:val="none" w:sz="0" w:space="0" w:color="auto"/>
                <w:right w:val="none" w:sz="0" w:space="0" w:color="auto"/>
              </w:divBdr>
            </w:div>
          </w:divsChild>
        </w:div>
        <w:div w:id="160896155">
          <w:marLeft w:val="0"/>
          <w:marRight w:val="0"/>
          <w:marTop w:val="0"/>
          <w:marBottom w:val="0"/>
          <w:divBdr>
            <w:top w:val="none" w:sz="0" w:space="0" w:color="auto"/>
            <w:left w:val="none" w:sz="0" w:space="0" w:color="auto"/>
            <w:bottom w:val="none" w:sz="0" w:space="0" w:color="auto"/>
            <w:right w:val="none" w:sz="0" w:space="0" w:color="auto"/>
          </w:divBdr>
          <w:divsChild>
            <w:div w:id="381826499">
              <w:marLeft w:val="0"/>
              <w:marRight w:val="0"/>
              <w:marTop w:val="0"/>
              <w:marBottom w:val="0"/>
              <w:divBdr>
                <w:top w:val="none" w:sz="0" w:space="0" w:color="auto"/>
                <w:left w:val="none" w:sz="0" w:space="0" w:color="auto"/>
                <w:bottom w:val="none" w:sz="0" w:space="0" w:color="auto"/>
                <w:right w:val="none" w:sz="0" w:space="0" w:color="auto"/>
              </w:divBdr>
            </w:div>
          </w:divsChild>
        </w:div>
        <w:div w:id="180823961">
          <w:marLeft w:val="0"/>
          <w:marRight w:val="0"/>
          <w:marTop w:val="0"/>
          <w:marBottom w:val="0"/>
          <w:divBdr>
            <w:top w:val="none" w:sz="0" w:space="0" w:color="auto"/>
            <w:left w:val="none" w:sz="0" w:space="0" w:color="auto"/>
            <w:bottom w:val="none" w:sz="0" w:space="0" w:color="auto"/>
            <w:right w:val="none" w:sz="0" w:space="0" w:color="auto"/>
          </w:divBdr>
          <w:divsChild>
            <w:div w:id="53436780">
              <w:marLeft w:val="0"/>
              <w:marRight w:val="0"/>
              <w:marTop w:val="0"/>
              <w:marBottom w:val="0"/>
              <w:divBdr>
                <w:top w:val="none" w:sz="0" w:space="0" w:color="auto"/>
                <w:left w:val="none" w:sz="0" w:space="0" w:color="auto"/>
                <w:bottom w:val="none" w:sz="0" w:space="0" w:color="auto"/>
                <w:right w:val="none" w:sz="0" w:space="0" w:color="auto"/>
              </w:divBdr>
            </w:div>
          </w:divsChild>
        </w:div>
        <w:div w:id="222567713">
          <w:marLeft w:val="0"/>
          <w:marRight w:val="0"/>
          <w:marTop w:val="0"/>
          <w:marBottom w:val="0"/>
          <w:divBdr>
            <w:top w:val="none" w:sz="0" w:space="0" w:color="auto"/>
            <w:left w:val="none" w:sz="0" w:space="0" w:color="auto"/>
            <w:bottom w:val="none" w:sz="0" w:space="0" w:color="auto"/>
            <w:right w:val="none" w:sz="0" w:space="0" w:color="auto"/>
          </w:divBdr>
          <w:divsChild>
            <w:div w:id="1244217359">
              <w:marLeft w:val="0"/>
              <w:marRight w:val="0"/>
              <w:marTop w:val="0"/>
              <w:marBottom w:val="0"/>
              <w:divBdr>
                <w:top w:val="none" w:sz="0" w:space="0" w:color="auto"/>
                <w:left w:val="none" w:sz="0" w:space="0" w:color="auto"/>
                <w:bottom w:val="none" w:sz="0" w:space="0" w:color="auto"/>
                <w:right w:val="none" w:sz="0" w:space="0" w:color="auto"/>
              </w:divBdr>
            </w:div>
          </w:divsChild>
        </w:div>
        <w:div w:id="227813914">
          <w:marLeft w:val="0"/>
          <w:marRight w:val="0"/>
          <w:marTop w:val="0"/>
          <w:marBottom w:val="0"/>
          <w:divBdr>
            <w:top w:val="none" w:sz="0" w:space="0" w:color="auto"/>
            <w:left w:val="none" w:sz="0" w:space="0" w:color="auto"/>
            <w:bottom w:val="none" w:sz="0" w:space="0" w:color="auto"/>
            <w:right w:val="none" w:sz="0" w:space="0" w:color="auto"/>
          </w:divBdr>
          <w:divsChild>
            <w:div w:id="751509056">
              <w:marLeft w:val="0"/>
              <w:marRight w:val="0"/>
              <w:marTop w:val="0"/>
              <w:marBottom w:val="0"/>
              <w:divBdr>
                <w:top w:val="none" w:sz="0" w:space="0" w:color="auto"/>
                <w:left w:val="none" w:sz="0" w:space="0" w:color="auto"/>
                <w:bottom w:val="none" w:sz="0" w:space="0" w:color="auto"/>
                <w:right w:val="none" w:sz="0" w:space="0" w:color="auto"/>
              </w:divBdr>
            </w:div>
          </w:divsChild>
        </w:div>
        <w:div w:id="234321499">
          <w:marLeft w:val="0"/>
          <w:marRight w:val="0"/>
          <w:marTop w:val="0"/>
          <w:marBottom w:val="0"/>
          <w:divBdr>
            <w:top w:val="none" w:sz="0" w:space="0" w:color="auto"/>
            <w:left w:val="none" w:sz="0" w:space="0" w:color="auto"/>
            <w:bottom w:val="none" w:sz="0" w:space="0" w:color="auto"/>
            <w:right w:val="none" w:sz="0" w:space="0" w:color="auto"/>
          </w:divBdr>
          <w:divsChild>
            <w:div w:id="1670710836">
              <w:marLeft w:val="0"/>
              <w:marRight w:val="0"/>
              <w:marTop w:val="0"/>
              <w:marBottom w:val="0"/>
              <w:divBdr>
                <w:top w:val="none" w:sz="0" w:space="0" w:color="auto"/>
                <w:left w:val="none" w:sz="0" w:space="0" w:color="auto"/>
                <w:bottom w:val="none" w:sz="0" w:space="0" w:color="auto"/>
                <w:right w:val="none" w:sz="0" w:space="0" w:color="auto"/>
              </w:divBdr>
            </w:div>
          </w:divsChild>
        </w:div>
        <w:div w:id="244339619">
          <w:marLeft w:val="0"/>
          <w:marRight w:val="0"/>
          <w:marTop w:val="0"/>
          <w:marBottom w:val="0"/>
          <w:divBdr>
            <w:top w:val="none" w:sz="0" w:space="0" w:color="auto"/>
            <w:left w:val="none" w:sz="0" w:space="0" w:color="auto"/>
            <w:bottom w:val="none" w:sz="0" w:space="0" w:color="auto"/>
            <w:right w:val="none" w:sz="0" w:space="0" w:color="auto"/>
          </w:divBdr>
          <w:divsChild>
            <w:div w:id="178859699">
              <w:marLeft w:val="0"/>
              <w:marRight w:val="0"/>
              <w:marTop w:val="0"/>
              <w:marBottom w:val="0"/>
              <w:divBdr>
                <w:top w:val="none" w:sz="0" w:space="0" w:color="auto"/>
                <w:left w:val="none" w:sz="0" w:space="0" w:color="auto"/>
                <w:bottom w:val="none" w:sz="0" w:space="0" w:color="auto"/>
                <w:right w:val="none" w:sz="0" w:space="0" w:color="auto"/>
              </w:divBdr>
            </w:div>
          </w:divsChild>
        </w:div>
        <w:div w:id="259262298">
          <w:marLeft w:val="0"/>
          <w:marRight w:val="0"/>
          <w:marTop w:val="0"/>
          <w:marBottom w:val="0"/>
          <w:divBdr>
            <w:top w:val="none" w:sz="0" w:space="0" w:color="auto"/>
            <w:left w:val="none" w:sz="0" w:space="0" w:color="auto"/>
            <w:bottom w:val="none" w:sz="0" w:space="0" w:color="auto"/>
            <w:right w:val="none" w:sz="0" w:space="0" w:color="auto"/>
          </w:divBdr>
          <w:divsChild>
            <w:div w:id="2067600973">
              <w:marLeft w:val="0"/>
              <w:marRight w:val="0"/>
              <w:marTop w:val="0"/>
              <w:marBottom w:val="0"/>
              <w:divBdr>
                <w:top w:val="none" w:sz="0" w:space="0" w:color="auto"/>
                <w:left w:val="none" w:sz="0" w:space="0" w:color="auto"/>
                <w:bottom w:val="none" w:sz="0" w:space="0" w:color="auto"/>
                <w:right w:val="none" w:sz="0" w:space="0" w:color="auto"/>
              </w:divBdr>
            </w:div>
          </w:divsChild>
        </w:div>
        <w:div w:id="282158914">
          <w:marLeft w:val="0"/>
          <w:marRight w:val="0"/>
          <w:marTop w:val="0"/>
          <w:marBottom w:val="0"/>
          <w:divBdr>
            <w:top w:val="none" w:sz="0" w:space="0" w:color="auto"/>
            <w:left w:val="none" w:sz="0" w:space="0" w:color="auto"/>
            <w:bottom w:val="none" w:sz="0" w:space="0" w:color="auto"/>
            <w:right w:val="none" w:sz="0" w:space="0" w:color="auto"/>
          </w:divBdr>
          <w:divsChild>
            <w:div w:id="503126462">
              <w:marLeft w:val="0"/>
              <w:marRight w:val="0"/>
              <w:marTop w:val="0"/>
              <w:marBottom w:val="0"/>
              <w:divBdr>
                <w:top w:val="none" w:sz="0" w:space="0" w:color="auto"/>
                <w:left w:val="none" w:sz="0" w:space="0" w:color="auto"/>
                <w:bottom w:val="none" w:sz="0" w:space="0" w:color="auto"/>
                <w:right w:val="none" w:sz="0" w:space="0" w:color="auto"/>
              </w:divBdr>
            </w:div>
          </w:divsChild>
        </w:div>
        <w:div w:id="295916522">
          <w:marLeft w:val="0"/>
          <w:marRight w:val="0"/>
          <w:marTop w:val="0"/>
          <w:marBottom w:val="0"/>
          <w:divBdr>
            <w:top w:val="none" w:sz="0" w:space="0" w:color="auto"/>
            <w:left w:val="none" w:sz="0" w:space="0" w:color="auto"/>
            <w:bottom w:val="none" w:sz="0" w:space="0" w:color="auto"/>
            <w:right w:val="none" w:sz="0" w:space="0" w:color="auto"/>
          </w:divBdr>
          <w:divsChild>
            <w:div w:id="327904167">
              <w:marLeft w:val="0"/>
              <w:marRight w:val="0"/>
              <w:marTop w:val="0"/>
              <w:marBottom w:val="0"/>
              <w:divBdr>
                <w:top w:val="none" w:sz="0" w:space="0" w:color="auto"/>
                <w:left w:val="none" w:sz="0" w:space="0" w:color="auto"/>
                <w:bottom w:val="none" w:sz="0" w:space="0" w:color="auto"/>
                <w:right w:val="none" w:sz="0" w:space="0" w:color="auto"/>
              </w:divBdr>
            </w:div>
          </w:divsChild>
        </w:div>
        <w:div w:id="314645506">
          <w:marLeft w:val="0"/>
          <w:marRight w:val="0"/>
          <w:marTop w:val="0"/>
          <w:marBottom w:val="0"/>
          <w:divBdr>
            <w:top w:val="none" w:sz="0" w:space="0" w:color="auto"/>
            <w:left w:val="none" w:sz="0" w:space="0" w:color="auto"/>
            <w:bottom w:val="none" w:sz="0" w:space="0" w:color="auto"/>
            <w:right w:val="none" w:sz="0" w:space="0" w:color="auto"/>
          </w:divBdr>
          <w:divsChild>
            <w:div w:id="1641497341">
              <w:marLeft w:val="0"/>
              <w:marRight w:val="0"/>
              <w:marTop w:val="0"/>
              <w:marBottom w:val="0"/>
              <w:divBdr>
                <w:top w:val="none" w:sz="0" w:space="0" w:color="auto"/>
                <w:left w:val="none" w:sz="0" w:space="0" w:color="auto"/>
                <w:bottom w:val="none" w:sz="0" w:space="0" w:color="auto"/>
                <w:right w:val="none" w:sz="0" w:space="0" w:color="auto"/>
              </w:divBdr>
            </w:div>
          </w:divsChild>
        </w:div>
        <w:div w:id="322008283">
          <w:marLeft w:val="0"/>
          <w:marRight w:val="0"/>
          <w:marTop w:val="0"/>
          <w:marBottom w:val="0"/>
          <w:divBdr>
            <w:top w:val="none" w:sz="0" w:space="0" w:color="auto"/>
            <w:left w:val="none" w:sz="0" w:space="0" w:color="auto"/>
            <w:bottom w:val="none" w:sz="0" w:space="0" w:color="auto"/>
            <w:right w:val="none" w:sz="0" w:space="0" w:color="auto"/>
          </w:divBdr>
          <w:divsChild>
            <w:div w:id="1081754145">
              <w:marLeft w:val="0"/>
              <w:marRight w:val="0"/>
              <w:marTop w:val="0"/>
              <w:marBottom w:val="0"/>
              <w:divBdr>
                <w:top w:val="none" w:sz="0" w:space="0" w:color="auto"/>
                <w:left w:val="none" w:sz="0" w:space="0" w:color="auto"/>
                <w:bottom w:val="none" w:sz="0" w:space="0" w:color="auto"/>
                <w:right w:val="none" w:sz="0" w:space="0" w:color="auto"/>
              </w:divBdr>
            </w:div>
          </w:divsChild>
        </w:div>
        <w:div w:id="336612249">
          <w:marLeft w:val="0"/>
          <w:marRight w:val="0"/>
          <w:marTop w:val="0"/>
          <w:marBottom w:val="0"/>
          <w:divBdr>
            <w:top w:val="none" w:sz="0" w:space="0" w:color="auto"/>
            <w:left w:val="none" w:sz="0" w:space="0" w:color="auto"/>
            <w:bottom w:val="none" w:sz="0" w:space="0" w:color="auto"/>
            <w:right w:val="none" w:sz="0" w:space="0" w:color="auto"/>
          </w:divBdr>
          <w:divsChild>
            <w:div w:id="182669351">
              <w:marLeft w:val="0"/>
              <w:marRight w:val="0"/>
              <w:marTop w:val="0"/>
              <w:marBottom w:val="0"/>
              <w:divBdr>
                <w:top w:val="none" w:sz="0" w:space="0" w:color="auto"/>
                <w:left w:val="none" w:sz="0" w:space="0" w:color="auto"/>
                <w:bottom w:val="none" w:sz="0" w:space="0" w:color="auto"/>
                <w:right w:val="none" w:sz="0" w:space="0" w:color="auto"/>
              </w:divBdr>
            </w:div>
          </w:divsChild>
        </w:div>
        <w:div w:id="352152203">
          <w:marLeft w:val="0"/>
          <w:marRight w:val="0"/>
          <w:marTop w:val="0"/>
          <w:marBottom w:val="0"/>
          <w:divBdr>
            <w:top w:val="none" w:sz="0" w:space="0" w:color="auto"/>
            <w:left w:val="none" w:sz="0" w:space="0" w:color="auto"/>
            <w:bottom w:val="none" w:sz="0" w:space="0" w:color="auto"/>
            <w:right w:val="none" w:sz="0" w:space="0" w:color="auto"/>
          </w:divBdr>
          <w:divsChild>
            <w:div w:id="1054620643">
              <w:marLeft w:val="0"/>
              <w:marRight w:val="0"/>
              <w:marTop w:val="0"/>
              <w:marBottom w:val="0"/>
              <w:divBdr>
                <w:top w:val="none" w:sz="0" w:space="0" w:color="auto"/>
                <w:left w:val="none" w:sz="0" w:space="0" w:color="auto"/>
                <w:bottom w:val="none" w:sz="0" w:space="0" w:color="auto"/>
                <w:right w:val="none" w:sz="0" w:space="0" w:color="auto"/>
              </w:divBdr>
            </w:div>
          </w:divsChild>
        </w:div>
        <w:div w:id="354381866">
          <w:marLeft w:val="0"/>
          <w:marRight w:val="0"/>
          <w:marTop w:val="0"/>
          <w:marBottom w:val="0"/>
          <w:divBdr>
            <w:top w:val="none" w:sz="0" w:space="0" w:color="auto"/>
            <w:left w:val="none" w:sz="0" w:space="0" w:color="auto"/>
            <w:bottom w:val="none" w:sz="0" w:space="0" w:color="auto"/>
            <w:right w:val="none" w:sz="0" w:space="0" w:color="auto"/>
          </w:divBdr>
          <w:divsChild>
            <w:div w:id="1499930099">
              <w:marLeft w:val="0"/>
              <w:marRight w:val="0"/>
              <w:marTop w:val="0"/>
              <w:marBottom w:val="0"/>
              <w:divBdr>
                <w:top w:val="none" w:sz="0" w:space="0" w:color="auto"/>
                <w:left w:val="none" w:sz="0" w:space="0" w:color="auto"/>
                <w:bottom w:val="none" w:sz="0" w:space="0" w:color="auto"/>
                <w:right w:val="none" w:sz="0" w:space="0" w:color="auto"/>
              </w:divBdr>
            </w:div>
          </w:divsChild>
        </w:div>
        <w:div w:id="376323682">
          <w:marLeft w:val="0"/>
          <w:marRight w:val="0"/>
          <w:marTop w:val="0"/>
          <w:marBottom w:val="0"/>
          <w:divBdr>
            <w:top w:val="none" w:sz="0" w:space="0" w:color="auto"/>
            <w:left w:val="none" w:sz="0" w:space="0" w:color="auto"/>
            <w:bottom w:val="none" w:sz="0" w:space="0" w:color="auto"/>
            <w:right w:val="none" w:sz="0" w:space="0" w:color="auto"/>
          </w:divBdr>
          <w:divsChild>
            <w:div w:id="1541670653">
              <w:marLeft w:val="0"/>
              <w:marRight w:val="0"/>
              <w:marTop w:val="0"/>
              <w:marBottom w:val="0"/>
              <w:divBdr>
                <w:top w:val="none" w:sz="0" w:space="0" w:color="auto"/>
                <w:left w:val="none" w:sz="0" w:space="0" w:color="auto"/>
                <w:bottom w:val="none" w:sz="0" w:space="0" w:color="auto"/>
                <w:right w:val="none" w:sz="0" w:space="0" w:color="auto"/>
              </w:divBdr>
            </w:div>
          </w:divsChild>
        </w:div>
        <w:div w:id="397942321">
          <w:marLeft w:val="0"/>
          <w:marRight w:val="0"/>
          <w:marTop w:val="0"/>
          <w:marBottom w:val="0"/>
          <w:divBdr>
            <w:top w:val="none" w:sz="0" w:space="0" w:color="auto"/>
            <w:left w:val="none" w:sz="0" w:space="0" w:color="auto"/>
            <w:bottom w:val="none" w:sz="0" w:space="0" w:color="auto"/>
            <w:right w:val="none" w:sz="0" w:space="0" w:color="auto"/>
          </w:divBdr>
          <w:divsChild>
            <w:div w:id="1210917033">
              <w:marLeft w:val="0"/>
              <w:marRight w:val="0"/>
              <w:marTop w:val="0"/>
              <w:marBottom w:val="0"/>
              <w:divBdr>
                <w:top w:val="none" w:sz="0" w:space="0" w:color="auto"/>
                <w:left w:val="none" w:sz="0" w:space="0" w:color="auto"/>
                <w:bottom w:val="none" w:sz="0" w:space="0" w:color="auto"/>
                <w:right w:val="none" w:sz="0" w:space="0" w:color="auto"/>
              </w:divBdr>
            </w:div>
          </w:divsChild>
        </w:div>
        <w:div w:id="425542241">
          <w:marLeft w:val="0"/>
          <w:marRight w:val="0"/>
          <w:marTop w:val="0"/>
          <w:marBottom w:val="0"/>
          <w:divBdr>
            <w:top w:val="none" w:sz="0" w:space="0" w:color="auto"/>
            <w:left w:val="none" w:sz="0" w:space="0" w:color="auto"/>
            <w:bottom w:val="none" w:sz="0" w:space="0" w:color="auto"/>
            <w:right w:val="none" w:sz="0" w:space="0" w:color="auto"/>
          </w:divBdr>
          <w:divsChild>
            <w:div w:id="1132599048">
              <w:marLeft w:val="0"/>
              <w:marRight w:val="0"/>
              <w:marTop w:val="0"/>
              <w:marBottom w:val="0"/>
              <w:divBdr>
                <w:top w:val="none" w:sz="0" w:space="0" w:color="auto"/>
                <w:left w:val="none" w:sz="0" w:space="0" w:color="auto"/>
                <w:bottom w:val="none" w:sz="0" w:space="0" w:color="auto"/>
                <w:right w:val="none" w:sz="0" w:space="0" w:color="auto"/>
              </w:divBdr>
            </w:div>
          </w:divsChild>
        </w:div>
        <w:div w:id="437483789">
          <w:marLeft w:val="0"/>
          <w:marRight w:val="0"/>
          <w:marTop w:val="0"/>
          <w:marBottom w:val="0"/>
          <w:divBdr>
            <w:top w:val="none" w:sz="0" w:space="0" w:color="auto"/>
            <w:left w:val="none" w:sz="0" w:space="0" w:color="auto"/>
            <w:bottom w:val="none" w:sz="0" w:space="0" w:color="auto"/>
            <w:right w:val="none" w:sz="0" w:space="0" w:color="auto"/>
          </w:divBdr>
          <w:divsChild>
            <w:div w:id="587693776">
              <w:marLeft w:val="0"/>
              <w:marRight w:val="0"/>
              <w:marTop w:val="0"/>
              <w:marBottom w:val="0"/>
              <w:divBdr>
                <w:top w:val="none" w:sz="0" w:space="0" w:color="auto"/>
                <w:left w:val="none" w:sz="0" w:space="0" w:color="auto"/>
                <w:bottom w:val="none" w:sz="0" w:space="0" w:color="auto"/>
                <w:right w:val="none" w:sz="0" w:space="0" w:color="auto"/>
              </w:divBdr>
            </w:div>
          </w:divsChild>
        </w:div>
        <w:div w:id="439571043">
          <w:marLeft w:val="0"/>
          <w:marRight w:val="0"/>
          <w:marTop w:val="0"/>
          <w:marBottom w:val="0"/>
          <w:divBdr>
            <w:top w:val="none" w:sz="0" w:space="0" w:color="auto"/>
            <w:left w:val="none" w:sz="0" w:space="0" w:color="auto"/>
            <w:bottom w:val="none" w:sz="0" w:space="0" w:color="auto"/>
            <w:right w:val="none" w:sz="0" w:space="0" w:color="auto"/>
          </w:divBdr>
          <w:divsChild>
            <w:div w:id="1575553352">
              <w:marLeft w:val="0"/>
              <w:marRight w:val="0"/>
              <w:marTop w:val="0"/>
              <w:marBottom w:val="0"/>
              <w:divBdr>
                <w:top w:val="none" w:sz="0" w:space="0" w:color="auto"/>
                <w:left w:val="none" w:sz="0" w:space="0" w:color="auto"/>
                <w:bottom w:val="none" w:sz="0" w:space="0" w:color="auto"/>
                <w:right w:val="none" w:sz="0" w:space="0" w:color="auto"/>
              </w:divBdr>
            </w:div>
          </w:divsChild>
        </w:div>
        <w:div w:id="453060841">
          <w:marLeft w:val="0"/>
          <w:marRight w:val="0"/>
          <w:marTop w:val="0"/>
          <w:marBottom w:val="0"/>
          <w:divBdr>
            <w:top w:val="none" w:sz="0" w:space="0" w:color="auto"/>
            <w:left w:val="none" w:sz="0" w:space="0" w:color="auto"/>
            <w:bottom w:val="none" w:sz="0" w:space="0" w:color="auto"/>
            <w:right w:val="none" w:sz="0" w:space="0" w:color="auto"/>
          </w:divBdr>
          <w:divsChild>
            <w:div w:id="127361542">
              <w:marLeft w:val="0"/>
              <w:marRight w:val="0"/>
              <w:marTop w:val="0"/>
              <w:marBottom w:val="0"/>
              <w:divBdr>
                <w:top w:val="none" w:sz="0" w:space="0" w:color="auto"/>
                <w:left w:val="none" w:sz="0" w:space="0" w:color="auto"/>
                <w:bottom w:val="none" w:sz="0" w:space="0" w:color="auto"/>
                <w:right w:val="none" w:sz="0" w:space="0" w:color="auto"/>
              </w:divBdr>
            </w:div>
          </w:divsChild>
        </w:div>
        <w:div w:id="480538224">
          <w:marLeft w:val="0"/>
          <w:marRight w:val="0"/>
          <w:marTop w:val="0"/>
          <w:marBottom w:val="0"/>
          <w:divBdr>
            <w:top w:val="none" w:sz="0" w:space="0" w:color="auto"/>
            <w:left w:val="none" w:sz="0" w:space="0" w:color="auto"/>
            <w:bottom w:val="none" w:sz="0" w:space="0" w:color="auto"/>
            <w:right w:val="none" w:sz="0" w:space="0" w:color="auto"/>
          </w:divBdr>
          <w:divsChild>
            <w:div w:id="78404175">
              <w:marLeft w:val="0"/>
              <w:marRight w:val="0"/>
              <w:marTop w:val="0"/>
              <w:marBottom w:val="0"/>
              <w:divBdr>
                <w:top w:val="none" w:sz="0" w:space="0" w:color="auto"/>
                <w:left w:val="none" w:sz="0" w:space="0" w:color="auto"/>
                <w:bottom w:val="none" w:sz="0" w:space="0" w:color="auto"/>
                <w:right w:val="none" w:sz="0" w:space="0" w:color="auto"/>
              </w:divBdr>
            </w:div>
          </w:divsChild>
        </w:div>
        <w:div w:id="494535572">
          <w:marLeft w:val="0"/>
          <w:marRight w:val="0"/>
          <w:marTop w:val="0"/>
          <w:marBottom w:val="0"/>
          <w:divBdr>
            <w:top w:val="none" w:sz="0" w:space="0" w:color="auto"/>
            <w:left w:val="none" w:sz="0" w:space="0" w:color="auto"/>
            <w:bottom w:val="none" w:sz="0" w:space="0" w:color="auto"/>
            <w:right w:val="none" w:sz="0" w:space="0" w:color="auto"/>
          </w:divBdr>
          <w:divsChild>
            <w:div w:id="515726643">
              <w:marLeft w:val="0"/>
              <w:marRight w:val="0"/>
              <w:marTop w:val="0"/>
              <w:marBottom w:val="0"/>
              <w:divBdr>
                <w:top w:val="none" w:sz="0" w:space="0" w:color="auto"/>
                <w:left w:val="none" w:sz="0" w:space="0" w:color="auto"/>
                <w:bottom w:val="none" w:sz="0" w:space="0" w:color="auto"/>
                <w:right w:val="none" w:sz="0" w:space="0" w:color="auto"/>
              </w:divBdr>
            </w:div>
          </w:divsChild>
        </w:div>
        <w:div w:id="525948314">
          <w:marLeft w:val="0"/>
          <w:marRight w:val="0"/>
          <w:marTop w:val="0"/>
          <w:marBottom w:val="0"/>
          <w:divBdr>
            <w:top w:val="none" w:sz="0" w:space="0" w:color="auto"/>
            <w:left w:val="none" w:sz="0" w:space="0" w:color="auto"/>
            <w:bottom w:val="none" w:sz="0" w:space="0" w:color="auto"/>
            <w:right w:val="none" w:sz="0" w:space="0" w:color="auto"/>
          </w:divBdr>
          <w:divsChild>
            <w:div w:id="1885747114">
              <w:marLeft w:val="0"/>
              <w:marRight w:val="0"/>
              <w:marTop w:val="0"/>
              <w:marBottom w:val="0"/>
              <w:divBdr>
                <w:top w:val="none" w:sz="0" w:space="0" w:color="auto"/>
                <w:left w:val="none" w:sz="0" w:space="0" w:color="auto"/>
                <w:bottom w:val="none" w:sz="0" w:space="0" w:color="auto"/>
                <w:right w:val="none" w:sz="0" w:space="0" w:color="auto"/>
              </w:divBdr>
            </w:div>
          </w:divsChild>
        </w:div>
        <w:div w:id="592321781">
          <w:marLeft w:val="0"/>
          <w:marRight w:val="0"/>
          <w:marTop w:val="0"/>
          <w:marBottom w:val="0"/>
          <w:divBdr>
            <w:top w:val="none" w:sz="0" w:space="0" w:color="auto"/>
            <w:left w:val="none" w:sz="0" w:space="0" w:color="auto"/>
            <w:bottom w:val="none" w:sz="0" w:space="0" w:color="auto"/>
            <w:right w:val="none" w:sz="0" w:space="0" w:color="auto"/>
          </w:divBdr>
          <w:divsChild>
            <w:div w:id="1154613386">
              <w:marLeft w:val="0"/>
              <w:marRight w:val="0"/>
              <w:marTop w:val="0"/>
              <w:marBottom w:val="0"/>
              <w:divBdr>
                <w:top w:val="none" w:sz="0" w:space="0" w:color="auto"/>
                <w:left w:val="none" w:sz="0" w:space="0" w:color="auto"/>
                <w:bottom w:val="none" w:sz="0" w:space="0" w:color="auto"/>
                <w:right w:val="none" w:sz="0" w:space="0" w:color="auto"/>
              </w:divBdr>
            </w:div>
          </w:divsChild>
        </w:div>
        <w:div w:id="600836952">
          <w:marLeft w:val="0"/>
          <w:marRight w:val="0"/>
          <w:marTop w:val="0"/>
          <w:marBottom w:val="0"/>
          <w:divBdr>
            <w:top w:val="none" w:sz="0" w:space="0" w:color="auto"/>
            <w:left w:val="none" w:sz="0" w:space="0" w:color="auto"/>
            <w:bottom w:val="none" w:sz="0" w:space="0" w:color="auto"/>
            <w:right w:val="none" w:sz="0" w:space="0" w:color="auto"/>
          </w:divBdr>
          <w:divsChild>
            <w:div w:id="934871094">
              <w:marLeft w:val="0"/>
              <w:marRight w:val="0"/>
              <w:marTop w:val="0"/>
              <w:marBottom w:val="0"/>
              <w:divBdr>
                <w:top w:val="none" w:sz="0" w:space="0" w:color="auto"/>
                <w:left w:val="none" w:sz="0" w:space="0" w:color="auto"/>
                <w:bottom w:val="none" w:sz="0" w:space="0" w:color="auto"/>
                <w:right w:val="none" w:sz="0" w:space="0" w:color="auto"/>
              </w:divBdr>
            </w:div>
          </w:divsChild>
        </w:div>
        <w:div w:id="620889566">
          <w:marLeft w:val="0"/>
          <w:marRight w:val="0"/>
          <w:marTop w:val="0"/>
          <w:marBottom w:val="0"/>
          <w:divBdr>
            <w:top w:val="none" w:sz="0" w:space="0" w:color="auto"/>
            <w:left w:val="none" w:sz="0" w:space="0" w:color="auto"/>
            <w:bottom w:val="none" w:sz="0" w:space="0" w:color="auto"/>
            <w:right w:val="none" w:sz="0" w:space="0" w:color="auto"/>
          </w:divBdr>
          <w:divsChild>
            <w:div w:id="1170674770">
              <w:marLeft w:val="0"/>
              <w:marRight w:val="0"/>
              <w:marTop w:val="0"/>
              <w:marBottom w:val="0"/>
              <w:divBdr>
                <w:top w:val="none" w:sz="0" w:space="0" w:color="auto"/>
                <w:left w:val="none" w:sz="0" w:space="0" w:color="auto"/>
                <w:bottom w:val="none" w:sz="0" w:space="0" w:color="auto"/>
                <w:right w:val="none" w:sz="0" w:space="0" w:color="auto"/>
              </w:divBdr>
            </w:div>
          </w:divsChild>
        </w:div>
        <w:div w:id="630675474">
          <w:marLeft w:val="0"/>
          <w:marRight w:val="0"/>
          <w:marTop w:val="0"/>
          <w:marBottom w:val="0"/>
          <w:divBdr>
            <w:top w:val="none" w:sz="0" w:space="0" w:color="auto"/>
            <w:left w:val="none" w:sz="0" w:space="0" w:color="auto"/>
            <w:bottom w:val="none" w:sz="0" w:space="0" w:color="auto"/>
            <w:right w:val="none" w:sz="0" w:space="0" w:color="auto"/>
          </w:divBdr>
          <w:divsChild>
            <w:div w:id="1588882387">
              <w:marLeft w:val="0"/>
              <w:marRight w:val="0"/>
              <w:marTop w:val="0"/>
              <w:marBottom w:val="0"/>
              <w:divBdr>
                <w:top w:val="none" w:sz="0" w:space="0" w:color="auto"/>
                <w:left w:val="none" w:sz="0" w:space="0" w:color="auto"/>
                <w:bottom w:val="none" w:sz="0" w:space="0" w:color="auto"/>
                <w:right w:val="none" w:sz="0" w:space="0" w:color="auto"/>
              </w:divBdr>
            </w:div>
          </w:divsChild>
        </w:div>
        <w:div w:id="639043029">
          <w:marLeft w:val="0"/>
          <w:marRight w:val="0"/>
          <w:marTop w:val="0"/>
          <w:marBottom w:val="0"/>
          <w:divBdr>
            <w:top w:val="none" w:sz="0" w:space="0" w:color="auto"/>
            <w:left w:val="none" w:sz="0" w:space="0" w:color="auto"/>
            <w:bottom w:val="none" w:sz="0" w:space="0" w:color="auto"/>
            <w:right w:val="none" w:sz="0" w:space="0" w:color="auto"/>
          </w:divBdr>
          <w:divsChild>
            <w:div w:id="338502789">
              <w:marLeft w:val="0"/>
              <w:marRight w:val="0"/>
              <w:marTop w:val="0"/>
              <w:marBottom w:val="0"/>
              <w:divBdr>
                <w:top w:val="none" w:sz="0" w:space="0" w:color="auto"/>
                <w:left w:val="none" w:sz="0" w:space="0" w:color="auto"/>
                <w:bottom w:val="none" w:sz="0" w:space="0" w:color="auto"/>
                <w:right w:val="none" w:sz="0" w:space="0" w:color="auto"/>
              </w:divBdr>
            </w:div>
          </w:divsChild>
        </w:div>
        <w:div w:id="644819705">
          <w:marLeft w:val="0"/>
          <w:marRight w:val="0"/>
          <w:marTop w:val="0"/>
          <w:marBottom w:val="0"/>
          <w:divBdr>
            <w:top w:val="none" w:sz="0" w:space="0" w:color="auto"/>
            <w:left w:val="none" w:sz="0" w:space="0" w:color="auto"/>
            <w:bottom w:val="none" w:sz="0" w:space="0" w:color="auto"/>
            <w:right w:val="none" w:sz="0" w:space="0" w:color="auto"/>
          </w:divBdr>
          <w:divsChild>
            <w:div w:id="719089719">
              <w:marLeft w:val="0"/>
              <w:marRight w:val="0"/>
              <w:marTop w:val="0"/>
              <w:marBottom w:val="0"/>
              <w:divBdr>
                <w:top w:val="none" w:sz="0" w:space="0" w:color="auto"/>
                <w:left w:val="none" w:sz="0" w:space="0" w:color="auto"/>
                <w:bottom w:val="none" w:sz="0" w:space="0" w:color="auto"/>
                <w:right w:val="none" w:sz="0" w:space="0" w:color="auto"/>
              </w:divBdr>
            </w:div>
          </w:divsChild>
        </w:div>
        <w:div w:id="659699386">
          <w:marLeft w:val="0"/>
          <w:marRight w:val="0"/>
          <w:marTop w:val="0"/>
          <w:marBottom w:val="0"/>
          <w:divBdr>
            <w:top w:val="none" w:sz="0" w:space="0" w:color="auto"/>
            <w:left w:val="none" w:sz="0" w:space="0" w:color="auto"/>
            <w:bottom w:val="none" w:sz="0" w:space="0" w:color="auto"/>
            <w:right w:val="none" w:sz="0" w:space="0" w:color="auto"/>
          </w:divBdr>
          <w:divsChild>
            <w:div w:id="95251598">
              <w:marLeft w:val="0"/>
              <w:marRight w:val="0"/>
              <w:marTop w:val="0"/>
              <w:marBottom w:val="0"/>
              <w:divBdr>
                <w:top w:val="none" w:sz="0" w:space="0" w:color="auto"/>
                <w:left w:val="none" w:sz="0" w:space="0" w:color="auto"/>
                <w:bottom w:val="none" w:sz="0" w:space="0" w:color="auto"/>
                <w:right w:val="none" w:sz="0" w:space="0" w:color="auto"/>
              </w:divBdr>
            </w:div>
          </w:divsChild>
        </w:div>
        <w:div w:id="661734287">
          <w:marLeft w:val="0"/>
          <w:marRight w:val="0"/>
          <w:marTop w:val="0"/>
          <w:marBottom w:val="0"/>
          <w:divBdr>
            <w:top w:val="none" w:sz="0" w:space="0" w:color="auto"/>
            <w:left w:val="none" w:sz="0" w:space="0" w:color="auto"/>
            <w:bottom w:val="none" w:sz="0" w:space="0" w:color="auto"/>
            <w:right w:val="none" w:sz="0" w:space="0" w:color="auto"/>
          </w:divBdr>
          <w:divsChild>
            <w:div w:id="137263924">
              <w:marLeft w:val="0"/>
              <w:marRight w:val="0"/>
              <w:marTop w:val="0"/>
              <w:marBottom w:val="0"/>
              <w:divBdr>
                <w:top w:val="none" w:sz="0" w:space="0" w:color="auto"/>
                <w:left w:val="none" w:sz="0" w:space="0" w:color="auto"/>
                <w:bottom w:val="none" w:sz="0" w:space="0" w:color="auto"/>
                <w:right w:val="none" w:sz="0" w:space="0" w:color="auto"/>
              </w:divBdr>
            </w:div>
          </w:divsChild>
        </w:div>
        <w:div w:id="700974742">
          <w:marLeft w:val="0"/>
          <w:marRight w:val="0"/>
          <w:marTop w:val="0"/>
          <w:marBottom w:val="0"/>
          <w:divBdr>
            <w:top w:val="none" w:sz="0" w:space="0" w:color="auto"/>
            <w:left w:val="none" w:sz="0" w:space="0" w:color="auto"/>
            <w:bottom w:val="none" w:sz="0" w:space="0" w:color="auto"/>
            <w:right w:val="none" w:sz="0" w:space="0" w:color="auto"/>
          </w:divBdr>
          <w:divsChild>
            <w:div w:id="1507475248">
              <w:marLeft w:val="0"/>
              <w:marRight w:val="0"/>
              <w:marTop w:val="0"/>
              <w:marBottom w:val="0"/>
              <w:divBdr>
                <w:top w:val="none" w:sz="0" w:space="0" w:color="auto"/>
                <w:left w:val="none" w:sz="0" w:space="0" w:color="auto"/>
                <w:bottom w:val="none" w:sz="0" w:space="0" w:color="auto"/>
                <w:right w:val="none" w:sz="0" w:space="0" w:color="auto"/>
              </w:divBdr>
            </w:div>
          </w:divsChild>
        </w:div>
        <w:div w:id="711731503">
          <w:marLeft w:val="0"/>
          <w:marRight w:val="0"/>
          <w:marTop w:val="0"/>
          <w:marBottom w:val="0"/>
          <w:divBdr>
            <w:top w:val="none" w:sz="0" w:space="0" w:color="auto"/>
            <w:left w:val="none" w:sz="0" w:space="0" w:color="auto"/>
            <w:bottom w:val="none" w:sz="0" w:space="0" w:color="auto"/>
            <w:right w:val="none" w:sz="0" w:space="0" w:color="auto"/>
          </w:divBdr>
          <w:divsChild>
            <w:div w:id="2101756987">
              <w:marLeft w:val="0"/>
              <w:marRight w:val="0"/>
              <w:marTop w:val="0"/>
              <w:marBottom w:val="0"/>
              <w:divBdr>
                <w:top w:val="none" w:sz="0" w:space="0" w:color="auto"/>
                <w:left w:val="none" w:sz="0" w:space="0" w:color="auto"/>
                <w:bottom w:val="none" w:sz="0" w:space="0" w:color="auto"/>
                <w:right w:val="none" w:sz="0" w:space="0" w:color="auto"/>
              </w:divBdr>
            </w:div>
          </w:divsChild>
        </w:div>
        <w:div w:id="715201158">
          <w:marLeft w:val="0"/>
          <w:marRight w:val="0"/>
          <w:marTop w:val="0"/>
          <w:marBottom w:val="0"/>
          <w:divBdr>
            <w:top w:val="none" w:sz="0" w:space="0" w:color="auto"/>
            <w:left w:val="none" w:sz="0" w:space="0" w:color="auto"/>
            <w:bottom w:val="none" w:sz="0" w:space="0" w:color="auto"/>
            <w:right w:val="none" w:sz="0" w:space="0" w:color="auto"/>
          </w:divBdr>
          <w:divsChild>
            <w:div w:id="133527294">
              <w:marLeft w:val="0"/>
              <w:marRight w:val="0"/>
              <w:marTop w:val="0"/>
              <w:marBottom w:val="0"/>
              <w:divBdr>
                <w:top w:val="none" w:sz="0" w:space="0" w:color="auto"/>
                <w:left w:val="none" w:sz="0" w:space="0" w:color="auto"/>
                <w:bottom w:val="none" w:sz="0" w:space="0" w:color="auto"/>
                <w:right w:val="none" w:sz="0" w:space="0" w:color="auto"/>
              </w:divBdr>
            </w:div>
          </w:divsChild>
        </w:div>
        <w:div w:id="720977441">
          <w:marLeft w:val="0"/>
          <w:marRight w:val="0"/>
          <w:marTop w:val="0"/>
          <w:marBottom w:val="0"/>
          <w:divBdr>
            <w:top w:val="none" w:sz="0" w:space="0" w:color="auto"/>
            <w:left w:val="none" w:sz="0" w:space="0" w:color="auto"/>
            <w:bottom w:val="none" w:sz="0" w:space="0" w:color="auto"/>
            <w:right w:val="none" w:sz="0" w:space="0" w:color="auto"/>
          </w:divBdr>
          <w:divsChild>
            <w:div w:id="1440953188">
              <w:marLeft w:val="0"/>
              <w:marRight w:val="0"/>
              <w:marTop w:val="0"/>
              <w:marBottom w:val="0"/>
              <w:divBdr>
                <w:top w:val="none" w:sz="0" w:space="0" w:color="auto"/>
                <w:left w:val="none" w:sz="0" w:space="0" w:color="auto"/>
                <w:bottom w:val="none" w:sz="0" w:space="0" w:color="auto"/>
                <w:right w:val="none" w:sz="0" w:space="0" w:color="auto"/>
              </w:divBdr>
            </w:div>
          </w:divsChild>
        </w:div>
        <w:div w:id="747075370">
          <w:marLeft w:val="0"/>
          <w:marRight w:val="0"/>
          <w:marTop w:val="0"/>
          <w:marBottom w:val="0"/>
          <w:divBdr>
            <w:top w:val="none" w:sz="0" w:space="0" w:color="auto"/>
            <w:left w:val="none" w:sz="0" w:space="0" w:color="auto"/>
            <w:bottom w:val="none" w:sz="0" w:space="0" w:color="auto"/>
            <w:right w:val="none" w:sz="0" w:space="0" w:color="auto"/>
          </w:divBdr>
          <w:divsChild>
            <w:div w:id="76053677">
              <w:marLeft w:val="0"/>
              <w:marRight w:val="0"/>
              <w:marTop w:val="0"/>
              <w:marBottom w:val="0"/>
              <w:divBdr>
                <w:top w:val="none" w:sz="0" w:space="0" w:color="auto"/>
                <w:left w:val="none" w:sz="0" w:space="0" w:color="auto"/>
                <w:bottom w:val="none" w:sz="0" w:space="0" w:color="auto"/>
                <w:right w:val="none" w:sz="0" w:space="0" w:color="auto"/>
              </w:divBdr>
            </w:div>
          </w:divsChild>
        </w:div>
        <w:div w:id="757411421">
          <w:marLeft w:val="0"/>
          <w:marRight w:val="0"/>
          <w:marTop w:val="0"/>
          <w:marBottom w:val="0"/>
          <w:divBdr>
            <w:top w:val="none" w:sz="0" w:space="0" w:color="auto"/>
            <w:left w:val="none" w:sz="0" w:space="0" w:color="auto"/>
            <w:bottom w:val="none" w:sz="0" w:space="0" w:color="auto"/>
            <w:right w:val="none" w:sz="0" w:space="0" w:color="auto"/>
          </w:divBdr>
          <w:divsChild>
            <w:div w:id="1955137978">
              <w:marLeft w:val="0"/>
              <w:marRight w:val="0"/>
              <w:marTop w:val="0"/>
              <w:marBottom w:val="0"/>
              <w:divBdr>
                <w:top w:val="none" w:sz="0" w:space="0" w:color="auto"/>
                <w:left w:val="none" w:sz="0" w:space="0" w:color="auto"/>
                <w:bottom w:val="none" w:sz="0" w:space="0" w:color="auto"/>
                <w:right w:val="none" w:sz="0" w:space="0" w:color="auto"/>
              </w:divBdr>
            </w:div>
          </w:divsChild>
        </w:div>
        <w:div w:id="781876749">
          <w:marLeft w:val="0"/>
          <w:marRight w:val="0"/>
          <w:marTop w:val="0"/>
          <w:marBottom w:val="0"/>
          <w:divBdr>
            <w:top w:val="none" w:sz="0" w:space="0" w:color="auto"/>
            <w:left w:val="none" w:sz="0" w:space="0" w:color="auto"/>
            <w:bottom w:val="none" w:sz="0" w:space="0" w:color="auto"/>
            <w:right w:val="none" w:sz="0" w:space="0" w:color="auto"/>
          </w:divBdr>
          <w:divsChild>
            <w:div w:id="146172389">
              <w:marLeft w:val="0"/>
              <w:marRight w:val="0"/>
              <w:marTop w:val="0"/>
              <w:marBottom w:val="0"/>
              <w:divBdr>
                <w:top w:val="none" w:sz="0" w:space="0" w:color="auto"/>
                <w:left w:val="none" w:sz="0" w:space="0" w:color="auto"/>
                <w:bottom w:val="none" w:sz="0" w:space="0" w:color="auto"/>
                <w:right w:val="none" w:sz="0" w:space="0" w:color="auto"/>
              </w:divBdr>
            </w:div>
          </w:divsChild>
        </w:div>
        <w:div w:id="807549690">
          <w:marLeft w:val="0"/>
          <w:marRight w:val="0"/>
          <w:marTop w:val="0"/>
          <w:marBottom w:val="0"/>
          <w:divBdr>
            <w:top w:val="none" w:sz="0" w:space="0" w:color="auto"/>
            <w:left w:val="none" w:sz="0" w:space="0" w:color="auto"/>
            <w:bottom w:val="none" w:sz="0" w:space="0" w:color="auto"/>
            <w:right w:val="none" w:sz="0" w:space="0" w:color="auto"/>
          </w:divBdr>
          <w:divsChild>
            <w:div w:id="2040547478">
              <w:marLeft w:val="0"/>
              <w:marRight w:val="0"/>
              <w:marTop w:val="0"/>
              <w:marBottom w:val="0"/>
              <w:divBdr>
                <w:top w:val="none" w:sz="0" w:space="0" w:color="auto"/>
                <w:left w:val="none" w:sz="0" w:space="0" w:color="auto"/>
                <w:bottom w:val="none" w:sz="0" w:space="0" w:color="auto"/>
                <w:right w:val="none" w:sz="0" w:space="0" w:color="auto"/>
              </w:divBdr>
            </w:div>
          </w:divsChild>
        </w:div>
        <w:div w:id="824472980">
          <w:marLeft w:val="0"/>
          <w:marRight w:val="0"/>
          <w:marTop w:val="0"/>
          <w:marBottom w:val="0"/>
          <w:divBdr>
            <w:top w:val="none" w:sz="0" w:space="0" w:color="auto"/>
            <w:left w:val="none" w:sz="0" w:space="0" w:color="auto"/>
            <w:bottom w:val="none" w:sz="0" w:space="0" w:color="auto"/>
            <w:right w:val="none" w:sz="0" w:space="0" w:color="auto"/>
          </w:divBdr>
          <w:divsChild>
            <w:div w:id="183401759">
              <w:marLeft w:val="0"/>
              <w:marRight w:val="0"/>
              <w:marTop w:val="0"/>
              <w:marBottom w:val="0"/>
              <w:divBdr>
                <w:top w:val="none" w:sz="0" w:space="0" w:color="auto"/>
                <w:left w:val="none" w:sz="0" w:space="0" w:color="auto"/>
                <w:bottom w:val="none" w:sz="0" w:space="0" w:color="auto"/>
                <w:right w:val="none" w:sz="0" w:space="0" w:color="auto"/>
              </w:divBdr>
            </w:div>
          </w:divsChild>
        </w:div>
        <w:div w:id="908807734">
          <w:marLeft w:val="0"/>
          <w:marRight w:val="0"/>
          <w:marTop w:val="0"/>
          <w:marBottom w:val="0"/>
          <w:divBdr>
            <w:top w:val="none" w:sz="0" w:space="0" w:color="auto"/>
            <w:left w:val="none" w:sz="0" w:space="0" w:color="auto"/>
            <w:bottom w:val="none" w:sz="0" w:space="0" w:color="auto"/>
            <w:right w:val="none" w:sz="0" w:space="0" w:color="auto"/>
          </w:divBdr>
          <w:divsChild>
            <w:div w:id="2067020575">
              <w:marLeft w:val="0"/>
              <w:marRight w:val="0"/>
              <w:marTop w:val="0"/>
              <w:marBottom w:val="0"/>
              <w:divBdr>
                <w:top w:val="none" w:sz="0" w:space="0" w:color="auto"/>
                <w:left w:val="none" w:sz="0" w:space="0" w:color="auto"/>
                <w:bottom w:val="none" w:sz="0" w:space="0" w:color="auto"/>
                <w:right w:val="none" w:sz="0" w:space="0" w:color="auto"/>
              </w:divBdr>
            </w:div>
          </w:divsChild>
        </w:div>
        <w:div w:id="948586558">
          <w:marLeft w:val="0"/>
          <w:marRight w:val="0"/>
          <w:marTop w:val="0"/>
          <w:marBottom w:val="0"/>
          <w:divBdr>
            <w:top w:val="none" w:sz="0" w:space="0" w:color="auto"/>
            <w:left w:val="none" w:sz="0" w:space="0" w:color="auto"/>
            <w:bottom w:val="none" w:sz="0" w:space="0" w:color="auto"/>
            <w:right w:val="none" w:sz="0" w:space="0" w:color="auto"/>
          </w:divBdr>
          <w:divsChild>
            <w:div w:id="1116563818">
              <w:marLeft w:val="0"/>
              <w:marRight w:val="0"/>
              <w:marTop w:val="0"/>
              <w:marBottom w:val="0"/>
              <w:divBdr>
                <w:top w:val="none" w:sz="0" w:space="0" w:color="auto"/>
                <w:left w:val="none" w:sz="0" w:space="0" w:color="auto"/>
                <w:bottom w:val="none" w:sz="0" w:space="0" w:color="auto"/>
                <w:right w:val="none" w:sz="0" w:space="0" w:color="auto"/>
              </w:divBdr>
            </w:div>
          </w:divsChild>
        </w:div>
        <w:div w:id="977346755">
          <w:marLeft w:val="0"/>
          <w:marRight w:val="0"/>
          <w:marTop w:val="0"/>
          <w:marBottom w:val="0"/>
          <w:divBdr>
            <w:top w:val="none" w:sz="0" w:space="0" w:color="auto"/>
            <w:left w:val="none" w:sz="0" w:space="0" w:color="auto"/>
            <w:bottom w:val="none" w:sz="0" w:space="0" w:color="auto"/>
            <w:right w:val="none" w:sz="0" w:space="0" w:color="auto"/>
          </w:divBdr>
          <w:divsChild>
            <w:div w:id="1213420128">
              <w:marLeft w:val="0"/>
              <w:marRight w:val="0"/>
              <w:marTop w:val="0"/>
              <w:marBottom w:val="0"/>
              <w:divBdr>
                <w:top w:val="none" w:sz="0" w:space="0" w:color="auto"/>
                <w:left w:val="none" w:sz="0" w:space="0" w:color="auto"/>
                <w:bottom w:val="none" w:sz="0" w:space="0" w:color="auto"/>
                <w:right w:val="none" w:sz="0" w:space="0" w:color="auto"/>
              </w:divBdr>
            </w:div>
          </w:divsChild>
        </w:div>
        <w:div w:id="990211844">
          <w:marLeft w:val="0"/>
          <w:marRight w:val="0"/>
          <w:marTop w:val="0"/>
          <w:marBottom w:val="0"/>
          <w:divBdr>
            <w:top w:val="none" w:sz="0" w:space="0" w:color="auto"/>
            <w:left w:val="none" w:sz="0" w:space="0" w:color="auto"/>
            <w:bottom w:val="none" w:sz="0" w:space="0" w:color="auto"/>
            <w:right w:val="none" w:sz="0" w:space="0" w:color="auto"/>
          </w:divBdr>
          <w:divsChild>
            <w:div w:id="2131700417">
              <w:marLeft w:val="0"/>
              <w:marRight w:val="0"/>
              <w:marTop w:val="0"/>
              <w:marBottom w:val="0"/>
              <w:divBdr>
                <w:top w:val="none" w:sz="0" w:space="0" w:color="auto"/>
                <w:left w:val="none" w:sz="0" w:space="0" w:color="auto"/>
                <w:bottom w:val="none" w:sz="0" w:space="0" w:color="auto"/>
                <w:right w:val="none" w:sz="0" w:space="0" w:color="auto"/>
              </w:divBdr>
            </w:div>
          </w:divsChild>
        </w:div>
        <w:div w:id="1030031490">
          <w:marLeft w:val="0"/>
          <w:marRight w:val="0"/>
          <w:marTop w:val="0"/>
          <w:marBottom w:val="0"/>
          <w:divBdr>
            <w:top w:val="none" w:sz="0" w:space="0" w:color="auto"/>
            <w:left w:val="none" w:sz="0" w:space="0" w:color="auto"/>
            <w:bottom w:val="none" w:sz="0" w:space="0" w:color="auto"/>
            <w:right w:val="none" w:sz="0" w:space="0" w:color="auto"/>
          </w:divBdr>
          <w:divsChild>
            <w:div w:id="859666755">
              <w:marLeft w:val="0"/>
              <w:marRight w:val="0"/>
              <w:marTop w:val="0"/>
              <w:marBottom w:val="0"/>
              <w:divBdr>
                <w:top w:val="none" w:sz="0" w:space="0" w:color="auto"/>
                <w:left w:val="none" w:sz="0" w:space="0" w:color="auto"/>
                <w:bottom w:val="none" w:sz="0" w:space="0" w:color="auto"/>
                <w:right w:val="none" w:sz="0" w:space="0" w:color="auto"/>
              </w:divBdr>
            </w:div>
          </w:divsChild>
        </w:div>
        <w:div w:id="1038553046">
          <w:marLeft w:val="0"/>
          <w:marRight w:val="0"/>
          <w:marTop w:val="0"/>
          <w:marBottom w:val="0"/>
          <w:divBdr>
            <w:top w:val="none" w:sz="0" w:space="0" w:color="auto"/>
            <w:left w:val="none" w:sz="0" w:space="0" w:color="auto"/>
            <w:bottom w:val="none" w:sz="0" w:space="0" w:color="auto"/>
            <w:right w:val="none" w:sz="0" w:space="0" w:color="auto"/>
          </w:divBdr>
          <w:divsChild>
            <w:div w:id="110445945">
              <w:marLeft w:val="0"/>
              <w:marRight w:val="0"/>
              <w:marTop w:val="0"/>
              <w:marBottom w:val="0"/>
              <w:divBdr>
                <w:top w:val="none" w:sz="0" w:space="0" w:color="auto"/>
                <w:left w:val="none" w:sz="0" w:space="0" w:color="auto"/>
                <w:bottom w:val="none" w:sz="0" w:space="0" w:color="auto"/>
                <w:right w:val="none" w:sz="0" w:space="0" w:color="auto"/>
              </w:divBdr>
            </w:div>
          </w:divsChild>
        </w:div>
        <w:div w:id="1130510347">
          <w:marLeft w:val="0"/>
          <w:marRight w:val="0"/>
          <w:marTop w:val="0"/>
          <w:marBottom w:val="0"/>
          <w:divBdr>
            <w:top w:val="none" w:sz="0" w:space="0" w:color="auto"/>
            <w:left w:val="none" w:sz="0" w:space="0" w:color="auto"/>
            <w:bottom w:val="none" w:sz="0" w:space="0" w:color="auto"/>
            <w:right w:val="none" w:sz="0" w:space="0" w:color="auto"/>
          </w:divBdr>
          <w:divsChild>
            <w:div w:id="1384670600">
              <w:marLeft w:val="0"/>
              <w:marRight w:val="0"/>
              <w:marTop w:val="0"/>
              <w:marBottom w:val="0"/>
              <w:divBdr>
                <w:top w:val="none" w:sz="0" w:space="0" w:color="auto"/>
                <w:left w:val="none" w:sz="0" w:space="0" w:color="auto"/>
                <w:bottom w:val="none" w:sz="0" w:space="0" w:color="auto"/>
                <w:right w:val="none" w:sz="0" w:space="0" w:color="auto"/>
              </w:divBdr>
            </w:div>
          </w:divsChild>
        </w:div>
        <w:div w:id="1153449554">
          <w:marLeft w:val="0"/>
          <w:marRight w:val="0"/>
          <w:marTop w:val="0"/>
          <w:marBottom w:val="0"/>
          <w:divBdr>
            <w:top w:val="none" w:sz="0" w:space="0" w:color="auto"/>
            <w:left w:val="none" w:sz="0" w:space="0" w:color="auto"/>
            <w:bottom w:val="none" w:sz="0" w:space="0" w:color="auto"/>
            <w:right w:val="none" w:sz="0" w:space="0" w:color="auto"/>
          </w:divBdr>
          <w:divsChild>
            <w:div w:id="1696076546">
              <w:marLeft w:val="0"/>
              <w:marRight w:val="0"/>
              <w:marTop w:val="0"/>
              <w:marBottom w:val="0"/>
              <w:divBdr>
                <w:top w:val="none" w:sz="0" w:space="0" w:color="auto"/>
                <w:left w:val="none" w:sz="0" w:space="0" w:color="auto"/>
                <w:bottom w:val="none" w:sz="0" w:space="0" w:color="auto"/>
                <w:right w:val="none" w:sz="0" w:space="0" w:color="auto"/>
              </w:divBdr>
            </w:div>
          </w:divsChild>
        </w:div>
        <w:div w:id="1156534264">
          <w:marLeft w:val="0"/>
          <w:marRight w:val="0"/>
          <w:marTop w:val="0"/>
          <w:marBottom w:val="0"/>
          <w:divBdr>
            <w:top w:val="none" w:sz="0" w:space="0" w:color="auto"/>
            <w:left w:val="none" w:sz="0" w:space="0" w:color="auto"/>
            <w:bottom w:val="none" w:sz="0" w:space="0" w:color="auto"/>
            <w:right w:val="none" w:sz="0" w:space="0" w:color="auto"/>
          </w:divBdr>
          <w:divsChild>
            <w:div w:id="1313683038">
              <w:marLeft w:val="0"/>
              <w:marRight w:val="0"/>
              <w:marTop w:val="0"/>
              <w:marBottom w:val="0"/>
              <w:divBdr>
                <w:top w:val="none" w:sz="0" w:space="0" w:color="auto"/>
                <w:left w:val="none" w:sz="0" w:space="0" w:color="auto"/>
                <w:bottom w:val="none" w:sz="0" w:space="0" w:color="auto"/>
                <w:right w:val="none" w:sz="0" w:space="0" w:color="auto"/>
              </w:divBdr>
            </w:div>
          </w:divsChild>
        </w:div>
        <w:div w:id="1164737454">
          <w:marLeft w:val="0"/>
          <w:marRight w:val="0"/>
          <w:marTop w:val="0"/>
          <w:marBottom w:val="0"/>
          <w:divBdr>
            <w:top w:val="none" w:sz="0" w:space="0" w:color="auto"/>
            <w:left w:val="none" w:sz="0" w:space="0" w:color="auto"/>
            <w:bottom w:val="none" w:sz="0" w:space="0" w:color="auto"/>
            <w:right w:val="none" w:sz="0" w:space="0" w:color="auto"/>
          </w:divBdr>
          <w:divsChild>
            <w:div w:id="1567302223">
              <w:marLeft w:val="0"/>
              <w:marRight w:val="0"/>
              <w:marTop w:val="0"/>
              <w:marBottom w:val="0"/>
              <w:divBdr>
                <w:top w:val="none" w:sz="0" w:space="0" w:color="auto"/>
                <w:left w:val="none" w:sz="0" w:space="0" w:color="auto"/>
                <w:bottom w:val="none" w:sz="0" w:space="0" w:color="auto"/>
                <w:right w:val="none" w:sz="0" w:space="0" w:color="auto"/>
              </w:divBdr>
            </w:div>
          </w:divsChild>
        </w:div>
        <w:div w:id="1190533057">
          <w:marLeft w:val="0"/>
          <w:marRight w:val="0"/>
          <w:marTop w:val="0"/>
          <w:marBottom w:val="0"/>
          <w:divBdr>
            <w:top w:val="none" w:sz="0" w:space="0" w:color="auto"/>
            <w:left w:val="none" w:sz="0" w:space="0" w:color="auto"/>
            <w:bottom w:val="none" w:sz="0" w:space="0" w:color="auto"/>
            <w:right w:val="none" w:sz="0" w:space="0" w:color="auto"/>
          </w:divBdr>
          <w:divsChild>
            <w:div w:id="1350258422">
              <w:marLeft w:val="0"/>
              <w:marRight w:val="0"/>
              <w:marTop w:val="0"/>
              <w:marBottom w:val="0"/>
              <w:divBdr>
                <w:top w:val="none" w:sz="0" w:space="0" w:color="auto"/>
                <w:left w:val="none" w:sz="0" w:space="0" w:color="auto"/>
                <w:bottom w:val="none" w:sz="0" w:space="0" w:color="auto"/>
                <w:right w:val="none" w:sz="0" w:space="0" w:color="auto"/>
              </w:divBdr>
            </w:div>
          </w:divsChild>
        </w:div>
        <w:div w:id="1197430263">
          <w:marLeft w:val="0"/>
          <w:marRight w:val="0"/>
          <w:marTop w:val="0"/>
          <w:marBottom w:val="0"/>
          <w:divBdr>
            <w:top w:val="none" w:sz="0" w:space="0" w:color="auto"/>
            <w:left w:val="none" w:sz="0" w:space="0" w:color="auto"/>
            <w:bottom w:val="none" w:sz="0" w:space="0" w:color="auto"/>
            <w:right w:val="none" w:sz="0" w:space="0" w:color="auto"/>
          </w:divBdr>
          <w:divsChild>
            <w:div w:id="710544190">
              <w:marLeft w:val="0"/>
              <w:marRight w:val="0"/>
              <w:marTop w:val="0"/>
              <w:marBottom w:val="0"/>
              <w:divBdr>
                <w:top w:val="none" w:sz="0" w:space="0" w:color="auto"/>
                <w:left w:val="none" w:sz="0" w:space="0" w:color="auto"/>
                <w:bottom w:val="none" w:sz="0" w:space="0" w:color="auto"/>
                <w:right w:val="none" w:sz="0" w:space="0" w:color="auto"/>
              </w:divBdr>
            </w:div>
          </w:divsChild>
        </w:div>
        <w:div w:id="1236160984">
          <w:marLeft w:val="0"/>
          <w:marRight w:val="0"/>
          <w:marTop w:val="0"/>
          <w:marBottom w:val="0"/>
          <w:divBdr>
            <w:top w:val="none" w:sz="0" w:space="0" w:color="auto"/>
            <w:left w:val="none" w:sz="0" w:space="0" w:color="auto"/>
            <w:bottom w:val="none" w:sz="0" w:space="0" w:color="auto"/>
            <w:right w:val="none" w:sz="0" w:space="0" w:color="auto"/>
          </w:divBdr>
          <w:divsChild>
            <w:div w:id="1585528822">
              <w:marLeft w:val="0"/>
              <w:marRight w:val="0"/>
              <w:marTop w:val="0"/>
              <w:marBottom w:val="0"/>
              <w:divBdr>
                <w:top w:val="none" w:sz="0" w:space="0" w:color="auto"/>
                <w:left w:val="none" w:sz="0" w:space="0" w:color="auto"/>
                <w:bottom w:val="none" w:sz="0" w:space="0" w:color="auto"/>
                <w:right w:val="none" w:sz="0" w:space="0" w:color="auto"/>
              </w:divBdr>
            </w:div>
          </w:divsChild>
        </w:div>
        <w:div w:id="1238633894">
          <w:marLeft w:val="0"/>
          <w:marRight w:val="0"/>
          <w:marTop w:val="0"/>
          <w:marBottom w:val="0"/>
          <w:divBdr>
            <w:top w:val="none" w:sz="0" w:space="0" w:color="auto"/>
            <w:left w:val="none" w:sz="0" w:space="0" w:color="auto"/>
            <w:bottom w:val="none" w:sz="0" w:space="0" w:color="auto"/>
            <w:right w:val="none" w:sz="0" w:space="0" w:color="auto"/>
          </w:divBdr>
          <w:divsChild>
            <w:div w:id="919678504">
              <w:marLeft w:val="0"/>
              <w:marRight w:val="0"/>
              <w:marTop w:val="0"/>
              <w:marBottom w:val="0"/>
              <w:divBdr>
                <w:top w:val="none" w:sz="0" w:space="0" w:color="auto"/>
                <w:left w:val="none" w:sz="0" w:space="0" w:color="auto"/>
                <w:bottom w:val="none" w:sz="0" w:space="0" w:color="auto"/>
                <w:right w:val="none" w:sz="0" w:space="0" w:color="auto"/>
              </w:divBdr>
            </w:div>
          </w:divsChild>
        </w:div>
        <w:div w:id="1247959274">
          <w:marLeft w:val="0"/>
          <w:marRight w:val="0"/>
          <w:marTop w:val="0"/>
          <w:marBottom w:val="0"/>
          <w:divBdr>
            <w:top w:val="none" w:sz="0" w:space="0" w:color="auto"/>
            <w:left w:val="none" w:sz="0" w:space="0" w:color="auto"/>
            <w:bottom w:val="none" w:sz="0" w:space="0" w:color="auto"/>
            <w:right w:val="none" w:sz="0" w:space="0" w:color="auto"/>
          </w:divBdr>
          <w:divsChild>
            <w:div w:id="156502636">
              <w:marLeft w:val="0"/>
              <w:marRight w:val="0"/>
              <w:marTop w:val="0"/>
              <w:marBottom w:val="0"/>
              <w:divBdr>
                <w:top w:val="none" w:sz="0" w:space="0" w:color="auto"/>
                <w:left w:val="none" w:sz="0" w:space="0" w:color="auto"/>
                <w:bottom w:val="none" w:sz="0" w:space="0" w:color="auto"/>
                <w:right w:val="none" w:sz="0" w:space="0" w:color="auto"/>
              </w:divBdr>
            </w:div>
          </w:divsChild>
        </w:div>
        <w:div w:id="1256943270">
          <w:marLeft w:val="0"/>
          <w:marRight w:val="0"/>
          <w:marTop w:val="0"/>
          <w:marBottom w:val="0"/>
          <w:divBdr>
            <w:top w:val="none" w:sz="0" w:space="0" w:color="auto"/>
            <w:left w:val="none" w:sz="0" w:space="0" w:color="auto"/>
            <w:bottom w:val="none" w:sz="0" w:space="0" w:color="auto"/>
            <w:right w:val="none" w:sz="0" w:space="0" w:color="auto"/>
          </w:divBdr>
          <w:divsChild>
            <w:div w:id="1887990437">
              <w:marLeft w:val="0"/>
              <w:marRight w:val="0"/>
              <w:marTop w:val="0"/>
              <w:marBottom w:val="0"/>
              <w:divBdr>
                <w:top w:val="none" w:sz="0" w:space="0" w:color="auto"/>
                <w:left w:val="none" w:sz="0" w:space="0" w:color="auto"/>
                <w:bottom w:val="none" w:sz="0" w:space="0" w:color="auto"/>
                <w:right w:val="none" w:sz="0" w:space="0" w:color="auto"/>
              </w:divBdr>
            </w:div>
          </w:divsChild>
        </w:div>
        <w:div w:id="1269511251">
          <w:marLeft w:val="0"/>
          <w:marRight w:val="0"/>
          <w:marTop w:val="0"/>
          <w:marBottom w:val="0"/>
          <w:divBdr>
            <w:top w:val="none" w:sz="0" w:space="0" w:color="auto"/>
            <w:left w:val="none" w:sz="0" w:space="0" w:color="auto"/>
            <w:bottom w:val="none" w:sz="0" w:space="0" w:color="auto"/>
            <w:right w:val="none" w:sz="0" w:space="0" w:color="auto"/>
          </w:divBdr>
          <w:divsChild>
            <w:div w:id="814763659">
              <w:marLeft w:val="0"/>
              <w:marRight w:val="0"/>
              <w:marTop w:val="0"/>
              <w:marBottom w:val="0"/>
              <w:divBdr>
                <w:top w:val="none" w:sz="0" w:space="0" w:color="auto"/>
                <w:left w:val="none" w:sz="0" w:space="0" w:color="auto"/>
                <w:bottom w:val="none" w:sz="0" w:space="0" w:color="auto"/>
                <w:right w:val="none" w:sz="0" w:space="0" w:color="auto"/>
              </w:divBdr>
            </w:div>
          </w:divsChild>
        </w:div>
        <w:div w:id="1282806188">
          <w:marLeft w:val="0"/>
          <w:marRight w:val="0"/>
          <w:marTop w:val="0"/>
          <w:marBottom w:val="0"/>
          <w:divBdr>
            <w:top w:val="none" w:sz="0" w:space="0" w:color="auto"/>
            <w:left w:val="none" w:sz="0" w:space="0" w:color="auto"/>
            <w:bottom w:val="none" w:sz="0" w:space="0" w:color="auto"/>
            <w:right w:val="none" w:sz="0" w:space="0" w:color="auto"/>
          </w:divBdr>
          <w:divsChild>
            <w:div w:id="859513116">
              <w:marLeft w:val="0"/>
              <w:marRight w:val="0"/>
              <w:marTop w:val="0"/>
              <w:marBottom w:val="0"/>
              <w:divBdr>
                <w:top w:val="none" w:sz="0" w:space="0" w:color="auto"/>
                <w:left w:val="none" w:sz="0" w:space="0" w:color="auto"/>
                <w:bottom w:val="none" w:sz="0" w:space="0" w:color="auto"/>
                <w:right w:val="none" w:sz="0" w:space="0" w:color="auto"/>
              </w:divBdr>
            </w:div>
          </w:divsChild>
        </w:div>
        <w:div w:id="1298801842">
          <w:marLeft w:val="0"/>
          <w:marRight w:val="0"/>
          <w:marTop w:val="0"/>
          <w:marBottom w:val="0"/>
          <w:divBdr>
            <w:top w:val="none" w:sz="0" w:space="0" w:color="auto"/>
            <w:left w:val="none" w:sz="0" w:space="0" w:color="auto"/>
            <w:bottom w:val="none" w:sz="0" w:space="0" w:color="auto"/>
            <w:right w:val="none" w:sz="0" w:space="0" w:color="auto"/>
          </w:divBdr>
          <w:divsChild>
            <w:div w:id="1696274459">
              <w:marLeft w:val="0"/>
              <w:marRight w:val="0"/>
              <w:marTop w:val="0"/>
              <w:marBottom w:val="0"/>
              <w:divBdr>
                <w:top w:val="none" w:sz="0" w:space="0" w:color="auto"/>
                <w:left w:val="none" w:sz="0" w:space="0" w:color="auto"/>
                <w:bottom w:val="none" w:sz="0" w:space="0" w:color="auto"/>
                <w:right w:val="none" w:sz="0" w:space="0" w:color="auto"/>
              </w:divBdr>
            </w:div>
          </w:divsChild>
        </w:div>
        <w:div w:id="1305894554">
          <w:marLeft w:val="0"/>
          <w:marRight w:val="0"/>
          <w:marTop w:val="0"/>
          <w:marBottom w:val="0"/>
          <w:divBdr>
            <w:top w:val="none" w:sz="0" w:space="0" w:color="auto"/>
            <w:left w:val="none" w:sz="0" w:space="0" w:color="auto"/>
            <w:bottom w:val="none" w:sz="0" w:space="0" w:color="auto"/>
            <w:right w:val="none" w:sz="0" w:space="0" w:color="auto"/>
          </w:divBdr>
          <w:divsChild>
            <w:div w:id="1111779340">
              <w:marLeft w:val="0"/>
              <w:marRight w:val="0"/>
              <w:marTop w:val="0"/>
              <w:marBottom w:val="0"/>
              <w:divBdr>
                <w:top w:val="none" w:sz="0" w:space="0" w:color="auto"/>
                <w:left w:val="none" w:sz="0" w:space="0" w:color="auto"/>
                <w:bottom w:val="none" w:sz="0" w:space="0" w:color="auto"/>
                <w:right w:val="none" w:sz="0" w:space="0" w:color="auto"/>
              </w:divBdr>
            </w:div>
          </w:divsChild>
        </w:div>
        <w:div w:id="1321690000">
          <w:marLeft w:val="0"/>
          <w:marRight w:val="0"/>
          <w:marTop w:val="0"/>
          <w:marBottom w:val="0"/>
          <w:divBdr>
            <w:top w:val="none" w:sz="0" w:space="0" w:color="auto"/>
            <w:left w:val="none" w:sz="0" w:space="0" w:color="auto"/>
            <w:bottom w:val="none" w:sz="0" w:space="0" w:color="auto"/>
            <w:right w:val="none" w:sz="0" w:space="0" w:color="auto"/>
          </w:divBdr>
          <w:divsChild>
            <w:div w:id="597518105">
              <w:marLeft w:val="0"/>
              <w:marRight w:val="0"/>
              <w:marTop w:val="0"/>
              <w:marBottom w:val="0"/>
              <w:divBdr>
                <w:top w:val="none" w:sz="0" w:space="0" w:color="auto"/>
                <w:left w:val="none" w:sz="0" w:space="0" w:color="auto"/>
                <w:bottom w:val="none" w:sz="0" w:space="0" w:color="auto"/>
                <w:right w:val="none" w:sz="0" w:space="0" w:color="auto"/>
              </w:divBdr>
            </w:div>
          </w:divsChild>
        </w:div>
        <w:div w:id="1339966595">
          <w:marLeft w:val="0"/>
          <w:marRight w:val="0"/>
          <w:marTop w:val="0"/>
          <w:marBottom w:val="0"/>
          <w:divBdr>
            <w:top w:val="none" w:sz="0" w:space="0" w:color="auto"/>
            <w:left w:val="none" w:sz="0" w:space="0" w:color="auto"/>
            <w:bottom w:val="none" w:sz="0" w:space="0" w:color="auto"/>
            <w:right w:val="none" w:sz="0" w:space="0" w:color="auto"/>
          </w:divBdr>
          <w:divsChild>
            <w:div w:id="1768185441">
              <w:marLeft w:val="0"/>
              <w:marRight w:val="0"/>
              <w:marTop w:val="0"/>
              <w:marBottom w:val="0"/>
              <w:divBdr>
                <w:top w:val="none" w:sz="0" w:space="0" w:color="auto"/>
                <w:left w:val="none" w:sz="0" w:space="0" w:color="auto"/>
                <w:bottom w:val="none" w:sz="0" w:space="0" w:color="auto"/>
                <w:right w:val="none" w:sz="0" w:space="0" w:color="auto"/>
              </w:divBdr>
            </w:div>
          </w:divsChild>
        </w:div>
        <w:div w:id="1382821746">
          <w:marLeft w:val="0"/>
          <w:marRight w:val="0"/>
          <w:marTop w:val="0"/>
          <w:marBottom w:val="0"/>
          <w:divBdr>
            <w:top w:val="none" w:sz="0" w:space="0" w:color="auto"/>
            <w:left w:val="none" w:sz="0" w:space="0" w:color="auto"/>
            <w:bottom w:val="none" w:sz="0" w:space="0" w:color="auto"/>
            <w:right w:val="none" w:sz="0" w:space="0" w:color="auto"/>
          </w:divBdr>
          <w:divsChild>
            <w:div w:id="1904634726">
              <w:marLeft w:val="0"/>
              <w:marRight w:val="0"/>
              <w:marTop w:val="0"/>
              <w:marBottom w:val="0"/>
              <w:divBdr>
                <w:top w:val="none" w:sz="0" w:space="0" w:color="auto"/>
                <w:left w:val="none" w:sz="0" w:space="0" w:color="auto"/>
                <w:bottom w:val="none" w:sz="0" w:space="0" w:color="auto"/>
                <w:right w:val="none" w:sz="0" w:space="0" w:color="auto"/>
              </w:divBdr>
            </w:div>
          </w:divsChild>
        </w:div>
        <w:div w:id="1386761455">
          <w:marLeft w:val="0"/>
          <w:marRight w:val="0"/>
          <w:marTop w:val="0"/>
          <w:marBottom w:val="0"/>
          <w:divBdr>
            <w:top w:val="none" w:sz="0" w:space="0" w:color="auto"/>
            <w:left w:val="none" w:sz="0" w:space="0" w:color="auto"/>
            <w:bottom w:val="none" w:sz="0" w:space="0" w:color="auto"/>
            <w:right w:val="none" w:sz="0" w:space="0" w:color="auto"/>
          </w:divBdr>
          <w:divsChild>
            <w:div w:id="255678159">
              <w:marLeft w:val="0"/>
              <w:marRight w:val="0"/>
              <w:marTop w:val="0"/>
              <w:marBottom w:val="0"/>
              <w:divBdr>
                <w:top w:val="none" w:sz="0" w:space="0" w:color="auto"/>
                <w:left w:val="none" w:sz="0" w:space="0" w:color="auto"/>
                <w:bottom w:val="none" w:sz="0" w:space="0" w:color="auto"/>
                <w:right w:val="none" w:sz="0" w:space="0" w:color="auto"/>
              </w:divBdr>
            </w:div>
          </w:divsChild>
        </w:div>
        <w:div w:id="1391227182">
          <w:marLeft w:val="0"/>
          <w:marRight w:val="0"/>
          <w:marTop w:val="0"/>
          <w:marBottom w:val="0"/>
          <w:divBdr>
            <w:top w:val="none" w:sz="0" w:space="0" w:color="auto"/>
            <w:left w:val="none" w:sz="0" w:space="0" w:color="auto"/>
            <w:bottom w:val="none" w:sz="0" w:space="0" w:color="auto"/>
            <w:right w:val="none" w:sz="0" w:space="0" w:color="auto"/>
          </w:divBdr>
          <w:divsChild>
            <w:div w:id="818809539">
              <w:marLeft w:val="0"/>
              <w:marRight w:val="0"/>
              <w:marTop w:val="0"/>
              <w:marBottom w:val="0"/>
              <w:divBdr>
                <w:top w:val="none" w:sz="0" w:space="0" w:color="auto"/>
                <w:left w:val="none" w:sz="0" w:space="0" w:color="auto"/>
                <w:bottom w:val="none" w:sz="0" w:space="0" w:color="auto"/>
                <w:right w:val="none" w:sz="0" w:space="0" w:color="auto"/>
              </w:divBdr>
            </w:div>
          </w:divsChild>
        </w:div>
        <w:div w:id="1427311018">
          <w:marLeft w:val="0"/>
          <w:marRight w:val="0"/>
          <w:marTop w:val="0"/>
          <w:marBottom w:val="0"/>
          <w:divBdr>
            <w:top w:val="none" w:sz="0" w:space="0" w:color="auto"/>
            <w:left w:val="none" w:sz="0" w:space="0" w:color="auto"/>
            <w:bottom w:val="none" w:sz="0" w:space="0" w:color="auto"/>
            <w:right w:val="none" w:sz="0" w:space="0" w:color="auto"/>
          </w:divBdr>
          <w:divsChild>
            <w:div w:id="1943104929">
              <w:marLeft w:val="0"/>
              <w:marRight w:val="0"/>
              <w:marTop w:val="0"/>
              <w:marBottom w:val="0"/>
              <w:divBdr>
                <w:top w:val="none" w:sz="0" w:space="0" w:color="auto"/>
                <w:left w:val="none" w:sz="0" w:space="0" w:color="auto"/>
                <w:bottom w:val="none" w:sz="0" w:space="0" w:color="auto"/>
                <w:right w:val="none" w:sz="0" w:space="0" w:color="auto"/>
              </w:divBdr>
            </w:div>
          </w:divsChild>
        </w:div>
        <w:div w:id="1455252470">
          <w:marLeft w:val="0"/>
          <w:marRight w:val="0"/>
          <w:marTop w:val="0"/>
          <w:marBottom w:val="0"/>
          <w:divBdr>
            <w:top w:val="none" w:sz="0" w:space="0" w:color="auto"/>
            <w:left w:val="none" w:sz="0" w:space="0" w:color="auto"/>
            <w:bottom w:val="none" w:sz="0" w:space="0" w:color="auto"/>
            <w:right w:val="none" w:sz="0" w:space="0" w:color="auto"/>
          </w:divBdr>
          <w:divsChild>
            <w:div w:id="1897885803">
              <w:marLeft w:val="0"/>
              <w:marRight w:val="0"/>
              <w:marTop w:val="0"/>
              <w:marBottom w:val="0"/>
              <w:divBdr>
                <w:top w:val="none" w:sz="0" w:space="0" w:color="auto"/>
                <w:left w:val="none" w:sz="0" w:space="0" w:color="auto"/>
                <w:bottom w:val="none" w:sz="0" w:space="0" w:color="auto"/>
                <w:right w:val="none" w:sz="0" w:space="0" w:color="auto"/>
              </w:divBdr>
            </w:div>
          </w:divsChild>
        </w:div>
        <w:div w:id="1469322840">
          <w:marLeft w:val="0"/>
          <w:marRight w:val="0"/>
          <w:marTop w:val="0"/>
          <w:marBottom w:val="0"/>
          <w:divBdr>
            <w:top w:val="none" w:sz="0" w:space="0" w:color="auto"/>
            <w:left w:val="none" w:sz="0" w:space="0" w:color="auto"/>
            <w:bottom w:val="none" w:sz="0" w:space="0" w:color="auto"/>
            <w:right w:val="none" w:sz="0" w:space="0" w:color="auto"/>
          </w:divBdr>
          <w:divsChild>
            <w:div w:id="124591335">
              <w:marLeft w:val="0"/>
              <w:marRight w:val="0"/>
              <w:marTop w:val="0"/>
              <w:marBottom w:val="0"/>
              <w:divBdr>
                <w:top w:val="none" w:sz="0" w:space="0" w:color="auto"/>
                <w:left w:val="none" w:sz="0" w:space="0" w:color="auto"/>
                <w:bottom w:val="none" w:sz="0" w:space="0" w:color="auto"/>
                <w:right w:val="none" w:sz="0" w:space="0" w:color="auto"/>
              </w:divBdr>
            </w:div>
          </w:divsChild>
        </w:div>
        <w:div w:id="1504510738">
          <w:marLeft w:val="0"/>
          <w:marRight w:val="0"/>
          <w:marTop w:val="0"/>
          <w:marBottom w:val="0"/>
          <w:divBdr>
            <w:top w:val="none" w:sz="0" w:space="0" w:color="auto"/>
            <w:left w:val="none" w:sz="0" w:space="0" w:color="auto"/>
            <w:bottom w:val="none" w:sz="0" w:space="0" w:color="auto"/>
            <w:right w:val="none" w:sz="0" w:space="0" w:color="auto"/>
          </w:divBdr>
          <w:divsChild>
            <w:div w:id="1764571696">
              <w:marLeft w:val="0"/>
              <w:marRight w:val="0"/>
              <w:marTop w:val="0"/>
              <w:marBottom w:val="0"/>
              <w:divBdr>
                <w:top w:val="none" w:sz="0" w:space="0" w:color="auto"/>
                <w:left w:val="none" w:sz="0" w:space="0" w:color="auto"/>
                <w:bottom w:val="none" w:sz="0" w:space="0" w:color="auto"/>
                <w:right w:val="none" w:sz="0" w:space="0" w:color="auto"/>
              </w:divBdr>
            </w:div>
          </w:divsChild>
        </w:div>
        <w:div w:id="1513644971">
          <w:marLeft w:val="0"/>
          <w:marRight w:val="0"/>
          <w:marTop w:val="0"/>
          <w:marBottom w:val="0"/>
          <w:divBdr>
            <w:top w:val="none" w:sz="0" w:space="0" w:color="auto"/>
            <w:left w:val="none" w:sz="0" w:space="0" w:color="auto"/>
            <w:bottom w:val="none" w:sz="0" w:space="0" w:color="auto"/>
            <w:right w:val="none" w:sz="0" w:space="0" w:color="auto"/>
          </w:divBdr>
          <w:divsChild>
            <w:div w:id="960695469">
              <w:marLeft w:val="0"/>
              <w:marRight w:val="0"/>
              <w:marTop w:val="0"/>
              <w:marBottom w:val="0"/>
              <w:divBdr>
                <w:top w:val="none" w:sz="0" w:space="0" w:color="auto"/>
                <w:left w:val="none" w:sz="0" w:space="0" w:color="auto"/>
                <w:bottom w:val="none" w:sz="0" w:space="0" w:color="auto"/>
                <w:right w:val="none" w:sz="0" w:space="0" w:color="auto"/>
              </w:divBdr>
            </w:div>
          </w:divsChild>
        </w:div>
        <w:div w:id="1539119357">
          <w:marLeft w:val="0"/>
          <w:marRight w:val="0"/>
          <w:marTop w:val="0"/>
          <w:marBottom w:val="0"/>
          <w:divBdr>
            <w:top w:val="none" w:sz="0" w:space="0" w:color="auto"/>
            <w:left w:val="none" w:sz="0" w:space="0" w:color="auto"/>
            <w:bottom w:val="none" w:sz="0" w:space="0" w:color="auto"/>
            <w:right w:val="none" w:sz="0" w:space="0" w:color="auto"/>
          </w:divBdr>
          <w:divsChild>
            <w:div w:id="82072167">
              <w:marLeft w:val="0"/>
              <w:marRight w:val="0"/>
              <w:marTop w:val="0"/>
              <w:marBottom w:val="0"/>
              <w:divBdr>
                <w:top w:val="none" w:sz="0" w:space="0" w:color="auto"/>
                <w:left w:val="none" w:sz="0" w:space="0" w:color="auto"/>
                <w:bottom w:val="none" w:sz="0" w:space="0" w:color="auto"/>
                <w:right w:val="none" w:sz="0" w:space="0" w:color="auto"/>
              </w:divBdr>
            </w:div>
          </w:divsChild>
        </w:div>
        <w:div w:id="1603948351">
          <w:marLeft w:val="0"/>
          <w:marRight w:val="0"/>
          <w:marTop w:val="0"/>
          <w:marBottom w:val="0"/>
          <w:divBdr>
            <w:top w:val="none" w:sz="0" w:space="0" w:color="auto"/>
            <w:left w:val="none" w:sz="0" w:space="0" w:color="auto"/>
            <w:bottom w:val="none" w:sz="0" w:space="0" w:color="auto"/>
            <w:right w:val="none" w:sz="0" w:space="0" w:color="auto"/>
          </w:divBdr>
          <w:divsChild>
            <w:div w:id="1218668120">
              <w:marLeft w:val="0"/>
              <w:marRight w:val="0"/>
              <w:marTop w:val="0"/>
              <w:marBottom w:val="0"/>
              <w:divBdr>
                <w:top w:val="none" w:sz="0" w:space="0" w:color="auto"/>
                <w:left w:val="none" w:sz="0" w:space="0" w:color="auto"/>
                <w:bottom w:val="none" w:sz="0" w:space="0" w:color="auto"/>
                <w:right w:val="none" w:sz="0" w:space="0" w:color="auto"/>
              </w:divBdr>
            </w:div>
          </w:divsChild>
        </w:div>
        <w:div w:id="1627928056">
          <w:marLeft w:val="0"/>
          <w:marRight w:val="0"/>
          <w:marTop w:val="0"/>
          <w:marBottom w:val="0"/>
          <w:divBdr>
            <w:top w:val="none" w:sz="0" w:space="0" w:color="auto"/>
            <w:left w:val="none" w:sz="0" w:space="0" w:color="auto"/>
            <w:bottom w:val="none" w:sz="0" w:space="0" w:color="auto"/>
            <w:right w:val="none" w:sz="0" w:space="0" w:color="auto"/>
          </w:divBdr>
          <w:divsChild>
            <w:div w:id="511843429">
              <w:marLeft w:val="0"/>
              <w:marRight w:val="0"/>
              <w:marTop w:val="0"/>
              <w:marBottom w:val="0"/>
              <w:divBdr>
                <w:top w:val="none" w:sz="0" w:space="0" w:color="auto"/>
                <w:left w:val="none" w:sz="0" w:space="0" w:color="auto"/>
                <w:bottom w:val="none" w:sz="0" w:space="0" w:color="auto"/>
                <w:right w:val="none" w:sz="0" w:space="0" w:color="auto"/>
              </w:divBdr>
            </w:div>
          </w:divsChild>
        </w:div>
        <w:div w:id="1637758856">
          <w:marLeft w:val="0"/>
          <w:marRight w:val="0"/>
          <w:marTop w:val="0"/>
          <w:marBottom w:val="0"/>
          <w:divBdr>
            <w:top w:val="none" w:sz="0" w:space="0" w:color="auto"/>
            <w:left w:val="none" w:sz="0" w:space="0" w:color="auto"/>
            <w:bottom w:val="none" w:sz="0" w:space="0" w:color="auto"/>
            <w:right w:val="none" w:sz="0" w:space="0" w:color="auto"/>
          </w:divBdr>
          <w:divsChild>
            <w:div w:id="1290356150">
              <w:marLeft w:val="0"/>
              <w:marRight w:val="0"/>
              <w:marTop w:val="0"/>
              <w:marBottom w:val="0"/>
              <w:divBdr>
                <w:top w:val="none" w:sz="0" w:space="0" w:color="auto"/>
                <w:left w:val="none" w:sz="0" w:space="0" w:color="auto"/>
                <w:bottom w:val="none" w:sz="0" w:space="0" w:color="auto"/>
                <w:right w:val="none" w:sz="0" w:space="0" w:color="auto"/>
              </w:divBdr>
            </w:div>
          </w:divsChild>
        </w:div>
        <w:div w:id="1640185961">
          <w:marLeft w:val="0"/>
          <w:marRight w:val="0"/>
          <w:marTop w:val="0"/>
          <w:marBottom w:val="0"/>
          <w:divBdr>
            <w:top w:val="none" w:sz="0" w:space="0" w:color="auto"/>
            <w:left w:val="none" w:sz="0" w:space="0" w:color="auto"/>
            <w:bottom w:val="none" w:sz="0" w:space="0" w:color="auto"/>
            <w:right w:val="none" w:sz="0" w:space="0" w:color="auto"/>
          </w:divBdr>
          <w:divsChild>
            <w:div w:id="2121992999">
              <w:marLeft w:val="0"/>
              <w:marRight w:val="0"/>
              <w:marTop w:val="0"/>
              <w:marBottom w:val="0"/>
              <w:divBdr>
                <w:top w:val="none" w:sz="0" w:space="0" w:color="auto"/>
                <w:left w:val="none" w:sz="0" w:space="0" w:color="auto"/>
                <w:bottom w:val="none" w:sz="0" w:space="0" w:color="auto"/>
                <w:right w:val="none" w:sz="0" w:space="0" w:color="auto"/>
              </w:divBdr>
            </w:div>
          </w:divsChild>
        </w:div>
        <w:div w:id="1687711547">
          <w:marLeft w:val="0"/>
          <w:marRight w:val="0"/>
          <w:marTop w:val="0"/>
          <w:marBottom w:val="0"/>
          <w:divBdr>
            <w:top w:val="none" w:sz="0" w:space="0" w:color="auto"/>
            <w:left w:val="none" w:sz="0" w:space="0" w:color="auto"/>
            <w:bottom w:val="none" w:sz="0" w:space="0" w:color="auto"/>
            <w:right w:val="none" w:sz="0" w:space="0" w:color="auto"/>
          </w:divBdr>
          <w:divsChild>
            <w:div w:id="836845338">
              <w:marLeft w:val="0"/>
              <w:marRight w:val="0"/>
              <w:marTop w:val="0"/>
              <w:marBottom w:val="0"/>
              <w:divBdr>
                <w:top w:val="none" w:sz="0" w:space="0" w:color="auto"/>
                <w:left w:val="none" w:sz="0" w:space="0" w:color="auto"/>
                <w:bottom w:val="none" w:sz="0" w:space="0" w:color="auto"/>
                <w:right w:val="none" w:sz="0" w:space="0" w:color="auto"/>
              </w:divBdr>
            </w:div>
          </w:divsChild>
        </w:div>
        <w:div w:id="1702047716">
          <w:marLeft w:val="0"/>
          <w:marRight w:val="0"/>
          <w:marTop w:val="0"/>
          <w:marBottom w:val="0"/>
          <w:divBdr>
            <w:top w:val="none" w:sz="0" w:space="0" w:color="auto"/>
            <w:left w:val="none" w:sz="0" w:space="0" w:color="auto"/>
            <w:bottom w:val="none" w:sz="0" w:space="0" w:color="auto"/>
            <w:right w:val="none" w:sz="0" w:space="0" w:color="auto"/>
          </w:divBdr>
          <w:divsChild>
            <w:div w:id="299968584">
              <w:marLeft w:val="0"/>
              <w:marRight w:val="0"/>
              <w:marTop w:val="0"/>
              <w:marBottom w:val="0"/>
              <w:divBdr>
                <w:top w:val="none" w:sz="0" w:space="0" w:color="auto"/>
                <w:left w:val="none" w:sz="0" w:space="0" w:color="auto"/>
                <w:bottom w:val="none" w:sz="0" w:space="0" w:color="auto"/>
                <w:right w:val="none" w:sz="0" w:space="0" w:color="auto"/>
              </w:divBdr>
            </w:div>
          </w:divsChild>
        </w:div>
        <w:div w:id="1708286940">
          <w:marLeft w:val="0"/>
          <w:marRight w:val="0"/>
          <w:marTop w:val="0"/>
          <w:marBottom w:val="0"/>
          <w:divBdr>
            <w:top w:val="none" w:sz="0" w:space="0" w:color="auto"/>
            <w:left w:val="none" w:sz="0" w:space="0" w:color="auto"/>
            <w:bottom w:val="none" w:sz="0" w:space="0" w:color="auto"/>
            <w:right w:val="none" w:sz="0" w:space="0" w:color="auto"/>
          </w:divBdr>
          <w:divsChild>
            <w:div w:id="1872762110">
              <w:marLeft w:val="0"/>
              <w:marRight w:val="0"/>
              <w:marTop w:val="0"/>
              <w:marBottom w:val="0"/>
              <w:divBdr>
                <w:top w:val="none" w:sz="0" w:space="0" w:color="auto"/>
                <w:left w:val="none" w:sz="0" w:space="0" w:color="auto"/>
                <w:bottom w:val="none" w:sz="0" w:space="0" w:color="auto"/>
                <w:right w:val="none" w:sz="0" w:space="0" w:color="auto"/>
              </w:divBdr>
            </w:div>
          </w:divsChild>
        </w:div>
        <w:div w:id="1752656555">
          <w:marLeft w:val="0"/>
          <w:marRight w:val="0"/>
          <w:marTop w:val="0"/>
          <w:marBottom w:val="0"/>
          <w:divBdr>
            <w:top w:val="none" w:sz="0" w:space="0" w:color="auto"/>
            <w:left w:val="none" w:sz="0" w:space="0" w:color="auto"/>
            <w:bottom w:val="none" w:sz="0" w:space="0" w:color="auto"/>
            <w:right w:val="none" w:sz="0" w:space="0" w:color="auto"/>
          </w:divBdr>
          <w:divsChild>
            <w:div w:id="1498884842">
              <w:marLeft w:val="0"/>
              <w:marRight w:val="0"/>
              <w:marTop w:val="0"/>
              <w:marBottom w:val="0"/>
              <w:divBdr>
                <w:top w:val="none" w:sz="0" w:space="0" w:color="auto"/>
                <w:left w:val="none" w:sz="0" w:space="0" w:color="auto"/>
                <w:bottom w:val="none" w:sz="0" w:space="0" w:color="auto"/>
                <w:right w:val="none" w:sz="0" w:space="0" w:color="auto"/>
              </w:divBdr>
            </w:div>
          </w:divsChild>
        </w:div>
        <w:div w:id="1762918441">
          <w:marLeft w:val="0"/>
          <w:marRight w:val="0"/>
          <w:marTop w:val="0"/>
          <w:marBottom w:val="0"/>
          <w:divBdr>
            <w:top w:val="none" w:sz="0" w:space="0" w:color="auto"/>
            <w:left w:val="none" w:sz="0" w:space="0" w:color="auto"/>
            <w:bottom w:val="none" w:sz="0" w:space="0" w:color="auto"/>
            <w:right w:val="none" w:sz="0" w:space="0" w:color="auto"/>
          </w:divBdr>
          <w:divsChild>
            <w:div w:id="679115877">
              <w:marLeft w:val="0"/>
              <w:marRight w:val="0"/>
              <w:marTop w:val="0"/>
              <w:marBottom w:val="0"/>
              <w:divBdr>
                <w:top w:val="none" w:sz="0" w:space="0" w:color="auto"/>
                <w:left w:val="none" w:sz="0" w:space="0" w:color="auto"/>
                <w:bottom w:val="none" w:sz="0" w:space="0" w:color="auto"/>
                <w:right w:val="none" w:sz="0" w:space="0" w:color="auto"/>
              </w:divBdr>
            </w:div>
          </w:divsChild>
        </w:div>
        <w:div w:id="1763985681">
          <w:marLeft w:val="0"/>
          <w:marRight w:val="0"/>
          <w:marTop w:val="0"/>
          <w:marBottom w:val="0"/>
          <w:divBdr>
            <w:top w:val="none" w:sz="0" w:space="0" w:color="auto"/>
            <w:left w:val="none" w:sz="0" w:space="0" w:color="auto"/>
            <w:bottom w:val="none" w:sz="0" w:space="0" w:color="auto"/>
            <w:right w:val="none" w:sz="0" w:space="0" w:color="auto"/>
          </w:divBdr>
          <w:divsChild>
            <w:div w:id="429933832">
              <w:marLeft w:val="0"/>
              <w:marRight w:val="0"/>
              <w:marTop w:val="0"/>
              <w:marBottom w:val="0"/>
              <w:divBdr>
                <w:top w:val="none" w:sz="0" w:space="0" w:color="auto"/>
                <w:left w:val="none" w:sz="0" w:space="0" w:color="auto"/>
                <w:bottom w:val="none" w:sz="0" w:space="0" w:color="auto"/>
                <w:right w:val="none" w:sz="0" w:space="0" w:color="auto"/>
              </w:divBdr>
            </w:div>
          </w:divsChild>
        </w:div>
        <w:div w:id="1799453080">
          <w:marLeft w:val="0"/>
          <w:marRight w:val="0"/>
          <w:marTop w:val="0"/>
          <w:marBottom w:val="0"/>
          <w:divBdr>
            <w:top w:val="none" w:sz="0" w:space="0" w:color="auto"/>
            <w:left w:val="none" w:sz="0" w:space="0" w:color="auto"/>
            <w:bottom w:val="none" w:sz="0" w:space="0" w:color="auto"/>
            <w:right w:val="none" w:sz="0" w:space="0" w:color="auto"/>
          </w:divBdr>
          <w:divsChild>
            <w:div w:id="1526207268">
              <w:marLeft w:val="0"/>
              <w:marRight w:val="0"/>
              <w:marTop w:val="0"/>
              <w:marBottom w:val="0"/>
              <w:divBdr>
                <w:top w:val="none" w:sz="0" w:space="0" w:color="auto"/>
                <w:left w:val="none" w:sz="0" w:space="0" w:color="auto"/>
                <w:bottom w:val="none" w:sz="0" w:space="0" w:color="auto"/>
                <w:right w:val="none" w:sz="0" w:space="0" w:color="auto"/>
              </w:divBdr>
            </w:div>
          </w:divsChild>
        </w:div>
        <w:div w:id="1801070574">
          <w:marLeft w:val="0"/>
          <w:marRight w:val="0"/>
          <w:marTop w:val="0"/>
          <w:marBottom w:val="0"/>
          <w:divBdr>
            <w:top w:val="none" w:sz="0" w:space="0" w:color="auto"/>
            <w:left w:val="none" w:sz="0" w:space="0" w:color="auto"/>
            <w:bottom w:val="none" w:sz="0" w:space="0" w:color="auto"/>
            <w:right w:val="none" w:sz="0" w:space="0" w:color="auto"/>
          </w:divBdr>
          <w:divsChild>
            <w:div w:id="174199365">
              <w:marLeft w:val="0"/>
              <w:marRight w:val="0"/>
              <w:marTop w:val="0"/>
              <w:marBottom w:val="0"/>
              <w:divBdr>
                <w:top w:val="none" w:sz="0" w:space="0" w:color="auto"/>
                <w:left w:val="none" w:sz="0" w:space="0" w:color="auto"/>
                <w:bottom w:val="none" w:sz="0" w:space="0" w:color="auto"/>
                <w:right w:val="none" w:sz="0" w:space="0" w:color="auto"/>
              </w:divBdr>
            </w:div>
          </w:divsChild>
        </w:div>
        <w:div w:id="1815370054">
          <w:marLeft w:val="0"/>
          <w:marRight w:val="0"/>
          <w:marTop w:val="0"/>
          <w:marBottom w:val="0"/>
          <w:divBdr>
            <w:top w:val="none" w:sz="0" w:space="0" w:color="auto"/>
            <w:left w:val="none" w:sz="0" w:space="0" w:color="auto"/>
            <w:bottom w:val="none" w:sz="0" w:space="0" w:color="auto"/>
            <w:right w:val="none" w:sz="0" w:space="0" w:color="auto"/>
          </w:divBdr>
          <w:divsChild>
            <w:div w:id="927276450">
              <w:marLeft w:val="0"/>
              <w:marRight w:val="0"/>
              <w:marTop w:val="0"/>
              <w:marBottom w:val="0"/>
              <w:divBdr>
                <w:top w:val="none" w:sz="0" w:space="0" w:color="auto"/>
                <w:left w:val="none" w:sz="0" w:space="0" w:color="auto"/>
                <w:bottom w:val="none" w:sz="0" w:space="0" w:color="auto"/>
                <w:right w:val="none" w:sz="0" w:space="0" w:color="auto"/>
              </w:divBdr>
            </w:div>
          </w:divsChild>
        </w:div>
        <w:div w:id="1830905741">
          <w:marLeft w:val="0"/>
          <w:marRight w:val="0"/>
          <w:marTop w:val="0"/>
          <w:marBottom w:val="0"/>
          <w:divBdr>
            <w:top w:val="none" w:sz="0" w:space="0" w:color="auto"/>
            <w:left w:val="none" w:sz="0" w:space="0" w:color="auto"/>
            <w:bottom w:val="none" w:sz="0" w:space="0" w:color="auto"/>
            <w:right w:val="none" w:sz="0" w:space="0" w:color="auto"/>
          </w:divBdr>
          <w:divsChild>
            <w:div w:id="1603494715">
              <w:marLeft w:val="0"/>
              <w:marRight w:val="0"/>
              <w:marTop w:val="0"/>
              <w:marBottom w:val="0"/>
              <w:divBdr>
                <w:top w:val="none" w:sz="0" w:space="0" w:color="auto"/>
                <w:left w:val="none" w:sz="0" w:space="0" w:color="auto"/>
                <w:bottom w:val="none" w:sz="0" w:space="0" w:color="auto"/>
                <w:right w:val="none" w:sz="0" w:space="0" w:color="auto"/>
              </w:divBdr>
            </w:div>
          </w:divsChild>
        </w:div>
        <w:div w:id="1859083349">
          <w:marLeft w:val="0"/>
          <w:marRight w:val="0"/>
          <w:marTop w:val="0"/>
          <w:marBottom w:val="0"/>
          <w:divBdr>
            <w:top w:val="none" w:sz="0" w:space="0" w:color="auto"/>
            <w:left w:val="none" w:sz="0" w:space="0" w:color="auto"/>
            <w:bottom w:val="none" w:sz="0" w:space="0" w:color="auto"/>
            <w:right w:val="none" w:sz="0" w:space="0" w:color="auto"/>
          </w:divBdr>
          <w:divsChild>
            <w:div w:id="1449471599">
              <w:marLeft w:val="0"/>
              <w:marRight w:val="0"/>
              <w:marTop w:val="0"/>
              <w:marBottom w:val="0"/>
              <w:divBdr>
                <w:top w:val="none" w:sz="0" w:space="0" w:color="auto"/>
                <w:left w:val="none" w:sz="0" w:space="0" w:color="auto"/>
                <w:bottom w:val="none" w:sz="0" w:space="0" w:color="auto"/>
                <w:right w:val="none" w:sz="0" w:space="0" w:color="auto"/>
              </w:divBdr>
            </w:div>
          </w:divsChild>
        </w:div>
        <w:div w:id="1867056298">
          <w:marLeft w:val="0"/>
          <w:marRight w:val="0"/>
          <w:marTop w:val="0"/>
          <w:marBottom w:val="0"/>
          <w:divBdr>
            <w:top w:val="none" w:sz="0" w:space="0" w:color="auto"/>
            <w:left w:val="none" w:sz="0" w:space="0" w:color="auto"/>
            <w:bottom w:val="none" w:sz="0" w:space="0" w:color="auto"/>
            <w:right w:val="none" w:sz="0" w:space="0" w:color="auto"/>
          </w:divBdr>
          <w:divsChild>
            <w:div w:id="2018381905">
              <w:marLeft w:val="0"/>
              <w:marRight w:val="0"/>
              <w:marTop w:val="0"/>
              <w:marBottom w:val="0"/>
              <w:divBdr>
                <w:top w:val="none" w:sz="0" w:space="0" w:color="auto"/>
                <w:left w:val="none" w:sz="0" w:space="0" w:color="auto"/>
                <w:bottom w:val="none" w:sz="0" w:space="0" w:color="auto"/>
                <w:right w:val="none" w:sz="0" w:space="0" w:color="auto"/>
              </w:divBdr>
            </w:div>
          </w:divsChild>
        </w:div>
        <w:div w:id="1868785550">
          <w:marLeft w:val="0"/>
          <w:marRight w:val="0"/>
          <w:marTop w:val="0"/>
          <w:marBottom w:val="0"/>
          <w:divBdr>
            <w:top w:val="none" w:sz="0" w:space="0" w:color="auto"/>
            <w:left w:val="none" w:sz="0" w:space="0" w:color="auto"/>
            <w:bottom w:val="none" w:sz="0" w:space="0" w:color="auto"/>
            <w:right w:val="none" w:sz="0" w:space="0" w:color="auto"/>
          </w:divBdr>
          <w:divsChild>
            <w:div w:id="695154401">
              <w:marLeft w:val="0"/>
              <w:marRight w:val="0"/>
              <w:marTop w:val="0"/>
              <w:marBottom w:val="0"/>
              <w:divBdr>
                <w:top w:val="none" w:sz="0" w:space="0" w:color="auto"/>
                <w:left w:val="none" w:sz="0" w:space="0" w:color="auto"/>
                <w:bottom w:val="none" w:sz="0" w:space="0" w:color="auto"/>
                <w:right w:val="none" w:sz="0" w:space="0" w:color="auto"/>
              </w:divBdr>
            </w:div>
          </w:divsChild>
        </w:div>
        <w:div w:id="1878466760">
          <w:marLeft w:val="0"/>
          <w:marRight w:val="0"/>
          <w:marTop w:val="0"/>
          <w:marBottom w:val="0"/>
          <w:divBdr>
            <w:top w:val="none" w:sz="0" w:space="0" w:color="auto"/>
            <w:left w:val="none" w:sz="0" w:space="0" w:color="auto"/>
            <w:bottom w:val="none" w:sz="0" w:space="0" w:color="auto"/>
            <w:right w:val="none" w:sz="0" w:space="0" w:color="auto"/>
          </w:divBdr>
          <w:divsChild>
            <w:div w:id="2050445491">
              <w:marLeft w:val="0"/>
              <w:marRight w:val="0"/>
              <w:marTop w:val="0"/>
              <w:marBottom w:val="0"/>
              <w:divBdr>
                <w:top w:val="none" w:sz="0" w:space="0" w:color="auto"/>
                <w:left w:val="none" w:sz="0" w:space="0" w:color="auto"/>
                <w:bottom w:val="none" w:sz="0" w:space="0" w:color="auto"/>
                <w:right w:val="none" w:sz="0" w:space="0" w:color="auto"/>
              </w:divBdr>
            </w:div>
          </w:divsChild>
        </w:div>
        <w:div w:id="1904172287">
          <w:marLeft w:val="0"/>
          <w:marRight w:val="0"/>
          <w:marTop w:val="0"/>
          <w:marBottom w:val="0"/>
          <w:divBdr>
            <w:top w:val="none" w:sz="0" w:space="0" w:color="auto"/>
            <w:left w:val="none" w:sz="0" w:space="0" w:color="auto"/>
            <w:bottom w:val="none" w:sz="0" w:space="0" w:color="auto"/>
            <w:right w:val="none" w:sz="0" w:space="0" w:color="auto"/>
          </w:divBdr>
          <w:divsChild>
            <w:div w:id="855460068">
              <w:marLeft w:val="0"/>
              <w:marRight w:val="0"/>
              <w:marTop w:val="0"/>
              <w:marBottom w:val="0"/>
              <w:divBdr>
                <w:top w:val="none" w:sz="0" w:space="0" w:color="auto"/>
                <w:left w:val="none" w:sz="0" w:space="0" w:color="auto"/>
                <w:bottom w:val="none" w:sz="0" w:space="0" w:color="auto"/>
                <w:right w:val="none" w:sz="0" w:space="0" w:color="auto"/>
              </w:divBdr>
            </w:div>
          </w:divsChild>
        </w:div>
        <w:div w:id="1929537250">
          <w:marLeft w:val="0"/>
          <w:marRight w:val="0"/>
          <w:marTop w:val="0"/>
          <w:marBottom w:val="0"/>
          <w:divBdr>
            <w:top w:val="none" w:sz="0" w:space="0" w:color="auto"/>
            <w:left w:val="none" w:sz="0" w:space="0" w:color="auto"/>
            <w:bottom w:val="none" w:sz="0" w:space="0" w:color="auto"/>
            <w:right w:val="none" w:sz="0" w:space="0" w:color="auto"/>
          </w:divBdr>
          <w:divsChild>
            <w:div w:id="1785028841">
              <w:marLeft w:val="0"/>
              <w:marRight w:val="0"/>
              <w:marTop w:val="0"/>
              <w:marBottom w:val="0"/>
              <w:divBdr>
                <w:top w:val="none" w:sz="0" w:space="0" w:color="auto"/>
                <w:left w:val="none" w:sz="0" w:space="0" w:color="auto"/>
                <w:bottom w:val="none" w:sz="0" w:space="0" w:color="auto"/>
                <w:right w:val="none" w:sz="0" w:space="0" w:color="auto"/>
              </w:divBdr>
            </w:div>
          </w:divsChild>
        </w:div>
        <w:div w:id="1971130054">
          <w:marLeft w:val="0"/>
          <w:marRight w:val="0"/>
          <w:marTop w:val="0"/>
          <w:marBottom w:val="0"/>
          <w:divBdr>
            <w:top w:val="none" w:sz="0" w:space="0" w:color="auto"/>
            <w:left w:val="none" w:sz="0" w:space="0" w:color="auto"/>
            <w:bottom w:val="none" w:sz="0" w:space="0" w:color="auto"/>
            <w:right w:val="none" w:sz="0" w:space="0" w:color="auto"/>
          </w:divBdr>
          <w:divsChild>
            <w:div w:id="255290182">
              <w:marLeft w:val="0"/>
              <w:marRight w:val="0"/>
              <w:marTop w:val="0"/>
              <w:marBottom w:val="0"/>
              <w:divBdr>
                <w:top w:val="none" w:sz="0" w:space="0" w:color="auto"/>
                <w:left w:val="none" w:sz="0" w:space="0" w:color="auto"/>
                <w:bottom w:val="none" w:sz="0" w:space="0" w:color="auto"/>
                <w:right w:val="none" w:sz="0" w:space="0" w:color="auto"/>
              </w:divBdr>
            </w:div>
          </w:divsChild>
        </w:div>
        <w:div w:id="1974285508">
          <w:marLeft w:val="0"/>
          <w:marRight w:val="0"/>
          <w:marTop w:val="0"/>
          <w:marBottom w:val="0"/>
          <w:divBdr>
            <w:top w:val="none" w:sz="0" w:space="0" w:color="auto"/>
            <w:left w:val="none" w:sz="0" w:space="0" w:color="auto"/>
            <w:bottom w:val="none" w:sz="0" w:space="0" w:color="auto"/>
            <w:right w:val="none" w:sz="0" w:space="0" w:color="auto"/>
          </w:divBdr>
          <w:divsChild>
            <w:div w:id="1642684716">
              <w:marLeft w:val="0"/>
              <w:marRight w:val="0"/>
              <w:marTop w:val="0"/>
              <w:marBottom w:val="0"/>
              <w:divBdr>
                <w:top w:val="none" w:sz="0" w:space="0" w:color="auto"/>
                <w:left w:val="none" w:sz="0" w:space="0" w:color="auto"/>
                <w:bottom w:val="none" w:sz="0" w:space="0" w:color="auto"/>
                <w:right w:val="none" w:sz="0" w:space="0" w:color="auto"/>
              </w:divBdr>
            </w:div>
          </w:divsChild>
        </w:div>
        <w:div w:id="1995603703">
          <w:marLeft w:val="0"/>
          <w:marRight w:val="0"/>
          <w:marTop w:val="0"/>
          <w:marBottom w:val="0"/>
          <w:divBdr>
            <w:top w:val="none" w:sz="0" w:space="0" w:color="auto"/>
            <w:left w:val="none" w:sz="0" w:space="0" w:color="auto"/>
            <w:bottom w:val="none" w:sz="0" w:space="0" w:color="auto"/>
            <w:right w:val="none" w:sz="0" w:space="0" w:color="auto"/>
          </w:divBdr>
          <w:divsChild>
            <w:div w:id="525868374">
              <w:marLeft w:val="0"/>
              <w:marRight w:val="0"/>
              <w:marTop w:val="0"/>
              <w:marBottom w:val="0"/>
              <w:divBdr>
                <w:top w:val="none" w:sz="0" w:space="0" w:color="auto"/>
                <w:left w:val="none" w:sz="0" w:space="0" w:color="auto"/>
                <w:bottom w:val="none" w:sz="0" w:space="0" w:color="auto"/>
                <w:right w:val="none" w:sz="0" w:space="0" w:color="auto"/>
              </w:divBdr>
            </w:div>
          </w:divsChild>
        </w:div>
        <w:div w:id="2017993216">
          <w:marLeft w:val="0"/>
          <w:marRight w:val="0"/>
          <w:marTop w:val="0"/>
          <w:marBottom w:val="0"/>
          <w:divBdr>
            <w:top w:val="none" w:sz="0" w:space="0" w:color="auto"/>
            <w:left w:val="none" w:sz="0" w:space="0" w:color="auto"/>
            <w:bottom w:val="none" w:sz="0" w:space="0" w:color="auto"/>
            <w:right w:val="none" w:sz="0" w:space="0" w:color="auto"/>
          </w:divBdr>
          <w:divsChild>
            <w:div w:id="1079063125">
              <w:marLeft w:val="0"/>
              <w:marRight w:val="0"/>
              <w:marTop w:val="0"/>
              <w:marBottom w:val="0"/>
              <w:divBdr>
                <w:top w:val="none" w:sz="0" w:space="0" w:color="auto"/>
                <w:left w:val="none" w:sz="0" w:space="0" w:color="auto"/>
                <w:bottom w:val="none" w:sz="0" w:space="0" w:color="auto"/>
                <w:right w:val="none" w:sz="0" w:space="0" w:color="auto"/>
              </w:divBdr>
            </w:div>
          </w:divsChild>
        </w:div>
        <w:div w:id="2019650523">
          <w:marLeft w:val="0"/>
          <w:marRight w:val="0"/>
          <w:marTop w:val="0"/>
          <w:marBottom w:val="0"/>
          <w:divBdr>
            <w:top w:val="none" w:sz="0" w:space="0" w:color="auto"/>
            <w:left w:val="none" w:sz="0" w:space="0" w:color="auto"/>
            <w:bottom w:val="none" w:sz="0" w:space="0" w:color="auto"/>
            <w:right w:val="none" w:sz="0" w:space="0" w:color="auto"/>
          </w:divBdr>
          <w:divsChild>
            <w:div w:id="868683106">
              <w:marLeft w:val="0"/>
              <w:marRight w:val="0"/>
              <w:marTop w:val="0"/>
              <w:marBottom w:val="0"/>
              <w:divBdr>
                <w:top w:val="none" w:sz="0" w:space="0" w:color="auto"/>
                <w:left w:val="none" w:sz="0" w:space="0" w:color="auto"/>
                <w:bottom w:val="none" w:sz="0" w:space="0" w:color="auto"/>
                <w:right w:val="none" w:sz="0" w:space="0" w:color="auto"/>
              </w:divBdr>
            </w:div>
          </w:divsChild>
        </w:div>
        <w:div w:id="2068332647">
          <w:marLeft w:val="0"/>
          <w:marRight w:val="0"/>
          <w:marTop w:val="0"/>
          <w:marBottom w:val="0"/>
          <w:divBdr>
            <w:top w:val="none" w:sz="0" w:space="0" w:color="auto"/>
            <w:left w:val="none" w:sz="0" w:space="0" w:color="auto"/>
            <w:bottom w:val="none" w:sz="0" w:space="0" w:color="auto"/>
            <w:right w:val="none" w:sz="0" w:space="0" w:color="auto"/>
          </w:divBdr>
          <w:divsChild>
            <w:div w:id="1534271934">
              <w:marLeft w:val="0"/>
              <w:marRight w:val="0"/>
              <w:marTop w:val="0"/>
              <w:marBottom w:val="0"/>
              <w:divBdr>
                <w:top w:val="none" w:sz="0" w:space="0" w:color="auto"/>
                <w:left w:val="none" w:sz="0" w:space="0" w:color="auto"/>
                <w:bottom w:val="none" w:sz="0" w:space="0" w:color="auto"/>
                <w:right w:val="none" w:sz="0" w:space="0" w:color="auto"/>
              </w:divBdr>
            </w:div>
          </w:divsChild>
        </w:div>
        <w:div w:id="2074691768">
          <w:marLeft w:val="0"/>
          <w:marRight w:val="0"/>
          <w:marTop w:val="0"/>
          <w:marBottom w:val="0"/>
          <w:divBdr>
            <w:top w:val="none" w:sz="0" w:space="0" w:color="auto"/>
            <w:left w:val="none" w:sz="0" w:space="0" w:color="auto"/>
            <w:bottom w:val="none" w:sz="0" w:space="0" w:color="auto"/>
            <w:right w:val="none" w:sz="0" w:space="0" w:color="auto"/>
          </w:divBdr>
          <w:divsChild>
            <w:div w:id="1275404610">
              <w:marLeft w:val="0"/>
              <w:marRight w:val="0"/>
              <w:marTop w:val="0"/>
              <w:marBottom w:val="0"/>
              <w:divBdr>
                <w:top w:val="none" w:sz="0" w:space="0" w:color="auto"/>
                <w:left w:val="none" w:sz="0" w:space="0" w:color="auto"/>
                <w:bottom w:val="none" w:sz="0" w:space="0" w:color="auto"/>
                <w:right w:val="none" w:sz="0" w:space="0" w:color="auto"/>
              </w:divBdr>
            </w:div>
          </w:divsChild>
        </w:div>
        <w:div w:id="2106262461">
          <w:marLeft w:val="0"/>
          <w:marRight w:val="0"/>
          <w:marTop w:val="0"/>
          <w:marBottom w:val="0"/>
          <w:divBdr>
            <w:top w:val="none" w:sz="0" w:space="0" w:color="auto"/>
            <w:left w:val="none" w:sz="0" w:space="0" w:color="auto"/>
            <w:bottom w:val="none" w:sz="0" w:space="0" w:color="auto"/>
            <w:right w:val="none" w:sz="0" w:space="0" w:color="auto"/>
          </w:divBdr>
          <w:divsChild>
            <w:div w:id="1018850572">
              <w:marLeft w:val="0"/>
              <w:marRight w:val="0"/>
              <w:marTop w:val="0"/>
              <w:marBottom w:val="0"/>
              <w:divBdr>
                <w:top w:val="none" w:sz="0" w:space="0" w:color="auto"/>
                <w:left w:val="none" w:sz="0" w:space="0" w:color="auto"/>
                <w:bottom w:val="none" w:sz="0" w:space="0" w:color="auto"/>
                <w:right w:val="none" w:sz="0" w:space="0" w:color="auto"/>
              </w:divBdr>
            </w:div>
          </w:divsChild>
        </w:div>
        <w:div w:id="2135100526">
          <w:marLeft w:val="0"/>
          <w:marRight w:val="0"/>
          <w:marTop w:val="0"/>
          <w:marBottom w:val="0"/>
          <w:divBdr>
            <w:top w:val="none" w:sz="0" w:space="0" w:color="auto"/>
            <w:left w:val="none" w:sz="0" w:space="0" w:color="auto"/>
            <w:bottom w:val="none" w:sz="0" w:space="0" w:color="auto"/>
            <w:right w:val="none" w:sz="0" w:space="0" w:color="auto"/>
          </w:divBdr>
          <w:divsChild>
            <w:div w:id="1847095324">
              <w:marLeft w:val="0"/>
              <w:marRight w:val="0"/>
              <w:marTop w:val="0"/>
              <w:marBottom w:val="0"/>
              <w:divBdr>
                <w:top w:val="none" w:sz="0" w:space="0" w:color="auto"/>
                <w:left w:val="none" w:sz="0" w:space="0" w:color="auto"/>
                <w:bottom w:val="none" w:sz="0" w:space="0" w:color="auto"/>
                <w:right w:val="none" w:sz="0" w:space="0" w:color="auto"/>
              </w:divBdr>
            </w:div>
          </w:divsChild>
        </w:div>
        <w:div w:id="2145929587">
          <w:marLeft w:val="0"/>
          <w:marRight w:val="0"/>
          <w:marTop w:val="0"/>
          <w:marBottom w:val="0"/>
          <w:divBdr>
            <w:top w:val="none" w:sz="0" w:space="0" w:color="auto"/>
            <w:left w:val="none" w:sz="0" w:space="0" w:color="auto"/>
            <w:bottom w:val="none" w:sz="0" w:space="0" w:color="auto"/>
            <w:right w:val="none" w:sz="0" w:space="0" w:color="auto"/>
          </w:divBdr>
          <w:divsChild>
            <w:div w:id="14223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03374">
      <w:bodyDiv w:val="1"/>
      <w:marLeft w:val="0"/>
      <w:marRight w:val="0"/>
      <w:marTop w:val="0"/>
      <w:marBottom w:val="0"/>
      <w:divBdr>
        <w:top w:val="none" w:sz="0" w:space="0" w:color="auto"/>
        <w:left w:val="none" w:sz="0" w:space="0" w:color="auto"/>
        <w:bottom w:val="none" w:sz="0" w:space="0" w:color="auto"/>
        <w:right w:val="none" w:sz="0" w:space="0" w:color="auto"/>
      </w:divBdr>
      <w:divsChild>
        <w:div w:id="198857744">
          <w:marLeft w:val="0"/>
          <w:marRight w:val="0"/>
          <w:marTop w:val="0"/>
          <w:marBottom w:val="0"/>
          <w:divBdr>
            <w:top w:val="none" w:sz="0" w:space="0" w:color="auto"/>
            <w:left w:val="none" w:sz="0" w:space="0" w:color="auto"/>
            <w:bottom w:val="none" w:sz="0" w:space="0" w:color="auto"/>
            <w:right w:val="none" w:sz="0" w:space="0" w:color="auto"/>
          </w:divBdr>
        </w:div>
        <w:div w:id="259677999">
          <w:marLeft w:val="0"/>
          <w:marRight w:val="0"/>
          <w:marTop w:val="0"/>
          <w:marBottom w:val="0"/>
          <w:divBdr>
            <w:top w:val="none" w:sz="0" w:space="0" w:color="auto"/>
            <w:left w:val="none" w:sz="0" w:space="0" w:color="auto"/>
            <w:bottom w:val="none" w:sz="0" w:space="0" w:color="auto"/>
            <w:right w:val="none" w:sz="0" w:space="0" w:color="auto"/>
          </w:divBdr>
        </w:div>
        <w:div w:id="624310458">
          <w:marLeft w:val="0"/>
          <w:marRight w:val="0"/>
          <w:marTop w:val="0"/>
          <w:marBottom w:val="0"/>
          <w:divBdr>
            <w:top w:val="none" w:sz="0" w:space="0" w:color="auto"/>
            <w:left w:val="none" w:sz="0" w:space="0" w:color="auto"/>
            <w:bottom w:val="none" w:sz="0" w:space="0" w:color="auto"/>
            <w:right w:val="none" w:sz="0" w:space="0" w:color="auto"/>
          </w:divBdr>
        </w:div>
        <w:div w:id="703019085">
          <w:marLeft w:val="0"/>
          <w:marRight w:val="0"/>
          <w:marTop w:val="0"/>
          <w:marBottom w:val="0"/>
          <w:divBdr>
            <w:top w:val="none" w:sz="0" w:space="0" w:color="auto"/>
            <w:left w:val="none" w:sz="0" w:space="0" w:color="auto"/>
            <w:bottom w:val="none" w:sz="0" w:space="0" w:color="auto"/>
            <w:right w:val="none" w:sz="0" w:space="0" w:color="auto"/>
          </w:divBdr>
        </w:div>
        <w:div w:id="777454129">
          <w:marLeft w:val="0"/>
          <w:marRight w:val="0"/>
          <w:marTop w:val="0"/>
          <w:marBottom w:val="0"/>
          <w:divBdr>
            <w:top w:val="none" w:sz="0" w:space="0" w:color="auto"/>
            <w:left w:val="none" w:sz="0" w:space="0" w:color="auto"/>
            <w:bottom w:val="none" w:sz="0" w:space="0" w:color="auto"/>
            <w:right w:val="none" w:sz="0" w:space="0" w:color="auto"/>
          </w:divBdr>
        </w:div>
        <w:div w:id="1215697622">
          <w:marLeft w:val="0"/>
          <w:marRight w:val="0"/>
          <w:marTop w:val="0"/>
          <w:marBottom w:val="0"/>
          <w:divBdr>
            <w:top w:val="none" w:sz="0" w:space="0" w:color="auto"/>
            <w:left w:val="none" w:sz="0" w:space="0" w:color="auto"/>
            <w:bottom w:val="none" w:sz="0" w:space="0" w:color="auto"/>
            <w:right w:val="none" w:sz="0" w:space="0" w:color="auto"/>
          </w:divBdr>
        </w:div>
        <w:div w:id="1247157230">
          <w:marLeft w:val="0"/>
          <w:marRight w:val="0"/>
          <w:marTop w:val="0"/>
          <w:marBottom w:val="0"/>
          <w:divBdr>
            <w:top w:val="none" w:sz="0" w:space="0" w:color="auto"/>
            <w:left w:val="none" w:sz="0" w:space="0" w:color="auto"/>
            <w:bottom w:val="none" w:sz="0" w:space="0" w:color="auto"/>
            <w:right w:val="none" w:sz="0" w:space="0" w:color="auto"/>
          </w:divBdr>
        </w:div>
        <w:div w:id="1713454088">
          <w:marLeft w:val="0"/>
          <w:marRight w:val="0"/>
          <w:marTop w:val="0"/>
          <w:marBottom w:val="0"/>
          <w:divBdr>
            <w:top w:val="none" w:sz="0" w:space="0" w:color="auto"/>
            <w:left w:val="none" w:sz="0" w:space="0" w:color="auto"/>
            <w:bottom w:val="none" w:sz="0" w:space="0" w:color="auto"/>
            <w:right w:val="none" w:sz="0" w:space="0" w:color="auto"/>
          </w:divBdr>
        </w:div>
      </w:divsChild>
    </w:div>
    <w:div w:id="1157839558">
      <w:bodyDiv w:val="1"/>
      <w:marLeft w:val="0"/>
      <w:marRight w:val="0"/>
      <w:marTop w:val="0"/>
      <w:marBottom w:val="0"/>
      <w:divBdr>
        <w:top w:val="none" w:sz="0" w:space="0" w:color="auto"/>
        <w:left w:val="none" w:sz="0" w:space="0" w:color="auto"/>
        <w:bottom w:val="none" w:sz="0" w:space="0" w:color="auto"/>
        <w:right w:val="none" w:sz="0" w:space="0" w:color="auto"/>
      </w:divBdr>
      <w:divsChild>
        <w:div w:id="510023314">
          <w:marLeft w:val="0"/>
          <w:marRight w:val="0"/>
          <w:marTop w:val="0"/>
          <w:marBottom w:val="0"/>
          <w:divBdr>
            <w:top w:val="none" w:sz="0" w:space="0" w:color="auto"/>
            <w:left w:val="none" w:sz="0" w:space="0" w:color="auto"/>
            <w:bottom w:val="none" w:sz="0" w:space="0" w:color="auto"/>
            <w:right w:val="none" w:sz="0" w:space="0" w:color="auto"/>
          </w:divBdr>
          <w:divsChild>
            <w:div w:id="227502321">
              <w:marLeft w:val="0"/>
              <w:marRight w:val="0"/>
              <w:marTop w:val="30"/>
              <w:marBottom w:val="30"/>
              <w:divBdr>
                <w:top w:val="none" w:sz="0" w:space="0" w:color="auto"/>
                <w:left w:val="none" w:sz="0" w:space="0" w:color="auto"/>
                <w:bottom w:val="none" w:sz="0" w:space="0" w:color="auto"/>
                <w:right w:val="none" w:sz="0" w:space="0" w:color="auto"/>
              </w:divBdr>
              <w:divsChild>
                <w:div w:id="390858213">
                  <w:marLeft w:val="0"/>
                  <w:marRight w:val="0"/>
                  <w:marTop w:val="0"/>
                  <w:marBottom w:val="0"/>
                  <w:divBdr>
                    <w:top w:val="none" w:sz="0" w:space="0" w:color="auto"/>
                    <w:left w:val="none" w:sz="0" w:space="0" w:color="auto"/>
                    <w:bottom w:val="none" w:sz="0" w:space="0" w:color="auto"/>
                    <w:right w:val="none" w:sz="0" w:space="0" w:color="auto"/>
                  </w:divBdr>
                  <w:divsChild>
                    <w:div w:id="443235296">
                      <w:marLeft w:val="0"/>
                      <w:marRight w:val="0"/>
                      <w:marTop w:val="0"/>
                      <w:marBottom w:val="0"/>
                      <w:divBdr>
                        <w:top w:val="none" w:sz="0" w:space="0" w:color="auto"/>
                        <w:left w:val="none" w:sz="0" w:space="0" w:color="auto"/>
                        <w:bottom w:val="none" w:sz="0" w:space="0" w:color="auto"/>
                        <w:right w:val="none" w:sz="0" w:space="0" w:color="auto"/>
                      </w:divBdr>
                    </w:div>
                  </w:divsChild>
                </w:div>
                <w:div w:id="504248113">
                  <w:marLeft w:val="0"/>
                  <w:marRight w:val="0"/>
                  <w:marTop w:val="0"/>
                  <w:marBottom w:val="0"/>
                  <w:divBdr>
                    <w:top w:val="none" w:sz="0" w:space="0" w:color="auto"/>
                    <w:left w:val="none" w:sz="0" w:space="0" w:color="auto"/>
                    <w:bottom w:val="none" w:sz="0" w:space="0" w:color="auto"/>
                    <w:right w:val="none" w:sz="0" w:space="0" w:color="auto"/>
                  </w:divBdr>
                  <w:divsChild>
                    <w:div w:id="920985029">
                      <w:marLeft w:val="0"/>
                      <w:marRight w:val="0"/>
                      <w:marTop w:val="0"/>
                      <w:marBottom w:val="0"/>
                      <w:divBdr>
                        <w:top w:val="none" w:sz="0" w:space="0" w:color="auto"/>
                        <w:left w:val="none" w:sz="0" w:space="0" w:color="auto"/>
                        <w:bottom w:val="none" w:sz="0" w:space="0" w:color="auto"/>
                        <w:right w:val="none" w:sz="0" w:space="0" w:color="auto"/>
                      </w:divBdr>
                    </w:div>
                  </w:divsChild>
                </w:div>
                <w:div w:id="887296866">
                  <w:marLeft w:val="0"/>
                  <w:marRight w:val="0"/>
                  <w:marTop w:val="0"/>
                  <w:marBottom w:val="0"/>
                  <w:divBdr>
                    <w:top w:val="none" w:sz="0" w:space="0" w:color="auto"/>
                    <w:left w:val="none" w:sz="0" w:space="0" w:color="auto"/>
                    <w:bottom w:val="none" w:sz="0" w:space="0" w:color="auto"/>
                    <w:right w:val="none" w:sz="0" w:space="0" w:color="auto"/>
                  </w:divBdr>
                  <w:divsChild>
                    <w:div w:id="2044135015">
                      <w:marLeft w:val="0"/>
                      <w:marRight w:val="0"/>
                      <w:marTop w:val="0"/>
                      <w:marBottom w:val="0"/>
                      <w:divBdr>
                        <w:top w:val="none" w:sz="0" w:space="0" w:color="auto"/>
                        <w:left w:val="none" w:sz="0" w:space="0" w:color="auto"/>
                        <w:bottom w:val="none" w:sz="0" w:space="0" w:color="auto"/>
                        <w:right w:val="none" w:sz="0" w:space="0" w:color="auto"/>
                      </w:divBdr>
                    </w:div>
                  </w:divsChild>
                </w:div>
                <w:div w:id="1022903377">
                  <w:marLeft w:val="0"/>
                  <w:marRight w:val="0"/>
                  <w:marTop w:val="0"/>
                  <w:marBottom w:val="0"/>
                  <w:divBdr>
                    <w:top w:val="none" w:sz="0" w:space="0" w:color="auto"/>
                    <w:left w:val="none" w:sz="0" w:space="0" w:color="auto"/>
                    <w:bottom w:val="none" w:sz="0" w:space="0" w:color="auto"/>
                    <w:right w:val="none" w:sz="0" w:space="0" w:color="auto"/>
                  </w:divBdr>
                  <w:divsChild>
                    <w:div w:id="1911424929">
                      <w:marLeft w:val="0"/>
                      <w:marRight w:val="0"/>
                      <w:marTop w:val="0"/>
                      <w:marBottom w:val="0"/>
                      <w:divBdr>
                        <w:top w:val="none" w:sz="0" w:space="0" w:color="auto"/>
                        <w:left w:val="none" w:sz="0" w:space="0" w:color="auto"/>
                        <w:bottom w:val="none" w:sz="0" w:space="0" w:color="auto"/>
                        <w:right w:val="none" w:sz="0" w:space="0" w:color="auto"/>
                      </w:divBdr>
                    </w:div>
                  </w:divsChild>
                </w:div>
                <w:div w:id="1035543167">
                  <w:marLeft w:val="0"/>
                  <w:marRight w:val="0"/>
                  <w:marTop w:val="0"/>
                  <w:marBottom w:val="0"/>
                  <w:divBdr>
                    <w:top w:val="none" w:sz="0" w:space="0" w:color="auto"/>
                    <w:left w:val="none" w:sz="0" w:space="0" w:color="auto"/>
                    <w:bottom w:val="none" w:sz="0" w:space="0" w:color="auto"/>
                    <w:right w:val="none" w:sz="0" w:space="0" w:color="auto"/>
                  </w:divBdr>
                  <w:divsChild>
                    <w:div w:id="544679870">
                      <w:marLeft w:val="0"/>
                      <w:marRight w:val="0"/>
                      <w:marTop w:val="0"/>
                      <w:marBottom w:val="0"/>
                      <w:divBdr>
                        <w:top w:val="none" w:sz="0" w:space="0" w:color="auto"/>
                        <w:left w:val="none" w:sz="0" w:space="0" w:color="auto"/>
                        <w:bottom w:val="none" w:sz="0" w:space="0" w:color="auto"/>
                        <w:right w:val="none" w:sz="0" w:space="0" w:color="auto"/>
                      </w:divBdr>
                    </w:div>
                  </w:divsChild>
                </w:div>
                <w:div w:id="1213343122">
                  <w:marLeft w:val="0"/>
                  <w:marRight w:val="0"/>
                  <w:marTop w:val="0"/>
                  <w:marBottom w:val="0"/>
                  <w:divBdr>
                    <w:top w:val="none" w:sz="0" w:space="0" w:color="auto"/>
                    <w:left w:val="none" w:sz="0" w:space="0" w:color="auto"/>
                    <w:bottom w:val="none" w:sz="0" w:space="0" w:color="auto"/>
                    <w:right w:val="none" w:sz="0" w:space="0" w:color="auto"/>
                  </w:divBdr>
                  <w:divsChild>
                    <w:div w:id="335234408">
                      <w:marLeft w:val="0"/>
                      <w:marRight w:val="0"/>
                      <w:marTop w:val="0"/>
                      <w:marBottom w:val="0"/>
                      <w:divBdr>
                        <w:top w:val="none" w:sz="0" w:space="0" w:color="auto"/>
                        <w:left w:val="none" w:sz="0" w:space="0" w:color="auto"/>
                        <w:bottom w:val="none" w:sz="0" w:space="0" w:color="auto"/>
                        <w:right w:val="none" w:sz="0" w:space="0" w:color="auto"/>
                      </w:divBdr>
                    </w:div>
                  </w:divsChild>
                </w:div>
                <w:div w:id="1303850984">
                  <w:marLeft w:val="0"/>
                  <w:marRight w:val="0"/>
                  <w:marTop w:val="0"/>
                  <w:marBottom w:val="0"/>
                  <w:divBdr>
                    <w:top w:val="none" w:sz="0" w:space="0" w:color="auto"/>
                    <w:left w:val="none" w:sz="0" w:space="0" w:color="auto"/>
                    <w:bottom w:val="none" w:sz="0" w:space="0" w:color="auto"/>
                    <w:right w:val="none" w:sz="0" w:space="0" w:color="auto"/>
                  </w:divBdr>
                  <w:divsChild>
                    <w:div w:id="2024237762">
                      <w:marLeft w:val="0"/>
                      <w:marRight w:val="0"/>
                      <w:marTop w:val="0"/>
                      <w:marBottom w:val="0"/>
                      <w:divBdr>
                        <w:top w:val="none" w:sz="0" w:space="0" w:color="auto"/>
                        <w:left w:val="none" w:sz="0" w:space="0" w:color="auto"/>
                        <w:bottom w:val="none" w:sz="0" w:space="0" w:color="auto"/>
                        <w:right w:val="none" w:sz="0" w:space="0" w:color="auto"/>
                      </w:divBdr>
                    </w:div>
                  </w:divsChild>
                </w:div>
                <w:div w:id="1541745431">
                  <w:marLeft w:val="0"/>
                  <w:marRight w:val="0"/>
                  <w:marTop w:val="0"/>
                  <w:marBottom w:val="0"/>
                  <w:divBdr>
                    <w:top w:val="none" w:sz="0" w:space="0" w:color="auto"/>
                    <w:left w:val="none" w:sz="0" w:space="0" w:color="auto"/>
                    <w:bottom w:val="none" w:sz="0" w:space="0" w:color="auto"/>
                    <w:right w:val="none" w:sz="0" w:space="0" w:color="auto"/>
                  </w:divBdr>
                  <w:divsChild>
                    <w:div w:id="2004972004">
                      <w:marLeft w:val="0"/>
                      <w:marRight w:val="0"/>
                      <w:marTop w:val="0"/>
                      <w:marBottom w:val="0"/>
                      <w:divBdr>
                        <w:top w:val="none" w:sz="0" w:space="0" w:color="auto"/>
                        <w:left w:val="none" w:sz="0" w:space="0" w:color="auto"/>
                        <w:bottom w:val="none" w:sz="0" w:space="0" w:color="auto"/>
                        <w:right w:val="none" w:sz="0" w:space="0" w:color="auto"/>
                      </w:divBdr>
                    </w:div>
                  </w:divsChild>
                </w:div>
                <w:div w:id="1774280500">
                  <w:marLeft w:val="0"/>
                  <w:marRight w:val="0"/>
                  <w:marTop w:val="0"/>
                  <w:marBottom w:val="0"/>
                  <w:divBdr>
                    <w:top w:val="none" w:sz="0" w:space="0" w:color="auto"/>
                    <w:left w:val="none" w:sz="0" w:space="0" w:color="auto"/>
                    <w:bottom w:val="none" w:sz="0" w:space="0" w:color="auto"/>
                    <w:right w:val="none" w:sz="0" w:space="0" w:color="auto"/>
                  </w:divBdr>
                  <w:divsChild>
                    <w:div w:id="943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7050">
          <w:marLeft w:val="0"/>
          <w:marRight w:val="0"/>
          <w:marTop w:val="0"/>
          <w:marBottom w:val="0"/>
          <w:divBdr>
            <w:top w:val="none" w:sz="0" w:space="0" w:color="auto"/>
            <w:left w:val="none" w:sz="0" w:space="0" w:color="auto"/>
            <w:bottom w:val="none" w:sz="0" w:space="0" w:color="auto"/>
            <w:right w:val="none" w:sz="0" w:space="0" w:color="auto"/>
          </w:divBdr>
        </w:div>
        <w:div w:id="1265917532">
          <w:marLeft w:val="0"/>
          <w:marRight w:val="0"/>
          <w:marTop w:val="0"/>
          <w:marBottom w:val="0"/>
          <w:divBdr>
            <w:top w:val="none" w:sz="0" w:space="0" w:color="auto"/>
            <w:left w:val="none" w:sz="0" w:space="0" w:color="auto"/>
            <w:bottom w:val="none" w:sz="0" w:space="0" w:color="auto"/>
            <w:right w:val="none" w:sz="0" w:space="0" w:color="auto"/>
          </w:divBdr>
        </w:div>
        <w:div w:id="1371034207">
          <w:marLeft w:val="0"/>
          <w:marRight w:val="0"/>
          <w:marTop w:val="0"/>
          <w:marBottom w:val="0"/>
          <w:divBdr>
            <w:top w:val="none" w:sz="0" w:space="0" w:color="auto"/>
            <w:left w:val="none" w:sz="0" w:space="0" w:color="auto"/>
            <w:bottom w:val="none" w:sz="0" w:space="0" w:color="auto"/>
            <w:right w:val="none" w:sz="0" w:space="0" w:color="auto"/>
          </w:divBdr>
        </w:div>
      </w:divsChild>
    </w:div>
    <w:div w:id="1234044501">
      <w:bodyDiv w:val="1"/>
      <w:marLeft w:val="0"/>
      <w:marRight w:val="0"/>
      <w:marTop w:val="0"/>
      <w:marBottom w:val="0"/>
      <w:divBdr>
        <w:top w:val="none" w:sz="0" w:space="0" w:color="auto"/>
        <w:left w:val="none" w:sz="0" w:space="0" w:color="auto"/>
        <w:bottom w:val="none" w:sz="0" w:space="0" w:color="auto"/>
        <w:right w:val="none" w:sz="0" w:space="0" w:color="auto"/>
      </w:divBdr>
    </w:div>
    <w:div w:id="1315140246">
      <w:bodyDiv w:val="1"/>
      <w:marLeft w:val="0"/>
      <w:marRight w:val="0"/>
      <w:marTop w:val="0"/>
      <w:marBottom w:val="0"/>
      <w:divBdr>
        <w:top w:val="none" w:sz="0" w:space="0" w:color="auto"/>
        <w:left w:val="none" w:sz="0" w:space="0" w:color="auto"/>
        <w:bottom w:val="none" w:sz="0" w:space="0" w:color="auto"/>
        <w:right w:val="none" w:sz="0" w:space="0" w:color="auto"/>
      </w:divBdr>
    </w:div>
    <w:div w:id="1563903699">
      <w:bodyDiv w:val="1"/>
      <w:marLeft w:val="0"/>
      <w:marRight w:val="0"/>
      <w:marTop w:val="0"/>
      <w:marBottom w:val="0"/>
      <w:divBdr>
        <w:top w:val="none" w:sz="0" w:space="0" w:color="auto"/>
        <w:left w:val="none" w:sz="0" w:space="0" w:color="auto"/>
        <w:bottom w:val="none" w:sz="0" w:space="0" w:color="auto"/>
        <w:right w:val="none" w:sz="0" w:space="0" w:color="auto"/>
      </w:divBdr>
    </w:div>
    <w:div w:id="1594437337">
      <w:bodyDiv w:val="1"/>
      <w:marLeft w:val="0"/>
      <w:marRight w:val="0"/>
      <w:marTop w:val="0"/>
      <w:marBottom w:val="0"/>
      <w:divBdr>
        <w:top w:val="none" w:sz="0" w:space="0" w:color="auto"/>
        <w:left w:val="none" w:sz="0" w:space="0" w:color="auto"/>
        <w:bottom w:val="none" w:sz="0" w:space="0" w:color="auto"/>
        <w:right w:val="none" w:sz="0" w:space="0" w:color="auto"/>
      </w:divBdr>
      <w:divsChild>
        <w:div w:id="66076737">
          <w:marLeft w:val="0"/>
          <w:marRight w:val="0"/>
          <w:marTop w:val="0"/>
          <w:marBottom w:val="0"/>
          <w:divBdr>
            <w:top w:val="none" w:sz="0" w:space="0" w:color="auto"/>
            <w:left w:val="none" w:sz="0" w:space="0" w:color="auto"/>
            <w:bottom w:val="none" w:sz="0" w:space="0" w:color="auto"/>
            <w:right w:val="none" w:sz="0" w:space="0" w:color="auto"/>
          </w:divBdr>
        </w:div>
        <w:div w:id="344862813">
          <w:marLeft w:val="0"/>
          <w:marRight w:val="0"/>
          <w:marTop w:val="0"/>
          <w:marBottom w:val="0"/>
          <w:divBdr>
            <w:top w:val="none" w:sz="0" w:space="0" w:color="auto"/>
            <w:left w:val="none" w:sz="0" w:space="0" w:color="auto"/>
            <w:bottom w:val="none" w:sz="0" w:space="0" w:color="auto"/>
            <w:right w:val="none" w:sz="0" w:space="0" w:color="auto"/>
          </w:divBdr>
        </w:div>
        <w:div w:id="580020330">
          <w:marLeft w:val="0"/>
          <w:marRight w:val="0"/>
          <w:marTop w:val="0"/>
          <w:marBottom w:val="0"/>
          <w:divBdr>
            <w:top w:val="none" w:sz="0" w:space="0" w:color="auto"/>
            <w:left w:val="none" w:sz="0" w:space="0" w:color="auto"/>
            <w:bottom w:val="none" w:sz="0" w:space="0" w:color="auto"/>
            <w:right w:val="none" w:sz="0" w:space="0" w:color="auto"/>
          </w:divBdr>
        </w:div>
      </w:divsChild>
    </w:div>
    <w:div w:id="1763137395">
      <w:bodyDiv w:val="1"/>
      <w:marLeft w:val="0"/>
      <w:marRight w:val="0"/>
      <w:marTop w:val="0"/>
      <w:marBottom w:val="0"/>
      <w:divBdr>
        <w:top w:val="none" w:sz="0" w:space="0" w:color="auto"/>
        <w:left w:val="none" w:sz="0" w:space="0" w:color="auto"/>
        <w:bottom w:val="none" w:sz="0" w:space="0" w:color="auto"/>
        <w:right w:val="none" w:sz="0" w:space="0" w:color="auto"/>
      </w:divBdr>
      <w:divsChild>
        <w:div w:id="287585212">
          <w:marLeft w:val="0"/>
          <w:marRight w:val="0"/>
          <w:marTop w:val="0"/>
          <w:marBottom w:val="0"/>
          <w:divBdr>
            <w:top w:val="none" w:sz="0" w:space="0" w:color="auto"/>
            <w:left w:val="none" w:sz="0" w:space="0" w:color="auto"/>
            <w:bottom w:val="none" w:sz="0" w:space="0" w:color="auto"/>
            <w:right w:val="none" w:sz="0" w:space="0" w:color="auto"/>
          </w:divBdr>
        </w:div>
        <w:div w:id="324092905">
          <w:marLeft w:val="0"/>
          <w:marRight w:val="0"/>
          <w:marTop w:val="0"/>
          <w:marBottom w:val="0"/>
          <w:divBdr>
            <w:top w:val="none" w:sz="0" w:space="0" w:color="auto"/>
            <w:left w:val="none" w:sz="0" w:space="0" w:color="auto"/>
            <w:bottom w:val="none" w:sz="0" w:space="0" w:color="auto"/>
            <w:right w:val="none" w:sz="0" w:space="0" w:color="auto"/>
          </w:divBdr>
        </w:div>
        <w:div w:id="1007825563">
          <w:marLeft w:val="0"/>
          <w:marRight w:val="0"/>
          <w:marTop w:val="0"/>
          <w:marBottom w:val="0"/>
          <w:divBdr>
            <w:top w:val="none" w:sz="0" w:space="0" w:color="auto"/>
            <w:left w:val="none" w:sz="0" w:space="0" w:color="auto"/>
            <w:bottom w:val="none" w:sz="0" w:space="0" w:color="auto"/>
            <w:right w:val="none" w:sz="0" w:space="0" w:color="auto"/>
          </w:divBdr>
        </w:div>
        <w:div w:id="1219511281">
          <w:marLeft w:val="0"/>
          <w:marRight w:val="0"/>
          <w:marTop w:val="0"/>
          <w:marBottom w:val="0"/>
          <w:divBdr>
            <w:top w:val="none" w:sz="0" w:space="0" w:color="auto"/>
            <w:left w:val="none" w:sz="0" w:space="0" w:color="auto"/>
            <w:bottom w:val="none" w:sz="0" w:space="0" w:color="auto"/>
            <w:right w:val="none" w:sz="0" w:space="0" w:color="auto"/>
          </w:divBdr>
        </w:div>
        <w:div w:id="1646544331">
          <w:marLeft w:val="0"/>
          <w:marRight w:val="0"/>
          <w:marTop w:val="0"/>
          <w:marBottom w:val="0"/>
          <w:divBdr>
            <w:top w:val="none" w:sz="0" w:space="0" w:color="auto"/>
            <w:left w:val="none" w:sz="0" w:space="0" w:color="auto"/>
            <w:bottom w:val="none" w:sz="0" w:space="0" w:color="auto"/>
            <w:right w:val="none" w:sz="0" w:space="0" w:color="auto"/>
          </w:divBdr>
        </w:div>
      </w:divsChild>
    </w:div>
    <w:div w:id="1782408313">
      <w:bodyDiv w:val="1"/>
      <w:marLeft w:val="0"/>
      <w:marRight w:val="0"/>
      <w:marTop w:val="0"/>
      <w:marBottom w:val="0"/>
      <w:divBdr>
        <w:top w:val="none" w:sz="0" w:space="0" w:color="auto"/>
        <w:left w:val="none" w:sz="0" w:space="0" w:color="auto"/>
        <w:bottom w:val="none" w:sz="0" w:space="0" w:color="auto"/>
        <w:right w:val="none" w:sz="0" w:space="0" w:color="auto"/>
      </w:divBdr>
    </w:div>
    <w:div w:id="1783112502">
      <w:bodyDiv w:val="1"/>
      <w:marLeft w:val="0"/>
      <w:marRight w:val="0"/>
      <w:marTop w:val="0"/>
      <w:marBottom w:val="0"/>
      <w:divBdr>
        <w:top w:val="none" w:sz="0" w:space="0" w:color="auto"/>
        <w:left w:val="none" w:sz="0" w:space="0" w:color="auto"/>
        <w:bottom w:val="none" w:sz="0" w:space="0" w:color="auto"/>
        <w:right w:val="none" w:sz="0" w:space="0" w:color="auto"/>
      </w:divBdr>
    </w:div>
    <w:div w:id="1899629361">
      <w:bodyDiv w:val="1"/>
      <w:marLeft w:val="0"/>
      <w:marRight w:val="0"/>
      <w:marTop w:val="0"/>
      <w:marBottom w:val="0"/>
      <w:divBdr>
        <w:top w:val="none" w:sz="0" w:space="0" w:color="auto"/>
        <w:left w:val="none" w:sz="0" w:space="0" w:color="auto"/>
        <w:bottom w:val="none" w:sz="0" w:space="0" w:color="auto"/>
        <w:right w:val="none" w:sz="0" w:space="0" w:color="auto"/>
      </w:divBdr>
      <w:divsChild>
        <w:div w:id="337778365">
          <w:marLeft w:val="0"/>
          <w:marRight w:val="0"/>
          <w:marTop w:val="0"/>
          <w:marBottom w:val="0"/>
          <w:divBdr>
            <w:top w:val="none" w:sz="0" w:space="0" w:color="auto"/>
            <w:left w:val="none" w:sz="0" w:space="0" w:color="auto"/>
            <w:bottom w:val="none" w:sz="0" w:space="0" w:color="auto"/>
            <w:right w:val="none" w:sz="0" w:space="0" w:color="auto"/>
          </w:divBdr>
        </w:div>
        <w:div w:id="557716012">
          <w:marLeft w:val="0"/>
          <w:marRight w:val="0"/>
          <w:marTop w:val="0"/>
          <w:marBottom w:val="0"/>
          <w:divBdr>
            <w:top w:val="none" w:sz="0" w:space="0" w:color="auto"/>
            <w:left w:val="none" w:sz="0" w:space="0" w:color="auto"/>
            <w:bottom w:val="none" w:sz="0" w:space="0" w:color="auto"/>
            <w:right w:val="none" w:sz="0" w:space="0" w:color="auto"/>
          </w:divBdr>
        </w:div>
        <w:div w:id="734158548">
          <w:marLeft w:val="0"/>
          <w:marRight w:val="0"/>
          <w:marTop w:val="0"/>
          <w:marBottom w:val="0"/>
          <w:divBdr>
            <w:top w:val="none" w:sz="0" w:space="0" w:color="auto"/>
            <w:left w:val="none" w:sz="0" w:space="0" w:color="auto"/>
            <w:bottom w:val="none" w:sz="0" w:space="0" w:color="auto"/>
            <w:right w:val="none" w:sz="0" w:space="0" w:color="auto"/>
          </w:divBdr>
        </w:div>
      </w:divsChild>
    </w:div>
    <w:div w:id="1980303970">
      <w:bodyDiv w:val="1"/>
      <w:marLeft w:val="0"/>
      <w:marRight w:val="0"/>
      <w:marTop w:val="0"/>
      <w:marBottom w:val="0"/>
      <w:divBdr>
        <w:top w:val="none" w:sz="0" w:space="0" w:color="auto"/>
        <w:left w:val="none" w:sz="0" w:space="0" w:color="auto"/>
        <w:bottom w:val="none" w:sz="0" w:space="0" w:color="auto"/>
        <w:right w:val="none" w:sz="0" w:space="0" w:color="auto"/>
      </w:divBdr>
      <w:divsChild>
        <w:div w:id="11231044">
          <w:marLeft w:val="0"/>
          <w:marRight w:val="0"/>
          <w:marTop w:val="0"/>
          <w:marBottom w:val="0"/>
          <w:divBdr>
            <w:top w:val="none" w:sz="0" w:space="0" w:color="auto"/>
            <w:left w:val="none" w:sz="0" w:space="0" w:color="auto"/>
            <w:bottom w:val="none" w:sz="0" w:space="0" w:color="auto"/>
            <w:right w:val="none" w:sz="0" w:space="0" w:color="auto"/>
          </w:divBdr>
          <w:divsChild>
            <w:div w:id="1411269877">
              <w:marLeft w:val="0"/>
              <w:marRight w:val="0"/>
              <w:marTop w:val="0"/>
              <w:marBottom w:val="0"/>
              <w:divBdr>
                <w:top w:val="none" w:sz="0" w:space="0" w:color="auto"/>
                <w:left w:val="none" w:sz="0" w:space="0" w:color="auto"/>
                <w:bottom w:val="none" w:sz="0" w:space="0" w:color="auto"/>
                <w:right w:val="none" w:sz="0" w:space="0" w:color="auto"/>
              </w:divBdr>
            </w:div>
          </w:divsChild>
        </w:div>
        <w:div w:id="87384871">
          <w:marLeft w:val="0"/>
          <w:marRight w:val="0"/>
          <w:marTop w:val="0"/>
          <w:marBottom w:val="0"/>
          <w:divBdr>
            <w:top w:val="none" w:sz="0" w:space="0" w:color="auto"/>
            <w:left w:val="none" w:sz="0" w:space="0" w:color="auto"/>
            <w:bottom w:val="none" w:sz="0" w:space="0" w:color="auto"/>
            <w:right w:val="none" w:sz="0" w:space="0" w:color="auto"/>
          </w:divBdr>
          <w:divsChild>
            <w:div w:id="692150983">
              <w:marLeft w:val="0"/>
              <w:marRight w:val="0"/>
              <w:marTop w:val="0"/>
              <w:marBottom w:val="0"/>
              <w:divBdr>
                <w:top w:val="none" w:sz="0" w:space="0" w:color="auto"/>
                <w:left w:val="none" w:sz="0" w:space="0" w:color="auto"/>
                <w:bottom w:val="none" w:sz="0" w:space="0" w:color="auto"/>
                <w:right w:val="none" w:sz="0" w:space="0" w:color="auto"/>
              </w:divBdr>
            </w:div>
          </w:divsChild>
        </w:div>
        <w:div w:id="88741209">
          <w:marLeft w:val="0"/>
          <w:marRight w:val="0"/>
          <w:marTop w:val="0"/>
          <w:marBottom w:val="0"/>
          <w:divBdr>
            <w:top w:val="none" w:sz="0" w:space="0" w:color="auto"/>
            <w:left w:val="none" w:sz="0" w:space="0" w:color="auto"/>
            <w:bottom w:val="none" w:sz="0" w:space="0" w:color="auto"/>
            <w:right w:val="none" w:sz="0" w:space="0" w:color="auto"/>
          </w:divBdr>
          <w:divsChild>
            <w:div w:id="1384331788">
              <w:marLeft w:val="0"/>
              <w:marRight w:val="0"/>
              <w:marTop w:val="0"/>
              <w:marBottom w:val="0"/>
              <w:divBdr>
                <w:top w:val="none" w:sz="0" w:space="0" w:color="auto"/>
                <w:left w:val="none" w:sz="0" w:space="0" w:color="auto"/>
                <w:bottom w:val="none" w:sz="0" w:space="0" w:color="auto"/>
                <w:right w:val="none" w:sz="0" w:space="0" w:color="auto"/>
              </w:divBdr>
            </w:div>
          </w:divsChild>
        </w:div>
        <w:div w:id="110366941">
          <w:marLeft w:val="0"/>
          <w:marRight w:val="0"/>
          <w:marTop w:val="0"/>
          <w:marBottom w:val="0"/>
          <w:divBdr>
            <w:top w:val="none" w:sz="0" w:space="0" w:color="auto"/>
            <w:left w:val="none" w:sz="0" w:space="0" w:color="auto"/>
            <w:bottom w:val="none" w:sz="0" w:space="0" w:color="auto"/>
            <w:right w:val="none" w:sz="0" w:space="0" w:color="auto"/>
          </w:divBdr>
          <w:divsChild>
            <w:div w:id="1209805887">
              <w:marLeft w:val="0"/>
              <w:marRight w:val="0"/>
              <w:marTop w:val="0"/>
              <w:marBottom w:val="0"/>
              <w:divBdr>
                <w:top w:val="none" w:sz="0" w:space="0" w:color="auto"/>
                <w:left w:val="none" w:sz="0" w:space="0" w:color="auto"/>
                <w:bottom w:val="none" w:sz="0" w:space="0" w:color="auto"/>
                <w:right w:val="none" w:sz="0" w:space="0" w:color="auto"/>
              </w:divBdr>
            </w:div>
          </w:divsChild>
        </w:div>
        <w:div w:id="127363281">
          <w:marLeft w:val="0"/>
          <w:marRight w:val="0"/>
          <w:marTop w:val="0"/>
          <w:marBottom w:val="0"/>
          <w:divBdr>
            <w:top w:val="none" w:sz="0" w:space="0" w:color="auto"/>
            <w:left w:val="none" w:sz="0" w:space="0" w:color="auto"/>
            <w:bottom w:val="none" w:sz="0" w:space="0" w:color="auto"/>
            <w:right w:val="none" w:sz="0" w:space="0" w:color="auto"/>
          </w:divBdr>
          <w:divsChild>
            <w:div w:id="2110268308">
              <w:marLeft w:val="0"/>
              <w:marRight w:val="0"/>
              <w:marTop w:val="0"/>
              <w:marBottom w:val="0"/>
              <w:divBdr>
                <w:top w:val="none" w:sz="0" w:space="0" w:color="auto"/>
                <w:left w:val="none" w:sz="0" w:space="0" w:color="auto"/>
                <w:bottom w:val="none" w:sz="0" w:space="0" w:color="auto"/>
                <w:right w:val="none" w:sz="0" w:space="0" w:color="auto"/>
              </w:divBdr>
            </w:div>
          </w:divsChild>
        </w:div>
        <w:div w:id="130053829">
          <w:marLeft w:val="0"/>
          <w:marRight w:val="0"/>
          <w:marTop w:val="0"/>
          <w:marBottom w:val="0"/>
          <w:divBdr>
            <w:top w:val="none" w:sz="0" w:space="0" w:color="auto"/>
            <w:left w:val="none" w:sz="0" w:space="0" w:color="auto"/>
            <w:bottom w:val="none" w:sz="0" w:space="0" w:color="auto"/>
            <w:right w:val="none" w:sz="0" w:space="0" w:color="auto"/>
          </w:divBdr>
          <w:divsChild>
            <w:div w:id="2042365202">
              <w:marLeft w:val="0"/>
              <w:marRight w:val="0"/>
              <w:marTop w:val="0"/>
              <w:marBottom w:val="0"/>
              <w:divBdr>
                <w:top w:val="none" w:sz="0" w:space="0" w:color="auto"/>
                <w:left w:val="none" w:sz="0" w:space="0" w:color="auto"/>
                <w:bottom w:val="none" w:sz="0" w:space="0" w:color="auto"/>
                <w:right w:val="none" w:sz="0" w:space="0" w:color="auto"/>
              </w:divBdr>
            </w:div>
          </w:divsChild>
        </w:div>
        <w:div w:id="140194723">
          <w:marLeft w:val="0"/>
          <w:marRight w:val="0"/>
          <w:marTop w:val="0"/>
          <w:marBottom w:val="0"/>
          <w:divBdr>
            <w:top w:val="none" w:sz="0" w:space="0" w:color="auto"/>
            <w:left w:val="none" w:sz="0" w:space="0" w:color="auto"/>
            <w:bottom w:val="none" w:sz="0" w:space="0" w:color="auto"/>
            <w:right w:val="none" w:sz="0" w:space="0" w:color="auto"/>
          </w:divBdr>
          <w:divsChild>
            <w:div w:id="1192841545">
              <w:marLeft w:val="0"/>
              <w:marRight w:val="0"/>
              <w:marTop w:val="0"/>
              <w:marBottom w:val="0"/>
              <w:divBdr>
                <w:top w:val="none" w:sz="0" w:space="0" w:color="auto"/>
                <w:left w:val="none" w:sz="0" w:space="0" w:color="auto"/>
                <w:bottom w:val="none" w:sz="0" w:space="0" w:color="auto"/>
                <w:right w:val="none" w:sz="0" w:space="0" w:color="auto"/>
              </w:divBdr>
            </w:div>
          </w:divsChild>
        </w:div>
        <w:div w:id="154878328">
          <w:marLeft w:val="0"/>
          <w:marRight w:val="0"/>
          <w:marTop w:val="0"/>
          <w:marBottom w:val="0"/>
          <w:divBdr>
            <w:top w:val="none" w:sz="0" w:space="0" w:color="auto"/>
            <w:left w:val="none" w:sz="0" w:space="0" w:color="auto"/>
            <w:bottom w:val="none" w:sz="0" w:space="0" w:color="auto"/>
            <w:right w:val="none" w:sz="0" w:space="0" w:color="auto"/>
          </w:divBdr>
          <w:divsChild>
            <w:div w:id="967779047">
              <w:marLeft w:val="0"/>
              <w:marRight w:val="0"/>
              <w:marTop w:val="0"/>
              <w:marBottom w:val="0"/>
              <w:divBdr>
                <w:top w:val="none" w:sz="0" w:space="0" w:color="auto"/>
                <w:left w:val="none" w:sz="0" w:space="0" w:color="auto"/>
                <w:bottom w:val="none" w:sz="0" w:space="0" w:color="auto"/>
                <w:right w:val="none" w:sz="0" w:space="0" w:color="auto"/>
              </w:divBdr>
            </w:div>
          </w:divsChild>
        </w:div>
        <w:div w:id="156775099">
          <w:marLeft w:val="0"/>
          <w:marRight w:val="0"/>
          <w:marTop w:val="0"/>
          <w:marBottom w:val="0"/>
          <w:divBdr>
            <w:top w:val="none" w:sz="0" w:space="0" w:color="auto"/>
            <w:left w:val="none" w:sz="0" w:space="0" w:color="auto"/>
            <w:bottom w:val="none" w:sz="0" w:space="0" w:color="auto"/>
            <w:right w:val="none" w:sz="0" w:space="0" w:color="auto"/>
          </w:divBdr>
          <w:divsChild>
            <w:div w:id="409884815">
              <w:marLeft w:val="0"/>
              <w:marRight w:val="0"/>
              <w:marTop w:val="0"/>
              <w:marBottom w:val="0"/>
              <w:divBdr>
                <w:top w:val="none" w:sz="0" w:space="0" w:color="auto"/>
                <w:left w:val="none" w:sz="0" w:space="0" w:color="auto"/>
                <w:bottom w:val="none" w:sz="0" w:space="0" w:color="auto"/>
                <w:right w:val="none" w:sz="0" w:space="0" w:color="auto"/>
              </w:divBdr>
            </w:div>
          </w:divsChild>
        </w:div>
        <w:div w:id="161119394">
          <w:marLeft w:val="0"/>
          <w:marRight w:val="0"/>
          <w:marTop w:val="0"/>
          <w:marBottom w:val="0"/>
          <w:divBdr>
            <w:top w:val="none" w:sz="0" w:space="0" w:color="auto"/>
            <w:left w:val="none" w:sz="0" w:space="0" w:color="auto"/>
            <w:bottom w:val="none" w:sz="0" w:space="0" w:color="auto"/>
            <w:right w:val="none" w:sz="0" w:space="0" w:color="auto"/>
          </w:divBdr>
          <w:divsChild>
            <w:div w:id="1481848292">
              <w:marLeft w:val="0"/>
              <w:marRight w:val="0"/>
              <w:marTop w:val="0"/>
              <w:marBottom w:val="0"/>
              <w:divBdr>
                <w:top w:val="none" w:sz="0" w:space="0" w:color="auto"/>
                <w:left w:val="none" w:sz="0" w:space="0" w:color="auto"/>
                <w:bottom w:val="none" w:sz="0" w:space="0" w:color="auto"/>
                <w:right w:val="none" w:sz="0" w:space="0" w:color="auto"/>
              </w:divBdr>
            </w:div>
          </w:divsChild>
        </w:div>
        <w:div w:id="170528951">
          <w:marLeft w:val="0"/>
          <w:marRight w:val="0"/>
          <w:marTop w:val="0"/>
          <w:marBottom w:val="0"/>
          <w:divBdr>
            <w:top w:val="none" w:sz="0" w:space="0" w:color="auto"/>
            <w:left w:val="none" w:sz="0" w:space="0" w:color="auto"/>
            <w:bottom w:val="none" w:sz="0" w:space="0" w:color="auto"/>
            <w:right w:val="none" w:sz="0" w:space="0" w:color="auto"/>
          </w:divBdr>
          <w:divsChild>
            <w:div w:id="319499884">
              <w:marLeft w:val="0"/>
              <w:marRight w:val="0"/>
              <w:marTop w:val="0"/>
              <w:marBottom w:val="0"/>
              <w:divBdr>
                <w:top w:val="none" w:sz="0" w:space="0" w:color="auto"/>
                <w:left w:val="none" w:sz="0" w:space="0" w:color="auto"/>
                <w:bottom w:val="none" w:sz="0" w:space="0" w:color="auto"/>
                <w:right w:val="none" w:sz="0" w:space="0" w:color="auto"/>
              </w:divBdr>
            </w:div>
          </w:divsChild>
        </w:div>
        <w:div w:id="225146426">
          <w:marLeft w:val="0"/>
          <w:marRight w:val="0"/>
          <w:marTop w:val="0"/>
          <w:marBottom w:val="0"/>
          <w:divBdr>
            <w:top w:val="none" w:sz="0" w:space="0" w:color="auto"/>
            <w:left w:val="none" w:sz="0" w:space="0" w:color="auto"/>
            <w:bottom w:val="none" w:sz="0" w:space="0" w:color="auto"/>
            <w:right w:val="none" w:sz="0" w:space="0" w:color="auto"/>
          </w:divBdr>
          <w:divsChild>
            <w:div w:id="796485579">
              <w:marLeft w:val="0"/>
              <w:marRight w:val="0"/>
              <w:marTop w:val="0"/>
              <w:marBottom w:val="0"/>
              <w:divBdr>
                <w:top w:val="none" w:sz="0" w:space="0" w:color="auto"/>
                <w:left w:val="none" w:sz="0" w:space="0" w:color="auto"/>
                <w:bottom w:val="none" w:sz="0" w:space="0" w:color="auto"/>
                <w:right w:val="none" w:sz="0" w:space="0" w:color="auto"/>
              </w:divBdr>
            </w:div>
          </w:divsChild>
        </w:div>
        <w:div w:id="235625878">
          <w:marLeft w:val="0"/>
          <w:marRight w:val="0"/>
          <w:marTop w:val="0"/>
          <w:marBottom w:val="0"/>
          <w:divBdr>
            <w:top w:val="none" w:sz="0" w:space="0" w:color="auto"/>
            <w:left w:val="none" w:sz="0" w:space="0" w:color="auto"/>
            <w:bottom w:val="none" w:sz="0" w:space="0" w:color="auto"/>
            <w:right w:val="none" w:sz="0" w:space="0" w:color="auto"/>
          </w:divBdr>
          <w:divsChild>
            <w:div w:id="1238828426">
              <w:marLeft w:val="0"/>
              <w:marRight w:val="0"/>
              <w:marTop w:val="0"/>
              <w:marBottom w:val="0"/>
              <w:divBdr>
                <w:top w:val="none" w:sz="0" w:space="0" w:color="auto"/>
                <w:left w:val="none" w:sz="0" w:space="0" w:color="auto"/>
                <w:bottom w:val="none" w:sz="0" w:space="0" w:color="auto"/>
                <w:right w:val="none" w:sz="0" w:space="0" w:color="auto"/>
              </w:divBdr>
            </w:div>
          </w:divsChild>
        </w:div>
        <w:div w:id="280263575">
          <w:marLeft w:val="0"/>
          <w:marRight w:val="0"/>
          <w:marTop w:val="0"/>
          <w:marBottom w:val="0"/>
          <w:divBdr>
            <w:top w:val="none" w:sz="0" w:space="0" w:color="auto"/>
            <w:left w:val="none" w:sz="0" w:space="0" w:color="auto"/>
            <w:bottom w:val="none" w:sz="0" w:space="0" w:color="auto"/>
            <w:right w:val="none" w:sz="0" w:space="0" w:color="auto"/>
          </w:divBdr>
          <w:divsChild>
            <w:div w:id="1141583365">
              <w:marLeft w:val="0"/>
              <w:marRight w:val="0"/>
              <w:marTop w:val="0"/>
              <w:marBottom w:val="0"/>
              <w:divBdr>
                <w:top w:val="none" w:sz="0" w:space="0" w:color="auto"/>
                <w:left w:val="none" w:sz="0" w:space="0" w:color="auto"/>
                <w:bottom w:val="none" w:sz="0" w:space="0" w:color="auto"/>
                <w:right w:val="none" w:sz="0" w:space="0" w:color="auto"/>
              </w:divBdr>
            </w:div>
          </w:divsChild>
        </w:div>
        <w:div w:id="295255068">
          <w:marLeft w:val="0"/>
          <w:marRight w:val="0"/>
          <w:marTop w:val="0"/>
          <w:marBottom w:val="0"/>
          <w:divBdr>
            <w:top w:val="none" w:sz="0" w:space="0" w:color="auto"/>
            <w:left w:val="none" w:sz="0" w:space="0" w:color="auto"/>
            <w:bottom w:val="none" w:sz="0" w:space="0" w:color="auto"/>
            <w:right w:val="none" w:sz="0" w:space="0" w:color="auto"/>
          </w:divBdr>
          <w:divsChild>
            <w:div w:id="1735616957">
              <w:marLeft w:val="0"/>
              <w:marRight w:val="0"/>
              <w:marTop w:val="0"/>
              <w:marBottom w:val="0"/>
              <w:divBdr>
                <w:top w:val="none" w:sz="0" w:space="0" w:color="auto"/>
                <w:left w:val="none" w:sz="0" w:space="0" w:color="auto"/>
                <w:bottom w:val="none" w:sz="0" w:space="0" w:color="auto"/>
                <w:right w:val="none" w:sz="0" w:space="0" w:color="auto"/>
              </w:divBdr>
            </w:div>
          </w:divsChild>
        </w:div>
        <w:div w:id="312953619">
          <w:marLeft w:val="0"/>
          <w:marRight w:val="0"/>
          <w:marTop w:val="0"/>
          <w:marBottom w:val="0"/>
          <w:divBdr>
            <w:top w:val="none" w:sz="0" w:space="0" w:color="auto"/>
            <w:left w:val="none" w:sz="0" w:space="0" w:color="auto"/>
            <w:bottom w:val="none" w:sz="0" w:space="0" w:color="auto"/>
            <w:right w:val="none" w:sz="0" w:space="0" w:color="auto"/>
          </w:divBdr>
          <w:divsChild>
            <w:div w:id="819619567">
              <w:marLeft w:val="0"/>
              <w:marRight w:val="0"/>
              <w:marTop w:val="0"/>
              <w:marBottom w:val="0"/>
              <w:divBdr>
                <w:top w:val="none" w:sz="0" w:space="0" w:color="auto"/>
                <w:left w:val="none" w:sz="0" w:space="0" w:color="auto"/>
                <w:bottom w:val="none" w:sz="0" w:space="0" w:color="auto"/>
                <w:right w:val="none" w:sz="0" w:space="0" w:color="auto"/>
              </w:divBdr>
            </w:div>
          </w:divsChild>
        </w:div>
        <w:div w:id="340863941">
          <w:marLeft w:val="0"/>
          <w:marRight w:val="0"/>
          <w:marTop w:val="0"/>
          <w:marBottom w:val="0"/>
          <w:divBdr>
            <w:top w:val="none" w:sz="0" w:space="0" w:color="auto"/>
            <w:left w:val="none" w:sz="0" w:space="0" w:color="auto"/>
            <w:bottom w:val="none" w:sz="0" w:space="0" w:color="auto"/>
            <w:right w:val="none" w:sz="0" w:space="0" w:color="auto"/>
          </w:divBdr>
          <w:divsChild>
            <w:div w:id="1644121607">
              <w:marLeft w:val="0"/>
              <w:marRight w:val="0"/>
              <w:marTop w:val="0"/>
              <w:marBottom w:val="0"/>
              <w:divBdr>
                <w:top w:val="none" w:sz="0" w:space="0" w:color="auto"/>
                <w:left w:val="none" w:sz="0" w:space="0" w:color="auto"/>
                <w:bottom w:val="none" w:sz="0" w:space="0" w:color="auto"/>
                <w:right w:val="none" w:sz="0" w:space="0" w:color="auto"/>
              </w:divBdr>
            </w:div>
          </w:divsChild>
        </w:div>
        <w:div w:id="354161269">
          <w:marLeft w:val="0"/>
          <w:marRight w:val="0"/>
          <w:marTop w:val="0"/>
          <w:marBottom w:val="0"/>
          <w:divBdr>
            <w:top w:val="none" w:sz="0" w:space="0" w:color="auto"/>
            <w:left w:val="none" w:sz="0" w:space="0" w:color="auto"/>
            <w:bottom w:val="none" w:sz="0" w:space="0" w:color="auto"/>
            <w:right w:val="none" w:sz="0" w:space="0" w:color="auto"/>
          </w:divBdr>
          <w:divsChild>
            <w:div w:id="204101962">
              <w:marLeft w:val="0"/>
              <w:marRight w:val="0"/>
              <w:marTop w:val="0"/>
              <w:marBottom w:val="0"/>
              <w:divBdr>
                <w:top w:val="none" w:sz="0" w:space="0" w:color="auto"/>
                <w:left w:val="none" w:sz="0" w:space="0" w:color="auto"/>
                <w:bottom w:val="none" w:sz="0" w:space="0" w:color="auto"/>
                <w:right w:val="none" w:sz="0" w:space="0" w:color="auto"/>
              </w:divBdr>
            </w:div>
          </w:divsChild>
        </w:div>
        <w:div w:id="359823896">
          <w:marLeft w:val="0"/>
          <w:marRight w:val="0"/>
          <w:marTop w:val="0"/>
          <w:marBottom w:val="0"/>
          <w:divBdr>
            <w:top w:val="none" w:sz="0" w:space="0" w:color="auto"/>
            <w:left w:val="none" w:sz="0" w:space="0" w:color="auto"/>
            <w:bottom w:val="none" w:sz="0" w:space="0" w:color="auto"/>
            <w:right w:val="none" w:sz="0" w:space="0" w:color="auto"/>
          </w:divBdr>
          <w:divsChild>
            <w:div w:id="745346590">
              <w:marLeft w:val="0"/>
              <w:marRight w:val="0"/>
              <w:marTop w:val="0"/>
              <w:marBottom w:val="0"/>
              <w:divBdr>
                <w:top w:val="none" w:sz="0" w:space="0" w:color="auto"/>
                <w:left w:val="none" w:sz="0" w:space="0" w:color="auto"/>
                <w:bottom w:val="none" w:sz="0" w:space="0" w:color="auto"/>
                <w:right w:val="none" w:sz="0" w:space="0" w:color="auto"/>
              </w:divBdr>
            </w:div>
          </w:divsChild>
        </w:div>
        <w:div w:id="366875979">
          <w:marLeft w:val="0"/>
          <w:marRight w:val="0"/>
          <w:marTop w:val="0"/>
          <w:marBottom w:val="0"/>
          <w:divBdr>
            <w:top w:val="none" w:sz="0" w:space="0" w:color="auto"/>
            <w:left w:val="none" w:sz="0" w:space="0" w:color="auto"/>
            <w:bottom w:val="none" w:sz="0" w:space="0" w:color="auto"/>
            <w:right w:val="none" w:sz="0" w:space="0" w:color="auto"/>
          </w:divBdr>
          <w:divsChild>
            <w:div w:id="1647280017">
              <w:marLeft w:val="0"/>
              <w:marRight w:val="0"/>
              <w:marTop w:val="0"/>
              <w:marBottom w:val="0"/>
              <w:divBdr>
                <w:top w:val="none" w:sz="0" w:space="0" w:color="auto"/>
                <w:left w:val="none" w:sz="0" w:space="0" w:color="auto"/>
                <w:bottom w:val="none" w:sz="0" w:space="0" w:color="auto"/>
                <w:right w:val="none" w:sz="0" w:space="0" w:color="auto"/>
              </w:divBdr>
            </w:div>
          </w:divsChild>
        </w:div>
        <w:div w:id="367338627">
          <w:marLeft w:val="0"/>
          <w:marRight w:val="0"/>
          <w:marTop w:val="0"/>
          <w:marBottom w:val="0"/>
          <w:divBdr>
            <w:top w:val="none" w:sz="0" w:space="0" w:color="auto"/>
            <w:left w:val="none" w:sz="0" w:space="0" w:color="auto"/>
            <w:bottom w:val="none" w:sz="0" w:space="0" w:color="auto"/>
            <w:right w:val="none" w:sz="0" w:space="0" w:color="auto"/>
          </w:divBdr>
          <w:divsChild>
            <w:div w:id="1006716146">
              <w:marLeft w:val="0"/>
              <w:marRight w:val="0"/>
              <w:marTop w:val="0"/>
              <w:marBottom w:val="0"/>
              <w:divBdr>
                <w:top w:val="none" w:sz="0" w:space="0" w:color="auto"/>
                <w:left w:val="none" w:sz="0" w:space="0" w:color="auto"/>
                <w:bottom w:val="none" w:sz="0" w:space="0" w:color="auto"/>
                <w:right w:val="none" w:sz="0" w:space="0" w:color="auto"/>
              </w:divBdr>
            </w:div>
          </w:divsChild>
        </w:div>
        <w:div w:id="402067373">
          <w:marLeft w:val="0"/>
          <w:marRight w:val="0"/>
          <w:marTop w:val="0"/>
          <w:marBottom w:val="0"/>
          <w:divBdr>
            <w:top w:val="none" w:sz="0" w:space="0" w:color="auto"/>
            <w:left w:val="none" w:sz="0" w:space="0" w:color="auto"/>
            <w:bottom w:val="none" w:sz="0" w:space="0" w:color="auto"/>
            <w:right w:val="none" w:sz="0" w:space="0" w:color="auto"/>
          </w:divBdr>
          <w:divsChild>
            <w:div w:id="118306023">
              <w:marLeft w:val="0"/>
              <w:marRight w:val="0"/>
              <w:marTop w:val="0"/>
              <w:marBottom w:val="0"/>
              <w:divBdr>
                <w:top w:val="none" w:sz="0" w:space="0" w:color="auto"/>
                <w:left w:val="none" w:sz="0" w:space="0" w:color="auto"/>
                <w:bottom w:val="none" w:sz="0" w:space="0" w:color="auto"/>
                <w:right w:val="none" w:sz="0" w:space="0" w:color="auto"/>
              </w:divBdr>
            </w:div>
          </w:divsChild>
        </w:div>
        <w:div w:id="410854134">
          <w:marLeft w:val="0"/>
          <w:marRight w:val="0"/>
          <w:marTop w:val="0"/>
          <w:marBottom w:val="0"/>
          <w:divBdr>
            <w:top w:val="none" w:sz="0" w:space="0" w:color="auto"/>
            <w:left w:val="none" w:sz="0" w:space="0" w:color="auto"/>
            <w:bottom w:val="none" w:sz="0" w:space="0" w:color="auto"/>
            <w:right w:val="none" w:sz="0" w:space="0" w:color="auto"/>
          </w:divBdr>
          <w:divsChild>
            <w:div w:id="272440136">
              <w:marLeft w:val="0"/>
              <w:marRight w:val="0"/>
              <w:marTop w:val="0"/>
              <w:marBottom w:val="0"/>
              <w:divBdr>
                <w:top w:val="none" w:sz="0" w:space="0" w:color="auto"/>
                <w:left w:val="none" w:sz="0" w:space="0" w:color="auto"/>
                <w:bottom w:val="none" w:sz="0" w:space="0" w:color="auto"/>
                <w:right w:val="none" w:sz="0" w:space="0" w:color="auto"/>
              </w:divBdr>
            </w:div>
          </w:divsChild>
        </w:div>
        <w:div w:id="411926317">
          <w:marLeft w:val="0"/>
          <w:marRight w:val="0"/>
          <w:marTop w:val="0"/>
          <w:marBottom w:val="0"/>
          <w:divBdr>
            <w:top w:val="none" w:sz="0" w:space="0" w:color="auto"/>
            <w:left w:val="none" w:sz="0" w:space="0" w:color="auto"/>
            <w:bottom w:val="none" w:sz="0" w:space="0" w:color="auto"/>
            <w:right w:val="none" w:sz="0" w:space="0" w:color="auto"/>
          </w:divBdr>
          <w:divsChild>
            <w:div w:id="1167672559">
              <w:marLeft w:val="0"/>
              <w:marRight w:val="0"/>
              <w:marTop w:val="0"/>
              <w:marBottom w:val="0"/>
              <w:divBdr>
                <w:top w:val="none" w:sz="0" w:space="0" w:color="auto"/>
                <w:left w:val="none" w:sz="0" w:space="0" w:color="auto"/>
                <w:bottom w:val="none" w:sz="0" w:space="0" w:color="auto"/>
                <w:right w:val="none" w:sz="0" w:space="0" w:color="auto"/>
              </w:divBdr>
            </w:div>
          </w:divsChild>
        </w:div>
        <w:div w:id="412437859">
          <w:marLeft w:val="0"/>
          <w:marRight w:val="0"/>
          <w:marTop w:val="0"/>
          <w:marBottom w:val="0"/>
          <w:divBdr>
            <w:top w:val="none" w:sz="0" w:space="0" w:color="auto"/>
            <w:left w:val="none" w:sz="0" w:space="0" w:color="auto"/>
            <w:bottom w:val="none" w:sz="0" w:space="0" w:color="auto"/>
            <w:right w:val="none" w:sz="0" w:space="0" w:color="auto"/>
          </w:divBdr>
          <w:divsChild>
            <w:div w:id="575743993">
              <w:marLeft w:val="0"/>
              <w:marRight w:val="0"/>
              <w:marTop w:val="0"/>
              <w:marBottom w:val="0"/>
              <w:divBdr>
                <w:top w:val="none" w:sz="0" w:space="0" w:color="auto"/>
                <w:left w:val="none" w:sz="0" w:space="0" w:color="auto"/>
                <w:bottom w:val="none" w:sz="0" w:space="0" w:color="auto"/>
                <w:right w:val="none" w:sz="0" w:space="0" w:color="auto"/>
              </w:divBdr>
            </w:div>
          </w:divsChild>
        </w:div>
        <w:div w:id="457647399">
          <w:marLeft w:val="0"/>
          <w:marRight w:val="0"/>
          <w:marTop w:val="0"/>
          <w:marBottom w:val="0"/>
          <w:divBdr>
            <w:top w:val="none" w:sz="0" w:space="0" w:color="auto"/>
            <w:left w:val="none" w:sz="0" w:space="0" w:color="auto"/>
            <w:bottom w:val="none" w:sz="0" w:space="0" w:color="auto"/>
            <w:right w:val="none" w:sz="0" w:space="0" w:color="auto"/>
          </w:divBdr>
          <w:divsChild>
            <w:div w:id="1142386963">
              <w:marLeft w:val="0"/>
              <w:marRight w:val="0"/>
              <w:marTop w:val="0"/>
              <w:marBottom w:val="0"/>
              <w:divBdr>
                <w:top w:val="none" w:sz="0" w:space="0" w:color="auto"/>
                <w:left w:val="none" w:sz="0" w:space="0" w:color="auto"/>
                <w:bottom w:val="none" w:sz="0" w:space="0" w:color="auto"/>
                <w:right w:val="none" w:sz="0" w:space="0" w:color="auto"/>
              </w:divBdr>
            </w:div>
          </w:divsChild>
        </w:div>
        <w:div w:id="479469226">
          <w:marLeft w:val="0"/>
          <w:marRight w:val="0"/>
          <w:marTop w:val="0"/>
          <w:marBottom w:val="0"/>
          <w:divBdr>
            <w:top w:val="none" w:sz="0" w:space="0" w:color="auto"/>
            <w:left w:val="none" w:sz="0" w:space="0" w:color="auto"/>
            <w:bottom w:val="none" w:sz="0" w:space="0" w:color="auto"/>
            <w:right w:val="none" w:sz="0" w:space="0" w:color="auto"/>
          </w:divBdr>
          <w:divsChild>
            <w:div w:id="459494283">
              <w:marLeft w:val="0"/>
              <w:marRight w:val="0"/>
              <w:marTop w:val="0"/>
              <w:marBottom w:val="0"/>
              <w:divBdr>
                <w:top w:val="none" w:sz="0" w:space="0" w:color="auto"/>
                <w:left w:val="none" w:sz="0" w:space="0" w:color="auto"/>
                <w:bottom w:val="none" w:sz="0" w:space="0" w:color="auto"/>
                <w:right w:val="none" w:sz="0" w:space="0" w:color="auto"/>
              </w:divBdr>
            </w:div>
          </w:divsChild>
        </w:div>
        <w:div w:id="532160533">
          <w:marLeft w:val="0"/>
          <w:marRight w:val="0"/>
          <w:marTop w:val="0"/>
          <w:marBottom w:val="0"/>
          <w:divBdr>
            <w:top w:val="none" w:sz="0" w:space="0" w:color="auto"/>
            <w:left w:val="none" w:sz="0" w:space="0" w:color="auto"/>
            <w:bottom w:val="none" w:sz="0" w:space="0" w:color="auto"/>
            <w:right w:val="none" w:sz="0" w:space="0" w:color="auto"/>
          </w:divBdr>
          <w:divsChild>
            <w:div w:id="414976702">
              <w:marLeft w:val="0"/>
              <w:marRight w:val="0"/>
              <w:marTop w:val="0"/>
              <w:marBottom w:val="0"/>
              <w:divBdr>
                <w:top w:val="none" w:sz="0" w:space="0" w:color="auto"/>
                <w:left w:val="none" w:sz="0" w:space="0" w:color="auto"/>
                <w:bottom w:val="none" w:sz="0" w:space="0" w:color="auto"/>
                <w:right w:val="none" w:sz="0" w:space="0" w:color="auto"/>
              </w:divBdr>
            </w:div>
          </w:divsChild>
        </w:div>
        <w:div w:id="547185245">
          <w:marLeft w:val="0"/>
          <w:marRight w:val="0"/>
          <w:marTop w:val="0"/>
          <w:marBottom w:val="0"/>
          <w:divBdr>
            <w:top w:val="none" w:sz="0" w:space="0" w:color="auto"/>
            <w:left w:val="none" w:sz="0" w:space="0" w:color="auto"/>
            <w:bottom w:val="none" w:sz="0" w:space="0" w:color="auto"/>
            <w:right w:val="none" w:sz="0" w:space="0" w:color="auto"/>
          </w:divBdr>
          <w:divsChild>
            <w:div w:id="1532568829">
              <w:marLeft w:val="0"/>
              <w:marRight w:val="0"/>
              <w:marTop w:val="0"/>
              <w:marBottom w:val="0"/>
              <w:divBdr>
                <w:top w:val="none" w:sz="0" w:space="0" w:color="auto"/>
                <w:left w:val="none" w:sz="0" w:space="0" w:color="auto"/>
                <w:bottom w:val="none" w:sz="0" w:space="0" w:color="auto"/>
                <w:right w:val="none" w:sz="0" w:space="0" w:color="auto"/>
              </w:divBdr>
            </w:div>
          </w:divsChild>
        </w:div>
        <w:div w:id="559101121">
          <w:marLeft w:val="0"/>
          <w:marRight w:val="0"/>
          <w:marTop w:val="0"/>
          <w:marBottom w:val="0"/>
          <w:divBdr>
            <w:top w:val="none" w:sz="0" w:space="0" w:color="auto"/>
            <w:left w:val="none" w:sz="0" w:space="0" w:color="auto"/>
            <w:bottom w:val="none" w:sz="0" w:space="0" w:color="auto"/>
            <w:right w:val="none" w:sz="0" w:space="0" w:color="auto"/>
          </w:divBdr>
          <w:divsChild>
            <w:div w:id="2123373597">
              <w:marLeft w:val="0"/>
              <w:marRight w:val="0"/>
              <w:marTop w:val="0"/>
              <w:marBottom w:val="0"/>
              <w:divBdr>
                <w:top w:val="none" w:sz="0" w:space="0" w:color="auto"/>
                <w:left w:val="none" w:sz="0" w:space="0" w:color="auto"/>
                <w:bottom w:val="none" w:sz="0" w:space="0" w:color="auto"/>
                <w:right w:val="none" w:sz="0" w:space="0" w:color="auto"/>
              </w:divBdr>
            </w:div>
          </w:divsChild>
        </w:div>
        <w:div w:id="561985691">
          <w:marLeft w:val="0"/>
          <w:marRight w:val="0"/>
          <w:marTop w:val="0"/>
          <w:marBottom w:val="0"/>
          <w:divBdr>
            <w:top w:val="none" w:sz="0" w:space="0" w:color="auto"/>
            <w:left w:val="none" w:sz="0" w:space="0" w:color="auto"/>
            <w:bottom w:val="none" w:sz="0" w:space="0" w:color="auto"/>
            <w:right w:val="none" w:sz="0" w:space="0" w:color="auto"/>
          </w:divBdr>
          <w:divsChild>
            <w:div w:id="1351024881">
              <w:marLeft w:val="0"/>
              <w:marRight w:val="0"/>
              <w:marTop w:val="0"/>
              <w:marBottom w:val="0"/>
              <w:divBdr>
                <w:top w:val="none" w:sz="0" w:space="0" w:color="auto"/>
                <w:left w:val="none" w:sz="0" w:space="0" w:color="auto"/>
                <w:bottom w:val="none" w:sz="0" w:space="0" w:color="auto"/>
                <w:right w:val="none" w:sz="0" w:space="0" w:color="auto"/>
              </w:divBdr>
            </w:div>
          </w:divsChild>
        </w:div>
        <w:div w:id="576718298">
          <w:marLeft w:val="0"/>
          <w:marRight w:val="0"/>
          <w:marTop w:val="0"/>
          <w:marBottom w:val="0"/>
          <w:divBdr>
            <w:top w:val="none" w:sz="0" w:space="0" w:color="auto"/>
            <w:left w:val="none" w:sz="0" w:space="0" w:color="auto"/>
            <w:bottom w:val="none" w:sz="0" w:space="0" w:color="auto"/>
            <w:right w:val="none" w:sz="0" w:space="0" w:color="auto"/>
          </w:divBdr>
          <w:divsChild>
            <w:div w:id="1409108701">
              <w:marLeft w:val="0"/>
              <w:marRight w:val="0"/>
              <w:marTop w:val="0"/>
              <w:marBottom w:val="0"/>
              <w:divBdr>
                <w:top w:val="none" w:sz="0" w:space="0" w:color="auto"/>
                <w:left w:val="none" w:sz="0" w:space="0" w:color="auto"/>
                <w:bottom w:val="none" w:sz="0" w:space="0" w:color="auto"/>
                <w:right w:val="none" w:sz="0" w:space="0" w:color="auto"/>
              </w:divBdr>
            </w:div>
          </w:divsChild>
        </w:div>
        <w:div w:id="578833650">
          <w:marLeft w:val="0"/>
          <w:marRight w:val="0"/>
          <w:marTop w:val="0"/>
          <w:marBottom w:val="0"/>
          <w:divBdr>
            <w:top w:val="none" w:sz="0" w:space="0" w:color="auto"/>
            <w:left w:val="none" w:sz="0" w:space="0" w:color="auto"/>
            <w:bottom w:val="none" w:sz="0" w:space="0" w:color="auto"/>
            <w:right w:val="none" w:sz="0" w:space="0" w:color="auto"/>
          </w:divBdr>
          <w:divsChild>
            <w:div w:id="2017997221">
              <w:marLeft w:val="0"/>
              <w:marRight w:val="0"/>
              <w:marTop w:val="0"/>
              <w:marBottom w:val="0"/>
              <w:divBdr>
                <w:top w:val="none" w:sz="0" w:space="0" w:color="auto"/>
                <w:left w:val="none" w:sz="0" w:space="0" w:color="auto"/>
                <w:bottom w:val="none" w:sz="0" w:space="0" w:color="auto"/>
                <w:right w:val="none" w:sz="0" w:space="0" w:color="auto"/>
              </w:divBdr>
            </w:div>
          </w:divsChild>
        </w:div>
        <w:div w:id="614213134">
          <w:marLeft w:val="0"/>
          <w:marRight w:val="0"/>
          <w:marTop w:val="0"/>
          <w:marBottom w:val="0"/>
          <w:divBdr>
            <w:top w:val="none" w:sz="0" w:space="0" w:color="auto"/>
            <w:left w:val="none" w:sz="0" w:space="0" w:color="auto"/>
            <w:bottom w:val="none" w:sz="0" w:space="0" w:color="auto"/>
            <w:right w:val="none" w:sz="0" w:space="0" w:color="auto"/>
          </w:divBdr>
          <w:divsChild>
            <w:div w:id="169412873">
              <w:marLeft w:val="0"/>
              <w:marRight w:val="0"/>
              <w:marTop w:val="0"/>
              <w:marBottom w:val="0"/>
              <w:divBdr>
                <w:top w:val="none" w:sz="0" w:space="0" w:color="auto"/>
                <w:left w:val="none" w:sz="0" w:space="0" w:color="auto"/>
                <w:bottom w:val="none" w:sz="0" w:space="0" w:color="auto"/>
                <w:right w:val="none" w:sz="0" w:space="0" w:color="auto"/>
              </w:divBdr>
            </w:div>
          </w:divsChild>
        </w:div>
        <w:div w:id="634405810">
          <w:marLeft w:val="0"/>
          <w:marRight w:val="0"/>
          <w:marTop w:val="0"/>
          <w:marBottom w:val="0"/>
          <w:divBdr>
            <w:top w:val="none" w:sz="0" w:space="0" w:color="auto"/>
            <w:left w:val="none" w:sz="0" w:space="0" w:color="auto"/>
            <w:bottom w:val="none" w:sz="0" w:space="0" w:color="auto"/>
            <w:right w:val="none" w:sz="0" w:space="0" w:color="auto"/>
          </w:divBdr>
          <w:divsChild>
            <w:div w:id="982469608">
              <w:marLeft w:val="0"/>
              <w:marRight w:val="0"/>
              <w:marTop w:val="0"/>
              <w:marBottom w:val="0"/>
              <w:divBdr>
                <w:top w:val="none" w:sz="0" w:space="0" w:color="auto"/>
                <w:left w:val="none" w:sz="0" w:space="0" w:color="auto"/>
                <w:bottom w:val="none" w:sz="0" w:space="0" w:color="auto"/>
                <w:right w:val="none" w:sz="0" w:space="0" w:color="auto"/>
              </w:divBdr>
            </w:div>
          </w:divsChild>
        </w:div>
        <w:div w:id="666860247">
          <w:marLeft w:val="0"/>
          <w:marRight w:val="0"/>
          <w:marTop w:val="0"/>
          <w:marBottom w:val="0"/>
          <w:divBdr>
            <w:top w:val="none" w:sz="0" w:space="0" w:color="auto"/>
            <w:left w:val="none" w:sz="0" w:space="0" w:color="auto"/>
            <w:bottom w:val="none" w:sz="0" w:space="0" w:color="auto"/>
            <w:right w:val="none" w:sz="0" w:space="0" w:color="auto"/>
          </w:divBdr>
          <w:divsChild>
            <w:div w:id="1310791002">
              <w:marLeft w:val="0"/>
              <w:marRight w:val="0"/>
              <w:marTop w:val="0"/>
              <w:marBottom w:val="0"/>
              <w:divBdr>
                <w:top w:val="none" w:sz="0" w:space="0" w:color="auto"/>
                <w:left w:val="none" w:sz="0" w:space="0" w:color="auto"/>
                <w:bottom w:val="none" w:sz="0" w:space="0" w:color="auto"/>
                <w:right w:val="none" w:sz="0" w:space="0" w:color="auto"/>
              </w:divBdr>
            </w:div>
          </w:divsChild>
        </w:div>
        <w:div w:id="705837442">
          <w:marLeft w:val="0"/>
          <w:marRight w:val="0"/>
          <w:marTop w:val="0"/>
          <w:marBottom w:val="0"/>
          <w:divBdr>
            <w:top w:val="none" w:sz="0" w:space="0" w:color="auto"/>
            <w:left w:val="none" w:sz="0" w:space="0" w:color="auto"/>
            <w:bottom w:val="none" w:sz="0" w:space="0" w:color="auto"/>
            <w:right w:val="none" w:sz="0" w:space="0" w:color="auto"/>
          </w:divBdr>
          <w:divsChild>
            <w:div w:id="1309943011">
              <w:marLeft w:val="0"/>
              <w:marRight w:val="0"/>
              <w:marTop w:val="0"/>
              <w:marBottom w:val="0"/>
              <w:divBdr>
                <w:top w:val="none" w:sz="0" w:space="0" w:color="auto"/>
                <w:left w:val="none" w:sz="0" w:space="0" w:color="auto"/>
                <w:bottom w:val="none" w:sz="0" w:space="0" w:color="auto"/>
                <w:right w:val="none" w:sz="0" w:space="0" w:color="auto"/>
              </w:divBdr>
            </w:div>
          </w:divsChild>
        </w:div>
        <w:div w:id="706024330">
          <w:marLeft w:val="0"/>
          <w:marRight w:val="0"/>
          <w:marTop w:val="0"/>
          <w:marBottom w:val="0"/>
          <w:divBdr>
            <w:top w:val="none" w:sz="0" w:space="0" w:color="auto"/>
            <w:left w:val="none" w:sz="0" w:space="0" w:color="auto"/>
            <w:bottom w:val="none" w:sz="0" w:space="0" w:color="auto"/>
            <w:right w:val="none" w:sz="0" w:space="0" w:color="auto"/>
          </w:divBdr>
          <w:divsChild>
            <w:div w:id="881748774">
              <w:marLeft w:val="0"/>
              <w:marRight w:val="0"/>
              <w:marTop w:val="0"/>
              <w:marBottom w:val="0"/>
              <w:divBdr>
                <w:top w:val="none" w:sz="0" w:space="0" w:color="auto"/>
                <w:left w:val="none" w:sz="0" w:space="0" w:color="auto"/>
                <w:bottom w:val="none" w:sz="0" w:space="0" w:color="auto"/>
                <w:right w:val="none" w:sz="0" w:space="0" w:color="auto"/>
              </w:divBdr>
            </w:div>
          </w:divsChild>
        </w:div>
        <w:div w:id="732118205">
          <w:marLeft w:val="0"/>
          <w:marRight w:val="0"/>
          <w:marTop w:val="0"/>
          <w:marBottom w:val="0"/>
          <w:divBdr>
            <w:top w:val="none" w:sz="0" w:space="0" w:color="auto"/>
            <w:left w:val="none" w:sz="0" w:space="0" w:color="auto"/>
            <w:bottom w:val="none" w:sz="0" w:space="0" w:color="auto"/>
            <w:right w:val="none" w:sz="0" w:space="0" w:color="auto"/>
          </w:divBdr>
          <w:divsChild>
            <w:div w:id="861092135">
              <w:marLeft w:val="0"/>
              <w:marRight w:val="0"/>
              <w:marTop w:val="0"/>
              <w:marBottom w:val="0"/>
              <w:divBdr>
                <w:top w:val="none" w:sz="0" w:space="0" w:color="auto"/>
                <w:left w:val="none" w:sz="0" w:space="0" w:color="auto"/>
                <w:bottom w:val="none" w:sz="0" w:space="0" w:color="auto"/>
                <w:right w:val="none" w:sz="0" w:space="0" w:color="auto"/>
              </w:divBdr>
            </w:div>
          </w:divsChild>
        </w:div>
        <w:div w:id="769933639">
          <w:marLeft w:val="0"/>
          <w:marRight w:val="0"/>
          <w:marTop w:val="0"/>
          <w:marBottom w:val="0"/>
          <w:divBdr>
            <w:top w:val="none" w:sz="0" w:space="0" w:color="auto"/>
            <w:left w:val="none" w:sz="0" w:space="0" w:color="auto"/>
            <w:bottom w:val="none" w:sz="0" w:space="0" w:color="auto"/>
            <w:right w:val="none" w:sz="0" w:space="0" w:color="auto"/>
          </w:divBdr>
          <w:divsChild>
            <w:div w:id="910777532">
              <w:marLeft w:val="0"/>
              <w:marRight w:val="0"/>
              <w:marTop w:val="0"/>
              <w:marBottom w:val="0"/>
              <w:divBdr>
                <w:top w:val="none" w:sz="0" w:space="0" w:color="auto"/>
                <w:left w:val="none" w:sz="0" w:space="0" w:color="auto"/>
                <w:bottom w:val="none" w:sz="0" w:space="0" w:color="auto"/>
                <w:right w:val="none" w:sz="0" w:space="0" w:color="auto"/>
              </w:divBdr>
            </w:div>
          </w:divsChild>
        </w:div>
        <w:div w:id="772169208">
          <w:marLeft w:val="0"/>
          <w:marRight w:val="0"/>
          <w:marTop w:val="0"/>
          <w:marBottom w:val="0"/>
          <w:divBdr>
            <w:top w:val="none" w:sz="0" w:space="0" w:color="auto"/>
            <w:left w:val="none" w:sz="0" w:space="0" w:color="auto"/>
            <w:bottom w:val="none" w:sz="0" w:space="0" w:color="auto"/>
            <w:right w:val="none" w:sz="0" w:space="0" w:color="auto"/>
          </w:divBdr>
          <w:divsChild>
            <w:div w:id="1515805233">
              <w:marLeft w:val="0"/>
              <w:marRight w:val="0"/>
              <w:marTop w:val="0"/>
              <w:marBottom w:val="0"/>
              <w:divBdr>
                <w:top w:val="none" w:sz="0" w:space="0" w:color="auto"/>
                <w:left w:val="none" w:sz="0" w:space="0" w:color="auto"/>
                <w:bottom w:val="none" w:sz="0" w:space="0" w:color="auto"/>
                <w:right w:val="none" w:sz="0" w:space="0" w:color="auto"/>
              </w:divBdr>
            </w:div>
          </w:divsChild>
        </w:div>
        <w:div w:id="779836538">
          <w:marLeft w:val="0"/>
          <w:marRight w:val="0"/>
          <w:marTop w:val="0"/>
          <w:marBottom w:val="0"/>
          <w:divBdr>
            <w:top w:val="none" w:sz="0" w:space="0" w:color="auto"/>
            <w:left w:val="none" w:sz="0" w:space="0" w:color="auto"/>
            <w:bottom w:val="none" w:sz="0" w:space="0" w:color="auto"/>
            <w:right w:val="none" w:sz="0" w:space="0" w:color="auto"/>
          </w:divBdr>
          <w:divsChild>
            <w:div w:id="1645425395">
              <w:marLeft w:val="0"/>
              <w:marRight w:val="0"/>
              <w:marTop w:val="0"/>
              <w:marBottom w:val="0"/>
              <w:divBdr>
                <w:top w:val="none" w:sz="0" w:space="0" w:color="auto"/>
                <w:left w:val="none" w:sz="0" w:space="0" w:color="auto"/>
                <w:bottom w:val="none" w:sz="0" w:space="0" w:color="auto"/>
                <w:right w:val="none" w:sz="0" w:space="0" w:color="auto"/>
              </w:divBdr>
            </w:div>
          </w:divsChild>
        </w:div>
        <w:div w:id="816530059">
          <w:marLeft w:val="0"/>
          <w:marRight w:val="0"/>
          <w:marTop w:val="0"/>
          <w:marBottom w:val="0"/>
          <w:divBdr>
            <w:top w:val="none" w:sz="0" w:space="0" w:color="auto"/>
            <w:left w:val="none" w:sz="0" w:space="0" w:color="auto"/>
            <w:bottom w:val="none" w:sz="0" w:space="0" w:color="auto"/>
            <w:right w:val="none" w:sz="0" w:space="0" w:color="auto"/>
          </w:divBdr>
          <w:divsChild>
            <w:div w:id="1225917111">
              <w:marLeft w:val="0"/>
              <w:marRight w:val="0"/>
              <w:marTop w:val="0"/>
              <w:marBottom w:val="0"/>
              <w:divBdr>
                <w:top w:val="none" w:sz="0" w:space="0" w:color="auto"/>
                <w:left w:val="none" w:sz="0" w:space="0" w:color="auto"/>
                <w:bottom w:val="none" w:sz="0" w:space="0" w:color="auto"/>
                <w:right w:val="none" w:sz="0" w:space="0" w:color="auto"/>
              </w:divBdr>
            </w:div>
          </w:divsChild>
        </w:div>
        <w:div w:id="830558626">
          <w:marLeft w:val="0"/>
          <w:marRight w:val="0"/>
          <w:marTop w:val="0"/>
          <w:marBottom w:val="0"/>
          <w:divBdr>
            <w:top w:val="none" w:sz="0" w:space="0" w:color="auto"/>
            <w:left w:val="none" w:sz="0" w:space="0" w:color="auto"/>
            <w:bottom w:val="none" w:sz="0" w:space="0" w:color="auto"/>
            <w:right w:val="none" w:sz="0" w:space="0" w:color="auto"/>
          </w:divBdr>
          <w:divsChild>
            <w:div w:id="1836191503">
              <w:marLeft w:val="0"/>
              <w:marRight w:val="0"/>
              <w:marTop w:val="0"/>
              <w:marBottom w:val="0"/>
              <w:divBdr>
                <w:top w:val="none" w:sz="0" w:space="0" w:color="auto"/>
                <w:left w:val="none" w:sz="0" w:space="0" w:color="auto"/>
                <w:bottom w:val="none" w:sz="0" w:space="0" w:color="auto"/>
                <w:right w:val="none" w:sz="0" w:space="0" w:color="auto"/>
              </w:divBdr>
            </w:div>
          </w:divsChild>
        </w:div>
        <w:div w:id="857037794">
          <w:marLeft w:val="0"/>
          <w:marRight w:val="0"/>
          <w:marTop w:val="0"/>
          <w:marBottom w:val="0"/>
          <w:divBdr>
            <w:top w:val="none" w:sz="0" w:space="0" w:color="auto"/>
            <w:left w:val="none" w:sz="0" w:space="0" w:color="auto"/>
            <w:bottom w:val="none" w:sz="0" w:space="0" w:color="auto"/>
            <w:right w:val="none" w:sz="0" w:space="0" w:color="auto"/>
          </w:divBdr>
          <w:divsChild>
            <w:div w:id="1835955266">
              <w:marLeft w:val="0"/>
              <w:marRight w:val="0"/>
              <w:marTop w:val="0"/>
              <w:marBottom w:val="0"/>
              <w:divBdr>
                <w:top w:val="none" w:sz="0" w:space="0" w:color="auto"/>
                <w:left w:val="none" w:sz="0" w:space="0" w:color="auto"/>
                <w:bottom w:val="none" w:sz="0" w:space="0" w:color="auto"/>
                <w:right w:val="none" w:sz="0" w:space="0" w:color="auto"/>
              </w:divBdr>
            </w:div>
          </w:divsChild>
        </w:div>
        <w:div w:id="870648592">
          <w:marLeft w:val="0"/>
          <w:marRight w:val="0"/>
          <w:marTop w:val="0"/>
          <w:marBottom w:val="0"/>
          <w:divBdr>
            <w:top w:val="none" w:sz="0" w:space="0" w:color="auto"/>
            <w:left w:val="none" w:sz="0" w:space="0" w:color="auto"/>
            <w:bottom w:val="none" w:sz="0" w:space="0" w:color="auto"/>
            <w:right w:val="none" w:sz="0" w:space="0" w:color="auto"/>
          </w:divBdr>
          <w:divsChild>
            <w:div w:id="1005398053">
              <w:marLeft w:val="0"/>
              <w:marRight w:val="0"/>
              <w:marTop w:val="0"/>
              <w:marBottom w:val="0"/>
              <w:divBdr>
                <w:top w:val="none" w:sz="0" w:space="0" w:color="auto"/>
                <w:left w:val="none" w:sz="0" w:space="0" w:color="auto"/>
                <w:bottom w:val="none" w:sz="0" w:space="0" w:color="auto"/>
                <w:right w:val="none" w:sz="0" w:space="0" w:color="auto"/>
              </w:divBdr>
            </w:div>
          </w:divsChild>
        </w:div>
        <w:div w:id="874805668">
          <w:marLeft w:val="0"/>
          <w:marRight w:val="0"/>
          <w:marTop w:val="0"/>
          <w:marBottom w:val="0"/>
          <w:divBdr>
            <w:top w:val="none" w:sz="0" w:space="0" w:color="auto"/>
            <w:left w:val="none" w:sz="0" w:space="0" w:color="auto"/>
            <w:bottom w:val="none" w:sz="0" w:space="0" w:color="auto"/>
            <w:right w:val="none" w:sz="0" w:space="0" w:color="auto"/>
          </w:divBdr>
          <w:divsChild>
            <w:div w:id="1116413759">
              <w:marLeft w:val="0"/>
              <w:marRight w:val="0"/>
              <w:marTop w:val="0"/>
              <w:marBottom w:val="0"/>
              <w:divBdr>
                <w:top w:val="none" w:sz="0" w:space="0" w:color="auto"/>
                <w:left w:val="none" w:sz="0" w:space="0" w:color="auto"/>
                <w:bottom w:val="none" w:sz="0" w:space="0" w:color="auto"/>
                <w:right w:val="none" w:sz="0" w:space="0" w:color="auto"/>
              </w:divBdr>
            </w:div>
          </w:divsChild>
        </w:div>
        <w:div w:id="908537713">
          <w:marLeft w:val="0"/>
          <w:marRight w:val="0"/>
          <w:marTop w:val="0"/>
          <w:marBottom w:val="0"/>
          <w:divBdr>
            <w:top w:val="none" w:sz="0" w:space="0" w:color="auto"/>
            <w:left w:val="none" w:sz="0" w:space="0" w:color="auto"/>
            <w:bottom w:val="none" w:sz="0" w:space="0" w:color="auto"/>
            <w:right w:val="none" w:sz="0" w:space="0" w:color="auto"/>
          </w:divBdr>
          <w:divsChild>
            <w:div w:id="1685984529">
              <w:marLeft w:val="0"/>
              <w:marRight w:val="0"/>
              <w:marTop w:val="0"/>
              <w:marBottom w:val="0"/>
              <w:divBdr>
                <w:top w:val="none" w:sz="0" w:space="0" w:color="auto"/>
                <w:left w:val="none" w:sz="0" w:space="0" w:color="auto"/>
                <w:bottom w:val="none" w:sz="0" w:space="0" w:color="auto"/>
                <w:right w:val="none" w:sz="0" w:space="0" w:color="auto"/>
              </w:divBdr>
            </w:div>
          </w:divsChild>
        </w:div>
        <w:div w:id="923029801">
          <w:marLeft w:val="0"/>
          <w:marRight w:val="0"/>
          <w:marTop w:val="0"/>
          <w:marBottom w:val="0"/>
          <w:divBdr>
            <w:top w:val="none" w:sz="0" w:space="0" w:color="auto"/>
            <w:left w:val="none" w:sz="0" w:space="0" w:color="auto"/>
            <w:bottom w:val="none" w:sz="0" w:space="0" w:color="auto"/>
            <w:right w:val="none" w:sz="0" w:space="0" w:color="auto"/>
          </w:divBdr>
          <w:divsChild>
            <w:div w:id="916864015">
              <w:marLeft w:val="0"/>
              <w:marRight w:val="0"/>
              <w:marTop w:val="0"/>
              <w:marBottom w:val="0"/>
              <w:divBdr>
                <w:top w:val="none" w:sz="0" w:space="0" w:color="auto"/>
                <w:left w:val="none" w:sz="0" w:space="0" w:color="auto"/>
                <w:bottom w:val="none" w:sz="0" w:space="0" w:color="auto"/>
                <w:right w:val="none" w:sz="0" w:space="0" w:color="auto"/>
              </w:divBdr>
            </w:div>
          </w:divsChild>
        </w:div>
        <w:div w:id="955062448">
          <w:marLeft w:val="0"/>
          <w:marRight w:val="0"/>
          <w:marTop w:val="0"/>
          <w:marBottom w:val="0"/>
          <w:divBdr>
            <w:top w:val="none" w:sz="0" w:space="0" w:color="auto"/>
            <w:left w:val="none" w:sz="0" w:space="0" w:color="auto"/>
            <w:bottom w:val="none" w:sz="0" w:space="0" w:color="auto"/>
            <w:right w:val="none" w:sz="0" w:space="0" w:color="auto"/>
          </w:divBdr>
          <w:divsChild>
            <w:div w:id="2075545033">
              <w:marLeft w:val="0"/>
              <w:marRight w:val="0"/>
              <w:marTop w:val="0"/>
              <w:marBottom w:val="0"/>
              <w:divBdr>
                <w:top w:val="none" w:sz="0" w:space="0" w:color="auto"/>
                <w:left w:val="none" w:sz="0" w:space="0" w:color="auto"/>
                <w:bottom w:val="none" w:sz="0" w:space="0" w:color="auto"/>
                <w:right w:val="none" w:sz="0" w:space="0" w:color="auto"/>
              </w:divBdr>
            </w:div>
          </w:divsChild>
        </w:div>
        <w:div w:id="956452370">
          <w:marLeft w:val="0"/>
          <w:marRight w:val="0"/>
          <w:marTop w:val="0"/>
          <w:marBottom w:val="0"/>
          <w:divBdr>
            <w:top w:val="none" w:sz="0" w:space="0" w:color="auto"/>
            <w:left w:val="none" w:sz="0" w:space="0" w:color="auto"/>
            <w:bottom w:val="none" w:sz="0" w:space="0" w:color="auto"/>
            <w:right w:val="none" w:sz="0" w:space="0" w:color="auto"/>
          </w:divBdr>
          <w:divsChild>
            <w:div w:id="2058042430">
              <w:marLeft w:val="0"/>
              <w:marRight w:val="0"/>
              <w:marTop w:val="0"/>
              <w:marBottom w:val="0"/>
              <w:divBdr>
                <w:top w:val="none" w:sz="0" w:space="0" w:color="auto"/>
                <w:left w:val="none" w:sz="0" w:space="0" w:color="auto"/>
                <w:bottom w:val="none" w:sz="0" w:space="0" w:color="auto"/>
                <w:right w:val="none" w:sz="0" w:space="0" w:color="auto"/>
              </w:divBdr>
            </w:div>
          </w:divsChild>
        </w:div>
        <w:div w:id="975987056">
          <w:marLeft w:val="0"/>
          <w:marRight w:val="0"/>
          <w:marTop w:val="0"/>
          <w:marBottom w:val="0"/>
          <w:divBdr>
            <w:top w:val="none" w:sz="0" w:space="0" w:color="auto"/>
            <w:left w:val="none" w:sz="0" w:space="0" w:color="auto"/>
            <w:bottom w:val="none" w:sz="0" w:space="0" w:color="auto"/>
            <w:right w:val="none" w:sz="0" w:space="0" w:color="auto"/>
          </w:divBdr>
          <w:divsChild>
            <w:div w:id="94325997">
              <w:marLeft w:val="0"/>
              <w:marRight w:val="0"/>
              <w:marTop w:val="0"/>
              <w:marBottom w:val="0"/>
              <w:divBdr>
                <w:top w:val="none" w:sz="0" w:space="0" w:color="auto"/>
                <w:left w:val="none" w:sz="0" w:space="0" w:color="auto"/>
                <w:bottom w:val="none" w:sz="0" w:space="0" w:color="auto"/>
                <w:right w:val="none" w:sz="0" w:space="0" w:color="auto"/>
              </w:divBdr>
            </w:div>
          </w:divsChild>
        </w:div>
        <w:div w:id="985166155">
          <w:marLeft w:val="0"/>
          <w:marRight w:val="0"/>
          <w:marTop w:val="0"/>
          <w:marBottom w:val="0"/>
          <w:divBdr>
            <w:top w:val="none" w:sz="0" w:space="0" w:color="auto"/>
            <w:left w:val="none" w:sz="0" w:space="0" w:color="auto"/>
            <w:bottom w:val="none" w:sz="0" w:space="0" w:color="auto"/>
            <w:right w:val="none" w:sz="0" w:space="0" w:color="auto"/>
          </w:divBdr>
          <w:divsChild>
            <w:div w:id="297731974">
              <w:marLeft w:val="0"/>
              <w:marRight w:val="0"/>
              <w:marTop w:val="0"/>
              <w:marBottom w:val="0"/>
              <w:divBdr>
                <w:top w:val="none" w:sz="0" w:space="0" w:color="auto"/>
                <w:left w:val="none" w:sz="0" w:space="0" w:color="auto"/>
                <w:bottom w:val="none" w:sz="0" w:space="0" w:color="auto"/>
                <w:right w:val="none" w:sz="0" w:space="0" w:color="auto"/>
              </w:divBdr>
            </w:div>
          </w:divsChild>
        </w:div>
        <w:div w:id="1011563144">
          <w:marLeft w:val="0"/>
          <w:marRight w:val="0"/>
          <w:marTop w:val="0"/>
          <w:marBottom w:val="0"/>
          <w:divBdr>
            <w:top w:val="none" w:sz="0" w:space="0" w:color="auto"/>
            <w:left w:val="none" w:sz="0" w:space="0" w:color="auto"/>
            <w:bottom w:val="none" w:sz="0" w:space="0" w:color="auto"/>
            <w:right w:val="none" w:sz="0" w:space="0" w:color="auto"/>
          </w:divBdr>
          <w:divsChild>
            <w:div w:id="1833376948">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sChild>
            <w:div w:id="1072316572">
              <w:marLeft w:val="0"/>
              <w:marRight w:val="0"/>
              <w:marTop w:val="0"/>
              <w:marBottom w:val="0"/>
              <w:divBdr>
                <w:top w:val="none" w:sz="0" w:space="0" w:color="auto"/>
                <w:left w:val="none" w:sz="0" w:space="0" w:color="auto"/>
                <w:bottom w:val="none" w:sz="0" w:space="0" w:color="auto"/>
                <w:right w:val="none" w:sz="0" w:space="0" w:color="auto"/>
              </w:divBdr>
            </w:div>
          </w:divsChild>
        </w:div>
        <w:div w:id="1026635503">
          <w:marLeft w:val="0"/>
          <w:marRight w:val="0"/>
          <w:marTop w:val="0"/>
          <w:marBottom w:val="0"/>
          <w:divBdr>
            <w:top w:val="none" w:sz="0" w:space="0" w:color="auto"/>
            <w:left w:val="none" w:sz="0" w:space="0" w:color="auto"/>
            <w:bottom w:val="none" w:sz="0" w:space="0" w:color="auto"/>
            <w:right w:val="none" w:sz="0" w:space="0" w:color="auto"/>
          </w:divBdr>
          <w:divsChild>
            <w:div w:id="383329985">
              <w:marLeft w:val="0"/>
              <w:marRight w:val="0"/>
              <w:marTop w:val="0"/>
              <w:marBottom w:val="0"/>
              <w:divBdr>
                <w:top w:val="none" w:sz="0" w:space="0" w:color="auto"/>
                <w:left w:val="none" w:sz="0" w:space="0" w:color="auto"/>
                <w:bottom w:val="none" w:sz="0" w:space="0" w:color="auto"/>
                <w:right w:val="none" w:sz="0" w:space="0" w:color="auto"/>
              </w:divBdr>
            </w:div>
          </w:divsChild>
        </w:div>
        <w:div w:id="1053502589">
          <w:marLeft w:val="0"/>
          <w:marRight w:val="0"/>
          <w:marTop w:val="0"/>
          <w:marBottom w:val="0"/>
          <w:divBdr>
            <w:top w:val="none" w:sz="0" w:space="0" w:color="auto"/>
            <w:left w:val="none" w:sz="0" w:space="0" w:color="auto"/>
            <w:bottom w:val="none" w:sz="0" w:space="0" w:color="auto"/>
            <w:right w:val="none" w:sz="0" w:space="0" w:color="auto"/>
          </w:divBdr>
          <w:divsChild>
            <w:div w:id="296106276">
              <w:marLeft w:val="0"/>
              <w:marRight w:val="0"/>
              <w:marTop w:val="0"/>
              <w:marBottom w:val="0"/>
              <w:divBdr>
                <w:top w:val="none" w:sz="0" w:space="0" w:color="auto"/>
                <w:left w:val="none" w:sz="0" w:space="0" w:color="auto"/>
                <w:bottom w:val="none" w:sz="0" w:space="0" w:color="auto"/>
                <w:right w:val="none" w:sz="0" w:space="0" w:color="auto"/>
              </w:divBdr>
            </w:div>
          </w:divsChild>
        </w:div>
        <w:div w:id="1072970557">
          <w:marLeft w:val="0"/>
          <w:marRight w:val="0"/>
          <w:marTop w:val="0"/>
          <w:marBottom w:val="0"/>
          <w:divBdr>
            <w:top w:val="none" w:sz="0" w:space="0" w:color="auto"/>
            <w:left w:val="none" w:sz="0" w:space="0" w:color="auto"/>
            <w:bottom w:val="none" w:sz="0" w:space="0" w:color="auto"/>
            <w:right w:val="none" w:sz="0" w:space="0" w:color="auto"/>
          </w:divBdr>
          <w:divsChild>
            <w:div w:id="1699238185">
              <w:marLeft w:val="0"/>
              <w:marRight w:val="0"/>
              <w:marTop w:val="0"/>
              <w:marBottom w:val="0"/>
              <w:divBdr>
                <w:top w:val="none" w:sz="0" w:space="0" w:color="auto"/>
                <w:left w:val="none" w:sz="0" w:space="0" w:color="auto"/>
                <w:bottom w:val="none" w:sz="0" w:space="0" w:color="auto"/>
                <w:right w:val="none" w:sz="0" w:space="0" w:color="auto"/>
              </w:divBdr>
            </w:div>
          </w:divsChild>
        </w:div>
        <w:div w:id="1113135229">
          <w:marLeft w:val="0"/>
          <w:marRight w:val="0"/>
          <w:marTop w:val="0"/>
          <w:marBottom w:val="0"/>
          <w:divBdr>
            <w:top w:val="none" w:sz="0" w:space="0" w:color="auto"/>
            <w:left w:val="none" w:sz="0" w:space="0" w:color="auto"/>
            <w:bottom w:val="none" w:sz="0" w:space="0" w:color="auto"/>
            <w:right w:val="none" w:sz="0" w:space="0" w:color="auto"/>
          </w:divBdr>
          <w:divsChild>
            <w:div w:id="1268348020">
              <w:marLeft w:val="0"/>
              <w:marRight w:val="0"/>
              <w:marTop w:val="0"/>
              <w:marBottom w:val="0"/>
              <w:divBdr>
                <w:top w:val="none" w:sz="0" w:space="0" w:color="auto"/>
                <w:left w:val="none" w:sz="0" w:space="0" w:color="auto"/>
                <w:bottom w:val="none" w:sz="0" w:space="0" w:color="auto"/>
                <w:right w:val="none" w:sz="0" w:space="0" w:color="auto"/>
              </w:divBdr>
            </w:div>
          </w:divsChild>
        </w:div>
        <w:div w:id="1146163451">
          <w:marLeft w:val="0"/>
          <w:marRight w:val="0"/>
          <w:marTop w:val="0"/>
          <w:marBottom w:val="0"/>
          <w:divBdr>
            <w:top w:val="none" w:sz="0" w:space="0" w:color="auto"/>
            <w:left w:val="none" w:sz="0" w:space="0" w:color="auto"/>
            <w:bottom w:val="none" w:sz="0" w:space="0" w:color="auto"/>
            <w:right w:val="none" w:sz="0" w:space="0" w:color="auto"/>
          </w:divBdr>
          <w:divsChild>
            <w:div w:id="394470424">
              <w:marLeft w:val="0"/>
              <w:marRight w:val="0"/>
              <w:marTop w:val="0"/>
              <w:marBottom w:val="0"/>
              <w:divBdr>
                <w:top w:val="none" w:sz="0" w:space="0" w:color="auto"/>
                <w:left w:val="none" w:sz="0" w:space="0" w:color="auto"/>
                <w:bottom w:val="none" w:sz="0" w:space="0" w:color="auto"/>
                <w:right w:val="none" w:sz="0" w:space="0" w:color="auto"/>
              </w:divBdr>
            </w:div>
          </w:divsChild>
        </w:div>
        <w:div w:id="1161240053">
          <w:marLeft w:val="0"/>
          <w:marRight w:val="0"/>
          <w:marTop w:val="0"/>
          <w:marBottom w:val="0"/>
          <w:divBdr>
            <w:top w:val="none" w:sz="0" w:space="0" w:color="auto"/>
            <w:left w:val="none" w:sz="0" w:space="0" w:color="auto"/>
            <w:bottom w:val="none" w:sz="0" w:space="0" w:color="auto"/>
            <w:right w:val="none" w:sz="0" w:space="0" w:color="auto"/>
          </w:divBdr>
          <w:divsChild>
            <w:div w:id="1823885075">
              <w:marLeft w:val="0"/>
              <w:marRight w:val="0"/>
              <w:marTop w:val="0"/>
              <w:marBottom w:val="0"/>
              <w:divBdr>
                <w:top w:val="none" w:sz="0" w:space="0" w:color="auto"/>
                <w:left w:val="none" w:sz="0" w:space="0" w:color="auto"/>
                <w:bottom w:val="none" w:sz="0" w:space="0" w:color="auto"/>
                <w:right w:val="none" w:sz="0" w:space="0" w:color="auto"/>
              </w:divBdr>
            </w:div>
          </w:divsChild>
        </w:div>
        <w:div w:id="1163005097">
          <w:marLeft w:val="0"/>
          <w:marRight w:val="0"/>
          <w:marTop w:val="0"/>
          <w:marBottom w:val="0"/>
          <w:divBdr>
            <w:top w:val="none" w:sz="0" w:space="0" w:color="auto"/>
            <w:left w:val="none" w:sz="0" w:space="0" w:color="auto"/>
            <w:bottom w:val="none" w:sz="0" w:space="0" w:color="auto"/>
            <w:right w:val="none" w:sz="0" w:space="0" w:color="auto"/>
          </w:divBdr>
          <w:divsChild>
            <w:div w:id="2023125338">
              <w:marLeft w:val="0"/>
              <w:marRight w:val="0"/>
              <w:marTop w:val="0"/>
              <w:marBottom w:val="0"/>
              <w:divBdr>
                <w:top w:val="none" w:sz="0" w:space="0" w:color="auto"/>
                <w:left w:val="none" w:sz="0" w:space="0" w:color="auto"/>
                <w:bottom w:val="none" w:sz="0" w:space="0" w:color="auto"/>
                <w:right w:val="none" w:sz="0" w:space="0" w:color="auto"/>
              </w:divBdr>
            </w:div>
          </w:divsChild>
        </w:div>
        <w:div w:id="1171681710">
          <w:marLeft w:val="0"/>
          <w:marRight w:val="0"/>
          <w:marTop w:val="0"/>
          <w:marBottom w:val="0"/>
          <w:divBdr>
            <w:top w:val="none" w:sz="0" w:space="0" w:color="auto"/>
            <w:left w:val="none" w:sz="0" w:space="0" w:color="auto"/>
            <w:bottom w:val="none" w:sz="0" w:space="0" w:color="auto"/>
            <w:right w:val="none" w:sz="0" w:space="0" w:color="auto"/>
          </w:divBdr>
          <w:divsChild>
            <w:div w:id="1141731211">
              <w:marLeft w:val="0"/>
              <w:marRight w:val="0"/>
              <w:marTop w:val="0"/>
              <w:marBottom w:val="0"/>
              <w:divBdr>
                <w:top w:val="none" w:sz="0" w:space="0" w:color="auto"/>
                <w:left w:val="none" w:sz="0" w:space="0" w:color="auto"/>
                <w:bottom w:val="none" w:sz="0" w:space="0" w:color="auto"/>
                <w:right w:val="none" w:sz="0" w:space="0" w:color="auto"/>
              </w:divBdr>
            </w:div>
          </w:divsChild>
        </w:div>
        <w:div w:id="1181971202">
          <w:marLeft w:val="0"/>
          <w:marRight w:val="0"/>
          <w:marTop w:val="0"/>
          <w:marBottom w:val="0"/>
          <w:divBdr>
            <w:top w:val="none" w:sz="0" w:space="0" w:color="auto"/>
            <w:left w:val="none" w:sz="0" w:space="0" w:color="auto"/>
            <w:bottom w:val="none" w:sz="0" w:space="0" w:color="auto"/>
            <w:right w:val="none" w:sz="0" w:space="0" w:color="auto"/>
          </w:divBdr>
          <w:divsChild>
            <w:div w:id="426387817">
              <w:marLeft w:val="0"/>
              <w:marRight w:val="0"/>
              <w:marTop w:val="0"/>
              <w:marBottom w:val="0"/>
              <w:divBdr>
                <w:top w:val="none" w:sz="0" w:space="0" w:color="auto"/>
                <w:left w:val="none" w:sz="0" w:space="0" w:color="auto"/>
                <w:bottom w:val="none" w:sz="0" w:space="0" w:color="auto"/>
                <w:right w:val="none" w:sz="0" w:space="0" w:color="auto"/>
              </w:divBdr>
            </w:div>
          </w:divsChild>
        </w:div>
        <w:div w:id="1192305182">
          <w:marLeft w:val="0"/>
          <w:marRight w:val="0"/>
          <w:marTop w:val="0"/>
          <w:marBottom w:val="0"/>
          <w:divBdr>
            <w:top w:val="none" w:sz="0" w:space="0" w:color="auto"/>
            <w:left w:val="none" w:sz="0" w:space="0" w:color="auto"/>
            <w:bottom w:val="none" w:sz="0" w:space="0" w:color="auto"/>
            <w:right w:val="none" w:sz="0" w:space="0" w:color="auto"/>
          </w:divBdr>
          <w:divsChild>
            <w:div w:id="1368723712">
              <w:marLeft w:val="0"/>
              <w:marRight w:val="0"/>
              <w:marTop w:val="0"/>
              <w:marBottom w:val="0"/>
              <w:divBdr>
                <w:top w:val="none" w:sz="0" w:space="0" w:color="auto"/>
                <w:left w:val="none" w:sz="0" w:space="0" w:color="auto"/>
                <w:bottom w:val="none" w:sz="0" w:space="0" w:color="auto"/>
                <w:right w:val="none" w:sz="0" w:space="0" w:color="auto"/>
              </w:divBdr>
            </w:div>
          </w:divsChild>
        </w:div>
        <w:div w:id="1195270039">
          <w:marLeft w:val="0"/>
          <w:marRight w:val="0"/>
          <w:marTop w:val="0"/>
          <w:marBottom w:val="0"/>
          <w:divBdr>
            <w:top w:val="none" w:sz="0" w:space="0" w:color="auto"/>
            <w:left w:val="none" w:sz="0" w:space="0" w:color="auto"/>
            <w:bottom w:val="none" w:sz="0" w:space="0" w:color="auto"/>
            <w:right w:val="none" w:sz="0" w:space="0" w:color="auto"/>
          </w:divBdr>
          <w:divsChild>
            <w:div w:id="948857882">
              <w:marLeft w:val="0"/>
              <w:marRight w:val="0"/>
              <w:marTop w:val="0"/>
              <w:marBottom w:val="0"/>
              <w:divBdr>
                <w:top w:val="none" w:sz="0" w:space="0" w:color="auto"/>
                <w:left w:val="none" w:sz="0" w:space="0" w:color="auto"/>
                <w:bottom w:val="none" w:sz="0" w:space="0" w:color="auto"/>
                <w:right w:val="none" w:sz="0" w:space="0" w:color="auto"/>
              </w:divBdr>
            </w:div>
          </w:divsChild>
        </w:div>
        <w:div w:id="1258834035">
          <w:marLeft w:val="0"/>
          <w:marRight w:val="0"/>
          <w:marTop w:val="0"/>
          <w:marBottom w:val="0"/>
          <w:divBdr>
            <w:top w:val="none" w:sz="0" w:space="0" w:color="auto"/>
            <w:left w:val="none" w:sz="0" w:space="0" w:color="auto"/>
            <w:bottom w:val="none" w:sz="0" w:space="0" w:color="auto"/>
            <w:right w:val="none" w:sz="0" w:space="0" w:color="auto"/>
          </w:divBdr>
          <w:divsChild>
            <w:div w:id="2133208566">
              <w:marLeft w:val="0"/>
              <w:marRight w:val="0"/>
              <w:marTop w:val="0"/>
              <w:marBottom w:val="0"/>
              <w:divBdr>
                <w:top w:val="none" w:sz="0" w:space="0" w:color="auto"/>
                <w:left w:val="none" w:sz="0" w:space="0" w:color="auto"/>
                <w:bottom w:val="none" w:sz="0" w:space="0" w:color="auto"/>
                <w:right w:val="none" w:sz="0" w:space="0" w:color="auto"/>
              </w:divBdr>
            </w:div>
          </w:divsChild>
        </w:div>
        <w:div w:id="1293365524">
          <w:marLeft w:val="0"/>
          <w:marRight w:val="0"/>
          <w:marTop w:val="0"/>
          <w:marBottom w:val="0"/>
          <w:divBdr>
            <w:top w:val="none" w:sz="0" w:space="0" w:color="auto"/>
            <w:left w:val="none" w:sz="0" w:space="0" w:color="auto"/>
            <w:bottom w:val="none" w:sz="0" w:space="0" w:color="auto"/>
            <w:right w:val="none" w:sz="0" w:space="0" w:color="auto"/>
          </w:divBdr>
          <w:divsChild>
            <w:div w:id="1153332007">
              <w:marLeft w:val="0"/>
              <w:marRight w:val="0"/>
              <w:marTop w:val="0"/>
              <w:marBottom w:val="0"/>
              <w:divBdr>
                <w:top w:val="none" w:sz="0" w:space="0" w:color="auto"/>
                <w:left w:val="none" w:sz="0" w:space="0" w:color="auto"/>
                <w:bottom w:val="none" w:sz="0" w:space="0" w:color="auto"/>
                <w:right w:val="none" w:sz="0" w:space="0" w:color="auto"/>
              </w:divBdr>
            </w:div>
          </w:divsChild>
        </w:div>
        <w:div w:id="1299914484">
          <w:marLeft w:val="0"/>
          <w:marRight w:val="0"/>
          <w:marTop w:val="0"/>
          <w:marBottom w:val="0"/>
          <w:divBdr>
            <w:top w:val="none" w:sz="0" w:space="0" w:color="auto"/>
            <w:left w:val="none" w:sz="0" w:space="0" w:color="auto"/>
            <w:bottom w:val="none" w:sz="0" w:space="0" w:color="auto"/>
            <w:right w:val="none" w:sz="0" w:space="0" w:color="auto"/>
          </w:divBdr>
          <w:divsChild>
            <w:div w:id="503134644">
              <w:marLeft w:val="0"/>
              <w:marRight w:val="0"/>
              <w:marTop w:val="0"/>
              <w:marBottom w:val="0"/>
              <w:divBdr>
                <w:top w:val="none" w:sz="0" w:space="0" w:color="auto"/>
                <w:left w:val="none" w:sz="0" w:space="0" w:color="auto"/>
                <w:bottom w:val="none" w:sz="0" w:space="0" w:color="auto"/>
                <w:right w:val="none" w:sz="0" w:space="0" w:color="auto"/>
              </w:divBdr>
            </w:div>
          </w:divsChild>
        </w:div>
        <w:div w:id="1327780725">
          <w:marLeft w:val="0"/>
          <w:marRight w:val="0"/>
          <w:marTop w:val="0"/>
          <w:marBottom w:val="0"/>
          <w:divBdr>
            <w:top w:val="none" w:sz="0" w:space="0" w:color="auto"/>
            <w:left w:val="none" w:sz="0" w:space="0" w:color="auto"/>
            <w:bottom w:val="none" w:sz="0" w:space="0" w:color="auto"/>
            <w:right w:val="none" w:sz="0" w:space="0" w:color="auto"/>
          </w:divBdr>
          <w:divsChild>
            <w:div w:id="2038968575">
              <w:marLeft w:val="0"/>
              <w:marRight w:val="0"/>
              <w:marTop w:val="0"/>
              <w:marBottom w:val="0"/>
              <w:divBdr>
                <w:top w:val="none" w:sz="0" w:space="0" w:color="auto"/>
                <w:left w:val="none" w:sz="0" w:space="0" w:color="auto"/>
                <w:bottom w:val="none" w:sz="0" w:space="0" w:color="auto"/>
                <w:right w:val="none" w:sz="0" w:space="0" w:color="auto"/>
              </w:divBdr>
            </w:div>
          </w:divsChild>
        </w:div>
        <w:div w:id="1342465309">
          <w:marLeft w:val="0"/>
          <w:marRight w:val="0"/>
          <w:marTop w:val="0"/>
          <w:marBottom w:val="0"/>
          <w:divBdr>
            <w:top w:val="none" w:sz="0" w:space="0" w:color="auto"/>
            <w:left w:val="none" w:sz="0" w:space="0" w:color="auto"/>
            <w:bottom w:val="none" w:sz="0" w:space="0" w:color="auto"/>
            <w:right w:val="none" w:sz="0" w:space="0" w:color="auto"/>
          </w:divBdr>
          <w:divsChild>
            <w:div w:id="1009210186">
              <w:marLeft w:val="0"/>
              <w:marRight w:val="0"/>
              <w:marTop w:val="0"/>
              <w:marBottom w:val="0"/>
              <w:divBdr>
                <w:top w:val="none" w:sz="0" w:space="0" w:color="auto"/>
                <w:left w:val="none" w:sz="0" w:space="0" w:color="auto"/>
                <w:bottom w:val="none" w:sz="0" w:space="0" w:color="auto"/>
                <w:right w:val="none" w:sz="0" w:space="0" w:color="auto"/>
              </w:divBdr>
            </w:div>
          </w:divsChild>
        </w:div>
        <w:div w:id="1348630407">
          <w:marLeft w:val="0"/>
          <w:marRight w:val="0"/>
          <w:marTop w:val="0"/>
          <w:marBottom w:val="0"/>
          <w:divBdr>
            <w:top w:val="none" w:sz="0" w:space="0" w:color="auto"/>
            <w:left w:val="none" w:sz="0" w:space="0" w:color="auto"/>
            <w:bottom w:val="none" w:sz="0" w:space="0" w:color="auto"/>
            <w:right w:val="none" w:sz="0" w:space="0" w:color="auto"/>
          </w:divBdr>
          <w:divsChild>
            <w:div w:id="99843593">
              <w:marLeft w:val="0"/>
              <w:marRight w:val="0"/>
              <w:marTop w:val="0"/>
              <w:marBottom w:val="0"/>
              <w:divBdr>
                <w:top w:val="none" w:sz="0" w:space="0" w:color="auto"/>
                <w:left w:val="none" w:sz="0" w:space="0" w:color="auto"/>
                <w:bottom w:val="none" w:sz="0" w:space="0" w:color="auto"/>
                <w:right w:val="none" w:sz="0" w:space="0" w:color="auto"/>
              </w:divBdr>
            </w:div>
          </w:divsChild>
        </w:div>
        <w:div w:id="1354913545">
          <w:marLeft w:val="0"/>
          <w:marRight w:val="0"/>
          <w:marTop w:val="0"/>
          <w:marBottom w:val="0"/>
          <w:divBdr>
            <w:top w:val="none" w:sz="0" w:space="0" w:color="auto"/>
            <w:left w:val="none" w:sz="0" w:space="0" w:color="auto"/>
            <w:bottom w:val="none" w:sz="0" w:space="0" w:color="auto"/>
            <w:right w:val="none" w:sz="0" w:space="0" w:color="auto"/>
          </w:divBdr>
          <w:divsChild>
            <w:div w:id="1286699015">
              <w:marLeft w:val="0"/>
              <w:marRight w:val="0"/>
              <w:marTop w:val="0"/>
              <w:marBottom w:val="0"/>
              <w:divBdr>
                <w:top w:val="none" w:sz="0" w:space="0" w:color="auto"/>
                <w:left w:val="none" w:sz="0" w:space="0" w:color="auto"/>
                <w:bottom w:val="none" w:sz="0" w:space="0" w:color="auto"/>
                <w:right w:val="none" w:sz="0" w:space="0" w:color="auto"/>
              </w:divBdr>
            </w:div>
          </w:divsChild>
        </w:div>
        <w:div w:id="1364751630">
          <w:marLeft w:val="0"/>
          <w:marRight w:val="0"/>
          <w:marTop w:val="0"/>
          <w:marBottom w:val="0"/>
          <w:divBdr>
            <w:top w:val="none" w:sz="0" w:space="0" w:color="auto"/>
            <w:left w:val="none" w:sz="0" w:space="0" w:color="auto"/>
            <w:bottom w:val="none" w:sz="0" w:space="0" w:color="auto"/>
            <w:right w:val="none" w:sz="0" w:space="0" w:color="auto"/>
          </w:divBdr>
          <w:divsChild>
            <w:div w:id="1927379662">
              <w:marLeft w:val="0"/>
              <w:marRight w:val="0"/>
              <w:marTop w:val="0"/>
              <w:marBottom w:val="0"/>
              <w:divBdr>
                <w:top w:val="none" w:sz="0" w:space="0" w:color="auto"/>
                <w:left w:val="none" w:sz="0" w:space="0" w:color="auto"/>
                <w:bottom w:val="none" w:sz="0" w:space="0" w:color="auto"/>
                <w:right w:val="none" w:sz="0" w:space="0" w:color="auto"/>
              </w:divBdr>
            </w:div>
          </w:divsChild>
        </w:div>
        <w:div w:id="1365254266">
          <w:marLeft w:val="0"/>
          <w:marRight w:val="0"/>
          <w:marTop w:val="0"/>
          <w:marBottom w:val="0"/>
          <w:divBdr>
            <w:top w:val="none" w:sz="0" w:space="0" w:color="auto"/>
            <w:left w:val="none" w:sz="0" w:space="0" w:color="auto"/>
            <w:bottom w:val="none" w:sz="0" w:space="0" w:color="auto"/>
            <w:right w:val="none" w:sz="0" w:space="0" w:color="auto"/>
          </w:divBdr>
          <w:divsChild>
            <w:div w:id="48920900">
              <w:marLeft w:val="0"/>
              <w:marRight w:val="0"/>
              <w:marTop w:val="0"/>
              <w:marBottom w:val="0"/>
              <w:divBdr>
                <w:top w:val="none" w:sz="0" w:space="0" w:color="auto"/>
                <w:left w:val="none" w:sz="0" w:space="0" w:color="auto"/>
                <w:bottom w:val="none" w:sz="0" w:space="0" w:color="auto"/>
                <w:right w:val="none" w:sz="0" w:space="0" w:color="auto"/>
              </w:divBdr>
            </w:div>
          </w:divsChild>
        </w:div>
        <w:div w:id="1406102609">
          <w:marLeft w:val="0"/>
          <w:marRight w:val="0"/>
          <w:marTop w:val="0"/>
          <w:marBottom w:val="0"/>
          <w:divBdr>
            <w:top w:val="none" w:sz="0" w:space="0" w:color="auto"/>
            <w:left w:val="none" w:sz="0" w:space="0" w:color="auto"/>
            <w:bottom w:val="none" w:sz="0" w:space="0" w:color="auto"/>
            <w:right w:val="none" w:sz="0" w:space="0" w:color="auto"/>
          </w:divBdr>
          <w:divsChild>
            <w:div w:id="1574123499">
              <w:marLeft w:val="0"/>
              <w:marRight w:val="0"/>
              <w:marTop w:val="0"/>
              <w:marBottom w:val="0"/>
              <w:divBdr>
                <w:top w:val="none" w:sz="0" w:space="0" w:color="auto"/>
                <w:left w:val="none" w:sz="0" w:space="0" w:color="auto"/>
                <w:bottom w:val="none" w:sz="0" w:space="0" w:color="auto"/>
                <w:right w:val="none" w:sz="0" w:space="0" w:color="auto"/>
              </w:divBdr>
            </w:div>
          </w:divsChild>
        </w:div>
        <w:div w:id="1418478007">
          <w:marLeft w:val="0"/>
          <w:marRight w:val="0"/>
          <w:marTop w:val="0"/>
          <w:marBottom w:val="0"/>
          <w:divBdr>
            <w:top w:val="none" w:sz="0" w:space="0" w:color="auto"/>
            <w:left w:val="none" w:sz="0" w:space="0" w:color="auto"/>
            <w:bottom w:val="none" w:sz="0" w:space="0" w:color="auto"/>
            <w:right w:val="none" w:sz="0" w:space="0" w:color="auto"/>
          </w:divBdr>
          <w:divsChild>
            <w:div w:id="494803635">
              <w:marLeft w:val="0"/>
              <w:marRight w:val="0"/>
              <w:marTop w:val="0"/>
              <w:marBottom w:val="0"/>
              <w:divBdr>
                <w:top w:val="none" w:sz="0" w:space="0" w:color="auto"/>
                <w:left w:val="none" w:sz="0" w:space="0" w:color="auto"/>
                <w:bottom w:val="none" w:sz="0" w:space="0" w:color="auto"/>
                <w:right w:val="none" w:sz="0" w:space="0" w:color="auto"/>
              </w:divBdr>
            </w:div>
          </w:divsChild>
        </w:div>
        <w:div w:id="1422919853">
          <w:marLeft w:val="0"/>
          <w:marRight w:val="0"/>
          <w:marTop w:val="0"/>
          <w:marBottom w:val="0"/>
          <w:divBdr>
            <w:top w:val="none" w:sz="0" w:space="0" w:color="auto"/>
            <w:left w:val="none" w:sz="0" w:space="0" w:color="auto"/>
            <w:bottom w:val="none" w:sz="0" w:space="0" w:color="auto"/>
            <w:right w:val="none" w:sz="0" w:space="0" w:color="auto"/>
          </w:divBdr>
          <w:divsChild>
            <w:div w:id="731778481">
              <w:marLeft w:val="0"/>
              <w:marRight w:val="0"/>
              <w:marTop w:val="0"/>
              <w:marBottom w:val="0"/>
              <w:divBdr>
                <w:top w:val="none" w:sz="0" w:space="0" w:color="auto"/>
                <w:left w:val="none" w:sz="0" w:space="0" w:color="auto"/>
                <w:bottom w:val="none" w:sz="0" w:space="0" w:color="auto"/>
                <w:right w:val="none" w:sz="0" w:space="0" w:color="auto"/>
              </w:divBdr>
            </w:div>
          </w:divsChild>
        </w:div>
        <w:div w:id="1479952254">
          <w:marLeft w:val="0"/>
          <w:marRight w:val="0"/>
          <w:marTop w:val="0"/>
          <w:marBottom w:val="0"/>
          <w:divBdr>
            <w:top w:val="none" w:sz="0" w:space="0" w:color="auto"/>
            <w:left w:val="none" w:sz="0" w:space="0" w:color="auto"/>
            <w:bottom w:val="none" w:sz="0" w:space="0" w:color="auto"/>
            <w:right w:val="none" w:sz="0" w:space="0" w:color="auto"/>
          </w:divBdr>
          <w:divsChild>
            <w:div w:id="1883446603">
              <w:marLeft w:val="0"/>
              <w:marRight w:val="0"/>
              <w:marTop w:val="0"/>
              <w:marBottom w:val="0"/>
              <w:divBdr>
                <w:top w:val="none" w:sz="0" w:space="0" w:color="auto"/>
                <w:left w:val="none" w:sz="0" w:space="0" w:color="auto"/>
                <w:bottom w:val="none" w:sz="0" w:space="0" w:color="auto"/>
                <w:right w:val="none" w:sz="0" w:space="0" w:color="auto"/>
              </w:divBdr>
            </w:div>
          </w:divsChild>
        </w:div>
        <w:div w:id="1491141142">
          <w:marLeft w:val="0"/>
          <w:marRight w:val="0"/>
          <w:marTop w:val="0"/>
          <w:marBottom w:val="0"/>
          <w:divBdr>
            <w:top w:val="none" w:sz="0" w:space="0" w:color="auto"/>
            <w:left w:val="none" w:sz="0" w:space="0" w:color="auto"/>
            <w:bottom w:val="none" w:sz="0" w:space="0" w:color="auto"/>
            <w:right w:val="none" w:sz="0" w:space="0" w:color="auto"/>
          </w:divBdr>
          <w:divsChild>
            <w:div w:id="306786717">
              <w:marLeft w:val="0"/>
              <w:marRight w:val="0"/>
              <w:marTop w:val="0"/>
              <w:marBottom w:val="0"/>
              <w:divBdr>
                <w:top w:val="none" w:sz="0" w:space="0" w:color="auto"/>
                <w:left w:val="none" w:sz="0" w:space="0" w:color="auto"/>
                <w:bottom w:val="none" w:sz="0" w:space="0" w:color="auto"/>
                <w:right w:val="none" w:sz="0" w:space="0" w:color="auto"/>
              </w:divBdr>
            </w:div>
          </w:divsChild>
        </w:div>
        <w:div w:id="1495534706">
          <w:marLeft w:val="0"/>
          <w:marRight w:val="0"/>
          <w:marTop w:val="0"/>
          <w:marBottom w:val="0"/>
          <w:divBdr>
            <w:top w:val="none" w:sz="0" w:space="0" w:color="auto"/>
            <w:left w:val="none" w:sz="0" w:space="0" w:color="auto"/>
            <w:bottom w:val="none" w:sz="0" w:space="0" w:color="auto"/>
            <w:right w:val="none" w:sz="0" w:space="0" w:color="auto"/>
          </w:divBdr>
          <w:divsChild>
            <w:div w:id="681863361">
              <w:marLeft w:val="0"/>
              <w:marRight w:val="0"/>
              <w:marTop w:val="0"/>
              <w:marBottom w:val="0"/>
              <w:divBdr>
                <w:top w:val="none" w:sz="0" w:space="0" w:color="auto"/>
                <w:left w:val="none" w:sz="0" w:space="0" w:color="auto"/>
                <w:bottom w:val="none" w:sz="0" w:space="0" w:color="auto"/>
                <w:right w:val="none" w:sz="0" w:space="0" w:color="auto"/>
              </w:divBdr>
            </w:div>
          </w:divsChild>
        </w:div>
        <w:div w:id="1541237740">
          <w:marLeft w:val="0"/>
          <w:marRight w:val="0"/>
          <w:marTop w:val="0"/>
          <w:marBottom w:val="0"/>
          <w:divBdr>
            <w:top w:val="none" w:sz="0" w:space="0" w:color="auto"/>
            <w:left w:val="none" w:sz="0" w:space="0" w:color="auto"/>
            <w:bottom w:val="none" w:sz="0" w:space="0" w:color="auto"/>
            <w:right w:val="none" w:sz="0" w:space="0" w:color="auto"/>
          </w:divBdr>
          <w:divsChild>
            <w:div w:id="44793076">
              <w:marLeft w:val="0"/>
              <w:marRight w:val="0"/>
              <w:marTop w:val="0"/>
              <w:marBottom w:val="0"/>
              <w:divBdr>
                <w:top w:val="none" w:sz="0" w:space="0" w:color="auto"/>
                <w:left w:val="none" w:sz="0" w:space="0" w:color="auto"/>
                <w:bottom w:val="none" w:sz="0" w:space="0" w:color="auto"/>
                <w:right w:val="none" w:sz="0" w:space="0" w:color="auto"/>
              </w:divBdr>
            </w:div>
          </w:divsChild>
        </w:div>
        <w:div w:id="1546795616">
          <w:marLeft w:val="0"/>
          <w:marRight w:val="0"/>
          <w:marTop w:val="0"/>
          <w:marBottom w:val="0"/>
          <w:divBdr>
            <w:top w:val="none" w:sz="0" w:space="0" w:color="auto"/>
            <w:left w:val="none" w:sz="0" w:space="0" w:color="auto"/>
            <w:bottom w:val="none" w:sz="0" w:space="0" w:color="auto"/>
            <w:right w:val="none" w:sz="0" w:space="0" w:color="auto"/>
          </w:divBdr>
          <w:divsChild>
            <w:div w:id="300422608">
              <w:marLeft w:val="0"/>
              <w:marRight w:val="0"/>
              <w:marTop w:val="0"/>
              <w:marBottom w:val="0"/>
              <w:divBdr>
                <w:top w:val="none" w:sz="0" w:space="0" w:color="auto"/>
                <w:left w:val="none" w:sz="0" w:space="0" w:color="auto"/>
                <w:bottom w:val="none" w:sz="0" w:space="0" w:color="auto"/>
                <w:right w:val="none" w:sz="0" w:space="0" w:color="auto"/>
              </w:divBdr>
            </w:div>
          </w:divsChild>
        </w:div>
        <w:div w:id="1560509260">
          <w:marLeft w:val="0"/>
          <w:marRight w:val="0"/>
          <w:marTop w:val="0"/>
          <w:marBottom w:val="0"/>
          <w:divBdr>
            <w:top w:val="none" w:sz="0" w:space="0" w:color="auto"/>
            <w:left w:val="none" w:sz="0" w:space="0" w:color="auto"/>
            <w:bottom w:val="none" w:sz="0" w:space="0" w:color="auto"/>
            <w:right w:val="none" w:sz="0" w:space="0" w:color="auto"/>
          </w:divBdr>
          <w:divsChild>
            <w:div w:id="344139327">
              <w:marLeft w:val="0"/>
              <w:marRight w:val="0"/>
              <w:marTop w:val="0"/>
              <w:marBottom w:val="0"/>
              <w:divBdr>
                <w:top w:val="none" w:sz="0" w:space="0" w:color="auto"/>
                <w:left w:val="none" w:sz="0" w:space="0" w:color="auto"/>
                <w:bottom w:val="none" w:sz="0" w:space="0" w:color="auto"/>
                <w:right w:val="none" w:sz="0" w:space="0" w:color="auto"/>
              </w:divBdr>
            </w:div>
          </w:divsChild>
        </w:div>
        <w:div w:id="1596480591">
          <w:marLeft w:val="0"/>
          <w:marRight w:val="0"/>
          <w:marTop w:val="0"/>
          <w:marBottom w:val="0"/>
          <w:divBdr>
            <w:top w:val="none" w:sz="0" w:space="0" w:color="auto"/>
            <w:left w:val="none" w:sz="0" w:space="0" w:color="auto"/>
            <w:bottom w:val="none" w:sz="0" w:space="0" w:color="auto"/>
            <w:right w:val="none" w:sz="0" w:space="0" w:color="auto"/>
          </w:divBdr>
          <w:divsChild>
            <w:div w:id="815338259">
              <w:marLeft w:val="0"/>
              <w:marRight w:val="0"/>
              <w:marTop w:val="0"/>
              <w:marBottom w:val="0"/>
              <w:divBdr>
                <w:top w:val="none" w:sz="0" w:space="0" w:color="auto"/>
                <w:left w:val="none" w:sz="0" w:space="0" w:color="auto"/>
                <w:bottom w:val="none" w:sz="0" w:space="0" w:color="auto"/>
                <w:right w:val="none" w:sz="0" w:space="0" w:color="auto"/>
              </w:divBdr>
            </w:div>
          </w:divsChild>
        </w:div>
        <w:div w:id="1597326896">
          <w:marLeft w:val="0"/>
          <w:marRight w:val="0"/>
          <w:marTop w:val="0"/>
          <w:marBottom w:val="0"/>
          <w:divBdr>
            <w:top w:val="none" w:sz="0" w:space="0" w:color="auto"/>
            <w:left w:val="none" w:sz="0" w:space="0" w:color="auto"/>
            <w:bottom w:val="none" w:sz="0" w:space="0" w:color="auto"/>
            <w:right w:val="none" w:sz="0" w:space="0" w:color="auto"/>
          </w:divBdr>
          <w:divsChild>
            <w:div w:id="754126801">
              <w:marLeft w:val="0"/>
              <w:marRight w:val="0"/>
              <w:marTop w:val="0"/>
              <w:marBottom w:val="0"/>
              <w:divBdr>
                <w:top w:val="none" w:sz="0" w:space="0" w:color="auto"/>
                <w:left w:val="none" w:sz="0" w:space="0" w:color="auto"/>
                <w:bottom w:val="none" w:sz="0" w:space="0" w:color="auto"/>
                <w:right w:val="none" w:sz="0" w:space="0" w:color="auto"/>
              </w:divBdr>
            </w:div>
          </w:divsChild>
        </w:div>
        <w:div w:id="1636791399">
          <w:marLeft w:val="0"/>
          <w:marRight w:val="0"/>
          <w:marTop w:val="0"/>
          <w:marBottom w:val="0"/>
          <w:divBdr>
            <w:top w:val="none" w:sz="0" w:space="0" w:color="auto"/>
            <w:left w:val="none" w:sz="0" w:space="0" w:color="auto"/>
            <w:bottom w:val="none" w:sz="0" w:space="0" w:color="auto"/>
            <w:right w:val="none" w:sz="0" w:space="0" w:color="auto"/>
          </w:divBdr>
          <w:divsChild>
            <w:div w:id="97409907">
              <w:marLeft w:val="0"/>
              <w:marRight w:val="0"/>
              <w:marTop w:val="0"/>
              <w:marBottom w:val="0"/>
              <w:divBdr>
                <w:top w:val="none" w:sz="0" w:space="0" w:color="auto"/>
                <w:left w:val="none" w:sz="0" w:space="0" w:color="auto"/>
                <w:bottom w:val="none" w:sz="0" w:space="0" w:color="auto"/>
                <w:right w:val="none" w:sz="0" w:space="0" w:color="auto"/>
              </w:divBdr>
            </w:div>
          </w:divsChild>
        </w:div>
        <w:div w:id="1648626331">
          <w:marLeft w:val="0"/>
          <w:marRight w:val="0"/>
          <w:marTop w:val="0"/>
          <w:marBottom w:val="0"/>
          <w:divBdr>
            <w:top w:val="none" w:sz="0" w:space="0" w:color="auto"/>
            <w:left w:val="none" w:sz="0" w:space="0" w:color="auto"/>
            <w:bottom w:val="none" w:sz="0" w:space="0" w:color="auto"/>
            <w:right w:val="none" w:sz="0" w:space="0" w:color="auto"/>
          </w:divBdr>
          <w:divsChild>
            <w:div w:id="1397555289">
              <w:marLeft w:val="0"/>
              <w:marRight w:val="0"/>
              <w:marTop w:val="0"/>
              <w:marBottom w:val="0"/>
              <w:divBdr>
                <w:top w:val="none" w:sz="0" w:space="0" w:color="auto"/>
                <w:left w:val="none" w:sz="0" w:space="0" w:color="auto"/>
                <w:bottom w:val="none" w:sz="0" w:space="0" w:color="auto"/>
                <w:right w:val="none" w:sz="0" w:space="0" w:color="auto"/>
              </w:divBdr>
            </w:div>
          </w:divsChild>
        </w:div>
        <w:div w:id="1670712044">
          <w:marLeft w:val="0"/>
          <w:marRight w:val="0"/>
          <w:marTop w:val="0"/>
          <w:marBottom w:val="0"/>
          <w:divBdr>
            <w:top w:val="none" w:sz="0" w:space="0" w:color="auto"/>
            <w:left w:val="none" w:sz="0" w:space="0" w:color="auto"/>
            <w:bottom w:val="none" w:sz="0" w:space="0" w:color="auto"/>
            <w:right w:val="none" w:sz="0" w:space="0" w:color="auto"/>
          </w:divBdr>
          <w:divsChild>
            <w:div w:id="576743721">
              <w:marLeft w:val="0"/>
              <w:marRight w:val="0"/>
              <w:marTop w:val="0"/>
              <w:marBottom w:val="0"/>
              <w:divBdr>
                <w:top w:val="none" w:sz="0" w:space="0" w:color="auto"/>
                <w:left w:val="none" w:sz="0" w:space="0" w:color="auto"/>
                <w:bottom w:val="none" w:sz="0" w:space="0" w:color="auto"/>
                <w:right w:val="none" w:sz="0" w:space="0" w:color="auto"/>
              </w:divBdr>
            </w:div>
          </w:divsChild>
        </w:div>
        <w:div w:id="1678389514">
          <w:marLeft w:val="0"/>
          <w:marRight w:val="0"/>
          <w:marTop w:val="0"/>
          <w:marBottom w:val="0"/>
          <w:divBdr>
            <w:top w:val="none" w:sz="0" w:space="0" w:color="auto"/>
            <w:left w:val="none" w:sz="0" w:space="0" w:color="auto"/>
            <w:bottom w:val="none" w:sz="0" w:space="0" w:color="auto"/>
            <w:right w:val="none" w:sz="0" w:space="0" w:color="auto"/>
          </w:divBdr>
          <w:divsChild>
            <w:div w:id="1334801352">
              <w:marLeft w:val="0"/>
              <w:marRight w:val="0"/>
              <w:marTop w:val="0"/>
              <w:marBottom w:val="0"/>
              <w:divBdr>
                <w:top w:val="none" w:sz="0" w:space="0" w:color="auto"/>
                <w:left w:val="none" w:sz="0" w:space="0" w:color="auto"/>
                <w:bottom w:val="none" w:sz="0" w:space="0" w:color="auto"/>
                <w:right w:val="none" w:sz="0" w:space="0" w:color="auto"/>
              </w:divBdr>
            </w:div>
          </w:divsChild>
        </w:div>
        <w:div w:id="1707945459">
          <w:marLeft w:val="0"/>
          <w:marRight w:val="0"/>
          <w:marTop w:val="0"/>
          <w:marBottom w:val="0"/>
          <w:divBdr>
            <w:top w:val="none" w:sz="0" w:space="0" w:color="auto"/>
            <w:left w:val="none" w:sz="0" w:space="0" w:color="auto"/>
            <w:bottom w:val="none" w:sz="0" w:space="0" w:color="auto"/>
            <w:right w:val="none" w:sz="0" w:space="0" w:color="auto"/>
          </w:divBdr>
          <w:divsChild>
            <w:div w:id="1502234271">
              <w:marLeft w:val="0"/>
              <w:marRight w:val="0"/>
              <w:marTop w:val="0"/>
              <w:marBottom w:val="0"/>
              <w:divBdr>
                <w:top w:val="none" w:sz="0" w:space="0" w:color="auto"/>
                <w:left w:val="none" w:sz="0" w:space="0" w:color="auto"/>
                <w:bottom w:val="none" w:sz="0" w:space="0" w:color="auto"/>
                <w:right w:val="none" w:sz="0" w:space="0" w:color="auto"/>
              </w:divBdr>
            </w:div>
          </w:divsChild>
        </w:div>
        <w:div w:id="1716537240">
          <w:marLeft w:val="0"/>
          <w:marRight w:val="0"/>
          <w:marTop w:val="0"/>
          <w:marBottom w:val="0"/>
          <w:divBdr>
            <w:top w:val="none" w:sz="0" w:space="0" w:color="auto"/>
            <w:left w:val="none" w:sz="0" w:space="0" w:color="auto"/>
            <w:bottom w:val="none" w:sz="0" w:space="0" w:color="auto"/>
            <w:right w:val="none" w:sz="0" w:space="0" w:color="auto"/>
          </w:divBdr>
          <w:divsChild>
            <w:div w:id="329916114">
              <w:marLeft w:val="0"/>
              <w:marRight w:val="0"/>
              <w:marTop w:val="0"/>
              <w:marBottom w:val="0"/>
              <w:divBdr>
                <w:top w:val="none" w:sz="0" w:space="0" w:color="auto"/>
                <w:left w:val="none" w:sz="0" w:space="0" w:color="auto"/>
                <w:bottom w:val="none" w:sz="0" w:space="0" w:color="auto"/>
                <w:right w:val="none" w:sz="0" w:space="0" w:color="auto"/>
              </w:divBdr>
            </w:div>
          </w:divsChild>
        </w:div>
        <w:div w:id="1727755379">
          <w:marLeft w:val="0"/>
          <w:marRight w:val="0"/>
          <w:marTop w:val="0"/>
          <w:marBottom w:val="0"/>
          <w:divBdr>
            <w:top w:val="none" w:sz="0" w:space="0" w:color="auto"/>
            <w:left w:val="none" w:sz="0" w:space="0" w:color="auto"/>
            <w:bottom w:val="none" w:sz="0" w:space="0" w:color="auto"/>
            <w:right w:val="none" w:sz="0" w:space="0" w:color="auto"/>
          </w:divBdr>
          <w:divsChild>
            <w:div w:id="916282797">
              <w:marLeft w:val="0"/>
              <w:marRight w:val="0"/>
              <w:marTop w:val="0"/>
              <w:marBottom w:val="0"/>
              <w:divBdr>
                <w:top w:val="none" w:sz="0" w:space="0" w:color="auto"/>
                <w:left w:val="none" w:sz="0" w:space="0" w:color="auto"/>
                <w:bottom w:val="none" w:sz="0" w:space="0" w:color="auto"/>
                <w:right w:val="none" w:sz="0" w:space="0" w:color="auto"/>
              </w:divBdr>
            </w:div>
          </w:divsChild>
        </w:div>
        <w:div w:id="1733313199">
          <w:marLeft w:val="0"/>
          <w:marRight w:val="0"/>
          <w:marTop w:val="0"/>
          <w:marBottom w:val="0"/>
          <w:divBdr>
            <w:top w:val="none" w:sz="0" w:space="0" w:color="auto"/>
            <w:left w:val="none" w:sz="0" w:space="0" w:color="auto"/>
            <w:bottom w:val="none" w:sz="0" w:space="0" w:color="auto"/>
            <w:right w:val="none" w:sz="0" w:space="0" w:color="auto"/>
          </w:divBdr>
          <w:divsChild>
            <w:div w:id="1461463159">
              <w:marLeft w:val="0"/>
              <w:marRight w:val="0"/>
              <w:marTop w:val="0"/>
              <w:marBottom w:val="0"/>
              <w:divBdr>
                <w:top w:val="none" w:sz="0" w:space="0" w:color="auto"/>
                <w:left w:val="none" w:sz="0" w:space="0" w:color="auto"/>
                <w:bottom w:val="none" w:sz="0" w:space="0" w:color="auto"/>
                <w:right w:val="none" w:sz="0" w:space="0" w:color="auto"/>
              </w:divBdr>
            </w:div>
          </w:divsChild>
        </w:div>
        <w:div w:id="1751273988">
          <w:marLeft w:val="0"/>
          <w:marRight w:val="0"/>
          <w:marTop w:val="0"/>
          <w:marBottom w:val="0"/>
          <w:divBdr>
            <w:top w:val="none" w:sz="0" w:space="0" w:color="auto"/>
            <w:left w:val="none" w:sz="0" w:space="0" w:color="auto"/>
            <w:bottom w:val="none" w:sz="0" w:space="0" w:color="auto"/>
            <w:right w:val="none" w:sz="0" w:space="0" w:color="auto"/>
          </w:divBdr>
          <w:divsChild>
            <w:div w:id="672878303">
              <w:marLeft w:val="0"/>
              <w:marRight w:val="0"/>
              <w:marTop w:val="0"/>
              <w:marBottom w:val="0"/>
              <w:divBdr>
                <w:top w:val="none" w:sz="0" w:space="0" w:color="auto"/>
                <w:left w:val="none" w:sz="0" w:space="0" w:color="auto"/>
                <w:bottom w:val="none" w:sz="0" w:space="0" w:color="auto"/>
                <w:right w:val="none" w:sz="0" w:space="0" w:color="auto"/>
              </w:divBdr>
            </w:div>
          </w:divsChild>
        </w:div>
        <w:div w:id="1811707537">
          <w:marLeft w:val="0"/>
          <w:marRight w:val="0"/>
          <w:marTop w:val="0"/>
          <w:marBottom w:val="0"/>
          <w:divBdr>
            <w:top w:val="none" w:sz="0" w:space="0" w:color="auto"/>
            <w:left w:val="none" w:sz="0" w:space="0" w:color="auto"/>
            <w:bottom w:val="none" w:sz="0" w:space="0" w:color="auto"/>
            <w:right w:val="none" w:sz="0" w:space="0" w:color="auto"/>
          </w:divBdr>
          <w:divsChild>
            <w:div w:id="85032208">
              <w:marLeft w:val="0"/>
              <w:marRight w:val="0"/>
              <w:marTop w:val="0"/>
              <w:marBottom w:val="0"/>
              <w:divBdr>
                <w:top w:val="none" w:sz="0" w:space="0" w:color="auto"/>
                <w:left w:val="none" w:sz="0" w:space="0" w:color="auto"/>
                <w:bottom w:val="none" w:sz="0" w:space="0" w:color="auto"/>
                <w:right w:val="none" w:sz="0" w:space="0" w:color="auto"/>
              </w:divBdr>
            </w:div>
          </w:divsChild>
        </w:div>
        <w:div w:id="1815828812">
          <w:marLeft w:val="0"/>
          <w:marRight w:val="0"/>
          <w:marTop w:val="0"/>
          <w:marBottom w:val="0"/>
          <w:divBdr>
            <w:top w:val="none" w:sz="0" w:space="0" w:color="auto"/>
            <w:left w:val="none" w:sz="0" w:space="0" w:color="auto"/>
            <w:bottom w:val="none" w:sz="0" w:space="0" w:color="auto"/>
            <w:right w:val="none" w:sz="0" w:space="0" w:color="auto"/>
          </w:divBdr>
          <w:divsChild>
            <w:div w:id="2129548660">
              <w:marLeft w:val="0"/>
              <w:marRight w:val="0"/>
              <w:marTop w:val="0"/>
              <w:marBottom w:val="0"/>
              <w:divBdr>
                <w:top w:val="none" w:sz="0" w:space="0" w:color="auto"/>
                <w:left w:val="none" w:sz="0" w:space="0" w:color="auto"/>
                <w:bottom w:val="none" w:sz="0" w:space="0" w:color="auto"/>
                <w:right w:val="none" w:sz="0" w:space="0" w:color="auto"/>
              </w:divBdr>
            </w:div>
          </w:divsChild>
        </w:div>
        <w:div w:id="1825319747">
          <w:marLeft w:val="0"/>
          <w:marRight w:val="0"/>
          <w:marTop w:val="0"/>
          <w:marBottom w:val="0"/>
          <w:divBdr>
            <w:top w:val="none" w:sz="0" w:space="0" w:color="auto"/>
            <w:left w:val="none" w:sz="0" w:space="0" w:color="auto"/>
            <w:bottom w:val="none" w:sz="0" w:space="0" w:color="auto"/>
            <w:right w:val="none" w:sz="0" w:space="0" w:color="auto"/>
          </w:divBdr>
          <w:divsChild>
            <w:div w:id="2008513597">
              <w:marLeft w:val="0"/>
              <w:marRight w:val="0"/>
              <w:marTop w:val="0"/>
              <w:marBottom w:val="0"/>
              <w:divBdr>
                <w:top w:val="none" w:sz="0" w:space="0" w:color="auto"/>
                <w:left w:val="none" w:sz="0" w:space="0" w:color="auto"/>
                <w:bottom w:val="none" w:sz="0" w:space="0" w:color="auto"/>
                <w:right w:val="none" w:sz="0" w:space="0" w:color="auto"/>
              </w:divBdr>
            </w:div>
          </w:divsChild>
        </w:div>
        <w:div w:id="1831100035">
          <w:marLeft w:val="0"/>
          <w:marRight w:val="0"/>
          <w:marTop w:val="0"/>
          <w:marBottom w:val="0"/>
          <w:divBdr>
            <w:top w:val="none" w:sz="0" w:space="0" w:color="auto"/>
            <w:left w:val="none" w:sz="0" w:space="0" w:color="auto"/>
            <w:bottom w:val="none" w:sz="0" w:space="0" w:color="auto"/>
            <w:right w:val="none" w:sz="0" w:space="0" w:color="auto"/>
          </w:divBdr>
          <w:divsChild>
            <w:div w:id="1002509887">
              <w:marLeft w:val="0"/>
              <w:marRight w:val="0"/>
              <w:marTop w:val="0"/>
              <w:marBottom w:val="0"/>
              <w:divBdr>
                <w:top w:val="none" w:sz="0" w:space="0" w:color="auto"/>
                <w:left w:val="none" w:sz="0" w:space="0" w:color="auto"/>
                <w:bottom w:val="none" w:sz="0" w:space="0" w:color="auto"/>
                <w:right w:val="none" w:sz="0" w:space="0" w:color="auto"/>
              </w:divBdr>
            </w:div>
          </w:divsChild>
        </w:div>
        <w:div w:id="1849907870">
          <w:marLeft w:val="0"/>
          <w:marRight w:val="0"/>
          <w:marTop w:val="0"/>
          <w:marBottom w:val="0"/>
          <w:divBdr>
            <w:top w:val="none" w:sz="0" w:space="0" w:color="auto"/>
            <w:left w:val="none" w:sz="0" w:space="0" w:color="auto"/>
            <w:bottom w:val="none" w:sz="0" w:space="0" w:color="auto"/>
            <w:right w:val="none" w:sz="0" w:space="0" w:color="auto"/>
          </w:divBdr>
          <w:divsChild>
            <w:div w:id="465859972">
              <w:marLeft w:val="0"/>
              <w:marRight w:val="0"/>
              <w:marTop w:val="0"/>
              <w:marBottom w:val="0"/>
              <w:divBdr>
                <w:top w:val="none" w:sz="0" w:space="0" w:color="auto"/>
                <w:left w:val="none" w:sz="0" w:space="0" w:color="auto"/>
                <w:bottom w:val="none" w:sz="0" w:space="0" w:color="auto"/>
                <w:right w:val="none" w:sz="0" w:space="0" w:color="auto"/>
              </w:divBdr>
            </w:div>
          </w:divsChild>
        </w:div>
        <w:div w:id="1904561739">
          <w:marLeft w:val="0"/>
          <w:marRight w:val="0"/>
          <w:marTop w:val="0"/>
          <w:marBottom w:val="0"/>
          <w:divBdr>
            <w:top w:val="none" w:sz="0" w:space="0" w:color="auto"/>
            <w:left w:val="none" w:sz="0" w:space="0" w:color="auto"/>
            <w:bottom w:val="none" w:sz="0" w:space="0" w:color="auto"/>
            <w:right w:val="none" w:sz="0" w:space="0" w:color="auto"/>
          </w:divBdr>
          <w:divsChild>
            <w:div w:id="1814788167">
              <w:marLeft w:val="0"/>
              <w:marRight w:val="0"/>
              <w:marTop w:val="0"/>
              <w:marBottom w:val="0"/>
              <w:divBdr>
                <w:top w:val="none" w:sz="0" w:space="0" w:color="auto"/>
                <w:left w:val="none" w:sz="0" w:space="0" w:color="auto"/>
                <w:bottom w:val="none" w:sz="0" w:space="0" w:color="auto"/>
                <w:right w:val="none" w:sz="0" w:space="0" w:color="auto"/>
              </w:divBdr>
            </w:div>
          </w:divsChild>
        </w:div>
        <w:div w:id="1939292256">
          <w:marLeft w:val="0"/>
          <w:marRight w:val="0"/>
          <w:marTop w:val="0"/>
          <w:marBottom w:val="0"/>
          <w:divBdr>
            <w:top w:val="none" w:sz="0" w:space="0" w:color="auto"/>
            <w:left w:val="none" w:sz="0" w:space="0" w:color="auto"/>
            <w:bottom w:val="none" w:sz="0" w:space="0" w:color="auto"/>
            <w:right w:val="none" w:sz="0" w:space="0" w:color="auto"/>
          </w:divBdr>
          <w:divsChild>
            <w:div w:id="1895655107">
              <w:marLeft w:val="0"/>
              <w:marRight w:val="0"/>
              <w:marTop w:val="0"/>
              <w:marBottom w:val="0"/>
              <w:divBdr>
                <w:top w:val="none" w:sz="0" w:space="0" w:color="auto"/>
                <w:left w:val="none" w:sz="0" w:space="0" w:color="auto"/>
                <w:bottom w:val="none" w:sz="0" w:space="0" w:color="auto"/>
                <w:right w:val="none" w:sz="0" w:space="0" w:color="auto"/>
              </w:divBdr>
            </w:div>
          </w:divsChild>
        </w:div>
        <w:div w:id="1964067747">
          <w:marLeft w:val="0"/>
          <w:marRight w:val="0"/>
          <w:marTop w:val="0"/>
          <w:marBottom w:val="0"/>
          <w:divBdr>
            <w:top w:val="none" w:sz="0" w:space="0" w:color="auto"/>
            <w:left w:val="none" w:sz="0" w:space="0" w:color="auto"/>
            <w:bottom w:val="none" w:sz="0" w:space="0" w:color="auto"/>
            <w:right w:val="none" w:sz="0" w:space="0" w:color="auto"/>
          </w:divBdr>
          <w:divsChild>
            <w:div w:id="1272206048">
              <w:marLeft w:val="0"/>
              <w:marRight w:val="0"/>
              <w:marTop w:val="0"/>
              <w:marBottom w:val="0"/>
              <w:divBdr>
                <w:top w:val="none" w:sz="0" w:space="0" w:color="auto"/>
                <w:left w:val="none" w:sz="0" w:space="0" w:color="auto"/>
                <w:bottom w:val="none" w:sz="0" w:space="0" w:color="auto"/>
                <w:right w:val="none" w:sz="0" w:space="0" w:color="auto"/>
              </w:divBdr>
            </w:div>
          </w:divsChild>
        </w:div>
        <w:div w:id="1982493329">
          <w:marLeft w:val="0"/>
          <w:marRight w:val="0"/>
          <w:marTop w:val="0"/>
          <w:marBottom w:val="0"/>
          <w:divBdr>
            <w:top w:val="none" w:sz="0" w:space="0" w:color="auto"/>
            <w:left w:val="none" w:sz="0" w:space="0" w:color="auto"/>
            <w:bottom w:val="none" w:sz="0" w:space="0" w:color="auto"/>
            <w:right w:val="none" w:sz="0" w:space="0" w:color="auto"/>
          </w:divBdr>
          <w:divsChild>
            <w:div w:id="984889975">
              <w:marLeft w:val="0"/>
              <w:marRight w:val="0"/>
              <w:marTop w:val="0"/>
              <w:marBottom w:val="0"/>
              <w:divBdr>
                <w:top w:val="none" w:sz="0" w:space="0" w:color="auto"/>
                <w:left w:val="none" w:sz="0" w:space="0" w:color="auto"/>
                <w:bottom w:val="none" w:sz="0" w:space="0" w:color="auto"/>
                <w:right w:val="none" w:sz="0" w:space="0" w:color="auto"/>
              </w:divBdr>
            </w:div>
          </w:divsChild>
        </w:div>
        <w:div w:id="1983000887">
          <w:marLeft w:val="0"/>
          <w:marRight w:val="0"/>
          <w:marTop w:val="0"/>
          <w:marBottom w:val="0"/>
          <w:divBdr>
            <w:top w:val="none" w:sz="0" w:space="0" w:color="auto"/>
            <w:left w:val="none" w:sz="0" w:space="0" w:color="auto"/>
            <w:bottom w:val="none" w:sz="0" w:space="0" w:color="auto"/>
            <w:right w:val="none" w:sz="0" w:space="0" w:color="auto"/>
          </w:divBdr>
          <w:divsChild>
            <w:div w:id="1881431590">
              <w:marLeft w:val="0"/>
              <w:marRight w:val="0"/>
              <w:marTop w:val="0"/>
              <w:marBottom w:val="0"/>
              <w:divBdr>
                <w:top w:val="none" w:sz="0" w:space="0" w:color="auto"/>
                <w:left w:val="none" w:sz="0" w:space="0" w:color="auto"/>
                <w:bottom w:val="none" w:sz="0" w:space="0" w:color="auto"/>
                <w:right w:val="none" w:sz="0" w:space="0" w:color="auto"/>
              </w:divBdr>
            </w:div>
          </w:divsChild>
        </w:div>
        <w:div w:id="2034263766">
          <w:marLeft w:val="0"/>
          <w:marRight w:val="0"/>
          <w:marTop w:val="0"/>
          <w:marBottom w:val="0"/>
          <w:divBdr>
            <w:top w:val="none" w:sz="0" w:space="0" w:color="auto"/>
            <w:left w:val="none" w:sz="0" w:space="0" w:color="auto"/>
            <w:bottom w:val="none" w:sz="0" w:space="0" w:color="auto"/>
            <w:right w:val="none" w:sz="0" w:space="0" w:color="auto"/>
          </w:divBdr>
          <w:divsChild>
            <w:div w:id="858543326">
              <w:marLeft w:val="0"/>
              <w:marRight w:val="0"/>
              <w:marTop w:val="0"/>
              <w:marBottom w:val="0"/>
              <w:divBdr>
                <w:top w:val="none" w:sz="0" w:space="0" w:color="auto"/>
                <w:left w:val="none" w:sz="0" w:space="0" w:color="auto"/>
                <w:bottom w:val="none" w:sz="0" w:space="0" w:color="auto"/>
                <w:right w:val="none" w:sz="0" w:space="0" w:color="auto"/>
              </w:divBdr>
            </w:div>
          </w:divsChild>
        </w:div>
        <w:div w:id="2038265948">
          <w:marLeft w:val="0"/>
          <w:marRight w:val="0"/>
          <w:marTop w:val="0"/>
          <w:marBottom w:val="0"/>
          <w:divBdr>
            <w:top w:val="none" w:sz="0" w:space="0" w:color="auto"/>
            <w:left w:val="none" w:sz="0" w:space="0" w:color="auto"/>
            <w:bottom w:val="none" w:sz="0" w:space="0" w:color="auto"/>
            <w:right w:val="none" w:sz="0" w:space="0" w:color="auto"/>
          </w:divBdr>
          <w:divsChild>
            <w:div w:id="428739147">
              <w:marLeft w:val="0"/>
              <w:marRight w:val="0"/>
              <w:marTop w:val="0"/>
              <w:marBottom w:val="0"/>
              <w:divBdr>
                <w:top w:val="none" w:sz="0" w:space="0" w:color="auto"/>
                <w:left w:val="none" w:sz="0" w:space="0" w:color="auto"/>
                <w:bottom w:val="none" w:sz="0" w:space="0" w:color="auto"/>
                <w:right w:val="none" w:sz="0" w:space="0" w:color="auto"/>
              </w:divBdr>
            </w:div>
          </w:divsChild>
        </w:div>
        <w:div w:id="2041120953">
          <w:marLeft w:val="0"/>
          <w:marRight w:val="0"/>
          <w:marTop w:val="0"/>
          <w:marBottom w:val="0"/>
          <w:divBdr>
            <w:top w:val="none" w:sz="0" w:space="0" w:color="auto"/>
            <w:left w:val="none" w:sz="0" w:space="0" w:color="auto"/>
            <w:bottom w:val="none" w:sz="0" w:space="0" w:color="auto"/>
            <w:right w:val="none" w:sz="0" w:space="0" w:color="auto"/>
          </w:divBdr>
          <w:divsChild>
            <w:div w:id="2038505207">
              <w:marLeft w:val="0"/>
              <w:marRight w:val="0"/>
              <w:marTop w:val="0"/>
              <w:marBottom w:val="0"/>
              <w:divBdr>
                <w:top w:val="none" w:sz="0" w:space="0" w:color="auto"/>
                <w:left w:val="none" w:sz="0" w:space="0" w:color="auto"/>
                <w:bottom w:val="none" w:sz="0" w:space="0" w:color="auto"/>
                <w:right w:val="none" w:sz="0" w:space="0" w:color="auto"/>
              </w:divBdr>
            </w:div>
          </w:divsChild>
        </w:div>
        <w:div w:id="2072462537">
          <w:marLeft w:val="0"/>
          <w:marRight w:val="0"/>
          <w:marTop w:val="0"/>
          <w:marBottom w:val="0"/>
          <w:divBdr>
            <w:top w:val="none" w:sz="0" w:space="0" w:color="auto"/>
            <w:left w:val="none" w:sz="0" w:space="0" w:color="auto"/>
            <w:bottom w:val="none" w:sz="0" w:space="0" w:color="auto"/>
            <w:right w:val="none" w:sz="0" w:space="0" w:color="auto"/>
          </w:divBdr>
          <w:divsChild>
            <w:div w:id="1256328733">
              <w:marLeft w:val="0"/>
              <w:marRight w:val="0"/>
              <w:marTop w:val="0"/>
              <w:marBottom w:val="0"/>
              <w:divBdr>
                <w:top w:val="none" w:sz="0" w:space="0" w:color="auto"/>
                <w:left w:val="none" w:sz="0" w:space="0" w:color="auto"/>
                <w:bottom w:val="none" w:sz="0" w:space="0" w:color="auto"/>
                <w:right w:val="none" w:sz="0" w:space="0" w:color="auto"/>
              </w:divBdr>
            </w:div>
          </w:divsChild>
        </w:div>
        <w:div w:id="2078747088">
          <w:marLeft w:val="0"/>
          <w:marRight w:val="0"/>
          <w:marTop w:val="0"/>
          <w:marBottom w:val="0"/>
          <w:divBdr>
            <w:top w:val="none" w:sz="0" w:space="0" w:color="auto"/>
            <w:left w:val="none" w:sz="0" w:space="0" w:color="auto"/>
            <w:bottom w:val="none" w:sz="0" w:space="0" w:color="auto"/>
            <w:right w:val="none" w:sz="0" w:space="0" w:color="auto"/>
          </w:divBdr>
          <w:divsChild>
            <w:div w:id="1986809504">
              <w:marLeft w:val="0"/>
              <w:marRight w:val="0"/>
              <w:marTop w:val="0"/>
              <w:marBottom w:val="0"/>
              <w:divBdr>
                <w:top w:val="none" w:sz="0" w:space="0" w:color="auto"/>
                <w:left w:val="none" w:sz="0" w:space="0" w:color="auto"/>
                <w:bottom w:val="none" w:sz="0" w:space="0" w:color="auto"/>
                <w:right w:val="none" w:sz="0" w:space="0" w:color="auto"/>
              </w:divBdr>
            </w:div>
          </w:divsChild>
        </w:div>
        <w:div w:id="2082437259">
          <w:marLeft w:val="0"/>
          <w:marRight w:val="0"/>
          <w:marTop w:val="0"/>
          <w:marBottom w:val="0"/>
          <w:divBdr>
            <w:top w:val="none" w:sz="0" w:space="0" w:color="auto"/>
            <w:left w:val="none" w:sz="0" w:space="0" w:color="auto"/>
            <w:bottom w:val="none" w:sz="0" w:space="0" w:color="auto"/>
            <w:right w:val="none" w:sz="0" w:space="0" w:color="auto"/>
          </w:divBdr>
          <w:divsChild>
            <w:div w:id="1661494749">
              <w:marLeft w:val="0"/>
              <w:marRight w:val="0"/>
              <w:marTop w:val="0"/>
              <w:marBottom w:val="0"/>
              <w:divBdr>
                <w:top w:val="none" w:sz="0" w:space="0" w:color="auto"/>
                <w:left w:val="none" w:sz="0" w:space="0" w:color="auto"/>
                <w:bottom w:val="none" w:sz="0" w:space="0" w:color="auto"/>
                <w:right w:val="none" w:sz="0" w:space="0" w:color="auto"/>
              </w:divBdr>
            </w:div>
          </w:divsChild>
        </w:div>
        <w:div w:id="2084639559">
          <w:marLeft w:val="0"/>
          <w:marRight w:val="0"/>
          <w:marTop w:val="0"/>
          <w:marBottom w:val="0"/>
          <w:divBdr>
            <w:top w:val="none" w:sz="0" w:space="0" w:color="auto"/>
            <w:left w:val="none" w:sz="0" w:space="0" w:color="auto"/>
            <w:bottom w:val="none" w:sz="0" w:space="0" w:color="auto"/>
            <w:right w:val="none" w:sz="0" w:space="0" w:color="auto"/>
          </w:divBdr>
          <w:divsChild>
            <w:div w:id="2140876369">
              <w:marLeft w:val="0"/>
              <w:marRight w:val="0"/>
              <w:marTop w:val="0"/>
              <w:marBottom w:val="0"/>
              <w:divBdr>
                <w:top w:val="none" w:sz="0" w:space="0" w:color="auto"/>
                <w:left w:val="none" w:sz="0" w:space="0" w:color="auto"/>
                <w:bottom w:val="none" w:sz="0" w:space="0" w:color="auto"/>
                <w:right w:val="none" w:sz="0" w:space="0" w:color="auto"/>
              </w:divBdr>
            </w:div>
          </w:divsChild>
        </w:div>
        <w:div w:id="2098286214">
          <w:marLeft w:val="0"/>
          <w:marRight w:val="0"/>
          <w:marTop w:val="0"/>
          <w:marBottom w:val="0"/>
          <w:divBdr>
            <w:top w:val="none" w:sz="0" w:space="0" w:color="auto"/>
            <w:left w:val="none" w:sz="0" w:space="0" w:color="auto"/>
            <w:bottom w:val="none" w:sz="0" w:space="0" w:color="auto"/>
            <w:right w:val="none" w:sz="0" w:space="0" w:color="auto"/>
          </w:divBdr>
          <w:divsChild>
            <w:div w:id="1114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2083">
      <w:bodyDiv w:val="1"/>
      <w:marLeft w:val="0"/>
      <w:marRight w:val="0"/>
      <w:marTop w:val="0"/>
      <w:marBottom w:val="0"/>
      <w:divBdr>
        <w:top w:val="none" w:sz="0" w:space="0" w:color="auto"/>
        <w:left w:val="none" w:sz="0" w:space="0" w:color="auto"/>
        <w:bottom w:val="none" w:sz="0" w:space="0" w:color="auto"/>
        <w:right w:val="none" w:sz="0" w:space="0" w:color="auto"/>
      </w:divBdr>
      <w:divsChild>
        <w:div w:id="1151483471">
          <w:marLeft w:val="0"/>
          <w:marRight w:val="0"/>
          <w:marTop w:val="0"/>
          <w:marBottom w:val="0"/>
          <w:divBdr>
            <w:top w:val="none" w:sz="0" w:space="0" w:color="auto"/>
            <w:left w:val="none" w:sz="0" w:space="0" w:color="auto"/>
            <w:bottom w:val="none" w:sz="0" w:space="0" w:color="auto"/>
            <w:right w:val="none" w:sz="0" w:space="0" w:color="auto"/>
          </w:divBdr>
        </w:div>
        <w:div w:id="1219901351">
          <w:marLeft w:val="0"/>
          <w:marRight w:val="0"/>
          <w:marTop w:val="0"/>
          <w:marBottom w:val="0"/>
          <w:divBdr>
            <w:top w:val="none" w:sz="0" w:space="0" w:color="auto"/>
            <w:left w:val="none" w:sz="0" w:space="0" w:color="auto"/>
            <w:bottom w:val="none" w:sz="0" w:space="0" w:color="auto"/>
            <w:right w:val="none" w:sz="0" w:space="0" w:color="auto"/>
          </w:divBdr>
        </w:div>
        <w:div w:id="1576934347">
          <w:marLeft w:val="0"/>
          <w:marRight w:val="0"/>
          <w:marTop w:val="0"/>
          <w:marBottom w:val="0"/>
          <w:divBdr>
            <w:top w:val="none" w:sz="0" w:space="0" w:color="auto"/>
            <w:left w:val="none" w:sz="0" w:space="0" w:color="auto"/>
            <w:bottom w:val="none" w:sz="0" w:space="0" w:color="auto"/>
            <w:right w:val="none" w:sz="0" w:space="0" w:color="auto"/>
          </w:divBdr>
        </w:div>
        <w:div w:id="1970549999">
          <w:marLeft w:val="0"/>
          <w:marRight w:val="0"/>
          <w:marTop w:val="0"/>
          <w:marBottom w:val="0"/>
          <w:divBdr>
            <w:top w:val="none" w:sz="0" w:space="0" w:color="auto"/>
            <w:left w:val="none" w:sz="0" w:space="0" w:color="auto"/>
            <w:bottom w:val="none" w:sz="0" w:space="0" w:color="auto"/>
            <w:right w:val="none" w:sz="0" w:space="0" w:color="auto"/>
          </w:divBdr>
        </w:div>
        <w:div w:id="205299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B64288F1D6D4C4E92CE7F3B060BFC6F" ma:contentTypeVersion="8" ma:contentTypeDescription="Create a new document." ma:contentTypeScope="" ma:versionID="6eca4ac00b60e810cad836046cd3d866">
  <xsd:schema xmlns:xsd="http://www.w3.org/2001/XMLSchema" xmlns:xs="http://www.w3.org/2001/XMLSchema" xmlns:p="http://schemas.microsoft.com/office/2006/metadata/properties" xmlns:ns2="4e3d4f4a-293d-4e01-bb54-04fe43c01727" xmlns:ns3="f82d840a-1177-4ffa-8fbe-be1403a23dec" targetNamespace="http://schemas.microsoft.com/office/2006/metadata/properties" ma:root="true" ma:fieldsID="4e95bfa052f5e71971a2a6241a7b81bf" ns2:_="" ns3:_="">
    <xsd:import namespace="4e3d4f4a-293d-4e01-bb54-04fe43c01727"/>
    <xsd:import namespace="f82d840a-1177-4ffa-8fbe-be1403a23de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d4f4a-293d-4e01-bb54-04fe43c017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2d840a-1177-4ffa-8fbe-be1403a23d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e3d4f4a-293d-4e01-bb54-04fe43c01727">QV4JDC2ZFSY2-247777782-27615</_dlc_DocId>
    <_dlc_DocIdUrl xmlns="4e3d4f4a-293d-4e01-bb54-04fe43c01727">
      <Url>https://ipagov.sharepoint.com/sites/Policy/_layouts/15/DocIdRedir.aspx?ID=QV4JDC2ZFSY2-247777782-27615</Url>
      <Description>QV4JDC2ZFSY2-247777782-27615</Description>
    </_dlc_DocIdUrl>
    <SharedWithUsers xmlns="4e3d4f4a-293d-4e01-bb54-04fe43c01727">
      <UserInfo>
        <DisplayName>Dominic Dao</DisplayName>
        <AccountId>14279</AccountId>
        <AccountType/>
      </UserInfo>
      <UserInfo>
        <DisplayName>Bernadine Caruana</DisplayName>
        <AccountId>44</AccountId>
        <AccountType/>
      </UserInfo>
      <UserInfo>
        <DisplayName>Jo Fernandes</DisplayName>
        <AccountId>14857</AccountId>
        <AccountType/>
      </UserInfo>
      <UserInfo>
        <DisplayName>Michelle Miller</DisplayName>
        <AccountId>174</AccountId>
        <AccountType/>
      </UserInfo>
      <UserInfo>
        <DisplayName>George Vuckovic</DisplayName>
        <AccountId>23895</AccountId>
        <AccountType/>
      </UserInfo>
      <UserInfo>
        <DisplayName>Fynbar Wagner</DisplayName>
        <AccountId>63</AccountId>
        <AccountType/>
      </UserInfo>
      <UserInfo>
        <DisplayName>Kim Duong</DisplayName>
        <AccountId>5761</AccountId>
        <AccountType/>
      </UserInfo>
      <UserInfo>
        <DisplayName>Belinda Saunders</DisplayName>
        <AccountId>7568</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C72BD-233A-4916-9848-A3A277F2B85B}">
  <ds:schemaRefs>
    <ds:schemaRef ds:uri="http://schemas.microsoft.com/sharepoint/events"/>
  </ds:schemaRefs>
</ds:datastoreItem>
</file>

<file path=customXml/itemProps2.xml><?xml version="1.0" encoding="utf-8"?>
<ds:datastoreItem xmlns:ds="http://schemas.openxmlformats.org/officeDocument/2006/customXml" ds:itemID="{DCF07BE7-D63E-46BA-81AD-C88E32DC4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d4f4a-293d-4e01-bb54-04fe43c01727"/>
    <ds:schemaRef ds:uri="f82d840a-1177-4ffa-8fbe-be1403a23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B4559-0D53-498A-B84A-4AF363B1ED40}">
  <ds:schemaRefs>
    <ds:schemaRef ds:uri="http://schemas.openxmlformats.org/officeDocument/2006/bibliography"/>
  </ds:schemaRefs>
</ds:datastoreItem>
</file>

<file path=customXml/itemProps4.xml><?xml version="1.0" encoding="utf-8"?>
<ds:datastoreItem xmlns:ds="http://schemas.openxmlformats.org/officeDocument/2006/customXml" ds:itemID="{CA5F3C31-598A-4BF9-AD5D-9EA179DC7A55}">
  <ds:schemaRefs>
    <ds:schemaRef ds:uri="http://purl.org/dc/dcmitype/"/>
    <ds:schemaRef ds:uri="4e3d4f4a-293d-4e01-bb54-04fe43c01727"/>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f82d840a-1177-4ffa-8fbe-be1403a23dec"/>
  </ds:schemaRefs>
</ds:datastoreItem>
</file>

<file path=customXml/itemProps5.xml><?xml version="1.0" encoding="utf-8"?>
<ds:datastoreItem xmlns:ds="http://schemas.openxmlformats.org/officeDocument/2006/customXml" ds:itemID="{35B17FFE-BC48-4593-8C73-E6828F22F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21597</Words>
  <Characters>123105</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2024-08-30T05:43:00Z</dcterms:created>
  <dcterms:modified xsi:type="dcterms:W3CDTF">2024-08-30T05:47:00Z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 Sensitive//Legislative-Secrecy</vt:lpwstr>
  </property>
  <property fmtid="{D5CDD505-2E9C-101B-9397-08002B2CF9AE}" pid="3" name="Order">
    <vt:r8>2566000</vt:r8>
  </property>
  <property fmtid="{D5CDD505-2E9C-101B-9397-08002B2CF9AE}" pid="4" name="MSIP_Label_fe3af156-2c97-424d-8c0a-103a41b705a1_ActionId">
    <vt:lpwstr>fabbfa24-e96b-49f7-936d-15d0334e8502</vt:lpwstr>
  </property>
  <property fmtid="{D5CDD505-2E9C-101B-9397-08002B2CF9AE}" pid="5" name="ClassificationContentMarkingHeaderText">
    <vt:lpwstr>OFFICIAL: Sensitive//Legislative-Secrecy</vt:lpwstr>
  </property>
  <property fmtid="{D5CDD505-2E9C-101B-9397-08002B2CF9AE}" pid="6" name="xd_ProgID">
    <vt:lpwstr/>
  </property>
  <property fmtid="{D5CDD505-2E9C-101B-9397-08002B2CF9AE}" pid="7" name="MediaServiceImageTags">
    <vt:lpwstr/>
  </property>
  <property fmtid="{D5CDD505-2E9C-101B-9397-08002B2CF9AE}" pid="8" name="ContentTypeId">
    <vt:lpwstr>0x0101007B64288F1D6D4C4E92CE7F3B060BFC6F</vt:lpwstr>
  </property>
  <property fmtid="{D5CDD505-2E9C-101B-9397-08002B2CF9AE}" pid="9" name="ComplianceAssetId">
    <vt:lpwstr/>
  </property>
  <property fmtid="{D5CDD505-2E9C-101B-9397-08002B2CF9AE}" pid="10" name="MSIP_Label_fe3af156-2c97-424d-8c0a-103a41b705a1_Enabled">
    <vt:lpwstr>true</vt:lpwstr>
  </property>
  <property fmtid="{D5CDD505-2E9C-101B-9397-08002B2CF9AE}" pid="11" name="TemplateUrl">
    <vt:lpwstr/>
  </property>
  <property fmtid="{D5CDD505-2E9C-101B-9397-08002B2CF9AE}" pid="12" name="ClassificationContentMarkingHeaderFontProps">
    <vt:lpwstr>#ff0000,12,Calibri</vt:lpwstr>
  </property>
  <property fmtid="{D5CDD505-2E9C-101B-9397-08002B2CF9AE}" pid="13" name="_dlc_DocIdItemGuid">
    <vt:lpwstr>bf18f22d-8f48-475d-be12-be45a7ce988e</vt:lpwstr>
  </property>
  <property fmtid="{D5CDD505-2E9C-101B-9397-08002B2CF9AE}" pid="14" name="MSIP_Label_fe3af156-2c97-424d-8c0a-103a41b705a1_Name">
    <vt:lpwstr>OFFICIAL Sensitive Legislative Secrecy v2</vt:lpwstr>
  </property>
  <property fmtid="{D5CDD505-2E9C-101B-9397-08002B2CF9AE}" pid="15" name="_ExtendedDescription">
    <vt:lpwstr/>
  </property>
  <property fmtid="{D5CDD505-2E9C-101B-9397-08002B2CF9AE}" pid="16" name="MSIP_Label_fe3af156-2c97-424d-8c0a-103a41b705a1_SiteId">
    <vt:lpwstr>1eae4a1d-fcf5-4be9-81d4-b60976404837</vt:lpwstr>
  </property>
  <property fmtid="{D5CDD505-2E9C-101B-9397-08002B2CF9AE}" pid="17" name="MSIP_Label_fe3af156-2c97-424d-8c0a-103a41b705a1_Method">
    <vt:lpwstr>Privileged</vt:lpwstr>
  </property>
  <property fmtid="{D5CDD505-2E9C-101B-9397-08002B2CF9AE}" pid="18" name="TriggerFlowInfo">
    <vt:lpwstr/>
  </property>
  <property fmtid="{D5CDD505-2E9C-101B-9397-08002B2CF9AE}" pid="19" name="MSIP_Label_fe3af156-2c97-424d-8c0a-103a41b705a1_SetDate">
    <vt:lpwstr>2024-07-24T03:29:31Z</vt:lpwstr>
  </property>
  <property fmtid="{D5CDD505-2E9C-101B-9397-08002B2CF9AE}" pid="20" name="MSIP_Label_fe3af156-2c97-424d-8c0a-103a41b705a1_ContentBits">
    <vt:lpwstr>3</vt:lpwstr>
  </property>
  <property fmtid="{D5CDD505-2E9C-101B-9397-08002B2CF9AE}" pid="21" name="ClassificationContentMarkingFooterShapeIds">
    <vt:lpwstr>595de194,6eb0f480,2d887377</vt:lpwstr>
  </property>
  <property fmtid="{D5CDD505-2E9C-101B-9397-08002B2CF9AE}" pid="22" name="xd_Signature">
    <vt:bool>false</vt:bool>
  </property>
  <property fmtid="{D5CDD505-2E9C-101B-9397-08002B2CF9AE}" pid="23" name="ClassificationContentMarkingHeaderShapeIds">
    <vt:lpwstr>7a5e4860,13f24dbd,7de9ec0f</vt:lpwstr>
  </property>
  <property fmtid="{D5CDD505-2E9C-101B-9397-08002B2CF9AE}" pid="24" name="ClassificationContentMarkingFooterFontProps">
    <vt:lpwstr>#ff0000,12,Calibri</vt:lpwstr>
  </property>
</Properties>
</file>