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2253E" w14:textId="77777777" w:rsidR="00875127" w:rsidRPr="00B07F27" w:rsidRDefault="00875127" w:rsidP="00875127">
      <w:pPr>
        <w:spacing w:after="0" w:line="240" w:lineRule="auto"/>
        <w:jc w:val="center"/>
        <w:rPr>
          <w:rFonts w:ascii="Times New Roman" w:hAnsi="Times New Roman" w:cs="Times New Roman"/>
          <w:b/>
          <w:sz w:val="28"/>
          <w:lang w:val="en-US"/>
        </w:rPr>
      </w:pPr>
      <w:bookmarkStart w:id="0" w:name="_Hlk174006641"/>
      <w:bookmarkStart w:id="1" w:name="_GoBack"/>
      <w:bookmarkEnd w:id="1"/>
      <w:r w:rsidRPr="00B07F27">
        <w:rPr>
          <w:rFonts w:ascii="Times New Roman" w:hAnsi="Times New Roman" w:cs="Times New Roman"/>
          <w:b/>
          <w:sz w:val="28"/>
          <w:lang w:val="en-US"/>
        </w:rPr>
        <w:t>Explanatory Statement</w:t>
      </w:r>
    </w:p>
    <w:p w14:paraId="18AB5FA4" w14:textId="77777777" w:rsidR="00875127" w:rsidRPr="00B07F27" w:rsidRDefault="00875127" w:rsidP="00875127">
      <w:pPr>
        <w:spacing w:after="0" w:line="240" w:lineRule="auto"/>
        <w:jc w:val="center"/>
        <w:rPr>
          <w:rFonts w:ascii="Times New Roman" w:hAnsi="Times New Roman" w:cs="Times New Roman"/>
          <w:i/>
          <w:sz w:val="24"/>
          <w:lang w:val="en-US"/>
        </w:rPr>
      </w:pPr>
    </w:p>
    <w:p w14:paraId="0180DF30" w14:textId="623848DA" w:rsidR="00875127" w:rsidRDefault="00875127" w:rsidP="00875127">
      <w:pPr>
        <w:spacing w:after="0" w:line="240" w:lineRule="auto"/>
        <w:jc w:val="center"/>
        <w:rPr>
          <w:rFonts w:ascii="Times New Roman" w:hAnsi="Times New Roman" w:cs="Times New Roman"/>
          <w:sz w:val="24"/>
          <w:lang w:val="en-US"/>
        </w:rPr>
      </w:pPr>
      <w:r w:rsidRPr="00B07F27">
        <w:rPr>
          <w:rFonts w:ascii="Times New Roman" w:hAnsi="Times New Roman" w:cs="Times New Roman"/>
          <w:sz w:val="24"/>
          <w:lang w:val="en-US"/>
        </w:rPr>
        <w:t>Issued by the authority of the Minister for Communications</w:t>
      </w:r>
    </w:p>
    <w:p w14:paraId="244FBE32" w14:textId="77777777" w:rsidR="00875127" w:rsidRPr="00B07F27" w:rsidRDefault="00875127" w:rsidP="00875127">
      <w:pPr>
        <w:spacing w:after="0" w:line="240" w:lineRule="auto"/>
        <w:jc w:val="center"/>
        <w:rPr>
          <w:rFonts w:ascii="Times New Roman" w:hAnsi="Times New Roman" w:cs="Times New Roman"/>
          <w:sz w:val="24"/>
          <w:lang w:val="en-US"/>
        </w:rPr>
      </w:pPr>
    </w:p>
    <w:p w14:paraId="59CBE081" w14:textId="22404654" w:rsidR="00892394" w:rsidRDefault="009F2047" w:rsidP="0087512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Australian </w:t>
      </w:r>
      <w:r w:rsidRPr="00875127">
        <w:rPr>
          <w:rFonts w:ascii="Times New Roman" w:hAnsi="Times New Roman" w:cs="Times New Roman"/>
          <w:i/>
          <w:sz w:val="24"/>
          <w:lang w:val="en-US"/>
        </w:rPr>
        <w:t>Communications</w:t>
      </w:r>
      <w:r>
        <w:rPr>
          <w:rFonts w:ascii="Times New Roman" w:hAnsi="Times New Roman" w:cs="Times New Roman"/>
          <w:i/>
          <w:sz w:val="24"/>
          <w:szCs w:val="24"/>
        </w:rPr>
        <w:t xml:space="preserve"> and Media Authority Act 2005</w:t>
      </w:r>
    </w:p>
    <w:p w14:paraId="16D6C6E8" w14:textId="77777777" w:rsidR="00875127" w:rsidRPr="00C52125" w:rsidRDefault="00875127" w:rsidP="00875127">
      <w:pPr>
        <w:spacing w:after="0" w:line="240" w:lineRule="auto"/>
        <w:jc w:val="center"/>
        <w:rPr>
          <w:rFonts w:ascii="Times New Roman" w:hAnsi="Times New Roman" w:cs="Times New Roman"/>
          <w:i/>
          <w:sz w:val="24"/>
          <w:szCs w:val="24"/>
        </w:rPr>
      </w:pPr>
    </w:p>
    <w:p w14:paraId="7D709E22" w14:textId="48996336" w:rsidR="00892394" w:rsidRDefault="009F2047" w:rsidP="00875127">
      <w:pPr>
        <w:spacing w:after="0" w:line="240" w:lineRule="auto"/>
        <w:jc w:val="center"/>
        <w:rPr>
          <w:rFonts w:ascii="Times New Roman" w:hAnsi="Times New Roman" w:cs="Times New Roman"/>
          <w:b/>
          <w:i/>
          <w:sz w:val="24"/>
          <w:szCs w:val="24"/>
        </w:rPr>
      </w:pPr>
      <w:r w:rsidRPr="00875127">
        <w:rPr>
          <w:rFonts w:ascii="Times New Roman" w:hAnsi="Times New Roman" w:cs="Times New Roman"/>
          <w:b/>
          <w:i/>
          <w:sz w:val="24"/>
          <w:szCs w:val="24"/>
        </w:rPr>
        <w:t xml:space="preserve">Australian </w:t>
      </w:r>
      <w:r w:rsidRPr="00875127">
        <w:rPr>
          <w:rFonts w:ascii="Times New Roman" w:hAnsi="Times New Roman" w:cs="Times New Roman"/>
          <w:b/>
          <w:i/>
          <w:sz w:val="24"/>
          <w:lang w:val="en-US"/>
        </w:rPr>
        <w:t>Communications</w:t>
      </w:r>
      <w:r w:rsidRPr="00875127">
        <w:rPr>
          <w:rFonts w:ascii="Times New Roman" w:hAnsi="Times New Roman" w:cs="Times New Roman"/>
          <w:b/>
          <w:i/>
          <w:sz w:val="24"/>
          <w:szCs w:val="24"/>
        </w:rPr>
        <w:t xml:space="preserve"> and Media Authority (Emergency Call Service Determination) Direction 2024</w:t>
      </w:r>
    </w:p>
    <w:p w14:paraId="3F7FD98C" w14:textId="77777777" w:rsidR="00875127" w:rsidRPr="00875127" w:rsidRDefault="00875127" w:rsidP="00875127">
      <w:pPr>
        <w:spacing w:after="0" w:line="240" w:lineRule="auto"/>
        <w:jc w:val="center"/>
        <w:rPr>
          <w:rFonts w:ascii="Times New Roman" w:hAnsi="Times New Roman" w:cs="Times New Roman"/>
          <w:b/>
          <w:i/>
          <w:sz w:val="24"/>
          <w:szCs w:val="24"/>
        </w:rPr>
      </w:pPr>
    </w:p>
    <w:p w14:paraId="1F6F217F" w14:textId="0564D58A" w:rsidR="00875127" w:rsidRDefault="00875127" w:rsidP="00875127">
      <w:pPr>
        <w:spacing w:after="0" w:line="240" w:lineRule="auto"/>
        <w:rPr>
          <w:rFonts w:ascii="Times New Roman" w:hAnsi="Times New Roman" w:cs="Times New Roman"/>
          <w:b/>
          <w:sz w:val="24"/>
          <w:lang w:val="en-US"/>
        </w:rPr>
      </w:pPr>
      <w:r w:rsidRPr="00B07F27">
        <w:rPr>
          <w:rFonts w:ascii="Times New Roman" w:hAnsi="Times New Roman" w:cs="Times New Roman"/>
          <w:b/>
          <w:sz w:val="24"/>
          <w:lang w:val="en-US"/>
        </w:rPr>
        <w:t>Authority</w:t>
      </w:r>
    </w:p>
    <w:p w14:paraId="0860BECA" w14:textId="77777777" w:rsidR="00875127" w:rsidRPr="00B07F27" w:rsidRDefault="00875127" w:rsidP="00875127">
      <w:pPr>
        <w:spacing w:after="0" w:line="240" w:lineRule="auto"/>
        <w:rPr>
          <w:rFonts w:ascii="Times New Roman" w:hAnsi="Times New Roman" w:cs="Times New Roman"/>
          <w:b/>
          <w:sz w:val="24"/>
          <w:lang w:val="en-US"/>
        </w:rPr>
      </w:pPr>
    </w:p>
    <w:p w14:paraId="2584B1AE" w14:textId="0E2C2A00" w:rsidR="00892394" w:rsidRDefault="00892394" w:rsidP="008751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9F2047" w:rsidRPr="00875127">
        <w:rPr>
          <w:rFonts w:ascii="Times New Roman" w:hAnsi="Times New Roman" w:cs="Times New Roman"/>
          <w:i/>
          <w:sz w:val="24"/>
          <w:szCs w:val="24"/>
        </w:rPr>
        <w:t>Australian Communications and Media Authority (Emergency Call Service Determination) Direction 2024</w:t>
      </w:r>
      <w:r w:rsidR="009F2047" w:rsidRPr="009F2047" w:rsidDel="009F2047">
        <w:rPr>
          <w:rFonts w:ascii="Times New Roman" w:hAnsi="Times New Roman" w:cs="Times New Roman"/>
          <w:sz w:val="24"/>
          <w:szCs w:val="24"/>
        </w:rPr>
        <w:t xml:space="preserve"> </w:t>
      </w:r>
      <w:r w:rsidR="00875127">
        <w:rPr>
          <w:rFonts w:ascii="Times New Roman" w:hAnsi="Times New Roman" w:cs="Times New Roman"/>
          <w:sz w:val="24"/>
          <w:szCs w:val="24"/>
        </w:rPr>
        <w:t xml:space="preserve">(the Direction) </w:t>
      </w:r>
      <w:r>
        <w:rPr>
          <w:rFonts w:ascii="Times New Roman" w:hAnsi="Times New Roman" w:cs="Times New Roman"/>
          <w:sz w:val="24"/>
          <w:szCs w:val="24"/>
        </w:rPr>
        <w:t>is made</w:t>
      </w:r>
      <w:r w:rsidR="009F2047">
        <w:rPr>
          <w:rFonts w:ascii="Times New Roman" w:hAnsi="Times New Roman" w:cs="Times New Roman"/>
          <w:sz w:val="24"/>
          <w:szCs w:val="24"/>
        </w:rPr>
        <w:t xml:space="preserve"> by the Minister for Communications (the Minister)</w:t>
      </w:r>
      <w:r>
        <w:rPr>
          <w:rFonts w:ascii="Times New Roman" w:hAnsi="Times New Roman" w:cs="Times New Roman"/>
          <w:sz w:val="24"/>
          <w:szCs w:val="24"/>
        </w:rPr>
        <w:t xml:space="preserve"> under </w:t>
      </w:r>
      <w:bookmarkStart w:id="2" w:name="_Hlk173744770"/>
      <w:r w:rsidR="009F2047">
        <w:rPr>
          <w:rFonts w:ascii="Times New Roman" w:hAnsi="Times New Roman" w:cs="Times New Roman"/>
          <w:sz w:val="24"/>
          <w:szCs w:val="24"/>
        </w:rPr>
        <w:t xml:space="preserve">subsection 14(1) of the </w:t>
      </w:r>
      <w:r w:rsidR="009F2047" w:rsidRPr="00875127">
        <w:rPr>
          <w:rFonts w:ascii="Times New Roman" w:hAnsi="Times New Roman" w:cs="Times New Roman"/>
          <w:i/>
          <w:sz w:val="24"/>
          <w:szCs w:val="24"/>
        </w:rPr>
        <w:t>Australian Communications and Media Authority Act 2005</w:t>
      </w:r>
      <w:r w:rsidR="009F2047">
        <w:rPr>
          <w:rFonts w:ascii="Times New Roman" w:hAnsi="Times New Roman" w:cs="Times New Roman"/>
          <w:sz w:val="24"/>
          <w:szCs w:val="24"/>
        </w:rPr>
        <w:t xml:space="preserve"> (the Act)</w:t>
      </w:r>
      <w:r w:rsidR="00C42C3D">
        <w:rPr>
          <w:rFonts w:ascii="Times New Roman" w:hAnsi="Times New Roman" w:cs="Times New Roman"/>
          <w:sz w:val="24"/>
          <w:szCs w:val="24"/>
        </w:rPr>
        <w:t xml:space="preserve">. </w:t>
      </w:r>
    </w:p>
    <w:p w14:paraId="1C22EFB3" w14:textId="77777777" w:rsidR="00875127" w:rsidRDefault="00875127" w:rsidP="00875127">
      <w:pPr>
        <w:spacing w:after="0" w:line="240" w:lineRule="auto"/>
        <w:rPr>
          <w:rFonts w:ascii="Times New Roman" w:hAnsi="Times New Roman" w:cs="Times New Roman"/>
          <w:sz w:val="24"/>
          <w:szCs w:val="24"/>
        </w:rPr>
      </w:pPr>
    </w:p>
    <w:bookmarkEnd w:id="2"/>
    <w:p w14:paraId="104F8000" w14:textId="4F53E990" w:rsidR="009F2047" w:rsidRDefault="009F2047" w:rsidP="00875127">
      <w:pPr>
        <w:spacing w:after="0" w:line="240" w:lineRule="auto"/>
        <w:rPr>
          <w:rFonts w:ascii="Times New Roman" w:hAnsi="Times New Roman" w:cs="Times New Roman"/>
          <w:sz w:val="24"/>
          <w:szCs w:val="24"/>
        </w:rPr>
      </w:pPr>
      <w:r>
        <w:rPr>
          <w:rFonts w:ascii="Times New Roman" w:hAnsi="Times New Roman" w:cs="Times New Roman"/>
          <w:sz w:val="24"/>
          <w:szCs w:val="24"/>
        </w:rPr>
        <w:t>Subsection 14(1) of the Act enables the Minister to direct the Australian Communications and Media Authority (ACMA) in relation to the performance of its functions or the exercise of its powers.</w:t>
      </w:r>
    </w:p>
    <w:p w14:paraId="29C13B1F" w14:textId="77777777" w:rsidR="00875127" w:rsidRDefault="00875127" w:rsidP="00875127">
      <w:pPr>
        <w:spacing w:after="0" w:line="240" w:lineRule="auto"/>
        <w:rPr>
          <w:rFonts w:ascii="Times New Roman" w:hAnsi="Times New Roman" w:cs="Times New Roman"/>
          <w:sz w:val="24"/>
          <w:szCs w:val="24"/>
        </w:rPr>
      </w:pPr>
    </w:p>
    <w:p w14:paraId="6EA12EE2" w14:textId="2AA0C78E" w:rsidR="00892394" w:rsidRPr="00CD2BFE" w:rsidRDefault="00892394" w:rsidP="00875127">
      <w:pPr>
        <w:spacing w:after="0" w:line="240" w:lineRule="auto"/>
        <w:rPr>
          <w:rFonts w:ascii="Times New Roman" w:hAnsi="Times New Roman" w:cs="Times New Roman"/>
          <w:b/>
          <w:sz w:val="24"/>
          <w:szCs w:val="24"/>
        </w:rPr>
      </w:pPr>
      <w:r w:rsidRPr="00CD2BFE">
        <w:rPr>
          <w:rFonts w:ascii="Times New Roman" w:hAnsi="Times New Roman" w:cs="Times New Roman"/>
          <w:b/>
          <w:sz w:val="24"/>
          <w:szCs w:val="24"/>
        </w:rPr>
        <w:t>Purpose</w:t>
      </w:r>
    </w:p>
    <w:p w14:paraId="75145EEF" w14:textId="77777777" w:rsidR="00875127" w:rsidRPr="00CD2BFE" w:rsidRDefault="00875127" w:rsidP="00875127">
      <w:pPr>
        <w:spacing w:after="0" w:line="240" w:lineRule="auto"/>
        <w:rPr>
          <w:rFonts w:ascii="Times New Roman" w:hAnsi="Times New Roman" w:cs="Times New Roman"/>
          <w:b/>
          <w:sz w:val="24"/>
          <w:szCs w:val="24"/>
        </w:rPr>
      </w:pPr>
    </w:p>
    <w:p w14:paraId="26DA4D78" w14:textId="0983F41B" w:rsidR="00D27418" w:rsidRDefault="00892394" w:rsidP="00CD2BFE">
      <w:pPr>
        <w:spacing w:after="0" w:line="240" w:lineRule="auto"/>
        <w:rPr>
          <w:rFonts w:ascii="Times New Roman" w:hAnsi="Times New Roman" w:cs="Times New Roman"/>
          <w:sz w:val="24"/>
          <w:szCs w:val="24"/>
        </w:rPr>
      </w:pPr>
      <w:r w:rsidRPr="00CD2BFE">
        <w:rPr>
          <w:rFonts w:ascii="Times New Roman" w:hAnsi="Times New Roman" w:cs="Times New Roman"/>
          <w:sz w:val="24"/>
          <w:szCs w:val="24"/>
        </w:rPr>
        <w:t xml:space="preserve">The </w:t>
      </w:r>
      <w:r w:rsidR="00ED641B" w:rsidRPr="00CD2BFE">
        <w:rPr>
          <w:rFonts w:ascii="Times New Roman" w:hAnsi="Times New Roman" w:cs="Times New Roman"/>
          <w:sz w:val="24"/>
          <w:szCs w:val="24"/>
        </w:rPr>
        <w:t xml:space="preserve">instrument </w:t>
      </w:r>
      <w:r w:rsidR="009F2047" w:rsidRPr="00CD2BFE">
        <w:rPr>
          <w:rFonts w:ascii="Times New Roman" w:hAnsi="Times New Roman" w:cs="Times New Roman"/>
          <w:sz w:val="24"/>
          <w:szCs w:val="24"/>
        </w:rPr>
        <w:t>direct</w:t>
      </w:r>
      <w:r w:rsidR="00CD2BFE" w:rsidRPr="00CD2BFE">
        <w:rPr>
          <w:rFonts w:ascii="Times New Roman" w:hAnsi="Times New Roman" w:cs="Times New Roman"/>
          <w:sz w:val="24"/>
          <w:szCs w:val="24"/>
        </w:rPr>
        <w:t>s the</w:t>
      </w:r>
      <w:r w:rsidR="009F2047" w:rsidRPr="00CD2BFE">
        <w:rPr>
          <w:rFonts w:ascii="Times New Roman" w:hAnsi="Times New Roman" w:cs="Times New Roman"/>
          <w:sz w:val="24"/>
          <w:szCs w:val="24"/>
        </w:rPr>
        <w:t xml:space="preserve"> ACMA to</w:t>
      </w:r>
      <w:r w:rsidR="002D3B9D" w:rsidRPr="00CD2BFE">
        <w:rPr>
          <w:rFonts w:ascii="Times New Roman" w:hAnsi="Times New Roman" w:cs="Times New Roman"/>
          <w:sz w:val="24"/>
          <w:szCs w:val="24"/>
        </w:rPr>
        <w:t xml:space="preserve"> amend the </w:t>
      </w:r>
      <w:r w:rsidR="002D3B9D" w:rsidRPr="00941E8D">
        <w:rPr>
          <w:rFonts w:ascii="Times New Roman" w:hAnsi="Times New Roman" w:cs="Times New Roman"/>
          <w:i/>
          <w:sz w:val="24"/>
          <w:szCs w:val="24"/>
        </w:rPr>
        <w:t>Telecommunications (Emergency Call Service) Determination 2019</w:t>
      </w:r>
      <w:r w:rsidR="00B81CB1" w:rsidRPr="00CD2BFE">
        <w:rPr>
          <w:rFonts w:ascii="Times New Roman" w:hAnsi="Times New Roman" w:cs="Times New Roman"/>
          <w:sz w:val="24"/>
          <w:szCs w:val="24"/>
        </w:rPr>
        <w:t xml:space="preserve"> (</w:t>
      </w:r>
      <w:r w:rsidR="00CD2BFE" w:rsidRPr="00CD2BFE">
        <w:rPr>
          <w:rFonts w:ascii="Times New Roman" w:hAnsi="Times New Roman" w:cs="Times New Roman"/>
          <w:sz w:val="24"/>
          <w:szCs w:val="24"/>
        </w:rPr>
        <w:t>the</w:t>
      </w:r>
      <w:r w:rsidR="00B81CB1" w:rsidRPr="00CD2BFE">
        <w:rPr>
          <w:rFonts w:ascii="Times New Roman" w:hAnsi="Times New Roman" w:cs="Times New Roman"/>
          <w:sz w:val="24"/>
          <w:szCs w:val="24"/>
        </w:rPr>
        <w:t xml:space="preserve"> Determination) to improve the reliability of access to the T</w:t>
      </w:r>
      <w:r w:rsidR="00D27418" w:rsidRPr="00CD2BFE">
        <w:rPr>
          <w:rFonts w:ascii="Times New Roman" w:hAnsi="Times New Roman" w:cs="Times New Roman"/>
          <w:sz w:val="24"/>
          <w:szCs w:val="24"/>
        </w:rPr>
        <w:t>riple Zero Emergency Call Service.</w:t>
      </w:r>
    </w:p>
    <w:p w14:paraId="5D2FE4FC" w14:textId="1170864B" w:rsidR="00CD2BFE" w:rsidRDefault="00CD2BFE" w:rsidP="00875127">
      <w:pPr>
        <w:spacing w:after="0" w:line="240" w:lineRule="auto"/>
        <w:rPr>
          <w:rFonts w:ascii="Times New Roman" w:hAnsi="Times New Roman" w:cs="Times New Roman"/>
          <w:sz w:val="24"/>
          <w:szCs w:val="24"/>
        </w:rPr>
      </w:pPr>
    </w:p>
    <w:p w14:paraId="416E1219" w14:textId="3CCC3D8B" w:rsidR="00CD2BFE" w:rsidRPr="00B07F27" w:rsidRDefault="00CD2BFE" w:rsidP="00CD2BFE">
      <w:pPr>
        <w:spacing w:after="0" w:line="240" w:lineRule="auto"/>
        <w:rPr>
          <w:rFonts w:ascii="Times New Roman" w:hAnsi="Times New Roman" w:cs="Times New Roman"/>
          <w:sz w:val="24"/>
          <w:lang w:val="en-US"/>
        </w:rPr>
      </w:pPr>
      <w:bookmarkStart w:id="3" w:name="_Hlk142163480"/>
      <w:r w:rsidRPr="00B07F27">
        <w:rPr>
          <w:rFonts w:ascii="Times New Roman" w:hAnsi="Times New Roman" w:cs="Times New Roman"/>
          <w:sz w:val="24"/>
          <w:lang w:val="en-US"/>
        </w:rPr>
        <w:t xml:space="preserve">This instrument is a legislative instrument for the purpose of the </w:t>
      </w:r>
      <w:r w:rsidRPr="00B07F27">
        <w:rPr>
          <w:rFonts w:ascii="Times New Roman" w:hAnsi="Times New Roman" w:cs="Times New Roman"/>
          <w:i/>
          <w:sz w:val="24"/>
          <w:lang w:val="en-US"/>
        </w:rPr>
        <w:t>Legislation Act 2003.</w:t>
      </w:r>
      <w:r w:rsidRPr="00B07F27">
        <w:rPr>
          <w:rFonts w:ascii="Times New Roman" w:hAnsi="Times New Roman" w:cs="Times New Roman"/>
          <w:sz w:val="24"/>
          <w:lang w:val="en-US"/>
        </w:rPr>
        <w:t xml:space="preserve"> However, this instrument is not subject to disallowance</w:t>
      </w:r>
      <w:r>
        <w:rPr>
          <w:rFonts w:ascii="Times New Roman" w:hAnsi="Times New Roman" w:cs="Times New Roman"/>
          <w:sz w:val="24"/>
          <w:lang w:val="en-US"/>
        </w:rPr>
        <w:t xml:space="preserve"> or sunsetting</w:t>
      </w:r>
      <w:r w:rsidRPr="00B07F27">
        <w:rPr>
          <w:rFonts w:ascii="Times New Roman" w:hAnsi="Times New Roman" w:cs="Times New Roman"/>
          <w:sz w:val="24"/>
          <w:lang w:val="en-US"/>
        </w:rPr>
        <w:t xml:space="preserve">, as it is a </w:t>
      </w:r>
      <w:r w:rsidR="0091491C">
        <w:rPr>
          <w:rFonts w:ascii="Times New Roman" w:hAnsi="Times New Roman" w:cs="Times New Roman"/>
          <w:sz w:val="24"/>
          <w:lang w:val="en-US"/>
        </w:rPr>
        <w:t>d</w:t>
      </w:r>
      <w:r w:rsidRPr="00B07F27">
        <w:rPr>
          <w:rFonts w:ascii="Times New Roman" w:hAnsi="Times New Roman" w:cs="Times New Roman"/>
          <w:sz w:val="24"/>
          <w:lang w:val="en-US"/>
        </w:rPr>
        <w:t>irection by a Minister to a person or body (see item 2 of the table in section 9</w:t>
      </w:r>
      <w:r>
        <w:rPr>
          <w:rFonts w:ascii="Times New Roman" w:hAnsi="Times New Roman" w:cs="Times New Roman"/>
          <w:sz w:val="24"/>
          <w:lang w:val="en-US"/>
        </w:rPr>
        <w:t xml:space="preserve"> and item 3 in the table in section 11 </w:t>
      </w:r>
      <w:r w:rsidRPr="00B07F27">
        <w:rPr>
          <w:rFonts w:ascii="Times New Roman" w:hAnsi="Times New Roman" w:cs="Times New Roman"/>
          <w:sz w:val="24"/>
          <w:lang w:val="en-US"/>
        </w:rPr>
        <w:t xml:space="preserve">of the </w:t>
      </w:r>
      <w:r w:rsidRPr="00B07F27">
        <w:rPr>
          <w:rFonts w:ascii="Times New Roman" w:hAnsi="Times New Roman" w:cs="Times New Roman"/>
          <w:i/>
          <w:sz w:val="24"/>
          <w:lang w:val="en-US"/>
        </w:rPr>
        <w:t>Legislation (Exemptions and Other Matters) Regulation 2015</w:t>
      </w:r>
      <w:r w:rsidRPr="00B07F27">
        <w:rPr>
          <w:rFonts w:ascii="Times New Roman" w:hAnsi="Times New Roman" w:cs="Times New Roman"/>
          <w:sz w:val="24"/>
          <w:lang w:val="en-US"/>
        </w:rPr>
        <w:t>).</w:t>
      </w:r>
    </w:p>
    <w:bookmarkEnd w:id="3"/>
    <w:p w14:paraId="24DCB08F" w14:textId="36B9331B" w:rsidR="00CD2BFE" w:rsidRDefault="00CD2BFE" w:rsidP="00875127">
      <w:pPr>
        <w:spacing w:after="0" w:line="240" w:lineRule="auto"/>
        <w:rPr>
          <w:rFonts w:ascii="Times New Roman" w:hAnsi="Times New Roman" w:cs="Times New Roman"/>
          <w:sz w:val="24"/>
          <w:szCs w:val="24"/>
        </w:rPr>
      </w:pPr>
    </w:p>
    <w:p w14:paraId="79EA6D78" w14:textId="45F4FDFB" w:rsidR="00CD2BFE" w:rsidRDefault="00CD2BFE" w:rsidP="008751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Details of the Direction are set out in </w:t>
      </w:r>
      <w:r w:rsidRPr="00CD2BFE">
        <w:rPr>
          <w:rFonts w:ascii="Times New Roman" w:hAnsi="Times New Roman" w:cs="Times New Roman"/>
          <w:sz w:val="24"/>
          <w:szCs w:val="24"/>
          <w:u w:val="single"/>
        </w:rPr>
        <w:t>Attachment A</w:t>
      </w:r>
      <w:r>
        <w:rPr>
          <w:rFonts w:ascii="Times New Roman" w:hAnsi="Times New Roman" w:cs="Times New Roman"/>
          <w:sz w:val="24"/>
          <w:szCs w:val="24"/>
        </w:rPr>
        <w:t>.</w:t>
      </w:r>
    </w:p>
    <w:p w14:paraId="187A922C" w14:textId="77777777" w:rsidR="00875127" w:rsidRPr="00875127" w:rsidRDefault="00875127" w:rsidP="00875127">
      <w:pPr>
        <w:spacing w:after="0" w:line="240" w:lineRule="auto"/>
        <w:rPr>
          <w:rFonts w:ascii="Times New Roman" w:hAnsi="Times New Roman" w:cs="Times New Roman"/>
          <w:sz w:val="24"/>
          <w:szCs w:val="24"/>
        </w:rPr>
      </w:pPr>
    </w:p>
    <w:p w14:paraId="7DFCB782" w14:textId="31467109" w:rsidR="00892394" w:rsidRDefault="00892394" w:rsidP="00875127">
      <w:pPr>
        <w:pStyle w:val="ListParagraph"/>
        <w:shd w:val="clear" w:color="auto" w:fill="FFFFFF"/>
        <w:spacing w:after="0" w:line="240" w:lineRule="auto"/>
        <w:ind w:left="0"/>
        <w:contextualSpacing w:val="0"/>
        <w:rPr>
          <w:rFonts w:ascii="Times New Roman" w:hAnsi="Times New Roman"/>
          <w:b/>
          <w:sz w:val="24"/>
          <w:szCs w:val="24"/>
        </w:rPr>
      </w:pPr>
      <w:r>
        <w:rPr>
          <w:rFonts w:ascii="Times New Roman" w:hAnsi="Times New Roman"/>
          <w:b/>
          <w:sz w:val="24"/>
          <w:szCs w:val="24"/>
        </w:rPr>
        <w:t>Background</w:t>
      </w:r>
    </w:p>
    <w:p w14:paraId="79FD834B" w14:textId="77777777" w:rsidR="00CD2BFE" w:rsidRDefault="00CD2BFE" w:rsidP="00875127">
      <w:pPr>
        <w:spacing w:after="0" w:line="240" w:lineRule="auto"/>
        <w:rPr>
          <w:rFonts w:ascii="Times New Roman" w:hAnsi="Times New Roman" w:cs="Times New Roman"/>
          <w:sz w:val="24"/>
          <w:szCs w:val="24"/>
        </w:rPr>
      </w:pPr>
    </w:p>
    <w:p w14:paraId="4B235E8A" w14:textId="567E6995" w:rsidR="00CD2BFE" w:rsidRDefault="00CD2BFE" w:rsidP="00CD2BFE">
      <w:pPr>
        <w:spacing w:after="0" w:line="240" w:lineRule="auto"/>
        <w:rPr>
          <w:rFonts w:ascii="Times New Roman" w:hAnsi="Times New Roman" w:cs="Times New Roman"/>
          <w:sz w:val="24"/>
          <w:lang w:val="en-US"/>
        </w:rPr>
      </w:pPr>
      <w:r w:rsidRPr="0000544D">
        <w:rPr>
          <w:rFonts w:ascii="Times New Roman" w:hAnsi="Times New Roman" w:cs="Times New Roman"/>
          <w:sz w:val="24"/>
          <w:lang w:val="en-US"/>
        </w:rPr>
        <w:t xml:space="preserve">The Optus outage of 8 November 2023 had a significant impact on a wide range of Australians, affecting emergency services, government services, businesses and vulnerable people. </w:t>
      </w:r>
      <w:r w:rsidR="00DD26D6">
        <w:rPr>
          <w:rFonts w:ascii="Times New Roman" w:hAnsi="Times New Roman" w:cs="Times New Roman"/>
          <w:sz w:val="24"/>
          <w:szCs w:val="24"/>
        </w:rPr>
        <w:t>In response to the outage, the Australian Government commissioned a post-incident review to understand how to reduce the chance of, and the impact of, future outages.</w:t>
      </w:r>
    </w:p>
    <w:p w14:paraId="2D054199" w14:textId="3DB24BD8" w:rsidR="00CD2BFE" w:rsidRDefault="00CD2BFE" w:rsidP="00CD2BFE">
      <w:pPr>
        <w:spacing w:after="0" w:line="240" w:lineRule="auto"/>
        <w:rPr>
          <w:rFonts w:ascii="Times New Roman" w:hAnsi="Times New Roman" w:cs="Times New Roman"/>
          <w:sz w:val="24"/>
          <w:lang w:val="en-US"/>
        </w:rPr>
      </w:pPr>
    </w:p>
    <w:p w14:paraId="7C147F52" w14:textId="473391D3" w:rsidR="00CD2BFE" w:rsidRDefault="00DD26D6" w:rsidP="00CD2BFE">
      <w:pPr>
        <w:spacing w:after="0" w:line="240" w:lineRule="auto"/>
        <w:rPr>
          <w:rFonts w:ascii="Times New Roman" w:hAnsi="Times New Roman" w:cs="Times New Roman"/>
          <w:sz w:val="24"/>
          <w:lang w:val="en-US"/>
        </w:rPr>
      </w:pPr>
      <w:r>
        <w:rPr>
          <w:rFonts w:ascii="Times New Roman" w:hAnsi="Times New Roman" w:cs="Times New Roman"/>
          <w:sz w:val="24"/>
          <w:lang w:val="en-US"/>
        </w:rPr>
        <w:t xml:space="preserve">The post-incident review found gaps in the emergency call service regulatory framework. </w:t>
      </w:r>
      <w:r w:rsidR="00BB3880">
        <w:rPr>
          <w:rFonts w:ascii="Times New Roman" w:hAnsi="Times New Roman" w:cs="Times New Roman"/>
          <w:sz w:val="24"/>
          <w:lang w:val="en-US"/>
        </w:rPr>
        <w:t>Australians</w:t>
      </w:r>
      <w:r>
        <w:rPr>
          <w:rFonts w:ascii="Times New Roman" w:hAnsi="Times New Roman" w:cs="Times New Roman"/>
          <w:sz w:val="24"/>
          <w:lang w:val="en-US"/>
        </w:rPr>
        <w:t xml:space="preserve"> expect that in the event of a network outage, mobile phones will be able to connect to other </w:t>
      </w:r>
      <w:r w:rsidR="007D4DDD">
        <w:rPr>
          <w:rFonts w:ascii="Times New Roman" w:hAnsi="Times New Roman" w:cs="Times New Roman"/>
          <w:sz w:val="24"/>
          <w:lang w:val="en-US"/>
        </w:rPr>
        <w:t xml:space="preserve">available </w:t>
      </w:r>
      <w:r>
        <w:rPr>
          <w:rFonts w:ascii="Times New Roman" w:hAnsi="Times New Roman" w:cs="Times New Roman"/>
          <w:sz w:val="24"/>
          <w:lang w:val="en-US"/>
        </w:rPr>
        <w:t xml:space="preserve">networks to access Triple Zero. On the day of the outage, it was unclear to the public, and many within the Triple Zero ecosystem, if this was occurring as expected. </w:t>
      </w:r>
      <w:r w:rsidR="00BB3A44">
        <w:rPr>
          <w:rFonts w:ascii="Times New Roman" w:hAnsi="Times New Roman" w:cs="Times New Roman"/>
          <w:sz w:val="24"/>
          <w:lang w:val="en-US"/>
        </w:rPr>
        <w:t>The</w:t>
      </w:r>
      <w:r w:rsidR="00BB3880">
        <w:rPr>
          <w:rFonts w:ascii="Times New Roman" w:hAnsi="Times New Roman" w:cs="Times New Roman"/>
          <w:sz w:val="24"/>
          <w:lang w:val="en-US"/>
        </w:rPr>
        <w:t> </w:t>
      </w:r>
      <w:r w:rsidR="00BB3A44">
        <w:rPr>
          <w:rFonts w:ascii="Times New Roman" w:hAnsi="Times New Roman" w:cs="Times New Roman"/>
          <w:sz w:val="24"/>
          <w:lang w:val="en-US"/>
        </w:rPr>
        <w:t xml:space="preserve">outage made apparent the lack of clarity about requirements to ensure mobile phone users can access Triple Zero during a network outage, </w:t>
      </w:r>
      <w:r w:rsidR="00667F35">
        <w:rPr>
          <w:rFonts w:ascii="Times New Roman" w:hAnsi="Times New Roman" w:cs="Times New Roman"/>
          <w:sz w:val="24"/>
          <w:lang w:val="en-US"/>
        </w:rPr>
        <w:t>and a</w:t>
      </w:r>
      <w:r w:rsidR="00BB3A44">
        <w:rPr>
          <w:rFonts w:ascii="Times New Roman" w:hAnsi="Times New Roman" w:cs="Times New Roman"/>
          <w:sz w:val="24"/>
          <w:lang w:val="en-US"/>
        </w:rPr>
        <w:t xml:space="preserve"> lack of clarity about </w:t>
      </w:r>
      <w:r w:rsidR="00667F35">
        <w:rPr>
          <w:rFonts w:ascii="Times New Roman" w:hAnsi="Times New Roman" w:cs="Times New Roman"/>
          <w:sz w:val="24"/>
          <w:lang w:val="en-US"/>
        </w:rPr>
        <w:t>what information pertaining to Triple Zero needs to be shared during and after a network outage.</w:t>
      </w:r>
    </w:p>
    <w:p w14:paraId="5350D667" w14:textId="5F3E05D5" w:rsidR="00667F35" w:rsidRDefault="00667F35" w:rsidP="00CD2BFE">
      <w:pPr>
        <w:spacing w:after="0" w:line="240" w:lineRule="auto"/>
        <w:rPr>
          <w:rFonts w:ascii="Times New Roman" w:hAnsi="Times New Roman" w:cs="Times New Roman"/>
          <w:sz w:val="24"/>
          <w:lang w:val="en-US"/>
        </w:rPr>
      </w:pPr>
    </w:p>
    <w:p w14:paraId="5D66D8BD" w14:textId="05E51E05" w:rsidR="00667F35" w:rsidRDefault="00667F35" w:rsidP="0087512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w:t>
      </w:r>
      <w:r w:rsidR="00DD26D6">
        <w:rPr>
          <w:rFonts w:ascii="Times New Roman" w:hAnsi="Times New Roman" w:cs="Times New Roman"/>
          <w:sz w:val="24"/>
          <w:szCs w:val="24"/>
        </w:rPr>
        <w:t>e post-incident</w:t>
      </w:r>
      <w:r>
        <w:rPr>
          <w:rFonts w:ascii="Times New Roman" w:hAnsi="Times New Roman" w:cs="Times New Roman"/>
          <w:sz w:val="24"/>
          <w:szCs w:val="24"/>
        </w:rPr>
        <w:t xml:space="preserve"> review made a range of recommendations</w:t>
      </w:r>
      <w:r w:rsidR="00DD26D6">
        <w:rPr>
          <w:rFonts w:ascii="Times New Roman" w:hAnsi="Times New Roman" w:cs="Times New Roman"/>
          <w:sz w:val="24"/>
          <w:szCs w:val="24"/>
        </w:rPr>
        <w:t xml:space="preserve"> </w:t>
      </w:r>
      <w:r>
        <w:rPr>
          <w:rFonts w:ascii="Times New Roman" w:hAnsi="Times New Roman" w:cs="Times New Roman"/>
          <w:sz w:val="24"/>
          <w:szCs w:val="24"/>
        </w:rPr>
        <w:t xml:space="preserve">relating to the Triple Zero Emergency Call Service. </w:t>
      </w:r>
      <w:r w:rsidR="009F292D">
        <w:rPr>
          <w:rFonts w:ascii="Times New Roman" w:hAnsi="Times New Roman" w:cs="Times New Roman"/>
          <w:sz w:val="24"/>
          <w:szCs w:val="24"/>
        </w:rPr>
        <w:t>This instrument will direct the ACMA to make necessary amendments to the Determination in response to</w:t>
      </w:r>
      <w:r>
        <w:rPr>
          <w:rFonts w:ascii="Times New Roman" w:hAnsi="Times New Roman" w:cs="Times New Roman"/>
          <w:sz w:val="24"/>
          <w:szCs w:val="24"/>
        </w:rPr>
        <w:t xml:space="preserve"> </w:t>
      </w:r>
      <w:r w:rsidR="00DD26D6">
        <w:rPr>
          <w:rFonts w:ascii="Times New Roman" w:hAnsi="Times New Roman" w:cs="Times New Roman"/>
          <w:sz w:val="24"/>
          <w:szCs w:val="24"/>
        </w:rPr>
        <w:t>four</w:t>
      </w:r>
      <w:r>
        <w:rPr>
          <w:rFonts w:ascii="Times New Roman" w:hAnsi="Times New Roman" w:cs="Times New Roman"/>
          <w:sz w:val="24"/>
          <w:szCs w:val="24"/>
        </w:rPr>
        <w:t xml:space="preserve"> of</w:t>
      </w:r>
      <w:r w:rsidR="009F292D">
        <w:rPr>
          <w:rFonts w:ascii="Times New Roman" w:hAnsi="Times New Roman" w:cs="Times New Roman"/>
          <w:sz w:val="24"/>
          <w:szCs w:val="24"/>
        </w:rPr>
        <w:t xml:space="preserve"> the</w:t>
      </w:r>
      <w:r w:rsidR="00DD26D6">
        <w:rPr>
          <w:rFonts w:ascii="Times New Roman" w:hAnsi="Times New Roman" w:cs="Times New Roman"/>
          <w:sz w:val="24"/>
          <w:szCs w:val="24"/>
        </w:rPr>
        <w:t>se</w:t>
      </w:r>
      <w:r w:rsidR="009F292D">
        <w:rPr>
          <w:rFonts w:ascii="Times New Roman" w:hAnsi="Times New Roman" w:cs="Times New Roman"/>
          <w:sz w:val="24"/>
          <w:szCs w:val="24"/>
        </w:rPr>
        <w:t xml:space="preserve"> recommendations.</w:t>
      </w:r>
    </w:p>
    <w:p w14:paraId="6EFA2A69" w14:textId="77777777" w:rsidR="00E4360C" w:rsidRDefault="00E4360C" w:rsidP="00E4360C">
      <w:pPr>
        <w:spacing w:after="0" w:line="240" w:lineRule="auto"/>
        <w:rPr>
          <w:rFonts w:ascii="Times New Roman" w:hAnsi="Times New Roman" w:cs="Times New Roman"/>
          <w:sz w:val="24"/>
          <w:szCs w:val="24"/>
        </w:rPr>
      </w:pPr>
    </w:p>
    <w:p w14:paraId="397600D4" w14:textId="29621B07" w:rsidR="00667F35" w:rsidRDefault="00E4360C" w:rsidP="00E4360C">
      <w:pPr>
        <w:spacing w:after="0" w:line="240" w:lineRule="auto"/>
        <w:rPr>
          <w:rFonts w:ascii="Times New Roman" w:hAnsi="Times New Roman" w:cs="Times New Roman"/>
          <w:sz w:val="24"/>
          <w:szCs w:val="24"/>
        </w:rPr>
      </w:pPr>
      <w:r>
        <w:rPr>
          <w:rFonts w:ascii="Times New Roman" w:hAnsi="Times New Roman" w:cs="Times New Roman"/>
          <w:sz w:val="24"/>
          <w:szCs w:val="24"/>
        </w:rPr>
        <w:t>The first recommendation is to c</w:t>
      </w:r>
      <w:r w:rsidR="00667F35" w:rsidRPr="00E4360C">
        <w:rPr>
          <w:rFonts w:ascii="Times New Roman" w:hAnsi="Times New Roman" w:cs="Times New Roman"/>
          <w:sz w:val="24"/>
          <w:szCs w:val="24"/>
        </w:rPr>
        <w:t xml:space="preserve">learly and explicitly </w:t>
      </w:r>
      <w:r w:rsidR="007C454D">
        <w:rPr>
          <w:rFonts w:ascii="Times New Roman" w:hAnsi="Times New Roman" w:cs="Times New Roman"/>
          <w:sz w:val="24"/>
          <w:szCs w:val="24"/>
        </w:rPr>
        <w:t>articulate</w:t>
      </w:r>
      <w:r w:rsidR="00667F35" w:rsidRPr="00E4360C">
        <w:rPr>
          <w:rFonts w:ascii="Times New Roman" w:hAnsi="Times New Roman" w:cs="Times New Roman"/>
          <w:sz w:val="24"/>
          <w:szCs w:val="24"/>
        </w:rPr>
        <w:t xml:space="preserve"> what is expected of </w:t>
      </w:r>
      <w:r w:rsidR="00DD26D6" w:rsidRPr="00E4360C">
        <w:rPr>
          <w:rFonts w:ascii="Times New Roman" w:hAnsi="Times New Roman" w:cs="Times New Roman"/>
          <w:sz w:val="24"/>
          <w:szCs w:val="24"/>
        </w:rPr>
        <w:t>providers</w:t>
      </w:r>
      <w:r w:rsidR="00667F35" w:rsidRPr="00E4360C">
        <w:rPr>
          <w:rFonts w:ascii="Times New Roman" w:hAnsi="Times New Roman" w:cs="Times New Roman"/>
          <w:sz w:val="24"/>
          <w:szCs w:val="24"/>
        </w:rPr>
        <w:t xml:space="preserve"> in regard to ensuring calls are delivered to Triple Zero</w:t>
      </w:r>
      <w:r w:rsidR="00DD26D6" w:rsidRPr="00E4360C">
        <w:rPr>
          <w:rFonts w:ascii="Times New Roman" w:hAnsi="Times New Roman" w:cs="Times New Roman"/>
          <w:sz w:val="24"/>
          <w:szCs w:val="24"/>
        </w:rPr>
        <w:t>.</w:t>
      </w:r>
      <w:r>
        <w:rPr>
          <w:rFonts w:ascii="Times New Roman" w:hAnsi="Times New Roman" w:cs="Times New Roman"/>
          <w:sz w:val="24"/>
          <w:szCs w:val="24"/>
        </w:rPr>
        <w:t xml:space="preserve"> This recommendation is being addressed by subsection 6(1)(a) of the Direction.</w:t>
      </w:r>
    </w:p>
    <w:p w14:paraId="7BCA56CA" w14:textId="1C708EAD" w:rsidR="00E4360C" w:rsidRDefault="00E4360C" w:rsidP="00E4360C">
      <w:pPr>
        <w:spacing w:after="0" w:line="240" w:lineRule="auto"/>
        <w:rPr>
          <w:rFonts w:ascii="Times New Roman" w:hAnsi="Times New Roman" w:cs="Times New Roman"/>
          <w:sz w:val="24"/>
          <w:szCs w:val="24"/>
        </w:rPr>
      </w:pPr>
    </w:p>
    <w:p w14:paraId="2A100E80" w14:textId="3BA7DB7F" w:rsidR="00DD26D6" w:rsidRDefault="00E4360C" w:rsidP="00E4360C">
      <w:pPr>
        <w:spacing w:after="0" w:line="240" w:lineRule="auto"/>
        <w:rPr>
          <w:rFonts w:ascii="Times New Roman" w:hAnsi="Times New Roman" w:cs="Times New Roman"/>
          <w:sz w:val="24"/>
          <w:szCs w:val="24"/>
        </w:rPr>
      </w:pPr>
      <w:r>
        <w:rPr>
          <w:rFonts w:ascii="Times New Roman" w:hAnsi="Times New Roman" w:cs="Times New Roman"/>
          <w:sz w:val="24"/>
          <w:szCs w:val="24"/>
        </w:rPr>
        <w:t>The second recommendation is to r</w:t>
      </w:r>
      <w:r w:rsidR="00DD26D6">
        <w:rPr>
          <w:rFonts w:ascii="Times New Roman" w:hAnsi="Times New Roman" w:cs="Times New Roman"/>
          <w:sz w:val="24"/>
          <w:szCs w:val="24"/>
        </w:rPr>
        <w:t>equir</w:t>
      </w:r>
      <w:r>
        <w:rPr>
          <w:rFonts w:ascii="Times New Roman" w:hAnsi="Times New Roman" w:cs="Times New Roman"/>
          <w:sz w:val="24"/>
          <w:szCs w:val="24"/>
        </w:rPr>
        <w:t>e</w:t>
      </w:r>
      <w:r w:rsidR="00DD26D6">
        <w:rPr>
          <w:rFonts w:ascii="Times New Roman" w:hAnsi="Times New Roman" w:cs="Times New Roman"/>
          <w:sz w:val="24"/>
          <w:szCs w:val="24"/>
        </w:rPr>
        <w:t xml:space="preserve"> providers to share real time network information detailing outages with relevant emergency service organisations and other appropriate entities.</w:t>
      </w:r>
      <w:r>
        <w:rPr>
          <w:rFonts w:ascii="Times New Roman" w:hAnsi="Times New Roman" w:cs="Times New Roman"/>
          <w:sz w:val="24"/>
          <w:szCs w:val="24"/>
        </w:rPr>
        <w:t xml:space="preserve"> This recommendation is being addressed by subsection 6(1)(b) of the Direction.</w:t>
      </w:r>
    </w:p>
    <w:p w14:paraId="319C6FDA" w14:textId="597BDA6E" w:rsidR="00E4360C" w:rsidRDefault="00E4360C" w:rsidP="00E4360C">
      <w:pPr>
        <w:spacing w:after="0" w:line="240" w:lineRule="auto"/>
        <w:rPr>
          <w:rFonts w:ascii="Times New Roman" w:hAnsi="Times New Roman" w:cs="Times New Roman"/>
          <w:sz w:val="24"/>
          <w:szCs w:val="24"/>
        </w:rPr>
      </w:pPr>
    </w:p>
    <w:p w14:paraId="65804809" w14:textId="188D124A" w:rsidR="00667F35" w:rsidRDefault="00E4360C" w:rsidP="00E4360C">
      <w:pPr>
        <w:spacing w:after="0" w:line="240" w:lineRule="auto"/>
        <w:rPr>
          <w:rFonts w:ascii="Times New Roman" w:hAnsi="Times New Roman" w:cs="Times New Roman"/>
          <w:sz w:val="24"/>
          <w:szCs w:val="24"/>
        </w:rPr>
      </w:pPr>
      <w:r>
        <w:rPr>
          <w:rFonts w:ascii="Times New Roman" w:hAnsi="Times New Roman" w:cs="Times New Roman"/>
          <w:sz w:val="24"/>
          <w:szCs w:val="24"/>
        </w:rPr>
        <w:t>The third recommendation is to r</w:t>
      </w:r>
      <w:r w:rsidR="00DD26D6">
        <w:rPr>
          <w:rFonts w:ascii="Times New Roman" w:hAnsi="Times New Roman" w:cs="Times New Roman"/>
          <w:sz w:val="24"/>
          <w:szCs w:val="24"/>
        </w:rPr>
        <w:t>equir</w:t>
      </w:r>
      <w:r>
        <w:rPr>
          <w:rFonts w:ascii="Times New Roman" w:hAnsi="Times New Roman" w:cs="Times New Roman"/>
          <w:sz w:val="24"/>
          <w:szCs w:val="24"/>
        </w:rPr>
        <w:t>e</w:t>
      </w:r>
      <w:r w:rsidR="00667F35">
        <w:rPr>
          <w:rFonts w:ascii="Times New Roman" w:hAnsi="Times New Roman" w:cs="Times New Roman"/>
          <w:sz w:val="24"/>
          <w:szCs w:val="24"/>
        </w:rPr>
        <w:t xml:space="preserve"> </w:t>
      </w:r>
      <w:r w:rsidR="00DD26D6">
        <w:rPr>
          <w:rFonts w:ascii="Times New Roman" w:hAnsi="Times New Roman" w:cs="Times New Roman"/>
          <w:sz w:val="24"/>
          <w:szCs w:val="24"/>
        </w:rPr>
        <w:t>providers</w:t>
      </w:r>
      <w:r w:rsidR="00667F35">
        <w:rPr>
          <w:rFonts w:ascii="Times New Roman" w:hAnsi="Times New Roman" w:cs="Times New Roman"/>
          <w:sz w:val="24"/>
          <w:szCs w:val="24"/>
        </w:rPr>
        <w:t xml:space="preserve"> to report to the ACMA and the Department</w:t>
      </w:r>
      <w:r w:rsidR="00DD26D6">
        <w:rPr>
          <w:rFonts w:ascii="Times New Roman" w:hAnsi="Times New Roman" w:cs="Times New Roman"/>
          <w:sz w:val="24"/>
          <w:szCs w:val="24"/>
        </w:rPr>
        <w:t xml:space="preserve"> </w:t>
      </w:r>
      <w:r w:rsidR="00667F35">
        <w:rPr>
          <w:rFonts w:ascii="Times New Roman" w:hAnsi="Times New Roman" w:cs="Times New Roman"/>
          <w:sz w:val="24"/>
          <w:szCs w:val="24"/>
        </w:rPr>
        <w:t>after a major outage</w:t>
      </w:r>
      <w:r w:rsidR="00DD26D6">
        <w:rPr>
          <w:rFonts w:ascii="Times New Roman" w:hAnsi="Times New Roman" w:cs="Times New Roman"/>
          <w:sz w:val="24"/>
          <w:szCs w:val="24"/>
        </w:rPr>
        <w:t>,</w:t>
      </w:r>
      <w:r w:rsidR="00667F35">
        <w:rPr>
          <w:rFonts w:ascii="Times New Roman" w:hAnsi="Times New Roman" w:cs="Times New Roman"/>
          <w:sz w:val="24"/>
          <w:szCs w:val="24"/>
        </w:rPr>
        <w:t xml:space="preserve"> </w:t>
      </w:r>
      <w:r w:rsidR="00DD26D6">
        <w:rPr>
          <w:rFonts w:ascii="Times New Roman" w:hAnsi="Times New Roman" w:cs="Times New Roman"/>
          <w:sz w:val="24"/>
          <w:szCs w:val="24"/>
        </w:rPr>
        <w:t>identifying</w:t>
      </w:r>
      <w:r w:rsidR="00667F35">
        <w:rPr>
          <w:rFonts w:ascii="Times New Roman" w:hAnsi="Times New Roman" w:cs="Times New Roman"/>
          <w:sz w:val="24"/>
          <w:szCs w:val="24"/>
        </w:rPr>
        <w:t xml:space="preserve"> its causes, steps taken to resolve it, the impact on Triple Zero, and a plan to avoid similar outages in future.</w:t>
      </w:r>
      <w:r>
        <w:rPr>
          <w:rFonts w:ascii="Times New Roman" w:hAnsi="Times New Roman" w:cs="Times New Roman"/>
          <w:sz w:val="24"/>
          <w:szCs w:val="24"/>
        </w:rPr>
        <w:t xml:space="preserve"> This recommendation is being addressed by subsection 6(1)(c) of the Direction.</w:t>
      </w:r>
    </w:p>
    <w:p w14:paraId="77035568" w14:textId="55F05D48" w:rsidR="00E4360C" w:rsidRDefault="00E4360C" w:rsidP="00E4360C">
      <w:pPr>
        <w:spacing w:after="0" w:line="240" w:lineRule="auto"/>
        <w:rPr>
          <w:rFonts w:ascii="Times New Roman" w:hAnsi="Times New Roman" w:cs="Times New Roman"/>
          <w:sz w:val="24"/>
          <w:szCs w:val="24"/>
        </w:rPr>
      </w:pPr>
    </w:p>
    <w:p w14:paraId="6A783D0D" w14:textId="353AD774" w:rsidR="00667F35" w:rsidRPr="00667F35" w:rsidRDefault="00E4360C" w:rsidP="00E4360C">
      <w:pPr>
        <w:spacing w:after="0" w:line="240" w:lineRule="auto"/>
        <w:rPr>
          <w:rFonts w:ascii="Times New Roman" w:hAnsi="Times New Roman" w:cs="Times New Roman"/>
          <w:sz w:val="24"/>
          <w:szCs w:val="24"/>
        </w:rPr>
      </w:pPr>
      <w:r>
        <w:rPr>
          <w:rFonts w:ascii="Times New Roman" w:hAnsi="Times New Roman" w:cs="Times New Roman"/>
          <w:sz w:val="24"/>
          <w:szCs w:val="24"/>
        </w:rPr>
        <w:t>The fourth recommendation is to c</w:t>
      </w:r>
      <w:r w:rsidR="00667F35">
        <w:rPr>
          <w:rFonts w:ascii="Times New Roman" w:hAnsi="Times New Roman" w:cs="Times New Roman"/>
          <w:sz w:val="24"/>
          <w:szCs w:val="24"/>
        </w:rPr>
        <w:t>ombin</w:t>
      </w:r>
      <w:r>
        <w:rPr>
          <w:rFonts w:ascii="Times New Roman" w:hAnsi="Times New Roman" w:cs="Times New Roman"/>
          <w:sz w:val="24"/>
          <w:szCs w:val="24"/>
        </w:rPr>
        <w:t>e</w:t>
      </w:r>
      <w:r w:rsidR="00667F35">
        <w:rPr>
          <w:rFonts w:ascii="Times New Roman" w:hAnsi="Times New Roman" w:cs="Times New Roman"/>
          <w:sz w:val="24"/>
          <w:szCs w:val="24"/>
        </w:rPr>
        <w:t xml:space="preserve"> and expand existing disruption protocol instruments to cover all matters relevant to outages in any element of the Triple Zero ecosystem.</w:t>
      </w:r>
      <w:r>
        <w:rPr>
          <w:rFonts w:ascii="Times New Roman" w:hAnsi="Times New Roman" w:cs="Times New Roman"/>
          <w:sz w:val="24"/>
          <w:szCs w:val="24"/>
        </w:rPr>
        <w:t xml:space="preserve"> This recommendation is being addressed by subsection 6(1)(d) of the Direction.</w:t>
      </w:r>
    </w:p>
    <w:p w14:paraId="67694F76" w14:textId="77777777" w:rsidR="00667F35" w:rsidRDefault="00667F35" w:rsidP="00875127">
      <w:pPr>
        <w:spacing w:after="0" w:line="240" w:lineRule="auto"/>
        <w:rPr>
          <w:rFonts w:ascii="Times New Roman" w:hAnsi="Times New Roman" w:cs="Times New Roman"/>
          <w:sz w:val="24"/>
          <w:szCs w:val="24"/>
        </w:rPr>
      </w:pPr>
    </w:p>
    <w:p w14:paraId="602DAF2D" w14:textId="2FB98362" w:rsidR="009F292D" w:rsidRDefault="009F292D" w:rsidP="008751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w:t>
      </w:r>
      <w:r w:rsidR="007A6DBB">
        <w:rPr>
          <w:rFonts w:ascii="Times New Roman" w:hAnsi="Times New Roman" w:cs="Times New Roman"/>
          <w:sz w:val="24"/>
          <w:szCs w:val="24"/>
        </w:rPr>
        <w:t xml:space="preserve">to the 8 November outage, the shutdown of Australia’s </w:t>
      </w:r>
      <w:r>
        <w:rPr>
          <w:rFonts w:ascii="Times New Roman" w:hAnsi="Times New Roman" w:cs="Times New Roman"/>
          <w:sz w:val="24"/>
          <w:szCs w:val="24"/>
        </w:rPr>
        <w:t xml:space="preserve">3G </w:t>
      </w:r>
      <w:r w:rsidR="0094748A">
        <w:rPr>
          <w:rFonts w:ascii="Times New Roman" w:hAnsi="Times New Roman" w:cs="Times New Roman"/>
          <w:sz w:val="24"/>
          <w:szCs w:val="24"/>
        </w:rPr>
        <w:t xml:space="preserve">mobile </w:t>
      </w:r>
      <w:r>
        <w:rPr>
          <w:rFonts w:ascii="Times New Roman" w:hAnsi="Times New Roman" w:cs="Times New Roman"/>
          <w:sz w:val="24"/>
          <w:szCs w:val="24"/>
        </w:rPr>
        <w:t>network</w:t>
      </w:r>
      <w:r w:rsidR="007A6DBB">
        <w:rPr>
          <w:rFonts w:ascii="Times New Roman" w:hAnsi="Times New Roman" w:cs="Times New Roman"/>
          <w:sz w:val="24"/>
          <w:szCs w:val="24"/>
        </w:rPr>
        <w:t xml:space="preserve">s has </w:t>
      </w:r>
      <w:r>
        <w:rPr>
          <w:rFonts w:ascii="Times New Roman" w:hAnsi="Times New Roman" w:cs="Times New Roman"/>
          <w:sz w:val="24"/>
          <w:szCs w:val="24"/>
        </w:rPr>
        <w:t xml:space="preserve">demonstrated </w:t>
      </w:r>
      <w:r w:rsidR="007A6DBB">
        <w:rPr>
          <w:rFonts w:ascii="Times New Roman" w:hAnsi="Times New Roman" w:cs="Times New Roman"/>
          <w:sz w:val="24"/>
          <w:szCs w:val="24"/>
        </w:rPr>
        <w:t xml:space="preserve">the </w:t>
      </w:r>
      <w:r>
        <w:rPr>
          <w:rFonts w:ascii="Times New Roman" w:hAnsi="Times New Roman" w:cs="Times New Roman"/>
          <w:sz w:val="24"/>
          <w:szCs w:val="24"/>
        </w:rPr>
        <w:t xml:space="preserve">technical limitations </w:t>
      </w:r>
      <w:r w:rsidR="007A6DBB">
        <w:rPr>
          <w:rFonts w:ascii="Times New Roman" w:hAnsi="Times New Roman" w:cs="Times New Roman"/>
          <w:sz w:val="24"/>
          <w:szCs w:val="24"/>
        </w:rPr>
        <w:t>of</w:t>
      </w:r>
      <w:r>
        <w:rPr>
          <w:rFonts w:ascii="Times New Roman" w:hAnsi="Times New Roman" w:cs="Times New Roman"/>
          <w:sz w:val="24"/>
          <w:szCs w:val="24"/>
        </w:rPr>
        <w:t xml:space="preserve"> some mobile </w:t>
      </w:r>
      <w:r w:rsidR="009F7E30">
        <w:rPr>
          <w:rFonts w:ascii="Times New Roman" w:hAnsi="Times New Roman" w:cs="Times New Roman"/>
          <w:sz w:val="24"/>
          <w:szCs w:val="24"/>
        </w:rPr>
        <w:t>phones</w:t>
      </w:r>
      <w:r>
        <w:rPr>
          <w:rFonts w:ascii="Times New Roman" w:hAnsi="Times New Roman" w:cs="Times New Roman"/>
          <w:sz w:val="24"/>
          <w:szCs w:val="24"/>
        </w:rPr>
        <w:t xml:space="preserve"> in the Australian telecommunications environment</w:t>
      </w:r>
      <w:r w:rsidR="007A6DBB">
        <w:rPr>
          <w:rFonts w:ascii="Times New Roman" w:hAnsi="Times New Roman" w:cs="Times New Roman"/>
          <w:sz w:val="24"/>
          <w:szCs w:val="24"/>
        </w:rPr>
        <w:t xml:space="preserve">. These limitations </w:t>
      </w:r>
      <w:r w:rsidR="001D311C">
        <w:rPr>
          <w:rFonts w:ascii="Times New Roman" w:hAnsi="Times New Roman" w:cs="Times New Roman"/>
          <w:sz w:val="24"/>
          <w:szCs w:val="24"/>
        </w:rPr>
        <w:t xml:space="preserve">mean some </w:t>
      </w:r>
      <w:r w:rsidR="009F7E30">
        <w:rPr>
          <w:rFonts w:ascii="Times New Roman" w:hAnsi="Times New Roman" w:cs="Times New Roman"/>
          <w:sz w:val="24"/>
          <w:szCs w:val="24"/>
        </w:rPr>
        <w:t>mobile phones</w:t>
      </w:r>
      <w:r w:rsidR="001D311C">
        <w:rPr>
          <w:rFonts w:ascii="Times New Roman" w:hAnsi="Times New Roman" w:cs="Times New Roman"/>
          <w:sz w:val="24"/>
          <w:szCs w:val="24"/>
        </w:rPr>
        <w:t xml:space="preserve"> will be unable to call Triple Zero </w:t>
      </w:r>
      <w:r w:rsidR="0094748A">
        <w:rPr>
          <w:rFonts w:ascii="Times New Roman" w:hAnsi="Times New Roman" w:cs="Times New Roman"/>
          <w:sz w:val="24"/>
          <w:szCs w:val="24"/>
        </w:rPr>
        <w:t>after these networks are closed. This</w:t>
      </w:r>
      <w:r w:rsidR="00DD26D6">
        <w:rPr>
          <w:rFonts w:ascii="Times New Roman" w:hAnsi="Times New Roman" w:cs="Times New Roman"/>
          <w:sz w:val="24"/>
          <w:szCs w:val="24"/>
        </w:rPr>
        <w:t xml:space="preserve"> includ</w:t>
      </w:r>
      <w:r w:rsidR="0094748A">
        <w:rPr>
          <w:rFonts w:ascii="Times New Roman" w:hAnsi="Times New Roman" w:cs="Times New Roman"/>
          <w:sz w:val="24"/>
          <w:szCs w:val="24"/>
        </w:rPr>
        <w:t>es</w:t>
      </w:r>
      <w:r w:rsidR="007C454D">
        <w:rPr>
          <w:rFonts w:ascii="Times New Roman" w:hAnsi="Times New Roman" w:cs="Times New Roman"/>
          <w:sz w:val="24"/>
          <w:szCs w:val="24"/>
        </w:rPr>
        <w:t xml:space="preserve"> some</w:t>
      </w:r>
      <w:r w:rsidR="00DD26D6">
        <w:rPr>
          <w:rFonts w:ascii="Times New Roman" w:hAnsi="Times New Roman" w:cs="Times New Roman"/>
          <w:sz w:val="24"/>
          <w:szCs w:val="24"/>
        </w:rPr>
        <w:t xml:space="preserve"> mobile phones that will continue to be capable of making non-emergency calls</w:t>
      </w:r>
      <w:r w:rsidR="007D4DDD">
        <w:rPr>
          <w:rFonts w:ascii="Times New Roman" w:hAnsi="Times New Roman" w:cs="Times New Roman"/>
          <w:sz w:val="24"/>
          <w:szCs w:val="24"/>
        </w:rPr>
        <w:t xml:space="preserve"> over 4G and 5G networks</w:t>
      </w:r>
      <w:r w:rsidR="00DD26D6">
        <w:rPr>
          <w:rFonts w:ascii="Times New Roman" w:hAnsi="Times New Roman" w:cs="Times New Roman"/>
          <w:sz w:val="24"/>
          <w:szCs w:val="24"/>
        </w:rPr>
        <w:t>.</w:t>
      </w:r>
      <w:r w:rsidR="0094748A">
        <w:rPr>
          <w:rFonts w:ascii="Times New Roman" w:hAnsi="Times New Roman" w:cs="Times New Roman"/>
          <w:sz w:val="24"/>
          <w:szCs w:val="24"/>
        </w:rPr>
        <w:t xml:space="preserve"> </w:t>
      </w:r>
    </w:p>
    <w:p w14:paraId="7D5BCE4E" w14:textId="4606754E" w:rsidR="00E4360C" w:rsidRDefault="00E4360C" w:rsidP="00875127">
      <w:pPr>
        <w:spacing w:after="0" w:line="240" w:lineRule="auto"/>
        <w:rPr>
          <w:rFonts w:ascii="Times New Roman" w:hAnsi="Times New Roman" w:cs="Times New Roman"/>
          <w:sz w:val="24"/>
          <w:szCs w:val="24"/>
        </w:rPr>
      </w:pPr>
    </w:p>
    <w:p w14:paraId="14539361" w14:textId="2D5F8509" w:rsidR="004070E9" w:rsidRDefault="004070E9" w:rsidP="00875127">
      <w:pPr>
        <w:spacing w:after="0" w:line="240" w:lineRule="auto"/>
        <w:rPr>
          <w:rFonts w:ascii="Times New Roman" w:hAnsi="Times New Roman" w:cs="Times New Roman"/>
          <w:sz w:val="24"/>
          <w:szCs w:val="24"/>
        </w:rPr>
      </w:pPr>
      <w:r>
        <w:rPr>
          <w:rFonts w:ascii="Times New Roman" w:hAnsi="Times New Roman" w:cs="Times New Roman"/>
          <w:sz w:val="24"/>
          <w:szCs w:val="24"/>
        </w:rPr>
        <w:t>Subsection</w:t>
      </w:r>
      <w:r w:rsidR="00BB3880">
        <w:rPr>
          <w:rFonts w:ascii="Times New Roman" w:hAnsi="Times New Roman" w:cs="Times New Roman"/>
          <w:sz w:val="24"/>
          <w:szCs w:val="24"/>
        </w:rPr>
        <w:t xml:space="preserve"> 6(2) </w:t>
      </w:r>
      <w:r w:rsidR="00E4360C">
        <w:rPr>
          <w:rFonts w:ascii="Times New Roman" w:hAnsi="Times New Roman" w:cs="Times New Roman"/>
          <w:sz w:val="24"/>
          <w:szCs w:val="24"/>
        </w:rPr>
        <w:t>direct</w:t>
      </w:r>
      <w:r>
        <w:rPr>
          <w:rFonts w:ascii="Times New Roman" w:hAnsi="Times New Roman" w:cs="Times New Roman"/>
          <w:sz w:val="24"/>
          <w:szCs w:val="24"/>
        </w:rPr>
        <w:t>s</w:t>
      </w:r>
      <w:r w:rsidR="00E4360C">
        <w:rPr>
          <w:rFonts w:ascii="Times New Roman" w:hAnsi="Times New Roman" w:cs="Times New Roman"/>
          <w:sz w:val="24"/>
          <w:szCs w:val="24"/>
        </w:rPr>
        <w:t xml:space="preserve"> ACMA to include requirements for providers to identify </w:t>
      </w:r>
      <w:r>
        <w:rPr>
          <w:rFonts w:ascii="Times New Roman" w:hAnsi="Times New Roman" w:cs="Times New Roman"/>
          <w:sz w:val="24"/>
          <w:szCs w:val="24"/>
        </w:rPr>
        <w:t>mobile phones</w:t>
      </w:r>
      <w:r w:rsidR="00E4360C">
        <w:rPr>
          <w:rFonts w:ascii="Times New Roman" w:hAnsi="Times New Roman" w:cs="Times New Roman"/>
          <w:sz w:val="24"/>
          <w:szCs w:val="24"/>
        </w:rPr>
        <w:t xml:space="preserve"> unable to access Triple Zero, notify the user, </w:t>
      </w:r>
      <w:r>
        <w:rPr>
          <w:rFonts w:ascii="Times New Roman" w:hAnsi="Times New Roman" w:cs="Times New Roman"/>
          <w:sz w:val="24"/>
          <w:szCs w:val="24"/>
        </w:rPr>
        <w:t xml:space="preserve">provide assistance if necessary to access an alternative mobile phone, and cease providing service to the affected device. Providers will also be required to not provide service to a </w:t>
      </w:r>
      <w:r w:rsidR="00A81CD8">
        <w:rPr>
          <w:rFonts w:ascii="Times New Roman" w:hAnsi="Times New Roman" w:cs="Times New Roman"/>
          <w:sz w:val="24"/>
          <w:szCs w:val="24"/>
        </w:rPr>
        <w:t xml:space="preserve">prospective </w:t>
      </w:r>
      <w:r>
        <w:rPr>
          <w:rFonts w:ascii="Times New Roman" w:hAnsi="Times New Roman" w:cs="Times New Roman"/>
          <w:sz w:val="24"/>
          <w:szCs w:val="24"/>
        </w:rPr>
        <w:t>customer seeking service with an affected mobile phone. This requirement makes clear the responsibility providers have to ensure mobile networks provide access to the emergency call service.</w:t>
      </w:r>
    </w:p>
    <w:p w14:paraId="04B5B6B3" w14:textId="184F6FBB" w:rsidR="00F85204" w:rsidRDefault="00F85204" w:rsidP="00875127">
      <w:pPr>
        <w:spacing w:after="0" w:line="240" w:lineRule="auto"/>
        <w:rPr>
          <w:rFonts w:ascii="Times New Roman" w:hAnsi="Times New Roman" w:cs="Times New Roman"/>
          <w:sz w:val="24"/>
          <w:szCs w:val="24"/>
        </w:rPr>
      </w:pPr>
    </w:p>
    <w:p w14:paraId="3A7E18FF" w14:textId="63B07B9A" w:rsidR="00F85204" w:rsidRDefault="00F85204" w:rsidP="008751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amendments to the Determination to be made under section 6(1) are to be determined by 30 </w:t>
      </w:r>
      <w:r w:rsidR="00E25603">
        <w:rPr>
          <w:rFonts w:ascii="Times New Roman" w:hAnsi="Times New Roman" w:cs="Times New Roman"/>
          <w:sz w:val="24"/>
          <w:szCs w:val="24"/>
        </w:rPr>
        <w:t>April</w:t>
      </w:r>
      <w:r>
        <w:rPr>
          <w:rFonts w:ascii="Times New Roman" w:hAnsi="Times New Roman" w:cs="Times New Roman"/>
          <w:sz w:val="24"/>
          <w:szCs w:val="24"/>
        </w:rPr>
        <w:t xml:space="preserve"> 2025 and commence in full by 1 November 2025 at the latest.</w:t>
      </w:r>
    </w:p>
    <w:p w14:paraId="2D99B90D" w14:textId="7D5CFC63" w:rsidR="00F85204" w:rsidRDefault="00F85204" w:rsidP="00875127">
      <w:pPr>
        <w:spacing w:after="0" w:line="240" w:lineRule="auto"/>
        <w:rPr>
          <w:rFonts w:ascii="Times New Roman" w:hAnsi="Times New Roman" w:cs="Times New Roman"/>
          <w:sz w:val="24"/>
          <w:szCs w:val="24"/>
        </w:rPr>
      </w:pPr>
    </w:p>
    <w:p w14:paraId="734B6BE8" w14:textId="6905057A" w:rsidR="00F85204" w:rsidRDefault="00F85204" w:rsidP="008751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amendments to the Determination to be made under section 6(2) are to be determined and commence in full by </w:t>
      </w:r>
      <w:r w:rsidR="00BB23CC">
        <w:rPr>
          <w:rFonts w:ascii="Times New Roman" w:hAnsi="Times New Roman" w:cs="Times New Roman"/>
          <w:sz w:val="24"/>
          <w:szCs w:val="24"/>
        </w:rPr>
        <w:t>1 November 2024</w:t>
      </w:r>
      <w:r>
        <w:rPr>
          <w:rFonts w:ascii="Times New Roman" w:hAnsi="Times New Roman" w:cs="Times New Roman"/>
          <w:sz w:val="24"/>
          <w:szCs w:val="24"/>
        </w:rPr>
        <w:t>.</w:t>
      </w:r>
    </w:p>
    <w:p w14:paraId="11027561" w14:textId="265DC7FB" w:rsidR="00070628" w:rsidRDefault="00070628" w:rsidP="00875127">
      <w:pPr>
        <w:spacing w:after="0" w:line="240" w:lineRule="auto"/>
        <w:rPr>
          <w:rFonts w:ascii="Times New Roman" w:hAnsi="Times New Roman" w:cs="Times New Roman"/>
          <w:sz w:val="24"/>
          <w:szCs w:val="24"/>
        </w:rPr>
      </w:pPr>
    </w:p>
    <w:p w14:paraId="76CDB56F" w14:textId="10CACD30" w:rsidR="00070628" w:rsidRDefault="00070628" w:rsidP="00CB1221">
      <w:pPr>
        <w:keepNext/>
        <w:spacing w:after="0" w:line="240" w:lineRule="auto"/>
        <w:rPr>
          <w:rFonts w:ascii="Times New Roman" w:hAnsi="Times New Roman" w:cs="Times New Roman"/>
          <w:b/>
          <w:sz w:val="24"/>
          <w:szCs w:val="24"/>
        </w:rPr>
      </w:pPr>
      <w:r>
        <w:rPr>
          <w:rFonts w:ascii="Times New Roman" w:hAnsi="Times New Roman" w:cs="Times New Roman"/>
          <w:b/>
          <w:sz w:val="24"/>
          <w:szCs w:val="24"/>
        </w:rPr>
        <w:t>Impact Analysis</w:t>
      </w:r>
    </w:p>
    <w:p w14:paraId="4F2E5DEA" w14:textId="40D5ABAE" w:rsidR="00070628" w:rsidRDefault="00070628" w:rsidP="00CB1221">
      <w:pPr>
        <w:keepNext/>
        <w:spacing w:after="0" w:line="240" w:lineRule="auto"/>
        <w:rPr>
          <w:rFonts w:ascii="Times New Roman" w:hAnsi="Times New Roman" w:cs="Times New Roman"/>
          <w:sz w:val="24"/>
          <w:szCs w:val="24"/>
        </w:rPr>
      </w:pPr>
    </w:p>
    <w:p w14:paraId="7499DEFE" w14:textId="271F4726" w:rsidR="00657064" w:rsidRPr="00B07F27" w:rsidRDefault="00657064" w:rsidP="00CB1221">
      <w:pPr>
        <w:keepNext/>
        <w:spacing w:after="0" w:line="240" w:lineRule="auto"/>
        <w:rPr>
          <w:rFonts w:ascii="Times New Roman" w:hAnsi="Times New Roman" w:cs="Times New Roman"/>
          <w:sz w:val="24"/>
          <w:lang w:val="en-US"/>
        </w:rPr>
      </w:pPr>
      <w:r w:rsidRPr="009A1493">
        <w:rPr>
          <w:rFonts w:ascii="Times New Roman" w:hAnsi="Times New Roman" w:cs="Times New Roman"/>
          <w:sz w:val="24"/>
          <w:lang w:val="en-US"/>
        </w:rPr>
        <w:t>The Office of Impact Analysis will consider the appropriate requirements for the amendments to the Determination made in accordance with the Direction, in due course.</w:t>
      </w:r>
    </w:p>
    <w:p w14:paraId="06B761B1" w14:textId="26C0B0B4" w:rsidR="00875127" w:rsidRPr="00CB1221" w:rsidRDefault="00875127" w:rsidP="00CB1221">
      <w:pPr>
        <w:pStyle w:val="ListParagraph"/>
        <w:keepNext/>
        <w:shd w:val="clear" w:color="auto" w:fill="FFFFFF"/>
        <w:spacing w:after="0" w:line="240" w:lineRule="auto"/>
        <w:ind w:left="0"/>
        <w:contextualSpacing w:val="0"/>
        <w:rPr>
          <w:rFonts w:ascii="Times New Roman" w:hAnsi="Times New Roman"/>
          <w:b/>
          <w:sz w:val="24"/>
          <w:szCs w:val="24"/>
        </w:rPr>
      </w:pPr>
    </w:p>
    <w:p w14:paraId="170591FE" w14:textId="442B8636" w:rsidR="00892394" w:rsidRDefault="00892394" w:rsidP="00CB1221">
      <w:pPr>
        <w:keepNext/>
        <w:shd w:val="clear" w:color="auto" w:fill="FFFFFF"/>
        <w:spacing w:after="0" w:line="240" w:lineRule="auto"/>
        <w:rPr>
          <w:rFonts w:ascii="Times New Roman" w:hAnsi="Times New Roman"/>
          <w:b/>
          <w:sz w:val="24"/>
          <w:szCs w:val="24"/>
        </w:rPr>
      </w:pPr>
      <w:r>
        <w:rPr>
          <w:rFonts w:ascii="Times New Roman" w:hAnsi="Times New Roman"/>
          <w:b/>
          <w:sz w:val="24"/>
          <w:szCs w:val="24"/>
        </w:rPr>
        <w:t>Consultation</w:t>
      </w:r>
    </w:p>
    <w:p w14:paraId="54C8A753" w14:textId="77777777" w:rsidR="00875127" w:rsidRDefault="00875127" w:rsidP="00CB1221">
      <w:pPr>
        <w:keepNext/>
        <w:shd w:val="clear" w:color="auto" w:fill="FFFFFF"/>
        <w:spacing w:after="0" w:line="240" w:lineRule="auto"/>
        <w:rPr>
          <w:rFonts w:ascii="Times New Roman" w:hAnsi="Times New Roman"/>
          <w:sz w:val="24"/>
          <w:szCs w:val="24"/>
        </w:rPr>
      </w:pPr>
    </w:p>
    <w:p w14:paraId="70D67787" w14:textId="7925AA62" w:rsidR="00657064" w:rsidRPr="00B07F27" w:rsidRDefault="00657064" w:rsidP="00657064">
      <w:pPr>
        <w:keepNext/>
        <w:spacing w:after="0" w:line="240" w:lineRule="auto"/>
        <w:rPr>
          <w:rFonts w:ascii="Times New Roman" w:hAnsi="Times New Roman" w:cs="Times New Roman"/>
          <w:sz w:val="24"/>
          <w:lang w:val="en-US"/>
        </w:rPr>
      </w:pPr>
      <w:r w:rsidRPr="00B07F27">
        <w:rPr>
          <w:rFonts w:ascii="Times New Roman" w:hAnsi="Times New Roman" w:cs="Times New Roman"/>
          <w:sz w:val="24"/>
          <w:lang w:val="en-US"/>
        </w:rPr>
        <w:t>Consultation on the proposed Direction was undertaken with the ACMA, the Telecommunications Industry Ombudsman</w:t>
      </w:r>
      <w:r>
        <w:rPr>
          <w:rFonts w:ascii="Times New Roman" w:hAnsi="Times New Roman" w:cs="Times New Roman"/>
          <w:sz w:val="24"/>
          <w:lang w:val="en-US"/>
        </w:rPr>
        <w:t xml:space="preserve"> (TIO)</w:t>
      </w:r>
      <w:r w:rsidRPr="00B07F27">
        <w:rPr>
          <w:rFonts w:ascii="Times New Roman" w:hAnsi="Times New Roman" w:cs="Times New Roman"/>
          <w:sz w:val="24"/>
          <w:lang w:val="en-US"/>
        </w:rPr>
        <w:t xml:space="preserve">, the Australian Communications Consumer </w:t>
      </w:r>
      <w:r w:rsidRPr="00B07F27">
        <w:rPr>
          <w:rFonts w:ascii="Times New Roman" w:hAnsi="Times New Roman" w:cs="Times New Roman"/>
          <w:sz w:val="24"/>
          <w:lang w:val="en-US"/>
        </w:rPr>
        <w:lastRenderedPageBreak/>
        <w:t>Action Network</w:t>
      </w:r>
      <w:r>
        <w:rPr>
          <w:rFonts w:ascii="Times New Roman" w:hAnsi="Times New Roman" w:cs="Times New Roman"/>
          <w:sz w:val="24"/>
          <w:lang w:val="en-US"/>
        </w:rPr>
        <w:t xml:space="preserve"> (ACCAN)</w:t>
      </w:r>
      <w:r w:rsidRPr="00B07F27">
        <w:rPr>
          <w:rFonts w:ascii="Times New Roman" w:hAnsi="Times New Roman" w:cs="Times New Roman"/>
          <w:sz w:val="24"/>
          <w:lang w:val="en-US"/>
        </w:rPr>
        <w:t>, Communications Alliance and members of the telecommunications industry.</w:t>
      </w:r>
    </w:p>
    <w:p w14:paraId="695EE5F6" w14:textId="77777777" w:rsidR="00875127" w:rsidRPr="00574C00" w:rsidRDefault="00875127" w:rsidP="00875127">
      <w:pPr>
        <w:spacing w:after="0" w:line="240" w:lineRule="auto"/>
        <w:rPr>
          <w:rFonts w:ascii="Times New Roman" w:hAnsi="Times New Roman"/>
          <w:sz w:val="24"/>
          <w:szCs w:val="24"/>
        </w:rPr>
      </w:pPr>
    </w:p>
    <w:p w14:paraId="060026FA" w14:textId="77777777" w:rsidR="00875127" w:rsidRDefault="00892394" w:rsidP="00875127">
      <w:pPr>
        <w:shd w:val="clear" w:color="auto" w:fill="FFFFFF"/>
        <w:spacing w:after="0" w:line="240" w:lineRule="auto"/>
        <w:rPr>
          <w:rFonts w:ascii="Times New Roman" w:hAnsi="Times New Roman"/>
          <w:b/>
          <w:sz w:val="24"/>
          <w:szCs w:val="24"/>
        </w:rPr>
      </w:pPr>
      <w:r>
        <w:rPr>
          <w:rFonts w:ascii="Times New Roman" w:hAnsi="Times New Roman"/>
          <w:b/>
          <w:sz w:val="24"/>
          <w:szCs w:val="24"/>
        </w:rPr>
        <w:t>Statement of Compatibility with Human Rights</w:t>
      </w:r>
    </w:p>
    <w:p w14:paraId="0568ED2B" w14:textId="78A8FD08" w:rsidR="00892394" w:rsidRDefault="00892394" w:rsidP="00875127">
      <w:pPr>
        <w:shd w:val="clear" w:color="auto" w:fill="FFFFFF"/>
        <w:spacing w:after="0" w:line="240" w:lineRule="auto"/>
        <w:rPr>
          <w:rFonts w:ascii="Times New Roman" w:hAnsi="Times New Roman"/>
          <w:b/>
          <w:sz w:val="24"/>
          <w:szCs w:val="24"/>
        </w:rPr>
      </w:pPr>
    </w:p>
    <w:p w14:paraId="523732BE" w14:textId="6371158C" w:rsidR="00892394" w:rsidRPr="00875127" w:rsidRDefault="00875127" w:rsidP="00875127">
      <w:pPr>
        <w:shd w:val="clear" w:color="auto" w:fill="FFFFFF"/>
        <w:spacing w:after="240" w:line="240" w:lineRule="auto"/>
        <w:rPr>
          <w:rFonts w:ascii="Calibri" w:eastAsia="Times New Roman" w:hAnsi="Calibri" w:cs="Calibri"/>
          <w:color w:val="000000"/>
          <w:sz w:val="24"/>
          <w:szCs w:val="24"/>
          <w:lang w:eastAsia="en-AU"/>
        </w:rPr>
      </w:pPr>
      <w:r w:rsidRPr="00B07F27">
        <w:rPr>
          <w:rFonts w:ascii="Times New Roman" w:eastAsia="Times New Roman" w:hAnsi="Times New Roman" w:cs="Times New Roman"/>
          <w:color w:val="000000"/>
          <w:sz w:val="24"/>
          <w:szCs w:val="24"/>
          <w:lang w:eastAsia="en-AU"/>
        </w:rPr>
        <w:t xml:space="preserve">As section 42 of the </w:t>
      </w:r>
      <w:r w:rsidRPr="00B07F27">
        <w:rPr>
          <w:rFonts w:ascii="Times New Roman" w:eastAsia="Times New Roman" w:hAnsi="Times New Roman" w:cs="Times New Roman"/>
          <w:i/>
          <w:color w:val="000000"/>
          <w:sz w:val="24"/>
          <w:szCs w:val="24"/>
          <w:lang w:eastAsia="en-AU"/>
        </w:rPr>
        <w:t xml:space="preserve">Legislation Act 2003 </w:t>
      </w:r>
      <w:r w:rsidRPr="00B07F27">
        <w:rPr>
          <w:rFonts w:ascii="Times New Roman" w:eastAsia="Times New Roman" w:hAnsi="Times New Roman" w:cs="Times New Roman"/>
          <w:color w:val="000000"/>
          <w:sz w:val="24"/>
          <w:szCs w:val="24"/>
          <w:lang w:eastAsia="en-AU"/>
        </w:rPr>
        <w:t xml:space="preserve">does not apply to this instrument, being exempted under Part 4 of the </w:t>
      </w:r>
      <w:r w:rsidRPr="00B07F27">
        <w:rPr>
          <w:rFonts w:ascii="Times New Roman" w:eastAsia="Times New Roman" w:hAnsi="Times New Roman" w:cs="Times New Roman"/>
          <w:i/>
          <w:color w:val="000000"/>
          <w:sz w:val="24"/>
          <w:szCs w:val="24"/>
          <w:lang w:eastAsia="en-AU"/>
        </w:rPr>
        <w:t>Legislation (Exemption and Other Matters) Regulation 2015</w:t>
      </w:r>
      <w:r w:rsidRPr="00B07F27">
        <w:rPr>
          <w:rFonts w:ascii="Times New Roman" w:eastAsia="Times New Roman" w:hAnsi="Times New Roman" w:cs="Times New Roman"/>
          <w:color w:val="000000"/>
          <w:sz w:val="24"/>
          <w:szCs w:val="24"/>
          <w:lang w:eastAsia="en-AU"/>
        </w:rPr>
        <w:t>, a statement of compatibility with human rights is not required under section 9 of the </w:t>
      </w:r>
      <w:r w:rsidRPr="00B07F27">
        <w:rPr>
          <w:rFonts w:ascii="Times New Roman" w:eastAsia="Times New Roman" w:hAnsi="Times New Roman" w:cs="Times New Roman"/>
          <w:i/>
          <w:iCs/>
          <w:color w:val="000000"/>
          <w:sz w:val="24"/>
          <w:szCs w:val="24"/>
          <w:lang w:eastAsia="en-AU"/>
        </w:rPr>
        <w:t>Human Rights (Parliamentary Scrutiny) Act 2011.</w:t>
      </w:r>
      <w:r w:rsidRPr="00B07F27">
        <w:rPr>
          <w:rFonts w:ascii="Times New Roman" w:eastAsia="Times New Roman" w:hAnsi="Times New Roman" w:cs="Times New Roman"/>
          <w:i/>
          <w:color w:val="000000"/>
          <w:sz w:val="24"/>
          <w:szCs w:val="24"/>
          <w:lang w:eastAsia="en-AU"/>
        </w:rPr>
        <w:t xml:space="preserve"> </w:t>
      </w:r>
      <w:bookmarkEnd w:id="0"/>
      <w:r w:rsidR="00892394">
        <w:rPr>
          <w:rFonts w:ascii="Times New Roman" w:hAnsi="Times New Roman" w:cs="Times New Roman"/>
          <w:b/>
          <w:sz w:val="24"/>
          <w:szCs w:val="24"/>
        </w:rPr>
        <w:br w:type="page"/>
      </w:r>
    </w:p>
    <w:p w14:paraId="2AA2961D" w14:textId="77777777" w:rsidR="00892394" w:rsidRDefault="00892394" w:rsidP="0087512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5C29C3B6" w14:textId="77777777" w:rsidR="00B91A80" w:rsidRDefault="00B91A80" w:rsidP="00875127">
      <w:pPr>
        <w:spacing w:after="0" w:line="240" w:lineRule="auto"/>
        <w:rPr>
          <w:rFonts w:ascii="Times New Roman" w:hAnsi="Times New Roman" w:cs="Times New Roman"/>
          <w:b/>
          <w:sz w:val="24"/>
          <w:szCs w:val="24"/>
        </w:rPr>
      </w:pPr>
    </w:p>
    <w:p w14:paraId="3A65B060" w14:textId="1F4A8235" w:rsidR="00892394" w:rsidRDefault="00892394" w:rsidP="00875127">
      <w:pPr>
        <w:spacing w:after="0" w:line="240" w:lineRule="auto"/>
        <w:rPr>
          <w:rFonts w:ascii="Times New Roman" w:hAnsi="Times New Roman" w:cs="Times New Roman"/>
          <w:b/>
          <w:i/>
          <w:sz w:val="24"/>
          <w:szCs w:val="24"/>
        </w:rPr>
      </w:pPr>
      <w:r w:rsidRPr="00C40AF4">
        <w:rPr>
          <w:rFonts w:ascii="Times New Roman" w:hAnsi="Times New Roman" w:cs="Times New Roman"/>
          <w:b/>
          <w:sz w:val="24"/>
          <w:szCs w:val="24"/>
        </w:rPr>
        <w:t xml:space="preserve">Details of the </w:t>
      </w:r>
      <w:r w:rsidR="00C40AF4" w:rsidRPr="00C40AF4">
        <w:rPr>
          <w:rFonts w:ascii="Times New Roman" w:hAnsi="Times New Roman" w:cs="Times New Roman"/>
          <w:b/>
          <w:i/>
          <w:sz w:val="24"/>
          <w:szCs w:val="24"/>
        </w:rPr>
        <w:t>Australian Communications and Media Authority (Emergency Call Service Determination) Direction 2024</w:t>
      </w:r>
    </w:p>
    <w:p w14:paraId="0871F968" w14:textId="77777777" w:rsidR="00B91A80" w:rsidRPr="00C40AF4" w:rsidRDefault="00B91A80" w:rsidP="00875127">
      <w:pPr>
        <w:spacing w:after="0" w:line="240" w:lineRule="auto"/>
        <w:rPr>
          <w:rFonts w:ascii="Times New Roman" w:hAnsi="Times New Roman" w:cs="Times New Roman"/>
          <w:b/>
          <w:i/>
          <w:sz w:val="24"/>
          <w:szCs w:val="24"/>
        </w:rPr>
      </w:pPr>
    </w:p>
    <w:p w14:paraId="1779CF91" w14:textId="77777777" w:rsidR="00B91A80" w:rsidRPr="00B94357" w:rsidRDefault="00B91A80" w:rsidP="00B91A80">
      <w:pPr>
        <w:spacing w:after="0" w:line="240" w:lineRule="auto"/>
        <w:rPr>
          <w:rFonts w:ascii="Times New Roman" w:hAnsi="Times New Roman" w:cs="Times New Roman"/>
          <w:b/>
          <w:sz w:val="24"/>
          <w:szCs w:val="24"/>
          <w:lang w:val="en-US"/>
        </w:rPr>
      </w:pPr>
      <w:r w:rsidRPr="00B94357">
        <w:rPr>
          <w:rFonts w:ascii="Times New Roman" w:hAnsi="Times New Roman" w:cs="Times New Roman"/>
          <w:b/>
          <w:sz w:val="24"/>
          <w:szCs w:val="24"/>
          <w:lang w:val="en-US"/>
        </w:rPr>
        <w:t>Section 1 – Name</w:t>
      </w:r>
    </w:p>
    <w:p w14:paraId="64A9356F" w14:textId="77777777" w:rsidR="00B91A80" w:rsidRDefault="00B91A80" w:rsidP="00875127">
      <w:pPr>
        <w:spacing w:after="0" w:line="240" w:lineRule="auto"/>
        <w:ind w:right="91"/>
        <w:rPr>
          <w:rFonts w:ascii="Times New Roman" w:hAnsi="Times New Roman" w:cs="Times New Roman"/>
          <w:kern w:val="24"/>
          <w:sz w:val="24"/>
          <w:szCs w:val="24"/>
        </w:rPr>
      </w:pPr>
    </w:p>
    <w:p w14:paraId="3A82E840" w14:textId="4D347889" w:rsidR="00892394" w:rsidRPr="00C40AF4" w:rsidRDefault="00B91A80" w:rsidP="00875127">
      <w:pPr>
        <w:spacing w:after="0" w:line="240" w:lineRule="auto"/>
        <w:ind w:right="91"/>
        <w:rPr>
          <w:rFonts w:ascii="Times New Roman" w:hAnsi="Times New Roman" w:cs="Times New Roman"/>
          <w:kern w:val="24"/>
          <w:sz w:val="24"/>
          <w:szCs w:val="24"/>
        </w:rPr>
      </w:pPr>
      <w:r w:rsidRPr="007C50A8">
        <w:rPr>
          <w:rFonts w:ascii="Times New Roman" w:hAnsi="Times New Roman" w:cs="Times New Roman"/>
          <w:sz w:val="24"/>
          <w:szCs w:val="24"/>
          <w:lang w:val="en-US"/>
        </w:rPr>
        <w:t xml:space="preserve">This section provides that the name of the Direction is the </w:t>
      </w:r>
      <w:r w:rsidR="00C40AF4" w:rsidRPr="00875127">
        <w:rPr>
          <w:rFonts w:ascii="Times New Roman" w:hAnsi="Times New Roman" w:cs="Times New Roman"/>
          <w:i/>
          <w:kern w:val="24"/>
          <w:sz w:val="24"/>
          <w:szCs w:val="24"/>
        </w:rPr>
        <w:t>Australian Communications and Media Authority (Emergency Call Service Determination) Direction 2024</w:t>
      </w:r>
      <w:r w:rsidR="00C40AF4" w:rsidRPr="00C40AF4" w:rsidDel="00C40AF4">
        <w:rPr>
          <w:rFonts w:ascii="Times New Roman" w:hAnsi="Times New Roman" w:cs="Times New Roman"/>
          <w:i/>
          <w:sz w:val="24"/>
          <w:szCs w:val="24"/>
        </w:rPr>
        <w:t xml:space="preserve"> </w:t>
      </w:r>
    </w:p>
    <w:p w14:paraId="67EBEF7E" w14:textId="77777777" w:rsidR="00B91A80" w:rsidRDefault="00B91A80" w:rsidP="00875127">
      <w:pPr>
        <w:widowControl w:val="0"/>
        <w:spacing w:after="0" w:line="240" w:lineRule="auto"/>
        <w:ind w:right="91"/>
        <w:rPr>
          <w:rFonts w:ascii="Times New Roman" w:hAnsi="Times New Roman" w:cs="Times New Roman"/>
          <w:kern w:val="24"/>
          <w:sz w:val="24"/>
          <w:szCs w:val="24"/>
          <w:u w:val="single"/>
        </w:rPr>
      </w:pPr>
    </w:p>
    <w:p w14:paraId="614FA05E" w14:textId="763E6A2E" w:rsidR="00B91A80" w:rsidRDefault="00B91A80" w:rsidP="00B91A80">
      <w:pPr>
        <w:spacing w:after="0" w:line="240" w:lineRule="auto"/>
        <w:rPr>
          <w:rFonts w:ascii="Times New Roman" w:hAnsi="Times New Roman" w:cs="Times New Roman"/>
          <w:b/>
          <w:sz w:val="24"/>
          <w:szCs w:val="24"/>
          <w:lang w:val="en-US"/>
        </w:rPr>
      </w:pPr>
      <w:r w:rsidRPr="007C50A8">
        <w:rPr>
          <w:rFonts w:ascii="Times New Roman" w:hAnsi="Times New Roman" w:cs="Times New Roman"/>
          <w:b/>
          <w:sz w:val="24"/>
          <w:szCs w:val="24"/>
          <w:lang w:val="en-US"/>
        </w:rPr>
        <w:t>Section 2 – Commencement</w:t>
      </w:r>
    </w:p>
    <w:p w14:paraId="537C6A0F" w14:textId="77777777" w:rsidR="00B91A80" w:rsidRPr="007C50A8" w:rsidRDefault="00B91A80" w:rsidP="00B91A80">
      <w:pPr>
        <w:spacing w:after="0" w:line="240" w:lineRule="auto"/>
        <w:rPr>
          <w:rFonts w:ascii="Times New Roman" w:hAnsi="Times New Roman" w:cs="Times New Roman"/>
          <w:b/>
          <w:sz w:val="24"/>
          <w:szCs w:val="24"/>
          <w:lang w:val="en-US"/>
        </w:rPr>
      </w:pPr>
    </w:p>
    <w:p w14:paraId="2974ADF2" w14:textId="77777777" w:rsidR="00B91A80" w:rsidRPr="007C50A8" w:rsidRDefault="00B91A80" w:rsidP="00B91A80">
      <w:pPr>
        <w:spacing w:after="0" w:line="240" w:lineRule="auto"/>
        <w:rPr>
          <w:rFonts w:ascii="Times New Roman" w:hAnsi="Times New Roman" w:cs="Times New Roman"/>
          <w:sz w:val="24"/>
          <w:szCs w:val="24"/>
          <w:lang w:val="en-US"/>
        </w:rPr>
      </w:pPr>
      <w:r w:rsidRPr="007C50A8">
        <w:rPr>
          <w:rFonts w:ascii="Times New Roman" w:hAnsi="Times New Roman" w:cs="Times New Roman"/>
          <w:sz w:val="24"/>
          <w:szCs w:val="24"/>
          <w:lang w:val="en-US"/>
        </w:rPr>
        <w:t>This section provides that the Direction commences on the day after it is registered on the Federal Register of Legislation.</w:t>
      </w:r>
    </w:p>
    <w:p w14:paraId="11B04A54" w14:textId="77777777" w:rsidR="00B91A80" w:rsidRDefault="00B91A80" w:rsidP="00B91A80">
      <w:pPr>
        <w:spacing w:after="0" w:line="240" w:lineRule="auto"/>
        <w:rPr>
          <w:rFonts w:ascii="Times New Roman" w:hAnsi="Times New Roman" w:cs="Times New Roman"/>
          <w:b/>
          <w:sz w:val="24"/>
          <w:szCs w:val="24"/>
          <w:lang w:val="en-US"/>
        </w:rPr>
      </w:pPr>
    </w:p>
    <w:p w14:paraId="08E8773C" w14:textId="5932ECB9" w:rsidR="00B91A80" w:rsidRPr="007C50A8" w:rsidRDefault="00B91A80" w:rsidP="00B91A80">
      <w:pPr>
        <w:spacing w:after="0" w:line="240" w:lineRule="auto"/>
        <w:rPr>
          <w:rFonts w:ascii="Times New Roman" w:hAnsi="Times New Roman" w:cs="Times New Roman"/>
          <w:b/>
          <w:sz w:val="24"/>
          <w:szCs w:val="24"/>
          <w:lang w:val="en-US"/>
        </w:rPr>
      </w:pPr>
      <w:r w:rsidRPr="007C50A8">
        <w:rPr>
          <w:rFonts w:ascii="Times New Roman" w:hAnsi="Times New Roman" w:cs="Times New Roman"/>
          <w:b/>
          <w:sz w:val="24"/>
          <w:szCs w:val="24"/>
          <w:lang w:val="en-US"/>
        </w:rPr>
        <w:t>Section 3 – Authority</w:t>
      </w:r>
    </w:p>
    <w:p w14:paraId="4C43F50D" w14:textId="77777777" w:rsidR="00B91A80" w:rsidRDefault="00B91A80" w:rsidP="00875127">
      <w:pPr>
        <w:spacing w:after="0" w:line="240" w:lineRule="auto"/>
        <w:rPr>
          <w:rFonts w:ascii="Times New Roman" w:hAnsi="Times New Roman" w:cs="Times New Roman"/>
          <w:kern w:val="24"/>
          <w:sz w:val="24"/>
          <w:szCs w:val="24"/>
        </w:rPr>
      </w:pPr>
    </w:p>
    <w:p w14:paraId="7B09C108" w14:textId="0FD49B3F" w:rsidR="00C40AF4" w:rsidRPr="00875127" w:rsidRDefault="00B91A80" w:rsidP="00875127">
      <w:pPr>
        <w:spacing w:after="0" w:line="240" w:lineRule="auto"/>
        <w:rPr>
          <w:rFonts w:ascii="Times New Roman" w:hAnsi="Times New Roman" w:cs="Times New Roman"/>
          <w:kern w:val="24"/>
          <w:sz w:val="24"/>
          <w:szCs w:val="24"/>
        </w:rPr>
      </w:pPr>
      <w:r w:rsidRPr="007C50A8">
        <w:rPr>
          <w:rFonts w:ascii="Times New Roman" w:hAnsi="Times New Roman" w:cs="Times New Roman"/>
          <w:sz w:val="24"/>
          <w:szCs w:val="24"/>
          <w:lang w:val="en-US"/>
        </w:rPr>
        <w:t xml:space="preserve">This section states that the Direction is made under subsection </w:t>
      </w:r>
      <w:r w:rsidR="00C40AF4" w:rsidRPr="00C40AF4">
        <w:rPr>
          <w:rFonts w:ascii="Times New Roman" w:hAnsi="Times New Roman" w:cs="Times New Roman"/>
          <w:kern w:val="24"/>
          <w:sz w:val="24"/>
          <w:szCs w:val="24"/>
        </w:rPr>
        <w:t xml:space="preserve">14(1) of the </w:t>
      </w:r>
      <w:r w:rsidR="00C40AF4" w:rsidRPr="00C40AF4">
        <w:rPr>
          <w:rFonts w:ascii="Times New Roman" w:hAnsi="Times New Roman" w:cs="Times New Roman"/>
          <w:i/>
          <w:kern w:val="24"/>
          <w:sz w:val="24"/>
          <w:szCs w:val="24"/>
        </w:rPr>
        <w:t>Australian Communications and Media Authority Act 2005</w:t>
      </w:r>
      <w:r w:rsidR="00C40AF4">
        <w:rPr>
          <w:rFonts w:ascii="Times New Roman" w:hAnsi="Times New Roman" w:cs="Times New Roman"/>
          <w:kern w:val="24"/>
          <w:sz w:val="24"/>
          <w:szCs w:val="24"/>
        </w:rPr>
        <w:t>.</w:t>
      </w:r>
    </w:p>
    <w:p w14:paraId="2CA25BE1" w14:textId="77777777" w:rsidR="00B91A80" w:rsidRDefault="00B91A80" w:rsidP="00875127">
      <w:pPr>
        <w:shd w:val="clear" w:color="auto" w:fill="FFFFFF"/>
        <w:spacing w:after="0" w:line="240" w:lineRule="auto"/>
        <w:ind w:right="91"/>
        <w:rPr>
          <w:rFonts w:ascii="Times New Roman" w:hAnsi="Times New Roman"/>
          <w:sz w:val="24"/>
          <w:szCs w:val="24"/>
          <w:u w:val="single"/>
        </w:rPr>
      </w:pPr>
    </w:p>
    <w:p w14:paraId="6BABA093" w14:textId="77777777" w:rsidR="00B91A80" w:rsidRPr="007C50A8" w:rsidRDefault="00B91A80" w:rsidP="00B91A80">
      <w:pPr>
        <w:spacing w:after="0" w:line="240" w:lineRule="auto"/>
        <w:rPr>
          <w:rFonts w:ascii="Times New Roman" w:hAnsi="Times New Roman" w:cs="Times New Roman"/>
          <w:b/>
          <w:sz w:val="24"/>
          <w:szCs w:val="24"/>
          <w:lang w:val="en-US"/>
        </w:rPr>
      </w:pPr>
      <w:r w:rsidRPr="007C50A8">
        <w:rPr>
          <w:rFonts w:ascii="Times New Roman" w:hAnsi="Times New Roman" w:cs="Times New Roman"/>
          <w:b/>
          <w:sz w:val="24"/>
          <w:szCs w:val="24"/>
          <w:lang w:val="en-US"/>
        </w:rPr>
        <w:t>Section 4 – Definitions</w:t>
      </w:r>
    </w:p>
    <w:p w14:paraId="478EE53A" w14:textId="77777777" w:rsidR="00B91A80" w:rsidRDefault="00B91A80" w:rsidP="00875127">
      <w:pPr>
        <w:shd w:val="clear" w:color="auto" w:fill="FFFFFF"/>
        <w:spacing w:after="0" w:line="240" w:lineRule="auto"/>
        <w:ind w:right="91"/>
        <w:rPr>
          <w:rFonts w:ascii="Times New Roman" w:hAnsi="Times New Roman"/>
          <w:sz w:val="24"/>
          <w:szCs w:val="24"/>
        </w:rPr>
      </w:pPr>
    </w:p>
    <w:p w14:paraId="08C8E7A9" w14:textId="4439C102" w:rsidR="00B91A80" w:rsidRDefault="00B91A80" w:rsidP="00B91A80">
      <w:pPr>
        <w:spacing w:after="0" w:line="240" w:lineRule="auto"/>
        <w:rPr>
          <w:rFonts w:ascii="Times New Roman" w:hAnsi="Times New Roman" w:cs="Times New Roman"/>
          <w:sz w:val="24"/>
          <w:szCs w:val="24"/>
          <w:lang w:val="en-US"/>
        </w:rPr>
      </w:pPr>
      <w:r w:rsidRPr="007C50A8">
        <w:rPr>
          <w:rFonts w:ascii="Times New Roman" w:hAnsi="Times New Roman" w:cs="Times New Roman"/>
          <w:sz w:val="24"/>
          <w:szCs w:val="24"/>
          <w:lang w:val="en-US"/>
        </w:rPr>
        <w:t xml:space="preserve">This section sets out definitions for terms used in the Direction. </w:t>
      </w:r>
    </w:p>
    <w:p w14:paraId="76AE4F7A" w14:textId="77777777" w:rsidR="00BB23CC" w:rsidRDefault="00BB23CC" w:rsidP="00B91A80">
      <w:pPr>
        <w:spacing w:after="0" w:line="240" w:lineRule="auto"/>
        <w:rPr>
          <w:rFonts w:ascii="Times New Roman" w:hAnsi="Times New Roman" w:cs="Times New Roman"/>
          <w:sz w:val="24"/>
          <w:szCs w:val="24"/>
          <w:lang w:val="en-US"/>
        </w:rPr>
      </w:pPr>
    </w:p>
    <w:p w14:paraId="193C9556" w14:textId="77777777" w:rsidR="00BB23CC" w:rsidRPr="007C50A8" w:rsidRDefault="00BB23CC" w:rsidP="00BB23CC">
      <w:pPr>
        <w:pStyle w:val="Definition"/>
        <w:spacing w:before="0"/>
        <w:ind w:left="0"/>
        <w:rPr>
          <w:sz w:val="24"/>
          <w:szCs w:val="24"/>
          <w:lang w:val="en-US"/>
        </w:rPr>
      </w:pPr>
      <w:r w:rsidRPr="007C50A8">
        <w:rPr>
          <w:sz w:val="24"/>
          <w:szCs w:val="24"/>
          <w:lang w:val="en-US"/>
        </w:rPr>
        <w:t xml:space="preserve">The note to this section informs the reader that a number of expressions used in the instrument are defined in the </w:t>
      </w:r>
      <w:r>
        <w:rPr>
          <w:i/>
          <w:sz w:val="24"/>
          <w:szCs w:val="24"/>
          <w:lang w:val="en-US"/>
        </w:rPr>
        <w:t>Australian Communications and Media Authority Act 2005</w:t>
      </w:r>
      <w:r w:rsidRPr="007C50A8">
        <w:rPr>
          <w:sz w:val="24"/>
          <w:szCs w:val="24"/>
          <w:lang w:val="en-US"/>
        </w:rPr>
        <w:t xml:space="preserve"> (the Act).</w:t>
      </w:r>
    </w:p>
    <w:p w14:paraId="7A4A8E28" w14:textId="77777777" w:rsidR="00BB23CC" w:rsidRPr="007C50A8" w:rsidRDefault="00BB23CC" w:rsidP="00B91A80">
      <w:pPr>
        <w:spacing w:after="0" w:line="240" w:lineRule="auto"/>
        <w:rPr>
          <w:rFonts w:ascii="Times New Roman" w:hAnsi="Times New Roman" w:cs="Times New Roman"/>
          <w:sz w:val="24"/>
          <w:szCs w:val="24"/>
          <w:lang w:val="en-US"/>
        </w:rPr>
      </w:pPr>
    </w:p>
    <w:p w14:paraId="0C33A571" w14:textId="77777777" w:rsidR="00B91A80" w:rsidRPr="007C50A8" w:rsidRDefault="00B91A80" w:rsidP="00B91A80">
      <w:pPr>
        <w:spacing w:after="0" w:line="240" w:lineRule="auto"/>
        <w:rPr>
          <w:rFonts w:ascii="Times New Roman" w:hAnsi="Times New Roman" w:cs="Times New Roman"/>
          <w:b/>
          <w:sz w:val="24"/>
          <w:szCs w:val="24"/>
          <w:lang w:val="en-US"/>
        </w:rPr>
      </w:pPr>
      <w:r w:rsidRPr="007C50A8">
        <w:rPr>
          <w:rFonts w:ascii="Times New Roman" w:hAnsi="Times New Roman" w:cs="Times New Roman"/>
          <w:b/>
          <w:sz w:val="24"/>
          <w:szCs w:val="24"/>
          <w:lang w:val="en-US"/>
        </w:rPr>
        <w:t xml:space="preserve">Section 5 – Direction to the ACMA </w:t>
      </w:r>
    </w:p>
    <w:p w14:paraId="2A1521D0" w14:textId="77777777" w:rsidR="00B91A80" w:rsidRDefault="00B91A80" w:rsidP="00875127">
      <w:pPr>
        <w:shd w:val="clear" w:color="auto" w:fill="FFFFFF"/>
        <w:spacing w:after="0" w:line="240" w:lineRule="auto"/>
        <w:ind w:right="91"/>
        <w:rPr>
          <w:rFonts w:ascii="Times New Roman" w:hAnsi="Times New Roman"/>
          <w:sz w:val="24"/>
          <w:szCs w:val="24"/>
        </w:rPr>
      </w:pPr>
    </w:p>
    <w:p w14:paraId="27589DF9" w14:textId="182BEECA" w:rsidR="00C40AF4" w:rsidRDefault="00C40AF4" w:rsidP="00875127">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 xml:space="preserve">This section directs the ACMA to amend the </w:t>
      </w:r>
      <w:r w:rsidRPr="00941E8D">
        <w:rPr>
          <w:rFonts w:ascii="Times New Roman" w:hAnsi="Times New Roman"/>
          <w:i/>
          <w:sz w:val="24"/>
          <w:szCs w:val="24"/>
        </w:rPr>
        <w:t>Telecommunications (Emergency Call Service) Determination 2019</w:t>
      </w:r>
      <w:r>
        <w:rPr>
          <w:rFonts w:ascii="Times New Roman" w:hAnsi="Times New Roman"/>
          <w:sz w:val="24"/>
          <w:szCs w:val="24"/>
        </w:rPr>
        <w:t xml:space="preserve"> in accordance with section 6 of the Direction.</w:t>
      </w:r>
    </w:p>
    <w:p w14:paraId="68746B69" w14:textId="6EACDC91" w:rsidR="00BB23CC" w:rsidRDefault="00BB23CC" w:rsidP="00875127">
      <w:pPr>
        <w:shd w:val="clear" w:color="auto" w:fill="FFFFFF"/>
        <w:spacing w:after="0" w:line="240" w:lineRule="auto"/>
        <w:ind w:right="91"/>
        <w:rPr>
          <w:rFonts w:ascii="Times New Roman" w:hAnsi="Times New Roman"/>
          <w:sz w:val="24"/>
          <w:szCs w:val="24"/>
        </w:rPr>
      </w:pPr>
    </w:p>
    <w:p w14:paraId="2190F2A8" w14:textId="7BB740E6" w:rsidR="00BB23CC" w:rsidRDefault="00BB23CC" w:rsidP="00BB23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Subsection 5(2) provides that the amendments to the Determination provided by subsection 6(1) are to be determined by 30 </w:t>
      </w:r>
      <w:r w:rsidR="00E25603">
        <w:rPr>
          <w:rFonts w:ascii="Times New Roman" w:hAnsi="Times New Roman" w:cs="Times New Roman"/>
          <w:sz w:val="24"/>
          <w:szCs w:val="24"/>
        </w:rPr>
        <w:t>April</w:t>
      </w:r>
      <w:r>
        <w:rPr>
          <w:rFonts w:ascii="Times New Roman" w:hAnsi="Times New Roman" w:cs="Times New Roman"/>
          <w:sz w:val="24"/>
          <w:szCs w:val="24"/>
        </w:rPr>
        <w:t xml:space="preserve"> 2025 and commence in full</w:t>
      </w:r>
      <w:r w:rsidRPr="00BB23CC">
        <w:t xml:space="preserve"> </w:t>
      </w:r>
      <w:r w:rsidRPr="00BB23CC">
        <w:rPr>
          <w:rFonts w:ascii="Times New Roman" w:hAnsi="Times New Roman" w:cs="Times New Roman"/>
          <w:sz w:val="24"/>
          <w:szCs w:val="24"/>
        </w:rPr>
        <w:t>at the earliest practical opportunity and no later than</w:t>
      </w:r>
      <w:r>
        <w:rPr>
          <w:rFonts w:ascii="Times New Roman" w:hAnsi="Times New Roman" w:cs="Times New Roman"/>
          <w:sz w:val="24"/>
          <w:szCs w:val="24"/>
        </w:rPr>
        <w:t xml:space="preserve"> 1 November 2025 at the latest.</w:t>
      </w:r>
    </w:p>
    <w:p w14:paraId="50B9EB66" w14:textId="77777777" w:rsidR="00BB23CC" w:rsidRDefault="00BB23CC" w:rsidP="00BB23CC">
      <w:pPr>
        <w:spacing w:after="0" w:line="240" w:lineRule="auto"/>
        <w:rPr>
          <w:rFonts w:ascii="Times New Roman" w:hAnsi="Times New Roman" w:cs="Times New Roman"/>
          <w:sz w:val="24"/>
          <w:szCs w:val="24"/>
        </w:rPr>
      </w:pPr>
    </w:p>
    <w:p w14:paraId="07889621" w14:textId="02A14E17" w:rsidR="00BB23CC" w:rsidRDefault="00BB23CC" w:rsidP="00BB23CC">
      <w:pPr>
        <w:spacing w:after="0" w:line="240" w:lineRule="auto"/>
        <w:rPr>
          <w:rFonts w:ascii="Times New Roman" w:hAnsi="Times New Roman" w:cs="Times New Roman"/>
          <w:sz w:val="24"/>
          <w:szCs w:val="24"/>
        </w:rPr>
      </w:pPr>
      <w:r>
        <w:rPr>
          <w:rFonts w:ascii="Times New Roman" w:hAnsi="Times New Roman" w:cs="Times New Roman"/>
          <w:sz w:val="24"/>
          <w:szCs w:val="24"/>
        </w:rPr>
        <w:t>Subsection 5(3) provides that the amendments to the Determination provided by subsection 6(2) are to be determined and commence in full by 1 November 2024.</w:t>
      </w:r>
    </w:p>
    <w:p w14:paraId="7896A155" w14:textId="77777777" w:rsidR="00BB23CC" w:rsidRDefault="00BB23CC" w:rsidP="00875127">
      <w:pPr>
        <w:shd w:val="clear" w:color="auto" w:fill="FFFFFF"/>
        <w:spacing w:after="0" w:line="240" w:lineRule="auto"/>
        <w:ind w:right="91"/>
        <w:rPr>
          <w:rFonts w:ascii="Times New Roman" w:hAnsi="Times New Roman"/>
          <w:sz w:val="24"/>
          <w:szCs w:val="24"/>
        </w:rPr>
      </w:pPr>
    </w:p>
    <w:p w14:paraId="2E52C5BE" w14:textId="01EDB32F" w:rsidR="00B91A80" w:rsidRDefault="00B91A80" w:rsidP="00B91A80">
      <w:pPr>
        <w:keepNext/>
        <w:keepLines/>
        <w:spacing w:after="0" w:line="240" w:lineRule="auto"/>
        <w:rPr>
          <w:rFonts w:ascii="Times New Roman" w:hAnsi="Times New Roman" w:cs="Times New Roman"/>
          <w:b/>
          <w:sz w:val="24"/>
          <w:lang w:val="en-US"/>
        </w:rPr>
      </w:pPr>
      <w:r w:rsidRPr="00B07F27">
        <w:rPr>
          <w:rFonts w:ascii="Times New Roman" w:hAnsi="Times New Roman" w:cs="Times New Roman"/>
          <w:b/>
          <w:sz w:val="24"/>
          <w:lang w:val="en-US"/>
        </w:rPr>
        <w:t xml:space="preserve">Section </w:t>
      </w:r>
      <w:r>
        <w:rPr>
          <w:rFonts w:ascii="Times New Roman" w:hAnsi="Times New Roman" w:cs="Times New Roman"/>
          <w:b/>
          <w:sz w:val="24"/>
          <w:lang w:val="en-US"/>
        </w:rPr>
        <w:t>6</w:t>
      </w:r>
      <w:r w:rsidRPr="00B07F27">
        <w:rPr>
          <w:rFonts w:ascii="Times New Roman" w:hAnsi="Times New Roman" w:cs="Times New Roman"/>
          <w:b/>
          <w:sz w:val="24"/>
          <w:lang w:val="en-US"/>
        </w:rPr>
        <w:t xml:space="preserve"> –</w:t>
      </w:r>
      <w:r w:rsidR="00E004C1">
        <w:rPr>
          <w:rFonts w:ascii="Times New Roman" w:hAnsi="Times New Roman" w:cs="Times New Roman"/>
          <w:b/>
          <w:sz w:val="24"/>
          <w:lang w:val="en-US"/>
        </w:rPr>
        <w:t xml:space="preserve"> C</w:t>
      </w:r>
      <w:r w:rsidRPr="00B07F27">
        <w:rPr>
          <w:rFonts w:ascii="Times New Roman" w:hAnsi="Times New Roman" w:cs="Times New Roman"/>
          <w:b/>
          <w:sz w:val="24"/>
          <w:lang w:val="en-US"/>
        </w:rPr>
        <w:t xml:space="preserve">ontent of the </w:t>
      </w:r>
      <w:r>
        <w:rPr>
          <w:rFonts w:ascii="Times New Roman" w:hAnsi="Times New Roman" w:cs="Times New Roman"/>
          <w:b/>
          <w:sz w:val="24"/>
          <w:lang w:val="en-US"/>
        </w:rPr>
        <w:t>Determination</w:t>
      </w:r>
    </w:p>
    <w:p w14:paraId="7F67FC12" w14:textId="533E43E9" w:rsidR="00176587" w:rsidRDefault="00176587" w:rsidP="00875127">
      <w:pPr>
        <w:shd w:val="clear" w:color="auto" w:fill="FFFFFF"/>
        <w:spacing w:after="0" w:line="240" w:lineRule="auto"/>
        <w:ind w:right="91"/>
        <w:rPr>
          <w:rFonts w:ascii="Times New Roman" w:hAnsi="Times New Roman"/>
          <w:i/>
          <w:sz w:val="24"/>
          <w:szCs w:val="24"/>
        </w:rPr>
      </w:pPr>
    </w:p>
    <w:p w14:paraId="16C027C6" w14:textId="5A075578" w:rsidR="00176587" w:rsidRDefault="0037748B" w:rsidP="00875127">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Subsection</w:t>
      </w:r>
      <w:r w:rsidR="00176587">
        <w:rPr>
          <w:rFonts w:ascii="Times New Roman" w:hAnsi="Times New Roman"/>
          <w:sz w:val="24"/>
          <w:szCs w:val="24"/>
        </w:rPr>
        <w:t xml:space="preserve"> 6(1)</w:t>
      </w:r>
      <w:r w:rsidR="00E004C1">
        <w:rPr>
          <w:rFonts w:ascii="Times New Roman" w:hAnsi="Times New Roman"/>
          <w:sz w:val="24"/>
          <w:szCs w:val="24"/>
        </w:rPr>
        <w:t xml:space="preserve"> outlines the requirements to be included in the Determination resulting from recommendations in the outage post-incident review.</w:t>
      </w:r>
    </w:p>
    <w:p w14:paraId="525CFB87" w14:textId="542A5C28" w:rsidR="00176587" w:rsidRDefault="00176587" w:rsidP="00875127">
      <w:pPr>
        <w:shd w:val="clear" w:color="auto" w:fill="FFFFFF"/>
        <w:spacing w:after="0" w:line="240" w:lineRule="auto"/>
        <w:ind w:right="91"/>
        <w:rPr>
          <w:rFonts w:ascii="Times New Roman" w:hAnsi="Times New Roman"/>
          <w:sz w:val="24"/>
          <w:szCs w:val="24"/>
        </w:rPr>
      </w:pPr>
    </w:p>
    <w:p w14:paraId="15A3F281" w14:textId="224C0F8E" w:rsidR="0037748B" w:rsidRDefault="0037748B" w:rsidP="00875127">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Paragraph 6(1)(a) seeks to ensure the requirements contain</w:t>
      </w:r>
      <w:r w:rsidR="008D06EF">
        <w:rPr>
          <w:rFonts w:ascii="Times New Roman" w:hAnsi="Times New Roman"/>
          <w:sz w:val="24"/>
          <w:szCs w:val="24"/>
        </w:rPr>
        <w:t>ed</w:t>
      </w:r>
      <w:r>
        <w:rPr>
          <w:rFonts w:ascii="Times New Roman" w:hAnsi="Times New Roman"/>
          <w:sz w:val="24"/>
          <w:szCs w:val="24"/>
        </w:rPr>
        <w:t xml:space="preserve"> in the following subparagraphs are explicitly stated in the </w:t>
      </w:r>
      <w:r w:rsidR="00BB23CC">
        <w:rPr>
          <w:rFonts w:ascii="Times New Roman" w:hAnsi="Times New Roman"/>
          <w:sz w:val="24"/>
          <w:szCs w:val="24"/>
        </w:rPr>
        <w:t xml:space="preserve">amended </w:t>
      </w:r>
      <w:r>
        <w:rPr>
          <w:rFonts w:ascii="Times New Roman" w:hAnsi="Times New Roman"/>
          <w:sz w:val="24"/>
          <w:szCs w:val="24"/>
        </w:rPr>
        <w:t>Determination to provide clarity to providers.</w:t>
      </w:r>
      <w:r w:rsidR="002429F6">
        <w:rPr>
          <w:rFonts w:ascii="Times New Roman" w:hAnsi="Times New Roman"/>
          <w:sz w:val="24"/>
          <w:szCs w:val="24"/>
        </w:rPr>
        <w:t xml:space="preserve"> T</w:t>
      </w:r>
      <w:r w:rsidR="002429F6" w:rsidRPr="002429F6">
        <w:rPr>
          <w:rFonts w:ascii="Times New Roman" w:hAnsi="Times New Roman"/>
          <w:sz w:val="24"/>
          <w:szCs w:val="24"/>
        </w:rPr>
        <w:t>h</w:t>
      </w:r>
      <w:r w:rsidR="002429F6">
        <w:rPr>
          <w:rFonts w:ascii="Times New Roman" w:hAnsi="Times New Roman"/>
          <w:sz w:val="24"/>
          <w:szCs w:val="24"/>
        </w:rPr>
        <w:t>e provisions within this paragraph s</w:t>
      </w:r>
      <w:r w:rsidR="002429F6" w:rsidRPr="002429F6">
        <w:rPr>
          <w:rFonts w:ascii="Times New Roman" w:hAnsi="Times New Roman"/>
          <w:sz w:val="24"/>
          <w:szCs w:val="24"/>
        </w:rPr>
        <w:t>hould be accompanied by a similar provision to subsection 19(2)</w:t>
      </w:r>
      <w:r w:rsidR="002429F6">
        <w:rPr>
          <w:rFonts w:ascii="Times New Roman" w:hAnsi="Times New Roman"/>
          <w:sz w:val="24"/>
          <w:szCs w:val="24"/>
        </w:rPr>
        <w:t xml:space="preserve"> of the Determination</w:t>
      </w:r>
      <w:r w:rsidR="002429F6" w:rsidRPr="002429F6">
        <w:rPr>
          <w:rFonts w:ascii="Times New Roman" w:hAnsi="Times New Roman"/>
          <w:sz w:val="24"/>
          <w:szCs w:val="24"/>
        </w:rPr>
        <w:t xml:space="preserve"> to provide </w:t>
      </w:r>
      <w:r w:rsidR="002429F6">
        <w:rPr>
          <w:rFonts w:ascii="Times New Roman" w:hAnsi="Times New Roman"/>
          <w:sz w:val="24"/>
          <w:szCs w:val="24"/>
        </w:rPr>
        <w:t xml:space="preserve">some </w:t>
      </w:r>
      <w:r w:rsidR="002429F6" w:rsidRPr="002429F6">
        <w:rPr>
          <w:rFonts w:ascii="Times New Roman" w:hAnsi="Times New Roman"/>
          <w:sz w:val="24"/>
          <w:szCs w:val="24"/>
        </w:rPr>
        <w:t>flexibility in regards to matters</w:t>
      </w:r>
      <w:r w:rsidR="002429F6">
        <w:rPr>
          <w:rFonts w:ascii="Times New Roman" w:hAnsi="Times New Roman"/>
          <w:sz w:val="24"/>
          <w:szCs w:val="24"/>
        </w:rPr>
        <w:t xml:space="preserve"> materially</w:t>
      </w:r>
      <w:r w:rsidR="002429F6" w:rsidRPr="002429F6">
        <w:rPr>
          <w:rFonts w:ascii="Times New Roman" w:hAnsi="Times New Roman"/>
          <w:sz w:val="24"/>
          <w:szCs w:val="24"/>
        </w:rPr>
        <w:t xml:space="preserve"> beyond the control of the provider</w:t>
      </w:r>
      <w:r w:rsidR="002429F6">
        <w:rPr>
          <w:rFonts w:ascii="Times New Roman" w:hAnsi="Times New Roman"/>
          <w:sz w:val="24"/>
          <w:szCs w:val="24"/>
        </w:rPr>
        <w:t>.</w:t>
      </w:r>
    </w:p>
    <w:p w14:paraId="50633655" w14:textId="77777777" w:rsidR="0037748B" w:rsidRDefault="0037748B" w:rsidP="00875127">
      <w:pPr>
        <w:shd w:val="clear" w:color="auto" w:fill="FFFFFF"/>
        <w:spacing w:after="0" w:line="240" w:lineRule="auto"/>
        <w:ind w:right="91"/>
        <w:rPr>
          <w:rFonts w:ascii="Times New Roman" w:hAnsi="Times New Roman"/>
          <w:sz w:val="24"/>
          <w:szCs w:val="24"/>
        </w:rPr>
      </w:pPr>
    </w:p>
    <w:p w14:paraId="781E5CDE" w14:textId="7D870140" w:rsidR="00176587" w:rsidRDefault="00176587" w:rsidP="00875127">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6(1)(a)(i)</w:t>
      </w:r>
      <w:r w:rsidR="00E004C1">
        <w:rPr>
          <w:rFonts w:ascii="Times New Roman" w:hAnsi="Times New Roman"/>
          <w:sz w:val="24"/>
          <w:szCs w:val="24"/>
        </w:rPr>
        <w:t xml:space="preserve"> </w:t>
      </w:r>
      <w:r w:rsidR="0037748B">
        <w:rPr>
          <w:rFonts w:ascii="Times New Roman" w:hAnsi="Times New Roman"/>
          <w:sz w:val="24"/>
          <w:szCs w:val="24"/>
        </w:rPr>
        <w:t>seeks to ensure</w:t>
      </w:r>
      <w:r w:rsidR="00E230EC">
        <w:rPr>
          <w:rFonts w:ascii="Times New Roman" w:hAnsi="Times New Roman"/>
          <w:sz w:val="24"/>
          <w:szCs w:val="24"/>
        </w:rPr>
        <w:t xml:space="preserve"> the amended Determination includes a requirement that</w:t>
      </w:r>
      <w:r w:rsidR="0037748B">
        <w:rPr>
          <w:rFonts w:ascii="Times New Roman" w:hAnsi="Times New Roman"/>
          <w:sz w:val="24"/>
          <w:szCs w:val="24"/>
        </w:rPr>
        <w:t xml:space="preserve"> providers wilt mobile network controlled facilities in the event of loss of connectivity to a core network. Defining ‘wilt’ will be at the discretion of</w:t>
      </w:r>
      <w:r w:rsidR="005E3C58">
        <w:rPr>
          <w:rFonts w:ascii="Times New Roman" w:hAnsi="Times New Roman"/>
          <w:sz w:val="24"/>
          <w:szCs w:val="24"/>
        </w:rPr>
        <w:t xml:space="preserve"> the</w:t>
      </w:r>
      <w:r w:rsidR="0037748B">
        <w:rPr>
          <w:rFonts w:ascii="Times New Roman" w:hAnsi="Times New Roman"/>
          <w:sz w:val="24"/>
          <w:szCs w:val="24"/>
        </w:rPr>
        <w:t xml:space="preserve"> ACMA in the development of this amendment, but it is broadly taken to refer a mobile network controlled facility ceasing to emit a signal to mobile phones during a network outage. When a mobile phone stops receiving this signal, it will seek an alternative network for Triple Zero calls,</w:t>
      </w:r>
      <w:r w:rsidR="00365C3B">
        <w:rPr>
          <w:rFonts w:ascii="Times New Roman" w:hAnsi="Times New Roman"/>
          <w:sz w:val="24"/>
          <w:szCs w:val="24"/>
        </w:rPr>
        <w:t xml:space="preserve"> using emergency call camp on,</w:t>
      </w:r>
      <w:r w:rsidR="0037748B">
        <w:rPr>
          <w:rFonts w:ascii="Times New Roman" w:hAnsi="Times New Roman"/>
          <w:sz w:val="24"/>
          <w:szCs w:val="24"/>
        </w:rPr>
        <w:t xml:space="preserve"> ensuring end users can access the emergency call service during a network outage.</w:t>
      </w:r>
    </w:p>
    <w:p w14:paraId="3A7AB2D5" w14:textId="09C2473C" w:rsidR="00176587" w:rsidRPr="00176587" w:rsidRDefault="00176587" w:rsidP="00875127">
      <w:pPr>
        <w:shd w:val="clear" w:color="auto" w:fill="FFFFFF"/>
        <w:spacing w:after="0" w:line="240" w:lineRule="auto"/>
        <w:ind w:right="91"/>
        <w:rPr>
          <w:rFonts w:ascii="Times New Roman" w:hAnsi="Times New Roman"/>
          <w:sz w:val="24"/>
          <w:szCs w:val="24"/>
        </w:rPr>
      </w:pPr>
    </w:p>
    <w:p w14:paraId="6EAF797E" w14:textId="6F462DB3" w:rsidR="00176587" w:rsidRDefault="00176587" w:rsidP="00176587">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6(1)(a)(ii)</w:t>
      </w:r>
      <w:r w:rsidR="0037748B">
        <w:rPr>
          <w:rFonts w:ascii="Times New Roman" w:hAnsi="Times New Roman"/>
          <w:sz w:val="24"/>
          <w:szCs w:val="24"/>
        </w:rPr>
        <w:t xml:space="preserve"> seeks to ensure</w:t>
      </w:r>
      <w:r w:rsidR="00E230EC" w:rsidRPr="00E230EC">
        <w:rPr>
          <w:rFonts w:ascii="Times New Roman" w:hAnsi="Times New Roman"/>
          <w:sz w:val="24"/>
          <w:szCs w:val="24"/>
        </w:rPr>
        <w:t xml:space="preserve"> </w:t>
      </w:r>
      <w:r w:rsidR="00E230EC">
        <w:rPr>
          <w:rFonts w:ascii="Times New Roman" w:hAnsi="Times New Roman"/>
          <w:sz w:val="24"/>
          <w:szCs w:val="24"/>
        </w:rPr>
        <w:t>the amended Determination includes a requirement that</w:t>
      </w:r>
      <w:r w:rsidR="0037748B">
        <w:rPr>
          <w:rFonts w:ascii="Times New Roman" w:hAnsi="Times New Roman"/>
          <w:sz w:val="24"/>
          <w:szCs w:val="24"/>
        </w:rPr>
        <w:t xml:space="preserve"> providers will take all reasonable steps to ensure </w:t>
      </w:r>
      <w:r w:rsidR="00CC3AFB">
        <w:rPr>
          <w:rFonts w:ascii="Times New Roman" w:hAnsi="Times New Roman"/>
          <w:sz w:val="24"/>
          <w:szCs w:val="24"/>
        </w:rPr>
        <w:t>their respective networks and controlled facilities will not impede emergency call camp on functionality</w:t>
      </w:r>
      <w:r w:rsidR="00E230EC">
        <w:rPr>
          <w:rFonts w:ascii="Times New Roman" w:hAnsi="Times New Roman"/>
          <w:sz w:val="24"/>
          <w:szCs w:val="24"/>
        </w:rPr>
        <w:t xml:space="preserve"> during an outage</w:t>
      </w:r>
      <w:r w:rsidR="00CC3AFB">
        <w:rPr>
          <w:rFonts w:ascii="Times New Roman" w:hAnsi="Times New Roman"/>
          <w:sz w:val="24"/>
          <w:szCs w:val="24"/>
        </w:rPr>
        <w:t xml:space="preserve">. </w:t>
      </w:r>
      <w:r w:rsidR="004040C5">
        <w:rPr>
          <w:rFonts w:ascii="Times New Roman" w:hAnsi="Times New Roman"/>
          <w:sz w:val="24"/>
          <w:szCs w:val="24"/>
        </w:rPr>
        <w:t xml:space="preserve">This will further ensure end users can access the emergency call service, during a network outage. </w:t>
      </w:r>
      <w:r w:rsidR="00CC5370">
        <w:rPr>
          <w:rFonts w:ascii="Times New Roman" w:hAnsi="Times New Roman"/>
          <w:sz w:val="24"/>
          <w:szCs w:val="24"/>
        </w:rPr>
        <w:t>Defining ‘emergency call camp on’ will be at the discretion of ACMA in the development of this amendment, but it typically refers to a mobile phone function that allows for users to access the emergency call service when not connected to the users own mobile network provider.</w:t>
      </w:r>
    </w:p>
    <w:p w14:paraId="28C01A49" w14:textId="5CD4DAB9" w:rsidR="00A27F47" w:rsidRDefault="00A27F47" w:rsidP="00875127">
      <w:pPr>
        <w:spacing w:after="0" w:line="240" w:lineRule="auto"/>
      </w:pPr>
    </w:p>
    <w:p w14:paraId="2BF17791" w14:textId="72541E24" w:rsidR="00176587" w:rsidRDefault="00176587" w:rsidP="00176587">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6(1)(a)(iii)</w:t>
      </w:r>
      <w:r w:rsidR="00365C3B">
        <w:rPr>
          <w:rFonts w:ascii="Times New Roman" w:hAnsi="Times New Roman"/>
          <w:sz w:val="24"/>
          <w:szCs w:val="24"/>
        </w:rPr>
        <w:t xml:space="preserve"> seeks to ensure</w:t>
      </w:r>
      <w:r w:rsidR="00280DBB" w:rsidRPr="00280DBB">
        <w:rPr>
          <w:rFonts w:ascii="Times New Roman" w:hAnsi="Times New Roman"/>
          <w:sz w:val="24"/>
          <w:szCs w:val="24"/>
        </w:rPr>
        <w:t xml:space="preserve"> </w:t>
      </w:r>
      <w:r w:rsidR="00280DBB">
        <w:rPr>
          <w:rFonts w:ascii="Times New Roman" w:hAnsi="Times New Roman"/>
          <w:sz w:val="24"/>
          <w:szCs w:val="24"/>
        </w:rPr>
        <w:t>the amended Determination includes a requirement that</w:t>
      </w:r>
      <w:r w:rsidR="00365C3B">
        <w:rPr>
          <w:rFonts w:ascii="Times New Roman" w:hAnsi="Times New Roman"/>
          <w:sz w:val="24"/>
          <w:szCs w:val="24"/>
        </w:rPr>
        <w:t xml:space="preserve"> providers undertake testing to confirm their respective networks are capable of carrying calls to the emergency call service, including calls made using the emergency call camp on functionality.</w:t>
      </w:r>
      <w:r w:rsidR="004040C5">
        <w:rPr>
          <w:rFonts w:ascii="Times New Roman" w:hAnsi="Times New Roman"/>
          <w:sz w:val="24"/>
          <w:szCs w:val="24"/>
        </w:rPr>
        <w:t xml:space="preserve"> This will also further ensure end users have access to emergency call camp on</w:t>
      </w:r>
      <w:r w:rsidR="002429F6">
        <w:rPr>
          <w:rFonts w:ascii="Times New Roman" w:hAnsi="Times New Roman"/>
          <w:sz w:val="24"/>
          <w:szCs w:val="24"/>
        </w:rPr>
        <w:t xml:space="preserve"> and that calls will be delivered to the emergency call service.</w:t>
      </w:r>
    </w:p>
    <w:p w14:paraId="6CD7C019" w14:textId="109309F7" w:rsidR="00176587" w:rsidRDefault="00176587" w:rsidP="00875127">
      <w:pPr>
        <w:spacing w:after="0" w:line="240" w:lineRule="auto"/>
      </w:pPr>
    </w:p>
    <w:p w14:paraId="260EE74C" w14:textId="20F088AD" w:rsidR="00176587" w:rsidRDefault="00176587" w:rsidP="00176587">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6(1)(a)(iv)</w:t>
      </w:r>
      <w:r w:rsidR="00365C3B">
        <w:rPr>
          <w:rFonts w:ascii="Times New Roman" w:hAnsi="Times New Roman"/>
          <w:sz w:val="24"/>
          <w:szCs w:val="24"/>
        </w:rPr>
        <w:t xml:space="preserve"> seeks to ensure </w:t>
      </w:r>
      <w:r w:rsidR="00280DBB">
        <w:rPr>
          <w:rFonts w:ascii="Times New Roman" w:hAnsi="Times New Roman"/>
          <w:sz w:val="24"/>
          <w:szCs w:val="24"/>
        </w:rPr>
        <w:t xml:space="preserve">the amended Determination includes a requirement that </w:t>
      </w:r>
      <w:r w:rsidR="00365C3B">
        <w:rPr>
          <w:rFonts w:ascii="Times New Roman" w:hAnsi="Times New Roman"/>
          <w:sz w:val="24"/>
          <w:szCs w:val="24"/>
        </w:rPr>
        <w:t>providers configure</w:t>
      </w:r>
      <w:r w:rsidR="005A7457">
        <w:rPr>
          <w:rFonts w:ascii="Times New Roman" w:hAnsi="Times New Roman"/>
          <w:sz w:val="24"/>
          <w:szCs w:val="24"/>
        </w:rPr>
        <w:t xml:space="preserve"> their respective networks to carry calls to the emergency call service regardless of the mobile phone used to initiate the call. </w:t>
      </w:r>
      <w:r w:rsidR="008D06EF">
        <w:rPr>
          <w:rFonts w:ascii="Times New Roman" w:hAnsi="Times New Roman"/>
          <w:sz w:val="24"/>
          <w:szCs w:val="24"/>
        </w:rPr>
        <w:t>In some instances, it is not possible to carry calls from particular mobile phones, for example, a network cannot be configured to carry calls from phones that are only able to make calls on second generation (2G) mobile networks if the provider’s network cannot carry 2G calls. This subparagraph applies to scenarios where a particular mobile phone’s call c</w:t>
      </w:r>
      <w:r w:rsidR="005E3C58">
        <w:rPr>
          <w:rFonts w:ascii="Times New Roman" w:hAnsi="Times New Roman"/>
          <w:sz w:val="24"/>
          <w:szCs w:val="24"/>
        </w:rPr>
        <w:t>ould</w:t>
      </w:r>
      <w:r w:rsidR="008D06EF">
        <w:rPr>
          <w:rFonts w:ascii="Times New Roman" w:hAnsi="Times New Roman"/>
          <w:sz w:val="24"/>
          <w:szCs w:val="24"/>
        </w:rPr>
        <w:t xml:space="preserve"> be carried on the provider’s network if the network can be configured to do so.</w:t>
      </w:r>
    </w:p>
    <w:p w14:paraId="73F200A0" w14:textId="4538EC78" w:rsidR="00176587" w:rsidRDefault="00176587" w:rsidP="00875127">
      <w:pPr>
        <w:spacing w:after="0" w:line="240" w:lineRule="auto"/>
      </w:pPr>
    </w:p>
    <w:p w14:paraId="42233912" w14:textId="69E4F2B2" w:rsidR="007D77E6" w:rsidRDefault="0037748B" w:rsidP="00176587">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P</w:t>
      </w:r>
      <w:r w:rsidR="00176587">
        <w:rPr>
          <w:rFonts w:ascii="Times New Roman" w:hAnsi="Times New Roman"/>
          <w:sz w:val="24"/>
          <w:szCs w:val="24"/>
        </w:rPr>
        <w:t>aragraph 6(1)(</w:t>
      </w:r>
      <w:r w:rsidR="00E004C1">
        <w:rPr>
          <w:rFonts w:ascii="Times New Roman" w:hAnsi="Times New Roman"/>
          <w:sz w:val="24"/>
          <w:szCs w:val="24"/>
        </w:rPr>
        <w:t>b</w:t>
      </w:r>
      <w:r w:rsidR="00176587">
        <w:rPr>
          <w:rFonts w:ascii="Times New Roman" w:hAnsi="Times New Roman"/>
          <w:sz w:val="24"/>
          <w:szCs w:val="24"/>
        </w:rPr>
        <w:t>)</w:t>
      </w:r>
      <w:r w:rsidR="008D06EF">
        <w:rPr>
          <w:rFonts w:ascii="Times New Roman" w:hAnsi="Times New Roman"/>
          <w:sz w:val="24"/>
          <w:szCs w:val="24"/>
        </w:rPr>
        <w:t xml:space="preserve"> introduces a requirement </w:t>
      </w:r>
      <w:r w:rsidR="00280DBB">
        <w:rPr>
          <w:rFonts w:ascii="Times New Roman" w:hAnsi="Times New Roman"/>
          <w:sz w:val="24"/>
          <w:szCs w:val="24"/>
        </w:rPr>
        <w:t xml:space="preserve">that the Determination be amended to impose requirement on </w:t>
      </w:r>
      <w:r w:rsidR="008D06EF">
        <w:rPr>
          <w:rFonts w:ascii="Times New Roman" w:hAnsi="Times New Roman"/>
          <w:sz w:val="24"/>
          <w:szCs w:val="24"/>
        </w:rPr>
        <w:t xml:space="preserve">providers to share real time network information relating to network outages with relevant emergency service organisations, the emergency call person for 000 and 112, and other appropriate entities. During the early stages of an outage, access to this information will assist to identify the scale of the outage as different entities within the Triple Zero ecosystem will have greater visibility of the impact of the outage. It will also provide front line emergency service personnel with awareness of how an outage may impact operations, particularly during natural disasters. </w:t>
      </w:r>
    </w:p>
    <w:p w14:paraId="35C166D7" w14:textId="77777777" w:rsidR="007D77E6" w:rsidRDefault="007D77E6" w:rsidP="00176587">
      <w:pPr>
        <w:shd w:val="clear" w:color="auto" w:fill="FFFFFF"/>
        <w:spacing w:after="0" w:line="240" w:lineRule="auto"/>
        <w:ind w:right="91"/>
        <w:rPr>
          <w:rFonts w:ascii="Times New Roman" w:hAnsi="Times New Roman"/>
          <w:sz w:val="24"/>
          <w:szCs w:val="24"/>
        </w:rPr>
      </w:pPr>
    </w:p>
    <w:p w14:paraId="7D7D19C0" w14:textId="6FB240C9" w:rsidR="00176587" w:rsidRDefault="008D06EF" w:rsidP="00176587">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This paragraph includes reference to other appropriate entities. One of the recommendations resulting from the outage post-incident review was for the establishment of a ‘Triple Zero Custodian’</w:t>
      </w:r>
      <w:r w:rsidR="00750395">
        <w:rPr>
          <w:rFonts w:ascii="Times New Roman" w:hAnsi="Times New Roman"/>
          <w:sz w:val="24"/>
          <w:szCs w:val="24"/>
        </w:rPr>
        <w:t xml:space="preserve"> to provide oversight of the emergency call service. Upon the establishment of such a body, it is anticipated it would </w:t>
      </w:r>
      <w:r w:rsidR="005E3C58">
        <w:rPr>
          <w:rFonts w:ascii="Times New Roman" w:hAnsi="Times New Roman"/>
          <w:sz w:val="24"/>
          <w:szCs w:val="24"/>
        </w:rPr>
        <w:t xml:space="preserve">also </w:t>
      </w:r>
      <w:r w:rsidR="00750395">
        <w:rPr>
          <w:rFonts w:ascii="Times New Roman" w:hAnsi="Times New Roman"/>
          <w:sz w:val="24"/>
          <w:szCs w:val="24"/>
        </w:rPr>
        <w:t>be</w:t>
      </w:r>
      <w:r w:rsidR="00280DBB">
        <w:rPr>
          <w:rFonts w:ascii="Times New Roman" w:hAnsi="Times New Roman"/>
          <w:sz w:val="24"/>
          <w:szCs w:val="24"/>
        </w:rPr>
        <w:t xml:space="preserve"> an ‘appropriate entity’ to </w:t>
      </w:r>
      <w:r w:rsidR="00750395">
        <w:rPr>
          <w:rFonts w:ascii="Times New Roman" w:hAnsi="Times New Roman"/>
          <w:sz w:val="24"/>
          <w:szCs w:val="24"/>
        </w:rPr>
        <w:t>rec</w:t>
      </w:r>
      <w:r w:rsidR="00280DBB">
        <w:rPr>
          <w:rFonts w:ascii="Times New Roman" w:hAnsi="Times New Roman"/>
          <w:sz w:val="24"/>
          <w:szCs w:val="24"/>
        </w:rPr>
        <w:t>eive</w:t>
      </w:r>
      <w:r w:rsidR="00750395">
        <w:rPr>
          <w:rFonts w:ascii="Times New Roman" w:hAnsi="Times New Roman"/>
          <w:sz w:val="24"/>
          <w:szCs w:val="24"/>
        </w:rPr>
        <w:t xml:space="preserve"> real time information.</w:t>
      </w:r>
    </w:p>
    <w:p w14:paraId="33D495A1" w14:textId="0E3BC0DA" w:rsidR="00176587" w:rsidRDefault="00176587" w:rsidP="00875127">
      <w:pPr>
        <w:spacing w:after="0" w:line="240" w:lineRule="auto"/>
      </w:pPr>
    </w:p>
    <w:p w14:paraId="436CF98F" w14:textId="68F608D6" w:rsidR="00E004C1" w:rsidRDefault="0037748B"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lastRenderedPageBreak/>
        <w:t>P</w:t>
      </w:r>
      <w:r w:rsidR="00E004C1">
        <w:rPr>
          <w:rFonts w:ascii="Times New Roman" w:hAnsi="Times New Roman"/>
          <w:sz w:val="24"/>
          <w:szCs w:val="24"/>
        </w:rPr>
        <w:t>aragraph 6(1)(c)</w:t>
      </w:r>
      <w:r w:rsidR="00F903E9">
        <w:rPr>
          <w:rFonts w:ascii="Times New Roman" w:hAnsi="Times New Roman"/>
          <w:sz w:val="24"/>
          <w:szCs w:val="24"/>
        </w:rPr>
        <w:t xml:space="preserve"> </w:t>
      </w:r>
      <w:r w:rsidR="003A3998">
        <w:rPr>
          <w:rFonts w:ascii="Times New Roman" w:hAnsi="Times New Roman"/>
          <w:sz w:val="24"/>
          <w:szCs w:val="24"/>
        </w:rPr>
        <w:t xml:space="preserve">will </w:t>
      </w:r>
      <w:r w:rsidR="00280DBB">
        <w:rPr>
          <w:rFonts w:ascii="Times New Roman" w:hAnsi="Times New Roman"/>
          <w:sz w:val="24"/>
          <w:szCs w:val="24"/>
        </w:rPr>
        <w:t>requires the Determination to be amended to impose requirements on</w:t>
      </w:r>
      <w:r w:rsidR="003A3998">
        <w:rPr>
          <w:rFonts w:ascii="Times New Roman" w:hAnsi="Times New Roman"/>
          <w:sz w:val="24"/>
          <w:szCs w:val="24"/>
        </w:rPr>
        <w:t xml:space="preserve"> providers to report to </w:t>
      </w:r>
      <w:r w:rsidR="005E3C58">
        <w:rPr>
          <w:rFonts w:ascii="Times New Roman" w:hAnsi="Times New Roman"/>
          <w:sz w:val="24"/>
          <w:szCs w:val="24"/>
        </w:rPr>
        <w:t xml:space="preserve">the </w:t>
      </w:r>
      <w:r w:rsidR="003A3998">
        <w:rPr>
          <w:rFonts w:ascii="Times New Roman" w:hAnsi="Times New Roman"/>
          <w:sz w:val="24"/>
          <w:szCs w:val="24"/>
        </w:rPr>
        <w:t>ACMA and the Department information</w:t>
      </w:r>
      <w:r w:rsidR="00AF5789">
        <w:rPr>
          <w:rFonts w:ascii="Times New Roman" w:hAnsi="Times New Roman"/>
          <w:sz w:val="24"/>
          <w:szCs w:val="24"/>
        </w:rPr>
        <w:t>, within a specified timeframe</w:t>
      </w:r>
      <w:r w:rsidR="003A3998">
        <w:rPr>
          <w:rFonts w:ascii="Times New Roman" w:hAnsi="Times New Roman"/>
          <w:sz w:val="24"/>
          <w:szCs w:val="24"/>
        </w:rPr>
        <w:t xml:space="preserve"> after a major outage that impacts the delivery of emergency calls to the emergency call person</w:t>
      </w:r>
      <w:r w:rsidR="00AF5789">
        <w:rPr>
          <w:rFonts w:ascii="Times New Roman" w:hAnsi="Times New Roman"/>
          <w:sz w:val="24"/>
          <w:szCs w:val="24"/>
        </w:rPr>
        <w:t xml:space="preserve"> for 000 and 112</w:t>
      </w:r>
      <w:r w:rsidR="003A3998">
        <w:rPr>
          <w:rFonts w:ascii="Times New Roman" w:hAnsi="Times New Roman"/>
          <w:sz w:val="24"/>
          <w:szCs w:val="24"/>
        </w:rPr>
        <w:t>.</w:t>
      </w:r>
      <w:r w:rsidR="00393340">
        <w:rPr>
          <w:rFonts w:ascii="Times New Roman" w:hAnsi="Times New Roman"/>
          <w:sz w:val="24"/>
          <w:szCs w:val="24"/>
        </w:rPr>
        <w:t xml:space="preserve"> </w:t>
      </w:r>
      <w:r w:rsidR="00CA6F61">
        <w:rPr>
          <w:rFonts w:ascii="Times New Roman" w:hAnsi="Times New Roman"/>
          <w:sz w:val="24"/>
          <w:szCs w:val="24"/>
        </w:rPr>
        <w:t xml:space="preserve">Reporting this information will assist </w:t>
      </w:r>
      <w:r w:rsidR="005E3C58">
        <w:rPr>
          <w:rFonts w:ascii="Times New Roman" w:hAnsi="Times New Roman"/>
          <w:sz w:val="24"/>
          <w:szCs w:val="24"/>
        </w:rPr>
        <w:t xml:space="preserve">the </w:t>
      </w:r>
      <w:r w:rsidR="00CA6F61">
        <w:rPr>
          <w:rFonts w:ascii="Times New Roman" w:hAnsi="Times New Roman"/>
          <w:sz w:val="24"/>
          <w:szCs w:val="24"/>
        </w:rPr>
        <w:t>ACMA with undertaking compliance monitoring activity and will assist policy makers to identify policy and regulatory gaps which may need rectification.</w:t>
      </w:r>
    </w:p>
    <w:p w14:paraId="21E310C5" w14:textId="77777777" w:rsidR="0037748B" w:rsidRDefault="0037748B" w:rsidP="00E004C1">
      <w:pPr>
        <w:shd w:val="clear" w:color="auto" w:fill="FFFFFF"/>
        <w:spacing w:after="0" w:line="240" w:lineRule="auto"/>
        <w:ind w:right="91"/>
        <w:rPr>
          <w:rFonts w:ascii="Times New Roman" w:hAnsi="Times New Roman"/>
          <w:sz w:val="24"/>
          <w:szCs w:val="24"/>
        </w:rPr>
      </w:pPr>
    </w:p>
    <w:p w14:paraId="15ACA0C4" w14:textId="011967FE"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6(1)(c)(i)</w:t>
      </w:r>
      <w:r w:rsidR="003A3998">
        <w:rPr>
          <w:rFonts w:ascii="Times New Roman" w:hAnsi="Times New Roman"/>
          <w:sz w:val="24"/>
          <w:szCs w:val="24"/>
        </w:rPr>
        <w:t xml:space="preserve"> will require providers to include an explanation as to what caused the major outage.</w:t>
      </w:r>
    </w:p>
    <w:p w14:paraId="7907CC85" w14:textId="77777777" w:rsidR="00E004C1" w:rsidRDefault="00E004C1" w:rsidP="00E004C1">
      <w:pPr>
        <w:shd w:val="clear" w:color="auto" w:fill="FFFFFF"/>
        <w:spacing w:after="0" w:line="240" w:lineRule="auto"/>
        <w:ind w:right="91"/>
        <w:rPr>
          <w:rFonts w:ascii="Times New Roman" w:hAnsi="Times New Roman"/>
          <w:sz w:val="24"/>
          <w:szCs w:val="24"/>
        </w:rPr>
      </w:pPr>
    </w:p>
    <w:p w14:paraId="54EFF008" w14:textId="116276B5"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6(1)(c)(ii)</w:t>
      </w:r>
      <w:r w:rsidR="003A3998">
        <w:rPr>
          <w:rFonts w:ascii="Times New Roman" w:hAnsi="Times New Roman"/>
          <w:sz w:val="24"/>
          <w:szCs w:val="24"/>
        </w:rPr>
        <w:t xml:space="preserve"> will require providers to explain how the major outage was resolved.</w:t>
      </w:r>
    </w:p>
    <w:p w14:paraId="256233E1" w14:textId="684EEC30" w:rsidR="00E004C1" w:rsidRDefault="00E004C1" w:rsidP="00875127">
      <w:pPr>
        <w:spacing w:after="0" w:line="240" w:lineRule="auto"/>
      </w:pPr>
    </w:p>
    <w:p w14:paraId="2C67FB9C" w14:textId="7E9425B4"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6(1)(c)(iii)</w:t>
      </w:r>
      <w:r w:rsidR="003A3998">
        <w:rPr>
          <w:rFonts w:ascii="Times New Roman" w:hAnsi="Times New Roman"/>
          <w:sz w:val="24"/>
          <w:szCs w:val="24"/>
        </w:rPr>
        <w:t xml:space="preserve"> will require providers to explain what impact the major outage had on the delivery of emergency calls to the emergency call person</w:t>
      </w:r>
      <w:r w:rsidR="00AF5789">
        <w:rPr>
          <w:rFonts w:ascii="Times New Roman" w:hAnsi="Times New Roman"/>
          <w:sz w:val="24"/>
          <w:szCs w:val="24"/>
        </w:rPr>
        <w:t xml:space="preserve"> for 000 and 112</w:t>
      </w:r>
      <w:r w:rsidR="003A3998">
        <w:rPr>
          <w:rFonts w:ascii="Times New Roman" w:hAnsi="Times New Roman"/>
          <w:sz w:val="24"/>
          <w:szCs w:val="24"/>
        </w:rPr>
        <w:t>, including an estimate of how many users were impacted.</w:t>
      </w:r>
    </w:p>
    <w:p w14:paraId="36C7DCA2" w14:textId="500B54D3" w:rsidR="00E004C1" w:rsidRDefault="00E004C1" w:rsidP="00875127">
      <w:pPr>
        <w:spacing w:after="0" w:line="240" w:lineRule="auto"/>
      </w:pPr>
    </w:p>
    <w:p w14:paraId="793C1A32" w14:textId="789FE633"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6(1)(c)(iv)</w:t>
      </w:r>
      <w:r w:rsidR="003A3998">
        <w:rPr>
          <w:rFonts w:ascii="Times New Roman" w:hAnsi="Times New Roman"/>
          <w:sz w:val="24"/>
          <w:szCs w:val="24"/>
        </w:rPr>
        <w:t xml:space="preserve"> will require providers </w:t>
      </w:r>
      <w:r w:rsidR="00393340">
        <w:rPr>
          <w:rFonts w:ascii="Times New Roman" w:hAnsi="Times New Roman"/>
          <w:sz w:val="24"/>
          <w:szCs w:val="24"/>
        </w:rPr>
        <w:t xml:space="preserve">to include a </w:t>
      </w:r>
      <w:r w:rsidR="00AF5789">
        <w:rPr>
          <w:rFonts w:ascii="Times New Roman" w:hAnsi="Times New Roman"/>
          <w:sz w:val="24"/>
          <w:szCs w:val="24"/>
        </w:rPr>
        <w:t xml:space="preserve">clear and detailed </w:t>
      </w:r>
      <w:r w:rsidR="00393340">
        <w:rPr>
          <w:rFonts w:ascii="Times New Roman" w:hAnsi="Times New Roman"/>
          <w:sz w:val="24"/>
          <w:szCs w:val="24"/>
        </w:rPr>
        <w:t>plan</w:t>
      </w:r>
      <w:r w:rsidR="00AF5789">
        <w:rPr>
          <w:rFonts w:ascii="Times New Roman" w:hAnsi="Times New Roman"/>
          <w:sz w:val="24"/>
          <w:szCs w:val="24"/>
        </w:rPr>
        <w:t>, with timeline, which</w:t>
      </w:r>
      <w:r w:rsidR="00393340">
        <w:rPr>
          <w:rFonts w:ascii="Times New Roman" w:hAnsi="Times New Roman"/>
          <w:sz w:val="24"/>
          <w:szCs w:val="24"/>
        </w:rPr>
        <w:t xml:space="preserve"> details the steps </w:t>
      </w:r>
      <w:r w:rsidR="0062254A">
        <w:rPr>
          <w:rFonts w:ascii="Times New Roman" w:hAnsi="Times New Roman"/>
          <w:sz w:val="24"/>
          <w:szCs w:val="24"/>
        </w:rPr>
        <w:t>the provider</w:t>
      </w:r>
      <w:r w:rsidR="00393340">
        <w:rPr>
          <w:rFonts w:ascii="Times New Roman" w:hAnsi="Times New Roman"/>
          <w:sz w:val="24"/>
          <w:szCs w:val="24"/>
        </w:rPr>
        <w:t xml:space="preserve"> will take to rectify the issues identified as contributing to the outage and to avoid similar outages in the future.</w:t>
      </w:r>
    </w:p>
    <w:p w14:paraId="5DC21212" w14:textId="71EDD488" w:rsidR="00E004C1" w:rsidRDefault="00E004C1" w:rsidP="00875127">
      <w:pPr>
        <w:spacing w:after="0" w:line="240" w:lineRule="auto"/>
      </w:pPr>
    </w:p>
    <w:p w14:paraId="4BFF4DB5" w14:textId="5B51E499" w:rsidR="00E004C1" w:rsidRDefault="0037748B"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P</w:t>
      </w:r>
      <w:r w:rsidR="00E004C1">
        <w:rPr>
          <w:rFonts w:ascii="Times New Roman" w:hAnsi="Times New Roman"/>
          <w:sz w:val="24"/>
          <w:szCs w:val="24"/>
        </w:rPr>
        <w:t>aragraph 6(1)(d)</w:t>
      </w:r>
      <w:r w:rsidR="00CA6F61">
        <w:rPr>
          <w:rFonts w:ascii="Times New Roman" w:hAnsi="Times New Roman"/>
          <w:sz w:val="24"/>
          <w:szCs w:val="24"/>
        </w:rPr>
        <w:t xml:space="preserve"> will require a comprehensive disruption protocol to be included in the Determination. This will </w:t>
      </w:r>
      <w:r w:rsidR="00E122E9">
        <w:rPr>
          <w:rFonts w:ascii="Times New Roman" w:hAnsi="Times New Roman"/>
          <w:sz w:val="24"/>
          <w:szCs w:val="24"/>
        </w:rPr>
        <w:t>detail</w:t>
      </w:r>
      <w:r w:rsidR="00CA6F61">
        <w:rPr>
          <w:rFonts w:ascii="Times New Roman" w:hAnsi="Times New Roman"/>
          <w:sz w:val="24"/>
          <w:szCs w:val="24"/>
        </w:rPr>
        <w:t xml:space="preserve"> the actions that must be taken during and after a major outage that affects the delivery of emergency calls to the emergency call person. This </w:t>
      </w:r>
      <w:r w:rsidR="0062254A">
        <w:rPr>
          <w:rFonts w:ascii="Times New Roman" w:hAnsi="Times New Roman"/>
          <w:sz w:val="24"/>
          <w:szCs w:val="24"/>
        </w:rPr>
        <w:t>protocol will serve as a</w:t>
      </w:r>
      <w:r w:rsidR="00CA6F61">
        <w:rPr>
          <w:rFonts w:ascii="Times New Roman" w:hAnsi="Times New Roman"/>
          <w:sz w:val="24"/>
          <w:szCs w:val="24"/>
        </w:rPr>
        <w:t xml:space="preserve"> clearly articulated source of guidance for providers to follow during and after a major outage.</w:t>
      </w:r>
    </w:p>
    <w:p w14:paraId="1F5C1A53" w14:textId="2B6A9B2D" w:rsidR="00E004C1" w:rsidRDefault="00E004C1" w:rsidP="00E004C1">
      <w:pPr>
        <w:shd w:val="clear" w:color="auto" w:fill="FFFFFF"/>
        <w:spacing w:after="0" w:line="240" w:lineRule="auto"/>
        <w:ind w:right="91"/>
        <w:rPr>
          <w:rFonts w:ascii="Times New Roman" w:hAnsi="Times New Roman"/>
          <w:sz w:val="24"/>
          <w:szCs w:val="24"/>
        </w:rPr>
      </w:pPr>
    </w:p>
    <w:p w14:paraId="4CCA7E93" w14:textId="1AD9B64B" w:rsidR="00924263"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6(1)(e)</w:t>
      </w:r>
      <w:r w:rsidR="00731121">
        <w:rPr>
          <w:rFonts w:ascii="Times New Roman" w:hAnsi="Times New Roman"/>
          <w:sz w:val="24"/>
          <w:szCs w:val="24"/>
        </w:rPr>
        <w:t xml:space="preserve"> will require</w:t>
      </w:r>
      <w:r w:rsidR="00AF5789">
        <w:rPr>
          <w:rFonts w:ascii="Times New Roman" w:hAnsi="Times New Roman"/>
          <w:sz w:val="24"/>
          <w:szCs w:val="24"/>
        </w:rPr>
        <w:t xml:space="preserve"> the Determination to be amended to include a requirement that</w:t>
      </w:r>
      <w:r w:rsidR="00731121">
        <w:rPr>
          <w:rFonts w:ascii="Times New Roman" w:hAnsi="Times New Roman"/>
          <w:sz w:val="24"/>
          <w:szCs w:val="24"/>
        </w:rPr>
        <w:t xml:space="preserve"> providers submit to ACMA and other appropriate entities</w:t>
      </w:r>
      <w:r w:rsidR="00AF5789">
        <w:rPr>
          <w:rFonts w:ascii="Times New Roman" w:hAnsi="Times New Roman"/>
          <w:sz w:val="24"/>
          <w:szCs w:val="24"/>
        </w:rPr>
        <w:t>, within a</w:t>
      </w:r>
      <w:r w:rsidR="00AF5789" w:rsidRPr="00AF5789">
        <w:t xml:space="preserve"> </w:t>
      </w:r>
      <w:r w:rsidR="00AF5789" w:rsidRPr="00AF5789">
        <w:rPr>
          <w:rFonts w:ascii="Times New Roman" w:hAnsi="Times New Roman"/>
          <w:sz w:val="24"/>
          <w:szCs w:val="24"/>
        </w:rPr>
        <w:t>specified timeframe in advance of any proposed changes to their operations or their networks</w:t>
      </w:r>
      <w:r w:rsidR="00AF5789">
        <w:rPr>
          <w:rFonts w:ascii="Times New Roman" w:hAnsi="Times New Roman"/>
          <w:sz w:val="24"/>
          <w:szCs w:val="24"/>
        </w:rPr>
        <w:t xml:space="preserve"> </w:t>
      </w:r>
      <w:r w:rsidR="00AF5789" w:rsidRPr="00AF5789">
        <w:rPr>
          <w:rFonts w:ascii="Times New Roman" w:hAnsi="Times New Roman"/>
          <w:sz w:val="24"/>
          <w:szCs w:val="24"/>
        </w:rPr>
        <w:t xml:space="preserve">that </w:t>
      </w:r>
      <w:r w:rsidR="00AF5789">
        <w:rPr>
          <w:rFonts w:ascii="Times New Roman" w:hAnsi="Times New Roman"/>
          <w:sz w:val="24"/>
          <w:szCs w:val="24"/>
        </w:rPr>
        <w:t>will</w:t>
      </w:r>
      <w:r w:rsidR="00AF5789" w:rsidRPr="00AF5789">
        <w:rPr>
          <w:rFonts w:ascii="Times New Roman" w:hAnsi="Times New Roman"/>
          <w:sz w:val="24"/>
          <w:szCs w:val="24"/>
        </w:rPr>
        <w:t xml:space="preserve"> impact the delivery of calls to the emergency call person for 000 and 112,</w:t>
      </w:r>
      <w:r w:rsidR="00731121">
        <w:rPr>
          <w:rFonts w:ascii="Times New Roman" w:hAnsi="Times New Roman"/>
          <w:sz w:val="24"/>
          <w:szCs w:val="24"/>
        </w:rPr>
        <w:t xml:space="preserve"> a management plan that details the steps the provider will take to minimise any detrimental impacts to end-users resulting from </w:t>
      </w:r>
      <w:r w:rsidR="00AF5789">
        <w:rPr>
          <w:rFonts w:ascii="Times New Roman" w:hAnsi="Times New Roman"/>
          <w:sz w:val="24"/>
          <w:szCs w:val="24"/>
        </w:rPr>
        <w:t xml:space="preserve">those </w:t>
      </w:r>
      <w:r w:rsidR="00731121">
        <w:rPr>
          <w:rFonts w:ascii="Times New Roman" w:hAnsi="Times New Roman"/>
          <w:sz w:val="24"/>
          <w:szCs w:val="24"/>
        </w:rPr>
        <w:t xml:space="preserve">proposed changes. </w:t>
      </w:r>
    </w:p>
    <w:p w14:paraId="6FB7CC5E" w14:textId="77777777" w:rsidR="00924263" w:rsidRDefault="00924263" w:rsidP="00E004C1">
      <w:pPr>
        <w:shd w:val="clear" w:color="auto" w:fill="FFFFFF"/>
        <w:spacing w:after="0" w:line="240" w:lineRule="auto"/>
        <w:ind w:right="91"/>
        <w:rPr>
          <w:rFonts w:ascii="Times New Roman" w:hAnsi="Times New Roman"/>
          <w:sz w:val="24"/>
          <w:szCs w:val="24"/>
        </w:rPr>
      </w:pPr>
    </w:p>
    <w:p w14:paraId="33CFC997" w14:textId="4862F92D" w:rsidR="00E004C1" w:rsidRDefault="0073112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 xml:space="preserve">It is understood that there is a risk with any change to a network or operations that there may be unexpected detriment to an end user. This requirement is not intended to capture </w:t>
      </w:r>
      <w:r w:rsidR="007D77E6">
        <w:rPr>
          <w:rFonts w:ascii="Times New Roman" w:hAnsi="Times New Roman"/>
          <w:sz w:val="24"/>
          <w:szCs w:val="24"/>
        </w:rPr>
        <w:t>detriment resulting from accidents or unforeseen outcomes</w:t>
      </w:r>
      <w:r w:rsidR="00D97ABA">
        <w:rPr>
          <w:rFonts w:ascii="Times New Roman" w:hAnsi="Times New Roman"/>
          <w:sz w:val="24"/>
          <w:szCs w:val="24"/>
        </w:rPr>
        <w:t xml:space="preserve"> to more general network changes</w:t>
      </w:r>
      <w:r w:rsidR="007D77E6">
        <w:rPr>
          <w:rFonts w:ascii="Times New Roman" w:hAnsi="Times New Roman"/>
          <w:sz w:val="24"/>
          <w:szCs w:val="24"/>
        </w:rPr>
        <w:t xml:space="preserve">, rather, if a decision is made to change the provider’s network or operations and it is clear this will </w:t>
      </w:r>
      <w:r w:rsidR="00AF5789" w:rsidRPr="00AF5789">
        <w:rPr>
          <w:rFonts w:ascii="Times New Roman" w:hAnsi="Times New Roman"/>
          <w:sz w:val="24"/>
          <w:szCs w:val="24"/>
        </w:rPr>
        <w:t>impact the delivery of calls to the emergency call person for 000 and 112</w:t>
      </w:r>
      <w:r w:rsidR="007D77E6">
        <w:rPr>
          <w:rFonts w:ascii="Times New Roman" w:hAnsi="Times New Roman"/>
          <w:sz w:val="24"/>
          <w:szCs w:val="24"/>
        </w:rPr>
        <w:t>, the provider has a responsibility to these end users to minimise this detriment. Examples of how this could be achieved include, but are not limited to, informing end users in advance of the change, providing tailored assistance to vulnerable customers, utilising the provider’s payment assistance policy for financial assistance customers, and engaging with key stakeholders to advise of the change.</w:t>
      </w:r>
    </w:p>
    <w:p w14:paraId="4123A543" w14:textId="0F87C29A" w:rsidR="007D77E6" w:rsidRDefault="007D77E6" w:rsidP="00E004C1">
      <w:pPr>
        <w:shd w:val="clear" w:color="auto" w:fill="FFFFFF"/>
        <w:spacing w:after="0" w:line="240" w:lineRule="auto"/>
        <w:ind w:right="91"/>
        <w:rPr>
          <w:rFonts w:ascii="Times New Roman" w:hAnsi="Times New Roman"/>
          <w:sz w:val="24"/>
          <w:szCs w:val="24"/>
        </w:rPr>
      </w:pPr>
    </w:p>
    <w:p w14:paraId="66413774" w14:textId="17FDFEBA" w:rsidR="007D77E6" w:rsidRDefault="007D77E6"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 xml:space="preserve">This paragraph references other appropriate entities. As per 6(1)(b) above, this is intended to </w:t>
      </w:r>
      <w:r w:rsidR="00DB4B36">
        <w:rPr>
          <w:rFonts w:ascii="Times New Roman" w:hAnsi="Times New Roman"/>
          <w:sz w:val="24"/>
          <w:szCs w:val="24"/>
        </w:rPr>
        <w:t xml:space="preserve">capture </w:t>
      </w:r>
      <w:r>
        <w:rPr>
          <w:rFonts w:ascii="Times New Roman" w:hAnsi="Times New Roman"/>
          <w:sz w:val="24"/>
          <w:szCs w:val="24"/>
        </w:rPr>
        <w:t>the</w:t>
      </w:r>
      <w:r w:rsidR="00924263">
        <w:rPr>
          <w:rFonts w:ascii="Times New Roman" w:hAnsi="Times New Roman"/>
          <w:sz w:val="24"/>
          <w:szCs w:val="24"/>
        </w:rPr>
        <w:t xml:space="preserve"> yet to be established</w:t>
      </w:r>
      <w:r>
        <w:rPr>
          <w:rFonts w:ascii="Times New Roman" w:hAnsi="Times New Roman"/>
          <w:sz w:val="24"/>
          <w:szCs w:val="24"/>
        </w:rPr>
        <w:t xml:space="preserve"> Triple Zero Custodian.</w:t>
      </w:r>
    </w:p>
    <w:p w14:paraId="42C7FB53" w14:textId="0D017C5E" w:rsidR="00E004C1" w:rsidRDefault="00E004C1" w:rsidP="00E004C1">
      <w:pPr>
        <w:shd w:val="clear" w:color="auto" w:fill="FFFFFF"/>
        <w:spacing w:after="0" w:line="240" w:lineRule="auto"/>
        <w:ind w:right="91"/>
        <w:rPr>
          <w:rFonts w:ascii="Times New Roman" w:hAnsi="Times New Roman"/>
          <w:sz w:val="24"/>
          <w:szCs w:val="24"/>
        </w:rPr>
      </w:pPr>
    </w:p>
    <w:p w14:paraId="0D0CD421" w14:textId="0621F513" w:rsidR="00E004C1" w:rsidRDefault="0037748B"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Subsection</w:t>
      </w:r>
      <w:r w:rsidR="00E004C1">
        <w:rPr>
          <w:rFonts w:ascii="Times New Roman" w:hAnsi="Times New Roman"/>
          <w:sz w:val="24"/>
          <w:szCs w:val="24"/>
        </w:rPr>
        <w:t xml:space="preserve"> 6(2)</w:t>
      </w:r>
      <w:r w:rsidR="007D77E6">
        <w:rPr>
          <w:rFonts w:ascii="Times New Roman" w:hAnsi="Times New Roman"/>
          <w:sz w:val="24"/>
          <w:szCs w:val="24"/>
        </w:rPr>
        <w:t xml:space="preserve"> </w:t>
      </w:r>
      <w:r w:rsidR="00DB4B36">
        <w:rPr>
          <w:rFonts w:ascii="Times New Roman" w:hAnsi="Times New Roman"/>
          <w:sz w:val="24"/>
          <w:szCs w:val="24"/>
        </w:rPr>
        <w:t xml:space="preserve">provides that the Determination be amended to give effect to objectives relating to </w:t>
      </w:r>
      <w:r w:rsidR="007D77E6">
        <w:rPr>
          <w:rFonts w:ascii="Times New Roman" w:hAnsi="Times New Roman"/>
          <w:sz w:val="24"/>
          <w:szCs w:val="24"/>
        </w:rPr>
        <w:t xml:space="preserve">requirements for providers to identify </w:t>
      </w:r>
      <w:r w:rsidR="00391A63">
        <w:rPr>
          <w:rFonts w:ascii="Times New Roman" w:hAnsi="Times New Roman"/>
          <w:sz w:val="24"/>
          <w:szCs w:val="24"/>
        </w:rPr>
        <w:t xml:space="preserve">mobile phones </w:t>
      </w:r>
      <w:r w:rsidR="00530A43">
        <w:rPr>
          <w:rFonts w:ascii="Times New Roman" w:hAnsi="Times New Roman"/>
          <w:sz w:val="24"/>
          <w:szCs w:val="24"/>
        </w:rPr>
        <w:t xml:space="preserve">that are unable to access the </w:t>
      </w:r>
      <w:r w:rsidR="00530A43">
        <w:rPr>
          <w:rFonts w:ascii="Times New Roman" w:hAnsi="Times New Roman"/>
          <w:sz w:val="24"/>
          <w:szCs w:val="24"/>
        </w:rPr>
        <w:lastRenderedPageBreak/>
        <w:t>emergency call service and take steps to notify the end user and cease providing service to these devices.</w:t>
      </w:r>
      <w:r w:rsidR="00924263">
        <w:rPr>
          <w:rFonts w:ascii="Times New Roman" w:hAnsi="Times New Roman"/>
          <w:sz w:val="24"/>
          <w:szCs w:val="24"/>
        </w:rPr>
        <w:t xml:space="preserve"> Providers should take all reasonable measures to ensure end users have access to the emergency call service. In the event an end user’s mobile phone is unable to access the emergency call service, the provider must not supply carriage services to this device.</w:t>
      </w:r>
    </w:p>
    <w:p w14:paraId="670255AF" w14:textId="5F9E01E6" w:rsidR="00E004C1" w:rsidRDefault="00E004C1" w:rsidP="00E004C1">
      <w:pPr>
        <w:shd w:val="clear" w:color="auto" w:fill="FFFFFF"/>
        <w:spacing w:after="0" w:line="240" w:lineRule="auto"/>
        <w:ind w:right="91"/>
        <w:rPr>
          <w:rFonts w:ascii="Times New Roman" w:hAnsi="Times New Roman"/>
          <w:sz w:val="24"/>
          <w:szCs w:val="24"/>
        </w:rPr>
      </w:pPr>
    </w:p>
    <w:p w14:paraId="4BBBC0E7" w14:textId="2CC904AC" w:rsidR="00E004C1" w:rsidRDefault="0037748B"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P</w:t>
      </w:r>
      <w:r w:rsidR="00E004C1">
        <w:rPr>
          <w:rFonts w:ascii="Times New Roman" w:hAnsi="Times New Roman"/>
          <w:sz w:val="24"/>
          <w:szCs w:val="24"/>
        </w:rPr>
        <w:t>aragraph 6(2)(a)</w:t>
      </w:r>
      <w:r w:rsidR="00530A43">
        <w:rPr>
          <w:rFonts w:ascii="Times New Roman" w:hAnsi="Times New Roman"/>
          <w:sz w:val="24"/>
          <w:szCs w:val="24"/>
        </w:rPr>
        <w:t xml:space="preserve"> </w:t>
      </w:r>
      <w:r w:rsidR="00DB4B36">
        <w:rPr>
          <w:rFonts w:ascii="Times New Roman" w:hAnsi="Times New Roman"/>
          <w:sz w:val="24"/>
          <w:szCs w:val="24"/>
        </w:rPr>
        <w:t xml:space="preserve">provides that the Determination be amended to give effect to the objective and carriage service providers be </w:t>
      </w:r>
      <w:r w:rsidR="00530A43">
        <w:rPr>
          <w:rFonts w:ascii="Times New Roman" w:hAnsi="Times New Roman"/>
          <w:sz w:val="24"/>
          <w:szCs w:val="24"/>
        </w:rPr>
        <w:t>require</w:t>
      </w:r>
      <w:r w:rsidR="00DB4B36">
        <w:rPr>
          <w:rFonts w:ascii="Times New Roman" w:hAnsi="Times New Roman"/>
          <w:sz w:val="24"/>
          <w:szCs w:val="24"/>
        </w:rPr>
        <w:t>d</w:t>
      </w:r>
      <w:r w:rsidR="00530A43">
        <w:rPr>
          <w:rFonts w:ascii="Times New Roman" w:hAnsi="Times New Roman"/>
          <w:sz w:val="24"/>
          <w:szCs w:val="24"/>
        </w:rPr>
        <w:t xml:space="preserve"> identify if the mobile of an end user requesting the supply of carriage services from the provider is able to access the emergency call service</w:t>
      </w:r>
      <w:r w:rsidR="00DB4B36">
        <w:rPr>
          <w:rFonts w:ascii="Times New Roman" w:hAnsi="Times New Roman"/>
          <w:sz w:val="24"/>
          <w:szCs w:val="24"/>
        </w:rPr>
        <w:t xml:space="preserve"> using both: </w:t>
      </w:r>
    </w:p>
    <w:p w14:paraId="16D5FFB8" w14:textId="679850A1" w:rsidR="00E004C1" w:rsidRDefault="00530A43" w:rsidP="00DB4B36">
      <w:pPr>
        <w:pStyle w:val="ListParagraph"/>
        <w:numPr>
          <w:ilvl w:val="0"/>
          <w:numId w:val="5"/>
        </w:numPr>
        <w:shd w:val="clear" w:color="auto" w:fill="FFFFFF"/>
        <w:spacing w:after="0" w:line="240" w:lineRule="auto"/>
        <w:ind w:right="91"/>
        <w:rPr>
          <w:rFonts w:ascii="Times New Roman" w:hAnsi="Times New Roman"/>
          <w:sz w:val="24"/>
          <w:szCs w:val="24"/>
        </w:rPr>
      </w:pPr>
      <w:r w:rsidRPr="00941E8D">
        <w:rPr>
          <w:rFonts w:ascii="Times New Roman" w:hAnsi="Times New Roman"/>
          <w:sz w:val="24"/>
          <w:szCs w:val="24"/>
        </w:rPr>
        <w:t>the provider’s own network</w:t>
      </w:r>
      <w:r w:rsidR="00DB4B36" w:rsidRPr="00941E8D">
        <w:rPr>
          <w:rFonts w:ascii="Times New Roman" w:hAnsi="Times New Roman"/>
          <w:sz w:val="24"/>
          <w:szCs w:val="24"/>
        </w:rPr>
        <w:t xml:space="preserve"> (ss 6(2)(a)(i)</w:t>
      </w:r>
      <w:r w:rsidR="002429F6">
        <w:rPr>
          <w:rFonts w:ascii="Times New Roman" w:hAnsi="Times New Roman"/>
          <w:sz w:val="24"/>
          <w:szCs w:val="24"/>
        </w:rPr>
        <w:t>);</w:t>
      </w:r>
      <w:r w:rsidR="00DB4B36">
        <w:rPr>
          <w:rFonts w:ascii="Times New Roman" w:hAnsi="Times New Roman"/>
          <w:sz w:val="24"/>
          <w:szCs w:val="24"/>
        </w:rPr>
        <w:t xml:space="preserve"> and </w:t>
      </w:r>
    </w:p>
    <w:p w14:paraId="4D5BA4AE" w14:textId="25F4A2D2" w:rsidR="00E004C1" w:rsidRDefault="00530A43" w:rsidP="00941E8D">
      <w:pPr>
        <w:pStyle w:val="ListParagraph"/>
        <w:numPr>
          <w:ilvl w:val="0"/>
          <w:numId w:val="5"/>
        </w:numPr>
        <w:shd w:val="clear" w:color="auto" w:fill="FFFFFF"/>
        <w:spacing w:after="0" w:line="240" w:lineRule="auto"/>
        <w:ind w:right="91"/>
        <w:rPr>
          <w:rFonts w:ascii="Times New Roman" w:hAnsi="Times New Roman"/>
          <w:sz w:val="24"/>
          <w:szCs w:val="24"/>
        </w:rPr>
      </w:pPr>
      <w:r>
        <w:rPr>
          <w:rFonts w:ascii="Times New Roman" w:hAnsi="Times New Roman"/>
          <w:sz w:val="24"/>
          <w:szCs w:val="24"/>
        </w:rPr>
        <w:t>the networks of other carriage services provide</w:t>
      </w:r>
      <w:r w:rsidR="00DB4B36">
        <w:rPr>
          <w:rFonts w:ascii="Times New Roman" w:hAnsi="Times New Roman"/>
          <w:sz w:val="24"/>
          <w:szCs w:val="24"/>
        </w:rPr>
        <w:t>r</w:t>
      </w:r>
      <w:r>
        <w:rPr>
          <w:rFonts w:ascii="Times New Roman" w:hAnsi="Times New Roman"/>
          <w:sz w:val="24"/>
          <w:szCs w:val="24"/>
        </w:rPr>
        <w:t>s who provide carriage services to the public, in addition to the provider’s own network</w:t>
      </w:r>
      <w:r w:rsidR="002429F6">
        <w:rPr>
          <w:rFonts w:ascii="Times New Roman" w:hAnsi="Times New Roman"/>
          <w:sz w:val="24"/>
          <w:szCs w:val="24"/>
        </w:rPr>
        <w:t xml:space="preserve"> </w:t>
      </w:r>
      <w:r w:rsidR="00DB4B36" w:rsidRPr="00A45403">
        <w:rPr>
          <w:rFonts w:ascii="Times New Roman" w:hAnsi="Times New Roman"/>
          <w:sz w:val="24"/>
          <w:szCs w:val="24"/>
        </w:rPr>
        <w:t>(ss 6(2)(a)(</w:t>
      </w:r>
      <w:r w:rsidR="00DB4B36">
        <w:rPr>
          <w:rFonts w:ascii="Times New Roman" w:hAnsi="Times New Roman"/>
          <w:sz w:val="24"/>
          <w:szCs w:val="24"/>
        </w:rPr>
        <w:t>i</w:t>
      </w:r>
      <w:r w:rsidR="00DB4B36" w:rsidRPr="00A45403">
        <w:rPr>
          <w:rFonts w:ascii="Times New Roman" w:hAnsi="Times New Roman"/>
          <w:sz w:val="24"/>
          <w:szCs w:val="24"/>
        </w:rPr>
        <w:t>i)</w:t>
      </w:r>
      <w:r w:rsidR="00DB4B36">
        <w:rPr>
          <w:rFonts w:ascii="Times New Roman" w:hAnsi="Times New Roman"/>
          <w:sz w:val="24"/>
          <w:szCs w:val="24"/>
        </w:rPr>
        <w:t>)</w:t>
      </w:r>
      <w:r w:rsidR="002429F6">
        <w:rPr>
          <w:rFonts w:ascii="Times New Roman" w:hAnsi="Times New Roman"/>
          <w:sz w:val="24"/>
          <w:szCs w:val="24"/>
        </w:rPr>
        <w:t>.</w:t>
      </w:r>
    </w:p>
    <w:p w14:paraId="158633D1" w14:textId="587E96D1" w:rsidR="00DB4B36" w:rsidRDefault="00DB4B36" w:rsidP="00E004C1">
      <w:pPr>
        <w:shd w:val="clear" w:color="auto" w:fill="FFFFFF"/>
        <w:spacing w:after="0" w:line="240" w:lineRule="auto"/>
        <w:ind w:right="91"/>
        <w:rPr>
          <w:rFonts w:ascii="Times New Roman" w:hAnsi="Times New Roman"/>
          <w:sz w:val="24"/>
          <w:szCs w:val="24"/>
        </w:rPr>
      </w:pPr>
    </w:p>
    <w:p w14:paraId="0B6CAB1E" w14:textId="7D8941E1" w:rsidR="00DB4B36" w:rsidRDefault="00DB4B36"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It is intended mobiles phones should be able to access the emergency call service using both the network of the provider supplying carriage services to it, and each other network belonging to the other providers supplying carriage services to the public. This will ensur</w:t>
      </w:r>
      <w:r w:rsidR="002429F6">
        <w:rPr>
          <w:rFonts w:ascii="Times New Roman" w:hAnsi="Times New Roman"/>
          <w:sz w:val="24"/>
          <w:szCs w:val="24"/>
        </w:rPr>
        <w:t>e</w:t>
      </w:r>
      <w:r w:rsidR="00533CF1">
        <w:rPr>
          <w:rFonts w:ascii="Times New Roman" w:hAnsi="Times New Roman"/>
          <w:sz w:val="24"/>
          <w:szCs w:val="24"/>
        </w:rPr>
        <w:t>,</w:t>
      </w:r>
      <w:r w:rsidR="002429F6">
        <w:rPr>
          <w:rFonts w:ascii="Times New Roman" w:hAnsi="Times New Roman"/>
          <w:sz w:val="24"/>
          <w:szCs w:val="24"/>
        </w:rPr>
        <w:t xml:space="preserve"> in the event an end user must use emergency</w:t>
      </w:r>
      <w:r w:rsidR="00533CF1">
        <w:rPr>
          <w:rFonts w:ascii="Times New Roman" w:hAnsi="Times New Roman"/>
          <w:sz w:val="24"/>
          <w:szCs w:val="24"/>
        </w:rPr>
        <w:t xml:space="preserve"> call</w:t>
      </w:r>
      <w:r w:rsidR="002429F6">
        <w:rPr>
          <w:rFonts w:ascii="Times New Roman" w:hAnsi="Times New Roman"/>
          <w:sz w:val="24"/>
          <w:szCs w:val="24"/>
        </w:rPr>
        <w:t xml:space="preserve"> camp on functionality to access the emergency call service</w:t>
      </w:r>
      <w:r w:rsidR="00533CF1">
        <w:rPr>
          <w:rFonts w:ascii="Times New Roman" w:hAnsi="Times New Roman"/>
          <w:sz w:val="24"/>
          <w:szCs w:val="24"/>
        </w:rPr>
        <w:t>, the end user’s call will be carried regardless of the network utilised.</w:t>
      </w:r>
      <w:r w:rsidR="002429F6">
        <w:rPr>
          <w:rFonts w:ascii="Times New Roman" w:hAnsi="Times New Roman"/>
          <w:sz w:val="24"/>
          <w:szCs w:val="24"/>
        </w:rPr>
        <w:t xml:space="preserve"> </w:t>
      </w:r>
    </w:p>
    <w:p w14:paraId="780BE0D9" w14:textId="7ABDD05A" w:rsidR="00E004C1" w:rsidRDefault="00E004C1" w:rsidP="00E004C1">
      <w:pPr>
        <w:shd w:val="clear" w:color="auto" w:fill="FFFFFF"/>
        <w:spacing w:after="0" w:line="240" w:lineRule="auto"/>
        <w:ind w:right="91"/>
        <w:rPr>
          <w:rFonts w:ascii="Times New Roman" w:hAnsi="Times New Roman"/>
          <w:sz w:val="24"/>
          <w:szCs w:val="24"/>
        </w:rPr>
      </w:pPr>
    </w:p>
    <w:p w14:paraId="6C0B2229" w14:textId="4687A9AA" w:rsidR="00B20AB8" w:rsidRDefault="0037748B"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P</w:t>
      </w:r>
      <w:r w:rsidR="00E004C1">
        <w:rPr>
          <w:rFonts w:ascii="Times New Roman" w:hAnsi="Times New Roman"/>
          <w:sz w:val="24"/>
          <w:szCs w:val="24"/>
        </w:rPr>
        <w:t>aragraph 6(2)(b)</w:t>
      </w:r>
      <w:r w:rsidR="00403D0D" w:rsidRPr="00403D0D">
        <w:rPr>
          <w:rFonts w:ascii="Times New Roman" w:hAnsi="Times New Roman"/>
          <w:sz w:val="24"/>
          <w:szCs w:val="24"/>
        </w:rPr>
        <w:t xml:space="preserve"> </w:t>
      </w:r>
      <w:r w:rsidR="00403D0D">
        <w:rPr>
          <w:rFonts w:ascii="Times New Roman" w:hAnsi="Times New Roman"/>
          <w:sz w:val="24"/>
          <w:szCs w:val="24"/>
        </w:rPr>
        <w:t xml:space="preserve">provides that the Determination be amended to give effect to the objective that </w:t>
      </w:r>
      <w:r w:rsidR="00A1718B">
        <w:rPr>
          <w:rFonts w:ascii="Times New Roman" w:hAnsi="Times New Roman"/>
          <w:sz w:val="24"/>
          <w:szCs w:val="24"/>
        </w:rPr>
        <w:t xml:space="preserve">providers </w:t>
      </w:r>
      <w:r w:rsidR="00403D0D">
        <w:rPr>
          <w:rFonts w:ascii="Times New Roman" w:hAnsi="Times New Roman"/>
          <w:sz w:val="24"/>
          <w:szCs w:val="24"/>
        </w:rPr>
        <w:t xml:space="preserve">be required </w:t>
      </w:r>
      <w:r w:rsidR="00A1718B">
        <w:rPr>
          <w:rFonts w:ascii="Times New Roman" w:hAnsi="Times New Roman"/>
          <w:sz w:val="24"/>
          <w:szCs w:val="24"/>
        </w:rPr>
        <w:t>to undertake the actions listed under the follow</w:t>
      </w:r>
      <w:r w:rsidR="00403D0D">
        <w:rPr>
          <w:rFonts w:ascii="Times New Roman" w:hAnsi="Times New Roman"/>
          <w:sz w:val="24"/>
          <w:szCs w:val="24"/>
        </w:rPr>
        <w:t>ing</w:t>
      </w:r>
      <w:r w:rsidR="00A1718B">
        <w:rPr>
          <w:rFonts w:ascii="Times New Roman" w:hAnsi="Times New Roman"/>
          <w:sz w:val="24"/>
          <w:szCs w:val="24"/>
        </w:rPr>
        <w:t xml:space="preserve"> subparagraphs, in the event an end user’s mobile phone is unable to access the emergency call service</w:t>
      </w:r>
      <w:r w:rsidR="004128F1">
        <w:rPr>
          <w:rFonts w:ascii="Times New Roman" w:hAnsi="Times New Roman"/>
          <w:sz w:val="24"/>
          <w:szCs w:val="24"/>
        </w:rPr>
        <w:t xml:space="preserve"> either using the</w:t>
      </w:r>
      <w:r w:rsidR="004128F1" w:rsidRPr="004128F1">
        <w:t xml:space="preserve"> </w:t>
      </w:r>
      <w:r w:rsidR="004128F1" w:rsidRPr="004128F1">
        <w:rPr>
          <w:rFonts w:ascii="Times New Roman" w:hAnsi="Times New Roman"/>
          <w:sz w:val="24"/>
          <w:szCs w:val="24"/>
        </w:rPr>
        <w:t>provider’s own network or the networks of other carriage service providers who provide carriage services to the public</w:t>
      </w:r>
      <w:r w:rsidR="00533CF1">
        <w:rPr>
          <w:rFonts w:ascii="Times New Roman" w:hAnsi="Times New Roman"/>
          <w:sz w:val="24"/>
          <w:szCs w:val="24"/>
        </w:rPr>
        <w:t xml:space="preserve">. This will ensure end users can access the emergency call service on their own provider’s network, and when utilising emergency call camp on functionality across other networks. </w:t>
      </w:r>
    </w:p>
    <w:p w14:paraId="2E362F10" w14:textId="77777777" w:rsidR="00B20AB8" w:rsidRDefault="00B20AB8" w:rsidP="00E004C1">
      <w:pPr>
        <w:shd w:val="clear" w:color="auto" w:fill="FFFFFF"/>
        <w:spacing w:after="0" w:line="240" w:lineRule="auto"/>
        <w:ind w:right="91"/>
        <w:rPr>
          <w:rFonts w:ascii="Times New Roman" w:hAnsi="Times New Roman"/>
          <w:sz w:val="24"/>
          <w:szCs w:val="24"/>
        </w:rPr>
      </w:pPr>
    </w:p>
    <w:p w14:paraId="38CAA5C5" w14:textId="7C8B7583" w:rsidR="00E004C1" w:rsidRDefault="00533CF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 xml:space="preserve">It is intended that end users must be able to access the emergency call service on all carrier </w:t>
      </w:r>
      <w:r w:rsidR="00B20AB8">
        <w:rPr>
          <w:rFonts w:ascii="Times New Roman" w:hAnsi="Times New Roman"/>
          <w:sz w:val="24"/>
          <w:szCs w:val="24"/>
        </w:rPr>
        <w:t xml:space="preserve">mobile </w:t>
      </w:r>
      <w:r>
        <w:rPr>
          <w:rFonts w:ascii="Times New Roman" w:hAnsi="Times New Roman"/>
          <w:sz w:val="24"/>
          <w:szCs w:val="24"/>
        </w:rPr>
        <w:t>networks</w:t>
      </w:r>
      <w:r w:rsidR="00B20AB8">
        <w:rPr>
          <w:rFonts w:ascii="Times New Roman" w:hAnsi="Times New Roman"/>
          <w:sz w:val="24"/>
          <w:szCs w:val="24"/>
        </w:rPr>
        <w:t xml:space="preserve"> which deliver calls to the emergency call service</w:t>
      </w:r>
      <w:r>
        <w:rPr>
          <w:rFonts w:ascii="Times New Roman" w:hAnsi="Times New Roman"/>
          <w:sz w:val="24"/>
          <w:szCs w:val="24"/>
        </w:rPr>
        <w:t>. It is insufficient for a mobile phone to be able to access emergency services on some, but not all of these networks. In the event this is not possible due to the mobile phone, the provider will have an obligation to notify the end user and not provide service to the mobile phone.</w:t>
      </w:r>
    </w:p>
    <w:p w14:paraId="5EEEFFB5" w14:textId="366BA194" w:rsidR="00E004C1" w:rsidRDefault="00E004C1" w:rsidP="00E004C1">
      <w:pPr>
        <w:shd w:val="clear" w:color="auto" w:fill="FFFFFF"/>
        <w:spacing w:after="0" w:line="240" w:lineRule="auto"/>
        <w:ind w:right="91"/>
        <w:rPr>
          <w:rFonts w:ascii="Times New Roman" w:hAnsi="Times New Roman"/>
          <w:sz w:val="24"/>
          <w:szCs w:val="24"/>
        </w:rPr>
      </w:pPr>
    </w:p>
    <w:p w14:paraId="7E2EFACE" w14:textId="74F62F2A"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6(2)(b)(i)</w:t>
      </w:r>
      <w:r w:rsidR="00A1718B">
        <w:rPr>
          <w:rFonts w:ascii="Times New Roman" w:hAnsi="Times New Roman"/>
          <w:sz w:val="24"/>
          <w:szCs w:val="24"/>
        </w:rPr>
        <w:t xml:space="preserve"> requires the provider to notify the end user that their mobile phone is not able to access the emergency call service.</w:t>
      </w:r>
    </w:p>
    <w:p w14:paraId="6B589C22" w14:textId="77777777" w:rsidR="00E004C1" w:rsidRDefault="00E004C1" w:rsidP="00E004C1">
      <w:pPr>
        <w:shd w:val="clear" w:color="auto" w:fill="FFFFFF"/>
        <w:spacing w:after="0" w:line="240" w:lineRule="auto"/>
        <w:ind w:right="91"/>
        <w:rPr>
          <w:rFonts w:ascii="Times New Roman" w:hAnsi="Times New Roman"/>
          <w:sz w:val="24"/>
          <w:szCs w:val="24"/>
        </w:rPr>
      </w:pPr>
    </w:p>
    <w:p w14:paraId="416AA263" w14:textId="3A94E682"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6(2)(b)(ii)</w:t>
      </w:r>
      <w:r w:rsidR="00A1718B">
        <w:rPr>
          <w:rFonts w:ascii="Times New Roman" w:hAnsi="Times New Roman"/>
          <w:sz w:val="24"/>
          <w:szCs w:val="24"/>
        </w:rPr>
        <w:t xml:space="preserve"> requires the provider to not supply carriage services to the end user in connection with that mobile phone.</w:t>
      </w:r>
    </w:p>
    <w:p w14:paraId="5A22831B" w14:textId="0C89DE80" w:rsidR="00E004C1" w:rsidRDefault="00E004C1" w:rsidP="00E004C1">
      <w:pPr>
        <w:shd w:val="clear" w:color="auto" w:fill="FFFFFF"/>
        <w:spacing w:after="0" w:line="240" w:lineRule="auto"/>
        <w:ind w:right="91"/>
        <w:rPr>
          <w:rFonts w:ascii="Times New Roman" w:hAnsi="Times New Roman"/>
          <w:sz w:val="24"/>
          <w:szCs w:val="24"/>
        </w:rPr>
      </w:pPr>
    </w:p>
    <w:p w14:paraId="7682DA45" w14:textId="790495B9"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6(2)(b)(iii)</w:t>
      </w:r>
      <w:r w:rsidR="00A1718B">
        <w:rPr>
          <w:rFonts w:ascii="Times New Roman" w:hAnsi="Times New Roman"/>
          <w:sz w:val="24"/>
          <w:szCs w:val="24"/>
        </w:rPr>
        <w:t xml:space="preserve"> requires the provider to provide the end user with information about alternative mobile phones which are available, including low or no cost mobile phones, which are able to access the emergency call service.</w:t>
      </w:r>
    </w:p>
    <w:p w14:paraId="14FC8AD8" w14:textId="77777777" w:rsidR="00E004C1" w:rsidRDefault="00E004C1" w:rsidP="00E004C1">
      <w:pPr>
        <w:shd w:val="clear" w:color="auto" w:fill="FFFFFF"/>
        <w:spacing w:after="0" w:line="240" w:lineRule="auto"/>
        <w:ind w:right="91"/>
        <w:rPr>
          <w:rFonts w:ascii="Times New Roman" w:hAnsi="Times New Roman"/>
          <w:sz w:val="24"/>
          <w:szCs w:val="24"/>
        </w:rPr>
      </w:pPr>
    </w:p>
    <w:p w14:paraId="37674B06" w14:textId="52A33AD0"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6(2)(b)(iv)</w:t>
      </w:r>
      <w:r w:rsidR="00A1718B">
        <w:rPr>
          <w:rFonts w:ascii="Times New Roman" w:hAnsi="Times New Roman"/>
          <w:sz w:val="24"/>
          <w:szCs w:val="24"/>
        </w:rPr>
        <w:t xml:space="preserve"> requires the provider to ensure its payment assistance policy includes avenues for financial hardship customers to receive assistance to obtain a low or no cost alternative mobile phone which is able to access the emergency call service. This requirement should be read in the context of requirements under the </w:t>
      </w:r>
      <w:r w:rsidR="00A1718B" w:rsidRPr="00A1718B">
        <w:rPr>
          <w:rFonts w:ascii="Times New Roman" w:hAnsi="Times New Roman"/>
          <w:i/>
          <w:sz w:val="24"/>
          <w:szCs w:val="24"/>
        </w:rPr>
        <w:t>Telecommunications (Financial Hardship) Industry Standard 2024</w:t>
      </w:r>
      <w:r w:rsidR="00A1718B">
        <w:rPr>
          <w:rFonts w:ascii="Times New Roman" w:hAnsi="Times New Roman"/>
          <w:sz w:val="24"/>
          <w:szCs w:val="24"/>
        </w:rPr>
        <w:t>.</w:t>
      </w:r>
    </w:p>
    <w:p w14:paraId="0041933D" w14:textId="6EBA4753" w:rsidR="00E004C1" w:rsidRDefault="00E004C1" w:rsidP="00E004C1">
      <w:pPr>
        <w:shd w:val="clear" w:color="auto" w:fill="FFFFFF"/>
        <w:spacing w:after="0" w:line="240" w:lineRule="auto"/>
        <w:ind w:right="91"/>
        <w:rPr>
          <w:rFonts w:ascii="Times New Roman" w:hAnsi="Times New Roman"/>
          <w:sz w:val="24"/>
          <w:szCs w:val="24"/>
        </w:rPr>
      </w:pPr>
    </w:p>
    <w:p w14:paraId="0B5DE9D9" w14:textId="1F0B59A9" w:rsidR="004128F1" w:rsidRDefault="0037748B"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lastRenderedPageBreak/>
        <w:t>P</w:t>
      </w:r>
      <w:r w:rsidR="00E004C1">
        <w:rPr>
          <w:rFonts w:ascii="Times New Roman" w:hAnsi="Times New Roman"/>
          <w:sz w:val="24"/>
          <w:szCs w:val="24"/>
        </w:rPr>
        <w:t>aragraph 6(2)(c)</w:t>
      </w:r>
      <w:r w:rsidR="00564709">
        <w:rPr>
          <w:rFonts w:ascii="Times New Roman" w:hAnsi="Times New Roman"/>
          <w:sz w:val="24"/>
          <w:szCs w:val="24"/>
        </w:rPr>
        <w:t xml:space="preserve"> requires</w:t>
      </w:r>
      <w:r w:rsidR="004128F1">
        <w:rPr>
          <w:rFonts w:ascii="Times New Roman" w:hAnsi="Times New Roman"/>
          <w:sz w:val="24"/>
          <w:szCs w:val="24"/>
        </w:rPr>
        <w:t xml:space="preserve"> the Determination to be amended to give effect to the objective that</w:t>
      </w:r>
      <w:r w:rsidR="00564709">
        <w:rPr>
          <w:rFonts w:ascii="Times New Roman" w:hAnsi="Times New Roman"/>
          <w:sz w:val="24"/>
          <w:szCs w:val="24"/>
        </w:rPr>
        <w:t xml:space="preserve"> </w:t>
      </w:r>
      <w:r w:rsidR="004128F1">
        <w:rPr>
          <w:rFonts w:ascii="Times New Roman" w:hAnsi="Times New Roman"/>
          <w:sz w:val="24"/>
          <w:szCs w:val="24"/>
        </w:rPr>
        <w:t xml:space="preserve">carriage service providers be required </w:t>
      </w:r>
      <w:r w:rsidR="00564709">
        <w:rPr>
          <w:rFonts w:ascii="Times New Roman" w:hAnsi="Times New Roman"/>
          <w:sz w:val="24"/>
          <w:szCs w:val="24"/>
        </w:rPr>
        <w:t xml:space="preserve">to </w:t>
      </w:r>
      <w:r w:rsidR="004128F1">
        <w:rPr>
          <w:rFonts w:ascii="Times New Roman" w:hAnsi="Times New Roman"/>
          <w:sz w:val="24"/>
          <w:szCs w:val="24"/>
        </w:rPr>
        <w:t xml:space="preserve">use best endeavours to </w:t>
      </w:r>
      <w:r w:rsidR="00564709">
        <w:rPr>
          <w:rFonts w:ascii="Times New Roman" w:hAnsi="Times New Roman"/>
          <w:sz w:val="24"/>
          <w:szCs w:val="24"/>
        </w:rPr>
        <w:t>promptly identify if an end user’s mobile phone, which the provider is currently providing carriage services to, is no longer able to access the emergency call service</w:t>
      </w:r>
      <w:r w:rsidR="003C672A">
        <w:rPr>
          <w:rFonts w:ascii="Times New Roman" w:hAnsi="Times New Roman"/>
          <w:sz w:val="24"/>
          <w:szCs w:val="24"/>
        </w:rPr>
        <w:t xml:space="preserve"> </w:t>
      </w:r>
      <w:r w:rsidR="004128F1">
        <w:rPr>
          <w:rFonts w:ascii="Times New Roman" w:hAnsi="Times New Roman"/>
          <w:sz w:val="24"/>
          <w:szCs w:val="24"/>
        </w:rPr>
        <w:t xml:space="preserve">using either: </w:t>
      </w:r>
    </w:p>
    <w:p w14:paraId="7B9CA13E" w14:textId="2B5AF7DD" w:rsidR="004128F1" w:rsidRDefault="004128F1" w:rsidP="004128F1">
      <w:pPr>
        <w:pStyle w:val="ListParagraph"/>
        <w:numPr>
          <w:ilvl w:val="0"/>
          <w:numId w:val="6"/>
        </w:numPr>
        <w:shd w:val="clear" w:color="auto" w:fill="FFFFFF"/>
        <w:spacing w:after="0" w:line="240" w:lineRule="auto"/>
        <w:ind w:right="91"/>
        <w:rPr>
          <w:rFonts w:ascii="Times New Roman" w:hAnsi="Times New Roman"/>
          <w:sz w:val="24"/>
          <w:szCs w:val="24"/>
        </w:rPr>
      </w:pPr>
      <w:r>
        <w:rPr>
          <w:rFonts w:ascii="Times New Roman" w:hAnsi="Times New Roman"/>
          <w:sz w:val="24"/>
          <w:szCs w:val="24"/>
        </w:rPr>
        <w:t xml:space="preserve">the provider’s own network </w:t>
      </w:r>
    </w:p>
    <w:p w14:paraId="32DBF070" w14:textId="70C69AC1" w:rsidR="004128F1" w:rsidRPr="004128F1" w:rsidRDefault="004128F1" w:rsidP="004128F1">
      <w:pPr>
        <w:pStyle w:val="ListParagraph"/>
        <w:numPr>
          <w:ilvl w:val="0"/>
          <w:numId w:val="6"/>
        </w:numPr>
        <w:shd w:val="clear" w:color="auto" w:fill="FFFFFF"/>
        <w:spacing w:after="0" w:line="240" w:lineRule="auto"/>
        <w:ind w:right="91"/>
        <w:rPr>
          <w:rFonts w:ascii="Times New Roman" w:hAnsi="Times New Roman"/>
          <w:sz w:val="24"/>
          <w:szCs w:val="24"/>
        </w:rPr>
      </w:pPr>
      <w:r w:rsidRPr="004128F1">
        <w:rPr>
          <w:rFonts w:ascii="Times New Roman" w:hAnsi="Times New Roman"/>
          <w:sz w:val="24"/>
          <w:szCs w:val="24"/>
        </w:rPr>
        <w:t>the networks of other carriage services provide</w:t>
      </w:r>
      <w:r w:rsidR="00B20AB8">
        <w:rPr>
          <w:rFonts w:ascii="Times New Roman" w:hAnsi="Times New Roman"/>
          <w:sz w:val="24"/>
          <w:szCs w:val="24"/>
        </w:rPr>
        <w:t>r</w:t>
      </w:r>
      <w:r w:rsidRPr="004128F1">
        <w:rPr>
          <w:rFonts w:ascii="Times New Roman" w:hAnsi="Times New Roman"/>
          <w:sz w:val="24"/>
          <w:szCs w:val="24"/>
        </w:rPr>
        <w:t>s who provide carriage services to the public, in addition to the provider’s own network.</w:t>
      </w:r>
    </w:p>
    <w:p w14:paraId="3D460F17" w14:textId="77777777" w:rsidR="00B20AB8" w:rsidRPr="00941E8D" w:rsidRDefault="00B20AB8" w:rsidP="00941E8D">
      <w:pPr>
        <w:pStyle w:val="ListParagraph"/>
        <w:shd w:val="clear" w:color="auto" w:fill="FFFFFF"/>
        <w:spacing w:after="0" w:line="240" w:lineRule="auto"/>
        <w:ind w:right="91"/>
        <w:rPr>
          <w:rFonts w:ascii="Times New Roman" w:hAnsi="Times New Roman"/>
          <w:sz w:val="24"/>
          <w:szCs w:val="24"/>
        </w:rPr>
      </w:pPr>
    </w:p>
    <w:p w14:paraId="48607F57" w14:textId="035CA7FC" w:rsidR="004128F1" w:rsidRDefault="00B20AB8"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As noted above under 6(2)(a), it is intended that mobiles phones should be able to access the emergency call service using both the network of the provider supplying carriage services to it, and each other network belonging to the other providers supplying carriage services to the public.</w:t>
      </w:r>
    </w:p>
    <w:p w14:paraId="5FDB842A" w14:textId="77777777" w:rsidR="00B20AB8" w:rsidRDefault="00B20AB8" w:rsidP="00E004C1">
      <w:pPr>
        <w:shd w:val="clear" w:color="auto" w:fill="FFFFFF"/>
        <w:spacing w:after="0" w:line="240" w:lineRule="auto"/>
        <w:ind w:right="91"/>
        <w:rPr>
          <w:rFonts w:ascii="Times New Roman" w:hAnsi="Times New Roman"/>
          <w:sz w:val="24"/>
          <w:szCs w:val="24"/>
        </w:rPr>
      </w:pPr>
    </w:p>
    <w:p w14:paraId="7EEB7F21" w14:textId="6FBBA216" w:rsidR="00E004C1" w:rsidRDefault="00564709"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 xml:space="preserve">Whereas 6(2)(a) is a general requirement that also applies to prospective </w:t>
      </w:r>
      <w:r w:rsidR="00DC4E14">
        <w:rPr>
          <w:rFonts w:ascii="Times New Roman" w:hAnsi="Times New Roman"/>
          <w:sz w:val="24"/>
          <w:szCs w:val="24"/>
        </w:rPr>
        <w:t>customers</w:t>
      </w:r>
      <w:r>
        <w:rPr>
          <w:rFonts w:ascii="Times New Roman" w:hAnsi="Times New Roman"/>
          <w:sz w:val="24"/>
          <w:szCs w:val="24"/>
        </w:rPr>
        <w:t xml:space="preserve"> of the provider, this paragraph articulates that this also require</w:t>
      </w:r>
      <w:r w:rsidR="0062254A">
        <w:rPr>
          <w:rFonts w:ascii="Times New Roman" w:hAnsi="Times New Roman"/>
          <w:sz w:val="24"/>
          <w:szCs w:val="24"/>
        </w:rPr>
        <w:t>d</w:t>
      </w:r>
      <w:r>
        <w:rPr>
          <w:rFonts w:ascii="Times New Roman" w:hAnsi="Times New Roman"/>
          <w:sz w:val="24"/>
          <w:szCs w:val="24"/>
        </w:rPr>
        <w:t xml:space="preserve"> in instances where an existing end user of the provider’s carriage service is no longer able to access the emergency call service with their mobile phone. </w:t>
      </w:r>
      <w:r w:rsidR="00DC4E14">
        <w:rPr>
          <w:rFonts w:ascii="Times New Roman" w:hAnsi="Times New Roman"/>
          <w:sz w:val="24"/>
          <w:szCs w:val="24"/>
        </w:rPr>
        <w:t>This may apply in instances where a change to a provider’s network results in the end user’s device ceasing to have access to the emergency call service.</w:t>
      </w:r>
      <w:r w:rsidR="003C672A">
        <w:rPr>
          <w:rFonts w:ascii="Times New Roman" w:hAnsi="Times New Roman"/>
          <w:sz w:val="24"/>
          <w:szCs w:val="24"/>
        </w:rPr>
        <w:t xml:space="preserve"> </w:t>
      </w:r>
    </w:p>
    <w:p w14:paraId="369954BC" w14:textId="77777777" w:rsidR="00E004C1" w:rsidRDefault="00E004C1" w:rsidP="00E004C1">
      <w:pPr>
        <w:shd w:val="clear" w:color="auto" w:fill="FFFFFF"/>
        <w:spacing w:after="0" w:line="240" w:lineRule="auto"/>
        <w:ind w:right="91"/>
        <w:rPr>
          <w:rFonts w:ascii="Times New Roman" w:hAnsi="Times New Roman"/>
          <w:sz w:val="24"/>
          <w:szCs w:val="24"/>
        </w:rPr>
      </w:pPr>
    </w:p>
    <w:p w14:paraId="2E3BC228" w14:textId="4D874DF3" w:rsidR="00E004C1" w:rsidRDefault="0037748B"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P</w:t>
      </w:r>
      <w:r w:rsidR="00E004C1">
        <w:rPr>
          <w:rFonts w:ascii="Times New Roman" w:hAnsi="Times New Roman"/>
          <w:sz w:val="24"/>
          <w:szCs w:val="24"/>
        </w:rPr>
        <w:t>aragraph 6(2)(d)</w:t>
      </w:r>
      <w:r w:rsidR="00CD430C">
        <w:rPr>
          <w:rFonts w:ascii="Times New Roman" w:hAnsi="Times New Roman"/>
          <w:sz w:val="24"/>
          <w:szCs w:val="24"/>
        </w:rPr>
        <w:t xml:space="preserve"> requires providers to undertake the actions listed under the follow</w:t>
      </w:r>
      <w:r w:rsidR="004128F1">
        <w:rPr>
          <w:rFonts w:ascii="Times New Roman" w:hAnsi="Times New Roman"/>
          <w:sz w:val="24"/>
          <w:szCs w:val="24"/>
        </w:rPr>
        <w:t>ing</w:t>
      </w:r>
      <w:r w:rsidR="00CD430C">
        <w:rPr>
          <w:rFonts w:ascii="Times New Roman" w:hAnsi="Times New Roman"/>
          <w:sz w:val="24"/>
          <w:szCs w:val="24"/>
        </w:rPr>
        <w:t xml:space="preserve"> subparagraphs, in the event an end user’s mobile phone is no longer able to access the emergency call service</w:t>
      </w:r>
      <w:r w:rsidR="004128F1" w:rsidRPr="004128F1">
        <w:t xml:space="preserve"> </w:t>
      </w:r>
      <w:r w:rsidR="004128F1" w:rsidRPr="004128F1">
        <w:rPr>
          <w:rFonts w:ascii="Times New Roman" w:hAnsi="Times New Roman"/>
          <w:sz w:val="24"/>
          <w:szCs w:val="24"/>
        </w:rPr>
        <w:t>using either the provider’s own network, or using the networks of other carriage service providers who provide carriage services to the public</w:t>
      </w:r>
      <w:r w:rsidR="00CD430C">
        <w:rPr>
          <w:rFonts w:ascii="Times New Roman" w:hAnsi="Times New Roman"/>
          <w:sz w:val="24"/>
          <w:szCs w:val="24"/>
        </w:rPr>
        <w:t>.</w:t>
      </w:r>
      <w:r w:rsidR="00B20AB8">
        <w:rPr>
          <w:rFonts w:ascii="Times New Roman" w:hAnsi="Times New Roman"/>
          <w:sz w:val="24"/>
          <w:szCs w:val="24"/>
        </w:rPr>
        <w:t xml:space="preserve"> As noted previously, the intent is that an end user’s mobile is capable of accessing the emergency call service across all networks.</w:t>
      </w:r>
    </w:p>
    <w:p w14:paraId="45943F90" w14:textId="77777777" w:rsidR="00E004C1" w:rsidRDefault="00E004C1" w:rsidP="00E004C1">
      <w:pPr>
        <w:shd w:val="clear" w:color="auto" w:fill="FFFFFF"/>
        <w:spacing w:after="0" w:line="240" w:lineRule="auto"/>
        <w:ind w:right="91"/>
        <w:rPr>
          <w:rFonts w:ascii="Times New Roman" w:hAnsi="Times New Roman"/>
          <w:sz w:val="24"/>
          <w:szCs w:val="24"/>
        </w:rPr>
      </w:pPr>
    </w:p>
    <w:p w14:paraId="635758A4" w14:textId="173D45C9"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6(2)(d)(i)</w:t>
      </w:r>
      <w:r w:rsidR="00CD430C">
        <w:rPr>
          <w:rFonts w:ascii="Times New Roman" w:hAnsi="Times New Roman"/>
          <w:sz w:val="24"/>
          <w:szCs w:val="24"/>
        </w:rPr>
        <w:t xml:space="preserve"> requires the provider to notify the end user that their mobile phone is no longer able to access the emergency call service.</w:t>
      </w:r>
    </w:p>
    <w:p w14:paraId="28F089E9" w14:textId="77777777" w:rsidR="00E004C1" w:rsidRDefault="00E004C1" w:rsidP="00E004C1">
      <w:pPr>
        <w:shd w:val="clear" w:color="auto" w:fill="FFFFFF"/>
        <w:spacing w:after="0" w:line="240" w:lineRule="auto"/>
        <w:ind w:right="91"/>
        <w:rPr>
          <w:rFonts w:ascii="Times New Roman" w:hAnsi="Times New Roman"/>
          <w:sz w:val="24"/>
          <w:szCs w:val="24"/>
        </w:rPr>
      </w:pPr>
    </w:p>
    <w:p w14:paraId="2EE76C90" w14:textId="40F3656E"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6(2)(d)(ii)</w:t>
      </w:r>
      <w:r w:rsidR="00CD430C">
        <w:rPr>
          <w:rFonts w:ascii="Times New Roman" w:hAnsi="Times New Roman"/>
          <w:sz w:val="24"/>
          <w:szCs w:val="24"/>
        </w:rPr>
        <w:t xml:space="preserve"> requires the provider to cease supplying carriage services to the end user in connection with that mobile phone.</w:t>
      </w:r>
    </w:p>
    <w:p w14:paraId="7F3C9DA3" w14:textId="77777777" w:rsidR="00E004C1" w:rsidRDefault="00E004C1" w:rsidP="00E004C1">
      <w:pPr>
        <w:shd w:val="clear" w:color="auto" w:fill="FFFFFF"/>
        <w:spacing w:after="0" w:line="240" w:lineRule="auto"/>
        <w:ind w:right="91"/>
        <w:rPr>
          <w:rFonts w:ascii="Times New Roman" w:hAnsi="Times New Roman"/>
          <w:sz w:val="24"/>
          <w:szCs w:val="24"/>
        </w:rPr>
      </w:pPr>
    </w:p>
    <w:p w14:paraId="53786170" w14:textId="1368B3C8"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6(2)(d)(iii)</w:t>
      </w:r>
      <w:r w:rsidR="00CD430C">
        <w:rPr>
          <w:rFonts w:ascii="Times New Roman" w:hAnsi="Times New Roman"/>
          <w:sz w:val="24"/>
          <w:szCs w:val="24"/>
        </w:rPr>
        <w:t xml:space="preserve"> requires the provider to provide the end user with information about alternative mobile phones which are available, including low or no cost mobile phones, which are able to access the emergency call service.</w:t>
      </w:r>
    </w:p>
    <w:p w14:paraId="4C3EDCD4" w14:textId="77777777" w:rsidR="00E004C1" w:rsidRDefault="00E004C1" w:rsidP="00E004C1">
      <w:pPr>
        <w:shd w:val="clear" w:color="auto" w:fill="FFFFFF"/>
        <w:spacing w:after="0" w:line="240" w:lineRule="auto"/>
        <w:ind w:right="91"/>
        <w:rPr>
          <w:rFonts w:ascii="Times New Roman" w:hAnsi="Times New Roman"/>
          <w:sz w:val="24"/>
          <w:szCs w:val="24"/>
        </w:rPr>
      </w:pPr>
    </w:p>
    <w:p w14:paraId="22AA945F" w14:textId="0C0FEAEB"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6(2)(d)(iv)</w:t>
      </w:r>
      <w:r w:rsidR="00CD430C">
        <w:rPr>
          <w:rFonts w:ascii="Times New Roman" w:hAnsi="Times New Roman"/>
          <w:sz w:val="24"/>
          <w:szCs w:val="24"/>
        </w:rPr>
        <w:t xml:space="preserve"> requires the provider to ensure its payment assistance policy includes avenues for financial hardship customers to receive assistance to obtain a low or no cost alternative mobile phone which is able to access the emergency call service. This requirement should be read in the context of requirements under the </w:t>
      </w:r>
      <w:r w:rsidR="00CD430C" w:rsidRPr="00A1718B">
        <w:rPr>
          <w:rFonts w:ascii="Times New Roman" w:hAnsi="Times New Roman"/>
          <w:i/>
          <w:sz w:val="24"/>
          <w:szCs w:val="24"/>
        </w:rPr>
        <w:t>Telecommunications (Financial Hardship) Industry Standard 2024</w:t>
      </w:r>
      <w:r w:rsidR="00CD430C">
        <w:rPr>
          <w:rFonts w:ascii="Times New Roman" w:hAnsi="Times New Roman"/>
          <w:sz w:val="24"/>
          <w:szCs w:val="24"/>
        </w:rPr>
        <w:t>.</w:t>
      </w:r>
    </w:p>
    <w:p w14:paraId="260B2C83" w14:textId="61F2A44A" w:rsidR="00E004C1" w:rsidRDefault="00E004C1" w:rsidP="00E004C1">
      <w:pPr>
        <w:shd w:val="clear" w:color="auto" w:fill="FFFFFF"/>
        <w:spacing w:after="0" w:line="240" w:lineRule="auto"/>
        <w:ind w:right="91"/>
        <w:rPr>
          <w:rFonts w:ascii="Times New Roman" w:hAnsi="Times New Roman"/>
          <w:sz w:val="24"/>
          <w:szCs w:val="24"/>
        </w:rPr>
      </w:pPr>
    </w:p>
    <w:p w14:paraId="58E74CA6" w14:textId="07230347" w:rsidR="00E004C1" w:rsidRDefault="0037748B"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P</w:t>
      </w:r>
      <w:r w:rsidR="00E004C1">
        <w:rPr>
          <w:rFonts w:ascii="Times New Roman" w:hAnsi="Times New Roman"/>
          <w:sz w:val="24"/>
          <w:szCs w:val="24"/>
        </w:rPr>
        <w:t>aragraph 6(2)(e)</w:t>
      </w:r>
      <w:r w:rsidR="00CD430C">
        <w:rPr>
          <w:rFonts w:ascii="Times New Roman" w:hAnsi="Times New Roman"/>
          <w:sz w:val="24"/>
          <w:szCs w:val="24"/>
        </w:rPr>
        <w:t xml:space="preserve"> includes</w:t>
      </w:r>
      <w:r w:rsidR="00924263">
        <w:rPr>
          <w:rFonts w:ascii="Times New Roman" w:hAnsi="Times New Roman"/>
          <w:sz w:val="24"/>
          <w:szCs w:val="24"/>
        </w:rPr>
        <w:t xml:space="preserve"> an</w:t>
      </w:r>
      <w:r w:rsidR="00CD430C">
        <w:rPr>
          <w:rFonts w:ascii="Times New Roman" w:hAnsi="Times New Roman"/>
          <w:sz w:val="24"/>
          <w:szCs w:val="24"/>
        </w:rPr>
        <w:t xml:space="preserve"> exception to the objectives referred to in </w:t>
      </w:r>
      <w:r w:rsidR="00CD430C" w:rsidRPr="00CD430C">
        <w:rPr>
          <w:rFonts w:ascii="Times New Roman" w:hAnsi="Times New Roman"/>
          <w:sz w:val="24"/>
          <w:szCs w:val="24"/>
        </w:rPr>
        <w:t>(2)(b)(ii) and (2)(d)(ii)</w:t>
      </w:r>
      <w:r w:rsidR="00CD430C">
        <w:rPr>
          <w:rFonts w:ascii="Times New Roman" w:hAnsi="Times New Roman"/>
          <w:sz w:val="24"/>
          <w:szCs w:val="24"/>
        </w:rPr>
        <w:t>.</w:t>
      </w:r>
    </w:p>
    <w:p w14:paraId="3C747278" w14:textId="77777777" w:rsidR="00E004C1" w:rsidRDefault="00E004C1" w:rsidP="00E004C1">
      <w:pPr>
        <w:shd w:val="clear" w:color="auto" w:fill="FFFFFF"/>
        <w:spacing w:after="0" w:line="240" w:lineRule="auto"/>
        <w:ind w:right="91"/>
        <w:rPr>
          <w:rFonts w:ascii="Times New Roman" w:hAnsi="Times New Roman"/>
          <w:sz w:val="24"/>
          <w:szCs w:val="24"/>
        </w:rPr>
      </w:pPr>
    </w:p>
    <w:p w14:paraId="5A582A3A" w14:textId="4D305B60"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Subparagraph 6(2)(e)(i)</w:t>
      </w:r>
      <w:r w:rsidR="00CD430C">
        <w:rPr>
          <w:rFonts w:ascii="Times New Roman" w:hAnsi="Times New Roman"/>
          <w:sz w:val="24"/>
          <w:szCs w:val="24"/>
        </w:rPr>
        <w:t xml:space="preserve"> includes an exception where a mobile phone which is unable to access the emergency call service is being used by a foreign traveller in Australia who intends to remain in Australia for a period of time which is less than a specified period. This specified period is to be determined by ACMA during the development of the amendment.</w:t>
      </w:r>
    </w:p>
    <w:p w14:paraId="0358DB99" w14:textId="77777777" w:rsidR="00E004C1" w:rsidRDefault="00E004C1" w:rsidP="00E004C1">
      <w:pPr>
        <w:shd w:val="clear" w:color="auto" w:fill="FFFFFF"/>
        <w:spacing w:after="0" w:line="240" w:lineRule="auto"/>
        <w:ind w:right="91"/>
        <w:rPr>
          <w:rFonts w:ascii="Times New Roman" w:hAnsi="Times New Roman"/>
          <w:sz w:val="24"/>
          <w:szCs w:val="24"/>
        </w:rPr>
      </w:pPr>
    </w:p>
    <w:p w14:paraId="02ED3EF9" w14:textId="56ECE508" w:rsidR="00E004C1" w:rsidRDefault="00E004C1"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lastRenderedPageBreak/>
        <w:t>Subparagraph 6(2)(e)(ii)</w:t>
      </w:r>
      <w:r w:rsidR="00CD430C">
        <w:rPr>
          <w:rFonts w:ascii="Times New Roman" w:hAnsi="Times New Roman"/>
          <w:sz w:val="24"/>
          <w:szCs w:val="24"/>
        </w:rPr>
        <w:t xml:space="preserve"> requires the provider to notify the foreign traveller that the mobile phone is not able to access the emergency call service.</w:t>
      </w:r>
    </w:p>
    <w:p w14:paraId="62958762" w14:textId="77777777" w:rsidR="00E004C1" w:rsidRDefault="00E004C1" w:rsidP="00E004C1">
      <w:pPr>
        <w:shd w:val="clear" w:color="auto" w:fill="FFFFFF"/>
        <w:spacing w:after="0" w:line="240" w:lineRule="auto"/>
        <w:ind w:right="91"/>
        <w:rPr>
          <w:rFonts w:ascii="Times New Roman" w:hAnsi="Times New Roman"/>
          <w:sz w:val="24"/>
          <w:szCs w:val="24"/>
        </w:rPr>
      </w:pPr>
    </w:p>
    <w:p w14:paraId="0E2876AD" w14:textId="3A9E8D42" w:rsidR="00E004C1" w:rsidRDefault="0037748B" w:rsidP="00E004C1">
      <w:pPr>
        <w:shd w:val="clear" w:color="auto" w:fill="FFFFFF"/>
        <w:spacing w:after="0" w:line="240" w:lineRule="auto"/>
        <w:ind w:right="91"/>
        <w:rPr>
          <w:rFonts w:ascii="Times New Roman" w:hAnsi="Times New Roman"/>
          <w:sz w:val="24"/>
          <w:szCs w:val="24"/>
        </w:rPr>
      </w:pPr>
      <w:r>
        <w:rPr>
          <w:rFonts w:ascii="Times New Roman" w:hAnsi="Times New Roman"/>
          <w:sz w:val="24"/>
          <w:szCs w:val="24"/>
        </w:rPr>
        <w:t>Subsection</w:t>
      </w:r>
      <w:r w:rsidR="00E004C1">
        <w:rPr>
          <w:rFonts w:ascii="Times New Roman" w:hAnsi="Times New Roman"/>
          <w:sz w:val="24"/>
          <w:szCs w:val="24"/>
        </w:rPr>
        <w:t xml:space="preserve"> 6(3)</w:t>
      </w:r>
      <w:r w:rsidR="00CD430C">
        <w:rPr>
          <w:rFonts w:ascii="Times New Roman" w:hAnsi="Times New Roman"/>
          <w:sz w:val="24"/>
          <w:szCs w:val="24"/>
        </w:rPr>
        <w:t xml:space="preserve"> provides that ACMA may define terms that it considers appropriate or necessary, including terms used in the direction but not defined in section 4.</w:t>
      </w:r>
    </w:p>
    <w:p w14:paraId="1F21FFC9" w14:textId="765E9723" w:rsidR="00E004C1" w:rsidRDefault="00E004C1" w:rsidP="00E004C1">
      <w:pPr>
        <w:shd w:val="clear" w:color="auto" w:fill="FFFFFF"/>
        <w:spacing w:after="0" w:line="240" w:lineRule="auto"/>
        <w:ind w:right="91"/>
        <w:rPr>
          <w:rFonts w:ascii="Times New Roman" w:hAnsi="Times New Roman"/>
          <w:sz w:val="24"/>
          <w:szCs w:val="24"/>
        </w:rPr>
      </w:pPr>
    </w:p>
    <w:p w14:paraId="34958B2B" w14:textId="30E4E9BA" w:rsidR="00E004C1" w:rsidRDefault="00E004C1" w:rsidP="00E004C1">
      <w:pPr>
        <w:shd w:val="clear" w:color="auto" w:fill="FFFFFF"/>
        <w:spacing w:after="0" w:line="240" w:lineRule="auto"/>
        <w:ind w:right="91"/>
        <w:rPr>
          <w:rFonts w:ascii="Times New Roman" w:hAnsi="Times New Roman"/>
          <w:sz w:val="24"/>
          <w:szCs w:val="24"/>
        </w:rPr>
      </w:pPr>
    </w:p>
    <w:p w14:paraId="7B4F35E2" w14:textId="77777777" w:rsidR="00E004C1" w:rsidRDefault="00E004C1" w:rsidP="00E004C1">
      <w:pPr>
        <w:shd w:val="clear" w:color="auto" w:fill="FFFFFF"/>
        <w:spacing w:after="0" w:line="240" w:lineRule="auto"/>
        <w:ind w:right="91"/>
        <w:rPr>
          <w:rFonts w:ascii="Times New Roman" w:hAnsi="Times New Roman"/>
          <w:sz w:val="24"/>
          <w:szCs w:val="24"/>
        </w:rPr>
      </w:pPr>
    </w:p>
    <w:p w14:paraId="20299697" w14:textId="77777777" w:rsidR="00E004C1" w:rsidRPr="00E004C1" w:rsidRDefault="00E004C1" w:rsidP="00E004C1">
      <w:pPr>
        <w:shd w:val="clear" w:color="auto" w:fill="FFFFFF"/>
        <w:spacing w:after="0" w:line="240" w:lineRule="auto"/>
        <w:ind w:right="91"/>
        <w:rPr>
          <w:rFonts w:ascii="Times New Roman" w:hAnsi="Times New Roman"/>
          <w:sz w:val="24"/>
          <w:szCs w:val="24"/>
        </w:rPr>
      </w:pPr>
    </w:p>
    <w:sectPr w:rsidR="00E004C1" w:rsidRPr="00E004C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A1FFC" w14:textId="77777777" w:rsidR="00B43440" w:rsidRDefault="00B43440">
      <w:pPr>
        <w:spacing w:after="0" w:line="240" w:lineRule="auto"/>
      </w:pPr>
      <w:r>
        <w:separator/>
      </w:r>
    </w:p>
  </w:endnote>
  <w:endnote w:type="continuationSeparator" w:id="0">
    <w:p w14:paraId="2AFB48FD" w14:textId="77777777" w:rsidR="00B43440" w:rsidRDefault="00B4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4944D731" w14:textId="77777777" w:rsidR="00B43440" w:rsidRDefault="00C45961">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1003CD4" w14:textId="77777777" w:rsidR="00B43440" w:rsidRDefault="00B4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5E3E4" w14:textId="77777777" w:rsidR="00B43440" w:rsidRDefault="00B43440">
      <w:pPr>
        <w:spacing w:after="0" w:line="240" w:lineRule="auto"/>
      </w:pPr>
      <w:r>
        <w:separator/>
      </w:r>
    </w:p>
  </w:footnote>
  <w:footnote w:type="continuationSeparator" w:id="0">
    <w:p w14:paraId="5BE8F548" w14:textId="77777777" w:rsidR="00B43440" w:rsidRDefault="00B43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A85"/>
    <w:multiLevelType w:val="hybridMultilevel"/>
    <w:tmpl w:val="8B4C6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085171E"/>
    <w:multiLevelType w:val="hybridMultilevel"/>
    <w:tmpl w:val="182A6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E21090"/>
    <w:multiLevelType w:val="hybridMultilevel"/>
    <w:tmpl w:val="38F2F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095334"/>
    <w:multiLevelType w:val="hybridMultilevel"/>
    <w:tmpl w:val="8E026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17831"/>
    <w:rsid w:val="000678AA"/>
    <w:rsid w:val="00070628"/>
    <w:rsid w:val="00080C59"/>
    <w:rsid w:val="000A45A5"/>
    <w:rsid w:val="000B6CF7"/>
    <w:rsid w:val="000D6EEF"/>
    <w:rsid w:val="0011203D"/>
    <w:rsid w:val="00115B23"/>
    <w:rsid w:val="00143E63"/>
    <w:rsid w:val="001563E2"/>
    <w:rsid w:val="00172D85"/>
    <w:rsid w:val="00176587"/>
    <w:rsid w:val="001A1F32"/>
    <w:rsid w:val="001C37E5"/>
    <w:rsid w:val="001D311C"/>
    <w:rsid w:val="00204B60"/>
    <w:rsid w:val="002062EF"/>
    <w:rsid w:val="00217850"/>
    <w:rsid w:val="00230B89"/>
    <w:rsid w:val="002429F6"/>
    <w:rsid w:val="00275778"/>
    <w:rsid w:val="00280DBB"/>
    <w:rsid w:val="002851AC"/>
    <w:rsid w:val="002B1B97"/>
    <w:rsid w:val="002C108D"/>
    <w:rsid w:val="002D3B9D"/>
    <w:rsid w:val="00334196"/>
    <w:rsid w:val="00340338"/>
    <w:rsid w:val="00365C3B"/>
    <w:rsid w:val="0037748B"/>
    <w:rsid w:val="00384A9B"/>
    <w:rsid w:val="00391A63"/>
    <w:rsid w:val="00393340"/>
    <w:rsid w:val="003A3998"/>
    <w:rsid w:val="003C672A"/>
    <w:rsid w:val="003C767A"/>
    <w:rsid w:val="003C7D1A"/>
    <w:rsid w:val="00403D0D"/>
    <w:rsid w:val="004040C5"/>
    <w:rsid w:val="00405FD8"/>
    <w:rsid w:val="004070E9"/>
    <w:rsid w:val="004128F1"/>
    <w:rsid w:val="00415044"/>
    <w:rsid w:val="0042141B"/>
    <w:rsid w:val="00456659"/>
    <w:rsid w:val="00496F91"/>
    <w:rsid w:val="004C76B5"/>
    <w:rsid w:val="005037A3"/>
    <w:rsid w:val="00515978"/>
    <w:rsid w:val="00530A43"/>
    <w:rsid w:val="00533CF1"/>
    <w:rsid w:val="00540CF1"/>
    <w:rsid w:val="0054732A"/>
    <w:rsid w:val="00564709"/>
    <w:rsid w:val="005A7457"/>
    <w:rsid w:val="005B7BB2"/>
    <w:rsid w:val="005C43B9"/>
    <w:rsid w:val="005E3C58"/>
    <w:rsid w:val="00605F4B"/>
    <w:rsid w:val="00620A75"/>
    <w:rsid w:val="0062254A"/>
    <w:rsid w:val="00623B06"/>
    <w:rsid w:val="00642551"/>
    <w:rsid w:val="00657064"/>
    <w:rsid w:val="00667F35"/>
    <w:rsid w:val="006708D1"/>
    <w:rsid w:val="006725A3"/>
    <w:rsid w:val="00690D63"/>
    <w:rsid w:val="006B471F"/>
    <w:rsid w:val="006B6B1C"/>
    <w:rsid w:val="006E6C07"/>
    <w:rsid w:val="006F3DFC"/>
    <w:rsid w:val="00727BB5"/>
    <w:rsid w:val="00731121"/>
    <w:rsid w:val="00750395"/>
    <w:rsid w:val="0079085D"/>
    <w:rsid w:val="007A62D3"/>
    <w:rsid w:val="007A6DBB"/>
    <w:rsid w:val="007C454D"/>
    <w:rsid w:val="007D4DDD"/>
    <w:rsid w:val="007D77E6"/>
    <w:rsid w:val="007F03F1"/>
    <w:rsid w:val="0081603E"/>
    <w:rsid w:val="0084614C"/>
    <w:rsid w:val="008657A9"/>
    <w:rsid w:val="00875127"/>
    <w:rsid w:val="00887CC8"/>
    <w:rsid w:val="00890D4C"/>
    <w:rsid w:val="00892394"/>
    <w:rsid w:val="008B51E7"/>
    <w:rsid w:val="008D06EF"/>
    <w:rsid w:val="0090436C"/>
    <w:rsid w:val="0091491C"/>
    <w:rsid w:val="00924263"/>
    <w:rsid w:val="00933FC1"/>
    <w:rsid w:val="00936159"/>
    <w:rsid w:val="00941E8D"/>
    <w:rsid w:val="0094748A"/>
    <w:rsid w:val="00953E79"/>
    <w:rsid w:val="00960670"/>
    <w:rsid w:val="009704E3"/>
    <w:rsid w:val="009A0D6D"/>
    <w:rsid w:val="009A1493"/>
    <w:rsid w:val="009C50F0"/>
    <w:rsid w:val="009F2047"/>
    <w:rsid w:val="009F292D"/>
    <w:rsid w:val="009F7E30"/>
    <w:rsid w:val="00A06894"/>
    <w:rsid w:val="00A1718B"/>
    <w:rsid w:val="00A27F47"/>
    <w:rsid w:val="00A4273F"/>
    <w:rsid w:val="00A65E06"/>
    <w:rsid w:val="00A81CD8"/>
    <w:rsid w:val="00A854F4"/>
    <w:rsid w:val="00AC08AB"/>
    <w:rsid w:val="00AC7D14"/>
    <w:rsid w:val="00AE2013"/>
    <w:rsid w:val="00AF5789"/>
    <w:rsid w:val="00AF63B9"/>
    <w:rsid w:val="00B20AB8"/>
    <w:rsid w:val="00B2144C"/>
    <w:rsid w:val="00B43440"/>
    <w:rsid w:val="00B81CB1"/>
    <w:rsid w:val="00B91A80"/>
    <w:rsid w:val="00BA56D6"/>
    <w:rsid w:val="00BB23CC"/>
    <w:rsid w:val="00BB3880"/>
    <w:rsid w:val="00BB3A44"/>
    <w:rsid w:val="00C06BCE"/>
    <w:rsid w:val="00C07E8B"/>
    <w:rsid w:val="00C17772"/>
    <w:rsid w:val="00C40AF4"/>
    <w:rsid w:val="00C42C3D"/>
    <w:rsid w:val="00C45961"/>
    <w:rsid w:val="00C50F56"/>
    <w:rsid w:val="00C75A8F"/>
    <w:rsid w:val="00C91D35"/>
    <w:rsid w:val="00CA6F61"/>
    <w:rsid w:val="00CB1221"/>
    <w:rsid w:val="00CC3AFB"/>
    <w:rsid w:val="00CC5370"/>
    <w:rsid w:val="00CD2BFE"/>
    <w:rsid w:val="00CD430C"/>
    <w:rsid w:val="00CE6682"/>
    <w:rsid w:val="00D27418"/>
    <w:rsid w:val="00D81EE9"/>
    <w:rsid w:val="00D97ABA"/>
    <w:rsid w:val="00DA5543"/>
    <w:rsid w:val="00DB4B36"/>
    <w:rsid w:val="00DB5665"/>
    <w:rsid w:val="00DC4E14"/>
    <w:rsid w:val="00DC5A4D"/>
    <w:rsid w:val="00DD26D6"/>
    <w:rsid w:val="00DE73E9"/>
    <w:rsid w:val="00E004C1"/>
    <w:rsid w:val="00E04BE4"/>
    <w:rsid w:val="00E122E9"/>
    <w:rsid w:val="00E157E8"/>
    <w:rsid w:val="00E230EC"/>
    <w:rsid w:val="00E25603"/>
    <w:rsid w:val="00E4360C"/>
    <w:rsid w:val="00E45363"/>
    <w:rsid w:val="00EA2610"/>
    <w:rsid w:val="00EB01B2"/>
    <w:rsid w:val="00EC192F"/>
    <w:rsid w:val="00ED131A"/>
    <w:rsid w:val="00ED641B"/>
    <w:rsid w:val="00EE7038"/>
    <w:rsid w:val="00F36A93"/>
    <w:rsid w:val="00F511FE"/>
    <w:rsid w:val="00F60284"/>
    <w:rsid w:val="00F65B09"/>
    <w:rsid w:val="00F76CD7"/>
    <w:rsid w:val="00F85204"/>
    <w:rsid w:val="00F903E9"/>
    <w:rsid w:val="00F92E95"/>
    <w:rsid w:val="00F9312A"/>
    <w:rsid w:val="00FA1E54"/>
    <w:rsid w:val="00FA28F4"/>
    <w:rsid w:val="00FE4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76CB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semiHidden/>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Definition">
    <w:name w:val="Definition"/>
    <w:aliases w:val="dd"/>
    <w:basedOn w:val="Normal"/>
    <w:rsid w:val="00B91A80"/>
    <w:pPr>
      <w:spacing w:before="180" w:after="0" w:line="240" w:lineRule="auto"/>
      <w:ind w:left="1134"/>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5405">
      <w:bodyDiv w:val="1"/>
      <w:marLeft w:val="0"/>
      <w:marRight w:val="0"/>
      <w:marTop w:val="0"/>
      <w:marBottom w:val="0"/>
      <w:divBdr>
        <w:top w:val="none" w:sz="0" w:space="0" w:color="auto"/>
        <w:left w:val="none" w:sz="0" w:space="0" w:color="auto"/>
        <w:bottom w:val="none" w:sz="0" w:space="0" w:color="auto"/>
        <w:right w:val="none" w:sz="0" w:space="0" w:color="auto"/>
      </w:divBdr>
      <w:divsChild>
        <w:div w:id="1667786639">
          <w:marLeft w:val="0"/>
          <w:marRight w:val="0"/>
          <w:marTop w:val="0"/>
          <w:marBottom w:val="0"/>
          <w:divBdr>
            <w:top w:val="none" w:sz="0" w:space="0" w:color="auto"/>
            <w:left w:val="none" w:sz="0" w:space="0" w:color="auto"/>
            <w:bottom w:val="none" w:sz="0" w:space="0" w:color="auto"/>
            <w:right w:val="none" w:sz="0" w:space="0" w:color="auto"/>
          </w:divBdr>
          <w:divsChild>
            <w:div w:id="1876112013">
              <w:marLeft w:val="0"/>
              <w:marRight w:val="0"/>
              <w:marTop w:val="0"/>
              <w:marBottom w:val="0"/>
              <w:divBdr>
                <w:top w:val="none" w:sz="0" w:space="0" w:color="auto"/>
                <w:left w:val="none" w:sz="0" w:space="0" w:color="auto"/>
                <w:bottom w:val="none" w:sz="0" w:space="0" w:color="auto"/>
                <w:right w:val="none" w:sz="0" w:space="0" w:color="auto"/>
              </w:divBdr>
            </w:div>
            <w:div w:id="1476945407">
              <w:marLeft w:val="0"/>
              <w:marRight w:val="0"/>
              <w:marTop w:val="0"/>
              <w:marBottom w:val="0"/>
              <w:divBdr>
                <w:top w:val="none" w:sz="0" w:space="0" w:color="auto"/>
                <w:left w:val="none" w:sz="0" w:space="0" w:color="auto"/>
                <w:bottom w:val="none" w:sz="0" w:space="0" w:color="auto"/>
                <w:right w:val="none" w:sz="0" w:space="0" w:color="auto"/>
              </w:divBdr>
            </w:div>
            <w:div w:id="302731797">
              <w:marLeft w:val="0"/>
              <w:marRight w:val="0"/>
              <w:marTop w:val="0"/>
              <w:marBottom w:val="0"/>
              <w:divBdr>
                <w:top w:val="none" w:sz="0" w:space="0" w:color="auto"/>
                <w:left w:val="none" w:sz="0" w:space="0" w:color="auto"/>
                <w:bottom w:val="none" w:sz="0" w:space="0" w:color="auto"/>
                <w:right w:val="none" w:sz="0" w:space="0" w:color="auto"/>
              </w:divBdr>
            </w:div>
            <w:div w:id="4421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2942">
      <w:bodyDiv w:val="1"/>
      <w:marLeft w:val="0"/>
      <w:marRight w:val="0"/>
      <w:marTop w:val="0"/>
      <w:marBottom w:val="0"/>
      <w:divBdr>
        <w:top w:val="none" w:sz="0" w:space="0" w:color="auto"/>
        <w:left w:val="none" w:sz="0" w:space="0" w:color="auto"/>
        <w:bottom w:val="none" w:sz="0" w:space="0" w:color="auto"/>
        <w:right w:val="none" w:sz="0" w:space="0" w:color="auto"/>
      </w:divBdr>
      <w:divsChild>
        <w:div w:id="1513451912">
          <w:marLeft w:val="0"/>
          <w:marRight w:val="0"/>
          <w:marTop w:val="0"/>
          <w:marBottom w:val="0"/>
          <w:divBdr>
            <w:top w:val="none" w:sz="0" w:space="0" w:color="auto"/>
            <w:left w:val="none" w:sz="0" w:space="0" w:color="auto"/>
            <w:bottom w:val="none" w:sz="0" w:space="0" w:color="auto"/>
            <w:right w:val="none" w:sz="0" w:space="0" w:color="auto"/>
          </w:divBdr>
          <w:divsChild>
            <w:div w:id="1403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292">
      <w:bodyDiv w:val="1"/>
      <w:marLeft w:val="0"/>
      <w:marRight w:val="0"/>
      <w:marTop w:val="0"/>
      <w:marBottom w:val="0"/>
      <w:divBdr>
        <w:top w:val="none" w:sz="0" w:space="0" w:color="auto"/>
        <w:left w:val="none" w:sz="0" w:space="0" w:color="auto"/>
        <w:bottom w:val="none" w:sz="0" w:space="0" w:color="auto"/>
        <w:right w:val="none" w:sz="0" w:space="0" w:color="auto"/>
      </w:divBdr>
      <w:divsChild>
        <w:div w:id="1112281470">
          <w:marLeft w:val="0"/>
          <w:marRight w:val="0"/>
          <w:marTop w:val="0"/>
          <w:marBottom w:val="0"/>
          <w:divBdr>
            <w:top w:val="none" w:sz="0" w:space="0" w:color="auto"/>
            <w:left w:val="none" w:sz="0" w:space="0" w:color="auto"/>
            <w:bottom w:val="none" w:sz="0" w:space="0" w:color="auto"/>
            <w:right w:val="none" w:sz="0" w:space="0" w:color="auto"/>
          </w:divBdr>
          <w:divsChild>
            <w:div w:id="14512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1113C9AE706094CA28F5BD28BAD34BE" ma:contentTypeVersion="" ma:contentTypeDescription="PDMS Document Site Content Type" ma:contentTypeScope="" ma:versionID="1947a9ebe979689825a72ac0c3ed2f8e">
  <xsd:schema xmlns:xsd="http://www.w3.org/2001/XMLSchema" xmlns:xs="http://www.w3.org/2001/XMLSchema" xmlns:p="http://schemas.microsoft.com/office/2006/metadata/properties" xmlns:ns2="E7CEB4BB-BFDB-4F93-BB79-C28E8644992B" targetNamespace="http://schemas.microsoft.com/office/2006/metadata/properties" ma:root="true" ma:fieldsID="5f619a4eb64fca279d43dac685ae5e2a" ns2:_="">
    <xsd:import namespace="E7CEB4BB-BFDB-4F93-BB79-C28E8644992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EB4BB-BFDB-4F93-BB79-C28E8644992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7CEB4BB-BFDB-4F93-BB79-C28E864499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212D5-7182-4EF0-B169-AB6B2638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EB4BB-BFDB-4F93-BB79-C28E86449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81B43-B7DD-474B-8E69-3FB335A486BC}">
  <ds:schemaRefs>
    <ds:schemaRef ds:uri="http://purl.org/dc/elements/1.1/"/>
    <ds:schemaRef ds:uri="http://schemas.microsoft.com/office/2006/metadata/properties"/>
    <ds:schemaRef ds:uri="http://purl.org/dc/terms/"/>
    <ds:schemaRef ds:uri="http://schemas.openxmlformats.org/package/2006/metadata/core-properties"/>
    <ds:schemaRef ds:uri="E7CEB4BB-BFDB-4F93-BB79-C28E8644992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4.xml><?xml version="1.0" encoding="utf-8"?>
<ds:datastoreItem xmlns:ds="http://schemas.openxmlformats.org/officeDocument/2006/customXml" ds:itemID="{C856411B-B35B-4ED8-8106-F7F3ACB50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3292</Words>
  <Characters>17947</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2024-08-23T00:10:00Z</dcterms:created>
  <dcterms:modified xsi:type="dcterms:W3CDTF">2024-08-23T00:10:00Z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0x010100266966F133664895A6EE3632470D45F500C1113C9AE706094CA28F5BD28BAD34BE</vt:lpwstr>
  </property>
  <property fmtid="{D5CDD505-2E9C-101B-9397-08002B2CF9AE}" pid="3" name="_dlc_DocIdItemGuid">
    <vt:lpwstr>0bfc15ff-2125-461c-84cf-153763e47e19</vt:lpwstr>
  </property>
</Properties>
</file>