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57786" w14:textId="77777777" w:rsidR="000F714F" w:rsidRDefault="000F714F" w:rsidP="00D84FC2">
      <w:r>
        <w:rPr>
          <w:noProof/>
          <w:lang w:eastAsia="en-AU"/>
        </w:rPr>
        <w:drawing>
          <wp:inline distT="0" distB="0" distL="0" distR="0" wp14:anchorId="66344BA8" wp14:editId="3025D0DA">
            <wp:extent cx="1419225" cy="1104900"/>
            <wp:effectExtent l="0" t="0" r="9525" b="0"/>
            <wp:docPr id="2"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023E077" w14:textId="7DEB6C23" w:rsidR="009E608E" w:rsidRPr="00BE04FC" w:rsidRDefault="005A46D1" w:rsidP="0048407B">
      <w:pPr>
        <w:spacing w:before="480" w:after="120"/>
        <w:ind w:right="96"/>
        <w:rPr>
          <w:rFonts w:ascii="Times New Roman" w:hAnsi="Times New Roman"/>
          <w:b/>
          <w:sz w:val="40"/>
          <w:szCs w:val="28"/>
          <w:lang w:val="en-US"/>
        </w:rPr>
      </w:pPr>
      <w:r w:rsidRPr="005A46D1">
        <w:rPr>
          <w:rFonts w:cs="Arial"/>
          <w:b/>
          <w:bCs/>
          <w:sz w:val="40"/>
          <w:szCs w:val="28"/>
          <w:lang w:val="en-US"/>
        </w:rPr>
        <w:t xml:space="preserve">Banking, Insurance, Life Insurance, Health Insurance and Superannuation (prudential standard) </w:t>
      </w:r>
      <w:r w:rsidR="009301C0">
        <w:rPr>
          <w:rFonts w:cs="Arial"/>
          <w:b/>
          <w:bCs/>
          <w:sz w:val="40"/>
          <w:szCs w:val="28"/>
          <w:lang w:val="en-US"/>
        </w:rPr>
        <w:t>variation</w:t>
      </w:r>
      <w:r w:rsidRPr="005A46D1">
        <w:rPr>
          <w:rFonts w:cs="Arial"/>
          <w:b/>
          <w:bCs/>
          <w:sz w:val="40"/>
          <w:szCs w:val="28"/>
          <w:lang w:val="en-US"/>
        </w:rPr>
        <w:t xml:space="preserve"> No. </w:t>
      </w:r>
      <w:r w:rsidR="00CA0BAB">
        <w:rPr>
          <w:rFonts w:cs="Arial"/>
          <w:b/>
          <w:bCs/>
          <w:sz w:val="40"/>
          <w:szCs w:val="28"/>
          <w:lang w:val="en-US"/>
        </w:rPr>
        <w:t xml:space="preserve">1 </w:t>
      </w:r>
      <w:r w:rsidR="009E608E" w:rsidRPr="00BE04FC">
        <w:rPr>
          <w:rFonts w:cs="Arial"/>
          <w:b/>
          <w:bCs/>
          <w:sz w:val="40"/>
          <w:szCs w:val="28"/>
          <w:lang w:val="en-US"/>
        </w:rPr>
        <w:t xml:space="preserve">of </w:t>
      </w:r>
      <w:r>
        <w:rPr>
          <w:rFonts w:cs="Arial"/>
          <w:b/>
          <w:bCs/>
          <w:sz w:val="40"/>
          <w:szCs w:val="28"/>
          <w:lang w:val="en-US"/>
        </w:rPr>
        <w:t>2024</w:t>
      </w:r>
      <w:r w:rsidR="009E608E" w:rsidRPr="00BE04FC">
        <w:rPr>
          <w:rFonts w:cs="Arial"/>
          <w:b/>
          <w:bCs/>
          <w:sz w:val="40"/>
          <w:szCs w:val="28"/>
          <w:lang w:val="en-US"/>
        </w:rPr>
        <w:t xml:space="preserve"> </w:t>
      </w:r>
    </w:p>
    <w:p w14:paraId="7B66D5AC" w14:textId="0F3A18EE" w:rsidR="009E608E" w:rsidRPr="005A46D1" w:rsidRDefault="00534C43" w:rsidP="00882CE9">
      <w:pPr>
        <w:numPr>
          <w:ilvl w:val="0"/>
          <w:numId w:val="0"/>
        </w:numPr>
        <w:spacing w:before="360"/>
        <w:jc w:val="left"/>
        <w:rPr>
          <w:rFonts w:ascii="Times New Roman" w:hAnsi="Times New Roman"/>
          <w:b/>
          <w:sz w:val="28"/>
          <w:szCs w:val="28"/>
          <w:lang w:val="en-US"/>
        </w:rPr>
      </w:pPr>
      <w:r w:rsidRPr="005A46D1">
        <w:rPr>
          <w:b/>
          <w:sz w:val="28"/>
          <w:szCs w:val="28"/>
        </w:rPr>
        <w:t>Prudential Standard CPS 230 Operational Risk</w:t>
      </w:r>
      <w:r>
        <w:rPr>
          <w:b/>
          <w:sz w:val="28"/>
          <w:szCs w:val="28"/>
        </w:rPr>
        <w:t xml:space="preserve"> </w:t>
      </w:r>
      <w:r w:rsidRPr="005A46D1">
        <w:rPr>
          <w:b/>
          <w:sz w:val="28"/>
          <w:szCs w:val="28"/>
        </w:rPr>
        <w:t>Managemen</w:t>
      </w:r>
      <w:r>
        <w:rPr>
          <w:b/>
          <w:sz w:val="28"/>
          <w:szCs w:val="28"/>
        </w:rPr>
        <w:t>t</w:t>
      </w:r>
    </w:p>
    <w:p w14:paraId="70462B86" w14:textId="5B78E877" w:rsidR="0000010D" w:rsidRPr="0000010D" w:rsidRDefault="0000010D" w:rsidP="0000010D">
      <w:pPr>
        <w:pBdr>
          <w:bottom w:val="single" w:sz="4" w:space="1" w:color="000000" w:themeColor="text1"/>
        </w:pBdr>
        <w:spacing w:before="360"/>
        <w:contextualSpacing/>
        <w:jc w:val="left"/>
        <w:rPr>
          <w:rFonts w:cs="Arial"/>
          <w:i/>
          <w:iCs/>
          <w:sz w:val="28"/>
          <w:szCs w:val="28"/>
          <w:lang w:val="en-US"/>
        </w:rPr>
      </w:pPr>
      <w:r w:rsidRPr="0000010D">
        <w:rPr>
          <w:rFonts w:cs="Arial"/>
          <w:i/>
          <w:iCs/>
          <w:sz w:val="28"/>
          <w:szCs w:val="28"/>
          <w:lang w:val="en-US"/>
        </w:rPr>
        <w:t>Banking Act 1959</w:t>
      </w:r>
    </w:p>
    <w:p w14:paraId="4F00A8A4" w14:textId="77777777" w:rsidR="0000010D" w:rsidRPr="0000010D" w:rsidRDefault="0000010D" w:rsidP="0000010D">
      <w:pPr>
        <w:pBdr>
          <w:bottom w:val="single" w:sz="4" w:space="1" w:color="000000" w:themeColor="text1"/>
        </w:pBdr>
        <w:spacing w:before="360"/>
        <w:contextualSpacing/>
        <w:jc w:val="left"/>
        <w:rPr>
          <w:rFonts w:cs="Arial"/>
          <w:i/>
          <w:iCs/>
          <w:sz w:val="28"/>
          <w:szCs w:val="28"/>
          <w:lang w:val="en-US"/>
        </w:rPr>
      </w:pPr>
      <w:r w:rsidRPr="0000010D">
        <w:rPr>
          <w:rFonts w:cs="Arial"/>
          <w:i/>
          <w:iCs/>
          <w:sz w:val="28"/>
          <w:szCs w:val="28"/>
          <w:lang w:val="en-US"/>
        </w:rPr>
        <w:t>Insurance Act 1973</w:t>
      </w:r>
    </w:p>
    <w:p w14:paraId="67528A3F" w14:textId="77777777" w:rsidR="0000010D" w:rsidRPr="0000010D" w:rsidRDefault="0000010D" w:rsidP="0000010D">
      <w:pPr>
        <w:pBdr>
          <w:bottom w:val="single" w:sz="4" w:space="1" w:color="000000" w:themeColor="text1"/>
        </w:pBdr>
        <w:spacing w:before="360"/>
        <w:contextualSpacing/>
        <w:jc w:val="left"/>
        <w:rPr>
          <w:rFonts w:cs="Arial"/>
          <w:i/>
          <w:iCs/>
          <w:sz w:val="28"/>
          <w:szCs w:val="28"/>
          <w:lang w:val="en-US"/>
        </w:rPr>
      </w:pPr>
      <w:r w:rsidRPr="0000010D">
        <w:rPr>
          <w:rFonts w:cs="Arial"/>
          <w:i/>
          <w:iCs/>
          <w:sz w:val="28"/>
          <w:szCs w:val="28"/>
          <w:lang w:val="en-US"/>
        </w:rPr>
        <w:t>Life Insurance Act 1995</w:t>
      </w:r>
    </w:p>
    <w:p w14:paraId="648E7797" w14:textId="77777777" w:rsidR="0000010D" w:rsidRPr="0000010D" w:rsidRDefault="0000010D" w:rsidP="0000010D">
      <w:pPr>
        <w:pBdr>
          <w:bottom w:val="single" w:sz="4" w:space="1" w:color="000000" w:themeColor="text1"/>
        </w:pBdr>
        <w:spacing w:before="360"/>
        <w:contextualSpacing/>
        <w:jc w:val="left"/>
        <w:rPr>
          <w:rFonts w:cs="Arial"/>
          <w:i/>
          <w:iCs/>
          <w:sz w:val="28"/>
          <w:szCs w:val="28"/>
          <w:lang w:val="en-US"/>
        </w:rPr>
      </w:pPr>
      <w:r w:rsidRPr="0000010D">
        <w:rPr>
          <w:rFonts w:cs="Arial"/>
          <w:i/>
          <w:iCs/>
          <w:sz w:val="28"/>
          <w:szCs w:val="28"/>
          <w:lang w:val="en-US"/>
        </w:rPr>
        <w:t>Private Health Insurance (Prudential Supervision) Act 2015</w:t>
      </w:r>
    </w:p>
    <w:p w14:paraId="5EB3FEEC" w14:textId="046CC2C6" w:rsidR="0000010D" w:rsidRPr="0000010D" w:rsidRDefault="0000010D" w:rsidP="0000010D">
      <w:pPr>
        <w:pBdr>
          <w:bottom w:val="single" w:sz="4" w:space="1" w:color="000000" w:themeColor="text1"/>
        </w:pBdr>
        <w:spacing w:before="360"/>
        <w:contextualSpacing/>
        <w:jc w:val="left"/>
        <w:rPr>
          <w:rFonts w:cs="Arial"/>
          <w:i/>
          <w:iCs/>
          <w:sz w:val="28"/>
          <w:szCs w:val="28"/>
          <w:lang w:val="en-US"/>
        </w:rPr>
      </w:pPr>
      <w:r w:rsidRPr="0000010D">
        <w:rPr>
          <w:rFonts w:cs="Arial"/>
          <w:i/>
          <w:iCs/>
          <w:sz w:val="28"/>
          <w:szCs w:val="28"/>
          <w:lang w:val="en-US"/>
        </w:rPr>
        <w:t>Superannuation Industry (Supervision) Act 1993</w:t>
      </w:r>
    </w:p>
    <w:p w14:paraId="0430A833" w14:textId="77777777" w:rsidR="00FE2CC9" w:rsidRDefault="00FE2CC9" w:rsidP="009E608E">
      <w:pPr>
        <w:spacing w:after="0"/>
        <w:rPr>
          <w:rFonts w:cs="Arial"/>
        </w:rPr>
      </w:pPr>
    </w:p>
    <w:p w14:paraId="2A9C82CE" w14:textId="5416BDB1" w:rsidR="009E608E" w:rsidRPr="00EF0BB3" w:rsidRDefault="009E608E" w:rsidP="003C3EFC">
      <w:pPr>
        <w:numPr>
          <w:ilvl w:val="0"/>
          <w:numId w:val="0"/>
        </w:numPr>
        <w:spacing w:after="0"/>
        <w:rPr>
          <w:rFonts w:cs="Arial"/>
        </w:rPr>
      </w:pPr>
      <w:r w:rsidRPr="00693371">
        <w:rPr>
          <w:rFonts w:cs="Arial"/>
        </w:rPr>
        <w:t xml:space="preserve">I, </w:t>
      </w:r>
      <w:r w:rsidR="00882CE9">
        <w:rPr>
          <w:rFonts w:cs="Arial"/>
        </w:rPr>
        <w:t>John Lonsdale</w:t>
      </w:r>
      <w:r w:rsidRPr="00693371">
        <w:rPr>
          <w:rFonts w:cs="Arial"/>
        </w:rPr>
        <w:t xml:space="preserve">, </w:t>
      </w:r>
      <w:r w:rsidR="00691CAD">
        <w:rPr>
          <w:rFonts w:cs="Arial"/>
        </w:rPr>
        <w:t>a delegate of APRA</w:t>
      </w:r>
      <w:r w:rsidR="00EF0BB3">
        <w:rPr>
          <w:rFonts w:cs="Arial"/>
        </w:rPr>
        <w:t xml:space="preserve">, </w:t>
      </w:r>
      <w:r w:rsidR="00EF0BB3" w:rsidRPr="00EF0BB3">
        <w:rPr>
          <w:rFonts w:cs="Arial"/>
        </w:rPr>
        <w:t xml:space="preserve">under </w:t>
      </w:r>
      <w:r w:rsidR="008F44EF">
        <w:rPr>
          <w:rFonts w:cs="Arial"/>
        </w:rPr>
        <w:t>subsections</w:t>
      </w:r>
      <w:r w:rsidR="00EF0BB3" w:rsidRPr="00EF0BB3">
        <w:rPr>
          <w:rFonts w:cs="Arial"/>
        </w:rPr>
        <w:t xml:space="preserve"> 11AF(</w:t>
      </w:r>
      <w:r w:rsidR="0000010D">
        <w:rPr>
          <w:rFonts w:cs="Arial"/>
        </w:rPr>
        <w:t>3</w:t>
      </w:r>
      <w:r w:rsidR="00EF0BB3" w:rsidRPr="00EF0BB3">
        <w:rPr>
          <w:rFonts w:cs="Arial"/>
        </w:rPr>
        <w:t xml:space="preserve">) </w:t>
      </w:r>
      <w:r w:rsidR="008F44EF">
        <w:rPr>
          <w:rFonts w:cs="Arial"/>
        </w:rPr>
        <w:t xml:space="preserve">of the </w:t>
      </w:r>
      <w:r w:rsidR="0000010D" w:rsidRPr="003C3EFC">
        <w:rPr>
          <w:rFonts w:cs="Arial"/>
          <w:i/>
        </w:rPr>
        <w:t>Banking Act</w:t>
      </w:r>
      <w:r w:rsidR="008F44EF" w:rsidRPr="003C3EFC">
        <w:rPr>
          <w:rFonts w:cs="Arial"/>
          <w:i/>
        </w:rPr>
        <w:t xml:space="preserve"> 1959</w:t>
      </w:r>
      <w:r w:rsidR="0000010D" w:rsidRPr="0000010D">
        <w:rPr>
          <w:rFonts w:cs="Arial"/>
        </w:rPr>
        <w:t xml:space="preserve">, 32(4) of the </w:t>
      </w:r>
      <w:r w:rsidR="0000010D" w:rsidRPr="003C3EFC">
        <w:rPr>
          <w:rFonts w:cs="Arial"/>
          <w:i/>
        </w:rPr>
        <w:t>Insurance Act</w:t>
      </w:r>
      <w:r w:rsidR="008F44EF" w:rsidRPr="003C3EFC">
        <w:rPr>
          <w:rFonts w:cs="Arial"/>
          <w:i/>
        </w:rPr>
        <w:t xml:space="preserve"> 1973</w:t>
      </w:r>
      <w:r w:rsidR="0000010D" w:rsidRPr="0000010D">
        <w:rPr>
          <w:rFonts w:cs="Arial"/>
        </w:rPr>
        <w:t xml:space="preserve">, 230A(5) of the </w:t>
      </w:r>
      <w:r w:rsidR="0000010D" w:rsidRPr="003C3EFC">
        <w:rPr>
          <w:rFonts w:cs="Arial"/>
          <w:i/>
        </w:rPr>
        <w:t>Life Insurance Act</w:t>
      </w:r>
      <w:r w:rsidR="008F44EF" w:rsidRPr="003C3EFC">
        <w:rPr>
          <w:rFonts w:cs="Arial"/>
          <w:i/>
        </w:rPr>
        <w:t xml:space="preserve"> 1995</w:t>
      </w:r>
      <w:r w:rsidR="0000010D" w:rsidRPr="0000010D">
        <w:rPr>
          <w:rFonts w:cs="Arial"/>
        </w:rPr>
        <w:t xml:space="preserve">, 92(5) of the </w:t>
      </w:r>
      <w:r w:rsidR="008F44EF" w:rsidRPr="00006DD0">
        <w:rPr>
          <w:rFonts w:cs="Arial"/>
          <w:i/>
        </w:rPr>
        <w:t>Private Health Insurance (Prudential Supervision) Act 2015</w:t>
      </w:r>
      <w:r w:rsidR="0000010D" w:rsidRPr="00006DD0">
        <w:rPr>
          <w:rFonts w:cs="Arial"/>
        </w:rPr>
        <w:t xml:space="preserve"> and 34C(6) of the </w:t>
      </w:r>
      <w:r w:rsidR="00006DD0" w:rsidRPr="006B4641">
        <w:rPr>
          <w:rFonts w:asciiTheme="majorHAnsi" w:hAnsiTheme="majorHAnsi" w:cstheme="majorHAnsi"/>
          <w:i/>
        </w:rPr>
        <w:t>Superannuation Industry (Supervision) Act 1993</w:t>
      </w:r>
      <w:r w:rsidR="0000010D" w:rsidRPr="00006DD0">
        <w:rPr>
          <w:rFonts w:cs="Arial"/>
        </w:rPr>
        <w:t xml:space="preserve">, VARY </w:t>
      </w:r>
      <w:r w:rsidR="0000010D" w:rsidRPr="00006DD0">
        <w:rPr>
          <w:rFonts w:cs="Arial"/>
          <w:i/>
        </w:rPr>
        <w:t>Banking, Insurance, Life Insurance, Health Insurance and Superannuation (prudential standard) determination No. 2 of 2023</w:t>
      </w:r>
      <w:r w:rsidR="0062214B" w:rsidRPr="0062214B">
        <w:rPr>
          <w:rFonts w:cs="Arial"/>
        </w:rPr>
        <w:t>,</w:t>
      </w:r>
      <w:r w:rsidR="0000010D" w:rsidRPr="00006DD0">
        <w:rPr>
          <w:rFonts w:cs="Arial"/>
        </w:rPr>
        <w:t xml:space="preserve"> including </w:t>
      </w:r>
      <w:r w:rsidR="0000010D" w:rsidRPr="00006DD0">
        <w:rPr>
          <w:rFonts w:cs="Arial"/>
          <w:i/>
        </w:rPr>
        <w:t xml:space="preserve">Prudential Standard </w:t>
      </w:r>
      <w:r w:rsidR="00B45687">
        <w:rPr>
          <w:rFonts w:cs="Arial"/>
          <w:i/>
        </w:rPr>
        <w:t xml:space="preserve">CPS </w:t>
      </w:r>
      <w:r w:rsidR="0000010D" w:rsidRPr="00006DD0">
        <w:rPr>
          <w:rFonts w:cs="Arial"/>
          <w:i/>
        </w:rPr>
        <w:t>230 Operational Risk Management</w:t>
      </w:r>
      <w:r w:rsidR="00077897" w:rsidRPr="00006DD0">
        <w:rPr>
          <w:rFonts w:cs="Arial"/>
        </w:rPr>
        <w:t xml:space="preserve">, in the manner set out in the </w:t>
      </w:r>
      <w:r w:rsidR="007A7714">
        <w:rPr>
          <w:rFonts w:cs="Arial"/>
        </w:rPr>
        <w:t>s</w:t>
      </w:r>
      <w:r w:rsidR="00077897" w:rsidRPr="00006DD0">
        <w:rPr>
          <w:rFonts w:cs="Arial"/>
        </w:rPr>
        <w:t>chedule</w:t>
      </w:r>
      <w:r w:rsidR="00EF0BB3" w:rsidRPr="00006DD0">
        <w:rPr>
          <w:rFonts w:cs="Arial"/>
        </w:rPr>
        <w:t>.</w:t>
      </w:r>
    </w:p>
    <w:p w14:paraId="79194A59" w14:textId="77777777" w:rsidR="003C3EFC" w:rsidRDefault="003C3EFC" w:rsidP="00DD5DAC">
      <w:pPr>
        <w:spacing w:after="0"/>
        <w:rPr>
          <w:rFonts w:cs="Arial"/>
          <w:lang w:val="en-US"/>
        </w:rPr>
      </w:pPr>
    </w:p>
    <w:p w14:paraId="5152D8E6" w14:textId="501963DF" w:rsidR="009E608E" w:rsidRPr="00DD5DAC" w:rsidRDefault="00077897" w:rsidP="00DD5DAC">
      <w:pPr>
        <w:spacing w:after="0"/>
        <w:rPr>
          <w:rFonts w:cs="Arial"/>
          <w:lang w:val="en-US"/>
        </w:rPr>
      </w:pPr>
      <w:r w:rsidRPr="00077897">
        <w:rPr>
          <w:rFonts w:cs="Arial"/>
          <w:lang w:val="en-US"/>
        </w:rPr>
        <w:t>This instrument commences on 1 July 2025.</w:t>
      </w:r>
    </w:p>
    <w:p w14:paraId="7257D501" w14:textId="77777777" w:rsidR="009E608E" w:rsidRDefault="009E608E" w:rsidP="00D868B3">
      <w:pPr>
        <w:numPr>
          <w:ilvl w:val="0"/>
          <w:numId w:val="0"/>
        </w:numPr>
        <w:spacing w:after="0"/>
        <w:rPr>
          <w:rFonts w:cs="Arial"/>
          <w:spacing w:val="-8"/>
          <w:lang w:val="en-US"/>
        </w:rPr>
      </w:pPr>
    </w:p>
    <w:p w14:paraId="289B1FF4" w14:textId="3A1D286C" w:rsidR="00D868B3" w:rsidRDefault="00D868B3" w:rsidP="00D868B3">
      <w:pPr>
        <w:numPr>
          <w:ilvl w:val="0"/>
          <w:numId w:val="0"/>
        </w:numPr>
        <w:spacing w:after="0"/>
        <w:rPr>
          <w:rFonts w:cs="Arial"/>
          <w:spacing w:val="-8"/>
          <w:lang w:val="en-US"/>
        </w:rPr>
      </w:pPr>
      <w:r>
        <w:rPr>
          <w:rFonts w:cs="Arial"/>
          <w:spacing w:val="-8"/>
          <w:lang w:val="en-US"/>
        </w:rPr>
        <w:t>Dated: 30 August 2024</w:t>
      </w:r>
    </w:p>
    <w:p w14:paraId="4030DC2C" w14:textId="77777777" w:rsidR="00D868B3" w:rsidRDefault="00D868B3" w:rsidP="00D868B3">
      <w:pPr>
        <w:numPr>
          <w:ilvl w:val="0"/>
          <w:numId w:val="0"/>
        </w:numPr>
        <w:spacing w:after="0"/>
        <w:rPr>
          <w:rFonts w:cs="Arial"/>
          <w:spacing w:val="-8"/>
          <w:lang w:val="en-US"/>
        </w:rPr>
      </w:pPr>
    </w:p>
    <w:p w14:paraId="73073F96" w14:textId="686D7F5F" w:rsidR="00D868B3" w:rsidRDefault="00D868B3" w:rsidP="00D868B3">
      <w:pPr>
        <w:numPr>
          <w:ilvl w:val="0"/>
          <w:numId w:val="0"/>
        </w:numPr>
        <w:spacing w:after="0"/>
        <w:rPr>
          <w:rFonts w:cs="Arial"/>
          <w:spacing w:val="-8"/>
          <w:lang w:val="en-US"/>
        </w:rPr>
      </w:pPr>
      <w:r>
        <w:rPr>
          <w:rFonts w:cs="Arial"/>
          <w:spacing w:val="-8"/>
          <w:lang w:val="en-US"/>
        </w:rPr>
        <w:t>John Lonsdale</w:t>
      </w:r>
    </w:p>
    <w:p w14:paraId="103B947F" w14:textId="4DE213DF" w:rsidR="00D868B3" w:rsidRDefault="00D868B3" w:rsidP="00D868B3">
      <w:pPr>
        <w:numPr>
          <w:ilvl w:val="0"/>
          <w:numId w:val="0"/>
        </w:numPr>
        <w:spacing w:after="0"/>
        <w:rPr>
          <w:rFonts w:cs="Arial"/>
          <w:spacing w:val="-8"/>
          <w:lang w:val="en-US"/>
        </w:rPr>
      </w:pPr>
      <w:r>
        <w:rPr>
          <w:rFonts w:cs="Arial"/>
          <w:spacing w:val="-8"/>
          <w:lang w:val="en-US"/>
        </w:rPr>
        <w:t>Chair</w:t>
      </w:r>
    </w:p>
    <w:p w14:paraId="161A6AAB" w14:textId="13F6DAE7" w:rsidR="00D868B3" w:rsidRDefault="00D868B3" w:rsidP="00D868B3">
      <w:pPr>
        <w:numPr>
          <w:ilvl w:val="0"/>
          <w:numId w:val="0"/>
        </w:numPr>
        <w:spacing w:after="0"/>
        <w:rPr>
          <w:rFonts w:cs="Arial"/>
          <w:spacing w:val="-8"/>
          <w:lang w:val="en-US"/>
        </w:rPr>
      </w:pPr>
      <w:r>
        <w:rPr>
          <w:rFonts w:cs="Arial"/>
          <w:spacing w:val="-8"/>
          <w:lang w:val="en-US"/>
        </w:rPr>
        <w:t>APRA</w:t>
      </w:r>
    </w:p>
    <w:p w14:paraId="68F057B6" w14:textId="77777777" w:rsidR="00077897" w:rsidRPr="00C3650A" w:rsidRDefault="00077897" w:rsidP="00077897">
      <w:pPr>
        <w:spacing w:before="480" w:after="0"/>
        <w:rPr>
          <w:rFonts w:asciiTheme="majorHAnsi" w:hAnsiTheme="majorHAnsi" w:cstheme="majorHAnsi"/>
          <w:b/>
        </w:rPr>
      </w:pPr>
      <w:r w:rsidRPr="005C3B90">
        <w:rPr>
          <w:rFonts w:asciiTheme="majorHAnsi" w:hAnsiTheme="majorHAnsi" w:cstheme="majorHAnsi"/>
          <w:b/>
        </w:rPr>
        <w:t>Interpretation</w:t>
      </w:r>
    </w:p>
    <w:p w14:paraId="6761CEE3" w14:textId="6CC717C9" w:rsidR="00077897" w:rsidRPr="005C3B90" w:rsidRDefault="00077897" w:rsidP="00077897">
      <w:pPr>
        <w:spacing w:before="120" w:after="0"/>
        <w:rPr>
          <w:rFonts w:asciiTheme="majorHAnsi" w:hAnsiTheme="majorHAnsi" w:cstheme="majorHAnsi"/>
        </w:rPr>
      </w:pPr>
      <w:r w:rsidRPr="005C3B90">
        <w:rPr>
          <w:rFonts w:asciiTheme="majorHAnsi" w:hAnsiTheme="majorHAnsi" w:cstheme="majorHAnsi"/>
        </w:rPr>
        <w:t xml:space="preserve">In this </w:t>
      </w:r>
      <w:r w:rsidR="00D415F6">
        <w:rPr>
          <w:rFonts w:asciiTheme="majorHAnsi" w:hAnsiTheme="majorHAnsi" w:cstheme="majorHAnsi"/>
        </w:rPr>
        <w:t>instrument</w:t>
      </w:r>
      <w:r w:rsidRPr="005C3B90">
        <w:rPr>
          <w:rFonts w:asciiTheme="majorHAnsi" w:hAnsiTheme="majorHAnsi" w:cstheme="majorHAnsi"/>
        </w:rPr>
        <w:t>:</w:t>
      </w:r>
    </w:p>
    <w:p w14:paraId="038C3F28" w14:textId="77777777" w:rsidR="00077897" w:rsidRPr="005C3B90" w:rsidRDefault="00077897" w:rsidP="00077897">
      <w:pPr>
        <w:pStyle w:val="introto0"/>
        <w:shd w:val="clear" w:color="auto" w:fill="FFFFFF"/>
        <w:spacing w:before="120" w:beforeAutospacing="0" w:after="120" w:afterAutospacing="0"/>
        <w:jc w:val="both"/>
        <w:rPr>
          <w:rFonts w:asciiTheme="majorHAnsi" w:hAnsiTheme="majorHAnsi" w:cstheme="majorHAnsi"/>
          <w:color w:val="000000"/>
          <w:sz w:val="22"/>
          <w:szCs w:val="22"/>
        </w:rPr>
      </w:pPr>
      <w:r w:rsidRPr="005C3B90">
        <w:rPr>
          <w:rFonts w:asciiTheme="majorHAnsi" w:hAnsiTheme="majorHAnsi" w:cstheme="majorHAnsi"/>
          <w:b/>
          <w:i/>
          <w:color w:val="000000"/>
          <w:sz w:val="22"/>
          <w:szCs w:val="22"/>
        </w:rPr>
        <w:t>APRA</w:t>
      </w:r>
      <w:r w:rsidRPr="005C3B90">
        <w:rPr>
          <w:rFonts w:asciiTheme="majorHAnsi" w:hAnsiTheme="majorHAnsi" w:cstheme="majorHAnsi"/>
          <w:color w:val="000000"/>
          <w:sz w:val="22"/>
          <w:szCs w:val="22"/>
        </w:rPr>
        <w:t xml:space="preserve"> means the Australian Prudential Regulation Authority.</w:t>
      </w:r>
    </w:p>
    <w:p w14:paraId="60A59996" w14:textId="77777777" w:rsidR="00077897" w:rsidRDefault="00077897">
      <w:pPr>
        <w:numPr>
          <w:ilvl w:val="0"/>
          <w:numId w:val="0"/>
        </w:numPr>
        <w:rPr>
          <w:rFonts w:cs="Arial"/>
          <w:b/>
          <w:sz w:val="32"/>
          <w:szCs w:val="32"/>
        </w:rPr>
      </w:pPr>
      <w:r>
        <w:rPr>
          <w:rFonts w:cs="Arial"/>
          <w:b/>
          <w:sz w:val="32"/>
          <w:szCs w:val="32"/>
        </w:rPr>
        <w:br w:type="page"/>
      </w:r>
    </w:p>
    <w:p w14:paraId="7D721E9D" w14:textId="5229D8AF" w:rsidR="000F714F" w:rsidRDefault="000F714F" w:rsidP="00D75DA2">
      <w:pPr>
        <w:numPr>
          <w:ilvl w:val="0"/>
          <w:numId w:val="0"/>
        </w:numPr>
        <w:rPr>
          <w:rFonts w:cs="Arial"/>
          <w:b/>
          <w:sz w:val="32"/>
          <w:szCs w:val="32"/>
        </w:rPr>
      </w:pPr>
      <w:r w:rsidRPr="00327B69">
        <w:rPr>
          <w:rFonts w:cs="Arial"/>
          <w:b/>
          <w:sz w:val="32"/>
          <w:szCs w:val="32"/>
        </w:rPr>
        <w:lastRenderedPageBreak/>
        <w:t xml:space="preserve">Schedule </w:t>
      </w:r>
      <w:r w:rsidR="004723ED">
        <w:rPr>
          <w:rFonts w:cs="Arial"/>
          <w:b/>
          <w:sz w:val="32"/>
          <w:szCs w:val="32"/>
        </w:rPr>
        <w:t>–</w:t>
      </w:r>
      <w:r w:rsidR="00A41660">
        <w:rPr>
          <w:rFonts w:cs="Arial"/>
          <w:b/>
          <w:sz w:val="32"/>
          <w:szCs w:val="32"/>
        </w:rPr>
        <w:t xml:space="preserve"> </w:t>
      </w:r>
      <w:r w:rsidR="00B51D26">
        <w:rPr>
          <w:rFonts w:cs="Arial"/>
          <w:b/>
          <w:sz w:val="32"/>
          <w:szCs w:val="32"/>
        </w:rPr>
        <w:t>v</w:t>
      </w:r>
      <w:r w:rsidR="00077897" w:rsidRPr="00077897">
        <w:rPr>
          <w:rFonts w:cs="Arial"/>
          <w:b/>
          <w:sz w:val="32"/>
          <w:szCs w:val="32"/>
        </w:rPr>
        <w:t>ariation</w:t>
      </w:r>
      <w:r w:rsidR="00B51D26">
        <w:rPr>
          <w:rFonts w:cs="Arial"/>
          <w:b/>
          <w:sz w:val="32"/>
          <w:szCs w:val="32"/>
        </w:rPr>
        <w:t>s</w:t>
      </w:r>
    </w:p>
    <w:p w14:paraId="3B6AABC0" w14:textId="77777777" w:rsidR="0058682A" w:rsidRPr="00B11D0E" w:rsidRDefault="0058682A" w:rsidP="0058682A">
      <w:pPr>
        <w:pStyle w:val="List"/>
        <w:numPr>
          <w:ilvl w:val="0"/>
          <w:numId w:val="28"/>
        </w:numPr>
        <w:ind w:left="426" w:hanging="426"/>
        <w:rPr>
          <w:rFonts w:cs="Arial"/>
          <w:b/>
        </w:rPr>
      </w:pPr>
      <w:r w:rsidRPr="00B11D0E">
        <w:rPr>
          <w:rFonts w:cs="Arial"/>
          <w:b/>
        </w:rPr>
        <w:t>Application and commencement (heading)</w:t>
      </w:r>
    </w:p>
    <w:p w14:paraId="064BC676" w14:textId="6AFF772B" w:rsidR="0058682A" w:rsidRPr="00B11D0E" w:rsidRDefault="001602B0" w:rsidP="00E67C33">
      <w:pPr>
        <w:pStyle w:val="List"/>
        <w:numPr>
          <w:ilvl w:val="0"/>
          <w:numId w:val="0"/>
        </w:numPr>
        <w:ind w:left="567" w:hanging="141"/>
        <w:rPr>
          <w:rFonts w:cs="Arial"/>
        </w:rPr>
      </w:pPr>
      <w:r>
        <w:rPr>
          <w:rFonts w:cs="Arial"/>
        </w:rPr>
        <w:t>Omit</w:t>
      </w:r>
      <w:r w:rsidR="0058682A" w:rsidRPr="00B11D0E">
        <w:rPr>
          <w:rFonts w:cs="Arial"/>
        </w:rPr>
        <w:t xml:space="preserve"> the heading, substitute:</w:t>
      </w:r>
    </w:p>
    <w:p w14:paraId="24094AF3" w14:textId="77777777" w:rsidR="0058682A" w:rsidRPr="00B11D0E" w:rsidRDefault="0058682A" w:rsidP="00E67C33">
      <w:pPr>
        <w:pStyle w:val="List"/>
        <w:numPr>
          <w:ilvl w:val="0"/>
          <w:numId w:val="0"/>
        </w:numPr>
        <w:ind w:left="567" w:hanging="141"/>
        <w:rPr>
          <w:rFonts w:cs="Arial"/>
          <w:b/>
        </w:rPr>
      </w:pPr>
      <w:r w:rsidRPr="00B11D0E">
        <w:rPr>
          <w:rFonts w:cs="Arial"/>
          <w:b/>
        </w:rPr>
        <w:t>Application</w:t>
      </w:r>
    </w:p>
    <w:p w14:paraId="138D1AF5" w14:textId="77777777" w:rsidR="0058682A" w:rsidRPr="00B11D0E" w:rsidRDefault="0058682A" w:rsidP="0058682A">
      <w:pPr>
        <w:pStyle w:val="List"/>
        <w:numPr>
          <w:ilvl w:val="0"/>
          <w:numId w:val="28"/>
        </w:numPr>
        <w:ind w:left="426" w:hanging="426"/>
        <w:rPr>
          <w:rFonts w:cs="Arial"/>
          <w:b/>
        </w:rPr>
      </w:pPr>
      <w:r w:rsidRPr="00B11D0E">
        <w:rPr>
          <w:rFonts w:cs="Arial"/>
          <w:b/>
        </w:rPr>
        <w:t>Paragraphs 6 to 7</w:t>
      </w:r>
    </w:p>
    <w:p w14:paraId="274FD1D7" w14:textId="1A02877B" w:rsidR="0058682A" w:rsidRPr="00B11D0E" w:rsidRDefault="001602B0" w:rsidP="00F256CD">
      <w:pPr>
        <w:pStyle w:val="List"/>
        <w:numPr>
          <w:ilvl w:val="0"/>
          <w:numId w:val="0"/>
        </w:numPr>
        <w:ind w:left="425" w:firstLine="1"/>
        <w:rPr>
          <w:rFonts w:cs="Arial"/>
        </w:rPr>
      </w:pPr>
      <w:r>
        <w:rPr>
          <w:rFonts w:cs="Arial"/>
        </w:rPr>
        <w:t>Omit</w:t>
      </w:r>
      <w:r w:rsidR="0058682A" w:rsidRPr="00B11D0E">
        <w:rPr>
          <w:rFonts w:cs="Arial"/>
        </w:rPr>
        <w:t xml:space="preserve"> the paragraphs, substitute:</w:t>
      </w:r>
    </w:p>
    <w:p w14:paraId="3C31FEB8" w14:textId="77777777" w:rsidR="0058682A" w:rsidRPr="00B11D0E" w:rsidRDefault="0058682A" w:rsidP="00F256CD">
      <w:pPr>
        <w:pStyle w:val="List"/>
        <w:numPr>
          <w:ilvl w:val="0"/>
          <w:numId w:val="0"/>
        </w:numPr>
        <w:ind w:left="425" w:firstLine="1"/>
        <w:rPr>
          <w:rFonts w:cs="Arial"/>
        </w:rPr>
      </w:pPr>
      <w:r w:rsidRPr="00B11D0E">
        <w:rPr>
          <w:rFonts w:cs="Arial"/>
          <w:b/>
        </w:rPr>
        <w:t>Transitional Arrangements</w:t>
      </w:r>
    </w:p>
    <w:p w14:paraId="04627A59" w14:textId="77777777" w:rsidR="00D05D92" w:rsidRDefault="0058682A" w:rsidP="00D05D92">
      <w:pPr>
        <w:pStyle w:val="List"/>
        <w:numPr>
          <w:ilvl w:val="0"/>
          <w:numId w:val="29"/>
        </w:numPr>
        <w:ind w:left="851" w:hanging="425"/>
        <w:jc w:val="left"/>
        <w:rPr>
          <w:rFonts w:cs="Arial"/>
        </w:rPr>
      </w:pPr>
      <w:r w:rsidRPr="00B11D0E">
        <w:rPr>
          <w:rFonts w:cs="Arial"/>
        </w:rPr>
        <w:t>Where an APRA-regulated entity has pre-existing contractual arrangements in place with a service provider, the requirements in this Prudential Standard will apply in relation to those arrangements from the earlier of the next renewal date of the contract with the service provider or 1 July 2026.</w:t>
      </w:r>
    </w:p>
    <w:p w14:paraId="6C39F1AB" w14:textId="1E8AB101" w:rsidR="00366C3A" w:rsidRPr="0098275D" w:rsidRDefault="00366C3A" w:rsidP="00366C3A">
      <w:pPr>
        <w:pStyle w:val="List"/>
        <w:numPr>
          <w:ilvl w:val="0"/>
          <w:numId w:val="29"/>
        </w:numPr>
        <w:ind w:left="851" w:hanging="425"/>
        <w:jc w:val="left"/>
        <w:rPr>
          <w:rFonts w:asciiTheme="majorHAnsi" w:hAnsiTheme="majorHAnsi" w:cstheme="majorHAnsi"/>
          <w:lang w:eastAsia="en-AU"/>
        </w:rPr>
      </w:pPr>
      <w:r w:rsidRPr="00366C3A">
        <w:rPr>
          <w:rFonts w:cs="Arial"/>
        </w:rPr>
        <w:t>Deferred</w:t>
      </w:r>
      <w:r>
        <w:rPr>
          <w:lang w:eastAsia="en-AU"/>
        </w:rPr>
        <w:t xml:space="preserve"> </w:t>
      </w:r>
      <w:r w:rsidRPr="0098275D">
        <w:rPr>
          <w:rFonts w:asciiTheme="majorHAnsi" w:hAnsiTheme="majorHAnsi" w:cstheme="majorHAnsi"/>
          <w:lang w:eastAsia="en-AU"/>
        </w:rPr>
        <w:t xml:space="preserve">requirements apply to an APRA-regulated entity that is a </w:t>
      </w:r>
      <w:r w:rsidRPr="0098275D">
        <w:rPr>
          <w:rFonts w:asciiTheme="majorHAnsi" w:hAnsiTheme="majorHAnsi" w:cstheme="majorHAnsi"/>
          <w:b/>
          <w:lang w:eastAsia="en-AU"/>
        </w:rPr>
        <w:t>non-significant financial institution (non-SFI)</w:t>
      </w:r>
      <w:r w:rsidRPr="0098275D">
        <w:rPr>
          <w:rFonts w:asciiTheme="majorHAnsi" w:hAnsiTheme="majorHAnsi" w:cstheme="majorHAnsi"/>
          <w:lang w:eastAsia="en-AU"/>
        </w:rPr>
        <w:t xml:space="preserve"> from 1 July 2026. Despite the revocation of </w:t>
      </w:r>
      <w:r w:rsidRPr="0098275D">
        <w:rPr>
          <w:rFonts w:asciiTheme="majorHAnsi" w:hAnsiTheme="majorHAnsi" w:cstheme="majorHAnsi"/>
          <w:i/>
          <w:lang w:eastAsia="en-AU"/>
        </w:rPr>
        <w:t>Prudential Standard CPS 232 Business Continuity Management</w:t>
      </w:r>
      <w:r w:rsidRPr="0098275D">
        <w:rPr>
          <w:rFonts w:asciiTheme="majorHAnsi" w:hAnsiTheme="majorHAnsi" w:cstheme="majorHAnsi"/>
          <w:lang w:eastAsia="en-AU"/>
        </w:rPr>
        <w:t xml:space="preserve"> </w:t>
      </w:r>
      <w:r w:rsidR="00B47996">
        <w:rPr>
          <w:rFonts w:asciiTheme="majorHAnsi" w:hAnsiTheme="majorHAnsi" w:cstheme="majorHAnsi"/>
          <w:lang w:eastAsia="en-AU"/>
        </w:rPr>
        <w:t xml:space="preserve">(CPS 232) </w:t>
      </w:r>
      <w:r w:rsidRPr="0098275D">
        <w:rPr>
          <w:rFonts w:asciiTheme="majorHAnsi" w:hAnsiTheme="majorHAnsi" w:cstheme="majorHAnsi"/>
          <w:lang w:eastAsia="en-AU"/>
        </w:rPr>
        <w:t xml:space="preserve">and </w:t>
      </w:r>
      <w:r w:rsidRPr="0098275D">
        <w:rPr>
          <w:rFonts w:asciiTheme="majorHAnsi" w:hAnsiTheme="majorHAnsi" w:cstheme="majorHAnsi"/>
          <w:i/>
          <w:lang w:eastAsia="en-AU"/>
        </w:rPr>
        <w:t>Prudential Standard SPS 232 Business Continuity Management</w:t>
      </w:r>
      <w:r w:rsidRPr="0098275D">
        <w:rPr>
          <w:rFonts w:asciiTheme="majorHAnsi" w:hAnsiTheme="majorHAnsi" w:cstheme="majorHAnsi"/>
          <w:lang w:eastAsia="en-AU"/>
        </w:rPr>
        <w:t xml:space="preserve"> (SPS 232), existing requirements continue to apply to the relevant non-SFIs until 30 June 2026, as if that revocation had not happened.</w:t>
      </w:r>
    </w:p>
    <w:p w14:paraId="05F91640" w14:textId="77777777" w:rsidR="00366C3A" w:rsidRPr="0098275D" w:rsidRDefault="00366C3A" w:rsidP="00366C3A">
      <w:pPr>
        <w:numPr>
          <w:ilvl w:val="0"/>
          <w:numId w:val="0"/>
        </w:numPr>
        <w:ind w:left="425" w:firstLine="425"/>
        <w:rPr>
          <w:rFonts w:asciiTheme="majorHAnsi" w:hAnsiTheme="majorHAnsi" w:cstheme="majorHAnsi"/>
          <w:lang w:eastAsia="en-AU"/>
        </w:rPr>
      </w:pPr>
      <w:r w:rsidRPr="0098275D">
        <w:rPr>
          <w:rFonts w:asciiTheme="majorHAnsi" w:hAnsiTheme="majorHAnsi" w:cstheme="majorHAnsi"/>
          <w:lang w:eastAsia="en-AU"/>
        </w:rPr>
        <w:t>For the purposes of this paragraph:</w:t>
      </w:r>
    </w:p>
    <w:p w14:paraId="3FD742BB" w14:textId="77777777" w:rsidR="00366C3A" w:rsidRPr="0098275D" w:rsidRDefault="00366C3A" w:rsidP="0098275D">
      <w:pPr>
        <w:pStyle w:val="PSBodyTextL3"/>
        <w:numPr>
          <w:ilvl w:val="2"/>
          <w:numId w:val="23"/>
        </w:numPr>
        <w:tabs>
          <w:tab w:val="clear" w:pos="1134"/>
          <w:tab w:val="clear" w:pos="1701"/>
          <w:tab w:val="num" w:pos="567"/>
          <w:tab w:val="left" w:pos="1418"/>
        </w:tabs>
        <w:ind w:left="1418"/>
        <w:rPr>
          <w:rFonts w:asciiTheme="majorHAnsi" w:hAnsiTheme="majorHAnsi" w:cstheme="majorHAnsi"/>
          <w:sz w:val="22"/>
          <w:lang w:eastAsia="en-AU"/>
        </w:rPr>
      </w:pPr>
      <w:r w:rsidRPr="0098275D">
        <w:rPr>
          <w:rFonts w:asciiTheme="majorHAnsi" w:hAnsiTheme="majorHAnsi" w:cstheme="majorHAnsi"/>
          <w:sz w:val="22"/>
          <w:lang w:eastAsia="en-AU"/>
        </w:rPr>
        <w:t>deferred requirements means the requirements in paragraphs 40, 41 and 43 to 46 of this Prudential Standard;</w:t>
      </w:r>
    </w:p>
    <w:p w14:paraId="4027E397" w14:textId="41013C45" w:rsidR="00366C3A" w:rsidRPr="0098275D" w:rsidRDefault="00366C3A" w:rsidP="0098275D">
      <w:pPr>
        <w:pStyle w:val="PSBodyTextL3"/>
        <w:numPr>
          <w:ilvl w:val="2"/>
          <w:numId w:val="23"/>
        </w:numPr>
        <w:tabs>
          <w:tab w:val="clear" w:pos="1134"/>
          <w:tab w:val="clear" w:pos="1701"/>
          <w:tab w:val="num" w:pos="567"/>
          <w:tab w:val="left" w:pos="1418"/>
        </w:tabs>
        <w:ind w:left="1418"/>
        <w:rPr>
          <w:rFonts w:asciiTheme="majorHAnsi" w:hAnsiTheme="majorHAnsi" w:cstheme="majorHAnsi"/>
          <w:sz w:val="22"/>
          <w:lang w:eastAsia="en-AU"/>
        </w:rPr>
      </w:pPr>
      <w:r w:rsidRPr="0098275D">
        <w:rPr>
          <w:rFonts w:asciiTheme="majorHAnsi" w:hAnsiTheme="majorHAnsi" w:cstheme="majorHAnsi"/>
          <w:sz w:val="22"/>
          <w:lang w:eastAsia="en-AU"/>
        </w:rPr>
        <w:t xml:space="preserve">existing requirements means the </w:t>
      </w:r>
      <w:r w:rsidR="00004870">
        <w:rPr>
          <w:rFonts w:asciiTheme="majorHAnsi" w:hAnsiTheme="majorHAnsi" w:cstheme="majorHAnsi"/>
          <w:sz w:val="22"/>
          <w:lang w:eastAsia="en-AU"/>
        </w:rPr>
        <w:t xml:space="preserve">following </w:t>
      </w:r>
      <w:r w:rsidRPr="0098275D">
        <w:rPr>
          <w:rFonts w:asciiTheme="majorHAnsi" w:hAnsiTheme="majorHAnsi" w:cstheme="majorHAnsi"/>
          <w:sz w:val="22"/>
          <w:lang w:eastAsia="en-AU"/>
        </w:rPr>
        <w:t>requirements:</w:t>
      </w:r>
    </w:p>
    <w:p w14:paraId="6D9BB2D4" w14:textId="6771FB7B" w:rsidR="0098275D" w:rsidRPr="0098275D" w:rsidRDefault="00B47996" w:rsidP="0098275D">
      <w:pPr>
        <w:pStyle w:val="BodyText4"/>
        <w:numPr>
          <w:ilvl w:val="3"/>
          <w:numId w:val="15"/>
        </w:numPr>
        <w:tabs>
          <w:tab w:val="clear" w:pos="1560"/>
          <w:tab w:val="num" w:pos="1843"/>
        </w:tabs>
        <w:ind w:hanging="142"/>
        <w:rPr>
          <w:rFonts w:asciiTheme="majorHAnsi" w:hAnsiTheme="majorHAnsi" w:cstheme="majorHAnsi"/>
          <w:sz w:val="22"/>
          <w:szCs w:val="22"/>
        </w:rPr>
      </w:pPr>
      <w:r w:rsidRPr="0098275D">
        <w:rPr>
          <w:rFonts w:asciiTheme="majorHAnsi" w:hAnsiTheme="majorHAnsi" w:cstheme="majorHAnsi"/>
          <w:sz w:val="22"/>
          <w:szCs w:val="22"/>
        </w:rPr>
        <w:t>paragraphs 30 to 35 of CPS 232</w:t>
      </w:r>
      <w:r w:rsidR="00366C3A" w:rsidRPr="0098275D">
        <w:rPr>
          <w:rFonts w:asciiTheme="majorHAnsi" w:hAnsiTheme="majorHAnsi" w:cstheme="majorHAnsi"/>
          <w:sz w:val="22"/>
          <w:szCs w:val="22"/>
        </w:rPr>
        <w:t xml:space="preserve">; </w:t>
      </w:r>
    </w:p>
    <w:p w14:paraId="67A7E702" w14:textId="2630184B" w:rsidR="00366C3A" w:rsidRPr="0098275D" w:rsidRDefault="00B47996" w:rsidP="0098275D">
      <w:pPr>
        <w:pStyle w:val="BodyText4"/>
        <w:numPr>
          <w:ilvl w:val="3"/>
          <w:numId w:val="15"/>
        </w:numPr>
        <w:tabs>
          <w:tab w:val="clear" w:pos="1560"/>
          <w:tab w:val="num" w:pos="1843"/>
        </w:tabs>
        <w:ind w:hanging="142"/>
        <w:rPr>
          <w:rFonts w:asciiTheme="majorHAnsi" w:hAnsiTheme="majorHAnsi" w:cstheme="majorHAnsi"/>
          <w:sz w:val="22"/>
          <w:szCs w:val="22"/>
        </w:rPr>
      </w:pPr>
      <w:r w:rsidRPr="0098275D">
        <w:rPr>
          <w:rFonts w:asciiTheme="majorHAnsi" w:hAnsiTheme="majorHAnsi" w:cstheme="majorHAnsi"/>
          <w:sz w:val="22"/>
          <w:szCs w:val="22"/>
        </w:rPr>
        <w:t>paragraphs 21 to 26 of SPS 232</w:t>
      </w:r>
      <w:r w:rsidR="00366C3A" w:rsidRPr="0098275D">
        <w:rPr>
          <w:rFonts w:asciiTheme="majorHAnsi" w:hAnsiTheme="majorHAnsi" w:cstheme="majorHAnsi"/>
          <w:sz w:val="22"/>
          <w:szCs w:val="22"/>
        </w:rPr>
        <w:t xml:space="preserve">; </w:t>
      </w:r>
      <w:r w:rsidR="00091659">
        <w:rPr>
          <w:rFonts w:asciiTheme="majorHAnsi" w:hAnsiTheme="majorHAnsi" w:cstheme="majorHAnsi"/>
          <w:sz w:val="22"/>
          <w:szCs w:val="22"/>
        </w:rPr>
        <w:t>and</w:t>
      </w:r>
    </w:p>
    <w:p w14:paraId="2F563708" w14:textId="3FA8A374" w:rsidR="00366C3A" w:rsidRPr="001714BA" w:rsidRDefault="00366C3A" w:rsidP="001714BA">
      <w:pPr>
        <w:pStyle w:val="PSBodyTextL2"/>
        <w:tabs>
          <w:tab w:val="clear" w:pos="1134"/>
          <w:tab w:val="num" w:pos="567"/>
          <w:tab w:val="left" w:pos="1418"/>
        </w:tabs>
        <w:ind w:left="1418"/>
        <w:rPr>
          <w:rFonts w:asciiTheme="majorHAnsi" w:hAnsiTheme="majorHAnsi" w:cstheme="majorBidi"/>
          <w:sz w:val="22"/>
          <w:lang w:eastAsia="en-AU"/>
        </w:rPr>
      </w:pPr>
      <w:r w:rsidRPr="001714BA">
        <w:rPr>
          <w:rFonts w:asciiTheme="majorHAnsi" w:hAnsiTheme="majorHAnsi" w:cstheme="majorBidi"/>
          <w:sz w:val="22"/>
          <w:lang w:eastAsia="en-AU"/>
        </w:rPr>
        <w:t xml:space="preserve">in relation to RSE </w:t>
      </w:r>
      <w:r w:rsidRPr="40C87DB5">
        <w:rPr>
          <w:rFonts w:asciiTheme="majorHAnsi" w:hAnsiTheme="majorHAnsi" w:cstheme="majorBidi"/>
          <w:sz w:val="22"/>
          <w:lang w:eastAsia="en-AU"/>
        </w:rPr>
        <w:t>licensees</w:t>
      </w:r>
      <w:r w:rsidR="003F5922">
        <w:rPr>
          <w:rStyle w:val="FootnoteReference"/>
          <w:rFonts w:asciiTheme="majorHAnsi" w:hAnsiTheme="majorHAnsi" w:cstheme="majorBidi"/>
          <w:lang w:eastAsia="en-AU"/>
        </w:rPr>
        <w:footnoteReference w:id="2"/>
      </w:r>
      <w:r w:rsidRPr="001714BA">
        <w:rPr>
          <w:rFonts w:asciiTheme="majorHAnsi" w:hAnsiTheme="majorHAnsi" w:cstheme="majorBidi"/>
          <w:sz w:val="22"/>
          <w:lang w:eastAsia="en-AU"/>
        </w:rPr>
        <w:t>:</w:t>
      </w:r>
    </w:p>
    <w:p w14:paraId="1989F8B0" w14:textId="77777777" w:rsidR="002E147E" w:rsidRPr="0098275D" w:rsidRDefault="0058682A" w:rsidP="0098275D">
      <w:pPr>
        <w:pStyle w:val="BodyText3"/>
        <w:numPr>
          <w:ilvl w:val="5"/>
          <w:numId w:val="23"/>
        </w:numPr>
        <w:tabs>
          <w:tab w:val="left" w:pos="720"/>
        </w:tabs>
        <w:ind w:left="1843" w:hanging="425"/>
        <w:jc w:val="left"/>
        <w:rPr>
          <w:rFonts w:asciiTheme="majorHAnsi" w:hAnsiTheme="majorHAnsi" w:cstheme="majorHAnsi"/>
          <w:sz w:val="22"/>
          <w:szCs w:val="22"/>
          <w:lang w:eastAsia="en-AU"/>
        </w:rPr>
      </w:pPr>
      <w:r w:rsidRPr="0098275D">
        <w:rPr>
          <w:rFonts w:asciiTheme="majorHAnsi" w:hAnsiTheme="majorHAnsi" w:cstheme="majorHAnsi"/>
          <w:sz w:val="22"/>
          <w:szCs w:val="22"/>
        </w:rPr>
        <w:t>non-significant financial institution (non-SFI) means an RSE licensee that is not an SFI; and</w:t>
      </w:r>
    </w:p>
    <w:p w14:paraId="5D16360D" w14:textId="77777777" w:rsidR="0058682A" w:rsidRPr="0098275D" w:rsidRDefault="0058682A" w:rsidP="0098275D">
      <w:pPr>
        <w:pStyle w:val="BodyText3"/>
        <w:numPr>
          <w:ilvl w:val="5"/>
          <w:numId w:val="23"/>
        </w:numPr>
        <w:tabs>
          <w:tab w:val="left" w:pos="720"/>
        </w:tabs>
        <w:ind w:left="1843" w:hanging="425"/>
        <w:jc w:val="left"/>
        <w:rPr>
          <w:rFonts w:asciiTheme="majorHAnsi" w:hAnsiTheme="majorHAnsi" w:cstheme="majorHAnsi"/>
          <w:sz w:val="22"/>
          <w:szCs w:val="22"/>
        </w:rPr>
      </w:pPr>
      <w:r w:rsidRPr="0098275D">
        <w:rPr>
          <w:rFonts w:asciiTheme="majorHAnsi" w:hAnsiTheme="majorHAnsi" w:cstheme="majorHAnsi"/>
          <w:sz w:val="22"/>
          <w:szCs w:val="22"/>
        </w:rPr>
        <w:t>significant financial institution (SFI) means an RSE licensee that either:</w:t>
      </w:r>
    </w:p>
    <w:p w14:paraId="382480D1" w14:textId="77777777" w:rsidR="00366C3A" w:rsidRPr="0098275D" w:rsidRDefault="00366C3A" w:rsidP="0098275D">
      <w:pPr>
        <w:pStyle w:val="PSBodyTextL4"/>
        <w:numPr>
          <w:ilvl w:val="3"/>
          <w:numId w:val="33"/>
        </w:numPr>
        <w:ind w:hanging="425"/>
        <w:rPr>
          <w:rFonts w:asciiTheme="majorHAnsi" w:hAnsiTheme="majorHAnsi" w:cstheme="majorHAnsi"/>
          <w:sz w:val="22"/>
        </w:rPr>
      </w:pPr>
      <w:r w:rsidRPr="0098275D">
        <w:rPr>
          <w:rFonts w:asciiTheme="majorHAnsi" w:hAnsiTheme="majorHAnsi" w:cstheme="majorHAnsi"/>
          <w:sz w:val="22"/>
        </w:rPr>
        <w:t xml:space="preserve">has total assets in excess of AUD $30 billion in the case of a single RSE operated by an RSE licensee, or if the RSE licensee operates more than one RSE where the combined total assets of all RSEs exceed this amount; or </w:t>
      </w:r>
    </w:p>
    <w:p w14:paraId="6B6EA192" w14:textId="77777777" w:rsidR="00366C3A" w:rsidRPr="0098275D" w:rsidRDefault="0058682A" w:rsidP="0098275D">
      <w:pPr>
        <w:pStyle w:val="PSBodyTextL4"/>
        <w:numPr>
          <w:ilvl w:val="3"/>
          <w:numId w:val="23"/>
        </w:numPr>
        <w:tabs>
          <w:tab w:val="num" w:pos="360"/>
          <w:tab w:val="num" w:pos="567"/>
        </w:tabs>
        <w:ind w:hanging="425"/>
        <w:rPr>
          <w:rFonts w:asciiTheme="majorHAnsi" w:hAnsiTheme="majorHAnsi" w:cstheme="majorHAnsi"/>
          <w:sz w:val="22"/>
        </w:rPr>
      </w:pPr>
      <w:r w:rsidRPr="0098275D">
        <w:rPr>
          <w:rFonts w:asciiTheme="majorHAnsi" w:hAnsiTheme="majorHAnsi" w:cstheme="majorHAnsi"/>
          <w:sz w:val="22"/>
        </w:rPr>
        <w:lastRenderedPageBreak/>
        <w:t>is determined as such by APRA, having regard to matters such as complexity in its operations or its membership of a group.</w:t>
      </w:r>
    </w:p>
    <w:p w14:paraId="2EBB3C4F" w14:textId="672E096D" w:rsidR="0023580E" w:rsidRPr="003C3EFC" w:rsidRDefault="0023580E" w:rsidP="00D45D62">
      <w:pPr>
        <w:pStyle w:val="BodyText4"/>
        <w:tabs>
          <w:tab w:val="clear" w:pos="2268"/>
        </w:tabs>
        <w:ind w:left="1843" w:hanging="425"/>
        <w:rPr>
          <w:rFonts w:ascii="Arial" w:hAnsi="Arial" w:cs="Arial"/>
          <w:sz w:val="22"/>
          <w:szCs w:val="22"/>
        </w:rPr>
      </w:pPr>
    </w:p>
    <w:sectPr w:rsidR="0023580E" w:rsidRPr="003C3EFC" w:rsidSect="00A01D36">
      <w:footerReference w:type="default" r:id="rId12"/>
      <w:headerReference w:type="first" r:id="rId13"/>
      <w:footerReference w:type="first" r:id="rId14"/>
      <w:footnotePr>
        <w:numStart w:val="4"/>
      </w:footnotePr>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A7699" w14:textId="77777777" w:rsidR="00D632CA" w:rsidRPr="000D4EDE" w:rsidRDefault="00D632CA" w:rsidP="000D4EDE">
      <w:r>
        <w:separator/>
      </w:r>
    </w:p>
  </w:endnote>
  <w:endnote w:type="continuationSeparator" w:id="0">
    <w:p w14:paraId="34FFCF98" w14:textId="77777777" w:rsidR="00D632CA" w:rsidRPr="000D4EDE" w:rsidRDefault="00D632CA" w:rsidP="000D4EDE">
      <w:r>
        <w:continuationSeparator/>
      </w:r>
    </w:p>
  </w:endnote>
  <w:endnote w:type="continuationNotice" w:id="1">
    <w:p w14:paraId="2BE365FE" w14:textId="77777777" w:rsidR="00D632CA" w:rsidRDefault="00D632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8748012"/>
      <w:docPartObj>
        <w:docPartGallery w:val="Page Numbers (Bottom of Page)"/>
        <w:docPartUnique/>
      </w:docPartObj>
    </w:sdtPr>
    <w:sdtEndPr/>
    <w:sdtContent>
      <w:sdt>
        <w:sdtPr>
          <w:id w:val="-1769616900"/>
          <w:docPartObj>
            <w:docPartGallery w:val="Page Numbers (Top of Page)"/>
            <w:docPartUnique/>
          </w:docPartObj>
        </w:sdtPr>
        <w:sdtEndPr/>
        <w:sdtContent>
          <w:p w14:paraId="38843800" w14:textId="50B97D97" w:rsidR="00570AD9" w:rsidRPr="00570AD9" w:rsidRDefault="00570AD9">
            <w:pPr>
              <w:pStyle w:val="Footer"/>
              <w:jc w:val="right"/>
            </w:pPr>
            <w:r w:rsidRPr="00570AD9">
              <w:t xml:space="preserve">Page </w:t>
            </w:r>
            <w:r w:rsidRPr="00B80937">
              <w:rPr>
                <w:sz w:val="24"/>
                <w:szCs w:val="24"/>
              </w:rPr>
              <w:fldChar w:fldCharType="begin"/>
            </w:r>
            <w:r w:rsidRPr="00B80937">
              <w:instrText xml:space="preserve"> PAGE </w:instrText>
            </w:r>
            <w:r w:rsidRPr="00B80937">
              <w:rPr>
                <w:sz w:val="24"/>
                <w:szCs w:val="24"/>
              </w:rPr>
              <w:fldChar w:fldCharType="separate"/>
            </w:r>
            <w:r w:rsidRPr="00B80937">
              <w:t>2</w:t>
            </w:r>
            <w:r w:rsidRPr="00B80937">
              <w:rPr>
                <w:sz w:val="24"/>
                <w:szCs w:val="24"/>
              </w:rPr>
              <w:fldChar w:fldCharType="end"/>
            </w:r>
            <w:r w:rsidRPr="00570AD9">
              <w:t xml:space="preserve"> of </w:t>
            </w:r>
            <w:r w:rsidRPr="00B80937">
              <w:rPr>
                <w:sz w:val="24"/>
                <w:szCs w:val="24"/>
              </w:rPr>
              <w:fldChar w:fldCharType="begin"/>
            </w:r>
            <w:r w:rsidRPr="00B80937">
              <w:instrText xml:space="preserve"> NUMPAGES  </w:instrText>
            </w:r>
            <w:r w:rsidRPr="00B80937">
              <w:rPr>
                <w:sz w:val="24"/>
                <w:szCs w:val="24"/>
              </w:rPr>
              <w:fldChar w:fldCharType="separate"/>
            </w:r>
            <w:r w:rsidRPr="00B80937">
              <w:t>2</w:t>
            </w:r>
            <w:r w:rsidRPr="00B80937">
              <w:rPr>
                <w:sz w:val="24"/>
                <w:szCs w:val="24"/>
              </w:rPr>
              <w:fldChar w:fldCharType="end"/>
            </w:r>
          </w:p>
        </w:sdtContent>
      </w:sdt>
    </w:sdtContent>
  </w:sdt>
  <w:p w14:paraId="31654C8C" w14:textId="77777777" w:rsidR="00CC1288" w:rsidRDefault="00CC1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858C4" w14:textId="0381AB70" w:rsidR="00A703D7" w:rsidRPr="00B50C06" w:rsidRDefault="00A703D7" w:rsidP="00B50C06">
    <w:pPr>
      <w:pStyle w:val="Footer"/>
      <w:jc w:val="right"/>
      <w:rPr>
        <w:rFonts w:ascii="Arial" w:hAnsi="Arial" w:cs="Arial"/>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2FEC5" w14:textId="77777777" w:rsidR="00D632CA" w:rsidRPr="000D4EDE" w:rsidRDefault="00D632CA" w:rsidP="000D4EDE">
      <w:r>
        <w:separator/>
      </w:r>
    </w:p>
  </w:footnote>
  <w:footnote w:type="continuationSeparator" w:id="0">
    <w:p w14:paraId="090D63D6" w14:textId="77777777" w:rsidR="00D632CA" w:rsidRPr="000D4EDE" w:rsidRDefault="00D632CA" w:rsidP="000D4EDE">
      <w:r>
        <w:continuationSeparator/>
      </w:r>
    </w:p>
  </w:footnote>
  <w:footnote w:type="continuationNotice" w:id="1">
    <w:p w14:paraId="7CBA24C9" w14:textId="77777777" w:rsidR="00D632CA" w:rsidRDefault="00D632CA">
      <w:pPr>
        <w:spacing w:after="0"/>
      </w:pPr>
    </w:p>
  </w:footnote>
  <w:footnote w:id="2">
    <w:p w14:paraId="439376E0" w14:textId="0E2DF0E4" w:rsidR="003F5922" w:rsidRDefault="00CE7C54" w:rsidP="00CE7C54">
      <w:pPr>
        <w:pStyle w:val="FootnoteText"/>
        <w:ind w:left="0" w:firstLine="0"/>
      </w:pPr>
      <w:r>
        <w:rPr>
          <w:rStyle w:val="FootnoteReference"/>
        </w:rPr>
        <w:footnoteRef/>
      </w:r>
      <w:r w:rsidR="003F5922" w:rsidRPr="003F5922">
        <w:tab/>
      </w:r>
      <w:r w:rsidR="003F5922" w:rsidRPr="00CE7C54">
        <w:rPr>
          <w:i/>
        </w:rPr>
        <w:t>Prudential Standard APS 001 Definitions</w:t>
      </w:r>
      <w:r w:rsidR="003F5922" w:rsidRPr="003F5922">
        <w:t xml:space="preserve">, </w:t>
      </w:r>
      <w:r w:rsidR="003F5922" w:rsidRPr="00CE7C54">
        <w:rPr>
          <w:i/>
        </w:rPr>
        <w:t>Prudential Standard GPS 001 Definitions</w:t>
      </w:r>
      <w:r w:rsidR="003F5922" w:rsidRPr="003F5922">
        <w:t xml:space="preserve">, </w:t>
      </w:r>
      <w:r w:rsidR="003F5922" w:rsidRPr="00CE7C54">
        <w:rPr>
          <w:i/>
        </w:rPr>
        <w:t>Prudential Standard LPS 001 Definitions</w:t>
      </w:r>
      <w:r w:rsidR="003F5922" w:rsidRPr="003F5922">
        <w:t xml:space="preserve"> and </w:t>
      </w:r>
      <w:r w:rsidR="003F5922" w:rsidRPr="00CE7C54">
        <w:rPr>
          <w:i/>
        </w:rPr>
        <w:t>Prudential Standard HPS 001 Definitions</w:t>
      </w:r>
      <w:r w:rsidR="003F5922" w:rsidRPr="003F5922">
        <w:t xml:space="preserve"> define these terms in relation to other APRA-regulated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91EAE" w14:textId="77777777" w:rsidR="00A703D7" w:rsidRDefault="00A703D7" w:rsidP="00A703D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83B6478"/>
    <w:multiLevelType w:val="hybridMultilevel"/>
    <w:tmpl w:val="82FCA5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7D5012"/>
    <w:multiLevelType w:val="hybridMultilevel"/>
    <w:tmpl w:val="DA48A988"/>
    <w:lvl w:ilvl="0" w:tplc="FFFFFFFF">
      <w:start w:val="1"/>
      <w:numFmt w:val="lowerRoman"/>
      <w:lvlText w:val="(%1)"/>
      <w:lvlJc w:val="left"/>
      <w:pPr>
        <w:ind w:left="2138" w:hanging="72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8" w15:restartNumberingAfterBreak="0">
    <w:nsid w:val="11C14274"/>
    <w:multiLevelType w:val="hybridMultilevel"/>
    <w:tmpl w:val="89CE3E0C"/>
    <w:lvl w:ilvl="0" w:tplc="BFA6C39C">
      <w:start w:val="1"/>
      <w:numFmt w:val="lowerLetter"/>
      <w:lvlText w:val="(%1)"/>
      <w:lvlJc w:val="left"/>
      <w:pPr>
        <w:ind w:left="2138" w:hanging="720"/>
      </w:pPr>
      <w:rPr>
        <w:rFonts w:ascii="Arial" w:eastAsiaTheme="minorHAnsi" w:hAnsi="Arial" w:cs="Arial"/>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 w15:restartNumberingAfterBreak="0">
    <w:nsid w:val="16463545"/>
    <w:multiLevelType w:val="multilevel"/>
    <w:tmpl w:val="AA449A2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ascii="Arial" w:hAnsi="Arial" w:hint="default"/>
        <w:b w:val="0"/>
        <w:i w:val="0"/>
        <w:caps w:val="0"/>
        <w:strike w:val="0"/>
        <w:dstrike w:val="0"/>
        <w:vanish w:val="0"/>
        <w:sz w:val="22"/>
        <w:szCs w:val="24"/>
        <w:vertAlign w:val="baseline"/>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560"/>
        </w:tabs>
        <w:ind w:left="1560" w:hanging="567"/>
      </w:pPr>
      <w:rPr>
        <w:rFonts w:ascii="Arial" w:eastAsia="Calibri"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39D6AEE"/>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295C709A"/>
    <w:multiLevelType w:val="hybridMultilevel"/>
    <w:tmpl w:val="F9C82FD2"/>
    <w:lvl w:ilvl="0" w:tplc="8C4813D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4" w15:restartNumberingAfterBreak="0">
    <w:nsid w:val="401F291E"/>
    <w:multiLevelType w:val="multilevel"/>
    <w:tmpl w:val="6DA6D796"/>
    <w:lvl w:ilvl="0">
      <w:start w:val="1"/>
      <w:numFmt w:val="decimal"/>
      <w:pStyle w:val="PSBodyTextL1"/>
      <w:lvlText w:val="%1."/>
      <w:lvlJc w:val="left"/>
      <w:pPr>
        <w:tabs>
          <w:tab w:val="num" w:pos="567"/>
        </w:tabs>
        <w:ind w:left="567" w:hanging="567"/>
      </w:pPr>
      <w:rPr>
        <w:rFonts w:hint="default"/>
        <w:b w:val="0"/>
      </w:rPr>
    </w:lvl>
    <w:lvl w:ilvl="1">
      <w:start w:val="1"/>
      <w:numFmt w:val="lowerLetter"/>
      <w:pStyle w:val="PSBodyTextL2"/>
      <w:lvlText w:val="(%2)"/>
      <w:lvlJc w:val="left"/>
      <w:pPr>
        <w:tabs>
          <w:tab w:val="num" w:pos="1134"/>
        </w:tabs>
        <w:ind w:left="1134" w:hanging="567"/>
      </w:pPr>
      <w:rPr>
        <w:rFonts w:hint="default"/>
      </w:rPr>
    </w:lvl>
    <w:lvl w:ilvl="2">
      <w:start w:val="1"/>
      <w:numFmt w:val="lowerLetter"/>
      <w:pStyle w:val="PSBodyTextL3"/>
      <w:lvlText w:val="(%3)"/>
      <w:lvlJc w:val="left"/>
      <w:pPr>
        <w:tabs>
          <w:tab w:val="num" w:pos="1701"/>
        </w:tabs>
        <w:ind w:left="1701" w:hanging="567"/>
      </w:pPr>
      <w:rPr>
        <w:rFonts w:asciiTheme="majorHAnsi" w:eastAsiaTheme="minorHAnsi" w:hAnsiTheme="majorHAnsi" w:cstheme="majorHAnsi" w:hint="default"/>
      </w:rPr>
    </w:lvl>
    <w:lvl w:ilvl="3">
      <w:start w:val="1"/>
      <w:numFmt w:val="upperLetter"/>
      <w:pStyle w:val="PSBodyTextL4"/>
      <w:lvlText w:val="(%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6B00DDF"/>
    <w:multiLevelType w:val="hybridMultilevel"/>
    <w:tmpl w:val="C64CD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C65D33"/>
    <w:multiLevelType w:val="hybridMultilevel"/>
    <w:tmpl w:val="FFD65E8C"/>
    <w:lvl w:ilvl="0" w:tplc="F5AA375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A716129"/>
    <w:multiLevelType w:val="hybridMultilevel"/>
    <w:tmpl w:val="05B0AD14"/>
    <w:lvl w:ilvl="0" w:tplc="7748864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AAE1D69"/>
    <w:multiLevelType w:val="hybridMultilevel"/>
    <w:tmpl w:val="9A5C4264"/>
    <w:lvl w:ilvl="0" w:tplc="45846D1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97219D"/>
    <w:multiLevelType w:val="hybridMultilevel"/>
    <w:tmpl w:val="215AE40C"/>
    <w:lvl w:ilvl="0" w:tplc="25ACB0A6">
      <w:start w:val="1"/>
      <w:numFmt w:val="decimal"/>
      <w:lvlText w:val="%1."/>
      <w:lvlJc w:val="left"/>
      <w:pPr>
        <w:ind w:left="720" w:hanging="360"/>
      </w:pPr>
      <w:rPr>
        <w:rFonts w:ascii="Arial" w:eastAsiaTheme="minorHAnsi" w:hAnsi="Arial" w:cs="Arial"/>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709"/>
        </w:tabs>
        <w:ind w:left="709"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3153696"/>
    <w:multiLevelType w:val="hybridMultilevel"/>
    <w:tmpl w:val="A34C444E"/>
    <w:lvl w:ilvl="0" w:tplc="8DD6F514">
      <w:start w:val="6"/>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BB35E31"/>
    <w:multiLevelType w:val="hybridMultilevel"/>
    <w:tmpl w:val="8966B4A4"/>
    <w:lvl w:ilvl="0" w:tplc="9FE46678">
      <w:start w:val="1"/>
      <w:numFmt w:val="bullet"/>
      <w:pStyle w:val="APRABullet3"/>
      <w:lvlText w:val="o"/>
      <w:lvlJc w:val="left"/>
      <w:pPr>
        <w:ind w:left="1930" w:hanging="360"/>
      </w:pPr>
      <w:rPr>
        <w:rFonts w:ascii="Courier New" w:hAnsi="Courier New" w:cs="Courier New" w:hint="default"/>
      </w:rPr>
    </w:lvl>
    <w:lvl w:ilvl="1" w:tplc="0C090003" w:tentative="1">
      <w:start w:val="1"/>
      <w:numFmt w:val="bullet"/>
      <w:lvlText w:val="o"/>
      <w:lvlJc w:val="left"/>
      <w:pPr>
        <w:ind w:left="2650" w:hanging="360"/>
      </w:pPr>
      <w:rPr>
        <w:rFonts w:ascii="Courier New" w:hAnsi="Courier New" w:cs="Courier New" w:hint="default"/>
      </w:rPr>
    </w:lvl>
    <w:lvl w:ilvl="2" w:tplc="0C090005" w:tentative="1">
      <w:start w:val="1"/>
      <w:numFmt w:val="bullet"/>
      <w:lvlText w:val=""/>
      <w:lvlJc w:val="left"/>
      <w:pPr>
        <w:ind w:left="3370" w:hanging="360"/>
      </w:pPr>
      <w:rPr>
        <w:rFonts w:ascii="Wingdings" w:hAnsi="Wingdings" w:hint="default"/>
      </w:rPr>
    </w:lvl>
    <w:lvl w:ilvl="3" w:tplc="0C090001" w:tentative="1">
      <w:start w:val="1"/>
      <w:numFmt w:val="bullet"/>
      <w:lvlText w:val=""/>
      <w:lvlJc w:val="left"/>
      <w:pPr>
        <w:ind w:left="4090" w:hanging="360"/>
      </w:pPr>
      <w:rPr>
        <w:rFonts w:ascii="Symbol" w:hAnsi="Symbol" w:hint="default"/>
      </w:rPr>
    </w:lvl>
    <w:lvl w:ilvl="4" w:tplc="0C090003" w:tentative="1">
      <w:start w:val="1"/>
      <w:numFmt w:val="bullet"/>
      <w:lvlText w:val="o"/>
      <w:lvlJc w:val="left"/>
      <w:pPr>
        <w:ind w:left="4810" w:hanging="360"/>
      </w:pPr>
      <w:rPr>
        <w:rFonts w:ascii="Courier New" w:hAnsi="Courier New" w:cs="Courier New" w:hint="default"/>
      </w:rPr>
    </w:lvl>
    <w:lvl w:ilvl="5" w:tplc="0C090005" w:tentative="1">
      <w:start w:val="1"/>
      <w:numFmt w:val="bullet"/>
      <w:lvlText w:val=""/>
      <w:lvlJc w:val="left"/>
      <w:pPr>
        <w:ind w:left="5530" w:hanging="360"/>
      </w:pPr>
      <w:rPr>
        <w:rFonts w:ascii="Wingdings" w:hAnsi="Wingdings" w:hint="default"/>
      </w:rPr>
    </w:lvl>
    <w:lvl w:ilvl="6" w:tplc="0C090001" w:tentative="1">
      <w:start w:val="1"/>
      <w:numFmt w:val="bullet"/>
      <w:lvlText w:val=""/>
      <w:lvlJc w:val="left"/>
      <w:pPr>
        <w:ind w:left="6250" w:hanging="360"/>
      </w:pPr>
      <w:rPr>
        <w:rFonts w:ascii="Symbol" w:hAnsi="Symbol" w:hint="default"/>
      </w:rPr>
    </w:lvl>
    <w:lvl w:ilvl="7" w:tplc="0C090003" w:tentative="1">
      <w:start w:val="1"/>
      <w:numFmt w:val="bullet"/>
      <w:lvlText w:val="o"/>
      <w:lvlJc w:val="left"/>
      <w:pPr>
        <w:ind w:left="6970" w:hanging="360"/>
      </w:pPr>
      <w:rPr>
        <w:rFonts w:ascii="Courier New" w:hAnsi="Courier New" w:cs="Courier New" w:hint="default"/>
      </w:rPr>
    </w:lvl>
    <w:lvl w:ilvl="8" w:tplc="0C090005" w:tentative="1">
      <w:start w:val="1"/>
      <w:numFmt w:val="bullet"/>
      <w:lvlText w:val=""/>
      <w:lvlJc w:val="left"/>
      <w:pPr>
        <w:ind w:left="7690" w:hanging="360"/>
      </w:pPr>
      <w:rPr>
        <w:rFonts w:ascii="Wingdings" w:hAnsi="Wingdings" w:hint="default"/>
      </w:rPr>
    </w:lvl>
  </w:abstractNum>
  <w:num w:numId="1" w16cid:durableId="358968231">
    <w:abstractNumId w:val="1"/>
  </w:num>
  <w:num w:numId="2" w16cid:durableId="592591192">
    <w:abstractNumId w:val="0"/>
  </w:num>
  <w:num w:numId="3" w16cid:durableId="1016418981">
    <w:abstractNumId w:val="4"/>
  </w:num>
  <w:num w:numId="4" w16cid:durableId="2006542698">
    <w:abstractNumId w:val="18"/>
  </w:num>
  <w:num w:numId="5" w16cid:durableId="1076711214">
    <w:abstractNumId w:val="22"/>
  </w:num>
  <w:num w:numId="6" w16cid:durableId="640960306">
    <w:abstractNumId w:val="15"/>
  </w:num>
  <w:num w:numId="7" w16cid:durableId="2477336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4253997">
    <w:abstractNumId w:val="13"/>
  </w:num>
  <w:num w:numId="9" w16cid:durableId="930701886">
    <w:abstractNumId w:val="2"/>
  </w:num>
  <w:num w:numId="10" w16cid:durableId="1398285045">
    <w:abstractNumId w:val="5"/>
  </w:num>
  <w:num w:numId="11" w16cid:durableId="1626503905">
    <w:abstractNumId w:val="3"/>
  </w:num>
  <w:num w:numId="12" w16cid:durableId="253058321">
    <w:abstractNumId w:val="16"/>
  </w:num>
  <w:num w:numId="13" w16cid:durableId="1235625721">
    <w:abstractNumId w:val="24"/>
  </w:num>
  <w:num w:numId="14" w16cid:durableId="889655703">
    <w:abstractNumId w:val="9"/>
  </w:num>
  <w:num w:numId="15" w16cid:durableId="20900394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0628308">
    <w:abstractNumId w:val="12"/>
  </w:num>
  <w:num w:numId="17" w16cid:durableId="620572344">
    <w:abstractNumId w:val="21"/>
  </w:num>
  <w:num w:numId="18" w16cid:durableId="2071074340">
    <w:abstractNumId w:val="20"/>
  </w:num>
  <w:num w:numId="19" w16cid:durableId="1568998894">
    <w:abstractNumId w:val="11"/>
  </w:num>
  <w:num w:numId="20" w16cid:durableId="384372298">
    <w:abstractNumId w:val="17"/>
  </w:num>
  <w:num w:numId="21" w16cid:durableId="1105223346">
    <w:abstractNumId w:val="19"/>
  </w:num>
  <w:num w:numId="22" w16cid:durableId="1619794010">
    <w:abstractNumId w:val="14"/>
  </w:num>
  <w:num w:numId="23" w16cid:durableId="7429168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0271961">
    <w:abstractNumId w:val="22"/>
    <w:lvlOverride w:ilvl="0">
      <w:startOverride w:val="1"/>
    </w:lvlOverride>
    <w:lvlOverride w:ilvl="1">
      <w:startOverride w:val="7"/>
    </w:lvlOverride>
  </w:num>
  <w:num w:numId="25" w16cid:durableId="1614823067">
    <w:abstractNumId w:val="22"/>
  </w:num>
  <w:num w:numId="26" w16cid:durableId="1693072811">
    <w:abstractNumId w:val="22"/>
  </w:num>
  <w:num w:numId="27" w16cid:durableId="675887906">
    <w:abstractNumId w:val="10"/>
  </w:num>
  <w:num w:numId="28" w16cid:durableId="2108382531">
    <w:abstractNumId w:val="6"/>
  </w:num>
  <w:num w:numId="29" w16cid:durableId="1550454220">
    <w:abstractNumId w:val="23"/>
  </w:num>
  <w:num w:numId="30" w16cid:durableId="1130440113">
    <w:abstractNumId w:val="8"/>
  </w:num>
  <w:num w:numId="31" w16cid:durableId="10645495">
    <w:abstractNumId w:val="7"/>
  </w:num>
  <w:num w:numId="32" w16cid:durableId="1899051395">
    <w:abstractNumId w:val="22"/>
  </w:num>
  <w:num w:numId="33" w16cid:durableId="8854089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6692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563">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60478410">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styleLockTheme/>
  <w:styleLockQFSet/>
  <w:defaultTabStop w:val="425"/>
  <w:characterSpacingControl w:val="doNotCompress"/>
  <w:hdrShapeDefaults>
    <o:shapedefaults v:ext="edit" spidmax="2050"/>
  </w:hdrShapeDefaults>
  <w:footnotePr>
    <w:numStart w:val="4"/>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4F"/>
    <w:rsid w:val="0000010D"/>
    <w:rsid w:val="00002355"/>
    <w:rsid w:val="00004870"/>
    <w:rsid w:val="00004ED1"/>
    <w:rsid w:val="00005D98"/>
    <w:rsid w:val="00005F96"/>
    <w:rsid w:val="00006DD0"/>
    <w:rsid w:val="00007262"/>
    <w:rsid w:val="00011C96"/>
    <w:rsid w:val="000141B9"/>
    <w:rsid w:val="00021C59"/>
    <w:rsid w:val="000239BB"/>
    <w:rsid w:val="00023D8B"/>
    <w:rsid w:val="00027489"/>
    <w:rsid w:val="0002781D"/>
    <w:rsid w:val="00031BBC"/>
    <w:rsid w:val="00034A19"/>
    <w:rsid w:val="00035FD7"/>
    <w:rsid w:val="00036433"/>
    <w:rsid w:val="00036F9E"/>
    <w:rsid w:val="000413B3"/>
    <w:rsid w:val="000453D9"/>
    <w:rsid w:val="000559A1"/>
    <w:rsid w:val="000573E5"/>
    <w:rsid w:val="00057B71"/>
    <w:rsid w:val="00066264"/>
    <w:rsid w:val="0007202C"/>
    <w:rsid w:val="00072426"/>
    <w:rsid w:val="00072B30"/>
    <w:rsid w:val="0007319C"/>
    <w:rsid w:val="000732AA"/>
    <w:rsid w:val="00073E88"/>
    <w:rsid w:val="000767DD"/>
    <w:rsid w:val="00077897"/>
    <w:rsid w:val="0008011A"/>
    <w:rsid w:val="00084296"/>
    <w:rsid w:val="00084EE6"/>
    <w:rsid w:val="00084F8B"/>
    <w:rsid w:val="0008500D"/>
    <w:rsid w:val="000851D0"/>
    <w:rsid w:val="00086D07"/>
    <w:rsid w:val="00086F71"/>
    <w:rsid w:val="000906C6"/>
    <w:rsid w:val="00091659"/>
    <w:rsid w:val="00093915"/>
    <w:rsid w:val="00093B04"/>
    <w:rsid w:val="000949AD"/>
    <w:rsid w:val="00095109"/>
    <w:rsid w:val="00096B0F"/>
    <w:rsid w:val="000A490E"/>
    <w:rsid w:val="000B04C5"/>
    <w:rsid w:val="000B1F29"/>
    <w:rsid w:val="000B5C8B"/>
    <w:rsid w:val="000B63CA"/>
    <w:rsid w:val="000B7470"/>
    <w:rsid w:val="000B752A"/>
    <w:rsid w:val="000C14D9"/>
    <w:rsid w:val="000C15C7"/>
    <w:rsid w:val="000C305B"/>
    <w:rsid w:val="000C4407"/>
    <w:rsid w:val="000C6CFF"/>
    <w:rsid w:val="000D4EDE"/>
    <w:rsid w:val="000E2460"/>
    <w:rsid w:val="000E2E09"/>
    <w:rsid w:val="000E43AC"/>
    <w:rsid w:val="000E6E37"/>
    <w:rsid w:val="000F0E6F"/>
    <w:rsid w:val="000F714F"/>
    <w:rsid w:val="001002B7"/>
    <w:rsid w:val="001018A5"/>
    <w:rsid w:val="00102F1E"/>
    <w:rsid w:val="0010408D"/>
    <w:rsid w:val="00106F56"/>
    <w:rsid w:val="00112A7B"/>
    <w:rsid w:val="00115A39"/>
    <w:rsid w:val="00117479"/>
    <w:rsid w:val="00117F6F"/>
    <w:rsid w:val="001209AF"/>
    <w:rsid w:val="00123576"/>
    <w:rsid w:val="001241CB"/>
    <w:rsid w:val="00124B21"/>
    <w:rsid w:val="00132552"/>
    <w:rsid w:val="001327B8"/>
    <w:rsid w:val="00132E90"/>
    <w:rsid w:val="0013471B"/>
    <w:rsid w:val="001352D4"/>
    <w:rsid w:val="00137FE5"/>
    <w:rsid w:val="00155789"/>
    <w:rsid w:val="00157C98"/>
    <w:rsid w:val="001602B0"/>
    <w:rsid w:val="00161BE5"/>
    <w:rsid w:val="001636E8"/>
    <w:rsid w:val="001653B6"/>
    <w:rsid w:val="00165BF6"/>
    <w:rsid w:val="00166008"/>
    <w:rsid w:val="001714BA"/>
    <w:rsid w:val="00174B0F"/>
    <w:rsid w:val="00176398"/>
    <w:rsid w:val="0018235E"/>
    <w:rsid w:val="00184187"/>
    <w:rsid w:val="001A4EA4"/>
    <w:rsid w:val="001A51BB"/>
    <w:rsid w:val="001A664F"/>
    <w:rsid w:val="001B26EA"/>
    <w:rsid w:val="001B2DB7"/>
    <w:rsid w:val="001B3A9F"/>
    <w:rsid w:val="001B5964"/>
    <w:rsid w:val="001B7291"/>
    <w:rsid w:val="001C5C50"/>
    <w:rsid w:val="001D0C02"/>
    <w:rsid w:val="001D1B64"/>
    <w:rsid w:val="001D3121"/>
    <w:rsid w:val="001D3D43"/>
    <w:rsid w:val="001E0F51"/>
    <w:rsid w:val="001E1B83"/>
    <w:rsid w:val="001E53AF"/>
    <w:rsid w:val="001E55BF"/>
    <w:rsid w:val="001F1753"/>
    <w:rsid w:val="001F6E1A"/>
    <w:rsid w:val="001F780A"/>
    <w:rsid w:val="001F785A"/>
    <w:rsid w:val="001F7917"/>
    <w:rsid w:val="00200613"/>
    <w:rsid w:val="0020453E"/>
    <w:rsid w:val="002108C9"/>
    <w:rsid w:val="00214883"/>
    <w:rsid w:val="002156F6"/>
    <w:rsid w:val="002170E2"/>
    <w:rsid w:val="00217C8E"/>
    <w:rsid w:val="00220550"/>
    <w:rsid w:val="002249B5"/>
    <w:rsid w:val="00225B3A"/>
    <w:rsid w:val="002301A2"/>
    <w:rsid w:val="00233C40"/>
    <w:rsid w:val="0023580E"/>
    <w:rsid w:val="00236086"/>
    <w:rsid w:val="00236C2D"/>
    <w:rsid w:val="002374B7"/>
    <w:rsid w:val="00240126"/>
    <w:rsid w:val="00241D16"/>
    <w:rsid w:val="00242384"/>
    <w:rsid w:val="0024304D"/>
    <w:rsid w:val="00244826"/>
    <w:rsid w:val="00247ACA"/>
    <w:rsid w:val="00252E6A"/>
    <w:rsid w:val="00255A20"/>
    <w:rsid w:val="0025782A"/>
    <w:rsid w:val="00263414"/>
    <w:rsid w:val="002661A6"/>
    <w:rsid w:val="00266C23"/>
    <w:rsid w:val="00275EA4"/>
    <w:rsid w:val="00277D6C"/>
    <w:rsid w:val="0028409F"/>
    <w:rsid w:val="00286EAD"/>
    <w:rsid w:val="00291085"/>
    <w:rsid w:val="002927A0"/>
    <w:rsid w:val="00292A60"/>
    <w:rsid w:val="0029389B"/>
    <w:rsid w:val="00293C73"/>
    <w:rsid w:val="002A1894"/>
    <w:rsid w:val="002A2188"/>
    <w:rsid w:val="002A36F2"/>
    <w:rsid w:val="002A7D14"/>
    <w:rsid w:val="002B03B4"/>
    <w:rsid w:val="002B0913"/>
    <w:rsid w:val="002B28E4"/>
    <w:rsid w:val="002B7504"/>
    <w:rsid w:val="002C0D97"/>
    <w:rsid w:val="002C1493"/>
    <w:rsid w:val="002C533C"/>
    <w:rsid w:val="002C66D1"/>
    <w:rsid w:val="002C7065"/>
    <w:rsid w:val="002C7F4A"/>
    <w:rsid w:val="002D24E7"/>
    <w:rsid w:val="002D2804"/>
    <w:rsid w:val="002D4AD8"/>
    <w:rsid w:val="002D4B6C"/>
    <w:rsid w:val="002D5274"/>
    <w:rsid w:val="002E0FDD"/>
    <w:rsid w:val="002E147E"/>
    <w:rsid w:val="002E1EE3"/>
    <w:rsid w:val="002F0135"/>
    <w:rsid w:val="002F0C2C"/>
    <w:rsid w:val="00300655"/>
    <w:rsid w:val="0030129E"/>
    <w:rsid w:val="00302FB9"/>
    <w:rsid w:val="00303D18"/>
    <w:rsid w:val="00304F36"/>
    <w:rsid w:val="00307ADD"/>
    <w:rsid w:val="00307E55"/>
    <w:rsid w:val="003123C1"/>
    <w:rsid w:val="00312A66"/>
    <w:rsid w:val="003130CA"/>
    <w:rsid w:val="00314F79"/>
    <w:rsid w:val="0031527A"/>
    <w:rsid w:val="00321179"/>
    <w:rsid w:val="0032180D"/>
    <w:rsid w:val="0032298D"/>
    <w:rsid w:val="0032362F"/>
    <w:rsid w:val="00327B69"/>
    <w:rsid w:val="003306A5"/>
    <w:rsid w:val="00335C68"/>
    <w:rsid w:val="00347661"/>
    <w:rsid w:val="00347B5F"/>
    <w:rsid w:val="00351937"/>
    <w:rsid w:val="00355D40"/>
    <w:rsid w:val="00356245"/>
    <w:rsid w:val="003611B8"/>
    <w:rsid w:val="003623E6"/>
    <w:rsid w:val="00363A72"/>
    <w:rsid w:val="00366C3A"/>
    <w:rsid w:val="00371AAC"/>
    <w:rsid w:val="00371F54"/>
    <w:rsid w:val="00374BF3"/>
    <w:rsid w:val="003763D0"/>
    <w:rsid w:val="0037770C"/>
    <w:rsid w:val="00377C8B"/>
    <w:rsid w:val="0038262D"/>
    <w:rsid w:val="00382868"/>
    <w:rsid w:val="00383A95"/>
    <w:rsid w:val="00385CA0"/>
    <w:rsid w:val="00391C3B"/>
    <w:rsid w:val="003A2733"/>
    <w:rsid w:val="003A3021"/>
    <w:rsid w:val="003A627E"/>
    <w:rsid w:val="003A6C88"/>
    <w:rsid w:val="003A79EE"/>
    <w:rsid w:val="003B105A"/>
    <w:rsid w:val="003B1341"/>
    <w:rsid w:val="003B6E16"/>
    <w:rsid w:val="003C180A"/>
    <w:rsid w:val="003C1E25"/>
    <w:rsid w:val="003C20A6"/>
    <w:rsid w:val="003C3EFC"/>
    <w:rsid w:val="003C519D"/>
    <w:rsid w:val="003D14AF"/>
    <w:rsid w:val="003D27CB"/>
    <w:rsid w:val="003D329D"/>
    <w:rsid w:val="003E32F9"/>
    <w:rsid w:val="003E6BF6"/>
    <w:rsid w:val="003E7E20"/>
    <w:rsid w:val="003F0F0D"/>
    <w:rsid w:val="003F5922"/>
    <w:rsid w:val="003F710F"/>
    <w:rsid w:val="0040173E"/>
    <w:rsid w:val="0040481B"/>
    <w:rsid w:val="00407525"/>
    <w:rsid w:val="00416D5C"/>
    <w:rsid w:val="00423408"/>
    <w:rsid w:val="0042453F"/>
    <w:rsid w:val="00425A8F"/>
    <w:rsid w:val="004314DF"/>
    <w:rsid w:val="00435339"/>
    <w:rsid w:val="004371C6"/>
    <w:rsid w:val="004410DC"/>
    <w:rsid w:val="0044153F"/>
    <w:rsid w:val="0044447D"/>
    <w:rsid w:val="00446D34"/>
    <w:rsid w:val="00450C67"/>
    <w:rsid w:val="00454958"/>
    <w:rsid w:val="00460CF7"/>
    <w:rsid w:val="00461061"/>
    <w:rsid w:val="00463A65"/>
    <w:rsid w:val="00463FA8"/>
    <w:rsid w:val="00466648"/>
    <w:rsid w:val="004723ED"/>
    <w:rsid w:val="00472CBC"/>
    <w:rsid w:val="00473E48"/>
    <w:rsid w:val="004765B3"/>
    <w:rsid w:val="0047747E"/>
    <w:rsid w:val="0048167A"/>
    <w:rsid w:val="00481A0C"/>
    <w:rsid w:val="0048407B"/>
    <w:rsid w:val="00484164"/>
    <w:rsid w:val="004843CA"/>
    <w:rsid w:val="00486B66"/>
    <w:rsid w:val="00490A83"/>
    <w:rsid w:val="00491A0A"/>
    <w:rsid w:val="00493DAA"/>
    <w:rsid w:val="00494335"/>
    <w:rsid w:val="00495A4C"/>
    <w:rsid w:val="00495FA3"/>
    <w:rsid w:val="004967A1"/>
    <w:rsid w:val="00497B24"/>
    <w:rsid w:val="004B584E"/>
    <w:rsid w:val="004B6FCE"/>
    <w:rsid w:val="004C1106"/>
    <w:rsid w:val="004C6D4B"/>
    <w:rsid w:val="004C766B"/>
    <w:rsid w:val="004C7A5B"/>
    <w:rsid w:val="004D33E3"/>
    <w:rsid w:val="004D63C4"/>
    <w:rsid w:val="004D76C1"/>
    <w:rsid w:val="004D7C22"/>
    <w:rsid w:val="004E059A"/>
    <w:rsid w:val="004E2269"/>
    <w:rsid w:val="004E451A"/>
    <w:rsid w:val="004E5B50"/>
    <w:rsid w:val="004F3339"/>
    <w:rsid w:val="004F6A86"/>
    <w:rsid w:val="004F72A2"/>
    <w:rsid w:val="004F78E5"/>
    <w:rsid w:val="005007B4"/>
    <w:rsid w:val="005026D4"/>
    <w:rsid w:val="00503A51"/>
    <w:rsid w:val="00506774"/>
    <w:rsid w:val="00512309"/>
    <w:rsid w:val="00515E92"/>
    <w:rsid w:val="00520FAF"/>
    <w:rsid w:val="00524A02"/>
    <w:rsid w:val="00530C89"/>
    <w:rsid w:val="00534C43"/>
    <w:rsid w:val="00534F12"/>
    <w:rsid w:val="0053665B"/>
    <w:rsid w:val="00541D54"/>
    <w:rsid w:val="00542522"/>
    <w:rsid w:val="0054526E"/>
    <w:rsid w:val="00545CE1"/>
    <w:rsid w:val="005476B5"/>
    <w:rsid w:val="005549D7"/>
    <w:rsid w:val="005602DA"/>
    <w:rsid w:val="00561498"/>
    <w:rsid w:val="00562087"/>
    <w:rsid w:val="0056698D"/>
    <w:rsid w:val="00567537"/>
    <w:rsid w:val="005678FC"/>
    <w:rsid w:val="00570AD9"/>
    <w:rsid w:val="0057138A"/>
    <w:rsid w:val="00573327"/>
    <w:rsid w:val="00580A95"/>
    <w:rsid w:val="00581F82"/>
    <w:rsid w:val="005864D6"/>
    <w:rsid w:val="0058682A"/>
    <w:rsid w:val="00592F64"/>
    <w:rsid w:val="00596D11"/>
    <w:rsid w:val="0059704B"/>
    <w:rsid w:val="005A2877"/>
    <w:rsid w:val="005A3F63"/>
    <w:rsid w:val="005A46D1"/>
    <w:rsid w:val="005A4C43"/>
    <w:rsid w:val="005A59D0"/>
    <w:rsid w:val="005B073E"/>
    <w:rsid w:val="005B227F"/>
    <w:rsid w:val="005B247A"/>
    <w:rsid w:val="005B63AC"/>
    <w:rsid w:val="005B647F"/>
    <w:rsid w:val="005B7801"/>
    <w:rsid w:val="005C5891"/>
    <w:rsid w:val="005D04CC"/>
    <w:rsid w:val="005D0A1A"/>
    <w:rsid w:val="005D1468"/>
    <w:rsid w:val="005D5FAE"/>
    <w:rsid w:val="005D75ED"/>
    <w:rsid w:val="005E18AF"/>
    <w:rsid w:val="005E1D70"/>
    <w:rsid w:val="005E4BC9"/>
    <w:rsid w:val="005E636B"/>
    <w:rsid w:val="005F0339"/>
    <w:rsid w:val="005F102F"/>
    <w:rsid w:val="005F29B7"/>
    <w:rsid w:val="005F2C16"/>
    <w:rsid w:val="005F2F71"/>
    <w:rsid w:val="005F33EA"/>
    <w:rsid w:val="005F4704"/>
    <w:rsid w:val="005F7A62"/>
    <w:rsid w:val="0060421A"/>
    <w:rsid w:val="00605A10"/>
    <w:rsid w:val="00606EB5"/>
    <w:rsid w:val="00606FC8"/>
    <w:rsid w:val="006121F5"/>
    <w:rsid w:val="00616C90"/>
    <w:rsid w:val="00617FDA"/>
    <w:rsid w:val="0062063E"/>
    <w:rsid w:val="0062116F"/>
    <w:rsid w:val="0062214B"/>
    <w:rsid w:val="00623FD7"/>
    <w:rsid w:val="00624BC6"/>
    <w:rsid w:val="00625331"/>
    <w:rsid w:val="00626087"/>
    <w:rsid w:val="00626438"/>
    <w:rsid w:val="00634E4C"/>
    <w:rsid w:val="00636B8B"/>
    <w:rsid w:val="00641EAA"/>
    <w:rsid w:val="006427FE"/>
    <w:rsid w:val="00643022"/>
    <w:rsid w:val="006506C1"/>
    <w:rsid w:val="00657459"/>
    <w:rsid w:val="0065747A"/>
    <w:rsid w:val="00660C7A"/>
    <w:rsid w:val="00662E28"/>
    <w:rsid w:val="0066674D"/>
    <w:rsid w:val="00666A78"/>
    <w:rsid w:val="006744E4"/>
    <w:rsid w:val="00675F08"/>
    <w:rsid w:val="00676C12"/>
    <w:rsid w:val="00683DB9"/>
    <w:rsid w:val="00691CAD"/>
    <w:rsid w:val="0069375D"/>
    <w:rsid w:val="0069407C"/>
    <w:rsid w:val="0069574E"/>
    <w:rsid w:val="006969C0"/>
    <w:rsid w:val="00696B26"/>
    <w:rsid w:val="00697E6E"/>
    <w:rsid w:val="006A1921"/>
    <w:rsid w:val="006A2303"/>
    <w:rsid w:val="006A2C82"/>
    <w:rsid w:val="006A320E"/>
    <w:rsid w:val="006B1FF6"/>
    <w:rsid w:val="006C46BC"/>
    <w:rsid w:val="006C76A7"/>
    <w:rsid w:val="006D2A45"/>
    <w:rsid w:val="006D315C"/>
    <w:rsid w:val="006D3CA7"/>
    <w:rsid w:val="006D6C35"/>
    <w:rsid w:val="006D71B8"/>
    <w:rsid w:val="006E4272"/>
    <w:rsid w:val="006E7F2E"/>
    <w:rsid w:val="006F145A"/>
    <w:rsid w:val="006F27CB"/>
    <w:rsid w:val="006F359B"/>
    <w:rsid w:val="006F449C"/>
    <w:rsid w:val="006F5691"/>
    <w:rsid w:val="006F5865"/>
    <w:rsid w:val="006F617C"/>
    <w:rsid w:val="006F6C12"/>
    <w:rsid w:val="00701EC6"/>
    <w:rsid w:val="00702D99"/>
    <w:rsid w:val="00706179"/>
    <w:rsid w:val="00714F78"/>
    <w:rsid w:val="007152B0"/>
    <w:rsid w:val="0071687A"/>
    <w:rsid w:val="007170F7"/>
    <w:rsid w:val="00717589"/>
    <w:rsid w:val="00717D5D"/>
    <w:rsid w:val="00722F9F"/>
    <w:rsid w:val="007253B8"/>
    <w:rsid w:val="0072783A"/>
    <w:rsid w:val="00734984"/>
    <w:rsid w:val="00735990"/>
    <w:rsid w:val="00736E7D"/>
    <w:rsid w:val="007376E8"/>
    <w:rsid w:val="00742AE0"/>
    <w:rsid w:val="0074415B"/>
    <w:rsid w:val="00750058"/>
    <w:rsid w:val="007509A6"/>
    <w:rsid w:val="00751457"/>
    <w:rsid w:val="00753F83"/>
    <w:rsid w:val="007541B0"/>
    <w:rsid w:val="0075469B"/>
    <w:rsid w:val="00754CA5"/>
    <w:rsid w:val="00755163"/>
    <w:rsid w:val="00756AAB"/>
    <w:rsid w:val="00757F63"/>
    <w:rsid w:val="007611A6"/>
    <w:rsid w:val="007645AE"/>
    <w:rsid w:val="00764992"/>
    <w:rsid w:val="00765749"/>
    <w:rsid w:val="007663C9"/>
    <w:rsid w:val="00775AA0"/>
    <w:rsid w:val="00776184"/>
    <w:rsid w:val="007764AC"/>
    <w:rsid w:val="007770FA"/>
    <w:rsid w:val="007800C3"/>
    <w:rsid w:val="00783E39"/>
    <w:rsid w:val="00784966"/>
    <w:rsid w:val="00786628"/>
    <w:rsid w:val="00791738"/>
    <w:rsid w:val="00791780"/>
    <w:rsid w:val="00792D37"/>
    <w:rsid w:val="00795EA6"/>
    <w:rsid w:val="00797EB3"/>
    <w:rsid w:val="007A0B4E"/>
    <w:rsid w:val="007A0EB7"/>
    <w:rsid w:val="007A4732"/>
    <w:rsid w:val="007A6B02"/>
    <w:rsid w:val="007A721D"/>
    <w:rsid w:val="007A7714"/>
    <w:rsid w:val="007B6871"/>
    <w:rsid w:val="007B7899"/>
    <w:rsid w:val="007C086D"/>
    <w:rsid w:val="007C08B1"/>
    <w:rsid w:val="007C12EB"/>
    <w:rsid w:val="007C2CC2"/>
    <w:rsid w:val="007C38BD"/>
    <w:rsid w:val="007C79AA"/>
    <w:rsid w:val="007D0565"/>
    <w:rsid w:val="007D31DA"/>
    <w:rsid w:val="007D6387"/>
    <w:rsid w:val="007D6D4E"/>
    <w:rsid w:val="007D72C5"/>
    <w:rsid w:val="007E525D"/>
    <w:rsid w:val="007F0323"/>
    <w:rsid w:val="007F19A9"/>
    <w:rsid w:val="007F1B9C"/>
    <w:rsid w:val="007F1EDC"/>
    <w:rsid w:val="007F379E"/>
    <w:rsid w:val="007F4207"/>
    <w:rsid w:val="007F471C"/>
    <w:rsid w:val="00800C90"/>
    <w:rsid w:val="00800DE2"/>
    <w:rsid w:val="0080222B"/>
    <w:rsid w:val="00810363"/>
    <w:rsid w:val="008125F8"/>
    <w:rsid w:val="0081336B"/>
    <w:rsid w:val="008208A8"/>
    <w:rsid w:val="00826012"/>
    <w:rsid w:val="00826624"/>
    <w:rsid w:val="00834CE0"/>
    <w:rsid w:val="0083621C"/>
    <w:rsid w:val="0084110F"/>
    <w:rsid w:val="008443B4"/>
    <w:rsid w:val="00844B1D"/>
    <w:rsid w:val="00844F5C"/>
    <w:rsid w:val="00845843"/>
    <w:rsid w:val="00846D34"/>
    <w:rsid w:val="0085458D"/>
    <w:rsid w:val="00861F87"/>
    <w:rsid w:val="00863020"/>
    <w:rsid w:val="008637EC"/>
    <w:rsid w:val="00867AFA"/>
    <w:rsid w:val="00870BC6"/>
    <w:rsid w:val="00871D8D"/>
    <w:rsid w:val="00875DAD"/>
    <w:rsid w:val="00877B84"/>
    <w:rsid w:val="00877E5F"/>
    <w:rsid w:val="0088036D"/>
    <w:rsid w:val="00880580"/>
    <w:rsid w:val="00881155"/>
    <w:rsid w:val="00882892"/>
    <w:rsid w:val="00882CE9"/>
    <w:rsid w:val="00884047"/>
    <w:rsid w:val="00885A14"/>
    <w:rsid w:val="0088689B"/>
    <w:rsid w:val="00890FA0"/>
    <w:rsid w:val="00891AC4"/>
    <w:rsid w:val="008947BF"/>
    <w:rsid w:val="00894936"/>
    <w:rsid w:val="008A0CBE"/>
    <w:rsid w:val="008A1CA8"/>
    <w:rsid w:val="008A214D"/>
    <w:rsid w:val="008A37E5"/>
    <w:rsid w:val="008A3A8C"/>
    <w:rsid w:val="008A6100"/>
    <w:rsid w:val="008A72D2"/>
    <w:rsid w:val="008A74A3"/>
    <w:rsid w:val="008B4FC5"/>
    <w:rsid w:val="008B6868"/>
    <w:rsid w:val="008B6D24"/>
    <w:rsid w:val="008B7050"/>
    <w:rsid w:val="008B7BE6"/>
    <w:rsid w:val="008C297A"/>
    <w:rsid w:val="008C34F7"/>
    <w:rsid w:val="008C6A43"/>
    <w:rsid w:val="008D080C"/>
    <w:rsid w:val="008D0AB0"/>
    <w:rsid w:val="008D10E5"/>
    <w:rsid w:val="008D1867"/>
    <w:rsid w:val="008D18E2"/>
    <w:rsid w:val="008D2111"/>
    <w:rsid w:val="008D6235"/>
    <w:rsid w:val="008D6437"/>
    <w:rsid w:val="008D6EDF"/>
    <w:rsid w:val="008E3597"/>
    <w:rsid w:val="008E3EF5"/>
    <w:rsid w:val="008E7185"/>
    <w:rsid w:val="008F2105"/>
    <w:rsid w:val="008F33B5"/>
    <w:rsid w:val="008F3D8B"/>
    <w:rsid w:val="008F44EF"/>
    <w:rsid w:val="008F5BB9"/>
    <w:rsid w:val="008F6963"/>
    <w:rsid w:val="00901414"/>
    <w:rsid w:val="00903E98"/>
    <w:rsid w:val="00906799"/>
    <w:rsid w:val="0091431B"/>
    <w:rsid w:val="00915DF1"/>
    <w:rsid w:val="00922193"/>
    <w:rsid w:val="00924152"/>
    <w:rsid w:val="009301C0"/>
    <w:rsid w:val="0093194D"/>
    <w:rsid w:val="00933AF7"/>
    <w:rsid w:val="00934C3F"/>
    <w:rsid w:val="009417AE"/>
    <w:rsid w:val="00945B3F"/>
    <w:rsid w:val="00950D3F"/>
    <w:rsid w:val="00950DCB"/>
    <w:rsid w:val="00952D47"/>
    <w:rsid w:val="00952D4C"/>
    <w:rsid w:val="00956572"/>
    <w:rsid w:val="00960246"/>
    <w:rsid w:val="009720E1"/>
    <w:rsid w:val="00974F0E"/>
    <w:rsid w:val="00975CD7"/>
    <w:rsid w:val="009772A9"/>
    <w:rsid w:val="00980CA1"/>
    <w:rsid w:val="0098275D"/>
    <w:rsid w:val="00985E70"/>
    <w:rsid w:val="0098783B"/>
    <w:rsid w:val="00993C2B"/>
    <w:rsid w:val="009979F4"/>
    <w:rsid w:val="009A00A5"/>
    <w:rsid w:val="009A1E0E"/>
    <w:rsid w:val="009A246D"/>
    <w:rsid w:val="009A45B2"/>
    <w:rsid w:val="009A50A6"/>
    <w:rsid w:val="009A5585"/>
    <w:rsid w:val="009A59D5"/>
    <w:rsid w:val="009A6063"/>
    <w:rsid w:val="009B0C0D"/>
    <w:rsid w:val="009B2CB7"/>
    <w:rsid w:val="009C12BD"/>
    <w:rsid w:val="009C2198"/>
    <w:rsid w:val="009C4CD5"/>
    <w:rsid w:val="009C5962"/>
    <w:rsid w:val="009C6E12"/>
    <w:rsid w:val="009C795F"/>
    <w:rsid w:val="009D1F3C"/>
    <w:rsid w:val="009D2DDD"/>
    <w:rsid w:val="009E0C10"/>
    <w:rsid w:val="009E4116"/>
    <w:rsid w:val="009E4FE3"/>
    <w:rsid w:val="009E529F"/>
    <w:rsid w:val="009E608E"/>
    <w:rsid w:val="009F248F"/>
    <w:rsid w:val="009F452A"/>
    <w:rsid w:val="009F670D"/>
    <w:rsid w:val="009F7C8E"/>
    <w:rsid w:val="00A01D36"/>
    <w:rsid w:val="00A038EA"/>
    <w:rsid w:val="00A060D1"/>
    <w:rsid w:val="00A10DA6"/>
    <w:rsid w:val="00A11568"/>
    <w:rsid w:val="00A12EBF"/>
    <w:rsid w:val="00A151E9"/>
    <w:rsid w:val="00A15DBB"/>
    <w:rsid w:val="00A21133"/>
    <w:rsid w:val="00A211AB"/>
    <w:rsid w:val="00A259F2"/>
    <w:rsid w:val="00A2758A"/>
    <w:rsid w:val="00A309F0"/>
    <w:rsid w:val="00A33802"/>
    <w:rsid w:val="00A34ADD"/>
    <w:rsid w:val="00A360BD"/>
    <w:rsid w:val="00A37162"/>
    <w:rsid w:val="00A37E51"/>
    <w:rsid w:val="00A41660"/>
    <w:rsid w:val="00A440C3"/>
    <w:rsid w:val="00A458D1"/>
    <w:rsid w:val="00A51E2D"/>
    <w:rsid w:val="00A5319F"/>
    <w:rsid w:val="00A533A9"/>
    <w:rsid w:val="00A53690"/>
    <w:rsid w:val="00A615BF"/>
    <w:rsid w:val="00A62D31"/>
    <w:rsid w:val="00A63380"/>
    <w:rsid w:val="00A64218"/>
    <w:rsid w:val="00A703D7"/>
    <w:rsid w:val="00A70EB4"/>
    <w:rsid w:val="00A73C6D"/>
    <w:rsid w:val="00A809E1"/>
    <w:rsid w:val="00A8129D"/>
    <w:rsid w:val="00A818E6"/>
    <w:rsid w:val="00A82188"/>
    <w:rsid w:val="00A84DFA"/>
    <w:rsid w:val="00A865C7"/>
    <w:rsid w:val="00A902BB"/>
    <w:rsid w:val="00A909CC"/>
    <w:rsid w:val="00A9232D"/>
    <w:rsid w:val="00A92349"/>
    <w:rsid w:val="00A95177"/>
    <w:rsid w:val="00A964A5"/>
    <w:rsid w:val="00A97E3B"/>
    <w:rsid w:val="00AA00CB"/>
    <w:rsid w:val="00AA20A1"/>
    <w:rsid w:val="00AA3B7F"/>
    <w:rsid w:val="00AA41F2"/>
    <w:rsid w:val="00AB039E"/>
    <w:rsid w:val="00AB4206"/>
    <w:rsid w:val="00AB481C"/>
    <w:rsid w:val="00AB76BE"/>
    <w:rsid w:val="00AC1B19"/>
    <w:rsid w:val="00AC3180"/>
    <w:rsid w:val="00AC7E54"/>
    <w:rsid w:val="00AD2688"/>
    <w:rsid w:val="00AE6A4E"/>
    <w:rsid w:val="00AE7B98"/>
    <w:rsid w:val="00AF129F"/>
    <w:rsid w:val="00AF2F79"/>
    <w:rsid w:val="00AF446E"/>
    <w:rsid w:val="00AF464D"/>
    <w:rsid w:val="00AF4AFC"/>
    <w:rsid w:val="00AF7C65"/>
    <w:rsid w:val="00B0332C"/>
    <w:rsid w:val="00B07CBD"/>
    <w:rsid w:val="00B12DC9"/>
    <w:rsid w:val="00B13744"/>
    <w:rsid w:val="00B1385D"/>
    <w:rsid w:val="00B13F84"/>
    <w:rsid w:val="00B14604"/>
    <w:rsid w:val="00B15ABA"/>
    <w:rsid w:val="00B20FA0"/>
    <w:rsid w:val="00B24DD4"/>
    <w:rsid w:val="00B259C1"/>
    <w:rsid w:val="00B27189"/>
    <w:rsid w:val="00B275A0"/>
    <w:rsid w:val="00B34339"/>
    <w:rsid w:val="00B34B76"/>
    <w:rsid w:val="00B40B7D"/>
    <w:rsid w:val="00B42B2F"/>
    <w:rsid w:val="00B44900"/>
    <w:rsid w:val="00B45687"/>
    <w:rsid w:val="00B467F6"/>
    <w:rsid w:val="00B470D1"/>
    <w:rsid w:val="00B472E1"/>
    <w:rsid w:val="00B47996"/>
    <w:rsid w:val="00B47F66"/>
    <w:rsid w:val="00B50C06"/>
    <w:rsid w:val="00B51D26"/>
    <w:rsid w:val="00B52821"/>
    <w:rsid w:val="00B55F47"/>
    <w:rsid w:val="00B56C63"/>
    <w:rsid w:val="00B572C9"/>
    <w:rsid w:val="00B634CA"/>
    <w:rsid w:val="00B664C7"/>
    <w:rsid w:val="00B71170"/>
    <w:rsid w:val="00B720ED"/>
    <w:rsid w:val="00B73427"/>
    <w:rsid w:val="00B74406"/>
    <w:rsid w:val="00B74A52"/>
    <w:rsid w:val="00B7522C"/>
    <w:rsid w:val="00B80937"/>
    <w:rsid w:val="00B80BCE"/>
    <w:rsid w:val="00B81524"/>
    <w:rsid w:val="00B81740"/>
    <w:rsid w:val="00B83542"/>
    <w:rsid w:val="00B84117"/>
    <w:rsid w:val="00B85D7B"/>
    <w:rsid w:val="00B900EA"/>
    <w:rsid w:val="00B91069"/>
    <w:rsid w:val="00B92842"/>
    <w:rsid w:val="00B96CEA"/>
    <w:rsid w:val="00BA2713"/>
    <w:rsid w:val="00BA2941"/>
    <w:rsid w:val="00BA4C61"/>
    <w:rsid w:val="00BA4D12"/>
    <w:rsid w:val="00BA627A"/>
    <w:rsid w:val="00BA7A57"/>
    <w:rsid w:val="00BA7A8F"/>
    <w:rsid w:val="00BB1C89"/>
    <w:rsid w:val="00BB22FA"/>
    <w:rsid w:val="00BB61CE"/>
    <w:rsid w:val="00BC47D7"/>
    <w:rsid w:val="00BD12A1"/>
    <w:rsid w:val="00BD1543"/>
    <w:rsid w:val="00BD1D09"/>
    <w:rsid w:val="00BD7B83"/>
    <w:rsid w:val="00BE04FC"/>
    <w:rsid w:val="00BE1890"/>
    <w:rsid w:val="00BE37D9"/>
    <w:rsid w:val="00BF17C6"/>
    <w:rsid w:val="00BF2289"/>
    <w:rsid w:val="00BF4DBF"/>
    <w:rsid w:val="00BF6BCE"/>
    <w:rsid w:val="00BF6C7D"/>
    <w:rsid w:val="00BF6F09"/>
    <w:rsid w:val="00BF7F04"/>
    <w:rsid w:val="00C00FDA"/>
    <w:rsid w:val="00C02EB9"/>
    <w:rsid w:val="00C0373C"/>
    <w:rsid w:val="00C04E4B"/>
    <w:rsid w:val="00C07E28"/>
    <w:rsid w:val="00C11531"/>
    <w:rsid w:val="00C11B56"/>
    <w:rsid w:val="00C12E9F"/>
    <w:rsid w:val="00C14C04"/>
    <w:rsid w:val="00C1529E"/>
    <w:rsid w:val="00C1566E"/>
    <w:rsid w:val="00C16045"/>
    <w:rsid w:val="00C17D30"/>
    <w:rsid w:val="00C21E27"/>
    <w:rsid w:val="00C2332A"/>
    <w:rsid w:val="00C233E4"/>
    <w:rsid w:val="00C24B0F"/>
    <w:rsid w:val="00C30762"/>
    <w:rsid w:val="00C34C4E"/>
    <w:rsid w:val="00C403BA"/>
    <w:rsid w:val="00C42EA5"/>
    <w:rsid w:val="00C42FF0"/>
    <w:rsid w:val="00C45687"/>
    <w:rsid w:val="00C45EEE"/>
    <w:rsid w:val="00C46485"/>
    <w:rsid w:val="00C5007E"/>
    <w:rsid w:val="00C516ED"/>
    <w:rsid w:val="00C539A5"/>
    <w:rsid w:val="00C62BF5"/>
    <w:rsid w:val="00C636DA"/>
    <w:rsid w:val="00C648BE"/>
    <w:rsid w:val="00C67E22"/>
    <w:rsid w:val="00C72271"/>
    <w:rsid w:val="00C72A17"/>
    <w:rsid w:val="00C76376"/>
    <w:rsid w:val="00C802CA"/>
    <w:rsid w:val="00C806AE"/>
    <w:rsid w:val="00C81356"/>
    <w:rsid w:val="00C813CD"/>
    <w:rsid w:val="00C858D9"/>
    <w:rsid w:val="00C87DA0"/>
    <w:rsid w:val="00CA0BAB"/>
    <w:rsid w:val="00CA10F5"/>
    <w:rsid w:val="00CA4E4D"/>
    <w:rsid w:val="00CA6FF9"/>
    <w:rsid w:val="00CB4238"/>
    <w:rsid w:val="00CB5938"/>
    <w:rsid w:val="00CB5B27"/>
    <w:rsid w:val="00CC1288"/>
    <w:rsid w:val="00CC13F5"/>
    <w:rsid w:val="00CC1A64"/>
    <w:rsid w:val="00CC34EB"/>
    <w:rsid w:val="00CC66EA"/>
    <w:rsid w:val="00CC7F27"/>
    <w:rsid w:val="00CD113B"/>
    <w:rsid w:val="00CD1CB6"/>
    <w:rsid w:val="00CD3AF0"/>
    <w:rsid w:val="00CD3C17"/>
    <w:rsid w:val="00CD3FDF"/>
    <w:rsid w:val="00CE1F9C"/>
    <w:rsid w:val="00CE2E48"/>
    <w:rsid w:val="00CE4350"/>
    <w:rsid w:val="00CE52F1"/>
    <w:rsid w:val="00CE7C54"/>
    <w:rsid w:val="00CF0184"/>
    <w:rsid w:val="00CF55F6"/>
    <w:rsid w:val="00CF59E0"/>
    <w:rsid w:val="00CF6672"/>
    <w:rsid w:val="00D021F7"/>
    <w:rsid w:val="00D05D92"/>
    <w:rsid w:val="00D069C7"/>
    <w:rsid w:val="00D078A2"/>
    <w:rsid w:val="00D175C4"/>
    <w:rsid w:val="00D21123"/>
    <w:rsid w:val="00D24B9E"/>
    <w:rsid w:val="00D26BB7"/>
    <w:rsid w:val="00D26E60"/>
    <w:rsid w:val="00D27126"/>
    <w:rsid w:val="00D367EB"/>
    <w:rsid w:val="00D36C91"/>
    <w:rsid w:val="00D37098"/>
    <w:rsid w:val="00D400D5"/>
    <w:rsid w:val="00D415F6"/>
    <w:rsid w:val="00D41871"/>
    <w:rsid w:val="00D42301"/>
    <w:rsid w:val="00D45954"/>
    <w:rsid w:val="00D45D62"/>
    <w:rsid w:val="00D461C2"/>
    <w:rsid w:val="00D53631"/>
    <w:rsid w:val="00D57E26"/>
    <w:rsid w:val="00D61AAE"/>
    <w:rsid w:val="00D62E86"/>
    <w:rsid w:val="00D6308C"/>
    <w:rsid w:val="00D632CA"/>
    <w:rsid w:val="00D63D2C"/>
    <w:rsid w:val="00D64CB8"/>
    <w:rsid w:val="00D720AE"/>
    <w:rsid w:val="00D72FD8"/>
    <w:rsid w:val="00D75A8B"/>
    <w:rsid w:val="00D75DA2"/>
    <w:rsid w:val="00D80028"/>
    <w:rsid w:val="00D800E3"/>
    <w:rsid w:val="00D816C9"/>
    <w:rsid w:val="00D84FC2"/>
    <w:rsid w:val="00D868B3"/>
    <w:rsid w:val="00D92A45"/>
    <w:rsid w:val="00D95690"/>
    <w:rsid w:val="00D96795"/>
    <w:rsid w:val="00D9697A"/>
    <w:rsid w:val="00DA2F39"/>
    <w:rsid w:val="00DA3023"/>
    <w:rsid w:val="00DA4503"/>
    <w:rsid w:val="00DA4C48"/>
    <w:rsid w:val="00DA727D"/>
    <w:rsid w:val="00DB1C3F"/>
    <w:rsid w:val="00DB1C7B"/>
    <w:rsid w:val="00DB53A7"/>
    <w:rsid w:val="00DB758C"/>
    <w:rsid w:val="00DC5105"/>
    <w:rsid w:val="00DD170F"/>
    <w:rsid w:val="00DD2486"/>
    <w:rsid w:val="00DD5DAC"/>
    <w:rsid w:val="00DD6427"/>
    <w:rsid w:val="00DD797D"/>
    <w:rsid w:val="00DE0A8A"/>
    <w:rsid w:val="00DE1259"/>
    <w:rsid w:val="00DE3DD9"/>
    <w:rsid w:val="00DE61A4"/>
    <w:rsid w:val="00DF0D1B"/>
    <w:rsid w:val="00DF2F8B"/>
    <w:rsid w:val="00DF51F6"/>
    <w:rsid w:val="00DF6837"/>
    <w:rsid w:val="00DF68E4"/>
    <w:rsid w:val="00DF6E54"/>
    <w:rsid w:val="00E04228"/>
    <w:rsid w:val="00E04457"/>
    <w:rsid w:val="00E04665"/>
    <w:rsid w:val="00E04BBC"/>
    <w:rsid w:val="00E10450"/>
    <w:rsid w:val="00E1478E"/>
    <w:rsid w:val="00E159D7"/>
    <w:rsid w:val="00E160D9"/>
    <w:rsid w:val="00E20C22"/>
    <w:rsid w:val="00E213AB"/>
    <w:rsid w:val="00E21653"/>
    <w:rsid w:val="00E21C9B"/>
    <w:rsid w:val="00E2414E"/>
    <w:rsid w:val="00E25CAA"/>
    <w:rsid w:val="00E26830"/>
    <w:rsid w:val="00E26FAF"/>
    <w:rsid w:val="00E31218"/>
    <w:rsid w:val="00E36928"/>
    <w:rsid w:val="00E40B36"/>
    <w:rsid w:val="00E41D16"/>
    <w:rsid w:val="00E51672"/>
    <w:rsid w:val="00E522FC"/>
    <w:rsid w:val="00E55EE5"/>
    <w:rsid w:val="00E5782B"/>
    <w:rsid w:val="00E61423"/>
    <w:rsid w:val="00E61784"/>
    <w:rsid w:val="00E625B3"/>
    <w:rsid w:val="00E63810"/>
    <w:rsid w:val="00E64743"/>
    <w:rsid w:val="00E66457"/>
    <w:rsid w:val="00E67C33"/>
    <w:rsid w:val="00E718A8"/>
    <w:rsid w:val="00E71EBE"/>
    <w:rsid w:val="00E723B0"/>
    <w:rsid w:val="00E7257D"/>
    <w:rsid w:val="00E728CB"/>
    <w:rsid w:val="00E72D04"/>
    <w:rsid w:val="00E7336F"/>
    <w:rsid w:val="00E74F3B"/>
    <w:rsid w:val="00E76262"/>
    <w:rsid w:val="00E777CF"/>
    <w:rsid w:val="00E80BC2"/>
    <w:rsid w:val="00E84A6B"/>
    <w:rsid w:val="00E86A93"/>
    <w:rsid w:val="00E92385"/>
    <w:rsid w:val="00E92D5D"/>
    <w:rsid w:val="00E93F74"/>
    <w:rsid w:val="00E9497B"/>
    <w:rsid w:val="00E96DEA"/>
    <w:rsid w:val="00EA1585"/>
    <w:rsid w:val="00EA48AE"/>
    <w:rsid w:val="00EA568B"/>
    <w:rsid w:val="00EA67D7"/>
    <w:rsid w:val="00EB014E"/>
    <w:rsid w:val="00EB09E2"/>
    <w:rsid w:val="00EB1DCB"/>
    <w:rsid w:val="00EB4EFA"/>
    <w:rsid w:val="00EB74A5"/>
    <w:rsid w:val="00EC26ED"/>
    <w:rsid w:val="00EC2F41"/>
    <w:rsid w:val="00EC3AA7"/>
    <w:rsid w:val="00EC6AE4"/>
    <w:rsid w:val="00ED07DC"/>
    <w:rsid w:val="00ED2475"/>
    <w:rsid w:val="00ED6F07"/>
    <w:rsid w:val="00ED6F33"/>
    <w:rsid w:val="00EE0126"/>
    <w:rsid w:val="00EE0C89"/>
    <w:rsid w:val="00EE47FE"/>
    <w:rsid w:val="00EE50C6"/>
    <w:rsid w:val="00EE5D41"/>
    <w:rsid w:val="00EE766D"/>
    <w:rsid w:val="00EF0BB3"/>
    <w:rsid w:val="00EF2A15"/>
    <w:rsid w:val="00EF5BFD"/>
    <w:rsid w:val="00EF7B33"/>
    <w:rsid w:val="00F00470"/>
    <w:rsid w:val="00F01C6F"/>
    <w:rsid w:val="00F02EFA"/>
    <w:rsid w:val="00F0509B"/>
    <w:rsid w:val="00F059D6"/>
    <w:rsid w:val="00F06EE2"/>
    <w:rsid w:val="00F070CB"/>
    <w:rsid w:val="00F074DC"/>
    <w:rsid w:val="00F11C3D"/>
    <w:rsid w:val="00F132D7"/>
    <w:rsid w:val="00F1385F"/>
    <w:rsid w:val="00F15632"/>
    <w:rsid w:val="00F17535"/>
    <w:rsid w:val="00F20949"/>
    <w:rsid w:val="00F24F8F"/>
    <w:rsid w:val="00F256CD"/>
    <w:rsid w:val="00F303B2"/>
    <w:rsid w:val="00F307E0"/>
    <w:rsid w:val="00F34D63"/>
    <w:rsid w:val="00F51418"/>
    <w:rsid w:val="00F52E2A"/>
    <w:rsid w:val="00F56900"/>
    <w:rsid w:val="00F57F7A"/>
    <w:rsid w:val="00F6232E"/>
    <w:rsid w:val="00F6269C"/>
    <w:rsid w:val="00F62D33"/>
    <w:rsid w:val="00F64AB3"/>
    <w:rsid w:val="00F6570B"/>
    <w:rsid w:val="00F67615"/>
    <w:rsid w:val="00F756BD"/>
    <w:rsid w:val="00F76266"/>
    <w:rsid w:val="00F76C98"/>
    <w:rsid w:val="00F804CD"/>
    <w:rsid w:val="00F80750"/>
    <w:rsid w:val="00F84D73"/>
    <w:rsid w:val="00F85F59"/>
    <w:rsid w:val="00F8600C"/>
    <w:rsid w:val="00F86538"/>
    <w:rsid w:val="00F86717"/>
    <w:rsid w:val="00F86DD4"/>
    <w:rsid w:val="00F960D7"/>
    <w:rsid w:val="00F97C7A"/>
    <w:rsid w:val="00FA0429"/>
    <w:rsid w:val="00FA2887"/>
    <w:rsid w:val="00FA2909"/>
    <w:rsid w:val="00FA3CEC"/>
    <w:rsid w:val="00FA432F"/>
    <w:rsid w:val="00FA4930"/>
    <w:rsid w:val="00FA58DB"/>
    <w:rsid w:val="00FA6CBE"/>
    <w:rsid w:val="00FA7F47"/>
    <w:rsid w:val="00FA7FC7"/>
    <w:rsid w:val="00FB4CF2"/>
    <w:rsid w:val="00FC0B69"/>
    <w:rsid w:val="00FC4845"/>
    <w:rsid w:val="00FC565C"/>
    <w:rsid w:val="00FC6A70"/>
    <w:rsid w:val="00FC6B03"/>
    <w:rsid w:val="00FD06D5"/>
    <w:rsid w:val="00FD28FF"/>
    <w:rsid w:val="00FD67BF"/>
    <w:rsid w:val="00FD68A1"/>
    <w:rsid w:val="00FE2CC9"/>
    <w:rsid w:val="00FE419E"/>
    <w:rsid w:val="00FE7795"/>
    <w:rsid w:val="00FF2484"/>
    <w:rsid w:val="00FF4201"/>
    <w:rsid w:val="40C87DB5"/>
    <w:rsid w:val="5E8DDB99"/>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881E0"/>
  <w15:chartTrackingRefBased/>
  <w15:docId w15:val="{D6A5C85B-BB0B-426E-93AF-141CA1F4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0"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qFormat="1"/>
    <w:lsdException w:name="annotation text" w:semiHidden="1" w:uiPriority="49" w:unhideWhenUsed="1"/>
    <w:lsdException w:name="header" w:locked="0" w:uiPriority="1" w:unhideWhenUsed="1"/>
    <w:lsdException w:name="footer" w:locked="0" w:unhideWhenUsed="1"/>
    <w:lsdException w:name="index heading" w:semiHidden="1" w:unhideWhenUsed="1"/>
    <w:lsdException w:name="caption" w:uiPriority="34"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iPriority="49"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iPriority="13" w:unhideWhenUsed="1" w:qFormat="1"/>
    <w:lsdException w:name="List Number" w:uiPriority="15"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3" w:unhideWhenUsed="1" w:qFormat="1"/>
    <w:lsdException w:name="List Bullet 3" w:uiPriority="1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
    <w:lsdException w:name="Closing" w:semiHidden="1" w:unhideWhenUsed="1"/>
    <w:lsdException w:name="Signature" w:semiHidden="1" w:uiPriority="29"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9"/>
    <w:qFormat/>
    <w:rsid w:val="00004ED1"/>
    <w:pPr>
      <w:keepNext/>
      <w:keepLines/>
      <w:numPr>
        <w:numId w:val="27"/>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ilvl w:val="1"/>
        <w:numId w:val="27"/>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ilvl w:val="2"/>
        <w:numId w:val="27"/>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qFormat/>
    <w:rsid w:val="005D04CC"/>
    <w:pPr>
      <w:keepNext/>
      <w:keepLines/>
      <w:numPr>
        <w:ilvl w:val="3"/>
        <w:numId w:val="27"/>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ilvl w:val="4"/>
        <w:numId w:val="27"/>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ilvl w:val="5"/>
        <w:numId w:val="27"/>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ilvl w:val="6"/>
        <w:numId w:val="27"/>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ilvl w:val="7"/>
        <w:numId w:val="27"/>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ilvl w:val="8"/>
        <w:numId w:val="27"/>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1"/>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1"/>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unhideWhenUsed/>
    <w:qFormat/>
    <w:locked/>
    <w:rsid w:val="00F80750"/>
    <w:pPr>
      <w:spacing w:line="480" w:lineRule="auto"/>
    </w:pPr>
  </w:style>
  <w:style w:type="character" w:customStyle="1" w:styleId="BodyText2Char">
    <w:name w:val="Body Text 2 Char"/>
    <w:basedOn w:val="DefaultParagraphFont"/>
    <w:link w:val="BodyText2"/>
    <w:uiPriority w:val="99"/>
    <w:rsid w:val="00F80750"/>
  </w:style>
  <w:style w:type="paragraph" w:styleId="BodyText3">
    <w:name w:val="Body Text 3"/>
    <w:basedOn w:val="Normal"/>
    <w:link w:val="BodyText3Char"/>
    <w:uiPriority w:val="99"/>
    <w:unhideWhenUsed/>
    <w:qFormat/>
    <w:locked/>
    <w:rsid w:val="00F80750"/>
    <w:rPr>
      <w:sz w:val="16"/>
      <w:szCs w:val="16"/>
    </w:rPr>
  </w:style>
  <w:style w:type="character" w:customStyle="1" w:styleId="BodyText3Char">
    <w:name w:val="Body Text 3 Char"/>
    <w:basedOn w:val="DefaultParagraphFont"/>
    <w:link w:val="BodyText3"/>
    <w:uiPriority w:val="99"/>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49"/>
    <w:semiHidden/>
    <w:unhideWhenUsed/>
    <w:locked/>
    <w:rsid w:val="00F80750"/>
    <w:rPr>
      <w:noProof w:val="0"/>
      <w:sz w:val="16"/>
      <w:szCs w:val="16"/>
      <w:lang w:val="en-AU"/>
    </w:rPr>
  </w:style>
  <w:style w:type="paragraph" w:styleId="CommentText">
    <w:name w:val="annotation text"/>
    <w:basedOn w:val="Normal"/>
    <w:link w:val="CommentTextChar"/>
    <w:uiPriority w:val="49"/>
    <w:unhideWhenUsed/>
    <w:locked/>
    <w:rsid w:val="00F80750"/>
  </w:style>
  <w:style w:type="character" w:customStyle="1" w:styleId="CommentTextChar">
    <w:name w:val="Comment Text Char"/>
    <w:basedOn w:val="DefaultParagraphFont"/>
    <w:link w:val="CommentText"/>
    <w:uiPriority w:val="4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qFormat/>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numId w:val="10"/>
      </w:numPr>
    </w:pPr>
    <w:rPr>
      <w:bCs w:val="0"/>
    </w:rPr>
  </w:style>
  <w:style w:type="paragraph" w:customStyle="1" w:styleId="Heading3Numbers">
    <w:name w:val="Heading 3 Numbers"/>
    <w:basedOn w:val="Heading3"/>
    <w:next w:val="Normal"/>
    <w:uiPriority w:val="9"/>
    <w:qFormat/>
    <w:rsid w:val="00BA627A"/>
    <w:pPr>
      <w:numPr>
        <w:numId w:val="10"/>
      </w:numPr>
    </w:pPr>
  </w:style>
  <w:style w:type="paragraph" w:customStyle="1" w:styleId="Heading4NoNumber">
    <w:name w:val="Heading 4 No Number"/>
    <w:basedOn w:val="Heading4"/>
    <w:uiPriority w:val="9"/>
    <w:qFormat/>
    <w:rsid w:val="00BA627A"/>
    <w:pPr>
      <w:numPr>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ActTitle">
    <w:name w:val="Act Title"/>
    <w:basedOn w:val="Normal"/>
    <w:next w:val="Normal"/>
    <w:rsid w:val="000F714F"/>
    <w:pPr>
      <w:numPr>
        <w:numId w:val="0"/>
      </w:numPr>
      <w:pBdr>
        <w:bottom w:val="single" w:sz="4" w:space="3" w:color="auto"/>
      </w:pBdr>
      <w:spacing w:before="480"/>
      <w:jc w:val="left"/>
    </w:pPr>
    <w:rPr>
      <w:rFonts w:eastAsia="Times New Roman" w:cs="Times New Roman"/>
      <w:i/>
      <w:iCs/>
      <w:color w:val="auto"/>
      <w:sz w:val="28"/>
      <w:szCs w:val="20"/>
      <w:lang w:eastAsia="en-AU"/>
    </w:rPr>
  </w:style>
  <w:style w:type="paragraph" w:customStyle="1" w:styleId="IntroTo">
    <w:name w:val="IntroTo:"/>
    <w:basedOn w:val="Normal"/>
    <w:rsid w:val="000F714F"/>
    <w:pPr>
      <w:numPr>
        <w:numId w:val="0"/>
      </w:numPr>
      <w:spacing w:after="0"/>
      <w:ind w:left="720" w:hanging="720"/>
      <w:jc w:val="left"/>
    </w:pPr>
    <w:rPr>
      <w:rFonts w:ascii="Times New Roman" w:eastAsia="Times New Roman" w:hAnsi="Times New Roman" w:cs="Times New Roman"/>
      <w:color w:val="auto"/>
      <w:sz w:val="24"/>
      <w:szCs w:val="20"/>
    </w:rPr>
  </w:style>
  <w:style w:type="paragraph" w:customStyle="1" w:styleId="APRABullet3">
    <w:name w:val="APRA Bullet 3"/>
    <w:basedOn w:val="Normal"/>
    <w:qFormat/>
    <w:rsid w:val="009E608E"/>
    <w:pPr>
      <w:numPr>
        <w:numId w:val="13"/>
      </w:numPr>
      <w:ind w:left="1208" w:hanging="357"/>
    </w:pPr>
    <w:rPr>
      <w:rFonts w:eastAsia="Times New Roman" w:cs="Arial"/>
      <w:szCs w:val="24"/>
      <w:lang w:eastAsia="en-AU"/>
    </w:rPr>
  </w:style>
  <w:style w:type="character" w:customStyle="1" w:styleId="BodyText1Char">
    <w:name w:val="Body Text 1 Char"/>
    <w:basedOn w:val="DefaultParagraphFont"/>
    <w:link w:val="BodyText1"/>
    <w:rsid w:val="00CC7F27"/>
    <w:rPr>
      <w:rFonts w:ascii="Times New Roman" w:hAnsi="Times New Roman"/>
      <w:sz w:val="24"/>
      <w:szCs w:val="24"/>
    </w:rPr>
  </w:style>
  <w:style w:type="paragraph" w:customStyle="1" w:styleId="BodyText1">
    <w:name w:val="Body Text 1"/>
    <w:basedOn w:val="Normal"/>
    <w:link w:val="BodyText1Char"/>
    <w:qFormat/>
    <w:rsid w:val="00CC7F27"/>
    <w:pPr>
      <w:numPr>
        <w:numId w:val="0"/>
      </w:numPr>
      <w:tabs>
        <w:tab w:val="num" w:pos="567"/>
      </w:tabs>
      <w:ind w:left="567" w:hanging="567"/>
    </w:pPr>
    <w:rPr>
      <w:rFonts w:ascii="Times New Roman" w:hAnsi="Times New Roman"/>
      <w:sz w:val="24"/>
      <w:szCs w:val="24"/>
    </w:rPr>
  </w:style>
  <w:style w:type="paragraph" w:customStyle="1" w:styleId="BodyText4">
    <w:name w:val="Body Text 4"/>
    <w:basedOn w:val="Normal"/>
    <w:qFormat/>
    <w:rsid w:val="00CC7F27"/>
    <w:pPr>
      <w:numPr>
        <w:numId w:val="0"/>
      </w:numPr>
      <w:tabs>
        <w:tab w:val="num" w:pos="2268"/>
      </w:tabs>
      <w:ind w:left="2268" w:hanging="567"/>
      <w:jc w:val="left"/>
    </w:pPr>
    <w:rPr>
      <w:rFonts w:ascii="Times New Roman" w:eastAsia="Calibri" w:hAnsi="Times New Roman" w:cs="Times New Roman"/>
      <w:color w:val="auto"/>
      <w:sz w:val="24"/>
      <w:szCs w:val="24"/>
      <w:lang w:eastAsia="en-AU"/>
    </w:rPr>
  </w:style>
  <w:style w:type="paragraph" w:customStyle="1" w:styleId="AS">
    <w:name w:val="AS"/>
    <w:aliases w:val="Schedule title Amendment"/>
    <w:basedOn w:val="Normal"/>
    <w:next w:val="Normal"/>
    <w:rsid w:val="00CC7F27"/>
    <w:pPr>
      <w:keepNext/>
      <w:numPr>
        <w:numId w:val="0"/>
      </w:numPr>
      <w:autoSpaceDE w:val="0"/>
      <w:autoSpaceDN w:val="0"/>
      <w:spacing w:before="480" w:after="0"/>
      <w:ind w:left="2410" w:hanging="2410"/>
      <w:jc w:val="left"/>
    </w:pPr>
    <w:rPr>
      <w:rFonts w:eastAsia="Times New Roman" w:cs="Arial"/>
      <w:b/>
      <w:bCs/>
      <w:color w:val="auto"/>
      <w:sz w:val="32"/>
      <w:szCs w:val="32"/>
      <w:lang w:eastAsia="en-AU"/>
    </w:rPr>
  </w:style>
  <w:style w:type="character" w:customStyle="1" w:styleId="CharSchNo">
    <w:name w:val="CharSchNo"/>
    <w:basedOn w:val="DefaultParagraphFont"/>
    <w:rsid w:val="00CC7F27"/>
  </w:style>
  <w:style w:type="character" w:customStyle="1" w:styleId="CharSchText">
    <w:name w:val="CharSchText"/>
    <w:basedOn w:val="DefaultParagraphFont"/>
    <w:rsid w:val="00CC7F27"/>
  </w:style>
  <w:style w:type="paragraph" w:customStyle="1" w:styleId="BoxHeading">
    <w:name w:val="Box Heading"/>
    <w:next w:val="Normal"/>
    <w:uiPriority w:val="1"/>
    <w:qFormat/>
    <w:rsid w:val="00CC7F27"/>
    <w:pPr>
      <w:spacing w:before="120" w:after="360"/>
      <w:jc w:val="left"/>
    </w:pPr>
    <w:rPr>
      <w:rFonts w:eastAsia="Times New Roman" w:cs="Arial"/>
      <w:b/>
      <w:bCs/>
      <w:color w:val="auto"/>
      <w:sz w:val="32"/>
      <w:szCs w:val="32"/>
      <w:lang w:eastAsia="en-AU"/>
    </w:rPr>
  </w:style>
  <w:style w:type="paragraph" w:customStyle="1" w:styleId="BULLET1">
    <w:name w:val="BULLET 1"/>
    <w:basedOn w:val="Normal"/>
    <w:qFormat/>
    <w:rsid w:val="005A4C43"/>
    <w:pPr>
      <w:numPr>
        <w:numId w:val="16"/>
      </w:numPr>
    </w:pPr>
    <w:rPr>
      <w:rFonts w:eastAsiaTheme="minorEastAsia"/>
      <w:color w:val="auto"/>
      <w:lang w:eastAsia="en-AU"/>
    </w:rPr>
  </w:style>
  <w:style w:type="paragraph" w:customStyle="1" w:styleId="Default">
    <w:name w:val="Default"/>
    <w:rsid w:val="005A4C43"/>
    <w:pPr>
      <w:widowControl w:val="0"/>
      <w:autoSpaceDE w:val="0"/>
      <w:autoSpaceDN w:val="0"/>
      <w:adjustRightInd w:val="0"/>
      <w:spacing w:after="0"/>
      <w:jc w:val="left"/>
    </w:pPr>
    <w:rPr>
      <w:rFonts w:eastAsiaTheme="minorEastAsia" w:cs="Arial"/>
      <w:sz w:val="24"/>
      <w:szCs w:val="24"/>
      <w:lang w:eastAsia="en-AU"/>
    </w:rPr>
  </w:style>
  <w:style w:type="paragraph" w:customStyle="1" w:styleId="CM5">
    <w:name w:val="CM5"/>
    <w:basedOn w:val="Default"/>
    <w:next w:val="Default"/>
    <w:uiPriority w:val="99"/>
    <w:rsid w:val="005A4C43"/>
    <w:pPr>
      <w:tabs>
        <w:tab w:val="left" w:pos="851"/>
      </w:tabs>
      <w:ind w:left="851" w:hanging="567"/>
    </w:pPr>
    <w:rPr>
      <w:rFonts w:ascii="Times New Roman" w:hAnsi="Times New Roman" w:cs="Times New Roman"/>
    </w:rPr>
  </w:style>
  <w:style w:type="character" w:customStyle="1" w:styleId="Style1">
    <w:name w:val="Style1"/>
    <w:basedOn w:val="DefaultParagraphFont"/>
    <w:uiPriority w:val="1"/>
    <w:qFormat/>
    <w:rsid w:val="005A4C43"/>
    <w:rPr>
      <w:rFonts w:ascii="Times New Roman" w:hAnsi="Times New Roman"/>
      <w:sz w:val="22"/>
    </w:rPr>
  </w:style>
  <w:style w:type="character" w:styleId="UnresolvedMention">
    <w:name w:val="Unresolved Mention"/>
    <w:basedOn w:val="DefaultParagraphFont"/>
    <w:uiPriority w:val="99"/>
    <w:semiHidden/>
    <w:unhideWhenUsed/>
    <w:rsid w:val="00F11C3D"/>
    <w:rPr>
      <w:color w:val="605E5C"/>
      <w:shd w:val="clear" w:color="auto" w:fill="E1DFDD"/>
    </w:rPr>
  </w:style>
  <w:style w:type="paragraph" w:styleId="Revision">
    <w:name w:val="Revision"/>
    <w:hidden/>
    <w:uiPriority w:val="99"/>
    <w:semiHidden/>
    <w:rsid w:val="00E92D5D"/>
    <w:pPr>
      <w:spacing w:after="0"/>
      <w:jc w:val="left"/>
    </w:pPr>
  </w:style>
  <w:style w:type="paragraph" w:customStyle="1" w:styleId="introto0">
    <w:name w:val="introto"/>
    <w:basedOn w:val="Normal"/>
    <w:rsid w:val="00077897"/>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customStyle="1" w:styleId="PSBodyTextL1">
    <w:name w:val="_PS_Body_Text_L1"/>
    <w:qFormat/>
    <w:rsid w:val="0023580E"/>
    <w:pPr>
      <w:numPr>
        <w:numId w:val="36"/>
      </w:numPr>
    </w:pPr>
    <w:rPr>
      <w:rFonts w:ascii="Times New Roman" w:hAnsi="Times New Roman"/>
      <w:sz w:val="24"/>
    </w:rPr>
  </w:style>
  <w:style w:type="paragraph" w:customStyle="1" w:styleId="PSBodyTextL2">
    <w:name w:val="_PS_Body_Text_L2"/>
    <w:basedOn w:val="PSBodyTextL1"/>
    <w:qFormat/>
    <w:rsid w:val="0023580E"/>
    <w:pPr>
      <w:numPr>
        <w:ilvl w:val="1"/>
      </w:numPr>
    </w:pPr>
  </w:style>
  <w:style w:type="paragraph" w:customStyle="1" w:styleId="PSBodyTextL3">
    <w:name w:val="_PS_Body_Text_L3"/>
    <w:basedOn w:val="PSBodyTextL2"/>
    <w:qFormat/>
    <w:rsid w:val="0023580E"/>
    <w:pPr>
      <w:numPr>
        <w:ilvl w:val="2"/>
      </w:numPr>
      <w:tabs>
        <w:tab w:val="left" w:pos="1134"/>
      </w:tabs>
    </w:pPr>
  </w:style>
  <w:style w:type="paragraph" w:customStyle="1" w:styleId="PSBodyTextL4">
    <w:name w:val="_PS_Body_Text_L4"/>
    <w:basedOn w:val="PSBodyTextL3"/>
    <w:qFormat/>
    <w:rsid w:val="0023580E"/>
    <w:pPr>
      <w:numPr>
        <w:ilvl w:val="3"/>
      </w:numPr>
      <w:tabs>
        <w:tab w:val="clear" w:pos="1134"/>
        <w:tab w:val="left" w:pos="1701"/>
      </w:tabs>
    </w:pPr>
  </w:style>
  <w:style w:type="numbering" w:styleId="ArticleSection">
    <w:name w:val="Outline List 3"/>
    <w:basedOn w:val="NoList"/>
    <w:rsid w:val="0058682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1089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b42a91f5-fceb-4fbb-955b-19409a9e4079</TermId>
        </TermInfo>
      </Terms>
    </i05115a133414b4dabee2531e4b46b67>
    <h67caa35a4114acd8e15fe89b3f29f9e xmlns="92a8a7e8-49a1-4017-acf0-0edc7cce208b">
      <Terms xmlns="http://schemas.microsoft.com/office/infopath/2007/PartnerControls">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l003ee8eff60461aa1bd0027aba92ea4 xmlns="92a8a7e8-49a1-4017-acf0-0edc7cce208b">
      <Terms xmlns="http://schemas.microsoft.com/office/infopath/2007/PartnerControls">
        <TermInfo xmlns="http://schemas.microsoft.com/office/infopath/2007/PartnerControls">
          <TermName xmlns="http://schemas.microsoft.com/office/infopath/2007/PartnerControls">ADI</TermName>
          <TermId xmlns="http://schemas.microsoft.com/office/infopath/2007/PartnerControls">906b8d6f-8851-e311-9e2e-005056b54f10</TermId>
        </TermInfo>
      </Terms>
    </l003ee8eff60461aa1bd0027aba92ea4>
    <_ExtendedDescription xmlns="http://schemas.microsoft.com/sharepoint/v3" xsi:nil="true"/>
    <TaxCatchAll xmlns="92a8a7e8-49a1-4017-acf0-0edc7cce208b">
      <Value>20</Value>
      <Value>12</Value>
      <Value>15</Value>
      <Value>197</Value>
      <Value>28</Value>
    </TaxCatchAll>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TermInfo xmlns="http://schemas.microsoft.com/office/infopath/2007/PartnerControls">
          <TermName xmlns="http://schemas.microsoft.com/office/infopath/2007/PartnerControls">Banking Act 1959</TermName>
          <TermId xmlns="http://schemas.microsoft.com/office/infopath/2007/PartnerControls">c9b951c8-0856-4021-9498-b6928b31a39e</TermId>
        </TermInfo>
      </Terms>
    </b37d8d7e823543f58f89056343a9035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FEA56-11E0-4720-81D3-E5ACD0D02FAD}">
  <ds:schemaRefs>
    <ds:schemaRef ds:uri="http://schemas.microsoft.com/sharepoint/v3/contenttype/forms"/>
  </ds:schemaRefs>
</ds:datastoreItem>
</file>

<file path=customXml/itemProps2.xml><?xml version="1.0" encoding="utf-8"?>
<ds:datastoreItem xmlns:ds="http://schemas.openxmlformats.org/officeDocument/2006/customXml" ds:itemID="{09EA06EB-14E7-4B0E-BB5C-F216E6EB3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66208C-89EA-450E-BA15-444249069C72}">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79530295-9eea-494d-b82a-9ff74409eafc"/>
    <ds:schemaRef ds:uri="http://www.w3.org/XML/1998/namespace"/>
    <ds:schemaRef ds:uri="5664482d-1961-4d38-bfc2-b109b3418834"/>
    <ds:schemaRef ds:uri="http://schemas.openxmlformats.org/package/2006/metadata/core-properties"/>
    <ds:schemaRef ds:uri="92a8a7e8-49a1-4017-acf0-0edc7cce208b"/>
    <ds:schemaRef ds:uri="http://schemas.microsoft.com/sharepoint/v3"/>
  </ds:schemaRefs>
</ds:datastoreItem>
</file>

<file path=customXml/itemProps4.xml><?xml version="1.0" encoding="utf-8"?>
<ds:datastoreItem xmlns:ds="http://schemas.openxmlformats.org/officeDocument/2006/customXml" ds:itemID="{F4C87FDD-0D6C-496D-8407-2DFEE311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429</Words>
  <Characters>2392</Characters>
  <Application>Microsoft Office Word</Application>
  <DocSecurity>0</DocSecurity>
  <Lines>62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 Letitia</dc:creator>
  <cp:keywords>[SEC=OFFICIAL]</cp:keywords>
  <dc:description/>
  <cp:lastModifiedBy>Toni Michalis</cp:lastModifiedBy>
  <cp:revision>7</cp:revision>
  <cp:lastPrinted>2014-02-02T12:10:00Z</cp:lastPrinted>
  <dcterms:created xsi:type="dcterms:W3CDTF">2024-08-30T07:11:00Z</dcterms:created>
  <dcterms:modified xsi:type="dcterms:W3CDTF">2024-08-30T07:30:00Z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ProtectiveMarkingImage_Header">
    <vt:lpwstr>C:\Program Files\Common Files\janusNET Shared\janusSEAL\Images\DocumentSlashBlue.png</vt:lpwstr>
  </property>
  <property fmtid="{D5CDD505-2E9C-101B-9397-08002B2CF9AE}" pid="8" name="PM_InsertionValue">
    <vt:lpwstr>OFFICIAL</vt:lpwstr>
  </property>
  <property fmtid="{D5CDD505-2E9C-101B-9397-08002B2CF9AE}" pid="9" name="PM_ProtectiveMarkingValue_Header">
    <vt:lpwstr>OFFICIAL</vt:lpwstr>
  </property>
  <property fmtid="{D5CDD505-2E9C-101B-9397-08002B2CF9AE}" pid="10" name="PM_ProtectiveMarkingImage_Footer">
    <vt:lpwstr>C:\Program Files\Common Files\janusNET Shared\janusSEAL\Images\DocumentSlashBlue.png</vt:lpwstr>
  </property>
  <property fmtid="{D5CDD505-2E9C-101B-9397-08002B2CF9AE}" pid="11" name="PM_Namespace">
    <vt:lpwstr>gov.au</vt:lpwstr>
  </property>
  <property fmtid="{D5CDD505-2E9C-101B-9397-08002B2CF9AE}" pid="12" name="PM_Version">
    <vt:lpwstr>2018.3</vt:lpwstr>
  </property>
  <property fmtid="{D5CDD505-2E9C-101B-9397-08002B2CF9AE}" pid="13" name="PM_Originating_FileId">
    <vt:lpwstr>56DC6E77CD4F4834B5BB56F27AB56C5C</vt:lpwstr>
  </property>
  <property fmtid="{D5CDD505-2E9C-101B-9397-08002B2CF9AE}" pid="14" name="PM_Note">
    <vt:lpwstr/>
  </property>
  <property fmtid="{D5CDD505-2E9C-101B-9397-08002B2CF9AE}" pid="15" name="PM_Markers">
    <vt:lpwstr/>
  </property>
  <property fmtid="{D5CDD505-2E9C-101B-9397-08002B2CF9AE}" pid="16" name="PM_OriginationTimeStamp">
    <vt:lpwstr>2023-01-10T03:04:14Z</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ContentTypeId">
    <vt:lpwstr>0x01010080D163DB4DEE504FAB457909715FEC45</vt:lpwstr>
  </property>
  <property fmtid="{D5CDD505-2E9C-101B-9397-08002B2CF9AE}" pid="21" name="APRAStatus">
    <vt:lpwstr>28;#Draft|0e1556d2-3fe8-443a-ada7-3620563b46b3</vt:lpwstr>
  </property>
  <property fmtid="{D5CDD505-2E9C-101B-9397-08002B2CF9AE}" pid="22" name="APRADocumentType">
    <vt:lpwstr>197;#Legal instrument|71fd6ed3-d6d6-4975-ba99-bfe45802e734</vt:lpwstr>
  </property>
  <property fmtid="{D5CDD505-2E9C-101B-9397-08002B2CF9AE}" pid="23" name="_dlc_DocIdItemGuid">
    <vt:lpwstr>5e9b3c3b-b160-44d2-9322-ab12114a0e6d</vt:lpwstr>
  </property>
  <property fmtid="{D5CDD505-2E9C-101B-9397-08002B2CF9AE}" pid="24" name="IsLocked">
    <vt:lpwstr>Yes</vt:lpwstr>
  </property>
  <property fmtid="{D5CDD505-2E9C-101B-9397-08002B2CF9AE}" pid="25" name="RecordPoint_WorkflowType">
    <vt:lpwstr>ActiveSubmitStub</vt:lpwstr>
  </property>
  <property fmtid="{D5CDD505-2E9C-101B-9397-08002B2CF9AE}" pid="26" name="RecordPoint_ActiveItemWebId">
    <vt:lpwstr>{75a71c27-8d66-4282-ae60-1bfc22a83be1}</vt:lpwstr>
  </property>
  <property fmtid="{D5CDD505-2E9C-101B-9397-08002B2CF9AE}" pid="27" name="RecordPoint_ActiveItemSiteId">
    <vt:lpwstr>{88691c01-5bbb-4215-adc0-66cb7065b0af}</vt:lpwstr>
  </property>
  <property fmtid="{D5CDD505-2E9C-101B-9397-08002B2CF9AE}" pid="28" name="RecordPoint_ActiveItemListId">
    <vt:lpwstr>{82da8866-0ec7-4084-a9c1-7964ff0daab3}</vt:lpwstr>
  </property>
  <property fmtid="{D5CDD505-2E9C-101B-9397-08002B2CF9AE}" pid="29" name="RecordPoint_ActiveItemUniqueId">
    <vt:lpwstr>{40bc75f2-e645-48e7-a7c2-946916023a0a}</vt:lpwstr>
  </property>
  <property fmtid="{D5CDD505-2E9C-101B-9397-08002B2CF9AE}" pid="30" name="RecordPoint_RecordNumberSubmitted">
    <vt:lpwstr/>
  </property>
  <property fmtid="{D5CDD505-2E9C-101B-9397-08002B2CF9AE}" pid="31" name="RecordPoint_SubmissionCompleted">
    <vt:lpwstr/>
  </property>
  <property fmtid="{D5CDD505-2E9C-101B-9397-08002B2CF9AE}" pid="32" name="APRATemplateType">
    <vt:lpwstr>338;#Legal Instruments - Banking Act|66d1e8b3-2280-4424-a918-1df8384715b0</vt:lpwstr>
  </property>
  <property fmtid="{D5CDD505-2E9C-101B-9397-08002B2CF9AE}" pid="33" name="PM_Display">
    <vt:lpwstr>OFFICIAL</vt:lpwstr>
  </property>
  <property fmtid="{D5CDD505-2E9C-101B-9397-08002B2CF9AE}" pid="34" name="PMUuid">
    <vt:lpwstr>v=2022.2;d=gov.au;g=46DD6D7C-8107-577B-BC6E-F348953B2E44</vt:lpwstr>
  </property>
  <property fmtid="{D5CDD505-2E9C-101B-9397-08002B2CF9AE}" pid="35" name="PM_OriginatorDomainName_SHA256">
    <vt:lpwstr>ECBDE2B44A971754412B3FB70606937A119CC0D4B6C1B658A40FBD41C30BE3EC</vt:lpwstr>
  </property>
  <property fmtid="{D5CDD505-2E9C-101B-9397-08002B2CF9AE}" pid="36" name="RecordPoint_SubmissionDate">
    <vt:lpwstr/>
  </property>
  <property fmtid="{D5CDD505-2E9C-101B-9397-08002B2CF9AE}" pid="37" name="RecordPoint_ActiveItemMoved">
    <vt:lpwstr/>
  </property>
  <property fmtid="{D5CDD505-2E9C-101B-9397-08002B2CF9AE}" pid="38" name="RecordPoint_RecordFormat">
    <vt:lpwstr/>
  </property>
  <property fmtid="{D5CDD505-2E9C-101B-9397-08002B2CF9AE}" pid="39" name="WorkflowChangePath">
    <vt:lpwstr>c9c18eda-a448-413f-af6c-a8e48b3d3d85,88;c9c18eda-a448-413f-af6c-a8e48b3d3d85,90;c9c18eda-a448-413f-af6c-a8e48b3d3d85,92;c9c18eda-a448-413f-af6c-a8e48b3d3d85,93;</vt:lpwstr>
  </property>
  <property fmtid="{D5CDD505-2E9C-101B-9397-08002B2CF9AE}" pid="40" name="Order">
    <vt:r8>1085000</vt:r8>
  </property>
  <property fmtid="{D5CDD505-2E9C-101B-9397-08002B2CF9AE}" pid="41" name="APRACostCentre">
    <vt:lpwstr>374;#Legal - ADI|652d8d2a-ab45-47b4-ac6e-fe6ac9299b39</vt:lpwstr>
  </property>
  <property fmtid="{D5CDD505-2E9C-101B-9397-08002B2CF9AE}" pid="42" name="APRAPRSG">
    <vt:lpwstr/>
  </property>
  <property fmtid="{D5CDD505-2E9C-101B-9397-08002B2CF9AE}" pid="43" name="APRAActivity">
    <vt:lpwstr>12;#Legal|b42a91f5-fceb-4fbb-955b-19409a9e4079</vt:lpwstr>
  </property>
  <property fmtid="{D5CDD505-2E9C-101B-9397-08002B2CF9AE}" pid="44" name="APRAYear">
    <vt:lpwstr>373;#2022|c15887ee-fc3e-4879-bd3d-5a13724ac42c</vt:lpwstr>
  </property>
  <property fmtid="{D5CDD505-2E9C-101B-9397-08002B2CF9AE}" pid="45" name="APRAIndustry">
    <vt:lpwstr>15;#ADI|906b8d6f-8851-e311-9e2e-005056b54f10</vt:lpwstr>
  </property>
  <property fmtid="{D5CDD505-2E9C-101B-9397-08002B2CF9AE}" pid="46" name="APRAPeriod">
    <vt:lpwstr/>
  </property>
  <property fmtid="{D5CDD505-2E9C-101B-9397-08002B2CF9AE}" pid="47" name="APRACategory">
    <vt:lpwstr/>
  </property>
  <property fmtid="{D5CDD505-2E9C-101B-9397-08002B2CF9AE}" pid="48" name="APRAEntityAdviceSupport">
    <vt:lpwstr/>
  </property>
  <property fmtid="{D5CDD505-2E9C-101B-9397-08002B2CF9AE}" pid="49" name="APRALegislation">
    <vt:lpwstr>20;#Banking Act 1959|c9b951c8-0856-4021-9498-b6928b31a39e</vt:lpwstr>
  </property>
  <property fmtid="{D5CDD505-2E9C-101B-9397-08002B2CF9AE}" pid="50" name="APRAExternalOrganisation">
    <vt:lpwstr/>
  </property>
  <property fmtid="{D5CDD505-2E9C-101B-9397-08002B2CF9AE}" pid="51" name="APRAIRTR">
    <vt:lpwstr/>
  </property>
  <property fmtid="{D5CDD505-2E9C-101B-9397-08002B2CF9AE}" pid="52" name="IT system type">
    <vt:lpwstr/>
  </property>
  <property fmtid="{D5CDD505-2E9C-101B-9397-08002B2CF9AE}" pid="53" name="pd5eb3932cdc44769efe1cf62794c8b4">
    <vt:lpwstr>Banking Act 1959|c9b951c8-0856-4021-9498-b6928b31a39e</vt:lpwstr>
  </property>
  <property fmtid="{D5CDD505-2E9C-101B-9397-08002B2CF9AE}" pid="54" name="p10c80fc2da942ae8f2ea9b33b6ea0ba">
    <vt:lpwstr>Legal - ADI|652d8d2a-ab45-47b4-ac6e-fe6ac9299b39</vt:lpwstr>
  </property>
  <property fmtid="{D5CDD505-2E9C-101B-9397-08002B2CF9AE}" pid="55" name="i08e72d8ce2b4ffa9361f9f4e0a63abc">
    <vt:lpwstr>2022|c15887ee-fc3e-4879-bd3d-5a13724ac42c</vt:lpwstr>
  </property>
  <property fmtid="{D5CDD505-2E9C-101B-9397-08002B2CF9AE}" pid="56" name="i05115a133414b4dabee2531e4b46b67">
    <vt:lpwstr>Legal|b42a91f5-fceb-4fbb-955b-19409a9e4079</vt:lpwstr>
  </property>
  <property fmtid="{D5CDD505-2E9C-101B-9397-08002B2CF9AE}" pid="57" name="b37d8d7e823543f58f89056343a9035c">
    <vt:lpwstr>Banking Act 1959|c9b951c8-0856-4021-9498-b6928b31a39e</vt:lpwstr>
  </property>
  <property fmtid="{D5CDD505-2E9C-101B-9397-08002B2CF9AE}" pid="58" name="ka2715b9eb154114a4f57d7fbf82ec75">
    <vt:lpwstr/>
  </property>
  <property fmtid="{D5CDD505-2E9C-101B-9397-08002B2CF9AE}" pid="59" name="pa005173035e41c3986b37b8e650f3ef">
    <vt:lpwstr/>
  </property>
  <property fmtid="{D5CDD505-2E9C-101B-9397-08002B2CF9AE}" pid="60" name="k4bcc0d734474fea9fb713d9c415b4b0">
    <vt:lpwstr/>
  </property>
  <property fmtid="{D5CDD505-2E9C-101B-9397-08002B2CF9AE}" pid="61" name="j724204a644741eb9f777fcb03fe8840">
    <vt:lpwstr/>
  </property>
  <property fmtid="{D5CDD505-2E9C-101B-9397-08002B2CF9AE}" pid="62" name="aa36a5a650d54f768f171f4d17b8b238">
    <vt:lpwstr/>
  </property>
  <property fmtid="{D5CDD505-2E9C-101B-9397-08002B2CF9AE}" pid="63" name="d9a849fd1b8e46ada0321eb0681a10ee">
    <vt:lpwstr/>
  </property>
  <property fmtid="{D5CDD505-2E9C-101B-9397-08002B2CF9AE}" pid="64" name="ic4067bd02f14cf3a95ad35878404a71">
    <vt:lpwstr/>
  </property>
  <property fmtid="{D5CDD505-2E9C-101B-9397-08002B2CF9AE}" pid="65" name="MSIP_Label_c0129afb-6481-4f92-bc9f-5a4a6346364d_SetDate">
    <vt:lpwstr>2023-01-10T03:04:14Z</vt:lpwstr>
  </property>
  <property fmtid="{D5CDD505-2E9C-101B-9397-08002B2CF9AE}" pid="66" name="MSIP_Label_c0129afb-6481-4f92-bc9f-5a4a6346364d_Name">
    <vt:lpwstr>OFFICIAL</vt:lpwstr>
  </property>
  <property fmtid="{D5CDD505-2E9C-101B-9397-08002B2CF9AE}" pid="67" name="MSIP_Label_c0129afb-6481-4f92-bc9f-5a4a6346364d_SiteId">
    <vt:lpwstr>c05e3ffd-b491-4431-9809-e61d4dc78816</vt:lpwstr>
  </property>
  <property fmtid="{D5CDD505-2E9C-101B-9397-08002B2CF9AE}" pid="68" name="MSIP_Label_c0129afb-6481-4f92-bc9f-5a4a6346364d_Enabled">
    <vt:lpwstr>true</vt:lpwstr>
  </property>
  <property fmtid="{D5CDD505-2E9C-101B-9397-08002B2CF9AE}" pid="69" name="MSIP_Label_c0129afb-6481-4f92-bc9f-5a4a6346364d_Method">
    <vt:lpwstr>Privileged</vt:lpwstr>
  </property>
  <property fmtid="{D5CDD505-2E9C-101B-9397-08002B2CF9AE}" pid="70" name="MSIP_Label_c0129afb-6481-4f92-bc9f-5a4a6346364d_ContentBits">
    <vt:lpwstr>0</vt:lpwstr>
  </property>
  <property fmtid="{D5CDD505-2E9C-101B-9397-08002B2CF9AE}" pid="71" name="Delegate">
    <vt:lpwstr/>
  </property>
  <property fmtid="{D5CDD505-2E9C-101B-9397-08002B2CF9AE}" pid="72" name="ga29a0036bd848f3be04e8a72e0ff975">
    <vt:lpwstr>Draft|0e1556d2-3fe8-443a-ada7-3620563b46b3</vt:lpwstr>
  </property>
  <property fmtid="{D5CDD505-2E9C-101B-9397-08002B2CF9AE}" pid="73" name="jd7c79d217dc479b911f3961464794aa">
    <vt:lpwstr>Banking Act 1959|c9b951c8-0856-4021-9498-b6928b31a39e</vt:lpwstr>
  </property>
  <property fmtid="{D5CDD505-2E9C-101B-9397-08002B2CF9AE}" pid="74" name="Approved By">
    <vt:lpwstr/>
  </property>
  <property fmtid="{D5CDD505-2E9C-101B-9397-08002B2CF9AE}" pid="75" name="APRAStaff">
    <vt:lpwstr/>
  </property>
  <property fmtid="{D5CDD505-2E9C-101B-9397-08002B2CF9AE}" pid="76" name="Owner">
    <vt:lpwstr/>
  </property>
  <property fmtid="{D5CDD505-2E9C-101B-9397-08002B2CF9AE}" pid="77" name="Reviewer">
    <vt:lpwstr/>
  </property>
  <property fmtid="{D5CDD505-2E9C-101B-9397-08002B2CF9AE}" pid="78" name="TaxCatchAll">
    <vt:lpwstr>28;#;#40;#</vt:lpwstr>
  </property>
  <property fmtid="{D5CDD505-2E9C-101B-9397-08002B2CF9AE}" pid="79" name="APRAToBeGazetted">
    <vt:bool>false</vt:bool>
  </property>
  <property fmtid="{D5CDD505-2E9C-101B-9397-08002B2CF9AE}" pid="80" name="ApprovedBy">
    <vt:lpwstr/>
  </property>
  <property fmtid="{D5CDD505-2E9C-101B-9397-08002B2CF9AE}" pid="81" name="LinkToDocumentPack">
    <vt:lpwstr>, </vt:lpwstr>
  </property>
  <property fmtid="{D5CDD505-2E9C-101B-9397-08002B2CF9AE}" pid="82" name="Security classification">
    <vt:lpwstr>OFFICIAL: Sensitive (Legal privilege)</vt:lpwstr>
  </property>
  <property fmtid="{D5CDD505-2E9C-101B-9397-08002B2CF9AE}" pid="83" name="APRANotifyRegistrar">
    <vt:bool>false</vt:bool>
  </property>
  <property fmtid="{D5CDD505-2E9C-101B-9397-08002B2CF9AE}" pid="84" name="APRAReviewer">
    <vt:lpwstr/>
  </property>
  <property fmtid="{D5CDD505-2E9C-101B-9397-08002B2CF9AE}" pid="85" name="Peer Reviewer">
    <vt:lpwstr/>
  </property>
  <property fmtid="{D5CDD505-2E9C-101B-9397-08002B2CF9AE}" pid="86" name="APRADelegate">
    <vt:lpwstr/>
  </property>
  <property fmtid="{D5CDD505-2E9C-101B-9397-08002B2CF9AE}" pid="87" name="APRAPeerReviewer">
    <vt:lpwstr/>
  </property>
  <property fmtid="{D5CDD505-2E9C-101B-9397-08002B2CF9AE}" pid="88" name="xd_ProgID">
    <vt:lpwstr/>
  </property>
  <property fmtid="{D5CDD505-2E9C-101B-9397-08002B2CF9AE}" pid="89" name="ComplianceAssetId">
    <vt:lpwstr/>
  </property>
  <property fmtid="{D5CDD505-2E9C-101B-9397-08002B2CF9AE}" pid="90" name="TemplateUrl">
    <vt:lpwstr/>
  </property>
  <property fmtid="{D5CDD505-2E9C-101B-9397-08002B2CF9AE}" pid="91" name="xd_Signature">
    <vt:bool>false</vt:bool>
  </property>
  <property fmtid="{D5CDD505-2E9C-101B-9397-08002B2CF9AE}" pid="92" name="TriggerFlowInfo">
    <vt:lpwstr/>
  </property>
  <property fmtid="{D5CDD505-2E9C-101B-9397-08002B2CF9AE}" pid="93" name="APRALIAct">
    <vt:lpwstr>5;#Banking Act 1959|0408896b-ded7-4d03-96a0-d0d02ffca05f</vt:lpwstr>
  </property>
  <property fmtid="{D5CDD505-2E9C-101B-9397-08002B2CF9AE}" pid="94" name="MediaServiceImageTags">
    <vt:lpwstr/>
  </property>
  <property fmtid="{D5CDD505-2E9C-101B-9397-08002B2CF9AE}" pid="95" name="PM_Hash_Salt_Prev">
    <vt:lpwstr>5D14268951982BBF98DAD7095354C8C0</vt:lpwstr>
  </property>
  <property fmtid="{D5CDD505-2E9C-101B-9397-08002B2CF9AE}" pid="96" name="PM_Originator_Hash_SHA1">
    <vt:lpwstr>C3AD57350F36D8E1BD75F8F67CB06D435C9C43CA</vt:lpwstr>
  </property>
  <property fmtid="{D5CDD505-2E9C-101B-9397-08002B2CF9AE}" pid="97" name="PM_Hash_SHA1">
    <vt:lpwstr>ABC2F6D1037DB3D08AB86D1F3CDAFEF4D7C7408A</vt:lpwstr>
  </property>
  <property fmtid="{D5CDD505-2E9C-101B-9397-08002B2CF9AE}" pid="98" name="PM_Hash_Salt">
    <vt:lpwstr>97CEFC6B8DBB16B47424F734CDCAC075</vt:lpwstr>
  </property>
  <property fmtid="{D5CDD505-2E9C-101B-9397-08002B2CF9AE}" pid="99" name="PM_OriginatorUserAccountName_SHA256">
    <vt:lpwstr>6E3018F28A186D2E5FF5207C041E7A82E907C3008E071057026A53705873B72E</vt:lpwstr>
  </property>
  <property fmtid="{D5CDD505-2E9C-101B-9397-08002B2CF9AE}" pid="100" name="PMHMAC">
    <vt:lpwstr>v=2022.1;a=SHA256;h=AB71BA832A8525068762066E8F19EE8D4AB98B9B609D96771DEFC9F11E073E00</vt:lpwstr>
  </property>
  <property fmtid="{D5CDD505-2E9C-101B-9397-08002B2CF9AE}" pid="101" name="MSIP_Label_c0129afb-6481-4f92-bc9f-5a4a6346364d_ActionId">
    <vt:lpwstr>662cac255db2498aafde30ad25b978d5</vt:lpwstr>
  </property>
</Properties>
</file>