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4366" w14:textId="77777777" w:rsidR="00955175" w:rsidRDefault="00955175" w:rsidP="00E2168B">
      <w:pPr>
        <w:spacing w:before="280" w:after="240"/>
        <w:rPr>
          <w:b/>
          <w:sz w:val="32"/>
          <w:szCs w:val="32"/>
        </w:rPr>
      </w:pPr>
    </w:p>
    <w:p w14:paraId="0E27831D" w14:textId="0B3778BE" w:rsidR="00955175" w:rsidRPr="00D430F4" w:rsidRDefault="00252E6F" w:rsidP="00E2168B">
      <w:pPr>
        <w:spacing w:before="280" w:after="240"/>
        <w:rPr>
          <w:b/>
          <w:sz w:val="32"/>
          <w:szCs w:val="32"/>
        </w:rPr>
      </w:pPr>
      <w:r w:rsidRPr="00D430F4">
        <w:rPr>
          <w:noProof/>
        </w:rPr>
        <w:drawing>
          <wp:anchor distT="0" distB="0" distL="114300" distR="114300" simplePos="0" relativeHeight="251658240" behindDoc="0" locked="0" layoutInCell="1" allowOverlap="1" wp14:anchorId="7D8EBD60" wp14:editId="77BFDA2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CDDA7F5" w14:textId="77777777" w:rsidR="00955175" w:rsidRPr="00D430F4" w:rsidRDefault="00955175" w:rsidP="00DC30AD">
      <w:pPr>
        <w:pStyle w:val="LI-Title"/>
        <w:pBdr>
          <w:top w:val="none" w:sz="0" w:space="0" w:color="auto"/>
        </w:pBdr>
      </w:pPr>
    </w:p>
    <w:p w14:paraId="7E813339" w14:textId="77777777" w:rsidR="00955175" w:rsidRPr="00C11B77" w:rsidRDefault="00955175" w:rsidP="00955175">
      <w:pPr>
        <w:pStyle w:val="LI-Title"/>
        <w:pBdr>
          <w:top w:val="none" w:sz="0" w:space="0" w:color="auto"/>
        </w:pBdr>
        <w:jc w:val="center"/>
      </w:pPr>
      <w:r w:rsidRPr="00C11B77">
        <w:t>Explanatory Statement</w:t>
      </w:r>
    </w:p>
    <w:p w14:paraId="3D970E03" w14:textId="77777777" w:rsidR="00955175" w:rsidRPr="00C11B77" w:rsidRDefault="00955175" w:rsidP="00955175">
      <w:pPr>
        <w:rPr>
          <w:lang w:eastAsia="en-AU"/>
        </w:rPr>
      </w:pPr>
    </w:p>
    <w:p w14:paraId="4031C223" w14:textId="4B47B69A" w:rsidR="008C0C1B" w:rsidRPr="00C11B77" w:rsidRDefault="008C0C1B" w:rsidP="008C0C1B">
      <w:pPr>
        <w:jc w:val="center"/>
        <w:rPr>
          <w:b/>
          <w:i/>
          <w:sz w:val="28"/>
          <w:szCs w:val="28"/>
          <w:lang w:eastAsia="en-AU"/>
        </w:rPr>
      </w:pPr>
      <w:bookmarkStart w:id="0" w:name="_Hlk120190184"/>
      <w:r w:rsidRPr="00C11B77">
        <w:rPr>
          <w:b/>
          <w:i/>
          <w:sz w:val="28"/>
          <w:szCs w:val="28"/>
          <w:lang w:eastAsia="en-AU"/>
        </w:rPr>
        <w:t>ASIC Derivative Transaction Rules (Nexus Derivatives Repeal) Instrument 2024/602</w:t>
      </w:r>
    </w:p>
    <w:p w14:paraId="47F56B26" w14:textId="77777777" w:rsidR="008C0C1B" w:rsidRPr="00C11B77" w:rsidRDefault="008C0C1B" w:rsidP="008C0C1B">
      <w:pPr>
        <w:jc w:val="center"/>
        <w:rPr>
          <w:b/>
          <w:i/>
          <w:sz w:val="28"/>
          <w:szCs w:val="28"/>
          <w:lang w:eastAsia="en-AU"/>
        </w:rPr>
      </w:pPr>
    </w:p>
    <w:p w14:paraId="6701701D" w14:textId="3C1857CC" w:rsidR="00C4170B" w:rsidRPr="00C11B77" w:rsidRDefault="00105D15" w:rsidP="00CA7656">
      <w:pPr>
        <w:jc w:val="center"/>
        <w:rPr>
          <w:b/>
          <w:i/>
          <w:sz w:val="28"/>
          <w:szCs w:val="28"/>
          <w:lang w:eastAsia="en-AU"/>
        </w:rPr>
      </w:pPr>
      <w:r w:rsidRPr="00C11B77">
        <w:rPr>
          <w:b/>
          <w:i/>
          <w:sz w:val="28"/>
          <w:szCs w:val="28"/>
          <w:lang w:eastAsia="en-AU"/>
        </w:rPr>
        <w:t xml:space="preserve">ASIC </w:t>
      </w:r>
      <w:r w:rsidR="00514B09" w:rsidRPr="00C11B77">
        <w:rPr>
          <w:b/>
          <w:i/>
          <w:sz w:val="28"/>
          <w:szCs w:val="28"/>
          <w:lang w:eastAsia="en-AU"/>
        </w:rPr>
        <w:t xml:space="preserve">Derivative Transaction Rules </w:t>
      </w:r>
      <w:r w:rsidR="004514F1" w:rsidRPr="00C11B77">
        <w:rPr>
          <w:b/>
          <w:i/>
          <w:sz w:val="28"/>
          <w:szCs w:val="28"/>
          <w:lang w:eastAsia="en-AU"/>
        </w:rPr>
        <w:t>(Nexus Derivatives) Instrument 2024/</w:t>
      </w:r>
      <w:r w:rsidR="00DF599F" w:rsidRPr="00C11B77">
        <w:rPr>
          <w:b/>
          <w:i/>
          <w:sz w:val="28"/>
          <w:szCs w:val="28"/>
          <w:lang w:eastAsia="en-AU"/>
        </w:rPr>
        <w:t>603</w:t>
      </w:r>
    </w:p>
    <w:p w14:paraId="3D36FF5F" w14:textId="0E48E54A" w:rsidR="00863657" w:rsidRPr="00C11B77" w:rsidRDefault="00F800C9" w:rsidP="00F800C9">
      <w:pPr>
        <w:pStyle w:val="LI-BodyTextParaa"/>
        <w:ind w:left="0" w:firstLine="0"/>
      </w:pPr>
      <w:bookmarkStart w:id="1" w:name="BK_S3P1L1C1"/>
      <w:bookmarkEnd w:id="0"/>
      <w:bookmarkEnd w:id="1"/>
      <w:r w:rsidRPr="00C11B77">
        <w:t xml:space="preserve">This is the Explanatory Statement for </w:t>
      </w:r>
      <w:r w:rsidR="008C0C1B" w:rsidRPr="00C11B77">
        <w:rPr>
          <w:i/>
          <w:iCs/>
        </w:rPr>
        <w:t xml:space="preserve">ASIC Derivative </w:t>
      </w:r>
      <w:r w:rsidR="008C0C1B" w:rsidRPr="00C11B77">
        <w:rPr>
          <w:i/>
        </w:rPr>
        <w:t xml:space="preserve">Transaction Rules (Nexus Derivatives Repeal) Instrument 2024/602 </w:t>
      </w:r>
      <w:r w:rsidR="008C0C1B" w:rsidRPr="00C11B77">
        <w:t>(</w:t>
      </w:r>
      <w:r w:rsidR="008C0C1B" w:rsidRPr="00C11B77">
        <w:rPr>
          <w:b/>
          <w:bCs/>
          <w:i/>
          <w:iCs/>
        </w:rPr>
        <w:t>Nexus Repeal Instrument</w:t>
      </w:r>
      <w:r w:rsidR="008C0C1B" w:rsidRPr="00C11B77">
        <w:t xml:space="preserve">) and </w:t>
      </w:r>
      <w:r w:rsidR="0049352D" w:rsidRPr="00C11B77">
        <w:rPr>
          <w:i/>
          <w:iCs/>
        </w:rPr>
        <w:t xml:space="preserve">ASIC Derivative </w:t>
      </w:r>
      <w:r w:rsidR="0049352D" w:rsidRPr="00C11B77">
        <w:rPr>
          <w:i/>
        </w:rPr>
        <w:t xml:space="preserve">Transaction Rules </w:t>
      </w:r>
      <w:r w:rsidR="004514F1" w:rsidRPr="00C11B77">
        <w:rPr>
          <w:i/>
        </w:rPr>
        <w:t>(Nexus Derivatives) Instrument 2024/</w:t>
      </w:r>
      <w:r w:rsidR="008C0C1B" w:rsidRPr="00C11B77">
        <w:rPr>
          <w:i/>
        </w:rPr>
        <w:t>603</w:t>
      </w:r>
      <w:r w:rsidR="0049352D" w:rsidRPr="00C11B77">
        <w:rPr>
          <w:i/>
        </w:rPr>
        <w:t xml:space="preserve"> </w:t>
      </w:r>
      <w:r w:rsidR="007926E5" w:rsidRPr="00C11B77">
        <w:t>(</w:t>
      </w:r>
      <w:r w:rsidR="00AE0901" w:rsidRPr="00C11B77">
        <w:rPr>
          <w:b/>
          <w:bCs/>
          <w:i/>
          <w:iCs/>
        </w:rPr>
        <w:t>Nexus</w:t>
      </w:r>
      <w:r w:rsidR="0072739E" w:rsidRPr="00C11B77">
        <w:rPr>
          <w:b/>
          <w:bCs/>
          <w:i/>
          <w:iCs/>
        </w:rPr>
        <w:t xml:space="preserve"> </w:t>
      </w:r>
      <w:r w:rsidR="00700800" w:rsidRPr="00C11B77">
        <w:rPr>
          <w:b/>
          <w:bCs/>
          <w:i/>
          <w:iCs/>
        </w:rPr>
        <w:t>Instrument</w:t>
      </w:r>
      <w:r w:rsidR="007926E5" w:rsidRPr="00C11B77">
        <w:t>)</w:t>
      </w:r>
      <w:r w:rsidRPr="00C11B77">
        <w:t>.</w:t>
      </w:r>
    </w:p>
    <w:p w14:paraId="01EFBC80" w14:textId="41D83200" w:rsidR="00F800C9" w:rsidRPr="00C11B77" w:rsidRDefault="00863657" w:rsidP="00C14654">
      <w:pPr>
        <w:pStyle w:val="LI-BodyTextParaa"/>
        <w:ind w:left="0" w:firstLine="0"/>
      </w:pPr>
      <w:r w:rsidRPr="00C11B77">
        <w:t>Th</w:t>
      </w:r>
      <w:r w:rsidR="00F800C9" w:rsidRPr="00C11B77">
        <w:t>e</w:t>
      </w:r>
      <w:r w:rsidRPr="00C11B77">
        <w:t xml:space="preserve"> </w:t>
      </w:r>
      <w:r w:rsidR="00F800C9" w:rsidRPr="00C11B77">
        <w:t>Explanatory Statement is approved by the Australian Securities and</w:t>
      </w:r>
      <w:r w:rsidR="00C14654" w:rsidRPr="00C11B77">
        <w:t xml:space="preserve"> </w:t>
      </w:r>
      <w:r w:rsidR="00F800C9" w:rsidRPr="00C11B77">
        <w:t>Investments Commission (</w:t>
      </w:r>
      <w:r w:rsidR="00F800C9" w:rsidRPr="00C11B77">
        <w:rPr>
          <w:b/>
          <w:i/>
        </w:rPr>
        <w:t>ASIC</w:t>
      </w:r>
      <w:r w:rsidR="00F800C9" w:rsidRPr="00C11B77">
        <w:t>).</w:t>
      </w:r>
    </w:p>
    <w:p w14:paraId="651F3DEF" w14:textId="77777777" w:rsidR="00F800C9" w:rsidRPr="00C11B77" w:rsidRDefault="005D1FEA" w:rsidP="00F800C9">
      <w:pPr>
        <w:pStyle w:val="LI-BodyTextNumbered"/>
        <w:ind w:left="0" w:firstLine="0"/>
        <w:rPr>
          <w:b/>
        </w:rPr>
      </w:pPr>
      <w:r w:rsidRPr="00C11B77">
        <w:rPr>
          <w:b/>
        </w:rPr>
        <w:t>Summary</w:t>
      </w:r>
    </w:p>
    <w:p w14:paraId="24E083AF" w14:textId="6EB40F9C" w:rsidR="00810E51" w:rsidRPr="00C11B77" w:rsidRDefault="00810E51" w:rsidP="00F42420">
      <w:pPr>
        <w:pStyle w:val="LI-BodyTextParaa"/>
        <w:numPr>
          <w:ilvl w:val="0"/>
          <w:numId w:val="24"/>
        </w:numPr>
        <w:ind w:left="567" w:hanging="567"/>
      </w:pPr>
      <w:r w:rsidRPr="00C11B77">
        <w:t xml:space="preserve">The Nexus Repeal Instrument is made under paragraph 907D(2)(a) of the </w:t>
      </w:r>
      <w:r w:rsidR="009A33A5" w:rsidRPr="00C11B77">
        <w:rPr>
          <w:i/>
          <w:iCs/>
        </w:rPr>
        <w:t>Corporations Act 2001</w:t>
      </w:r>
      <w:r w:rsidR="009A33A5" w:rsidRPr="00C11B77">
        <w:t> (the </w:t>
      </w:r>
      <w:r w:rsidR="009A33A5" w:rsidRPr="00C11B77">
        <w:rPr>
          <w:b/>
          <w:bCs/>
          <w:i/>
          <w:iCs/>
        </w:rPr>
        <w:t>Corporations Act</w:t>
      </w:r>
      <w:r w:rsidR="009A33A5" w:rsidRPr="00C11B77">
        <w:t>)</w:t>
      </w:r>
      <w:r w:rsidR="00CD6226" w:rsidRPr="00C11B77">
        <w:t xml:space="preserve"> and repeals</w:t>
      </w:r>
      <w:r w:rsidR="008A26B2" w:rsidRPr="00C11B77">
        <w:t xml:space="preserve"> the</w:t>
      </w:r>
      <w:r w:rsidR="00CD6226" w:rsidRPr="00C11B77">
        <w:t xml:space="preserve"> </w:t>
      </w:r>
      <w:r w:rsidR="00CF5707" w:rsidRPr="00C11B77">
        <w:rPr>
          <w:i/>
          <w:iCs/>
        </w:rPr>
        <w:t xml:space="preserve">ASIC Derivative </w:t>
      </w:r>
      <w:r w:rsidR="00E020A5" w:rsidRPr="00C11B77">
        <w:rPr>
          <w:i/>
          <w:iCs/>
        </w:rPr>
        <w:t>Transaction Rules</w:t>
      </w:r>
      <w:r w:rsidR="00CF5707" w:rsidRPr="00C11B77">
        <w:rPr>
          <w:i/>
          <w:iCs/>
        </w:rPr>
        <w:t xml:space="preserve"> (Nexus Derivatives) Class Exemption 2015</w:t>
      </w:r>
      <w:r w:rsidR="00CD6226" w:rsidRPr="00C11B77">
        <w:t xml:space="preserve"> (the </w:t>
      </w:r>
      <w:r w:rsidR="00CD6226" w:rsidRPr="00C11B77">
        <w:rPr>
          <w:b/>
          <w:bCs/>
          <w:i/>
          <w:iCs/>
        </w:rPr>
        <w:t>2015 Nexus exemption</w:t>
      </w:r>
      <w:r w:rsidR="00CD6226" w:rsidRPr="00C11B77">
        <w:t>)</w:t>
      </w:r>
      <w:r w:rsidR="001F34DA" w:rsidRPr="00C11B77">
        <w:t xml:space="preserve"> </w:t>
      </w:r>
      <w:r w:rsidR="00434636" w:rsidRPr="00C11B77">
        <w:t>on</w:t>
      </w:r>
      <w:r w:rsidR="001F34DA" w:rsidRPr="00C11B77">
        <w:t xml:space="preserve"> 21 October 2024</w:t>
      </w:r>
      <w:r w:rsidR="002C776A" w:rsidRPr="00C11B77">
        <w:t>.</w:t>
      </w:r>
    </w:p>
    <w:p w14:paraId="415FA63A" w14:textId="0B6EC7F9" w:rsidR="001A1FC3" w:rsidRDefault="00CE7137" w:rsidP="00F42420">
      <w:pPr>
        <w:pStyle w:val="LI-BodyTextParaa"/>
        <w:numPr>
          <w:ilvl w:val="0"/>
          <w:numId w:val="24"/>
        </w:numPr>
        <w:ind w:left="567" w:hanging="567"/>
      </w:pPr>
      <w:r w:rsidRPr="00C11B77">
        <w:t xml:space="preserve">The </w:t>
      </w:r>
      <w:r w:rsidR="00700800" w:rsidRPr="00C11B77">
        <w:t>Nexus</w:t>
      </w:r>
      <w:r w:rsidR="0072739E" w:rsidRPr="00C11B77">
        <w:t xml:space="preserve"> Instrument</w:t>
      </w:r>
      <w:r w:rsidRPr="00C11B77">
        <w:t xml:space="preserve"> is made</w:t>
      </w:r>
      <w:r w:rsidRPr="00147DFD">
        <w:t xml:space="preserve"> under </w:t>
      </w:r>
      <w:r w:rsidR="00A31232" w:rsidRPr="00147DFD">
        <w:t>paragraph 907D(2)(a) of the</w:t>
      </w:r>
      <w:r w:rsidR="009A33A5" w:rsidRPr="00147DFD">
        <w:t xml:space="preserve"> </w:t>
      </w:r>
      <w:r w:rsidR="00C52B19" w:rsidRPr="00147DFD">
        <w:t xml:space="preserve">Corporations </w:t>
      </w:r>
      <w:r w:rsidR="009A5BB9" w:rsidRPr="00147DFD">
        <w:t>Act and</w:t>
      </w:r>
      <w:r w:rsidRPr="00147DFD">
        <w:t xml:space="preserve"> </w:t>
      </w:r>
      <w:r w:rsidR="00064A3A" w:rsidRPr="00147DFD">
        <w:t xml:space="preserve">remakes </w:t>
      </w:r>
      <w:r w:rsidR="00327916" w:rsidRPr="00147DFD">
        <w:t xml:space="preserve">the 2015 </w:t>
      </w:r>
      <w:r w:rsidR="00CB0446" w:rsidRPr="00147DFD">
        <w:t>Nexus</w:t>
      </w:r>
      <w:r w:rsidR="00CB0446" w:rsidRPr="00D430F4">
        <w:t xml:space="preserve"> </w:t>
      </w:r>
      <w:r w:rsidR="00327916" w:rsidRPr="00D430F4">
        <w:t xml:space="preserve">exemption </w:t>
      </w:r>
      <w:r w:rsidR="00EE2276" w:rsidRPr="00D430F4">
        <w:t xml:space="preserve">in </w:t>
      </w:r>
      <w:r w:rsidR="00517776" w:rsidRPr="00D430F4">
        <w:t xml:space="preserve">substantively </w:t>
      </w:r>
      <w:r w:rsidR="00EE2276" w:rsidRPr="00D430F4">
        <w:t>like manner</w:t>
      </w:r>
      <w:r w:rsidR="005F581E" w:rsidRPr="00D430F4">
        <w:t xml:space="preserve"> </w:t>
      </w:r>
      <w:r w:rsidR="009A50D7" w:rsidRPr="00D430F4">
        <w:t>and subject to like conditions</w:t>
      </w:r>
      <w:r w:rsidR="00327916" w:rsidRPr="00D430F4">
        <w:t>,</w:t>
      </w:r>
      <w:r w:rsidR="009A50D7" w:rsidRPr="00D430F4">
        <w:t xml:space="preserve"> so as to continue </w:t>
      </w:r>
      <w:r w:rsidR="000F51C8" w:rsidRPr="00D430F4">
        <w:t>the provisions</w:t>
      </w:r>
      <w:r w:rsidR="000F51C8">
        <w:t xml:space="preserve"> of the 2015 </w:t>
      </w:r>
      <w:r w:rsidR="001F34DA">
        <w:t xml:space="preserve">Nexus </w:t>
      </w:r>
      <w:r w:rsidR="000F51C8">
        <w:t>exemption</w:t>
      </w:r>
      <w:r w:rsidR="009F441F">
        <w:t xml:space="preserve"> from its </w:t>
      </w:r>
      <w:r w:rsidR="00DB1C93">
        <w:t>2</w:t>
      </w:r>
      <w:r w:rsidR="009F441F">
        <w:t xml:space="preserve">1 </w:t>
      </w:r>
      <w:r w:rsidR="00DB1C93">
        <w:t xml:space="preserve">October </w:t>
      </w:r>
      <w:r w:rsidR="009F441F">
        <w:t>202</w:t>
      </w:r>
      <w:r w:rsidR="00DB1C93">
        <w:t>4</w:t>
      </w:r>
      <w:r w:rsidR="009F441F">
        <w:t xml:space="preserve"> </w:t>
      </w:r>
      <w:r w:rsidR="00B05304">
        <w:t xml:space="preserve">repeal </w:t>
      </w:r>
      <w:r w:rsidR="009F441F">
        <w:t xml:space="preserve">until </w:t>
      </w:r>
      <w:r w:rsidR="00EE31F6">
        <w:t xml:space="preserve">the start of </w:t>
      </w:r>
      <w:r w:rsidR="009F441F">
        <w:t>20 October 2025</w:t>
      </w:r>
      <w:r w:rsidR="00E95870">
        <w:t>.</w:t>
      </w:r>
    </w:p>
    <w:p w14:paraId="4B194C21" w14:textId="4622F1A0" w:rsidR="00F42420" w:rsidRPr="007A2398" w:rsidRDefault="0090778E" w:rsidP="00F42420">
      <w:pPr>
        <w:pStyle w:val="LI-BodyTextParaa"/>
        <w:numPr>
          <w:ilvl w:val="0"/>
          <w:numId w:val="24"/>
        </w:numPr>
        <w:ind w:left="567" w:hanging="567"/>
      </w:pPr>
      <w:r w:rsidRPr="007A2398">
        <w:t>The 2015</w:t>
      </w:r>
      <w:r w:rsidR="003A2B8A" w:rsidRPr="007A2398">
        <w:t xml:space="preserve"> </w:t>
      </w:r>
      <w:r w:rsidR="00CB0446">
        <w:t xml:space="preserve">Nexus </w:t>
      </w:r>
      <w:r w:rsidR="003A2B8A" w:rsidRPr="007A2398">
        <w:t xml:space="preserve">exemption </w:t>
      </w:r>
      <w:r w:rsidR="0059440A" w:rsidRPr="007A2398">
        <w:t>provided reli</w:t>
      </w:r>
      <w:r w:rsidR="005318FD" w:rsidRPr="007A2398">
        <w:t xml:space="preserve">ef </w:t>
      </w:r>
      <w:r w:rsidR="00C545DD" w:rsidRPr="007A2398">
        <w:t xml:space="preserve">to </w:t>
      </w:r>
      <w:r w:rsidR="00875983" w:rsidRPr="007A2398">
        <w:t xml:space="preserve">certain </w:t>
      </w:r>
      <w:r w:rsidR="00C545DD" w:rsidRPr="007A2398">
        <w:t xml:space="preserve">foreign reporting entities under the </w:t>
      </w:r>
      <w:r w:rsidR="00CF5707" w:rsidRPr="00E020A5">
        <w:rPr>
          <w:i/>
          <w:iCs/>
        </w:rPr>
        <w:t>ASIC Derivative Transaction Rules (Reporting) 2022</w:t>
      </w:r>
      <w:r w:rsidR="00C545DD" w:rsidRPr="007A2398">
        <w:rPr>
          <w:rStyle w:val="CharAmSchText"/>
        </w:rPr>
        <w:t xml:space="preserve"> (the </w:t>
      </w:r>
      <w:r w:rsidR="00C545DD" w:rsidRPr="007A2398">
        <w:rPr>
          <w:rStyle w:val="CharAmSchText"/>
          <w:b/>
          <w:bCs/>
          <w:i/>
          <w:iCs/>
        </w:rPr>
        <w:t>2022 Reporting Rules</w:t>
      </w:r>
      <w:r w:rsidR="00787D74" w:rsidRPr="007A2398">
        <w:rPr>
          <w:rStyle w:val="CharAmSchText"/>
        </w:rPr>
        <w:t xml:space="preserve">) </w:t>
      </w:r>
      <w:r w:rsidR="00A142A3" w:rsidRPr="007A2398">
        <w:rPr>
          <w:rStyle w:val="CharAmSchText"/>
        </w:rPr>
        <w:t xml:space="preserve">from the requirement to report </w:t>
      </w:r>
      <w:r w:rsidR="00802481" w:rsidRPr="007A2398">
        <w:rPr>
          <w:rStyle w:val="CharAmSchText"/>
        </w:rPr>
        <w:t>over-the-counter (</w:t>
      </w:r>
      <w:r w:rsidR="00802481" w:rsidRPr="007A2398">
        <w:rPr>
          <w:rStyle w:val="CharAmSchText"/>
          <w:b/>
          <w:bCs/>
          <w:i/>
          <w:iCs/>
        </w:rPr>
        <w:t>OTC</w:t>
      </w:r>
      <w:r w:rsidR="00802481" w:rsidRPr="007A2398">
        <w:rPr>
          <w:rStyle w:val="CharAmSchText"/>
        </w:rPr>
        <w:t>) derivative transaction</w:t>
      </w:r>
      <w:r w:rsidR="00854959" w:rsidRPr="007A2398">
        <w:rPr>
          <w:rStyle w:val="CharAmSchText"/>
        </w:rPr>
        <w:t>s that are ‘entered into in this jurisdiction’</w:t>
      </w:r>
      <w:r w:rsidR="00AB3F0D" w:rsidRPr="007A2398">
        <w:rPr>
          <w:rStyle w:val="CharAmSchText"/>
        </w:rPr>
        <w:t xml:space="preserve">, provided they report OTC derivative transactions </w:t>
      </w:r>
      <w:r w:rsidR="00FF5A03" w:rsidRPr="007A2398">
        <w:t xml:space="preserve">based on an alternative test (referred to in this Explanatory Statement as the </w:t>
      </w:r>
      <w:r w:rsidR="00FF5A03" w:rsidRPr="007A2398">
        <w:rPr>
          <w:b/>
          <w:i/>
        </w:rPr>
        <w:t>Nexus Test</w:t>
      </w:r>
      <w:r w:rsidR="00FF5A03" w:rsidRPr="007A2398">
        <w:t>) focused on the location of persons performing particular functions in relation to an OTC Derivative.</w:t>
      </w:r>
    </w:p>
    <w:p w14:paraId="3E76CFC8" w14:textId="74ACD1B8" w:rsidR="000360B5" w:rsidRPr="007A2398" w:rsidRDefault="0089174C" w:rsidP="00614746">
      <w:pPr>
        <w:pStyle w:val="LI-BodyTextParaa"/>
        <w:numPr>
          <w:ilvl w:val="0"/>
          <w:numId w:val="24"/>
        </w:numPr>
        <w:ind w:left="567" w:hanging="567"/>
      </w:pPr>
      <w:r>
        <w:t xml:space="preserve">On 21 October 2024, the </w:t>
      </w:r>
      <w:r w:rsidR="001F3944">
        <w:t xml:space="preserve">2022 Reporting Rules </w:t>
      </w:r>
      <w:r>
        <w:t xml:space="preserve">are repealed and replaced by </w:t>
      </w:r>
      <w:r w:rsidRPr="007A2398">
        <w:rPr>
          <w:rStyle w:val="CharAmSchText"/>
        </w:rPr>
        <w:t xml:space="preserve">the </w:t>
      </w:r>
      <w:r w:rsidR="00CF5707" w:rsidRPr="00E020A5">
        <w:rPr>
          <w:i/>
          <w:iCs/>
        </w:rPr>
        <w:t>ASIC Derivative Transaction Rules (Reporting) 2024</w:t>
      </w:r>
      <w:r w:rsidRPr="007A2398">
        <w:rPr>
          <w:rStyle w:val="CharAmSchText"/>
        </w:rPr>
        <w:t xml:space="preserve"> (the </w:t>
      </w:r>
      <w:r w:rsidRPr="007A2398">
        <w:rPr>
          <w:rStyle w:val="CharAmSchText"/>
          <w:b/>
          <w:bCs/>
          <w:i/>
          <w:iCs/>
        </w:rPr>
        <w:t xml:space="preserve">2024 Reporting </w:t>
      </w:r>
      <w:r w:rsidRPr="00302C88">
        <w:rPr>
          <w:rStyle w:val="CharAmSchText"/>
          <w:b/>
          <w:bCs/>
          <w:i/>
          <w:iCs/>
        </w:rPr>
        <w:t>Rules</w:t>
      </w:r>
      <w:r w:rsidRPr="00302C88">
        <w:rPr>
          <w:rStyle w:val="CharAmSchText"/>
        </w:rPr>
        <w:t>)</w:t>
      </w:r>
      <w:r w:rsidR="00DE449B" w:rsidRPr="00302C88">
        <w:rPr>
          <w:rStyle w:val="CharAmSchText"/>
        </w:rPr>
        <w:t xml:space="preserve"> </w:t>
      </w:r>
      <w:r w:rsidR="00276AB2" w:rsidRPr="00302C88">
        <w:rPr>
          <w:rStyle w:val="CharAmSchText"/>
        </w:rPr>
        <w:t xml:space="preserve">and, </w:t>
      </w:r>
      <w:r w:rsidR="00614746" w:rsidRPr="00302C88">
        <w:t xml:space="preserve">from 20 October 2025, </w:t>
      </w:r>
      <w:r w:rsidR="00FD709A" w:rsidRPr="00302C88">
        <w:rPr>
          <w:i/>
          <w:iCs/>
        </w:rPr>
        <w:t>ASIC Derivative Transaction Rules (Reporting and Clearing) 2024 Amendment Instrument 2024/416</w:t>
      </w:r>
      <w:r w:rsidR="00FD709A" w:rsidRPr="00302C88">
        <w:t xml:space="preserve"> </w:t>
      </w:r>
      <w:r w:rsidR="00FA129F" w:rsidRPr="00302C88">
        <w:t xml:space="preserve">(the </w:t>
      </w:r>
      <w:r w:rsidR="00241AAB" w:rsidRPr="00302C88">
        <w:rPr>
          <w:b/>
          <w:bCs/>
          <w:i/>
          <w:iCs/>
        </w:rPr>
        <w:t>2024</w:t>
      </w:r>
      <w:r w:rsidR="00CB0446">
        <w:rPr>
          <w:b/>
          <w:bCs/>
          <w:i/>
          <w:iCs/>
        </w:rPr>
        <w:t xml:space="preserve"> Rules</w:t>
      </w:r>
      <w:r w:rsidR="00241AAB">
        <w:rPr>
          <w:b/>
          <w:bCs/>
          <w:i/>
          <w:iCs/>
        </w:rPr>
        <w:t xml:space="preserve"> </w:t>
      </w:r>
      <w:r w:rsidR="00241AAB" w:rsidRPr="00972E3C">
        <w:rPr>
          <w:b/>
          <w:bCs/>
          <w:i/>
          <w:iCs/>
        </w:rPr>
        <w:t>amendment</w:t>
      </w:r>
      <w:r w:rsidR="00241AAB">
        <w:t xml:space="preserve">) </w:t>
      </w:r>
      <w:r w:rsidR="00FD709A" w:rsidRPr="00241AAB">
        <w:t>ame</w:t>
      </w:r>
      <w:r w:rsidR="00424C0B" w:rsidRPr="00241AAB">
        <w:t>nds</w:t>
      </w:r>
      <w:r w:rsidR="00424C0B" w:rsidRPr="007A2398">
        <w:t xml:space="preserve"> </w:t>
      </w:r>
      <w:r w:rsidR="00614746" w:rsidRPr="007A2398">
        <w:t xml:space="preserve">the </w:t>
      </w:r>
      <w:r w:rsidR="00A81ADF" w:rsidRPr="007A2398">
        <w:t xml:space="preserve">2024 Reporting Rules </w:t>
      </w:r>
      <w:r w:rsidR="00424C0B" w:rsidRPr="007A2398">
        <w:t xml:space="preserve">to permanently substitute </w:t>
      </w:r>
      <w:r w:rsidR="00D925C1" w:rsidRPr="007A2398">
        <w:lastRenderedPageBreak/>
        <w:t>the</w:t>
      </w:r>
      <w:r w:rsidR="00770111" w:rsidRPr="007A2398">
        <w:t xml:space="preserve"> form of the Nexus Test in place of the ‘ent</w:t>
      </w:r>
      <w:r w:rsidR="00F03019" w:rsidRPr="007A2398">
        <w:t>ered into in this jurisdiction’ test</w:t>
      </w:r>
      <w:r w:rsidR="00937928" w:rsidRPr="007A2398">
        <w:t xml:space="preserve"> for determining a reportable </w:t>
      </w:r>
      <w:r w:rsidR="00937928" w:rsidRPr="007A2398">
        <w:rPr>
          <w:rStyle w:val="CharAmSchText"/>
        </w:rPr>
        <w:t>OTC derivative transaction</w:t>
      </w:r>
      <w:r w:rsidR="00F03019" w:rsidRPr="007A2398">
        <w:t>.</w:t>
      </w:r>
    </w:p>
    <w:p w14:paraId="66716F85" w14:textId="7C3BC749" w:rsidR="00E44CE5" w:rsidRDefault="00693CFB" w:rsidP="00E17AB5">
      <w:pPr>
        <w:pStyle w:val="LI-BodyTextParaa"/>
        <w:numPr>
          <w:ilvl w:val="0"/>
          <w:numId w:val="24"/>
        </w:numPr>
        <w:ind w:left="567" w:hanging="567"/>
      </w:pPr>
      <w:r>
        <w:t xml:space="preserve">The 2015 </w:t>
      </w:r>
      <w:r w:rsidR="00A5219B">
        <w:t>N</w:t>
      </w:r>
      <w:r w:rsidR="00105A6D">
        <w:t xml:space="preserve">exus </w:t>
      </w:r>
      <w:r>
        <w:t xml:space="preserve">exemption </w:t>
      </w:r>
      <w:r w:rsidR="005849CB">
        <w:t xml:space="preserve">was due to sunset on 1 April 2025 and </w:t>
      </w:r>
      <w:r w:rsidR="00492D0E">
        <w:t xml:space="preserve">in order to </w:t>
      </w:r>
      <w:r w:rsidR="00B5639D">
        <w:t xml:space="preserve">effectively </w:t>
      </w:r>
      <w:r w:rsidR="00553921">
        <w:t xml:space="preserve">continue </w:t>
      </w:r>
      <w:r w:rsidR="004B7CC6">
        <w:t>its</w:t>
      </w:r>
      <w:r w:rsidR="00553921">
        <w:t xml:space="preserve"> </w:t>
      </w:r>
      <w:r w:rsidR="00553921" w:rsidRPr="007A2398">
        <w:t xml:space="preserve">provisions </w:t>
      </w:r>
      <w:r w:rsidR="009946EF" w:rsidRPr="007A2398">
        <w:t>until the Nexus Test commences under the 2024 Reporting Rules</w:t>
      </w:r>
      <w:r w:rsidR="009946EF">
        <w:t>:</w:t>
      </w:r>
    </w:p>
    <w:p w14:paraId="4D0ACB90" w14:textId="15188C79" w:rsidR="009534F7" w:rsidRDefault="008C0C1B" w:rsidP="008A0404">
      <w:pPr>
        <w:pStyle w:val="LI-BodyTextParaa"/>
        <w:numPr>
          <w:ilvl w:val="0"/>
          <w:numId w:val="23"/>
        </w:numPr>
        <w:ind w:left="1134" w:hanging="567"/>
      </w:pPr>
      <w:r>
        <w:t xml:space="preserve">the Nexus Repeal Instrument </w:t>
      </w:r>
      <w:r w:rsidR="00C347BF" w:rsidRPr="00302C88">
        <w:t xml:space="preserve">repeals the 2015 </w:t>
      </w:r>
      <w:r w:rsidR="00105A6D" w:rsidRPr="00302C88">
        <w:t xml:space="preserve">Nexus </w:t>
      </w:r>
      <w:r w:rsidR="00C347BF" w:rsidRPr="00302C88">
        <w:t xml:space="preserve">exemption </w:t>
      </w:r>
      <w:r w:rsidR="00283192">
        <w:t>on</w:t>
      </w:r>
      <w:r w:rsidR="00C347BF">
        <w:t xml:space="preserve"> 21 October 2024</w:t>
      </w:r>
      <w:r w:rsidR="009534F7">
        <w:t>; and</w:t>
      </w:r>
    </w:p>
    <w:p w14:paraId="6AD69C0E" w14:textId="2F4ECBEF" w:rsidR="004211CC" w:rsidRDefault="00FC7CBD" w:rsidP="008A0404">
      <w:pPr>
        <w:pStyle w:val="LI-BodyTextParaa"/>
        <w:numPr>
          <w:ilvl w:val="0"/>
          <w:numId w:val="23"/>
        </w:numPr>
        <w:ind w:left="1134" w:hanging="567"/>
      </w:pPr>
      <w:r>
        <w:t>the</w:t>
      </w:r>
      <w:r w:rsidR="000360B5" w:rsidRPr="007A2398">
        <w:t xml:space="preserve"> Nexus Instrument </w:t>
      </w:r>
      <w:r w:rsidR="009534F7">
        <w:t xml:space="preserve">commences on 21 October 2024 and </w:t>
      </w:r>
      <w:r w:rsidR="00CA40B3">
        <w:t xml:space="preserve">is repealed from the </w:t>
      </w:r>
      <w:r w:rsidR="00283192">
        <w:t xml:space="preserve">start </w:t>
      </w:r>
      <w:r w:rsidR="00CA40B3">
        <w:t>of 20 October 2025.</w:t>
      </w:r>
    </w:p>
    <w:p w14:paraId="2516399D" w14:textId="52A58F36" w:rsidR="00573790" w:rsidRPr="007A2398" w:rsidRDefault="00573790" w:rsidP="00573790">
      <w:pPr>
        <w:pStyle w:val="LI-BodyTextParaa"/>
        <w:ind w:left="567"/>
        <w:rPr>
          <w:b/>
          <w:bCs/>
        </w:rPr>
      </w:pPr>
      <w:r w:rsidRPr="007A2398">
        <w:rPr>
          <w:b/>
          <w:bCs/>
        </w:rPr>
        <w:t>Purpose</w:t>
      </w:r>
    </w:p>
    <w:p w14:paraId="751BEC56" w14:textId="2E372208" w:rsidR="00C66F29" w:rsidRDefault="00C66F29" w:rsidP="00D74BFF">
      <w:pPr>
        <w:pStyle w:val="LI-BodyTextParaa"/>
        <w:numPr>
          <w:ilvl w:val="0"/>
          <w:numId w:val="24"/>
        </w:numPr>
        <w:ind w:left="567" w:hanging="567"/>
      </w:pPr>
      <w:r>
        <w:t>The purpose of the Nexus Repeal Instrument is to allow</w:t>
      </w:r>
      <w:r w:rsidR="00F93A3A">
        <w:t xml:space="preserve"> for the remaking of the 2015 Nexus exemption.</w:t>
      </w:r>
    </w:p>
    <w:p w14:paraId="074F9450" w14:textId="516043F5" w:rsidR="00D74BFF" w:rsidRPr="007A2398" w:rsidRDefault="00EA6D46" w:rsidP="00D74BFF">
      <w:pPr>
        <w:pStyle w:val="LI-BodyTextParaa"/>
        <w:numPr>
          <w:ilvl w:val="0"/>
          <w:numId w:val="24"/>
        </w:numPr>
        <w:ind w:left="567" w:hanging="567"/>
      </w:pPr>
      <w:r w:rsidRPr="007A2398">
        <w:t>The purpose of the</w:t>
      </w:r>
      <w:r w:rsidR="005B2EC7" w:rsidRPr="007A2398">
        <w:t xml:space="preserve"> Nexus Instrument </w:t>
      </w:r>
      <w:r w:rsidR="00251937" w:rsidRPr="007A2398">
        <w:t>is to maintain</w:t>
      </w:r>
      <w:r w:rsidR="009113EF" w:rsidRPr="007A2398">
        <w:t xml:space="preserve"> the existing</w:t>
      </w:r>
      <w:r w:rsidR="00251937" w:rsidRPr="007A2398">
        <w:t xml:space="preserve"> </w:t>
      </w:r>
      <w:r w:rsidR="00D74BFF" w:rsidRPr="007A2398">
        <w:t xml:space="preserve">relief for certain foreign reporting entities under the </w:t>
      </w:r>
      <w:r w:rsidR="009113EF" w:rsidRPr="007A2398">
        <w:t xml:space="preserve">2024 Reporting </w:t>
      </w:r>
      <w:r w:rsidR="00BE6F6D" w:rsidRPr="007A2398">
        <w:t>Rules f</w:t>
      </w:r>
      <w:r w:rsidR="00264630" w:rsidRPr="007A2398">
        <w:t>r</w:t>
      </w:r>
      <w:r w:rsidR="00D74BFF" w:rsidRPr="007A2398">
        <w:rPr>
          <w:rStyle w:val="CharAmSchText"/>
        </w:rPr>
        <w:t xml:space="preserve">om the requirement to report </w:t>
      </w:r>
      <w:r w:rsidR="00BE6F6D" w:rsidRPr="007A2398">
        <w:rPr>
          <w:rStyle w:val="CharAmSchText"/>
        </w:rPr>
        <w:t xml:space="preserve">OTC </w:t>
      </w:r>
      <w:r w:rsidR="00D74BFF" w:rsidRPr="007A2398">
        <w:rPr>
          <w:rStyle w:val="CharAmSchText"/>
        </w:rPr>
        <w:t>derivative transactions that are ‘entered into in this jurisdiction’</w:t>
      </w:r>
      <w:r w:rsidR="00264630" w:rsidRPr="007A2398">
        <w:rPr>
          <w:rStyle w:val="CharAmSchText"/>
        </w:rPr>
        <w:t xml:space="preserve"> until that provision is removed from the 2024 Reporting Rules </w:t>
      </w:r>
      <w:r w:rsidR="0018430A" w:rsidRPr="007A2398">
        <w:rPr>
          <w:rStyle w:val="CharAmSchText"/>
        </w:rPr>
        <w:t>on 20 October 2025</w:t>
      </w:r>
      <w:r w:rsidR="00B35D56" w:rsidRPr="007A2398">
        <w:rPr>
          <w:rStyle w:val="CharAmSchText"/>
        </w:rPr>
        <w:t xml:space="preserve"> and replaced by the form of the Nexus Test.</w:t>
      </w:r>
    </w:p>
    <w:p w14:paraId="48996F21" w14:textId="7383C2D9" w:rsidR="005B2EC7" w:rsidRPr="007A2398" w:rsidRDefault="00B35D56" w:rsidP="005B2EC7">
      <w:pPr>
        <w:pStyle w:val="LI-BodyTextParaa"/>
        <w:numPr>
          <w:ilvl w:val="0"/>
          <w:numId w:val="24"/>
        </w:numPr>
        <w:ind w:left="567" w:hanging="567"/>
      </w:pPr>
      <w:r w:rsidRPr="007A2398">
        <w:t xml:space="preserve">The Nexus Instrument </w:t>
      </w:r>
      <w:r w:rsidR="007407EA" w:rsidRPr="007A2398">
        <w:t xml:space="preserve">also enables </w:t>
      </w:r>
      <w:r w:rsidR="00CF55C6" w:rsidRPr="007A2398">
        <w:t xml:space="preserve">foreign entities </w:t>
      </w:r>
      <w:r w:rsidR="00A52E77" w:rsidRPr="007A2398">
        <w:t xml:space="preserve">to opt-in to </w:t>
      </w:r>
      <w:r w:rsidR="00B92D5A" w:rsidRPr="007A2398">
        <w:t xml:space="preserve">switch from </w:t>
      </w:r>
      <w:r w:rsidR="00A52E77" w:rsidRPr="007A2398">
        <w:t xml:space="preserve">reporting </w:t>
      </w:r>
      <w:r w:rsidR="00013E30" w:rsidRPr="007A2398">
        <w:t xml:space="preserve">using the </w:t>
      </w:r>
      <w:r w:rsidR="00B92D5A" w:rsidRPr="007A2398">
        <w:t xml:space="preserve">‘entered into </w:t>
      </w:r>
      <w:r w:rsidR="00D50578" w:rsidRPr="007A2398">
        <w:t xml:space="preserve">in this jurisdiction’ test to reporting using the </w:t>
      </w:r>
      <w:r w:rsidR="00013E30" w:rsidRPr="007A2398">
        <w:t>Nexus Test</w:t>
      </w:r>
      <w:r w:rsidR="00105A6D">
        <w:t>, consistent with the settings under the 2015 Nexus exemption and</w:t>
      </w:r>
      <w:r w:rsidR="00013E30" w:rsidRPr="007A2398">
        <w:t xml:space="preserve"> </w:t>
      </w:r>
      <w:r w:rsidR="00B51D31" w:rsidRPr="007A2398">
        <w:t xml:space="preserve">prior </w:t>
      </w:r>
      <w:r w:rsidR="00C3097F" w:rsidRPr="007A2398">
        <w:t xml:space="preserve">to </w:t>
      </w:r>
      <w:r w:rsidR="00D437D9" w:rsidRPr="007A2398">
        <w:t>the Nexus Test</w:t>
      </w:r>
      <w:r w:rsidR="00147C1E" w:rsidRPr="007A2398">
        <w:t xml:space="preserve"> replacing the ‘entered into in this jurisdiction test’ </w:t>
      </w:r>
      <w:r w:rsidR="00535DE0">
        <w:t xml:space="preserve">in the 2024 Reporting Rules </w:t>
      </w:r>
      <w:r w:rsidR="00147C1E" w:rsidRPr="007A2398">
        <w:t xml:space="preserve">on </w:t>
      </w:r>
      <w:r w:rsidR="005B2EC7" w:rsidRPr="007A2398">
        <w:t>20 October 2025.</w:t>
      </w:r>
    </w:p>
    <w:p w14:paraId="02C4CBD2" w14:textId="77777777" w:rsidR="009367C5" w:rsidRPr="007A2398" w:rsidRDefault="009367C5" w:rsidP="009367C5">
      <w:pPr>
        <w:pStyle w:val="LI-BodyTextParaa"/>
        <w:ind w:left="567"/>
        <w:rPr>
          <w:b/>
          <w:bCs/>
          <w:i/>
          <w:iCs/>
        </w:rPr>
      </w:pPr>
      <w:r w:rsidRPr="007A2398">
        <w:rPr>
          <w:b/>
          <w:bCs/>
        </w:rPr>
        <w:t>Background</w:t>
      </w:r>
    </w:p>
    <w:p w14:paraId="048BC9BB" w14:textId="0954BB20" w:rsidR="00932089" w:rsidRPr="007A2398" w:rsidRDefault="0007385B" w:rsidP="005B2EC7">
      <w:pPr>
        <w:pStyle w:val="LI-BodyTextParaa"/>
        <w:numPr>
          <w:ilvl w:val="0"/>
          <w:numId w:val="24"/>
        </w:numPr>
        <w:ind w:left="567" w:hanging="567"/>
      </w:pPr>
      <w:bookmarkStart w:id="2" w:name="_Ref172124998"/>
      <w:r w:rsidRPr="007A2398">
        <w:t>The 2015</w:t>
      </w:r>
      <w:r w:rsidR="00E1362C">
        <w:t xml:space="preserve"> Nexus</w:t>
      </w:r>
      <w:r w:rsidRPr="007A2398">
        <w:t xml:space="preserve"> exemption commenced on </w:t>
      </w:r>
      <w:r w:rsidR="00753B38" w:rsidRPr="007A2398">
        <w:t xml:space="preserve">2 February </w:t>
      </w:r>
      <w:r w:rsidRPr="007A2398">
        <w:t>2015</w:t>
      </w:r>
      <w:r w:rsidR="00DD3BDA" w:rsidRPr="007A2398">
        <w:t xml:space="preserve"> and the </w:t>
      </w:r>
      <w:r w:rsidR="00CF5707" w:rsidRPr="00E020A5">
        <w:t>Explanatory Statement</w:t>
      </w:r>
      <w:r w:rsidR="00280566" w:rsidRPr="007A2398">
        <w:t xml:space="preserve"> </w:t>
      </w:r>
      <w:r w:rsidR="007C1DD8" w:rsidRPr="007A2398">
        <w:t xml:space="preserve">(the </w:t>
      </w:r>
      <w:r w:rsidR="007C1DD8" w:rsidRPr="007A2398">
        <w:rPr>
          <w:b/>
          <w:bCs/>
          <w:i/>
          <w:iCs/>
        </w:rPr>
        <w:t xml:space="preserve">2015 </w:t>
      </w:r>
      <w:r w:rsidR="00E1362C">
        <w:rPr>
          <w:b/>
          <w:bCs/>
          <w:i/>
          <w:iCs/>
        </w:rPr>
        <w:t>Nexus</w:t>
      </w:r>
      <w:r w:rsidR="00F710F4">
        <w:rPr>
          <w:b/>
          <w:bCs/>
          <w:i/>
          <w:iCs/>
        </w:rPr>
        <w:t xml:space="preserve"> exemption</w:t>
      </w:r>
      <w:r w:rsidR="00E1362C">
        <w:rPr>
          <w:b/>
          <w:bCs/>
          <w:i/>
          <w:iCs/>
        </w:rPr>
        <w:t xml:space="preserve"> E</w:t>
      </w:r>
      <w:r w:rsidR="007C1DD8" w:rsidRPr="007A2398">
        <w:rPr>
          <w:b/>
          <w:bCs/>
          <w:i/>
          <w:iCs/>
        </w:rPr>
        <w:t xml:space="preserve">xplanatory </w:t>
      </w:r>
      <w:r w:rsidR="00E1362C">
        <w:rPr>
          <w:b/>
          <w:bCs/>
          <w:i/>
          <w:iCs/>
        </w:rPr>
        <w:t>S</w:t>
      </w:r>
      <w:r w:rsidR="007C1DD8" w:rsidRPr="007A2398">
        <w:rPr>
          <w:b/>
          <w:bCs/>
          <w:i/>
          <w:iCs/>
        </w:rPr>
        <w:t>tatement</w:t>
      </w:r>
      <w:r w:rsidR="007C1DD8" w:rsidRPr="007A2398">
        <w:t>)</w:t>
      </w:r>
      <w:r w:rsidR="00667A9E" w:rsidRPr="007A2398">
        <w:t xml:space="preserve"> </w:t>
      </w:r>
      <w:r w:rsidR="00280566" w:rsidRPr="007A2398">
        <w:t>sets out the then background as, in summary:</w:t>
      </w:r>
      <w:bookmarkEnd w:id="2"/>
    </w:p>
    <w:p w14:paraId="11F96AD8" w14:textId="33F7F023" w:rsidR="002665A1" w:rsidRPr="007A2398" w:rsidRDefault="0037250B" w:rsidP="00C76545">
      <w:pPr>
        <w:pStyle w:val="LI-BodyTextParaa"/>
        <w:numPr>
          <w:ilvl w:val="0"/>
          <w:numId w:val="41"/>
        </w:numPr>
        <w:ind w:left="1134" w:hanging="567"/>
      </w:pPr>
      <w:r w:rsidRPr="007A2398">
        <w:t xml:space="preserve">On 26 March 2014, ASIC granted </w:t>
      </w:r>
      <w:r w:rsidR="000D137E" w:rsidRPr="007A2398">
        <w:t xml:space="preserve">time-limited </w:t>
      </w:r>
      <w:r w:rsidRPr="007A2398">
        <w:t xml:space="preserve">relief </w:t>
      </w:r>
      <w:r w:rsidR="00F508F2" w:rsidRPr="007A2398">
        <w:t xml:space="preserve">until 1 February 2015 </w:t>
      </w:r>
      <w:r w:rsidRPr="007A2398">
        <w:t xml:space="preserve">to </w:t>
      </w:r>
      <w:r w:rsidR="000F6060" w:rsidRPr="007A2398">
        <w:t xml:space="preserve">certain foreign reporting entities </w:t>
      </w:r>
      <w:r w:rsidRPr="007A2398">
        <w:t xml:space="preserve">from the requirement to report OTC </w:t>
      </w:r>
      <w:r w:rsidR="00C72A51" w:rsidRPr="007A2398">
        <w:t>d</w:t>
      </w:r>
      <w:r w:rsidRPr="007A2398">
        <w:t>erivative</w:t>
      </w:r>
      <w:r w:rsidR="00C72A51" w:rsidRPr="007A2398">
        <w:t xml:space="preserve"> transactions in </w:t>
      </w:r>
      <w:r w:rsidRPr="007A2398">
        <w:t xml:space="preserve">that are 'entered into by the Reporting Entity in this jurisdiction' (see </w:t>
      </w:r>
      <w:r w:rsidR="00CF5707" w:rsidRPr="00E020A5">
        <w:t>ASIC Instrument [14/0234]</w:t>
      </w:r>
      <w:r w:rsidRPr="007A2398">
        <w:t>)</w:t>
      </w:r>
      <w:r w:rsidR="00BE0C03" w:rsidRPr="007A2398">
        <w:t>;</w:t>
      </w:r>
    </w:p>
    <w:p w14:paraId="0B93A37D" w14:textId="7FE6EF09" w:rsidR="00F508F2" w:rsidRPr="007A2398" w:rsidRDefault="00F508F2" w:rsidP="009F2D73">
      <w:pPr>
        <w:pStyle w:val="LI-BodyTextParaa"/>
        <w:numPr>
          <w:ilvl w:val="0"/>
          <w:numId w:val="41"/>
        </w:numPr>
        <w:ind w:left="1134" w:hanging="567"/>
      </w:pPr>
      <w:r w:rsidRPr="007A2398">
        <w:t xml:space="preserve">The purpose of the relief was to provide additional time for ASIC and reporting entities to reach a shared understanding on the meaning of </w:t>
      </w:r>
      <w:r w:rsidR="00EA1337">
        <w:t>‘</w:t>
      </w:r>
      <w:r w:rsidRPr="007A2398">
        <w:t>entered into by the Reporting Entity in this jurisdiction</w:t>
      </w:r>
      <w:r w:rsidR="00EA1337">
        <w:t>’</w:t>
      </w:r>
      <w:r w:rsidRPr="007A2398">
        <w:t xml:space="preserve">, and for </w:t>
      </w:r>
      <w:r w:rsidR="009107C5" w:rsidRPr="007A2398">
        <w:t>r</w:t>
      </w:r>
      <w:r w:rsidRPr="007A2398">
        <w:t xml:space="preserve">eporting </w:t>
      </w:r>
      <w:r w:rsidR="009107C5" w:rsidRPr="007A2398">
        <w:t>e</w:t>
      </w:r>
      <w:r w:rsidRPr="007A2398">
        <w:t>ntities to develop and implement the required information technology, systems and processes to identify</w:t>
      </w:r>
      <w:r w:rsidR="00C72A51" w:rsidRPr="007A2398">
        <w:t xml:space="preserve"> such </w:t>
      </w:r>
      <w:r w:rsidR="001A4EC9" w:rsidRPr="007A2398">
        <w:t>r</w:t>
      </w:r>
      <w:r w:rsidRPr="007A2398">
        <w:t xml:space="preserve">eportable </w:t>
      </w:r>
      <w:r w:rsidR="00C72A51" w:rsidRPr="007A2398">
        <w:t>OTC deriva</w:t>
      </w:r>
      <w:r w:rsidR="00AD275D" w:rsidRPr="007A2398">
        <w:t xml:space="preserve">tive </w:t>
      </w:r>
      <w:r w:rsidR="001A4EC9" w:rsidRPr="007A2398">
        <w:t>t</w:t>
      </w:r>
      <w:r w:rsidRPr="007A2398">
        <w:t>ransactions</w:t>
      </w:r>
      <w:r w:rsidR="001A4EC9" w:rsidRPr="007A2398">
        <w:t>;</w:t>
      </w:r>
    </w:p>
    <w:p w14:paraId="75CDABEB" w14:textId="42627A71" w:rsidR="001A4EC9" w:rsidRPr="007A2398" w:rsidRDefault="00244436" w:rsidP="00770ED3">
      <w:pPr>
        <w:pStyle w:val="LI-BodyTextParaa"/>
        <w:numPr>
          <w:ilvl w:val="0"/>
          <w:numId w:val="41"/>
        </w:numPr>
        <w:ind w:left="1134" w:hanging="567"/>
      </w:pPr>
      <w:r w:rsidRPr="007A2398">
        <w:t>On 6 June 2014</w:t>
      </w:r>
      <w:r w:rsidR="00A67F34" w:rsidRPr="007A2398">
        <w:t xml:space="preserve">, </w:t>
      </w:r>
      <w:r w:rsidRPr="007A2398">
        <w:t xml:space="preserve">ASIC </w:t>
      </w:r>
      <w:r w:rsidR="00A67F34" w:rsidRPr="007A2398">
        <w:t xml:space="preserve">released </w:t>
      </w:r>
      <w:r w:rsidRPr="007A2398">
        <w:t>FAQ 4</w:t>
      </w:r>
      <w:r w:rsidR="00D52D56" w:rsidRPr="007A2398">
        <w:rPr>
          <w:rStyle w:val="FootnoteReference"/>
        </w:rPr>
        <w:footnoteReference w:id="2"/>
      </w:r>
      <w:r w:rsidR="00BF1F31" w:rsidRPr="007A2398">
        <w:t xml:space="preserve"> </w:t>
      </w:r>
      <w:r w:rsidR="002A1BDB" w:rsidRPr="007A2398">
        <w:t xml:space="preserve">that </w:t>
      </w:r>
      <w:r w:rsidRPr="007A2398">
        <w:t xml:space="preserve">gave guidance that the ordinary principles of Australian contract law apply to determining </w:t>
      </w:r>
      <w:r w:rsidRPr="007A2398">
        <w:lastRenderedPageBreak/>
        <w:t xml:space="preserve">whether an OTC Derivative is </w:t>
      </w:r>
      <w:r w:rsidR="00EA1337">
        <w:t>‘</w:t>
      </w:r>
      <w:r w:rsidRPr="007A2398">
        <w:t>entered into by the Reporting Entity in this jurisdiction</w:t>
      </w:r>
      <w:r w:rsidR="00EA1337">
        <w:t>’</w:t>
      </w:r>
      <w:r w:rsidR="00635559" w:rsidRPr="007A2398">
        <w:t>;</w:t>
      </w:r>
    </w:p>
    <w:p w14:paraId="519B20F4" w14:textId="2258811F" w:rsidR="00137F02" w:rsidRPr="007A2398" w:rsidRDefault="004501C7" w:rsidP="00770ED3">
      <w:pPr>
        <w:pStyle w:val="LI-BodyTextParaa"/>
        <w:numPr>
          <w:ilvl w:val="0"/>
          <w:numId w:val="41"/>
        </w:numPr>
        <w:ind w:left="1134" w:hanging="567"/>
      </w:pPr>
      <w:r w:rsidRPr="007A2398">
        <w:t xml:space="preserve">On 31 October 2014, </w:t>
      </w:r>
      <w:r w:rsidR="00635559" w:rsidRPr="007A2398">
        <w:t>the International Swaps and Derivatives Association, Inc. (</w:t>
      </w:r>
      <w:r w:rsidR="00635559" w:rsidRPr="007A2398">
        <w:rPr>
          <w:b/>
          <w:bCs/>
          <w:i/>
          <w:iCs/>
        </w:rPr>
        <w:t>ISDA</w:t>
      </w:r>
      <w:r w:rsidR="00635559" w:rsidRPr="007A2398">
        <w:t xml:space="preserve">) made an application on behalf of </w:t>
      </w:r>
      <w:r w:rsidR="00EF4C71" w:rsidRPr="007A2398">
        <w:t xml:space="preserve">its members, </w:t>
      </w:r>
      <w:r w:rsidR="00635559" w:rsidRPr="007A2398">
        <w:t xml:space="preserve">for relief from the </w:t>
      </w:r>
      <w:r w:rsidR="000E7448" w:rsidRPr="007A2398">
        <w:t>r</w:t>
      </w:r>
      <w:r w:rsidR="00635559" w:rsidRPr="007A2398">
        <w:t xml:space="preserve">eporting </w:t>
      </w:r>
      <w:r w:rsidR="000E7448" w:rsidRPr="007A2398">
        <w:t>r</w:t>
      </w:r>
      <w:r w:rsidR="00635559" w:rsidRPr="007A2398">
        <w:t xml:space="preserve">equirements in relation to OTC </w:t>
      </w:r>
      <w:r w:rsidR="00C86840" w:rsidRPr="007A2398">
        <w:t>d</w:t>
      </w:r>
      <w:r w:rsidR="00635559" w:rsidRPr="007A2398">
        <w:t>erivative</w:t>
      </w:r>
      <w:r w:rsidR="00C86840" w:rsidRPr="007A2398">
        <w:t xml:space="preserve"> tran</w:t>
      </w:r>
      <w:r w:rsidR="00635559" w:rsidRPr="007A2398">
        <w:t>s</w:t>
      </w:r>
      <w:r w:rsidR="00C86840" w:rsidRPr="007A2398">
        <w:t>actions</w:t>
      </w:r>
      <w:r w:rsidR="00635559" w:rsidRPr="007A2398">
        <w:t xml:space="preserve"> </w:t>
      </w:r>
      <w:r w:rsidR="00EA1337">
        <w:t>‘</w:t>
      </w:r>
      <w:r w:rsidR="00635559" w:rsidRPr="007A2398">
        <w:t>entered into in this jurisdiction</w:t>
      </w:r>
      <w:r w:rsidR="00EA1337">
        <w:t>’</w:t>
      </w:r>
      <w:r w:rsidR="00C86840" w:rsidRPr="007A2398">
        <w:t xml:space="preserve">, arguing that </w:t>
      </w:r>
      <w:r w:rsidR="00635559" w:rsidRPr="007A2398">
        <w:t xml:space="preserve">implementing the </w:t>
      </w:r>
      <w:r w:rsidR="00C86840" w:rsidRPr="007A2398">
        <w:t>r</w:t>
      </w:r>
      <w:r w:rsidR="00635559" w:rsidRPr="007A2398">
        <w:t>equirements on the basis set out in ASIC FAQ 4</w:t>
      </w:r>
      <w:r w:rsidR="00C20486" w:rsidRPr="007A2398">
        <w:t xml:space="preserve"> </w:t>
      </w:r>
      <w:r w:rsidR="00635559" w:rsidRPr="007A2398">
        <w:t xml:space="preserve">would be challenging for </w:t>
      </w:r>
      <w:r w:rsidR="00C20486" w:rsidRPr="007A2398">
        <w:t>reporting entities</w:t>
      </w:r>
      <w:r w:rsidR="00635559" w:rsidRPr="007A2398">
        <w:t>, and would not produce a net regulatory benefit</w:t>
      </w:r>
      <w:r w:rsidR="00C20486" w:rsidRPr="007A2398">
        <w:t>;</w:t>
      </w:r>
      <w:r w:rsidR="0050515A">
        <w:t xml:space="preserve"> and</w:t>
      </w:r>
    </w:p>
    <w:p w14:paraId="3C8F12AE" w14:textId="63EA3655" w:rsidR="00635559" w:rsidRPr="007A2398" w:rsidRDefault="00635559" w:rsidP="00770ED3">
      <w:pPr>
        <w:pStyle w:val="LI-BodyTextParaa"/>
        <w:numPr>
          <w:ilvl w:val="0"/>
          <w:numId w:val="41"/>
        </w:numPr>
        <w:ind w:left="1134" w:hanging="567"/>
      </w:pPr>
      <w:bookmarkStart w:id="3" w:name="_Ref172125005"/>
      <w:r w:rsidRPr="007A2398">
        <w:t xml:space="preserve">ISDA instead proposed an approach based on the location of the person performing what is commonly referred to as the </w:t>
      </w:r>
      <w:r w:rsidR="00166904">
        <w:t>‘</w:t>
      </w:r>
      <w:r w:rsidRPr="007A2398">
        <w:t>sales</w:t>
      </w:r>
      <w:r w:rsidR="00166904">
        <w:t>’</w:t>
      </w:r>
      <w:r w:rsidRPr="007A2398">
        <w:t xml:space="preserve"> or </w:t>
      </w:r>
      <w:r w:rsidR="00166904">
        <w:t>‘</w:t>
      </w:r>
      <w:r w:rsidRPr="007A2398">
        <w:t>trading</w:t>
      </w:r>
      <w:r w:rsidR="00166904">
        <w:t>’</w:t>
      </w:r>
      <w:r w:rsidRPr="007A2398">
        <w:t xml:space="preserve"> function of </w:t>
      </w:r>
      <w:r w:rsidR="00137F02" w:rsidRPr="007A2398">
        <w:t>reporting entities</w:t>
      </w:r>
      <w:r w:rsidR="005016EE">
        <w:t xml:space="preserve"> as the basis for the Nexus Test</w:t>
      </w:r>
      <w:r w:rsidRPr="007A2398">
        <w:t>.</w:t>
      </w:r>
      <w:bookmarkEnd w:id="3"/>
    </w:p>
    <w:p w14:paraId="7A9E2B47" w14:textId="44E12633" w:rsidR="008E1A6C" w:rsidRPr="007A2398" w:rsidRDefault="006172E9" w:rsidP="005B2EC7">
      <w:pPr>
        <w:pStyle w:val="LI-BodyTextParaa"/>
        <w:numPr>
          <w:ilvl w:val="0"/>
          <w:numId w:val="24"/>
        </w:numPr>
        <w:ind w:left="567" w:hanging="567"/>
      </w:pPr>
      <w:bookmarkStart w:id="4" w:name="_Ref172125013"/>
      <w:r w:rsidRPr="007A2398">
        <w:t xml:space="preserve">Following further consultation </w:t>
      </w:r>
      <w:r w:rsidR="00267A95" w:rsidRPr="007A2398">
        <w:t>with ISDA</w:t>
      </w:r>
      <w:r w:rsidR="003842DB" w:rsidRPr="007A2398">
        <w:t xml:space="preserve">, </w:t>
      </w:r>
      <w:r w:rsidR="002C4669" w:rsidRPr="007A2398">
        <w:t xml:space="preserve">the 2015 </w:t>
      </w:r>
      <w:r w:rsidR="00E1362C">
        <w:t xml:space="preserve">Nexus </w:t>
      </w:r>
      <w:r w:rsidR="002C4669" w:rsidRPr="007A2398">
        <w:t>exemption was made on 29 Jan</w:t>
      </w:r>
      <w:r w:rsidR="001911C2" w:rsidRPr="007A2398">
        <w:t>uary 2015 and commenced on 2 February 2015.</w:t>
      </w:r>
      <w:bookmarkEnd w:id="4"/>
    </w:p>
    <w:p w14:paraId="1493DA1B" w14:textId="55189C97" w:rsidR="006624C8" w:rsidRDefault="006624C8" w:rsidP="005B2EC7">
      <w:pPr>
        <w:pStyle w:val="LI-BodyTextParaa"/>
        <w:numPr>
          <w:ilvl w:val="0"/>
          <w:numId w:val="24"/>
        </w:numPr>
        <w:ind w:left="567" w:hanging="567"/>
      </w:pPr>
      <w:r w:rsidRPr="007A2398">
        <w:t>Since that time</w:t>
      </w:r>
      <w:r w:rsidR="0007204C" w:rsidRPr="007A2398">
        <w:t xml:space="preserve">, multiple foreign entities </w:t>
      </w:r>
      <w:r w:rsidR="001961FB" w:rsidRPr="007A2398">
        <w:t xml:space="preserve">have opted into </w:t>
      </w:r>
      <w:r w:rsidR="005016EE">
        <w:t xml:space="preserve">the </w:t>
      </w:r>
      <w:r w:rsidR="00C232D1">
        <w:t xml:space="preserve">2015 </w:t>
      </w:r>
      <w:r w:rsidR="00E1362C">
        <w:t xml:space="preserve">Nexus </w:t>
      </w:r>
      <w:r w:rsidR="00C232D1">
        <w:t xml:space="preserve">exemption and their reports using the Nexus Test </w:t>
      </w:r>
      <w:r w:rsidR="00E14550">
        <w:t>account for nearly 95% of all reports made by foreign entities under the 2022 Reporting Rules.</w:t>
      </w:r>
    </w:p>
    <w:p w14:paraId="0AE3E1FF" w14:textId="2EBF7721" w:rsidR="00E35AB7" w:rsidRDefault="007A5055" w:rsidP="0072579B">
      <w:pPr>
        <w:pStyle w:val="LI-BodyTextParaa"/>
        <w:numPr>
          <w:ilvl w:val="0"/>
          <w:numId w:val="24"/>
        </w:numPr>
        <w:ind w:left="567" w:hanging="567"/>
      </w:pPr>
      <w:r>
        <w:t xml:space="preserve">As such, </w:t>
      </w:r>
      <w:r w:rsidR="008D085B">
        <w:t>ASIC</w:t>
      </w:r>
      <w:r>
        <w:t xml:space="preserve"> considered that </w:t>
      </w:r>
      <w:r w:rsidR="001327EF">
        <w:t xml:space="preserve">the Nexus Test </w:t>
      </w:r>
      <w:r w:rsidR="00AF7BF5" w:rsidRPr="00AF7BF5">
        <w:t>represents the mainstream interpretation by foreign reporting entities of an in-scope reportable transaction</w:t>
      </w:r>
      <w:r w:rsidR="00FE271A">
        <w:t xml:space="preserve">, and </w:t>
      </w:r>
      <w:r w:rsidR="008679E9">
        <w:t xml:space="preserve">that the Nexus Test </w:t>
      </w:r>
      <w:r w:rsidR="0072579B" w:rsidRPr="0072579B">
        <w:t>should be added to the 2024 ASIC Rules and consistently appl</w:t>
      </w:r>
      <w:r w:rsidR="00E35AB7">
        <w:t>ied</w:t>
      </w:r>
      <w:r w:rsidR="0072579B" w:rsidRPr="0072579B">
        <w:t xml:space="preserve"> to all foreign reporting entities</w:t>
      </w:r>
      <w:r w:rsidR="00E35AB7">
        <w:t>.</w:t>
      </w:r>
    </w:p>
    <w:p w14:paraId="55BC5696" w14:textId="15E3D82F" w:rsidR="008E0043" w:rsidRDefault="00E35AB7" w:rsidP="00AB4943">
      <w:pPr>
        <w:pStyle w:val="LI-BodyTextParaa"/>
        <w:numPr>
          <w:ilvl w:val="0"/>
          <w:numId w:val="24"/>
        </w:numPr>
        <w:ind w:left="567" w:hanging="567"/>
      </w:pPr>
      <w:bookmarkStart w:id="5" w:name="_Ref172123981"/>
      <w:r>
        <w:t>Consequently</w:t>
      </w:r>
      <w:r w:rsidR="0072579B" w:rsidRPr="0072579B">
        <w:t xml:space="preserve">, </w:t>
      </w:r>
      <w:r w:rsidR="00AB4943">
        <w:t>o</w:t>
      </w:r>
      <w:r w:rsidR="00AB4943" w:rsidRPr="00AB4943">
        <w:t xml:space="preserve">n 15 February 2024, ASIC published </w:t>
      </w:r>
      <w:r w:rsidR="00CF5707" w:rsidRPr="00C76545">
        <w:t>Consultation Paper 375</w:t>
      </w:r>
      <w:r w:rsidR="00AB4943" w:rsidRPr="00AB4943">
        <w:t xml:space="preserve"> </w:t>
      </w:r>
      <w:r w:rsidR="00AB4943" w:rsidRPr="00AB4943">
        <w:rPr>
          <w:i/>
          <w:iCs/>
        </w:rPr>
        <w:t>Proposed changes to the ASIC Derivative Transaction Rules (Reporting): Third consultation</w:t>
      </w:r>
      <w:r w:rsidR="00AB4943" w:rsidRPr="00AB4943">
        <w:t xml:space="preserve"> (</w:t>
      </w:r>
      <w:r w:rsidR="00AB4943" w:rsidRPr="00AB4943">
        <w:rPr>
          <w:b/>
          <w:bCs/>
          <w:i/>
          <w:iCs/>
        </w:rPr>
        <w:t>CP 375</w:t>
      </w:r>
      <w:r w:rsidR="00AB4943" w:rsidRPr="00AB4943">
        <w:t>)</w:t>
      </w:r>
      <w:r w:rsidR="008E0043">
        <w:t xml:space="preserve"> that included proposals to:</w:t>
      </w:r>
      <w:bookmarkEnd w:id="5"/>
    </w:p>
    <w:p w14:paraId="7C46CC45" w14:textId="63A28E6F" w:rsidR="001E1768" w:rsidRDefault="0048461C" w:rsidP="001E1768">
      <w:pPr>
        <w:pStyle w:val="LI-BodyTextParaa"/>
        <w:numPr>
          <w:ilvl w:val="0"/>
          <w:numId w:val="30"/>
        </w:numPr>
        <w:ind w:left="1134" w:hanging="567"/>
      </w:pPr>
      <w:r>
        <w:t xml:space="preserve">Amend the 2024 Reporting Rules </w:t>
      </w:r>
      <w:r w:rsidR="001E1768">
        <w:t xml:space="preserve">to substitute </w:t>
      </w:r>
      <w:r w:rsidR="00437050">
        <w:t xml:space="preserve">the meaning of a reportable transaction that is </w:t>
      </w:r>
      <w:r w:rsidR="001E1768">
        <w:t>‘All OTC Derivatives</w:t>
      </w:r>
      <w:r w:rsidR="00437050">
        <w:t xml:space="preserve"> </w:t>
      </w:r>
      <w:r w:rsidR="001E1768">
        <w:t>entered into by the Reporting Entity in this jurisdiction’ with ‘All OTC Derivatives</w:t>
      </w:r>
      <w:r w:rsidR="0050515A">
        <w:t xml:space="preserve"> </w:t>
      </w:r>
      <w:r w:rsidR="001E1768">
        <w:t>that are a Nexus Derivative’</w:t>
      </w:r>
      <w:r w:rsidR="0050515A">
        <w:t>; and</w:t>
      </w:r>
    </w:p>
    <w:p w14:paraId="4DB1FFEA" w14:textId="30118600" w:rsidR="00AB4943" w:rsidRPr="00AB4943" w:rsidRDefault="00E73E20" w:rsidP="005127D0">
      <w:pPr>
        <w:pStyle w:val="LI-BodyTextParaa"/>
        <w:numPr>
          <w:ilvl w:val="0"/>
          <w:numId w:val="30"/>
        </w:numPr>
        <w:ind w:left="1134" w:hanging="567"/>
      </w:pPr>
      <w:r>
        <w:t>A</w:t>
      </w:r>
      <w:r w:rsidR="001E1768">
        <w:t xml:space="preserve">dd a definition of </w:t>
      </w:r>
      <w:r w:rsidR="00444D1F" w:rsidRPr="00E7250D">
        <w:t>N</w:t>
      </w:r>
      <w:r w:rsidR="001E1768" w:rsidRPr="00E7250D">
        <w:t xml:space="preserve">exus </w:t>
      </w:r>
      <w:r w:rsidRPr="00E7250D">
        <w:t>D</w:t>
      </w:r>
      <w:r w:rsidR="001E1768" w:rsidRPr="00E7250D">
        <w:t>erivative</w:t>
      </w:r>
      <w:r w:rsidR="001E1768">
        <w:t xml:space="preserve">, adapting the </w:t>
      </w:r>
      <w:r w:rsidR="00011177">
        <w:t xml:space="preserve">Nexus Test </w:t>
      </w:r>
      <w:r w:rsidR="001E1768">
        <w:t xml:space="preserve">text of paragraph 9(a) of the </w:t>
      </w:r>
      <w:r w:rsidR="00994CA0">
        <w:t xml:space="preserve">2015 </w:t>
      </w:r>
      <w:r w:rsidR="00E1362C">
        <w:t>N</w:t>
      </w:r>
      <w:r w:rsidR="001E1768">
        <w:t>exus exemption</w:t>
      </w:r>
      <w:r w:rsidR="00011177">
        <w:t>.</w:t>
      </w:r>
    </w:p>
    <w:p w14:paraId="1C20D952" w14:textId="23F83615" w:rsidR="00806515" w:rsidRPr="007A2398" w:rsidRDefault="00407ACC" w:rsidP="00806515">
      <w:pPr>
        <w:pStyle w:val="LI-BodyTextParaa"/>
        <w:numPr>
          <w:ilvl w:val="0"/>
          <w:numId w:val="24"/>
        </w:numPr>
        <w:ind w:left="567" w:hanging="567"/>
      </w:pPr>
      <w:bookmarkStart w:id="6" w:name="_Ref172123988"/>
      <w:proofErr w:type="gramStart"/>
      <w:r>
        <w:t>Taking into account</w:t>
      </w:r>
      <w:proofErr w:type="gramEnd"/>
      <w:r>
        <w:t xml:space="preserve"> </w:t>
      </w:r>
      <w:r w:rsidR="00C72952">
        <w:t xml:space="preserve">industry feedback to CP 375 </w:t>
      </w:r>
      <w:r w:rsidR="00210792">
        <w:t xml:space="preserve">that a </w:t>
      </w:r>
      <w:r w:rsidR="00EB5180">
        <w:t xml:space="preserve">12 to 18 months implementation lead time should be provided, </w:t>
      </w:r>
      <w:r w:rsidR="00806515">
        <w:t xml:space="preserve">the 2024 </w:t>
      </w:r>
      <w:r w:rsidR="00E1362C">
        <w:t xml:space="preserve">Rules </w:t>
      </w:r>
      <w:r w:rsidR="00806515">
        <w:t xml:space="preserve">amendment </w:t>
      </w:r>
      <w:r w:rsidR="00530FF7">
        <w:t xml:space="preserve">amends the 2024 Reporting Rules </w:t>
      </w:r>
      <w:r w:rsidR="00743E59">
        <w:t xml:space="preserve">to, </w:t>
      </w:r>
      <w:r w:rsidR="00806515" w:rsidRPr="007A2398">
        <w:t>from 20 October 2025,</w:t>
      </w:r>
      <w:r w:rsidR="00743E59">
        <w:t xml:space="preserve"> </w:t>
      </w:r>
      <w:r w:rsidR="00806515" w:rsidRPr="007A2398">
        <w:t xml:space="preserve">permanently substitute the form of the Nexus Test in place of the ‘entered into in this jurisdiction’ test for determining a reportable </w:t>
      </w:r>
      <w:r w:rsidR="00806515" w:rsidRPr="007A2398">
        <w:rPr>
          <w:rStyle w:val="CharAmSchText"/>
        </w:rPr>
        <w:t>OTC derivative transaction</w:t>
      </w:r>
      <w:r w:rsidR="00806515" w:rsidRPr="007A2398">
        <w:t>.</w:t>
      </w:r>
      <w:bookmarkEnd w:id="6"/>
    </w:p>
    <w:p w14:paraId="651F7D38" w14:textId="419554C1" w:rsidR="00752C80" w:rsidRDefault="00AE5071">
      <w:pPr>
        <w:pStyle w:val="LI-BodyTextParaa"/>
        <w:numPr>
          <w:ilvl w:val="0"/>
          <w:numId w:val="24"/>
        </w:numPr>
        <w:ind w:left="567" w:hanging="567"/>
      </w:pPr>
      <w:r>
        <w:t xml:space="preserve">Consequently, this </w:t>
      </w:r>
      <w:r w:rsidR="00F710F4">
        <w:t>Nexus I</w:t>
      </w:r>
      <w:r>
        <w:t xml:space="preserve">nstrument </w:t>
      </w:r>
      <w:r w:rsidRPr="007A2398">
        <w:t>maintain</w:t>
      </w:r>
      <w:r>
        <w:t>s</w:t>
      </w:r>
      <w:r w:rsidRPr="007A2398">
        <w:t xml:space="preserve"> the existing relief </w:t>
      </w:r>
      <w:r w:rsidR="00174CEA">
        <w:t xml:space="preserve">of the 2015 </w:t>
      </w:r>
      <w:r w:rsidR="00F710F4">
        <w:t xml:space="preserve">Nexus </w:t>
      </w:r>
      <w:r w:rsidR="00174CEA">
        <w:t>exemption</w:t>
      </w:r>
      <w:r w:rsidR="008269DA">
        <w:t xml:space="preserve"> </w:t>
      </w:r>
      <w:r w:rsidR="00F108B5">
        <w:t xml:space="preserve">available to </w:t>
      </w:r>
      <w:r w:rsidRPr="007A2398">
        <w:t xml:space="preserve">foreign reporting entities </w:t>
      </w:r>
      <w:r w:rsidR="00F30C0E">
        <w:t xml:space="preserve">under </w:t>
      </w:r>
      <w:r w:rsidR="004E2E23">
        <w:t xml:space="preserve">the 2024 Reporting Rules </w:t>
      </w:r>
      <w:r w:rsidR="008269DA">
        <w:t>until 20 October 2025.</w:t>
      </w:r>
    </w:p>
    <w:p w14:paraId="18FBF4A9" w14:textId="31AE2992" w:rsidR="009A3F74" w:rsidRDefault="009A3F74" w:rsidP="00395F9F">
      <w:pPr>
        <w:pStyle w:val="LI-BodyTextParaa"/>
        <w:ind w:left="567"/>
        <w:rPr>
          <w:b/>
        </w:rPr>
      </w:pPr>
      <w:bookmarkStart w:id="7" w:name="_Hlk534291624"/>
      <w:r>
        <w:rPr>
          <w:b/>
        </w:rPr>
        <w:t>Consultation</w:t>
      </w:r>
    </w:p>
    <w:p w14:paraId="79D5AE8D" w14:textId="4D6CE933" w:rsidR="003138CC" w:rsidRDefault="00FC21F5" w:rsidP="00745D53">
      <w:pPr>
        <w:pStyle w:val="LI-BodyTextParaa"/>
        <w:numPr>
          <w:ilvl w:val="0"/>
          <w:numId w:val="24"/>
        </w:numPr>
        <w:ind w:left="567" w:hanging="567"/>
      </w:pPr>
      <w:bookmarkStart w:id="8" w:name="_Hlk120020355"/>
      <w:r>
        <w:lastRenderedPageBreak/>
        <w:t>As noted in paragraph</w:t>
      </w:r>
      <w:r w:rsidR="001A32A8">
        <w:t>s</w:t>
      </w:r>
      <w:r>
        <w:t xml:space="preserve"> </w:t>
      </w:r>
      <w:r w:rsidR="001A32A8">
        <w:fldChar w:fldCharType="begin"/>
      </w:r>
      <w:r w:rsidR="001A32A8">
        <w:instrText xml:space="preserve"> REF _Ref172124998 \r \h </w:instrText>
      </w:r>
      <w:r w:rsidR="001A32A8">
        <w:fldChar w:fldCharType="separate"/>
      </w:r>
      <w:r w:rsidR="00F34F82">
        <w:t>9</w:t>
      </w:r>
      <w:r w:rsidR="001A32A8">
        <w:fldChar w:fldCharType="end"/>
      </w:r>
      <w:r w:rsidR="00766CE7">
        <w:t>-</w:t>
      </w:r>
      <w:r w:rsidR="001A32A8">
        <w:fldChar w:fldCharType="begin"/>
      </w:r>
      <w:r w:rsidR="001A32A8">
        <w:instrText xml:space="preserve"> REF _Ref172125013 \r \h </w:instrText>
      </w:r>
      <w:r w:rsidR="001A32A8">
        <w:fldChar w:fldCharType="separate"/>
      </w:r>
      <w:r w:rsidR="00F34F82">
        <w:t>10</w:t>
      </w:r>
      <w:r w:rsidR="001A32A8">
        <w:fldChar w:fldCharType="end"/>
      </w:r>
      <w:r w:rsidR="00766CE7">
        <w:t xml:space="preserve">, the 2015 </w:t>
      </w:r>
      <w:r w:rsidR="00F710F4">
        <w:t xml:space="preserve">Nexus </w:t>
      </w:r>
      <w:r w:rsidR="00766CE7">
        <w:t xml:space="preserve">exemption </w:t>
      </w:r>
      <w:r w:rsidR="008B59FE">
        <w:t>was made following an applicatio</w:t>
      </w:r>
      <w:r w:rsidR="00F00F19">
        <w:t>n for relief from ISDA, and further consultation with ISDA</w:t>
      </w:r>
      <w:r w:rsidR="00E53008">
        <w:t xml:space="preserve">. This </w:t>
      </w:r>
      <w:r w:rsidR="00C8041C">
        <w:t>includ</w:t>
      </w:r>
      <w:r w:rsidR="00E53008">
        <w:t>ed</w:t>
      </w:r>
      <w:r w:rsidR="00C8041C">
        <w:t xml:space="preserve">, as noted in the 2015 </w:t>
      </w:r>
      <w:r w:rsidR="00F710F4">
        <w:t>Nexus exemption E</w:t>
      </w:r>
      <w:r w:rsidR="00C8041C">
        <w:t xml:space="preserve">xplanatory </w:t>
      </w:r>
      <w:r w:rsidR="00F710F4">
        <w:t>S</w:t>
      </w:r>
      <w:r w:rsidR="00C8041C">
        <w:t>tatement</w:t>
      </w:r>
      <w:r w:rsidR="006E64BE">
        <w:t xml:space="preserve">, </w:t>
      </w:r>
      <w:r w:rsidR="000F21E8">
        <w:t>s</w:t>
      </w:r>
      <w:r w:rsidR="00E53008" w:rsidRPr="00E53008">
        <w:t>everal meetings between ASIC, ISDA and its members to discuss the proposed relief</w:t>
      </w:r>
      <w:r w:rsidR="008C2EF2">
        <w:t xml:space="preserve">, </w:t>
      </w:r>
      <w:r w:rsidR="00E53008" w:rsidRPr="00E53008">
        <w:t>various matters relating to the transitional implications of the relief</w:t>
      </w:r>
      <w:r w:rsidR="008C2EF2">
        <w:t xml:space="preserve"> and </w:t>
      </w:r>
      <w:r w:rsidR="00E53008" w:rsidRPr="00E53008">
        <w:t>s</w:t>
      </w:r>
      <w:r w:rsidR="008C2EF2">
        <w:t xml:space="preserve">eeking </w:t>
      </w:r>
      <w:r w:rsidR="003138CC">
        <w:t xml:space="preserve">comments on </w:t>
      </w:r>
      <w:r w:rsidR="00E53008" w:rsidRPr="00E53008">
        <w:t xml:space="preserve">drafts of the </w:t>
      </w:r>
      <w:r w:rsidR="008C2EF2">
        <w:t>l</w:t>
      </w:r>
      <w:r w:rsidR="00E53008" w:rsidRPr="00E53008">
        <w:t xml:space="preserve">egislative </w:t>
      </w:r>
      <w:r w:rsidR="008C2EF2">
        <w:t>i</w:t>
      </w:r>
      <w:r w:rsidR="00E53008" w:rsidRPr="00E53008">
        <w:t>nstrument</w:t>
      </w:r>
      <w:r w:rsidR="003138CC">
        <w:t>.</w:t>
      </w:r>
    </w:p>
    <w:p w14:paraId="6B8A1561" w14:textId="162D82DE" w:rsidR="00D56DF5" w:rsidRDefault="004E2E23" w:rsidP="00745D53">
      <w:pPr>
        <w:pStyle w:val="LI-BodyTextParaa"/>
        <w:numPr>
          <w:ilvl w:val="0"/>
          <w:numId w:val="24"/>
        </w:numPr>
        <w:ind w:left="567" w:hanging="567"/>
      </w:pPr>
      <w:r>
        <w:t xml:space="preserve">As </w:t>
      </w:r>
      <w:r w:rsidR="003138CC">
        <w:t xml:space="preserve">further </w:t>
      </w:r>
      <w:r>
        <w:t xml:space="preserve">noted in paragraph </w:t>
      </w:r>
      <w:r w:rsidR="00C940A4">
        <w:fldChar w:fldCharType="begin"/>
      </w:r>
      <w:r w:rsidR="00C940A4">
        <w:instrText xml:space="preserve"> REF _Ref172123981 \r \h </w:instrText>
      </w:r>
      <w:r w:rsidR="00C940A4">
        <w:fldChar w:fldCharType="separate"/>
      </w:r>
      <w:r w:rsidR="00F34F82">
        <w:t>13</w:t>
      </w:r>
      <w:r w:rsidR="00C940A4">
        <w:fldChar w:fldCharType="end"/>
      </w:r>
      <w:r w:rsidR="00AD3D0C">
        <w:t xml:space="preserve">, </w:t>
      </w:r>
      <w:r w:rsidR="00735257">
        <w:t>in CP 375</w:t>
      </w:r>
      <w:r w:rsidR="00591AEF">
        <w:t xml:space="preserve">, </w:t>
      </w:r>
      <w:r w:rsidR="00AD3D0C">
        <w:t xml:space="preserve">ASIC consulted </w:t>
      </w:r>
      <w:r w:rsidR="00735257">
        <w:t xml:space="preserve">on proposals to include the Nexus Test within the 2024 Reporting Rules in </w:t>
      </w:r>
      <w:r w:rsidR="00591AEF">
        <w:t>substitution of the ‘entered into in this jurisdiction’ test</w:t>
      </w:r>
      <w:r w:rsidR="009A3F74">
        <w:t>.</w:t>
      </w:r>
    </w:p>
    <w:p w14:paraId="421D2481" w14:textId="13CF65E6" w:rsidR="001D4DD7" w:rsidRDefault="004F639A" w:rsidP="00745D53">
      <w:pPr>
        <w:pStyle w:val="LI-BodyTextParaa"/>
        <w:numPr>
          <w:ilvl w:val="0"/>
          <w:numId w:val="24"/>
        </w:numPr>
        <w:ind w:left="567" w:hanging="567"/>
      </w:pPr>
      <w:r>
        <w:t>ASIC respon</w:t>
      </w:r>
      <w:r w:rsidR="005929E2">
        <w:t>se</w:t>
      </w:r>
      <w:r>
        <w:t xml:space="preserve"> </w:t>
      </w:r>
      <w:r w:rsidR="005929E2">
        <w:t xml:space="preserve">to industry’s submissions was set out in </w:t>
      </w:r>
      <w:r w:rsidR="007D0483">
        <w:t xml:space="preserve">Report </w:t>
      </w:r>
      <w:r w:rsidR="00BD0E7E">
        <w:t xml:space="preserve">790 </w:t>
      </w:r>
      <w:r w:rsidR="009E65A1" w:rsidRPr="009E65A1">
        <w:rPr>
          <w:i/>
          <w:iCs/>
        </w:rPr>
        <w:t>Response to submissions on CP 375 Proposed changes to the ASIC Derivative Transaction Rules (Reporting): Third consultation</w:t>
      </w:r>
      <w:r w:rsidR="001D4DD7">
        <w:t>, including that</w:t>
      </w:r>
      <w:r w:rsidR="007F4F0B">
        <w:t>, in summary</w:t>
      </w:r>
      <w:r w:rsidR="001D4DD7">
        <w:t>:</w:t>
      </w:r>
    </w:p>
    <w:p w14:paraId="6ECC0AC7" w14:textId="3F952C9D" w:rsidR="00D44150" w:rsidRDefault="00D44150" w:rsidP="00432147">
      <w:pPr>
        <w:pStyle w:val="LI-BodyTextParaa"/>
        <w:numPr>
          <w:ilvl w:val="0"/>
          <w:numId w:val="31"/>
        </w:numPr>
        <w:ind w:left="1134" w:hanging="567"/>
      </w:pPr>
      <w:r>
        <w:t xml:space="preserve">The existing ‘trader, sales or financial risk manager’ regulatory perimeter of the 2015 </w:t>
      </w:r>
      <w:r w:rsidR="00F710F4">
        <w:t>N</w:t>
      </w:r>
      <w:r>
        <w:t xml:space="preserve">exus exemption is the appropriate setting for the 2024 </w:t>
      </w:r>
      <w:r w:rsidR="00F710F4">
        <w:t xml:space="preserve">Reporting </w:t>
      </w:r>
      <w:r>
        <w:t>Rules to maximise regulatory transparency of financial services in derivatives provided in Australia</w:t>
      </w:r>
      <w:r w:rsidR="0012174D">
        <w:t>;</w:t>
      </w:r>
    </w:p>
    <w:p w14:paraId="22DE1F1A" w14:textId="77777777" w:rsidR="006A2F26" w:rsidRDefault="006A2F26" w:rsidP="00432147">
      <w:pPr>
        <w:pStyle w:val="LI-BodyTextParaa"/>
        <w:numPr>
          <w:ilvl w:val="0"/>
          <w:numId w:val="31"/>
        </w:numPr>
        <w:ind w:left="1134" w:hanging="567"/>
      </w:pPr>
      <w:r>
        <w:t>A</w:t>
      </w:r>
      <w:r w:rsidR="007F4F0B">
        <w:t xml:space="preserve"> longer implementation lead time </w:t>
      </w:r>
      <w:r>
        <w:t xml:space="preserve">is provided </w:t>
      </w:r>
      <w:r w:rsidR="007F4F0B">
        <w:t>by deferring the commencement of the amendments until 20 October 2025</w:t>
      </w:r>
      <w:r>
        <w:t>;</w:t>
      </w:r>
    </w:p>
    <w:p w14:paraId="27BC002C" w14:textId="2EE1BB73" w:rsidR="007F4F0B" w:rsidRDefault="00D05392" w:rsidP="00432147">
      <w:pPr>
        <w:pStyle w:val="LI-BodyTextParaa"/>
        <w:numPr>
          <w:ilvl w:val="0"/>
          <w:numId w:val="31"/>
        </w:numPr>
        <w:ind w:left="1134" w:hanging="567"/>
      </w:pPr>
      <w:r>
        <w:t xml:space="preserve">Reporting entities will be allowed to commence reporting on the changed scope at an earlier time by extending the 2015 </w:t>
      </w:r>
      <w:r w:rsidR="00F710F4">
        <w:t>N</w:t>
      </w:r>
      <w:r>
        <w:t>exus exemption from its current 1 April 2025 sunsetting to 20 October 2025—this will continue to allow reporting entities to opt</w:t>
      </w:r>
      <w:r w:rsidR="00F27172">
        <w:t>-</w:t>
      </w:r>
      <w:r>
        <w:t>in to nexus reporting at any time before 20 October 2025.</w:t>
      </w:r>
    </w:p>
    <w:bookmarkEnd w:id="8"/>
    <w:p w14:paraId="0CF2BBCC" w14:textId="5881D2B8" w:rsidR="00FF35FB" w:rsidRDefault="00646561" w:rsidP="009C6D1D">
      <w:pPr>
        <w:pStyle w:val="LI-BodyTextParaa"/>
        <w:numPr>
          <w:ilvl w:val="0"/>
          <w:numId w:val="24"/>
        </w:numPr>
        <w:ind w:left="567" w:hanging="567"/>
      </w:pPr>
      <w:r w:rsidRPr="0086198A">
        <w:t>ASIC ha</w:t>
      </w:r>
      <w:r w:rsidR="002B06EA">
        <w:t>s</w:t>
      </w:r>
      <w:r w:rsidRPr="0086198A">
        <w:t xml:space="preserve"> consulted with the Reserve Bank of Australia (</w:t>
      </w:r>
      <w:r w:rsidRPr="009C6D1D">
        <w:t>RBA</w:t>
      </w:r>
      <w:r w:rsidRPr="0086198A">
        <w:t>) and the Australian Prudential Regulation Authority (</w:t>
      </w:r>
      <w:r w:rsidRPr="009C6D1D">
        <w:t>APRA</w:t>
      </w:r>
      <w:r w:rsidRPr="0086198A">
        <w:t>)</w:t>
      </w:r>
      <w:r>
        <w:t xml:space="preserve"> in relation </w:t>
      </w:r>
      <w:r w:rsidR="00C44E03">
        <w:t>the proposals</w:t>
      </w:r>
      <w:r w:rsidR="002B06EA">
        <w:t xml:space="preserve"> made in CP 375</w:t>
      </w:r>
      <w:r>
        <w:t>.</w:t>
      </w:r>
      <w:r w:rsidR="008848F7">
        <w:t xml:space="preserve"> The RBA and APRA</w:t>
      </w:r>
      <w:r w:rsidR="005C0692">
        <w:t xml:space="preserve"> support the </w:t>
      </w:r>
      <w:r w:rsidR="00F27172">
        <w:t>2024 R</w:t>
      </w:r>
      <w:r w:rsidR="00010BBB">
        <w:t xml:space="preserve">ules </w:t>
      </w:r>
      <w:r w:rsidR="005C0692">
        <w:t>amendments</w:t>
      </w:r>
      <w:r w:rsidR="00F40328">
        <w:t>.</w:t>
      </w:r>
    </w:p>
    <w:p w14:paraId="595D9159" w14:textId="6D76D0F7" w:rsidR="00A57497" w:rsidRDefault="00646561" w:rsidP="009C6D1D">
      <w:pPr>
        <w:pStyle w:val="LI-BodyTextParaa"/>
        <w:numPr>
          <w:ilvl w:val="0"/>
          <w:numId w:val="24"/>
        </w:numPr>
        <w:ind w:left="567" w:hanging="567"/>
      </w:pPr>
      <w:r w:rsidRPr="00646561">
        <w:t>ASIC has consulted with the Office of Impact Analysis (</w:t>
      </w:r>
      <w:r w:rsidRPr="009C6D1D">
        <w:t>OIA</w:t>
      </w:r>
      <w:r w:rsidRPr="00646561">
        <w:t>) in relation to whether an Impact Analysis (</w:t>
      </w:r>
      <w:r w:rsidRPr="009C6D1D">
        <w:t>IA</w:t>
      </w:r>
      <w:r w:rsidRPr="00646561">
        <w:t>) would be required. OIA advised that the preparation of an IA was not required because it assessed the propo</w:t>
      </w:r>
      <w:r>
        <w:t>s</w:t>
      </w:r>
      <w:r w:rsidR="0031522D">
        <w:t>als</w:t>
      </w:r>
      <w:r>
        <w:t xml:space="preserve"> </w:t>
      </w:r>
      <w:r w:rsidRPr="00646561">
        <w:t>as unlikely to have a more than minor regulatory impact.</w:t>
      </w:r>
    </w:p>
    <w:p w14:paraId="3829052B" w14:textId="0AD20A59" w:rsidR="008E6244" w:rsidRDefault="008E6244" w:rsidP="008E6244">
      <w:pPr>
        <w:pStyle w:val="LI-BodyTextNumbered"/>
        <w:ind w:hanging="1134"/>
        <w:rPr>
          <w:b/>
        </w:rPr>
      </w:pPr>
      <w:r>
        <w:rPr>
          <w:b/>
        </w:rPr>
        <w:t xml:space="preserve">Operation of the </w:t>
      </w:r>
      <w:r w:rsidR="0045671F">
        <w:rPr>
          <w:b/>
        </w:rPr>
        <w:t>Nexus Repeal I</w:t>
      </w:r>
      <w:r>
        <w:rPr>
          <w:b/>
        </w:rPr>
        <w:t>nstrument</w:t>
      </w:r>
    </w:p>
    <w:p w14:paraId="6113A768" w14:textId="6F24E8B5" w:rsidR="002F1E54" w:rsidRDefault="001A3E91" w:rsidP="00EC6A1E">
      <w:pPr>
        <w:pStyle w:val="LI-BodyTextParaa"/>
        <w:numPr>
          <w:ilvl w:val="0"/>
          <w:numId w:val="24"/>
        </w:numPr>
        <w:ind w:left="567" w:hanging="567"/>
      </w:pPr>
      <w:r>
        <w:t xml:space="preserve">The Nexus Repeal Instrument operates to repeal the 2015 Nexus exemption to </w:t>
      </w:r>
      <w:r w:rsidR="00D357FA">
        <w:t xml:space="preserve">allow the Nexus Instrument </w:t>
      </w:r>
      <w:r w:rsidR="00470FE8">
        <w:t xml:space="preserve">to be made on substantively similar terms. </w:t>
      </w:r>
      <w:r w:rsidR="005F2D4A">
        <w:t>The commencement of the Nexus Repeal Instrument is intended to coincide with the commencement of the 2024 Reporting Rules.</w:t>
      </w:r>
    </w:p>
    <w:p w14:paraId="6D7C77DE" w14:textId="33AF2463" w:rsidR="00EC6A1E" w:rsidRDefault="00EC6A1E" w:rsidP="00EC6A1E">
      <w:pPr>
        <w:pStyle w:val="LI-BodyTextParaa"/>
        <w:numPr>
          <w:ilvl w:val="0"/>
          <w:numId w:val="24"/>
        </w:numPr>
        <w:ind w:left="567" w:hanging="567"/>
      </w:pPr>
      <w:r>
        <w:t xml:space="preserve">Section 1 provides that the name of the Nexus Instrument is the </w:t>
      </w:r>
      <w:r w:rsidRPr="00C33679">
        <w:rPr>
          <w:i/>
          <w:iCs/>
        </w:rPr>
        <w:t>ASIC Derivative Transaction Rules (Nexus Derivatives</w:t>
      </w:r>
      <w:r>
        <w:rPr>
          <w:i/>
          <w:iCs/>
        </w:rPr>
        <w:t xml:space="preserve"> Repeal</w:t>
      </w:r>
      <w:r w:rsidRPr="00C33679">
        <w:rPr>
          <w:i/>
          <w:iCs/>
        </w:rPr>
        <w:t>) Instrument 2024/</w:t>
      </w:r>
      <w:r>
        <w:rPr>
          <w:i/>
          <w:iCs/>
        </w:rPr>
        <w:t>602</w:t>
      </w:r>
      <w:r>
        <w:t>.</w:t>
      </w:r>
    </w:p>
    <w:p w14:paraId="5B0F60D4" w14:textId="7643DD92" w:rsidR="00EC6A1E" w:rsidRDefault="00EC6A1E" w:rsidP="00EC6A1E">
      <w:pPr>
        <w:pStyle w:val="LI-BodyTextParaa"/>
        <w:numPr>
          <w:ilvl w:val="0"/>
          <w:numId w:val="24"/>
        </w:numPr>
        <w:ind w:left="567" w:hanging="567"/>
      </w:pPr>
      <w:r>
        <w:t xml:space="preserve">Section 2 </w:t>
      </w:r>
      <w:r w:rsidRPr="00D57FE8">
        <w:t xml:space="preserve">provides </w:t>
      </w:r>
      <w:r>
        <w:t>that the Nexus Instrument commences on the later of:</w:t>
      </w:r>
    </w:p>
    <w:p w14:paraId="7802957B" w14:textId="77777777" w:rsidR="00EC6A1E" w:rsidRDefault="00EC6A1E" w:rsidP="00EC6A1E">
      <w:pPr>
        <w:pStyle w:val="LI-BodyTextParaa"/>
        <w:numPr>
          <w:ilvl w:val="1"/>
          <w:numId w:val="3"/>
        </w:numPr>
      </w:pPr>
      <w:r>
        <w:t>21 October 2024; and</w:t>
      </w:r>
    </w:p>
    <w:p w14:paraId="162D822D" w14:textId="77777777" w:rsidR="00EC6A1E" w:rsidRDefault="00EC6A1E" w:rsidP="00EC6A1E">
      <w:pPr>
        <w:pStyle w:val="LI-BodyTextParaa"/>
        <w:numPr>
          <w:ilvl w:val="1"/>
          <w:numId w:val="3"/>
        </w:numPr>
      </w:pPr>
      <w:r>
        <w:lastRenderedPageBreak/>
        <w:t>the day after it is registered on the Federal Register of Legislation.</w:t>
      </w:r>
    </w:p>
    <w:p w14:paraId="6AE7C0CD" w14:textId="2CA030E5" w:rsidR="00EC6A1E" w:rsidRDefault="00EC6A1E" w:rsidP="00EC6A1E">
      <w:pPr>
        <w:pStyle w:val="LI-BodyTextParaa"/>
        <w:numPr>
          <w:ilvl w:val="0"/>
          <w:numId w:val="24"/>
        </w:numPr>
        <w:ind w:left="567" w:hanging="567"/>
      </w:pPr>
      <w:r>
        <w:t xml:space="preserve">Section 3 provides that the Nexus Instrument </w:t>
      </w:r>
      <w:r w:rsidRPr="00FB0DFA">
        <w:t xml:space="preserve">is made under </w:t>
      </w:r>
      <w:r>
        <w:t xml:space="preserve">paragraph 907D(2)(a) of the </w:t>
      </w:r>
      <w:r w:rsidRPr="004D73E0">
        <w:rPr>
          <w:i/>
          <w:iCs/>
        </w:rPr>
        <w:t>Corporations Act 2001</w:t>
      </w:r>
      <w:r>
        <w:t>.</w:t>
      </w:r>
    </w:p>
    <w:p w14:paraId="33F9F59C" w14:textId="5998C006" w:rsidR="00893AE6" w:rsidRDefault="004A2DA5" w:rsidP="00EC6A1E">
      <w:pPr>
        <w:pStyle w:val="LI-BodyTextParaa"/>
        <w:numPr>
          <w:ilvl w:val="0"/>
          <w:numId w:val="24"/>
        </w:numPr>
        <w:ind w:left="567" w:hanging="567"/>
      </w:pPr>
      <w:r>
        <w:t>Section 4 provides that e</w:t>
      </w:r>
      <w:r w:rsidRPr="009B69D4">
        <w:t xml:space="preserve">ach instrument that is specified in </w:t>
      </w:r>
      <w:r w:rsidR="0073127C">
        <w:t>the</w:t>
      </w:r>
      <w:r w:rsidRPr="009B69D4">
        <w:t xml:space="preserve"> Schedule to th</w:t>
      </w:r>
      <w:r w:rsidR="0073127C">
        <w:t>e</w:t>
      </w:r>
      <w:r w:rsidRPr="009B69D4">
        <w:t xml:space="preserve"> instrument is amended or repealed as set out in the applicable items in the Schedule concerned, and any other item in a Schedule to th</w:t>
      </w:r>
      <w:r w:rsidR="00E7250D">
        <w:t>e</w:t>
      </w:r>
      <w:r w:rsidRPr="009B69D4">
        <w:t xml:space="preserve"> instrument has effect according to its terms</w:t>
      </w:r>
      <w:r w:rsidR="0073127C">
        <w:t>.</w:t>
      </w:r>
    </w:p>
    <w:p w14:paraId="48BD6CD6" w14:textId="1CCDE15F" w:rsidR="00CC4493" w:rsidRDefault="00CC4493" w:rsidP="00EC6A1E">
      <w:pPr>
        <w:pStyle w:val="LI-BodyTextParaa"/>
        <w:numPr>
          <w:ilvl w:val="0"/>
          <w:numId w:val="24"/>
        </w:numPr>
        <w:ind w:left="567" w:hanging="567"/>
      </w:pPr>
      <w:r>
        <w:t xml:space="preserve">Item 1 of Schedule </w:t>
      </w:r>
      <w:r w:rsidR="002F1E54">
        <w:t xml:space="preserve">1 </w:t>
      </w:r>
      <w:r>
        <w:t>repeals the whole of the 2015 Nexus exemption.</w:t>
      </w:r>
    </w:p>
    <w:p w14:paraId="46280437" w14:textId="18DFB264" w:rsidR="00222DF3" w:rsidRDefault="00222DF3" w:rsidP="00222DF3">
      <w:pPr>
        <w:pStyle w:val="LI-BodyTextNumbered"/>
        <w:ind w:hanging="1134"/>
        <w:rPr>
          <w:b/>
        </w:rPr>
      </w:pPr>
      <w:r>
        <w:rPr>
          <w:b/>
        </w:rPr>
        <w:t xml:space="preserve">Operation of the </w:t>
      </w:r>
      <w:r w:rsidR="0045671F">
        <w:rPr>
          <w:b/>
        </w:rPr>
        <w:t>Nexus I</w:t>
      </w:r>
      <w:r>
        <w:rPr>
          <w:b/>
        </w:rPr>
        <w:t>nstrument</w:t>
      </w:r>
    </w:p>
    <w:p w14:paraId="4B2955CA" w14:textId="007F8715" w:rsidR="008E6244" w:rsidRDefault="00187D46" w:rsidP="009C6D1D">
      <w:pPr>
        <w:pStyle w:val="LI-BodyTextParaa"/>
        <w:numPr>
          <w:ilvl w:val="0"/>
          <w:numId w:val="24"/>
        </w:numPr>
        <w:ind w:left="567" w:hanging="567"/>
      </w:pPr>
      <w:r>
        <w:t>The Nexus Instrument operate</w:t>
      </w:r>
      <w:r w:rsidR="004435DE">
        <w:t>s</w:t>
      </w:r>
      <w:r>
        <w:t xml:space="preserve"> in </w:t>
      </w:r>
      <w:r w:rsidR="008E6244">
        <w:t>substantively like manner and subject to like conditions</w:t>
      </w:r>
      <w:r>
        <w:t xml:space="preserve"> as the 201</w:t>
      </w:r>
      <w:r w:rsidR="00F31404">
        <w:t>5</w:t>
      </w:r>
      <w:r w:rsidR="00F27172">
        <w:t xml:space="preserve"> Nexus</w:t>
      </w:r>
      <w:r w:rsidR="00F31404">
        <w:t xml:space="preserve"> exemption</w:t>
      </w:r>
      <w:r w:rsidR="00861727">
        <w:t>.</w:t>
      </w:r>
      <w:r w:rsidR="004435DE">
        <w:t xml:space="preserve"> There are changes in the Nexus Instrument</w:t>
      </w:r>
      <w:r w:rsidR="00A65BA0">
        <w:t xml:space="preserve"> from the 2015 </w:t>
      </w:r>
      <w:r w:rsidR="00F27172">
        <w:t xml:space="preserve">Nexus </w:t>
      </w:r>
      <w:r w:rsidR="00A65BA0">
        <w:t xml:space="preserve">exemption that are necessary or </w:t>
      </w:r>
      <w:r w:rsidR="00091EDD">
        <w:t xml:space="preserve">appropriate for consistency with the operation of the 2024 Reporting Rules </w:t>
      </w:r>
      <w:r w:rsidR="00DD203B">
        <w:t>and the removal of outdated transitional provisions, in particular</w:t>
      </w:r>
      <w:r w:rsidR="000A4A6B">
        <w:t xml:space="preserve"> the removal of</w:t>
      </w:r>
      <w:r w:rsidR="00DD203B">
        <w:t>:</w:t>
      </w:r>
    </w:p>
    <w:p w14:paraId="608495CD" w14:textId="77777777" w:rsidR="00B853F7" w:rsidRDefault="000A4A6B" w:rsidP="00DD203B">
      <w:pPr>
        <w:pStyle w:val="LI-BodyTextParaa"/>
        <w:numPr>
          <w:ilvl w:val="0"/>
          <w:numId w:val="32"/>
        </w:numPr>
        <w:ind w:left="1134" w:hanging="567"/>
      </w:pPr>
      <w:r>
        <w:t xml:space="preserve">References to </w:t>
      </w:r>
      <w:r w:rsidR="002358DE">
        <w:t>‘outstanding position’ and ‘</w:t>
      </w:r>
      <w:r w:rsidR="007C4187">
        <w:t>Reportable Position(s)’</w:t>
      </w:r>
      <w:r w:rsidR="00B853F7">
        <w:t xml:space="preserve"> which are not terms in the 2024 Reporting Rules;</w:t>
      </w:r>
    </w:p>
    <w:p w14:paraId="23757481" w14:textId="2E281ED7" w:rsidR="0068160D" w:rsidRDefault="00DD203B" w:rsidP="00DD203B">
      <w:pPr>
        <w:pStyle w:val="LI-BodyTextParaa"/>
        <w:numPr>
          <w:ilvl w:val="0"/>
          <w:numId w:val="32"/>
        </w:numPr>
        <w:ind w:left="1134" w:hanging="567"/>
      </w:pPr>
      <w:r>
        <w:t xml:space="preserve">The </w:t>
      </w:r>
      <w:r w:rsidR="00D2342D">
        <w:t>appl</w:t>
      </w:r>
      <w:r w:rsidR="0051389E">
        <w:t xml:space="preserve">ication of the exemption to all Relevant Reporting Entities </w:t>
      </w:r>
      <w:r w:rsidR="0068160D">
        <w:t>from 2 February 2015 to 24 February 2015;</w:t>
      </w:r>
    </w:p>
    <w:p w14:paraId="1DD7619C" w14:textId="670CA3FC" w:rsidR="00593696" w:rsidRDefault="00593696" w:rsidP="00DD203B">
      <w:pPr>
        <w:pStyle w:val="LI-BodyTextParaa"/>
        <w:numPr>
          <w:ilvl w:val="0"/>
          <w:numId w:val="32"/>
        </w:numPr>
        <w:ind w:left="1134" w:hanging="567"/>
      </w:pPr>
      <w:r>
        <w:t>The position reporting requirement</w:t>
      </w:r>
      <w:r w:rsidR="007A1874">
        <w:t>;</w:t>
      </w:r>
    </w:p>
    <w:p w14:paraId="5AA524E9" w14:textId="534A0A7F" w:rsidR="007A1874" w:rsidRDefault="007A1874" w:rsidP="00DD203B">
      <w:pPr>
        <w:pStyle w:val="LI-BodyTextParaa"/>
        <w:numPr>
          <w:ilvl w:val="0"/>
          <w:numId w:val="32"/>
        </w:numPr>
        <w:ind w:left="1134" w:hanging="567"/>
      </w:pPr>
      <w:r>
        <w:t xml:space="preserve">The </w:t>
      </w:r>
      <w:r w:rsidR="001532E9">
        <w:t>provisions in Exemption 2 of the 2015</w:t>
      </w:r>
      <w:r w:rsidR="00AD26F3">
        <w:t xml:space="preserve"> Nexus</w:t>
      </w:r>
      <w:r w:rsidR="001532E9">
        <w:t xml:space="preserve"> exemption relating to conditions of ASIC Instrument [14/0234]</w:t>
      </w:r>
      <w:r w:rsidR="00134F49">
        <w:t xml:space="preserve"> as this instrument was repealed on 21 April 2023.</w:t>
      </w:r>
    </w:p>
    <w:p w14:paraId="0ECB3A5D" w14:textId="764FB908" w:rsidR="00DD203B" w:rsidRDefault="00E419AD" w:rsidP="009C6D1D">
      <w:pPr>
        <w:pStyle w:val="LI-BodyTextParaa"/>
        <w:numPr>
          <w:ilvl w:val="0"/>
          <w:numId w:val="24"/>
        </w:numPr>
        <w:ind w:left="567" w:hanging="567"/>
      </w:pPr>
      <w:r>
        <w:t xml:space="preserve">The Nexus Instrument </w:t>
      </w:r>
      <w:r w:rsidR="00346698">
        <w:t xml:space="preserve">retains the exception for alternative reporting </w:t>
      </w:r>
      <w:r w:rsidR="00AD26F3">
        <w:t xml:space="preserve">provided in </w:t>
      </w:r>
      <w:r w:rsidR="00010F94">
        <w:t xml:space="preserve">the 2015 </w:t>
      </w:r>
      <w:r w:rsidR="00AD26F3">
        <w:t xml:space="preserve">Nexus </w:t>
      </w:r>
      <w:r w:rsidR="00CA581C">
        <w:t xml:space="preserve">exemption, </w:t>
      </w:r>
      <w:r w:rsidR="00346698">
        <w:t xml:space="preserve">but </w:t>
      </w:r>
      <w:r w:rsidR="000209D8">
        <w:t xml:space="preserve">removes </w:t>
      </w:r>
      <w:r w:rsidR="008F68EB">
        <w:t xml:space="preserve">the provision requiring the designation of information </w:t>
      </w:r>
      <w:r w:rsidR="00ED5421">
        <w:t>reported under alternative reporting requirements</w:t>
      </w:r>
      <w:r w:rsidR="00AD26F3">
        <w:t>. I</w:t>
      </w:r>
      <w:r w:rsidR="00D96EF3">
        <w:t>n practice,</w:t>
      </w:r>
      <w:r w:rsidR="00AD26F3">
        <w:t xml:space="preserve"> designating, or tagging, that the information was reported under alternative reporting requirements is</w:t>
      </w:r>
      <w:r w:rsidR="00D96EF3">
        <w:t xml:space="preserve"> not the common </w:t>
      </w:r>
      <w:r w:rsidR="00EC122E">
        <w:t xml:space="preserve">nor universal </w:t>
      </w:r>
      <w:r w:rsidR="00D96EF3">
        <w:t>means by which</w:t>
      </w:r>
      <w:r w:rsidR="00236A0B">
        <w:t xml:space="preserve"> trade repositories </w:t>
      </w:r>
      <w:r w:rsidR="00EC122E">
        <w:t xml:space="preserve">of other jurisdictions </w:t>
      </w:r>
      <w:r w:rsidR="000D41CC">
        <w:t xml:space="preserve">identify reported information that is made available to </w:t>
      </w:r>
      <w:r w:rsidR="00DB64FE">
        <w:t>regulators under international data access regimes.</w:t>
      </w:r>
    </w:p>
    <w:p w14:paraId="41C02866" w14:textId="5BC921C0" w:rsidR="00A57497" w:rsidRPr="00CB3D5E" w:rsidRDefault="00A57497" w:rsidP="00A57497">
      <w:pPr>
        <w:pStyle w:val="LI-BodyTextParaa"/>
        <w:ind w:left="567"/>
        <w:rPr>
          <w:u w:val="single"/>
        </w:rPr>
      </w:pPr>
      <w:r w:rsidRPr="00CB3D5E">
        <w:rPr>
          <w:u w:val="single"/>
        </w:rPr>
        <w:t>Part 1</w:t>
      </w:r>
      <w:r w:rsidR="00A671B1" w:rsidRPr="00A671B1">
        <w:rPr>
          <w:u w:val="single"/>
        </w:rPr>
        <w:t>—</w:t>
      </w:r>
      <w:r w:rsidRPr="00CB3D5E">
        <w:rPr>
          <w:u w:val="single"/>
        </w:rPr>
        <w:t>Preliminary</w:t>
      </w:r>
      <w:r w:rsidR="00AD26F3">
        <w:rPr>
          <w:u w:val="single"/>
        </w:rPr>
        <w:t xml:space="preserve"> </w:t>
      </w:r>
      <w:r w:rsidR="008A5581">
        <w:rPr>
          <w:u w:val="single"/>
        </w:rPr>
        <w:t>Note</w:t>
      </w:r>
    </w:p>
    <w:p w14:paraId="4F9FB5A4" w14:textId="6982CF58" w:rsidR="004D73E0" w:rsidRDefault="00777B13" w:rsidP="00C33679">
      <w:pPr>
        <w:pStyle w:val="LI-BodyTextParaa"/>
        <w:numPr>
          <w:ilvl w:val="0"/>
          <w:numId w:val="24"/>
        </w:numPr>
        <w:ind w:left="567" w:hanging="567"/>
      </w:pPr>
      <w:r>
        <w:t xml:space="preserve">Section 1 of Part 1 provides that the name of the </w:t>
      </w:r>
      <w:r w:rsidR="001B0CED">
        <w:t xml:space="preserve">Nexus </w:t>
      </w:r>
      <w:r w:rsidR="0072739E">
        <w:t>Instrument</w:t>
      </w:r>
      <w:r>
        <w:t xml:space="preserve"> is the </w:t>
      </w:r>
      <w:r w:rsidR="007C43E1" w:rsidRPr="00C33679">
        <w:rPr>
          <w:i/>
          <w:iCs/>
        </w:rPr>
        <w:t>ASIC Derivative Transaction Rules (Nexus Derivatives) Instrument 2024/</w:t>
      </w:r>
      <w:r w:rsidR="00DF599F">
        <w:rPr>
          <w:i/>
          <w:iCs/>
        </w:rPr>
        <w:t>603</w:t>
      </w:r>
      <w:r w:rsidR="004D73E0">
        <w:t>.</w:t>
      </w:r>
    </w:p>
    <w:p w14:paraId="2E64EDCE" w14:textId="4C1EAB55" w:rsidR="00E84E77" w:rsidRDefault="009030AA" w:rsidP="00C33679">
      <w:pPr>
        <w:pStyle w:val="LI-BodyTextParaa"/>
        <w:numPr>
          <w:ilvl w:val="0"/>
          <w:numId w:val="24"/>
        </w:numPr>
        <w:ind w:left="567" w:hanging="567"/>
      </w:pPr>
      <w:r>
        <w:t xml:space="preserve">Section 2 of Part 1 </w:t>
      </w:r>
      <w:r w:rsidR="00D57FE8" w:rsidRPr="00D57FE8">
        <w:t xml:space="preserve">provides </w:t>
      </w:r>
      <w:r w:rsidR="007C43E1">
        <w:t xml:space="preserve">that the Nexus Instrument commences </w:t>
      </w:r>
      <w:r w:rsidR="004C4953">
        <w:t xml:space="preserve">on </w:t>
      </w:r>
      <w:r w:rsidR="00900791">
        <w:t>the later of</w:t>
      </w:r>
      <w:r w:rsidR="004C4953">
        <w:t>:</w:t>
      </w:r>
    </w:p>
    <w:p w14:paraId="45456D43" w14:textId="0CF2AEEC" w:rsidR="00F4364E" w:rsidRDefault="00F4364E" w:rsidP="00900791">
      <w:pPr>
        <w:pStyle w:val="LI-BodyTextParaa"/>
        <w:numPr>
          <w:ilvl w:val="1"/>
          <w:numId w:val="3"/>
        </w:numPr>
      </w:pPr>
      <w:r>
        <w:t>21 October 2024; and</w:t>
      </w:r>
    </w:p>
    <w:p w14:paraId="489736C4" w14:textId="77777777" w:rsidR="004D73E0" w:rsidRDefault="00F4364E" w:rsidP="004D73E0">
      <w:pPr>
        <w:pStyle w:val="LI-BodyTextParaa"/>
        <w:numPr>
          <w:ilvl w:val="1"/>
          <w:numId w:val="3"/>
        </w:numPr>
      </w:pPr>
      <w:r>
        <w:t>the day after it is registered on the Federal Register of Legislation</w:t>
      </w:r>
      <w:r w:rsidR="00900791">
        <w:t>.</w:t>
      </w:r>
    </w:p>
    <w:p w14:paraId="090FECB8" w14:textId="4D0A71C6" w:rsidR="00E84E77" w:rsidRDefault="00777B13" w:rsidP="004D73E0">
      <w:pPr>
        <w:pStyle w:val="LI-BodyTextParaa"/>
        <w:numPr>
          <w:ilvl w:val="0"/>
          <w:numId w:val="24"/>
        </w:numPr>
        <w:ind w:left="567" w:hanging="567"/>
      </w:pPr>
      <w:r>
        <w:lastRenderedPageBreak/>
        <w:t xml:space="preserve">Section 3 of Part 1 provides that </w:t>
      </w:r>
      <w:r w:rsidR="00B3658C">
        <w:t xml:space="preserve">the </w:t>
      </w:r>
      <w:r w:rsidR="00900791">
        <w:t xml:space="preserve">Nexus </w:t>
      </w:r>
      <w:r w:rsidR="00B3658C">
        <w:t>Instrument</w:t>
      </w:r>
      <w:r>
        <w:t xml:space="preserve"> </w:t>
      </w:r>
      <w:r w:rsidRPr="00FB0DFA">
        <w:t xml:space="preserve">is made under </w:t>
      </w:r>
      <w:r w:rsidR="00C33679">
        <w:t xml:space="preserve">paragraph 907D(2)(a) of the </w:t>
      </w:r>
      <w:r w:rsidR="00C33679" w:rsidRPr="004D73E0">
        <w:rPr>
          <w:i/>
          <w:iCs/>
        </w:rPr>
        <w:t>Corporations Act 2001</w:t>
      </w:r>
      <w:r w:rsidR="004D73E0">
        <w:t>.</w:t>
      </w:r>
    </w:p>
    <w:p w14:paraId="0CEF988C" w14:textId="5885DABC" w:rsidR="00921A0B" w:rsidRDefault="00921A0B" w:rsidP="000C7894">
      <w:pPr>
        <w:pStyle w:val="LI-BodyTextParaa"/>
        <w:numPr>
          <w:ilvl w:val="0"/>
          <w:numId w:val="24"/>
        </w:numPr>
        <w:ind w:left="567" w:hanging="567"/>
      </w:pPr>
      <w:r>
        <w:t>Subsection 4(1) of Part 1 provides that in the Nexus Instrument, unless contrary intention appears, capitalised terms have the same meaning as in the 2024 Reporting Rules</w:t>
      </w:r>
    </w:p>
    <w:p w14:paraId="780C6946" w14:textId="67977CD9" w:rsidR="00905D9B" w:rsidRDefault="00921A0B" w:rsidP="000C7894">
      <w:pPr>
        <w:pStyle w:val="LI-BodyTextParaa"/>
        <w:numPr>
          <w:ilvl w:val="0"/>
          <w:numId w:val="24"/>
        </w:numPr>
        <w:ind w:left="567" w:hanging="567"/>
      </w:pPr>
      <w:r>
        <w:t>Subs</w:t>
      </w:r>
      <w:r w:rsidR="00122FB4">
        <w:t>ection 4</w:t>
      </w:r>
      <w:r>
        <w:t>(2)</w:t>
      </w:r>
      <w:r w:rsidR="00122FB4">
        <w:t xml:space="preserve"> of Part 1 </w:t>
      </w:r>
      <w:r w:rsidR="003506E4">
        <w:t xml:space="preserve">of the Nexus Instrument </w:t>
      </w:r>
      <w:r w:rsidR="000C7894">
        <w:t>defines the terms</w:t>
      </w:r>
      <w:r w:rsidR="00905D9B">
        <w:t>:</w:t>
      </w:r>
    </w:p>
    <w:p w14:paraId="07F6BDC1" w14:textId="4A2030B4" w:rsidR="00BB420B" w:rsidRDefault="000C7894" w:rsidP="00905D9B">
      <w:pPr>
        <w:pStyle w:val="LI-BodyTextParaa"/>
        <w:numPr>
          <w:ilvl w:val="1"/>
          <w:numId w:val="33"/>
        </w:numPr>
      </w:pPr>
      <w:r w:rsidRPr="005A2AB7">
        <w:rPr>
          <w:b/>
          <w:bCs/>
          <w:i/>
          <w:iCs/>
        </w:rPr>
        <w:t>Relevant Reporting Entity</w:t>
      </w:r>
      <w:r w:rsidR="00905D9B">
        <w:t xml:space="preserve"> as meaning </w:t>
      </w:r>
      <w:r w:rsidR="00BB420B">
        <w:t xml:space="preserve">a Foreign </w:t>
      </w:r>
      <w:r w:rsidR="00B93110">
        <w:t>approved depo</w:t>
      </w:r>
      <w:r w:rsidR="00685659">
        <w:t>s</w:t>
      </w:r>
      <w:r w:rsidR="00B93110">
        <w:t>it-taking institution (</w:t>
      </w:r>
      <w:r w:rsidR="00BB420B" w:rsidRPr="005A2AB7">
        <w:rPr>
          <w:b/>
          <w:bCs/>
          <w:i/>
          <w:iCs/>
        </w:rPr>
        <w:t>ADI</w:t>
      </w:r>
      <w:r w:rsidR="00B93110">
        <w:t>)</w:t>
      </w:r>
      <w:r w:rsidR="00BB420B">
        <w:t xml:space="preserve"> that has a branch located in this jurisdiction or a foreign company that is required to be registered under Division 2 of Part 5B.2 of the </w:t>
      </w:r>
      <w:r w:rsidR="00C878A7">
        <w:t xml:space="preserve">Corporations </w:t>
      </w:r>
      <w:r w:rsidR="00BB420B">
        <w:t>Act; and</w:t>
      </w:r>
    </w:p>
    <w:p w14:paraId="34789926" w14:textId="1199710F" w:rsidR="00122FB4" w:rsidRDefault="00BB420B" w:rsidP="00905D9B">
      <w:pPr>
        <w:pStyle w:val="LI-BodyTextParaa"/>
        <w:numPr>
          <w:ilvl w:val="1"/>
          <w:numId w:val="33"/>
        </w:numPr>
      </w:pPr>
      <w:r w:rsidRPr="008369F3">
        <w:rPr>
          <w:b/>
          <w:bCs/>
          <w:i/>
          <w:iCs/>
        </w:rPr>
        <w:t>Rules</w:t>
      </w:r>
      <w:r>
        <w:t xml:space="preserve"> as meaning the </w:t>
      </w:r>
      <w:r w:rsidR="0059202C" w:rsidRPr="00886E2F">
        <w:rPr>
          <w:i/>
          <w:iCs/>
        </w:rPr>
        <w:t xml:space="preserve">ASIC Derivative Transaction Rules (Reporting) </w:t>
      </w:r>
      <w:r w:rsidR="0059202C">
        <w:rPr>
          <w:i/>
          <w:iCs/>
        </w:rPr>
        <w:t>2024</w:t>
      </w:r>
      <w:r w:rsidR="0059202C">
        <w:t>.</w:t>
      </w:r>
    </w:p>
    <w:p w14:paraId="7740B63A" w14:textId="6AFA846A" w:rsidR="00584A66" w:rsidRPr="00584A66" w:rsidRDefault="00584A66" w:rsidP="00584A66">
      <w:pPr>
        <w:pStyle w:val="LI-BodyTextParaa"/>
        <w:numPr>
          <w:ilvl w:val="0"/>
          <w:numId w:val="24"/>
        </w:numPr>
        <w:ind w:left="567" w:hanging="567"/>
      </w:pPr>
      <w:r w:rsidRPr="00584A66">
        <w:t xml:space="preserve">The </w:t>
      </w:r>
      <w:r w:rsidR="00B87D19">
        <w:t xml:space="preserve">Nexus </w:t>
      </w:r>
      <w:r w:rsidRPr="00584A66">
        <w:t xml:space="preserve">Instrument makes relief available to Relevant Reporting Entities. As defined in </w:t>
      </w:r>
      <w:r>
        <w:t>Section</w:t>
      </w:r>
      <w:r w:rsidRPr="00584A66">
        <w:t xml:space="preserve"> 4, these are Reporting Entities that are required, under the </w:t>
      </w:r>
      <w:r w:rsidR="00B87D19">
        <w:t xml:space="preserve">2024 Reporting </w:t>
      </w:r>
      <w:r w:rsidRPr="00584A66">
        <w:t xml:space="preserve">Rules, to report only </w:t>
      </w:r>
      <w:r w:rsidR="00B87D19">
        <w:t xml:space="preserve">OTC derivative </w:t>
      </w:r>
      <w:r w:rsidRPr="00584A66">
        <w:t>transaction</w:t>
      </w:r>
      <w:r w:rsidR="00B87D19">
        <w:t xml:space="preserve">s </w:t>
      </w:r>
      <w:r w:rsidRPr="00584A66">
        <w:t>that are booked to the profit or loss account of a branch of the Reporting Entity located in this jurisdiction or</w:t>
      </w:r>
      <w:r w:rsidR="00B87D19">
        <w:t>, until 20 October 2025,</w:t>
      </w:r>
      <w:r w:rsidRPr="00584A66">
        <w:t xml:space="preserve"> entered into by the Reporting Entity in this jurisdiction.</w:t>
      </w:r>
    </w:p>
    <w:p w14:paraId="5A82D829" w14:textId="5EFE29D7" w:rsidR="00584A66" w:rsidRPr="00584A66" w:rsidRDefault="00584A66" w:rsidP="00584A66">
      <w:pPr>
        <w:pStyle w:val="LI-BodyTextParaa"/>
        <w:numPr>
          <w:ilvl w:val="0"/>
          <w:numId w:val="24"/>
        </w:numPr>
        <w:ind w:left="567" w:hanging="567"/>
      </w:pPr>
      <w:r w:rsidRPr="00584A66">
        <w:t xml:space="preserve">The </w:t>
      </w:r>
      <w:r w:rsidR="007105B9">
        <w:t xml:space="preserve">Nexus Instrument no longer excludes </w:t>
      </w:r>
      <w:r w:rsidR="00596B86">
        <w:t xml:space="preserve">applying the </w:t>
      </w:r>
      <w:r w:rsidRPr="00584A66">
        <w:t xml:space="preserve">relief </w:t>
      </w:r>
      <w:r w:rsidR="00596B86">
        <w:t xml:space="preserve">to </w:t>
      </w:r>
      <w:r w:rsidRPr="00584A66">
        <w:t xml:space="preserve">foreign subsidiaries of an Australian </w:t>
      </w:r>
      <w:r w:rsidR="00596B86">
        <w:t>e</w:t>
      </w:r>
      <w:r w:rsidRPr="00584A66">
        <w:t xml:space="preserve">ntity </w:t>
      </w:r>
      <w:r w:rsidR="00596B86">
        <w:t xml:space="preserve">that </w:t>
      </w:r>
      <w:r w:rsidRPr="00584A66">
        <w:t xml:space="preserve">is an Australian ADI or </w:t>
      </w:r>
      <w:r w:rsidR="00FE736C">
        <w:t>Australian financial services (</w:t>
      </w:r>
      <w:r w:rsidRPr="008369F3">
        <w:rPr>
          <w:b/>
          <w:bCs/>
          <w:i/>
          <w:iCs/>
        </w:rPr>
        <w:t>AFS</w:t>
      </w:r>
      <w:r w:rsidR="00FE736C">
        <w:t>)</w:t>
      </w:r>
      <w:r w:rsidRPr="00584A66">
        <w:t xml:space="preserve"> Licensee</w:t>
      </w:r>
      <w:r w:rsidR="00997869">
        <w:t xml:space="preserve">, as such entities are subject to the 2024 Reporting Rules in the same manner </w:t>
      </w:r>
      <w:r w:rsidR="00026E43">
        <w:t>as any other foreign entity</w:t>
      </w:r>
      <w:r w:rsidRPr="00584A66">
        <w:t>.</w:t>
      </w:r>
    </w:p>
    <w:p w14:paraId="5F0C8FC4" w14:textId="1BCFD5C5" w:rsidR="00725D39" w:rsidRPr="00CB3D5E" w:rsidRDefault="00725D39" w:rsidP="00725D39">
      <w:pPr>
        <w:pStyle w:val="LI-BodyTextParaa"/>
        <w:ind w:left="567"/>
        <w:rPr>
          <w:u w:val="single"/>
        </w:rPr>
      </w:pPr>
      <w:r w:rsidRPr="00CB3D5E">
        <w:rPr>
          <w:u w:val="single"/>
        </w:rPr>
        <w:t xml:space="preserve">Part </w:t>
      </w:r>
      <w:r>
        <w:rPr>
          <w:u w:val="single"/>
        </w:rPr>
        <w:t>2</w:t>
      </w:r>
      <w:r w:rsidR="00A671B1" w:rsidRPr="00A671B1">
        <w:rPr>
          <w:u w:val="single"/>
        </w:rPr>
        <w:t>—</w:t>
      </w:r>
      <w:r w:rsidR="00A671B1">
        <w:rPr>
          <w:u w:val="single"/>
        </w:rPr>
        <w:t>Exemption</w:t>
      </w:r>
    </w:p>
    <w:p w14:paraId="320111CB" w14:textId="448D51A9" w:rsidR="000601E2" w:rsidRDefault="000601E2" w:rsidP="00480A02">
      <w:pPr>
        <w:pStyle w:val="LI-BodyTextParaa"/>
        <w:numPr>
          <w:ilvl w:val="0"/>
          <w:numId w:val="24"/>
        </w:numPr>
        <w:ind w:left="567" w:hanging="567"/>
      </w:pPr>
      <w:r>
        <w:t xml:space="preserve">Section 5 provides that a Relevant Reporting Entity does not have to comply with subrule 2.2.1(1) of the </w:t>
      </w:r>
      <w:r w:rsidR="00C80EF5">
        <w:t xml:space="preserve">2024 Reporting </w:t>
      </w:r>
      <w:r>
        <w:t>Rules to the extent that subrule requires the Relevant Reporting Entity to report a Reportable Transaction in an OTC Derivative that was:</w:t>
      </w:r>
    </w:p>
    <w:p w14:paraId="5160EB05" w14:textId="09719ECA" w:rsidR="00480A02" w:rsidRDefault="00720955" w:rsidP="00480A02">
      <w:pPr>
        <w:pStyle w:val="LI-BodyTextParaa"/>
        <w:numPr>
          <w:ilvl w:val="1"/>
          <w:numId w:val="34"/>
        </w:numPr>
      </w:pPr>
      <w:r>
        <w:t>entered into by the Relevant Reporting Entity in this jurisdiction; and</w:t>
      </w:r>
    </w:p>
    <w:p w14:paraId="08806F15" w14:textId="087F624E" w:rsidR="00720955" w:rsidRDefault="00720955" w:rsidP="00480A02">
      <w:pPr>
        <w:pStyle w:val="LI-BodyTextParaa"/>
        <w:numPr>
          <w:ilvl w:val="1"/>
          <w:numId w:val="34"/>
        </w:numPr>
      </w:pPr>
      <w:r>
        <w:t>not booked to the profit or loss account of a branch of the Relevant Reporting Entity located in this jurisdiction.</w:t>
      </w:r>
    </w:p>
    <w:p w14:paraId="694B4CE2" w14:textId="77176EB8" w:rsidR="00720955" w:rsidRDefault="00027FD1" w:rsidP="00720955">
      <w:pPr>
        <w:pStyle w:val="LI-BodyTextParaa"/>
        <w:numPr>
          <w:ilvl w:val="0"/>
          <w:numId w:val="24"/>
        </w:numPr>
        <w:ind w:left="567" w:hanging="567"/>
      </w:pPr>
      <w:r>
        <w:t>Relevant Reporting Entities will be required to continue to report all Reportable Transactions in an OTC Derivative that was booked to the profit or loss account of a branch of the Relevant Reporting Entity located in this jurisdiction, as required under the 2024 Reporting Rules.</w:t>
      </w:r>
    </w:p>
    <w:p w14:paraId="3AE109B8" w14:textId="49B486B7" w:rsidR="00F44F1E" w:rsidRDefault="00C6175B" w:rsidP="001F5B0A">
      <w:pPr>
        <w:pStyle w:val="LI-BodyTextParaa"/>
        <w:numPr>
          <w:ilvl w:val="0"/>
          <w:numId w:val="24"/>
        </w:numPr>
        <w:ind w:left="567" w:hanging="567"/>
      </w:pPr>
      <w:r>
        <w:t>Subs</w:t>
      </w:r>
      <w:r w:rsidR="002A4C36">
        <w:t>ection 6</w:t>
      </w:r>
      <w:r>
        <w:t>(1)</w:t>
      </w:r>
      <w:r w:rsidR="00F44F1E">
        <w:t xml:space="preserve"> provides that a Relevant Reporting Entity may give to ASIC a written notice (an </w:t>
      </w:r>
      <w:r w:rsidR="00F44F1E" w:rsidRPr="008369F3">
        <w:rPr>
          <w:b/>
          <w:bCs/>
          <w:i/>
          <w:iCs/>
        </w:rPr>
        <w:t>Opt-In Notice</w:t>
      </w:r>
      <w:r w:rsidR="00F44F1E">
        <w:t>) setting out all of the following:</w:t>
      </w:r>
    </w:p>
    <w:p w14:paraId="224EC34E" w14:textId="279A5987" w:rsidR="002A4C36" w:rsidRDefault="001F5B0A" w:rsidP="001F5B0A">
      <w:pPr>
        <w:pStyle w:val="LI-BodyTextParaa"/>
        <w:numPr>
          <w:ilvl w:val="1"/>
          <w:numId w:val="35"/>
        </w:numPr>
      </w:pPr>
      <w:r>
        <w:t>the name of the Relevant Reporting Entity;</w:t>
      </w:r>
    </w:p>
    <w:p w14:paraId="4EEDD8DB" w14:textId="71E761EF" w:rsidR="001F5B0A" w:rsidRDefault="00A26D8D" w:rsidP="001F5B0A">
      <w:pPr>
        <w:pStyle w:val="LI-BodyTextParaa"/>
        <w:numPr>
          <w:ilvl w:val="1"/>
          <w:numId w:val="35"/>
        </w:numPr>
      </w:pPr>
      <w:r>
        <w:lastRenderedPageBreak/>
        <w:t xml:space="preserve">the Prescribed Class or Prescribed Classes (each, an </w:t>
      </w:r>
      <w:r w:rsidRPr="008369F3">
        <w:rPr>
          <w:b/>
          <w:bCs/>
          <w:i/>
          <w:iCs/>
        </w:rPr>
        <w:t>Opt-In Class</w:t>
      </w:r>
      <w:r>
        <w:t>) for which the Relevant Reporting Entity is giving the written notice (</w:t>
      </w:r>
      <w:r w:rsidR="00813029">
        <w:t>for example,</w:t>
      </w:r>
      <w:r>
        <w:t xml:space="preserve"> commodity derivatives that are not electricity derivatives, credit derivatives, equity derivatives, foreign exchange derivatives and interest rate derivatives); and</w:t>
      </w:r>
    </w:p>
    <w:p w14:paraId="14C0D09B" w14:textId="7CE04E47" w:rsidR="00A26D8D" w:rsidRDefault="00A26D8D" w:rsidP="001F5B0A">
      <w:pPr>
        <w:pStyle w:val="LI-BodyTextParaa"/>
        <w:numPr>
          <w:ilvl w:val="1"/>
          <w:numId w:val="35"/>
        </w:numPr>
      </w:pPr>
      <w:r>
        <w:t>the date (</w:t>
      </w:r>
      <w:r w:rsidRPr="0008206C">
        <w:rPr>
          <w:b/>
          <w:bCs/>
          <w:i/>
          <w:iCs/>
        </w:rPr>
        <w:t>Effective Date</w:t>
      </w:r>
      <w:r>
        <w:t xml:space="preserve">) from which the Relevant Reporting Entity will rely on the exemption in </w:t>
      </w:r>
      <w:r w:rsidR="000E5E2B">
        <w:t>section 5</w:t>
      </w:r>
      <w:r>
        <w:t xml:space="preserve"> in relation each Opt-In Class named in the notice, being a date no earlier than the date the Opt-In Notice is given to ASIC.</w:t>
      </w:r>
    </w:p>
    <w:p w14:paraId="40918304" w14:textId="1FD82964" w:rsidR="00F44F1E" w:rsidRDefault="00C6175B" w:rsidP="00C6175B">
      <w:pPr>
        <w:pStyle w:val="LI-BodyTextParaa"/>
        <w:numPr>
          <w:ilvl w:val="0"/>
          <w:numId w:val="24"/>
        </w:numPr>
        <w:ind w:left="567" w:hanging="567"/>
      </w:pPr>
      <w:r>
        <w:t xml:space="preserve">Subsection 6(2) </w:t>
      </w:r>
      <w:r w:rsidR="00F44F1E">
        <w:t xml:space="preserve">provides that a Relevant Reporting Entity that has given an Opt-In Notice under </w:t>
      </w:r>
      <w:r>
        <w:t>subsection 6(1)</w:t>
      </w:r>
      <w:r w:rsidR="00F44F1E">
        <w:t xml:space="preserve"> may withdraw the Opt-In Notice in relation to one or more Opt-In Classes, by lodging a written notice (the Withdrawal Notice) with ASIC setting out all of the following:</w:t>
      </w:r>
    </w:p>
    <w:p w14:paraId="69D23147" w14:textId="77777777" w:rsidR="00C807C7" w:rsidRDefault="00C807C7" w:rsidP="00C807C7">
      <w:pPr>
        <w:pStyle w:val="LI-BodyTextParaa"/>
        <w:numPr>
          <w:ilvl w:val="1"/>
          <w:numId w:val="36"/>
        </w:numPr>
      </w:pPr>
      <w:r>
        <w:t>the name of the Relevant Reporting Entity;</w:t>
      </w:r>
    </w:p>
    <w:p w14:paraId="3FB95A5E" w14:textId="61B80192" w:rsidR="00C807C7" w:rsidRDefault="003F19D6" w:rsidP="00C807C7">
      <w:pPr>
        <w:pStyle w:val="LI-BodyTextParaa"/>
        <w:numPr>
          <w:ilvl w:val="1"/>
          <w:numId w:val="36"/>
        </w:numPr>
      </w:pPr>
      <w:r>
        <w:t>the name of each Opt-In Class for which the Relevant Reporting Entity is lodging the written notice; and</w:t>
      </w:r>
    </w:p>
    <w:p w14:paraId="44CC9F5D" w14:textId="5D4984D8" w:rsidR="00C807C7" w:rsidRDefault="003F19D6" w:rsidP="00C807C7">
      <w:pPr>
        <w:pStyle w:val="LI-BodyTextParaa"/>
        <w:numPr>
          <w:ilvl w:val="1"/>
          <w:numId w:val="36"/>
        </w:numPr>
      </w:pPr>
      <w:r>
        <w:t>the date (</w:t>
      </w:r>
      <w:r w:rsidRPr="00D24711">
        <w:rPr>
          <w:b/>
          <w:bCs/>
          <w:i/>
          <w:iCs/>
        </w:rPr>
        <w:t>Withdrawal Effective Date</w:t>
      </w:r>
      <w:r>
        <w:t xml:space="preserve">) from which the Relevant Reporting Entity will cease to rely on the exemption in </w:t>
      </w:r>
      <w:r w:rsidR="00162825">
        <w:t xml:space="preserve">section </w:t>
      </w:r>
      <w:r>
        <w:t>5in relation to each Opt-In Class named in the notice, being a date not less than 30 calendar days from the date the Withdrawal Notice is given.</w:t>
      </w:r>
    </w:p>
    <w:p w14:paraId="760D06D4" w14:textId="0E518FD9" w:rsidR="00F44F1E" w:rsidRDefault="00F44F1E" w:rsidP="00F05EA7">
      <w:pPr>
        <w:pStyle w:val="LI-BodyTextParaa"/>
        <w:numPr>
          <w:ilvl w:val="0"/>
          <w:numId w:val="24"/>
        </w:numPr>
        <w:ind w:left="567" w:hanging="567"/>
      </w:pPr>
      <w:r>
        <w:t>An Opt-In Notice or Withdrawal Notice may be given in relation to all asset classes. The ability to opt-in by class accommodates</w:t>
      </w:r>
      <w:r w:rsidR="007C6997">
        <w:t xml:space="preserve"> </w:t>
      </w:r>
      <w:r>
        <w:t xml:space="preserve">Relevant Reporting Entities </w:t>
      </w:r>
      <w:r w:rsidR="00326BE4">
        <w:t xml:space="preserve">who enter into Nexus Derivatives in some asset classes </w:t>
      </w:r>
      <w:r w:rsidR="00EF39C8">
        <w:t>but enter in</w:t>
      </w:r>
      <w:r w:rsidR="00C34F66">
        <w:t>to</w:t>
      </w:r>
      <w:r w:rsidR="00EF39C8">
        <w:t xml:space="preserve"> OTC derivatives </w:t>
      </w:r>
      <w:r w:rsidR="00023771">
        <w:t xml:space="preserve">that are not Nexus Derivatives </w:t>
      </w:r>
      <w:r w:rsidR="00EF39C8">
        <w:t>in other asset classes.</w:t>
      </w:r>
    </w:p>
    <w:p w14:paraId="6AEB4FEC" w14:textId="4C95696B" w:rsidR="00F44F1E" w:rsidRDefault="000969E2" w:rsidP="000969E2">
      <w:pPr>
        <w:pStyle w:val="LI-BodyTextParaa"/>
        <w:numPr>
          <w:ilvl w:val="0"/>
          <w:numId w:val="24"/>
        </w:numPr>
        <w:ind w:left="567" w:hanging="567"/>
      </w:pPr>
      <w:r>
        <w:t xml:space="preserve">Section 7 </w:t>
      </w:r>
      <w:r w:rsidR="00F44F1E">
        <w:t xml:space="preserve">provides that the exemption in </w:t>
      </w:r>
      <w:r>
        <w:t xml:space="preserve">section </w:t>
      </w:r>
      <w:r w:rsidR="00F44F1E">
        <w:t>5 applies to</w:t>
      </w:r>
      <w:r>
        <w:t xml:space="preserve"> </w:t>
      </w:r>
      <w:r w:rsidR="00F44F1E">
        <w:t xml:space="preserve">a Relevant Reporting Entity in relation to an Opt-In Class from the Effective Date specified in the Opt-In Notice given in accordance with </w:t>
      </w:r>
      <w:r w:rsidR="005313C1">
        <w:t xml:space="preserve">subsection </w:t>
      </w:r>
      <w:r w:rsidR="00F44F1E">
        <w:t>6</w:t>
      </w:r>
      <w:r w:rsidR="005313C1">
        <w:t>(1)</w:t>
      </w:r>
      <w:r w:rsidR="00F44F1E">
        <w:t xml:space="preserve"> in relation to that Opt-In Class, until the Withdrawal Effective Date specified in the Withdrawal Notice (if any) given in accordance with </w:t>
      </w:r>
      <w:r w:rsidR="005313C1">
        <w:t>subsection 6(2)</w:t>
      </w:r>
      <w:r w:rsidR="00F44F1E">
        <w:t xml:space="preserve"> in relation to that Opt-In Class.</w:t>
      </w:r>
    </w:p>
    <w:p w14:paraId="275795FC" w14:textId="5C264613" w:rsidR="005313C1" w:rsidRDefault="00304FB1" w:rsidP="000969E2">
      <w:pPr>
        <w:pStyle w:val="LI-BodyTextParaa"/>
        <w:numPr>
          <w:ilvl w:val="0"/>
          <w:numId w:val="24"/>
        </w:numPr>
        <w:ind w:left="567" w:hanging="567"/>
      </w:pPr>
      <w:r>
        <w:t>The opt-in arrangements under sections 6 and 7 provide certainty to ASIC and Relevant Reporting Entities as to when a Relevant Reporting Entity is relying on the exemption in section 5</w:t>
      </w:r>
      <w:r w:rsidR="003050CD">
        <w:t>.</w:t>
      </w:r>
    </w:p>
    <w:p w14:paraId="7E06BFB2" w14:textId="1346FC96" w:rsidR="00662A6A" w:rsidRDefault="00662A6A" w:rsidP="00662A6A">
      <w:pPr>
        <w:pStyle w:val="LI-BodyTextParaa"/>
        <w:numPr>
          <w:ilvl w:val="0"/>
          <w:numId w:val="24"/>
        </w:numPr>
        <w:ind w:left="567" w:hanging="567"/>
      </w:pPr>
      <w:r>
        <w:t xml:space="preserve">Section </w:t>
      </w:r>
      <w:r w:rsidR="005A53D4">
        <w:t>8</w:t>
      </w:r>
      <w:r>
        <w:t xml:space="preserve"> provides that, subject to </w:t>
      </w:r>
      <w:r w:rsidR="005A53D4">
        <w:t xml:space="preserve">subsection </w:t>
      </w:r>
      <w:r w:rsidR="00AF7765">
        <w:t>8</w:t>
      </w:r>
      <w:r w:rsidR="005A53D4">
        <w:t>(2)</w:t>
      </w:r>
      <w:r>
        <w:t xml:space="preserve">, a Relevant Reporting Entity to which the exemption in </w:t>
      </w:r>
      <w:r w:rsidR="005A53D4">
        <w:t xml:space="preserve">section </w:t>
      </w:r>
      <w:r>
        <w:t xml:space="preserve">5 applies must, commencing from the date (defined in the </w:t>
      </w:r>
      <w:r w:rsidR="00E93E01">
        <w:t>Nexus</w:t>
      </w:r>
      <w:r>
        <w:t xml:space="preserve"> Instrument as the </w:t>
      </w:r>
      <w:r w:rsidRPr="00D24711">
        <w:rPr>
          <w:b/>
          <w:bCs/>
          <w:i/>
          <w:iCs/>
        </w:rPr>
        <w:t>Relevant Reporting Date</w:t>
      </w:r>
      <w:r>
        <w:t xml:space="preserve">) that is the Effective Date specified in an Opt-In Notice in relation to an Opt-In Class report Derivative Transaction Information about each </w:t>
      </w:r>
      <w:r w:rsidR="007B6189">
        <w:t>‘</w:t>
      </w:r>
      <w:r>
        <w:t>Nexus Transaction</w:t>
      </w:r>
      <w:r w:rsidR="007B6189">
        <w:t>’</w:t>
      </w:r>
      <w:r>
        <w:t xml:space="preserve"> within the relevant Opt-in Class, as if the Nexus Transaction was a Reportable Transaction under the Rules.</w:t>
      </w:r>
    </w:p>
    <w:p w14:paraId="4B886828" w14:textId="0C6495F6" w:rsidR="00662A6A" w:rsidRDefault="00662A6A" w:rsidP="003A7C5D">
      <w:pPr>
        <w:pStyle w:val="LI-BodyTextParaa"/>
        <w:numPr>
          <w:ilvl w:val="0"/>
          <w:numId w:val="24"/>
        </w:numPr>
        <w:ind w:left="567" w:hanging="567"/>
      </w:pPr>
      <w:r>
        <w:lastRenderedPageBreak/>
        <w:t xml:space="preserve">A Nexus Transaction is defined in </w:t>
      </w:r>
      <w:r w:rsidR="00D16570">
        <w:t>section 8</w:t>
      </w:r>
      <w:r>
        <w:t xml:space="preserve"> as the entry into, modification, termination or assignment of an arrangement that is a </w:t>
      </w:r>
      <w:r w:rsidR="00947FD7">
        <w:t>‘</w:t>
      </w:r>
      <w:r>
        <w:t>Nexus Derivative</w:t>
      </w:r>
      <w:r w:rsidR="00947FD7">
        <w:t>’</w:t>
      </w:r>
      <w:r>
        <w:t xml:space="preserve">. </w:t>
      </w:r>
      <w:r w:rsidR="00B035E5">
        <w:t>Section 8</w:t>
      </w:r>
      <w:r>
        <w:t xml:space="preserve"> defines a </w:t>
      </w:r>
      <w:r w:rsidR="00947FD7">
        <w:t>‘</w:t>
      </w:r>
      <w:r>
        <w:t>Nexus Derivative</w:t>
      </w:r>
      <w:r w:rsidR="00947FD7">
        <w:t>’</w:t>
      </w:r>
      <w:r>
        <w:t xml:space="preserve"> as an OTC Derivative to which the Relevant Reporting Entity is a counterparty, where:</w:t>
      </w:r>
    </w:p>
    <w:p w14:paraId="05230BAB" w14:textId="5A142D27" w:rsidR="00B035E5" w:rsidRDefault="00242A6B" w:rsidP="00B035E5">
      <w:pPr>
        <w:pStyle w:val="LI-BodyTextParaa"/>
        <w:numPr>
          <w:ilvl w:val="1"/>
          <w:numId w:val="37"/>
        </w:numPr>
      </w:pPr>
      <w:r>
        <w:t>one or more of the following functions in relation to the OTC Derivative:</w:t>
      </w:r>
    </w:p>
    <w:p w14:paraId="6C36DC29" w14:textId="447E9C98" w:rsidR="00242A6B" w:rsidRDefault="00242A6B" w:rsidP="00242A6B">
      <w:pPr>
        <w:pStyle w:val="LI-BodyTextParaa"/>
        <w:numPr>
          <w:ilvl w:val="2"/>
          <w:numId w:val="37"/>
        </w:numPr>
      </w:pPr>
      <w:r>
        <w:t xml:space="preserve">determining the price, level, rate or other economic terms (collectively, </w:t>
      </w:r>
      <w:r w:rsidRPr="00D24711">
        <w:rPr>
          <w:b/>
          <w:bCs/>
          <w:i/>
          <w:iCs/>
        </w:rPr>
        <w:t>Terms</w:t>
      </w:r>
      <w:r>
        <w:t>) on which the Relevant Reporting Entity is willing to enter into the OTC Derivative, including by determining the proposed Terms or range of proposed Terms which may be communicated to the proposed counterparty or agreeing the final Terms on which the Relevant Reporting Entity will enter into the OTC Derivative with the proposed counterparty;</w:t>
      </w:r>
    </w:p>
    <w:p w14:paraId="6DB21598" w14:textId="2533DA1C" w:rsidR="00604634" w:rsidRDefault="00604634" w:rsidP="00242A6B">
      <w:pPr>
        <w:pStyle w:val="LI-BodyTextParaa"/>
        <w:numPr>
          <w:ilvl w:val="2"/>
          <w:numId w:val="37"/>
        </w:numPr>
      </w:pPr>
      <w:r>
        <w:t>communicating to the proposed counterparty one or more of the Terms on which the Relevant Reporting Entity is willing to enter into the OTC Derivative;</w:t>
      </w:r>
    </w:p>
    <w:p w14:paraId="18141447" w14:textId="5B521C9B" w:rsidR="00604634" w:rsidRDefault="00CE2DA3" w:rsidP="00242A6B">
      <w:pPr>
        <w:pStyle w:val="LI-BodyTextParaa"/>
        <w:numPr>
          <w:ilvl w:val="2"/>
          <w:numId w:val="37"/>
        </w:numPr>
      </w:pPr>
      <w:r>
        <w:t>offering to enter into the OTC Derivative with the proposed counterparty or inviting the proposed counterparty to offer to enter into the OTC Derivative with the Relevant Reporting Entity;</w:t>
      </w:r>
    </w:p>
    <w:p w14:paraId="07BA09F2" w14:textId="5E2E2EDC" w:rsidR="00CE2DA3" w:rsidRDefault="00CE2DA3" w:rsidP="00242A6B">
      <w:pPr>
        <w:pStyle w:val="LI-BodyTextParaa"/>
        <w:numPr>
          <w:ilvl w:val="2"/>
          <w:numId w:val="37"/>
        </w:numPr>
      </w:pPr>
      <w:r>
        <w:t>agreeing to enter into the OTC Derivative with the proposed counterparty;</w:t>
      </w:r>
    </w:p>
    <w:p w14:paraId="2851645F" w14:textId="580A28FA" w:rsidR="00CE2DA3" w:rsidRDefault="00CE2DA3" w:rsidP="00242A6B">
      <w:pPr>
        <w:pStyle w:val="LI-BodyTextParaa"/>
        <w:numPr>
          <w:ilvl w:val="2"/>
          <w:numId w:val="37"/>
        </w:numPr>
      </w:pPr>
      <w:r>
        <w:t>managing the financial risk arising from the OTC Derivative;</w:t>
      </w:r>
    </w:p>
    <w:p w14:paraId="51FF2339" w14:textId="669F2D76" w:rsidR="00662A6A" w:rsidRDefault="00662A6A" w:rsidP="003002B7">
      <w:pPr>
        <w:pStyle w:val="LI-BodyTextParaa"/>
        <w:ind w:left="1134" w:firstLine="0"/>
      </w:pPr>
      <w:r>
        <w:t>is or will be performed on behalf of the Relevant Reporting Entity by a person who is:</w:t>
      </w:r>
    </w:p>
    <w:p w14:paraId="0E175D7F" w14:textId="71D1F75E" w:rsidR="00C72FB6" w:rsidRDefault="00C72FB6" w:rsidP="00C72FB6">
      <w:pPr>
        <w:pStyle w:val="LI-BodyTextParaa"/>
        <w:numPr>
          <w:ilvl w:val="2"/>
          <w:numId w:val="37"/>
        </w:numPr>
      </w:pPr>
      <w:r>
        <w:t>ordinarily resident or employed in this jurisdiction (</w:t>
      </w:r>
      <w:r w:rsidR="00CE3998">
        <w:t>that is,</w:t>
      </w:r>
      <w:r>
        <w:t xml:space="preserve"> regardless of whether the person is employed by the Relevant Reporting Entity or one of its associates); or</w:t>
      </w:r>
    </w:p>
    <w:p w14:paraId="3B46C5F7" w14:textId="77777777" w:rsidR="00781F5E" w:rsidRDefault="001E4155" w:rsidP="00C72FB6">
      <w:pPr>
        <w:pStyle w:val="LI-BodyTextParaa"/>
        <w:numPr>
          <w:ilvl w:val="2"/>
          <w:numId w:val="37"/>
        </w:numPr>
      </w:pPr>
      <w:r>
        <w:t>acting as part of a desk, office or branch of the Relevant Reporting Entity, or of an entity that is an associate (within the meaning of s</w:t>
      </w:r>
      <w:r w:rsidR="00FA3CA4">
        <w:t xml:space="preserve">ection </w:t>
      </w:r>
      <w:r>
        <w:t xml:space="preserve">9 of the </w:t>
      </w:r>
      <w:r w:rsidR="00C878A7">
        <w:t xml:space="preserve">Corporations </w:t>
      </w:r>
      <w:r>
        <w:t xml:space="preserve">Act) of the Relevant Reporting Entity, </w:t>
      </w:r>
    </w:p>
    <w:p w14:paraId="75A5B535" w14:textId="07C811E3" w:rsidR="001E4155" w:rsidRDefault="001E4155" w:rsidP="00C76545">
      <w:pPr>
        <w:pStyle w:val="LI-BodyTextParaa"/>
        <w:ind w:firstLine="0"/>
      </w:pPr>
      <w:r>
        <w:t xml:space="preserve">where that desk, office or branch is located in this jurisdiction; </w:t>
      </w:r>
      <w:r w:rsidR="00195A43">
        <w:t>and</w:t>
      </w:r>
    </w:p>
    <w:p w14:paraId="77573391" w14:textId="7BDC7F31" w:rsidR="00A65ED5" w:rsidRDefault="00A65ED5" w:rsidP="00A65ED5">
      <w:pPr>
        <w:pStyle w:val="LI-BodyTextParaa"/>
        <w:numPr>
          <w:ilvl w:val="1"/>
          <w:numId w:val="37"/>
        </w:numPr>
      </w:pPr>
      <w:r>
        <w:t>if the OTC Derivative was executed through an automated electronic trading facility, the function of determining the Terms of the OTC Derivative, or managing the financial risk arising from the OTC Derivative, is or will be performed on behalf of the Relevant Reporting Entity by a person who is:</w:t>
      </w:r>
    </w:p>
    <w:p w14:paraId="499A56A8" w14:textId="41B1C76A" w:rsidR="00182D09" w:rsidRDefault="00182D09" w:rsidP="00182D09">
      <w:pPr>
        <w:pStyle w:val="LI-BodyTextParaa"/>
        <w:numPr>
          <w:ilvl w:val="2"/>
          <w:numId w:val="37"/>
        </w:numPr>
      </w:pPr>
      <w:r>
        <w:t>ordinarily resident or employed in this jurisdiction (</w:t>
      </w:r>
      <w:r w:rsidR="00CE3998">
        <w:t>that is,</w:t>
      </w:r>
      <w:r>
        <w:t xml:space="preserve"> regardless of whether the person is employed by the Relevant Reporting Entity or one of its associates); or</w:t>
      </w:r>
    </w:p>
    <w:p w14:paraId="40FB44DF" w14:textId="7BD3A2BF" w:rsidR="00182D09" w:rsidRDefault="00182D09" w:rsidP="00182D09">
      <w:pPr>
        <w:pStyle w:val="LI-BodyTextParaa"/>
        <w:numPr>
          <w:ilvl w:val="2"/>
          <w:numId w:val="37"/>
        </w:numPr>
      </w:pPr>
      <w:r>
        <w:lastRenderedPageBreak/>
        <w:t>acting as part of a desk, office or branch of the Relevant Reporting Entity, or of an entity that is an associate (within the meaning of s9 of the</w:t>
      </w:r>
      <w:r w:rsidR="00C878A7">
        <w:t xml:space="preserve"> Corporations</w:t>
      </w:r>
      <w:r>
        <w:t xml:space="preserve"> Act) of the Relevant Reporting Entity, where that desk, office or branch is located in this jurisdiction.</w:t>
      </w:r>
    </w:p>
    <w:p w14:paraId="5096BA4B" w14:textId="397DE2C5" w:rsidR="00662A6A" w:rsidRDefault="008A5581" w:rsidP="008A5581">
      <w:pPr>
        <w:pStyle w:val="LI-BodyTextParaa"/>
        <w:numPr>
          <w:ilvl w:val="0"/>
          <w:numId w:val="24"/>
        </w:numPr>
        <w:ind w:left="567" w:hanging="567"/>
      </w:pPr>
      <w:r>
        <w:t>Subsection 8(1)</w:t>
      </w:r>
      <w:r w:rsidR="00662A6A">
        <w:t xml:space="preserve"> requires Relevant Reporting Entities that opt-in to the relief to report transactions in </w:t>
      </w:r>
      <w:r w:rsidR="00FA7FA4">
        <w:t>‘</w:t>
      </w:r>
      <w:r w:rsidR="00662A6A">
        <w:t>Nexus Derivatives</w:t>
      </w:r>
      <w:r w:rsidR="00FA7FA4">
        <w:t>’</w:t>
      </w:r>
      <w:r w:rsidR="00662A6A">
        <w:t xml:space="preserve"> within each Opt-in Class. The test for determining whether an OTC Derivative is a Nexus Derivative is based on the functions performed by the persons involved in executing the relevant Derivative Transaction. The test is designed to capture functions which would typically be performed by a person who is commonly referred to as a </w:t>
      </w:r>
      <w:r w:rsidR="00FA7FA4">
        <w:t>‘</w:t>
      </w:r>
      <w:r w:rsidR="00662A6A">
        <w:t>salesperson</w:t>
      </w:r>
      <w:r w:rsidR="00FA7FA4">
        <w:t>’</w:t>
      </w:r>
      <w:r w:rsidR="00662A6A">
        <w:t xml:space="preserve"> or </w:t>
      </w:r>
      <w:r w:rsidR="00FA7FA4">
        <w:t>‘</w:t>
      </w:r>
      <w:r w:rsidR="00662A6A">
        <w:t>trader</w:t>
      </w:r>
      <w:r w:rsidR="00FA7FA4">
        <w:t>’</w:t>
      </w:r>
      <w:r w:rsidR="00662A6A">
        <w:t>. The test is not intended to capture functions performed by persons sitting in non-sales or trader functions such as management, counterparty risk, operational risk, finance and treasury. The person's role in the organisation or job title is not definitive in determining whether an OTC Derivative is a Nexus Derivative.</w:t>
      </w:r>
    </w:p>
    <w:p w14:paraId="5B8E7974" w14:textId="353844E1" w:rsidR="008A5581" w:rsidRDefault="008A5581" w:rsidP="008A5581">
      <w:pPr>
        <w:pStyle w:val="LI-BodyTextParaa"/>
        <w:numPr>
          <w:ilvl w:val="0"/>
          <w:numId w:val="24"/>
        </w:numPr>
        <w:ind w:left="567" w:hanging="567"/>
      </w:pPr>
      <w:r>
        <w:t xml:space="preserve">Subsection 8(2) provides that a Relevant Reporting Entity to which the exemption in </w:t>
      </w:r>
      <w:r w:rsidR="006A51A3">
        <w:t xml:space="preserve">section </w:t>
      </w:r>
      <w:r>
        <w:t xml:space="preserve">5 applies is not required to comply with the conditions in </w:t>
      </w:r>
      <w:r w:rsidR="006A51A3">
        <w:t>subsection 8(1)</w:t>
      </w:r>
      <w:r>
        <w:t xml:space="preserve"> that would otherwise apply to the Relevant Reporting Entity in relation to a Nexus Transaction, if, at the time the Relevant Reporting Entity would otherwise be required to comply with the condition, the Relevant Reporting Entity is subject to </w:t>
      </w:r>
      <w:r w:rsidR="00FA7FA4">
        <w:t>‘</w:t>
      </w:r>
      <w:r>
        <w:t>Alternative Reporting Requirements</w:t>
      </w:r>
      <w:r w:rsidR="00FA7FA4">
        <w:t>’</w:t>
      </w:r>
      <w:r>
        <w:t xml:space="preserve"> in one or more </w:t>
      </w:r>
      <w:r w:rsidR="00482BBC">
        <w:t>‘</w:t>
      </w:r>
      <w:r>
        <w:t>Foreign Jurisdictions</w:t>
      </w:r>
      <w:r w:rsidR="00482BBC">
        <w:t>’</w:t>
      </w:r>
      <w:r>
        <w:t xml:space="preserve"> (</w:t>
      </w:r>
      <w:r w:rsidR="00482BBC">
        <w:t xml:space="preserve">as </w:t>
      </w:r>
      <w:r>
        <w:t xml:space="preserve">defined in the </w:t>
      </w:r>
      <w:r w:rsidR="006A51A3">
        <w:t>Nexus</w:t>
      </w:r>
      <w:r>
        <w:t xml:space="preserve"> Instrument) and either:</w:t>
      </w:r>
    </w:p>
    <w:p w14:paraId="03D64F08" w14:textId="7F3E7CD4" w:rsidR="008A5581" w:rsidRDefault="008A5581" w:rsidP="006A51A3">
      <w:pPr>
        <w:pStyle w:val="LI-BodyTextParaa"/>
        <w:numPr>
          <w:ilvl w:val="1"/>
          <w:numId w:val="38"/>
        </w:numPr>
      </w:pPr>
      <w:r>
        <w:t>the Relevant Reporting Entity or another entity has reported information about the Nexus Transaction to a Prescribed Repository, in compliance with the Alternative Reporting Requirements in at least one Foreign Jurisdiction; or</w:t>
      </w:r>
    </w:p>
    <w:p w14:paraId="2B5AB84D" w14:textId="2F1BECB4" w:rsidR="006A51A3" w:rsidRDefault="006A51A3" w:rsidP="006A51A3">
      <w:pPr>
        <w:pStyle w:val="LI-BodyTextParaa"/>
        <w:numPr>
          <w:ilvl w:val="1"/>
          <w:numId w:val="38"/>
        </w:numPr>
      </w:pPr>
      <w:r>
        <w:t>the Relevant Reporting Entity is exempt from the requirement in all of the Foreign Jurisdictions to report information about the Nexus Transaction, or there is no requirement in any of the Foreign Jurisdictions to report information about the Nexus Transaction.</w:t>
      </w:r>
    </w:p>
    <w:p w14:paraId="0D0AE9D1" w14:textId="05E254EA" w:rsidR="008A5581" w:rsidRDefault="00B86BAC" w:rsidP="008A5581">
      <w:pPr>
        <w:pStyle w:val="LI-BodyTextParaa"/>
        <w:numPr>
          <w:ilvl w:val="0"/>
          <w:numId w:val="24"/>
        </w:numPr>
        <w:ind w:left="567" w:hanging="567"/>
      </w:pPr>
      <w:r>
        <w:t>‘</w:t>
      </w:r>
      <w:r w:rsidR="008A5581">
        <w:t>Alternative Reporting Requirements</w:t>
      </w:r>
      <w:r>
        <w:t>’</w:t>
      </w:r>
      <w:r w:rsidR="008A5581">
        <w:t xml:space="preserve"> is defined in paragraph </w:t>
      </w:r>
      <w:r w:rsidR="006A51A3">
        <w:t xml:space="preserve">8(2)(a) </w:t>
      </w:r>
      <w:r w:rsidR="008A5581">
        <w:t xml:space="preserve">to mean reporting requirements that are substantially equivalent to the Reporting Requirements under the </w:t>
      </w:r>
      <w:r w:rsidR="006A51A3">
        <w:t xml:space="preserve">2024 Reporting </w:t>
      </w:r>
      <w:r w:rsidR="008A5581">
        <w:t>Rules and that cover OTC derivatives of the same Prescribed Class as the Nexus Transaction.</w:t>
      </w:r>
    </w:p>
    <w:p w14:paraId="24686EDC" w14:textId="32EB0295" w:rsidR="008A5581" w:rsidRDefault="006A51A3" w:rsidP="008A5581">
      <w:pPr>
        <w:pStyle w:val="LI-BodyTextParaa"/>
        <w:numPr>
          <w:ilvl w:val="0"/>
          <w:numId w:val="24"/>
        </w:numPr>
        <w:ind w:left="567" w:hanging="567"/>
      </w:pPr>
      <w:r>
        <w:t xml:space="preserve">Subsection 8(2) </w:t>
      </w:r>
      <w:r w:rsidR="008A5581">
        <w:t xml:space="preserve">reflects existing relief in </w:t>
      </w:r>
      <w:r w:rsidR="00670177">
        <w:t>subr</w:t>
      </w:r>
      <w:r w:rsidR="008A5581">
        <w:t xml:space="preserve">ule 2.2.1(3) of the </w:t>
      </w:r>
      <w:r>
        <w:t xml:space="preserve">2024 Reporting </w:t>
      </w:r>
      <w:r w:rsidR="008A5581">
        <w:t xml:space="preserve">Rules, which provides that a Reporting Entity other than an Australian Entity or a </w:t>
      </w:r>
      <w:r w:rsidR="00E4282C">
        <w:t>responsible entity (</w:t>
      </w:r>
      <w:r w:rsidR="008A5581" w:rsidRPr="003B065A">
        <w:rPr>
          <w:b/>
          <w:bCs/>
          <w:i/>
          <w:iCs/>
        </w:rPr>
        <w:t>RE</w:t>
      </w:r>
      <w:r w:rsidR="00E4282C">
        <w:t>)</w:t>
      </w:r>
      <w:r w:rsidR="008A5581">
        <w:t xml:space="preserve"> or Trustee acting in its capacity as RE or Trustee of an Australian Entity, is not required to comply with the Reporting Requirements where the Reporting Entity is complying with substantially equivalent requirements in a Foreign Jurisdiction and the Reporting Entity either reports the Reportable Transaction</w:t>
      </w:r>
      <w:r>
        <w:t xml:space="preserve"> </w:t>
      </w:r>
      <w:r w:rsidR="008A5581">
        <w:t xml:space="preserve">to a Prescribed Repository, or is not required to report the Reportable Transaction or Reportable Position under those requirements. </w:t>
      </w:r>
    </w:p>
    <w:p w14:paraId="3562D459" w14:textId="3537A195" w:rsidR="008A5581" w:rsidRDefault="00E849CE">
      <w:pPr>
        <w:pStyle w:val="LI-BodyTextParaa"/>
        <w:numPr>
          <w:ilvl w:val="0"/>
          <w:numId w:val="24"/>
        </w:numPr>
        <w:ind w:left="567" w:hanging="567"/>
      </w:pPr>
      <w:r>
        <w:lastRenderedPageBreak/>
        <w:t>Subsection 8(2)</w:t>
      </w:r>
      <w:r w:rsidR="008A5581">
        <w:t xml:space="preserve"> allows Relevant Reporting Entities that would normally have the benefit of the exemption in </w:t>
      </w:r>
      <w:r w:rsidR="00670177">
        <w:t>subr</w:t>
      </w:r>
      <w:r w:rsidR="008A5581">
        <w:t xml:space="preserve">ule 2.2.1(3) of the </w:t>
      </w:r>
      <w:r w:rsidR="00F57D93">
        <w:t xml:space="preserve">2024 Reporting </w:t>
      </w:r>
      <w:r w:rsidR="008A5581">
        <w:t>Rules, to also have the benefit of 'alternative reporting' in relation to their Nexus Transactions.</w:t>
      </w:r>
    </w:p>
    <w:p w14:paraId="510C3FA0" w14:textId="4AB74773" w:rsidR="00342916" w:rsidRPr="00342916" w:rsidRDefault="00342916" w:rsidP="00342916">
      <w:pPr>
        <w:pStyle w:val="LI-BodyTextParaa"/>
        <w:numPr>
          <w:ilvl w:val="0"/>
          <w:numId w:val="24"/>
        </w:numPr>
        <w:ind w:left="567" w:hanging="567"/>
      </w:pPr>
      <w:r>
        <w:t>Section 9 provides that t</w:t>
      </w:r>
      <w:r w:rsidRPr="00342916">
        <w:t xml:space="preserve">he Nexus Instrument </w:t>
      </w:r>
      <w:r>
        <w:t xml:space="preserve">is repealed </w:t>
      </w:r>
      <w:r w:rsidR="00C668F7">
        <w:t>at the start</w:t>
      </w:r>
      <w:r>
        <w:t xml:space="preserve"> of 20 October 2025, which is the date on which the 2024 </w:t>
      </w:r>
      <w:r w:rsidR="00AC1160">
        <w:t xml:space="preserve">Rules </w:t>
      </w:r>
      <w:r>
        <w:t>amendment commences to provide that the Nexus Tes</w:t>
      </w:r>
      <w:r w:rsidRPr="00342916">
        <w:t>t fully replac</w:t>
      </w:r>
      <w:r>
        <w:t>es</w:t>
      </w:r>
      <w:r w:rsidRPr="00342916">
        <w:t xml:space="preserve"> the ‘entered into in this jurisdiction test’ in the 2024 Reporting Rules</w:t>
      </w:r>
      <w:r>
        <w:t>.</w:t>
      </w:r>
    </w:p>
    <w:p w14:paraId="4807D989" w14:textId="7CE7C468" w:rsidR="00855183" w:rsidRPr="00342916" w:rsidRDefault="00342916" w:rsidP="00342916">
      <w:pPr>
        <w:pStyle w:val="LI-BodyTextParaa"/>
        <w:ind w:left="0" w:firstLine="0"/>
        <w:rPr>
          <w:u w:val="single"/>
        </w:rPr>
      </w:pPr>
      <w:r w:rsidRPr="00342916">
        <w:rPr>
          <w:rStyle w:val="CommentReference"/>
          <w:rFonts w:eastAsia="Calibri"/>
          <w:sz w:val="24"/>
          <w:szCs w:val="24"/>
          <w:lang w:eastAsia="en-US"/>
        </w:rPr>
        <w:t>L</w:t>
      </w:r>
      <w:r w:rsidR="00855183" w:rsidRPr="00342916">
        <w:rPr>
          <w:u w:val="single"/>
        </w:rPr>
        <w:t>egislative instrument and primary legislation</w:t>
      </w:r>
    </w:p>
    <w:p w14:paraId="4A5409A4" w14:textId="38B8693A" w:rsidR="000050CF" w:rsidRPr="00CD29B2" w:rsidRDefault="00C52E7C" w:rsidP="00CD29B2">
      <w:pPr>
        <w:pStyle w:val="LI-BodyTextParaa"/>
        <w:numPr>
          <w:ilvl w:val="0"/>
          <w:numId w:val="24"/>
        </w:numPr>
        <w:ind w:left="567" w:hanging="567"/>
      </w:pPr>
      <w:r w:rsidRPr="00CD29B2">
        <w:t xml:space="preserve">The </w:t>
      </w:r>
      <w:r w:rsidR="00ED796D" w:rsidRPr="00CD29B2">
        <w:t xml:space="preserve">subject matter and </w:t>
      </w:r>
      <w:r w:rsidRPr="00CD29B2">
        <w:t xml:space="preserve">policy implemented by </w:t>
      </w:r>
      <w:r w:rsidR="0055482E" w:rsidRPr="00CD29B2">
        <w:t xml:space="preserve">the </w:t>
      </w:r>
      <w:r w:rsidR="00A71E60" w:rsidRPr="00CD29B2">
        <w:t xml:space="preserve">Nexus </w:t>
      </w:r>
      <w:r w:rsidR="0055482E" w:rsidRPr="00CD29B2">
        <w:t>Instrument</w:t>
      </w:r>
      <w:r w:rsidRPr="00CD29B2">
        <w:t xml:space="preserve"> is more appropriate for </w:t>
      </w:r>
      <w:r w:rsidR="00ED796D" w:rsidRPr="00CD29B2">
        <w:t>a legislative instrument rather than primary legislation because:</w:t>
      </w:r>
    </w:p>
    <w:p w14:paraId="0BBDEC55" w14:textId="73CA1414" w:rsidR="00017C1D" w:rsidRPr="00017C1D" w:rsidRDefault="00017C1D" w:rsidP="00CD29B2">
      <w:pPr>
        <w:pStyle w:val="LI-BodyTextParaa"/>
        <w:numPr>
          <w:ilvl w:val="1"/>
          <w:numId w:val="39"/>
        </w:numPr>
        <w:rPr>
          <w:rStyle w:val="CharAmSchText"/>
          <w:color w:val="000000"/>
        </w:rPr>
      </w:pPr>
      <w:r>
        <w:rPr>
          <w:color w:val="000000"/>
        </w:rPr>
        <w:t xml:space="preserve">the effect of the Nexus Instrument </w:t>
      </w:r>
      <w:r w:rsidRPr="007A2398">
        <w:t>is to maintain</w:t>
      </w:r>
      <w:r>
        <w:t xml:space="preserve">, </w:t>
      </w:r>
      <w:r w:rsidR="00CD29B2">
        <w:t xml:space="preserve">until </w:t>
      </w:r>
      <w:r w:rsidR="007052ED">
        <w:t xml:space="preserve">the beginning of </w:t>
      </w:r>
      <w:r w:rsidR="00CD29B2">
        <w:t>20 October 2025</w:t>
      </w:r>
      <w:r>
        <w:t>,</w:t>
      </w:r>
      <w:r w:rsidRPr="007A2398">
        <w:t xml:space="preserve"> the existing relief </w:t>
      </w:r>
      <w:r w:rsidR="00CD29B2">
        <w:t xml:space="preserve">provided by the 2015 </w:t>
      </w:r>
      <w:r w:rsidR="00AC1160">
        <w:t xml:space="preserve">Nexus </w:t>
      </w:r>
      <w:r w:rsidR="00CD29B2">
        <w:t xml:space="preserve">exemption </w:t>
      </w:r>
      <w:r w:rsidRPr="007A2398">
        <w:t xml:space="preserve">for certain foreign reporting entities </w:t>
      </w:r>
      <w:r>
        <w:t xml:space="preserve">to </w:t>
      </w:r>
      <w:r w:rsidRPr="007A2398">
        <w:rPr>
          <w:rStyle w:val="CharAmSchText"/>
        </w:rPr>
        <w:t xml:space="preserve">report OTC derivative transactions </w:t>
      </w:r>
      <w:r w:rsidR="00CD29B2" w:rsidRPr="007A2398">
        <w:t xml:space="preserve">under the 2024 Reporting Rules </w:t>
      </w:r>
      <w:r>
        <w:rPr>
          <w:rStyle w:val="CharAmSchText"/>
        </w:rPr>
        <w:t>on the basis of the Nexus Test</w:t>
      </w:r>
      <w:r w:rsidR="00CD29B2">
        <w:rPr>
          <w:rStyle w:val="CharAmSchText"/>
        </w:rPr>
        <w:t xml:space="preserve"> instead of on the basis of the </w:t>
      </w:r>
      <w:r w:rsidRPr="007A2398">
        <w:rPr>
          <w:rStyle w:val="CharAmSchText"/>
        </w:rPr>
        <w:t xml:space="preserve">‘entered into in this jurisdiction’ </w:t>
      </w:r>
      <w:r w:rsidR="00CD29B2">
        <w:rPr>
          <w:rStyle w:val="CharAmSchText"/>
        </w:rPr>
        <w:t xml:space="preserve">test. </w:t>
      </w:r>
      <w:r>
        <w:rPr>
          <w:rStyle w:val="CharAmSchText"/>
        </w:rPr>
        <w:t>The 2024 Reporting Rules are themselves a legislative instrument rather than primary legislation; and</w:t>
      </w:r>
    </w:p>
    <w:p w14:paraId="3A8E0296" w14:textId="3F70AAB0" w:rsidR="008F3486" w:rsidRPr="00A71E60" w:rsidRDefault="00C4647C" w:rsidP="00CD29B2">
      <w:pPr>
        <w:pStyle w:val="LI-BodyTextParaa"/>
        <w:numPr>
          <w:ilvl w:val="1"/>
          <w:numId w:val="39"/>
        </w:numPr>
        <w:rPr>
          <w:color w:val="000000"/>
        </w:rPr>
      </w:pPr>
      <w:r w:rsidRPr="00A71E60">
        <w:rPr>
          <w:color w:val="000000"/>
        </w:rPr>
        <w:t xml:space="preserve">the </w:t>
      </w:r>
      <w:r w:rsidR="00A71E60">
        <w:rPr>
          <w:color w:val="000000"/>
        </w:rPr>
        <w:t>Nexus</w:t>
      </w:r>
      <w:r w:rsidRPr="00A71E60">
        <w:rPr>
          <w:color w:val="000000"/>
        </w:rPr>
        <w:t xml:space="preserve"> Instrument utilises powers given by Parliament to ASIC that allow ASIC to </w:t>
      </w:r>
      <w:r w:rsidR="00017C1D" w:rsidRPr="008E6A9C">
        <w:t>affect the operation of the 202</w:t>
      </w:r>
      <w:r w:rsidR="00017C1D">
        <w:t xml:space="preserve">4 Reporting Rules </w:t>
      </w:r>
      <w:r w:rsidR="00017C1D" w:rsidRPr="008E6A9C">
        <w:t>to provide a tailored and flexible regulatory environment that is fit for purpose</w:t>
      </w:r>
      <w:r w:rsidR="00017C1D">
        <w:t>.</w:t>
      </w:r>
    </w:p>
    <w:p w14:paraId="0428DB78" w14:textId="722663A3" w:rsidR="00931474" w:rsidRPr="00CD29B2" w:rsidRDefault="00C4647C" w:rsidP="00CD29B2">
      <w:pPr>
        <w:pStyle w:val="LI-BodyTextParaa"/>
        <w:numPr>
          <w:ilvl w:val="0"/>
          <w:numId w:val="24"/>
        </w:numPr>
        <w:ind w:left="567" w:hanging="567"/>
      </w:pPr>
      <w:r w:rsidRPr="00E07324">
        <w:t xml:space="preserve">The duration of the </w:t>
      </w:r>
      <w:r w:rsidR="00017C1D">
        <w:t>Nexus Instrument is until the beginning of 20 October 2025</w:t>
      </w:r>
      <w:r w:rsidR="00CD29B2">
        <w:t xml:space="preserve">, which is the day that the 2024 </w:t>
      </w:r>
      <w:r w:rsidR="00AC1160">
        <w:t xml:space="preserve">Rules </w:t>
      </w:r>
      <w:r w:rsidR="00CD29B2">
        <w:t>amendment commences to provide that the Nexus Test replaces the ‘entered into in this jurisdiction’ test in the 2024 Reporting Rules.</w:t>
      </w:r>
    </w:p>
    <w:p w14:paraId="64B3748A" w14:textId="77777777" w:rsidR="00332C59" w:rsidRDefault="00332C59" w:rsidP="00350B42">
      <w:pPr>
        <w:pStyle w:val="LI-BodyTextParaa"/>
        <w:ind w:left="0" w:firstLine="0"/>
        <w:rPr>
          <w:b/>
        </w:rPr>
      </w:pPr>
      <w:r>
        <w:rPr>
          <w:b/>
        </w:rPr>
        <w:t>Legislative authority</w:t>
      </w:r>
    </w:p>
    <w:bookmarkEnd w:id="7"/>
    <w:p w14:paraId="56A3C071" w14:textId="4FCE98C8" w:rsidR="00CD29B2" w:rsidRDefault="00CD29B2" w:rsidP="00CD29B2">
      <w:pPr>
        <w:pStyle w:val="LI-BodyTextParaa"/>
        <w:numPr>
          <w:ilvl w:val="0"/>
          <w:numId w:val="24"/>
        </w:numPr>
        <w:ind w:left="567" w:hanging="567"/>
      </w:pPr>
      <w:r w:rsidRPr="00CD29B2">
        <w:t>ASIC makes</w:t>
      </w:r>
      <w:r w:rsidR="00FE003D">
        <w:t xml:space="preserve"> each of</w:t>
      </w:r>
      <w:r w:rsidRPr="00CD29B2">
        <w:t xml:space="preserve"> the</w:t>
      </w:r>
      <w:r w:rsidR="00F5342D">
        <w:t>se</w:t>
      </w:r>
      <w:r w:rsidRPr="00CD29B2">
        <w:t xml:space="preserve"> Legislative Instrument</w:t>
      </w:r>
      <w:r w:rsidR="00F5342D">
        <w:t>s (</w:t>
      </w:r>
      <w:r w:rsidR="00CE3998">
        <w:t>that is,</w:t>
      </w:r>
      <w:r w:rsidR="00FE003D">
        <w:t xml:space="preserve"> </w:t>
      </w:r>
      <w:r w:rsidR="00F5342D">
        <w:t>the Nexus Repeal Instrument and Nexus Instrument)</w:t>
      </w:r>
      <w:r w:rsidRPr="00CD29B2">
        <w:t xml:space="preserve"> under paragraph 907D(2)(a) of the </w:t>
      </w:r>
      <w:r w:rsidR="00C878A7">
        <w:t xml:space="preserve">Corporations </w:t>
      </w:r>
      <w:r w:rsidRPr="00CD29B2">
        <w:t>Act.</w:t>
      </w:r>
    </w:p>
    <w:p w14:paraId="636B1497" w14:textId="78B776A3" w:rsidR="00332C59" w:rsidRDefault="00CD29B2" w:rsidP="00CD29B2">
      <w:pPr>
        <w:pStyle w:val="LI-BodyTextParaa"/>
        <w:numPr>
          <w:ilvl w:val="0"/>
          <w:numId w:val="24"/>
        </w:numPr>
        <w:ind w:left="567" w:hanging="567"/>
      </w:pPr>
      <w:r w:rsidRPr="00CD29B2">
        <w:t>Under paragraph 907D(2)(a) of the</w:t>
      </w:r>
      <w:r w:rsidR="00C878A7">
        <w:t xml:space="preserve"> Corporations</w:t>
      </w:r>
      <w:r w:rsidRPr="00CD29B2">
        <w:t xml:space="preserve"> Act, ASIC may exempt a person or class of persons from all or specified provisions of the </w:t>
      </w:r>
      <w:r>
        <w:t xml:space="preserve">2024 Reporting </w:t>
      </w:r>
      <w:r w:rsidRPr="00CD29B2">
        <w:t xml:space="preserve">Rules made under Part 7.5A of the </w:t>
      </w:r>
      <w:r w:rsidR="00C878A7">
        <w:t xml:space="preserve">Corporations </w:t>
      </w:r>
      <w:r w:rsidRPr="00CD29B2">
        <w:t>Act.</w:t>
      </w:r>
    </w:p>
    <w:p w14:paraId="7A7F4D6B" w14:textId="7996A958" w:rsidR="00854A26" w:rsidRPr="00926B8B" w:rsidRDefault="00EE6788" w:rsidP="00CD29B2">
      <w:pPr>
        <w:pStyle w:val="LI-BodyTextParaa"/>
        <w:numPr>
          <w:ilvl w:val="0"/>
          <w:numId w:val="24"/>
        </w:numPr>
        <w:ind w:left="567" w:hanging="567"/>
      </w:pPr>
      <w:r w:rsidRPr="00926B8B">
        <w:t>S</w:t>
      </w:r>
      <w:r w:rsidR="00854A26" w:rsidRPr="00926B8B">
        <w:t>ubsection 33(</w:t>
      </w:r>
      <w:r w:rsidR="00871208" w:rsidRPr="00926B8B">
        <w:t>3</w:t>
      </w:r>
      <w:r w:rsidR="00854A26" w:rsidRPr="00926B8B">
        <w:t xml:space="preserve">) of the </w:t>
      </w:r>
      <w:r w:rsidR="00854A26" w:rsidRPr="00926B8B">
        <w:rPr>
          <w:i/>
          <w:iCs/>
        </w:rPr>
        <w:t>Acts Interpretation Act 1901</w:t>
      </w:r>
      <w:r w:rsidR="00871208" w:rsidRPr="00926B8B">
        <w:t xml:space="preserve"> provides that </w:t>
      </w:r>
      <w:r w:rsidR="00871208" w:rsidRPr="00F4526A">
        <w:rPr>
          <w:color w:val="000000"/>
        </w:rPr>
        <w:t>where an Act confers a power to make, grant or issue any instrument of a legislative or administrative character (including rules, regulations or by</w:t>
      </w:r>
      <w:r w:rsidR="00871208" w:rsidRPr="00F4526A">
        <w:rPr>
          <w:color w:val="000000"/>
        </w:rPr>
        <w:noBreakHyphen/>
        <w:t>laws) the power shall be construed as including a power exercisable in the like manner and subject to the like conditions (if any) to repeal, rescind, revoke, amend, or vary any such instrument.</w:t>
      </w:r>
    </w:p>
    <w:p w14:paraId="3C609CBB" w14:textId="600AFA94" w:rsidR="00332C59" w:rsidRDefault="00332C59" w:rsidP="00350B42">
      <w:pPr>
        <w:pStyle w:val="LI-BodyTextParaa"/>
        <w:ind w:left="0" w:firstLine="0"/>
      </w:pPr>
      <w:r w:rsidRPr="00EA17A6">
        <w:rPr>
          <w:b/>
        </w:rPr>
        <w:t>Statement of Compatibility with Human Rights</w:t>
      </w:r>
    </w:p>
    <w:p w14:paraId="79E75E17" w14:textId="5E74C5AD" w:rsidR="0061495F" w:rsidRDefault="00332C59" w:rsidP="00CD29B2">
      <w:pPr>
        <w:pStyle w:val="LI-BodyTextParaa"/>
        <w:numPr>
          <w:ilvl w:val="0"/>
          <w:numId w:val="24"/>
        </w:numPr>
        <w:ind w:left="567" w:hanging="567"/>
      </w:pPr>
      <w:r w:rsidRPr="00EA17A6">
        <w:lastRenderedPageBreak/>
        <w:t xml:space="preserve">The Explanatory Statement for a disallowable legislative instrument must contain a Statement of Compatibility with Human Rights under subsection 9(1) of the </w:t>
      </w:r>
      <w:r w:rsidRPr="00434078">
        <w:rPr>
          <w:i/>
          <w:iCs/>
        </w:rPr>
        <w:t>Human Rights (Parliamentary Scrutiny) Act 2011</w:t>
      </w:r>
      <w:r w:rsidRPr="00CD29B2">
        <w:t xml:space="preserve">. </w:t>
      </w:r>
      <w:r w:rsidRPr="00EA17A6">
        <w:t xml:space="preserve">A Statement of Compatibility with Human Rights is in the </w:t>
      </w:r>
      <w:r w:rsidRPr="00434078">
        <w:rPr>
          <w:u w:val="single"/>
        </w:rPr>
        <w:t>Attachment</w:t>
      </w:r>
      <w:r w:rsidRPr="00EA17A6">
        <w:t>.</w:t>
      </w:r>
    </w:p>
    <w:p w14:paraId="40D06F97" w14:textId="77777777" w:rsidR="0061495F" w:rsidRDefault="0061495F">
      <w:pPr>
        <w:spacing w:line="240" w:lineRule="auto"/>
        <w:rPr>
          <w:rFonts w:eastAsia="Times New Roman"/>
          <w:sz w:val="24"/>
          <w:szCs w:val="24"/>
          <w:lang w:eastAsia="en-AU"/>
        </w:rPr>
      </w:pPr>
      <w:r>
        <w:br w:type="page"/>
      </w:r>
    </w:p>
    <w:p w14:paraId="2C414159" w14:textId="77777777" w:rsidR="0034309B" w:rsidRDefault="0034309B" w:rsidP="00CD29B2">
      <w:pPr>
        <w:pStyle w:val="LI-BodyTextParaa"/>
        <w:numPr>
          <w:ilvl w:val="0"/>
          <w:numId w:val="39"/>
        </w:numPr>
        <w:sectPr w:rsidR="0034309B"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pPr>
    </w:p>
    <w:p w14:paraId="2A7071C6" w14:textId="1194779F" w:rsidR="00E24B20" w:rsidRPr="00082CB9" w:rsidRDefault="00E24B20" w:rsidP="00BD176F">
      <w:pPr>
        <w:pStyle w:val="LI-BodyTextParaa"/>
        <w:jc w:val="right"/>
        <w:rPr>
          <w:u w:val="single"/>
        </w:rPr>
      </w:pPr>
      <w:r w:rsidRPr="00082CB9">
        <w:rPr>
          <w:u w:val="single"/>
        </w:rPr>
        <w:lastRenderedPageBreak/>
        <w:t xml:space="preserve">Attachment </w:t>
      </w:r>
    </w:p>
    <w:p w14:paraId="36C98E80" w14:textId="77777777" w:rsidR="00E24B20" w:rsidRPr="00EA17A6" w:rsidRDefault="00E24B20" w:rsidP="00E24B20">
      <w:pPr>
        <w:pStyle w:val="LI-BodyTextParaa"/>
        <w:ind w:left="567"/>
        <w:jc w:val="center"/>
        <w:rPr>
          <w:b/>
          <w:sz w:val="28"/>
          <w:szCs w:val="28"/>
        </w:rPr>
      </w:pPr>
      <w:r w:rsidRPr="00EA17A6">
        <w:rPr>
          <w:b/>
          <w:sz w:val="28"/>
          <w:szCs w:val="28"/>
        </w:rPr>
        <w:t>Statement of Compatibility with Human Rights</w:t>
      </w:r>
    </w:p>
    <w:p w14:paraId="6D6C889B" w14:textId="77777777" w:rsidR="00E24B20" w:rsidRPr="00EA17A6" w:rsidRDefault="00E24B20" w:rsidP="00E24B20">
      <w:pPr>
        <w:pStyle w:val="LI-BodyTextNumbered"/>
        <w:ind w:left="0" w:firstLine="0"/>
        <w:rPr>
          <w:iCs/>
        </w:rPr>
      </w:pPr>
    </w:p>
    <w:p w14:paraId="77C1A6C7" w14:textId="77777777" w:rsidR="00E24B20" w:rsidRPr="00EA17A6" w:rsidRDefault="00E24B20" w:rsidP="00E24B20">
      <w:pPr>
        <w:pStyle w:val="LI-BodyTextNumbered"/>
        <w:ind w:left="0" w:firstLine="0"/>
        <w:rPr>
          <w:iCs/>
        </w:rPr>
      </w:pPr>
      <w:r w:rsidRPr="00EA17A6">
        <w:rPr>
          <w:iCs/>
        </w:rPr>
        <w:t xml:space="preserve">This Statement of Compatibility with Human Rights is prepared in accordance with Part 3 of the </w:t>
      </w:r>
      <w:r w:rsidRPr="00EA17A6">
        <w:rPr>
          <w:i/>
          <w:iCs/>
        </w:rPr>
        <w:t>Human Rights (Parliamentary Scrutiny) Act 2011</w:t>
      </w:r>
      <w:r w:rsidRPr="00EA17A6">
        <w:rPr>
          <w:iCs/>
        </w:rPr>
        <w:t>.</w:t>
      </w:r>
    </w:p>
    <w:p w14:paraId="1F2827A2" w14:textId="45120D9A" w:rsidR="00F00AC0" w:rsidRPr="00020410" w:rsidRDefault="00F00AC0" w:rsidP="00F00AC0">
      <w:pPr>
        <w:pStyle w:val="LI-BodyTextNumbered"/>
        <w:ind w:left="0" w:firstLine="0"/>
        <w:rPr>
          <w:b/>
          <w:i/>
        </w:rPr>
      </w:pPr>
      <w:r w:rsidRPr="00252E6F">
        <w:rPr>
          <w:b/>
          <w:i/>
          <w:sz w:val="28"/>
          <w:szCs w:val="28"/>
        </w:rPr>
        <w:t xml:space="preserve">ASIC </w:t>
      </w:r>
      <w:r w:rsidRPr="00514B09">
        <w:rPr>
          <w:b/>
          <w:i/>
          <w:sz w:val="28"/>
          <w:szCs w:val="28"/>
        </w:rPr>
        <w:t xml:space="preserve">Derivative Transaction Rules </w:t>
      </w:r>
      <w:r w:rsidRPr="004514F1">
        <w:rPr>
          <w:b/>
          <w:i/>
          <w:sz w:val="28"/>
          <w:szCs w:val="28"/>
        </w:rPr>
        <w:t>(Nexus Derivatives</w:t>
      </w:r>
      <w:r>
        <w:rPr>
          <w:b/>
          <w:i/>
          <w:sz w:val="28"/>
          <w:szCs w:val="28"/>
        </w:rPr>
        <w:t xml:space="preserve"> Repeal</w:t>
      </w:r>
      <w:r w:rsidRPr="004514F1">
        <w:rPr>
          <w:b/>
          <w:i/>
          <w:sz w:val="28"/>
          <w:szCs w:val="28"/>
        </w:rPr>
        <w:t>) Instrument 2024/</w:t>
      </w:r>
      <w:r>
        <w:rPr>
          <w:b/>
          <w:i/>
          <w:sz w:val="28"/>
          <w:szCs w:val="28"/>
        </w:rPr>
        <w:t>602</w:t>
      </w:r>
    </w:p>
    <w:p w14:paraId="599642BE" w14:textId="45C96A69" w:rsidR="00020410" w:rsidRPr="00020410" w:rsidRDefault="00434078" w:rsidP="00C41F04">
      <w:pPr>
        <w:pStyle w:val="LI-BodyTextNumbered"/>
        <w:ind w:left="0" w:firstLine="0"/>
        <w:rPr>
          <w:b/>
          <w:i/>
        </w:rPr>
      </w:pPr>
      <w:r w:rsidRPr="00252E6F">
        <w:rPr>
          <w:b/>
          <w:i/>
          <w:sz w:val="28"/>
          <w:szCs w:val="28"/>
        </w:rPr>
        <w:t xml:space="preserve">ASIC </w:t>
      </w:r>
      <w:r w:rsidRPr="00514B09">
        <w:rPr>
          <w:b/>
          <w:i/>
          <w:sz w:val="28"/>
          <w:szCs w:val="28"/>
        </w:rPr>
        <w:t xml:space="preserve">Derivative Transaction Rules </w:t>
      </w:r>
      <w:r w:rsidRPr="004514F1">
        <w:rPr>
          <w:b/>
          <w:i/>
          <w:sz w:val="28"/>
          <w:szCs w:val="28"/>
        </w:rPr>
        <w:t>(Nexus Derivatives) Instrument 2024/</w:t>
      </w:r>
      <w:r w:rsidR="00784060">
        <w:rPr>
          <w:b/>
          <w:i/>
          <w:sz w:val="28"/>
          <w:szCs w:val="28"/>
        </w:rPr>
        <w:t>603</w:t>
      </w:r>
    </w:p>
    <w:p w14:paraId="2E427093" w14:textId="77777777" w:rsidR="00E24B20" w:rsidRPr="00EA17A6" w:rsidRDefault="00E24B20" w:rsidP="00E24B20">
      <w:pPr>
        <w:pStyle w:val="LI-BodyTextNumbered"/>
        <w:ind w:left="567"/>
        <w:rPr>
          <w:u w:val="single"/>
        </w:rPr>
      </w:pPr>
      <w:r w:rsidRPr="00EA17A6">
        <w:rPr>
          <w:u w:val="single"/>
        </w:rPr>
        <w:t>Overview</w:t>
      </w:r>
    </w:p>
    <w:p w14:paraId="042E4D89" w14:textId="39B01D40" w:rsidR="00C22FCF" w:rsidRDefault="0058603F" w:rsidP="00434078">
      <w:pPr>
        <w:pStyle w:val="LI-BodyTextParaa"/>
        <w:numPr>
          <w:ilvl w:val="0"/>
          <w:numId w:val="40"/>
        </w:numPr>
        <w:ind w:left="567" w:hanging="567"/>
      </w:pPr>
      <w:bookmarkStart w:id="9" w:name="_Hlk119941417"/>
      <w:r w:rsidRPr="001A1FC3">
        <w:t xml:space="preserve">The </w:t>
      </w:r>
      <w:r w:rsidRPr="00434078">
        <w:rPr>
          <w:i/>
          <w:iCs/>
        </w:rPr>
        <w:t>ASIC Derivative Transaction Rules (Nexus Derivatives</w:t>
      </w:r>
      <w:r>
        <w:rPr>
          <w:i/>
          <w:iCs/>
        </w:rPr>
        <w:t xml:space="preserve"> Repeal</w:t>
      </w:r>
      <w:r w:rsidRPr="00434078">
        <w:rPr>
          <w:i/>
          <w:iCs/>
        </w:rPr>
        <w:t>) Instrument 2024/</w:t>
      </w:r>
      <w:r>
        <w:rPr>
          <w:i/>
          <w:iCs/>
        </w:rPr>
        <w:t>60</w:t>
      </w:r>
      <w:r w:rsidR="00F00AC0">
        <w:rPr>
          <w:i/>
          <w:iCs/>
        </w:rPr>
        <w:t>2</w:t>
      </w:r>
      <w:r w:rsidRPr="001A1FC3">
        <w:t xml:space="preserve"> </w:t>
      </w:r>
      <w:r>
        <w:t xml:space="preserve">(the </w:t>
      </w:r>
      <w:r w:rsidRPr="00434078">
        <w:rPr>
          <w:b/>
          <w:bCs/>
          <w:i/>
          <w:iCs/>
        </w:rPr>
        <w:t xml:space="preserve">Nexus </w:t>
      </w:r>
      <w:r w:rsidR="00F00AC0">
        <w:rPr>
          <w:b/>
          <w:bCs/>
          <w:i/>
          <w:iCs/>
        </w:rPr>
        <w:t xml:space="preserve">Repeal </w:t>
      </w:r>
      <w:r w:rsidRPr="00434078">
        <w:rPr>
          <w:b/>
          <w:bCs/>
          <w:i/>
          <w:iCs/>
        </w:rPr>
        <w:t>Instrument</w:t>
      </w:r>
      <w:r>
        <w:t xml:space="preserve">) </w:t>
      </w:r>
      <w:r w:rsidRPr="001A1FC3">
        <w:t>is made under paragraph 907D(2)(a) of the </w:t>
      </w:r>
      <w:r w:rsidRPr="008812F1">
        <w:rPr>
          <w:i/>
          <w:iCs/>
        </w:rPr>
        <w:t>Corporations Act 2001</w:t>
      </w:r>
      <w:r w:rsidRPr="001A1FC3">
        <w:t> (the </w:t>
      </w:r>
      <w:r w:rsidRPr="002D3B35">
        <w:rPr>
          <w:b/>
          <w:bCs/>
          <w:i/>
          <w:iCs/>
        </w:rPr>
        <w:t>Corporations Act</w:t>
      </w:r>
      <w:r w:rsidRPr="001A1FC3">
        <w:t>) and re</w:t>
      </w:r>
      <w:r w:rsidR="00F00AC0">
        <w:t>peals the</w:t>
      </w:r>
      <w:r w:rsidRPr="001A1FC3">
        <w:t xml:space="preserve"> </w:t>
      </w:r>
      <w:r w:rsidR="00CF5707" w:rsidRPr="00E020A5">
        <w:rPr>
          <w:i/>
          <w:iCs/>
        </w:rPr>
        <w:t>ASIC Derivative Transaction  Rules (Nexus Derivatives) Class Exemption 2015</w:t>
      </w:r>
      <w:r>
        <w:t xml:space="preserve"> (the </w:t>
      </w:r>
      <w:r>
        <w:rPr>
          <w:b/>
          <w:bCs/>
          <w:i/>
          <w:iCs/>
        </w:rPr>
        <w:t>2015 Nexus exemption</w:t>
      </w:r>
      <w:r w:rsidRPr="00327916">
        <w:t>)</w:t>
      </w:r>
      <w:r>
        <w:t xml:space="preserve"> from </w:t>
      </w:r>
      <w:r w:rsidR="00F00AC0">
        <w:t xml:space="preserve">the beginning of </w:t>
      </w:r>
      <w:r>
        <w:t>21 October 2024.</w:t>
      </w:r>
    </w:p>
    <w:p w14:paraId="5F4F8A9F" w14:textId="7DAA0A9E" w:rsidR="00434078" w:rsidRDefault="00434078" w:rsidP="00434078">
      <w:pPr>
        <w:pStyle w:val="LI-BodyTextParaa"/>
        <w:numPr>
          <w:ilvl w:val="0"/>
          <w:numId w:val="40"/>
        </w:numPr>
        <w:ind w:left="567" w:hanging="567"/>
      </w:pPr>
      <w:r w:rsidRPr="001A1FC3">
        <w:t xml:space="preserve">The </w:t>
      </w:r>
      <w:r w:rsidRPr="00434078">
        <w:rPr>
          <w:i/>
          <w:iCs/>
        </w:rPr>
        <w:t>ASIC Derivative Transaction Rules (Nexus Derivatives) Instrument 2024/</w:t>
      </w:r>
      <w:r w:rsidR="00DE379E">
        <w:rPr>
          <w:i/>
          <w:iCs/>
        </w:rPr>
        <w:t>603</w:t>
      </w:r>
      <w:r w:rsidR="00DE379E" w:rsidRPr="001A1FC3">
        <w:t xml:space="preserve"> </w:t>
      </w:r>
      <w:r>
        <w:t xml:space="preserve">(the </w:t>
      </w:r>
      <w:r w:rsidRPr="00434078">
        <w:rPr>
          <w:b/>
          <w:bCs/>
          <w:i/>
          <w:iCs/>
        </w:rPr>
        <w:t>Nexus Instrument</w:t>
      </w:r>
      <w:r>
        <w:t xml:space="preserve">) </w:t>
      </w:r>
      <w:r w:rsidRPr="001A1FC3">
        <w:t xml:space="preserve">is made under paragraph 907D(2)(a) of the Corporations Act and remakes </w:t>
      </w:r>
      <w:r>
        <w:t xml:space="preserve">the </w:t>
      </w:r>
      <w:r w:rsidRPr="008812F1">
        <w:t xml:space="preserve">2015 </w:t>
      </w:r>
      <w:r w:rsidR="00140FE0" w:rsidRPr="008812F1">
        <w:t xml:space="preserve">Nexus </w:t>
      </w:r>
      <w:r w:rsidRPr="008812F1">
        <w:t>exemption</w:t>
      </w:r>
      <w:r>
        <w:t xml:space="preserve"> in substantively like manner and subject to like conditions, so as to continue the provisions of the 2015 </w:t>
      </w:r>
      <w:r w:rsidR="00140FE0">
        <w:t xml:space="preserve">Nexus </w:t>
      </w:r>
      <w:r>
        <w:t>exemption from its 21 October 2024 repeal until 20 October 2025.</w:t>
      </w:r>
    </w:p>
    <w:p w14:paraId="0985D5E6" w14:textId="2923D576" w:rsidR="00434078" w:rsidRPr="007A2398" w:rsidRDefault="00434078" w:rsidP="00434078">
      <w:pPr>
        <w:pStyle w:val="LI-BodyTextParaa"/>
        <w:numPr>
          <w:ilvl w:val="0"/>
          <w:numId w:val="40"/>
        </w:numPr>
        <w:ind w:left="567" w:hanging="567"/>
      </w:pPr>
      <w:r w:rsidRPr="007A2398">
        <w:t>The 2015</w:t>
      </w:r>
      <w:r w:rsidR="00140FE0">
        <w:t xml:space="preserve"> Nexus</w:t>
      </w:r>
      <w:r w:rsidRPr="007A2398">
        <w:t xml:space="preserve"> exemption instrument provided relief to certain foreign reporting entities under the </w:t>
      </w:r>
      <w:r w:rsidR="00CF5707" w:rsidRPr="00E020A5">
        <w:rPr>
          <w:i/>
          <w:iCs/>
        </w:rPr>
        <w:t>ASIC Derivative Transaction Rules (Reporting) 2022</w:t>
      </w:r>
      <w:r w:rsidRPr="007A2398">
        <w:rPr>
          <w:rStyle w:val="CharAmSchText"/>
        </w:rPr>
        <w:t xml:space="preserve"> (the </w:t>
      </w:r>
      <w:r w:rsidRPr="007A2398">
        <w:rPr>
          <w:rStyle w:val="CharAmSchText"/>
          <w:b/>
          <w:bCs/>
          <w:i/>
          <w:iCs/>
        </w:rPr>
        <w:t>2022 Reporting Rules</w:t>
      </w:r>
      <w:r w:rsidRPr="007A2398">
        <w:rPr>
          <w:rStyle w:val="CharAmSchText"/>
        </w:rPr>
        <w:t>) from the requirement to report over-the-counter (</w:t>
      </w:r>
      <w:r w:rsidRPr="007A2398">
        <w:rPr>
          <w:rStyle w:val="CharAmSchText"/>
          <w:b/>
          <w:bCs/>
          <w:i/>
          <w:iCs/>
        </w:rPr>
        <w:t>OTC</w:t>
      </w:r>
      <w:r w:rsidRPr="007A2398">
        <w:rPr>
          <w:rStyle w:val="CharAmSchText"/>
        </w:rPr>
        <w:t xml:space="preserve">) derivative transactions that are ‘entered into in this jurisdiction’, provided they report OTC derivative transactions </w:t>
      </w:r>
      <w:r w:rsidRPr="007A2398">
        <w:t xml:space="preserve">based on an alternative test (referred to in this </w:t>
      </w:r>
      <w:r>
        <w:t>statement</w:t>
      </w:r>
      <w:r w:rsidRPr="007A2398">
        <w:t xml:space="preserve"> as the </w:t>
      </w:r>
      <w:r w:rsidRPr="007A2398">
        <w:rPr>
          <w:b/>
          <w:i/>
        </w:rPr>
        <w:t>Nexus Test</w:t>
      </w:r>
      <w:r w:rsidRPr="007A2398">
        <w:t>) focused on the location of persons performing particular functions in relation to an OTC Derivative.</w:t>
      </w:r>
    </w:p>
    <w:p w14:paraId="027BE9E3" w14:textId="77777777" w:rsidR="00434078" w:rsidRDefault="00434078" w:rsidP="00434078">
      <w:pPr>
        <w:pStyle w:val="LI-BodyTextParaa"/>
        <w:numPr>
          <w:ilvl w:val="0"/>
          <w:numId w:val="40"/>
        </w:numPr>
        <w:ind w:left="567" w:hanging="567"/>
        <w:rPr>
          <w:rStyle w:val="CharAmSchText"/>
        </w:rPr>
      </w:pPr>
      <w:r w:rsidRPr="007A2398">
        <w:t>The purpose of the Nexus Instrument is to maintain the existing relief for certain foreign reporting entities under the 2024 Reporting Rules fr</w:t>
      </w:r>
      <w:r w:rsidRPr="007A2398">
        <w:rPr>
          <w:rStyle w:val="CharAmSchText"/>
        </w:rPr>
        <w:t>om the requirement to report OTC derivative transactions that are ‘entered into in this jurisdiction’ until that provision is removed from the 2024 Reporting Rules on 20 October 2025 and replaced by the form of the Nexus Test.</w:t>
      </w:r>
    </w:p>
    <w:p w14:paraId="6D7E6FDF" w14:textId="2696B1C7" w:rsidR="00434078" w:rsidRDefault="00434078" w:rsidP="00434078">
      <w:pPr>
        <w:pStyle w:val="LI-BodyTextParaa"/>
        <w:numPr>
          <w:ilvl w:val="0"/>
          <w:numId w:val="40"/>
        </w:numPr>
        <w:ind w:left="567" w:hanging="567"/>
        <w:rPr>
          <w:rStyle w:val="CharAmSchText"/>
        </w:rPr>
      </w:pPr>
      <w:r w:rsidRPr="007A2398">
        <w:t xml:space="preserve">The Nexus Instrument also enables foreign entities to opt-in to switch from reporting using the ‘entered into in this jurisdiction’ test to reporting using the Nexus Test prior to the Nexus Test fully replacing the ‘entered into in this jurisdiction test’ </w:t>
      </w:r>
      <w:r>
        <w:t xml:space="preserve">in the 2024 Reporting Rules </w:t>
      </w:r>
      <w:r w:rsidRPr="007A2398">
        <w:t>on 20 October 2025.</w:t>
      </w:r>
    </w:p>
    <w:bookmarkEnd w:id="9"/>
    <w:p w14:paraId="3261424E" w14:textId="77777777" w:rsidR="00E24B20" w:rsidRDefault="00E24B20" w:rsidP="00E24B20">
      <w:pPr>
        <w:pStyle w:val="LI-BodyTextNumbered"/>
        <w:ind w:left="567"/>
        <w:rPr>
          <w:u w:val="single"/>
        </w:rPr>
      </w:pPr>
      <w:r w:rsidRPr="00EA17A6">
        <w:rPr>
          <w:u w:val="single"/>
        </w:rPr>
        <w:t>Assessment of human rights implications</w:t>
      </w:r>
    </w:p>
    <w:p w14:paraId="3268BD96" w14:textId="1E58436C" w:rsidR="00273F51" w:rsidRPr="00434078" w:rsidRDefault="002432E1" w:rsidP="00434078">
      <w:pPr>
        <w:pStyle w:val="LI-BodyTextParaa"/>
        <w:numPr>
          <w:ilvl w:val="0"/>
          <w:numId w:val="40"/>
        </w:numPr>
        <w:ind w:left="567" w:hanging="567"/>
      </w:pPr>
      <w:r w:rsidRPr="00434078">
        <w:lastRenderedPageBreak/>
        <w:t>Th</w:t>
      </w:r>
      <w:r w:rsidR="00C7728F" w:rsidRPr="00434078">
        <w:t>e</w:t>
      </w:r>
      <w:r w:rsidRPr="00434078">
        <w:t xml:space="preserve"> </w:t>
      </w:r>
      <w:r w:rsidR="00BF3845">
        <w:t xml:space="preserve">Nexus Repeal Instrument and </w:t>
      </w:r>
      <w:r w:rsidR="00434078">
        <w:t>Nexus Instrument</w:t>
      </w:r>
      <w:r w:rsidRPr="00434078">
        <w:t xml:space="preserve"> do not engage any of the applicable rights or freedoms.</w:t>
      </w:r>
    </w:p>
    <w:p w14:paraId="207495DB" w14:textId="6F88051E" w:rsidR="00D32C98" w:rsidRPr="00EA17A6" w:rsidRDefault="00E24B20" w:rsidP="00E24B20">
      <w:pPr>
        <w:pStyle w:val="LI-BodyTextNumbered"/>
        <w:ind w:left="567"/>
        <w:rPr>
          <w:u w:val="single"/>
        </w:rPr>
      </w:pPr>
      <w:r w:rsidRPr="00EA17A6">
        <w:rPr>
          <w:u w:val="single"/>
        </w:rPr>
        <w:t>Conclusion</w:t>
      </w:r>
    </w:p>
    <w:p w14:paraId="2D2E6BFA" w14:textId="39759321" w:rsidR="00CB2D96" w:rsidRPr="00EA17A6" w:rsidRDefault="0055482E" w:rsidP="00434078">
      <w:pPr>
        <w:pStyle w:val="LI-BodyTextParaa"/>
        <w:numPr>
          <w:ilvl w:val="0"/>
          <w:numId w:val="40"/>
        </w:numPr>
        <w:ind w:left="567" w:hanging="567"/>
      </w:pPr>
      <w:r w:rsidRPr="00434078">
        <w:t xml:space="preserve">The </w:t>
      </w:r>
      <w:r w:rsidR="00BF3845">
        <w:t xml:space="preserve">Nexus Repeal Instrument and </w:t>
      </w:r>
      <w:r w:rsidR="00434078">
        <w:t>Nexus</w:t>
      </w:r>
      <w:r w:rsidRPr="00434078">
        <w:t xml:space="preserve"> Instrument</w:t>
      </w:r>
      <w:r w:rsidR="00E24B20" w:rsidRPr="00434078">
        <w:t xml:space="preserve"> </w:t>
      </w:r>
      <w:r w:rsidR="00BF3845">
        <w:t xml:space="preserve">are </w:t>
      </w:r>
      <w:r w:rsidR="00E24B20" w:rsidRPr="00434078">
        <w:t xml:space="preserve">compatible with the human rights and freedoms recognised or declared in the international instruments listed in section 3 of the </w:t>
      </w:r>
      <w:r w:rsidR="00E24B20" w:rsidRPr="00434078">
        <w:rPr>
          <w:i/>
          <w:iCs/>
        </w:rPr>
        <w:t>Human Rights (Parliamentary Scrutiny) Act 2011.</w:t>
      </w:r>
    </w:p>
    <w:sectPr w:rsidR="00CB2D96" w:rsidRPr="00EA17A6" w:rsidSect="002026AE">
      <w:type w:val="continuous"/>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9D53" w14:textId="77777777" w:rsidR="003C3D05" w:rsidRDefault="003C3D05" w:rsidP="00715914">
      <w:pPr>
        <w:spacing w:line="240" w:lineRule="auto"/>
      </w:pPr>
      <w:r>
        <w:separator/>
      </w:r>
    </w:p>
  </w:endnote>
  <w:endnote w:type="continuationSeparator" w:id="0">
    <w:p w14:paraId="49234EA9" w14:textId="77777777" w:rsidR="003C3D05" w:rsidRDefault="003C3D05" w:rsidP="00715914">
      <w:pPr>
        <w:spacing w:line="240" w:lineRule="auto"/>
      </w:pPr>
      <w:r>
        <w:continuationSeparator/>
      </w:r>
    </w:p>
  </w:endnote>
  <w:endnote w:type="continuationNotice" w:id="1">
    <w:p w14:paraId="5357B64D" w14:textId="77777777" w:rsidR="003C3D05" w:rsidRDefault="003C3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CA60" w14:textId="77777777" w:rsidR="005734D4" w:rsidRDefault="005734D4">
    <w:pPr>
      <w:pStyle w:val="Footer"/>
      <w:jc w:val="center"/>
    </w:pPr>
    <w:r>
      <w:fldChar w:fldCharType="begin"/>
    </w:r>
    <w:r>
      <w:instrText xml:space="preserve"> PAGE   \* MERGEFORMAT </w:instrText>
    </w:r>
    <w:r>
      <w:fldChar w:fldCharType="separate"/>
    </w:r>
    <w:r>
      <w:rPr>
        <w:noProof/>
      </w:rPr>
      <w:t>2</w:t>
    </w:r>
    <w:r>
      <w:rPr>
        <w:noProof/>
      </w:rPr>
      <w:fldChar w:fldCharType="end"/>
    </w:r>
  </w:p>
  <w:p w14:paraId="2BE9BE69" w14:textId="77777777" w:rsidR="005734D4" w:rsidRDefault="0057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A1E4" w14:textId="77777777" w:rsidR="003C3D05" w:rsidRDefault="003C3D05" w:rsidP="00715914">
      <w:pPr>
        <w:spacing w:line="240" w:lineRule="auto"/>
      </w:pPr>
      <w:r>
        <w:separator/>
      </w:r>
    </w:p>
  </w:footnote>
  <w:footnote w:type="continuationSeparator" w:id="0">
    <w:p w14:paraId="2B49BCA2" w14:textId="77777777" w:rsidR="003C3D05" w:rsidRDefault="003C3D05" w:rsidP="00715914">
      <w:pPr>
        <w:spacing w:line="240" w:lineRule="auto"/>
      </w:pPr>
      <w:r>
        <w:continuationSeparator/>
      </w:r>
    </w:p>
  </w:footnote>
  <w:footnote w:type="continuationNotice" w:id="1">
    <w:p w14:paraId="281AD63F" w14:textId="77777777" w:rsidR="003C3D05" w:rsidRDefault="003C3D05">
      <w:pPr>
        <w:spacing w:line="240" w:lineRule="auto"/>
      </w:pPr>
    </w:p>
  </w:footnote>
  <w:footnote w:id="2">
    <w:p w14:paraId="4CDF86CA" w14:textId="3986760C" w:rsidR="00D52D56" w:rsidRDefault="00D52D56">
      <w:pPr>
        <w:pStyle w:val="FootnoteText"/>
      </w:pPr>
      <w:r>
        <w:rPr>
          <w:rStyle w:val="FootnoteReference"/>
        </w:rPr>
        <w:footnoteRef/>
      </w:r>
      <w:r>
        <w:t xml:space="preserve"> Now ‘SUPERSEDE</w:t>
      </w:r>
      <w:r w:rsidR="009017E3">
        <w:t xml:space="preserve">D FAQ 4’ </w:t>
      </w:r>
      <w:r w:rsidR="00C1492B">
        <w:t xml:space="preserve">available at </w:t>
      </w:r>
      <w:r w:rsidR="00CF5707">
        <w:t xml:space="preserve">the </w:t>
      </w:r>
      <w:r w:rsidR="00CF5707" w:rsidRPr="00C76545">
        <w:t xml:space="preserve">FAQs: OTC derivatives </w:t>
      </w:r>
      <w:r w:rsidR="00CF5707">
        <w:t>webpage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871E" w14:textId="77777777" w:rsidR="005734D4" w:rsidRPr="00243EC0" w:rsidRDefault="005734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5734D4" w:rsidRPr="00E40FF8" w14:paraId="7902EA82" w14:textId="77777777" w:rsidTr="001E77ED">
      <w:tc>
        <w:tcPr>
          <w:tcW w:w="4253" w:type="dxa"/>
          <w:shd w:val="clear" w:color="auto" w:fill="auto"/>
        </w:tcPr>
        <w:p w14:paraId="0CAD4D0E" w14:textId="77777777" w:rsidR="005734D4" w:rsidRDefault="005734D4" w:rsidP="00E40FF8">
          <w:pPr>
            <w:pStyle w:val="LI-Header"/>
            <w:pBdr>
              <w:bottom w:val="none" w:sz="0" w:space="0" w:color="auto"/>
            </w:pBdr>
            <w:jc w:val="left"/>
          </w:pPr>
        </w:p>
      </w:tc>
      <w:tc>
        <w:tcPr>
          <w:tcW w:w="4060" w:type="dxa"/>
          <w:shd w:val="clear" w:color="auto" w:fill="auto"/>
        </w:tcPr>
        <w:p w14:paraId="6F71BA3F" w14:textId="77777777" w:rsidR="005734D4" w:rsidRDefault="005734D4" w:rsidP="00F03BB5">
          <w:pPr>
            <w:pStyle w:val="LI-BodyTextNumbered"/>
          </w:pPr>
        </w:p>
      </w:tc>
    </w:tr>
  </w:tbl>
  <w:p w14:paraId="7FEB8584" w14:textId="77777777" w:rsidR="005734D4" w:rsidRPr="00F4215A" w:rsidRDefault="005734D4"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B87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B786A"/>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 w15:restartNumberingAfterBreak="0">
    <w:nsid w:val="074D54E2"/>
    <w:multiLevelType w:val="hybridMultilevel"/>
    <w:tmpl w:val="C0761B9A"/>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75C1483"/>
    <w:multiLevelType w:val="hybridMultilevel"/>
    <w:tmpl w:val="406263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104728C"/>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194D8E"/>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714D7C"/>
    <w:multiLevelType w:val="hybridMultilevel"/>
    <w:tmpl w:val="97A2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B232E8"/>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8" w15:restartNumberingAfterBreak="0">
    <w:nsid w:val="1C3261E9"/>
    <w:multiLevelType w:val="multilevel"/>
    <w:tmpl w:val="9524209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42499"/>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754D1D"/>
    <w:multiLevelType w:val="hybridMultilevel"/>
    <w:tmpl w:val="32B0E3CE"/>
    <w:lvl w:ilvl="0" w:tplc="3B44103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9F4D3F"/>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3D46C1"/>
    <w:multiLevelType w:val="hybridMultilevel"/>
    <w:tmpl w:val="54BAC0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54458DF"/>
    <w:multiLevelType w:val="hybridMultilevel"/>
    <w:tmpl w:val="1284A806"/>
    <w:lvl w:ilvl="0" w:tplc="E30E4756">
      <w:start w:val="1"/>
      <w:numFmt w:val="decimal"/>
      <w:lvlText w:val="%1."/>
      <w:lvlJc w:val="left"/>
      <w:pPr>
        <w:ind w:left="720" w:hanging="360"/>
      </w:pPr>
      <w:rPr>
        <w:rFonts w:ascii="Times New Roman" w:hAnsi="Times New Roman"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C02D42"/>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C60B82"/>
    <w:multiLevelType w:val="multilevel"/>
    <w:tmpl w:val="8FC2683A"/>
    <w:lvl w:ilvl="0">
      <w:start w:val="1"/>
      <w:numFmt w:val="decimal"/>
      <w:lvlText w:val="%1."/>
      <w:lvlJc w:val="left"/>
      <w:pPr>
        <w:ind w:left="567" w:hanging="567"/>
      </w:pPr>
      <w:rPr>
        <w:rFonts w:hint="default"/>
        <w:sz w:val="24"/>
      </w:rPr>
    </w:lvl>
    <w:lvl w:ilvl="1">
      <w:start w:val="1"/>
      <w:numFmt w:val="lowerLetter"/>
      <w:lvlText w:val="(%2)"/>
      <w:lvlJc w:val="left"/>
      <w:pPr>
        <w:ind w:left="1134" w:hanging="567"/>
      </w:pPr>
      <w:rPr>
        <w:rFonts w:ascii="Times New Roman" w:hAnsi="Times New Roman"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01648B3"/>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F872C7"/>
    <w:multiLevelType w:val="hybridMultilevel"/>
    <w:tmpl w:val="33F82CE4"/>
    <w:lvl w:ilvl="0" w:tplc="C4823932">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9" w15:restartNumberingAfterBreak="0">
    <w:nsid w:val="459077DC"/>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9D340E"/>
    <w:multiLevelType w:val="multilevel"/>
    <w:tmpl w:val="54C2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E160F"/>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9A7C60"/>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AB12FE"/>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4" w15:restartNumberingAfterBreak="0">
    <w:nsid w:val="591F4DB4"/>
    <w:multiLevelType w:val="hybridMultilevel"/>
    <w:tmpl w:val="1284A806"/>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974A2B"/>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F35A6B"/>
    <w:multiLevelType w:val="multilevel"/>
    <w:tmpl w:val="E68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AF1FC7"/>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FF085D"/>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6E0203"/>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BB67F4"/>
    <w:multiLevelType w:val="hybridMultilevel"/>
    <w:tmpl w:val="A302F0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6146D"/>
    <w:multiLevelType w:val="hybridMultilevel"/>
    <w:tmpl w:val="75FCD500"/>
    <w:lvl w:ilvl="0" w:tplc="0C090019">
      <w:start w:val="1"/>
      <w:numFmt w:val="lowerLetter"/>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B2D6CE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DC6B0F"/>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36" w15:restartNumberingAfterBreak="0">
    <w:nsid w:val="703D229D"/>
    <w:multiLevelType w:val="hybridMultilevel"/>
    <w:tmpl w:val="24620D4A"/>
    <w:lvl w:ilvl="0" w:tplc="EAE88B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0F94AAC"/>
    <w:multiLevelType w:val="multilevel"/>
    <w:tmpl w:val="A1F83692"/>
    <w:lvl w:ilvl="0">
      <w:start w:val="1"/>
      <w:numFmt w:val="lowerLetter"/>
      <w:lvlText w:val="(%1)"/>
      <w:lvlJc w:val="left"/>
      <w:pPr>
        <w:ind w:left="1145" w:hanging="578"/>
      </w:pPr>
      <w:rPr>
        <w:rFonts w:ascii="Times New Roman" w:hAnsi="Times New Roman" w:cs="Times New Roman" w:hint="default"/>
        <w:b w:val="0"/>
        <w:i w:val="0"/>
        <w:sz w:val="22"/>
      </w:rPr>
    </w:lvl>
    <w:lvl w:ilvl="1">
      <w:start w:val="1"/>
      <w:numFmt w:val="lowerRoman"/>
      <w:lvlText w:val="(%2)"/>
      <w:lvlJc w:val="left"/>
      <w:pPr>
        <w:ind w:left="1723" w:hanging="578"/>
      </w:pPr>
      <w:rPr>
        <w:rFonts w:ascii="Times New Roman" w:hAnsi="Times New Roman" w:cs="Times New Roman" w:hint="default"/>
        <w:sz w:val="22"/>
      </w:rPr>
    </w:lvl>
    <w:lvl w:ilvl="2">
      <w:start w:val="1"/>
      <w:numFmt w:val="lowerRoman"/>
      <w:lvlText w:val="%3."/>
      <w:lvlJc w:val="right"/>
      <w:pPr>
        <w:ind w:left="6523" w:hanging="180"/>
      </w:pPr>
      <w:rPr>
        <w:rFonts w:hint="default"/>
      </w:rPr>
    </w:lvl>
    <w:lvl w:ilvl="3">
      <w:start w:val="1"/>
      <w:numFmt w:val="decimal"/>
      <w:lvlText w:val="%4."/>
      <w:lvlJc w:val="left"/>
      <w:pPr>
        <w:ind w:left="7243" w:hanging="360"/>
      </w:pPr>
      <w:rPr>
        <w:rFonts w:hint="default"/>
      </w:rPr>
    </w:lvl>
    <w:lvl w:ilvl="4">
      <w:start w:val="1"/>
      <w:numFmt w:val="lowerLetter"/>
      <w:lvlText w:val="%5."/>
      <w:lvlJc w:val="left"/>
      <w:pPr>
        <w:ind w:left="7963" w:hanging="360"/>
      </w:pPr>
      <w:rPr>
        <w:rFonts w:hint="default"/>
      </w:rPr>
    </w:lvl>
    <w:lvl w:ilvl="5">
      <w:start w:val="1"/>
      <w:numFmt w:val="lowerRoman"/>
      <w:lvlText w:val="%6."/>
      <w:lvlJc w:val="right"/>
      <w:pPr>
        <w:ind w:left="8683" w:hanging="180"/>
      </w:pPr>
      <w:rPr>
        <w:rFonts w:hint="default"/>
      </w:rPr>
    </w:lvl>
    <w:lvl w:ilvl="6">
      <w:start w:val="1"/>
      <w:numFmt w:val="decimal"/>
      <w:lvlText w:val="%7."/>
      <w:lvlJc w:val="left"/>
      <w:pPr>
        <w:ind w:left="9403" w:hanging="360"/>
      </w:pPr>
      <w:rPr>
        <w:rFonts w:hint="default"/>
      </w:rPr>
    </w:lvl>
    <w:lvl w:ilvl="7">
      <w:start w:val="1"/>
      <w:numFmt w:val="lowerLetter"/>
      <w:lvlText w:val="%8."/>
      <w:lvlJc w:val="left"/>
      <w:pPr>
        <w:ind w:left="10123" w:hanging="360"/>
      </w:pPr>
      <w:rPr>
        <w:rFonts w:hint="default"/>
      </w:rPr>
    </w:lvl>
    <w:lvl w:ilvl="8">
      <w:start w:val="1"/>
      <w:numFmt w:val="lowerRoman"/>
      <w:lvlText w:val="%9."/>
      <w:lvlJc w:val="right"/>
      <w:pPr>
        <w:ind w:left="10843" w:hanging="180"/>
      </w:pPr>
      <w:rPr>
        <w:rFonts w:hint="default"/>
      </w:rPr>
    </w:lvl>
  </w:abstractNum>
  <w:abstractNum w:abstractNumId="38" w15:restartNumberingAfterBreak="0">
    <w:nsid w:val="73D17031"/>
    <w:multiLevelType w:val="hybridMultilevel"/>
    <w:tmpl w:val="B95A5E38"/>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39" w15:restartNumberingAfterBreak="0">
    <w:nsid w:val="766B2ED2"/>
    <w:multiLevelType w:val="multilevel"/>
    <w:tmpl w:val="17AC68E2"/>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134"/>
        </w:tabs>
        <w:ind w:left="1134"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842"/>
        </w:tabs>
        <w:ind w:left="1842"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0" w15:restartNumberingAfterBreak="0">
    <w:nsid w:val="77374A47"/>
    <w:multiLevelType w:val="multilevel"/>
    <w:tmpl w:val="54C2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801632">
    <w:abstractNumId w:val="16"/>
  </w:num>
  <w:num w:numId="2" w16cid:durableId="368536424">
    <w:abstractNumId w:val="33"/>
  </w:num>
  <w:num w:numId="3" w16cid:durableId="477456193">
    <w:abstractNumId w:val="21"/>
  </w:num>
  <w:num w:numId="4" w16cid:durableId="1232547191">
    <w:abstractNumId w:val="26"/>
  </w:num>
  <w:num w:numId="5" w16cid:durableId="105973184">
    <w:abstractNumId w:val="8"/>
  </w:num>
  <w:num w:numId="6" w16cid:durableId="1605579691">
    <w:abstractNumId w:val="17"/>
  </w:num>
  <w:num w:numId="7" w16cid:durableId="1410885699">
    <w:abstractNumId w:val="15"/>
  </w:num>
  <w:num w:numId="8" w16cid:durableId="775095936">
    <w:abstractNumId w:val="9"/>
  </w:num>
  <w:num w:numId="9" w16cid:durableId="333337407">
    <w:abstractNumId w:val="34"/>
  </w:num>
  <w:num w:numId="10" w16cid:durableId="1630017311">
    <w:abstractNumId w:val="0"/>
  </w:num>
  <w:num w:numId="11" w16cid:durableId="807430931">
    <w:abstractNumId w:val="38"/>
  </w:num>
  <w:num w:numId="12" w16cid:durableId="1317763128">
    <w:abstractNumId w:val="2"/>
  </w:num>
  <w:num w:numId="13" w16cid:durableId="9918170">
    <w:abstractNumId w:val="12"/>
  </w:num>
  <w:num w:numId="14" w16cid:durableId="1954432210">
    <w:abstractNumId w:val="36"/>
  </w:num>
  <w:num w:numId="15" w16cid:durableId="1493527992">
    <w:abstractNumId w:val="31"/>
  </w:num>
  <w:num w:numId="16" w16cid:durableId="1935478484">
    <w:abstractNumId w:val="19"/>
  </w:num>
  <w:num w:numId="17" w16cid:durableId="2138448848">
    <w:abstractNumId w:val="14"/>
  </w:num>
  <w:num w:numId="18" w16cid:durableId="1343897544">
    <w:abstractNumId w:val="6"/>
  </w:num>
  <w:num w:numId="19" w16cid:durableId="878518514">
    <w:abstractNumId w:val="11"/>
  </w:num>
  <w:num w:numId="20" w16cid:durableId="1670213659">
    <w:abstractNumId w:val="37"/>
  </w:num>
  <w:num w:numId="21" w16cid:durableId="137773929">
    <w:abstractNumId w:val="39"/>
  </w:num>
  <w:num w:numId="22" w16cid:durableId="195655667">
    <w:abstractNumId w:val="3"/>
  </w:num>
  <w:num w:numId="23" w16cid:durableId="1480733754">
    <w:abstractNumId w:val="18"/>
  </w:num>
  <w:num w:numId="24" w16cid:durableId="1442140259">
    <w:abstractNumId w:val="13"/>
  </w:num>
  <w:num w:numId="25" w16cid:durableId="1505972379">
    <w:abstractNumId w:val="10"/>
  </w:num>
  <w:num w:numId="26" w16cid:durableId="1829125631">
    <w:abstractNumId w:val="27"/>
  </w:num>
  <w:num w:numId="27" w16cid:durableId="461270852">
    <w:abstractNumId w:val="40"/>
  </w:num>
  <w:num w:numId="28" w16cid:durableId="1890804581">
    <w:abstractNumId w:val="32"/>
  </w:num>
  <w:num w:numId="29" w16cid:durableId="1917207306">
    <w:abstractNumId w:val="20"/>
  </w:num>
  <w:num w:numId="30" w16cid:durableId="1595164527">
    <w:abstractNumId w:val="35"/>
  </w:num>
  <w:num w:numId="31" w16cid:durableId="836192191">
    <w:abstractNumId w:val="7"/>
  </w:num>
  <w:num w:numId="32" w16cid:durableId="1116825057">
    <w:abstractNumId w:val="1"/>
  </w:num>
  <w:num w:numId="33" w16cid:durableId="1266570272">
    <w:abstractNumId w:val="30"/>
  </w:num>
  <w:num w:numId="34" w16cid:durableId="1173568694">
    <w:abstractNumId w:val="22"/>
  </w:num>
  <w:num w:numId="35" w16cid:durableId="1289311332">
    <w:abstractNumId w:val="28"/>
  </w:num>
  <w:num w:numId="36" w16cid:durableId="31660298">
    <w:abstractNumId w:val="29"/>
  </w:num>
  <w:num w:numId="37" w16cid:durableId="1155950550">
    <w:abstractNumId w:val="4"/>
  </w:num>
  <w:num w:numId="38" w16cid:durableId="1946963342">
    <w:abstractNumId w:val="5"/>
  </w:num>
  <w:num w:numId="39" w16cid:durableId="612784581">
    <w:abstractNumId w:val="25"/>
  </w:num>
  <w:num w:numId="40" w16cid:durableId="988822312">
    <w:abstractNumId w:val="24"/>
  </w:num>
  <w:num w:numId="41" w16cid:durableId="145051399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698"/>
    <w:rsid w:val="00000B72"/>
    <w:rsid w:val="000011D3"/>
    <w:rsid w:val="000019BA"/>
    <w:rsid w:val="000034A7"/>
    <w:rsid w:val="0000380A"/>
    <w:rsid w:val="000040A9"/>
    <w:rsid w:val="00004470"/>
    <w:rsid w:val="000050CF"/>
    <w:rsid w:val="00005446"/>
    <w:rsid w:val="00006BD2"/>
    <w:rsid w:val="0001015A"/>
    <w:rsid w:val="0001091B"/>
    <w:rsid w:val="00010BBB"/>
    <w:rsid w:val="00010F7C"/>
    <w:rsid w:val="00010F94"/>
    <w:rsid w:val="00011177"/>
    <w:rsid w:val="000111C9"/>
    <w:rsid w:val="000113D5"/>
    <w:rsid w:val="000118E3"/>
    <w:rsid w:val="00012261"/>
    <w:rsid w:val="00012DC2"/>
    <w:rsid w:val="00013543"/>
    <w:rsid w:val="000136AF"/>
    <w:rsid w:val="00013B8D"/>
    <w:rsid w:val="00013E30"/>
    <w:rsid w:val="000140A3"/>
    <w:rsid w:val="00014747"/>
    <w:rsid w:val="00015719"/>
    <w:rsid w:val="00015A7D"/>
    <w:rsid w:val="00015BDA"/>
    <w:rsid w:val="00015C96"/>
    <w:rsid w:val="00016C7A"/>
    <w:rsid w:val="00017C1D"/>
    <w:rsid w:val="00017C37"/>
    <w:rsid w:val="00020410"/>
    <w:rsid w:val="000209D8"/>
    <w:rsid w:val="00020B61"/>
    <w:rsid w:val="00021011"/>
    <w:rsid w:val="0002111A"/>
    <w:rsid w:val="000214DB"/>
    <w:rsid w:val="00021D31"/>
    <w:rsid w:val="0002265D"/>
    <w:rsid w:val="00023771"/>
    <w:rsid w:val="00023D53"/>
    <w:rsid w:val="0002438E"/>
    <w:rsid w:val="00024D03"/>
    <w:rsid w:val="000255EB"/>
    <w:rsid w:val="0002585C"/>
    <w:rsid w:val="00025B0A"/>
    <w:rsid w:val="00025FA9"/>
    <w:rsid w:val="00026BAB"/>
    <w:rsid w:val="00026E43"/>
    <w:rsid w:val="00027FD1"/>
    <w:rsid w:val="0003029C"/>
    <w:rsid w:val="00032672"/>
    <w:rsid w:val="00033431"/>
    <w:rsid w:val="000334AA"/>
    <w:rsid w:val="00034E65"/>
    <w:rsid w:val="00035B33"/>
    <w:rsid w:val="00035FFE"/>
    <w:rsid w:val="000360B5"/>
    <w:rsid w:val="00037CD6"/>
    <w:rsid w:val="00040884"/>
    <w:rsid w:val="000415C0"/>
    <w:rsid w:val="00041A83"/>
    <w:rsid w:val="00041CB2"/>
    <w:rsid w:val="00041DDF"/>
    <w:rsid w:val="000437C1"/>
    <w:rsid w:val="00043B1E"/>
    <w:rsid w:val="00043E9B"/>
    <w:rsid w:val="00045B4F"/>
    <w:rsid w:val="00046B54"/>
    <w:rsid w:val="000502E4"/>
    <w:rsid w:val="00050511"/>
    <w:rsid w:val="000508D5"/>
    <w:rsid w:val="00050DE9"/>
    <w:rsid w:val="00051260"/>
    <w:rsid w:val="00051495"/>
    <w:rsid w:val="0005185B"/>
    <w:rsid w:val="000518F1"/>
    <w:rsid w:val="00051E5B"/>
    <w:rsid w:val="00052313"/>
    <w:rsid w:val="00052563"/>
    <w:rsid w:val="0005365D"/>
    <w:rsid w:val="0005423B"/>
    <w:rsid w:val="00054376"/>
    <w:rsid w:val="00054A5C"/>
    <w:rsid w:val="00055E66"/>
    <w:rsid w:val="00056097"/>
    <w:rsid w:val="000567A5"/>
    <w:rsid w:val="00056E84"/>
    <w:rsid w:val="000601E2"/>
    <w:rsid w:val="00060CC9"/>
    <w:rsid w:val="000614BF"/>
    <w:rsid w:val="000618FF"/>
    <w:rsid w:val="00061B04"/>
    <w:rsid w:val="00061C65"/>
    <w:rsid w:val="00061D41"/>
    <w:rsid w:val="0006206B"/>
    <w:rsid w:val="0006250C"/>
    <w:rsid w:val="000645B8"/>
    <w:rsid w:val="00064A3A"/>
    <w:rsid w:val="00065F92"/>
    <w:rsid w:val="000662AB"/>
    <w:rsid w:val="000669A5"/>
    <w:rsid w:val="00066DB0"/>
    <w:rsid w:val="00066F3E"/>
    <w:rsid w:val="00067A85"/>
    <w:rsid w:val="0007037D"/>
    <w:rsid w:val="0007041F"/>
    <w:rsid w:val="000705F9"/>
    <w:rsid w:val="0007112A"/>
    <w:rsid w:val="0007204C"/>
    <w:rsid w:val="00072DF0"/>
    <w:rsid w:val="000730DA"/>
    <w:rsid w:val="0007324E"/>
    <w:rsid w:val="0007369A"/>
    <w:rsid w:val="00073702"/>
    <w:rsid w:val="0007385B"/>
    <w:rsid w:val="00073E24"/>
    <w:rsid w:val="000754ED"/>
    <w:rsid w:val="00075C8E"/>
    <w:rsid w:val="00075F2C"/>
    <w:rsid w:val="00076D7D"/>
    <w:rsid w:val="000809A4"/>
    <w:rsid w:val="00080C70"/>
    <w:rsid w:val="00081794"/>
    <w:rsid w:val="00081D50"/>
    <w:rsid w:val="0008206C"/>
    <w:rsid w:val="00082B1E"/>
    <w:rsid w:val="00082CB9"/>
    <w:rsid w:val="00083071"/>
    <w:rsid w:val="000831AF"/>
    <w:rsid w:val="000849CC"/>
    <w:rsid w:val="00084FF4"/>
    <w:rsid w:val="0008661F"/>
    <w:rsid w:val="00086F1C"/>
    <w:rsid w:val="00087437"/>
    <w:rsid w:val="00090CC3"/>
    <w:rsid w:val="000910E1"/>
    <w:rsid w:val="000914DF"/>
    <w:rsid w:val="00091E4D"/>
    <w:rsid w:val="00091EDD"/>
    <w:rsid w:val="00093CA1"/>
    <w:rsid w:val="00093ECA"/>
    <w:rsid w:val="00094BFB"/>
    <w:rsid w:val="00095ECB"/>
    <w:rsid w:val="000966EE"/>
    <w:rsid w:val="000969E2"/>
    <w:rsid w:val="00096E72"/>
    <w:rsid w:val="00097044"/>
    <w:rsid w:val="0009729D"/>
    <w:rsid w:val="00097EBC"/>
    <w:rsid w:val="000A01C8"/>
    <w:rsid w:val="000A0741"/>
    <w:rsid w:val="000A09CD"/>
    <w:rsid w:val="000A142F"/>
    <w:rsid w:val="000A1FCD"/>
    <w:rsid w:val="000A213D"/>
    <w:rsid w:val="000A2A8A"/>
    <w:rsid w:val="000A3186"/>
    <w:rsid w:val="000A402D"/>
    <w:rsid w:val="000A4A6B"/>
    <w:rsid w:val="000A5250"/>
    <w:rsid w:val="000A5E42"/>
    <w:rsid w:val="000A6C39"/>
    <w:rsid w:val="000A782F"/>
    <w:rsid w:val="000A79AA"/>
    <w:rsid w:val="000A7FAD"/>
    <w:rsid w:val="000B04DC"/>
    <w:rsid w:val="000B0883"/>
    <w:rsid w:val="000B0B0F"/>
    <w:rsid w:val="000B14B6"/>
    <w:rsid w:val="000B1C8E"/>
    <w:rsid w:val="000B326E"/>
    <w:rsid w:val="000B352D"/>
    <w:rsid w:val="000B40D5"/>
    <w:rsid w:val="000B4BB9"/>
    <w:rsid w:val="000B58FA"/>
    <w:rsid w:val="000B654E"/>
    <w:rsid w:val="000C06AC"/>
    <w:rsid w:val="000C0D13"/>
    <w:rsid w:val="000C169D"/>
    <w:rsid w:val="000C1CD2"/>
    <w:rsid w:val="000C1E22"/>
    <w:rsid w:val="000C30DF"/>
    <w:rsid w:val="000C32DD"/>
    <w:rsid w:val="000C397C"/>
    <w:rsid w:val="000C4070"/>
    <w:rsid w:val="000C4349"/>
    <w:rsid w:val="000C4465"/>
    <w:rsid w:val="000C4A8B"/>
    <w:rsid w:val="000C4AEB"/>
    <w:rsid w:val="000C4B7C"/>
    <w:rsid w:val="000C5270"/>
    <w:rsid w:val="000C534F"/>
    <w:rsid w:val="000C55A0"/>
    <w:rsid w:val="000C5A78"/>
    <w:rsid w:val="000C62FD"/>
    <w:rsid w:val="000C648F"/>
    <w:rsid w:val="000C6B31"/>
    <w:rsid w:val="000C7847"/>
    <w:rsid w:val="000C7894"/>
    <w:rsid w:val="000D0380"/>
    <w:rsid w:val="000D041F"/>
    <w:rsid w:val="000D05EF"/>
    <w:rsid w:val="000D0852"/>
    <w:rsid w:val="000D137E"/>
    <w:rsid w:val="000D169D"/>
    <w:rsid w:val="000D23A7"/>
    <w:rsid w:val="000D2D7B"/>
    <w:rsid w:val="000D3A50"/>
    <w:rsid w:val="000D3DFB"/>
    <w:rsid w:val="000D41CC"/>
    <w:rsid w:val="000D4F8B"/>
    <w:rsid w:val="000D7099"/>
    <w:rsid w:val="000D737B"/>
    <w:rsid w:val="000D7BCE"/>
    <w:rsid w:val="000E0290"/>
    <w:rsid w:val="000E0AC8"/>
    <w:rsid w:val="000E0B0A"/>
    <w:rsid w:val="000E0BFD"/>
    <w:rsid w:val="000E2261"/>
    <w:rsid w:val="000E2F72"/>
    <w:rsid w:val="000E33BE"/>
    <w:rsid w:val="000E387F"/>
    <w:rsid w:val="000E3C2E"/>
    <w:rsid w:val="000E42A8"/>
    <w:rsid w:val="000E5E2B"/>
    <w:rsid w:val="000E604B"/>
    <w:rsid w:val="000E64DE"/>
    <w:rsid w:val="000E6D65"/>
    <w:rsid w:val="000E7448"/>
    <w:rsid w:val="000F15EA"/>
    <w:rsid w:val="000F160A"/>
    <w:rsid w:val="000F172C"/>
    <w:rsid w:val="000F1752"/>
    <w:rsid w:val="000F21C1"/>
    <w:rsid w:val="000F21E8"/>
    <w:rsid w:val="000F235E"/>
    <w:rsid w:val="000F359B"/>
    <w:rsid w:val="000F3C4B"/>
    <w:rsid w:val="000F51C8"/>
    <w:rsid w:val="000F52CC"/>
    <w:rsid w:val="000F5636"/>
    <w:rsid w:val="000F6060"/>
    <w:rsid w:val="000F674E"/>
    <w:rsid w:val="000F7BB4"/>
    <w:rsid w:val="000F7EED"/>
    <w:rsid w:val="00100BD3"/>
    <w:rsid w:val="00100C20"/>
    <w:rsid w:val="001010E6"/>
    <w:rsid w:val="001024FA"/>
    <w:rsid w:val="00102CA6"/>
    <w:rsid w:val="00103E90"/>
    <w:rsid w:val="00104F09"/>
    <w:rsid w:val="00105A6D"/>
    <w:rsid w:val="00105D15"/>
    <w:rsid w:val="001060EC"/>
    <w:rsid w:val="001064EE"/>
    <w:rsid w:val="0010745C"/>
    <w:rsid w:val="00107586"/>
    <w:rsid w:val="00107E47"/>
    <w:rsid w:val="001100DF"/>
    <w:rsid w:val="0011089D"/>
    <w:rsid w:val="00111269"/>
    <w:rsid w:val="00111873"/>
    <w:rsid w:val="001126DC"/>
    <w:rsid w:val="00112868"/>
    <w:rsid w:val="00112ED0"/>
    <w:rsid w:val="00114172"/>
    <w:rsid w:val="00114C6F"/>
    <w:rsid w:val="00114EDD"/>
    <w:rsid w:val="001162A5"/>
    <w:rsid w:val="0011790E"/>
    <w:rsid w:val="0012063F"/>
    <w:rsid w:val="00121374"/>
    <w:rsid w:val="0012174D"/>
    <w:rsid w:val="00122473"/>
    <w:rsid w:val="00122A08"/>
    <w:rsid w:val="00122FB4"/>
    <w:rsid w:val="00122FE5"/>
    <w:rsid w:val="001235D4"/>
    <w:rsid w:val="00123A48"/>
    <w:rsid w:val="0012441A"/>
    <w:rsid w:val="0012477F"/>
    <w:rsid w:val="00125141"/>
    <w:rsid w:val="001253DD"/>
    <w:rsid w:val="00125C8D"/>
    <w:rsid w:val="00126188"/>
    <w:rsid w:val="0012638C"/>
    <w:rsid w:val="001265E1"/>
    <w:rsid w:val="00127493"/>
    <w:rsid w:val="001301B0"/>
    <w:rsid w:val="00130BFB"/>
    <w:rsid w:val="00130D36"/>
    <w:rsid w:val="001327EF"/>
    <w:rsid w:val="00132CEB"/>
    <w:rsid w:val="001345D7"/>
    <w:rsid w:val="00134F49"/>
    <w:rsid w:val="00135618"/>
    <w:rsid w:val="001358BA"/>
    <w:rsid w:val="001359AF"/>
    <w:rsid w:val="0013778D"/>
    <w:rsid w:val="0013781D"/>
    <w:rsid w:val="0013792C"/>
    <w:rsid w:val="00137C72"/>
    <w:rsid w:val="00137F02"/>
    <w:rsid w:val="001402A4"/>
    <w:rsid w:val="00140708"/>
    <w:rsid w:val="00140FE0"/>
    <w:rsid w:val="00141031"/>
    <w:rsid w:val="0014181C"/>
    <w:rsid w:val="001419B6"/>
    <w:rsid w:val="00141E68"/>
    <w:rsid w:val="00141E85"/>
    <w:rsid w:val="00142097"/>
    <w:rsid w:val="00142B62"/>
    <w:rsid w:val="00142EFF"/>
    <w:rsid w:val="0014457B"/>
    <w:rsid w:val="001446CF"/>
    <w:rsid w:val="00147083"/>
    <w:rsid w:val="00147B68"/>
    <w:rsid w:val="00147C19"/>
    <w:rsid w:val="00147C1E"/>
    <w:rsid w:val="00147D20"/>
    <w:rsid w:val="00147DFD"/>
    <w:rsid w:val="00147FDF"/>
    <w:rsid w:val="0015020A"/>
    <w:rsid w:val="001509EA"/>
    <w:rsid w:val="00150EC6"/>
    <w:rsid w:val="00151488"/>
    <w:rsid w:val="00151764"/>
    <w:rsid w:val="00151C30"/>
    <w:rsid w:val="0015203E"/>
    <w:rsid w:val="0015223B"/>
    <w:rsid w:val="0015249C"/>
    <w:rsid w:val="00152CCD"/>
    <w:rsid w:val="001532E9"/>
    <w:rsid w:val="00153A27"/>
    <w:rsid w:val="00153B32"/>
    <w:rsid w:val="0015550A"/>
    <w:rsid w:val="00155895"/>
    <w:rsid w:val="00155B79"/>
    <w:rsid w:val="00155C82"/>
    <w:rsid w:val="00155D20"/>
    <w:rsid w:val="00156796"/>
    <w:rsid w:val="00156AFD"/>
    <w:rsid w:val="00156EC7"/>
    <w:rsid w:val="001573B3"/>
    <w:rsid w:val="0015764D"/>
    <w:rsid w:val="00157694"/>
    <w:rsid w:val="00157B8B"/>
    <w:rsid w:val="00160E2B"/>
    <w:rsid w:val="00161C6C"/>
    <w:rsid w:val="001624E1"/>
    <w:rsid w:val="00162825"/>
    <w:rsid w:val="001630D0"/>
    <w:rsid w:val="00163395"/>
    <w:rsid w:val="001636B1"/>
    <w:rsid w:val="00163C5C"/>
    <w:rsid w:val="00163CA3"/>
    <w:rsid w:val="0016403B"/>
    <w:rsid w:val="001640A2"/>
    <w:rsid w:val="001648A6"/>
    <w:rsid w:val="00164FCC"/>
    <w:rsid w:val="00164FE8"/>
    <w:rsid w:val="00166904"/>
    <w:rsid w:val="00166C2F"/>
    <w:rsid w:val="00167A9D"/>
    <w:rsid w:val="00171A6E"/>
    <w:rsid w:val="00171B25"/>
    <w:rsid w:val="00172ADD"/>
    <w:rsid w:val="00172D94"/>
    <w:rsid w:val="00173180"/>
    <w:rsid w:val="0017370C"/>
    <w:rsid w:val="00174198"/>
    <w:rsid w:val="001742E6"/>
    <w:rsid w:val="00174493"/>
    <w:rsid w:val="001747AE"/>
    <w:rsid w:val="0017488D"/>
    <w:rsid w:val="00174C05"/>
    <w:rsid w:val="00174CEA"/>
    <w:rsid w:val="00175B5D"/>
    <w:rsid w:val="00176081"/>
    <w:rsid w:val="00176858"/>
    <w:rsid w:val="00176B2E"/>
    <w:rsid w:val="001771F8"/>
    <w:rsid w:val="00177285"/>
    <w:rsid w:val="00177DDD"/>
    <w:rsid w:val="00180373"/>
    <w:rsid w:val="001809D7"/>
    <w:rsid w:val="00180F8D"/>
    <w:rsid w:val="001813A6"/>
    <w:rsid w:val="001816DA"/>
    <w:rsid w:val="00181885"/>
    <w:rsid w:val="00181E38"/>
    <w:rsid w:val="0018243E"/>
    <w:rsid w:val="00182997"/>
    <w:rsid w:val="00182D09"/>
    <w:rsid w:val="00182E56"/>
    <w:rsid w:val="0018430A"/>
    <w:rsid w:val="0018547E"/>
    <w:rsid w:val="0018565D"/>
    <w:rsid w:val="0018659E"/>
    <w:rsid w:val="00186991"/>
    <w:rsid w:val="00186EF0"/>
    <w:rsid w:val="001872DC"/>
    <w:rsid w:val="00187511"/>
    <w:rsid w:val="001875ED"/>
    <w:rsid w:val="00187D46"/>
    <w:rsid w:val="0019069C"/>
    <w:rsid w:val="00190904"/>
    <w:rsid w:val="00190AF4"/>
    <w:rsid w:val="00191174"/>
    <w:rsid w:val="001911C2"/>
    <w:rsid w:val="0019186B"/>
    <w:rsid w:val="001926B8"/>
    <w:rsid w:val="00192CF2"/>
    <w:rsid w:val="00192DCD"/>
    <w:rsid w:val="0019350E"/>
    <w:rsid w:val="001939E1"/>
    <w:rsid w:val="00193A68"/>
    <w:rsid w:val="00193EA5"/>
    <w:rsid w:val="001943B6"/>
    <w:rsid w:val="00194C3E"/>
    <w:rsid w:val="00194EFA"/>
    <w:rsid w:val="00195180"/>
    <w:rsid w:val="00195382"/>
    <w:rsid w:val="00195A43"/>
    <w:rsid w:val="00195BD4"/>
    <w:rsid w:val="00195C1F"/>
    <w:rsid w:val="00195C6E"/>
    <w:rsid w:val="001961FB"/>
    <w:rsid w:val="001962FB"/>
    <w:rsid w:val="0019664A"/>
    <w:rsid w:val="00196F74"/>
    <w:rsid w:val="00197959"/>
    <w:rsid w:val="00197D6B"/>
    <w:rsid w:val="00197F9B"/>
    <w:rsid w:val="001A0033"/>
    <w:rsid w:val="001A04D1"/>
    <w:rsid w:val="001A148B"/>
    <w:rsid w:val="001A1853"/>
    <w:rsid w:val="001A1FC3"/>
    <w:rsid w:val="001A20EC"/>
    <w:rsid w:val="001A2C43"/>
    <w:rsid w:val="001A32A8"/>
    <w:rsid w:val="001A35D4"/>
    <w:rsid w:val="001A38DB"/>
    <w:rsid w:val="001A3E91"/>
    <w:rsid w:val="001A4EC9"/>
    <w:rsid w:val="001A5253"/>
    <w:rsid w:val="001A67FF"/>
    <w:rsid w:val="001A7C61"/>
    <w:rsid w:val="001A7F45"/>
    <w:rsid w:val="001B0061"/>
    <w:rsid w:val="001B09C0"/>
    <w:rsid w:val="001B0CED"/>
    <w:rsid w:val="001B3D24"/>
    <w:rsid w:val="001B3D43"/>
    <w:rsid w:val="001B419D"/>
    <w:rsid w:val="001B501A"/>
    <w:rsid w:val="001B5085"/>
    <w:rsid w:val="001B5403"/>
    <w:rsid w:val="001B5BC8"/>
    <w:rsid w:val="001B6598"/>
    <w:rsid w:val="001B68FB"/>
    <w:rsid w:val="001B6B93"/>
    <w:rsid w:val="001B7C03"/>
    <w:rsid w:val="001C0546"/>
    <w:rsid w:val="001C0A29"/>
    <w:rsid w:val="001C0A8E"/>
    <w:rsid w:val="001C0BE5"/>
    <w:rsid w:val="001C205E"/>
    <w:rsid w:val="001C31F7"/>
    <w:rsid w:val="001C3E4C"/>
    <w:rsid w:val="001C54E1"/>
    <w:rsid w:val="001C5B41"/>
    <w:rsid w:val="001C61C5"/>
    <w:rsid w:val="001C639B"/>
    <w:rsid w:val="001C669C"/>
    <w:rsid w:val="001C69C4"/>
    <w:rsid w:val="001C6D48"/>
    <w:rsid w:val="001D116F"/>
    <w:rsid w:val="001D1EFD"/>
    <w:rsid w:val="001D2E5E"/>
    <w:rsid w:val="001D3298"/>
    <w:rsid w:val="001D37EF"/>
    <w:rsid w:val="001D38AA"/>
    <w:rsid w:val="001D43F1"/>
    <w:rsid w:val="001D4DD7"/>
    <w:rsid w:val="001D5C05"/>
    <w:rsid w:val="001D5E9F"/>
    <w:rsid w:val="001D6409"/>
    <w:rsid w:val="001D74A6"/>
    <w:rsid w:val="001D7A30"/>
    <w:rsid w:val="001E1768"/>
    <w:rsid w:val="001E3590"/>
    <w:rsid w:val="001E3E34"/>
    <w:rsid w:val="001E4155"/>
    <w:rsid w:val="001E43EA"/>
    <w:rsid w:val="001E4DDB"/>
    <w:rsid w:val="001E5A7F"/>
    <w:rsid w:val="001E5E97"/>
    <w:rsid w:val="001E6D57"/>
    <w:rsid w:val="001E7407"/>
    <w:rsid w:val="001E77ED"/>
    <w:rsid w:val="001E7E2B"/>
    <w:rsid w:val="001F02B1"/>
    <w:rsid w:val="001F05B1"/>
    <w:rsid w:val="001F0DEC"/>
    <w:rsid w:val="001F1D57"/>
    <w:rsid w:val="001F1ECD"/>
    <w:rsid w:val="001F2203"/>
    <w:rsid w:val="001F26A9"/>
    <w:rsid w:val="001F2911"/>
    <w:rsid w:val="001F34DA"/>
    <w:rsid w:val="001F3944"/>
    <w:rsid w:val="001F3974"/>
    <w:rsid w:val="001F4320"/>
    <w:rsid w:val="001F450B"/>
    <w:rsid w:val="001F5B0A"/>
    <w:rsid w:val="001F5D5E"/>
    <w:rsid w:val="001F6219"/>
    <w:rsid w:val="001F6CD4"/>
    <w:rsid w:val="001F6D1D"/>
    <w:rsid w:val="001F6D7E"/>
    <w:rsid w:val="001F6EA8"/>
    <w:rsid w:val="00201001"/>
    <w:rsid w:val="002024A3"/>
    <w:rsid w:val="002026AE"/>
    <w:rsid w:val="002035E9"/>
    <w:rsid w:val="002036A3"/>
    <w:rsid w:val="00203856"/>
    <w:rsid w:val="002038B2"/>
    <w:rsid w:val="002039ED"/>
    <w:rsid w:val="00203B74"/>
    <w:rsid w:val="002046AB"/>
    <w:rsid w:val="002049E9"/>
    <w:rsid w:val="00204A27"/>
    <w:rsid w:val="00204E9F"/>
    <w:rsid w:val="00204EA7"/>
    <w:rsid w:val="0020599C"/>
    <w:rsid w:val="00205BBB"/>
    <w:rsid w:val="00205FEA"/>
    <w:rsid w:val="002069AF"/>
    <w:rsid w:val="00206C4D"/>
    <w:rsid w:val="00207CE3"/>
    <w:rsid w:val="00210281"/>
    <w:rsid w:val="002103E7"/>
    <w:rsid w:val="00210528"/>
    <w:rsid w:val="0021053C"/>
    <w:rsid w:val="00210792"/>
    <w:rsid w:val="0021139B"/>
    <w:rsid w:val="0021272E"/>
    <w:rsid w:val="00212BBF"/>
    <w:rsid w:val="00212BC8"/>
    <w:rsid w:val="00212F9C"/>
    <w:rsid w:val="0021310B"/>
    <w:rsid w:val="002136FE"/>
    <w:rsid w:val="00213C97"/>
    <w:rsid w:val="00214381"/>
    <w:rsid w:val="00214BE8"/>
    <w:rsid w:val="00214CAB"/>
    <w:rsid w:val="002150AC"/>
    <w:rsid w:val="00215A32"/>
    <w:rsid w:val="00215AF1"/>
    <w:rsid w:val="00216C73"/>
    <w:rsid w:val="002172A6"/>
    <w:rsid w:val="002179C2"/>
    <w:rsid w:val="00217B30"/>
    <w:rsid w:val="00220A36"/>
    <w:rsid w:val="00220C9C"/>
    <w:rsid w:val="00221A7D"/>
    <w:rsid w:val="00221D54"/>
    <w:rsid w:val="00221E83"/>
    <w:rsid w:val="0022220B"/>
    <w:rsid w:val="00222979"/>
    <w:rsid w:val="00222DF3"/>
    <w:rsid w:val="0022315C"/>
    <w:rsid w:val="00223DCF"/>
    <w:rsid w:val="00223E00"/>
    <w:rsid w:val="0022538D"/>
    <w:rsid w:val="00225779"/>
    <w:rsid w:val="002262EF"/>
    <w:rsid w:val="00226BAD"/>
    <w:rsid w:val="00227199"/>
    <w:rsid w:val="002305D3"/>
    <w:rsid w:val="00231756"/>
    <w:rsid w:val="002318B1"/>
    <w:rsid w:val="002319E5"/>
    <w:rsid w:val="00232137"/>
    <w:rsid w:val="002321E8"/>
    <w:rsid w:val="00232895"/>
    <w:rsid w:val="002328DE"/>
    <w:rsid w:val="00232DF7"/>
    <w:rsid w:val="002345F0"/>
    <w:rsid w:val="002349FC"/>
    <w:rsid w:val="00234CA8"/>
    <w:rsid w:val="002358DE"/>
    <w:rsid w:val="00236097"/>
    <w:rsid w:val="002363DD"/>
    <w:rsid w:val="00236A0B"/>
    <w:rsid w:val="00236EEC"/>
    <w:rsid w:val="002377C4"/>
    <w:rsid w:val="0024010F"/>
    <w:rsid w:val="00240749"/>
    <w:rsid w:val="00240DEE"/>
    <w:rsid w:val="002416EA"/>
    <w:rsid w:val="00241AAB"/>
    <w:rsid w:val="00242738"/>
    <w:rsid w:val="00242A6B"/>
    <w:rsid w:val="00242B8D"/>
    <w:rsid w:val="00243018"/>
    <w:rsid w:val="002432E1"/>
    <w:rsid w:val="00243AD5"/>
    <w:rsid w:val="00243EC0"/>
    <w:rsid w:val="00244084"/>
    <w:rsid w:val="00244167"/>
    <w:rsid w:val="002441DD"/>
    <w:rsid w:val="00244436"/>
    <w:rsid w:val="00244742"/>
    <w:rsid w:val="002447B1"/>
    <w:rsid w:val="00244A20"/>
    <w:rsid w:val="002458E3"/>
    <w:rsid w:val="00246586"/>
    <w:rsid w:val="00246990"/>
    <w:rsid w:val="00246A17"/>
    <w:rsid w:val="00247029"/>
    <w:rsid w:val="002476A1"/>
    <w:rsid w:val="002479EB"/>
    <w:rsid w:val="002502C2"/>
    <w:rsid w:val="002509F3"/>
    <w:rsid w:val="00251450"/>
    <w:rsid w:val="00251937"/>
    <w:rsid w:val="00251C2A"/>
    <w:rsid w:val="00251C7D"/>
    <w:rsid w:val="002527F8"/>
    <w:rsid w:val="00252B30"/>
    <w:rsid w:val="00252E6F"/>
    <w:rsid w:val="00253180"/>
    <w:rsid w:val="0025354A"/>
    <w:rsid w:val="0025357F"/>
    <w:rsid w:val="00253E93"/>
    <w:rsid w:val="00254303"/>
    <w:rsid w:val="0025513E"/>
    <w:rsid w:val="00255418"/>
    <w:rsid w:val="00255B29"/>
    <w:rsid w:val="002564A4"/>
    <w:rsid w:val="002569A8"/>
    <w:rsid w:val="00257199"/>
    <w:rsid w:val="002601E2"/>
    <w:rsid w:val="00261394"/>
    <w:rsid w:val="002621CB"/>
    <w:rsid w:val="0026311C"/>
    <w:rsid w:val="00263531"/>
    <w:rsid w:val="0026399D"/>
    <w:rsid w:val="00263B46"/>
    <w:rsid w:val="00264630"/>
    <w:rsid w:val="002647DA"/>
    <w:rsid w:val="002647E2"/>
    <w:rsid w:val="00264FE5"/>
    <w:rsid w:val="00265272"/>
    <w:rsid w:val="002653DE"/>
    <w:rsid w:val="002654C9"/>
    <w:rsid w:val="00265DAD"/>
    <w:rsid w:val="002665A1"/>
    <w:rsid w:val="002671BE"/>
    <w:rsid w:val="0026736C"/>
    <w:rsid w:val="002677F4"/>
    <w:rsid w:val="00267982"/>
    <w:rsid w:val="00267A95"/>
    <w:rsid w:val="00267C0B"/>
    <w:rsid w:val="002701B4"/>
    <w:rsid w:val="00270A21"/>
    <w:rsid w:val="00270E99"/>
    <w:rsid w:val="00271802"/>
    <w:rsid w:val="00272BCD"/>
    <w:rsid w:val="00273F51"/>
    <w:rsid w:val="00274CAE"/>
    <w:rsid w:val="00275869"/>
    <w:rsid w:val="00276181"/>
    <w:rsid w:val="0027653A"/>
    <w:rsid w:val="00276AB2"/>
    <w:rsid w:val="00276BF4"/>
    <w:rsid w:val="0027789E"/>
    <w:rsid w:val="00277D4A"/>
    <w:rsid w:val="00277F19"/>
    <w:rsid w:val="00280566"/>
    <w:rsid w:val="002806AB"/>
    <w:rsid w:val="00280DFF"/>
    <w:rsid w:val="00280E8A"/>
    <w:rsid w:val="00281308"/>
    <w:rsid w:val="00281813"/>
    <w:rsid w:val="00281CA1"/>
    <w:rsid w:val="00281D0B"/>
    <w:rsid w:val="00283192"/>
    <w:rsid w:val="00283F90"/>
    <w:rsid w:val="002845C9"/>
    <w:rsid w:val="00284719"/>
    <w:rsid w:val="00284ACD"/>
    <w:rsid w:val="00285692"/>
    <w:rsid w:val="00285C18"/>
    <w:rsid w:val="00287780"/>
    <w:rsid w:val="0028797D"/>
    <w:rsid w:val="00290157"/>
    <w:rsid w:val="002912A7"/>
    <w:rsid w:val="00291315"/>
    <w:rsid w:val="00291C70"/>
    <w:rsid w:val="00293320"/>
    <w:rsid w:val="002940AD"/>
    <w:rsid w:val="002949B4"/>
    <w:rsid w:val="00294CC5"/>
    <w:rsid w:val="00294F54"/>
    <w:rsid w:val="0029549E"/>
    <w:rsid w:val="00297ECB"/>
    <w:rsid w:val="002A009F"/>
    <w:rsid w:val="002A0512"/>
    <w:rsid w:val="002A07FE"/>
    <w:rsid w:val="002A0FE4"/>
    <w:rsid w:val="002A13F4"/>
    <w:rsid w:val="002A1BDB"/>
    <w:rsid w:val="002A1F85"/>
    <w:rsid w:val="002A1F8E"/>
    <w:rsid w:val="002A2493"/>
    <w:rsid w:val="002A32AF"/>
    <w:rsid w:val="002A3AC8"/>
    <w:rsid w:val="002A4303"/>
    <w:rsid w:val="002A43D6"/>
    <w:rsid w:val="002A44A8"/>
    <w:rsid w:val="002A44FA"/>
    <w:rsid w:val="002A4C36"/>
    <w:rsid w:val="002A51E5"/>
    <w:rsid w:val="002A6808"/>
    <w:rsid w:val="002A6B74"/>
    <w:rsid w:val="002A7328"/>
    <w:rsid w:val="002A7BCF"/>
    <w:rsid w:val="002A7DEB"/>
    <w:rsid w:val="002A7EE9"/>
    <w:rsid w:val="002B06EA"/>
    <w:rsid w:val="002B19F3"/>
    <w:rsid w:val="002B2C23"/>
    <w:rsid w:val="002B4A0D"/>
    <w:rsid w:val="002B4DA1"/>
    <w:rsid w:val="002B4E0A"/>
    <w:rsid w:val="002B53B4"/>
    <w:rsid w:val="002B6404"/>
    <w:rsid w:val="002B7B02"/>
    <w:rsid w:val="002C01FD"/>
    <w:rsid w:val="002C0EFE"/>
    <w:rsid w:val="002C1F16"/>
    <w:rsid w:val="002C2142"/>
    <w:rsid w:val="002C2277"/>
    <w:rsid w:val="002C4669"/>
    <w:rsid w:val="002C5159"/>
    <w:rsid w:val="002C52F2"/>
    <w:rsid w:val="002C5E88"/>
    <w:rsid w:val="002C7562"/>
    <w:rsid w:val="002C776A"/>
    <w:rsid w:val="002C7AA3"/>
    <w:rsid w:val="002C7B6F"/>
    <w:rsid w:val="002C7F59"/>
    <w:rsid w:val="002D0212"/>
    <w:rsid w:val="002D043A"/>
    <w:rsid w:val="002D0D28"/>
    <w:rsid w:val="002D2353"/>
    <w:rsid w:val="002D2FB3"/>
    <w:rsid w:val="002D39EA"/>
    <w:rsid w:val="002D3B35"/>
    <w:rsid w:val="002D4054"/>
    <w:rsid w:val="002D4C1B"/>
    <w:rsid w:val="002D5341"/>
    <w:rsid w:val="002D596A"/>
    <w:rsid w:val="002D6224"/>
    <w:rsid w:val="002D633E"/>
    <w:rsid w:val="002D6444"/>
    <w:rsid w:val="002D6A28"/>
    <w:rsid w:val="002D7058"/>
    <w:rsid w:val="002D7191"/>
    <w:rsid w:val="002D7571"/>
    <w:rsid w:val="002D7E66"/>
    <w:rsid w:val="002E014F"/>
    <w:rsid w:val="002E0A04"/>
    <w:rsid w:val="002E0C96"/>
    <w:rsid w:val="002E124F"/>
    <w:rsid w:val="002E178C"/>
    <w:rsid w:val="002E22C6"/>
    <w:rsid w:val="002E2F90"/>
    <w:rsid w:val="002E33A2"/>
    <w:rsid w:val="002E3F4B"/>
    <w:rsid w:val="002E3FAD"/>
    <w:rsid w:val="002E4EF8"/>
    <w:rsid w:val="002E653A"/>
    <w:rsid w:val="002E65CB"/>
    <w:rsid w:val="002E6C65"/>
    <w:rsid w:val="002E6F90"/>
    <w:rsid w:val="002E726C"/>
    <w:rsid w:val="002E7DC1"/>
    <w:rsid w:val="002F0464"/>
    <w:rsid w:val="002F09F5"/>
    <w:rsid w:val="002F0D6B"/>
    <w:rsid w:val="002F1873"/>
    <w:rsid w:val="002F1E38"/>
    <w:rsid w:val="002F1E54"/>
    <w:rsid w:val="002F247F"/>
    <w:rsid w:val="002F28BC"/>
    <w:rsid w:val="002F2A08"/>
    <w:rsid w:val="002F3846"/>
    <w:rsid w:val="002F4150"/>
    <w:rsid w:val="002F53D9"/>
    <w:rsid w:val="002F594E"/>
    <w:rsid w:val="0030018D"/>
    <w:rsid w:val="003002B7"/>
    <w:rsid w:val="0030037C"/>
    <w:rsid w:val="00300750"/>
    <w:rsid w:val="00302C88"/>
    <w:rsid w:val="00302E5E"/>
    <w:rsid w:val="003040AD"/>
    <w:rsid w:val="0030482A"/>
    <w:rsid w:val="00304AF1"/>
    <w:rsid w:val="00304F8B"/>
    <w:rsid w:val="00304FB1"/>
    <w:rsid w:val="003050CD"/>
    <w:rsid w:val="0030550A"/>
    <w:rsid w:val="00305891"/>
    <w:rsid w:val="003058D5"/>
    <w:rsid w:val="00305922"/>
    <w:rsid w:val="00306715"/>
    <w:rsid w:val="003067CF"/>
    <w:rsid w:val="00306FFA"/>
    <w:rsid w:val="00310B79"/>
    <w:rsid w:val="0031148A"/>
    <w:rsid w:val="00311B77"/>
    <w:rsid w:val="003120DE"/>
    <w:rsid w:val="0031220D"/>
    <w:rsid w:val="00312F23"/>
    <w:rsid w:val="003138CC"/>
    <w:rsid w:val="00313F95"/>
    <w:rsid w:val="0031522D"/>
    <w:rsid w:val="00315423"/>
    <w:rsid w:val="00315BEC"/>
    <w:rsid w:val="00315CCA"/>
    <w:rsid w:val="00315F6B"/>
    <w:rsid w:val="0031725B"/>
    <w:rsid w:val="003172ED"/>
    <w:rsid w:val="00317C69"/>
    <w:rsid w:val="0032004B"/>
    <w:rsid w:val="00320B5C"/>
    <w:rsid w:val="00321188"/>
    <w:rsid w:val="00321495"/>
    <w:rsid w:val="00322E38"/>
    <w:rsid w:val="0032327C"/>
    <w:rsid w:val="00323FA1"/>
    <w:rsid w:val="003244D6"/>
    <w:rsid w:val="00324E2A"/>
    <w:rsid w:val="003254A9"/>
    <w:rsid w:val="0032662D"/>
    <w:rsid w:val="00326BE4"/>
    <w:rsid w:val="00326CEC"/>
    <w:rsid w:val="003271D8"/>
    <w:rsid w:val="00327845"/>
    <w:rsid w:val="00327916"/>
    <w:rsid w:val="00327DDF"/>
    <w:rsid w:val="003307DD"/>
    <w:rsid w:val="00331512"/>
    <w:rsid w:val="00331534"/>
    <w:rsid w:val="00331901"/>
    <w:rsid w:val="0033271E"/>
    <w:rsid w:val="00332C59"/>
    <w:rsid w:val="0033307B"/>
    <w:rsid w:val="00333560"/>
    <w:rsid w:val="00333B8F"/>
    <w:rsid w:val="0033463E"/>
    <w:rsid w:val="00334C3E"/>
    <w:rsid w:val="003351B5"/>
    <w:rsid w:val="003354D2"/>
    <w:rsid w:val="00335536"/>
    <w:rsid w:val="00335BC6"/>
    <w:rsid w:val="003369F6"/>
    <w:rsid w:val="00336D45"/>
    <w:rsid w:val="00336E64"/>
    <w:rsid w:val="00337706"/>
    <w:rsid w:val="00337966"/>
    <w:rsid w:val="00337D43"/>
    <w:rsid w:val="00340653"/>
    <w:rsid w:val="003415D3"/>
    <w:rsid w:val="00342916"/>
    <w:rsid w:val="0034309B"/>
    <w:rsid w:val="003431C0"/>
    <w:rsid w:val="00343215"/>
    <w:rsid w:val="0034342F"/>
    <w:rsid w:val="0034403D"/>
    <w:rsid w:val="00344701"/>
    <w:rsid w:val="003447E1"/>
    <w:rsid w:val="00344AE1"/>
    <w:rsid w:val="0034535C"/>
    <w:rsid w:val="00345550"/>
    <w:rsid w:val="003459DC"/>
    <w:rsid w:val="003459E6"/>
    <w:rsid w:val="00346698"/>
    <w:rsid w:val="0034782D"/>
    <w:rsid w:val="00347C00"/>
    <w:rsid w:val="00347E6A"/>
    <w:rsid w:val="003506E4"/>
    <w:rsid w:val="00350B42"/>
    <w:rsid w:val="00350E3A"/>
    <w:rsid w:val="0035111F"/>
    <w:rsid w:val="003517B5"/>
    <w:rsid w:val="003518FE"/>
    <w:rsid w:val="0035190A"/>
    <w:rsid w:val="00352810"/>
    <w:rsid w:val="003528DA"/>
    <w:rsid w:val="00352B0F"/>
    <w:rsid w:val="0035351D"/>
    <w:rsid w:val="00354549"/>
    <w:rsid w:val="00354E71"/>
    <w:rsid w:val="00355468"/>
    <w:rsid w:val="003558BA"/>
    <w:rsid w:val="00355E74"/>
    <w:rsid w:val="003561F2"/>
    <w:rsid w:val="00356690"/>
    <w:rsid w:val="00356CFD"/>
    <w:rsid w:val="0035704F"/>
    <w:rsid w:val="00357169"/>
    <w:rsid w:val="00357288"/>
    <w:rsid w:val="003577D0"/>
    <w:rsid w:val="00357DD0"/>
    <w:rsid w:val="0036032B"/>
    <w:rsid w:val="00360459"/>
    <w:rsid w:val="003637AD"/>
    <w:rsid w:val="00365078"/>
    <w:rsid w:val="00365497"/>
    <w:rsid w:val="00366A3F"/>
    <w:rsid w:val="00366C6A"/>
    <w:rsid w:val="00370BD5"/>
    <w:rsid w:val="003718A2"/>
    <w:rsid w:val="00371A6A"/>
    <w:rsid w:val="0037250B"/>
    <w:rsid w:val="003728C1"/>
    <w:rsid w:val="00372A94"/>
    <w:rsid w:val="0037401A"/>
    <w:rsid w:val="00374473"/>
    <w:rsid w:val="00374B2F"/>
    <w:rsid w:val="00374E45"/>
    <w:rsid w:val="003752FE"/>
    <w:rsid w:val="00376639"/>
    <w:rsid w:val="003767CE"/>
    <w:rsid w:val="00376C1D"/>
    <w:rsid w:val="00376C29"/>
    <w:rsid w:val="003774C5"/>
    <w:rsid w:val="00380640"/>
    <w:rsid w:val="00380A7C"/>
    <w:rsid w:val="00380C83"/>
    <w:rsid w:val="00381659"/>
    <w:rsid w:val="00383C07"/>
    <w:rsid w:val="003842DB"/>
    <w:rsid w:val="0038431C"/>
    <w:rsid w:val="0038468A"/>
    <w:rsid w:val="003861BC"/>
    <w:rsid w:val="003865E1"/>
    <w:rsid w:val="0038698D"/>
    <w:rsid w:val="0038702D"/>
    <w:rsid w:val="00387A96"/>
    <w:rsid w:val="00390513"/>
    <w:rsid w:val="00390BFF"/>
    <w:rsid w:val="003911F7"/>
    <w:rsid w:val="00391DC5"/>
    <w:rsid w:val="003925C0"/>
    <w:rsid w:val="00392C23"/>
    <w:rsid w:val="00393611"/>
    <w:rsid w:val="00394128"/>
    <w:rsid w:val="00394B94"/>
    <w:rsid w:val="00394DB1"/>
    <w:rsid w:val="00394EF7"/>
    <w:rsid w:val="00395162"/>
    <w:rsid w:val="003958F3"/>
    <w:rsid w:val="00395F9F"/>
    <w:rsid w:val="003961D3"/>
    <w:rsid w:val="0039642E"/>
    <w:rsid w:val="00396FA5"/>
    <w:rsid w:val="00397F8A"/>
    <w:rsid w:val="003A04E4"/>
    <w:rsid w:val="003A04EA"/>
    <w:rsid w:val="003A0C9E"/>
    <w:rsid w:val="003A2207"/>
    <w:rsid w:val="003A2A48"/>
    <w:rsid w:val="003A2B8A"/>
    <w:rsid w:val="003A3BB1"/>
    <w:rsid w:val="003A3DBD"/>
    <w:rsid w:val="003A4815"/>
    <w:rsid w:val="003A5C42"/>
    <w:rsid w:val="003A63DE"/>
    <w:rsid w:val="003A7C5D"/>
    <w:rsid w:val="003B065A"/>
    <w:rsid w:val="003B0845"/>
    <w:rsid w:val="003B0ED2"/>
    <w:rsid w:val="003B134C"/>
    <w:rsid w:val="003B1622"/>
    <w:rsid w:val="003B1BB9"/>
    <w:rsid w:val="003B28C3"/>
    <w:rsid w:val="003B296A"/>
    <w:rsid w:val="003B3BA6"/>
    <w:rsid w:val="003B4477"/>
    <w:rsid w:val="003B4A23"/>
    <w:rsid w:val="003B4C2C"/>
    <w:rsid w:val="003B5BA9"/>
    <w:rsid w:val="003B5D57"/>
    <w:rsid w:val="003B6671"/>
    <w:rsid w:val="003B6B30"/>
    <w:rsid w:val="003B732F"/>
    <w:rsid w:val="003B74D6"/>
    <w:rsid w:val="003B7B17"/>
    <w:rsid w:val="003B7C3C"/>
    <w:rsid w:val="003B7CA6"/>
    <w:rsid w:val="003C0237"/>
    <w:rsid w:val="003C0670"/>
    <w:rsid w:val="003C0762"/>
    <w:rsid w:val="003C0BCF"/>
    <w:rsid w:val="003C0C31"/>
    <w:rsid w:val="003C2785"/>
    <w:rsid w:val="003C3D05"/>
    <w:rsid w:val="003C4036"/>
    <w:rsid w:val="003C50D0"/>
    <w:rsid w:val="003C5794"/>
    <w:rsid w:val="003C5F7F"/>
    <w:rsid w:val="003C6231"/>
    <w:rsid w:val="003C77E5"/>
    <w:rsid w:val="003D051B"/>
    <w:rsid w:val="003D0BFE"/>
    <w:rsid w:val="003D0EEF"/>
    <w:rsid w:val="003D107B"/>
    <w:rsid w:val="003D15FF"/>
    <w:rsid w:val="003D4312"/>
    <w:rsid w:val="003D460F"/>
    <w:rsid w:val="003D52E9"/>
    <w:rsid w:val="003D54EA"/>
    <w:rsid w:val="003D5700"/>
    <w:rsid w:val="003D6160"/>
    <w:rsid w:val="003D68B4"/>
    <w:rsid w:val="003E0426"/>
    <w:rsid w:val="003E0CD3"/>
    <w:rsid w:val="003E0F99"/>
    <w:rsid w:val="003E1190"/>
    <w:rsid w:val="003E171D"/>
    <w:rsid w:val="003E341B"/>
    <w:rsid w:val="003E3B3A"/>
    <w:rsid w:val="003E471B"/>
    <w:rsid w:val="003E4BBB"/>
    <w:rsid w:val="003E5251"/>
    <w:rsid w:val="003E5890"/>
    <w:rsid w:val="003E620E"/>
    <w:rsid w:val="003E62A1"/>
    <w:rsid w:val="003E661B"/>
    <w:rsid w:val="003F0A7B"/>
    <w:rsid w:val="003F15DD"/>
    <w:rsid w:val="003F19D6"/>
    <w:rsid w:val="003F1CBE"/>
    <w:rsid w:val="003F2571"/>
    <w:rsid w:val="003F2AD9"/>
    <w:rsid w:val="003F3A40"/>
    <w:rsid w:val="003F3A51"/>
    <w:rsid w:val="003F3EFD"/>
    <w:rsid w:val="003F593B"/>
    <w:rsid w:val="003F62F3"/>
    <w:rsid w:val="003F6EAF"/>
    <w:rsid w:val="003F768E"/>
    <w:rsid w:val="003F7BA7"/>
    <w:rsid w:val="0040053F"/>
    <w:rsid w:val="004009B0"/>
    <w:rsid w:val="00400CD5"/>
    <w:rsid w:val="00401C65"/>
    <w:rsid w:val="00401D3E"/>
    <w:rsid w:val="00402D5D"/>
    <w:rsid w:val="00403F00"/>
    <w:rsid w:val="00405C84"/>
    <w:rsid w:val="00405ED9"/>
    <w:rsid w:val="00406244"/>
    <w:rsid w:val="00406CEF"/>
    <w:rsid w:val="00406ED3"/>
    <w:rsid w:val="004070BA"/>
    <w:rsid w:val="004072AB"/>
    <w:rsid w:val="00407ACC"/>
    <w:rsid w:val="00407B47"/>
    <w:rsid w:val="00407F16"/>
    <w:rsid w:val="004109FA"/>
    <w:rsid w:val="00410A0D"/>
    <w:rsid w:val="004116CD"/>
    <w:rsid w:val="00411C4F"/>
    <w:rsid w:val="0041226A"/>
    <w:rsid w:val="0041255E"/>
    <w:rsid w:val="00412BDD"/>
    <w:rsid w:val="00412EB6"/>
    <w:rsid w:val="004130A8"/>
    <w:rsid w:val="0041324F"/>
    <w:rsid w:val="00413A4D"/>
    <w:rsid w:val="0041439E"/>
    <w:rsid w:val="004144EC"/>
    <w:rsid w:val="00415A70"/>
    <w:rsid w:val="00416009"/>
    <w:rsid w:val="004160CB"/>
    <w:rsid w:val="00416B95"/>
    <w:rsid w:val="004172FD"/>
    <w:rsid w:val="00417EB9"/>
    <w:rsid w:val="0042056C"/>
    <w:rsid w:val="00420E0E"/>
    <w:rsid w:val="004211CC"/>
    <w:rsid w:val="0042129B"/>
    <w:rsid w:val="00421B96"/>
    <w:rsid w:val="00421E5C"/>
    <w:rsid w:val="0042229B"/>
    <w:rsid w:val="00423489"/>
    <w:rsid w:val="0042369B"/>
    <w:rsid w:val="004242BD"/>
    <w:rsid w:val="00424C0B"/>
    <w:rsid w:val="00424CA9"/>
    <w:rsid w:val="00425161"/>
    <w:rsid w:val="0042726B"/>
    <w:rsid w:val="004272B4"/>
    <w:rsid w:val="0043059B"/>
    <w:rsid w:val="00430BD7"/>
    <w:rsid w:val="00430EE1"/>
    <w:rsid w:val="004314D0"/>
    <w:rsid w:val="004317E9"/>
    <w:rsid w:val="00431B7D"/>
    <w:rsid w:val="00431E9B"/>
    <w:rsid w:val="00432147"/>
    <w:rsid w:val="00432586"/>
    <w:rsid w:val="004337C0"/>
    <w:rsid w:val="00434078"/>
    <w:rsid w:val="00434168"/>
    <w:rsid w:val="004344C0"/>
    <w:rsid w:val="00434636"/>
    <w:rsid w:val="004346B1"/>
    <w:rsid w:val="004354A7"/>
    <w:rsid w:val="00435B5D"/>
    <w:rsid w:val="00435E54"/>
    <w:rsid w:val="00435EEF"/>
    <w:rsid w:val="00437050"/>
    <w:rsid w:val="004379E3"/>
    <w:rsid w:val="00437E59"/>
    <w:rsid w:val="0044015E"/>
    <w:rsid w:val="00440F08"/>
    <w:rsid w:val="00440F58"/>
    <w:rsid w:val="0044291A"/>
    <w:rsid w:val="00442E96"/>
    <w:rsid w:val="004435DE"/>
    <w:rsid w:val="00443660"/>
    <w:rsid w:val="004436C7"/>
    <w:rsid w:val="0044377F"/>
    <w:rsid w:val="00443C10"/>
    <w:rsid w:val="00444ABD"/>
    <w:rsid w:val="00444B5E"/>
    <w:rsid w:val="00444D1F"/>
    <w:rsid w:val="00445039"/>
    <w:rsid w:val="004450A9"/>
    <w:rsid w:val="00445CB9"/>
    <w:rsid w:val="00445ED9"/>
    <w:rsid w:val="00446029"/>
    <w:rsid w:val="00447DB4"/>
    <w:rsid w:val="004501C7"/>
    <w:rsid w:val="00450577"/>
    <w:rsid w:val="004514F1"/>
    <w:rsid w:val="00451D29"/>
    <w:rsid w:val="00451D2E"/>
    <w:rsid w:val="00451D5C"/>
    <w:rsid w:val="00452356"/>
    <w:rsid w:val="00452572"/>
    <w:rsid w:val="00454915"/>
    <w:rsid w:val="00455773"/>
    <w:rsid w:val="00455964"/>
    <w:rsid w:val="00455BC1"/>
    <w:rsid w:val="0045603B"/>
    <w:rsid w:val="0045671F"/>
    <w:rsid w:val="00456813"/>
    <w:rsid w:val="00457500"/>
    <w:rsid w:val="00460445"/>
    <w:rsid w:val="004604DD"/>
    <w:rsid w:val="004606CD"/>
    <w:rsid w:val="00460F1D"/>
    <w:rsid w:val="004614C8"/>
    <w:rsid w:val="00461FBB"/>
    <w:rsid w:val="004644E3"/>
    <w:rsid w:val="00465957"/>
    <w:rsid w:val="00465DC1"/>
    <w:rsid w:val="00466EB2"/>
    <w:rsid w:val="00467661"/>
    <w:rsid w:val="00470323"/>
    <w:rsid w:val="004705B7"/>
    <w:rsid w:val="00470C03"/>
    <w:rsid w:val="00470FE8"/>
    <w:rsid w:val="004720D6"/>
    <w:rsid w:val="00472DBE"/>
    <w:rsid w:val="00472F9F"/>
    <w:rsid w:val="00473FB9"/>
    <w:rsid w:val="00474A19"/>
    <w:rsid w:val="00474B52"/>
    <w:rsid w:val="00475668"/>
    <w:rsid w:val="0047575A"/>
    <w:rsid w:val="004804D0"/>
    <w:rsid w:val="00480A02"/>
    <w:rsid w:val="00480A5B"/>
    <w:rsid w:val="00480BF4"/>
    <w:rsid w:val="00481172"/>
    <w:rsid w:val="004818F7"/>
    <w:rsid w:val="004819F1"/>
    <w:rsid w:val="00481C24"/>
    <w:rsid w:val="00481FC3"/>
    <w:rsid w:val="004823C0"/>
    <w:rsid w:val="004825AA"/>
    <w:rsid w:val="0048276B"/>
    <w:rsid w:val="00482803"/>
    <w:rsid w:val="00482BBC"/>
    <w:rsid w:val="004834AF"/>
    <w:rsid w:val="004839DF"/>
    <w:rsid w:val="004845CC"/>
    <w:rsid w:val="0048461C"/>
    <w:rsid w:val="004851A9"/>
    <w:rsid w:val="00485ACD"/>
    <w:rsid w:val="004872BD"/>
    <w:rsid w:val="00487BF1"/>
    <w:rsid w:val="00491D06"/>
    <w:rsid w:val="00492D0E"/>
    <w:rsid w:val="0049352D"/>
    <w:rsid w:val="0049387D"/>
    <w:rsid w:val="00493CE1"/>
    <w:rsid w:val="00493E02"/>
    <w:rsid w:val="00494020"/>
    <w:rsid w:val="00494531"/>
    <w:rsid w:val="00494E59"/>
    <w:rsid w:val="00495409"/>
    <w:rsid w:val="0049697D"/>
    <w:rsid w:val="00496B5F"/>
    <w:rsid w:val="00496CFE"/>
    <w:rsid w:val="00496F97"/>
    <w:rsid w:val="004973BF"/>
    <w:rsid w:val="00497569"/>
    <w:rsid w:val="00497872"/>
    <w:rsid w:val="004A007E"/>
    <w:rsid w:val="004A0ED6"/>
    <w:rsid w:val="004A0FD7"/>
    <w:rsid w:val="004A15E8"/>
    <w:rsid w:val="004A1813"/>
    <w:rsid w:val="004A2022"/>
    <w:rsid w:val="004A2027"/>
    <w:rsid w:val="004A2290"/>
    <w:rsid w:val="004A2B95"/>
    <w:rsid w:val="004A2DA5"/>
    <w:rsid w:val="004A40C8"/>
    <w:rsid w:val="004A44FC"/>
    <w:rsid w:val="004A470F"/>
    <w:rsid w:val="004A5D99"/>
    <w:rsid w:val="004A5F86"/>
    <w:rsid w:val="004A6938"/>
    <w:rsid w:val="004A6EC1"/>
    <w:rsid w:val="004A793D"/>
    <w:rsid w:val="004B10B3"/>
    <w:rsid w:val="004B1F6B"/>
    <w:rsid w:val="004B21FA"/>
    <w:rsid w:val="004B3589"/>
    <w:rsid w:val="004B54C3"/>
    <w:rsid w:val="004B5B44"/>
    <w:rsid w:val="004B5F5E"/>
    <w:rsid w:val="004B63F1"/>
    <w:rsid w:val="004B67A5"/>
    <w:rsid w:val="004B693F"/>
    <w:rsid w:val="004B6FE3"/>
    <w:rsid w:val="004B7CC6"/>
    <w:rsid w:val="004B7E41"/>
    <w:rsid w:val="004B7F89"/>
    <w:rsid w:val="004C0318"/>
    <w:rsid w:val="004C0494"/>
    <w:rsid w:val="004C0845"/>
    <w:rsid w:val="004C088B"/>
    <w:rsid w:val="004C0A1A"/>
    <w:rsid w:val="004C1B2C"/>
    <w:rsid w:val="004C1CB1"/>
    <w:rsid w:val="004C2581"/>
    <w:rsid w:val="004C2E44"/>
    <w:rsid w:val="004C32CE"/>
    <w:rsid w:val="004C32D7"/>
    <w:rsid w:val="004C3CD0"/>
    <w:rsid w:val="004C3E6C"/>
    <w:rsid w:val="004C4029"/>
    <w:rsid w:val="004C436B"/>
    <w:rsid w:val="004C44B7"/>
    <w:rsid w:val="004C4953"/>
    <w:rsid w:val="004C6F08"/>
    <w:rsid w:val="004D015A"/>
    <w:rsid w:val="004D0398"/>
    <w:rsid w:val="004D10B4"/>
    <w:rsid w:val="004D1320"/>
    <w:rsid w:val="004D13C9"/>
    <w:rsid w:val="004D33C8"/>
    <w:rsid w:val="004D3B11"/>
    <w:rsid w:val="004D4E54"/>
    <w:rsid w:val="004D4ED4"/>
    <w:rsid w:val="004D4FA6"/>
    <w:rsid w:val="004D54D6"/>
    <w:rsid w:val="004D54E3"/>
    <w:rsid w:val="004D57A4"/>
    <w:rsid w:val="004D645F"/>
    <w:rsid w:val="004D6627"/>
    <w:rsid w:val="004D70F7"/>
    <w:rsid w:val="004D7268"/>
    <w:rsid w:val="004D73E0"/>
    <w:rsid w:val="004D74C8"/>
    <w:rsid w:val="004D7597"/>
    <w:rsid w:val="004D790E"/>
    <w:rsid w:val="004D7E7F"/>
    <w:rsid w:val="004E063A"/>
    <w:rsid w:val="004E0BA2"/>
    <w:rsid w:val="004E0D44"/>
    <w:rsid w:val="004E0E2B"/>
    <w:rsid w:val="004E2E23"/>
    <w:rsid w:val="004E32B9"/>
    <w:rsid w:val="004E32E5"/>
    <w:rsid w:val="004E33B0"/>
    <w:rsid w:val="004E3BA9"/>
    <w:rsid w:val="004E4779"/>
    <w:rsid w:val="004E55B5"/>
    <w:rsid w:val="004E5956"/>
    <w:rsid w:val="004E5E53"/>
    <w:rsid w:val="004E70CA"/>
    <w:rsid w:val="004E7BEC"/>
    <w:rsid w:val="004F0309"/>
    <w:rsid w:val="004F0D4F"/>
    <w:rsid w:val="004F15DD"/>
    <w:rsid w:val="004F210D"/>
    <w:rsid w:val="004F2442"/>
    <w:rsid w:val="004F4FC5"/>
    <w:rsid w:val="004F5847"/>
    <w:rsid w:val="004F5D79"/>
    <w:rsid w:val="004F639A"/>
    <w:rsid w:val="004F6813"/>
    <w:rsid w:val="004F7907"/>
    <w:rsid w:val="0050044F"/>
    <w:rsid w:val="005016EE"/>
    <w:rsid w:val="00501FEC"/>
    <w:rsid w:val="005031CF"/>
    <w:rsid w:val="0050515A"/>
    <w:rsid w:val="00505D13"/>
    <w:rsid w:val="00505D3D"/>
    <w:rsid w:val="00505DEC"/>
    <w:rsid w:val="00506768"/>
    <w:rsid w:val="00506AF6"/>
    <w:rsid w:val="00507335"/>
    <w:rsid w:val="00507CC6"/>
    <w:rsid w:val="005116F6"/>
    <w:rsid w:val="005127D0"/>
    <w:rsid w:val="00512812"/>
    <w:rsid w:val="0051389E"/>
    <w:rsid w:val="005143CB"/>
    <w:rsid w:val="005148D6"/>
    <w:rsid w:val="00514B09"/>
    <w:rsid w:val="005153C1"/>
    <w:rsid w:val="00515C50"/>
    <w:rsid w:val="0051696D"/>
    <w:rsid w:val="00516B8D"/>
    <w:rsid w:val="00517079"/>
    <w:rsid w:val="005173C1"/>
    <w:rsid w:val="00517776"/>
    <w:rsid w:val="00517E56"/>
    <w:rsid w:val="0052012D"/>
    <w:rsid w:val="005201BE"/>
    <w:rsid w:val="00520552"/>
    <w:rsid w:val="00522E43"/>
    <w:rsid w:val="00524DC5"/>
    <w:rsid w:val="00526AA6"/>
    <w:rsid w:val="00527480"/>
    <w:rsid w:val="00530219"/>
    <w:rsid w:val="005305CF"/>
    <w:rsid w:val="00530999"/>
    <w:rsid w:val="005309D9"/>
    <w:rsid w:val="00530FF7"/>
    <w:rsid w:val="005313C1"/>
    <w:rsid w:val="00531597"/>
    <w:rsid w:val="00531613"/>
    <w:rsid w:val="005318FD"/>
    <w:rsid w:val="00531E1B"/>
    <w:rsid w:val="00532049"/>
    <w:rsid w:val="00532445"/>
    <w:rsid w:val="005325D6"/>
    <w:rsid w:val="00532C92"/>
    <w:rsid w:val="005343FF"/>
    <w:rsid w:val="00534785"/>
    <w:rsid w:val="005351C9"/>
    <w:rsid w:val="00535472"/>
    <w:rsid w:val="005356A7"/>
    <w:rsid w:val="0053575A"/>
    <w:rsid w:val="00535AAA"/>
    <w:rsid w:val="00535DE0"/>
    <w:rsid w:val="00535F6E"/>
    <w:rsid w:val="00536184"/>
    <w:rsid w:val="00536F58"/>
    <w:rsid w:val="00537664"/>
    <w:rsid w:val="00537FBC"/>
    <w:rsid w:val="005405F1"/>
    <w:rsid w:val="00542308"/>
    <w:rsid w:val="00542EB6"/>
    <w:rsid w:val="00543DB9"/>
    <w:rsid w:val="00543E66"/>
    <w:rsid w:val="0054559F"/>
    <w:rsid w:val="005458B6"/>
    <w:rsid w:val="00546532"/>
    <w:rsid w:val="0055010C"/>
    <w:rsid w:val="0055142E"/>
    <w:rsid w:val="00551866"/>
    <w:rsid w:val="00552ADB"/>
    <w:rsid w:val="00552C46"/>
    <w:rsid w:val="00552F1D"/>
    <w:rsid w:val="00553172"/>
    <w:rsid w:val="00553245"/>
    <w:rsid w:val="00553921"/>
    <w:rsid w:val="00553A56"/>
    <w:rsid w:val="005540CA"/>
    <w:rsid w:val="0055482E"/>
    <w:rsid w:val="005548DC"/>
    <w:rsid w:val="00554EE7"/>
    <w:rsid w:val="005556D0"/>
    <w:rsid w:val="005568AB"/>
    <w:rsid w:val="00556A28"/>
    <w:rsid w:val="00556A3B"/>
    <w:rsid w:val="005574D1"/>
    <w:rsid w:val="00557E4D"/>
    <w:rsid w:val="00560C63"/>
    <w:rsid w:val="0056154E"/>
    <w:rsid w:val="00561AA0"/>
    <w:rsid w:val="00561ABB"/>
    <w:rsid w:val="00562F21"/>
    <w:rsid w:val="00564492"/>
    <w:rsid w:val="0056500B"/>
    <w:rsid w:val="005657FE"/>
    <w:rsid w:val="005662E9"/>
    <w:rsid w:val="005665EB"/>
    <w:rsid w:val="00567D4B"/>
    <w:rsid w:val="00570DBB"/>
    <w:rsid w:val="00572BB1"/>
    <w:rsid w:val="005730F8"/>
    <w:rsid w:val="005734D4"/>
    <w:rsid w:val="00573790"/>
    <w:rsid w:val="005739B0"/>
    <w:rsid w:val="00573A4D"/>
    <w:rsid w:val="00575909"/>
    <w:rsid w:val="0057670F"/>
    <w:rsid w:val="00576751"/>
    <w:rsid w:val="0057679B"/>
    <w:rsid w:val="00576980"/>
    <w:rsid w:val="00577165"/>
    <w:rsid w:val="005774A2"/>
    <w:rsid w:val="00577790"/>
    <w:rsid w:val="005800FC"/>
    <w:rsid w:val="00581537"/>
    <w:rsid w:val="00581A04"/>
    <w:rsid w:val="005830B9"/>
    <w:rsid w:val="005830DD"/>
    <w:rsid w:val="00583583"/>
    <w:rsid w:val="0058366B"/>
    <w:rsid w:val="00584811"/>
    <w:rsid w:val="005849CB"/>
    <w:rsid w:val="00584A66"/>
    <w:rsid w:val="00584B33"/>
    <w:rsid w:val="0058573E"/>
    <w:rsid w:val="00585784"/>
    <w:rsid w:val="0058603F"/>
    <w:rsid w:val="00586AE7"/>
    <w:rsid w:val="0058743F"/>
    <w:rsid w:val="00587991"/>
    <w:rsid w:val="00590E7F"/>
    <w:rsid w:val="00591AEF"/>
    <w:rsid w:val="00591FE8"/>
    <w:rsid w:val="0059202C"/>
    <w:rsid w:val="00592713"/>
    <w:rsid w:val="00592717"/>
    <w:rsid w:val="005929E2"/>
    <w:rsid w:val="00593111"/>
    <w:rsid w:val="00593640"/>
    <w:rsid w:val="00593696"/>
    <w:rsid w:val="00593806"/>
    <w:rsid w:val="00593A71"/>
    <w:rsid w:val="00593AA6"/>
    <w:rsid w:val="00593BB7"/>
    <w:rsid w:val="00594161"/>
    <w:rsid w:val="0059440A"/>
    <w:rsid w:val="005944C6"/>
    <w:rsid w:val="00594749"/>
    <w:rsid w:val="00595D9C"/>
    <w:rsid w:val="00595E1F"/>
    <w:rsid w:val="00596B86"/>
    <w:rsid w:val="005974ED"/>
    <w:rsid w:val="0059753A"/>
    <w:rsid w:val="0059785B"/>
    <w:rsid w:val="005A0383"/>
    <w:rsid w:val="005A0882"/>
    <w:rsid w:val="005A0B4D"/>
    <w:rsid w:val="005A0DD1"/>
    <w:rsid w:val="005A14A1"/>
    <w:rsid w:val="005A1606"/>
    <w:rsid w:val="005A16FB"/>
    <w:rsid w:val="005A1E38"/>
    <w:rsid w:val="005A291D"/>
    <w:rsid w:val="005A2AB7"/>
    <w:rsid w:val="005A2C5B"/>
    <w:rsid w:val="005A354C"/>
    <w:rsid w:val="005A3E4A"/>
    <w:rsid w:val="005A418E"/>
    <w:rsid w:val="005A4663"/>
    <w:rsid w:val="005A4C45"/>
    <w:rsid w:val="005A5126"/>
    <w:rsid w:val="005A53D4"/>
    <w:rsid w:val="005A5A0E"/>
    <w:rsid w:val="005A6232"/>
    <w:rsid w:val="005A6290"/>
    <w:rsid w:val="005A648D"/>
    <w:rsid w:val="005A767C"/>
    <w:rsid w:val="005A7ADB"/>
    <w:rsid w:val="005B04BC"/>
    <w:rsid w:val="005B06FF"/>
    <w:rsid w:val="005B0FB4"/>
    <w:rsid w:val="005B1258"/>
    <w:rsid w:val="005B189A"/>
    <w:rsid w:val="005B2EC7"/>
    <w:rsid w:val="005B2FF2"/>
    <w:rsid w:val="005B3537"/>
    <w:rsid w:val="005B3CDA"/>
    <w:rsid w:val="005B4067"/>
    <w:rsid w:val="005B40FC"/>
    <w:rsid w:val="005B45F6"/>
    <w:rsid w:val="005B4665"/>
    <w:rsid w:val="005B780C"/>
    <w:rsid w:val="005B7F56"/>
    <w:rsid w:val="005C0692"/>
    <w:rsid w:val="005C0BDC"/>
    <w:rsid w:val="005C182E"/>
    <w:rsid w:val="005C19E5"/>
    <w:rsid w:val="005C2296"/>
    <w:rsid w:val="005C3A2B"/>
    <w:rsid w:val="005C3F41"/>
    <w:rsid w:val="005C42DA"/>
    <w:rsid w:val="005C45AE"/>
    <w:rsid w:val="005C4923"/>
    <w:rsid w:val="005C4F8F"/>
    <w:rsid w:val="005C77B8"/>
    <w:rsid w:val="005C7918"/>
    <w:rsid w:val="005C797A"/>
    <w:rsid w:val="005D0489"/>
    <w:rsid w:val="005D138D"/>
    <w:rsid w:val="005D165C"/>
    <w:rsid w:val="005D1FEA"/>
    <w:rsid w:val="005D254E"/>
    <w:rsid w:val="005D2983"/>
    <w:rsid w:val="005D2C44"/>
    <w:rsid w:val="005D2D09"/>
    <w:rsid w:val="005D3D41"/>
    <w:rsid w:val="005D45B5"/>
    <w:rsid w:val="005D4AA0"/>
    <w:rsid w:val="005D5D5F"/>
    <w:rsid w:val="005D6909"/>
    <w:rsid w:val="005D7112"/>
    <w:rsid w:val="005D7F29"/>
    <w:rsid w:val="005E02DE"/>
    <w:rsid w:val="005E06D5"/>
    <w:rsid w:val="005E114D"/>
    <w:rsid w:val="005E1463"/>
    <w:rsid w:val="005E1D7A"/>
    <w:rsid w:val="005E28E2"/>
    <w:rsid w:val="005E2A43"/>
    <w:rsid w:val="005E2C22"/>
    <w:rsid w:val="005E2FA7"/>
    <w:rsid w:val="005E3C1C"/>
    <w:rsid w:val="005E416A"/>
    <w:rsid w:val="005E4212"/>
    <w:rsid w:val="005E4810"/>
    <w:rsid w:val="005E4EDF"/>
    <w:rsid w:val="005E5BDA"/>
    <w:rsid w:val="005E76B6"/>
    <w:rsid w:val="005E7DF5"/>
    <w:rsid w:val="005E7EB4"/>
    <w:rsid w:val="005F097C"/>
    <w:rsid w:val="005F163C"/>
    <w:rsid w:val="005F1A3C"/>
    <w:rsid w:val="005F1D1D"/>
    <w:rsid w:val="005F1FA8"/>
    <w:rsid w:val="005F2D4A"/>
    <w:rsid w:val="005F3AF7"/>
    <w:rsid w:val="005F3CDD"/>
    <w:rsid w:val="005F3EFE"/>
    <w:rsid w:val="005F4140"/>
    <w:rsid w:val="005F447B"/>
    <w:rsid w:val="005F477C"/>
    <w:rsid w:val="005F47C6"/>
    <w:rsid w:val="005F4980"/>
    <w:rsid w:val="005F50BD"/>
    <w:rsid w:val="005F581E"/>
    <w:rsid w:val="005F629B"/>
    <w:rsid w:val="005F65CD"/>
    <w:rsid w:val="005F6816"/>
    <w:rsid w:val="005F700F"/>
    <w:rsid w:val="005F797A"/>
    <w:rsid w:val="005F7C56"/>
    <w:rsid w:val="00600219"/>
    <w:rsid w:val="0060207B"/>
    <w:rsid w:val="00603ACB"/>
    <w:rsid w:val="00603DC4"/>
    <w:rsid w:val="00604634"/>
    <w:rsid w:val="00605275"/>
    <w:rsid w:val="00605381"/>
    <w:rsid w:val="006058C5"/>
    <w:rsid w:val="00605C53"/>
    <w:rsid w:val="00605DDC"/>
    <w:rsid w:val="00606A73"/>
    <w:rsid w:val="00606E2F"/>
    <w:rsid w:val="00607A71"/>
    <w:rsid w:val="00610587"/>
    <w:rsid w:val="00610709"/>
    <w:rsid w:val="00610D4A"/>
    <w:rsid w:val="006117CB"/>
    <w:rsid w:val="00612E9B"/>
    <w:rsid w:val="00613950"/>
    <w:rsid w:val="0061428F"/>
    <w:rsid w:val="00614746"/>
    <w:rsid w:val="0061495F"/>
    <w:rsid w:val="00614D98"/>
    <w:rsid w:val="00615620"/>
    <w:rsid w:val="006166C8"/>
    <w:rsid w:val="006171B6"/>
    <w:rsid w:val="006172E9"/>
    <w:rsid w:val="00617F2B"/>
    <w:rsid w:val="00620076"/>
    <w:rsid w:val="006203AB"/>
    <w:rsid w:val="006203D2"/>
    <w:rsid w:val="00620DAD"/>
    <w:rsid w:val="00621372"/>
    <w:rsid w:val="006215EB"/>
    <w:rsid w:val="006222C9"/>
    <w:rsid w:val="006222EE"/>
    <w:rsid w:val="00623026"/>
    <w:rsid w:val="006237B9"/>
    <w:rsid w:val="00624016"/>
    <w:rsid w:val="006241B5"/>
    <w:rsid w:val="0062449B"/>
    <w:rsid w:val="00624FB9"/>
    <w:rsid w:val="0062509C"/>
    <w:rsid w:val="006252CC"/>
    <w:rsid w:val="0062556C"/>
    <w:rsid w:val="00625B00"/>
    <w:rsid w:val="006272AF"/>
    <w:rsid w:val="006276AF"/>
    <w:rsid w:val="0062772A"/>
    <w:rsid w:val="00627BE6"/>
    <w:rsid w:val="006303BF"/>
    <w:rsid w:val="00630BAE"/>
    <w:rsid w:val="00632CBE"/>
    <w:rsid w:val="00633563"/>
    <w:rsid w:val="0063362F"/>
    <w:rsid w:val="00634044"/>
    <w:rsid w:val="00634080"/>
    <w:rsid w:val="00634388"/>
    <w:rsid w:val="0063450B"/>
    <w:rsid w:val="00634B23"/>
    <w:rsid w:val="00634BF0"/>
    <w:rsid w:val="00634FC8"/>
    <w:rsid w:val="006352CF"/>
    <w:rsid w:val="00635559"/>
    <w:rsid w:val="00636994"/>
    <w:rsid w:val="006372C4"/>
    <w:rsid w:val="00637D0E"/>
    <w:rsid w:val="00640161"/>
    <w:rsid w:val="00640863"/>
    <w:rsid w:val="00640B17"/>
    <w:rsid w:val="00641C97"/>
    <w:rsid w:val="00642310"/>
    <w:rsid w:val="00642E08"/>
    <w:rsid w:val="00642FB0"/>
    <w:rsid w:val="0064364C"/>
    <w:rsid w:val="0064607D"/>
    <w:rsid w:val="00646561"/>
    <w:rsid w:val="00646CE4"/>
    <w:rsid w:val="0065199F"/>
    <w:rsid w:val="00651A7D"/>
    <w:rsid w:val="00651F46"/>
    <w:rsid w:val="00652769"/>
    <w:rsid w:val="0065280C"/>
    <w:rsid w:val="00653DDD"/>
    <w:rsid w:val="00654824"/>
    <w:rsid w:val="0065542F"/>
    <w:rsid w:val="006554FF"/>
    <w:rsid w:val="00655909"/>
    <w:rsid w:val="00656DD7"/>
    <w:rsid w:val="006579A6"/>
    <w:rsid w:val="00660F78"/>
    <w:rsid w:val="006623D7"/>
    <w:rsid w:val="006624C8"/>
    <w:rsid w:val="00662A6A"/>
    <w:rsid w:val="00662C87"/>
    <w:rsid w:val="0066336A"/>
    <w:rsid w:val="006648BD"/>
    <w:rsid w:val="00664F39"/>
    <w:rsid w:val="0066508B"/>
    <w:rsid w:val="006650EA"/>
    <w:rsid w:val="00665234"/>
    <w:rsid w:val="00667A9E"/>
    <w:rsid w:val="00670177"/>
    <w:rsid w:val="00670EA1"/>
    <w:rsid w:val="00671268"/>
    <w:rsid w:val="0067129F"/>
    <w:rsid w:val="006713EE"/>
    <w:rsid w:val="006729EE"/>
    <w:rsid w:val="00673D92"/>
    <w:rsid w:val="00674302"/>
    <w:rsid w:val="006745EC"/>
    <w:rsid w:val="00674F75"/>
    <w:rsid w:val="00675DF0"/>
    <w:rsid w:val="00675E8C"/>
    <w:rsid w:val="006773D9"/>
    <w:rsid w:val="00677CC2"/>
    <w:rsid w:val="00677D5B"/>
    <w:rsid w:val="0068091A"/>
    <w:rsid w:val="00680E42"/>
    <w:rsid w:val="0068160D"/>
    <w:rsid w:val="00682E59"/>
    <w:rsid w:val="006836F6"/>
    <w:rsid w:val="00683D90"/>
    <w:rsid w:val="00685659"/>
    <w:rsid w:val="006858AC"/>
    <w:rsid w:val="00685C6B"/>
    <w:rsid w:val="00686AA2"/>
    <w:rsid w:val="00686D6B"/>
    <w:rsid w:val="0068760A"/>
    <w:rsid w:val="006905DE"/>
    <w:rsid w:val="0069175B"/>
    <w:rsid w:val="00691AB5"/>
    <w:rsid w:val="00691DEF"/>
    <w:rsid w:val="0069207B"/>
    <w:rsid w:val="00692A17"/>
    <w:rsid w:val="00692BA9"/>
    <w:rsid w:val="00693220"/>
    <w:rsid w:val="00693358"/>
    <w:rsid w:val="0069348F"/>
    <w:rsid w:val="00693CFB"/>
    <w:rsid w:val="00693F29"/>
    <w:rsid w:val="00694387"/>
    <w:rsid w:val="006944FB"/>
    <w:rsid w:val="00694F36"/>
    <w:rsid w:val="006958D3"/>
    <w:rsid w:val="0069623F"/>
    <w:rsid w:val="00696D4B"/>
    <w:rsid w:val="00696D9E"/>
    <w:rsid w:val="006973F7"/>
    <w:rsid w:val="006A0C35"/>
    <w:rsid w:val="006A0ED8"/>
    <w:rsid w:val="006A1DAA"/>
    <w:rsid w:val="006A211D"/>
    <w:rsid w:val="006A2314"/>
    <w:rsid w:val="006A2AE6"/>
    <w:rsid w:val="006A2DF8"/>
    <w:rsid w:val="006A2EDD"/>
    <w:rsid w:val="006A2F26"/>
    <w:rsid w:val="006A33AC"/>
    <w:rsid w:val="006A3B65"/>
    <w:rsid w:val="006A4863"/>
    <w:rsid w:val="006A5063"/>
    <w:rsid w:val="006A51A3"/>
    <w:rsid w:val="006A675A"/>
    <w:rsid w:val="006A6D93"/>
    <w:rsid w:val="006A72E4"/>
    <w:rsid w:val="006A742C"/>
    <w:rsid w:val="006A79FE"/>
    <w:rsid w:val="006B004B"/>
    <w:rsid w:val="006B1A15"/>
    <w:rsid w:val="006B202C"/>
    <w:rsid w:val="006B29FF"/>
    <w:rsid w:val="006B2D13"/>
    <w:rsid w:val="006B2F46"/>
    <w:rsid w:val="006B3972"/>
    <w:rsid w:val="006B3D55"/>
    <w:rsid w:val="006B45F8"/>
    <w:rsid w:val="006B4B7B"/>
    <w:rsid w:val="006B5044"/>
    <w:rsid w:val="006B5134"/>
    <w:rsid w:val="006B5259"/>
    <w:rsid w:val="006B54AB"/>
    <w:rsid w:val="006B5789"/>
    <w:rsid w:val="006B5C58"/>
    <w:rsid w:val="006B5D7E"/>
    <w:rsid w:val="006B5E5C"/>
    <w:rsid w:val="006B65BE"/>
    <w:rsid w:val="006B6A80"/>
    <w:rsid w:val="006B6ABA"/>
    <w:rsid w:val="006C06A1"/>
    <w:rsid w:val="006C093A"/>
    <w:rsid w:val="006C153D"/>
    <w:rsid w:val="006C18FE"/>
    <w:rsid w:val="006C2020"/>
    <w:rsid w:val="006C3016"/>
    <w:rsid w:val="006C30C5"/>
    <w:rsid w:val="006C41E9"/>
    <w:rsid w:val="006C48FA"/>
    <w:rsid w:val="006C5983"/>
    <w:rsid w:val="006C5E5B"/>
    <w:rsid w:val="006C5FAE"/>
    <w:rsid w:val="006C773B"/>
    <w:rsid w:val="006C7F8C"/>
    <w:rsid w:val="006D02F1"/>
    <w:rsid w:val="006D0848"/>
    <w:rsid w:val="006D0DFF"/>
    <w:rsid w:val="006D0F66"/>
    <w:rsid w:val="006D1700"/>
    <w:rsid w:val="006D23C4"/>
    <w:rsid w:val="006D23F6"/>
    <w:rsid w:val="006D2F21"/>
    <w:rsid w:val="006D3EDE"/>
    <w:rsid w:val="006D3FA6"/>
    <w:rsid w:val="006D4BE3"/>
    <w:rsid w:val="006D4C99"/>
    <w:rsid w:val="006D5486"/>
    <w:rsid w:val="006D6BB2"/>
    <w:rsid w:val="006D6DF4"/>
    <w:rsid w:val="006D6E3B"/>
    <w:rsid w:val="006D6F8D"/>
    <w:rsid w:val="006E009E"/>
    <w:rsid w:val="006E0227"/>
    <w:rsid w:val="006E0C25"/>
    <w:rsid w:val="006E0FF6"/>
    <w:rsid w:val="006E1063"/>
    <w:rsid w:val="006E19EA"/>
    <w:rsid w:val="006E1BE3"/>
    <w:rsid w:val="006E1E16"/>
    <w:rsid w:val="006E341E"/>
    <w:rsid w:val="006E4417"/>
    <w:rsid w:val="006E48B5"/>
    <w:rsid w:val="006E4A54"/>
    <w:rsid w:val="006E500F"/>
    <w:rsid w:val="006E5245"/>
    <w:rsid w:val="006E5320"/>
    <w:rsid w:val="006E5A02"/>
    <w:rsid w:val="006E6246"/>
    <w:rsid w:val="006E64BE"/>
    <w:rsid w:val="006E772C"/>
    <w:rsid w:val="006E7E5C"/>
    <w:rsid w:val="006F035F"/>
    <w:rsid w:val="006F1D06"/>
    <w:rsid w:val="006F210B"/>
    <w:rsid w:val="006F25B8"/>
    <w:rsid w:val="006F318F"/>
    <w:rsid w:val="006F34F5"/>
    <w:rsid w:val="006F3693"/>
    <w:rsid w:val="006F3708"/>
    <w:rsid w:val="006F373C"/>
    <w:rsid w:val="006F3796"/>
    <w:rsid w:val="006F3B7F"/>
    <w:rsid w:val="006F3EE0"/>
    <w:rsid w:val="006F4226"/>
    <w:rsid w:val="006F4DD8"/>
    <w:rsid w:val="006F640A"/>
    <w:rsid w:val="006F6C82"/>
    <w:rsid w:val="006F78A7"/>
    <w:rsid w:val="006F7FC0"/>
    <w:rsid w:val="0070017E"/>
    <w:rsid w:val="00700800"/>
    <w:rsid w:val="00700A29"/>
    <w:rsid w:val="00700B2C"/>
    <w:rsid w:val="00702EFD"/>
    <w:rsid w:val="0070353E"/>
    <w:rsid w:val="00704D8F"/>
    <w:rsid w:val="007050A2"/>
    <w:rsid w:val="007052ED"/>
    <w:rsid w:val="00705B35"/>
    <w:rsid w:val="007105B9"/>
    <w:rsid w:val="00710A5B"/>
    <w:rsid w:val="00710AF4"/>
    <w:rsid w:val="00713084"/>
    <w:rsid w:val="0071399B"/>
    <w:rsid w:val="007149EF"/>
    <w:rsid w:val="00714A41"/>
    <w:rsid w:val="00714F20"/>
    <w:rsid w:val="00715436"/>
    <w:rsid w:val="007155ED"/>
    <w:rsid w:val="0071590F"/>
    <w:rsid w:val="00715914"/>
    <w:rsid w:val="00716EF5"/>
    <w:rsid w:val="00717CAB"/>
    <w:rsid w:val="00717E02"/>
    <w:rsid w:val="0072088E"/>
    <w:rsid w:val="00720955"/>
    <w:rsid w:val="00720E92"/>
    <w:rsid w:val="007217D5"/>
    <w:rsid w:val="007218E4"/>
    <w:rsid w:val="00721BCE"/>
    <w:rsid w:val="00721E3D"/>
    <w:rsid w:val="0072252D"/>
    <w:rsid w:val="00722CFF"/>
    <w:rsid w:val="0072370B"/>
    <w:rsid w:val="00723BC2"/>
    <w:rsid w:val="00723C74"/>
    <w:rsid w:val="00724B68"/>
    <w:rsid w:val="00724FEA"/>
    <w:rsid w:val="0072579B"/>
    <w:rsid w:val="00725A09"/>
    <w:rsid w:val="00725D39"/>
    <w:rsid w:val="0072688F"/>
    <w:rsid w:val="0072739E"/>
    <w:rsid w:val="00727DD5"/>
    <w:rsid w:val="0073127C"/>
    <w:rsid w:val="00731C20"/>
    <w:rsid w:val="00731E00"/>
    <w:rsid w:val="007322F8"/>
    <w:rsid w:val="00732507"/>
    <w:rsid w:val="007351CA"/>
    <w:rsid w:val="00735257"/>
    <w:rsid w:val="00735F70"/>
    <w:rsid w:val="007365E7"/>
    <w:rsid w:val="00736AA7"/>
    <w:rsid w:val="00737C10"/>
    <w:rsid w:val="00740032"/>
    <w:rsid w:val="007407EA"/>
    <w:rsid w:val="00740C75"/>
    <w:rsid w:val="00741CBA"/>
    <w:rsid w:val="00741EE8"/>
    <w:rsid w:val="00741EE9"/>
    <w:rsid w:val="00741F60"/>
    <w:rsid w:val="0074203C"/>
    <w:rsid w:val="0074321A"/>
    <w:rsid w:val="0074357F"/>
    <w:rsid w:val="00743E59"/>
    <w:rsid w:val="007440B7"/>
    <w:rsid w:val="00744190"/>
    <w:rsid w:val="00745325"/>
    <w:rsid w:val="007456AE"/>
    <w:rsid w:val="00745C08"/>
    <w:rsid w:val="00745D53"/>
    <w:rsid w:val="0074718F"/>
    <w:rsid w:val="00747487"/>
    <w:rsid w:val="00747669"/>
    <w:rsid w:val="00747BC4"/>
    <w:rsid w:val="0075009B"/>
    <w:rsid w:val="007500C8"/>
    <w:rsid w:val="0075074F"/>
    <w:rsid w:val="007521D0"/>
    <w:rsid w:val="00752AD3"/>
    <w:rsid w:val="00752C80"/>
    <w:rsid w:val="0075346E"/>
    <w:rsid w:val="00753B38"/>
    <w:rsid w:val="00753C54"/>
    <w:rsid w:val="00753FF2"/>
    <w:rsid w:val="00754513"/>
    <w:rsid w:val="00754C00"/>
    <w:rsid w:val="00755069"/>
    <w:rsid w:val="00755991"/>
    <w:rsid w:val="00756272"/>
    <w:rsid w:val="00756CFD"/>
    <w:rsid w:val="0076166A"/>
    <w:rsid w:val="00761C54"/>
    <w:rsid w:val="007634A3"/>
    <w:rsid w:val="00763FC2"/>
    <w:rsid w:val="007642FB"/>
    <w:rsid w:val="007648BC"/>
    <w:rsid w:val="0076588D"/>
    <w:rsid w:val="00765AAA"/>
    <w:rsid w:val="0076601B"/>
    <w:rsid w:val="007662B5"/>
    <w:rsid w:val="0076681A"/>
    <w:rsid w:val="00766CE7"/>
    <w:rsid w:val="00766E50"/>
    <w:rsid w:val="00770111"/>
    <w:rsid w:val="00770ED3"/>
    <w:rsid w:val="00771261"/>
    <w:rsid w:val="007715C9"/>
    <w:rsid w:val="00771613"/>
    <w:rsid w:val="007718B8"/>
    <w:rsid w:val="00771AD1"/>
    <w:rsid w:val="00771FDB"/>
    <w:rsid w:val="00772B56"/>
    <w:rsid w:val="00772F62"/>
    <w:rsid w:val="007731F4"/>
    <w:rsid w:val="00773DE5"/>
    <w:rsid w:val="007741A4"/>
    <w:rsid w:val="00774EDD"/>
    <w:rsid w:val="0077506D"/>
    <w:rsid w:val="007753C6"/>
    <w:rsid w:val="007757EC"/>
    <w:rsid w:val="00775AD6"/>
    <w:rsid w:val="007761D5"/>
    <w:rsid w:val="00776294"/>
    <w:rsid w:val="00776BED"/>
    <w:rsid w:val="00777952"/>
    <w:rsid w:val="0077799E"/>
    <w:rsid w:val="00777B13"/>
    <w:rsid w:val="00781D32"/>
    <w:rsid w:val="00781F5E"/>
    <w:rsid w:val="007820C3"/>
    <w:rsid w:val="007820F4"/>
    <w:rsid w:val="007836D1"/>
    <w:rsid w:val="00783E89"/>
    <w:rsid w:val="00784060"/>
    <w:rsid w:val="007842CE"/>
    <w:rsid w:val="00784688"/>
    <w:rsid w:val="007858D4"/>
    <w:rsid w:val="00785A9E"/>
    <w:rsid w:val="00786381"/>
    <w:rsid w:val="0078649E"/>
    <w:rsid w:val="0078652F"/>
    <w:rsid w:val="00786D39"/>
    <w:rsid w:val="00787AEC"/>
    <w:rsid w:val="00787D74"/>
    <w:rsid w:val="007917BC"/>
    <w:rsid w:val="00791A5A"/>
    <w:rsid w:val="00791EC3"/>
    <w:rsid w:val="0079206A"/>
    <w:rsid w:val="007926CE"/>
    <w:rsid w:val="007926E5"/>
    <w:rsid w:val="00792BFF"/>
    <w:rsid w:val="00792C71"/>
    <w:rsid w:val="00792D2B"/>
    <w:rsid w:val="0079366C"/>
    <w:rsid w:val="00793915"/>
    <w:rsid w:val="0079488D"/>
    <w:rsid w:val="00795479"/>
    <w:rsid w:val="00795653"/>
    <w:rsid w:val="007967BD"/>
    <w:rsid w:val="00796FF3"/>
    <w:rsid w:val="007970E9"/>
    <w:rsid w:val="0079777F"/>
    <w:rsid w:val="00797C3E"/>
    <w:rsid w:val="007A09F1"/>
    <w:rsid w:val="007A1874"/>
    <w:rsid w:val="007A208A"/>
    <w:rsid w:val="007A2398"/>
    <w:rsid w:val="007A2B0F"/>
    <w:rsid w:val="007A46D3"/>
    <w:rsid w:val="007A5055"/>
    <w:rsid w:val="007A555D"/>
    <w:rsid w:val="007A5EA2"/>
    <w:rsid w:val="007A759C"/>
    <w:rsid w:val="007A7684"/>
    <w:rsid w:val="007B1FB2"/>
    <w:rsid w:val="007B2B57"/>
    <w:rsid w:val="007B2DBC"/>
    <w:rsid w:val="007B38F2"/>
    <w:rsid w:val="007B3B9A"/>
    <w:rsid w:val="007B3E04"/>
    <w:rsid w:val="007B4353"/>
    <w:rsid w:val="007B4C4F"/>
    <w:rsid w:val="007B4ECD"/>
    <w:rsid w:val="007B530A"/>
    <w:rsid w:val="007B596F"/>
    <w:rsid w:val="007B5F8D"/>
    <w:rsid w:val="007B6189"/>
    <w:rsid w:val="007B61C5"/>
    <w:rsid w:val="007B6A4B"/>
    <w:rsid w:val="007B6BC7"/>
    <w:rsid w:val="007B795E"/>
    <w:rsid w:val="007B7A7C"/>
    <w:rsid w:val="007B7E62"/>
    <w:rsid w:val="007C0086"/>
    <w:rsid w:val="007C1696"/>
    <w:rsid w:val="007C18D9"/>
    <w:rsid w:val="007C1C56"/>
    <w:rsid w:val="007C1DD8"/>
    <w:rsid w:val="007C2253"/>
    <w:rsid w:val="007C25CD"/>
    <w:rsid w:val="007C39FB"/>
    <w:rsid w:val="007C4187"/>
    <w:rsid w:val="007C43E1"/>
    <w:rsid w:val="007C50A2"/>
    <w:rsid w:val="007C578A"/>
    <w:rsid w:val="007C5821"/>
    <w:rsid w:val="007C5840"/>
    <w:rsid w:val="007C6997"/>
    <w:rsid w:val="007C7DDF"/>
    <w:rsid w:val="007D0483"/>
    <w:rsid w:val="007D051C"/>
    <w:rsid w:val="007D133A"/>
    <w:rsid w:val="007D1487"/>
    <w:rsid w:val="007D16D4"/>
    <w:rsid w:val="007D230B"/>
    <w:rsid w:val="007D2312"/>
    <w:rsid w:val="007D4A5D"/>
    <w:rsid w:val="007D4C03"/>
    <w:rsid w:val="007D4F70"/>
    <w:rsid w:val="007D52DE"/>
    <w:rsid w:val="007D58A1"/>
    <w:rsid w:val="007D6313"/>
    <w:rsid w:val="007D64DB"/>
    <w:rsid w:val="007D6C09"/>
    <w:rsid w:val="007D6C7E"/>
    <w:rsid w:val="007D74EB"/>
    <w:rsid w:val="007D7BBF"/>
    <w:rsid w:val="007E02A2"/>
    <w:rsid w:val="007E163D"/>
    <w:rsid w:val="007E2845"/>
    <w:rsid w:val="007E364B"/>
    <w:rsid w:val="007E48BA"/>
    <w:rsid w:val="007E4CCE"/>
    <w:rsid w:val="007E5EE6"/>
    <w:rsid w:val="007E6497"/>
    <w:rsid w:val="007E667A"/>
    <w:rsid w:val="007E757C"/>
    <w:rsid w:val="007E79E3"/>
    <w:rsid w:val="007E7AD8"/>
    <w:rsid w:val="007E7FC1"/>
    <w:rsid w:val="007F070F"/>
    <w:rsid w:val="007F0EEB"/>
    <w:rsid w:val="007F10C0"/>
    <w:rsid w:val="007F28C9"/>
    <w:rsid w:val="007F3013"/>
    <w:rsid w:val="007F30B7"/>
    <w:rsid w:val="007F3D9A"/>
    <w:rsid w:val="007F3EF2"/>
    <w:rsid w:val="007F436D"/>
    <w:rsid w:val="007F4C09"/>
    <w:rsid w:val="007F4C8E"/>
    <w:rsid w:val="007F4F0B"/>
    <w:rsid w:val="007F75C7"/>
    <w:rsid w:val="007F7744"/>
    <w:rsid w:val="00800144"/>
    <w:rsid w:val="00801ADD"/>
    <w:rsid w:val="0080214D"/>
    <w:rsid w:val="00802481"/>
    <w:rsid w:val="00802EE1"/>
    <w:rsid w:val="0080312D"/>
    <w:rsid w:val="008033AB"/>
    <w:rsid w:val="00803587"/>
    <w:rsid w:val="0080391F"/>
    <w:rsid w:val="0080480C"/>
    <w:rsid w:val="00804DA6"/>
    <w:rsid w:val="008052AC"/>
    <w:rsid w:val="0080575B"/>
    <w:rsid w:val="00806205"/>
    <w:rsid w:val="00806515"/>
    <w:rsid w:val="0080732F"/>
    <w:rsid w:val="00810278"/>
    <w:rsid w:val="00810411"/>
    <w:rsid w:val="00810743"/>
    <w:rsid w:val="00810E51"/>
    <w:rsid w:val="008117E9"/>
    <w:rsid w:val="00811A8F"/>
    <w:rsid w:val="00812B50"/>
    <w:rsid w:val="00813029"/>
    <w:rsid w:val="0081369C"/>
    <w:rsid w:val="008147BE"/>
    <w:rsid w:val="00814981"/>
    <w:rsid w:val="0081550D"/>
    <w:rsid w:val="00815824"/>
    <w:rsid w:val="0081636B"/>
    <w:rsid w:val="0081684D"/>
    <w:rsid w:val="0081688F"/>
    <w:rsid w:val="00816C03"/>
    <w:rsid w:val="00816E25"/>
    <w:rsid w:val="00817DBE"/>
    <w:rsid w:val="00820B8C"/>
    <w:rsid w:val="00822788"/>
    <w:rsid w:val="00822A02"/>
    <w:rsid w:val="00824498"/>
    <w:rsid w:val="0082453C"/>
    <w:rsid w:val="00824D1A"/>
    <w:rsid w:val="008257B9"/>
    <w:rsid w:val="0082631F"/>
    <w:rsid w:val="008269DA"/>
    <w:rsid w:val="00827009"/>
    <w:rsid w:val="008273C7"/>
    <w:rsid w:val="00831136"/>
    <w:rsid w:val="00832C91"/>
    <w:rsid w:val="008332EC"/>
    <w:rsid w:val="00833837"/>
    <w:rsid w:val="00833BC6"/>
    <w:rsid w:val="0083433E"/>
    <w:rsid w:val="008348E2"/>
    <w:rsid w:val="0083494E"/>
    <w:rsid w:val="00835179"/>
    <w:rsid w:val="00835277"/>
    <w:rsid w:val="008365C5"/>
    <w:rsid w:val="008369D1"/>
    <w:rsid w:val="008369F3"/>
    <w:rsid w:val="00836CA7"/>
    <w:rsid w:val="00836F2E"/>
    <w:rsid w:val="00836FAB"/>
    <w:rsid w:val="00840442"/>
    <w:rsid w:val="00840D22"/>
    <w:rsid w:val="008418A3"/>
    <w:rsid w:val="00842BDA"/>
    <w:rsid w:val="008444FA"/>
    <w:rsid w:val="0084582C"/>
    <w:rsid w:val="00845B23"/>
    <w:rsid w:val="00845BE6"/>
    <w:rsid w:val="008463D4"/>
    <w:rsid w:val="00846805"/>
    <w:rsid w:val="008479EF"/>
    <w:rsid w:val="00847A01"/>
    <w:rsid w:val="00847ECE"/>
    <w:rsid w:val="008501CF"/>
    <w:rsid w:val="0085094D"/>
    <w:rsid w:val="00852090"/>
    <w:rsid w:val="0085234A"/>
    <w:rsid w:val="008527C0"/>
    <w:rsid w:val="00854959"/>
    <w:rsid w:val="00854A26"/>
    <w:rsid w:val="00854E54"/>
    <w:rsid w:val="00854E62"/>
    <w:rsid w:val="00855183"/>
    <w:rsid w:val="00855D67"/>
    <w:rsid w:val="00856A31"/>
    <w:rsid w:val="00857028"/>
    <w:rsid w:val="00857F38"/>
    <w:rsid w:val="008600F7"/>
    <w:rsid w:val="00860611"/>
    <w:rsid w:val="00860B58"/>
    <w:rsid w:val="008611FF"/>
    <w:rsid w:val="00861227"/>
    <w:rsid w:val="00861727"/>
    <w:rsid w:val="0086198A"/>
    <w:rsid w:val="008621A6"/>
    <w:rsid w:val="00862474"/>
    <w:rsid w:val="0086276C"/>
    <w:rsid w:val="00862D0A"/>
    <w:rsid w:val="00863657"/>
    <w:rsid w:val="008647EE"/>
    <w:rsid w:val="00864BF6"/>
    <w:rsid w:val="008654A2"/>
    <w:rsid w:val="00865FA9"/>
    <w:rsid w:val="008662D0"/>
    <w:rsid w:val="00867106"/>
    <w:rsid w:val="008678CD"/>
    <w:rsid w:val="008679E9"/>
    <w:rsid w:val="00867B37"/>
    <w:rsid w:val="00870DB3"/>
    <w:rsid w:val="00871208"/>
    <w:rsid w:val="008718DD"/>
    <w:rsid w:val="00872142"/>
    <w:rsid w:val="008725E9"/>
    <w:rsid w:val="008727E6"/>
    <w:rsid w:val="00872A2A"/>
    <w:rsid w:val="008731ED"/>
    <w:rsid w:val="0087337E"/>
    <w:rsid w:val="008734F4"/>
    <w:rsid w:val="00873516"/>
    <w:rsid w:val="00873717"/>
    <w:rsid w:val="00873AFC"/>
    <w:rsid w:val="00874404"/>
    <w:rsid w:val="008754D0"/>
    <w:rsid w:val="00875983"/>
    <w:rsid w:val="00875C26"/>
    <w:rsid w:val="0087648E"/>
    <w:rsid w:val="00876D9B"/>
    <w:rsid w:val="00877310"/>
    <w:rsid w:val="008773BA"/>
    <w:rsid w:val="0087792B"/>
    <w:rsid w:val="00877CB0"/>
    <w:rsid w:val="00877E9B"/>
    <w:rsid w:val="00880078"/>
    <w:rsid w:val="0088019A"/>
    <w:rsid w:val="008812F1"/>
    <w:rsid w:val="008813C7"/>
    <w:rsid w:val="0088190A"/>
    <w:rsid w:val="00883925"/>
    <w:rsid w:val="008844EF"/>
    <w:rsid w:val="008848F7"/>
    <w:rsid w:val="00884AD3"/>
    <w:rsid w:val="00884DF4"/>
    <w:rsid w:val="008855C9"/>
    <w:rsid w:val="00885D3E"/>
    <w:rsid w:val="00886456"/>
    <w:rsid w:val="0089039F"/>
    <w:rsid w:val="008915FC"/>
    <w:rsid w:val="008916AB"/>
    <w:rsid w:val="0089174C"/>
    <w:rsid w:val="00891A98"/>
    <w:rsid w:val="00891BFD"/>
    <w:rsid w:val="00891EB8"/>
    <w:rsid w:val="00892413"/>
    <w:rsid w:val="00892737"/>
    <w:rsid w:val="00893AE6"/>
    <w:rsid w:val="00893FE8"/>
    <w:rsid w:val="008945E0"/>
    <w:rsid w:val="008949CE"/>
    <w:rsid w:val="0089527F"/>
    <w:rsid w:val="00895727"/>
    <w:rsid w:val="008967BB"/>
    <w:rsid w:val="00896940"/>
    <w:rsid w:val="00897CDD"/>
    <w:rsid w:val="008A0404"/>
    <w:rsid w:val="008A054A"/>
    <w:rsid w:val="008A05AB"/>
    <w:rsid w:val="008A0820"/>
    <w:rsid w:val="008A0B56"/>
    <w:rsid w:val="008A0F04"/>
    <w:rsid w:val="008A1441"/>
    <w:rsid w:val="008A1B41"/>
    <w:rsid w:val="008A1E92"/>
    <w:rsid w:val="008A2058"/>
    <w:rsid w:val="008A2583"/>
    <w:rsid w:val="008A26B2"/>
    <w:rsid w:val="008A27B6"/>
    <w:rsid w:val="008A362B"/>
    <w:rsid w:val="008A3723"/>
    <w:rsid w:val="008A46E1"/>
    <w:rsid w:val="008A4CF4"/>
    <w:rsid w:val="008A4F43"/>
    <w:rsid w:val="008A5341"/>
    <w:rsid w:val="008A5581"/>
    <w:rsid w:val="008A55EF"/>
    <w:rsid w:val="008A5C7D"/>
    <w:rsid w:val="008A65E6"/>
    <w:rsid w:val="008A687C"/>
    <w:rsid w:val="008A6AC7"/>
    <w:rsid w:val="008A6C33"/>
    <w:rsid w:val="008A73A4"/>
    <w:rsid w:val="008B0A18"/>
    <w:rsid w:val="008B0A21"/>
    <w:rsid w:val="008B0C8D"/>
    <w:rsid w:val="008B0DB1"/>
    <w:rsid w:val="008B11E5"/>
    <w:rsid w:val="008B1259"/>
    <w:rsid w:val="008B131C"/>
    <w:rsid w:val="008B20A2"/>
    <w:rsid w:val="008B2706"/>
    <w:rsid w:val="008B28C9"/>
    <w:rsid w:val="008B3864"/>
    <w:rsid w:val="008B52FD"/>
    <w:rsid w:val="008B59FE"/>
    <w:rsid w:val="008B5C1C"/>
    <w:rsid w:val="008B6977"/>
    <w:rsid w:val="008B7962"/>
    <w:rsid w:val="008B7AC8"/>
    <w:rsid w:val="008B7FDB"/>
    <w:rsid w:val="008C03C4"/>
    <w:rsid w:val="008C04E1"/>
    <w:rsid w:val="008C0C1B"/>
    <w:rsid w:val="008C0F29"/>
    <w:rsid w:val="008C1494"/>
    <w:rsid w:val="008C14AB"/>
    <w:rsid w:val="008C14AF"/>
    <w:rsid w:val="008C2059"/>
    <w:rsid w:val="008C20B1"/>
    <w:rsid w:val="008C2220"/>
    <w:rsid w:val="008C25C7"/>
    <w:rsid w:val="008C2EF2"/>
    <w:rsid w:val="008C35C5"/>
    <w:rsid w:val="008C3ACD"/>
    <w:rsid w:val="008C3FF8"/>
    <w:rsid w:val="008C418B"/>
    <w:rsid w:val="008C48A9"/>
    <w:rsid w:val="008C4F7A"/>
    <w:rsid w:val="008C51E1"/>
    <w:rsid w:val="008C587F"/>
    <w:rsid w:val="008C5F31"/>
    <w:rsid w:val="008D048A"/>
    <w:rsid w:val="008D085B"/>
    <w:rsid w:val="008D0DAB"/>
    <w:rsid w:val="008D0EE0"/>
    <w:rsid w:val="008D19AA"/>
    <w:rsid w:val="008D3178"/>
    <w:rsid w:val="008D3422"/>
    <w:rsid w:val="008D3E5D"/>
    <w:rsid w:val="008D3F84"/>
    <w:rsid w:val="008D42D0"/>
    <w:rsid w:val="008D4ACF"/>
    <w:rsid w:val="008D4AF9"/>
    <w:rsid w:val="008D4CF7"/>
    <w:rsid w:val="008D4DCF"/>
    <w:rsid w:val="008D56AF"/>
    <w:rsid w:val="008D6ADE"/>
    <w:rsid w:val="008D70B5"/>
    <w:rsid w:val="008D74DD"/>
    <w:rsid w:val="008D7B37"/>
    <w:rsid w:val="008E0043"/>
    <w:rsid w:val="008E014D"/>
    <w:rsid w:val="008E1A6C"/>
    <w:rsid w:val="008E3980"/>
    <w:rsid w:val="008E3A1E"/>
    <w:rsid w:val="008E4386"/>
    <w:rsid w:val="008E4BA3"/>
    <w:rsid w:val="008E566F"/>
    <w:rsid w:val="008E58CC"/>
    <w:rsid w:val="008E5C8B"/>
    <w:rsid w:val="008E6067"/>
    <w:rsid w:val="008E6244"/>
    <w:rsid w:val="008E7702"/>
    <w:rsid w:val="008E7AA8"/>
    <w:rsid w:val="008E7C4A"/>
    <w:rsid w:val="008F12E4"/>
    <w:rsid w:val="008F1638"/>
    <w:rsid w:val="008F1A0E"/>
    <w:rsid w:val="008F1EFA"/>
    <w:rsid w:val="008F3486"/>
    <w:rsid w:val="008F3A51"/>
    <w:rsid w:val="008F4E13"/>
    <w:rsid w:val="008F5079"/>
    <w:rsid w:val="008F5397"/>
    <w:rsid w:val="008F54E7"/>
    <w:rsid w:val="008F54EB"/>
    <w:rsid w:val="008F5A3E"/>
    <w:rsid w:val="008F65BD"/>
    <w:rsid w:val="008F6764"/>
    <w:rsid w:val="008F68EB"/>
    <w:rsid w:val="008F703B"/>
    <w:rsid w:val="008F76C2"/>
    <w:rsid w:val="008F7B2F"/>
    <w:rsid w:val="008F7E49"/>
    <w:rsid w:val="00900791"/>
    <w:rsid w:val="00900F19"/>
    <w:rsid w:val="009016BE"/>
    <w:rsid w:val="009017E3"/>
    <w:rsid w:val="00901A4A"/>
    <w:rsid w:val="0090241D"/>
    <w:rsid w:val="0090245A"/>
    <w:rsid w:val="00902DD0"/>
    <w:rsid w:val="009030AA"/>
    <w:rsid w:val="00903422"/>
    <w:rsid w:val="00903508"/>
    <w:rsid w:val="009039F0"/>
    <w:rsid w:val="00903DC3"/>
    <w:rsid w:val="0090413E"/>
    <w:rsid w:val="00904B0C"/>
    <w:rsid w:val="00904F6D"/>
    <w:rsid w:val="00904FA0"/>
    <w:rsid w:val="00905979"/>
    <w:rsid w:val="00905D9B"/>
    <w:rsid w:val="009065A2"/>
    <w:rsid w:val="0090778E"/>
    <w:rsid w:val="00907CCF"/>
    <w:rsid w:val="009103B9"/>
    <w:rsid w:val="00910549"/>
    <w:rsid w:val="009107C5"/>
    <w:rsid w:val="009113EF"/>
    <w:rsid w:val="009117C9"/>
    <w:rsid w:val="00911FB7"/>
    <w:rsid w:val="009129A7"/>
    <w:rsid w:val="00912A58"/>
    <w:rsid w:val="009150E6"/>
    <w:rsid w:val="009157B9"/>
    <w:rsid w:val="00915DF9"/>
    <w:rsid w:val="0091614F"/>
    <w:rsid w:val="00916558"/>
    <w:rsid w:val="00916748"/>
    <w:rsid w:val="00916F3A"/>
    <w:rsid w:val="009172C6"/>
    <w:rsid w:val="00920445"/>
    <w:rsid w:val="00921095"/>
    <w:rsid w:val="00921233"/>
    <w:rsid w:val="00921827"/>
    <w:rsid w:val="00921A0B"/>
    <w:rsid w:val="00922ABF"/>
    <w:rsid w:val="00923093"/>
    <w:rsid w:val="00923B5B"/>
    <w:rsid w:val="00924320"/>
    <w:rsid w:val="00924419"/>
    <w:rsid w:val="009248F7"/>
    <w:rsid w:val="009254C3"/>
    <w:rsid w:val="009260E8"/>
    <w:rsid w:val="0092612D"/>
    <w:rsid w:val="00926288"/>
    <w:rsid w:val="00926940"/>
    <w:rsid w:val="00926A8A"/>
    <w:rsid w:val="00926B8B"/>
    <w:rsid w:val="0092709F"/>
    <w:rsid w:val="00927522"/>
    <w:rsid w:val="00927588"/>
    <w:rsid w:val="00930A0A"/>
    <w:rsid w:val="00930CEB"/>
    <w:rsid w:val="00931474"/>
    <w:rsid w:val="00932089"/>
    <w:rsid w:val="009321F3"/>
    <w:rsid w:val="00932377"/>
    <w:rsid w:val="0093273B"/>
    <w:rsid w:val="00932E63"/>
    <w:rsid w:val="00935310"/>
    <w:rsid w:val="009358EA"/>
    <w:rsid w:val="009358FC"/>
    <w:rsid w:val="00935941"/>
    <w:rsid w:val="009367C5"/>
    <w:rsid w:val="00936B69"/>
    <w:rsid w:val="00937928"/>
    <w:rsid w:val="00937A7C"/>
    <w:rsid w:val="00941207"/>
    <w:rsid w:val="00941FEB"/>
    <w:rsid w:val="0094204B"/>
    <w:rsid w:val="00944E23"/>
    <w:rsid w:val="00945289"/>
    <w:rsid w:val="00946029"/>
    <w:rsid w:val="009460DC"/>
    <w:rsid w:val="009466EA"/>
    <w:rsid w:val="00946759"/>
    <w:rsid w:val="0094729F"/>
    <w:rsid w:val="00947B2E"/>
    <w:rsid w:val="00947CD2"/>
    <w:rsid w:val="00947D5A"/>
    <w:rsid w:val="00947FD7"/>
    <w:rsid w:val="00950ED3"/>
    <w:rsid w:val="009516B4"/>
    <w:rsid w:val="009518DC"/>
    <w:rsid w:val="00951D7B"/>
    <w:rsid w:val="009528CF"/>
    <w:rsid w:val="009532A5"/>
    <w:rsid w:val="009534F7"/>
    <w:rsid w:val="00954A1A"/>
    <w:rsid w:val="00955175"/>
    <w:rsid w:val="0095528E"/>
    <w:rsid w:val="009554D3"/>
    <w:rsid w:val="009557BC"/>
    <w:rsid w:val="00955BF3"/>
    <w:rsid w:val="009568F6"/>
    <w:rsid w:val="00956F50"/>
    <w:rsid w:val="009574D1"/>
    <w:rsid w:val="00960C09"/>
    <w:rsid w:val="00961423"/>
    <w:rsid w:val="00962030"/>
    <w:rsid w:val="009627ED"/>
    <w:rsid w:val="0096290E"/>
    <w:rsid w:val="00963BD0"/>
    <w:rsid w:val="0096441A"/>
    <w:rsid w:val="00964581"/>
    <w:rsid w:val="009650E8"/>
    <w:rsid w:val="00965E4C"/>
    <w:rsid w:val="00965EFE"/>
    <w:rsid w:val="00966E14"/>
    <w:rsid w:val="0096753E"/>
    <w:rsid w:val="009708C7"/>
    <w:rsid w:val="00970B42"/>
    <w:rsid w:val="00971674"/>
    <w:rsid w:val="00971D51"/>
    <w:rsid w:val="00971E33"/>
    <w:rsid w:val="00972E23"/>
    <w:rsid w:val="00972E3C"/>
    <w:rsid w:val="00974B92"/>
    <w:rsid w:val="00974DF7"/>
    <w:rsid w:val="00976CF6"/>
    <w:rsid w:val="009809C0"/>
    <w:rsid w:val="00981FEA"/>
    <w:rsid w:val="00982021"/>
    <w:rsid w:val="00982242"/>
    <w:rsid w:val="0098323E"/>
    <w:rsid w:val="0098583E"/>
    <w:rsid w:val="009859A6"/>
    <w:rsid w:val="009865B5"/>
    <w:rsid w:val="009868C1"/>
    <w:rsid w:val="009868E9"/>
    <w:rsid w:val="009869EA"/>
    <w:rsid w:val="009877EA"/>
    <w:rsid w:val="00990CB8"/>
    <w:rsid w:val="00990FE8"/>
    <w:rsid w:val="00991127"/>
    <w:rsid w:val="009917CE"/>
    <w:rsid w:val="00991E55"/>
    <w:rsid w:val="00992EA8"/>
    <w:rsid w:val="0099374B"/>
    <w:rsid w:val="00993A11"/>
    <w:rsid w:val="00993A25"/>
    <w:rsid w:val="009944E6"/>
    <w:rsid w:val="009946EF"/>
    <w:rsid w:val="00994BA2"/>
    <w:rsid w:val="00994CA0"/>
    <w:rsid w:val="00994D0F"/>
    <w:rsid w:val="00995674"/>
    <w:rsid w:val="0099665E"/>
    <w:rsid w:val="00997869"/>
    <w:rsid w:val="00997E6A"/>
    <w:rsid w:val="009A0526"/>
    <w:rsid w:val="009A0AC7"/>
    <w:rsid w:val="009A154F"/>
    <w:rsid w:val="009A2198"/>
    <w:rsid w:val="009A33A5"/>
    <w:rsid w:val="009A3A6F"/>
    <w:rsid w:val="009A3F74"/>
    <w:rsid w:val="009A41CC"/>
    <w:rsid w:val="009A49C9"/>
    <w:rsid w:val="009A4C13"/>
    <w:rsid w:val="009A50D7"/>
    <w:rsid w:val="009A5BB9"/>
    <w:rsid w:val="009A6D4F"/>
    <w:rsid w:val="009A7BE7"/>
    <w:rsid w:val="009B0EA9"/>
    <w:rsid w:val="009B133B"/>
    <w:rsid w:val="009B16CD"/>
    <w:rsid w:val="009B1D12"/>
    <w:rsid w:val="009B2340"/>
    <w:rsid w:val="009B59B4"/>
    <w:rsid w:val="009B5E05"/>
    <w:rsid w:val="009B6942"/>
    <w:rsid w:val="009B6A3C"/>
    <w:rsid w:val="009B7BAC"/>
    <w:rsid w:val="009B7D28"/>
    <w:rsid w:val="009C1560"/>
    <w:rsid w:val="009C159A"/>
    <w:rsid w:val="009C2621"/>
    <w:rsid w:val="009C2DD7"/>
    <w:rsid w:val="009C30FE"/>
    <w:rsid w:val="009C328D"/>
    <w:rsid w:val="009C34BE"/>
    <w:rsid w:val="009C4CF8"/>
    <w:rsid w:val="009C58E8"/>
    <w:rsid w:val="009C69DC"/>
    <w:rsid w:val="009C6A71"/>
    <w:rsid w:val="009C6BED"/>
    <w:rsid w:val="009C6D1D"/>
    <w:rsid w:val="009C7176"/>
    <w:rsid w:val="009D0CEE"/>
    <w:rsid w:val="009D1818"/>
    <w:rsid w:val="009D195A"/>
    <w:rsid w:val="009D1AA1"/>
    <w:rsid w:val="009D2A4F"/>
    <w:rsid w:val="009D3860"/>
    <w:rsid w:val="009D3BBB"/>
    <w:rsid w:val="009D3ED5"/>
    <w:rsid w:val="009D4258"/>
    <w:rsid w:val="009D47BA"/>
    <w:rsid w:val="009D48B2"/>
    <w:rsid w:val="009D5148"/>
    <w:rsid w:val="009D754A"/>
    <w:rsid w:val="009D7993"/>
    <w:rsid w:val="009D7B20"/>
    <w:rsid w:val="009E048B"/>
    <w:rsid w:val="009E0C95"/>
    <w:rsid w:val="009E23CC"/>
    <w:rsid w:val="009E3493"/>
    <w:rsid w:val="009E4539"/>
    <w:rsid w:val="009E5055"/>
    <w:rsid w:val="009E5310"/>
    <w:rsid w:val="009E5B84"/>
    <w:rsid w:val="009E5CFC"/>
    <w:rsid w:val="009E5DA7"/>
    <w:rsid w:val="009E64F2"/>
    <w:rsid w:val="009E65A1"/>
    <w:rsid w:val="009E65E7"/>
    <w:rsid w:val="009E6855"/>
    <w:rsid w:val="009E696D"/>
    <w:rsid w:val="009E71A4"/>
    <w:rsid w:val="009E75A7"/>
    <w:rsid w:val="009F0193"/>
    <w:rsid w:val="009F10A6"/>
    <w:rsid w:val="009F10F3"/>
    <w:rsid w:val="009F125D"/>
    <w:rsid w:val="009F19CF"/>
    <w:rsid w:val="009F2002"/>
    <w:rsid w:val="009F20D1"/>
    <w:rsid w:val="009F2350"/>
    <w:rsid w:val="009F266A"/>
    <w:rsid w:val="009F2D73"/>
    <w:rsid w:val="009F2EE3"/>
    <w:rsid w:val="009F32A1"/>
    <w:rsid w:val="009F38B9"/>
    <w:rsid w:val="009F40F7"/>
    <w:rsid w:val="009F40FD"/>
    <w:rsid w:val="009F441F"/>
    <w:rsid w:val="009F443F"/>
    <w:rsid w:val="009F4496"/>
    <w:rsid w:val="009F4991"/>
    <w:rsid w:val="009F5ABA"/>
    <w:rsid w:val="009F5D4B"/>
    <w:rsid w:val="009F5EDB"/>
    <w:rsid w:val="009F5F17"/>
    <w:rsid w:val="009F6510"/>
    <w:rsid w:val="009F7497"/>
    <w:rsid w:val="009F761E"/>
    <w:rsid w:val="00A0019E"/>
    <w:rsid w:val="00A00D23"/>
    <w:rsid w:val="00A01706"/>
    <w:rsid w:val="00A01E0D"/>
    <w:rsid w:val="00A0312F"/>
    <w:rsid w:val="00A03AF1"/>
    <w:rsid w:val="00A03C51"/>
    <w:rsid w:val="00A04690"/>
    <w:rsid w:val="00A05918"/>
    <w:rsid w:val="00A06B70"/>
    <w:rsid w:val="00A06E08"/>
    <w:rsid w:val="00A079CB"/>
    <w:rsid w:val="00A07E02"/>
    <w:rsid w:val="00A11989"/>
    <w:rsid w:val="00A11D54"/>
    <w:rsid w:val="00A12128"/>
    <w:rsid w:val="00A12BC2"/>
    <w:rsid w:val="00A12F48"/>
    <w:rsid w:val="00A12FA8"/>
    <w:rsid w:val="00A13690"/>
    <w:rsid w:val="00A141DB"/>
    <w:rsid w:val="00A142A3"/>
    <w:rsid w:val="00A142AD"/>
    <w:rsid w:val="00A14851"/>
    <w:rsid w:val="00A14A55"/>
    <w:rsid w:val="00A14E4E"/>
    <w:rsid w:val="00A14F6A"/>
    <w:rsid w:val="00A15490"/>
    <w:rsid w:val="00A15512"/>
    <w:rsid w:val="00A15B7C"/>
    <w:rsid w:val="00A163C8"/>
    <w:rsid w:val="00A17443"/>
    <w:rsid w:val="00A20325"/>
    <w:rsid w:val="00A20F7F"/>
    <w:rsid w:val="00A21700"/>
    <w:rsid w:val="00A21B86"/>
    <w:rsid w:val="00A2231F"/>
    <w:rsid w:val="00A229B8"/>
    <w:rsid w:val="00A22C98"/>
    <w:rsid w:val="00A231E2"/>
    <w:rsid w:val="00A2537E"/>
    <w:rsid w:val="00A26428"/>
    <w:rsid w:val="00A26AB3"/>
    <w:rsid w:val="00A26D8D"/>
    <w:rsid w:val="00A26F59"/>
    <w:rsid w:val="00A26FB9"/>
    <w:rsid w:val="00A31232"/>
    <w:rsid w:val="00A3279B"/>
    <w:rsid w:val="00A32C9E"/>
    <w:rsid w:val="00A32EC4"/>
    <w:rsid w:val="00A33606"/>
    <w:rsid w:val="00A33D55"/>
    <w:rsid w:val="00A34412"/>
    <w:rsid w:val="00A3496C"/>
    <w:rsid w:val="00A34C1E"/>
    <w:rsid w:val="00A359B9"/>
    <w:rsid w:val="00A35B94"/>
    <w:rsid w:val="00A35CBB"/>
    <w:rsid w:val="00A369CF"/>
    <w:rsid w:val="00A36BDC"/>
    <w:rsid w:val="00A375A3"/>
    <w:rsid w:val="00A40424"/>
    <w:rsid w:val="00A4214D"/>
    <w:rsid w:val="00A427BD"/>
    <w:rsid w:val="00A42A02"/>
    <w:rsid w:val="00A44C99"/>
    <w:rsid w:val="00A4691B"/>
    <w:rsid w:val="00A51594"/>
    <w:rsid w:val="00A5219B"/>
    <w:rsid w:val="00A5240C"/>
    <w:rsid w:val="00A52B0F"/>
    <w:rsid w:val="00A52DBD"/>
    <w:rsid w:val="00A52E74"/>
    <w:rsid w:val="00A52E77"/>
    <w:rsid w:val="00A54437"/>
    <w:rsid w:val="00A54445"/>
    <w:rsid w:val="00A54473"/>
    <w:rsid w:val="00A54C76"/>
    <w:rsid w:val="00A550BA"/>
    <w:rsid w:val="00A55840"/>
    <w:rsid w:val="00A55D5E"/>
    <w:rsid w:val="00A5632E"/>
    <w:rsid w:val="00A5695A"/>
    <w:rsid w:val="00A5747D"/>
    <w:rsid w:val="00A57497"/>
    <w:rsid w:val="00A57F72"/>
    <w:rsid w:val="00A605F8"/>
    <w:rsid w:val="00A61E4F"/>
    <w:rsid w:val="00A63003"/>
    <w:rsid w:val="00A633B2"/>
    <w:rsid w:val="00A6394A"/>
    <w:rsid w:val="00A6469A"/>
    <w:rsid w:val="00A64912"/>
    <w:rsid w:val="00A64B5F"/>
    <w:rsid w:val="00A64F20"/>
    <w:rsid w:val="00A6560B"/>
    <w:rsid w:val="00A65BA0"/>
    <w:rsid w:val="00A65E18"/>
    <w:rsid w:val="00A65ED5"/>
    <w:rsid w:val="00A662A3"/>
    <w:rsid w:val="00A66558"/>
    <w:rsid w:val="00A66594"/>
    <w:rsid w:val="00A66E50"/>
    <w:rsid w:val="00A67083"/>
    <w:rsid w:val="00A671B1"/>
    <w:rsid w:val="00A67BDA"/>
    <w:rsid w:val="00A67F34"/>
    <w:rsid w:val="00A7047D"/>
    <w:rsid w:val="00A70A74"/>
    <w:rsid w:val="00A70CB6"/>
    <w:rsid w:val="00A7109A"/>
    <w:rsid w:val="00A719F4"/>
    <w:rsid w:val="00A71BB2"/>
    <w:rsid w:val="00A71CCC"/>
    <w:rsid w:val="00A71E60"/>
    <w:rsid w:val="00A72B3D"/>
    <w:rsid w:val="00A7379C"/>
    <w:rsid w:val="00A73AC2"/>
    <w:rsid w:val="00A74F7A"/>
    <w:rsid w:val="00A75D02"/>
    <w:rsid w:val="00A76023"/>
    <w:rsid w:val="00A766EC"/>
    <w:rsid w:val="00A76E68"/>
    <w:rsid w:val="00A77564"/>
    <w:rsid w:val="00A77884"/>
    <w:rsid w:val="00A800EA"/>
    <w:rsid w:val="00A80145"/>
    <w:rsid w:val="00A80196"/>
    <w:rsid w:val="00A81ADF"/>
    <w:rsid w:val="00A81B4A"/>
    <w:rsid w:val="00A81C30"/>
    <w:rsid w:val="00A824BE"/>
    <w:rsid w:val="00A83B5B"/>
    <w:rsid w:val="00A83D52"/>
    <w:rsid w:val="00A8425D"/>
    <w:rsid w:val="00A8634C"/>
    <w:rsid w:val="00A878E6"/>
    <w:rsid w:val="00A9038E"/>
    <w:rsid w:val="00A90616"/>
    <w:rsid w:val="00A90793"/>
    <w:rsid w:val="00A91935"/>
    <w:rsid w:val="00A91966"/>
    <w:rsid w:val="00A919ED"/>
    <w:rsid w:val="00A919F2"/>
    <w:rsid w:val="00A91BD7"/>
    <w:rsid w:val="00A91CE8"/>
    <w:rsid w:val="00A9269E"/>
    <w:rsid w:val="00A92DCD"/>
    <w:rsid w:val="00A932A9"/>
    <w:rsid w:val="00A9442F"/>
    <w:rsid w:val="00A944F8"/>
    <w:rsid w:val="00A95916"/>
    <w:rsid w:val="00A95B62"/>
    <w:rsid w:val="00A97701"/>
    <w:rsid w:val="00A97AF1"/>
    <w:rsid w:val="00A97BB2"/>
    <w:rsid w:val="00A97CFC"/>
    <w:rsid w:val="00AA00A8"/>
    <w:rsid w:val="00AA0740"/>
    <w:rsid w:val="00AA10AD"/>
    <w:rsid w:val="00AA2A47"/>
    <w:rsid w:val="00AA2B8E"/>
    <w:rsid w:val="00AA34B4"/>
    <w:rsid w:val="00AA378B"/>
    <w:rsid w:val="00AA433C"/>
    <w:rsid w:val="00AA467A"/>
    <w:rsid w:val="00AA48B1"/>
    <w:rsid w:val="00AA4CFB"/>
    <w:rsid w:val="00AA4D2B"/>
    <w:rsid w:val="00AA54DA"/>
    <w:rsid w:val="00AA5F37"/>
    <w:rsid w:val="00AA66AC"/>
    <w:rsid w:val="00AA69A1"/>
    <w:rsid w:val="00AA6A75"/>
    <w:rsid w:val="00AA6AC7"/>
    <w:rsid w:val="00AB00BB"/>
    <w:rsid w:val="00AB0413"/>
    <w:rsid w:val="00AB1657"/>
    <w:rsid w:val="00AB1689"/>
    <w:rsid w:val="00AB1DE8"/>
    <w:rsid w:val="00AB22C4"/>
    <w:rsid w:val="00AB25E7"/>
    <w:rsid w:val="00AB3F0D"/>
    <w:rsid w:val="00AB400D"/>
    <w:rsid w:val="00AB4943"/>
    <w:rsid w:val="00AB4B6E"/>
    <w:rsid w:val="00AB5025"/>
    <w:rsid w:val="00AB564B"/>
    <w:rsid w:val="00AB5AA5"/>
    <w:rsid w:val="00AB66C2"/>
    <w:rsid w:val="00AB6740"/>
    <w:rsid w:val="00AB69D9"/>
    <w:rsid w:val="00AB7098"/>
    <w:rsid w:val="00AB72AA"/>
    <w:rsid w:val="00AB7556"/>
    <w:rsid w:val="00AC06EB"/>
    <w:rsid w:val="00AC0886"/>
    <w:rsid w:val="00AC0B8A"/>
    <w:rsid w:val="00AC1160"/>
    <w:rsid w:val="00AC163D"/>
    <w:rsid w:val="00AC1974"/>
    <w:rsid w:val="00AC19A1"/>
    <w:rsid w:val="00AC2214"/>
    <w:rsid w:val="00AC2433"/>
    <w:rsid w:val="00AC2B35"/>
    <w:rsid w:val="00AC3334"/>
    <w:rsid w:val="00AC44B4"/>
    <w:rsid w:val="00AC561C"/>
    <w:rsid w:val="00AC5976"/>
    <w:rsid w:val="00AC65B5"/>
    <w:rsid w:val="00AC78AB"/>
    <w:rsid w:val="00AC7B75"/>
    <w:rsid w:val="00AC7DA0"/>
    <w:rsid w:val="00AD02B8"/>
    <w:rsid w:val="00AD0D84"/>
    <w:rsid w:val="00AD1F73"/>
    <w:rsid w:val="00AD26F3"/>
    <w:rsid w:val="00AD275D"/>
    <w:rsid w:val="00AD28F9"/>
    <w:rsid w:val="00AD2C62"/>
    <w:rsid w:val="00AD3010"/>
    <w:rsid w:val="00AD306E"/>
    <w:rsid w:val="00AD31EF"/>
    <w:rsid w:val="00AD3746"/>
    <w:rsid w:val="00AD3B34"/>
    <w:rsid w:val="00AD3D0C"/>
    <w:rsid w:val="00AD3E3B"/>
    <w:rsid w:val="00AD3F7C"/>
    <w:rsid w:val="00AD4545"/>
    <w:rsid w:val="00AD4920"/>
    <w:rsid w:val="00AD5315"/>
    <w:rsid w:val="00AD5641"/>
    <w:rsid w:val="00AD5D6A"/>
    <w:rsid w:val="00AD5FB1"/>
    <w:rsid w:val="00AD6F30"/>
    <w:rsid w:val="00AD7889"/>
    <w:rsid w:val="00AE0018"/>
    <w:rsid w:val="00AE059C"/>
    <w:rsid w:val="00AE0901"/>
    <w:rsid w:val="00AE152B"/>
    <w:rsid w:val="00AE33F5"/>
    <w:rsid w:val="00AE3521"/>
    <w:rsid w:val="00AE3A18"/>
    <w:rsid w:val="00AE3A4D"/>
    <w:rsid w:val="00AE44A3"/>
    <w:rsid w:val="00AE5071"/>
    <w:rsid w:val="00AE5221"/>
    <w:rsid w:val="00AE59AC"/>
    <w:rsid w:val="00AE59E1"/>
    <w:rsid w:val="00AE5EC1"/>
    <w:rsid w:val="00AE7325"/>
    <w:rsid w:val="00AE73B2"/>
    <w:rsid w:val="00AE787B"/>
    <w:rsid w:val="00AE7C32"/>
    <w:rsid w:val="00AF021B"/>
    <w:rsid w:val="00AF024A"/>
    <w:rsid w:val="00AF045F"/>
    <w:rsid w:val="00AF06CF"/>
    <w:rsid w:val="00AF06DB"/>
    <w:rsid w:val="00AF07C4"/>
    <w:rsid w:val="00AF0B3F"/>
    <w:rsid w:val="00AF1E1D"/>
    <w:rsid w:val="00AF37B4"/>
    <w:rsid w:val="00AF63B4"/>
    <w:rsid w:val="00AF678D"/>
    <w:rsid w:val="00AF72E3"/>
    <w:rsid w:val="00AF7478"/>
    <w:rsid w:val="00AF7765"/>
    <w:rsid w:val="00AF7998"/>
    <w:rsid w:val="00AF7BF5"/>
    <w:rsid w:val="00B0013C"/>
    <w:rsid w:val="00B00190"/>
    <w:rsid w:val="00B00B9E"/>
    <w:rsid w:val="00B035E5"/>
    <w:rsid w:val="00B04305"/>
    <w:rsid w:val="00B05304"/>
    <w:rsid w:val="00B078D7"/>
    <w:rsid w:val="00B07CDB"/>
    <w:rsid w:val="00B07E72"/>
    <w:rsid w:val="00B10007"/>
    <w:rsid w:val="00B10D21"/>
    <w:rsid w:val="00B118F4"/>
    <w:rsid w:val="00B12699"/>
    <w:rsid w:val="00B127A6"/>
    <w:rsid w:val="00B12A05"/>
    <w:rsid w:val="00B12E56"/>
    <w:rsid w:val="00B14078"/>
    <w:rsid w:val="00B14243"/>
    <w:rsid w:val="00B14369"/>
    <w:rsid w:val="00B14BB3"/>
    <w:rsid w:val="00B16A31"/>
    <w:rsid w:val="00B16C79"/>
    <w:rsid w:val="00B1721C"/>
    <w:rsid w:val="00B17565"/>
    <w:rsid w:val="00B17DFD"/>
    <w:rsid w:val="00B20661"/>
    <w:rsid w:val="00B215BF"/>
    <w:rsid w:val="00B2286D"/>
    <w:rsid w:val="00B24F1A"/>
    <w:rsid w:val="00B25174"/>
    <w:rsid w:val="00B25560"/>
    <w:rsid w:val="00B25E02"/>
    <w:rsid w:val="00B264D3"/>
    <w:rsid w:val="00B26ACE"/>
    <w:rsid w:val="00B271F2"/>
    <w:rsid w:val="00B27290"/>
    <w:rsid w:val="00B2799D"/>
    <w:rsid w:val="00B308FE"/>
    <w:rsid w:val="00B31558"/>
    <w:rsid w:val="00B31F48"/>
    <w:rsid w:val="00B3202E"/>
    <w:rsid w:val="00B32260"/>
    <w:rsid w:val="00B32BE1"/>
    <w:rsid w:val="00B32ED2"/>
    <w:rsid w:val="00B334B0"/>
    <w:rsid w:val="00B33553"/>
    <w:rsid w:val="00B33709"/>
    <w:rsid w:val="00B33B3C"/>
    <w:rsid w:val="00B33BD1"/>
    <w:rsid w:val="00B34BE6"/>
    <w:rsid w:val="00B35638"/>
    <w:rsid w:val="00B35D56"/>
    <w:rsid w:val="00B35D7C"/>
    <w:rsid w:val="00B3658C"/>
    <w:rsid w:val="00B405C6"/>
    <w:rsid w:val="00B40E49"/>
    <w:rsid w:val="00B4116C"/>
    <w:rsid w:val="00B415B7"/>
    <w:rsid w:val="00B416E2"/>
    <w:rsid w:val="00B41703"/>
    <w:rsid w:val="00B41E61"/>
    <w:rsid w:val="00B424DC"/>
    <w:rsid w:val="00B4459F"/>
    <w:rsid w:val="00B44898"/>
    <w:rsid w:val="00B44AF2"/>
    <w:rsid w:val="00B473CD"/>
    <w:rsid w:val="00B477B0"/>
    <w:rsid w:val="00B47F70"/>
    <w:rsid w:val="00B50352"/>
    <w:rsid w:val="00B50728"/>
    <w:rsid w:val="00B50ADC"/>
    <w:rsid w:val="00B50E60"/>
    <w:rsid w:val="00B50F09"/>
    <w:rsid w:val="00B51418"/>
    <w:rsid w:val="00B5156D"/>
    <w:rsid w:val="00B51D31"/>
    <w:rsid w:val="00B52671"/>
    <w:rsid w:val="00B53346"/>
    <w:rsid w:val="00B5383F"/>
    <w:rsid w:val="00B53D8B"/>
    <w:rsid w:val="00B53EA7"/>
    <w:rsid w:val="00B53EA8"/>
    <w:rsid w:val="00B542DA"/>
    <w:rsid w:val="00B5466C"/>
    <w:rsid w:val="00B54DA1"/>
    <w:rsid w:val="00B55D30"/>
    <w:rsid w:val="00B55F9C"/>
    <w:rsid w:val="00B5639D"/>
    <w:rsid w:val="00B5661C"/>
    <w:rsid w:val="00B566B1"/>
    <w:rsid w:val="00B567B9"/>
    <w:rsid w:val="00B56CED"/>
    <w:rsid w:val="00B577C8"/>
    <w:rsid w:val="00B57E74"/>
    <w:rsid w:val="00B57F9E"/>
    <w:rsid w:val="00B605B5"/>
    <w:rsid w:val="00B606E2"/>
    <w:rsid w:val="00B60817"/>
    <w:rsid w:val="00B60D49"/>
    <w:rsid w:val="00B60F89"/>
    <w:rsid w:val="00B62F44"/>
    <w:rsid w:val="00B63834"/>
    <w:rsid w:val="00B6502F"/>
    <w:rsid w:val="00B65444"/>
    <w:rsid w:val="00B65E1C"/>
    <w:rsid w:val="00B66008"/>
    <w:rsid w:val="00B70012"/>
    <w:rsid w:val="00B70993"/>
    <w:rsid w:val="00B72734"/>
    <w:rsid w:val="00B73011"/>
    <w:rsid w:val="00B7325F"/>
    <w:rsid w:val="00B73C18"/>
    <w:rsid w:val="00B74069"/>
    <w:rsid w:val="00B7467F"/>
    <w:rsid w:val="00B74D90"/>
    <w:rsid w:val="00B76416"/>
    <w:rsid w:val="00B76861"/>
    <w:rsid w:val="00B773F8"/>
    <w:rsid w:val="00B776D3"/>
    <w:rsid w:val="00B80199"/>
    <w:rsid w:val="00B80FAE"/>
    <w:rsid w:val="00B82D81"/>
    <w:rsid w:val="00B83204"/>
    <w:rsid w:val="00B8415F"/>
    <w:rsid w:val="00B853F7"/>
    <w:rsid w:val="00B86099"/>
    <w:rsid w:val="00B866EE"/>
    <w:rsid w:val="00B86BAC"/>
    <w:rsid w:val="00B86E70"/>
    <w:rsid w:val="00B87D19"/>
    <w:rsid w:val="00B9061F"/>
    <w:rsid w:val="00B9126E"/>
    <w:rsid w:val="00B923C2"/>
    <w:rsid w:val="00B92508"/>
    <w:rsid w:val="00B92D5A"/>
    <w:rsid w:val="00B92F89"/>
    <w:rsid w:val="00B93110"/>
    <w:rsid w:val="00B94206"/>
    <w:rsid w:val="00B942D1"/>
    <w:rsid w:val="00B950C0"/>
    <w:rsid w:val="00B963D1"/>
    <w:rsid w:val="00B96522"/>
    <w:rsid w:val="00BA064B"/>
    <w:rsid w:val="00BA0E9F"/>
    <w:rsid w:val="00BA171E"/>
    <w:rsid w:val="00BA1DB0"/>
    <w:rsid w:val="00BA220B"/>
    <w:rsid w:val="00BA29E6"/>
    <w:rsid w:val="00BA3A57"/>
    <w:rsid w:val="00BA3C8A"/>
    <w:rsid w:val="00BA46F3"/>
    <w:rsid w:val="00BA487F"/>
    <w:rsid w:val="00BA5BE6"/>
    <w:rsid w:val="00BA667B"/>
    <w:rsid w:val="00BA69C1"/>
    <w:rsid w:val="00BA7295"/>
    <w:rsid w:val="00BA72C0"/>
    <w:rsid w:val="00BA7D3E"/>
    <w:rsid w:val="00BB0BA2"/>
    <w:rsid w:val="00BB1DD0"/>
    <w:rsid w:val="00BB2DE2"/>
    <w:rsid w:val="00BB31F0"/>
    <w:rsid w:val="00BB3276"/>
    <w:rsid w:val="00BB336B"/>
    <w:rsid w:val="00BB3B0E"/>
    <w:rsid w:val="00BB420B"/>
    <w:rsid w:val="00BB470A"/>
    <w:rsid w:val="00BB4E1A"/>
    <w:rsid w:val="00BB4FF4"/>
    <w:rsid w:val="00BB523A"/>
    <w:rsid w:val="00BB5C17"/>
    <w:rsid w:val="00BB6821"/>
    <w:rsid w:val="00BB68D9"/>
    <w:rsid w:val="00BC015E"/>
    <w:rsid w:val="00BC0DA6"/>
    <w:rsid w:val="00BC1104"/>
    <w:rsid w:val="00BC144A"/>
    <w:rsid w:val="00BC24F0"/>
    <w:rsid w:val="00BC2CA4"/>
    <w:rsid w:val="00BC2D85"/>
    <w:rsid w:val="00BC3317"/>
    <w:rsid w:val="00BC35A2"/>
    <w:rsid w:val="00BC3AA3"/>
    <w:rsid w:val="00BC4511"/>
    <w:rsid w:val="00BC49CE"/>
    <w:rsid w:val="00BC566D"/>
    <w:rsid w:val="00BC5832"/>
    <w:rsid w:val="00BC5A32"/>
    <w:rsid w:val="00BC5B74"/>
    <w:rsid w:val="00BC614E"/>
    <w:rsid w:val="00BC7152"/>
    <w:rsid w:val="00BC7183"/>
    <w:rsid w:val="00BC76AC"/>
    <w:rsid w:val="00BC7A50"/>
    <w:rsid w:val="00BD0251"/>
    <w:rsid w:val="00BD0A73"/>
    <w:rsid w:val="00BD0E7E"/>
    <w:rsid w:val="00BD0ECB"/>
    <w:rsid w:val="00BD0F74"/>
    <w:rsid w:val="00BD139A"/>
    <w:rsid w:val="00BD1685"/>
    <w:rsid w:val="00BD176F"/>
    <w:rsid w:val="00BD3AFB"/>
    <w:rsid w:val="00BD5891"/>
    <w:rsid w:val="00BD5A85"/>
    <w:rsid w:val="00BD5F01"/>
    <w:rsid w:val="00BD6A9C"/>
    <w:rsid w:val="00BE0C03"/>
    <w:rsid w:val="00BE11BD"/>
    <w:rsid w:val="00BE2155"/>
    <w:rsid w:val="00BE2213"/>
    <w:rsid w:val="00BE2FFA"/>
    <w:rsid w:val="00BE3BE6"/>
    <w:rsid w:val="00BE3BF2"/>
    <w:rsid w:val="00BE3D06"/>
    <w:rsid w:val="00BE50F8"/>
    <w:rsid w:val="00BE5C10"/>
    <w:rsid w:val="00BE6EF9"/>
    <w:rsid w:val="00BE6F6D"/>
    <w:rsid w:val="00BE6F9D"/>
    <w:rsid w:val="00BE6FB5"/>
    <w:rsid w:val="00BE719A"/>
    <w:rsid w:val="00BE720A"/>
    <w:rsid w:val="00BE7DEF"/>
    <w:rsid w:val="00BF0D73"/>
    <w:rsid w:val="00BF193E"/>
    <w:rsid w:val="00BF1F31"/>
    <w:rsid w:val="00BF2465"/>
    <w:rsid w:val="00BF29BE"/>
    <w:rsid w:val="00BF2CBD"/>
    <w:rsid w:val="00BF32EB"/>
    <w:rsid w:val="00BF3845"/>
    <w:rsid w:val="00BF52EB"/>
    <w:rsid w:val="00BF5D99"/>
    <w:rsid w:val="00BF6476"/>
    <w:rsid w:val="00BF6D04"/>
    <w:rsid w:val="00BF75C9"/>
    <w:rsid w:val="00BF7A3C"/>
    <w:rsid w:val="00BF7B5A"/>
    <w:rsid w:val="00BF7D69"/>
    <w:rsid w:val="00C008F5"/>
    <w:rsid w:val="00C00965"/>
    <w:rsid w:val="00C016AD"/>
    <w:rsid w:val="00C01C25"/>
    <w:rsid w:val="00C01E60"/>
    <w:rsid w:val="00C03512"/>
    <w:rsid w:val="00C036A1"/>
    <w:rsid w:val="00C03A48"/>
    <w:rsid w:val="00C03C2C"/>
    <w:rsid w:val="00C04300"/>
    <w:rsid w:val="00C04781"/>
    <w:rsid w:val="00C048E1"/>
    <w:rsid w:val="00C04C7D"/>
    <w:rsid w:val="00C0544A"/>
    <w:rsid w:val="00C06248"/>
    <w:rsid w:val="00C07837"/>
    <w:rsid w:val="00C07E2A"/>
    <w:rsid w:val="00C10051"/>
    <w:rsid w:val="00C10256"/>
    <w:rsid w:val="00C111E8"/>
    <w:rsid w:val="00C11452"/>
    <w:rsid w:val="00C11B77"/>
    <w:rsid w:val="00C12136"/>
    <w:rsid w:val="00C12155"/>
    <w:rsid w:val="00C13D8D"/>
    <w:rsid w:val="00C14654"/>
    <w:rsid w:val="00C1492B"/>
    <w:rsid w:val="00C16656"/>
    <w:rsid w:val="00C16BA6"/>
    <w:rsid w:val="00C16D80"/>
    <w:rsid w:val="00C17176"/>
    <w:rsid w:val="00C17440"/>
    <w:rsid w:val="00C17457"/>
    <w:rsid w:val="00C1746A"/>
    <w:rsid w:val="00C20143"/>
    <w:rsid w:val="00C20486"/>
    <w:rsid w:val="00C21456"/>
    <w:rsid w:val="00C21B7F"/>
    <w:rsid w:val="00C2211B"/>
    <w:rsid w:val="00C22FCF"/>
    <w:rsid w:val="00C232D1"/>
    <w:rsid w:val="00C23702"/>
    <w:rsid w:val="00C2388E"/>
    <w:rsid w:val="00C249C4"/>
    <w:rsid w:val="00C24BA4"/>
    <w:rsid w:val="00C24D8E"/>
    <w:rsid w:val="00C24E39"/>
    <w:rsid w:val="00C24E71"/>
    <w:rsid w:val="00C25CC9"/>
    <w:rsid w:val="00C25E7F"/>
    <w:rsid w:val="00C27264"/>
    <w:rsid w:val="00C2746F"/>
    <w:rsid w:val="00C276F2"/>
    <w:rsid w:val="00C278FD"/>
    <w:rsid w:val="00C30187"/>
    <w:rsid w:val="00C3097F"/>
    <w:rsid w:val="00C324A0"/>
    <w:rsid w:val="00C32BEE"/>
    <w:rsid w:val="00C3300F"/>
    <w:rsid w:val="00C33679"/>
    <w:rsid w:val="00C33D4A"/>
    <w:rsid w:val="00C34648"/>
    <w:rsid w:val="00C347BF"/>
    <w:rsid w:val="00C348CC"/>
    <w:rsid w:val="00C34E77"/>
    <w:rsid w:val="00C34F66"/>
    <w:rsid w:val="00C355C4"/>
    <w:rsid w:val="00C35875"/>
    <w:rsid w:val="00C35DAF"/>
    <w:rsid w:val="00C36388"/>
    <w:rsid w:val="00C36492"/>
    <w:rsid w:val="00C3745D"/>
    <w:rsid w:val="00C40129"/>
    <w:rsid w:val="00C403B6"/>
    <w:rsid w:val="00C403DF"/>
    <w:rsid w:val="00C4170B"/>
    <w:rsid w:val="00C41F04"/>
    <w:rsid w:val="00C420AA"/>
    <w:rsid w:val="00C42BF8"/>
    <w:rsid w:val="00C42C0F"/>
    <w:rsid w:val="00C43093"/>
    <w:rsid w:val="00C44DE4"/>
    <w:rsid w:val="00C44E03"/>
    <w:rsid w:val="00C45171"/>
    <w:rsid w:val="00C463E8"/>
    <w:rsid w:val="00C4647C"/>
    <w:rsid w:val="00C46563"/>
    <w:rsid w:val="00C46841"/>
    <w:rsid w:val="00C46BAC"/>
    <w:rsid w:val="00C46C29"/>
    <w:rsid w:val="00C46E28"/>
    <w:rsid w:val="00C50043"/>
    <w:rsid w:val="00C50261"/>
    <w:rsid w:val="00C5030B"/>
    <w:rsid w:val="00C50B97"/>
    <w:rsid w:val="00C50D5A"/>
    <w:rsid w:val="00C5111E"/>
    <w:rsid w:val="00C52B19"/>
    <w:rsid w:val="00C52E7C"/>
    <w:rsid w:val="00C53948"/>
    <w:rsid w:val="00C53DEA"/>
    <w:rsid w:val="00C545DD"/>
    <w:rsid w:val="00C6175B"/>
    <w:rsid w:val="00C6267D"/>
    <w:rsid w:val="00C62C95"/>
    <w:rsid w:val="00C62D26"/>
    <w:rsid w:val="00C6377D"/>
    <w:rsid w:val="00C640CE"/>
    <w:rsid w:val="00C6434E"/>
    <w:rsid w:val="00C6511B"/>
    <w:rsid w:val="00C662C9"/>
    <w:rsid w:val="00C668F7"/>
    <w:rsid w:val="00C66F29"/>
    <w:rsid w:val="00C67ABF"/>
    <w:rsid w:val="00C70187"/>
    <w:rsid w:val="00C7023C"/>
    <w:rsid w:val="00C70670"/>
    <w:rsid w:val="00C70CA8"/>
    <w:rsid w:val="00C70E50"/>
    <w:rsid w:val="00C70FD3"/>
    <w:rsid w:val="00C717B8"/>
    <w:rsid w:val="00C719F2"/>
    <w:rsid w:val="00C72596"/>
    <w:rsid w:val="00C72952"/>
    <w:rsid w:val="00C72A51"/>
    <w:rsid w:val="00C72FB6"/>
    <w:rsid w:val="00C73925"/>
    <w:rsid w:val="00C74736"/>
    <w:rsid w:val="00C7573B"/>
    <w:rsid w:val="00C762D4"/>
    <w:rsid w:val="00C763E2"/>
    <w:rsid w:val="00C76545"/>
    <w:rsid w:val="00C7728F"/>
    <w:rsid w:val="00C774BB"/>
    <w:rsid w:val="00C7761F"/>
    <w:rsid w:val="00C7765E"/>
    <w:rsid w:val="00C77BE0"/>
    <w:rsid w:val="00C8041C"/>
    <w:rsid w:val="00C80560"/>
    <w:rsid w:val="00C807C7"/>
    <w:rsid w:val="00C80EA2"/>
    <w:rsid w:val="00C80EF5"/>
    <w:rsid w:val="00C81754"/>
    <w:rsid w:val="00C81F59"/>
    <w:rsid w:val="00C824C8"/>
    <w:rsid w:val="00C82FA8"/>
    <w:rsid w:val="00C8313E"/>
    <w:rsid w:val="00C83F3A"/>
    <w:rsid w:val="00C84031"/>
    <w:rsid w:val="00C84B75"/>
    <w:rsid w:val="00C84EE1"/>
    <w:rsid w:val="00C852F5"/>
    <w:rsid w:val="00C854C8"/>
    <w:rsid w:val="00C86840"/>
    <w:rsid w:val="00C86B32"/>
    <w:rsid w:val="00C878A7"/>
    <w:rsid w:val="00C9015E"/>
    <w:rsid w:val="00C9052C"/>
    <w:rsid w:val="00C9253C"/>
    <w:rsid w:val="00C92D68"/>
    <w:rsid w:val="00C93C03"/>
    <w:rsid w:val="00C940A4"/>
    <w:rsid w:val="00C94433"/>
    <w:rsid w:val="00C94B07"/>
    <w:rsid w:val="00C9685E"/>
    <w:rsid w:val="00C968CE"/>
    <w:rsid w:val="00C97971"/>
    <w:rsid w:val="00CA0431"/>
    <w:rsid w:val="00CA0B70"/>
    <w:rsid w:val="00CA1036"/>
    <w:rsid w:val="00CA1183"/>
    <w:rsid w:val="00CA11CC"/>
    <w:rsid w:val="00CA232F"/>
    <w:rsid w:val="00CA23D0"/>
    <w:rsid w:val="00CA2B05"/>
    <w:rsid w:val="00CA2E40"/>
    <w:rsid w:val="00CA3D72"/>
    <w:rsid w:val="00CA40B3"/>
    <w:rsid w:val="00CA581C"/>
    <w:rsid w:val="00CA5BA6"/>
    <w:rsid w:val="00CA5FB3"/>
    <w:rsid w:val="00CA66DC"/>
    <w:rsid w:val="00CA7172"/>
    <w:rsid w:val="00CA72D6"/>
    <w:rsid w:val="00CA73D8"/>
    <w:rsid w:val="00CA7656"/>
    <w:rsid w:val="00CA79DE"/>
    <w:rsid w:val="00CB0412"/>
    <w:rsid w:val="00CB0446"/>
    <w:rsid w:val="00CB0AFA"/>
    <w:rsid w:val="00CB1844"/>
    <w:rsid w:val="00CB1948"/>
    <w:rsid w:val="00CB217E"/>
    <w:rsid w:val="00CB258E"/>
    <w:rsid w:val="00CB2C8E"/>
    <w:rsid w:val="00CB2D96"/>
    <w:rsid w:val="00CB3032"/>
    <w:rsid w:val="00CB3D5E"/>
    <w:rsid w:val="00CB3F5D"/>
    <w:rsid w:val="00CB602E"/>
    <w:rsid w:val="00CB75E3"/>
    <w:rsid w:val="00CB7CC1"/>
    <w:rsid w:val="00CB7D40"/>
    <w:rsid w:val="00CB7FF8"/>
    <w:rsid w:val="00CC1B8A"/>
    <w:rsid w:val="00CC1C65"/>
    <w:rsid w:val="00CC2057"/>
    <w:rsid w:val="00CC2D9D"/>
    <w:rsid w:val="00CC32EB"/>
    <w:rsid w:val="00CC4493"/>
    <w:rsid w:val="00CC641C"/>
    <w:rsid w:val="00CC77AD"/>
    <w:rsid w:val="00CD149C"/>
    <w:rsid w:val="00CD14A9"/>
    <w:rsid w:val="00CD196D"/>
    <w:rsid w:val="00CD29B2"/>
    <w:rsid w:val="00CD2E90"/>
    <w:rsid w:val="00CD3B61"/>
    <w:rsid w:val="00CD4B63"/>
    <w:rsid w:val="00CD508B"/>
    <w:rsid w:val="00CD5E5A"/>
    <w:rsid w:val="00CD6226"/>
    <w:rsid w:val="00CD673B"/>
    <w:rsid w:val="00CD6E59"/>
    <w:rsid w:val="00CD7955"/>
    <w:rsid w:val="00CD7C1F"/>
    <w:rsid w:val="00CE00BC"/>
    <w:rsid w:val="00CE0149"/>
    <w:rsid w:val="00CE051D"/>
    <w:rsid w:val="00CE0F2F"/>
    <w:rsid w:val="00CE0F3B"/>
    <w:rsid w:val="00CE1335"/>
    <w:rsid w:val="00CE1F0A"/>
    <w:rsid w:val="00CE2C1E"/>
    <w:rsid w:val="00CE2DA3"/>
    <w:rsid w:val="00CE3998"/>
    <w:rsid w:val="00CE3D2A"/>
    <w:rsid w:val="00CE493D"/>
    <w:rsid w:val="00CE4EDC"/>
    <w:rsid w:val="00CE541A"/>
    <w:rsid w:val="00CE66E5"/>
    <w:rsid w:val="00CE6D42"/>
    <w:rsid w:val="00CE7137"/>
    <w:rsid w:val="00CE7149"/>
    <w:rsid w:val="00CF07FA"/>
    <w:rsid w:val="00CF0BB2"/>
    <w:rsid w:val="00CF0E68"/>
    <w:rsid w:val="00CF0F0B"/>
    <w:rsid w:val="00CF0F7B"/>
    <w:rsid w:val="00CF1BAF"/>
    <w:rsid w:val="00CF1F6C"/>
    <w:rsid w:val="00CF22A0"/>
    <w:rsid w:val="00CF238B"/>
    <w:rsid w:val="00CF3957"/>
    <w:rsid w:val="00CF3A24"/>
    <w:rsid w:val="00CF3EE8"/>
    <w:rsid w:val="00CF41CD"/>
    <w:rsid w:val="00CF4314"/>
    <w:rsid w:val="00CF5313"/>
    <w:rsid w:val="00CF55C6"/>
    <w:rsid w:val="00CF5707"/>
    <w:rsid w:val="00CF621C"/>
    <w:rsid w:val="00CF708E"/>
    <w:rsid w:val="00CF785A"/>
    <w:rsid w:val="00CF7CB7"/>
    <w:rsid w:val="00D0015F"/>
    <w:rsid w:val="00D01B0B"/>
    <w:rsid w:val="00D01F66"/>
    <w:rsid w:val="00D02127"/>
    <w:rsid w:val="00D02532"/>
    <w:rsid w:val="00D0267F"/>
    <w:rsid w:val="00D02932"/>
    <w:rsid w:val="00D03791"/>
    <w:rsid w:val="00D039CF"/>
    <w:rsid w:val="00D03FC0"/>
    <w:rsid w:val="00D0417F"/>
    <w:rsid w:val="00D050E6"/>
    <w:rsid w:val="00D0523F"/>
    <w:rsid w:val="00D05392"/>
    <w:rsid w:val="00D05812"/>
    <w:rsid w:val="00D05CE9"/>
    <w:rsid w:val="00D05F50"/>
    <w:rsid w:val="00D06887"/>
    <w:rsid w:val="00D10760"/>
    <w:rsid w:val="00D10AE6"/>
    <w:rsid w:val="00D10EEC"/>
    <w:rsid w:val="00D11FD4"/>
    <w:rsid w:val="00D128B6"/>
    <w:rsid w:val="00D12D22"/>
    <w:rsid w:val="00D12E0E"/>
    <w:rsid w:val="00D1332D"/>
    <w:rsid w:val="00D13430"/>
    <w:rsid w:val="00D13441"/>
    <w:rsid w:val="00D14639"/>
    <w:rsid w:val="00D150E7"/>
    <w:rsid w:val="00D152D2"/>
    <w:rsid w:val="00D15E2F"/>
    <w:rsid w:val="00D15EB5"/>
    <w:rsid w:val="00D16570"/>
    <w:rsid w:val="00D16DA0"/>
    <w:rsid w:val="00D1782E"/>
    <w:rsid w:val="00D20984"/>
    <w:rsid w:val="00D20A4B"/>
    <w:rsid w:val="00D22823"/>
    <w:rsid w:val="00D22CFC"/>
    <w:rsid w:val="00D2342D"/>
    <w:rsid w:val="00D24711"/>
    <w:rsid w:val="00D25426"/>
    <w:rsid w:val="00D2545C"/>
    <w:rsid w:val="00D26E75"/>
    <w:rsid w:val="00D306F8"/>
    <w:rsid w:val="00D309F3"/>
    <w:rsid w:val="00D32C98"/>
    <w:rsid w:val="00D32D5F"/>
    <w:rsid w:val="00D32F65"/>
    <w:rsid w:val="00D341C4"/>
    <w:rsid w:val="00D349D8"/>
    <w:rsid w:val="00D357FA"/>
    <w:rsid w:val="00D36F5E"/>
    <w:rsid w:val="00D40958"/>
    <w:rsid w:val="00D417B1"/>
    <w:rsid w:val="00D418C2"/>
    <w:rsid w:val="00D420D9"/>
    <w:rsid w:val="00D42157"/>
    <w:rsid w:val="00D42428"/>
    <w:rsid w:val="00D426C8"/>
    <w:rsid w:val="00D42769"/>
    <w:rsid w:val="00D42AD4"/>
    <w:rsid w:val="00D430F4"/>
    <w:rsid w:val="00D43409"/>
    <w:rsid w:val="00D4374C"/>
    <w:rsid w:val="00D437D9"/>
    <w:rsid w:val="00D44150"/>
    <w:rsid w:val="00D4432C"/>
    <w:rsid w:val="00D447D1"/>
    <w:rsid w:val="00D44B48"/>
    <w:rsid w:val="00D46876"/>
    <w:rsid w:val="00D47142"/>
    <w:rsid w:val="00D477E8"/>
    <w:rsid w:val="00D50578"/>
    <w:rsid w:val="00D5130A"/>
    <w:rsid w:val="00D515CC"/>
    <w:rsid w:val="00D51937"/>
    <w:rsid w:val="00D52D56"/>
    <w:rsid w:val="00D52DC2"/>
    <w:rsid w:val="00D53BCC"/>
    <w:rsid w:val="00D56253"/>
    <w:rsid w:val="00D56520"/>
    <w:rsid w:val="00D56765"/>
    <w:rsid w:val="00D5679B"/>
    <w:rsid w:val="00D56DF5"/>
    <w:rsid w:val="00D57218"/>
    <w:rsid w:val="00D5740C"/>
    <w:rsid w:val="00D57FE8"/>
    <w:rsid w:val="00D609D9"/>
    <w:rsid w:val="00D60D39"/>
    <w:rsid w:val="00D610BD"/>
    <w:rsid w:val="00D62221"/>
    <w:rsid w:val="00D62FBA"/>
    <w:rsid w:val="00D6300F"/>
    <w:rsid w:val="00D63F01"/>
    <w:rsid w:val="00D6412B"/>
    <w:rsid w:val="00D648BB"/>
    <w:rsid w:val="00D65046"/>
    <w:rsid w:val="00D66406"/>
    <w:rsid w:val="00D670CE"/>
    <w:rsid w:val="00D6750D"/>
    <w:rsid w:val="00D67E84"/>
    <w:rsid w:val="00D702DE"/>
    <w:rsid w:val="00D70DFB"/>
    <w:rsid w:val="00D70E47"/>
    <w:rsid w:val="00D7181A"/>
    <w:rsid w:val="00D721A9"/>
    <w:rsid w:val="00D73263"/>
    <w:rsid w:val="00D732EC"/>
    <w:rsid w:val="00D73C22"/>
    <w:rsid w:val="00D73CE3"/>
    <w:rsid w:val="00D74175"/>
    <w:rsid w:val="00D74BFF"/>
    <w:rsid w:val="00D74C99"/>
    <w:rsid w:val="00D7563F"/>
    <w:rsid w:val="00D75BB5"/>
    <w:rsid w:val="00D766DF"/>
    <w:rsid w:val="00D76C89"/>
    <w:rsid w:val="00D810B2"/>
    <w:rsid w:val="00D8176F"/>
    <w:rsid w:val="00D824A1"/>
    <w:rsid w:val="00D82990"/>
    <w:rsid w:val="00D82E9D"/>
    <w:rsid w:val="00D834A0"/>
    <w:rsid w:val="00D83557"/>
    <w:rsid w:val="00D83DD0"/>
    <w:rsid w:val="00D84018"/>
    <w:rsid w:val="00D84897"/>
    <w:rsid w:val="00D85BA2"/>
    <w:rsid w:val="00D86286"/>
    <w:rsid w:val="00D864A0"/>
    <w:rsid w:val="00D86E02"/>
    <w:rsid w:val="00D87562"/>
    <w:rsid w:val="00D91D72"/>
    <w:rsid w:val="00D92335"/>
    <w:rsid w:val="00D92448"/>
    <w:rsid w:val="00D925C1"/>
    <w:rsid w:val="00D9297E"/>
    <w:rsid w:val="00D93F26"/>
    <w:rsid w:val="00D969D9"/>
    <w:rsid w:val="00D96EF3"/>
    <w:rsid w:val="00D976ED"/>
    <w:rsid w:val="00DA15DA"/>
    <w:rsid w:val="00DA186E"/>
    <w:rsid w:val="00DA1904"/>
    <w:rsid w:val="00DA23F2"/>
    <w:rsid w:val="00DA2483"/>
    <w:rsid w:val="00DA3004"/>
    <w:rsid w:val="00DA3FFB"/>
    <w:rsid w:val="00DA4085"/>
    <w:rsid w:val="00DA4116"/>
    <w:rsid w:val="00DA4387"/>
    <w:rsid w:val="00DA5B38"/>
    <w:rsid w:val="00DA75C1"/>
    <w:rsid w:val="00DA75C3"/>
    <w:rsid w:val="00DB002A"/>
    <w:rsid w:val="00DB00D8"/>
    <w:rsid w:val="00DB0988"/>
    <w:rsid w:val="00DB1C93"/>
    <w:rsid w:val="00DB251C"/>
    <w:rsid w:val="00DB2AAD"/>
    <w:rsid w:val="00DB2FD2"/>
    <w:rsid w:val="00DB3689"/>
    <w:rsid w:val="00DB38AD"/>
    <w:rsid w:val="00DB4630"/>
    <w:rsid w:val="00DB51C1"/>
    <w:rsid w:val="00DB591C"/>
    <w:rsid w:val="00DB5DCB"/>
    <w:rsid w:val="00DB64FE"/>
    <w:rsid w:val="00DB7995"/>
    <w:rsid w:val="00DC0B76"/>
    <w:rsid w:val="00DC17C6"/>
    <w:rsid w:val="00DC2A14"/>
    <w:rsid w:val="00DC2BF6"/>
    <w:rsid w:val="00DC2CDF"/>
    <w:rsid w:val="00DC30AD"/>
    <w:rsid w:val="00DC441C"/>
    <w:rsid w:val="00DC4445"/>
    <w:rsid w:val="00DC4F88"/>
    <w:rsid w:val="00DC53BA"/>
    <w:rsid w:val="00DC7DCB"/>
    <w:rsid w:val="00DD02D7"/>
    <w:rsid w:val="00DD073F"/>
    <w:rsid w:val="00DD1BBD"/>
    <w:rsid w:val="00DD203B"/>
    <w:rsid w:val="00DD285B"/>
    <w:rsid w:val="00DD2B7F"/>
    <w:rsid w:val="00DD32E9"/>
    <w:rsid w:val="00DD3BDA"/>
    <w:rsid w:val="00DD49E7"/>
    <w:rsid w:val="00DD51E5"/>
    <w:rsid w:val="00DD5824"/>
    <w:rsid w:val="00DD6C01"/>
    <w:rsid w:val="00DD7B57"/>
    <w:rsid w:val="00DE0546"/>
    <w:rsid w:val="00DE0A85"/>
    <w:rsid w:val="00DE2688"/>
    <w:rsid w:val="00DE29D8"/>
    <w:rsid w:val="00DE3716"/>
    <w:rsid w:val="00DE379E"/>
    <w:rsid w:val="00DE3D42"/>
    <w:rsid w:val="00DE449B"/>
    <w:rsid w:val="00DE4723"/>
    <w:rsid w:val="00DE4BBB"/>
    <w:rsid w:val="00DE6524"/>
    <w:rsid w:val="00DE71D1"/>
    <w:rsid w:val="00DE79F9"/>
    <w:rsid w:val="00DF0195"/>
    <w:rsid w:val="00DF0349"/>
    <w:rsid w:val="00DF03E7"/>
    <w:rsid w:val="00DF04BF"/>
    <w:rsid w:val="00DF0B34"/>
    <w:rsid w:val="00DF0BC0"/>
    <w:rsid w:val="00DF1AA8"/>
    <w:rsid w:val="00DF2603"/>
    <w:rsid w:val="00DF44B2"/>
    <w:rsid w:val="00DF46D6"/>
    <w:rsid w:val="00DF5492"/>
    <w:rsid w:val="00DF573B"/>
    <w:rsid w:val="00DF577F"/>
    <w:rsid w:val="00DF599F"/>
    <w:rsid w:val="00DF5A20"/>
    <w:rsid w:val="00DF5EFE"/>
    <w:rsid w:val="00DF624C"/>
    <w:rsid w:val="00DF62C0"/>
    <w:rsid w:val="00DF70BB"/>
    <w:rsid w:val="00DF7240"/>
    <w:rsid w:val="00DF78A9"/>
    <w:rsid w:val="00DF7AF7"/>
    <w:rsid w:val="00E00740"/>
    <w:rsid w:val="00E01BFD"/>
    <w:rsid w:val="00E020A5"/>
    <w:rsid w:val="00E020FF"/>
    <w:rsid w:val="00E024BE"/>
    <w:rsid w:val="00E033EB"/>
    <w:rsid w:val="00E03DEC"/>
    <w:rsid w:val="00E042A6"/>
    <w:rsid w:val="00E04C68"/>
    <w:rsid w:val="00E050C7"/>
    <w:rsid w:val="00E050E7"/>
    <w:rsid w:val="00E05329"/>
    <w:rsid w:val="00E05704"/>
    <w:rsid w:val="00E06B01"/>
    <w:rsid w:val="00E06CC3"/>
    <w:rsid w:val="00E06F92"/>
    <w:rsid w:val="00E06FA2"/>
    <w:rsid w:val="00E072A9"/>
    <w:rsid w:val="00E07324"/>
    <w:rsid w:val="00E077D8"/>
    <w:rsid w:val="00E1051D"/>
    <w:rsid w:val="00E110A4"/>
    <w:rsid w:val="00E11E44"/>
    <w:rsid w:val="00E12CE9"/>
    <w:rsid w:val="00E13245"/>
    <w:rsid w:val="00E1362C"/>
    <w:rsid w:val="00E13AFA"/>
    <w:rsid w:val="00E14550"/>
    <w:rsid w:val="00E14E33"/>
    <w:rsid w:val="00E166A9"/>
    <w:rsid w:val="00E16A82"/>
    <w:rsid w:val="00E177C2"/>
    <w:rsid w:val="00E17AB5"/>
    <w:rsid w:val="00E17DFF"/>
    <w:rsid w:val="00E2168B"/>
    <w:rsid w:val="00E2182E"/>
    <w:rsid w:val="00E21915"/>
    <w:rsid w:val="00E21D8C"/>
    <w:rsid w:val="00E21F03"/>
    <w:rsid w:val="00E22B30"/>
    <w:rsid w:val="00E23442"/>
    <w:rsid w:val="00E23E07"/>
    <w:rsid w:val="00E240E6"/>
    <w:rsid w:val="00E24B20"/>
    <w:rsid w:val="00E269ED"/>
    <w:rsid w:val="00E26A5E"/>
    <w:rsid w:val="00E26C1E"/>
    <w:rsid w:val="00E30D24"/>
    <w:rsid w:val="00E32C0F"/>
    <w:rsid w:val="00E32C3A"/>
    <w:rsid w:val="00E32C9F"/>
    <w:rsid w:val="00E32D26"/>
    <w:rsid w:val="00E33131"/>
    <w:rsid w:val="00E332A7"/>
    <w:rsid w:val="00E338EF"/>
    <w:rsid w:val="00E33955"/>
    <w:rsid w:val="00E33DBE"/>
    <w:rsid w:val="00E351AB"/>
    <w:rsid w:val="00E352AE"/>
    <w:rsid w:val="00E35544"/>
    <w:rsid w:val="00E35AB7"/>
    <w:rsid w:val="00E35D71"/>
    <w:rsid w:val="00E35E1B"/>
    <w:rsid w:val="00E3652D"/>
    <w:rsid w:val="00E3722D"/>
    <w:rsid w:val="00E37AD8"/>
    <w:rsid w:val="00E37C3D"/>
    <w:rsid w:val="00E40539"/>
    <w:rsid w:val="00E40FF8"/>
    <w:rsid w:val="00E41341"/>
    <w:rsid w:val="00E419AD"/>
    <w:rsid w:val="00E4248F"/>
    <w:rsid w:val="00E4282C"/>
    <w:rsid w:val="00E43B84"/>
    <w:rsid w:val="00E43EF0"/>
    <w:rsid w:val="00E44284"/>
    <w:rsid w:val="00E44CE5"/>
    <w:rsid w:val="00E45496"/>
    <w:rsid w:val="00E456AF"/>
    <w:rsid w:val="00E46F4C"/>
    <w:rsid w:val="00E501CB"/>
    <w:rsid w:val="00E506A6"/>
    <w:rsid w:val="00E50A1E"/>
    <w:rsid w:val="00E511A3"/>
    <w:rsid w:val="00E52CF4"/>
    <w:rsid w:val="00E53008"/>
    <w:rsid w:val="00E53580"/>
    <w:rsid w:val="00E544BB"/>
    <w:rsid w:val="00E54732"/>
    <w:rsid w:val="00E547D8"/>
    <w:rsid w:val="00E54CEA"/>
    <w:rsid w:val="00E54EC2"/>
    <w:rsid w:val="00E54ED7"/>
    <w:rsid w:val="00E55439"/>
    <w:rsid w:val="00E55D4E"/>
    <w:rsid w:val="00E568E4"/>
    <w:rsid w:val="00E574C9"/>
    <w:rsid w:val="00E578EC"/>
    <w:rsid w:val="00E57ADE"/>
    <w:rsid w:val="00E600BC"/>
    <w:rsid w:val="00E60423"/>
    <w:rsid w:val="00E60B84"/>
    <w:rsid w:val="00E60EB7"/>
    <w:rsid w:val="00E622BF"/>
    <w:rsid w:val="00E62DEB"/>
    <w:rsid w:val="00E62E72"/>
    <w:rsid w:val="00E63C67"/>
    <w:rsid w:val="00E644A8"/>
    <w:rsid w:val="00E649D7"/>
    <w:rsid w:val="00E64E70"/>
    <w:rsid w:val="00E662CB"/>
    <w:rsid w:val="00E67503"/>
    <w:rsid w:val="00E67ACF"/>
    <w:rsid w:val="00E70750"/>
    <w:rsid w:val="00E70B50"/>
    <w:rsid w:val="00E70C6E"/>
    <w:rsid w:val="00E714F3"/>
    <w:rsid w:val="00E71A13"/>
    <w:rsid w:val="00E71DCF"/>
    <w:rsid w:val="00E72416"/>
    <w:rsid w:val="00E7250D"/>
    <w:rsid w:val="00E72742"/>
    <w:rsid w:val="00E7285E"/>
    <w:rsid w:val="00E73764"/>
    <w:rsid w:val="00E73B16"/>
    <w:rsid w:val="00E73C1C"/>
    <w:rsid w:val="00E73DF4"/>
    <w:rsid w:val="00E73E20"/>
    <w:rsid w:val="00E74B7D"/>
    <w:rsid w:val="00E74DC7"/>
    <w:rsid w:val="00E7559E"/>
    <w:rsid w:val="00E755F0"/>
    <w:rsid w:val="00E75C66"/>
    <w:rsid w:val="00E8060E"/>
    <w:rsid w:val="00E8075A"/>
    <w:rsid w:val="00E81287"/>
    <w:rsid w:val="00E818A6"/>
    <w:rsid w:val="00E81BC5"/>
    <w:rsid w:val="00E81E34"/>
    <w:rsid w:val="00E825A1"/>
    <w:rsid w:val="00E825BA"/>
    <w:rsid w:val="00E8307D"/>
    <w:rsid w:val="00E84058"/>
    <w:rsid w:val="00E849CE"/>
    <w:rsid w:val="00E84B70"/>
    <w:rsid w:val="00E84E77"/>
    <w:rsid w:val="00E85A91"/>
    <w:rsid w:val="00E85EAF"/>
    <w:rsid w:val="00E86FA1"/>
    <w:rsid w:val="00E87641"/>
    <w:rsid w:val="00E87718"/>
    <w:rsid w:val="00E8795B"/>
    <w:rsid w:val="00E90282"/>
    <w:rsid w:val="00E9178E"/>
    <w:rsid w:val="00E92090"/>
    <w:rsid w:val="00E92979"/>
    <w:rsid w:val="00E937D8"/>
    <w:rsid w:val="00E93BD7"/>
    <w:rsid w:val="00E93E01"/>
    <w:rsid w:val="00E94311"/>
    <w:rsid w:val="00E94D5E"/>
    <w:rsid w:val="00E95867"/>
    <w:rsid w:val="00E95870"/>
    <w:rsid w:val="00E958AB"/>
    <w:rsid w:val="00E96444"/>
    <w:rsid w:val="00E9654E"/>
    <w:rsid w:val="00E96F99"/>
    <w:rsid w:val="00E97392"/>
    <w:rsid w:val="00E9783A"/>
    <w:rsid w:val="00E97CCB"/>
    <w:rsid w:val="00EA0AA6"/>
    <w:rsid w:val="00EA0BF6"/>
    <w:rsid w:val="00EA0D5B"/>
    <w:rsid w:val="00EA0F6F"/>
    <w:rsid w:val="00EA1337"/>
    <w:rsid w:val="00EA17A6"/>
    <w:rsid w:val="00EA2959"/>
    <w:rsid w:val="00EA2B72"/>
    <w:rsid w:val="00EA3DA5"/>
    <w:rsid w:val="00EA4477"/>
    <w:rsid w:val="00EA44F4"/>
    <w:rsid w:val="00EA5890"/>
    <w:rsid w:val="00EA589D"/>
    <w:rsid w:val="00EA5FA1"/>
    <w:rsid w:val="00EA6D46"/>
    <w:rsid w:val="00EA7100"/>
    <w:rsid w:val="00EA7721"/>
    <w:rsid w:val="00EA799B"/>
    <w:rsid w:val="00EA7A9A"/>
    <w:rsid w:val="00EA7F9F"/>
    <w:rsid w:val="00EB07DD"/>
    <w:rsid w:val="00EB085A"/>
    <w:rsid w:val="00EB0E6A"/>
    <w:rsid w:val="00EB0E70"/>
    <w:rsid w:val="00EB1274"/>
    <w:rsid w:val="00EB179D"/>
    <w:rsid w:val="00EB20BD"/>
    <w:rsid w:val="00EB230F"/>
    <w:rsid w:val="00EB28EE"/>
    <w:rsid w:val="00EB371F"/>
    <w:rsid w:val="00EB4583"/>
    <w:rsid w:val="00EB491A"/>
    <w:rsid w:val="00EB4EB9"/>
    <w:rsid w:val="00EB5180"/>
    <w:rsid w:val="00EB5AA3"/>
    <w:rsid w:val="00EB5D72"/>
    <w:rsid w:val="00EB65F7"/>
    <w:rsid w:val="00EB6724"/>
    <w:rsid w:val="00EB76E8"/>
    <w:rsid w:val="00EB77A4"/>
    <w:rsid w:val="00EB79C1"/>
    <w:rsid w:val="00EC122E"/>
    <w:rsid w:val="00EC1D04"/>
    <w:rsid w:val="00EC3106"/>
    <w:rsid w:val="00EC313F"/>
    <w:rsid w:val="00EC3AA7"/>
    <w:rsid w:val="00EC3C63"/>
    <w:rsid w:val="00EC453C"/>
    <w:rsid w:val="00EC4602"/>
    <w:rsid w:val="00EC4757"/>
    <w:rsid w:val="00EC52B1"/>
    <w:rsid w:val="00EC61B4"/>
    <w:rsid w:val="00EC6676"/>
    <w:rsid w:val="00EC6A1E"/>
    <w:rsid w:val="00EC7191"/>
    <w:rsid w:val="00EC7EDB"/>
    <w:rsid w:val="00ED0264"/>
    <w:rsid w:val="00ED0899"/>
    <w:rsid w:val="00ED098D"/>
    <w:rsid w:val="00ED0FC2"/>
    <w:rsid w:val="00ED14FB"/>
    <w:rsid w:val="00ED2BB6"/>
    <w:rsid w:val="00ED34E1"/>
    <w:rsid w:val="00ED37CA"/>
    <w:rsid w:val="00ED3A89"/>
    <w:rsid w:val="00ED3B8D"/>
    <w:rsid w:val="00ED3CC4"/>
    <w:rsid w:val="00ED42E2"/>
    <w:rsid w:val="00ED4A38"/>
    <w:rsid w:val="00ED4F01"/>
    <w:rsid w:val="00ED520D"/>
    <w:rsid w:val="00ED5421"/>
    <w:rsid w:val="00ED5FEF"/>
    <w:rsid w:val="00ED766E"/>
    <w:rsid w:val="00ED796D"/>
    <w:rsid w:val="00ED79B5"/>
    <w:rsid w:val="00EE09C7"/>
    <w:rsid w:val="00EE09FF"/>
    <w:rsid w:val="00EE2276"/>
    <w:rsid w:val="00EE2638"/>
    <w:rsid w:val="00EE30DC"/>
    <w:rsid w:val="00EE31F6"/>
    <w:rsid w:val="00EE3DE3"/>
    <w:rsid w:val="00EE40B3"/>
    <w:rsid w:val="00EE4402"/>
    <w:rsid w:val="00EE4B24"/>
    <w:rsid w:val="00EE584D"/>
    <w:rsid w:val="00EE59C4"/>
    <w:rsid w:val="00EE5A07"/>
    <w:rsid w:val="00EE5C0C"/>
    <w:rsid w:val="00EE646A"/>
    <w:rsid w:val="00EE6788"/>
    <w:rsid w:val="00EE71E9"/>
    <w:rsid w:val="00EE729B"/>
    <w:rsid w:val="00EE730F"/>
    <w:rsid w:val="00EE73F0"/>
    <w:rsid w:val="00EE796E"/>
    <w:rsid w:val="00EF0466"/>
    <w:rsid w:val="00EF0E80"/>
    <w:rsid w:val="00EF0F60"/>
    <w:rsid w:val="00EF15D3"/>
    <w:rsid w:val="00EF26D4"/>
    <w:rsid w:val="00EF2D87"/>
    <w:rsid w:val="00EF2E3A"/>
    <w:rsid w:val="00EF378F"/>
    <w:rsid w:val="00EF39C8"/>
    <w:rsid w:val="00EF3D83"/>
    <w:rsid w:val="00EF4C71"/>
    <w:rsid w:val="00EF54C2"/>
    <w:rsid w:val="00EF75D1"/>
    <w:rsid w:val="00EF7A31"/>
    <w:rsid w:val="00F00AC0"/>
    <w:rsid w:val="00F00F19"/>
    <w:rsid w:val="00F013C4"/>
    <w:rsid w:val="00F01C5A"/>
    <w:rsid w:val="00F01DAE"/>
    <w:rsid w:val="00F02A75"/>
    <w:rsid w:val="00F02EF9"/>
    <w:rsid w:val="00F03019"/>
    <w:rsid w:val="00F03683"/>
    <w:rsid w:val="00F03BB5"/>
    <w:rsid w:val="00F03CA1"/>
    <w:rsid w:val="00F0424A"/>
    <w:rsid w:val="00F047D8"/>
    <w:rsid w:val="00F05775"/>
    <w:rsid w:val="00F0588E"/>
    <w:rsid w:val="00F05EA7"/>
    <w:rsid w:val="00F065CB"/>
    <w:rsid w:val="00F06844"/>
    <w:rsid w:val="00F06CA2"/>
    <w:rsid w:val="00F06D87"/>
    <w:rsid w:val="00F07169"/>
    <w:rsid w:val="00F072A7"/>
    <w:rsid w:val="00F078DC"/>
    <w:rsid w:val="00F0796B"/>
    <w:rsid w:val="00F07E82"/>
    <w:rsid w:val="00F108B5"/>
    <w:rsid w:val="00F10911"/>
    <w:rsid w:val="00F10AD6"/>
    <w:rsid w:val="00F10E9E"/>
    <w:rsid w:val="00F1280A"/>
    <w:rsid w:val="00F134E2"/>
    <w:rsid w:val="00F1350C"/>
    <w:rsid w:val="00F13521"/>
    <w:rsid w:val="00F13A28"/>
    <w:rsid w:val="00F141D0"/>
    <w:rsid w:val="00F14593"/>
    <w:rsid w:val="00F14FB8"/>
    <w:rsid w:val="00F15ACB"/>
    <w:rsid w:val="00F1604F"/>
    <w:rsid w:val="00F169AD"/>
    <w:rsid w:val="00F169F4"/>
    <w:rsid w:val="00F171A1"/>
    <w:rsid w:val="00F20080"/>
    <w:rsid w:val="00F20846"/>
    <w:rsid w:val="00F20ACB"/>
    <w:rsid w:val="00F21160"/>
    <w:rsid w:val="00F22C58"/>
    <w:rsid w:val="00F23D9A"/>
    <w:rsid w:val="00F240E6"/>
    <w:rsid w:val="00F24258"/>
    <w:rsid w:val="00F248D8"/>
    <w:rsid w:val="00F259F8"/>
    <w:rsid w:val="00F26FF8"/>
    <w:rsid w:val="00F27172"/>
    <w:rsid w:val="00F27EF1"/>
    <w:rsid w:val="00F3047A"/>
    <w:rsid w:val="00F30978"/>
    <w:rsid w:val="00F30C0E"/>
    <w:rsid w:val="00F313E7"/>
    <w:rsid w:val="00F31404"/>
    <w:rsid w:val="00F31AD1"/>
    <w:rsid w:val="00F31D65"/>
    <w:rsid w:val="00F3206B"/>
    <w:rsid w:val="00F32BA8"/>
    <w:rsid w:val="00F336DF"/>
    <w:rsid w:val="00F349F1"/>
    <w:rsid w:val="00F34F82"/>
    <w:rsid w:val="00F356AF"/>
    <w:rsid w:val="00F35EF9"/>
    <w:rsid w:val="00F36532"/>
    <w:rsid w:val="00F36762"/>
    <w:rsid w:val="00F36957"/>
    <w:rsid w:val="00F37DFC"/>
    <w:rsid w:val="00F37FFB"/>
    <w:rsid w:val="00F40328"/>
    <w:rsid w:val="00F40436"/>
    <w:rsid w:val="00F404A2"/>
    <w:rsid w:val="00F40AF1"/>
    <w:rsid w:val="00F40B1F"/>
    <w:rsid w:val="00F4215A"/>
    <w:rsid w:val="00F42420"/>
    <w:rsid w:val="00F430FD"/>
    <w:rsid w:val="00F43220"/>
    <w:rsid w:val="00F4350D"/>
    <w:rsid w:val="00F4364E"/>
    <w:rsid w:val="00F43D53"/>
    <w:rsid w:val="00F44450"/>
    <w:rsid w:val="00F44F1E"/>
    <w:rsid w:val="00F4526A"/>
    <w:rsid w:val="00F45C0D"/>
    <w:rsid w:val="00F46403"/>
    <w:rsid w:val="00F478D6"/>
    <w:rsid w:val="00F47EF9"/>
    <w:rsid w:val="00F501CC"/>
    <w:rsid w:val="00F5051E"/>
    <w:rsid w:val="00F50532"/>
    <w:rsid w:val="00F508F2"/>
    <w:rsid w:val="00F524AE"/>
    <w:rsid w:val="00F53039"/>
    <w:rsid w:val="00F5342D"/>
    <w:rsid w:val="00F54237"/>
    <w:rsid w:val="00F55F3E"/>
    <w:rsid w:val="00F567F7"/>
    <w:rsid w:val="00F57455"/>
    <w:rsid w:val="00F57D93"/>
    <w:rsid w:val="00F61B09"/>
    <w:rsid w:val="00F61D32"/>
    <w:rsid w:val="00F62036"/>
    <w:rsid w:val="00F62704"/>
    <w:rsid w:val="00F62E66"/>
    <w:rsid w:val="00F63129"/>
    <w:rsid w:val="00F637B4"/>
    <w:rsid w:val="00F63E63"/>
    <w:rsid w:val="00F64593"/>
    <w:rsid w:val="00F64CC9"/>
    <w:rsid w:val="00F65B52"/>
    <w:rsid w:val="00F65D85"/>
    <w:rsid w:val="00F67AA0"/>
    <w:rsid w:val="00F67BCA"/>
    <w:rsid w:val="00F67E73"/>
    <w:rsid w:val="00F703F7"/>
    <w:rsid w:val="00F70873"/>
    <w:rsid w:val="00F709C6"/>
    <w:rsid w:val="00F70D5B"/>
    <w:rsid w:val="00F710F4"/>
    <w:rsid w:val="00F736F3"/>
    <w:rsid w:val="00F73BD6"/>
    <w:rsid w:val="00F750B3"/>
    <w:rsid w:val="00F75157"/>
    <w:rsid w:val="00F756E3"/>
    <w:rsid w:val="00F759A1"/>
    <w:rsid w:val="00F7695A"/>
    <w:rsid w:val="00F800C9"/>
    <w:rsid w:val="00F80D6A"/>
    <w:rsid w:val="00F80DB6"/>
    <w:rsid w:val="00F80DC2"/>
    <w:rsid w:val="00F82899"/>
    <w:rsid w:val="00F82FAE"/>
    <w:rsid w:val="00F83989"/>
    <w:rsid w:val="00F84021"/>
    <w:rsid w:val="00F84BE7"/>
    <w:rsid w:val="00F85099"/>
    <w:rsid w:val="00F852C3"/>
    <w:rsid w:val="00F857FB"/>
    <w:rsid w:val="00F859C9"/>
    <w:rsid w:val="00F85F31"/>
    <w:rsid w:val="00F861CD"/>
    <w:rsid w:val="00F863D0"/>
    <w:rsid w:val="00F869FD"/>
    <w:rsid w:val="00F87737"/>
    <w:rsid w:val="00F87B7C"/>
    <w:rsid w:val="00F91041"/>
    <w:rsid w:val="00F92AD1"/>
    <w:rsid w:val="00F935D1"/>
    <w:rsid w:val="00F9379C"/>
    <w:rsid w:val="00F93A3A"/>
    <w:rsid w:val="00F94130"/>
    <w:rsid w:val="00F94416"/>
    <w:rsid w:val="00F94C9D"/>
    <w:rsid w:val="00F954A7"/>
    <w:rsid w:val="00F95D7D"/>
    <w:rsid w:val="00F9632C"/>
    <w:rsid w:val="00F971DB"/>
    <w:rsid w:val="00F97390"/>
    <w:rsid w:val="00F975A6"/>
    <w:rsid w:val="00F97FD6"/>
    <w:rsid w:val="00FA01B4"/>
    <w:rsid w:val="00FA08FC"/>
    <w:rsid w:val="00FA0CC1"/>
    <w:rsid w:val="00FA1060"/>
    <w:rsid w:val="00FA129F"/>
    <w:rsid w:val="00FA1B2B"/>
    <w:rsid w:val="00FA1E52"/>
    <w:rsid w:val="00FA2558"/>
    <w:rsid w:val="00FA2A63"/>
    <w:rsid w:val="00FA2A86"/>
    <w:rsid w:val="00FA31DE"/>
    <w:rsid w:val="00FA31E1"/>
    <w:rsid w:val="00FA36D3"/>
    <w:rsid w:val="00FA3CA4"/>
    <w:rsid w:val="00FA4096"/>
    <w:rsid w:val="00FA44F4"/>
    <w:rsid w:val="00FA47DC"/>
    <w:rsid w:val="00FA5116"/>
    <w:rsid w:val="00FA569A"/>
    <w:rsid w:val="00FA5705"/>
    <w:rsid w:val="00FA64F8"/>
    <w:rsid w:val="00FA6C6F"/>
    <w:rsid w:val="00FA6DF6"/>
    <w:rsid w:val="00FA6E55"/>
    <w:rsid w:val="00FA733A"/>
    <w:rsid w:val="00FA7D17"/>
    <w:rsid w:val="00FA7FA4"/>
    <w:rsid w:val="00FB07B7"/>
    <w:rsid w:val="00FB0DFA"/>
    <w:rsid w:val="00FB134D"/>
    <w:rsid w:val="00FB14E5"/>
    <w:rsid w:val="00FB1AD7"/>
    <w:rsid w:val="00FB1EDE"/>
    <w:rsid w:val="00FB254B"/>
    <w:rsid w:val="00FB30A5"/>
    <w:rsid w:val="00FB30DD"/>
    <w:rsid w:val="00FB5609"/>
    <w:rsid w:val="00FB59C8"/>
    <w:rsid w:val="00FB6515"/>
    <w:rsid w:val="00FB65FC"/>
    <w:rsid w:val="00FB6EB3"/>
    <w:rsid w:val="00FC09C6"/>
    <w:rsid w:val="00FC0A4E"/>
    <w:rsid w:val="00FC1029"/>
    <w:rsid w:val="00FC1592"/>
    <w:rsid w:val="00FC21F5"/>
    <w:rsid w:val="00FC26A2"/>
    <w:rsid w:val="00FC3D06"/>
    <w:rsid w:val="00FC3EB8"/>
    <w:rsid w:val="00FC45FC"/>
    <w:rsid w:val="00FC4F31"/>
    <w:rsid w:val="00FC4FB0"/>
    <w:rsid w:val="00FC6087"/>
    <w:rsid w:val="00FC6F98"/>
    <w:rsid w:val="00FC715C"/>
    <w:rsid w:val="00FC7AD3"/>
    <w:rsid w:val="00FC7BBC"/>
    <w:rsid w:val="00FC7CBD"/>
    <w:rsid w:val="00FC7D25"/>
    <w:rsid w:val="00FD0708"/>
    <w:rsid w:val="00FD13CC"/>
    <w:rsid w:val="00FD17AD"/>
    <w:rsid w:val="00FD1CA3"/>
    <w:rsid w:val="00FD28C1"/>
    <w:rsid w:val="00FD3EFE"/>
    <w:rsid w:val="00FD49D1"/>
    <w:rsid w:val="00FD4FA0"/>
    <w:rsid w:val="00FD53A4"/>
    <w:rsid w:val="00FD631C"/>
    <w:rsid w:val="00FD6998"/>
    <w:rsid w:val="00FD6DB2"/>
    <w:rsid w:val="00FD6FC9"/>
    <w:rsid w:val="00FD709A"/>
    <w:rsid w:val="00FD7450"/>
    <w:rsid w:val="00FD7C6D"/>
    <w:rsid w:val="00FE003D"/>
    <w:rsid w:val="00FE0287"/>
    <w:rsid w:val="00FE09CE"/>
    <w:rsid w:val="00FE0E53"/>
    <w:rsid w:val="00FE12FB"/>
    <w:rsid w:val="00FE25C3"/>
    <w:rsid w:val="00FE271A"/>
    <w:rsid w:val="00FE2B23"/>
    <w:rsid w:val="00FE2FB8"/>
    <w:rsid w:val="00FE3875"/>
    <w:rsid w:val="00FE3C32"/>
    <w:rsid w:val="00FE4688"/>
    <w:rsid w:val="00FE4EDD"/>
    <w:rsid w:val="00FE4FBC"/>
    <w:rsid w:val="00FE5139"/>
    <w:rsid w:val="00FE51D1"/>
    <w:rsid w:val="00FE51E6"/>
    <w:rsid w:val="00FE56FA"/>
    <w:rsid w:val="00FE5D5B"/>
    <w:rsid w:val="00FE5EE2"/>
    <w:rsid w:val="00FE6F10"/>
    <w:rsid w:val="00FE72D6"/>
    <w:rsid w:val="00FE736C"/>
    <w:rsid w:val="00FE79D0"/>
    <w:rsid w:val="00FF1637"/>
    <w:rsid w:val="00FF1AA9"/>
    <w:rsid w:val="00FF1B30"/>
    <w:rsid w:val="00FF3030"/>
    <w:rsid w:val="00FF35FB"/>
    <w:rsid w:val="00FF4AA1"/>
    <w:rsid w:val="00FF59F4"/>
    <w:rsid w:val="00FF5A03"/>
    <w:rsid w:val="00FF5BDA"/>
    <w:rsid w:val="00FF6F11"/>
    <w:rsid w:val="00FF7800"/>
    <w:rsid w:val="13734578"/>
    <w:rsid w:val="18A39669"/>
    <w:rsid w:val="36663141"/>
    <w:rsid w:val="4AC5046A"/>
    <w:rsid w:val="58A48396"/>
    <w:rsid w:val="6B0E89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6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180F8D"/>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ListParagraph">
    <w:name w:val="List Paragraph"/>
    <w:basedOn w:val="Normal"/>
    <w:uiPriority w:val="34"/>
    <w:qFormat/>
    <w:rsid w:val="00025B0A"/>
    <w:pPr>
      <w:ind w:left="720"/>
    </w:p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F134E2"/>
    <w:rPr>
      <w:sz w:val="22"/>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unhideWhenUsed/>
    <w:rsid w:val="00C27264"/>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E54ED7"/>
    <w:rPr>
      <w:color w:val="954F72" w:themeColor="followedHyperlink"/>
      <w:u w:val="single"/>
    </w:rPr>
  </w:style>
  <w:style w:type="paragraph" w:customStyle="1" w:styleId="paragraph">
    <w:name w:val="paragraph"/>
    <w:basedOn w:val="Normal"/>
    <w:rsid w:val="00C14654"/>
    <w:pPr>
      <w:spacing w:before="100" w:beforeAutospacing="1" w:after="100" w:afterAutospacing="1" w:line="240" w:lineRule="auto"/>
    </w:pPr>
    <w:rPr>
      <w:rFonts w:eastAsia="Times New Roman"/>
      <w:sz w:val="24"/>
      <w:szCs w:val="24"/>
      <w:lang w:eastAsia="en-AU"/>
    </w:rPr>
  </w:style>
  <w:style w:type="character" w:customStyle="1" w:styleId="normaltextrun">
    <w:name w:val="normaltextrun"/>
    <w:basedOn w:val="DefaultParagraphFont"/>
    <w:rsid w:val="00C14654"/>
  </w:style>
  <w:style w:type="character" w:customStyle="1" w:styleId="eop">
    <w:name w:val="eop"/>
    <w:basedOn w:val="DefaultParagraphFont"/>
    <w:rsid w:val="00C14654"/>
  </w:style>
  <w:style w:type="paragraph" w:styleId="FootnoteText">
    <w:name w:val="footnote text"/>
    <w:basedOn w:val="Normal"/>
    <w:link w:val="FootnoteTextChar"/>
    <w:uiPriority w:val="99"/>
    <w:semiHidden/>
    <w:unhideWhenUsed/>
    <w:rsid w:val="00E24B20"/>
    <w:pPr>
      <w:spacing w:line="240" w:lineRule="auto"/>
    </w:pPr>
    <w:rPr>
      <w:rFonts w:eastAsia="Times New Roman"/>
      <w:sz w:val="20"/>
      <w:lang w:eastAsia="en-AU"/>
    </w:rPr>
  </w:style>
  <w:style w:type="character" w:customStyle="1" w:styleId="FootnoteTextChar">
    <w:name w:val="Footnote Text Char"/>
    <w:basedOn w:val="DefaultParagraphFont"/>
    <w:link w:val="FootnoteText"/>
    <w:uiPriority w:val="99"/>
    <w:semiHidden/>
    <w:rsid w:val="00E24B20"/>
    <w:rPr>
      <w:rFonts w:eastAsia="Times New Roman"/>
    </w:rPr>
  </w:style>
  <w:style w:type="character" w:styleId="FootnoteReference">
    <w:name w:val="footnote reference"/>
    <w:basedOn w:val="DefaultParagraphFont"/>
    <w:uiPriority w:val="99"/>
    <w:unhideWhenUsed/>
    <w:rsid w:val="00E24B20"/>
    <w:rPr>
      <w:vertAlign w:val="superscript"/>
    </w:rPr>
  </w:style>
  <w:style w:type="paragraph" w:customStyle="1" w:styleId="Default">
    <w:name w:val="Default"/>
    <w:rsid w:val="00941FEB"/>
    <w:pPr>
      <w:autoSpaceDE w:val="0"/>
      <w:autoSpaceDN w:val="0"/>
      <w:adjustRightInd w:val="0"/>
    </w:pPr>
    <w:rPr>
      <w:rFonts w:ascii="Arial" w:hAnsi="Arial" w:cs="Arial"/>
      <w:color w:val="000000"/>
      <w:sz w:val="24"/>
      <w:szCs w:val="24"/>
    </w:rPr>
  </w:style>
  <w:style w:type="paragraph" w:customStyle="1" w:styleId="li-bodytextparaa0">
    <w:name w:val="li-bodytextparaa"/>
    <w:basedOn w:val="Normal"/>
    <w:rsid w:val="00941FEB"/>
    <w:pPr>
      <w:spacing w:before="100" w:beforeAutospacing="1" w:after="100" w:afterAutospacing="1" w:line="240" w:lineRule="auto"/>
    </w:pPr>
    <w:rPr>
      <w:rFonts w:eastAsia="Times New Roman"/>
      <w:sz w:val="24"/>
      <w:szCs w:val="24"/>
      <w:lang w:eastAsia="en-AU"/>
    </w:rPr>
  </w:style>
  <w:style w:type="paragraph" w:customStyle="1" w:styleId="MIRSubpara">
    <w:name w:val="MIR Subpara"/>
    <w:basedOn w:val="Normal"/>
    <w:link w:val="MIRSubparaChar"/>
    <w:qFormat/>
    <w:rsid w:val="000F15EA"/>
    <w:pPr>
      <w:numPr>
        <w:ilvl w:val="1"/>
        <w:numId w:val="21"/>
      </w:numPr>
      <w:spacing w:before="100" w:line="300" w:lineRule="atLeast"/>
    </w:pPr>
    <w:rPr>
      <w:rFonts w:eastAsia="Times New Roman"/>
      <w:szCs w:val="22"/>
      <w:lang w:eastAsia="en-AU"/>
    </w:rPr>
  </w:style>
  <w:style w:type="character" w:customStyle="1" w:styleId="MIRSubparaChar">
    <w:name w:val="MIR Subpara Char"/>
    <w:basedOn w:val="DefaultParagraphFont"/>
    <w:link w:val="MIRSubpara"/>
    <w:rsid w:val="000F15EA"/>
    <w:rPr>
      <w:rFonts w:eastAsia="Times New Roman"/>
      <w:sz w:val="22"/>
      <w:szCs w:val="22"/>
    </w:rPr>
  </w:style>
  <w:style w:type="paragraph" w:customStyle="1" w:styleId="MIRsubsubsubpara">
    <w:name w:val="MIR subsubsubpara"/>
    <w:basedOn w:val="Normal"/>
    <w:link w:val="MIRsubsubsubparaChar"/>
    <w:qFormat/>
    <w:rsid w:val="000F15EA"/>
    <w:pPr>
      <w:numPr>
        <w:ilvl w:val="3"/>
        <w:numId w:val="21"/>
      </w:numPr>
      <w:spacing w:before="100" w:line="300" w:lineRule="atLeast"/>
    </w:pPr>
    <w:rPr>
      <w:rFonts w:eastAsia="Times New Roman"/>
      <w:szCs w:val="22"/>
      <w:lang w:eastAsia="en-AU"/>
    </w:rPr>
  </w:style>
  <w:style w:type="character" w:customStyle="1" w:styleId="MIRsubsubsubparaChar">
    <w:name w:val="MIR subsubsubpara Char"/>
    <w:basedOn w:val="DefaultParagraphFont"/>
    <w:link w:val="MIRsubsubsubpara"/>
    <w:rsid w:val="000F15EA"/>
    <w:rPr>
      <w:rFonts w:eastAsia="Times New Roman"/>
      <w:sz w:val="22"/>
      <w:szCs w:val="22"/>
    </w:rPr>
  </w:style>
  <w:style w:type="paragraph" w:customStyle="1" w:styleId="MIRBodyText">
    <w:name w:val="MIR Body Text"/>
    <w:basedOn w:val="Normal"/>
    <w:qFormat/>
    <w:rsid w:val="000F15EA"/>
    <w:pPr>
      <w:numPr>
        <w:numId w:val="21"/>
      </w:numPr>
      <w:tabs>
        <w:tab w:val="left" w:pos="851"/>
      </w:tabs>
      <w:spacing w:before="200" w:line="300" w:lineRule="atLeast"/>
    </w:pPr>
    <w:rPr>
      <w:rFonts w:eastAsia="Times New Roman"/>
      <w:szCs w:val="22"/>
      <w:lang w:eastAsia="en-AU"/>
    </w:rPr>
  </w:style>
  <w:style w:type="paragraph" w:customStyle="1" w:styleId="MIRSubsubpara">
    <w:name w:val="MIR Subsubpara"/>
    <w:basedOn w:val="Normal"/>
    <w:link w:val="MIRSubsubparaChar"/>
    <w:qFormat/>
    <w:rsid w:val="000F15EA"/>
    <w:pPr>
      <w:numPr>
        <w:ilvl w:val="2"/>
        <w:numId w:val="21"/>
      </w:numPr>
      <w:tabs>
        <w:tab w:val="clear" w:pos="1842"/>
        <w:tab w:val="num" w:pos="1985"/>
      </w:tabs>
      <w:spacing w:before="100" w:line="300" w:lineRule="atLeast"/>
      <w:ind w:left="1985"/>
    </w:pPr>
    <w:rPr>
      <w:rFonts w:eastAsia="Times New Roman"/>
      <w:szCs w:val="22"/>
      <w:lang w:eastAsia="en-AU"/>
    </w:rPr>
  </w:style>
  <w:style w:type="character" w:customStyle="1" w:styleId="MIRSubsubparaChar">
    <w:name w:val="MIR Subsubpara Char"/>
    <w:basedOn w:val="DefaultParagraphFont"/>
    <w:link w:val="MIRSubsubpara"/>
    <w:rsid w:val="000F15EA"/>
    <w:rPr>
      <w:rFonts w:eastAsia="Times New Roman"/>
      <w:sz w:val="22"/>
      <w:szCs w:val="22"/>
    </w:rPr>
  </w:style>
  <w:style w:type="paragraph" w:styleId="ListBullet">
    <w:name w:val="List Bullet"/>
    <w:basedOn w:val="Normal"/>
    <w:rsid w:val="00B3202E"/>
    <w:pPr>
      <w:numPr>
        <w:numId w:val="28"/>
      </w:numPr>
      <w:tabs>
        <w:tab w:val="clear" w:pos="1418"/>
        <w:tab w:val="num" w:pos="2694"/>
      </w:tabs>
      <w:spacing w:before="100" w:line="300" w:lineRule="atLeast"/>
      <w:ind w:left="2693" w:hanging="425"/>
    </w:pPr>
    <w:rPr>
      <w:rFonts w:eastAsia="PMingLiU"/>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4731">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05072384">
      <w:bodyDiv w:val="1"/>
      <w:marLeft w:val="0"/>
      <w:marRight w:val="0"/>
      <w:marTop w:val="0"/>
      <w:marBottom w:val="0"/>
      <w:divBdr>
        <w:top w:val="none" w:sz="0" w:space="0" w:color="auto"/>
        <w:left w:val="none" w:sz="0" w:space="0" w:color="auto"/>
        <w:bottom w:val="none" w:sz="0" w:space="0" w:color="auto"/>
        <w:right w:val="none" w:sz="0" w:space="0" w:color="auto"/>
      </w:divBdr>
    </w:div>
    <w:div w:id="24341327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4799184">
      <w:bodyDiv w:val="1"/>
      <w:marLeft w:val="0"/>
      <w:marRight w:val="0"/>
      <w:marTop w:val="0"/>
      <w:marBottom w:val="0"/>
      <w:divBdr>
        <w:top w:val="none" w:sz="0" w:space="0" w:color="auto"/>
        <w:left w:val="none" w:sz="0" w:space="0" w:color="auto"/>
        <w:bottom w:val="none" w:sz="0" w:space="0" w:color="auto"/>
        <w:right w:val="none" w:sz="0" w:space="0" w:color="auto"/>
      </w:divBdr>
    </w:div>
    <w:div w:id="313140370">
      <w:bodyDiv w:val="1"/>
      <w:marLeft w:val="0"/>
      <w:marRight w:val="0"/>
      <w:marTop w:val="0"/>
      <w:marBottom w:val="0"/>
      <w:divBdr>
        <w:top w:val="none" w:sz="0" w:space="0" w:color="auto"/>
        <w:left w:val="none" w:sz="0" w:space="0" w:color="auto"/>
        <w:bottom w:val="none" w:sz="0" w:space="0" w:color="auto"/>
        <w:right w:val="none" w:sz="0" w:space="0" w:color="auto"/>
      </w:divBdr>
    </w:div>
    <w:div w:id="3949321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65989702">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59533772">
      <w:bodyDiv w:val="1"/>
      <w:marLeft w:val="0"/>
      <w:marRight w:val="0"/>
      <w:marTop w:val="0"/>
      <w:marBottom w:val="0"/>
      <w:divBdr>
        <w:top w:val="none" w:sz="0" w:space="0" w:color="auto"/>
        <w:left w:val="none" w:sz="0" w:space="0" w:color="auto"/>
        <w:bottom w:val="none" w:sz="0" w:space="0" w:color="auto"/>
        <w:right w:val="none" w:sz="0" w:space="0" w:color="auto"/>
      </w:divBdr>
    </w:div>
    <w:div w:id="987438193">
      <w:bodyDiv w:val="1"/>
      <w:marLeft w:val="0"/>
      <w:marRight w:val="0"/>
      <w:marTop w:val="0"/>
      <w:marBottom w:val="0"/>
      <w:divBdr>
        <w:top w:val="none" w:sz="0" w:space="0" w:color="auto"/>
        <w:left w:val="none" w:sz="0" w:space="0" w:color="auto"/>
        <w:bottom w:val="none" w:sz="0" w:space="0" w:color="auto"/>
        <w:right w:val="none" w:sz="0" w:space="0" w:color="auto"/>
      </w:divBdr>
    </w:div>
    <w:div w:id="1093934314">
      <w:bodyDiv w:val="1"/>
      <w:marLeft w:val="0"/>
      <w:marRight w:val="0"/>
      <w:marTop w:val="0"/>
      <w:marBottom w:val="0"/>
      <w:divBdr>
        <w:top w:val="none" w:sz="0" w:space="0" w:color="auto"/>
        <w:left w:val="none" w:sz="0" w:space="0" w:color="auto"/>
        <w:bottom w:val="none" w:sz="0" w:space="0" w:color="auto"/>
        <w:right w:val="none" w:sz="0" w:space="0" w:color="auto"/>
      </w:divBdr>
    </w:div>
    <w:div w:id="1104378358">
      <w:bodyDiv w:val="1"/>
      <w:marLeft w:val="0"/>
      <w:marRight w:val="0"/>
      <w:marTop w:val="0"/>
      <w:marBottom w:val="0"/>
      <w:divBdr>
        <w:top w:val="none" w:sz="0" w:space="0" w:color="auto"/>
        <w:left w:val="none" w:sz="0" w:space="0" w:color="auto"/>
        <w:bottom w:val="none" w:sz="0" w:space="0" w:color="auto"/>
        <w:right w:val="none" w:sz="0" w:space="0" w:color="auto"/>
      </w:divBdr>
    </w:div>
    <w:div w:id="1157921741">
      <w:bodyDiv w:val="1"/>
      <w:marLeft w:val="0"/>
      <w:marRight w:val="0"/>
      <w:marTop w:val="0"/>
      <w:marBottom w:val="0"/>
      <w:divBdr>
        <w:top w:val="none" w:sz="0" w:space="0" w:color="auto"/>
        <w:left w:val="none" w:sz="0" w:space="0" w:color="auto"/>
        <w:bottom w:val="none" w:sz="0" w:space="0" w:color="auto"/>
        <w:right w:val="none" w:sz="0" w:space="0" w:color="auto"/>
      </w:divBdr>
    </w:div>
    <w:div w:id="124972631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85502589">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68012760">
      <w:bodyDiv w:val="1"/>
      <w:marLeft w:val="0"/>
      <w:marRight w:val="0"/>
      <w:marTop w:val="0"/>
      <w:marBottom w:val="0"/>
      <w:divBdr>
        <w:top w:val="none" w:sz="0" w:space="0" w:color="auto"/>
        <w:left w:val="none" w:sz="0" w:space="0" w:color="auto"/>
        <w:bottom w:val="none" w:sz="0" w:space="0" w:color="auto"/>
        <w:right w:val="none" w:sz="0" w:space="0" w:color="auto"/>
      </w:divBdr>
    </w:div>
    <w:div w:id="1563784840">
      <w:bodyDiv w:val="1"/>
      <w:marLeft w:val="0"/>
      <w:marRight w:val="0"/>
      <w:marTop w:val="0"/>
      <w:marBottom w:val="0"/>
      <w:divBdr>
        <w:top w:val="none" w:sz="0" w:space="0" w:color="auto"/>
        <w:left w:val="none" w:sz="0" w:space="0" w:color="auto"/>
        <w:bottom w:val="none" w:sz="0" w:space="0" w:color="auto"/>
        <w:right w:val="none" w:sz="0" w:space="0" w:color="auto"/>
      </w:divBdr>
    </w:div>
    <w:div w:id="1680883660">
      <w:bodyDiv w:val="1"/>
      <w:marLeft w:val="0"/>
      <w:marRight w:val="0"/>
      <w:marTop w:val="0"/>
      <w:marBottom w:val="0"/>
      <w:divBdr>
        <w:top w:val="none" w:sz="0" w:space="0" w:color="auto"/>
        <w:left w:val="none" w:sz="0" w:space="0" w:color="auto"/>
        <w:bottom w:val="none" w:sz="0" w:space="0" w:color="auto"/>
        <w:right w:val="none" w:sz="0" w:space="0" w:color="auto"/>
      </w:divBdr>
    </w:div>
    <w:div w:id="175539471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56516983">
      <w:bodyDiv w:val="1"/>
      <w:marLeft w:val="0"/>
      <w:marRight w:val="0"/>
      <w:marTop w:val="0"/>
      <w:marBottom w:val="0"/>
      <w:divBdr>
        <w:top w:val="none" w:sz="0" w:space="0" w:color="auto"/>
        <w:left w:val="none" w:sz="0" w:space="0" w:color="auto"/>
        <w:bottom w:val="none" w:sz="0" w:space="0" w:color="auto"/>
        <w:right w:val="none" w:sz="0" w:space="0" w:color="auto"/>
      </w:divBdr>
      <w:divsChild>
        <w:div w:id="383606467">
          <w:marLeft w:val="0"/>
          <w:marRight w:val="0"/>
          <w:marTop w:val="0"/>
          <w:marBottom w:val="0"/>
          <w:divBdr>
            <w:top w:val="none" w:sz="0" w:space="0" w:color="auto"/>
            <w:left w:val="none" w:sz="0" w:space="0" w:color="auto"/>
            <w:bottom w:val="none" w:sz="0" w:space="0" w:color="auto"/>
            <w:right w:val="none" w:sz="0" w:space="0" w:color="auto"/>
          </w:divBdr>
        </w:div>
        <w:div w:id="1356036248">
          <w:marLeft w:val="0"/>
          <w:marRight w:val="0"/>
          <w:marTop w:val="0"/>
          <w:marBottom w:val="0"/>
          <w:divBdr>
            <w:top w:val="none" w:sz="0" w:space="0" w:color="auto"/>
            <w:left w:val="none" w:sz="0" w:space="0" w:color="auto"/>
            <w:bottom w:val="none" w:sz="0" w:space="0" w:color="auto"/>
            <w:right w:val="none" w:sz="0" w:space="0" w:color="auto"/>
          </w:divBdr>
        </w:div>
        <w:div w:id="2108889096">
          <w:marLeft w:val="0"/>
          <w:marRight w:val="0"/>
          <w:marTop w:val="0"/>
          <w:marBottom w:val="0"/>
          <w:divBdr>
            <w:top w:val="none" w:sz="0" w:space="0" w:color="auto"/>
            <w:left w:val="none" w:sz="0" w:space="0" w:color="auto"/>
            <w:bottom w:val="none" w:sz="0" w:space="0" w:color="auto"/>
            <w:right w:val="none" w:sz="0" w:space="0" w:color="auto"/>
          </w:divBdr>
        </w:div>
      </w:divsChild>
    </w:div>
    <w:div w:id="2026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001055-1122178031-4754</_dlc_DocId>
    <_dlc_DocIdUrl xmlns="eb44715b-cd74-4c79-92c4-f0e9f1a86440">
      <Url>https://asiclink.sharepoint.com/teams/001055/_layouts/15/DocIdRedir.aspx?ID=001055-1122178031-4754</Url>
      <Description>001055-1122178031-4754</Description>
    </_dlc_DocIdUrl>
  </documentManagement>
</p:propertie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25" ma:contentTypeDescription="" ma:contentTypeScope="" ma:versionID="148d241763d0a62f8d73e71868ace057">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ca9183128b26ec4aa5920e47800ebf57"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102F-F118-4FC3-88C8-6BE006C534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14EC1A32-CAF2-4FF1-926F-E4F1556BE8DA}">
  <ds:schemaRefs>
    <ds:schemaRef ds:uri="Microsoft.SharePoint.Taxonomy.ContentTypeSync"/>
  </ds:schemaRefs>
</ds:datastoreItem>
</file>

<file path=customXml/itemProps3.xml><?xml version="1.0" encoding="utf-8"?>
<ds:datastoreItem xmlns:ds="http://schemas.openxmlformats.org/officeDocument/2006/customXml" ds:itemID="{5A59B1A7-06C5-4E15-A5E4-909DD6D3D3D5}">
  <ds:schemaRefs>
    <ds:schemaRef ds:uri="http://schemas.microsoft.com/office/2006/metadata/longProperties"/>
  </ds:schemaRefs>
</ds:datastoreItem>
</file>

<file path=customXml/itemProps4.xml><?xml version="1.0" encoding="utf-8"?>
<ds:datastoreItem xmlns:ds="http://schemas.openxmlformats.org/officeDocument/2006/customXml" ds:itemID="{F3215716-CF98-4B01-A63D-E73897711ACB}">
  <ds:schemaRefs>
    <ds:schemaRef ds:uri="http://schemas.microsoft.com/sharepoint/v3/contenttype/forms"/>
  </ds:schemaRefs>
</ds:datastoreItem>
</file>

<file path=customXml/itemProps5.xml><?xml version="1.0" encoding="utf-8"?>
<ds:datastoreItem xmlns:ds="http://schemas.openxmlformats.org/officeDocument/2006/customXml" ds:itemID="{165A0F00-C429-4F36-8EB5-892D7B757470}">
  <ds:schemaRefs>
    <ds:schemaRef ds:uri="http://schemas.microsoft.com/sharepoint/events"/>
  </ds:schemaRefs>
</ds:datastoreItem>
</file>

<file path=customXml/itemProps6.xml><?xml version="1.0" encoding="utf-8"?>
<ds:datastoreItem xmlns:ds="http://schemas.openxmlformats.org/officeDocument/2006/customXml" ds:itemID="{06F98B77-A028-4C2A-BB5A-0C52EBFD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E983D8-DC08-42EA-B231-4A7DAD14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4075</Words>
  <Characters>23234</Characters>
  <Application>Microsoft Office Word</Application>
  <DocSecurity>0</DocSecurity>
  <PresentationFormat/>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2024-09-03T11:28:00Z</dcterms:created>
  <dcterms:modified xsi:type="dcterms:W3CDTF">2024-09-05T03:03:00Z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1;#OFFICIAL - Sensitive|6eccc17f-024b-41b0-b6b1-faf98d2aff85</vt:lpwstr>
  </property>
  <property fmtid="{D5CDD505-2E9C-101B-9397-08002B2CF9AE}" pid="3" name="RecordPoint_WorkflowType">
    <vt:lpwstr>ActiveSubmitStub</vt:lpwstr>
  </property>
  <property fmtid="{D5CDD505-2E9C-101B-9397-08002B2CF9AE}" pid="4" name="RecordPoint_ActiveItemSiteId">
    <vt:lpwstr>{141977cf-0b3b-457f-befe-91e13bfc4f18}</vt:lpwstr>
  </property>
  <property fmtid="{D5CDD505-2E9C-101B-9397-08002B2CF9AE}" pid="5" name="RecordPoint_ActiveItemListId">
    <vt:lpwstr>{52837be5-4aea-4ae1-a558-e262609fd21b}</vt:lpwstr>
  </property>
  <property fmtid="{D5CDD505-2E9C-101B-9397-08002B2CF9AE}" pid="6" name="RecordPoint_ActiveItemUniqueId">
    <vt:lpwstr>{e3ca10b2-533c-4c1a-b99b-081f1c0abb10}</vt:lpwstr>
  </property>
  <property fmtid="{D5CDD505-2E9C-101B-9397-08002B2CF9AE}" pid="7" name="RecordPoint_ActiveItemWebId">
    <vt:lpwstr>{7b4e6043-60cd-47eb-8e5e-dfdfe6d1e794}</vt:lpwstr>
  </property>
  <property fmtid="{D5CDD505-2E9C-101B-9397-08002B2CF9AE}" pid="8" name="RecordPoint_SubmissionCompleted">
    <vt:lpwstr>2022-03-07T15:49:28.7468477+11:00</vt:lpwstr>
  </property>
  <property fmtid="{D5CDD505-2E9C-101B-9397-08002B2CF9AE}" pid="9" name="RecordPoint_RecordNumberSubmitted">
    <vt:lpwstr>R20220000932785</vt:lpwstr>
  </property>
  <property fmtid="{D5CDD505-2E9C-101B-9397-08002B2CF9AE}" pid="10" name="ContentTypeId">
    <vt:lpwstr>0x010100B5F685A1365F544391EF8C813B164F3A00F47466A5CC0C5D48A446AD5782D8375F</vt:lpwstr>
  </property>
  <property fmtid="{D5CDD505-2E9C-101B-9397-08002B2CF9AE}" pid="11" name="PolicyWorkDocumentType">
    <vt:lpwstr/>
  </property>
  <property fmtid="{D5CDD505-2E9C-101B-9397-08002B2CF9AE}" pid="12" name="MSIP_Label_a6aead41-07f8-4767-ac8e-ef1c9c793766_Enabled">
    <vt:lpwstr>true</vt:lpwstr>
  </property>
  <property fmtid="{D5CDD505-2E9C-101B-9397-08002B2CF9AE}" pid="13" name="MSIP_Label_a6aead41-07f8-4767-ac8e-ef1c9c793766_SetDate">
    <vt:lpwstr>2022-12-01T23:06:30Z</vt:lpwstr>
  </property>
  <property fmtid="{D5CDD505-2E9C-101B-9397-08002B2CF9AE}" pid="14" name="MSIP_Label_a6aead41-07f8-4767-ac8e-ef1c9c793766_Method">
    <vt:lpwstr>Standard</vt:lpwstr>
  </property>
  <property fmtid="{D5CDD505-2E9C-101B-9397-08002B2CF9AE}" pid="15" name="MSIP_Label_a6aead41-07f8-4767-ac8e-ef1c9c793766_Name">
    <vt:lpwstr>OFFICIAL</vt:lpwstr>
  </property>
  <property fmtid="{D5CDD505-2E9C-101B-9397-08002B2CF9AE}" pid="16" name="MSIP_Label_a6aead41-07f8-4767-ac8e-ef1c9c793766_SiteId">
    <vt:lpwstr>5f1de7c6-55cd-4bb2-902d-514c78cf10f4</vt:lpwstr>
  </property>
  <property fmtid="{D5CDD505-2E9C-101B-9397-08002B2CF9AE}" pid="17" name="MSIP_Label_a6aead41-07f8-4767-ac8e-ef1c9c793766_ActionId">
    <vt:lpwstr>bfa03945-089b-4684-a286-b2fed72067ef</vt:lpwstr>
  </property>
  <property fmtid="{D5CDD505-2E9C-101B-9397-08002B2CF9AE}" pid="18" name="MSIP_Label_a6aead41-07f8-4767-ac8e-ef1c9c793766_ContentBits">
    <vt:lpwstr>0</vt:lpwstr>
  </property>
  <property fmtid="{D5CDD505-2E9C-101B-9397-08002B2CF9AE}" pid="19" name="_dlc_DocIdItemGuid">
    <vt:lpwstr>f6b856a1-c6f7-4b2c-a91f-8f80010d019b</vt:lpwstr>
  </property>
  <property fmtid="{D5CDD505-2E9C-101B-9397-08002B2CF9AE}" pid="20" name="bdf3bab5a81c426f8b5cbfa0265a271c">
    <vt:lpwstr/>
  </property>
</Properties>
</file>