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0907" w14:textId="77777777" w:rsidR="00715914" w:rsidRPr="00EA6404" w:rsidRDefault="00DA186E" w:rsidP="00715914">
      <w:pPr>
        <w:rPr>
          <w:sz w:val="28"/>
        </w:rPr>
      </w:pPr>
      <w:r w:rsidRPr="00EA6404">
        <w:rPr>
          <w:noProof/>
          <w:lang w:eastAsia="en-AU"/>
        </w:rPr>
        <w:drawing>
          <wp:inline distT="0" distB="0" distL="0" distR="0" wp14:anchorId="208FA133" wp14:editId="7EAD39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F54A7A" w14:textId="77777777" w:rsidR="00715914" w:rsidRPr="00EA6404" w:rsidRDefault="00715914" w:rsidP="00715914">
      <w:pPr>
        <w:rPr>
          <w:sz w:val="19"/>
        </w:rPr>
      </w:pPr>
    </w:p>
    <w:p w14:paraId="0E370AC2" w14:textId="5634B69C" w:rsidR="00554826" w:rsidRPr="00EA6404" w:rsidRDefault="00F8634B" w:rsidP="00554826">
      <w:pPr>
        <w:pStyle w:val="ShortT"/>
      </w:pPr>
      <w:r w:rsidRPr="00EA6404">
        <w:t xml:space="preserve">Excise </w:t>
      </w:r>
      <w:r w:rsidR="00554826" w:rsidRPr="00EA6404">
        <w:t>(</w:t>
      </w:r>
      <w:r w:rsidRPr="00EA6404">
        <w:t xml:space="preserve">Blending </w:t>
      </w:r>
      <w:r w:rsidR="004C2F98" w:rsidRPr="00EA6404">
        <w:t>E</w:t>
      </w:r>
      <w:r w:rsidRPr="00EA6404">
        <w:t>xemptions</w:t>
      </w:r>
      <w:r w:rsidR="00554826" w:rsidRPr="00EA6404">
        <w:t xml:space="preserve">) </w:t>
      </w:r>
      <w:r w:rsidR="00E06986" w:rsidRPr="00EA6404">
        <w:t xml:space="preserve">Instrument </w:t>
      </w:r>
      <w:r w:rsidRPr="00EA6404">
        <w:t>2024</w:t>
      </w:r>
    </w:p>
    <w:p w14:paraId="70A45F2F" w14:textId="3D79DE9C" w:rsidR="00554826" w:rsidRPr="00EA6404" w:rsidRDefault="00554826" w:rsidP="00554826">
      <w:pPr>
        <w:pStyle w:val="SignCoverPageStart"/>
        <w:spacing w:before="240"/>
        <w:ind w:right="91"/>
        <w:rPr>
          <w:szCs w:val="22"/>
        </w:rPr>
      </w:pPr>
      <w:r w:rsidRPr="00EA6404">
        <w:rPr>
          <w:szCs w:val="22"/>
        </w:rPr>
        <w:t xml:space="preserve">I, </w:t>
      </w:r>
      <w:r w:rsidR="00FD4179" w:rsidRPr="00EA6404">
        <w:rPr>
          <w:szCs w:val="22"/>
        </w:rPr>
        <w:t>Ben Kelly</w:t>
      </w:r>
      <w:r w:rsidRPr="00EA6404">
        <w:rPr>
          <w:szCs w:val="22"/>
        </w:rPr>
        <w:t xml:space="preserve">, </w:t>
      </w:r>
      <w:r w:rsidR="00FD4179" w:rsidRPr="00EA6404">
        <w:rPr>
          <w:szCs w:val="22"/>
        </w:rPr>
        <w:t>Deputy Commissioner of Taxation</w:t>
      </w:r>
      <w:r w:rsidRPr="00EA6404">
        <w:rPr>
          <w:szCs w:val="22"/>
        </w:rPr>
        <w:t xml:space="preserve">, make the following </w:t>
      </w:r>
      <w:r w:rsidR="00C868D9" w:rsidRPr="00EA6404">
        <w:rPr>
          <w:szCs w:val="22"/>
        </w:rPr>
        <w:t>instrument</w:t>
      </w:r>
      <w:r w:rsidRPr="00EA6404">
        <w:rPr>
          <w:szCs w:val="22"/>
        </w:rPr>
        <w:t>.</w:t>
      </w:r>
    </w:p>
    <w:p w14:paraId="6CE47C71" w14:textId="7F3871DF" w:rsidR="00554826" w:rsidRPr="00EA6404" w:rsidRDefault="00554826" w:rsidP="00554826">
      <w:pPr>
        <w:keepNext/>
        <w:spacing w:before="300" w:line="240" w:lineRule="atLeast"/>
        <w:ind w:right="397"/>
        <w:jc w:val="both"/>
        <w:rPr>
          <w:szCs w:val="22"/>
        </w:rPr>
      </w:pPr>
      <w:r w:rsidRPr="00EA6404">
        <w:rPr>
          <w:szCs w:val="22"/>
        </w:rPr>
        <w:t>Dated</w:t>
      </w:r>
      <w:r w:rsidRPr="00EA6404">
        <w:rPr>
          <w:szCs w:val="22"/>
        </w:rPr>
        <w:tab/>
      </w:r>
      <w:r w:rsidR="003E49DB">
        <w:rPr>
          <w:szCs w:val="22"/>
        </w:rPr>
        <w:t>19 August 2024</w:t>
      </w:r>
      <w:r w:rsidRPr="00EA6404">
        <w:rPr>
          <w:szCs w:val="22"/>
        </w:rPr>
        <w:tab/>
      </w:r>
      <w:r w:rsidRPr="00EA6404">
        <w:rPr>
          <w:szCs w:val="22"/>
        </w:rPr>
        <w:tab/>
      </w:r>
      <w:r w:rsidRPr="00EA6404">
        <w:rPr>
          <w:szCs w:val="22"/>
        </w:rPr>
        <w:tab/>
      </w:r>
    </w:p>
    <w:p w14:paraId="7DD31689" w14:textId="77777777" w:rsidR="00EA6404" w:rsidRDefault="003D71F6" w:rsidP="00554826">
      <w:pPr>
        <w:keepNext/>
        <w:tabs>
          <w:tab w:val="left" w:pos="3402"/>
        </w:tabs>
        <w:spacing w:before="1440" w:line="300" w:lineRule="atLeast"/>
        <w:ind w:right="397"/>
        <w:rPr>
          <w:szCs w:val="22"/>
        </w:rPr>
      </w:pPr>
      <w:r w:rsidRPr="00EA6404">
        <w:rPr>
          <w:szCs w:val="22"/>
        </w:rPr>
        <w:t>Ben Kelly</w:t>
      </w:r>
    </w:p>
    <w:p w14:paraId="16D81B97" w14:textId="2DFA7E7C" w:rsidR="00554826" w:rsidRPr="00EA6404" w:rsidRDefault="003D71F6" w:rsidP="00554826">
      <w:pPr>
        <w:pStyle w:val="SignCoverPageEnd"/>
        <w:ind w:right="91"/>
        <w:rPr>
          <w:sz w:val="22"/>
        </w:rPr>
      </w:pPr>
      <w:r w:rsidRPr="00EA6404">
        <w:rPr>
          <w:sz w:val="22"/>
        </w:rPr>
        <w:t>Deputy Commissioner of Taxation</w:t>
      </w:r>
    </w:p>
    <w:p w14:paraId="7BA7347D" w14:textId="77777777" w:rsidR="00554826" w:rsidRPr="00EA6404" w:rsidRDefault="00554826" w:rsidP="00554826"/>
    <w:p w14:paraId="589587EF" w14:textId="77777777" w:rsidR="00554826" w:rsidRPr="00EA6404" w:rsidRDefault="00554826" w:rsidP="00554826"/>
    <w:p w14:paraId="7B8CC4A5" w14:textId="77777777" w:rsidR="00F6696E" w:rsidRPr="00EA6404" w:rsidRDefault="00F6696E" w:rsidP="00F6696E"/>
    <w:p w14:paraId="6260F290" w14:textId="77777777" w:rsidR="00F6696E" w:rsidRPr="00EA6404" w:rsidRDefault="00F6696E" w:rsidP="00F6696E">
      <w:pPr>
        <w:sectPr w:rsidR="00F6696E" w:rsidRPr="00EA6404"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3C466BA2" w14:textId="77777777" w:rsidR="007500C8" w:rsidRPr="00EA6404" w:rsidRDefault="00715914" w:rsidP="00715914">
      <w:pPr>
        <w:outlineLvl w:val="0"/>
        <w:rPr>
          <w:sz w:val="36"/>
        </w:rPr>
      </w:pPr>
      <w:r w:rsidRPr="00EA6404">
        <w:rPr>
          <w:sz w:val="36"/>
        </w:rPr>
        <w:lastRenderedPageBreak/>
        <w:t>Contents</w:t>
      </w:r>
    </w:p>
    <w:p w14:paraId="4CDA8566" w14:textId="53539C7F" w:rsidR="00722FC3" w:rsidRPr="00EA6404" w:rsidRDefault="00B418CB">
      <w:pPr>
        <w:pStyle w:val="TOC5"/>
        <w:rPr>
          <w:rFonts w:asciiTheme="minorHAnsi" w:eastAsiaTheme="minorEastAsia" w:hAnsiTheme="minorHAnsi" w:cstheme="minorBidi"/>
          <w:noProof/>
          <w:kern w:val="0"/>
          <w:sz w:val="22"/>
          <w:szCs w:val="22"/>
        </w:rPr>
      </w:pPr>
      <w:r w:rsidRPr="00EA6404">
        <w:fldChar w:fldCharType="begin"/>
      </w:r>
      <w:r w:rsidRPr="00EA6404">
        <w:instrText xml:space="preserve"> TOC \o "1-9" </w:instrText>
      </w:r>
      <w:r w:rsidRPr="00EA6404">
        <w:fldChar w:fldCharType="separate"/>
      </w:r>
      <w:r w:rsidR="00722FC3" w:rsidRPr="00EA6404">
        <w:rPr>
          <w:noProof/>
        </w:rPr>
        <w:t>1  Name</w:t>
      </w:r>
      <w:r w:rsidR="00722FC3" w:rsidRPr="00EA6404">
        <w:rPr>
          <w:noProof/>
        </w:rPr>
        <w:tab/>
      </w:r>
      <w:r w:rsidR="00722FC3" w:rsidRPr="00EA6404">
        <w:rPr>
          <w:noProof/>
        </w:rPr>
        <w:fldChar w:fldCharType="begin"/>
      </w:r>
      <w:r w:rsidR="00722FC3" w:rsidRPr="00EA6404">
        <w:rPr>
          <w:noProof/>
        </w:rPr>
        <w:instrText xml:space="preserve"> PAGEREF _Toc163582046 \h </w:instrText>
      </w:r>
      <w:r w:rsidR="00722FC3" w:rsidRPr="00EA6404">
        <w:rPr>
          <w:noProof/>
        </w:rPr>
      </w:r>
      <w:r w:rsidR="00722FC3" w:rsidRPr="00EA6404">
        <w:rPr>
          <w:noProof/>
        </w:rPr>
        <w:fldChar w:fldCharType="separate"/>
      </w:r>
      <w:r w:rsidR="00722FC3" w:rsidRPr="00EA6404">
        <w:rPr>
          <w:noProof/>
        </w:rPr>
        <w:t>1</w:t>
      </w:r>
      <w:r w:rsidR="00722FC3" w:rsidRPr="00EA6404">
        <w:rPr>
          <w:noProof/>
        </w:rPr>
        <w:fldChar w:fldCharType="end"/>
      </w:r>
    </w:p>
    <w:p w14:paraId="763C661B" w14:textId="1FEDE74A" w:rsidR="00722FC3" w:rsidRPr="00EA6404" w:rsidRDefault="00722FC3">
      <w:pPr>
        <w:pStyle w:val="TOC5"/>
        <w:rPr>
          <w:rFonts w:asciiTheme="minorHAnsi" w:eastAsiaTheme="minorEastAsia" w:hAnsiTheme="minorHAnsi" w:cstheme="minorBidi"/>
          <w:noProof/>
          <w:kern w:val="0"/>
          <w:sz w:val="22"/>
          <w:szCs w:val="22"/>
        </w:rPr>
      </w:pPr>
      <w:r w:rsidRPr="00EA6404">
        <w:rPr>
          <w:noProof/>
        </w:rPr>
        <w:t>2  Commencement</w:t>
      </w:r>
      <w:r w:rsidRPr="00EA6404">
        <w:rPr>
          <w:noProof/>
        </w:rPr>
        <w:tab/>
      </w:r>
      <w:r w:rsidRPr="00EA6404">
        <w:rPr>
          <w:noProof/>
        </w:rPr>
        <w:fldChar w:fldCharType="begin"/>
      </w:r>
      <w:r w:rsidRPr="00EA6404">
        <w:rPr>
          <w:noProof/>
        </w:rPr>
        <w:instrText xml:space="preserve"> PAGEREF _Toc163582047 \h </w:instrText>
      </w:r>
      <w:r w:rsidRPr="00EA6404">
        <w:rPr>
          <w:noProof/>
        </w:rPr>
      </w:r>
      <w:r w:rsidRPr="00EA6404">
        <w:rPr>
          <w:noProof/>
        </w:rPr>
        <w:fldChar w:fldCharType="separate"/>
      </w:r>
      <w:r w:rsidRPr="00EA6404">
        <w:rPr>
          <w:noProof/>
        </w:rPr>
        <w:t>1</w:t>
      </w:r>
      <w:r w:rsidRPr="00EA6404">
        <w:rPr>
          <w:noProof/>
        </w:rPr>
        <w:fldChar w:fldCharType="end"/>
      </w:r>
    </w:p>
    <w:p w14:paraId="062601AA" w14:textId="56DC14B3" w:rsidR="00722FC3" w:rsidRPr="00EA6404" w:rsidRDefault="00722FC3">
      <w:pPr>
        <w:pStyle w:val="TOC5"/>
        <w:rPr>
          <w:rFonts w:asciiTheme="minorHAnsi" w:eastAsiaTheme="minorEastAsia" w:hAnsiTheme="minorHAnsi" w:cstheme="minorBidi"/>
          <w:noProof/>
          <w:kern w:val="0"/>
          <w:sz w:val="22"/>
          <w:szCs w:val="22"/>
        </w:rPr>
      </w:pPr>
      <w:r w:rsidRPr="00EA6404">
        <w:rPr>
          <w:noProof/>
        </w:rPr>
        <w:t>3  Authority</w:t>
      </w:r>
      <w:r w:rsidRPr="00EA6404">
        <w:rPr>
          <w:noProof/>
        </w:rPr>
        <w:tab/>
      </w:r>
      <w:r w:rsidRPr="00EA6404">
        <w:rPr>
          <w:noProof/>
        </w:rPr>
        <w:fldChar w:fldCharType="begin"/>
      </w:r>
      <w:r w:rsidRPr="00EA6404">
        <w:rPr>
          <w:noProof/>
        </w:rPr>
        <w:instrText xml:space="preserve"> PAGEREF _Toc163582048 \h </w:instrText>
      </w:r>
      <w:r w:rsidRPr="00EA6404">
        <w:rPr>
          <w:noProof/>
        </w:rPr>
      </w:r>
      <w:r w:rsidRPr="00EA6404">
        <w:rPr>
          <w:noProof/>
        </w:rPr>
        <w:fldChar w:fldCharType="separate"/>
      </w:r>
      <w:r w:rsidRPr="00EA6404">
        <w:rPr>
          <w:noProof/>
        </w:rPr>
        <w:t>1</w:t>
      </w:r>
      <w:r w:rsidRPr="00EA6404">
        <w:rPr>
          <w:noProof/>
        </w:rPr>
        <w:fldChar w:fldCharType="end"/>
      </w:r>
    </w:p>
    <w:p w14:paraId="7B1A80F0" w14:textId="05072D0A" w:rsidR="00722FC3" w:rsidRPr="00EA6404" w:rsidRDefault="00722FC3">
      <w:pPr>
        <w:pStyle w:val="TOC5"/>
        <w:rPr>
          <w:rFonts w:asciiTheme="minorHAnsi" w:eastAsiaTheme="minorEastAsia" w:hAnsiTheme="minorHAnsi" w:cstheme="minorBidi"/>
          <w:noProof/>
          <w:kern w:val="0"/>
          <w:sz w:val="22"/>
          <w:szCs w:val="22"/>
        </w:rPr>
      </w:pPr>
      <w:r w:rsidRPr="00EA6404">
        <w:rPr>
          <w:noProof/>
        </w:rPr>
        <w:t>4  Definitions</w:t>
      </w:r>
      <w:r w:rsidRPr="00EA6404">
        <w:rPr>
          <w:noProof/>
        </w:rPr>
        <w:tab/>
      </w:r>
      <w:r w:rsidRPr="00EA6404">
        <w:rPr>
          <w:noProof/>
        </w:rPr>
        <w:fldChar w:fldCharType="begin"/>
      </w:r>
      <w:r w:rsidRPr="00EA6404">
        <w:rPr>
          <w:noProof/>
        </w:rPr>
        <w:instrText xml:space="preserve"> PAGEREF _Toc163582049 \h </w:instrText>
      </w:r>
      <w:r w:rsidRPr="00EA6404">
        <w:rPr>
          <w:noProof/>
        </w:rPr>
      </w:r>
      <w:r w:rsidRPr="00EA6404">
        <w:rPr>
          <w:noProof/>
        </w:rPr>
        <w:fldChar w:fldCharType="separate"/>
      </w:r>
      <w:r w:rsidRPr="00EA6404">
        <w:rPr>
          <w:noProof/>
        </w:rPr>
        <w:t>1</w:t>
      </w:r>
      <w:r w:rsidRPr="00EA6404">
        <w:rPr>
          <w:noProof/>
        </w:rPr>
        <w:fldChar w:fldCharType="end"/>
      </w:r>
    </w:p>
    <w:p w14:paraId="42D18181" w14:textId="44633B10" w:rsidR="00722FC3" w:rsidRPr="00EA6404" w:rsidRDefault="00722FC3">
      <w:pPr>
        <w:pStyle w:val="TOC5"/>
        <w:rPr>
          <w:rFonts w:asciiTheme="minorHAnsi" w:eastAsiaTheme="minorEastAsia" w:hAnsiTheme="minorHAnsi" w:cstheme="minorBidi"/>
          <w:noProof/>
          <w:kern w:val="0"/>
          <w:sz w:val="22"/>
          <w:szCs w:val="22"/>
        </w:rPr>
      </w:pPr>
      <w:r w:rsidRPr="00EA6404">
        <w:rPr>
          <w:noProof/>
        </w:rPr>
        <w:t>5  Schedules</w:t>
      </w:r>
      <w:r w:rsidRPr="00EA6404">
        <w:rPr>
          <w:noProof/>
        </w:rPr>
        <w:tab/>
      </w:r>
      <w:r w:rsidRPr="00EA6404">
        <w:rPr>
          <w:noProof/>
        </w:rPr>
        <w:fldChar w:fldCharType="begin"/>
      </w:r>
      <w:r w:rsidRPr="00EA6404">
        <w:rPr>
          <w:noProof/>
        </w:rPr>
        <w:instrText xml:space="preserve"> PAGEREF _Toc163582050 \h </w:instrText>
      </w:r>
      <w:r w:rsidRPr="00EA6404">
        <w:rPr>
          <w:noProof/>
        </w:rPr>
      </w:r>
      <w:r w:rsidRPr="00EA6404">
        <w:rPr>
          <w:noProof/>
        </w:rPr>
        <w:fldChar w:fldCharType="separate"/>
      </w:r>
      <w:r w:rsidRPr="00EA6404">
        <w:rPr>
          <w:noProof/>
        </w:rPr>
        <w:t>2</w:t>
      </w:r>
      <w:r w:rsidRPr="00EA6404">
        <w:rPr>
          <w:noProof/>
        </w:rPr>
        <w:fldChar w:fldCharType="end"/>
      </w:r>
    </w:p>
    <w:p w14:paraId="7A6217B0" w14:textId="320C5BEB" w:rsidR="00722FC3" w:rsidRPr="00EA6404" w:rsidRDefault="00722FC3">
      <w:pPr>
        <w:pStyle w:val="TOC5"/>
        <w:rPr>
          <w:rFonts w:asciiTheme="minorHAnsi" w:eastAsiaTheme="minorEastAsia" w:hAnsiTheme="minorHAnsi" w:cstheme="minorBidi"/>
          <w:noProof/>
          <w:kern w:val="0"/>
          <w:sz w:val="22"/>
          <w:szCs w:val="22"/>
        </w:rPr>
      </w:pPr>
      <w:r w:rsidRPr="00EA6404">
        <w:rPr>
          <w:noProof/>
        </w:rPr>
        <w:t>6  Specified circumstances</w:t>
      </w:r>
      <w:r w:rsidRPr="00EA6404">
        <w:rPr>
          <w:noProof/>
        </w:rPr>
        <w:tab/>
      </w:r>
      <w:r w:rsidRPr="00EA6404">
        <w:rPr>
          <w:noProof/>
        </w:rPr>
        <w:fldChar w:fldCharType="begin"/>
      </w:r>
      <w:r w:rsidRPr="00EA6404">
        <w:rPr>
          <w:noProof/>
        </w:rPr>
        <w:instrText xml:space="preserve"> PAGEREF _Toc163582051 \h </w:instrText>
      </w:r>
      <w:r w:rsidRPr="00EA6404">
        <w:rPr>
          <w:noProof/>
        </w:rPr>
      </w:r>
      <w:r w:rsidRPr="00EA6404">
        <w:rPr>
          <w:noProof/>
        </w:rPr>
        <w:fldChar w:fldCharType="separate"/>
      </w:r>
      <w:r w:rsidRPr="00EA6404">
        <w:rPr>
          <w:noProof/>
        </w:rPr>
        <w:t>2</w:t>
      </w:r>
      <w:r w:rsidRPr="00EA6404">
        <w:rPr>
          <w:noProof/>
        </w:rPr>
        <w:fldChar w:fldCharType="end"/>
      </w:r>
    </w:p>
    <w:p w14:paraId="2033B55F" w14:textId="026186D3" w:rsidR="00722FC3" w:rsidRPr="00EA6404" w:rsidRDefault="00722FC3">
      <w:pPr>
        <w:pStyle w:val="TOC6"/>
        <w:rPr>
          <w:rFonts w:asciiTheme="minorHAnsi" w:eastAsiaTheme="minorEastAsia" w:hAnsiTheme="minorHAnsi" w:cstheme="minorBidi"/>
          <w:b w:val="0"/>
          <w:bCs/>
          <w:noProof/>
          <w:kern w:val="0"/>
          <w:sz w:val="22"/>
          <w:szCs w:val="22"/>
        </w:rPr>
      </w:pPr>
      <w:r w:rsidRPr="00EA6404">
        <w:rPr>
          <w:noProof/>
        </w:rPr>
        <w:t>Schedule 1—Repeals</w:t>
      </w:r>
      <w:r w:rsidRPr="00EA6404">
        <w:rPr>
          <w:b w:val="0"/>
          <w:bCs/>
          <w:noProof/>
        </w:rPr>
        <w:tab/>
      </w:r>
      <w:r w:rsidRPr="00EA6404">
        <w:rPr>
          <w:b w:val="0"/>
          <w:bCs/>
          <w:noProof/>
          <w:sz w:val="18"/>
          <w:szCs w:val="14"/>
        </w:rPr>
        <w:fldChar w:fldCharType="begin"/>
      </w:r>
      <w:r w:rsidRPr="00EA6404">
        <w:rPr>
          <w:b w:val="0"/>
          <w:bCs/>
          <w:noProof/>
          <w:sz w:val="18"/>
          <w:szCs w:val="14"/>
        </w:rPr>
        <w:instrText xml:space="preserve"> PAGEREF _Toc163582052 \h </w:instrText>
      </w:r>
      <w:r w:rsidRPr="00EA6404">
        <w:rPr>
          <w:b w:val="0"/>
          <w:bCs/>
          <w:noProof/>
          <w:sz w:val="18"/>
          <w:szCs w:val="14"/>
        </w:rPr>
      </w:r>
      <w:r w:rsidRPr="00EA6404">
        <w:rPr>
          <w:b w:val="0"/>
          <w:bCs/>
          <w:noProof/>
          <w:sz w:val="18"/>
          <w:szCs w:val="14"/>
        </w:rPr>
        <w:fldChar w:fldCharType="separate"/>
      </w:r>
      <w:r w:rsidRPr="00EA6404">
        <w:rPr>
          <w:b w:val="0"/>
          <w:bCs/>
          <w:noProof/>
          <w:sz w:val="18"/>
          <w:szCs w:val="14"/>
        </w:rPr>
        <w:t>4</w:t>
      </w:r>
      <w:r w:rsidRPr="00EA6404">
        <w:rPr>
          <w:b w:val="0"/>
          <w:bCs/>
          <w:noProof/>
          <w:sz w:val="18"/>
          <w:szCs w:val="14"/>
        </w:rPr>
        <w:fldChar w:fldCharType="end"/>
      </w:r>
    </w:p>
    <w:p w14:paraId="7AC1CFDB" w14:textId="7A8D358D" w:rsidR="00722FC3" w:rsidRPr="00EA6404" w:rsidRDefault="00722FC3">
      <w:pPr>
        <w:pStyle w:val="TOC9"/>
        <w:rPr>
          <w:rFonts w:asciiTheme="minorHAnsi" w:eastAsiaTheme="minorEastAsia" w:hAnsiTheme="minorHAnsi" w:cstheme="minorBidi"/>
          <w:i w:val="0"/>
          <w:noProof/>
          <w:kern w:val="0"/>
          <w:sz w:val="22"/>
          <w:szCs w:val="22"/>
        </w:rPr>
      </w:pPr>
      <w:r w:rsidRPr="00EA6404">
        <w:rPr>
          <w:noProof/>
        </w:rPr>
        <w:t>Excise (Blending Exemptions) Determination 2014 (No. 1)</w:t>
      </w:r>
      <w:r w:rsidRPr="00EA6404">
        <w:rPr>
          <w:i w:val="0"/>
          <w:iCs/>
          <w:noProof/>
          <w:sz w:val="18"/>
          <w:szCs w:val="18"/>
        </w:rPr>
        <w:tab/>
      </w:r>
      <w:r w:rsidRPr="00EA6404">
        <w:rPr>
          <w:i w:val="0"/>
          <w:iCs/>
          <w:noProof/>
          <w:sz w:val="18"/>
          <w:szCs w:val="18"/>
        </w:rPr>
        <w:fldChar w:fldCharType="begin"/>
      </w:r>
      <w:r w:rsidRPr="00EA6404">
        <w:rPr>
          <w:i w:val="0"/>
          <w:iCs/>
          <w:noProof/>
          <w:sz w:val="18"/>
          <w:szCs w:val="18"/>
        </w:rPr>
        <w:instrText xml:space="preserve"> PAGEREF _Toc163582053 \h </w:instrText>
      </w:r>
      <w:r w:rsidRPr="00EA6404">
        <w:rPr>
          <w:i w:val="0"/>
          <w:iCs/>
          <w:noProof/>
          <w:sz w:val="18"/>
          <w:szCs w:val="18"/>
        </w:rPr>
      </w:r>
      <w:r w:rsidRPr="00EA6404">
        <w:rPr>
          <w:i w:val="0"/>
          <w:iCs/>
          <w:noProof/>
          <w:sz w:val="18"/>
          <w:szCs w:val="18"/>
        </w:rPr>
        <w:fldChar w:fldCharType="separate"/>
      </w:r>
      <w:r w:rsidRPr="00EA6404">
        <w:rPr>
          <w:i w:val="0"/>
          <w:iCs/>
          <w:noProof/>
          <w:sz w:val="18"/>
          <w:szCs w:val="18"/>
        </w:rPr>
        <w:t>4</w:t>
      </w:r>
      <w:r w:rsidRPr="00EA6404">
        <w:rPr>
          <w:i w:val="0"/>
          <w:iCs/>
          <w:noProof/>
          <w:sz w:val="18"/>
          <w:szCs w:val="18"/>
        </w:rPr>
        <w:fldChar w:fldCharType="end"/>
      </w:r>
    </w:p>
    <w:p w14:paraId="15F7C34C" w14:textId="58DA3694" w:rsidR="00F6696E" w:rsidRPr="00EA6404" w:rsidRDefault="00B418CB" w:rsidP="00F6696E">
      <w:pPr>
        <w:outlineLvl w:val="0"/>
      </w:pPr>
      <w:r w:rsidRPr="00EA6404">
        <w:fldChar w:fldCharType="end"/>
      </w:r>
    </w:p>
    <w:p w14:paraId="5D0BF37A" w14:textId="77777777" w:rsidR="00F6696E" w:rsidRPr="00EA6404" w:rsidRDefault="00F6696E" w:rsidP="00F6696E">
      <w:pPr>
        <w:outlineLvl w:val="0"/>
        <w:rPr>
          <w:sz w:val="20"/>
        </w:rPr>
      </w:pPr>
    </w:p>
    <w:p w14:paraId="2E888A5B" w14:textId="77777777" w:rsidR="00F6696E" w:rsidRPr="00EA6404" w:rsidRDefault="00F6696E" w:rsidP="00F6696E">
      <w:pPr>
        <w:sectPr w:rsidR="00F6696E" w:rsidRPr="00EA6404" w:rsidSect="00B03F0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7308246" w14:textId="77777777" w:rsidR="00554826" w:rsidRPr="00EA6404" w:rsidRDefault="00554826" w:rsidP="00554826">
      <w:pPr>
        <w:pStyle w:val="ActHead5"/>
      </w:pPr>
      <w:bookmarkStart w:id="0" w:name="_Toc163582046"/>
      <w:r w:rsidRPr="00EA6404">
        <w:lastRenderedPageBreak/>
        <w:t>1  Name</w:t>
      </w:r>
      <w:bookmarkEnd w:id="0"/>
    </w:p>
    <w:p w14:paraId="2B02A0A1" w14:textId="2C78693A" w:rsidR="00554826" w:rsidRPr="00EA6404" w:rsidRDefault="00554826" w:rsidP="00554826">
      <w:pPr>
        <w:pStyle w:val="subsection"/>
      </w:pPr>
      <w:r w:rsidRPr="00EA6404">
        <w:tab/>
      </w:r>
      <w:r w:rsidRPr="00EA6404">
        <w:tab/>
        <w:t xml:space="preserve">This instrument is the </w:t>
      </w:r>
      <w:r w:rsidR="00F8634B" w:rsidRPr="00EA6404">
        <w:rPr>
          <w:i/>
        </w:rPr>
        <w:t xml:space="preserve">Excise (Blending </w:t>
      </w:r>
      <w:r w:rsidR="004C2F98" w:rsidRPr="00EA6404">
        <w:rPr>
          <w:i/>
        </w:rPr>
        <w:t>E</w:t>
      </w:r>
      <w:r w:rsidR="00F8634B" w:rsidRPr="00EA6404">
        <w:rPr>
          <w:i/>
        </w:rPr>
        <w:t xml:space="preserve">xemptions) </w:t>
      </w:r>
      <w:r w:rsidR="00E06986" w:rsidRPr="00EA6404">
        <w:rPr>
          <w:i/>
        </w:rPr>
        <w:t>Instrument</w:t>
      </w:r>
      <w:r w:rsidR="0035087A" w:rsidRPr="00EA6404">
        <w:rPr>
          <w:i/>
        </w:rPr>
        <w:t xml:space="preserve"> </w:t>
      </w:r>
      <w:r w:rsidR="00F8634B" w:rsidRPr="00EA6404">
        <w:rPr>
          <w:i/>
        </w:rPr>
        <w:t>2024</w:t>
      </w:r>
      <w:r w:rsidRPr="00EA6404">
        <w:t>.</w:t>
      </w:r>
    </w:p>
    <w:p w14:paraId="1ED91B3B" w14:textId="77777777" w:rsidR="00554826" w:rsidRPr="00EA6404" w:rsidRDefault="00554826" w:rsidP="00554826">
      <w:pPr>
        <w:pStyle w:val="ActHead5"/>
      </w:pPr>
      <w:bookmarkStart w:id="1" w:name="_Toc163582047"/>
      <w:r w:rsidRPr="00EA6404">
        <w:t>2  Commencement</w:t>
      </w:r>
      <w:bookmarkEnd w:id="1"/>
    </w:p>
    <w:p w14:paraId="09F658A4" w14:textId="77777777" w:rsidR="003767E2" w:rsidRPr="00EA6404" w:rsidRDefault="003767E2" w:rsidP="003767E2">
      <w:pPr>
        <w:pStyle w:val="subsection"/>
      </w:pPr>
      <w:r w:rsidRPr="00EA6404">
        <w:tab/>
        <w:t>(1)</w:t>
      </w:r>
      <w:r w:rsidRPr="00EA6404">
        <w:tab/>
        <w:t>Each provision of this instrument specified in column 1 of the table commences, or is taken to have commenced, in accordance with column 2 of the table. Any other statement in column 2 has effect according to its terms.</w:t>
      </w:r>
    </w:p>
    <w:p w14:paraId="4AB33384" w14:textId="77777777" w:rsidR="003767E2" w:rsidRPr="00EA640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EA6404" w14:paraId="4D34B1B4" w14:textId="77777777" w:rsidTr="00B03F09">
        <w:trPr>
          <w:tblHeader/>
        </w:trPr>
        <w:tc>
          <w:tcPr>
            <w:tcW w:w="8364" w:type="dxa"/>
            <w:gridSpan w:val="3"/>
            <w:tcBorders>
              <w:top w:val="single" w:sz="12" w:space="0" w:color="auto"/>
              <w:bottom w:val="single" w:sz="6" w:space="0" w:color="auto"/>
            </w:tcBorders>
            <w:shd w:val="clear" w:color="auto" w:fill="auto"/>
            <w:hideMark/>
          </w:tcPr>
          <w:p w14:paraId="57CC21AC" w14:textId="77777777" w:rsidR="003767E2" w:rsidRPr="00EA6404" w:rsidRDefault="003767E2" w:rsidP="00B03F09">
            <w:pPr>
              <w:pStyle w:val="TableHeading"/>
            </w:pPr>
            <w:r w:rsidRPr="00EA6404">
              <w:t>Commencement information</w:t>
            </w:r>
          </w:p>
        </w:tc>
      </w:tr>
      <w:tr w:rsidR="003767E2" w:rsidRPr="00EA6404" w14:paraId="7A5CD8C5" w14:textId="77777777" w:rsidTr="00B03F09">
        <w:trPr>
          <w:tblHeader/>
        </w:trPr>
        <w:tc>
          <w:tcPr>
            <w:tcW w:w="2127" w:type="dxa"/>
            <w:tcBorders>
              <w:top w:val="single" w:sz="6" w:space="0" w:color="auto"/>
              <w:bottom w:val="single" w:sz="6" w:space="0" w:color="auto"/>
            </w:tcBorders>
            <w:shd w:val="clear" w:color="auto" w:fill="auto"/>
            <w:hideMark/>
          </w:tcPr>
          <w:p w14:paraId="799227A5" w14:textId="77777777" w:rsidR="003767E2" w:rsidRPr="00EA6404" w:rsidRDefault="003767E2" w:rsidP="00B03F09">
            <w:pPr>
              <w:pStyle w:val="TableHeading"/>
            </w:pPr>
            <w:r w:rsidRPr="00EA6404">
              <w:t>Column 1</w:t>
            </w:r>
          </w:p>
        </w:tc>
        <w:tc>
          <w:tcPr>
            <w:tcW w:w="4394" w:type="dxa"/>
            <w:tcBorders>
              <w:top w:val="single" w:sz="6" w:space="0" w:color="auto"/>
              <w:bottom w:val="single" w:sz="6" w:space="0" w:color="auto"/>
            </w:tcBorders>
            <w:shd w:val="clear" w:color="auto" w:fill="auto"/>
            <w:hideMark/>
          </w:tcPr>
          <w:p w14:paraId="7707DC4D" w14:textId="77777777" w:rsidR="003767E2" w:rsidRPr="00EA6404" w:rsidRDefault="003767E2" w:rsidP="00B03F09">
            <w:pPr>
              <w:pStyle w:val="TableHeading"/>
            </w:pPr>
            <w:r w:rsidRPr="00EA6404">
              <w:t>Column 2</w:t>
            </w:r>
          </w:p>
        </w:tc>
        <w:tc>
          <w:tcPr>
            <w:tcW w:w="1843" w:type="dxa"/>
            <w:tcBorders>
              <w:top w:val="single" w:sz="6" w:space="0" w:color="auto"/>
              <w:bottom w:val="single" w:sz="6" w:space="0" w:color="auto"/>
            </w:tcBorders>
            <w:shd w:val="clear" w:color="auto" w:fill="auto"/>
            <w:hideMark/>
          </w:tcPr>
          <w:p w14:paraId="039B5D74" w14:textId="77777777" w:rsidR="003767E2" w:rsidRPr="00EA6404" w:rsidRDefault="003767E2" w:rsidP="00B03F09">
            <w:pPr>
              <w:pStyle w:val="TableHeading"/>
            </w:pPr>
            <w:r w:rsidRPr="00EA6404">
              <w:t>Column 3</w:t>
            </w:r>
          </w:p>
        </w:tc>
      </w:tr>
      <w:tr w:rsidR="003767E2" w:rsidRPr="00EA6404" w14:paraId="517600E8" w14:textId="77777777" w:rsidTr="00B03F09">
        <w:trPr>
          <w:tblHeader/>
        </w:trPr>
        <w:tc>
          <w:tcPr>
            <w:tcW w:w="2127" w:type="dxa"/>
            <w:tcBorders>
              <w:top w:val="single" w:sz="6" w:space="0" w:color="auto"/>
              <w:bottom w:val="single" w:sz="12" w:space="0" w:color="auto"/>
            </w:tcBorders>
            <w:shd w:val="clear" w:color="auto" w:fill="auto"/>
            <w:hideMark/>
          </w:tcPr>
          <w:p w14:paraId="56F4EF28" w14:textId="77777777" w:rsidR="003767E2" w:rsidRPr="00EA6404" w:rsidRDefault="003767E2" w:rsidP="00B03F09">
            <w:pPr>
              <w:pStyle w:val="TableHeading"/>
            </w:pPr>
            <w:r w:rsidRPr="00EA6404">
              <w:t>Provisions</w:t>
            </w:r>
          </w:p>
        </w:tc>
        <w:tc>
          <w:tcPr>
            <w:tcW w:w="4394" w:type="dxa"/>
            <w:tcBorders>
              <w:top w:val="single" w:sz="6" w:space="0" w:color="auto"/>
              <w:bottom w:val="single" w:sz="12" w:space="0" w:color="auto"/>
            </w:tcBorders>
            <w:shd w:val="clear" w:color="auto" w:fill="auto"/>
            <w:hideMark/>
          </w:tcPr>
          <w:p w14:paraId="0D87B976" w14:textId="77777777" w:rsidR="003767E2" w:rsidRPr="00EA6404" w:rsidRDefault="003767E2" w:rsidP="00B03F09">
            <w:pPr>
              <w:pStyle w:val="TableHeading"/>
            </w:pPr>
            <w:r w:rsidRPr="00EA6404">
              <w:t>Commencement</w:t>
            </w:r>
          </w:p>
        </w:tc>
        <w:tc>
          <w:tcPr>
            <w:tcW w:w="1843" w:type="dxa"/>
            <w:tcBorders>
              <w:top w:val="single" w:sz="6" w:space="0" w:color="auto"/>
              <w:bottom w:val="single" w:sz="12" w:space="0" w:color="auto"/>
            </w:tcBorders>
            <w:shd w:val="clear" w:color="auto" w:fill="auto"/>
            <w:hideMark/>
          </w:tcPr>
          <w:p w14:paraId="2AE294DF" w14:textId="77777777" w:rsidR="003767E2" w:rsidRPr="00EA6404" w:rsidRDefault="003767E2" w:rsidP="00B03F09">
            <w:pPr>
              <w:pStyle w:val="TableHeading"/>
            </w:pPr>
            <w:r w:rsidRPr="00EA6404">
              <w:t>Date/Details</w:t>
            </w:r>
          </w:p>
        </w:tc>
      </w:tr>
      <w:tr w:rsidR="003767E2" w:rsidRPr="00EA6404" w14:paraId="58E8118F" w14:textId="77777777" w:rsidTr="00B03F09">
        <w:tc>
          <w:tcPr>
            <w:tcW w:w="2127" w:type="dxa"/>
            <w:tcBorders>
              <w:top w:val="single" w:sz="12" w:space="0" w:color="auto"/>
              <w:bottom w:val="single" w:sz="12" w:space="0" w:color="auto"/>
            </w:tcBorders>
            <w:shd w:val="clear" w:color="auto" w:fill="auto"/>
            <w:hideMark/>
          </w:tcPr>
          <w:p w14:paraId="370DB294" w14:textId="4732A880" w:rsidR="003767E2" w:rsidRPr="00EA6404" w:rsidRDefault="003767E2" w:rsidP="00B03F09">
            <w:pPr>
              <w:pStyle w:val="Tabletext"/>
              <w:rPr>
                <w:i/>
              </w:rPr>
            </w:pPr>
            <w:r w:rsidRPr="00EA6404">
              <w:t xml:space="preserve">1.  </w:t>
            </w:r>
            <w:r w:rsidR="006455E4" w:rsidRPr="00EA6404">
              <w:rPr>
                <w:iCs/>
              </w:rPr>
              <w:t xml:space="preserve">The whole of this instrument </w:t>
            </w:r>
          </w:p>
        </w:tc>
        <w:tc>
          <w:tcPr>
            <w:tcW w:w="4394" w:type="dxa"/>
            <w:tcBorders>
              <w:top w:val="single" w:sz="12" w:space="0" w:color="auto"/>
              <w:bottom w:val="single" w:sz="12" w:space="0" w:color="auto"/>
            </w:tcBorders>
            <w:shd w:val="clear" w:color="auto" w:fill="auto"/>
            <w:hideMark/>
          </w:tcPr>
          <w:p w14:paraId="238899A1" w14:textId="00704DDC" w:rsidR="003767E2" w:rsidRPr="00EA6404" w:rsidRDefault="008B6EA4" w:rsidP="00B03F09">
            <w:pPr>
              <w:pStyle w:val="Tabletext"/>
              <w:rPr>
                <w:iCs/>
              </w:rPr>
            </w:pPr>
            <w:r w:rsidRPr="00EA6404">
              <w:rPr>
                <w:iCs/>
              </w:rPr>
              <w:t xml:space="preserve">The day after this instrument is registered. </w:t>
            </w:r>
          </w:p>
        </w:tc>
        <w:tc>
          <w:tcPr>
            <w:tcW w:w="1843" w:type="dxa"/>
            <w:tcBorders>
              <w:top w:val="single" w:sz="12" w:space="0" w:color="auto"/>
              <w:bottom w:val="single" w:sz="12" w:space="0" w:color="auto"/>
            </w:tcBorders>
            <w:shd w:val="clear" w:color="auto" w:fill="auto"/>
          </w:tcPr>
          <w:p w14:paraId="4A7A825D" w14:textId="5CF6DD0D" w:rsidR="003767E2" w:rsidRPr="00EA6404" w:rsidRDefault="003767E2" w:rsidP="00B03F09">
            <w:pPr>
              <w:pStyle w:val="Tabletext"/>
              <w:rPr>
                <w:iCs/>
              </w:rPr>
            </w:pPr>
          </w:p>
        </w:tc>
      </w:tr>
    </w:tbl>
    <w:p w14:paraId="59F68ABE" w14:textId="77777777" w:rsidR="003767E2" w:rsidRPr="00EA6404" w:rsidRDefault="003767E2" w:rsidP="003767E2">
      <w:pPr>
        <w:pStyle w:val="notetext"/>
      </w:pPr>
      <w:r w:rsidRPr="00EA6404">
        <w:rPr>
          <w:snapToGrid w:val="0"/>
          <w:lang w:eastAsia="en-US"/>
        </w:rPr>
        <w:t>Note:</w:t>
      </w:r>
      <w:r w:rsidRPr="00EA6404">
        <w:rPr>
          <w:snapToGrid w:val="0"/>
          <w:lang w:eastAsia="en-US"/>
        </w:rPr>
        <w:tab/>
        <w:t>This table relates only to the provisions of this instrument</w:t>
      </w:r>
      <w:r w:rsidRPr="00EA6404">
        <w:t xml:space="preserve"> </w:t>
      </w:r>
      <w:r w:rsidRPr="00EA6404">
        <w:rPr>
          <w:snapToGrid w:val="0"/>
          <w:lang w:eastAsia="en-US"/>
        </w:rPr>
        <w:t>as originally made. It will not be amended to deal with any later amendments of this instrument.</w:t>
      </w:r>
    </w:p>
    <w:p w14:paraId="62357529" w14:textId="77777777" w:rsidR="003767E2" w:rsidRPr="00EA6404" w:rsidRDefault="003767E2" w:rsidP="003767E2">
      <w:pPr>
        <w:pStyle w:val="subsection"/>
      </w:pPr>
      <w:r w:rsidRPr="00EA6404">
        <w:tab/>
        <w:t>(2)</w:t>
      </w:r>
      <w:r w:rsidRPr="00EA6404">
        <w:tab/>
        <w:t>Any information in column 3 of the table is not part of this instrument. Information may be inserted in this column, or information in it may be edited, in any published version of this instrument.</w:t>
      </w:r>
    </w:p>
    <w:p w14:paraId="37DC9371" w14:textId="77777777" w:rsidR="00554826" w:rsidRPr="00EA6404" w:rsidRDefault="00554826" w:rsidP="00554826">
      <w:pPr>
        <w:pStyle w:val="ActHead5"/>
      </w:pPr>
      <w:bookmarkStart w:id="2" w:name="_Toc163582048"/>
      <w:r w:rsidRPr="00EA6404">
        <w:t>3  Authority</w:t>
      </w:r>
      <w:bookmarkEnd w:id="2"/>
    </w:p>
    <w:p w14:paraId="24111EF5" w14:textId="6B56378C" w:rsidR="00554826" w:rsidRPr="00EA6404" w:rsidRDefault="00554826" w:rsidP="00554826">
      <w:pPr>
        <w:pStyle w:val="subsection"/>
      </w:pPr>
      <w:r w:rsidRPr="00EA6404">
        <w:tab/>
      </w:r>
      <w:r w:rsidRPr="00EA6404">
        <w:tab/>
        <w:t xml:space="preserve">This instrument is made under </w:t>
      </w:r>
      <w:r w:rsidR="00F8634B" w:rsidRPr="00EA6404">
        <w:t>s</w:t>
      </w:r>
      <w:r w:rsidR="0035087A" w:rsidRPr="00EA6404">
        <w:t>ubs</w:t>
      </w:r>
      <w:r w:rsidR="00F8634B" w:rsidRPr="00EA6404">
        <w:t>ection 77H</w:t>
      </w:r>
      <w:r w:rsidR="0035087A" w:rsidRPr="00EA6404">
        <w:t>(4)</w:t>
      </w:r>
      <w:r w:rsidR="00F8634B" w:rsidRPr="00EA6404">
        <w:t xml:space="preserve"> of the </w:t>
      </w:r>
      <w:r w:rsidR="00F05A11" w:rsidRPr="00EA6404">
        <w:t>Act</w:t>
      </w:r>
      <w:r w:rsidRPr="00EA6404">
        <w:t>.</w:t>
      </w:r>
    </w:p>
    <w:p w14:paraId="3FDD6CBA" w14:textId="77777777" w:rsidR="00554826" w:rsidRPr="00EA6404" w:rsidRDefault="00554826" w:rsidP="00554826">
      <w:pPr>
        <w:pStyle w:val="ActHead5"/>
      </w:pPr>
      <w:bookmarkStart w:id="3" w:name="_Toc163582049"/>
      <w:r w:rsidRPr="00EA6404">
        <w:t>4  Definitions</w:t>
      </w:r>
      <w:bookmarkEnd w:id="3"/>
    </w:p>
    <w:p w14:paraId="2CA0FF9A" w14:textId="5B9EDDA0" w:rsidR="00554826" w:rsidRPr="00EA6404" w:rsidRDefault="00554826" w:rsidP="00554826">
      <w:pPr>
        <w:pStyle w:val="notetext"/>
      </w:pPr>
      <w:r w:rsidRPr="00EA6404">
        <w:t>Note:</w:t>
      </w:r>
      <w:r w:rsidRPr="00EA6404">
        <w:tab/>
        <w:t xml:space="preserve">A number of expressions used in this instrument are defined in </w:t>
      </w:r>
      <w:r w:rsidR="000C0327" w:rsidRPr="00EA6404">
        <w:t>section 4</w:t>
      </w:r>
      <w:r w:rsidRPr="00EA6404">
        <w:t xml:space="preserve"> of the Act, including the following:</w:t>
      </w:r>
    </w:p>
    <w:p w14:paraId="637E2663" w14:textId="3041CA57" w:rsidR="00851DBF" w:rsidRPr="00EA6404" w:rsidRDefault="00910EB9" w:rsidP="00910EB9">
      <w:pPr>
        <w:pStyle w:val="notepara"/>
      </w:pPr>
      <w:r w:rsidRPr="00EA6404">
        <w:t>(</w:t>
      </w:r>
      <w:r w:rsidR="00FB16FC" w:rsidRPr="00EA6404">
        <w:t>a</w:t>
      </w:r>
      <w:r w:rsidRPr="00EA6404">
        <w:t>)</w:t>
      </w:r>
      <w:r w:rsidRPr="00EA6404">
        <w:tab/>
      </w:r>
      <w:r w:rsidR="00851DBF" w:rsidRPr="00EA6404">
        <w:rPr>
          <w:i/>
          <w:iCs/>
        </w:rPr>
        <w:t xml:space="preserve">Duty </w:t>
      </w:r>
      <w:r w:rsidR="00851DBF" w:rsidRPr="00EA6404">
        <w:t xml:space="preserve">or </w:t>
      </w:r>
      <w:r w:rsidR="00851DBF" w:rsidRPr="00EA6404">
        <w:rPr>
          <w:i/>
          <w:iCs/>
        </w:rPr>
        <w:t>Excise duty</w:t>
      </w:r>
      <w:r w:rsidR="00460FF4" w:rsidRPr="00EA6404">
        <w:rPr>
          <w:i/>
          <w:iCs/>
        </w:rPr>
        <w:t>;</w:t>
      </w:r>
    </w:p>
    <w:p w14:paraId="377A7D3B" w14:textId="0C0AC2C1" w:rsidR="00554826" w:rsidRPr="00EA6404" w:rsidRDefault="00910EB9" w:rsidP="00E06986">
      <w:pPr>
        <w:pStyle w:val="notepara"/>
        <w:rPr>
          <w:i/>
          <w:iCs/>
        </w:rPr>
      </w:pPr>
      <w:r w:rsidRPr="00EA6404">
        <w:t>(</w:t>
      </w:r>
      <w:r w:rsidR="00FB16FC" w:rsidRPr="00EA6404">
        <w:t>b</w:t>
      </w:r>
      <w:r w:rsidRPr="00EA6404">
        <w:t>)</w:t>
      </w:r>
      <w:r w:rsidRPr="00EA6404">
        <w:tab/>
      </w:r>
      <w:r w:rsidR="000E37E4" w:rsidRPr="00EA6404">
        <w:rPr>
          <w:i/>
          <w:iCs/>
        </w:rPr>
        <w:t>f</w:t>
      </w:r>
      <w:r w:rsidR="002C3575" w:rsidRPr="00EA6404">
        <w:rPr>
          <w:i/>
          <w:iCs/>
        </w:rPr>
        <w:t>uel</w:t>
      </w:r>
      <w:r w:rsidR="00460FF4" w:rsidRPr="00EA6404">
        <w:rPr>
          <w:i/>
          <w:iCs/>
        </w:rPr>
        <w:t>;</w:t>
      </w:r>
    </w:p>
    <w:p w14:paraId="3391A436" w14:textId="7F03036E" w:rsidR="004C2F98" w:rsidRPr="00EA6404" w:rsidRDefault="00910EB9" w:rsidP="00E06986">
      <w:pPr>
        <w:pStyle w:val="notepara"/>
      </w:pPr>
      <w:r w:rsidRPr="00EA6404">
        <w:t>(</w:t>
      </w:r>
      <w:r w:rsidR="00FB16FC" w:rsidRPr="00EA6404">
        <w:t>c</w:t>
      </w:r>
      <w:r w:rsidRPr="00EA6404">
        <w:t>)</w:t>
      </w:r>
      <w:r w:rsidRPr="00EA6404">
        <w:tab/>
      </w:r>
      <w:r w:rsidR="004C2F98" w:rsidRPr="00EA6404">
        <w:rPr>
          <w:i/>
          <w:iCs/>
        </w:rPr>
        <w:t>LPG</w:t>
      </w:r>
      <w:r w:rsidR="0035087A" w:rsidRPr="00EA6404">
        <w:t>.</w:t>
      </w:r>
    </w:p>
    <w:p w14:paraId="6721AA3A" w14:textId="77777777" w:rsidR="00554826" w:rsidRPr="00EA6404" w:rsidRDefault="00554826" w:rsidP="00554826">
      <w:pPr>
        <w:pStyle w:val="subsection"/>
      </w:pPr>
      <w:r w:rsidRPr="00EA6404">
        <w:tab/>
      </w:r>
      <w:r w:rsidRPr="00EA6404">
        <w:tab/>
        <w:t>In this instrument:</w:t>
      </w:r>
    </w:p>
    <w:p w14:paraId="118C529B" w14:textId="161E07B1" w:rsidR="00554826" w:rsidRPr="00EA6404" w:rsidRDefault="00554826" w:rsidP="00554826">
      <w:pPr>
        <w:pStyle w:val="Definition"/>
      </w:pPr>
      <w:r w:rsidRPr="00EA6404">
        <w:rPr>
          <w:b/>
          <w:i/>
        </w:rPr>
        <w:t>Act</w:t>
      </w:r>
      <w:r w:rsidRPr="00EA6404">
        <w:t xml:space="preserve"> means the </w:t>
      </w:r>
      <w:r w:rsidR="00F8634B" w:rsidRPr="00EA6404">
        <w:rPr>
          <w:i/>
        </w:rPr>
        <w:t>Excise Act 1901</w:t>
      </w:r>
      <w:r w:rsidRPr="00EA6404">
        <w:t>.</w:t>
      </w:r>
    </w:p>
    <w:p w14:paraId="5D836481" w14:textId="7DEC9838" w:rsidR="00554826" w:rsidRPr="00EA6404" w:rsidRDefault="000E37E4" w:rsidP="00554826">
      <w:pPr>
        <w:pStyle w:val="Definition"/>
      </w:pPr>
      <w:r w:rsidRPr="00EA6404">
        <w:rPr>
          <w:b/>
          <w:i/>
        </w:rPr>
        <w:t>e</w:t>
      </w:r>
      <w:r w:rsidR="00F8634B" w:rsidRPr="00EA6404">
        <w:rPr>
          <w:b/>
          <w:i/>
        </w:rPr>
        <w:t>ligible goods</w:t>
      </w:r>
      <w:r w:rsidR="00554826" w:rsidRPr="00EA6404">
        <w:rPr>
          <w:b/>
          <w:i/>
        </w:rPr>
        <w:t xml:space="preserve"> </w:t>
      </w:r>
      <w:r w:rsidRPr="00EA6404">
        <w:t xml:space="preserve">has the meaning </w:t>
      </w:r>
      <w:r w:rsidR="005E2370" w:rsidRPr="00EA6404">
        <w:t>given by</w:t>
      </w:r>
      <w:r w:rsidRPr="00EA6404">
        <w:t xml:space="preserve"> </w:t>
      </w:r>
      <w:r w:rsidR="00F05A11" w:rsidRPr="00EA6404">
        <w:t>subsection 77H(5) of the Act</w:t>
      </w:r>
      <w:r w:rsidR="00F8634B" w:rsidRPr="00EA6404">
        <w:t>.</w:t>
      </w:r>
    </w:p>
    <w:p w14:paraId="502F383D" w14:textId="30D131F5" w:rsidR="004C2F98" w:rsidRPr="00EA6404" w:rsidRDefault="000E37E4" w:rsidP="00554826">
      <w:pPr>
        <w:pStyle w:val="Definition"/>
        <w:rPr>
          <w:bCs/>
          <w:iCs/>
        </w:rPr>
      </w:pPr>
      <w:r w:rsidRPr="00EA6404">
        <w:rPr>
          <w:b/>
          <w:i/>
        </w:rPr>
        <w:t>m</w:t>
      </w:r>
      <w:r w:rsidR="005E0AB0" w:rsidRPr="00EA6404">
        <w:rPr>
          <w:b/>
          <w:i/>
        </w:rPr>
        <w:t xml:space="preserve">otor vehicle </w:t>
      </w:r>
      <w:r w:rsidR="0009015C" w:rsidRPr="00EA6404">
        <w:rPr>
          <w:bCs/>
          <w:iCs/>
        </w:rPr>
        <w:t>h</w:t>
      </w:r>
      <w:r w:rsidR="00761E35" w:rsidRPr="00EA6404">
        <w:rPr>
          <w:bCs/>
          <w:iCs/>
        </w:rPr>
        <w:t xml:space="preserve">as the meaning given by section 995-1 of the </w:t>
      </w:r>
      <w:r w:rsidR="00761E35" w:rsidRPr="00EA6404">
        <w:rPr>
          <w:bCs/>
          <w:i/>
        </w:rPr>
        <w:t>Income Tax Assessment Act 199</w:t>
      </w:r>
      <w:r w:rsidR="0025178F" w:rsidRPr="00EA6404">
        <w:rPr>
          <w:bCs/>
          <w:i/>
        </w:rPr>
        <w:t>7</w:t>
      </w:r>
      <w:r w:rsidR="00761E35" w:rsidRPr="00EA6404">
        <w:rPr>
          <w:bCs/>
          <w:i/>
        </w:rPr>
        <w:t xml:space="preserve">, </w:t>
      </w:r>
      <w:r w:rsidR="003D580D" w:rsidRPr="00EA6404">
        <w:rPr>
          <w:bCs/>
          <w:iCs/>
        </w:rPr>
        <w:t>except that it</w:t>
      </w:r>
      <w:r w:rsidR="00761E35" w:rsidRPr="00EA6404">
        <w:rPr>
          <w:bCs/>
          <w:iCs/>
        </w:rPr>
        <w:t xml:space="preserve"> does </w:t>
      </w:r>
      <w:r w:rsidR="005E0AB0" w:rsidRPr="00EA6404">
        <w:rPr>
          <w:bCs/>
          <w:iCs/>
        </w:rPr>
        <w:t>not include a vehicle</w:t>
      </w:r>
      <w:r w:rsidR="004C2F98" w:rsidRPr="00EA6404">
        <w:rPr>
          <w:bCs/>
          <w:iCs/>
        </w:rPr>
        <w:t>:</w:t>
      </w:r>
    </w:p>
    <w:p w14:paraId="7DAC2475" w14:textId="77777777" w:rsidR="00EA6404" w:rsidRDefault="00560E18" w:rsidP="00E06986">
      <w:pPr>
        <w:pStyle w:val="paragraph"/>
      </w:pPr>
      <w:r w:rsidRPr="00EA6404">
        <w:tab/>
        <w:t>(a)</w:t>
      </w:r>
      <w:r w:rsidRPr="00EA6404">
        <w:tab/>
      </w:r>
      <w:r w:rsidR="005E0AB0" w:rsidRPr="00EA6404">
        <w:t xml:space="preserve">designed merely to move goods with a forklift </w:t>
      </w:r>
      <w:r w:rsidR="00643CCA" w:rsidRPr="00EA6404">
        <w:t xml:space="preserve">that </w:t>
      </w:r>
      <w:r w:rsidR="005E0AB0" w:rsidRPr="00EA6404">
        <w:t>is for use primarily off public roads</w:t>
      </w:r>
      <w:r w:rsidR="000E5766" w:rsidRPr="00EA6404">
        <w:t>;</w:t>
      </w:r>
      <w:r w:rsidR="005E0AB0" w:rsidRPr="00EA6404">
        <w:t xml:space="preserve"> or</w:t>
      </w:r>
    </w:p>
    <w:p w14:paraId="1BBB8279" w14:textId="77777777" w:rsidR="00EA6404" w:rsidRDefault="000E5766" w:rsidP="00E06986">
      <w:pPr>
        <w:pStyle w:val="paragraph"/>
      </w:pPr>
      <w:r w:rsidRPr="00EA6404">
        <w:tab/>
        <w:t>(b)</w:t>
      </w:r>
      <w:r w:rsidRPr="00EA6404">
        <w:tab/>
      </w:r>
      <w:r w:rsidR="005E0AB0" w:rsidRPr="00EA6404">
        <w:t xml:space="preserve">of a kind prescribed by regulations </w:t>
      </w:r>
      <w:r w:rsidR="00643CCA" w:rsidRPr="00EA6404">
        <w:t xml:space="preserve">made </w:t>
      </w:r>
      <w:r w:rsidR="005E0AB0" w:rsidRPr="00EA6404">
        <w:t xml:space="preserve">for the purposes of paragraph </w:t>
      </w:r>
      <w:r w:rsidR="005E0AB0" w:rsidRPr="00EA6404">
        <w:rPr>
          <w:smallCaps/>
        </w:rPr>
        <w:t>41</w:t>
      </w:r>
      <w:r w:rsidR="003F154D" w:rsidRPr="00EA6404">
        <w:rPr>
          <w:smallCaps/>
        </w:rPr>
        <w:noBreakHyphen/>
      </w:r>
      <w:r w:rsidR="005E0AB0" w:rsidRPr="00EA6404">
        <w:rPr>
          <w:smallCaps/>
        </w:rPr>
        <w:t>10(4</w:t>
      </w:r>
      <w:r w:rsidR="005E0AB0" w:rsidRPr="00EA6404">
        <w:t xml:space="preserve">)(b) of the </w:t>
      </w:r>
      <w:r w:rsidR="005E0AB0" w:rsidRPr="00EA6404">
        <w:rPr>
          <w:bCs/>
          <w:i/>
        </w:rPr>
        <w:t>Fuel Tax Act 2006</w:t>
      </w:r>
      <w:r w:rsidR="005E0AB0" w:rsidRPr="00EA6404">
        <w:t>.</w:t>
      </w:r>
    </w:p>
    <w:p w14:paraId="1990F41E" w14:textId="4FFF99C9" w:rsidR="00875F62" w:rsidRPr="00EA6404" w:rsidRDefault="00D152CB" w:rsidP="00554826">
      <w:pPr>
        <w:pStyle w:val="Definition"/>
        <w:rPr>
          <w:bCs/>
          <w:i/>
        </w:rPr>
      </w:pPr>
      <w:r w:rsidRPr="00EA6404">
        <w:rPr>
          <w:b/>
          <w:i/>
        </w:rPr>
        <w:t>E</w:t>
      </w:r>
      <w:r w:rsidR="00270BE9" w:rsidRPr="00EA6404">
        <w:rPr>
          <w:b/>
          <w:i/>
        </w:rPr>
        <w:t xml:space="preserve">xcise </w:t>
      </w:r>
      <w:r w:rsidR="008A4467" w:rsidRPr="00EA6404">
        <w:rPr>
          <w:b/>
          <w:i/>
        </w:rPr>
        <w:t xml:space="preserve">Tariff </w:t>
      </w:r>
      <w:r w:rsidR="00875F62" w:rsidRPr="00EA6404">
        <w:rPr>
          <w:b/>
          <w:i/>
        </w:rPr>
        <w:t xml:space="preserve">Schedule </w:t>
      </w:r>
      <w:r w:rsidR="00875F62" w:rsidRPr="00EA6404">
        <w:rPr>
          <w:bCs/>
          <w:iCs/>
        </w:rPr>
        <w:t xml:space="preserve">means </w:t>
      </w:r>
      <w:r w:rsidR="00270BE9" w:rsidRPr="00EA6404">
        <w:rPr>
          <w:bCs/>
          <w:iCs/>
        </w:rPr>
        <w:t xml:space="preserve">the </w:t>
      </w:r>
      <w:r w:rsidR="00875F62" w:rsidRPr="00EA6404">
        <w:rPr>
          <w:bCs/>
          <w:iCs/>
        </w:rPr>
        <w:t xml:space="preserve">Schedule to the </w:t>
      </w:r>
      <w:r w:rsidR="00875F62" w:rsidRPr="00EA6404">
        <w:rPr>
          <w:bCs/>
          <w:i/>
        </w:rPr>
        <w:t>Excise Tariff Act 1921.</w:t>
      </w:r>
    </w:p>
    <w:p w14:paraId="61940E95" w14:textId="5803D127" w:rsidR="00293208" w:rsidRPr="00EA6404" w:rsidRDefault="00293208" w:rsidP="00554826">
      <w:pPr>
        <w:pStyle w:val="Definition"/>
        <w:rPr>
          <w:bCs/>
          <w:iCs/>
        </w:rPr>
      </w:pPr>
      <w:r w:rsidRPr="00EA6404">
        <w:rPr>
          <w:b/>
          <w:i/>
        </w:rPr>
        <w:t>prescribed container</w:t>
      </w:r>
      <w:r w:rsidR="00345481" w:rsidRPr="00EA6404">
        <w:rPr>
          <w:b/>
          <w:i/>
        </w:rPr>
        <w:t xml:space="preserve"> or tank</w:t>
      </w:r>
      <w:r w:rsidRPr="00EA6404">
        <w:rPr>
          <w:bCs/>
          <w:iCs/>
        </w:rPr>
        <w:t xml:space="preserve"> means:</w:t>
      </w:r>
    </w:p>
    <w:p w14:paraId="3D277B3A" w14:textId="77777777" w:rsidR="00EA6404" w:rsidRDefault="00293208" w:rsidP="00F25132">
      <w:pPr>
        <w:pStyle w:val="paragraph"/>
      </w:pPr>
      <w:r w:rsidRPr="00EA6404">
        <w:lastRenderedPageBreak/>
        <w:tab/>
        <w:t>(a)</w:t>
      </w:r>
      <w:r w:rsidRPr="00EA6404">
        <w:tab/>
      </w:r>
      <w:r w:rsidR="00B3731C" w:rsidRPr="00EA6404">
        <w:t xml:space="preserve">a </w:t>
      </w:r>
      <w:r w:rsidRPr="00EA6404">
        <w:t>container that is capable of containing not more than 210 kilograms of LPG;</w:t>
      </w:r>
    </w:p>
    <w:p w14:paraId="49D1313B" w14:textId="03891641" w:rsidR="00293208" w:rsidRPr="00EA6404" w:rsidRDefault="00293208" w:rsidP="00F25132">
      <w:pPr>
        <w:pStyle w:val="paragraph"/>
      </w:pPr>
      <w:r w:rsidRPr="00EA6404">
        <w:tab/>
        <w:t>(b)</w:t>
      </w:r>
      <w:r w:rsidRPr="00EA6404">
        <w:tab/>
        <w:t xml:space="preserve">a tank at </w:t>
      </w:r>
      <w:r w:rsidR="00127B88" w:rsidRPr="00EA6404">
        <w:t xml:space="preserve">a </w:t>
      </w:r>
      <w:r w:rsidRPr="00EA6404">
        <w:t>residential premises</w:t>
      </w:r>
      <w:r w:rsidR="00127B88" w:rsidRPr="00EA6404">
        <w:t xml:space="preserve"> in which blending of eligible goods occurs,</w:t>
      </w:r>
      <w:r w:rsidRPr="00EA6404">
        <w:t xml:space="preserve"> </w:t>
      </w:r>
      <w:r w:rsidR="00127B88" w:rsidRPr="00EA6404">
        <w:t>where</w:t>
      </w:r>
      <w:r w:rsidRPr="00EA6404">
        <w:t xml:space="preserve"> the resultant blend is not for use in carrying on an enterprise; or</w:t>
      </w:r>
    </w:p>
    <w:p w14:paraId="3974B989" w14:textId="65AD4771" w:rsidR="00293208" w:rsidRPr="00EA6404" w:rsidRDefault="00293208" w:rsidP="00F25132">
      <w:pPr>
        <w:pStyle w:val="paragraph"/>
      </w:pPr>
      <w:r w:rsidRPr="00EA6404">
        <w:tab/>
        <w:t>(c)</w:t>
      </w:r>
      <w:r w:rsidRPr="00EA6404">
        <w:tab/>
        <w:t>a tank that is for use in a system for supplying LPG to at least two residential premises (whether or not the system also supplies fuel to premises other than residential premises)</w:t>
      </w:r>
      <w:r w:rsidR="00F14F3D" w:rsidRPr="00EA6404">
        <w:t>.</w:t>
      </w:r>
    </w:p>
    <w:p w14:paraId="439AB156" w14:textId="19F7218D" w:rsidR="000B0CEE" w:rsidRPr="00EA6404" w:rsidRDefault="000B0CEE" w:rsidP="00444A7E">
      <w:pPr>
        <w:pStyle w:val="Definition"/>
        <w:rPr>
          <w:i/>
          <w:iCs/>
        </w:rPr>
      </w:pPr>
      <w:r w:rsidRPr="00EA6404">
        <w:rPr>
          <w:b/>
          <w:bCs/>
          <w:i/>
          <w:iCs/>
        </w:rPr>
        <w:t xml:space="preserve">v/v </w:t>
      </w:r>
      <w:r w:rsidRPr="00EA6404">
        <w:t xml:space="preserve">means volume per volume, </w:t>
      </w:r>
      <w:r w:rsidR="00460FF4" w:rsidRPr="00EA6404">
        <w:t>which</w:t>
      </w:r>
      <w:r w:rsidR="000E7FA5" w:rsidRPr="00EA6404">
        <w:t xml:space="preserve"> is a measure of the concentration of a substance in a solution</w:t>
      </w:r>
      <w:r w:rsidRPr="00EA6404">
        <w:t>.</w:t>
      </w:r>
    </w:p>
    <w:p w14:paraId="14B39390" w14:textId="77777777" w:rsidR="00554826" w:rsidRPr="00EA6404" w:rsidRDefault="00554826" w:rsidP="00554826">
      <w:pPr>
        <w:pStyle w:val="ActHead5"/>
      </w:pPr>
      <w:bookmarkStart w:id="4" w:name="_Toc454781205"/>
      <w:bookmarkStart w:id="5" w:name="_Toc163582050"/>
      <w:r w:rsidRPr="00EA6404">
        <w:t>5  Schedules</w:t>
      </w:r>
      <w:bookmarkEnd w:id="4"/>
      <w:bookmarkEnd w:id="5"/>
    </w:p>
    <w:p w14:paraId="4830C7F7" w14:textId="77777777" w:rsidR="00554826" w:rsidRPr="00EA6404" w:rsidRDefault="00554826" w:rsidP="00E06986">
      <w:pPr>
        <w:pStyle w:val="subsection"/>
      </w:pPr>
      <w:r w:rsidRPr="00EA6404">
        <w:tab/>
      </w:r>
      <w:r w:rsidRPr="00EA6404">
        <w:tab/>
        <w:t>Each instrument that is specified in a Schedule to this instrument is amended or repealed as set out in the applicable items in the Schedule concerned, and any other item in a Schedule to this instrument has effect according to its terms.</w:t>
      </w:r>
    </w:p>
    <w:p w14:paraId="1274219B" w14:textId="78D3B2DB" w:rsidR="00554826" w:rsidRPr="00EA6404" w:rsidRDefault="00554826" w:rsidP="00554826">
      <w:pPr>
        <w:pStyle w:val="ActHead5"/>
      </w:pPr>
      <w:bookmarkStart w:id="6" w:name="_Toc163582051"/>
      <w:r w:rsidRPr="00EA6404">
        <w:t xml:space="preserve">6  </w:t>
      </w:r>
      <w:r w:rsidR="00E06986" w:rsidRPr="00EA6404">
        <w:t xml:space="preserve">Specified </w:t>
      </w:r>
      <w:r w:rsidR="00C868D9" w:rsidRPr="00EA6404">
        <w:t>c</w:t>
      </w:r>
      <w:r w:rsidR="00E06986" w:rsidRPr="00EA6404">
        <w:t>ircumstances</w:t>
      </w:r>
      <w:bookmarkEnd w:id="6"/>
    </w:p>
    <w:p w14:paraId="1486C339" w14:textId="77777777" w:rsidR="00EA6404" w:rsidRDefault="00910EB9" w:rsidP="00E06986">
      <w:pPr>
        <w:pStyle w:val="subsection"/>
      </w:pPr>
      <w:r w:rsidRPr="00EA6404">
        <w:tab/>
      </w:r>
      <w:r w:rsidR="00FD535B" w:rsidRPr="00EA6404">
        <w:tab/>
      </w:r>
      <w:r w:rsidR="005A6BF5" w:rsidRPr="00EA6404">
        <w:t>For the purposes of subsection 77H</w:t>
      </w:r>
      <w:r w:rsidR="00C37D91" w:rsidRPr="00EA6404">
        <w:t>(</w:t>
      </w:r>
      <w:r w:rsidR="005A6BF5" w:rsidRPr="00EA6404">
        <w:t>3</w:t>
      </w:r>
      <w:r w:rsidR="00C37D91" w:rsidRPr="00EA6404">
        <w:t>)</w:t>
      </w:r>
      <w:r w:rsidR="005A6BF5" w:rsidRPr="00EA6404">
        <w:t xml:space="preserve"> of the Act, g</w:t>
      </w:r>
      <w:r w:rsidR="00EA1E17" w:rsidRPr="00EA6404">
        <w:t xml:space="preserve">oods that are the product of the blending of one or more eligible goods (with or without other substances) are taken not to be goods covered by paragraph 10(g) of the </w:t>
      </w:r>
      <w:r w:rsidR="00F27C71" w:rsidRPr="00EA6404">
        <w:t xml:space="preserve">Excise </w:t>
      </w:r>
      <w:r w:rsidR="008A4467" w:rsidRPr="00EA6404">
        <w:t xml:space="preserve">Tariff </w:t>
      </w:r>
      <w:r w:rsidR="00EA1E17" w:rsidRPr="00EA6404">
        <w:t>Schedule in circumstanc</w:t>
      </w:r>
      <w:r w:rsidR="004F3E88" w:rsidRPr="00EA6404">
        <w:t>es</w:t>
      </w:r>
      <w:r w:rsidR="00EC490B" w:rsidRPr="00EA6404">
        <w:t xml:space="preserve"> where</w:t>
      </w:r>
      <w:r w:rsidR="00CE7736" w:rsidRPr="00EA6404">
        <w:t>:</w:t>
      </w:r>
    </w:p>
    <w:p w14:paraId="33608B41" w14:textId="77777777" w:rsidR="00EA6404" w:rsidRDefault="00D70B11" w:rsidP="00F25132">
      <w:pPr>
        <w:pStyle w:val="paragraph"/>
      </w:pPr>
      <w:r w:rsidRPr="00EA6404">
        <w:tab/>
        <w:t>(a)</w:t>
      </w:r>
      <w:r w:rsidRPr="00EA6404">
        <w:tab/>
      </w:r>
      <w:r w:rsidR="00183EEA" w:rsidRPr="00EA6404">
        <w:t>o</w:t>
      </w:r>
      <w:r w:rsidR="00EA1E17" w:rsidRPr="00EA6404">
        <w:t xml:space="preserve">il and gasoline </w:t>
      </w:r>
      <w:r w:rsidR="004F3E88" w:rsidRPr="00EA6404">
        <w:t xml:space="preserve">are </w:t>
      </w:r>
      <w:r w:rsidR="00EA1E17" w:rsidRPr="00EA6404">
        <w:t xml:space="preserve">blended for use as two-stroke gasoline </w:t>
      </w:r>
      <w:r w:rsidR="0094048D" w:rsidRPr="00EA6404">
        <w:t xml:space="preserve">and </w:t>
      </w:r>
      <w:r w:rsidR="00EA1E17" w:rsidRPr="00EA6404">
        <w:t>duty has been paid on the</w:t>
      </w:r>
      <w:r w:rsidR="00F14F3D" w:rsidRPr="00EA6404">
        <w:t>:</w:t>
      </w:r>
    </w:p>
    <w:p w14:paraId="4C74C47A" w14:textId="10FC1FE7" w:rsidR="00F14F3D" w:rsidRPr="00EA6404" w:rsidRDefault="00F14F3D" w:rsidP="00F14F3D">
      <w:pPr>
        <w:pStyle w:val="paragraphsub"/>
        <w:rPr>
          <w:szCs w:val="22"/>
        </w:rPr>
      </w:pPr>
      <w:r w:rsidRPr="00EA6404">
        <w:rPr>
          <w:rStyle w:val="cf01"/>
          <w:rFonts w:ascii="Times New Roman" w:hAnsi="Times New Roman" w:cs="Times New Roman"/>
          <w:sz w:val="22"/>
          <w:szCs w:val="22"/>
        </w:rPr>
        <w:tab/>
        <w:t>(i)</w:t>
      </w:r>
      <w:r w:rsidRPr="00EA6404">
        <w:rPr>
          <w:rStyle w:val="cf01"/>
          <w:rFonts w:ascii="Times New Roman" w:hAnsi="Times New Roman" w:cs="Times New Roman"/>
          <w:sz w:val="22"/>
          <w:szCs w:val="22"/>
        </w:rPr>
        <w:tab/>
      </w:r>
      <w:r w:rsidRPr="00EA6404">
        <w:t>oil at the rate specified in item 15 of the Excise Tariff Schedule</w:t>
      </w:r>
      <w:r w:rsidRPr="00EA6404">
        <w:rPr>
          <w:rStyle w:val="cf01"/>
          <w:rFonts w:ascii="Times New Roman" w:hAnsi="Times New Roman" w:cs="Times New Roman"/>
          <w:sz w:val="22"/>
          <w:szCs w:val="22"/>
        </w:rPr>
        <w:t>; and</w:t>
      </w:r>
    </w:p>
    <w:p w14:paraId="36A24E5E" w14:textId="6A954D85" w:rsidR="00F14F3D" w:rsidRPr="00EA6404" w:rsidRDefault="00F14F3D" w:rsidP="00F14F3D">
      <w:pPr>
        <w:pStyle w:val="paragraphsub"/>
        <w:rPr>
          <w:szCs w:val="22"/>
        </w:rPr>
      </w:pPr>
      <w:r w:rsidRPr="00EA6404">
        <w:rPr>
          <w:rStyle w:val="cf01"/>
          <w:rFonts w:ascii="Times New Roman" w:hAnsi="Times New Roman" w:cs="Times New Roman"/>
          <w:sz w:val="22"/>
          <w:szCs w:val="22"/>
        </w:rPr>
        <w:tab/>
        <w:t>(ii)</w:t>
      </w:r>
      <w:r w:rsidRPr="00EA6404">
        <w:rPr>
          <w:rStyle w:val="cf01"/>
          <w:rFonts w:ascii="Times New Roman" w:hAnsi="Times New Roman" w:cs="Times New Roman"/>
          <w:sz w:val="22"/>
          <w:szCs w:val="22"/>
        </w:rPr>
        <w:tab/>
      </w:r>
      <w:r w:rsidRPr="00EA6404">
        <w:t>gasoline at the rate specified in subitem 10.5 of the Excise Tariff Schedule</w:t>
      </w:r>
      <w:r w:rsidR="00296F5D" w:rsidRPr="00EA6404">
        <w:rPr>
          <w:rStyle w:val="cf01"/>
          <w:rFonts w:ascii="Times New Roman" w:hAnsi="Times New Roman" w:cs="Times New Roman"/>
          <w:sz w:val="22"/>
          <w:szCs w:val="22"/>
        </w:rPr>
        <w:t>;</w:t>
      </w:r>
    </w:p>
    <w:p w14:paraId="2E8ECAA6" w14:textId="78DBE1B8" w:rsidR="009C721C" w:rsidRPr="00EA6404" w:rsidRDefault="009C721C" w:rsidP="00F25132">
      <w:pPr>
        <w:pStyle w:val="paragraph"/>
      </w:pPr>
      <w:r w:rsidRPr="00EA6404">
        <w:tab/>
        <w:t>(</w:t>
      </w:r>
      <w:r w:rsidR="00183EEA" w:rsidRPr="00EA6404">
        <w:t>b</w:t>
      </w:r>
      <w:r w:rsidRPr="00EA6404">
        <w:t>)</w:t>
      </w:r>
      <w:r w:rsidRPr="00EA6404">
        <w:tab/>
      </w:r>
      <w:r w:rsidR="00183EEA" w:rsidRPr="00EA6404">
        <w:t>a</w:t>
      </w:r>
      <w:r w:rsidR="00EA1E17" w:rsidRPr="00EA6404">
        <w:t xml:space="preserve">n incidental blend occurs </w:t>
      </w:r>
      <w:r w:rsidR="00296F5D" w:rsidRPr="00EA6404">
        <w:t xml:space="preserve">because </w:t>
      </w:r>
      <w:r w:rsidR="00EA1E17" w:rsidRPr="00EA6404">
        <w:t>eligible goods are placed in a tank containing remnants of eligible goods or another substance</w:t>
      </w:r>
      <w:r w:rsidR="00183EEA" w:rsidRPr="00EA6404">
        <w:t>;</w:t>
      </w:r>
    </w:p>
    <w:p w14:paraId="1D042A84" w14:textId="77777777" w:rsidR="00EA6404" w:rsidRDefault="00EA1E17" w:rsidP="00F25132">
      <w:pPr>
        <w:pStyle w:val="paragraph"/>
      </w:pPr>
      <w:r w:rsidRPr="00EA6404">
        <w:tab/>
        <w:t>(</w:t>
      </w:r>
      <w:r w:rsidR="00183EEA" w:rsidRPr="00EA6404">
        <w:t>c</w:t>
      </w:r>
      <w:r w:rsidRPr="00EA6404">
        <w:t>)</w:t>
      </w:r>
      <w:r w:rsidRPr="00EA6404">
        <w:tab/>
      </w:r>
      <w:r w:rsidR="00183EEA" w:rsidRPr="00EA6404">
        <w:t>d</w:t>
      </w:r>
      <w:r w:rsidR="0013142E" w:rsidRPr="00EA6404">
        <w:t>iesel or biodiesel</w:t>
      </w:r>
      <w:r w:rsidR="00F14F3D" w:rsidRPr="00EA6404">
        <w:t>,</w:t>
      </w:r>
      <w:r w:rsidR="0013142E" w:rsidRPr="00EA6404">
        <w:t xml:space="preserve"> on which duty has been paid</w:t>
      </w:r>
      <w:r w:rsidR="00F14F3D" w:rsidRPr="00EA6404">
        <w:t>,</w:t>
      </w:r>
      <w:r w:rsidR="0013142E" w:rsidRPr="00EA6404">
        <w:t xml:space="preserve"> is blended with stabilised crude petroleum oil not covered by paragraph 10(a) of the </w:t>
      </w:r>
      <w:r w:rsidR="00D152CB" w:rsidRPr="00EA6404">
        <w:t>E</w:t>
      </w:r>
      <w:r w:rsidR="00270BE9" w:rsidRPr="00EA6404">
        <w:t xml:space="preserve">xcise </w:t>
      </w:r>
      <w:r w:rsidR="008A4467" w:rsidRPr="00EA6404">
        <w:t xml:space="preserve">Tariff </w:t>
      </w:r>
      <w:r w:rsidR="0013142E" w:rsidRPr="00EA6404">
        <w:t>Schedule</w:t>
      </w:r>
      <w:r w:rsidR="006C04F7" w:rsidRPr="00EA6404">
        <w:t>;</w:t>
      </w:r>
    </w:p>
    <w:p w14:paraId="62743636" w14:textId="19CB0825" w:rsidR="00EA1E17" w:rsidRPr="00EA6404" w:rsidRDefault="00EA1E17" w:rsidP="00F25132">
      <w:pPr>
        <w:pStyle w:val="paragraph"/>
      </w:pPr>
      <w:r w:rsidRPr="00EA6404">
        <w:tab/>
        <w:t>(</w:t>
      </w:r>
      <w:r w:rsidR="00183EEA" w:rsidRPr="00EA6404">
        <w:t>d</w:t>
      </w:r>
      <w:r w:rsidRPr="00EA6404">
        <w:t>)</w:t>
      </w:r>
      <w:r w:rsidRPr="00EA6404">
        <w:tab/>
      </w:r>
      <w:r w:rsidR="00183EEA" w:rsidRPr="00EA6404">
        <w:t>e</w:t>
      </w:r>
      <w:r w:rsidR="0013142E" w:rsidRPr="00EA6404">
        <w:t>ligible goods</w:t>
      </w:r>
      <w:r w:rsidR="0002369F" w:rsidRPr="00EA6404">
        <w:t>,</w:t>
      </w:r>
      <w:r w:rsidR="0013142E" w:rsidRPr="00EA6404">
        <w:t xml:space="preserve"> on which duty has been paid</w:t>
      </w:r>
      <w:r w:rsidR="0002369F" w:rsidRPr="00EA6404">
        <w:t>,</w:t>
      </w:r>
      <w:r w:rsidR="0013142E" w:rsidRPr="00EA6404">
        <w:t xml:space="preserve"> are blended with a dye</w:t>
      </w:r>
      <w:r w:rsidR="006C04F7" w:rsidRPr="00EA6404">
        <w:t>;</w:t>
      </w:r>
    </w:p>
    <w:p w14:paraId="0B3F34E7" w14:textId="3450B77B" w:rsidR="007D27A2" w:rsidRPr="00EA6404" w:rsidRDefault="00EA1E17" w:rsidP="005B0A1E">
      <w:pPr>
        <w:pStyle w:val="paragraph"/>
        <w:rPr>
          <w:szCs w:val="22"/>
        </w:rPr>
      </w:pPr>
      <w:r w:rsidRPr="00EA6404">
        <w:tab/>
      </w:r>
      <w:r w:rsidR="007D27A2" w:rsidRPr="00EA6404">
        <w:rPr>
          <w:rStyle w:val="cf01"/>
          <w:rFonts w:ascii="Times New Roman" w:hAnsi="Times New Roman" w:cs="Times New Roman"/>
          <w:sz w:val="22"/>
          <w:szCs w:val="22"/>
        </w:rPr>
        <w:t>(e)</w:t>
      </w:r>
      <w:r w:rsidR="007D27A2" w:rsidRPr="00EA6404">
        <w:rPr>
          <w:rStyle w:val="cf01"/>
          <w:rFonts w:ascii="Times New Roman" w:hAnsi="Times New Roman" w:cs="Times New Roman"/>
          <w:sz w:val="22"/>
          <w:szCs w:val="22"/>
        </w:rPr>
        <w:tab/>
        <w:t>eligible goods, on which duty has been paid, are blended with prepared additives</w:t>
      </w:r>
      <w:r w:rsidR="00296F5D" w:rsidRPr="00EA6404">
        <w:rPr>
          <w:rStyle w:val="cf01"/>
          <w:rFonts w:ascii="Times New Roman" w:hAnsi="Times New Roman" w:cs="Times New Roman"/>
          <w:sz w:val="22"/>
          <w:szCs w:val="22"/>
        </w:rPr>
        <w:t xml:space="preserve"> and</w:t>
      </w:r>
      <w:r w:rsidR="007D27A2" w:rsidRPr="00EA6404">
        <w:rPr>
          <w:rStyle w:val="cf01"/>
          <w:rFonts w:ascii="Times New Roman" w:hAnsi="Times New Roman" w:cs="Times New Roman"/>
          <w:sz w:val="22"/>
          <w:szCs w:val="22"/>
        </w:rPr>
        <w:t>:</w:t>
      </w:r>
    </w:p>
    <w:p w14:paraId="12DD3CD1" w14:textId="5668F0F0" w:rsidR="007D27A2" w:rsidRPr="00EA6404" w:rsidRDefault="007D27A2" w:rsidP="005B0A1E">
      <w:pPr>
        <w:pStyle w:val="paragraphsub"/>
        <w:rPr>
          <w:szCs w:val="22"/>
        </w:rPr>
      </w:pPr>
      <w:r w:rsidRPr="00EA6404">
        <w:rPr>
          <w:rStyle w:val="cf01"/>
          <w:rFonts w:ascii="Times New Roman" w:hAnsi="Times New Roman" w:cs="Times New Roman"/>
          <w:sz w:val="22"/>
          <w:szCs w:val="22"/>
        </w:rPr>
        <w:tab/>
        <w:t>(i)</w:t>
      </w:r>
      <w:r w:rsidRPr="00EA6404">
        <w:rPr>
          <w:rStyle w:val="cf01"/>
          <w:rFonts w:ascii="Times New Roman" w:hAnsi="Times New Roman" w:cs="Times New Roman"/>
          <w:sz w:val="22"/>
          <w:szCs w:val="22"/>
        </w:rPr>
        <w:tab/>
      </w:r>
      <w:r w:rsidR="00F01540" w:rsidRPr="00EA6404">
        <w:rPr>
          <w:rStyle w:val="cf01"/>
          <w:rFonts w:ascii="Times New Roman" w:hAnsi="Times New Roman" w:cs="Times New Roman"/>
          <w:sz w:val="22"/>
          <w:szCs w:val="22"/>
        </w:rPr>
        <w:t xml:space="preserve">the prepared </w:t>
      </w:r>
      <w:r w:rsidR="00296F5D" w:rsidRPr="00EA6404">
        <w:rPr>
          <w:rStyle w:val="cf01"/>
          <w:rFonts w:ascii="Times New Roman" w:hAnsi="Times New Roman" w:cs="Times New Roman"/>
          <w:sz w:val="22"/>
          <w:szCs w:val="22"/>
        </w:rPr>
        <w:t>additives</w:t>
      </w:r>
      <w:r w:rsidR="00F14F3D" w:rsidRPr="00EA6404">
        <w:rPr>
          <w:rStyle w:val="cf01"/>
          <w:rFonts w:ascii="Times New Roman" w:hAnsi="Times New Roman" w:cs="Times New Roman"/>
          <w:sz w:val="22"/>
          <w:szCs w:val="22"/>
        </w:rPr>
        <w:t xml:space="preserve"> </w:t>
      </w:r>
      <w:r w:rsidRPr="00EA6404">
        <w:rPr>
          <w:szCs w:val="22"/>
        </w:rPr>
        <w:t>enhance</w:t>
      </w:r>
      <w:r w:rsidRPr="00EA6404">
        <w:rPr>
          <w:rStyle w:val="cf01"/>
          <w:rFonts w:ascii="Times New Roman" w:hAnsi="Times New Roman" w:cs="Times New Roman"/>
          <w:sz w:val="22"/>
          <w:szCs w:val="22"/>
        </w:rPr>
        <w:t xml:space="preserve"> the performance of an internal combustion engine or assist in its maintenance;</w:t>
      </w:r>
    </w:p>
    <w:p w14:paraId="4C72C88F" w14:textId="63280D6A" w:rsidR="007D27A2" w:rsidRPr="00EA6404" w:rsidRDefault="007D27A2" w:rsidP="005B0A1E">
      <w:pPr>
        <w:pStyle w:val="paragraphsub"/>
        <w:rPr>
          <w:szCs w:val="22"/>
        </w:rPr>
      </w:pPr>
      <w:r w:rsidRPr="00EA6404">
        <w:rPr>
          <w:rStyle w:val="cf01"/>
          <w:rFonts w:ascii="Times New Roman" w:hAnsi="Times New Roman" w:cs="Times New Roman"/>
          <w:sz w:val="22"/>
          <w:szCs w:val="22"/>
        </w:rPr>
        <w:tab/>
        <w:t>(ii)</w:t>
      </w:r>
      <w:r w:rsidRPr="00EA6404">
        <w:rPr>
          <w:rStyle w:val="cf01"/>
          <w:rFonts w:ascii="Times New Roman" w:hAnsi="Times New Roman" w:cs="Times New Roman"/>
          <w:sz w:val="22"/>
          <w:szCs w:val="22"/>
        </w:rPr>
        <w:tab/>
      </w:r>
      <w:r w:rsidR="00F01540" w:rsidRPr="00EA6404">
        <w:rPr>
          <w:rStyle w:val="cf01"/>
          <w:rFonts w:ascii="Times New Roman" w:hAnsi="Times New Roman" w:cs="Times New Roman"/>
          <w:sz w:val="22"/>
          <w:szCs w:val="22"/>
        </w:rPr>
        <w:t>the</w:t>
      </w:r>
      <w:r w:rsidR="003C5F36" w:rsidRPr="00EA6404">
        <w:rPr>
          <w:rStyle w:val="cf01"/>
          <w:rFonts w:ascii="Times New Roman" w:hAnsi="Times New Roman" w:cs="Times New Roman"/>
          <w:sz w:val="22"/>
          <w:szCs w:val="22"/>
        </w:rPr>
        <w:t xml:space="preserve"> </w:t>
      </w:r>
      <w:r w:rsidR="00F01540" w:rsidRPr="00EA6404">
        <w:rPr>
          <w:rStyle w:val="cf01"/>
          <w:rFonts w:ascii="Times New Roman" w:hAnsi="Times New Roman" w:cs="Times New Roman"/>
          <w:sz w:val="22"/>
          <w:szCs w:val="22"/>
        </w:rPr>
        <w:t xml:space="preserve">prepared </w:t>
      </w:r>
      <w:r w:rsidR="00296F5D" w:rsidRPr="00EA6404">
        <w:rPr>
          <w:rStyle w:val="cf01"/>
          <w:rFonts w:ascii="Times New Roman" w:hAnsi="Times New Roman" w:cs="Times New Roman"/>
          <w:sz w:val="22"/>
          <w:szCs w:val="22"/>
        </w:rPr>
        <w:t>additives</w:t>
      </w:r>
      <w:r w:rsidR="00F14F3D" w:rsidRPr="00EA6404">
        <w:rPr>
          <w:rStyle w:val="cf01"/>
          <w:rFonts w:ascii="Times New Roman" w:hAnsi="Times New Roman" w:cs="Times New Roman"/>
          <w:sz w:val="22"/>
          <w:szCs w:val="22"/>
        </w:rPr>
        <w:t xml:space="preserve"> </w:t>
      </w:r>
      <w:r w:rsidRPr="00EA6404">
        <w:rPr>
          <w:szCs w:val="22"/>
        </w:rPr>
        <w:t>are</w:t>
      </w:r>
      <w:r w:rsidRPr="00EA6404">
        <w:rPr>
          <w:rStyle w:val="cf01"/>
          <w:rFonts w:ascii="Times New Roman" w:hAnsi="Times New Roman" w:cs="Times New Roman"/>
          <w:sz w:val="22"/>
          <w:szCs w:val="22"/>
        </w:rPr>
        <w:t xml:space="preserve"> not methanol or eligible goods (or their imported equivalents); and</w:t>
      </w:r>
    </w:p>
    <w:p w14:paraId="6A84FD59" w14:textId="6B6A51FF" w:rsidR="007D27A2" w:rsidRPr="00EA6404" w:rsidRDefault="007D27A2" w:rsidP="005B0A1E">
      <w:pPr>
        <w:pStyle w:val="paragraphsub"/>
        <w:rPr>
          <w:szCs w:val="22"/>
        </w:rPr>
      </w:pPr>
      <w:r w:rsidRPr="00EA6404">
        <w:rPr>
          <w:rStyle w:val="cf01"/>
          <w:rFonts w:ascii="Times New Roman" w:hAnsi="Times New Roman" w:cs="Times New Roman"/>
          <w:sz w:val="22"/>
          <w:szCs w:val="22"/>
        </w:rPr>
        <w:tab/>
        <w:t>(iii)</w:t>
      </w:r>
      <w:r w:rsidRPr="00EA6404">
        <w:rPr>
          <w:rStyle w:val="cf01"/>
          <w:rFonts w:ascii="Times New Roman" w:hAnsi="Times New Roman" w:cs="Times New Roman"/>
          <w:sz w:val="22"/>
          <w:szCs w:val="22"/>
        </w:rPr>
        <w:tab/>
        <w:t xml:space="preserve">if </w:t>
      </w:r>
      <w:r w:rsidR="00992107" w:rsidRPr="00EA6404">
        <w:rPr>
          <w:rStyle w:val="cf01"/>
          <w:rFonts w:ascii="Times New Roman" w:hAnsi="Times New Roman" w:cs="Times New Roman"/>
          <w:sz w:val="22"/>
          <w:szCs w:val="22"/>
        </w:rPr>
        <w:t xml:space="preserve">the resultant blend is </w:t>
      </w:r>
      <w:r w:rsidRPr="00EA6404">
        <w:rPr>
          <w:rStyle w:val="cf01"/>
          <w:rFonts w:ascii="Times New Roman" w:hAnsi="Times New Roman" w:cs="Times New Roman"/>
          <w:sz w:val="22"/>
          <w:szCs w:val="22"/>
        </w:rPr>
        <w:t xml:space="preserve">packaged into </w:t>
      </w:r>
      <w:r w:rsidRPr="00EA6404">
        <w:rPr>
          <w:szCs w:val="22"/>
        </w:rPr>
        <w:t>packages</w:t>
      </w:r>
      <w:r w:rsidRPr="00EA6404">
        <w:rPr>
          <w:rStyle w:val="cf01"/>
          <w:rFonts w:ascii="Times New Roman" w:hAnsi="Times New Roman" w:cs="Times New Roman"/>
          <w:sz w:val="22"/>
          <w:szCs w:val="22"/>
        </w:rPr>
        <w:t xml:space="preserve"> of more than 10 litres capacity, the total amount of all prepared additives in the blend does not exceed 0.5% v</w:t>
      </w:r>
      <w:r w:rsidR="000B0CEE" w:rsidRPr="00EA6404">
        <w:rPr>
          <w:rStyle w:val="cf01"/>
          <w:rFonts w:ascii="Times New Roman" w:hAnsi="Times New Roman" w:cs="Times New Roman"/>
          <w:sz w:val="22"/>
          <w:szCs w:val="22"/>
        </w:rPr>
        <w:t>/v</w:t>
      </w:r>
      <w:r w:rsidRPr="00EA6404">
        <w:rPr>
          <w:rStyle w:val="cf01"/>
          <w:rFonts w:ascii="Times New Roman" w:hAnsi="Times New Roman" w:cs="Times New Roman"/>
          <w:sz w:val="22"/>
          <w:szCs w:val="22"/>
        </w:rPr>
        <w:t>; or</w:t>
      </w:r>
    </w:p>
    <w:p w14:paraId="1A8E4D02" w14:textId="67B997CE" w:rsidR="00EA1E17" w:rsidRPr="00EA6404" w:rsidRDefault="00EA1E17" w:rsidP="00F25132">
      <w:pPr>
        <w:pStyle w:val="paragraph"/>
      </w:pPr>
      <w:r w:rsidRPr="00EA6404">
        <w:tab/>
        <w:t>(</w:t>
      </w:r>
      <w:r w:rsidR="007D27A2" w:rsidRPr="00EA6404">
        <w:t>f</w:t>
      </w:r>
      <w:r w:rsidRPr="00EA6404">
        <w:t>)</w:t>
      </w:r>
      <w:r w:rsidRPr="00EA6404">
        <w:tab/>
      </w:r>
      <w:r w:rsidR="00E86B86" w:rsidRPr="00EA6404">
        <w:t xml:space="preserve">the </w:t>
      </w:r>
      <w:r w:rsidR="00EC490B" w:rsidRPr="00EA6404">
        <w:t>g</w:t>
      </w:r>
      <w:r w:rsidR="0013142E" w:rsidRPr="00EA6404">
        <w:t xml:space="preserve">oods are the product of the blending of amounts of LPG without other substances </w:t>
      </w:r>
      <w:r w:rsidR="00E86B86" w:rsidRPr="00EA6404">
        <w:t>and</w:t>
      </w:r>
      <w:r w:rsidRPr="00EA6404">
        <w:t>:</w:t>
      </w:r>
    </w:p>
    <w:p w14:paraId="7C5B7522" w14:textId="77777777" w:rsidR="00EA6404" w:rsidRDefault="0013142E" w:rsidP="00F25132">
      <w:pPr>
        <w:pStyle w:val="paragraphsub"/>
      </w:pPr>
      <w:r w:rsidRPr="00EA6404">
        <w:tab/>
        <w:t>(</w:t>
      </w:r>
      <w:r w:rsidR="00293208" w:rsidRPr="00EA6404">
        <w:t>i</w:t>
      </w:r>
      <w:r w:rsidRPr="00EA6404">
        <w:t>)</w:t>
      </w:r>
      <w:r w:rsidRPr="00EA6404">
        <w:tab/>
        <w:t>any applicable excise duty or an excise equivalent duty of Customs that is payable on each quantity of the LPG has been paid;</w:t>
      </w:r>
    </w:p>
    <w:p w14:paraId="76B32AC6" w14:textId="43DFD0D6" w:rsidR="0013142E" w:rsidRPr="00EA6404" w:rsidRDefault="0013142E" w:rsidP="00293208">
      <w:pPr>
        <w:pStyle w:val="paragraphsub"/>
      </w:pPr>
      <w:r w:rsidRPr="00EA6404">
        <w:tab/>
        <w:t>(</w:t>
      </w:r>
      <w:r w:rsidR="00293208" w:rsidRPr="00EA6404">
        <w:t>ii</w:t>
      </w:r>
      <w:r w:rsidRPr="00EA6404">
        <w:t>)</w:t>
      </w:r>
      <w:r w:rsidRPr="00EA6404">
        <w:tab/>
        <w:t>the blending occurs</w:t>
      </w:r>
      <w:r w:rsidR="00293208" w:rsidRPr="00EA6404">
        <w:t xml:space="preserve"> </w:t>
      </w:r>
      <w:r w:rsidRPr="00EA6404">
        <w:t xml:space="preserve">in a </w:t>
      </w:r>
      <w:r w:rsidR="00293208" w:rsidRPr="00EA6404">
        <w:t xml:space="preserve">prescribed </w:t>
      </w:r>
      <w:r w:rsidRPr="00EA6404">
        <w:t>container</w:t>
      </w:r>
      <w:r w:rsidR="00345481" w:rsidRPr="00EA6404">
        <w:t xml:space="preserve"> or tank</w:t>
      </w:r>
      <w:r w:rsidR="00FC5EDF" w:rsidRPr="00EA6404">
        <w:t>; and</w:t>
      </w:r>
    </w:p>
    <w:p w14:paraId="3B77F076" w14:textId="491170CE" w:rsidR="00B64254" w:rsidRPr="00EA6404" w:rsidRDefault="0013142E" w:rsidP="00483AC3">
      <w:pPr>
        <w:pStyle w:val="paragraphsub"/>
      </w:pPr>
      <w:r w:rsidRPr="00EA6404">
        <w:lastRenderedPageBreak/>
        <w:tab/>
        <w:t>(</w:t>
      </w:r>
      <w:r w:rsidR="00345481" w:rsidRPr="00EA6404">
        <w:t>iii</w:t>
      </w:r>
      <w:r w:rsidRPr="00EA6404">
        <w:t>)</w:t>
      </w:r>
      <w:r w:rsidRPr="00EA6404">
        <w:tab/>
        <w:t xml:space="preserve">the tank in which the blending occurs is not for use in a system </w:t>
      </w:r>
      <w:r w:rsidR="00EC490B" w:rsidRPr="00EA6404">
        <w:t>f</w:t>
      </w:r>
      <w:r w:rsidRPr="00EA6404">
        <w:t>or supplying fuel to an internal combustion engine of either a motor vehicle or a vessel, either directly or by filling another tank connected to such an engine</w:t>
      </w:r>
      <w:r w:rsidR="00FC5EDF" w:rsidRPr="00EA6404">
        <w:t>.</w:t>
      </w:r>
    </w:p>
    <w:p w14:paraId="425F2F14" w14:textId="77777777" w:rsidR="0013281F" w:rsidRPr="00EA6404" w:rsidRDefault="0013281F">
      <w:pPr>
        <w:spacing w:line="240" w:lineRule="auto"/>
        <w:rPr>
          <w:rFonts w:ascii="Arial" w:eastAsia="Times New Roman" w:hAnsi="Arial" w:cs="Times New Roman"/>
          <w:b/>
          <w:kern w:val="28"/>
          <w:sz w:val="32"/>
          <w:lang w:eastAsia="en-AU"/>
        </w:rPr>
      </w:pPr>
      <w:bookmarkStart w:id="7" w:name="_Toc138145618"/>
      <w:r w:rsidRPr="00EA6404">
        <w:br w:type="page"/>
      </w:r>
    </w:p>
    <w:p w14:paraId="73D55990" w14:textId="5BC8D34E" w:rsidR="00D6537E" w:rsidRPr="00EA6404" w:rsidRDefault="004E1307" w:rsidP="00D6537E">
      <w:pPr>
        <w:pStyle w:val="ActHead6"/>
      </w:pPr>
      <w:bookmarkStart w:id="8" w:name="_Toc163582052"/>
      <w:r w:rsidRPr="00EA6404">
        <w:lastRenderedPageBreak/>
        <w:t xml:space="preserve">Schedule </w:t>
      </w:r>
      <w:r w:rsidR="00D6537E" w:rsidRPr="00EA6404">
        <w:t>1—Repeals</w:t>
      </w:r>
      <w:bookmarkEnd w:id="7"/>
      <w:bookmarkEnd w:id="8"/>
    </w:p>
    <w:p w14:paraId="5AD9CCE4" w14:textId="35A23A62" w:rsidR="00D6537E" w:rsidRPr="00EA6404" w:rsidRDefault="002C3575" w:rsidP="00D6537E">
      <w:pPr>
        <w:pStyle w:val="ActHead9"/>
      </w:pPr>
      <w:bookmarkStart w:id="9" w:name="_Toc138145619"/>
      <w:bookmarkStart w:id="10" w:name="_Toc163582053"/>
      <w:r w:rsidRPr="00EA6404">
        <w:t>Excise (Blending Exemptions) Determination 2014 (No. 1)</w:t>
      </w:r>
      <w:bookmarkEnd w:id="9"/>
      <w:bookmarkEnd w:id="10"/>
    </w:p>
    <w:p w14:paraId="7096301A" w14:textId="77777777" w:rsidR="00D6537E" w:rsidRPr="00EA6404" w:rsidRDefault="00D6537E" w:rsidP="00D6537E">
      <w:pPr>
        <w:pStyle w:val="ItemHead"/>
      </w:pPr>
      <w:r w:rsidRPr="00EA6404">
        <w:t xml:space="preserve">1  </w:t>
      </w:r>
      <w:r w:rsidR="00BB1533" w:rsidRPr="00EA6404">
        <w:t>The w</w:t>
      </w:r>
      <w:r w:rsidRPr="00EA6404">
        <w:t>hole of the instrument</w:t>
      </w:r>
    </w:p>
    <w:p w14:paraId="4CC03727" w14:textId="77777777" w:rsidR="004E1307" w:rsidRDefault="00D6537E" w:rsidP="00D6537E">
      <w:pPr>
        <w:pStyle w:val="Item"/>
      </w:pPr>
      <w:r w:rsidRPr="00EA6404">
        <w:t>Repeal the instrument</w:t>
      </w:r>
    </w:p>
    <w:sectPr w:rsidR="004E1307"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047A" w14:textId="77777777" w:rsidR="00553E70" w:rsidRDefault="00553E70" w:rsidP="00715914">
      <w:pPr>
        <w:spacing w:line="240" w:lineRule="auto"/>
      </w:pPr>
      <w:r>
        <w:separator/>
      </w:r>
    </w:p>
  </w:endnote>
  <w:endnote w:type="continuationSeparator" w:id="0">
    <w:p w14:paraId="482DE7A2" w14:textId="77777777" w:rsidR="00553E70" w:rsidRDefault="00553E7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857F"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F09" w14:paraId="5C207A56" w14:textId="77777777" w:rsidTr="00B33709">
      <w:tc>
        <w:tcPr>
          <w:tcW w:w="709" w:type="dxa"/>
          <w:tcBorders>
            <w:top w:val="nil"/>
            <w:left w:val="nil"/>
            <w:bottom w:val="nil"/>
            <w:right w:val="nil"/>
          </w:tcBorders>
        </w:tcPr>
        <w:p w14:paraId="198B44A9" w14:textId="77777777" w:rsidR="00B03F09" w:rsidRDefault="00B03F0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D5D3F9" w14:textId="7CEF003F" w:rsidR="00B03F09" w:rsidRPr="004E1307" w:rsidRDefault="00B03F0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F28C5">
            <w:rPr>
              <w:i/>
              <w:noProof/>
              <w:sz w:val="18"/>
            </w:rPr>
            <w:t>Excise (Blending exemptions) Determination 2024</w:t>
          </w:r>
          <w:r w:rsidRPr="004E1307">
            <w:rPr>
              <w:i/>
              <w:sz w:val="18"/>
            </w:rPr>
            <w:fldChar w:fldCharType="end"/>
          </w:r>
        </w:p>
      </w:tc>
      <w:tc>
        <w:tcPr>
          <w:tcW w:w="1383" w:type="dxa"/>
          <w:tcBorders>
            <w:top w:val="nil"/>
            <w:left w:val="nil"/>
            <w:bottom w:val="nil"/>
            <w:right w:val="nil"/>
          </w:tcBorders>
        </w:tcPr>
        <w:p w14:paraId="3C31C35C" w14:textId="77777777" w:rsidR="00B03F09" w:rsidRDefault="00B03F09" w:rsidP="00A369E3">
          <w:pPr>
            <w:spacing w:line="0" w:lineRule="atLeast"/>
            <w:jc w:val="right"/>
            <w:rPr>
              <w:sz w:val="18"/>
            </w:rPr>
          </w:pPr>
        </w:p>
      </w:tc>
    </w:tr>
    <w:tr w:rsidR="00B03F09" w14:paraId="1ADB6C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020DE1" w14:textId="77777777" w:rsidR="00B03F09" w:rsidRDefault="00B03F09" w:rsidP="00A369E3">
          <w:pPr>
            <w:jc w:val="right"/>
            <w:rPr>
              <w:sz w:val="18"/>
            </w:rPr>
          </w:pPr>
        </w:p>
      </w:tc>
    </w:tr>
  </w:tbl>
  <w:p w14:paraId="6ED9471C" w14:textId="77777777" w:rsidR="00B03F09" w:rsidRPr="00ED79B6" w:rsidRDefault="00B03F0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9BF0"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03F09" w14:paraId="74917BBC" w14:textId="77777777" w:rsidTr="00A369E3">
      <w:tc>
        <w:tcPr>
          <w:tcW w:w="1384" w:type="dxa"/>
          <w:tcBorders>
            <w:top w:val="nil"/>
            <w:left w:val="nil"/>
            <w:bottom w:val="nil"/>
            <w:right w:val="nil"/>
          </w:tcBorders>
        </w:tcPr>
        <w:p w14:paraId="723928F1" w14:textId="77777777" w:rsidR="00B03F09" w:rsidRDefault="00B03F09" w:rsidP="00A369E3">
          <w:pPr>
            <w:spacing w:line="0" w:lineRule="atLeast"/>
            <w:rPr>
              <w:sz w:val="18"/>
            </w:rPr>
          </w:pPr>
        </w:p>
      </w:tc>
      <w:tc>
        <w:tcPr>
          <w:tcW w:w="6379" w:type="dxa"/>
          <w:tcBorders>
            <w:top w:val="nil"/>
            <w:left w:val="nil"/>
            <w:bottom w:val="nil"/>
            <w:right w:val="nil"/>
          </w:tcBorders>
        </w:tcPr>
        <w:p w14:paraId="15E48ED4" w14:textId="519E915C" w:rsidR="00B03F09" w:rsidRDefault="00B03F0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F28C5">
            <w:rPr>
              <w:i/>
              <w:noProof/>
              <w:sz w:val="18"/>
            </w:rPr>
            <w:t>Excise (Blending exemptions) Determination 2024</w:t>
          </w:r>
          <w:r w:rsidRPr="004E1307">
            <w:rPr>
              <w:i/>
              <w:sz w:val="18"/>
            </w:rPr>
            <w:fldChar w:fldCharType="end"/>
          </w:r>
        </w:p>
      </w:tc>
      <w:tc>
        <w:tcPr>
          <w:tcW w:w="709" w:type="dxa"/>
          <w:tcBorders>
            <w:top w:val="nil"/>
            <w:left w:val="nil"/>
            <w:bottom w:val="nil"/>
            <w:right w:val="nil"/>
          </w:tcBorders>
        </w:tcPr>
        <w:p w14:paraId="7C48166E" w14:textId="77777777" w:rsidR="00B03F09" w:rsidRDefault="00B03F0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3F09" w14:paraId="465B29A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44CC38" w14:textId="77777777" w:rsidR="00B03F09" w:rsidRDefault="00B03F09" w:rsidP="00A369E3">
          <w:pPr>
            <w:rPr>
              <w:sz w:val="18"/>
            </w:rPr>
          </w:pPr>
        </w:p>
      </w:tc>
    </w:tr>
  </w:tbl>
  <w:p w14:paraId="3258E28D" w14:textId="77777777" w:rsidR="00B03F09" w:rsidRPr="00ED79B6" w:rsidRDefault="00B03F0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B320" w14:textId="77777777" w:rsidR="00B03F09" w:rsidRPr="00E33C1C" w:rsidRDefault="00B03F0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3F09" w14:paraId="6F155E16" w14:textId="77777777" w:rsidTr="00B33709">
      <w:tc>
        <w:tcPr>
          <w:tcW w:w="1384" w:type="dxa"/>
          <w:tcBorders>
            <w:top w:val="nil"/>
            <w:left w:val="nil"/>
            <w:bottom w:val="nil"/>
            <w:right w:val="nil"/>
          </w:tcBorders>
        </w:tcPr>
        <w:p w14:paraId="5070B0F6" w14:textId="77777777" w:rsidR="00B03F09" w:rsidRDefault="00B03F09" w:rsidP="00A369E3">
          <w:pPr>
            <w:spacing w:line="0" w:lineRule="atLeast"/>
            <w:rPr>
              <w:sz w:val="18"/>
            </w:rPr>
          </w:pPr>
        </w:p>
      </w:tc>
      <w:tc>
        <w:tcPr>
          <w:tcW w:w="6379" w:type="dxa"/>
          <w:tcBorders>
            <w:top w:val="nil"/>
            <w:left w:val="nil"/>
            <w:bottom w:val="nil"/>
            <w:right w:val="nil"/>
          </w:tcBorders>
        </w:tcPr>
        <w:p w14:paraId="0E419B25" w14:textId="77777777" w:rsidR="00B03F09" w:rsidRDefault="00B03F09" w:rsidP="00A369E3">
          <w:pPr>
            <w:spacing w:line="0" w:lineRule="atLeast"/>
            <w:jc w:val="center"/>
            <w:rPr>
              <w:sz w:val="18"/>
            </w:rPr>
          </w:pPr>
        </w:p>
      </w:tc>
      <w:tc>
        <w:tcPr>
          <w:tcW w:w="709" w:type="dxa"/>
          <w:tcBorders>
            <w:top w:val="nil"/>
            <w:left w:val="nil"/>
            <w:bottom w:val="nil"/>
            <w:right w:val="nil"/>
          </w:tcBorders>
        </w:tcPr>
        <w:p w14:paraId="05E9A2C0" w14:textId="77777777" w:rsidR="00B03F09" w:rsidRDefault="00B03F09" w:rsidP="00A369E3">
          <w:pPr>
            <w:spacing w:line="0" w:lineRule="atLeast"/>
            <w:jc w:val="right"/>
            <w:rPr>
              <w:sz w:val="18"/>
            </w:rPr>
          </w:pPr>
        </w:p>
      </w:tc>
    </w:tr>
  </w:tbl>
  <w:p w14:paraId="21C776FE" w14:textId="77777777" w:rsidR="00B03F09" w:rsidRPr="00ED79B6" w:rsidRDefault="00B03F0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BC53"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1B57FE10" w14:textId="77777777" w:rsidTr="00B03F09">
      <w:tc>
        <w:tcPr>
          <w:tcW w:w="365" w:type="pct"/>
        </w:tcPr>
        <w:p w14:paraId="12CBA37B"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94B6BAB" w14:textId="3FBC1268"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F28C5">
            <w:rPr>
              <w:i/>
              <w:noProof/>
              <w:sz w:val="18"/>
            </w:rPr>
            <w:t>Excise (Blending exemptions) Determination 2024</w:t>
          </w:r>
          <w:r w:rsidRPr="004E1307">
            <w:rPr>
              <w:i/>
              <w:sz w:val="18"/>
            </w:rPr>
            <w:fldChar w:fldCharType="end"/>
          </w:r>
        </w:p>
      </w:tc>
      <w:tc>
        <w:tcPr>
          <w:tcW w:w="947" w:type="pct"/>
        </w:tcPr>
        <w:p w14:paraId="4D6E4B9F" w14:textId="77777777" w:rsidR="00B03F09" w:rsidRDefault="00B03F09" w:rsidP="00B03F09">
          <w:pPr>
            <w:spacing w:line="0" w:lineRule="atLeast"/>
            <w:jc w:val="right"/>
            <w:rPr>
              <w:sz w:val="18"/>
            </w:rPr>
          </w:pPr>
        </w:p>
      </w:tc>
    </w:tr>
    <w:tr w:rsidR="00B03F09" w14:paraId="1E876451" w14:textId="77777777" w:rsidTr="00B03F09">
      <w:tc>
        <w:tcPr>
          <w:tcW w:w="5000" w:type="pct"/>
          <w:gridSpan w:val="3"/>
        </w:tcPr>
        <w:p w14:paraId="19BA637D" w14:textId="77777777" w:rsidR="00B03F09" w:rsidRDefault="00B03F09" w:rsidP="00B03F09">
          <w:pPr>
            <w:jc w:val="right"/>
            <w:rPr>
              <w:sz w:val="18"/>
            </w:rPr>
          </w:pPr>
        </w:p>
      </w:tc>
    </w:tr>
  </w:tbl>
  <w:p w14:paraId="4B2029DA" w14:textId="77777777" w:rsidR="00B03F09" w:rsidRPr="00ED79B6" w:rsidRDefault="00B03F09" w:rsidP="00B03F0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CC7"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7B64684" w14:textId="77777777" w:rsidTr="00B03F09">
      <w:tc>
        <w:tcPr>
          <w:tcW w:w="947" w:type="pct"/>
        </w:tcPr>
        <w:p w14:paraId="718B2745" w14:textId="77777777" w:rsidR="00B03F09" w:rsidRDefault="00B03F09" w:rsidP="00B03F09">
          <w:pPr>
            <w:spacing w:line="0" w:lineRule="atLeast"/>
            <w:rPr>
              <w:sz w:val="18"/>
            </w:rPr>
          </w:pPr>
        </w:p>
      </w:tc>
      <w:tc>
        <w:tcPr>
          <w:tcW w:w="3688" w:type="pct"/>
        </w:tcPr>
        <w:p w14:paraId="026E7F20" w14:textId="2E8D8CB0"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C546B">
            <w:rPr>
              <w:i/>
              <w:noProof/>
              <w:sz w:val="18"/>
            </w:rPr>
            <w:t>Excise (Blending Exemptions) Instrument 2024</w:t>
          </w:r>
          <w:r w:rsidRPr="004E1307">
            <w:rPr>
              <w:i/>
              <w:sz w:val="18"/>
            </w:rPr>
            <w:fldChar w:fldCharType="end"/>
          </w:r>
        </w:p>
      </w:tc>
      <w:tc>
        <w:tcPr>
          <w:tcW w:w="365" w:type="pct"/>
        </w:tcPr>
        <w:p w14:paraId="640FA83E"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03F09" w14:paraId="6671DF08" w14:textId="77777777" w:rsidTr="00B03F09">
      <w:tc>
        <w:tcPr>
          <w:tcW w:w="5000" w:type="pct"/>
          <w:gridSpan w:val="3"/>
        </w:tcPr>
        <w:p w14:paraId="36BC0753" w14:textId="77777777" w:rsidR="00B03F09" w:rsidRDefault="00B03F09" w:rsidP="00B03F09">
          <w:pPr>
            <w:rPr>
              <w:sz w:val="18"/>
            </w:rPr>
          </w:pPr>
        </w:p>
      </w:tc>
    </w:tr>
  </w:tbl>
  <w:p w14:paraId="3986149E" w14:textId="77777777" w:rsidR="00B03F09" w:rsidRPr="00ED79B6" w:rsidRDefault="00B03F09" w:rsidP="00B03F0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026D"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3DDC5547" w14:textId="77777777" w:rsidTr="00B03F09">
      <w:tc>
        <w:tcPr>
          <w:tcW w:w="365" w:type="pct"/>
        </w:tcPr>
        <w:p w14:paraId="5A6DDB93"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38D7749" w14:textId="1C1A96C2"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C546B">
            <w:rPr>
              <w:i/>
              <w:noProof/>
              <w:sz w:val="18"/>
            </w:rPr>
            <w:t>Excise (Blending Exemptions) Instrument 2024</w:t>
          </w:r>
          <w:r w:rsidRPr="004E1307">
            <w:rPr>
              <w:i/>
              <w:sz w:val="18"/>
            </w:rPr>
            <w:fldChar w:fldCharType="end"/>
          </w:r>
        </w:p>
      </w:tc>
      <w:tc>
        <w:tcPr>
          <w:tcW w:w="947" w:type="pct"/>
        </w:tcPr>
        <w:p w14:paraId="2526000A" w14:textId="77777777" w:rsidR="00B03F09" w:rsidRDefault="00B03F09" w:rsidP="00B03F09">
          <w:pPr>
            <w:spacing w:line="0" w:lineRule="atLeast"/>
            <w:jc w:val="right"/>
            <w:rPr>
              <w:sz w:val="18"/>
            </w:rPr>
          </w:pPr>
        </w:p>
      </w:tc>
    </w:tr>
    <w:tr w:rsidR="00B03F09" w14:paraId="14C4F801" w14:textId="77777777" w:rsidTr="00B03F09">
      <w:tc>
        <w:tcPr>
          <w:tcW w:w="5000" w:type="pct"/>
          <w:gridSpan w:val="3"/>
        </w:tcPr>
        <w:p w14:paraId="48C04FDF" w14:textId="77777777" w:rsidR="00B03F09" w:rsidRDefault="00B03F09" w:rsidP="00B03F09">
          <w:pPr>
            <w:jc w:val="right"/>
            <w:rPr>
              <w:sz w:val="18"/>
            </w:rPr>
          </w:pPr>
        </w:p>
      </w:tc>
    </w:tr>
  </w:tbl>
  <w:p w14:paraId="636AF79B" w14:textId="77777777" w:rsidR="00B03F09" w:rsidRPr="00ED79B6" w:rsidRDefault="00B03F09" w:rsidP="00B03F0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0344"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3B42223" w14:textId="77777777" w:rsidTr="00B03F09">
      <w:tc>
        <w:tcPr>
          <w:tcW w:w="947" w:type="pct"/>
        </w:tcPr>
        <w:p w14:paraId="3A5D0C6A" w14:textId="77777777" w:rsidR="00B03F09" w:rsidRDefault="00B03F09" w:rsidP="00B03F09">
          <w:pPr>
            <w:spacing w:line="0" w:lineRule="atLeast"/>
            <w:rPr>
              <w:sz w:val="18"/>
            </w:rPr>
          </w:pPr>
        </w:p>
      </w:tc>
      <w:tc>
        <w:tcPr>
          <w:tcW w:w="3688" w:type="pct"/>
        </w:tcPr>
        <w:p w14:paraId="1EB207A4" w14:textId="442826A5"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C546B">
            <w:rPr>
              <w:i/>
              <w:noProof/>
              <w:sz w:val="18"/>
            </w:rPr>
            <w:t>Excise (Blending Exemptions) Instrument 2024</w:t>
          </w:r>
          <w:r w:rsidRPr="004E1307">
            <w:rPr>
              <w:i/>
              <w:sz w:val="18"/>
            </w:rPr>
            <w:fldChar w:fldCharType="end"/>
          </w:r>
        </w:p>
      </w:tc>
      <w:tc>
        <w:tcPr>
          <w:tcW w:w="365" w:type="pct"/>
        </w:tcPr>
        <w:p w14:paraId="2EDBDCD8"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03F09" w14:paraId="210A6313" w14:textId="77777777" w:rsidTr="00B03F09">
      <w:tc>
        <w:tcPr>
          <w:tcW w:w="5000" w:type="pct"/>
          <w:gridSpan w:val="3"/>
        </w:tcPr>
        <w:p w14:paraId="708E601E" w14:textId="77777777" w:rsidR="00B03F09" w:rsidRDefault="00B03F09" w:rsidP="00B03F09">
          <w:pPr>
            <w:rPr>
              <w:sz w:val="18"/>
            </w:rPr>
          </w:pPr>
        </w:p>
      </w:tc>
    </w:tr>
  </w:tbl>
  <w:p w14:paraId="26879344" w14:textId="77777777" w:rsidR="00B03F09" w:rsidRPr="00ED79B6" w:rsidRDefault="00B03F09" w:rsidP="00B03F0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1AC9" w14:textId="77777777" w:rsidR="00553E70" w:rsidRDefault="00553E70" w:rsidP="00715914">
      <w:pPr>
        <w:spacing w:line="240" w:lineRule="auto"/>
      </w:pPr>
      <w:r>
        <w:separator/>
      </w:r>
    </w:p>
  </w:footnote>
  <w:footnote w:type="continuationSeparator" w:id="0">
    <w:p w14:paraId="03F46891" w14:textId="77777777" w:rsidR="00553E70" w:rsidRDefault="00553E7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3FFE" w14:textId="77777777" w:rsidR="00B03F09" w:rsidRPr="005F1388" w:rsidRDefault="00B03F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0BD0" w14:textId="77777777" w:rsidR="00B03F09" w:rsidRPr="005F1388" w:rsidRDefault="00B03F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51A2" w14:textId="77777777" w:rsidR="003E49DB" w:rsidRDefault="003E4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7901" w14:textId="77777777" w:rsidR="00B03F09" w:rsidRPr="00ED79B6" w:rsidRDefault="00B03F09" w:rsidP="00B03F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8F14" w14:textId="77777777" w:rsidR="00B03F09" w:rsidRPr="00ED79B6" w:rsidRDefault="00B03F09" w:rsidP="00B03F0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CFBB" w14:textId="77777777" w:rsidR="00B03F09" w:rsidRPr="00ED79B6" w:rsidRDefault="00B03F0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B1B0" w14:textId="77777777" w:rsidR="00B03F09" w:rsidRDefault="00B03F09" w:rsidP="00715914">
    <w:pPr>
      <w:rPr>
        <w:sz w:val="20"/>
      </w:rPr>
    </w:pPr>
  </w:p>
  <w:p w14:paraId="26D4A9B2" w14:textId="77777777" w:rsidR="00B03F09" w:rsidRDefault="00B03F09" w:rsidP="00715914">
    <w:pPr>
      <w:rPr>
        <w:sz w:val="20"/>
      </w:rPr>
    </w:pPr>
  </w:p>
  <w:p w14:paraId="477ED5C6" w14:textId="77777777" w:rsidR="00B03F09" w:rsidRPr="007A1328" w:rsidRDefault="00B03F09" w:rsidP="00715914">
    <w:pPr>
      <w:rPr>
        <w:sz w:val="20"/>
      </w:rPr>
    </w:pPr>
  </w:p>
  <w:p w14:paraId="67DBEB0A" w14:textId="77777777" w:rsidR="00B03F09" w:rsidRPr="007A1328" w:rsidRDefault="00B03F09" w:rsidP="00715914">
    <w:pPr>
      <w:rPr>
        <w:b/>
        <w:sz w:val="24"/>
      </w:rPr>
    </w:pPr>
  </w:p>
  <w:p w14:paraId="7AD4BDDD" w14:textId="77777777" w:rsidR="00B03F09" w:rsidRPr="007A1328" w:rsidRDefault="00B03F09"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8128" w14:textId="77777777" w:rsidR="00B03F09" w:rsidRPr="007A1328" w:rsidRDefault="00B03F09" w:rsidP="00715914">
    <w:pPr>
      <w:jc w:val="right"/>
      <w:rPr>
        <w:sz w:val="20"/>
      </w:rPr>
    </w:pPr>
  </w:p>
  <w:p w14:paraId="11AAAC4F" w14:textId="77777777" w:rsidR="00B03F09" w:rsidRPr="007A1328" w:rsidRDefault="00B03F09" w:rsidP="00715914">
    <w:pPr>
      <w:jc w:val="right"/>
      <w:rPr>
        <w:sz w:val="20"/>
      </w:rPr>
    </w:pPr>
  </w:p>
  <w:p w14:paraId="5BA0FED5" w14:textId="77777777" w:rsidR="00B03F09" w:rsidRPr="007A1328" w:rsidRDefault="00B03F09" w:rsidP="00715914">
    <w:pPr>
      <w:jc w:val="right"/>
      <w:rPr>
        <w:sz w:val="20"/>
      </w:rPr>
    </w:pPr>
  </w:p>
  <w:p w14:paraId="4A5D0AB1" w14:textId="77777777" w:rsidR="00B03F09" w:rsidRPr="007A1328" w:rsidRDefault="00B03F09" w:rsidP="00715914">
    <w:pPr>
      <w:jc w:val="right"/>
      <w:rPr>
        <w:b/>
        <w:sz w:val="24"/>
      </w:rPr>
    </w:pPr>
  </w:p>
  <w:p w14:paraId="6E7015EB" w14:textId="77777777" w:rsidR="00B03F09" w:rsidRPr="007A1328" w:rsidRDefault="00B03F0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C7E82"/>
    <w:multiLevelType w:val="hybridMultilevel"/>
    <w:tmpl w:val="423421DE"/>
    <w:lvl w:ilvl="0" w:tplc="FFFFFFFF">
      <w:start w:val="1"/>
      <w:numFmt w:val="lowerLetter"/>
      <w:lvlText w:val="(%1)"/>
      <w:lvlJc w:val="left"/>
      <w:pPr>
        <w:ind w:left="3240" w:hanging="360"/>
      </w:pPr>
      <w:rPr>
        <w:rFonts w:hint="default"/>
      </w:rPr>
    </w:lvl>
    <w:lvl w:ilvl="1" w:tplc="9368908A">
      <w:start w:val="1"/>
      <w:numFmt w:val="lowerRoman"/>
      <w:lvlText w:val="(%2)"/>
      <w:lvlJc w:val="right"/>
      <w:pPr>
        <w:ind w:left="3960" w:hanging="360"/>
      </w:pPr>
      <w:rPr>
        <w:rFonts w:ascii="Arial" w:eastAsiaTheme="minorHAnsi" w:hAnsi="Arial" w:cstheme="minorBidi" w:hint="default"/>
      </w:r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 w15:restartNumberingAfterBreak="0">
    <w:nsid w:val="03197AE5"/>
    <w:multiLevelType w:val="hybridMultilevel"/>
    <w:tmpl w:val="FD3A49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43396A"/>
    <w:multiLevelType w:val="hybridMultilevel"/>
    <w:tmpl w:val="D12052C6"/>
    <w:lvl w:ilvl="0" w:tplc="E730B9FE">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8E589D"/>
    <w:multiLevelType w:val="hybridMultilevel"/>
    <w:tmpl w:val="705E5A82"/>
    <w:lvl w:ilvl="0" w:tplc="196CA1AA">
      <w:numFmt w:val="bullet"/>
      <w:lvlText w:val="-"/>
      <w:lvlJc w:val="left"/>
      <w:pPr>
        <w:ind w:left="720" w:hanging="360"/>
      </w:pPr>
      <w:rPr>
        <w:rFonts w:ascii="Times New Roman" w:eastAsiaTheme="minorHAnsi" w:hAnsi="Times New Roman" w:cs="Times New Roman"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9650EC"/>
    <w:multiLevelType w:val="hybridMultilevel"/>
    <w:tmpl w:val="2AD2229A"/>
    <w:lvl w:ilvl="0" w:tplc="BF92F082">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712A8E"/>
    <w:multiLevelType w:val="hybridMultilevel"/>
    <w:tmpl w:val="2AD2229A"/>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137E7E74"/>
    <w:multiLevelType w:val="hybridMultilevel"/>
    <w:tmpl w:val="3522C41A"/>
    <w:lvl w:ilvl="0" w:tplc="C09EE232">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144B2F4F"/>
    <w:multiLevelType w:val="hybridMultilevel"/>
    <w:tmpl w:val="7034EB4C"/>
    <w:lvl w:ilvl="0" w:tplc="647A166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ED7F17"/>
    <w:multiLevelType w:val="hybridMultilevel"/>
    <w:tmpl w:val="35404810"/>
    <w:lvl w:ilvl="0" w:tplc="25EE5D1A">
      <w:start w:val="1"/>
      <w:numFmt w:val="lowerLetter"/>
      <w:lvlText w:val="(%1)"/>
      <w:lvlJc w:val="left"/>
      <w:pPr>
        <w:ind w:left="2345" w:hanging="360"/>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26066693"/>
    <w:multiLevelType w:val="hybridMultilevel"/>
    <w:tmpl w:val="5324EF4A"/>
    <w:lvl w:ilvl="0" w:tplc="762879D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2E0A7425"/>
    <w:multiLevelType w:val="hybridMultilevel"/>
    <w:tmpl w:val="4154B576"/>
    <w:lvl w:ilvl="0" w:tplc="42E836D6">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C9238F0"/>
    <w:multiLevelType w:val="hybridMultilevel"/>
    <w:tmpl w:val="5EBEF72C"/>
    <w:lvl w:ilvl="0" w:tplc="A5CE716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2C92556"/>
    <w:multiLevelType w:val="hybridMultilevel"/>
    <w:tmpl w:val="87EA8CF2"/>
    <w:lvl w:ilvl="0" w:tplc="04A45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DE6F7F"/>
    <w:multiLevelType w:val="hybridMultilevel"/>
    <w:tmpl w:val="52E4660C"/>
    <w:lvl w:ilvl="0" w:tplc="6F80DF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2494632">
    <w:abstractNumId w:val="9"/>
  </w:num>
  <w:num w:numId="2" w16cid:durableId="217790096">
    <w:abstractNumId w:val="7"/>
  </w:num>
  <w:num w:numId="3" w16cid:durableId="1387875150">
    <w:abstractNumId w:val="6"/>
  </w:num>
  <w:num w:numId="4" w16cid:durableId="897013192">
    <w:abstractNumId w:val="5"/>
  </w:num>
  <w:num w:numId="5" w16cid:durableId="1573078255">
    <w:abstractNumId w:val="4"/>
  </w:num>
  <w:num w:numId="6" w16cid:durableId="480973051">
    <w:abstractNumId w:val="8"/>
  </w:num>
  <w:num w:numId="7" w16cid:durableId="760300440">
    <w:abstractNumId w:val="3"/>
  </w:num>
  <w:num w:numId="8" w16cid:durableId="822425734">
    <w:abstractNumId w:val="2"/>
  </w:num>
  <w:num w:numId="9" w16cid:durableId="843519245">
    <w:abstractNumId w:val="1"/>
  </w:num>
  <w:num w:numId="10" w16cid:durableId="927730822">
    <w:abstractNumId w:val="0"/>
  </w:num>
  <w:num w:numId="11" w16cid:durableId="1653682594">
    <w:abstractNumId w:val="23"/>
  </w:num>
  <w:num w:numId="12" w16cid:durableId="1886482403">
    <w:abstractNumId w:val="15"/>
  </w:num>
  <w:num w:numId="13" w16cid:durableId="470707828">
    <w:abstractNumId w:val="19"/>
  </w:num>
  <w:num w:numId="14" w16cid:durableId="1546672660">
    <w:abstractNumId w:val="22"/>
  </w:num>
  <w:num w:numId="15" w16cid:durableId="648092477">
    <w:abstractNumId w:val="20"/>
  </w:num>
  <w:num w:numId="16" w16cid:durableId="1688405141">
    <w:abstractNumId w:val="24"/>
  </w:num>
  <w:num w:numId="17" w16cid:durableId="1079404339">
    <w:abstractNumId w:val="14"/>
  </w:num>
  <w:num w:numId="18" w16cid:durableId="631595918">
    <w:abstractNumId w:val="16"/>
  </w:num>
  <w:num w:numId="19" w16cid:durableId="1442065960">
    <w:abstractNumId w:val="10"/>
  </w:num>
  <w:num w:numId="20" w16cid:durableId="1219704626">
    <w:abstractNumId w:val="26"/>
  </w:num>
  <w:num w:numId="21" w16cid:durableId="1422027664">
    <w:abstractNumId w:val="18"/>
  </w:num>
  <w:num w:numId="22" w16cid:durableId="511382099">
    <w:abstractNumId w:val="21"/>
  </w:num>
  <w:num w:numId="23" w16cid:durableId="472865440">
    <w:abstractNumId w:val="12"/>
  </w:num>
  <w:num w:numId="24" w16cid:durableId="66655456">
    <w:abstractNumId w:val="25"/>
  </w:num>
  <w:num w:numId="25" w16cid:durableId="140275394">
    <w:abstractNumId w:val="17"/>
  </w:num>
  <w:num w:numId="26" w16cid:durableId="1350762725">
    <w:abstractNumId w:val="13"/>
  </w:num>
  <w:num w:numId="27" w16cid:durableId="2103456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F"/>
    <w:rsid w:val="00004174"/>
    <w:rsid w:val="00004470"/>
    <w:rsid w:val="0000567E"/>
    <w:rsid w:val="000136AF"/>
    <w:rsid w:val="0002369F"/>
    <w:rsid w:val="000258B1"/>
    <w:rsid w:val="00033B89"/>
    <w:rsid w:val="0003762C"/>
    <w:rsid w:val="00040A89"/>
    <w:rsid w:val="000432CB"/>
    <w:rsid w:val="000437C1"/>
    <w:rsid w:val="0004455A"/>
    <w:rsid w:val="0005365D"/>
    <w:rsid w:val="00056567"/>
    <w:rsid w:val="00060A4D"/>
    <w:rsid w:val="000614BF"/>
    <w:rsid w:val="00063F2F"/>
    <w:rsid w:val="00065DED"/>
    <w:rsid w:val="0006709C"/>
    <w:rsid w:val="00074376"/>
    <w:rsid w:val="000775DF"/>
    <w:rsid w:val="0009015C"/>
    <w:rsid w:val="000978F5"/>
    <w:rsid w:val="00097939"/>
    <w:rsid w:val="000A4457"/>
    <w:rsid w:val="000A6268"/>
    <w:rsid w:val="000B0CEE"/>
    <w:rsid w:val="000B15CD"/>
    <w:rsid w:val="000B2B78"/>
    <w:rsid w:val="000B35EB"/>
    <w:rsid w:val="000C0327"/>
    <w:rsid w:val="000C2277"/>
    <w:rsid w:val="000C63CD"/>
    <w:rsid w:val="000D05EF"/>
    <w:rsid w:val="000E2261"/>
    <w:rsid w:val="000E37E4"/>
    <w:rsid w:val="000E544B"/>
    <w:rsid w:val="000E5766"/>
    <w:rsid w:val="000E6FB2"/>
    <w:rsid w:val="000E78B7"/>
    <w:rsid w:val="000E7FA5"/>
    <w:rsid w:val="000F21C1"/>
    <w:rsid w:val="0010745C"/>
    <w:rsid w:val="0011097C"/>
    <w:rsid w:val="00112DEF"/>
    <w:rsid w:val="00117735"/>
    <w:rsid w:val="00117AA9"/>
    <w:rsid w:val="00120B1B"/>
    <w:rsid w:val="00127B88"/>
    <w:rsid w:val="0013142E"/>
    <w:rsid w:val="0013281F"/>
    <w:rsid w:val="00132CEB"/>
    <w:rsid w:val="0013346B"/>
    <w:rsid w:val="001339B0"/>
    <w:rsid w:val="00134856"/>
    <w:rsid w:val="00142B62"/>
    <w:rsid w:val="001441B7"/>
    <w:rsid w:val="00145A4C"/>
    <w:rsid w:val="001516CB"/>
    <w:rsid w:val="00152336"/>
    <w:rsid w:val="00154583"/>
    <w:rsid w:val="00157B8B"/>
    <w:rsid w:val="00163892"/>
    <w:rsid w:val="00166721"/>
    <w:rsid w:val="00166C2F"/>
    <w:rsid w:val="001670D3"/>
    <w:rsid w:val="00167382"/>
    <w:rsid w:val="00172550"/>
    <w:rsid w:val="001809D7"/>
    <w:rsid w:val="00183EEA"/>
    <w:rsid w:val="0018499A"/>
    <w:rsid w:val="001939E1"/>
    <w:rsid w:val="00194C3E"/>
    <w:rsid w:val="00195382"/>
    <w:rsid w:val="001A156E"/>
    <w:rsid w:val="001B2CB6"/>
    <w:rsid w:val="001C546B"/>
    <w:rsid w:val="001C5ED9"/>
    <w:rsid w:val="001C61C5"/>
    <w:rsid w:val="001C69C4"/>
    <w:rsid w:val="001D37EF"/>
    <w:rsid w:val="001D65CB"/>
    <w:rsid w:val="001D7805"/>
    <w:rsid w:val="001E3590"/>
    <w:rsid w:val="001E7407"/>
    <w:rsid w:val="001F28C5"/>
    <w:rsid w:val="001F5D5E"/>
    <w:rsid w:val="001F6219"/>
    <w:rsid w:val="001F6CD4"/>
    <w:rsid w:val="00206C4D"/>
    <w:rsid w:val="00215AF1"/>
    <w:rsid w:val="002321E8"/>
    <w:rsid w:val="00232984"/>
    <w:rsid w:val="0024010F"/>
    <w:rsid w:val="00240749"/>
    <w:rsid w:val="002418D5"/>
    <w:rsid w:val="00243018"/>
    <w:rsid w:val="0025178F"/>
    <w:rsid w:val="002564A4"/>
    <w:rsid w:val="002650A0"/>
    <w:rsid w:val="0026736C"/>
    <w:rsid w:val="00270BE9"/>
    <w:rsid w:val="00275CEF"/>
    <w:rsid w:val="00281308"/>
    <w:rsid w:val="00284719"/>
    <w:rsid w:val="00293208"/>
    <w:rsid w:val="00296F5D"/>
    <w:rsid w:val="00297ECB"/>
    <w:rsid w:val="002A5987"/>
    <w:rsid w:val="002A7BCF"/>
    <w:rsid w:val="002B209B"/>
    <w:rsid w:val="002B3C10"/>
    <w:rsid w:val="002C3575"/>
    <w:rsid w:val="002C3FD1"/>
    <w:rsid w:val="002C63AF"/>
    <w:rsid w:val="002D043A"/>
    <w:rsid w:val="002D266B"/>
    <w:rsid w:val="002D3306"/>
    <w:rsid w:val="002D6224"/>
    <w:rsid w:val="002E08DE"/>
    <w:rsid w:val="0030399E"/>
    <w:rsid w:val="00304F8B"/>
    <w:rsid w:val="00307CA6"/>
    <w:rsid w:val="00317379"/>
    <w:rsid w:val="0032388A"/>
    <w:rsid w:val="00335BC6"/>
    <w:rsid w:val="003415D3"/>
    <w:rsid w:val="003415E8"/>
    <w:rsid w:val="00344338"/>
    <w:rsid w:val="00344537"/>
    <w:rsid w:val="00344701"/>
    <w:rsid w:val="00345481"/>
    <w:rsid w:val="0034661E"/>
    <w:rsid w:val="00346829"/>
    <w:rsid w:val="003506E9"/>
    <w:rsid w:val="0035087A"/>
    <w:rsid w:val="00352B0F"/>
    <w:rsid w:val="003546B8"/>
    <w:rsid w:val="00360459"/>
    <w:rsid w:val="00366020"/>
    <w:rsid w:val="003767E2"/>
    <w:rsid w:val="0038049F"/>
    <w:rsid w:val="00384DBE"/>
    <w:rsid w:val="0038520B"/>
    <w:rsid w:val="00394087"/>
    <w:rsid w:val="0039558A"/>
    <w:rsid w:val="003958B1"/>
    <w:rsid w:val="003A57AF"/>
    <w:rsid w:val="003B6587"/>
    <w:rsid w:val="003C2B78"/>
    <w:rsid w:val="003C5F36"/>
    <w:rsid w:val="003C6231"/>
    <w:rsid w:val="003D0BFE"/>
    <w:rsid w:val="003D5700"/>
    <w:rsid w:val="003D580D"/>
    <w:rsid w:val="003D71F6"/>
    <w:rsid w:val="003E223E"/>
    <w:rsid w:val="003E341B"/>
    <w:rsid w:val="003E49DB"/>
    <w:rsid w:val="003E4D00"/>
    <w:rsid w:val="003F0DBB"/>
    <w:rsid w:val="003F154D"/>
    <w:rsid w:val="004116CD"/>
    <w:rsid w:val="00417EB9"/>
    <w:rsid w:val="00420E3B"/>
    <w:rsid w:val="00424CA9"/>
    <w:rsid w:val="00426356"/>
    <w:rsid w:val="004276DF"/>
    <w:rsid w:val="00431E9B"/>
    <w:rsid w:val="004379E3"/>
    <w:rsid w:val="0044015E"/>
    <w:rsid w:val="00441761"/>
    <w:rsid w:val="0044291A"/>
    <w:rsid w:val="00444A7E"/>
    <w:rsid w:val="00444B32"/>
    <w:rsid w:val="00456237"/>
    <w:rsid w:val="00456BC1"/>
    <w:rsid w:val="00460FF4"/>
    <w:rsid w:val="00462822"/>
    <w:rsid w:val="00467661"/>
    <w:rsid w:val="00472DBE"/>
    <w:rsid w:val="00474A19"/>
    <w:rsid w:val="00477830"/>
    <w:rsid w:val="00483AC3"/>
    <w:rsid w:val="004840A0"/>
    <w:rsid w:val="00487764"/>
    <w:rsid w:val="004912A7"/>
    <w:rsid w:val="00494171"/>
    <w:rsid w:val="00496C43"/>
    <w:rsid w:val="00496F97"/>
    <w:rsid w:val="004B4F14"/>
    <w:rsid w:val="004B6C48"/>
    <w:rsid w:val="004C0672"/>
    <w:rsid w:val="004C2F98"/>
    <w:rsid w:val="004C4E59"/>
    <w:rsid w:val="004C6809"/>
    <w:rsid w:val="004C738B"/>
    <w:rsid w:val="004D155F"/>
    <w:rsid w:val="004D2BFC"/>
    <w:rsid w:val="004D685A"/>
    <w:rsid w:val="004E063A"/>
    <w:rsid w:val="004E1307"/>
    <w:rsid w:val="004E1FAA"/>
    <w:rsid w:val="004E7BEC"/>
    <w:rsid w:val="004F3E88"/>
    <w:rsid w:val="00505D3D"/>
    <w:rsid w:val="00506AF6"/>
    <w:rsid w:val="00506F76"/>
    <w:rsid w:val="00513FC5"/>
    <w:rsid w:val="00516B8D"/>
    <w:rsid w:val="005178C4"/>
    <w:rsid w:val="0052301E"/>
    <w:rsid w:val="005303C8"/>
    <w:rsid w:val="0053176D"/>
    <w:rsid w:val="00532C06"/>
    <w:rsid w:val="00537FBC"/>
    <w:rsid w:val="00543053"/>
    <w:rsid w:val="00546A88"/>
    <w:rsid w:val="00546BB3"/>
    <w:rsid w:val="00547C29"/>
    <w:rsid w:val="00553B9F"/>
    <w:rsid w:val="00553E70"/>
    <w:rsid w:val="00554826"/>
    <w:rsid w:val="00560E18"/>
    <w:rsid w:val="00562379"/>
    <w:rsid w:val="00562877"/>
    <w:rsid w:val="0056727C"/>
    <w:rsid w:val="00572C51"/>
    <w:rsid w:val="00584811"/>
    <w:rsid w:val="00584DCB"/>
    <w:rsid w:val="00585315"/>
    <w:rsid w:val="00585784"/>
    <w:rsid w:val="00585F92"/>
    <w:rsid w:val="00593AA6"/>
    <w:rsid w:val="00594161"/>
    <w:rsid w:val="00594749"/>
    <w:rsid w:val="005A4811"/>
    <w:rsid w:val="005A65D5"/>
    <w:rsid w:val="005A6BF5"/>
    <w:rsid w:val="005B0A1E"/>
    <w:rsid w:val="005B197E"/>
    <w:rsid w:val="005B4067"/>
    <w:rsid w:val="005B570C"/>
    <w:rsid w:val="005B7C12"/>
    <w:rsid w:val="005C3F41"/>
    <w:rsid w:val="005D1D92"/>
    <w:rsid w:val="005D2D09"/>
    <w:rsid w:val="005D6C95"/>
    <w:rsid w:val="005E0AB0"/>
    <w:rsid w:val="005E1932"/>
    <w:rsid w:val="005E2370"/>
    <w:rsid w:val="00600219"/>
    <w:rsid w:val="00604239"/>
    <w:rsid w:val="00604F2A"/>
    <w:rsid w:val="00607261"/>
    <w:rsid w:val="00620076"/>
    <w:rsid w:val="00627E0A"/>
    <w:rsid w:val="00643CCA"/>
    <w:rsid w:val="006455E4"/>
    <w:rsid w:val="00646D36"/>
    <w:rsid w:val="0065488B"/>
    <w:rsid w:val="00656001"/>
    <w:rsid w:val="00660314"/>
    <w:rsid w:val="0066148E"/>
    <w:rsid w:val="006617D0"/>
    <w:rsid w:val="0066756A"/>
    <w:rsid w:val="00670EA1"/>
    <w:rsid w:val="00677CC2"/>
    <w:rsid w:val="00680555"/>
    <w:rsid w:val="006826B7"/>
    <w:rsid w:val="0068744B"/>
    <w:rsid w:val="006905DE"/>
    <w:rsid w:val="0069207B"/>
    <w:rsid w:val="00693A7B"/>
    <w:rsid w:val="0069788E"/>
    <w:rsid w:val="006A154F"/>
    <w:rsid w:val="006A23A3"/>
    <w:rsid w:val="006A23AE"/>
    <w:rsid w:val="006A437B"/>
    <w:rsid w:val="006A4726"/>
    <w:rsid w:val="006B5789"/>
    <w:rsid w:val="006C04F7"/>
    <w:rsid w:val="006C0F5D"/>
    <w:rsid w:val="006C30C5"/>
    <w:rsid w:val="006C7F8C"/>
    <w:rsid w:val="006D2AFE"/>
    <w:rsid w:val="006D6956"/>
    <w:rsid w:val="006E2E1C"/>
    <w:rsid w:val="006E6246"/>
    <w:rsid w:val="006E69C2"/>
    <w:rsid w:val="006E6DCC"/>
    <w:rsid w:val="006F318F"/>
    <w:rsid w:val="006F436A"/>
    <w:rsid w:val="006F6430"/>
    <w:rsid w:val="0070017E"/>
    <w:rsid w:val="00700B2C"/>
    <w:rsid w:val="007050A2"/>
    <w:rsid w:val="00713084"/>
    <w:rsid w:val="00714F20"/>
    <w:rsid w:val="0071590F"/>
    <w:rsid w:val="00715914"/>
    <w:rsid w:val="0072147A"/>
    <w:rsid w:val="00722D50"/>
    <w:rsid w:val="00722FC3"/>
    <w:rsid w:val="00723791"/>
    <w:rsid w:val="00725984"/>
    <w:rsid w:val="00731E00"/>
    <w:rsid w:val="00733497"/>
    <w:rsid w:val="0073467F"/>
    <w:rsid w:val="00741537"/>
    <w:rsid w:val="00742BCD"/>
    <w:rsid w:val="007440B7"/>
    <w:rsid w:val="007474D9"/>
    <w:rsid w:val="007500C8"/>
    <w:rsid w:val="00756272"/>
    <w:rsid w:val="00761E35"/>
    <w:rsid w:val="00762D38"/>
    <w:rsid w:val="00766478"/>
    <w:rsid w:val="007715C9"/>
    <w:rsid w:val="00771613"/>
    <w:rsid w:val="00774EDD"/>
    <w:rsid w:val="007757EC"/>
    <w:rsid w:val="00783E89"/>
    <w:rsid w:val="00793915"/>
    <w:rsid w:val="007A4669"/>
    <w:rsid w:val="007A4A92"/>
    <w:rsid w:val="007B614B"/>
    <w:rsid w:val="007C2253"/>
    <w:rsid w:val="007C42F4"/>
    <w:rsid w:val="007D27A2"/>
    <w:rsid w:val="007D7911"/>
    <w:rsid w:val="007E163D"/>
    <w:rsid w:val="007E64AD"/>
    <w:rsid w:val="007E667A"/>
    <w:rsid w:val="007F0C96"/>
    <w:rsid w:val="007F28C9"/>
    <w:rsid w:val="007F328E"/>
    <w:rsid w:val="007F51B2"/>
    <w:rsid w:val="007F7BEB"/>
    <w:rsid w:val="00800ACD"/>
    <w:rsid w:val="00803A2B"/>
    <w:rsid w:val="008040DD"/>
    <w:rsid w:val="008117E9"/>
    <w:rsid w:val="008171D3"/>
    <w:rsid w:val="00824498"/>
    <w:rsid w:val="00826BD1"/>
    <w:rsid w:val="00826FDC"/>
    <w:rsid w:val="008276E4"/>
    <w:rsid w:val="00834F4B"/>
    <w:rsid w:val="0083626B"/>
    <w:rsid w:val="00851DBF"/>
    <w:rsid w:val="00854D0B"/>
    <w:rsid w:val="00856A31"/>
    <w:rsid w:val="008571CE"/>
    <w:rsid w:val="00860571"/>
    <w:rsid w:val="00860B4E"/>
    <w:rsid w:val="00860EB4"/>
    <w:rsid w:val="00863D47"/>
    <w:rsid w:val="0086618F"/>
    <w:rsid w:val="00867B37"/>
    <w:rsid w:val="00873C2F"/>
    <w:rsid w:val="008740E1"/>
    <w:rsid w:val="0087480C"/>
    <w:rsid w:val="008754D0"/>
    <w:rsid w:val="00875D13"/>
    <w:rsid w:val="00875F62"/>
    <w:rsid w:val="0088491F"/>
    <w:rsid w:val="008855C9"/>
    <w:rsid w:val="00886456"/>
    <w:rsid w:val="00887BD1"/>
    <w:rsid w:val="00894CB2"/>
    <w:rsid w:val="00896176"/>
    <w:rsid w:val="008A4467"/>
    <w:rsid w:val="008A46E1"/>
    <w:rsid w:val="008A4F43"/>
    <w:rsid w:val="008B2706"/>
    <w:rsid w:val="008B4391"/>
    <w:rsid w:val="008B5CCC"/>
    <w:rsid w:val="008B6EA4"/>
    <w:rsid w:val="008C2EAC"/>
    <w:rsid w:val="008C3F79"/>
    <w:rsid w:val="008D0EE0"/>
    <w:rsid w:val="008D3CC2"/>
    <w:rsid w:val="008E0027"/>
    <w:rsid w:val="008E2F4A"/>
    <w:rsid w:val="008E6067"/>
    <w:rsid w:val="008F3B2A"/>
    <w:rsid w:val="008F54E7"/>
    <w:rsid w:val="00903422"/>
    <w:rsid w:val="0090619E"/>
    <w:rsid w:val="00910EB9"/>
    <w:rsid w:val="009121FC"/>
    <w:rsid w:val="009254C3"/>
    <w:rsid w:val="00932377"/>
    <w:rsid w:val="009372FE"/>
    <w:rsid w:val="0094048D"/>
    <w:rsid w:val="00941236"/>
    <w:rsid w:val="00943FD5"/>
    <w:rsid w:val="00947D5A"/>
    <w:rsid w:val="00950EA7"/>
    <w:rsid w:val="009532A5"/>
    <w:rsid w:val="0095443D"/>
    <w:rsid w:val="009545BD"/>
    <w:rsid w:val="00964CF0"/>
    <w:rsid w:val="00965310"/>
    <w:rsid w:val="00971165"/>
    <w:rsid w:val="00972394"/>
    <w:rsid w:val="00975C62"/>
    <w:rsid w:val="00977806"/>
    <w:rsid w:val="00982242"/>
    <w:rsid w:val="009868E9"/>
    <w:rsid w:val="009900A3"/>
    <w:rsid w:val="00992107"/>
    <w:rsid w:val="009A0DCB"/>
    <w:rsid w:val="009B314E"/>
    <w:rsid w:val="009C3413"/>
    <w:rsid w:val="009C721C"/>
    <w:rsid w:val="009E5089"/>
    <w:rsid w:val="00A02454"/>
    <w:rsid w:val="00A043FA"/>
    <w:rsid w:val="00A0441E"/>
    <w:rsid w:val="00A0541D"/>
    <w:rsid w:val="00A05C89"/>
    <w:rsid w:val="00A07748"/>
    <w:rsid w:val="00A12128"/>
    <w:rsid w:val="00A20C49"/>
    <w:rsid w:val="00A222D8"/>
    <w:rsid w:val="00A22C98"/>
    <w:rsid w:val="00A231E2"/>
    <w:rsid w:val="00A346D3"/>
    <w:rsid w:val="00A35A47"/>
    <w:rsid w:val="00A369E3"/>
    <w:rsid w:val="00A50808"/>
    <w:rsid w:val="00A51694"/>
    <w:rsid w:val="00A5717D"/>
    <w:rsid w:val="00A57600"/>
    <w:rsid w:val="00A64912"/>
    <w:rsid w:val="00A652A3"/>
    <w:rsid w:val="00A70A74"/>
    <w:rsid w:val="00A74CF3"/>
    <w:rsid w:val="00A75FE9"/>
    <w:rsid w:val="00A915ED"/>
    <w:rsid w:val="00A963B7"/>
    <w:rsid w:val="00AA0993"/>
    <w:rsid w:val="00AA4704"/>
    <w:rsid w:val="00AA6488"/>
    <w:rsid w:val="00AC3084"/>
    <w:rsid w:val="00AC3FED"/>
    <w:rsid w:val="00AC48C7"/>
    <w:rsid w:val="00AD53CC"/>
    <w:rsid w:val="00AD5641"/>
    <w:rsid w:val="00AF06CF"/>
    <w:rsid w:val="00AF58DB"/>
    <w:rsid w:val="00B03F09"/>
    <w:rsid w:val="00B07CDB"/>
    <w:rsid w:val="00B11A2E"/>
    <w:rsid w:val="00B12C8F"/>
    <w:rsid w:val="00B1559E"/>
    <w:rsid w:val="00B16A31"/>
    <w:rsid w:val="00B17DFD"/>
    <w:rsid w:val="00B23BE9"/>
    <w:rsid w:val="00B25306"/>
    <w:rsid w:val="00B27831"/>
    <w:rsid w:val="00B308FE"/>
    <w:rsid w:val="00B30FFE"/>
    <w:rsid w:val="00B33709"/>
    <w:rsid w:val="00B33B3C"/>
    <w:rsid w:val="00B36392"/>
    <w:rsid w:val="00B3731C"/>
    <w:rsid w:val="00B418CB"/>
    <w:rsid w:val="00B44EC8"/>
    <w:rsid w:val="00B47444"/>
    <w:rsid w:val="00B50ADC"/>
    <w:rsid w:val="00B566B1"/>
    <w:rsid w:val="00B61D7F"/>
    <w:rsid w:val="00B63834"/>
    <w:rsid w:val="00B64254"/>
    <w:rsid w:val="00B80199"/>
    <w:rsid w:val="00B804BC"/>
    <w:rsid w:val="00B812A0"/>
    <w:rsid w:val="00B8248E"/>
    <w:rsid w:val="00B83204"/>
    <w:rsid w:val="00B856E7"/>
    <w:rsid w:val="00B919B4"/>
    <w:rsid w:val="00B94412"/>
    <w:rsid w:val="00BA220B"/>
    <w:rsid w:val="00BA3A57"/>
    <w:rsid w:val="00BB1533"/>
    <w:rsid w:val="00BB462B"/>
    <w:rsid w:val="00BB4E1A"/>
    <w:rsid w:val="00BC015E"/>
    <w:rsid w:val="00BC4F2E"/>
    <w:rsid w:val="00BC5D2E"/>
    <w:rsid w:val="00BC76AC"/>
    <w:rsid w:val="00BC77C2"/>
    <w:rsid w:val="00BD0ECB"/>
    <w:rsid w:val="00BD12DB"/>
    <w:rsid w:val="00BE2155"/>
    <w:rsid w:val="00BE719A"/>
    <w:rsid w:val="00BE720A"/>
    <w:rsid w:val="00BE75AE"/>
    <w:rsid w:val="00BF0D73"/>
    <w:rsid w:val="00BF2465"/>
    <w:rsid w:val="00C14457"/>
    <w:rsid w:val="00C16619"/>
    <w:rsid w:val="00C25E7F"/>
    <w:rsid w:val="00C2746F"/>
    <w:rsid w:val="00C323D6"/>
    <w:rsid w:val="00C32443"/>
    <w:rsid w:val="00C324A0"/>
    <w:rsid w:val="00C35391"/>
    <w:rsid w:val="00C37D91"/>
    <w:rsid w:val="00C42BF8"/>
    <w:rsid w:val="00C50043"/>
    <w:rsid w:val="00C519A6"/>
    <w:rsid w:val="00C5290D"/>
    <w:rsid w:val="00C66C51"/>
    <w:rsid w:val="00C7573B"/>
    <w:rsid w:val="00C757F5"/>
    <w:rsid w:val="00C8311B"/>
    <w:rsid w:val="00C83E71"/>
    <w:rsid w:val="00C8466A"/>
    <w:rsid w:val="00C84FB3"/>
    <w:rsid w:val="00C868D9"/>
    <w:rsid w:val="00C9661E"/>
    <w:rsid w:val="00C97A54"/>
    <w:rsid w:val="00CA2E10"/>
    <w:rsid w:val="00CA3FD6"/>
    <w:rsid w:val="00CA5B23"/>
    <w:rsid w:val="00CB18DA"/>
    <w:rsid w:val="00CB602E"/>
    <w:rsid w:val="00CB7E90"/>
    <w:rsid w:val="00CC47D2"/>
    <w:rsid w:val="00CE051D"/>
    <w:rsid w:val="00CE1335"/>
    <w:rsid w:val="00CE493D"/>
    <w:rsid w:val="00CE7736"/>
    <w:rsid w:val="00CF07FA"/>
    <w:rsid w:val="00CF0BB2"/>
    <w:rsid w:val="00CF3ADA"/>
    <w:rsid w:val="00CF3EE8"/>
    <w:rsid w:val="00D13441"/>
    <w:rsid w:val="00D13B73"/>
    <w:rsid w:val="00D150E7"/>
    <w:rsid w:val="00D152CB"/>
    <w:rsid w:val="00D233AC"/>
    <w:rsid w:val="00D52DC2"/>
    <w:rsid w:val="00D53BCC"/>
    <w:rsid w:val="00D54C9E"/>
    <w:rsid w:val="00D567C3"/>
    <w:rsid w:val="00D63889"/>
    <w:rsid w:val="00D6537E"/>
    <w:rsid w:val="00D653B9"/>
    <w:rsid w:val="00D70B11"/>
    <w:rsid w:val="00D70B23"/>
    <w:rsid w:val="00D70DFB"/>
    <w:rsid w:val="00D711D2"/>
    <w:rsid w:val="00D766DF"/>
    <w:rsid w:val="00D8206C"/>
    <w:rsid w:val="00D91F10"/>
    <w:rsid w:val="00D956ED"/>
    <w:rsid w:val="00DA186E"/>
    <w:rsid w:val="00DA4116"/>
    <w:rsid w:val="00DB0E62"/>
    <w:rsid w:val="00DB251C"/>
    <w:rsid w:val="00DB4630"/>
    <w:rsid w:val="00DC4F88"/>
    <w:rsid w:val="00DD21EC"/>
    <w:rsid w:val="00DD3483"/>
    <w:rsid w:val="00DD6983"/>
    <w:rsid w:val="00DE107C"/>
    <w:rsid w:val="00DE24DA"/>
    <w:rsid w:val="00DF1C73"/>
    <w:rsid w:val="00DF2388"/>
    <w:rsid w:val="00DF27D8"/>
    <w:rsid w:val="00E02A12"/>
    <w:rsid w:val="00E05704"/>
    <w:rsid w:val="00E06986"/>
    <w:rsid w:val="00E075A6"/>
    <w:rsid w:val="00E1428C"/>
    <w:rsid w:val="00E30202"/>
    <w:rsid w:val="00E338EF"/>
    <w:rsid w:val="00E544BB"/>
    <w:rsid w:val="00E65796"/>
    <w:rsid w:val="00E66A96"/>
    <w:rsid w:val="00E74DC7"/>
    <w:rsid w:val="00E8075A"/>
    <w:rsid w:val="00E82487"/>
    <w:rsid w:val="00E852F5"/>
    <w:rsid w:val="00E85BAA"/>
    <w:rsid w:val="00E86B86"/>
    <w:rsid w:val="00E90746"/>
    <w:rsid w:val="00E940D8"/>
    <w:rsid w:val="00E94D5E"/>
    <w:rsid w:val="00E952A7"/>
    <w:rsid w:val="00EA1E17"/>
    <w:rsid w:val="00EA50FC"/>
    <w:rsid w:val="00EA6404"/>
    <w:rsid w:val="00EA7100"/>
    <w:rsid w:val="00EA7F9F"/>
    <w:rsid w:val="00EB1274"/>
    <w:rsid w:val="00EB46E0"/>
    <w:rsid w:val="00EB4D43"/>
    <w:rsid w:val="00EC490B"/>
    <w:rsid w:val="00EC728B"/>
    <w:rsid w:val="00ED2BB6"/>
    <w:rsid w:val="00ED34E1"/>
    <w:rsid w:val="00ED3B8D"/>
    <w:rsid w:val="00ED4163"/>
    <w:rsid w:val="00EE5E36"/>
    <w:rsid w:val="00EE6132"/>
    <w:rsid w:val="00EE71CE"/>
    <w:rsid w:val="00EE7783"/>
    <w:rsid w:val="00EE7FF9"/>
    <w:rsid w:val="00EF2E3A"/>
    <w:rsid w:val="00F01540"/>
    <w:rsid w:val="00F02C7C"/>
    <w:rsid w:val="00F05A11"/>
    <w:rsid w:val="00F06DB7"/>
    <w:rsid w:val="00F072A7"/>
    <w:rsid w:val="00F078DC"/>
    <w:rsid w:val="00F14F3D"/>
    <w:rsid w:val="00F25132"/>
    <w:rsid w:val="00F26B85"/>
    <w:rsid w:val="00F27C71"/>
    <w:rsid w:val="00F32BA8"/>
    <w:rsid w:val="00F32EE0"/>
    <w:rsid w:val="00F349F1"/>
    <w:rsid w:val="00F358EA"/>
    <w:rsid w:val="00F4350D"/>
    <w:rsid w:val="00F44221"/>
    <w:rsid w:val="00F479C4"/>
    <w:rsid w:val="00F529EE"/>
    <w:rsid w:val="00F567F7"/>
    <w:rsid w:val="00F61AC7"/>
    <w:rsid w:val="00F6696E"/>
    <w:rsid w:val="00F73BD6"/>
    <w:rsid w:val="00F77413"/>
    <w:rsid w:val="00F83989"/>
    <w:rsid w:val="00F85099"/>
    <w:rsid w:val="00F8634B"/>
    <w:rsid w:val="00F90F19"/>
    <w:rsid w:val="00F9379C"/>
    <w:rsid w:val="00F9632C"/>
    <w:rsid w:val="00FA1E52"/>
    <w:rsid w:val="00FB16FC"/>
    <w:rsid w:val="00FB5A08"/>
    <w:rsid w:val="00FC0682"/>
    <w:rsid w:val="00FC1925"/>
    <w:rsid w:val="00FC2E96"/>
    <w:rsid w:val="00FC51A3"/>
    <w:rsid w:val="00FC5EDF"/>
    <w:rsid w:val="00FC6A80"/>
    <w:rsid w:val="00FD2AAF"/>
    <w:rsid w:val="00FD4179"/>
    <w:rsid w:val="00FD535B"/>
    <w:rsid w:val="00FE0E1B"/>
    <w:rsid w:val="00FE416F"/>
    <w:rsid w:val="00FE4688"/>
    <w:rsid w:val="00FF007C"/>
    <w:rsid w:val="00FF319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tabs>
        <w:tab w:val="num" w:pos="1440"/>
      </w:tabs>
      <w:spacing w:before="240" w:line="240" w:lineRule="auto"/>
      <w:ind w:left="1440" w:hanging="720"/>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E64AD"/>
    <w:rPr>
      <w:sz w:val="16"/>
      <w:szCs w:val="16"/>
    </w:rPr>
  </w:style>
  <w:style w:type="paragraph" w:styleId="CommentText">
    <w:name w:val="annotation text"/>
    <w:basedOn w:val="Normal"/>
    <w:link w:val="CommentTextChar"/>
    <w:uiPriority w:val="99"/>
    <w:unhideWhenUsed/>
    <w:rsid w:val="007E64AD"/>
    <w:pPr>
      <w:spacing w:line="240" w:lineRule="auto"/>
    </w:pPr>
    <w:rPr>
      <w:sz w:val="20"/>
    </w:rPr>
  </w:style>
  <w:style w:type="character" w:customStyle="1" w:styleId="CommentTextChar">
    <w:name w:val="Comment Text Char"/>
    <w:basedOn w:val="DefaultParagraphFont"/>
    <w:link w:val="CommentText"/>
    <w:uiPriority w:val="99"/>
    <w:rsid w:val="007E64AD"/>
  </w:style>
  <w:style w:type="paragraph" w:styleId="CommentSubject">
    <w:name w:val="annotation subject"/>
    <w:basedOn w:val="CommentText"/>
    <w:next w:val="CommentText"/>
    <w:link w:val="CommentSubjectChar"/>
    <w:uiPriority w:val="99"/>
    <w:semiHidden/>
    <w:unhideWhenUsed/>
    <w:rsid w:val="007E64AD"/>
    <w:rPr>
      <w:b/>
      <w:bCs/>
    </w:rPr>
  </w:style>
  <w:style w:type="character" w:customStyle="1" w:styleId="CommentSubjectChar">
    <w:name w:val="Comment Subject Char"/>
    <w:basedOn w:val="CommentTextChar"/>
    <w:link w:val="CommentSubject"/>
    <w:uiPriority w:val="99"/>
    <w:semiHidden/>
    <w:rsid w:val="007E64AD"/>
    <w:rPr>
      <w:b/>
      <w:bCs/>
    </w:rPr>
  </w:style>
  <w:style w:type="character" w:styleId="Hyperlink">
    <w:name w:val="Hyperlink"/>
    <w:basedOn w:val="DefaultParagraphFont"/>
    <w:uiPriority w:val="99"/>
    <w:unhideWhenUsed/>
    <w:rsid w:val="00163892"/>
    <w:rPr>
      <w:color w:val="0000FF" w:themeColor="hyperlink"/>
      <w:u w:val="single"/>
    </w:rPr>
  </w:style>
  <w:style w:type="character" w:styleId="UnresolvedMention">
    <w:name w:val="Unresolved Mention"/>
    <w:basedOn w:val="DefaultParagraphFont"/>
    <w:uiPriority w:val="99"/>
    <w:semiHidden/>
    <w:unhideWhenUsed/>
    <w:rsid w:val="00163892"/>
    <w:rPr>
      <w:color w:val="605E5C"/>
      <w:shd w:val="clear" w:color="auto" w:fill="E1DFDD"/>
    </w:rPr>
  </w:style>
  <w:style w:type="character" w:styleId="FollowedHyperlink">
    <w:name w:val="FollowedHyperlink"/>
    <w:basedOn w:val="DefaultParagraphFont"/>
    <w:uiPriority w:val="99"/>
    <w:semiHidden/>
    <w:unhideWhenUsed/>
    <w:rsid w:val="00543053"/>
    <w:rPr>
      <w:color w:val="800080" w:themeColor="followedHyperlink"/>
      <w:u w:val="single"/>
    </w:rPr>
  </w:style>
  <w:style w:type="paragraph" w:styleId="Revision">
    <w:name w:val="Revision"/>
    <w:hidden/>
    <w:uiPriority w:val="99"/>
    <w:semiHidden/>
    <w:rsid w:val="00834F4B"/>
    <w:rPr>
      <w:sz w:val="22"/>
    </w:rPr>
  </w:style>
  <w:style w:type="paragraph" w:customStyle="1" w:styleId="definition0">
    <w:name w:val="definition"/>
    <w:basedOn w:val="Normal"/>
    <w:rsid w:val="00800ACD"/>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800ACD"/>
    <w:pPr>
      <w:spacing w:before="100" w:beforeAutospacing="1" w:after="100" w:afterAutospacing="1" w:line="240" w:lineRule="auto"/>
    </w:pPr>
    <w:rPr>
      <w:rFonts w:eastAsia="Times New Roman" w:cs="Times New Roman"/>
      <w:sz w:val="24"/>
      <w:szCs w:val="24"/>
      <w:lang w:eastAsia="en-AU"/>
    </w:rPr>
  </w:style>
  <w:style w:type="paragraph" w:customStyle="1" w:styleId="pf0">
    <w:name w:val="pf0"/>
    <w:basedOn w:val="Normal"/>
    <w:rsid w:val="007D27A2"/>
    <w:pPr>
      <w:spacing w:before="100" w:beforeAutospacing="1" w:after="100" w:afterAutospacing="1" w:line="240" w:lineRule="auto"/>
      <w:ind w:left="1640"/>
    </w:pPr>
    <w:rPr>
      <w:rFonts w:eastAsia="Times New Roman" w:cs="Times New Roman"/>
      <w:sz w:val="24"/>
      <w:szCs w:val="24"/>
      <w:lang w:eastAsia="en-AU"/>
    </w:rPr>
  </w:style>
  <w:style w:type="paragraph" w:customStyle="1" w:styleId="pf1">
    <w:name w:val="pf1"/>
    <w:basedOn w:val="Normal"/>
    <w:rsid w:val="007D27A2"/>
    <w:pPr>
      <w:spacing w:before="100" w:beforeAutospacing="1" w:after="100" w:afterAutospacing="1" w:line="240" w:lineRule="auto"/>
      <w:ind w:left="2080"/>
    </w:pPr>
    <w:rPr>
      <w:rFonts w:eastAsia="Times New Roman" w:cs="Times New Roman"/>
      <w:sz w:val="24"/>
      <w:szCs w:val="24"/>
      <w:lang w:eastAsia="en-AU"/>
    </w:rPr>
  </w:style>
  <w:style w:type="character" w:customStyle="1" w:styleId="cf01">
    <w:name w:val="cf01"/>
    <w:basedOn w:val="DefaultParagraphFont"/>
    <w:rsid w:val="007D27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82290">
      <w:bodyDiv w:val="1"/>
      <w:marLeft w:val="0"/>
      <w:marRight w:val="0"/>
      <w:marTop w:val="0"/>
      <w:marBottom w:val="0"/>
      <w:divBdr>
        <w:top w:val="none" w:sz="0" w:space="0" w:color="auto"/>
        <w:left w:val="none" w:sz="0" w:space="0" w:color="auto"/>
        <w:bottom w:val="none" w:sz="0" w:space="0" w:color="auto"/>
        <w:right w:val="none" w:sz="0" w:space="0" w:color="auto"/>
      </w:divBdr>
    </w:div>
    <w:div w:id="569271623">
      <w:bodyDiv w:val="1"/>
      <w:marLeft w:val="0"/>
      <w:marRight w:val="0"/>
      <w:marTop w:val="0"/>
      <w:marBottom w:val="0"/>
      <w:divBdr>
        <w:top w:val="none" w:sz="0" w:space="0" w:color="auto"/>
        <w:left w:val="none" w:sz="0" w:space="0" w:color="auto"/>
        <w:bottom w:val="none" w:sz="0" w:space="0" w:color="auto"/>
        <w:right w:val="none" w:sz="0" w:space="0" w:color="auto"/>
      </w:divBdr>
    </w:div>
    <w:div w:id="843974052">
      <w:bodyDiv w:val="1"/>
      <w:marLeft w:val="0"/>
      <w:marRight w:val="0"/>
      <w:marTop w:val="0"/>
      <w:marBottom w:val="0"/>
      <w:divBdr>
        <w:top w:val="none" w:sz="0" w:space="0" w:color="auto"/>
        <w:left w:val="none" w:sz="0" w:space="0" w:color="auto"/>
        <w:bottom w:val="none" w:sz="0" w:space="0" w:color="auto"/>
        <w:right w:val="none" w:sz="0" w:space="0" w:color="auto"/>
      </w:divBdr>
    </w:div>
    <w:div w:id="967470589">
      <w:bodyDiv w:val="1"/>
      <w:marLeft w:val="0"/>
      <w:marRight w:val="0"/>
      <w:marTop w:val="0"/>
      <w:marBottom w:val="0"/>
      <w:divBdr>
        <w:top w:val="none" w:sz="0" w:space="0" w:color="auto"/>
        <w:left w:val="none" w:sz="0" w:space="0" w:color="auto"/>
        <w:bottom w:val="none" w:sz="0" w:space="0" w:color="auto"/>
        <w:right w:val="none" w:sz="0" w:space="0" w:color="auto"/>
      </w:divBdr>
    </w:div>
    <w:div w:id="1734115116">
      <w:bodyDiv w:val="1"/>
      <w:marLeft w:val="0"/>
      <w:marRight w:val="0"/>
      <w:marTop w:val="0"/>
      <w:marBottom w:val="0"/>
      <w:divBdr>
        <w:top w:val="none" w:sz="0" w:space="0" w:color="auto"/>
        <w:left w:val="none" w:sz="0" w:space="0" w:color="auto"/>
        <w:bottom w:val="none" w:sz="0" w:space="0" w:color="auto"/>
        <w:right w:val="none" w:sz="0" w:space="0" w:color="auto"/>
      </w:divBdr>
    </w:div>
    <w:div w:id="1814323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2023-06-20T01:47:00Z</cp:lastPrinted>
  <dcterms:created xsi:type="dcterms:W3CDTF">2024-09-09T01:30:00Z</dcterms:created>
  <dcterms:modified xsi:type="dcterms:W3CDTF">2024-09-09T01:30:00Z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0x010100C95DF525056C794DA1C8F0847EABA15F</vt:lpwstr>
  </property>
  <property fmtid="{D5CDD505-2E9C-101B-9397-08002B2CF9AE}" pid="3" name="_dlc_DocIdItemGuid">
    <vt:lpwstr>1ca832cb-7658-417e-a867-415fe6032966</vt:lpwstr>
  </property>
  <property fmtid="{D5CDD505-2E9C-101B-9397-08002B2CF9AE}" pid="4" name="Security Classification">
    <vt:lpwstr>1;#OFFICIAL|5d128361-bbb7-4b9a-ac60-b26612a0ec1b</vt:lpwstr>
  </property>
  <property fmtid="{D5CDD505-2E9C-101B-9397-08002B2CF9AE}" pid="5" name="IsABRSLetter">
    <vt:bool>false</vt:bool>
  </property>
</Properties>
</file>