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558" w14:textId="46056E91" w:rsidR="00854C33" w:rsidRPr="00AF2FD9" w:rsidRDefault="00854C33" w:rsidP="00AF2FD9">
      <w:pPr>
        <w:pStyle w:val="Heading"/>
        <w:spacing w:after="240"/>
        <w:jc w:val="center"/>
        <w:rPr>
          <w:sz w:val="24"/>
          <w:szCs w:val="24"/>
        </w:rPr>
      </w:pPr>
      <w:r w:rsidRPr="00AF2FD9">
        <w:rPr>
          <w:sz w:val="24"/>
          <w:szCs w:val="24"/>
        </w:rPr>
        <w:t xml:space="preserve">Financial Sector (Collection of Data) (reporting standard) determination No. </w:t>
      </w:r>
      <w:r w:rsidR="00FC08EF" w:rsidRPr="00AF2FD9">
        <w:rPr>
          <w:sz w:val="24"/>
          <w:szCs w:val="24"/>
        </w:rPr>
        <w:t>13</w:t>
      </w:r>
      <w:r w:rsidRPr="00AF2FD9">
        <w:rPr>
          <w:sz w:val="24"/>
          <w:szCs w:val="24"/>
        </w:rPr>
        <w:t xml:space="preserve"> of 202</w:t>
      </w:r>
      <w:r w:rsidR="001818C4" w:rsidRPr="00AF2FD9">
        <w:rPr>
          <w:sz w:val="24"/>
          <w:szCs w:val="24"/>
        </w:rPr>
        <w:t>4</w:t>
      </w:r>
    </w:p>
    <w:p w14:paraId="121BFB7C" w14:textId="77777777" w:rsidR="00854C33" w:rsidRPr="00AF2FD9" w:rsidRDefault="00854C33" w:rsidP="00AF2FD9">
      <w:pPr>
        <w:pStyle w:val="Heading"/>
        <w:tabs>
          <w:tab w:val="left" w:pos="360"/>
        </w:tabs>
        <w:spacing w:after="240"/>
        <w:jc w:val="center"/>
        <w:rPr>
          <w:sz w:val="24"/>
          <w:szCs w:val="24"/>
          <w:u w:val="single"/>
        </w:rPr>
      </w:pPr>
      <w:bookmarkStart w:id="0" w:name="bkInstrumentSubTitle"/>
      <w:bookmarkEnd w:id="0"/>
      <w:r w:rsidRPr="00AF2FD9">
        <w:rPr>
          <w:sz w:val="24"/>
          <w:szCs w:val="24"/>
          <w:u w:val="single"/>
        </w:rPr>
        <w:t>EXPLANATORY STATEMENT</w:t>
      </w:r>
    </w:p>
    <w:p w14:paraId="568B87B5" w14:textId="77777777" w:rsidR="00854C33" w:rsidRPr="00AF2FD9" w:rsidRDefault="00854C33" w:rsidP="00AF2FD9">
      <w:pPr>
        <w:pStyle w:val="Heading"/>
        <w:spacing w:after="240"/>
        <w:jc w:val="center"/>
        <w:rPr>
          <w:sz w:val="24"/>
          <w:szCs w:val="24"/>
        </w:rPr>
      </w:pPr>
      <w:r w:rsidRPr="00AF2FD9">
        <w:rPr>
          <w:sz w:val="24"/>
          <w:szCs w:val="24"/>
        </w:rPr>
        <w:t>Prepared by the Australian Prudential Regulation Authority (APRA)</w:t>
      </w:r>
    </w:p>
    <w:p w14:paraId="41E2056B" w14:textId="77777777" w:rsidR="00854C33" w:rsidRPr="00AF2FD9" w:rsidRDefault="00854C33" w:rsidP="00AF2FD9">
      <w:pPr>
        <w:pStyle w:val="heading0"/>
        <w:spacing w:before="0" w:beforeAutospacing="0" w:after="240" w:afterAutospacing="0"/>
        <w:jc w:val="center"/>
      </w:pPr>
      <w:r w:rsidRPr="00AF2FD9">
        <w:rPr>
          <w:i/>
          <w:iCs/>
        </w:rPr>
        <w:t>Financial Sector (Collection of Data) Act 2001</w:t>
      </w:r>
      <w:r w:rsidRPr="00AF2FD9">
        <w:t>, sections 13 and 15</w:t>
      </w:r>
    </w:p>
    <w:p w14:paraId="16F6AB79" w14:textId="77777777" w:rsidR="00854C33" w:rsidRPr="00AF2FD9" w:rsidRDefault="00854C33" w:rsidP="00AF2FD9">
      <w:pPr>
        <w:pStyle w:val="heading0"/>
        <w:spacing w:before="0" w:beforeAutospacing="0" w:after="240" w:afterAutospacing="0"/>
        <w:jc w:val="center"/>
      </w:pPr>
      <w:r w:rsidRPr="00AF2FD9">
        <w:rPr>
          <w:i/>
        </w:rPr>
        <w:t>Acts Interpretation Act 1901</w:t>
      </w:r>
      <w:r w:rsidRPr="00AF2FD9">
        <w:t>, section 33</w:t>
      </w:r>
    </w:p>
    <w:p w14:paraId="101CED05" w14:textId="77777777" w:rsidR="00854C33" w:rsidRPr="00AF2FD9" w:rsidRDefault="00854C33" w:rsidP="00AF2FD9">
      <w:pPr>
        <w:widowControl w:val="0"/>
        <w:rPr>
          <w:rFonts w:ascii="Times New Roman" w:hAnsi="Times New Roman"/>
          <w:sz w:val="24"/>
          <w:szCs w:val="24"/>
        </w:rPr>
      </w:pPr>
      <w:bookmarkStart w:id="1" w:name="bkAct"/>
      <w:bookmarkStart w:id="2" w:name="bkExplanatory"/>
      <w:bookmarkEnd w:id="1"/>
      <w:bookmarkEnd w:id="2"/>
      <w:r w:rsidRPr="00AF2FD9">
        <w:rPr>
          <w:rFonts w:ascii="Times New Roman" w:hAnsi="Times New Roman"/>
          <w:sz w:val="24"/>
          <w:szCs w:val="24"/>
        </w:rPr>
        <w:t xml:space="preserve">Under subsection 13(1) of the </w:t>
      </w:r>
      <w:r w:rsidRPr="00AF2FD9">
        <w:rPr>
          <w:rFonts w:ascii="Times New Roman" w:hAnsi="Times New Roman"/>
          <w:i/>
          <w:sz w:val="24"/>
          <w:szCs w:val="24"/>
        </w:rPr>
        <w:t>Financial Sector (Collection of Data) Act 2001</w:t>
      </w:r>
      <w:r w:rsidRPr="00AF2FD9">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AF2FD9">
        <w:rPr>
          <w:rFonts w:ascii="Times New Roman" w:hAnsi="Times New Roman"/>
          <w:i/>
          <w:sz w:val="24"/>
          <w:szCs w:val="24"/>
        </w:rPr>
        <w:t>Acts Interpretation Act 1901</w:t>
      </w:r>
      <w:r w:rsidRPr="00AF2FD9">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BD84CD" w14:textId="77777777" w:rsidR="00854C33" w:rsidRPr="00AF2FD9" w:rsidRDefault="00854C33" w:rsidP="00AF2FD9">
      <w:pPr>
        <w:widowControl w:val="0"/>
        <w:rPr>
          <w:rFonts w:ascii="Times New Roman" w:hAnsi="Times New Roman"/>
          <w:sz w:val="24"/>
          <w:szCs w:val="24"/>
        </w:rPr>
      </w:pPr>
      <w:bookmarkStart w:id="3" w:name="_Hlk67156972"/>
      <w:r w:rsidRPr="00AF2FD9">
        <w:rPr>
          <w:rFonts w:ascii="Times New Roman" w:hAnsi="Times New Roman"/>
          <w:sz w:val="24"/>
          <w:szCs w:val="24"/>
        </w:rPr>
        <w:t xml:space="preserve">Subsection 15(1) of the Act provides that APRA may declare a day on and after which the reporting standards are to apply. </w:t>
      </w:r>
    </w:p>
    <w:bookmarkEnd w:id="3"/>
    <w:p w14:paraId="3C5D9939" w14:textId="2683CD66" w:rsidR="00211AFD" w:rsidRPr="00AF2FD9" w:rsidRDefault="00211AFD"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On</w:t>
      </w:r>
      <w:r w:rsidR="00F41BD7" w:rsidRPr="00AF2FD9">
        <w:rPr>
          <w:rFonts w:ascii="Times New Roman" w:hAnsi="Times New Roman" w:cs="Times New Roman"/>
          <w:sz w:val="24"/>
          <w:szCs w:val="24"/>
        </w:rPr>
        <w:t xml:space="preserve"> </w:t>
      </w:r>
      <w:r w:rsidR="003633FD" w:rsidRPr="00AF2FD9">
        <w:rPr>
          <w:rFonts w:ascii="Times New Roman" w:hAnsi="Times New Roman" w:cs="Times New Roman"/>
          <w:sz w:val="24"/>
          <w:szCs w:val="24"/>
        </w:rPr>
        <w:t>5 September</w:t>
      </w:r>
      <w:r w:rsidR="009D4F63" w:rsidRPr="00AF2FD9">
        <w:rPr>
          <w:rFonts w:ascii="Times New Roman" w:hAnsi="Times New Roman" w:cs="Times New Roman"/>
          <w:sz w:val="24"/>
          <w:szCs w:val="24"/>
        </w:rPr>
        <w:t xml:space="preserve"> 2024</w:t>
      </w:r>
      <w:r w:rsidRPr="00AF2FD9">
        <w:rPr>
          <w:rFonts w:ascii="Times New Roman" w:hAnsi="Times New Roman" w:cs="Times New Roman"/>
          <w:sz w:val="24"/>
          <w:szCs w:val="24"/>
        </w:rPr>
        <w:t>, APRA made</w:t>
      </w:r>
      <w:r w:rsidR="00321646" w:rsidRPr="00AF2FD9">
        <w:rPr>
          <w:rFonts w:ascii="Times New Roman" w:hAnsi="Times New Roman" w:cs="Times New Roman"/>
          <w:sz w:val="24"/>
          <w:szCs w:val="24"/>
        </w:rPr>
        <w:t>:</w:t>
      </w:r>
    </w:p>
    <w:p w14:paraId="3513AEB5" w14:textId="4A942D00" w:rsidR="008C7FD5" w:rsidRPr="00AF2FD9" w:rsidRDefault="008C7FD5" w:rsidP="00AF2FD9">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AF2FD9">
        <w:rPr>
          <w:rFonts w:ascii="Times New Roman" w:hAnsi="Times New Roman"/>
          <w:sz w:val="24"/>
          <w:szCs w:val="24"/>
        </w:rPr>
        <w:t xml:space="preserve">Financial Sector (Collection of Data) (reporting standard) determination No. </w:t>
      </w:r>
      <w:r w:rsidR="00FC08EF" w:rsidRPr="00AF2FD9">
        <w:rPr>
          <w:rFonts w:ascii="Times New Roman" w:hAnsi="Times New Roman"/>
          <w:sz w:val="24"/>
          <w:szCs w:val="24"/>
        </w:rPr>
        <w:t>13</w:t>
      </w:r>
      <w:r w:rsidR="009D4F63" w:rsidRPr="00AF2FD9">
        <w:rPr>
          <w:rFonts w:ascii="Times New Roman" w:hAnsi="Times New Roman"/>
          <w:sz w:val="24"/>
          <w:szCs w:val="24"/>
        </w:rPr>
        <w:t xml:space="preserve"> </w:t>
      </w:r>
      <w:r w:rsidRPr="00AF2FD9">
        <w:rPr>
          <w:rFonts w:ascii="Times New Roman" w:hAnsi="Times New Roman"/>
          <w:sz w:val="24"/>
          <w:szCs w:val="24"/>
        </w:rPr>
        <w:t>of 202</w:t>
      </w:r>
      <w:r w:rsidR="001818C4" w:rsidRPr="00AF2FD9">
        <w:rPr>
          <w:rFonts w:ascii="Times New Roman" w:hAnsi="Times New Roman"/>
          <w:sz w:val="24"/>
          <w:szCs w:val="24"/>
        </w:rPr>
        <w:t>4</w:t>
      </w:r>
      <w:r w:rsidRPr="00AF2FD9">
        <w:rPr>
          <w:rFonts w:ascii="Times New Roman" w:hAnsi="Times New Roman"/>
          <w:sz w:val="24"/>
          <w:szCs w:val="24"/>
        </w:rPr>
        <w:t xml:space="preserve"> which:</w:t>
      </w:r>
    </w:p>
    <w:p w14:paraId="4F222840" w14:textId="4EB48C22" w:rsidR="008C7FD5" w:rsidRPr="00AF2FD9" w:rsidRDefault="008C7FD5" w:rsidP="00AF2FD9">
      <w:pPr>
        <w:pStyle w:val="ListParagraph"/>
        <w:numPr>
          <w:ilvl w:val="1"/>
          <w:numId w:val="19"/>
        </w:numPr>
        <w:tabs>
          <w:tab w:val="clear" w:pos="425"/>
          <w:tab w:val="clear" w:pos="851"/>
        </w:tabs>
        <w:ind w:left="1134" w:hanging="567"/>
        <w:rPr>
          <w:rFonts w:ascii="Times New Roman" w:hAnsi="Times New Roman"/>
          <w:sz w:val="24"/>
          <w:szCs w:val="24"/>
        </w:rPr>
      </w:pPr>
      <w:r w:rsidRPr="00AF2FD9">
        <w:rPr>
          <w:rFonts w:ascii="Times New Roman" w:hAnsi="Times New Roman"/>
          <w:sz w:val="24"/>
          <w:szCs w:val="24"/>
        </w:rPr>
        <w:t xml:space="preserve">revokes </w:t>
      </w:r>
      <w:bookmarkStart w:id="4" w:name="_Hlk170309415"/>
      <w:r w:rsidR="00277CAB" w:rsidRPr="00AF2FD9">
        <w:rPr>
          <w:rFonts w:ascii="Times New Roman" w:hAnsi="Times New Roman"/>
          <w:i/>
          <w:sz w:val="24"/>
          <w:szCs w:val="24"/>
        </w:rPr>
        <w:t>Reporting Standard ARS 113.0 Capital Adequacy: Internal Ratings-based Approach to Credit Risk</w:t>
      </w:r>
      <w:r w:rsidRPr="00AF2FD9">
        <w:rPr>
          <w:rFonts w:ascii="Times New Roman" w:hAnsi="Times New Roman"/>
          <w:sz w:val="24"/>
          <w:szCs w:val="24"/>
        </w:rPr>
        <w:t xml:space="preserve"> </w:t>
      </w:r>
      <w:r w:rsidR="009B504A" w:rsidRPr="00AF2FD9">
        <w:rPr>
          <w:rFonts w:ascii="Times New Roman" w:hAnsi="Times New Roman"/>
          <w:sz w:val="24"/>
          <w:szCs w:val="24"/>
        </w:rPr>
        <w:t xml:space="preserve">(ARS 113.0) </w:t>
      </w:r>
      <w:r w:rsidRPr="00AF2FD9">
        <w:rPr>
          <w:rFonts w:ascii="Times New Roman" w:hAnsi="Times New Roman"/>
          <w:sz w:val="24"/>
          <w:szCs w:val="24"/>
        </w:rPr>
        <w:t xml:space="preserve">made under Financial Sector (Collection of Data) (reporting standard) determination </w:t>
      </w:r>
      <w:r w:rsidR="00120FDB" w:rsidRPr="00AF2FD9">
        <w:rPr>
          <w:rFonts w:ascii="Times New Roman" w:hAnsi="Times New Roman"/>
          <w:sz w:val="24"/>
          <w:szCs w:val="24"/>
        </w:rPr>
        <w:t xml:space="preserve">No. </w:t>
      </w:r>
      <w:r w:rsidR="00277CAB" w:rsidRPr="00AF2FD9">
        <w:rPr>
          <w:rFonts w:ascii="Times New Roman" w:hAnsi="Times New Roman"/>
          <w:sz w:val="24"/>
          <w:szCs w:val="24"/>
        </w:rPr>
        <w:t>50</w:t>
      </w:r>
      <w:r w:rsidR="00120FDB" w:rsidRPr="00AF2FD9">
        <w:rPr>
          <w:rFonts w:ascii="Times New Roman" w:hAnsi="Times New Roman"/>
          <w:sz w:val="24"/>
          <w:szCs w:val="24"/>
        </w:rPr>
        <w:t xml:space="preserve"> of 2023</w:t>
      </w:r>
      <w:bookmarkEnd w:id="4"/>
      <w:r w:rsidRPr="00AF2FD9">
        <w:rPr>
          <w:rFonts w:ascii="Times New Roman" w:hAnsi="Times New Roman"/>
          <w:sz w:val="24"/>
          <w:szCs w:val="24"/>
        </w:rPr>
        <w:t>; and</w:t>
      </w:r>
    </w:p>
    <w:p w14:paraId="6C6EF890" w14:textId="7244EC02" w:rsidR="008C7FD5" w:rsidRPr="00AF2FD9" w:rsidRDefault="008C7FD5" w:rsidP="00AF2FD9">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AF2FD9">
        <w:rPr>
          <w:rFonts w:ascii="Times New Roman" w:hAnsi="Times New Roman"/>
          <w:sz w:val="24"/>
          <w:szCs w:val="24"/>
        </w:rPr>
        <w:t xml:space="preserve">determines a new </w:t>
      </w:r>
      <w:r w:rsidR="009B504A" w:rsidRPr="00AF2FD9">
        <w:rPr>
          <w:rFonts w:ascii="Times New Roman" w:hAnsi="Times New Roman"/>
          <w:sz w:val="24"/>
          <w:szCs w:val="24"/>
        </w:rPr>
        <w:t>version of ARS 113.0</w:t>
      </w:r>
      <w:r w:rsidR="00120FDB" w:rsidRPr="00AF2FD9">
        <w:rPr>
          <w:rFonts w:ascii="Times New Roman" w:hAnsi="Times New Roman"/>
          <w:sz w:val="24"/>
          <w:szCs w:val="24"/>
        </w:rPr>
        <w:t>.</w:t>
      </w:r>
    </w:p>
    <w:p w14:paraId="20C71CDB" w14:textId="591F05EE" w:rsidR="00023CE3" w:rsidRPr="00AF2FD9" w:rsidRDefault="00023CE3" w:rsidP="00AF2FD9">
      <w:pPr>
        <w:widowControl w:val="0"/>
        <w:rPr>
          <w:rFonts w:ascii="Times New Roman" w:hAnsi="Times New Roman"/>
          <w:sz w:val="24"/>
          <w:szCs w:val="24"/>
        </w:rPr>
      </w:pPr>
      <w:r w:rsidRPr="00AF2FD9">
        <w:rPr>
          <w:rFonts w:ascii="Times New Roman" w:hAnsi="Times New Roman"/>
          <w:sz w:val="24"/>
          <w:szCs w:val="24"/>
        </w:rPr>
        <w:t>The instrument commence</w:t>
      </w:r>
      <w:r w:rsidR="00244B0A" w:rsidRPr="00AF2FD9">
        <w:rPr>
          <w:rFonts w:ascii="Times New Roman" w:hAnsi="Times New Roman"/>
          <w:sz w:val="24"/>
          <w:szCs w:val="24"/>
        </w:rPr>
        <w:t>s</w:t>
      </w:r>
      <w:r w:rsidRPr="00AF2FD9">
        <w:rPr>
          <w:rFonts w:ascii="Times New Roman" w:hAnsi="Times New Roman"/>
          <w:sz w:val="24"/>
          <w:szCs w:val="24"/>
        </w:rPr>
        <w:t xml:space="preserve"> </w:t>
      </w:r>
      <w:r w:rsidR="0074643B" w:rsidRPr="00AF2FD9">
        <w:rPr>
          <w:rFonts w:ascii="Times New Roman" w:hAnsi="Times New Roman"/>
          <w:sz w:val="24"/>
          <w:szCs w:val="24"/>
        </w:rPr>
        <w:t xml:space="preserve">on </w:t>
      </w:r>
      <w:r w:rsidR="00E3416E" w:rsidRPr="00AF2FD9">
        <w:rPr>
          <w:rFonts w:ascii="Times New Roman" w:hAnsi="Times New Roman"/>
          <w:sz w:val="24"/>
          <w:szCs w:val="24"/>
        </w:rPr>
        <w:t>the day after it is registered on the Federal Register of Legislation</w:t>
      </w:r>
      <w:r w:rsidRPr="00AF2FD9">
        <w:rPr>
          <w:rFonts w:ascii="Times New Roman" w:hAnsi="Times New Roman"/>
          <w:sz w:val="24"/>
          <w:szCs w:val="24"/>
        </w:rPr>
        <w:t xml:space="preserve">. </w:t>
      </w:r>
    </w:p>
    <w:p w14:paraId="44D216EA" w14:textId="77777777" w:rsidR="00B670E9" w:rsidRPr="00AF2FD9" w:rsidRDefault="00B670E9" w:rsidP="00AF2FD9">
      <w:pPr>
        <w:numPr>
          <w:ilvl w:val="0"/>
          <w:numId w:val="0"/>
        </w:numPr>
        <w:rPr>
          <w:rFonts w:ascii="Times New Roman" w:hAnsi="Times New Roman" w:cs="Times New Roman"/>
          <w:b/>
          <w:sz w:val="24"/>
          <w:szCs w:val="24"/>
        </w:rPr>
      </w:pPr>
      <w:r w:rsidRPr="00AF2FD9">
        <w:rPr>
          <w:rFonts w:ascii="Times New Roman" w:hAnsi="Times New Roman" w:cs="Times New Roman"/>
          <w:b/>
          <w:sz w:val="24"/>
          <w:szCs w:val="24"/>
        </w:rPr>
        <w:t>1.</w:t>
      </w:r>
      <w:r w:rsidRPr="00AF2FD9">
        <w:rPr>
          <w:rFonts w:ascii="Times New Roman" w:hAnsi="Times New Roman" w:cs="Times New Roman"/>
          <w:b/>
          <w:sz w:val="24"/>
          <w:szCs w:val="24"/>
        </w:rPr>
        <w:tab/>
      </w:r>
      <w:r w:rsidR="00211AFD" w:rsidRPr="00AF2FD9">
        <w:rPr>
          <w:rFonts w:ascii="Times New Roman" w:hAnsi="Times New Roman" w:cs="Times New Roman"/>
          <w:b/>
          <w:sz w:val="24"/>
          <w:szCs w:val="24"/>
        </w:rPr>
        <w:t>Background</w:t>
      </w:r>
    </w:p>
    <w:p w14:paraId="090A2B74" w14:textId="77777777" w:rsidR="00AB4388" w:rsidRPr="00AF2FD9" w:rsidRDefault="00AB4388"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APRA is the prudential regulator for banking, insurance and superannuation entities, and collects financial sector data for its own uses and on behalf of the Reserve Bank of Australia and the Australian Bureau of Statistics. </w:t>
      </w:r>
    </w:p>
    <w:p w14:paraId="6631C88C" w14:textId="1CFF5DE0" w:rsidR="00AB4388" w:rsidRPr="00AF2FD9" w:rsidRDefault="00AB4388"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ARS 11</w:t>
      </w:r>
      <w:r w:rsidR="000C64E5" w:rsidRPr="00AF2FD9">
        <w:rPr>
          <w:rFonts w:ascii="Times New Roman" w:hAnsi="Times New Roman" w:cs="Times New Roman"/>
          <w:sz w:val="24"/>
          <w:szCs w:val="24"/>
        </w:rPr>
        <w:t>3</w:t>
      </w:r>
      <w:r w:rsidRPr="00AF2FD9">
        <w:rPr>
          <w:rFonts w:ascii="Times New Roman" w:hAnsi="Times New Roman" w:cs="Times New Roman"/>
          <w:sz w:val="24"/>
          <w:szCs w:val="24"/>
        </w:rPr>
        <w:t xml:space="preserve">.0 sets out the requirements for authorised deposit-taking institutions (ADIs) to report information to APRA relating to their </w:t>
      </w:r>
      <w:r w:rsidR="000D7005" w:rsidRPr="00AF2FD9">
        <w:rPr>
          <w:rFonts w:ascii="Times New Roman" w:hAnsi="Times New Roman" w:cs="Times New Roman"/>
          <w:sz w:val="24"/>
          <w:szCs w:val="24"/>
        </w:rPr>
        <w:t>exposures that are subject to calculations using the internal ratings-based approach to credit risk</w:t>
      </w:r>
      <w:r w:rsidRPr="00AF2FD9">
        <w:rPr>
          <w:rFonts w:ascii="Times New Roman" w:hAnsi="Times New Roman" w:cs="Times New Roman"/>
          <w:sz w:val="24"/>
          <w:szCs w:val="24"/>
        </w:rPr>
        <w:t>.</w:t>
      </w:r>
      <w:r w:rsidR="00846D7C" w:rsidRPr="00AF2FD9">
        <w:rPr>
          <w:rFonts w:ascii="Times New Roman" w:hAnsi="Times New Roman" w:cs="Times New Roman"/>
          <w:sz w:val="24"/>
          <w:szCs w:val="24"/>
        </w:rPr>
        <w:t xml:space="preserve"> It states the specific data items ADIs need to submit, provides definitions and instructions on how to measure and report these items, and states timelines and quality requirements for providing the data to APRA.</w:t>
      </w:r>
    </w:p>
    <w:p w14:paraId="0F75A941" w14:textId="38544ED3" w:rsidR="00114B50" w:rsidRPr="00AF2FD9" w:rsidRDefault="005C1108"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APRA implemented an updated capital framework </w:t>
      </w:r>
      <w:r w:rsidR="003427BE" w:rsidRPr="00AF2FD9">
        <w:rPr>
          <w:rFonts w:ascii="Times New Roman" w:hAnsi="Times New Roman" w:cs="Times New Roman"/>
          <w:sz w:val="24"/>
          <w:szCs w:val="24"/>
        </w:rPr>
        <w:t xml:space="preserve">for </w:t>
      </w:r>
      <w:r w:rsidRPr="00AF2FD9">
        <w:rPr>
          <w:rFonts w:ascii="Times New Roman" w:hAnsi="Times New Roman" w:cs="Times New Roman"/>
          <w:sz w:val="24"/>
          <w:szCs w:val="24"/>
        </w:rPr>
        <w:t xml:space="preserve">ADIs effective 1 January 2023. In December 2023, APRA released for consultation proposed minor updates to the ADI capital framework. The aim of these minor updates was to address specific implementation issues raised by industry in applying the new capital framework in practice. Following </w:t>
      </w:r>
      <w:r w:rsidR="00204F39" w:rsidRPr="00AF2FD9">
        <w:rPr>
          <w:rFonts w:ascii="Times New Roman" w:hAnsi="Times New Roman" w:cs="Times New Roman"/>
          <w:sz w:val="24"/>
          <w:szCs w:val="24"/>
        </w:rPr>
        <w:t xml:space="preserve">a three-month consultation period, </w:t>
      </w:r>
      <w:r w:rsidRPr="00AF2FD9">
        <w:rPr>
          <w:rFonts w:ascii="Times New Roman" w:hAnsi="Times New Roman" w:cs="Times New Roman"/>
          <w:sz w:val="24"/>
          <w:szCs w:val="24"/>
        </w:rPr>
        <w:t xml:space="preserve">APRA released a response to submissions on </w:t>
      </w:r>
      <w:r w:rsidR="0098603F" w:rsidRPr="00AF2FD9">
        <w:rPr>
          <w:rFonts w:ascii="Times New Roman" w:hAnsi="Times New Roman" w:cs="Times New Roman"/>
          <w:sz w:val="24"/>
          <w:szCs w:val="24"/>
        </w:rPr>
        <w:t xml:space="preserve">26 June </w:t>
      </w:r>
      <w:r w:rsidRPr="00AF2FD9">
        <w:rPr>
          <w:rFonts w:ascii="Times New Roman" w:hAnsi="Times New Roman" w:cs="Times New Roman"/>
          <w:sz w:val="24"/>
          <w:szCs w:val="24"/>
        </w:rPr>
        <w:t>2024.</w:t>
      </w:r>
    </w:p>
    <w:p w14:paraId="349A167C" w14:textId="3E0087E3" w:rsidR="00211AFD" w:rsidRPr="00AF2FD9" w:rsidRDefault="00B670E9" w:rsidP="00AF2FD9">
      <w:pPr>
        <w:keepNext/>
        <w:numPr>
          <w:ilvl w:val="0"/>
          <w:numId w:val="0"/>
        </w:numPr>
        <w:rPr>
          <w:rFonts w:ascii="Times New Roman" w:hAnsi="Times New Roman" w:cs="Times New Roman"/>
          <w:b/>
          <w:sz w:val="24"/>
          <w:szCs w:val="24"/>
        </w:rPr>
      </w:pPr>
      <w:r w:rsidRPr="00AF2FD9">
        <w:rPr>
          <w:rFonts w:ascii="Times New Roman" w:hAnsi="Times New Roman" w:cs="Times New Roman"/>
          <w:b/>
          <w:sz w:val="24"/>
          <w:szCs w:val="24"/>
        </w:rPr>
        <w:lastRenderedPageBreak/>
        <w:t>2.</w:t>
      </w:r>
      <w:r w:rsidRPr="00AF2FD9">
        <w:rPr>
          <w:rFonts w:ascii="Times New Roman" w:hAnsi="Times New Roman" w:cs="Times New Roman"/>
          <w:b/>
          <w:sz w:val="24"/>
          <w:szCs w:val="24"/>
        </w:rPr>
        <w:tab/>
      </w:r>
      <w:r w:rsidR="00211AFD" w:rsidRPr="00AF2FD9">
        <w:rPr>
          <w:rFonts w:ascii="Times New Roman" w:hAnsi="Times New Roman" w:cs="Times New Roman"/>
          <w:b/>
          <w:sz w:val="24"/>
          <w:szCs w:val="24"/>
        </w:rPr>
        <w:t>Purpose and operation of the instrument</w:t>
      </w:r>
    </w:p>
    <w:p w14:paraId="165D549D" w14:textId="07A09824" w:rsidR="00211AFD" w:rsidRPr="00AF2FD9" w:rsidRDefault="00211AFD"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The purpose of the </w:t>
      </w:r>
      <w:r w:rsidR="00023CE3" w:rsidRPr="00AF2FD9">
        <w:rPr>
          <w:rFonts w:ascii="Times New Roman" w:hAnsi="Times New Roman" w:cs="Times New Roman"/>
          <w:sz w:val="24"/>
          <w:szCs w:val="24"/>
        </w:rPr>
        <w:t>i</w:t>
      </w:r>
      <w:r w:rsidRPr="00AF2FD9">
        <w:rPr>
          <w:rFonts w:ascii="Times New Roman" w:hAnsi="Times New Roman" w:cs="Times New Roman"/>
          <w:sz w:val="24"/>
          <w:szCs w:val="24"/>
        </w:rPr>
        <w:t xml:space="preserve">nstrument is to </w:t>
      </w:r>
      <w:r w:rsidR="00E42A69" w:rsidRPr="00AF2FD9">
        <w:rPr>
          <w:rFonts w:ascii="Times New Roman" w:hAnsi="Times New Roman" w:cs="Times New Roman"/>
          <w:sz w:val="24"/>
          <w:szCs w:val="24"/>
        </w:rPr>
        <w:t>revoke the existing ARS 113.0 and replace it with a new version</w:t>
      </w:r>
      <w:r w:rsidRPr="00AF2FD9">
        <w:rPr>
          <w:rFonts w:ascii="Times New Roman" w:hAnsi="Times New Roman" w:cs="Times New Roman"/>
          <w:sz w:val="24"/>
          <w:szCs w:val="24"/>
        </w:rPr>
        <w:t>.</w:t>
      </w:r>
      <w:r w:rsidR="00452279" w:rsidRPr="00AF2FD9">
        <w:rPr>
          <w:rFonts w:ascii="Times New Roman" w:hAnsi="Times New Roman" w:cs="Times New Roman"/>
          <w:sz w:val="24"/>
          <w:szCs w:val="24"/>
        </w:rPr>
        <w:t xml:space="preserve"> </w:t>
      </w:r>
    </w:p>
    <w:p w14:paraId="7661522C" w14:textId="4703DBD9" w:rsidR="00EA1FBD" w:rsidRPr="00AF2FD9" w:rsidRDefault="00EA1FBD"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The new</w:t>
      </w:r>
      <w:r w:rsidRPr="00AF2FD9" w:rsidDel="00624BC2">
        <w:rPr>
          <w:rFonts w:ascii="Times New Roman" w:hAnsi="Times New Roman" w:cs="Times New Roman"/>
          <w:sz w:val="24"/>
          <w:szCs w:val="24"/>
        </w:rPr>
        <w:t xml:space="preserve"> </w:t>
      </w:r>
      <w:r w:rsidR="00624BC2" w:rsidRPr="00AF2FD9">
        <w:rPr>
          <w:rFonts w:ascii="Times New Roman" w:hAnsi="Times New Roman" w:cs="Times New Roman"/>
          <w:sz w:val="24"/>
          <w:szCs w:val="24"/>
        </w:rPr>
        <w:t xml:space="preserve">version of ARS 113.0 </w:t>
      </w:r>
      <w:r w:rsidRPr="00AF2FD9">
        <w:rPr>
          <w:rFonts w:ascii="Times New Roman" w:hAnsi="Times New Roman" w:cs="Times New Roman"/>
          <w:sz w:val="24"/>
          <w:szCs w:val="24"/>
        </w:rPr>
        <w:t xml:space="preserve">will ensure that APRA’s reporting framework aligns with its </w:t>
      </w:r>
      <w:r w:rsidR="0020674F" w:rsidRPr="00AF2FD9">
        <w:rPr>
          <w:rFonts w:ascii="Times New Roman" w:hAnsi="Times New Roman" w:cs="Times New Roman"/>
          <w:sz w:val="24"/>
          <w:szCs w:val="24"/>
        </w:rPr>
        <w:t xml:space="preserve">updated </w:t>
      </w:r>
      <w:r w:rsidRPr="00AF2FD9">
        <w:rPr>
          <w:rFonts w:ascii="Times New Roman" w:hAnsi="Times New Roman" w:cs="Times New Roman"/>
          <w:sz w:val="24"/>
          <w:szCs w:val="24"/>
        </w:rPr>
        <w:t xml:space="preserve">prudential framework and </w:t>
      </w:r>
      <w:r w:rsidR="0020674F" w:rsidRPr="00AF2FD9">
        <w:rPr>
          <w:rFonts w:ascii="Times New Roman" w:hAnsi="Times New Roman" w:cs="Times New Roman"/>
          <w:sz w:val="24"/>
          <w:szCs w:val="24"/>
        </w:rPr>
        <w:t>provides ADIs with clarity for reporting</w:t>
      </w:r>
      <w:r w:rsidR="005F0E28" w:rsidRPr="00AF2FD9">
        <w:rPr>
          <w:rFonts w:ascii="Times New Roman" w:hAnsi="Times New Roman" w:cs="Times New Roman"/>
          <w:sz w:val="24"/>
          <w:szCs w:val="24"/>
        </w:rPr>
        <w:t>. This will</w:t>
      </w:r>
      <w:r w:rsidR="0020674F" w:rsidRPr="00AF2FD9">
        <w:rPr>
          <w:rFonts w:ascii="Times New Roman" w:hAnsi="Times New Roman" w:cs="Times New Roman"/>
          <w:sz w:val="24"/>
          <w:szCs w:val="24"/>
        </w:rPr>
        <w:t xml:space="preserve"> </w:t>
      </w:r>
      <w:r w:rsidRPr="00AF2FD9">
        <w:rPr>
          <w:rFonts w:ascii="Times New Roman" w:hAnsi="Times New Roman" w:cs="Times New Roman"/>
          <w:sz w:val="24"/>
          <w:szCs w:val="24"/>
        </w:rPr>
        <w:t xml:space="preserve">allow APRA to supervise </w:t>
      </w:r>
      <w:r w:rsidR="005F0E28" w:rsidRPr="00AF2FD9">
        <w:rPr>
          <w:rFonts w:ascii="Times New Roman" w:hAnsi="Times New Roman" w:cs="Times New Roman"/>
          <w:sz w:val="24"/>
          <w:szCs w:val="24"/>
        </w:rPr>
        <w:t>ADIs’</w:t>
      </w:r>
      <w:r w:rsidRPr="00AF2FD9">
        <w:rPr>
          <w:rFonts w:ascii="Times New Roman" w:hAnsi="Times New Roman" w:cs="Times New Roman"/>
          <w:sz w:val="24"/>
          <w:szCs w:val="24"/>
        </w:rPr>
        <w:t xml:space="preserve"> compliance against the </w:t>
      </w:r>
      <w:r w:rsidR="00E9368C" w:rsidRPr="00AF2FD9">
        <w:rPr>
          <w:rFonts w:ascii="Times New Roman" w:hAnsi="Times New Roman" w:cs="Times New Roman"/>
          <w:sz w:val="24"/>
          <w:szCs w:val="24"/>
        </w:rPr>
        <w:t>updated</w:t>
      </w:r>
      <w:r w:rsidRPr="00AF2FD9">
        <w:rPr>
          <w:rFonts w:ascii="Times New Roman" w:hAnsi="Times New Roman" w:cs="Times New Roman"/>
          <w:sz w:val="24"/>
          <w:szCs w:val="24"/>
        </w:rPr>
        <w:t xml:space="preserve"> capital requirements.</w:t>
      </w:r>
    </w:p>
    <w:p w14:paraId="38D4CFF6" w14:textId="6A621B84" w:rsidR="00151EC9" w:rsidRPr="00AF2FD9" w:rsidRDefault="00151EC9"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The new reporting standard appl</w:t>
      </w:r>
      <w:r w:rsidR="004F4E4F" w:rsidRPr="00AF2FD9">
        <w:rPr>
          <w:rFonts w:ascii="Times New Roman" w:hAnsi="Times New Roman" w:cs="Times New Roman"/>
          <w:sz w:val="24"/>
          <w:szCs w:val="24"/>
        </w:rPr>
        <w:t>ies</w:t>
      </w:r>
      <w:r w:rsidRPr="00AF2FD9">
        <w:rPr>
          <w:rFonts w:ascii="Times New Roman" w:hAnsi="Times New Roman" w:cs="Times New Roman"/>
          <w:sz w:val="24"/>
          <w:szCs w:val="24"/>
        </w:rPr>
        <w:t xml:space="preserve"> to reporting periods ending on or after 30 September 2024.</w:t>
      </w:r>
    </w:p>
    <w:p w14:paraId="21D88032" w14:textId="77777777" w:rsidR="00D274ED" w:rsidRPr="00AF2FD9" w:rsidRDefault="00D274ED" w:rsidP="00AF2FD9">
      <w:pPr>
        <w:pStyle w:val="Heading5"/>
        <w:rPr>
          <w:rFonts w:ascii="Times New Roman" w:hAnsi="Times New Roman" w:cs="Times New Roman"/>
          <w:i/>
          <w:sz w:val="24"/>
          <w:szCs w:val="24"/>
        </w:rPr>
      </w:pPr>
      <w:r w:rsidRPr="00AF2FD9">
        <w:rPr>
          <w:rFonts w:ascii="Times New Roman" w:hAnsi="Times New Roman" w:cs="Times New Roman"/>
          <w:i/>
          <w:sz w:val="24"/>
          <w:szCs w:val="24"/>
        </w:rPr>
        <w:t>Explanation of each provision in the instrument</w:t>
      </w:r>
    </w:p>
    <w:p w14:paraId="146372B0" w14:textId="77777777" w:rsidR="003E5777" w:rsidRPr="00AF2FD9" w:rsidRDefault="003E5777"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Authority – paragraph 1</w:t>
      </w:r>
    </w:p>
    <w:p w14:paraId="46337F96" w14:textId="0418ECBA" w:rsidR="003E5777" w:rsidRPr="00AF2FD9" w:rsidRDefault="003E5777" w:rsidP="00AF2FD9">
      <w:pPr>
        <w:rPr>
          <w:rFonts w:ascii="Times New Roman" w:hAnsi="Times New Roman" w:cs="Times New Roman"/>
          <w:sz w:val="24"/>
          <w:szCs w:val="24"/>
        </w:rPr>
      </w:pPr>
      <w:r w:rsidRPr="00AF2FD9">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sidRPr="00AF2FD9">
        <w:rPr>
          <w:rFonts w:ascii="Times New Roman" w:hAnsi="Times New Roman" w:cs="Times New Roman"/>
          <w:sz w:val="24"/>
          <w:szCs w:val="24"/>
        </w:rPr>
        <w:t>paragraph</w:t>
      </w:r>
      <w:r w:rsidRPr="00AF2FD9">
        <w:rPr>
          <w:rFonts w:ascii="Times New Roman" w:hAnsi="Times New Roman" w:cs="Times New Roman"/>
          <w:sz w:val="24"/>
          <w:szCs w:val="24"/>
        </w:rPr>
        <w:t xml:space="preserve"> 13(1)(a) of the Act.</w:t>
      </w:r>
    </w:p>
    <w:p w14:paraId="40B2796E" w14:textId="77777777" w:rsidR="003E5777" w:rsidRPr="00AF2FD9" w:rsidRDefault="003E5777"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Purpose – paragraph 2</w:t>
      </w:r>
    </w:p>
    <w:p w14:paraId="19E945EF" w14:textId="2BC28695" w:rsidR="003E5777" w:rsidRPr="00AF2FD9" w:rsidRDefault="003E5777" w:rsidP="00AF2FD9">
      <w:pPr>
        <w:rPr>
          <w:rFonts w:ascii="Times New Roman" w:hAnsi="Times New Roman" w:cs="Times New Roman"/>
          <w:sz w:val="24"/>
          <w:szCs w:val="24"/>
        </w:rPr>
      </w:pPr>
      <w:r w:rsidRPr="00AF2FD9">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r w:rsidR="00937C36" w:rsidRPr="00AF2FD9">
        <w:rPr>
          <w:rFonts w:ascii="Times New Roman" w:hAnsi="Times New Roman" w:cs="Times New Roman"/>
          <w:sz w:val="24"/>
          <w:szCs w:val="24"/>
        </w:rPr>
        <w:t xml:space="preserve"> It may also be used by the Reserve Bank of Australia and the Australian Bureau of Statistics.</w:t>
      </w:r>
    </w:p>
    <w:p w14:paraId="252C948D" w14:textId="291708DE" w:rsidR="003E5777" w:rsidRPr="00AF2FD9" w:rsidRDefault="003E5777"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Application and commencement – paragraph</w:t>
      </w:r>
      <w:r w:rsidR="00A33B81" w:rsidRPr="00AF2FD9">
        <w:rPr>
          <w:rFonts w:ascii="Times New Roman" w:hAnsi="Times New Roman" w:cs="Times New Roman"/>
          <w:i/>
          <w:sz w:val="24"/>
          <w:szCs w:val="24"/>
        </w:rPr>
        <w:t>s</w:t>
      </w:r>
      <w:r w:rsidRPr="00AF2FD9">
        <w:rPr>
          <w:rFonts w:ascii="Times New Roman" w:hAnsi="Times New Roman" w:cs="Times New Roman"/>
          <w:i/>
          <w:sz w:val="24"/>
          <w:szCs w:val="24"/>
        </w:rPr>
        <w:t xml:space="preserve"> 3</w:t>
      </w:r>
      <w:r w:rsidR="00A33B81" w:rsidRPr="00AF2FD9">
        <w:rPr>
          <w:rFonts w:ascii="Times New Roman" w:hAnsi="Times New Roman" w:cs="Times New Roman"/>
          <w:i/>
          <w:sz w:val="24"/>
          <w:szCs w:val="24"/>
        </w:rPr>
        <w:t xml:space="preserve"> </w:t>
      </w:r>
      <w:r w:rsidR="00766C81" w:rsidRPr="00AF2FD9">
        <w:rPr>
          <w:rFonts w:ascii="Times New Roman" w:hAnsi="Times New Roman" w:cs="Times New Roman"/>
          <w:i/>
          <w:sz w:val="24"/>
          <w:szCs w:val="24"/>
        </w:rPr>
        <w:t>-</w:t>
      </w:r>
      <w:r w:rsidR="00A33B81" w:rsidRPr="00AF2FD9">
        <w:rPr>
          <w:rFonts w:ascii="Times New Roman" w:hAnsi="Times New Roman" w:cs="Times New Roman"/>
          <w:i/>
          <w:sz w:val="24"/>
          <w:szCs w:val="24"/>
        </w:rPr>
        <w:t xml:space="preserve"> </w:t>
      </w:r>
      <w:r w:rsidR="00766C81" w:rsidRPr="00AF2FD9">
        <w:rPr>
          <w:rFonts w:ascii="Times New Roman" w:hAnsi="Times New Roman" w:cs="Times New Roman"/>
          <w:i/>
          <w:sz w:val="24"/>
          <w:szCs w:val="24"/>
        </w:rPr>
        <w:t>5</w:t>
      </w:r>
    </w:p>
    <w:p w14:paraId="3A4BBDF0" w14:textId="36CD5D67" w:rsidR="003E5777" w:rsidRPr="00AF2FD9" w:rsidRDefault="003E5777" w:rsidP="00AF2FD9">
      <w:pPr>
        <w:rPr>
          <w:rFonts w:ascii="Times New Roman" w:hAnsi="Times New Roman" w:cs="Times New Roman"/>
          <w:sz w:val="24"/>
          <w:szCs w:val="24"/>
        </w:rPr>
      </w:pPr>
      <w:r w:rsidRPr="00AF2FD9">
        <w:rPr>
          <w:rFonts w:ascii="Times New Roman" w:hAnsi="Times New Roman" w:cs="Times New Roman"/>
          <w:sz w:val="24"/>
          <w:szCs w:val="24"/>
        </w:rPr>
        <w:t xml:space="preserve">This provision states which financial sector entities must comply with the reporting standard </w:t>
      </w:r>
      <w:r w:rsidR="006D76B4" w:rsidRPr="00AF2FD9">
        <w:rPr>
          <w:rFonts w:ascii="Times New Roman" w:hAnsi="Times New Roman" w:cs="Times New Roman"/>
          <w:sz w:val="24"/>
          <w:szCs w:val="24"/>
        </w:rPr>
        <w:t xml:space="preserve">under </w:t>
      </w:r>
      <w:r w:rsidRPr="00AF2FD9">
        <w:rPr>
          <w:rFonts w:ascii="Times New Roman" w:hAnsi="Times New Roman" w:cs="Times New Roman"/>
          <w:sz w:val="24"/>
          <w:szCs w:val="24"/>
        </w:rPr>
        <w:t>section 13</w:t>
      </w:r>
      <w:r w:rsidR="00477E9F" w:rsidRPr="00AF2FD9">
        <w:rPr>
          <w:rFonts w:ascii="Times New Roman" w:hAnsi="Times New Roman" w:cs="Times New Roman"/>
          <w:sz w:val="24"/>
          <w:szCs w:val="24"/>
        </w:rPr>
        <w:t xml:space="preserve"> of the Act</w:t>
      </w:r>
      <w:r w:rsidRPr="00AF2FD9">
        <w:rPr>
          <w:rFonts w:ascii="Times New Roman" w:hAnsi="Times New Roman" w:cs="Times New Roman"/>
          <w:sz w:val="24"/>
          <w:szCs w:val="24"/>
        </w:rPr>
        <w:t>, and when the reporting standard begins to apply to these financial sector entities as provided for in section 15 of the Act.</w:t>
      </w:r>
    </w:p>
    <w:p w14:paraId="06C27C6E" w14:textId="520F5E37" w:rsidR="003E5777" w:rsidRPr="00AF2FD9" w:rsidRDefault="003E5777"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Information required – paragraph</w:t>
      </w:r>
      <w:r w:rsidR="00A33B81" w:rsidRPr="00AF2FD9">
        <w:rPr>
          <w:rFonts w:ascii="Times New Roman" w:hAnsi="Times New Roman" w:cs="Times New Roman"/>
          <w:i/>
          <w:sz w:val="24"/>
          <w:szCs w:val="24"/>
        </w:rPr>
        <w:t>s</w:t>
      </w:r>
      <w:r w:rsidRPr="00AF2FD9">
        <w:rPr>
          <w:rFonts w:ascii="Times New Roman" w:hAnsi="Times New Roman" w:cs="Times New Roman"/>
          <w:i/>
          <w:sz w:val="24"/>
          <w:szCs w:val="24"/>
        </w:rPr>
        <w:t xml:space="preserve"> </w:t>
      </w:r>
      <w:r w:rsidR="00766C81" w:rsidRPr="00AF2FD9">
        <w:rPr>
          <w:rFonts w:ascii="Times New Roman" w:hAnsi="Times New Roman" w:cs="Times New Roman"/>
          <w:i/>
          <w:sz w:val="24"/>
          <w:szCs w:val="24"/>
        </w:rPr>
        <w:t>6</w:t>
      </w:r>
      <w:r w:rsidR="00A33B81" w:rsidRPr="00AF2FD9">
        <w:rPr>
          <w:rFonts w:ascii="Times New Roman" w:hAnsi="Times New Roman" w:cs="Times New Roman"/>
          <w:i/>
          <w:sz w:val="24"/>
          <w:szCs w:val="24"/>
        </w:rPr>
        <w:t xml:space="preserve"> and </w:t>
      </w:r>
      <w:r w:rsidR="00766C81" w:rsidRPr="00AF2FD9">
        <w:rPr>
          <w:rFonts w:ascii="Times New Roman" w:hAnsi="Times New Roman" w:cs="Times New Roman"/>
          <w:i/>
          <w:sz w:val="24"/>
          <w:szCs w:val="24"/>
        </w:rPr>
        <w:t>7</w:t>
      </w:r>
    </w:p>
    <w:p w14:paraId="6E2C2C13" w14:textId="183F963D" w:rsidR="003E5777" w:rsidRPr="00AF2FD9" w:rsidRDefault="003E5777" w:rsidP="00AF2FD9">
      <w:pPr>
        <w:rPr>
          <w:rFonts w:ascii="Times New Roman" w:hAnsi="Times New Roman" w:cs="Times New Roman"/>
          <w:sz w:val="24"/>
          <w:szCs w:val="24"/>
        </w:rPr>
      </w:pPr>
      <w:r w:rsidRPr="00AF2FD9">
        <w:rPr>
          <w:rFonts w:ascii="Times New Roman" w:hAnsi="Times New Roman" w:cs="Times New Roman"/>
          <w:sz w:val="24"/>
          <w:szCs w:val="24"/>
        </w:rPr>
        <w:t>Th</w:t>
      </w:r>
      <w:r w:rsidR="005D27B8" w:rsidRPr="00AF2FD9">
        <w:rPr>
          <w:rFonts w:ascii="Times New Roman" w:hAnsi="Times New Roman" w:cs="Times New Roman"/>
          <w:sz w:val="24"/>
          <w:szCs w:val="24"/>
        </w:rPr>
        <w:t>e</w:t>
      </w:r>
      <w:r w:rsidRPr="00AF2FD9">
        <w:rPr>
          <w:rFonts w:ascii="Times New Roman" w:hAnsi="Times New Roman" w:cs="Times New Roman"/>
          <w:sz w:val="24"/>
          <w:szCs w:val="24"/>
        </w:rPr>
        <w:t>s</w:t>
      </w:r>
      <w:r w:rsidR="005D27B8" w:rsidRPr="00AF2FD9">
        <w:rPr>
          <w:rFonts w:ascii="Times New Roman" w:hAnsi="Times New Roman" w:cs="Times New Roman"/>
          <w:sz w:val="24"/>
          <w:szCs w:val="24"/>
        </w:rPr>
        <w:t>e</w:t>
      </w:r>
      <w:r w:rsidRPr="00AF2FD9">
        <w:rPr>
          <w:rFonts w:ascii="Times New Roman" w:hAnsi="Times New Roman" w:cs="Times New Roman"/>
          <w:sz w:val="24"/>
          <w:szCs w:val="24"/>
        </w:rPr>
        <w:t xml:space="preserve"> provision</w:t>
      </w:r>
      <w:r w:rsidR="005D27B8" w:rsidRPr="00AF2FD9">
        <w:rPr>
          <w:rFonts w:ascii="Times New Roman" w:hAnsi="Times New Roman" w:cs="Times New Roman"/>
          <w:sz w:val="24"/>
          <w:szCs w:val="24"/>
        </w:rPr>
        <w:t>s</w:t>
      </w:r>
      <w:r w:rsidRPr="00AF2FD9">
        <w:rPr>
          <w:rFonts w:ascii="Times New Roman" w:hAnsi="Times New Roman" w:cs="Times New Roman"/>
          <w:sz w:val="24"/>
          <w:szCs w:val="24"/>
        </w:rPr>
        <w:t xml:space="preserve"> state what information financial sector entities must provide to APRA for each reporting period as permitted by paragraph 13(2)(b) of the Act.</w:t>
      </w:r>
    </w:p>
    <w:p w14:paraId="2FA3C3DF" w14:textId="7DB61BF0" w:rsidR="003E5777" w:rsidRPr="00AF2FD9" w:rsidRDefault="003E5777"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 xml:space="preserve">Method of submission – paragraph </w:t>
      </w:r>
      <w:r w:rsidR="00766C81" w:rsidRPr="00AF2FD9">
        <w:rPr>
          <w:rFonts w:ascii="Times New Roman" w:hAnsi="Times New Roman" w:cs="Times New Roman"/>
          <w:i/>
          <w:sz w:val="24"/>
          <w:szCs w:val="24"/>
        </w:rPr>
        <w:t>8</w:t>
      </w:r>
    </w:p>
    <w:p w14:paraId="389E1C4D" w14:textId="77777777" w:rsidR="003E5777" w:rsidRPr="00AF2FD9" w:rsidRDefault="003E5777" w:rsidP="00AF2FD9">
      <w:pPr>
        <w:rPr>
          <w:rFonts w:ascii="Times New Roman" w:hAnsi="Times New Roman" w:cs="Times New Roman"/>
          <w:sz w:val="24"/>
          <w:szCs w:val="24"/>
        </w:rPr>
      </w:pPr>
      <w:r w:rsidRPr="00AF2FD9">
        <w:rPr>
          <w:rFonts w:ascii="Times New Roman" w:hAnsi="Times New Roman" w:cs="Times New Roman"/>
          <w:sz w:val="24"/>
          <w:szCs w:val="24"/>
        </w:rPr>
        <w:t>This provision specifies how information required by the reporting standard must be given to APRA as permitted by paragraph 13(2)(e) of the Act.</w:t>
      </w:r>
    </w:p>
    <w:p w14:paraId="20A5D6C2" w14:textId="0B5E57A9" w:rsidR="00B93DF1" w:rsidRPr="00AF2FD9" w:rsidRDefault="00B93DF1"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 xml:space="preserve">Reporting periods and due dates – paragraphs </w:t>
      </w:r>
      <w:r w:rsidR="00766C81" w:rsidRPr="00AF2FD9">
        <w:rPr>
          <w:rFonts w:ascii="Times New Roman" w:hAnsi="Times New Roman" w:cs="Times New Roman"/>
          <w:i/>
          <w:sz w:val="24"/>
          <w:szCs w:val="24"/>
        </w:rPr>
        <w:t>9</w:t>
      </w:r>
      <w:r w:rsidRPr="00AF2FD9">
        <w:rPr>
          <w:rFonts w:ascii="Times New Roman" w:hAnsi="Times New Roman" w:cs="Times New Roman"/>
          <w:i/>
          <w:sz w:val="24"/>
          <w:szCs w:val="24"/>
        </w:rPr>
        <w:t>-1</w:t>
      </w:r>
      <w:r w:rsidR="00766C81" w:rsidRPr="00AF2FD9">
        <w:rPr>
          <w:rFonts w:ascii="Times New Roman" w:hAnsi="Times New Roman" w:cs="Times New Roman"/>
          <w:i/>
          <w:sz w:val="24"/>
          <w:szCs w:val="24"/>
        </w:rPr>
        <w:t>2</w:t>
      </w:r>
    </w:p>
    <w:p w14:paraId="152C993C" w14:textId="222A17A6" w:rsidR="00B93DF1" w:rsidRPr="00AF2FD9" w:rsidRDefault="00B93DF1" w:rsidP="00AF2FD9">
      <w:pPr>
        <w:numPr>
          <w:ilvl w:val="0"/>
          <w:numId w:val="0"/>
        </w:numPr>
        <w:outlineLvl w:val="5"/>
        <w:rPr>
          <w:rFonts w:ascii="Times New Roman" w:hAnsi="Times New Roman" w:cs="Times New Roman"/>
          <w:sz w:val="24"/>
          <w:szCs w:val="24"/>
        </w:rPr>
      </w:pPr>
      <w:r w:rsidRPr="00AF2FD9">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AF2FD9">
        <w:rPr>
          <w:rFonts w:ascii="Times New Roman" w:hAnsi="Times New Roman" w:cs="Times New Roman"/>
          <w:sz w:val="24"/>
          <w:szCs w:val="24"/>
        </w:rPr>
        <w:t>2)(</w:t>
      </w:r>
      <w:proofErr w:type="gramEnd"/>
      <w:r w:rsidRPr="00AF2FD9">
        <w:rPr>
          <w:rFonts w:ascii="Times New Roman" w:hAnsi="Times New Roman" w:cs="Times New Roman"/>
          <w:sz w:val="24"/>
          <w:szCs w:val="24"/>
        </w:rPr>
        <w:t>bb) of the Act permits reporting standards determined by APRA to include matters related to the auditing of reporting documents.</w:t>
      </w:r>
    </w:p>
    <w:p w14:paraId="6AFF5495" w14:textId="14DF222A" w:rsidR="00B93DF1" w:rsidRPr="00AF2FD9" w:rsidRDefault="00B93DF1" w:rsidP="00AF2FD9">
      <w:r w:rsidRPr="00AF2FD9">
        <w:rPr>
          <w:rFonts w:ascii="Times New Roman" w:hAnsi="Times New Roman" w:cs="Times New Roman"/>
          <w:sz w:val="24"/>
          <w:szCs w:val="24"/>
        </w:rPr>
        <w:t xml:space="preserve">Paragraphs </w:t>
      </w:r>
      <w:r w:rsidR="00766C81" w:rsidRPr="00AF2FD9">
        <w:rPr>
          <w:rFonts w:ascii="Times New Roman" w:hAnsi="Times New Roman" w:cs="Times New Roman"/>
          <w:sz w:val="24"/>
          <w:szCs w:val="24"/>
        </w:rPr>
        <w:t>9</w:t>
      </w:r>
      <w:r w:rsidRPr="00AF2FD9">
        <w:rPr>
          <w:rFonts w:ascii="Times New Roman" w:hAnsi="Times New Roman" w:cs="Times New Roman"/>
          <w:sz w:val="24"/>
          <w:szCs w:val="24"/>
        </w:rPr>
        <w:t>-1</w:t>
      </w:r>
      <w:r w:rsidR="00766C81" w:rsidRPr="00AF2FD9">
        <w:rPr>
          <w:rFonts w:ascii="Times New Roman" w:hAnsi="Times New Roman" w:cs="Times New Roman"/>
          <w:sz w:val="24"/>
          <w:szCs w:val="24"/>
        </w:rPr>
        <w:t>2</w:t>
      </w:r>
      <w:r w:rsidRPr="00AF2FD9">
        <w:rPr>
          <w:rFonts w:ascii="Times New Roman" w:hAnsi="Times New Roman" w:cs="Times New Roman"/>
          <w:sz w:val="24"/>
          <w:szCs w:val="24"/>
        </w:rPr>
        <w:t xml:space="preserve"> rely on these provisions. Paragraph </w:t>
      </w:r>
      <w:r w:rsidR="00766C81" w:rsidRPr="00AF2FD9">
        <w:rPr>
          <w:rFonts w:ascii="Times New Roman" w:hAnsi="Times New Roman" w:cs="Times New Roman"/>
          <w:sz w:val="24"/>
          <w:szCs w:val="24"/>
        </w:rPr>
        <w:t>9</w:t>
      </w:r>
      <w:r w:rsidRPr="00AF2FD9">
        <w:rPr>
          <w:rFonts w:ascii="Times New Roman" w:hAnsi="Times New Roman" w:cs="Times New Roman"/>
          <w:sz w:val="24"/>
          <w:szCs w:val="24"/>
        </w:rPr>
        <w:t xml:space="preserve"> states that </w:t>
      </w:r>
      <w:r w:rsidR="00A33B81" w:rsidRPr="00AF2FD9">
        <w:rPr>
          <w:rFonts w:ascii="Times New Roman" w:hAnsi="Times New Roman" w:cs="Times New Roman"/>
          <w:sz w:val="24"/>
          <w:szCs w:val="24"/>
        </w:rPr>
        <w:t>ADIs</w:t>
      </w:r>
      <w:r w:rsidRPr="00AF2FD9">
        <w:rPr>
          <w:rFonts w:ascii="Times New Roman" w:hAnsi="Times New Roman" w:cs="Times New Roman"/>
          <w:sz w:val="24"/>
          <w:szCs w:val="24"/>
        </w:rPr>
        <w:t xml:space="preserve"> are to provide the information required by this reporting standard</w:t>
      </w:r>
      <w:r w:rsidRPr="00AF2FD9">
        <w:rPr>
          <w:rFonts w:ascii="Times New Roman" w:hAnsi="Times New Roman" w:cs="Times New Roman"/>
          <w:i/>
          <w:sz w:val="24"/>
          <w:szCs w:val="24"/>
        </w:rPr>
        <w:t xml:space="preserve"> </w:t>
      </w:r>
      <w:r w:rsidR="00A33B81" w:rsidRPr="00AF2FD9">
        <w:rPr>
          <w:rFonts w:ascii="Times New Roman" w:hAnsi="Times New Roman" w:cs="Times New Roman"/>
          <w:sz w:val="24"/>
          <w:szCs w:val="24"/>
        </w:rPr>
        <w:t xml:space="preserve">in respect of each quarter based on the ADI’s financial year (within the meaning of the </w:t>
      </w:r>
      <w:r w:rsidR="00A33B81" w:rsidRPr="00AF2FD9">
        <w:rPr>
          <w:rFonts w:ascii="Times New Roman" w:hAnsi="Times New Roman" w:cs="Times New Roman"/>
          <w:i/>
          <w:sz w:val="24"/>
          <w:szCs w:val="24"/>
        </w:rPr>
        <w:t>Corporations Act 2001</w:t>
      </w:r>
      <w:r w:rsidR="00A33B81" w:rsidRPr="00AF2FD9">
        <w:rPr>
          <w:rFonts w:ascii="Times New Roman" w:hAnsi="Times New Roman" w:cs="Times New Roman"/>
          <w:sz w:val="24"/>
          <w:szCs w:val="24"/>
        </w:rPr>
        <w:t>)</w:t>
      </w:r>
      <w:r w:rsidRPr="00AF2FD9">
        <w:rPr>
          <w:rFonts w:ascii="Times New Roman" w:hAnsi="Times New Roman" w:cs="Times New Roman"/>
          <w:sz w:val="24"/>
          <w:szCs w:val="24"/>
        </w:rPr>
        <w:t xml:space="preserve">. Paragraph </w:t>
      </w:r>
      <w:r w:rsidR="00766C81" w:rsidRPr="00AF2FD9">
        <w:rPr>
          <w:rFonts w:ascii="Times New Roman" w:hAnsi="Times New Roman" w:cs="Times New Roman"/>
          <w:sz w:val="24"/>
          <w:szCs w:val="24"/>
        </w:rPr>
        <w:t>10</w:t>
      </w:r>
      <w:r w:rsidRPr="00AF2FD9">
        <w:rPr>
          <w:rFonts w:ascii="Times New Roman" w:hAnsi="Times New Roman" w:cs="Times New Roman"/>
          <w:sz w:val="24"/>
          <w:szCs w:val="24"/>
        </w:rPr>
        <w:t xml:space="preserve"> provides for </w:t>
      </w:r>
      <w:r w:rsidRPr="00AF2FD9">
        <w:rPr>
          <w:rFonts w:ascii="Times New Roman" w:hAnsi="Times New Roman" w:cs="Times New Roman"/>
          <w:sz w:val="24"/>
          <w:szCs w:val="24"/>
        </w:rPr>
        <w:lastRenderedPageBreak/>
        <w:t xml:space="preserve">APRA to vary the reporting periods mentioned in paragraph </w:t>
      </w:r>
      <w:r w:rsidR="00766C81" w:rsidRPr="00AF2FD9">
        <w:rPr>
          <w:rFonts w:ascii="Times New Roman" w:hAnsi="Times New Roman" w:cs="Times New Roman"/>
          <w:sz w:val="24"/>
          <w:szCs w:val="24"/>
        </w:rPr>
        <w:t>9</w:t>
      </w:r>
      <w:r w:rsidRPr="00AF2FD9">
        <w:rPr>
          <w:rFonts w:ascii="Times New Roman" w:hAnsi="Times New Roman" w:cs="Times New Roman"/>
          <w:sz w:val="24"/>
          <w:szCs w:val="24"/>
        </w:rPr>
        <w:t xml:space="preserve"> in writing, if, having regard to the </w:t>
      </w:r>
      <w:proofErr w:type="gramStart"/>
      <w:r w:rsidRPr="00AF2FD9">
        <w:rPr>
          <w:rFonts w:ascii="Times New Roman" w:hAnsi="Times New Roman" w:cs="Times New Roman"/>
          <w:sz w:val="24"/>
          <w:szCs w:val="24"/>
        </w:rPr>
        <w:t>particular circumstances</w:t>
      </w:r>
      <w:proofErr w:type="gramEnd"/>
      <w:r w:rsidRPr="00AF2FD9">
        <w:rPr>
          <w:rFonts w:ascii="Times New Roman" w:hAnsi="Times New Roman" w:cs="Times New Roman"/>
          <w:sz w:val="24"/>
          <w:szCs w:val="24"/>
        </w:rPr>
        <w:t xml:space="preserve"> of </w:t>
      </w:r>
      <w:r w:rsidR="00A33B81" w:rsidRPr="00AF2FD9">
        <w:rPr>
          <w:rFonts w:ascii="Times New Roman" w:hAnsi="Times New Roman" w:cs="Times New Roman"/>
          <w:sz w:val="24"/>
          <w:szCs w:val="24"/>
        </w:rPr>
        <w:t>an ADI</w:t>
      </w:r>
      <w:r w:rsidR="00E73D65" w:rsidRPr="00AF2FD9">
        <w:rPr>
          <w:rFonts w:ascii="Times New Roman" w:hAnsi="Times New Roman" w:cs="Times New Roman"/>
          <w:sz w:val="24"/>
          <w:szCs w:val="24"/>
        </w:rPr>
        <w:t xml:space="preserve"> and other matters</w:t>
      </w:r>
      <w:r w:rsidRPr="00AF2FD9">
        <w:rPr>
          <w:rFonts w:ascii="Times New Roman" w:hAnsi="Times New Roman" w:cs="Times New Roman"/>
          <w:sz w:val="24"/>
          <w:szCs w:val="24"/>
        </w:rPr>
        <w:t xml:space="preserve">, APRA considers it necessary or desirable to obtain information at a different frequency than stated in paragraph </w:t>
      </w:r>
      <w:r w:rsidR="00766C81" w:rsidRPr="00AF2FD9">
        <w:rPr>
          <w:rFonts w:ascii="Times New Roman" w:hAnsi="Times New Roman" w:cs="Times New Roman"/>
          <w:sz w:val="24"/>
          <w:szCs w:val="24"/>
        </w:rPr>
        <w:t>9</w:t>
      </w:r>
      <w:r w:rsidRPr="00AF2FD9">
        <w:rPr>
          <w:rFonts w:ascii="Times New Roman" w:hAnsi="Times New Roman" w:cs="Times New Roman"/>
          <w:sz w:val="24"/>
          <w:szCs w:val="24"/>
        </w:rPr>
        <w:t xml:space="preserve">. Paragraph </w:t>
      </w:r>
      <w:r w:rsidR="00A33B81" w:rsidRPr="00AF2FD9">
        <w:rPr>
          <w:rFonts w:ascii="Times New Roman" w:hAnsi="Times New Roman" w:cs="Times New Roman"/>
          <w:sz w:val="24"/>
          <w:szCs w:val="24"/>
        </w:rPr>
        <w:t>1</w:t>
      </w:r>
      <w:r w:rsidR="00766C81" w:rsidRPr="00AF2FD9">
        <w:rPr>
          <w:rFonts w:ascii="Times New Roman" w:hAnsi="Times New Roman" w:cs="Times New Roman"/>
          <w:sz w:val="24"/>
          <w:szCs w:val="24"/>
        </w:rPr>
        <w:t>1</w:t>
      </w:r>
      <w:r w:rsidRPr="00AF2FD9">
        <w:rPr>
          <w:rFonts w:ascii="Times New Roman" w:hAnsi="Times New Roman" w:cs="Times New Roman"/>
          <w:sz w:val="24"/>
          <w:szCs w:val="24"/>
        </w:rPr>
        <w:t xml:space="preserve"> specifies the due dates for provision of information to APRA – </w:t>
      </w:r>
      <w:r w:rsidR="00A33B81" w:rsidRPr="00AF2FD9">
        <w:rPr>
          <w:rFonts w:ascii="Times New Roman" w:hAnsi="Times New Roman" w:cs="Times New Roman"/>
          <w:sz w:val="24"/>
          <w:szCs w:val="24"/>
        </w:rPr>
        <w:t>within 35 calendar days after the end of the relevant reporting period</w:t>
      </w:r>
      <w:r w:rsidR="00BA0B5D" w:rsidRPr="00AF2FD9">
        <w:rPr>
          <w:rFonts w:ascii="Times New Roman" w:hAnsi="Times New Roman" w:cs="Times New Roman"/>
          <w:sz w:val="24"/>
          <w:szCs w:val="24"/>
        </w:rPr>
        <w:t>.</w:t>
      </w:r>
      <w:r w:rsidRPr="00AF2FD9">
        <w:rPr>
          <w:rFonts w:ascii="Times New Roman" w:hAnsi="Times New Roman" w:cs="Times New Roman"/>
          <w:sz w:val="24"/>
          <w:szCs w:val="24"/>
        </w:rPr>
        <w:t xml:space="preserve"> Paragraph </w:t>
      </w:r>
      <w:r w:rsidR="003E64E9" w:rsidRPr="00AF2FD9">
        <w:rPr>
          <w:rFonts w:ascii="Times New Roman" w:hAnsi="Times New Roman" w:cs="Times New Roman"/>
          <w:sz w:val="24"/>
          <w:szCs w:val="24"/>
        </w:rPr>
        <w:t>1</w:t>
      </w:r>
      <w:r w:rsidR="00766C81" w:rsidRPr="00AF2FD9">
        <w:rPr>
          <w:rFonts w:ascii="Times New Roman" w:hAnsi="Times New Roman" w:cs="Times New Roman"/>
          <w:sz w:val="24"/>
          <w:szCs w:val="24"/>
        </w:rPr>
        <w:t>2</w:t>
      </w:r>
      <w:r w:rsidRPr="00AF2FD9">
        <w:rPr>
          <w:rFonts w:ascii="Times New Roman" w:hAnsi="Times New Roman" w:cs="Times New Roman"/>
          <w:sz w:val="24"/>
          <w:szCs w:val="24"/>
        </w:rPr>
        <w:t xml:space="preserve"> states that APRA may grant an extension of a due date in paragraph </w:t>
      </w:r>
      <w:r w:rsidR="003E64E9" w:rsidRPr="00AF2FD9">
        <w:rPr>
          <w:rFonts w:ascii="Times New Roman" w:hAnsi="Times New Roman" w:cs="Times New Roman"/>
          <w:sz w:val="24"/>
          <w:szCs w:val="24"/>
        </w:rPr>
        <w:t>1</w:t>
      </w:r>
      <w:r w:rsidR="00766C81" w:rsidRPr="00AF2FD9">
        <w:rPr>
          <w:rFonts w:ascii="Times New Roman" w:hAnsi="Times New Roman" w:cs="Times New Roman"/>
          <w:sz w:val="24"/>
          <w:szCs w:val="24"/>
        </w:rPr>
        <w:t>1</w:t>
      </w:r>
      <w:r w:rsidRPr="00AF2FD9">
        <w:rPr>
          <w:rFonts w:ascii="Times New Roman" w:hAnsi="Times New Roman" w:cs="Times New Roman"/>
          <w:sz w:val="24"/>
          <w:szCs w:val="24"/>
        </w:rPr>
        <w:t xml:space="preserve"> in writing.</w:t>
      </w:r>
    </w:p>
    <w:p w14:paraId="199988E9" w14:textId="7158A287" w:rsidR="00D17490" w:rsidRPr="00AF2FD9" w:rsidRDefault="00D17490"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Quality control – paragraphs 1</w:t>
      </w:r>
      <w:r w:rsidR="00766C81" w:rsidRPr="00AF2FD9">
        <w:rPr>
          <w:rFonts w:ascii="Times New Roman" w:hAnsi="Times New Roman" w:cs="Times New Roman"/>
          <w:i/>
          <w:sz w:val="24"/>
          <w:szCs w:val="24"/>
        </w:rPr>
        <w:t>3</w:t>
      </w:r>
      <w:r w:rsidRPr="00AF2FD9">
        <w:rPr>
          <w:rFonts w:ascii="Times New Roman" w:hAnsi="Times New Roman" w:cs="Times New Roman"/>
          <w:i/>
          <w:sz w:val="24"/>
          <w:szCs w:val="24"/>
        </w:rPr>
        <w:t>-1</w:t>
      </w:r>
      <w:r w:rsidR="00766C81" w:rsidRPr="00AF2FD9">
        <w:rPr>
          <w:rFonts w:ascii="Times New Roman" w:hAnsi="Times New Roman" w:cs="Times New Roman"/>
          <w:i/>
          <w:sz w:val="24"/>
          <w:szCs w:val="24"/>
        </w:rPr>
        <w:t>4</w:t>
      </w:r>
    </w:p>
    <w:p w14:paraId="322618A1" w14:textId="1BAA6ED7" w:rsidR="00D17490" w:rsidRPr="00AF2FD9" w:rsidRDefault="00D17490" w:rsidP="00AF2FD9">
      <w:pPr>
        <w:rPr>
          <w:rFonts w:ascii="Times New Roman" w:hAnsi="Times New Roman" w:cs="Times New Roman"/>
          <w:sz w:val="24"/>
          <w:szCs w:val="24"/>
        </w:rPr>
      </w:pPr>
      <w:r w:rsidRPr="00AF2FD9">
        <w:rPr>
          <w:rFonts w:ascii="Times New Roman" w:hAnsi="Times New Roman" w:cs="Times New Roman"/>
          <w:sz w:val="24"/>
          <w:szCs w:val="24"/>
        </w:rPr>
        <w:t>Paragraphs 1</w:t>
      </w:r>
      <w:r w:rsidR="00766C81" w:rsidRPr="00AF2FD9">
        <w:rPr>
          <w:rFonts w:ascii="Times New Roman" w:hAnsi="Times New Roman" w:cs="Times New Roman"/>
          <w:sz w:val="24"/>
          <w:szCs w:val="24"/>
        </w:rPr>
        <w:t>3</w:t>
      </w:r>
      <w:r w:rsidRPr="00AF2FD9">
        <w:rPr>
          <w:rFonts w:ascii="Times New Roman" w:hAnsi="Times New Roman" w:cs="Times New Roman"/>
          <w:sz w:val="24"/>
          <w:szCs w:val="24"/>
        </w:rPr>
        <w:t>-1</w:t>
      </w:r>
      <w:r w:rsidR="00766C81" w:rsidRPr="00AF2FD9">
        <w:rPr>
          <w:rFonts w:ascii="Times New Roman" w:hAnsi="Times New Roman" w:cs="Times New Roman"/>
          <w:sz w:val="24"/>
          <w:szCs w:val="24"/>
        </w:rPr>
        <w:t>4</w:t>
      </w:r>
      <w:r w:rsidRPr="00AF2FD9">
        <w:rPr>
          <w:rFonts w:ascii="Times New Roman" w:hAnsi="Times New Roman" w:cs="Times New Roman"/>
          <w:sz w:val="24"/>
          <w:szCs w:val="24"/>
        </w:rPr>
        <w:t xml:space="preserve"> state that information provided under this reporting standard </w:t>
      </w:r>
      <w:r w:rsidR="003E64E9" w:rsidRPr="00AF2FD9">
        <w:rPr>
          <w:rFonts w:ascii="Times New Roman" w:hAnsi="Times New Roman" w:cs="Times New Roman"/>
          <w:sz w:val="24"/>
          <w:szCs w:val="24"/>
        </w:rPr>
        <w:t xml:space="preserve">(except for the information required under paragraph </w:t>
      </w:r>
      <w:r w:rsidR="00766C81" w:rsidRPr="00AF2FD9">
        <w:rPr>
          <w:rFonts w:ascii="Times New Roman" w:hAnsi="Times New Roman" w:cs="Times New Roman"/>
          <w:sz w:val="24"/>
          <w:szCs w:val="24"/>
        </w:rPr>
        <w:t>7</w:t>
      </w:r>
      <w:r w:rsidR="003E64E9" w:rsidRPr="00AF2FD9">
        <w:rPr>
          <w:rFonts w:ascii="Times New Roman" w:hAnsi="Times New Roman" w:cs="Times New Roman"/>
          <w:sz w:val="24"/>
          <w:szCs w:val="24"/>
        </w:rPr>
        <w:t xml:space="preserve">) </w:t>
      </w:r>
      <w:r w:rsidRPr="00AF2FD9">
        <w:rPr>
          <w:rFonts w:ascii="Times New Roman" w:hAnsi="Times New Roman" w:cs="Times New Roman"/>
          <w:sz w:val="24"/>
          <w:szCs w:val="24"/>
        </w:rPr>
        <w:t xml:space="preserve">must be the product of and subject to systems, processes and controls developed by the entity for the internal review and authorisation of that information and subject to review and testing by the </w:t>
      </w:r>
      <w:r w:rsidR="003E64E9" w:rsidRPr="00AF2FD9">
        <w:rPr>
          <w:rFonts w:ascii="Times New Roman" w:hAnsi="Times New Roman" w:cs="Times New Roman"/>
          <w:sz w:val="24"/>
          <w:szCs w:val="24"/>
        </w:rPr>
        <w:t>ADI’s external auditor</w:t>
      </w:r>
      <w:r w:rsidRPr="00AF2FD9">
        <w:rPr>
          <w:rFonts w:ascii="Times New Roman" w:hAnsi="Times New Roman" w:cs="Times New Roman"/>
          <w:sz w:val="24"/>
          <w:szCs w:val="24"/>
        </w:rPr>
        <w:t xml:space="preserve">. </w:t>
      </w:r>
    </w:p>
    <w:p w14:paraId="7A8BA4FD" w14:textId="43BE9E67" w:rsidR="00D17490" w:rsidRPr="00AF2FD9" w:rsidRDefault="00D17490"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Authorisation – paragraph 1</w:t>
      </w:r>
      <w:r w:rsidR="00766C81" w:rsidRPr="00AF2FD9">
        <w:rPr>
          <w:rFonts w:ascii="Times New Roman" w:hAnsi="Times New Roman" w:cs="Times New Roman"/>
          <w:i/>
          <w:sz w:val="24"/>
          <w:szCs w:val="24"/>
        </w:rPr>
        <w:t>5</w:t>
      </w:r>
    </w:p>
    <w:p w14:paraId="5A456935" w14:textId="7671B267" w:rsidR="00D17490" w:rsidRPr="00AF2FD9" w:rsidRDefault="00D17490" w:rsidP="00AF2FD9">
      <w:pPr>
        <w:rPr>
          <w:rFonts w:ascii="Times New Roman" w:hAnsi="Times New Roman" w:cs="Times New Roman"/>
          <w:sz w:val="24"/>
          <w:szCs w:val="24"/>
        </w:rPr>
      </w:pPr>
      <w:r w:rsidRPr="00AF2FD9">
        <w:rPr>
          <w:rFonts w:ascii="Times New Roman" w:hAnsi="Times New Roman" w:cs="Times New Roman"/>
          <w:sz w:val="24"/>
          <w:szCs w:val="24"/>
        </w:rPr>
        <w:t>Paragraph 1</w:t>
      </w:r>
      <w:r w:rsidR="00766C81" w:rsidRPr="00AF2FD9">
        <w:rPr>
          <w:rFonts w:ascii="Times New Roman" w:hAnsi="Times New Roman" w:cs="Times New Roman"/>
          <w:sz w:val="24"/>
          <w:szCs w:val="24"/>
        </w:rPr>
        <w:t>5</w:t>
      </w:r>
      <w:r w:rsidRPr="00AF2FD9">
        <w:rPr>
          <w:rFonts w:ascii="Times New Roman" w:hAnsi="Times New Roman" w:cs="Times New Roman"/>
          <w:sz w:val="24"/>
          <w:szCs w:val="24"/>
        </w:rPr>
        <w:t xml:space="preserve"> state</w:t>
      </w:r>
      <w:r w:rsidR="00B94CD6" w:rsidRPr="00AF2FD9">
        <w:rPr>
          <w:rFonts w:ascii="Times New Roman" w:hAnsi="Times New Roman" w:cs="Times New Roman"/>
          <w:sz w:val="24"/>
          <w:szCs w:val="24"/>
        </w:rPr>
        <w:t>s</w:t>
      </w:r>
      <w:r w:rsidRPr="00AF2FD9">
        <w:rPr>
          <w:rFonts w:ascii="Times New Roman" w:hAnsi="Times New Roman" w:cs="Times New Roman"/>
          <w:sz w:val="24"/>
          <w:szCs w:val="24"/>
        </w:rPr>
        <w:t xml:space="preserve"> how information provided to APRA should be authenticated.</w:t>
      </w:r>
    </w:p>
    <w:p w14:paraId="7EEA5D4E" w14:textId="463BEB16" w:rsidR="00766C81" w:rsidRPr="00AF2FD9" w:rsidRDefault="00766C81" w:rsidP="00AF2FD9">
      <w:pPr>
        <w:numPr>
          <w:ilvl w:val="0"/>
          <w:numId w:val="0"/>
        </w:numPr>
        <w:outlineLvl w:val="5"/>
        <w:rPr>
          <w:rFonts w:ascii="Times New Roman" w:hAnsi="Times New Roman" w:cs="Times New Roman"/>
          <w:i/>
          <w:sz w:val="24"/>
          <w:szCs w:val="24"/>
        </w:rPr>
      </w:pPr>
      <w:proofErr w:type="gramStart"/>
      <w:r w:rsidRPr="00AF2FD9">
        <w:rPr>
          <w:rFonts w:ascii="Times New Roman" w:hAnsi="Times New Roman" w:cs="Times New Roman"/>
          <w:i/>
          <w:sz w:val="24"/>
          <w:szCs w:val="24"/>
        </w:rPr>
        <w:t>Variation  –</w:t>
      </w:r>
      <w:proofErr w:type="gramEnd"/>
      <w:r w:rsidRPr="00AF2FD9">
        <w:rPr>
          <w:rFonts w:ascii="Times New Roman" w:hAnsi="Times New Roman" w:cs="Times New Roman"/>
          <w:i/>
          <w:sz w:val="24"/>
          <w:szCs w:val="24"/>
        </w:rPr>
        <w:t xml:space="preserve"> paragraph 16</w:t>
      </w:r>
    </w:p>
    <w:p w14:paraId="7ACCA299" w14:textId="77777777" w:rsidR="00B041B1" w:rsidRPr="00AF2FD9" w:rsidRDefault="00B041B1" w:rsidP="00AF2FD9">
      <w:pPr>
        <w:rPr>
          <w:rFonts w:ascii="Times New Roman" w:hAnsi="Times New Roman" w:cs="Times New Roman"/>
          <w:sz w:val="24"/>
          <w:szCs w:val="24"/>
        </w:rPr>
      </w:pPr>
      <w:r w:rsidRPr="00AF2FD9">
        <w:rPr>
          <w:rFonts w:ascii="Times New Roman" w:hAnsi="Times New Roman" w:cs="Times New Roman"/>
          <w:sz w:val="24"/>
          <w:szCs w:val="24"/>
        </w:rPr>
        <w:t xml:space="preserve">Paragraph 13(2)(f) of the Act permits reporting standards determined by APRA to include discretions for APRA, in particular cases, to vary the reporting standards. </w:t>
      </w:r>
    </w:p>
    <w:p w14:paraId="7FB286CD" w14:textId="02EC3FC5" w:rsidR="00766C81" w:rsidRPr="00AF2FD9" w:rsidRDefault="00766C81" w:rsidP="00AF2FD9">
      <w:pPr>
        <w:rPr>
          <w:rFonts w:ascii="Times New Roman" w:hAnsi="Times New Roman" w:cs="Times New Roman"/>
          <w:sz w:val="24"/>
          <w:szCs w:val="24"/>
        </w:rPr>
      </w:pPr>
      <w:r w:rsidRPr="00AF2FD9">
        <w:rPr>
          <w:rFonts w:ascii="Times New Roman" w:hAnsi="Times New Roman" w:cs="Times New Roman"/>
          <w:sz w:val="24"/>
          <w:szCs w:val="24"/>
        </w:rPr>
        <w:t xml:space="preserve">Paragraph 16 </w:t>
      </w:r>
      <w:r w:rsidR="0017099F" w:rsidRPr="00AF2FD9">
        <w:rPr>
          <w:rFonts w:ascii="Times New Roman" w:hAnsi="Times New Roman" w:cs="Times New Roman"/>
          <w:sz w:val="24"/>
          <w:szCs w:val="24"/>
        </w:rPr>
        <w:t xml:space="preserve">relies on this provision and </w:t>
      </w:r>
      <w:r w:rsidRPr="00AF2FD9">
        <w:rPr>
          <w:rFonts w:ascii="Times New Roman" w:hAnsi="Times New Roman" w:cs="Times New Roman"/>
          <w:sz w:val="24"/>
          <w:szCs w:val="24"/>
        </w:rPr>
        <w:t xml:space="preserve">states that APRA may, by written notice to the ADI, vary the reporting requirements of this </w:t>
      </w:r>
      <w:r w:rsidR="007325B4" w:rsidRPr="00AF2FD9">
        <w:rPr>
          <w:rFonts w:ascii="Times New Roman" w:hAnsi="Times New Roman" w:cs="Times New Roman"/>
          <w:sz w:val="24"/>
          <w:szCs w:val="24"/>
        </w:rPr>
        <w:t>r</w:t>
      </w:r>
      <w:r w:rsidRPr="00AF2FD9">
        <w:rPr>
          <w:rFonts w:ascii="Times New Roman" w:hAnsi="Times New Roman" w:cs="Times New Roman"/>
          <w:sz w:val="24"/>
          <w:szCs w:val="24"/>
        </w:rPr>
        <w:t xml:space="preserve">eporting </w:t>
      </w:r>
      <w:r w:rsidR="007325B4" w:rsidRPr="00AF2FD9">
        <w:rPr>
          <w:rFonts w:ascii="Times New Roman" w:hAnsi="Times New Roman" w:cs="Times New Roman"/>
          <w:sz w:val="24"/>
          <w:szCs w:val="24"/>
        </w:rPr>
        <w:t>s</w:t>
      </w:r>
      <w:r w:rsidRPr="00AF2FD9">
        <w:rPr>
          <w:rFonts w:ascii="Times New Roman" w:hAnsi="Times New Roman" w:cs="Times New Roman"/>
          <w:sz w:val="24"/>
          <w:szCs w:val="24"/>
        </w:rPr>
        <w:t>tandard in relation to that ADI.</w:t>
      </w:r>
    </w:p>
    <w:p w14:paraId="4148D2B5" w14:textId="0EC771E3" w:rsidR="00732C47" w:rsidRPr="00AF2FD9" w:rsidRDefault="00732C47" w:rsidP="00AF2FD9">
      <w:pPr>
        <w:pStyle w:val="Heading6"/>
        <w:rPr>
          <w:rFonts w:ascii="Times New Roman" w:hAnsi="Times New Roman" w:cs="Times New Roman"/>
          <w:sz w:val="24"/>
          <w:szCs w:val="24"/>
        </w:rPr>
      </w:pPr>
      <w:r w:rsidRPr="00AF2FD9">
        <w:rPr>
          <w:rFonts w:ascii="Times New Roman" w:hAnsi="Times New Roman" w:cs="Times New Roman"/>
          <w:sz w:val="24"/>
          <w:szCs w:val="24"/>
        </w:rPr>
        <w:t>Transition – paragraph 1</w:t>
      </w:r>
      <w:r w:rsidR="00766C81" w:rsidRPr="00AF2FD9">
        <w:rPr>
          <w:rFonts w:ascii="Times New Roman" w:hAnsi="Times New Roman" w:cs="Times New Roman"/>
          <w:sz w:val="24"/>
          <w:szCs w:val="24"/>
        </w:rPr>
        <w:t>7</w:t>
      </w:r>
    </w:p>
    <w:p w14:paraId="21C8519B" w14:textId="1CD4C786" w:rsidR="00732C47" w:rsidRPr="00AF2FD9" w:rsidRDefault="00732C47" w:rsidP="00AF2FD9">
      <w:pPr>
        <w:rPr>
          <w:rFonts w:ascii="Times New Roman" w:hAnsi="Times New Roman" w:cs="Times New Roman"/>
          <w:sz w:val="24"/>
          <w:szCs w:val="24"/>
        </w:rPr>
      </w:pPr>
      <w:r w:rsidRPr="00AF2FD9">
        <w:rPr>
          <w:rFonts w:ascii="Times New Roman" w:hAnsi="Times New Roman" w:cs="Times New Roman"/>
          <w:sz w:val="24"/>
          <w:szCs w:val="24"/>
        </w:rPr>
        <w:t>Paragraphs 13(2)(d)-(e)</w:t>
      </w:r>
      <w:r w:rsidR="003B14E1" w:rsidRPr="00AF2FD9">
        <w:rPr>
          <w:rFonts w:ascii="Times New Roman" w:hAnsi="Times New Roman" w:cs="Times New Roman"/>
          <w:sz w:val="24"/>
          <w:szCs w:val="24"/>
        </w:rPr>
        <w:t xml:space="preserve"> of the Act</w:t>
      </w:r>
      <w:r w:rsidRPr="00AF2FD9">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sidR="00CC16DE" w:rsidRPr="00AF2FD9">
        <w:rPr>
          <w:rFonts w:ascii="Times New Roman" w:hAnsi="Times New Roman" w:cs="Times New Roman"/>
          <w:sz w:val="24"/>
          <w:szCs w:val="24"/>
        </w:rPr>
        <w:t>Paragraph 1</w:t>
      </w:r>
      <w:r w:rsidR="00766C81" w:rsidRPr="00AF2FD9">
        <w:rPr>
          <w:rFonts w:ascii="Times New Roman" w:hAnsi="Times New Roman" w:cs="Times New Roman"/>
          <w:sz w:val="24"/>
          <w:szCs w:val="24"/>
        </w:rPr>
        <w:t>7</w:t>
      </w:r>
      <w:r w:rsidRPr="00AF2FD9">
        <w:rPr>
          <w:rFonts w:ascii="Times New Roman" w:hAnsi="Times New Roman" w:cs="Times New Roman"/>
          <w:sz w:val="24"/>
          <w:szCs w:val="24"/>
        </w:rPr>
        <w:t xml:space="preserve"> </w:t>
      </w:r>
      <w:r w:rsidR="00DA378E" w:rsidRPr="00AF2FD9">
        <w:rPr>
          <w:rFonts w:ascii="Times New Roman" w:hAnsi="Times New Roman" w:cs="Times New Roman"/>
          <w:sz w:val="24"/>
          <w:szCs w:val="24"/>
        </w:rPr>
        <w:t>clarifies</w:t>
      </w:r>
      <w:r w:rsidRPr="00AF2FD9">
        <w:rPr>
          <w:rFonts w:ascii="Times New Roman" w:hAnsi="Times New Roman" w:cs="Times New Roman"/>
          <w:sz w:val="24"/>
          <w:szCs w:val="24"/>
        </w:rPr>
        <w:t xml:space="preserve"> that financial sector entities must </w:t>
      </w:r>
      <w:r w:rsidR="009B258B" w:rsidRPr="00AF2FD9">
        <w:rPr>
          <w:rFonts w:ascii="Times New Roman" w:hAnsi="Times New Roman" w:cs="Times New Roman"/>
          <w:sz w:val="24"/>
          <w:szCs w:val="24"/>
        </w:rPr>
        <w:t xml:space="preserve">continue to </w:t>
      </w:r>
      <w:r w:rsidRPr="00AF2FD9">
        <w:rPr>
          <w:rFonts w:ascii="Times New Roman" w:hAnsi="Times New Roman" w:cs="Times New Roman"/>
          <w:sz w:val="24"/>
          <w:szCs w:val="24"/>
        </w:rPr>
        <w:t xml:space="preserve">report data under the reporting standard revoked in the determination making this reporting standard for reporting periods that </w:t>
      </w:r>
      <w:r w:rsidR="005D529D" w:rsidRPr="00AF2FD9">
        <w:rPr>
          <w:rFonts w:ascii="Times New Roman" w:hAnsi="Times New Roman" w:cs="Times New Roman"/>
          <w:sz w:val="24"/>
          <w:szCs w:val="24"/>
        </w:rPr>
        <w:t>end</w:t>
      </w:r>
      <w:r w:rsidRPr="00AF2FD9">
        <w:rPr>
          <w:rFonts w:ascii="Times New Roman" w:hAnsi="Times New Roman" w:cs="Times New Roman"/>
          <w:sz w:val="24"/>
          <w:szCs w:val="24"/>
        </w:rPr>
        <w:t xml:space="preserve">ed before </w:t>
      </w:r>
      <w:r w:rsidR="00316BC0" w:rsidRPr="00AF2FD9">
        <w:rPr>
          <w:rFonts w:ascii="Times New Roman" w:hAnsi="Times New Roman" w:cs="Times New Roman"/>
          <w:sz w:val="24"/>
          <w:szCs w:val="24"/>
        </w:rPr>
        <w:t xml:space="preserve">the </w:t>
      </w:r>
      <w:r w:rsidR="009B258B" w:rsidRPr="00AF2FD9">
        <w:rPr>
          <w:rFonts w:ascii="Times New Roman" w:hAnsi="Times New Roman" w:cs="Times New Roman"/>
          <w:sz w:val="24"/>
          <w:szCs w:val="24"/>
        </w:rPr>
        <w:t>new reporting standard</w:t>
      </w:r>
      <w:r w:rsidR="00512182" w:rsidRPr="00AF2FD9">
        <w:rPr>
          <w:rFonts w:ascii="Times New Roman" w:hAnsi="Times New Roman" w:cs="Times New Roman"/>
          <w:sz w:val="24"/>
          <w:szCs w:val="24"/>
        </w:rPr>
        <w:t xml:space="preserve"> begins to apply</w:t>
      </w:r>
      <w:r w:rsidR="001B4F7A" w:rsidRPr="00AF2FD9">
        <w:rPr>
          <w:rFonts w:ascii="Times New Roman" w:hAnsi="Times New Roman" w:cs="Times New Roman"/>
          <w:sz w:val="24"/>
          <w:szCs w:val="24"/>
        </w:rPr>
        <w:t xml:space="preserve"> to reporting periods ending on or after 30 September 2024</w:t>
      </w:r>
      <w:r w:rsidRPr="00AF2FD9">
        <w:rPr>
          <w:rFonts w:ascii="Times New Roman" w:hAnsi="Times New Roman" w:cs="Times New Roman"/>
          <w:sz w:val="24"/>
          <w:szCs w:val="24"/>
        </w:rPr>
        <w:t xml:space="preserve">. </w:t>
      </w:r>
    </w:p>
    <w:p w14:paraId="19CAF199" w14:textId="2C289859" w:rsidR="00D17490" w:rsidRPr="00AF2FD9" w:rsidRDefault="00D17490" w:rsidP="00AF2FD9">
      <w:pPr>
        <w:numPr>
          <w:ilvl w:val="0"/>
          <w:numId w:val="0"/>
        </w:numPr>
        <w:outlineLvl w:val="5"/>
        <w:rPr>
          <w:rFonts w:ascii="Times New Roman" w:hAnsi="Times New Roman" w:cs="Times New Roman"/>
          <w:i/>
          <w:sz w:val="24"/>
          <w:szCs w:val="24"/>
        </w:rPr>
      </w:pPr>
      <w:r w:rsidRPr="00AF2FD9">
        <w:rPr>
          <w:rFonts w:ascii="Times New Roman" w:hAnsi="Times New Roman" w:cs="Times New Roman"/>
          <w:i/>
          <w:sz w:val="24"/>
          <w:szCs w:val="24"/>
        </w:rPr>
        <w:t>Interpretation – paragraphs 1</w:t>
      </w:r>
      <w:r w:rsidR="00766C81" w:rsidRPr="00AF2FD9">
        <w:rPr>
          <w:rFonts w:ascii="Times New Roman" w:hAnsi="Times New Roman" w:cs="Times New Roman"/>
          <w:i/>
          <w:sz w:val="24"/>
          <w:szCs w:val="24"/>
        </w:rPr>
        <w:t>8</w:t>
      </w:r>
      <w:r w:rsidRPr="00AF2FD9">
        <w:rPr>
          <w:rFonts w:ascii="Times New Roman" w:hAnsi="Times New Roman" w:cs="Times New Roman"/>
          <w:i/>
          <w:sz w:val="24"/>
          <w:szCs w:val="24"/>
        </w:rPr>
        <w:t>-1</w:t>
      </w:r>
      <w:r w:rsidR="00766C81" w:rsidRPr="00AF2FD9">
        <w:rPr>
          <w:rFonts w:ascii="Times New Roman" w:hAnsi="Times New Roman" w:cs="Times New Roman"/>
          <w:i/>
          <w:sz w:val="24"/>
          <w:szCs w:val="24"/>
        </w:rPr>
        <w:t>9</w:t>
      </w:r>
    </w:p>
    <w:p w14:paraId="6F6DCFC2" w14:textId="3A80675E" w:rsidR="003E5777" w:rsidRPr="00AF2FD9" w:rsidRDefault="00D17490" w:rsidP="00AF2FD9">
      <w:r w:rsidRPr="00AF2FD9">
        <w:rPr>
          <w:rFonts w:ascii="Times New Roman" w:hAnsi="Times New Roman" w:cs="Times New Roman"/>
          <w:sz w:val="24"/>
          <w:szCs w:val="24"/>
        </w:rPr>
        <w:t>Paragraph 1</w:t>
      </w:r>
      <w:r w:rsidR="00766C81" w:rsidRPr="00AF2FD9">
        <w:rPr>
          <w:rFonts w:ascii="Times New Roman" w:hAnsi="Times New Roman" w:cs="Times New Roman"/>
          <w:sz w:val="24"/>
          <w:szCs w:val="24"/>
        </w:rPr>
        <w:t>8</w:t>
      </w:r>
      <w:r w:rsidRPr="00AF2FD9">
        <w:rPr>
          <w:rFonts w:ascii="Times New Roman" w:hAnsi="Times New Roman" w:cs="Times New Roman"/>
          <w:sz w:val="24"/>
          <w:szCs w:val="24"/>
        </w:rPr>
        <w:t xml:space="preserve"> provides definitions of common terms used throughout this reporting standard. Paragraph 1</w:t>
      </w:r>
      <w:r w:rsidR="00766C81" w:rsidRPr="00AF2FD9">
        <w:rPr>
          <w:rFonts w:ascii="Times New Roman" w:hAnsi="Times New Roman" w:cs="Times New Roman"/>
          <w:sz w:val="24"/>
          <w:szCs w:val="24"/>
        </w:rPr>
        <w:t>9</w:t>
      </w:r>
      <w:r w:rsidRPr="00AF2FD9">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p>
    <w:p w14:paraId="5516AA9F" w14:textId="4D1EF611" w:rsidR="00D274ED" w:rsidRPr="00AF2FD9" w:rsidRDefault="00D274ED" w:rsidP="00AF2FD9">
      <w:pPr>
        <w:pStyle w:val="Heading6"/>
        <w:rPr>
          <w:rFonts w:ascii="Times New Roman" w:hAnsi="Times New Roman" w:cs="Times New Roman"/>
          <w:sz w:val="24"/>
          <w:szCs w:val="24"/>
        </w:rPr>
      </w:pPr>
      <w:r w:rsidRPr="00AF2FD9">
        <w:rPr>
          <w:rFonts w:ascii="Times New Roman" w:hAnsi="Times New Roman" w:cs="Times New Roman"/>
          <w:sz w:val="24"/>
          <w:szCs w:val="24"/>
        </w:rPr>
        <w:t xml:space="preserve">General </w:t>
      </w:r>
      <w:r w:rsidR="004560CC" w:rsidRPr="00AF2FD9">
        <w:rPr>
          <w:rFonts w:ascii="Times New Roman" w:hAnsi="Times New Roman" w:cs="Times New Roman"/>
          <w:sz w:val="24"/>
          <w:szCs w:val="24"/>
        </w:rPr>
        <w:t>instructions</w:t>
      </w:r>
    </w:p>
    <w:p w14:paraId="619C7F2F" w14:textId="644CD337" w:rsidR="00D274ED" w:rsidRPr="00AF2FD9" w:rsidRDefault="00D274ED" w:rsidP="00AF2FD9">
      <w:pPr>
        <w:rPr>
          <w:rFonts w:ascii="Times New Roman" w:hAnsi="Times New Roman" w:cs="Times New Roman"/>
          <w:sz w:val="24"/>
          <w:szCs w:val="24"/>
        </w:rPr>
      </w:pPr>
      <w:r w:rsidRPr="00AF2FD9">
        <w:rPr>
          <w:rFonts w:ascii="Times New Roman" w:hAnsi="Times New Roman" w:cs="Times New Roman"/>
          <w:sz w:val="24"/>
          <w:szCs w:val="24"/>
        </w:rPr>
        <w:t xml:space="preserve">The general </w:t>
      </w:r>
      <w:r w:rsidR="004560CC" w:rsidRPr="00AF2FD9">
        <w:rPr>
          <w:rFonts w:ascii="Times New Roman" w:hAnsi="Times New Roman" w:cs="Times New Roman"/>
          <w:sz w:val="24"/>
          <w:szCs w:val="24"/>
        </w:rPr>
        <w:t xml:space="preserve">instructions </w:t>
      </w:r>
      <w:r w:rsidRPr="00AF2FD9">
        <w:rPr>
          <w:rFonts w:ascii="Times New Roman" w:hAnsi="Times New Roman" w:cs="Times New Roman"/>
          <w:sz w:val="24"/>
          <w:szCs w:val="24"/>
        </w:rPr>
        <w:t xml:space="preserve">contain details on the data to be reported to APRA under this reporting standard. Information in the general </w:t>
      </w:r>
      <w:r w:rsidR="003052CE" w:rsidRPr="00AF2FD9">
        <w:rPr>
          <w:rFonts w:ascii="Times New Roman" w:hAnsi="Times New Roman" w:cs="Times New Roman"/>
          <w:sz w:val="24"/>
          <w:szCs w:val="24"/>
        </w:rPr>
        <w:t xml:space="preserve">instructions </w:t>
      </w:r>
      <w:r w:rsidRPr="00AF2FD9">
        <w:rPr>
          <w:rFonts w:ascii="Times New Roman" w:hAnsi="Times New Roman" w:cs="Times New Roman"/>
          <w:sz w:val="24"/>
          <w:szCs w:val="24"/>
        </w:rPr>
        <w:t xml:space="preserve">applies to all data items in this reporting standard. </w:t>
      </w:r>
    </w:p>
    <w:p w14:paraId="4BC81DB8" w14:textId="77777777" w:rsidR="00D274ED" w:rsidRPr="00AF2FD9" w:rsidRDefault="00D274ED" w:rsidP="00AF2FD9">
      <w:pPr>
        <w:pStyle w:val="Heading6"/>
        <w:rPr>
          <w:rFonts w:ascii="Times New Roman" w:hAnsi="Times New Roman" w:cs="Times New Roman"/>
          <w:sz w:val="24"/>
          <w:szCs w:val="24"/>
        </w:rPr>
      </w:pPr>
      <w:r w:rsidRPr="00AF2FD9">
        <w:rPr>
          <w:rFonts w:ascii="Times New Roman" w:hAnsi="Times New Roman" w:cs="Times New Roman"/>
          <w:sz w:val="24"/>
          <w:szCs w:val="24"/>
        </w:rPr>
        <w:t>Specific instructions</w:t>
      </w:r>
    </w:p>
    <w:p w14:paraId="5728E80B" w14:textId="77777777" w:rsidR="00D274ED" w:rsidRPr="00AF2FD9" w:rsidRDefault="00D274ED" w:rsidP="00AF2FD9">
      <w:pPr>
        <w:rPr>
          <w:rFonts w:ascii="Times New Roman" w:hAnsi="Times New Roman" w:cs="Times New Roman"/>
          <w:sz w:val="24"/>
          <w:szCs w:val="24"/>
        </w:rPr>
      </w:pPr>
      <w:r w:rsidRPr="00AF2FD9">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AF2FD9" w:rsidRDefault="00D274ED" w:rsidP="00AF2FD9">
      <w:pPr>
        <w:pStyle w:val="Heading5"/>
        <w:rPr>
          <w:rFonts w:ascii="Times New Roman" w:hAnsi="Times New Roman" w:cs="Times New Roman"/>
          <w:i/>
          <w:sz w:val="24"/>
          <w:szCs w:val="24"/>
        </w:rPr>
      </w:pPr>
      <w:r w:rsidRPr="00AF2FD9">
        <w:rPr>
          <w:rFonts w:ascii="Times New Roman" w:hAnsi="Times New Roman" w:cs="Times New Roman"/>
          <w:i/>
          <w:sz w:val="24"/>
          <w:szCs w:val="24"/>
        </w:rPr>
        <w:lastRenderedPageBreak/>
        <w:t>Documents incorporated by reference</w:t>
      </w:r>
    </w:p>
    <w:p w14:paraId="10D8C152" w14:textId="3FA3458E" w:rsidR="00644872" w:rsidRPr="00AF2FD9" w:rsidRDefault="00644872" w:rsidP="00AF2FD9">
      <w:pPr>
        <w:rPr>
          <w:rFonts w:ascii="Times New Roman" w:hAnsi="Times New Roman" w:cs="Times New Roman"/>
          <w:sz w:val="24"/>
          <w:szCs w:val="24"/>
        </w:rPr>
      </w:pPr>
      <w:r w:rsidRPr="00AF2FD9">
        <w:rPr>
          <w:rFonts w:ascii="Times New Roman" w:hAnsi="Times New Roman" w:cs="Times New Roman"/>
          <w:sz w:val="24"/>
          <w:szCs w:val="24"/>
        </w:rPr>
        <w:t xml:space="preserve">Under </w:t>
      </w:r>
      <w:r w:rsidR="00DD3C66" w:rsidRPr="00AF2FD9">
        <w:rPr>
          <w:rFonts w:ascii="Times New Roman" w:hAnsi="Times New Roman" w:cs="Times New Roman"/>
          <w:sz w:val="24"/>
          <w:szCs w:val="24"/>
        </w:rPr>
        <w:t>paragraph</w:t>
      </w:r>
      <w:r w:rsidRPr="00AF2FD9">
        <w:rPr>
          <w:rFonts w:ascii="Times New Roman" w:hAnsi="Times New Roman" w:cs="Times New Roman"/>
          <w:sz w:val="24"/>
          <w:szCs w:val="24"/>
        </w:rPr>
        <w:t xml:space="preserve"> 14(1)(a) of the </w:t>
      </w:r>
      <w:r w:rsidRPr="00AF2FD9">
        <w:rPr>
          <w:rFonts w:ascii="Times New Roman" w:hAnsi="Times New Roman" w:cs="Times New Roman"/>
          <w:i/>
          <w:sz w:val="24"/>
          <w:szCs w:val="24"/>
        </w:rPr>
        <w:t>Legislation Act 2003</w:t>
      </w:r>
      <w:r w:rsidRPr="00AF2FD9">
        <w:rPr>
          <w:rFonts w:ascii="Times New Roman" w:hAnsi="Times New Roman" w:cs="Times New Roman"/>
          <w:sz w:val="24"/>
          <w:szCs w:val="24"/>
        </w:rPr>
        <w:t xml:space="preserve">, the standard incorporates by reference as in force from time to time: </w:t>
      </w:r>
    </w:p>
    <w:p w14:paraId="667D225B" w14:textId="43E8ED94" w:rsidR="00644872" w:rsidRPr="00AF2FD9" w:rsidRDefault="00644872" w:rsidP="00AF2FD9">
      <w:pPr>
        <w:numPr>
          <w:ilvl w:val="0"/>
          <w:numId w:val="21"/>
        </w:numPr>
        <w:rPr>
          <w:rFonts w:ascii="Times New Roman" w:hAnsi="Times New Roman" w:cs="Times New Roman"/>
          <w:sz w:val="24"/>
          <w:szCs w:val="24"/>
        </w:rPr>
      </w:pPr>
      <w:r w:rsidRPr="00AF2FD9">
        <w:rPr>
          <w:rFonts w:ascii="Times New Roman" w:hAnsi="Times New Roman" w:cs="Times New Roman"/>
          <w:sz w:val="24"/>
          <w:szCs w:val="24"/>
        </w:rPr>
        <w:t xml:space="preserve">Acts of </w:t>
      </w:r>
      <w:proofErr w:type="gramStart"/>
      <w:r w:rsidRPr="00AF2FD9">
        <w:rPr>
          <w:rFonts w:ascii="Times New Roman" w:hAnsi="Times New Roman" w:cs="Times New Roman"/>
          <w:sz w:val="24"/>
          <w:szCs w:val="24"/>
        </w:rPr>
        <w:t>Parliament;</w:t>
      </w:r>
      <w:proofErr w:type="gramEnd"/>
    </w:p>
    <w:p w14:paraId="47D36FDA" w14:textId="5D3F2FC2" w:rsidR="00644872" w:rsidRPr="00AF2FD9" w:rsidRDefault="00644872" w:rsidP="00AF2FD9">
      <w:pPr>
        <w:numPr>
          <w:ilvl w:val="0"/>
          <w:numId w:val="21"/>
        </w:numPr>
        <w:rPr>
          <w:rFonts w:ascii="Times New Roman" w:hAnsi="Times New Roman" w:cs="Times New Roman"/>
          <w:sz w:val="24"/>
          <w:szCs w:val="24"/>
        </w:rPr>
      </w:pPr>
      <w:r w:rsidRPr="00AF2FD9">
        <w:rPr>
          <w:rFonts w:ascii="Times New Roman" w:hAnsi="Times New Roman" w:cs="Times New Roman"/>
          <w:sz w:val="24"/>
          <w:szCs w:val="24"/>
        </w:rPr>
        <w:t>Prudential Standards determined by APRA under</w:t>
      </w:r>
      <w:r w:rsidR="002E58BE" w:rsidRPr="00AF2FD9">
        <w:rPr>
          <w:rFonts w:ascii="Times New Roman" w:hAnsi="Times New Roman" w:cs="Times New Roman"/>
          <w:sz w:val="24"/>
          <w:szCs w:val="24"/>
        </w:rPr>
        <w:t xml:space="preserve"> </w:t>
      </w:r>
      <w:bookmarkStart w:id="5" w:name="_Hlk170310243"/>
      <w:r w:rsidR="002E58BE" w:rsidRPr="00AF2FD9">
        <w:rPr>
          <w:rFonts w:ascii="Times New Roman" w:hAnsi="Times New Roman" w:cs="Times New Roman"/>
          <w:sz w:val="24"/>
          <w:szCs w:val="24"/>
        </w:rPr>
        <w:t>section</w:t>
      </w:r>
      <w:r w:rsidRPr="00AF2FD9">
        <w:rPr>
          <w:rFonts w:ascii="Times New Roman" w:hAnsi="Times New Roman" w:cs="Times New Roman"/>
          <w:sz w:val="24"/>
          <w:szCs w:val="24"/>
        </w:rPr>
        <w:t> </w:t>
      </w:r>
      <w:r w:rsidR="008D5665" w:rsidRPr="00AF2FD9">
        <w:rPr>
          <w:rFonts w:ascii="Times New Roman" w:hAnsi="Times New Roman" w:cs="Times New Roman"/>
          <w:sz w:val="24"/>
          <w:szCs w:val="24"/>
        </w:rPr>
        <w:t>11AF of the </w:t>
      </w:r>
      <w:r w:rsidR="008D5665" w:rsidRPr="00AF2FD9">
        <w:rPr>
          <w:rFonts w:ascii="Times New Roman" w:hAnsi="Times New Roman" w:cs="Times New Roman"/>
          <w:i/>
          <w:iCs/>
          <w:sz w:val="24"/>
          <w:szCs w:val="24"/>
        </w:rPr>
        <w:t xml:space="preserve">Banking Act </w:t>
      </w:r>
      <w:proofErr w:type="gramStart"/>
      <w:r w:rsidR="008D5665" w:rsidRPr="00AF2FD9">
        <w:rPr>
          <w:rFonts w:ascii="Times New Roman" w:hAnsi="Times New Roman" w:cs="Times New Roman"/>
          <w:i/>
          <w:iCs/>
          <w:sz w:val="24"/>
          <w:szCs w:val="24"/>
        </w:rPr>
        <w:t>1959</w:t>
      </w:r>
      <w:bookmarkEnd w:id="5"/>
      <w:r w:rsidRPr="00AF2FD9">
        <w:rPr>
          <w:rFonts w:ascii="Times New Roman" w:hAnsi="Times New Roman" w:cs="Times New Roman"/>
          <w:iCs/>
          <w:sz w:val="24"/>
          <w:szCs w:val="24"/>
        </w:rPr>
        <w:t>;</w:t>
      </w:r>
      <w:proofErr w:type="gramEnd"/>
      <w:r w:rsidRPr="00AF2FD9">
        <w:rPr>
          <w:rFonts w:ascii="Times New Roman" w:hAnsi="Times New Roman" w:cs="Times New Roman"/>
          <w:iCs/>
          <w:sz w:val="24"/>
          <w:szCs w:val="24"/>
        </w:rPr>
        <w:t xml:space="preserve"> </w:t>
      </w:r>
    </w:p>
    <w:p w14:paraId="1576E992" w14:textId="2EF891F9" w:rsidR="00644872" w:rsidRPr="00AF2FD9" w:rsidRDefault="00644872" w:rsidP="00AF2FD9">
      <w:pPr>
        <w:numPr>
          <w:ilvl w:val="0"/>
          <w:numId w:val="21"/>
        </w:numPr>
        <w:rPr>
          <w:rFonts w:ascii="Times New Roman" w:hAnsi="Times New Roman" w:cs="Times New Roman"/>
          <w:sz w:val="24"/>
          <w:szCs w:val="24"/>
        </w:rPr>
      </w:pPr>
      <w:r w:rsidRPr="00AF2FD9">
        <w:rPr>
          <w:rFonts w:ascii="Times New Roman" w:hAnsi="Times New Roman" w:cs="Times New Roman"/>
          <w:sz w:val="24"/>
          <w:szCs w:val="24"/>
        </w:rPr>
        <w:t>Reporting Standards determined by APRA under subsection 13(1) of the Act</w:t>
      </w:r>
      <w:r w:rsidRPr="00AF2FD9">
        <w:rPr>
          <w:rFonts w:ascii="Times New Roman" w:hAnsi="Times New Roman" w:cs="Times New Roman"/>
          <w:iCs/>
          <w:sz w:val="24"/>
          <w:szCs w:val="24"/>
          <w:lang w:val="en-US"/>
        </w:rPr>
        <w:t>;</w:t>
      </w:r>
      <w:r w:rsidR="007B231E" w:rsidRPr="00AF2FD9">
        <w:rPr>
          <w:rFonts w:ascii="Times New Roman" w:hAnsi="Times New Roman" w:cs="Times New Roman"/>
          <w:iCs/>
          <w:sz w:val="24"/>
          <w:szCs w:val="24"/>
          <w:lang w:val="en-US"/>
        </w:rPr>
        <w:t xml:space="preserve"> and</w:t>
      </w:r>
    </w:p>
    <w:p w14:paraId="15B69B5C" w14:textId="7BF9C3E8" w:rsidR="00644872" w:rsidRPr="00AF2FD9" w:rsidRDefault="00644872" w:rsidP="00AF2FD9">
      <w:pPr>
        <w:numPr>
          <w:ilvl w:val="0"/>
          <w:numId w:val="21"/>
        </w:numPr>
        <w:rPr>
          <w:rFonts w:ascii="Times New Roman" w:hAnsi="Times New Roman" w:cs="Times New Roman"/>
          <w:i/>
          <w:iCs/>
          <w:sz w:val="24"/>
          <w:szCs w:val="24"/>
        </w:rPr>
      </w:pPr>
      <w:r w:rsidRPr="00AF2FD9">
        <w:rPr>
          <w:rFonts w:ascii="Times New Roman" w:hAnsi="Times New Roman" w:cs="Times New Roman"/>
          <w:sz w:val="24"/>
          <w:szCs w:val="24"/>
        </w:rPr>
        <w:t xml:space="preserve">Australian Accounting Standards determined by the Australian Accounting Standards Board under section 334 of the </w:t>
      </w:r>
      <w:r w:rsidRPr="00AF2FD9">
        <w:rPr>
          <w:rFonts w:ascii="Times New Roman" w:hAnsi="Times New Roman" w:cs="Times New Roman"/>
          <w:i/>
          <w:iCs/>
          <w:sz w:val="24"/>
          <w:szCs w:val="24"/>
        </w:rPr>
        <w:t xml:space="preserve">Corporations Act 2001 </w:t>
      </w:r>
      <w:r w:rsidRPr="00AF2FD9">
        <w:rPr>
          <w:rFonts w:ascii="Times New Roman" w:hAnsi="Times New Roman" w:cs="Times New Roman"/>
          <w:sz w:val="24"/>
          <w:szCs w:val="24"/>
        </w:rPr>
        <w:t>(</w:t>
      </w:r>
      <w:proofErr w:type="spellStart"/>
      <w:r w:rsidRPr="00AF2FD9">
        <w:rPr>
          <w:rFonts w:ascii="Times New Roman" w:hAnsi="Times New Roman" w:cs="Times New Roman"/>
          <w:sz w:val="24"/>
          <w:szCs w:val="24"/>
        </w:rPr>
        <w:t>Cth</w:t>
      </w:r>
      <w:proofErr w:type="spellEnd"/>
      <w:r w:rsidRPr="00AF2FD9">
        <w:rPr>
          <w:rFonts w:ascii="Times New Roman" w:hAnsi="Times New Roman" w:cs="Times New Roman"/>
          <w:sz w:val="24"/>
          <w:szCs w:val="24"/>
        </w:rPr>
        <w:t>).</w:t>
      </w:r>
    </w:p>
    <w:p w14:paraId="1972CB3A" w14:textId="50ACB113" w:rsidR="00644872" w:rsidRPr="00AF2FD9" w:rsidRDefault="00644872"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These documents may be freely obtained at www.legislation.gov.au (all documents listed above except for Australian Accounting Standards), </w:t>
      </w:r>
      <w:r w:rsidR="007B231E" w:rsidRPr="00AF2FD9">
        <w:rPr>
          <w:rFonts w:ascii="Times New Roman" w:hAnsi="Times New Roman" w:cs="Times New Roman"/>
          <w:sz w:val="24"/>
          <w:szCs w:val="24"/>
        </w:rPr>
        <w:t>and https://www.aasb.gov.au/pronouncements/accounting-standards/</w:t>
      </w:r>
      <w:r w:rsidRPr="00AF2FD9">
        <w:rPr>
          <w:rFonts w:ascii="Times New Roman" w:hAnsi="Times New Roman" w:cs="Times New Roman"/>
          <w:sz w:val="24"/>
          <w:szCs w:val="24"/>
        </w:rPr>
        <w:t xml:space="preserve"> (Australian Accounting Standards).</w:t>
      </w:r>
    </w:p>
    <w:p w14:paraId="03332396" w14:textId="7694F359" w:rsidR="009D4F63" w:rsidRPr="00AF2FD9" w:rsidRDefault="009D4F63" w:rsidP="00AF2FD9">
      <w:pPr>
        <w:rPr>
          <w:rFonts w:ascii="Times New Roman" w:hAnsi="Times New Roman" w:cs="Times New Roman"/>
          <w:sz w:val="24"/>
          <w:szCs w:val="24"/>
        </w:rPr>
      </w:pPr>
      <w:r w:rsidRPr="00AF2FD9">
        <w:rPr>
          <w:rFonts w:ascii="Times New Roman" w:hAnsi="Times New Roman" w:cs="Times New Roman"/>
          <w:sz w:val="24"/>
          <w:szCs w:val="24"/>
        </w:rPr>
        <w:t xml:space="preserve">Under section 14(1)(b) of the Legislation Act, the </w:t>
      </w:r>
      <w:r w:rsidR="00C4010F" w:rsidRPr="00AF2FD9">
        <w:rPr>
          <w:rFonts w:ascii="Times New Roman" w:hAnsi="Times New Roman" w:cs="Times New Roman"/>
          <w:sz w:val="24"/>
          <w:szCs w:val="24"/>
        </w:rPr>
        <w:t xml:space="preserve">reporting </w:t>
      </w:r>
      <w:r w:rsidRPr="00AF2FD9">
        <w:rPr>
          <w:rFonts w:ascii="Times New Roman" w:hAnsi="Times New Roman" w:cs="Times New Roman"/>
          <w:sz w:val="24"/>
          <w:szCs w:val="24"/>
        </w:rPr>
        <w:t>standard incorporates the following document</w:t>
      </w:r>
      <w:r w:rsidR="0096759E" w:rsidRPr="00AF2FD9">
        <w:rPr>
          <w:rFonts w:ascii="Times New Roman" w:hAnsi="Times New Roman" w:cs="Times New Roman"/>
          <w:sz w:val="24"/>
          <w:szCs w:val="24"/>
        </w:rPr>
        <w:t>s</w:t>
      </w:r>
      <w:r w:rsidRPr="00AF2FD9">
        <w:rPr>
          <w:rFonts w:ascii="Times New Roman" w:hAnsi="Times New Roman" w:cs="Times New Roman"/>
          <w:sz w:val="24"/>
          <w:szCs w:val="24"/>
        </w:rPr>
        <w:t xml:space="preserve"> </w:t>
      </w:r>
      <w:r w:rsidR="0014273B" w:rsidRPr="00AF2FD9">
        <w:rPr>
          <w:rFonts w:ascii="Times New Roman" w:hAnsi="Times New Roman" w:cs="Times New Roman"/>
          <w:sz w:val="24"/>
          <w:szCs w:val="24"/>
        </w:rPr>
        <w:t xml:space="preserve">as existing at </w:t>
      </w:r>
      <w:r w:rsidRPr="00AF2FD9">
        <w:rPr>
          <w:rFonts w:ascii="Times New Roman" w:hAnsi="Times New Roman" w:cs="Times New Roman"/>
          <w:sz w:val="24"/>
          <w:szCs w:val="24"/>
        </w:rPr>
        <w:t xml:space="preserve">the </w:t>
      </w:r>
      <w:r w:rsidR="00561DAA" w:rsidRPr="00AF2FD9">
        <w:rPr>
          <w:rFonts w:ascii="Times New Roman" w:hAnsi="Times New Roman" w:cs="Times New Roman"/>
          <w:sz w:val="24"/>
          <w:szCs w:val="24"/>
        </w:rPr>
        <w:t xml:space="preserve">commencement of </w:t>
      </w:r>
      <w:r w:rsidR="00C93682" w:rsidRPr="00AF2FD9">
        <w:rPr>
          <w:rFonts w:ascii="Times New Roman" w:hAnsi="Times New Roman" w:cs="Times New Roman"/>
          <w:sz w:val="24"/>
          <w:szCs w:val="24"/>
        </w:rPr>
        <w:t>the reporting standard</w:t>
      </w:r>
      <w:r w:rsidRPr="00AF2FD9">
        <w:rPr>
          <w:rFonts w:ascii="Times New Roman" w:hAnsi="Times New Roman" w:cs="Times New Roman"/>
          <w:sz w:val="24"/>
          <w:szCs w:val="24"/>
        </w:rPr>
        <w:t xml:space="preserve">: </w:t>
      </w:r>
    </w:p>
    <w:p w14:paraId="37F59E7E" w14:textId="28FB59D7" w:rsidR="0096759E" w:rsidRPr="00AF2FD9" w:rsidRDefault="0096759E" w:rsidP="00AF2FD9">
      <w:pPr>
        <w:numPr>
          <w:ilvl w:val="0"/>
          <w:numId w:val="23"/>
        </w:numPr>
        <w:rPr>
          <w:rFonts w:ascii="Times New Roman" w:hAnsi="Times New Roman" w:cs="Times New Roman"/>
          <w:i/>
          <w:sz w:val="24"/>
          <w:szCs w:val="24"/>
        </w:rPr>
      </w:pPr>
      <w:r w:rsidRPr="00AF2FD9">
        <w:rPr>
          <w:rFonts w:ascii="Times New Roman" w:hAnsi="Times New Roman" w:cs="Times New Roman"/>
          <w:i/>
          <w:sz w:val="24"/>
          <w:szCs w:val="24"/>
        </w:rPr>
        <w:t>Prudential Practice Guide APG 112 Standardised Approach to Credit Risk</w:t>
      </w:r>
      <w:r w:rsidRPr="00AF2FD9">
        <w:rPr>
          <w:rFonts w:ascii="Times New Roman" w:hAnsi="Times New Roman" w:cs="Times New Roman"/>
          <w:iCs/>
          <w:sz w:val="24"/>
          <w:szCs w:val="24"/>
        </w:rPr>
        <w:t>,</w:t>
      </w:r>
      <w:r w:rsidRPr="00AF2FD9">
        <w:rPr>
          <w:rFonts w:ascii="Times New Roman" w:hAnsi="Times New Roman" w:cs="Times New Roman"/>
          <w:i/>
          <w:iCs/>
          <w:sz w:val="24"/>
          <w:szCs w:val="24"/>
        </w:rPr>
        <w:t xml:space="preserve"> </w:t>
      </w:r>
      <w:r w:rsidRPr="00AF2FD9">
        <w:rPr>
          <w:rFonts w:ascii="Times New Roman" w:hAnsi="Times New Roman" w:cs="Times New Roman"/>
          <w:iCs/>
          <w:sz w:val="24"/>
          <w:szCs w:val="24"/>
        </w:rPr>
        <w:t>which may be freely obtained at https://www.apra.gov.au/industries/1/standards</w:t>
      </w:r>
      <w:r w:rsidRPr="00AF2FD9">
        <w:rPr>
          <w:rFonts w:ascii="Times New Roman" w:hAnsi="Times New Roman" w:cs="Times New Roman"/>
          <w:sz w:val="24"/>
          <w:szCs w:val="24"/>
          <w:u w:val="single"/>
        </w:rPr>
        <w:t>.</w:t>
      </w:r>
    </w:p>
    <w:p w14:paraId="65DE7F96" w14:textId="3F5154F9" w:rsidR="009D4F63" w:rsidRPr="00AF2FD9" w:rsidRDefault="004C0814" w:rsidP="00AF2FD9">
      <w:pPr>
        <w:numPr>
          <w:ilvl w:val="0"/>
          <w:numId w:val="23"/>
        </w:numPr>
        <w:rPr>
          <w:rFonts w:ascii="Times New Roman" w:hAnsi="Times New Roman" w:cs="Times New Roman"/>
          <w:sz w:val="24"/>
          <w:szCs w:val="24"/>
          <w:u w:val="single"/>
        </w:rPr>
      </w:pPr>
      <w:r w:rsidRPr="00AF2FD9">
        <w:rPr>
          <w:rFonts w:ascii="Times New Roman" w:hAnsi="Times New Roman" w:cs="Times New Roman"/>
          <w:i/>
          <w:iCs/>
          <w:sz w:val="24"/>
          <w:szCs w:val="24"/>
        </w:rPr>
        <w:t>Prudential Practice Guide APG 113 Internal Ratings-based Approach to Credit Risk</w:t>
      </w:r>
      <w:r w:rsidR="0096759E" w:rsidRPr="00AF2FD9">
        <w:rPr>
          <w:rFonts w:ascii="Times New Roman" w:hAnsi="Times New Roman" w:cs="Times New Roman"/>
          <w:iCs/>
          <w:sz w:val="24"/>
          <w:szCs w:val="24"/>
        </w:rPr>
        <w:t>,</w:t>
      </w:r>
      <w:r w:rsidRPr="00AF2FD9">
        <w:rPr>
          <w:rFonts w:ascii="Times New Roman" w:hAnsi="Times New Roman" w:cs="Times New Roman"/>
          <w:i/>
          <w:iCs/>
          <w:sz w:val="24"/>
          <w:szCs w:val="24"/>
        </w:rPr>
        <w:t xml:space="preserve"> </w:t>
      </w:r>
      <w:r w:rsidR="0096759E" w:rsidRPr="00AF2FD9">
        <w:rPr>
          <w:rFonts w:ascii="Times New Roman" w:hAnsi="Times New Roman" w:cs="Times New Roman"/>
          <w:iCs/>
          <w:sz w:val="24"/>
          <w:szCs w:val="24"/>
        </w:rPr>
        <w:t>which</w:t>
      </w:r>
      <w:r w:rsidR="009D4F63" w:rsidRPr="00AF2FD9">
        <w:rPr>
          <w:rFonts w:ascii="Times New Roman" w:hAnsi="Times New Roman" w:cs="Times New Roman"/>
          <w:iCs/>
          <w:sz w:val="24"/>
          <w:szCs w:val="24"/>
        </w:rPr>
        <w:t xml:space="preserve"> may be freely obtained at </w:t>
      </w:r>
      <w:r w:rsidRPr="00AF2FD9">
        <w:rPr>
          <w:rFonts w:ascii="Times New Roman" w:hAnsi="Times New Roman" w:cs="Times New Roman"/>
          <w:iCs/>
          <w:sz w:val="24"/>
          <w:szCs w:val="24"/>
        </w:rPr>
        <w:t>https://www.apra.gov.au/industries/1/standards</w:t>
      </w:r>
      <w:r w:rsidR="009D4F63" w:rsidRPr="00AF2FD9">
        <w:rPr>
          <w:rFonts w:ascii="Times New Roman" w:hAnsi="Times New Roman" w:cs="Times New Roman"/>
          <w:sz w:val="24"/>
          <w:szCs w:val="24"/>
        </w:rPr>
        <w:t>.</w:t>
      </w:r>
    </w:p>
    <w:p w14:paraId="54F80AB1" w14:textId="5AC3E858" w:rsidR="00D274ED" w:rsidRPr="00AF2FD9" w:rsidRDefault="009F1998" w:rsidP="00AF2FD9">
      <w:pPr>
        <w:pStyle w:val="Heading5"/>
        <w:rPr>
          <w:rFonts w:ascii="Times New Roman" w:hAnsi="Times New Roman" w:cs="Times New Roman"/>
          <w:i/>
          <w:sz w:val="24"/>
          <w:szCs w:val="24"/>
        </w:rPr>
      </w:pPr>
      <w:r w:rsidRPr="00AF2FD9">
        <w:rPr>
          <w:rFonts w:ascii="Times New Roman" w:hAnsi="Times New Roman" w:cs="Times New Roman"/>
          <w:i/>
          <w:sz w:val="24"/>
          <w:szCs w:val="24"/>
        </w:rPr>
        <w:t>Exercise of discretion by APRA</w:t>
      </w:r>
    </w:p>
    <w:p w14:paraId="6FDB1771" w14:textId="0F3EE7A2" w:rsidR="009F56A6" w:rsidRPr="00AF2FD9" w:rsidRDefault="00C25F3C"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There are </w:t>
      </w:r>
      <w:proofErr w:type="gramStart"/>
      <w:r w:rsidRPr="00AF2FD9">
        <w:rPr>
          <w:rFonts w:ascii="Times New Roman" w:hAnsi="Times New Roman" w:cs="Times New Roman"/>
          <w:sz w:val="24"/>
          <w:szCs w:val="24"/>
        </w:rPr>
        <w:t>a number of</w:t>
      </w:r>
      <w:proofErr w:type="gramEnd"/>
      <w:r w:rsidRPr="00AF2FD9">
        <w:rPr>
          <w:rFonts w:ascii="Times New Roman" w:hAnsi="Times New Roman" w:cs="Times New Roman"/>
          <w:sz w:val="24"/>
          <w:szCs w:val="24"/>
        </w:rPr>
        <w:t xml:space="preserve"> powers that may be exercised by APRA in reporting standards that involve an element of discretion</w:t>
      </w:r>
      <w:r w:rsidR="00AD1772" w:rsidRPr="00AF2FD9">
        <w:rPr>
          <w:rFonts w:ascii="Times New Roman" w:hAnsi="Times New Roman" w:cs="Times New Roman"/>
          <w:sz w:val="24"/>
          <w:szCs w:val="24"/>
        </w:rPr>
        <w:t>,</w:t>
      </w:r>
      <w:r w:rsidRPr="00AF2FD9">
        <w:rPr>
          <w:rFonts w:ascii="Times New Roman" w:hAnsi="Times New Roman" w:cs="Times New Roman"/>
          <w:sz w:val="24"/>
          <w:szCs w:val="24"/>
        </w:rPr>
        <w:t xml:space="preserve"> and which may impact the interests of the </w:t>
      </w:r>
      <w:r w:rsidR="00D82EA5" w:rsidRPr="00AF2FD9">
        <w:rPr>
          <w:rFonts w:ascii="Times New Roman" w:hAnsi="Times New Roman" w:cs="Times New Roman"/>
          <w:sz w:val="24"/>
          <w:szCs w:val="24"/>
        </w:rPr>
        <w:t>ADIs</w:t>
      </w:r>
      <w:r w:rsidRPr="00AF2FD9">
        <w:rPr>
          <w:rFonts w:ascii="Times New Roman" w:hAnsi="Times New Roman" w:cs="Times New Roman"/>
          <w:sz w:val="24"/>
          <w:szCs w:val="24"/>
        </w:rPr>
        <w:t xml:space="preserve"> to which the reporting standards apply. These </w:t>
      </w:r>
      <w:r w:rsidR="004843A6" w:rsidRPr="00AF2FD9">
        <w:rPr>
          <w:rFonts w:ascii="Times New Roman" w:hAnsi="Times New Roman" w:cs="Times New Roman"/>
          <w:sz w:val="24"/>
          <w:szCs w:val="24"/>
        </w:rPr>
        <w:t xml:space="preserve">powers </w:t>
      </w:r>
      <w:r w:rsidRPr="00AF2FD9">
        <w:rPr>
          <w:rFonts w:ascii="Times New Roman" w:hAnsi="Times New Roman" w:cs="Times New Roman"/>
          <w:sz w:val="24"/>
          <w:szCs w:val="24"/>
        </w:rPr>
        <w:t>include changing a reporting period</w:t>
      </w:r>
      <w:r w:rsidR="00D82EA5" w:rsidRPr="00AF2FD9">
        <w:rPr>
          <w:rFonts w:ascii="Times New Roman" w:hAnsi="Times New Roman" w:cs="Times New Roman"/>
          <w:sz w:val="24"/>
          <w:szCs w:val="24"/>
        </w:rPr>
        <w:t xml:space="preserve"> or</w:t>
      </w:r>
      <w:r w:rsidRPr="00AF2FD9">
        <w:rPr>
          <w:rFonts w:ascii="Times New Roman" w:hAnsi="Times New Roman" w:cs="Times New Roman"/>
          <w:sz w:val="24"/>
          <w:szCs w:val="24"/>
        </w:rPr>
        <w:t xml:space="preserve"> due date for </w:t>
      </w:r>
      <w:r w:rsidR="00D82EA5" w:rsidRPr="00AF2FD9">
        <w:rPr>
          <w:rFonts w:ascii="Times New Roman" w:hAnsi="Times New Roman" w:cs="Times New Roman"/>
          <w:sz w:val="24"/>
          <w:szCs w:val="24"/>
        </w:rPr>
        <w:t>an ADI</w:t>
      </w:r>
      <w:r w:rsidRPr="00AF2FD9">
        <w:rPr>
          <w:rFonts w:ascii="Times New Roman" w:hAnsi="Times New Roman" w:cs="Times New Roman"/>
          <w:sz w:val="24"/>
          <w:szCs w:val="24"/>
        </w:rPr>
        <w:t xml:space="preserve"> to provide information required by each of the </w:t>
      </w:r>
      <w:proofErr w:type="gramStart"/>
      <w:r w:rsidRPr="00AF2FD9">
        <w:rPr>
          <w:rFonts w:ascii="Times New Roman" w:hAnsi="Times New Roman" w:cs="Times New Roman"/>
          <w:sz w:val="24"/>
          <w:szCs w:val="24"/>
        </w:rPr>
        <w:t>instruments</w:t>
      </w:r>
      <w:r w:rsidR="002349DF" w:rsidRPr="00AF2FD9">
        <w:rPr>
          <w:rFonts w:ascii="Times New Roman" w:hAnsi="Times New Roman" w:cs="Times New Roman"/>
          <w:sz w:val="24"/>
          <w:szCs w:val="24"/>
        </w:rPr>
        <w:t xml:space="preserve">, </w:t>
      </w:r>
      <w:r w:rsidR="005E0EF7" w:rsidRPr="00AF2FD9">
        <w:rPr>
          <w:rFonts w:ascii="Times New Roman" w:hAnsi="Times New Roman" w:cs="Times New Roman"/>
          <w:sz w:val="24"/>
          <w:szCs w:val="24"/>
        </w:rPr>
        <w:t>and</w:t>
      </w:r>
      <w:proofErr w:type="gramEnd"/>
      <w:r w:rsidR="002349DF" w:rsidRPr="00AF2FD9">
        <w:rPr>
          <w:rFonts w:ascii="Times New Roman" w:hAnsi="Times New Roman" w:cs="Times New Roman"/>
          <w:sz w:val="24"/>
          <w:szCs w:val="24"/>
        </w:rPr>
        <w:t xml:space="preserve"> varying the reporting requirements of </w:t>
      </w:r>
      <w:r w:rsidR="004843A6" w:rsidRPr="00AF2FD9">
        <w:rPr>
          <w:rFonts w:ascii="Times New Roman" w:hAnsi="Times New Roman" w:cs="Times New Roman"/>
          <w:sz w:val="24"/>
          <w:szCs w:val="24"/>
        </w:rPr>
        <w:t xml:space="preserve">the </w:t>
      </w:r>
      <w:r w:rsidR="002349DF" w:rsidRPr="00AF2FD9">
        <w:rPr>
          <w:rFonts w:ascii="Times New Roman" w:hAnsi="Times New Roman" w:cs="Times New Roman"/>
          <w:sz w:val="24"/>
          <w:szCs w:val="24"/>
        </w:rPr>
        <w:t xml:space="preserve">reporting standard in relation to an ADI </w:t>
      </w:r>
      <w:r w:rsidR="004843A6" w:rsidRPr="00AF2FD9">
        <w:rPr>
          <w:rFonts w:ascii="Times New Roman" w:hAnsi="Times New Roman" w:cs="Times New Roman"/>
          <w:sz w:val="24"/>
          <w:szCs w:val="24"/>
        </w:rPr>
        <w:t>by written notice to that ADI</w:t>
      </w:r>
      <w:r w:rsidRPr="00AF2FD9">
        <w:rPr>
          <w:rFonts w:ascii="Times New Roman" w:hAnsi="Times New Roman" w:cs="Times New Roman"/>
          <w:sz w:val="24"/>
          <w:szCs w:val="24"/>
        </w:rPr>
        <w:t xml:space="preserve">. </w:t>
      </w:r>
    </w:p>
    <w:p w14:paraId="70AA42BA" w14:textId="136CB516" w:rsidR="00576CF6" w:rsidRPr="00AF2FD9" w:rsidRDefault="00576CF6"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The need to apply discretion is driven by entity specific issues and circumstances which are not adequately addressed by the generally applicable provisions of the reporting standards.</w:t>
      </w:r>
    </w:p>
    <w:p w14:paraId="129EC1E5" w14:textId="521EE7C9" w:rsidR="00C1576D" w:rsidRPr="00AF2FD9" w:rsidRDefault="005F36AC"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APRA will exercise the power to vary the reporting requirements in relation to an ADI if it is satisfied that this will achieve a better reporting or prudential outcome than if it remained in its original form. </w:t>
      </w:r>
      <w:r w:rsidR="00C1576D" w:rsidRPr="00AF2FD9">
        <w:rPr>
          <w:rFonts w:ascii="Times New Roman" w:hAnsi="Times New Roman" w:cs="Times New Roman"/>
          <w:sz w:val="24"/>
          <w:szCs w:val="24"/>
        </w:rPr>
        <w:t xml:space="preserve">A change to a reporting period or due date might be determined on APRA’s initiative </w:t>
      </w:r>
      <w:proofErr w:type="gramStart"/>
      <w:r w:rsidR="00C1576D" w:rsidRPr="00AF2FD9">
        <w:rPr>
          <w:rFonts w:ascii="Times New Roman" w:hAnsi="Times New Roman" w:cs="Times New Roman"/>
          <w:sz w:val="24"/>
          <w:szCs w:val="24"/>
        </w:rPr>
        <w:t>taking into account</w:t>
      </w:r>
      <w:proofErr w:type="gramEnd"/>
      <w:r w:rsidR="00C1576D" w:rsidRPr="00AF2FD9">
        <w:rPr>
          <w:rFonts w:ascii="Times New Roman" w:hAnsi="Times New Roman" w:cs="Times New Roman"/>
          <w:sz w:val="24"/>
          <w:szCs w:val="24"/>
        </w:rPr>
        <w:t xml:space="preserve"> APRA’s assessment of whether existing data will be sufficient for APRA’s prudential supervision purposes, or whether the APRA will have the required data to assess an entity’s capital adequacy by a particular date. Alternatively, a change to a reporting period or due date might be considered by APRA at the request of an ADI, where the ADI is able to demonstrate that it would not be appropriate or feasible to provide data for a particular reporting period or by a particular date. </w:t>
      </w:r>
    </w:p>
    <w:p w14:paraId="6F812E7A" w14:textId="1EC9A0A3" w:rsidR="00C1576D" w:rsidRPr="00AF2FD9" w:rsidRDefault="0002790D" w:rsidP="00AF2FD9">
      <w:pPr>
        <w:rPr>
          <w:rFonts w:ascii="Times New Roman" w:hAnsi="Times New Roman" w:cs="Times New Roman"/>
          <w:sz w:val="24"/>
          <w:szCs w:val="24"/>
        </w:rPr>
      </w:pPr>
      <w:r w:rsidRPr="00AF2FD9">
        <w:rPr>
          <w:rFonts w:ascii="Times New Roman" w:hAnsi="Times New Roman" w:cs="Times New Roman"/>
          <w:sz w:val="24"/>
          <w:szCs w:val="24"/>
        </w:rPr>
        <w:t xml:space="preserve">APRA considers a wide range of factors when exercising its discretion under reporting standards, including the considerations set out in the Act and the </w:t>
      </w:r>
      <w:r w:rsidRPr="00AF2FD9">
        <w:rPr>
          <w:rFonts w:ascii="Times New Roman" w:hAnsi="Times New Roman" w:cs="Times New Roman"/>
          <w:i/>
          <w:sz w:val="24"/>
          <w:szCs w:val="24"/>
        </w:rPr>
        <w:t>Australian Prudential Regulation Authority Act 1998</w:t>
      </w:r>
      <w:r w:rsidRPr="00AF2FD9">
        <w:rPr>
          <w:rFonts w:ascii="Times New Roman" w:hAnsi="Times New Roman" w:cs="Times New Roman"/>
          <w:sz w:val="24"/>
          <w:szCs w:val="24"/>
        </w:rPr>
        <w:t xml:space="preserve">. </w:t>
      </w:r>
      <w:r w:rsidR="00C1576D" w:rsidRPr="00AF2FD9">
        <w:rPr>
          <w:rFonts w:ascii="Times New Roman" w:hAnsi="Times New Roman" w:cs="Times New Roman"/>
          <w:sz w:val="24"/>
          <w:szCs w:val="24"/>
        </w:rPr>
        <w:t>Other considerations include limiting regulatory burden, or correcting errors or inconsistencies in the reporting standards.</w:t>
      </w:r>
    </w:p>
    <w:p w14:paraId="22941538" w14:textId="77777777" w:rsidR="00E837E7" w:rsidRPr="00AF2FD9" w:rsidRDefault="00E837E7" w:rsidP="00AF2FD9">
      <w:pPr>
        <w:rPr>
          <w:rFonts w:ascii="Times New Roman" w:hAnsi="Times New Roman" w:cs="Times New Roman"/>
          <w:sz w:val="24"/>
          <w:szCs w:val="24"/>
        </w:rPr>
      </w:pPr>
      <w:bookmarkStart w:id="6" w:name="_Hlk173951974"/>
      <w:r w:rsidRPr="00AF2FD9">
        <w:rPr>
          <w:rFonts w:ascii="Times New Roman" w:hAnsi="Times New Roman" w:cs="Times New Roman"/>
          <w:sz w:val="24"/>
          <w:szCs w:val="24"/>
        </w:rPr>
        <w:lastRenderedPageBreak/>
        <w:t>The exercise of APRA’s powers is governed by a robust decision-making framework which is documented in APRA’s internal policies. This framework supports APRA in fulfilling its mandate by limiting decision-making to those senior APRA officers with the appropriate experience and skill to exercise prudential judgement. The framework also requires decision makers to seek advice from internal technical experts.</w:t>
      </w:r>
    </w:p>
    <w:bookmarkEnd w:id="6"/>
    <w:p w14:paraId="1B734EC0" w14:textId="52A268B9" w:rsidR="00C1576D" w:rsidRPr="00AF2FD9" w:rsidRDefault="00C1576D"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The power is </w:t>
      </w:r>
      <w:r w:rsidR="00E837E7" w:rsidRPr="00AF2FD9">
        <w:rPr>
          <w:rFonts w:ascii="Times New Roman" w:hAnsi="Times New Roman" w:cs="Times New Roman"/>
          <w:sz w:val="24"/>
          <w:szCs w:val="24"/>
        </w:rPr>
        <w:t xml:space="preserve">also </w:t>
      </w:r>
      <w:r w:rsidRPr="00AF2FD9">
        <w:rPr>
          <w:rFonts w:ascii="Times New Roman" w:hAnsi="Times New Roman" w:cs="Times New Roman"/>
          <w:sz w:val="24"/>
          <w:szCs w:val="24"/>
        </w:rPr>
        <w:t xml:space="preserve">exercised following discussion with the relevant ADI about its appropriateness and the impact it may have on the entity and users of the data collected. </w:t>
      </w:r>
    </w:p>
    <w:p w14:paraId="5B7929BB" w14:textId="2B397A8D" w:rsidR="00153741" w:rsidRPr="00AF2FD9" w:rsidRDefault="00153741" w:rsidP="00AF2FD9">
      <w:pPr>
        <w:numPr>
          <w:ilvl w:val="0"/>
          <w:numId w:val="0"/>
        </w:numPr>
        <w:rPr>
          <w:rFonts w:ascii="Times New Roman" w:hAnsi="Times New Roman" w:cs="Times New Roman"/>
          <w:b/>
          <w:i/>
          <w:sz w:val="24"/>
          <w:szCs w:val="24"/>
        </w:rPr>
      </w:pPr>
      <w:r w:rsidRPr="00AF2FD9">
        <w:rPr>
          <w:rFonts w:ascii="Times New Roman" w:hAnsi="Times New Roman" w:cs="Times New Roman"/>
          <w:b/>
          <w:i/>
          <w:sz w:val="24"/>
          <w:szCs w:val="24"/>
        </w:rPr>
        <w:t>Review of decisions</w:t>
      </w:r>
    </w:p>
    <w:p w14:paraId="1B7D1F5E" w14:textId="6C7427BF" w:rsidR="00D274ED" w:rsidRPr="00AF2FD9" w:rsidRDefault="00576CF6"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Decisions made by APRA exercising </w:t>
      </w:r>
      <w:r w:rsidR="00D76462" w:rsidRPr="00AF2FD9">
        <w:rPr>
          <w:rFonts w:ascii="Times New Roman" w:hAnsi="Times New Roman" w:cs="Times New Roman"/>
          <w:sz w:val="24"/>
          <w:szCs w:val="24"/>
        </w:rPr>
        <w:t xml:space="preserve">the </w:t>
      </w:r>
      <w:r w:rsidRPr="00AF2FD9">
        <w:rPr>
          <w:rFonts w:ascii="Times New Roman" w:hAnsi="Times New Roman" w:cs="Times New Roman"/>
          <w:sz w:val="24"/>
          <w:szCs w:val="24"/>
        </w:rPr>
        <w:t xml:space="preserve">powers </w:t>
      </w:r>
      <w:r w:rsidR="00D76462" w:rsidRPr="00AF2FD9">
        <w:rPr>
          <w:rFonts w:ascii="Times New Roman" w:hAnsi="Times New Roman" w:cs="Times New Roman"/>
          <w:sz w:val="24"/>
          <w:szCs w:val="24"/>
        </w:rPr>
        <w:t xml:space="preserve">in reporting standards </w:t>
      </w:r>
      <w:r w:rsidRPr="00AF2FD9">
        <w:rPr>
          <w:rFonts w:ascii="Times New Roman" w:hAnsi="Times New Roman" w:cs="Times New Roman"/>
          <w:sz w:val="24"/>
          <w:szCs w:val="24"/>
        </w:rPr>
        <w:t xml:space="preserve">are not subject to merits review. </w:t>
      </w:r>
      <w:r w:rsidR="00D274ED" w:rsidRPr="00AF2FD9">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614C7A8F" w:rsidR="00D274ED" w:rsidRPr="00AF2FD9" w:rsidRDefault="00D274ED"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w:t>
      </w:r>
      <w:r w:rsidR="00D76462" w:rsidRPr="00AF2FD9">
        <w:rPr>
          <w:rFonts w:ascii="Times New Roman" w:hAnsi="Times New Roman" w:cs="Times New Roman"/>
          <w:sz w:val="24"/>
          <w:szCs w:val="24"/>
        </w:rPr>
        <w:t xml:space="preserve">entity </w:t>
      </w:r>
      <w:r w:rsidRPr="00AF2FD9">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AF2FD9" w:rsidRDefault="00B670E9" w:rsidP="00AF2FD9">
      <w:pPr>
        <w:keepNext/>
        <w:numPr>
          <w:ilvl w:val="0"/>
          <w:numId w:val="0"/>
        </w:numPr>
        <w:rPr>
          <w:rFonts w:ascii="Times New Roman" w:hAnsi="Times New Roman" w:cs="Times New Roman"/>
          <w:b/>
          <w:sz w:val="24"/>
          <w:szCs w:val="24"/>
        </w:rPr>
      </w:pPr>
      <w:r w:rsidRPr="00AF2FD9">
        <w:rPr>
          <w:rFonts w:ascii="Times New Roman" w:hAnsi="Times New Roman" w:cs="Times New Roman"/>
          <w:b/>
          <w:sz w:val="24"/>
          <w:szCs w:val="24"/>
        </w:rPr>
        <w:t>3.</w:t>
      </w:r>
      <w:r w:rsidRPr="00AF2FD9">
        <w:rPr>
          <w:rFonts w:ascii="Times New Roman" w:hAnsi="Times New Roman" w:cs="Times New Roman"/>
          <w:b/>
          <w:sz w:val="24"/>
          <w:szCs w:val="24"/>
        </w:rPr>
        <w:tab/>
      </w:r>
      <w:r w:rsidR="00211AFD" w:rsidRPr="00AF2FD9">
        <w:rPr>
          <w:rFonts w:ascii="Times New Roman" w:hAnsi="Times New Roman" w:cs="Times New Roman"/>
          <w:b/>
          <w:sz w:val="24"/>
          <w:szCs w:val="24"/>
        </w:rPr>
        <w:t>Consultation</w:t>
      </w:r>
    </w:p>
    <w:p w14:paraId="3BC541CD" w14:textId="33B1E300" w:rsidR="007B5325" w:rsidRPr="00AF2FD9" w:rsidRDefault="00C51DF5"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 xml:space="preserve">APRA undertook public consultation on minor updates to the capital framework for ADIs, including a draft of this Reporting Standard from December 2023 to March 2024. </w:t>
      </w:r>
      <w:r w:rsidR="007B5325" w:rsidRPr="00AF2FD9">
        <w:rPr>
          <w:rFonts w:ascii="Times New Roman" w:hAnsi="Times New Roman" w:cs="Times New Roman"/>
          <w:sz w:val="24"/>
          <w:szCs w:val="24"/>
        </w:rPr>
        <w:t xml:space="preserve">The final round of consultation was completed on </w:t>
      </w:r>
      <w:r w:rsidR="0069696D" w:rsidRPr="00AF2FD9">
        <w:rPr>
          <w:rFonts w:ascii="Times New Roman" w:hAnsi="Times New Roman" w:cs="Times New Roman"/>
          <w:sz w:val="24"/>
          <w:szCs w:val="24"/>
        </w:rPr>
        <w:t>26</w:t>
      </w:r>
      <w:r w:rsidR="00623B5E" w:rsidRPr="00AF2FD9">
        <w:rPr>
          <w:rFonts w:ascii="Times New Roman" w:hAnsi="Times New Roman" w:cs="Times New Roman"/>
          <w:sz w:val="24"/>
          <w:szCs w:val="24"/>
        </w:rPr>
        <w:t xml:space="preserve"> June 2024</w:t>
      </w:r>
      <w:r w:rsidR="007B5325" w:rsidRPr="00AF2FD9">
        <w:rPr>
          <w:rFonts w:ascii="Times New Roman" w:hAnsi="Times New Roman" w:cs="Times New Roman"/>
          <w:sz w:val="24"/>
          <w:szCs w:val="24"/>
        </w:rPr>
        <w:t xml:space="preserve">, when APRA released finalised changes to the </w:t>
      </w:r>
      <w:r w:rsidR="003A25CD" w:rsidRPr="00AF2FD9">
        <w:rPr>
          <w:rFonts w:ascii="Times New Roman" w:hAnsi="Times New Roman" w:cs="Times New Roman"/>
          <w:sz w:val="24"/>
          <w:szCs w:val="24"/>
        </w:rPr>
        <w:t xml:space="preserve">prudential and </w:t>
      </w:r>
      <w:r w:rsidR="007B5325" w:rsidRPr="00AF2FD9">
        <w:rPr>
          <w:rFonts w:ascii="Times New Roman" w:hAnsi="Times New Roman" w:cs="Times New Roman"/>
          <w:sz w:val="24"/>
          <w:szCs w:val="24"/>
        </w:rPr>
        <w:t xml:space="preserve">reporting framework for </w:t>
      </w:r>
      <w:r w:rsidR="003A25CD" w:rsidRPr="00AF2FD9">
        <w:rPr>
          <w:rFonts w:ascii="Times New Roman" w:hAnsi="Times New Roman" w:cs="Times New Roman"/>
          <w:sz w:val="24"/>
          <w:szCs w:val="24"/>
        </w:rPr>
        <w:t>ADIs</w:t>
      </w:r>
      <w:r w:rsidR="007B5325" w:rsidRPr="00AF2FD9">
        <w:rPr>
          <w:rFonts w:ascii="Times New Roman" w:hAnsi="Times New Roman" w:cs="Times New Roman"/>
          <w:sz w:val="24"/>
          <w:szCs w:val="24"/>
        </w:rPr>
        <w:t>, including finalised reporting standards</w:t>
      </w:r>
      <w:r w:rsidR="007B5325" w:rsidRPr="00AF2FD9">
        <w:rPr>
          <w:rStyle w:val="FootnoteReference"/>
          <w:rFonts w:ascii="Times New Roman" w:hAnsi="Times New Roman" w:cs="Times New Roman"/>
          <w:szCs w:val="24"/>
        </w:rPr>
        <w:footnoteReference w:id="2"/>
      </w:r>
      <w:r w:rsidR="007B5325" w:rsidRPr="00AF2FD9">
        <w:rPr>
          <w:rFonts w:ascii="Times New Roman" w:hAnsi="Times New Roman" w:cs="Times New Roman"/>
          <w:sz w:val="24"/>
          <w:szCs w:val="24"/>
        </w:rPr>
        <w:t>.</w:t>
      </w:r>
    </w:p>
    <w:p w14:paraId="197A2978" w14:textId="04194EE9" w:rsidR="007B5325" w:rsidRPr="00AF2FD9" w:rsidRDefault="007B5325" w:rsidP="00AF2FD9">
      <w:pPr>
        <w:numPr>
          <w:ilvl w:val="0"/>
          <w:numId w:val="0"/>
        </w:numPr>
        <w:rPr>
          <w:rFonts w:ascii="Times New Roman" w:hAnsi="Times New Roman"/>
          <w:sz w:val="24"/>
          <w:szCs w:val="24"/>
        </w:rPr>
      </w:pPr>
      <w:r w:rsidRPr="00AF2FD9">
        <w:rPr>
          <w:rFonts w:ascii="Times New Roman" w:hAnsi="Times New Roman"/>
          <w:sz w:val="24"/>
          <w:szCs w:val="24"/>
        </w:rPr>
        <w:t xml:space="preserve">Submissions were received from reporting </w:t>
      </w:r>
      <w:r w:rsidR="00AB1D44" w:rsidRPr="00AF2FD9">
        <w:rPr>
          <w:rFonts w:ascii="Times New Roman" w:hAnsi="Times New Roman"/>
          <w:sz w:val="24"/>
          <w:szCs w:val="24"/>
        </w:rPr>
        <w:t>ADIs</w:t>
      </w:r>
      <w:r w:rsidR="00FA6527" w:rsidRPr="00AF2FD9">
        <w:rPr>
          <w:rFonts w:ascii="Times New Roman" w:hAnsi="Times New Roman"/>
          <w:sz w:val="24"/>
          <w:szCs w:val="24"/>
        </w:rPr>
        <w:t xml:space="preserve"> and </w:t>
      </w:r>
      <w:r w:rsidRPr="00AF2FD9">
        <w:rPr>
          <w:rFonts w:ascii="Times New Roman" w:hAnsi="Times New Roman"/>
          <w:sz w:val="24"/>
          <w:szCs w:val="24"/>
        </w:rPr>
        <w:t>industry bodies. APRA incorporated feedback received into the final versions of the reporting standards, including aligning with updates to the capital framework in response to industry feedback.</w:t>
      </w:r>
    </w:p>
    <w:p w14:paraId="7E95ABD1" w14:textId="77777777" w:rsidR="007B5325" w:rsidRPr="00AF2FD9" w:rsidRDefault="007B5325" w:rsidP="00AF2FD9">
      <w:pPr>
        <w:numPr>
          <w:ilvl w:val="0"/>
          <w:numId w:val="0"/>
        </w:numPr>
        <w:rPr>
          <w:rFonts w:ascii="Times New Roman" w:hAnsi="Times New Roman" w:cs="Times New Roman"/>
          <w:sz w:val="24"/>
          <w:szCs w:val="24"/>
        </w:rPr>
      </w:pPr>
      <w:r w:rsidRPr="00AF2FD9">
        <w:rPr>
          <w:rFonts w:ascii="Times New Roman" w:hAnsi="Times New Roman" w:cs="Times New Roman"/>
          <w:sz w:val="24"/>
          <w:szCs w:val="24"/>
        </w:rPr>
        <w:t>APRA is satisfied the consultation was appropriate and reasonably practicable.</w:t>
      </w:r>
    </w:p>
    <w:p w14:paraId="1D2864CC" w14:textId="05A2D7DE" w:rsidR="00211AFD" w:rsidRPr="00AF2FD9" w:rsidRDefault="00B670E9" w:rsidP="00AF2FD9">
      <w:pPr>
        <w:numPr>
          <w:ilvl w:val="0"/>
          <w:numId w:val="0"/>
        </w:numPr>
        <w:rPr>
          <w:rFonts w:ascii="Times New Roman" w:hAnsi="Times New Roman" w:cs="Times New Roman"/>
          <w:b/>
          <w:sz w:val="24"/>
          <w:szCs w:val="24"/>
        </w:rPr>
      </w:pPr>
      <w:r w:rsidRPr="00AF2FD9">
        <w:rPr>
          <w:rFonts w:ascii="Times New Roman" w:hAnsi="Times New Roman" w:cs="Times New Roman"/>
          <w:b/>
          <w:sz w:val="24"/>
          <w:szCs w:val="24"/>
        </w:rPr>
        <w:t>4.</w:t>
      </w:r>
      <w:r w:rsidRPr="00AF2FD9">
        <w:rPr>
          <w:rFonts w:ascii="Times New Roman" w:hAnsi="Times New Roman" w:cs="Times New Roman"/>
          <w:b/>
          <w:sz w:val="24"/>
          <w:szCs w:val="24"/>
        </w:rPr>
        <w:tab/>
      </w:r>
      <w:r w:rsidR="00211AFD" w:rsidRPr="00AF2FD9">
        <w:rPr>
          <w:rFonts w:ascii="Times New Roman" w:hAnsi="Times New Roman" w:cs="Times New Roman"/>
          <w:b/>
          <w:sz w:val="24"/>
          <w:szCs w:val="24"/>
        </w:rPr>
        <w:t>Regulation Impact Statement</w:t>
      </w:r>
    </w:p>
    <w:p w14:paraId="71FFFEDD" w14:textId="7F40C560" w:rsidR="00A54193" w:rsidRPr="00AF2FD9" w:rsidRDefault="006B76C6" w:rsidP="00AF2FD9">
      <w:pPr>
        <w:rPr>
          <w:rFonts w:ascii="Times New Roman" w:hAnsi="Times New Roman"/>
          <w:sz w:val="24"/>
          <w:szCs w:val="24"/>
        </w:rPr>
      </w:pPr>
      <w:r w:rsidRPr="00AF2FD9">
        <w:rPr>
          <w:rFonts w:ascii="Times New Roman" w:hAnsi="Times New Roman"/>
          <w:sz w:val="24"/>
          <w:szCs w:val="24"/>
        </w:rPr>
        <w:t>T</w:t>
      </w:r>
      <w:r w:rsidR="00A54193" w:rsidRPr="00AF2FD9">
        <w:rPr>
          <w:rFonts w:ascii="Times New Roman" w:hAnsi="Times New Roman"/>
          <w:sz w:val="24"/>
          <w:szCs w:val="24"/>
        </w:rPr>
        <w:t>he Office of Impact Analys</w:t>
      </w:r>
      <w:r w:rsidRPr="00AF2FD9">
        <w:rPr>
          <w:rFonts w:ascii="Times New Roman" w:hAnsi="Times New Roman"/>
          <w:sz w:val="24"/>
          <w:szCs w:val="24"/>
        </w:rPr>
        <w:t>is confirmed that a Regulation Impact Statement was not required</w:t>
      </w:r>
      <w:r w:rsidR="00A54193" w:rsidRPr="00AF2FD9">
        <w:rPr>
          <w:rFonts w:ascii="Times New Roman" w:hAnsi="Times New Roman"/>
          <w:sz w:val="24"/>
          <w:szCs w:val="24"/>
        </w:rPr>
        <w:t>.</w:t>
      </w:r>
    </w:p>
    <w:p w14:paraId="476EB71B" w14:textId="17812B34" w:rsidR="00B670E9" w:rsidRPr="00AF2FD9" w:rsidRDefault="00B670E9" w:rsidP="00AF2FD9">
      <w:pPr>
        <w:pStyle w:val="Heading"/>
        <w:spacing w:before="0" w:after="240"/>
        <w:jc w:val="both"/>
        <w:rPr>
          <w:rFonts w:cs="Times New Roman"/>
          <w:i/>
          <w:sz w:val="24"/>
          <w:szCs w:val="24"/>
        </w:rPr>
      </w:pPr>
      <w:r w:rsidRPr="00AF2FD9">
        <w:rPr>
          <w:rFonts w:cs="Times New Roman"/>
          <w:sz w:val="24"/>
          <w:szCs w:val="24"/>
        </w:rPr>
        <w:t>5.</w:t>
      </w:r>
      <w:r w:rsidRPr="00AF2FD9">
        <w:rPr>
          <w:rFonts w:cs="Times New Roman"/>
          <w:sz w:val="24"/>
          <w:szCs w:val="24"/>
        </w:rPr>
        <w:tab/>
        <w:t xml:space="preserve">Statement of compatibility prepared in accordance with Part 3 of the </w:t>
      </w:r>
      <w:r w:rsidRPr="00AF2FD9">
        <w:rPr>
          <w:rFonts w:cs="Times New Roman"/>
          <w:i/>
          <w:sz w:val="24"/>
          <w:szCs w:val="24"/>
        </w:rPr>
        <w:t>Human Rights (Parliamentary Scrutiny) Act 2011</w:t>
      </w:r>
    </w:p>
    <w:p w14:paraId="7D7364B1" w14:textId="77777777" w:rsidR="00B670E9" w:rsidRPr="00AF2FD9" w:rsidRDefault="00B670E9" w:rsidP="00AF2FD9">
      <w:pPr>
        <w:pStyle w:val="Heading"/>
        <w:spacing w:before="0" w:after="240"/>
        <w:jc w:val="both"/>
        <w:rPr>
          <w:rFonts w:cs="Times New Roman"/>
          <w:b w:val="0"/>
          <w:kern w:val="0"/>
          <w:sz w:val="24"/>
          <w:szCs w:val="24"/>
          <w:lang w:val="en-GB"/>
        </w:rPr>
      </w:pPr>
      <w:r w:rsidRPr="00AF2FD9">
        <w:rPr>
          <w:rFonts w:cs="Times New Roman"/>
          <w:b w:val="0"/>
          <w:kern w:val="0"/>
          <w:sz w:val="24"/>
          <w:szCs w:val="24"/>
          <w:lang w:val="en-GB"/>
        </w:rPr>
        <w:t xml:space="preserve">A Statement of compatibility prepared in accordance with Part 3 of the </w:t>
      </w:r>
      <w:r w:rsidRPr="00AF2FD9">
        <w:rPr>
          <w:rFonts w:cs="Times New Roman"/>
          <w:b w:val="0"/>
          <w:i/>
          <w:sz w:val="24"/>
          <w:szCs w:val="24"/>
          <w:lang w:val="en-GB"/>
        </w:rPr>
        <w:t>Human Rights (Parliamentary Scrutiny) Act 2011</w:t>
      </w:r>
      <w:r w:rsidRPr="00AF2FD9">
        <w:rPr>
          <w:rFonts w:cs="Times New Roman"/>
          <w:b w:val="0"/>
          <w:kern w:val="0"/>
          <w:sz w:val="24"/>
          <w:szCs w:val="24"/>
          <w:lang w:val="en-GB"/>
        </w:rPr>
        <w:t xml:space="preserve"> is provided at Attachment A to this Explanatory Statement.</w:t>
      </w:r>
    </w:p>
    <w:p w14:paraId="06190B02" w14:textId="34819669" w:rsidR="00B670E9" w:rsidRPr="00AF2FD9" w:rsidRDefault="00B670E9" w:rsidP="00AF2FD9">
      <w:pPr>
        <w:rPr>
          <w:rFonts w:ascii="Times New Roman" w:hAnsi="Times New Roman" w:cs="Times New Roman"/>
          <w:sz w:val="24"/>
          <w:szCs w:val="24"/>
        </w:rPr>
      </w:pPr>
      <w:r w:rsidRPr="00AF2FD9">
        <w:rPr>
          <w:rFonts w:ascii="Times New Roman" w:hAnsi="Times New Roman" w:cs="Times New Roman"/>
          <w:sz w:val="24"/>
          <w:szCs w:val="24"/>
        </w:rPr>
        <w:br w:type="page"/>
      </w:r>
    </w:p>
    <w:p w14:paraId="00B6ED2A" w14:textId="77777777" w:rsidR="00B670E9" w:rsidRPr="00AF2FD9" w:rsidRDefault="00B670E9" w:rsidP="00AF2FD9">
      <w:pPr>
        <w:pStyle w:val="Heading"/>
        <w:keepNext w:val="0"/>
        <w:spacing w:before="0" w:after="240"/>
        <w:jc w:val="center"/>
        <w:rPr>
          <w:rFonts w:cs="Times New Roman"/>
          <w:sz w:val="24"/>
          <w:szCs w:val="24"/>
        </w:rPr>
      </w:pPr>
      <w:r w:rsidRPr="00AF2FD9">
        <w:rPr>
          <w:rFonts w:cs="Times New Roman"/>
          <w:sz w:val="24"/>
          <w:szCs w:val="24"/>
          <w:lang w:val="en-GB"/>
        </w:rPr>
        <w:lastRenderedPageBreak/>
        <w:t>ATTACHMENT A</w:t>
      </w:r>
    </w:p>
    <w:p w14:paraId="04B51A0F" w14:textId="77777777" w:rsidR="00B670E9" w:rsidRPr="00AF2FD9" w:rsidRDefault="00B670E9" w:rsidP="00AF2FD9">
      <w:pPr>
        <w:pStyle w:val="Heading"/>
        <w:keepNext w:val="0"/>
        <w:spacing w:before="0" w:after="240"/>
        <w:jc w:val="center"/>
        <w:rPr>
          <w:rFonts w:cs="Times New Roman"/>
          <w:sz w:val="24"/>
          <w:szCs w:val="24"/>
        </w:rPr>
      </w:pPr>
      <w:r w:rsidRPr="00AF2FD9">
        <w:rPr>
          <w:rFonts w:cs="Times New Roman"/>
          <w:sz w:val="24"/>
          <w:szCs w:val="24"/>
        </w:rPr>
        <w:t>Statement of Compatibility with Human Rights</w:t>
      </w:r>
    </w:p>
    <w:p w14:paraId="32B574F6" w14:textId="77777777" w:rsidR="00B670E9" w:rsidRPr="00AF2FD9" w:rsidRDefault="00B670E9" w:rsidP="00AF2FD9">
      <w:pPr>
        <w:pStyle w:val="Heading1"/>
        <w:jc w:val="center"/>
        <w:rPr>
          <w:rFonts w:ascii="Times New Roman" w:hAnsi="Times New Roman" w:cs="Times New Roman"/>
          <w:b w:val="0"/>
          <w:i/>
          <w:sz w:val="24"/>
          <w:szCs w:val="24"/>
        </w:rPr>
      </w:pPr>
      <w:r w:rsidRPr="00AF2FD9">
        <w:rPr>
          <w:rFonts w:ascii="Times New Roman" w:hAnsi="Times New Roman" w:cs="Times New Roman"/>
          <w:b w:val="0"/>
          <w:sz w:val="24"/>
          <w:szCs w:val="24"/>
        </w:rPr>
        <w:t xml:space="preserve">Prepared in accordance with Part 3 of the </w:t>
      </w:r>
      <w:r w:rsidRPr="00AF2FD9">
        <w:rPr>
          <w:rFonts w:ascii="Times New Roman" w:hAnsi="Times New Roman" w:cs="Times New Roman"/>
          <w:b w:val="0"/>
          <w:i/>
          <w:sz w:val="24"/>
          <w:szCs w:val="24"/>
        </w:rPr>
        <w:t>Human Rights (Parliamentary Scrutiny) Act 2011</w:t>
      </w:r>
    </w:p>
    <w:p w14:paraId="083CA20E" w14:textId="35C3C5F6" w:rsidR="00D0248E" w:rsidRPr="00AF2FD9" w:rsidRDefault="00D0248E" w:rsidP="00AF2FD9">
      <w:pPr>
        <w:jc w:val="center"/>
        <w:rPr>
          <w:rFonts w:ascii="Times New Roman" w:hAnsi="Times New Roman" w:cs="Times New Roman"/>
          <w:sz w:val="24"/>
          <w:szCs w:val="24"/>
        </w:rPr>
      </w:pPr>
      <w:r w:rsidRPr="00AF2FD9">
        <w:rPr>
          <w:rFonts w:ascii="Times New Roman" w:eastAsia="Times New Roman" w:hAnsi="Times New Roman" w:cs="Times New Roman"/>
          <w:b/>
          <w:sz w:val="24"/>
          <w:szCs w:val="24"/>
          <w:lang w:eastAsia="en-AU"/>
        </w:rPr>
        <w:t xml:space="preserve">Financial Sector (Collection of Data) (reporting standard) determination No. </w:t>
      </w:r>
      <w:r w:rsidR="00FC08EF" w:rsidRPr="00AF2FD9">
        <w:rPr>
          <w:rFonts w:ascii="Times New Roman" w:eastAsia="Times New Roman" w:hAnsi="Times New Roman" w:cs="Times New Roman"/>
          <w:b/>
          <w:sz w:val="24"/>
          <w:szCs w:val="24"/>
          <w:lang w:eastAsia="en-AU"/>
        </w:rPr>
        <w:t>13</w:t>
      </w:r>
      <w:r w:rsidR="00867F68" w:rsidRPr="00AF2FD9">
        <w:rPr>
          <w:rFonts w:ascii="Times New Roman" w:eastAsia="Times New Roman" w:hAnsi="Times New Roman" w:cs="Times New Roman"/>
          <w:b/>
          <w:sz w:val="24"/>
          <w:szCs w:val="24"/>
          <w:lang w:eastAsia="en-AU"/>
        </w:rPr>
        <w:t xml:space="preserve"> </w:t>
      </w:r>
      <w:r w:rsidRPr="00AF2FD9">
        <w:rPr>
          <w:rFonts w:ascii="Times New Roman" w:eastAsia="Times New Roman" w:hAnsi="Times New Roman" w:cs="Times New Roman"/>
          <w:b/>
          <w:sz w:val="24"/>
          <w:szCs w:val="24"/>
          <w:lang w:eastAsia="en-AU"/>
        </w:rPr>
        <w:t>of 202</w:t>
      </w:r>
      <w:r w:rsidR="001F35B5" w:rsidRPr="00AF2FD9">
        <w:rPr>
          <w:rFonts w:ascii="Times New Roman" w:eastAsia="Times New Roman" w:hAnsi="Times New Roman" w:cs="Times New Roman"/>
          <w:b/>
          <w:sz w:val="24"/>
          <w:szCs w:val="24"/>
          <w:lang w:eastAsia="en-AU"/>
        </w:rPr>
        <w:t>4</w:t>
      </w:r>
    </w:p>
    <w:p w14:paraId="06CCC3E0" w14:textId="515E3391" w:rsidR="00B670E9" w:rsidRPr="00AF2FD9" w:rsidRDefault="00B670E9" w:rsidP="00AF2FD9">
      <w:pPr>
        <w:rPr>
          <w:rFonts w:ascii="Times New Roman" w:hAnsi="Times New Roman" w:cs="Times New Roman"/>
          <w:sz w:val="24"/>
          <w:szCs w:val="24"/>
        </w:rPr>
      </w:pPr>
      <w:r w:rsidRPr="00AF2FD9">
        <w:rPr>
          <w:rFonts w:ascii="Times New Roman" w:hAnsi="Times New Roman" w:cs="Times New Roman"/>
          <w:sz w:val="24"/>
          <w:szCs w:val="24"/>
        </w:rPr>
        <w:t>Th</w:t>
      </w:r>
      <w:r w:rsidR="006E0FB8" w:rsidRPr="00AF2FD9">
        <w:rPr>
          <w:rFonts w:ascii="Times New Roman" w:hAnsi="Times New Roman" w:cs="Times New Roman"/>
          <w:sz w:val="24"/>
          <w:szCs w:val="24"/>
        </w:rPr>
        <w:t>i</w:t>
      </w:r>
      <w:r w:rsidRPr="00AF2FD9">
        <w:rPr>
          <w:rFonts w:ascii="Times New Roman" w:hAnsi="Times New Roman" w:cs="Times New Roman"/>
          <w:sz w:val="24"/>
          <w:szCs w:val="24"/>
        </w:rPr>
        <w:t xml:space="preserve">s Legislative Instrument </w:t>
      </w:r>
      <w:r w:rsidR="006E0FB8" w:rsidRPr="00AF2FD9">
        <w:rPr>
          <w:rFonts w:ascii="Times New Roman" w:hAnsi="Times New Roman" w:cs="Times New Roman"/>
          <w:sz w:val="24"/>
          <w:szCs w:val="24"/>
        </w:rPr>
        <w:t>is</w:t>
      </w:r>
      <w:r w:rsidRPr="00AF2FD9">
        <w:rPr>
          <w:rFonts w:ascii="Times New Roman" w:hAnsi="Times New Roman" w:cs="Times New Roman"/>
          <w:sz w:val="24"/>
          <w:szCs w:val="24"/>
        </w:rPr>
        <w:t xml:space="preserve"> compatible with the human rights and freedoms recognised or declared in the international instrument listed in section 3 of the </w:t>
      </w:r>
      <w:r w:rsidRPr="00AF2FD9">
        <w:rPr>
          <w:rFonts w:ascii="Times New Roman" w:hAnsi="Times New Roman" w:cs="Times New Roman"/>
          <w:i/>
          <w:sz w:val="24"/>
          <w:szCs w:val="24"/>
        </w:rPr>
        <w:t>Human Rights (Parliamentary Scrutiny) Act 2011</w:t>
      </w:r>
      <w:r w:rsidRPr="00AF2FD9">
        <w:rPr>
          <w:rFonts w:ascii="Times New Roman" w:hAnsi="Times New Roman" w:cs="Times New Roman"/>
          <w:sz w:val="24"/>
          <w:szCs w:val="24"/>
        </w:rPr>
        <w:t xml:space="preserve"> (HRPS Act).</w:t>
      </w:r>
    </w:p>
    <w:p w14:paraId="78831E52" w14:textId="394E8EC7" w:rsidR="00B670E9" w:rsidRPr="00AF2FD9" w:rsidRDefault="00B670E9" w:rsidP="00AF2FD9">
      <w:pPr>
        <w:rPr>
          <w:rFonts w:ascii="Times New Roman" w:hAnsi="Times New Roman" w:cs="Times New Roman"/>
          <w:sz w:val="24"/>
          <w:szCs w:val="24"/>
        </w:rPr>
      </w:pPr>
      <w:r w:rsidRPr="00AF2FD9">
        <w:rPr>
          <w:rFonts w:ascii="Times New Roman" w:hAnsi="Times New Roman" w:cs="Times New Roman"/>
          <w:b/>
          <w:sz w:val="24"/>
          <w:szCs w:val="24"/>
        </w:rPr>
        <w:t>Overview of the Legislative Instrument</w:t>
      </w:r>
    </w:p>
    <w:p w14:paraId="6EE1CC1C" w14:textId="1BC0A5A3" w:rsidR="00007A23" w:rsidRPr="00AF2FD9" w:rsidRDefault="00CD1253" w:rsidP="00AF2FD9">
      <w:pPr>
        <w:rPr>
          <w:rFonts w:ascii="Times New Roman" w:hAnsi="Times New Roman" w:cs="Times New Roman"/>
          <w:sz w:val="24"/>
          <w:szCs w:val="24"/>
        </w:rPr>
      </w:pPr>
      <w:r w:rsidRPr="00AF2FD9">
        <w:rPr>
          <w:rFonts w:ascii="Times New Roman" w:hAnsi="Times New Roman" w:cs="Times New Roman"/>
          <w:sz w:val="24"/>
          <w:szCs w:val="24"/>
        </w:rPr>
        <w:t>The</w:t>
      </w:r>
      <w:r w:rsidR="00142132" w:rsidRPr="00AF2FD9">
        <w:rPr>
          <w:rFonts w:ascii="Times New Roman" w:hAnsi="Times New Roman" w:cs="Times New Roman"/>
          <w:sz w:val="24"/>
          <w:szCs w:val="24"/>
        </w:rPr>
        <w:t xml:space="preserve"> </w:t>
      </w:r>
      <w:r w:rsidRPr="00AF2FD9">
        <w:rPr>
          <w:rFonts w:ascii="Times New Roman" w:hAnsi="Times New Roman" w:cs="Times New Roman"/>
          <w:sz w:val="24"/>
          <w:szCs w:val="24"/>
        </w:rPr>
        <w:t xml:space="preserve">purpose </w:t>
      </w:r>
      <w:r w:rsidR="009136D0" w:rsidRPr="00AF2FD9">
        <w:rPr>
          <w:rFonts w:ascii="Times New Roman" w:hAnsi="Times New Roman" w:cs="Times New Roman"/>
          <w:sz w:val="24"/>
          <w:szCs w:val="24"/>
        </w:rPr>
        <w:t xml:space="preserve">of the Legislative Instrument </w:t>
      </w:r>
      <w:r w:rsidRPr="00AF2FD9">
        <w:rPr>
          <w:rFonts w:ascii="Times New Roman" w:hAnsi="Times New Roman" w:cs="Times New Roman"/>
          <w:sz w:val="24"/>
          <w:szCs w:val="24"/>
        </w:rPr>
        <w:t xml:space="preserve">is to </w:t>
      </w:r>
      <w:r w:rsidR="0030457E" w:rsidRPr="00AF2FD9">
        <w:rPr>
          <w:rFonts w:ascii="Times New Roman" w:hAnsi="Times New Roman"/>
          <w:sz w:val="24"/>
          <w:szCs w:val="24"/>
        </w:rPr>
        <w:t xml:space="preserve">revoke </w:t>
      </w:r>
      <w:r w:rsidR="00BC0F60" w:rsidRPr="00AF2FD9">
        <w:rPr>
          <w:rFonts w:ascii="Times New Roman" w:hAnsi="Times New Roman"/>
          <w:i/>
          <w:sz w:val="24"/>
          <w:szCs w:val="24"/>
        </w:rPr>
        <w:t>Reporting Standard ARS 113.0 Capital Adequacy: Internal Ratings-based Approach to Credit Risk</w:t>
      </w:r>
      <w:r w:rsidR="00BC0F60" w:rsidRPr="00AF2FD9">
        <w:rPr>
          <w:rFonts w:ascii="Times New Roman" w:hAnsi="Times New Roman"/>
          <w:sz w:val="24"/>
          <w:szCs w:val="24"/>
        </w:rPr>
        <w:t xml:space="preserve"> </w:t>
      </w:r>
      <w:r w:rsidR="00940A3E" w:rsidRPr="00AF2FD9">
        <w:rPr>
          <w:rFonts w:ascii="Times New Roman" w:hAnsi="Times New Roman"/>
          <w:sz w:val="24"/>
          <w:szCs w:val="24"/>
        </w:rPr>
        <w:t xml:space="preserve">(ARS 113.0) </w:t>
      </w:r>
      <w:r w:rsidR="00BC0F60" w:rsidRPr="00AF2FD9">
        <w:rPr>
          <w:rFonts w:ascii="Times New Roman" w:hAnsi="Times New Roman"/>
          <w:sz w:val="24"/>
          <w:szCs w:val="24"/>
        </w:rPr>
        <w:t>made under Financial Sector (Collection of Data) (reporting standard) determination No. 50 of 2023</w:t>
      </w:r>
      <w:r w:rsidR="0030457E" w:rsidRPr="00AF2FD9">
        <w:rPr>
          <w:rFonts w:ascii="Times New Roman" w:hAnsi="Times New Roman"/>
          <w:sz w:val="24"/>
          <w:szCs w:val="24"/>
        </w:rPr>
        <w:t xml:space="preserve"> and replace it with </w:t>
      </w:r>
      <w:r w:rsidR="00574BA1" w:rsidRPr="00AF2FD9">
        <w:rPr>
          <w:rFonts w:ascii="Times New Roman" w:hAnsi="Times New Roman" w:cs="Times New Roman"/>
          <w:sz w:val="24"/>
          <w:szCs w:val="24"/>
        </w:rPr>
        <w:t xml:space="preserve">a </w:t>
      </w:r>
      <w:r w:rsidR="00D56D61" w:rsidRPr="00AF2FD9">
        <w:rPr>
          <w:rFonts w:ascii="Times New Roman" w:hAnsi="Times New Roman" w:cs="Times New Roman"/>
          <w:sz w:val="24"/>
          <w:szCs w:val="24"/>
        </w:rPr>
        <w:t xml:space="preserve">new </w:t>
      </w:r>
      <w:r w:rsidR="00007A23" w:rsidRPr="00AF2FD9">
        <w:rPr>
          <w:rFonts w:ascii="Times New Roman" w:hAnsi="Times New Roman" w:cs="Times New Roman"/>
          <w:sz w:val="24"/>
          <w:szCs w:val="24"/>
        </w:rPr>
        <w:t xml:space="preserve">version of </w:t>
      </w:r>
      <w:r w:rsidR="00D75B97" w:rsidRPr="00AF2FD9">
        <w:rPr>
          <w:rFonts w:ascii="Times New Roman" w:hAnsi="Times New Roman" w:cs="Times New Roman"/>
          <w:sz w:val="24"/>
          <w:szCs w:val="24"/>
        </w:rPr>
        <w:t>ARS 113.0</w:t>
      </w:r>
      <w:r w:rsidR="00D56D61" w:rsidRPr="00AF2FD9">
        <w:rPr>
          <w:rFonts w:ascii="Times New Roman" w:hAnsi="Times New Roman" w:cs="Times New Roman"/>
          <w:sz w:val="24"/>
          <w:szCs w:val="24"/>
        </w:rPr>
        <w:t>.</w:t>
      </w:r>
      <w:r w:rsidR="000F62C5" w:rsidRPr="00AF2FD9">
        <w:rPr>
          <w:rFonts w:ascii="Times New Roman" w:hAnsi="Times New Roman" w:cs="Times New Roman"/>
          <w:sz w:val="24"/>
          <w:szCs w:val="24"/>
        </w:rPr>
        <w:t xml:space="preserve"> </w:t>
      </w:r>
    </w:p>
    <w:p w14:paraId="751DCF46" w14:textId="5890E1C0" w:rsidR="00CD1253" w:rsidRPr="00AF2FD9" w:rsidRDefault="00D75B97" w:rsidP="00AF2FD9">
      <w:pPr>
        <w:rPr>
          <w:rFonts w:ascii="Times New Roman" w:hAnsi="Times New Roman" w:cs="Times New Roman"/>
          <w:sz w:val="24"/>
          <w:szCs w:val="24"/>
        </w:rPr>
      </w:pPr>
      <w:r w:rsidRPr="00AF2FD9">
        <w:rPr>
          <w:rFonts w:ascii="Times New Roman" w:hAnsi="Times New Roman" w:cs="Times New Roman"/>
          <w:sz w:val="24"/>
          <w:szCs w:val="24"/>
        </w:rPr>
        <w:t>ARS 113.0</w:t>
      </w:r>
      <w:r w:rsidR="00D0767A" w:rsidRPr="00AF2FD9">
        <w:rPr>
          <w:rFonts w:ascii="Times New Roman" w:hAnsi="Times New Roman" w:cs="Times New Roman"/>
          <w:sz w:val="24"/>
          <w:szCs w:val="24"/>
        </w:rPr>
        <w:t xml:space="preserve"> sets out requirements for </w:t>
      </w:r>
      <w:r w:rsidR="00007A23" w:rsidRPr="00AF2FD9">
        <w:rPr>
          <w:rFonts w:ascii="Times New Roman" w:hAnsi="Times New Roman" w:cs="Times New Roman"/>
          <w:sz w:val="24"/>
          <w:szCs w:val="24"/>
        </w:rPr>
        <w:t>authorised deposit-taking institutions (</w:t>
      </w:r>
      <w:r w:rsidR="00D0767A" w:rsidRPr="00AF2FD9">
        <w:rPr>
          <w:rFonts w:ascii="Times New Roman" w:hAnsi="Times New Roman" w:cs="Times New Roman"/>
          <w:sz w:val="24"/>
          <w:szCs w:val="24"/>
        </w:rPr>
        <w:t>ADIs</w:t>
      </w:r>
      <w:r w:rsidR="00007A23" w:rsidRPr="00AF2FD9">
        <w:rPr>
          <w:rFonts w:ascii="Times New Roman" w:hAnsi="Times New Roman" w:cs="Times New Roman"/>
          <w:sz w:val="24"/>
          <w:szCs w:val="24"/>
        </w:rPr>
        <w:t>)</w:t>
      </w:r>
      <w:r w:rsidR="00D0767A" w:rsidRPr="00AF2FD9">
        <w:rPr>
          <w:rFonts w:ascii="Times New Roman" w:hAnsi="Times New Roman" w:cs="Times New Roman"/>
          <w:sz w:val="24"/>
          <w:szCs w:val="24"/>
        </w:rPr>
        <w:t xml:space="preserve"> to report their exposures that are subject to calculations using the internal ratings-based approach to credit risk.</w:t>
      </w:r>
      <w:r w:rsidR="008977B9" w:rsidRPr="00AF2FD9">
        <w:rPr>
          <w:rFonts w:ascii="Times New Roman" w:hAnsi="Times New Roman" w:cs="Times New Roman"/>
          <w:sz w:val="24"/>
          <w:szCs w:val="24"/>
        </w:rPr>
        <w:t xml:space="preserve"> ADIs</w:t>
      </w:r>
      <w:r w:rsidR="00C976E5" w:rsidRPr="00AF2FD9">
        <w:rPr>
          <w:rFonts w:ascii="Times New Roman" w:hAnsi="Times New Roman" w:cs="Times New Roman"/>
          <w:sz w:val="24"/>
          <w:szCs w:val="24"/>
        </w:rPr>
        <w:t xml:space="preserve"> are bodies corporate that have been granted the authority, under the </w:t>
      </w:r>
      <w:r w:rsidR="00C976E5" w:rsidRPr="00AF2FD9">
        <w:rPr>
          <w:rFonts w:ascii="Times New Roman" w:hAnsi="Times New Roman" w:cs="Times New Roman"/>
          <w:i/>
          <w:sz w:val="24"/>
          <w:szCs w:val="24"/>
        </w:rPr>
        <w:t>Banking Act 1959</w:t>
      </w:r>
      <w:r w:rsidR="00C976E5" w:rsidRPr="00AF2FD9">
        <w:rPr>
          <w:rFonts w:ascii="Times New Roman" w:hAnsi="Times New Roman" w:cs="Times New Roman"/>
          <w:sz w:val="24"/>
          <w:szCs w:val="24"/>
        </w:rPr>
        <w:t xml:space="preserve">, to carry on banking business in Australia. </w:t>
      </w:r>
    </w:p>
    <w:p w14:paraId="010F0382" w14:textId="77777777" w:rsidR="00B670E9" w:rsidRPr="00AF2FD9" w:rsidRDefault="00B670E9" w:rsidP="00AF2FD9">
      <w:pPr>
        <w:rPr>
          <w:rFonts w:ascii="Times New Roman" w:hAnsi="Times New Roman" w:cs="Times New Roman"/>
          <w:sz w:val="24"/>
          <w:szCs w:val="24"/>
        </w:rPr>
      </w:pPr>
      <w:r w:rsidRPr="00AF2FD9">
        <w:rPr>
          <w:rFonts w:ascii="Times New Roman" w:hAnsi="Times New Roman" w:cs="Times New Roman"/>
          <w:b/>
          <w:sz w:val="24"/>
          <w:szCs w:val="24"/>
        </w:rPr>
        <w:t>Human rights implications</w:t>
      </w:r>
    </w:p>
    <w:p w14:paraId="23D2FE0E" w14:textId="0F160899" w:rsidR="009136D0" w:rsidRPr="00AF2FD9" w:rsidRDefault="009136D0" w:rsidP="00AF2FD9">
      <w:pPr>
        <w:rPr>
          <w:rFonts w:ascii="Times New Roman" w:eastAsia="Times New Roman" w:hAnsi="Times New Roman" w:cs="Times New Roman"/>
          <w:iCs/>
          <w:sz w:val="24"/>
          <w:szCs w:val="24"/>
          <w:lang w:eastAsia="en-AU"/>
        </w:rPr>
      </w:pPr>
      <w:r w:rsidRPr="00AF2FD9">
        <w:rPr>
          <w:rFonts w:ascii="Times New Roman" w:eastAsia="Times New Roman" w:hAnsi="Times New Roman" w:cs="Times New Roman"/>
          <w:iCs/>
          <w:sz w:val="24"/>
          <w:szCs w:val="24"/>
          <w:lang w:eastAsia="en-AU"/>
        </w:rPr>
        <w:t xml:space="preserve">APRA has assessed the Legislative Instrument and is of the view that </w:t>
      </w:r>
      <w:r w:rsidR="006212E3" w:rsidRPr="00AF2FD9">
        <w:rPr>
          <w:rFonts w:ascii="Times New Roman" w:eastAsia="Times New Roman" w:hAnsi="Times New Roman" w:cs="Times New Roman"/>
          <w:iCs/>
          <w:sz w:val="24"/>
          <w:szCs w:val="24"/>
          <w:lang w:eastAsia="en-AU"/>
        </w:rPr>
        <w:t>it</w:t>
      </w:r>
      <w:r w:rsidRPr="00AF2FD9">
        <w:rPr>
          <w:rFonts w:ascii="Times New Roman" w:eastAsia="Times New Roman" w:hAnsi="Times New Roman" w:cs="Times New Roman"/>
          <w:iCs/>
          <w:sz w:val="24"/>
          <w:szCs w:val="24"/>
          <w:lang w:eastAsia="en-AU"/>
        </w:rPr>
        <w:t xml:space="preserve"> do</w:t>
      </w:r>
      <w:r w:rsidR="006212E3" w:rsidRPr="00AF2FD9">
        <w:rPr>
          <w:rFonts w:ascii="Times New Roman" w:eastAsia="Times New Roman" w:hAnsi="Times New Roman" w:cs="Times New Roman"/>
          <w:iCs/>
          <w:sz w:val="24"/>
          <w:szCs w:val="24"/>
          <w:lang w:eastAsia="en-AU"/>
        </w:rPr>
        <w:t>es</w:t>
      </w:r>
      <w:r w:rsidRPr="00AF2FD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DD4FED" w:rsidRPr="00AF2FD9">
        <w:rPr>
          <w:rFonts w:ascii="Times New Roman" w:eastAsia="Times New Roman" w:hAnsi="Times New Roman" w:cs="Times New Roman"/>
          <w:iCs/>
          <w:sz w:val="24"/>
          <w:szCs w:val="24"/>
          <w:lang w:eastAsia="en-AU"/>
        </w:rPr>
        <w:t xml:space="preserve">Legislative </w:t>
      </w:r>
      <w:r w:rsidRPr="00AF2FD9">
        <w:rPr>
          <w:rFonts w:ascii="Times New Roman" w:eastAsia="Times New Roman" w:hAnsi="Times New Roman" w:cs="Times New Roman"/>
          <w:iCs/>
          <w:sz w:val="24"/>
          <w:szCs w:val="24"/>
          <w:lang w:eastAsia="en-AU"/>
        </w:rPr>
        <w:t xml:space="preserve">Instrument </w:t>
      </w:r>
      <w:r w:rsidR="006212E3" w:rsidRPr="00AF2FD9">
        <w:rPr>
          <w:rFonts w:ascii="Times New Roman" w:eastAsia="Times New Roman" w:hAnsi="Times New Roman" w:cs="Times New Roman"/>
          <w:iCs/>
          <w:sz w:val="24"/>
          <w:szCs w:val="24"/>
          <w:lang w:eastAsia="en-AU"/>
        </w:rPr>
        <w:t>is</w:t>
      </w:r>
      <w:r w:rsidRPr="00AF2FD9">
        <w:rPr>
          <w:rFonts w:ascii="Times New Roman" w:eastAsia="Times New Roman" w:hAnsi="Times New Roman" w:cs="Times New Roman"/>
          <w:iCs/>
          <w:sz w:val="24"/>
          <w:szCs w:val="24"/>
          <w:lang w:eastAsia="en-AU"/>
        </w:rPr>
        <w:t xml:space="preserve"> compatible with human rights. </w:t>
      </w:r>
    </w:p>
    <w:p w14:paraId="64D4EEBE" w14:textId="77777777" w:rsidR="00B670E9" w:rsidRPr="00AF2FD9" w:rsidRDefault="00B670E9" w:rsidP="00AF2FD9">
      <w:pPr>
        <w:rPr>
          <w:rFonts w:ascii="Times New Roman" w:hAnsi="Times New Roman" w:cs="Times New Roman"/>
          <w:b/>
          <w:sz w:val="24"/>
          <w:szCs w:val="24"/>
        </w:rPr>
      </w:pPr>
      <w:r w:rsidRPr="00AF2FD9">
        <w:rPr>
          <w:rFonts w:ascii="Times New Roman" w:hAnsi="Times New Roman" w:cs="Times New Roman"/>
          <w:b/>
          <w:sz w:val="24"/>
          <w:szCs w:val="24"/>
        </w:rPr>
        <w:t>Conclusion</w:t>
      </w:r>
    </w:p>
    <w:p w14:paraId="57D7D167" w14:textId="7C020371" w:rsidR="00B670E9" w:rsidRPr="00AF2FD9" w:rsidRDefault="00B670E9" w:rsidP="00AF2FD9">
      <w:pPr>
        <w:rPr>
          <w:rFonts w:ascii="Times New Roman" w:hAnsi="Times New Roman" w:cs="Times New Roman"/>
          <w:sz w:val="24"/>
          <w:szCs w:val="24"/>
        </w:rPr>
      </w:pPr>
      <w:r w:rsidRPr="00AF2FD9">
        <w:rPr>
          <w:rFonts w:ascii="Times New Roman" w:hAnsi="Times New Roman" w:cs="Times New Roman"/>
          <w:sz w:val="24"/>
          <w:szCs w:val="24"/>
        </w:rPr>
        <w:t>Th</w:t>
      </w:r>
      <w:r w:rsidR="006212E3" w:rsidRPr="00AF2FD9">
        <w:rPr>
          <w:rFonts w:ascii="Times New Roman" w:hAnsi="Times New Roman" w:cs="Times New Roman"/>
          <w:sz w:val="24"/>
          <w:szCs w:val="24"/>
        </w:rPr>
        <w:t>i</w:t>
      </w:r>
      <w:r w:rsidRPr="00AF2FD9">
        <w:rPr>
          <w:rFonts w:ascii="Times New Roman" w:hAnsi="Times New Roman" w:cs="Times New Roman"/>
          <w:sz w:val="24"/>
          <w:szCs w:val="24"/>
        </w:rPr>
        <w:t xml:space="preserve">s Legislative Instrument </w:t>
      </w:r>
      <w:r w:rsidR="006212E3" w:rsidRPr="00AF2FD9">
        <w:rPr>
          <w:rFonts w:ascii="Times New Roman" w:hAnsi="Times New Roman" w:cs="Times New Roman"/>
          <w:sz w:val="24"/>
          <w:szCs w:val="24"/>
        </w:rPr>
        <w:t>is</w:t>
      </w:r>
      <w:r w:rsidRPr="00AF2FD9">
        <w:rPr>
          <w:rFonts w:ascii="Times New Roman" w:hAnsi="Times New Roman" w:cs="Times New Roman"/>
          <w:sz w:val="24"/>
          <w:szCs w:val="24"/>
        </w:rPr>
        <w:t xml:space="preserve"> compatible with human rights as </w:t>
      </w:r>
      <w:r w:rsidR="006212E3" w:rsidRPr="00AF2FD9">
        <w:rPr>
          <w:rFonts w:ascii="Times New Roman" w:hAnsi="Times New Roman" w:cs="Times New Roman"/>
          <w:sz w:val="24"/>
          <w:szCs w:val="24"/>
        </w:rPr>
        <w:t>it</w:t>
      </w:r>
      <w:r w:rsidRPr="00AF2FD9">
        <w:rPr>
          <w:rFonts w:ascii="Times New Roman" w:hAnsi="Times New Roman" w:cs="Times New Roman"/>
          <w:sz w:val="24"/>
          <w:szCs w:val="24"/>
        </w:rPr>
        <w:t xml:space="preserve"> do</w:t>
      </w:r>
      <w:r w:rsidR="006212E3" w:rsidRPr="00AF2FD9">
        <w:rPr>
          <w:rFonts w:ascii="Times New Roman" w:hAnsi="Times New Roman" w:cs="Times New Roman"/>
          <w:sz w:val="24"/>
          <w:szCs w:val="24"/>
        </w:rPr>
        <w:t>es</w:t>
      </w:r>
      <w:r w:rsidRPr="00AF2FD9">
        <w:rPr>
          <w:rFonts w:ascii="Times New Roman" w:hAnsi="Times New Roman" w:cs="Times New Roman"/>
          <w:sz w:val="24"/>
          <w:szCs w:val="24"/>
        </w:rPr>
        <w:t xml:space="preserve"> not raise any human rights issues.</w:t>
      </w:r>
    </w:p>
    <w:p w14:paraId="6A740A2A" w14:textId="77777777" w:rsidR="00211AFD" w:rsidRPr="00AF2FD9" w:rsidRDefault="00211AFD" w:rsidP="00AF2FD9">
      <w:pPr>
        <w:rPr>
          <w:rFonts w:ascii="Times New Roman" w:hAnsi="Times New Roman" w:cs="Times New Roman"/>
        </w:rPr>
      </w:pPr>
    </w:p>
    <w:sectPr w:rsidR="00211AFD" w:rsidRPr="00AF2FD9"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3620A" w14:textId="77777777" w:rsidR="005F488A" w:rsidRPr="000D4EDE" w:rsidRDefault="005F488A" w:rsidP="000D4EDE">
      <w:r>
        <w:separator/>
      </w:r>
    </w:p>
  </w:endnote>
  <w:endnote w:type="continuationSeparator" w:id="0">
    <w:p w14:paraId="790FD408" w14:textId="77777777" w:rsidR="005F488A" w:rsidRPr="000D4EDE" w:rsidRDefault="005F488A" w:rsidP="000D4EDE">
      <w:r>
        <w:continuationSeparator/>
      </w:r>
    </w:p>
  </w:endnote>
  <w:endnote w:type="continuationNotice" w:id="1">
    <w:p w14:paraId="70EB7F4D" w14:textId="77777777" w:rsidR="005F488A" w:rsidRDefault="005F4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FBB843B" w14:textId="44A3D4CE"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05E8" w14:textId="77777777" w:rsidR="005F488A" w:rsidRPr="000D4EDE" w:rsidRDefault="005F488A" w:rsidP="000D4EDE">
      <w:r>
        <w:separator/>
      </w:r>
    </w:p>
  </w:footnote>
  <w:footnote w:type="continuationSeparator" w:id="0">
    <w:p w14:paraId="16B1804F" w14:textId="77777777" w:rsidR="005F488A" w:rsidRPr="000D4EDE" w:rsidRDefault="005F488A" w:rsidP="000D4EDE">
      <w:r>
        <w:continuationSeparator/>
      </w:r>
    </w:p>
  </w:footnote>
  <w:footnote w:type="continuationNotice" w:id="1">
    <w:p w14:paraId="77A16C20" w14:textId="77777777" w:rsidR="005F488A" w:rsidRDefault="005F488A">
      <w:pPr>
        <w:spacing w:after="0"/>
      </w:pPr>
    </w:p>
  </w:footnote>
  <w:footnote w:id="2">
    <w:p w14:paraId="4EED7F37" w14:textId="525EA4FF" w:rsidR="007B5325" w:rsidRPr="006A7646" w:rsidRDefault="007B5325" w:rsidP="007B5325">
      <w:pPr>
        <w:pStyle w:val="FootnoteText"/>
        <w:rPr>
          <w:sz w:val="22"/>
        </w:rPr>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sidR="00776E6E" w:rsidRPr="006A7646">
        <w:rPr>
          <w:rFonts w:ascii="Times New Roman" w:hAnsi="Times New Roman" w:cs="Times New Roman"/>
          <w:sz w:val="22"/>
        </w:rPr>
        <w:t>Please see: https://www.apra.gov.au/adi-capital-reforms-minor-updates</w:t>
      </w:r>
      <w:r w:rsidR="00A710EC">
        <w:rPr>
          <w:rFonts w:ascii="Times New Roman" w:hAnsi="Times New Roman" w:cs="Times New Roman"/>
          <w:sz w:val="22"/>
        </w:rPr>
        <w:t>.</w:t>
      </w:r>
      <w:r w:rsidR="00776E6E" w:rsidRPr="006A7646">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133333960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A23"/>
    <w:rsid w:val="00007FE1"/>
    <w:rsid w:val="00010789"/>
    <w:rsid w:val="00011C96"/>
    <w:rsid w:val="000141B9"/>
    <w:rsid w:val="00014E49"/>
    <w:rsid w:val="000162DF"/>
    <w:rsid w:val="00020E4C"/>
    <w:rsid w:val="000221F9"/>
    <w:rsid w:val="00023CE3"/>
    <w:rsid w:val="0002790D"/>
    <w:rsid w:val="000315F2"/>
    <w:rsid w:val="00034A19"/>
    <w:rsid w:val="00036F9E"/>
    <w:rsid w:val="000413B3"/>
    <w:rsid w:val="000453D9"/>
    <w:rsid w:val="00045D7D"/>
    <w:rsid w:val="000560B1"/>
    <w:rsid w:val="000573E5"/>
    <w:rsid w:val="00057B71"/>
    <w:rsid w:val="0006126C"/>
    <w:rsid w:val="0006398B"/>
    <w:rsid w:val="0006638F"/>
    <w:rsid w:val="000707E4"/>
    <w:rsid w:val="0007202C"/>
    <w:rsid w:val="00072B30"/>
    <w:rsid w:val="0007319C"/>
    <w:rsid w:val="000732AA"/>
    <w:rsid w:val="000733E9"/>
    <w:rsid w:val="00073F77"/>
    <w:rsid w:val="000760BC"/>
    <w:rsid w:val="000767DD"/>
    <w:rsid w:val="0008011A"/>
    <w:rsid w:val="00084F8B"/>
    <w:rsid w:val="00085199"/>
    <w:rsid w:val="000851D0"/>
    <w:rsid w:val="00086D07"/>
    <w:rsid w:val="00086F71"/>
    <w:rsid w:val="000913EA"/>
    <w:rsid w:val="00093039"/>
    <w:rsid w:val="000935EA"/>
    <w:rsid w:val="00093915"/>
    <w:rsid w:val="000949AD"/>
    <w:rsid w:val="00095109"/>
    <w:rsid w:val="00096B0F"/>
    <w:rsid w:val="000A1A15"/>
    <w:rsid w:val="000A490E"/>
    <w:rsid w:val="000B04C5"/>
    <w:rsid w:val="000B3539"/>
    <w:rsid w:val="000B4A6A"/>
    <w:rsid w:val="000B63CA"/>
    <w:rsid w:val="000B752A"/>
    <w:rsid w:val="000C14D9"/>
    <w:rsid w:val="000C15C7"/>
    <w:rsid w:val="000C4832"/>
    <w:rsid w:val="000C60E6"/>
    <w:rsid w:val="000C64E5"/>
    <w:rsid w:val="000C6E51"/>
    <w:rsid w:val="000D4EDE"/>
    <w:rsid w:val="000D6674"/>
    <w:rsid w:val="000D7005"/>
    <w:rsid w:val="000E2460"/>
    <w:rsid w:val="000E43AC"/>
    <w:rsid w:val="000E6E37"/>
    <w:rsid w:val="000E7D0A"/>
    <w:rsid w:val="000F0E6F"/>
    <w:rsid w:val="000F62C5"/>
    <w:rsid w:val="001018A5"/>
    <w:rsid w:val="0010233B"/>
    <w:rsid w:val="00106F56"/>
    <w:rsid w:val="00110A8F"/>
    <w:rsid w:val="00114B50"/>
    <w:rsid w:val="0011578D"/>
    <w:rsid w:val="00115A39"/>
    <w:rsid w:val="00116AEF"/>
    <w:rsid w:val="00117479"/>
    <w:rsid w:val="00120FDB"/>
    <w:rsid w:val="00123576"/>
    <w:rsid w:val="001241CB"/>
    <w:rsid w:val="00124B21"/>
    <w:rsid w:val="001314B3"/>
    <w:rsid w:val="001327B8"/>
    <w:rsid w:val="0013471B"/>
    <w:rsid w:val="00134B76"/>
    <w:rsid w:val="001352D4"/>
    <w:rsid w:val="00136F01"/>
    <w:rsid w:val="00142132"/>
    <w:rsid w:val="00142472"/>
    <w:rsid w:val="0014273B"/>
    <w:rsid w:val="00151EC9"/>
    <w:rsid w:val="00153741"/>
    <w:rsid w:val="00154A11"/>
    <w:rsid w:val="00155789"/>
    <w:rsid w:val="00157C98"/>
    <w:rsid w:val="00162453"/>
    <w:rsid w:val="001639B2"/>
    <w:rsid w:val="001653B6"/>
    <w:rsid w:val="00165BF6"/>
    <w:rsid w:val="0017099F"/>
    <w:rsid w:val="00174039"/>
    <w:rsid w:val="00174B0F"/>
    <w:rsid w:val="00180361"/>
    <w:rsid w:val="001818C4"/>
    <w:rsid w:val="0018235E"/>
    <w:rsid w:val="00184187"/>
    <w:rsid w:val="00184B1B"/>
    <w:rsid w:val="001900CF"/>
    <w:rsid w:val="001A4EA4"/>
    <w:rsid w:val="001A664F"/>
    <w:rsid w:val="001B2DB7"/>
    <w:rsid w:val="001B3A9F"/>
    <w:rsid w:val="001B4F7A"/>
    <w:rsid w:val="001B6F0C"/>
    <w:rsid w:val="001C148B"/>
    <w:rsid w:val="001D0C02"/>
    <w:rsid w:val="001D3008"/>
    <w:rsid w:val="001D3D43"/>
    <w:rsid w:val="001E0F51"/>
    <w:rsid w:val="001E55BF"/>
    <w:rsid w:val="001E6375"/>
    <w:rsid w:val="001E6BCB"/>
    <w:rsid w:val="001F35B5"/>
    <w:rsid w:val="001F6E1A"/>
    <w:rsid w:val="001F780A"/>
    <w:rsid w:val="001F7917"/>
    <w:rsid w:val="00200613"/>
    <w:rsid w:val="00204F39"/>
    <w:rsid w:val="002066FB"/>
    <w:rsid w:val="0020674F"/>
    <w:rsid w:val="00211AFD"/>
    <w:rsid w:val="002143E2"/>
    <w:rsid w:val="00214883"/>
    <w:rsid w:val="002156F6"/>
    <w:rsid w:val="00220550"/>
    <w:rsid w:val="00222497"/>
    <w:rsid w:val="0022372D"/>
    <w:rsid w:val="00224A25"/>
    <w:rsid w:val="002255B7"/>
    <w:rsid w:val="002301A2"/>
    <w:rsid w:val="002349DF"/>
    <w:rsid w:val="00236C2D"/>
    <w:rsid w:val="00237201"/>
    <w:rsid w:val="002374B7"/>
    <w:rsid w:val="00240126"/>
    <w:rsid w:val="00241D16"/>
    <w:rsid w:val="00242384"/>
    <w:rsid w:val="0024304D"/>
    <w:rsid w:val="00244826"/>
    <w:rsid w:val="00244B0A"/>
    <w:rsid w:val="00247ACA"/>
    <w:rsid w:val="00251C83"/>
    <w:rsid w:val="00252604"/>
    <w:rsid w:val="0025287F"/>
    <w:rsid w:val="00252E6A"/>
    <w:rsid w:val="00255A20"/>
    <w:rsid w:val="0025782A"/>
    <w:rsid w:val="00263414"/>
    <w:rsid w:val="002661A6"/>
    <w:rsid w:val="00266C23"/>
    <w:rsid w:val="00274D5F"/>
    <w:rsid w:val="00277CAB"/>
    <w:rsid w:val="00277D6C"/>
    <w:rsid w:val="00280778"/>
    <w:rsid w:val="00280FD7"/>
    <w:rsid w:val="00282B90"/>
    <w:rsid w:val="00286EAD"/>
    <w:rsid w:val="002870A7"/>
    <w:rsid w:val="00291514"/>
    <w:rsid w:val="00292A60"/>
    <w:rsid w:val="00292D3F"/>
    <w:rsid w:val="00292F38"/>
    <w:rsid w:val="0029389B"/>
    <w:rsid w:val="00294C58"/>
    <w:rsid w:val="002A1894"/>
    <w:rsid w:val="002A2188"/>
    <w:rsid w:val="002A36F2"/>
    <w:rsid w:val="002A7D14"/>
    <w:rsid w:val="002B0913"/>
    <w:rsid w:val="002B28E4"/>
    <w:rsid w:val="002B49A3"/>
    <w:rsid w:val="002B49CA"/>
    <w:rsid w:val="002B5EBC"/>
    <w:rsid w:val="002B7504"/>
    <w:rsid w:val="002C0D97"/>
    <w:rsid w:val="002C2F0A"/>
    <w:rsid w:val="002C66D1"/>
    <w:rsid w:val="002C7065"/>
    <w:rsid w:val="002C7D73"/>
    <w:rsid w:val="002C7F4A"/>
    <w:rsid w:val="002D1671"/>
    <w:rsid w:val="002D2804"/>
    <w:rsid w:val="002D4B6C"/>
    <w:rsid w:val="002D5274"/>
    <w:rsid w:val="002E123D"/>
    <w:rsid w:val="002E1EE3"/>
    <w:rsid w:val="002E447D"/>
    <w:rsid w:val="002E58BE"/>
    <w:rsid w:val="002F0135"/>
    <w:rsid w:val="002F0C2C"/>
    <w:rsid w:val="003000FF"/>
    <w:rsid w:val="00300655"/>
    <w:rsid w:val="0030075D"/>
    <w:rsid w:val="00301BB1"/>
    <w:rsid w:val="003020AE"/>
    <w:rsid w:val="00303D18"/>
    <w:rsid w:val="0030457E"/>
    <w:rsid w:val="003052CE"/>
    <w:rsid w:val="00307ADD"/>
    <w:rsid w:val="00307E55"/>
    <w:rsid w:val="00311FD1"/>
    <w:rsid w:val="00312A66"/>
    <w:rsid w:val="003130CA"/>
    <w:rsid w:val="00313312"/>
    <w:rsid w:val="003163CB"/>
    <w:rsid w:val="00316BC0"/>
    <w:rsid w:val="00321180"/>
    <w:rsid w:val="00321646"/>
    <w:rsid w:val="0032180D"/>
    <w:rsid w:val="003228C2"/>
    <w:rsid w:val="003306A5"/>
    <w:rsid w:val="003427BE"/>
    <w:rsid w:val="003432E6"/>
    <w:rsid w:val="00347108"/>
    <w:rsid w:val="00350839"/>
    <w:rsid w:val="00355D40"/>
    <w:rsid w:val="00362EDC"/>
    <w:rsid w:val="003633FD"/>
    <w:rsid w:val="00371AAC"/>
    <w:rsid w:val="00371F54"/>
    <w:rsid w:val="0037223D"/>
    <w:rsid w:val="0037770C"/>
    <w:rsid w:val="00377C8B"/>
    <w:rsid w:val="00383A95"/>
    <w:rsid w:val="00385CA0"/>
    <w:rsid w:val="00387FB7"/>
    <w:rsid w:val="00390E33"/>
    <w:rsid w:val="0039585F"/>
    <w:rsid w:val="00395BFF"/>
    <w:rsid w:val="003A25CD"/>
    <w:rsid w:val="003A2733"/>
    <w:rsid w:val="003A3021"/>
    <w:rsid w:val="003A4483"/>
    <w:rsid w:val="003A4D41"/>
    <w:rsid w:val="003A627E"/>
    <w:rsid w:val="003A79EE"/>
    <w:rsid w:val="003A7F99"/>
    <w:rsid w:val="003B14E1"/>
    <w:rsid w:val="003B45AB"/>
    <w:rsid w:val="003B5039"/>
    <w:rsid w:val="003B5B23"/>
    <w:rsid w:val="003B6E16"/>
    <w:rsid w:val="003C180A"/>
    <w:rsid w:val="003C1E25"/>
    <w:rsid w:val="003C3B28"/>
    <w:rsid w:val="003C76D4"/>
    <w:rsid w:val="003D24D3"/>
    <w:rsid w:val="003D27CB"/>
    <w:rsid w:val="003D292C"/>
    <w:rsid w:val="003D329D"/>
    <w:rsid w:val="003E1BB3"/>
    <w:rsid w:val="003E204A"/>
    <w:rsid w:val="003E5777"/>
    <w:rsid w:val="003E626D"/>
    <w:rsid w:val="003E64E9"/>
    <w:rsid w:val="003E6BF6"/>
    <w:rsid w:val="003F0F0D"/>
    <w:rsid w:val="003F6A92"/>
    <w:rsid w:val="00401627"/>
    <w:rsid w:val="0040173E"/>
    <w:rsid w:val="00412EBF"/>
    <w:rsid w:val="00424A42"/>
    <w:rsid w:val="00424C17"/>
    <w:rsid w:val="00426BCB"/>
    <w:rsid w:val="00434A5B"/>
    <w:rsid w:val="00435339"/>
    <w:rsid w:val="004410DC"/>
    <w:rsid w:val="0044447D"/>
    <w:rsid w:val="0044482D"/>
    <w:rsid w:val="00450C67"/>
    <w:rsid w:val="00450D2C"/>
    <w:rsid w:val="00452279"/>
    <w:rsid w:val="004560CC"/>
    <w:rsid w:val="0046020A"/>
    <w:rsid w:val="00460CF7"/>
    <w:rsid w:val="00463FA8"/>
    <w:rsid w:val="00464196"/>
    <w:rsid w:val="00466648"/>
    <w:rsid w:val="0047203C"/>
    <w:rsid w:val="00472CBC"/>
    <w:rsid w:val="004757BE"/>
    <w:rsid w:val="004765B3"/>
    <w:rsid w:val="00477B09"/>
    <w:rsid w:val="00477E9F"/>
    <w:rsid w:val="00483A0A"/>
    <w:rsid w:val="004843A6"/>
    <w:rsid w:val="004843CA"/>
    <w:rsid w:val="004846AA"/>
    <w:rsid w:val="00487FCB"/>
    <w:rsid w:val="00493DAA"/>
    <w:rsid w:val="004942AE"/>
    <w:rsid w:val="00494335"/>
    <w:rsid w:val="00495A4C"/>
    <w:rsid w:val="00495F25"/>
    <w:rsid w:val="004964A9"/>
    <w:rsid w:val="004967A1"/>
    <w:rsid w:val="004A0FE7"/>
    <w:rsid w:val="004A1269"/>
    <w:rsid w:val="004A1AB5"/>
    <w:rsid w:val="004A1CDD"/>
    <w:rsid w:val="004A29F6"/>
    <w:rsid w:val="004A2CA4"/>
    <w:rsid w:val="004B13B7"/>
    <w:rsid w:val="004B2060"/>
    <w:rsid w:val="004B2359"/>
    <w:rsid w:val="004B584E"/>
    <w:rsid w:val="004C0814"/>
    <w:rsid w:val="004C1106"/>
    <w:rsid w:val="004C599D"/>
    <w:rsid w:val="004C6D4B"/>
    <w:rsid w:val="004C766B"/>
    <w:rsid w:val="004D16C6"/>
    <w:rsid w:val="004D33E3"/>
    <w:rsid w:val="004D76C1"/>
    <w:rsid w:val="004D7C22"/>
    <w:rsid w:val="004E2269"/>
    <w:rsid w:val="004E451A"/>
    <w:rsid w:val="004F0E3E"/>
    <w:rsid w:val="004F1319"/>
    <w:rsid w:val="004F3339"/>
    <w:rsid w:val="004F4E4F"/>
    <w:rsid w:val="004F5A0F"/>
    <w:rsid w:val="004F72A2"/>
    <w:rsid w:val="004F78E5"/>
    <w:rsid w:val="005020B3"/>
    <w:rsid w:val="005026D4"/>
    <w:rsid w:val="00503A51"/>
    <w:rsid w:val="00506774"/>
    <w:rsid w:val="00512182"/>
    <w:rsid w:val="00512309"/>
    <w:rsid w:val="005207DA"/>
    <w:rsid w:val="00522B61"/>
    <w:rsid w:val="00524F64"/>
    <w:rsid w:val="00530240"/>
    <w:rsid w:val="00530757"/>
    <w:rsid w:val="00535999"/>
    <w:rsid w:val="00541D54"/>
    <w:rsid w:val="00542522"/>
    <w:rsid w:val="00543472"/>
    <w:rsid w:val="0054526E"/>
    <w:rsid w:val="00545CE1"/>
    <w:rsid w:val="00546297"/>
    <w:rsid w:val="00546E50"/>
    <w:rsid w:val="005476B5"/>
    <w:rsid w:val="005549D7"/>
    <w:rsid w:val="0055690E"/>
    <w:rsid w:val="005602DA"/>
    <w:rsid w:val="00560CAF"/>
    <w:rsid w:val="00561DAA"/>
    <w:rsid w:val="00562087"/>
    <w:rsid w:val="005628DB"/>
    <w:rsid w:val="005678FC"/>
    <w:rsid w:val="0057138A"/>
    <w:rsid w:val="005714D4"/>
    <w:rsid w:val="00572766"/>
    <w:rsid w:val="00573327"/>
    <w:rsid w:val="00573F5D"/>
    <w:rsid w:val="00574BA1"/>
    <w:rsid w:val="00575DC2"/>
    <w:rsid w:val="00576CF6"/>
    <w:rsid w:val="00577D9B"/>
    <w:rsid w:val="00582EDF"/>
    <w:rsid w:val="005921A3"/>
    <w:rsid w:val="0059295D"/>
    <w:rsid w:val="00592F64"/>
    <w:rsid w:val="00593769"/>
    <w:rsid w:val="005A3F63"/>
    <w:rsid w:val="005A4E5D"/>
    <w:rsid w:val="005A59D0"/>
    <w:rsid w:val="005B073E"/>
    <w:rsid w:val="005B1A34"/>
    <w:rsid w:val="005B227F"/>
    <w:rsid w:val="005B73F0"/>
    <w:rsid w:val="005B7801"/>
    <w:rsid w:val="005C1108"/>
    <w:rsid w:val="005C5891"/>
    <w:rsid w:val="005C641B"/>
    <w:rsid w:val="005D04CC"/>
    <w:rsid w:val="005D2534"/>
    <w:rsid w:val="005D27B8"/>
    <w:rsid w:val="005D2BF4"/>
    <w:rsid w:val="005D4E93"/>
    <w:rsid w:val="005D529D"/>
    <w:rsid w:val="005D5E20"/>
    <w:rsid w:val="005D5FAE"/>
    <w:rsid w:val="005E0EF7"/>
    <w:rsid w:val="005E4BC9"/>
    <w:rsid w:val="005F054D"/>
    <w:rsid w:val="005F0C9F"/>
    <w:rsid w:val="005F0E28"/>
    <w:rsid w:val="005F29B7"/>
    <w:rsid w:val="005F36AC"/>
    <w:rsid w:val="005F488A"/>
    <w:rsid w:val="00606028"/>
    <w:rsid w:val="00606EB5"/>
    <w:rsid w:val="00606FC8"/>
    <w:rsid w:val="00612E39"/>
    <w:rsid w:val="00616C90"/>
    <w:rsid w:val="00617663"/>
    <w:rsid w:val="00617FDA"/>
    <w:rsid w:val="0062116F"/>
    <w:rsid w:val="006212E3"/>
    <w:rsid w:val="00623B5E"/>
    <w:rsid w:val="00623FD7"/>
    <w:rsid w:val="00624BC2"/>
    <w:rsid w:val="00624D0D"/>
    <w:rsid w:val="00625DA0"/>
    <w:rsid w:val="00626087"/>
    <w:rsid w:val="00634E4C"/>
    <w:rsid w:val="00636B8B"/>
    <w:rsid w:val="00641EAA"/>
    <w:rsid w:val="006427FE"/>
    <w:rsid w:val="00644872"/>
    <w:rsid w:val="006506C1"/>
    <w:rsid w:val="00657459"/>
    <w:rsid w:val="0065747A"/>
    <w:rsid w:val="00657B2C"/>
    <w:rsid w:val="00657EAF"/>
    <w:rsid w:val="00662E28"/>
    <w:rsid w:val="00663820"/>
    <w:rsid w:val="0066674D"/>
    <w:rsid w:val="006669CA"/>
    <w:rsid w:val="00666A78"/>
    <w:rsid w:val="00670B59"/>
    <w:rsid w:val="00676C12"/>
    <w:rsid w:val="006778BF"/>
    <w:rsid w:val="00687AED"/>
    <w:rsid w:val="0069375D"/>
    <w:rsid w:val="0069407C"/>
    <w:rsid w:val="0069574E"/>
    <w:rsid w:val="0069696D"/>
    <w:rsid w:val="006969C0"/>
    <w:rsid w:val="006A1921"/>
    <w:rsid w:val="006A1B8B"/>
    <w:rsid w:val="006A2303"/>
    <w:rsid w:val="006A2C82"/>
    <w:rsid w:val="006A383B"/>
    <w:rsid w:val="006A555E"/>
    <w:rsid w:val="006A7646"/>
    <w:rsid w:val="006B5592"/>
    <w:rsid w:val="006B76C6"/>
    <w:rsid w:val="006C1876"/>
    <w:rsid w:val="006D18C0"/>
    <w:rsid w:val="006D2A45"/>
    <w:rsid w:val="006D315C"/>
    <w:rsid w:val="006D61E1"/>
    <w:rsid w:val="006D71B8"/>
    <w:rsid w:val="006D76B4"/>
    <w:rsid w:val="006E0FB8"/>
    <w:rsid w:val="006E4272"/>
    <w:rsid w:val="006E4E04"/>
    <w:rsid w:val="006E62BE"/>
    <w:rsid w:val="006F145A"/>
    <w:rsid w:val="006F27CB"/>
    <w:rsid w:val="006F359B"/>
    <w:rsid w:val="006F4962"/>
    <w:rsid w:val="006F5865"/>
    <w:rsid w:val="006F7918"/>
    <w:rsid w:val="00701EC6"/>
    <w:rsid w:val="00705D84"/>
    <w:rsid w:val="00706179"/>
    <w:rsid w:val="00706E90"/>
    <w:rsid w:val="00710155"/>
    <w:rsid w:val="007102AA"/>
    <w:rsid w:val="00711D23"/>
    <w:rsid w:val="007134F8"/>
    <w:rsid w:val="00714F78"/>
    <w:rsid w:val="007152B0"/>
    <w:rsid w:val="00716CFD"/>
    <w:rsid w:val="007170F7"/>
    <w:rsid w:val="00717304"/>
    <w:rsid w:val="007174B3"/>
    <w:rsid w:val="00717589"/>
    <w:rsid w:val="00721EE1"/>
    <w:rsid w:val="0072205F"/>
    <w:rsid w:val="00722F9F"/>
    <w:rsid w:val="007253B8"/>
    <w:rsid w:val="007325B4"/>
    <w:rsid w:val="00732C47"/>
    <w:rsid w:val="0073543C"/>
    <w:rsid w:val="00736E7D"/>
    <w:rsid w:val="00741EDB"/>
    <w:rsid w:val="0074284B"/>
    <w:rsid w:val="00743AE5"/>
    <w:rsid w:val="0074643B"/>
    <w:rsid w:val="007509A6"/>
    <w:rsid w:val="00753F83"/>
    <w:rsid w:val="007541B0"/>
    <w:rsid w:val="0075469B"/>
    <w:rsid w:val="00755163"/>
    <w:rsid w:val="00756AAB"/>
    <w:rsid w:val="00757F63"/>
    <w:rsid w:val="007605EB"/>
    <w:rsid w:val="007645AE"/>
    <w:rsid w:val="00764992"/>
    <w:rsid w:val="00765749"/>
    <w:rsid w:val="00766C81"/>
    <w:rsid w:val="00771075"/>
    <w:rsid w:val="007720F8"/>
    <w:rsid w:val="00773588"/>
    <w:rsid w:val="0077507F"/>
    <w:rsid w:val="007759CC"/>
    <w:rsid w:val="00775AA0"/>
    <w:rsid w:val="00776E6E"/>
    <w:rsid w:val="007770FA"/>
    <w:rsid w:val="00782770"/>
    <w:rsid w:val="00791738"/>
    <w:rsid w:val="00791780"/>
    <w:rsid w:val="00792D37"/>
    <w:rsid w:val="0079390C"/>
    <w:rsid w:val="007A0EB7"/>
    <w:rsid w:val="007B231E"/>
    <w:rsid w:val="007B2C90"/>
    <w:rsid w:val="007B2E49"/>
    <w:rsid w:val="007B5325"/>
    <w:rsid w:val="007B6287"/>
    <w:rsid w:val="007B6871"/>
    <w:rsid w:val="007B6AEC"/>
    <w:rsid w:val="007B7899"/>
    <w:rsid w:val="007C08B1"/>
    <w:rsid w:val="007C1EA7"/>
    <w:rsid w:val="007C2CC2"/>
    <w:rsid w:val="007C38BD"/>
    <w:rsid w:val="007C7826"/>
    <w:rsid w:val="007C79AA"/>
    <w:rsid w:val="007D1955"/>
    <w:rsid w:val="007D31DA"/>
    <w:rsid w:val="007D6982"/>
    <w:rsid w:val="007D72C5"/>
    <w:rsid w:val="007E1D1C"/>
    <w:rsid w:val="007E525D"/>
    <w:rsid w:val="007E5A0D"/>
    <w:rsid w:val="007E7735"/>
    <w:rsid w:val="007F0323"/>
    <w:rsid w:val="007F379E"/>
    <w:rsid w:val="007F471C"/>
    <w:rsid w:val="00800C90"/>
    <w:rsid w:val="00801FD1"/>
    <w:rsid w:val="008125F8"/>
    <w:rsid w:val="008208A8"/>
    <w:rsid w:val="00821EFD"/>
    <w:rsid w:val="008229D2"/>
    <w:rsid w:val="008234D8"/>
    <w:rsid w:val="008259BA"/>
    <w:rsid w:val="00826012"/>
    <w:rsid w:val="0083060E"/>
    <w:rsid w:val="00832914"/>
    <w:rsid w:val="00834CE0"/>
    <w:rsid w:val="0084110F"/>
    <w:rsid w:val="008435C8"/>
    <w:rsid w:val="00844B1D"/>
    <w:rsid w:val="00844F5C"/>
    <w:rsid w:val="00845843"/>
    <w:rsid w:val="00846D34"/>
    <w:rsid w:val="00846D7C"/>
    <w:rsid w:val="0084717F"/>
    <w:rsid w:val="00854C33"/>
    <w:rsid w:val="008567D0"/>
    <w:rsid w:val="00857246"/>
    <w:rsid w:val="00863020"/>
    <w:rsid w:val="008637EC"/>
    <w:rsid w:val="00867F68"/>
    <w:rsid w:val="00870BC6"/>
    <w:rsid w:val="00873384"/>
    <w:rsid w:val="008746DC"/>
    <w:rsid w:val="00875DAD"/>
    <w:rsid w:val="00876761"/>
    <w:rsid w:val="00877B84"/>
    <w:rsid w:val="00877E5F"/>
    <w:rsid w:val="0088036D"/>
    <w:rsid w:val="00881155"/>
    <w:rsid w:val="00882892"/>
    <w:rsid w:val="00885882"/>
    <w:rsid w:val="00885A14"/>
    <w:rsid w:val="0088689B"/>
    <w:rsid w:val="0088756A"/>
    <w:rsid w:val="00890FA0"/>
    <w:rsid w:val="008947BF"/>
    <w:rsid w:val="008977B9"/>
    <w:rsid w:val="008A0CAB"/>
    <w:rsid w:val="008A0CBE"/>
    <w:rsid w:val="008A1267"/>
    <w:rsid w:val="008A1CA8"/>
    <w:rsid w:val="008A214D"/>
    <w:rsid w:val="008A2C90"/>
    <w:rsid w:val="008A4A5B"/>
    <w:rsid w:val="008A6231"/>
    <w:rsid w:val="008A6F4A"/>
    <w:rsid w:val="008A72D2"/>
    <w:rsid w:val="008A74A3"/>
    <w:rsid w:val="008B6868"/>
    <w:rsid w:val="008B6D24"/>
    <w:rsid w:val="008C34F7"/>
    <w:rsid w:val="008C6A43"/>
    <w:rsid w:val="008C7FD5"/>
    <w:rsid w:val="008D0626"/>
    <w:rsid w:val="008D080C"/>
    <w:rsid w:val="008D1867"/>
    <w:rsid w:val="008D5665"/>
    <w:rsid w:val="008D6437"/>
    <w:rsid w:val="008D6EDF"/>
    <w:rsid w:val="008D7428"/>
    <w:rsid w:val="008E03BD"/>
    <w:rsid w:val="008E3EF5"/>
    <w:rsid w:val="008E5407"/>
    <w:rsid w:val="008E712A"/>
    <w:rsid w:val="008F1E03"/>
    <w:rsid w:val="008F32F5"/>
    <w:rsid w:val="008F33B5"/>
    <w:rsid w:val="00901414"/>
    <w:rsid w:val="009059C6"/>
    <w:rsid w:val="00906774"/>
    <w:rsid w:val="00906799"/>
    <w:rsid w:val="00906F29"/>
    <w:rsid w:val="00907E06"/>
    <w:rsid w:val="009136D0"/>
    <w:rsid w:val="009205B7"/>
    <w:rsid w:val="00921181"/>
    <w:rsid w:val="009214AA"/>
    <w:rsid w:val="00922193"/>
    <w:rsid w:val="00922C7C"/>
    <w:rsid w:val="00924152"/>
    <w:rsid w:val="00924D0A"/>
    <w:rsid w:val="0093194D"/>
    <w:rsid w:val="0093219D"/>
    <w:rsid w:val="00932FCA"/>
    <w:rsid w:val="00934C3F"/>
    <w:rsid w:val="00937846"/>
    <w:rsid w:val="00937C36"/>
    <w:rsid w:val="00937D36"/>
    <w:rsid w:val="00940A3E"/>
    <w:rsid w:val="0094147B"/>
    <w:rsid w:val="009417AE"/>
    <w:rsid w:val="00943811"/>
    <w:rsid w:val="00945B3F"/>
    <w:rsid w:val="00945D78"/>
    <w:rsid w:val="00950DCB"/>
    <w:rsid w:val="00952D47"/>
    <w:rsid w:val="00952D4C"/>
    <w:rsid w:val="009535CD"/>
    <w:rsid w:val="00960246"/>
    <w:rsid w:val="009611CC"/>
    <w:rsid w:val="00962B6E"/>
    <w:rsid w:val="0096365D"/>
    <w:rsid w:val="0096759E"/>
    <w:rsid w:val="00970A8F"/>
    <w:rsid w:val="009720E1"/>
    <w:rsid w:val="00974F0E"/>
    <w:rsid w:val="00975CD7"/>
    <w:rsid w:val="00980CA1"/>
    <w:rsid w:val="00981886"/>
    <w:rsid w:val="009826C6"/>
    <w:rsid w:val="00985E70"/>
    <w:rsid w:val="0098603F"/>
    <w:rsid w:val="0098783B"/>
    <w:rsid w:val="0099074C"/>
    <w:rsid w:val="00993C2B"/>
    <w:rsid w:val="00994522"/>
    <w:rsid w:val="0099517B"/>
    <w:rsid w:val="00996086"/>
    <w:rsid w:val="0099798A"/>
    <w:rsid w:val="009979F4"/>
    <w:rsid w:val="009A246D"/>
    <w:rsid w:val="009A45B2"/>
    <w:rsid w:val="009A4B68"/>
    <w:rsid w:val="009A4EEB"/>
    <w:rsid w:val="009A5585"/>
    <w:rsid w:val="009A59D5"/>
    <w:rsid w:val="009B161B"/>
    <w:rsid w:val="009B258B"/>
    <w:rsid w:val="009B2CB7"/>
    <w:rsid w:val="009B504A"/>
    <w:rsid w:val="009B50B0"/>
    <w:rsid w:val="009B52FB"/>
    <w:rsid w:val="009C2198"/>
    <w:rsid w:val="009C62A1"/>
    <w:rsid w:val="009C6B19"/>
    <w:rsid w:val="009D1ED9"/>
    <w:rsid w:val="009D2DDD"/>
    <w:rsid w:val="009D2F27"/>
    <w:rsid w:val="009D4F63"/>
    <w:rsid w:val="009D77B5"/>
    <w:rsid w:val="009E0C10"/>
    <w:rsid w:val="009E2F2F"/>
    <w:rsid w:val="009E4116"/>
    <w:rsid w:val="009E529F"/>
    <w:rsid w:val="009E65DF"/>
    <w:rsid w:val="009F05D9"/>
    <w:rsid w:val="009F0D50"/>
    <w:rsid w:val="009F1998"/>
    <w:rsid w:val="009F3B38"/>
    <w:rsid w:val="009F4E53"/>
    <w:rsid w:val="009F56A6"/>
    <w:rsid w:val="00A0141F"/>
    <w:rsid w:val="00A10DA6"/>
    <w:rsid w:val="00A151E9"/>
    <w:rsid w:val="00A15DBB"/>
    <w:rsid w:val="00A25166"/>
    <w:rsid w:val="00A259F2"/>
    <w:rsid w:val="00A2758A"/>
    <w:rsid w:val="00A33802"/>
    <w:rsid w:val="00A33B81"/>
    <w:rsid w:val="00A34ADD"/>
    <w:rsid w:val="00A355B7"/>
    <w:rsid w:val="00A35E73"/>
    <w:rsid w:val="00A37162"/>
    <w:rsid w:val="00A37E51"/>
    <w:rsid w:val="00A50B51"/>
    <w:rsid w:val="00A5195E"/>
    <w:rsid w:val="00A51E2D"/>
    <w:rsid w:val="00A5319F"/>
    <w:rsid w:val="00A533A9"/>
    <w:rsid w:val="00A53690"/>
    <w:rsid w:val="00A53D76"/>
    <w:rsid w:val="00A54193"/>
    <w:rsid w:val="00A62D31"/>
    <w:rsid w:val="00A63380"/>
    <w:rsid w:val="00A710EC"/>
    <w:rsid w:val="00A77F85"/>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1D44"/>
    <w:rsid w:val="00AB2FFA"/>
    <w:rsid w:val="00AB4206"/>
    <w:rsid w:val="00AB4388"/>
    <w:rsid w:val="00AB556C"/>
    <w:rsid w:val="00AB64B0"/>
    <w:rsid w:val="00AB65E2"/>
    <w:rsid w:val="00AC1727"/>
    <w:rsid w:val="00AC6415"/>
    <w:rsid w:val="00AC6B54"/>
    <w:rsid w:val="00AC7E54"/>
    <w:rsid w:val="00AD1772"/>
    <w:rsid w:val="00AD51FB"/>
    <w:rsid w:val="00AD72D9"/>
    <w:rsid w:val="00AE43C8"/>
    <w:rsid w:val="00AE6A4E"/>
    <w:rsid w:val="00AE7B98"/>
    <w:rsid w:val="00AF0E85"/>
    <w:rsid w:val="00AF129F"/>
    <w:rsid w:val="00AF2129"/>
    <w:rsid w:val="00AF2FD9"/>
    <w:rsid w:val="00AF67D4"/>
    <w:rsid w:val="00B041B1"/>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3447"/>
    <w:rsid w:val="00B53D43"/>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C8A"/>
    <w:rsid w:val="00B93DF1"/>
    <w:rsid w:val="00B94CD6"/>
    <w:rsid w:val="00B96CBD"/>
    <w:rsid w:val="00BA0B5D"/>
    <w:rsid w:val="00BA2713"/>
    <w:rsid w:val="00BA2941"/>
    <w:rsid w:val="00BA3358"/>
    <w:rsid w:val="00BA4C61"/>
    <w:rsid w:val="00BA627A"/>
    <w:rsid w:val="00BB22FA"/>
    <w:rsid w:val="00BC0F60"/>
    <w:rsid w:val="00BC1E70"/>
    <w:rsid w:val="00BD12A1"/>
    <w:rsid w:val="00BD1D09"/>
    <w:rsid w:val="00BD7B83"/>
    <w:rsid w:val="00BE0662"/>
    <w:rsid w:val="00BE0C04"/>
    <w:rsid w:val="00BE625B"/>
    <w:rsid w:val="00BF17C6"/>
    <w:rsid w:val="00BF6F09"/>
    <w:rsid w:val="00BF7F8A"/>
    <w:rsid w:val="00C00FDA"/>
    <w:rsid w:val="00C025FD"/>
    <w:rsid w:val="00C02EB9"/>
    <w:rsid w:val="00C0373C"/>
    <w:rsid w:val="00C04E4B"/>
    <w:rsid w:val="00C052D9"/>
    <w:rsid w:val="00C11531"/>
    <w:rsid w:val="00C11B56"/>
    <w:rsid w:val="00C13D37"/>
    <w:rsid w:val="00C14C04"/>
    <w:rsid w:val="00C1529E"/>
    <w:rsid w:val="00C1576D"/>
    <w:rsid w:val="00C16045"/>
    <w:rsid w:val="00C16050"/>
    <w:rsid w:val="00C175CC"/>
    <w:rsid w:val="00C21E27"/>
    <w:rsid w:val="00C2332A"/>
    <w:rsid w:val="00C25F3C"/>
    <w:rsid w:val="00C3686B"/>
    <w:rsid w:val="00C36A6E"/>
    <w:rsid w:val="00C4010F"/>
    <w:rsid w:val="00C42500"/>
    <w:rsid w:val="00C42EA5"/>
    <w:rsid w:val="00C47106"/>
    <w:rsid w:val="00C50072"/>
    <w:rsid w:val="00C51DF5"/>
    <w:rsid w:val="00C56A2C"/>
    <w:rsid w:val="00C62A16"/>
    <w:rsid w:val="00C62BF5"/>
    <w:rsid w:val="00C636DA"/>
    <w:rsid w:val="00C67E22"/>
    <w:rsid w:val="00C72271"/>
    <w:rsid w:val="00C72A17"/>
    <w:rsid w:val="00C72E48"/>
    <w:rsid w:val="00C752E3"/>
    <w:rsid w:val="00C76671"/>
    <w:rsid w:val="00C81356"/>
    <w:rsid w:val="00C813CA"/>
    <w:rsid w:val="00C813CD"/>
    <w:rsid w:val="00C84654"/>
    <w:rsid w:val="00C858D9"/>
    <w:rsid w:val="00C86A64"/>
    <w:rsid w:val="00C87DA0"/>
    <w:rsid w:val="00C915DA"/>
    <w:rsid w:val="00C93682"/>
    <w:rsid w:val="00C96BDA"/>
    <w:rsid w:val="00C976E5"/>
    <w:rsid w:val="00CA2DAA"/>
    <w:rsid w:val="00CA4E4D"/>
    <w:rsid w:val="00CA6FF9"/>
    <w:rsid w:val="00CA73DA"/>
    <w:rsid w:val="00CB2E3D"/>
    <w:rsid w:val="00CB4238"/>
    <w:rsid w:val="00CB5938"/>
    <w:rsid w:val="00CB5B27"/>
    <w:rsid w:val="00CC13F5"/>
    <w:rsid w:val="00CC16DE"/>
    <w:rsid w:val="00CC1A64"/>
    <w:rsid w:val="00CC30A1"/>
    <w:rsid w:val="00CC34EB"/>
    <w:rsid w:val="00CC4A20"/>
    <w:rsid w:val="00CC4C58"/>
    <w:rsid w:val="00CC59CF"/>
    <w:rsid w:val="00CC66EA"/>
    <w:rsid w:val="00CD0329"/>
    <w:rsid w:val="00CD1253"/>
    <w:rsid w:val="00CD1903"/>
    <w:rsid w:val="00CD3C17"/>
    <w:rsid w:val="00CE1F9C"/>
    <w:rsid w:val="00CE2E48"/>
    <w:rsid w:val="00CE6F79"/>
    <w:rsid w:val="00CF0184"/>
    <w:rsid w:val="00CF336B"/>
    <w:rsid w:val="00CF3E83"/>
    <w:rsid w:val="00CF42C2"/>
    <w:rsid w:val="00CF46D3"/>
    <w:rsid w:val="00CF55F6"/>
    <w:rsid w:val="00CF59E0"/>
    <w:rsid w:val="00CF6672"/>
    <w:rsid w:val="00D00D8E"/>
    <w:rsid w:val="00D021F7"/>
    <w:rsid w:val="00D0248E"/>
    <w:rsid w:val="00D069C7"/>
    <w:rsid w:val="00D0767A"/>
    <w:rsid w:val="00D078A2"/>
    <w:rsid w:val="00D13B29"/>
    <w:rsid w:val="00D17490"/>
    <w:rsid w:val="00D208A7"/>
    <w:rsid w:val="00D21123"/>
    <w:rsid w:val="00D21142"/>
    <w:rsid w:val="00D233D2"/>
    <w:rsid w:val="00D26BB7"/>
    <w:rsid w:val="00D2715C"/>
    <w:rsid w:val="00D274ED"/>
    <w:rsid w:val="00D367EB"/>
    <w:rsid w:val="00D36893"/>
    <w:rsid w:val="00D36C91"/>
    <w:rsid w:val="00D41871"/>
    <w:rsid w:val="00D43314"/>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5ED"/>
    <w:rsid w:val="00D72FD8"/>
    <w:rsid w:val="00D75114"/>
    <w:rsid w:val="00D75B97"/>
    <w:rsid w:val="00D76462"/>
    <w:rsid w:val="00D82EA5"/>
    <w:rsid w:val="00D85803"/>
    <w:rsid w:val="00D92A45"/>
    <w:rsid w:val="00D94759"/>
    <w:rsid w:val="00D9697A"/>
    <w:rsid w:val="00DA2B14"/>
    <w:rsid w:val="00DA3023"/>
    <w:rsid w:val="00DA378E"/>
    <w:rsid w:val="00DA4C48"/>
    <w:rsid w:val="00DA53A4"/>
    <w:rsid w:val="00DA5B10"/>
    <w:rsid w:val="00DA727D"/>
    <w:rsid w:val="00DB3022"/>
    <w:rsid w:val="00DB3B5D"/>
    <w:rsid w:val="00DB53A7"/>
    <w:rsid w:val="00DC1CB6"/>
    <w:rsid w:val="00DC3DC9"/>
    <w:rsid w:val="00DC7240"/>
    <w:rsid w:val="00DD170F"/>
    <w:rsid w:val="00DD3524"/>
    <w:rsid w:val="00DD3C66"/>
    <w:rsid w:val="00DD4FED"/>
    <w:rsid w:val="00DD5449"/>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16E"/>
    <w:rsid w:val="00E34ADE"/>
    <w:rsid w:val="00E40B36"/>
    <w:rsid w:val="00E42A69"/>
    <w:rsid w:val="00E51672"/>
    <w:rsid w:val="00E51C2C"/>
    <w:rsid w:val="00E522FC"/>
    <w:rsid w:val="00E5312A"/>
    <w:rsid w:val="00E55EE5"/>
    <w:rsid w:val="00E56152"/>
    <w:rsid w:val="00E61784"/>
    <w:rsid w:val="00E625B3"/>
    <w:rsid w:val="00E64743"/>
    <w:rsid w:val="00E71ED2"/>
    <w:rsid w:val="00E7257D"/>
    <w:rsid w:val="00E728CB"/>
    <w:rsid w:val="00E7336F"/>
    <w:rsid w:val="00E73D65"/>
    <w:rsid w:val="00E746F2"/>
    <w:rsid w:val="00E74F3B"/>
    <w:rsid w:val="00E76262"/>
    <w:rsid w:val="00E764D3"/>
    <w:rsid w:val="00E7799B"/>
    <w:rsid w:val="00E837E7"/>
    <w:rsid w:val="00E84A6B"/>
    <w:rsid w:val="00E873CF"/>
    <w:rsid w:val="00E92385"/>
    <w:rsid w:val="00E9368C"/>
    <w:rsid w:val="00E93F74"/>
    <w:rsid w:val="00E96DEA"/>
    <w:rsid w:val="00EA1585"/>
    <w:rsid w:val="00EA1FBD"/>
    <w:rsid w:val="00EA332C"/>
    <w:rsid w:val="00EA48AE"/>
    <w:rsid w:val="00EB09E2"/>
    <w:rsid w:val="00EB0FDC"/>
    <w:rsid w:val="00EB15A6"/>
    <w:rsid w:val="00EB187C"/>
    <w:rsid w:val="00EB74A5"/>
    <w:rsid w:val="00EC67E3"/>
    <w:rsid w:val="00EC7A05"/>
    <w:rsid w:val="00EC7E70"/>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4CF3"/>
    <w:rsid w:val="00F0509B"/>
    <w:rsid w:val="00F06EE2"/>
    <w:rsid w:val="00F074DC"/>
    <w:rsid w:val="00F138F8"/>
    <w:rsid w:val="00F13B96"/>
    <w:rsid w:val="00F15632"/>
    <w:rsid w:val="00F16191"/>
    <w:rsid w:val="00F17535"/>
    <w:rsid w:val="00F20949"/>
    <w:rsid w:val="00F24F8F"/>
    <w:rsid w:val="00F257AD"/>
    <w:rsid w:val="00F303B2"/>
    <w:rsid w:val="00F307E0"/>
    <w:rsid w:val="00F30C8D"/>
    <w:rsid w:val="00F34D63"/>
    <w:rsid w:val="00F35434"/>
    <w:rsid w:val="00F411CA"/>
    <w:rsid w:val="00F41BD7"/>
    <w:rsid w:val="00F4295F"/>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A6527"/>
    <w:rsid w:val="00FB26F2"/>
    <w:rsid w:val="00FB321C"/>
    <w:rsid w:val="00FB4CF2"/>
    <w:rsid w:val="00FC071B"/>
    <w:rsid w:val="00FC08EF"/>
    <w:rsid w:val="00FC3D80"/>
    <w:rsid w:val="00FC4845"/>
    <w:rsid w:val="00FC50B9"/>
    <w:rsid w:val="00FC6B03"/>
    <w:rsid w:val="00FD06D5"/>
    <w:rsid w:val="00FD28FF"/>
    <w:rsid w:val="00FD68A1"/>
    <w:rsid w:val="00FD6A11"/>
    <w:rsid w:val="00FD6A3A"/>
    <w:rsid w:val="00FE0985"/>
    <w:rsid w:val="00FE2FA9"/>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876623869">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62988FDB-DEA6-4C54-BF94-85FBEF18D527}"/>
</file>

<file path=customXml/itemProps4.xml><?xml version="1.0" encoding="utf-8"?>
<ds:datastoreItem xmlns:ds="http://schemas.openxmlformats.org/officeDocument/2006/customXml" ds:itemID="{EF8A39F2-5068-45BF-85CC-A816CCABDD3E}">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19950b9c-69ba-4c9a-93bc-55ff189ad0aa"/>
    <ds:schemaRef ds:uri="95c2d1d2-c827-46ba-beaf-02b545c4f6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2308</Words>
  <Characters>13005</Characters>
  <Application>Microsoft Office Word</Application>
  <DocSecurity>0</DocSecurity>
  <Lines>211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2014-02-03T07:10:00Z</cp:lastPrinted>
  <dcterms:created xsi:type="dcterms:W3CDTF">2024-09-09T04:33:00Z</dcterms:created>
  <dcterms:modified xsi:type="dcterms:W3CDTF">2024-09-09T04:33:00Z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DocumentSetDescription">
    <vt:lpwstr/>
  </property>
  <property fmtid="{D5CDD505-2E9C-101B-9397-08002B2CF9AE}" pid="62" name="xd_ProgID">
    <vt:lpwstr/>
  </property>
  <property fmtid="{D5CDD505-2E9C-101B-9397-08002B2CF9AE}" pid="63" name="TemplateUrl">
    <vt:lpwstr/>
  </property>
  <property fmtid="{D5CDD505-2E9C-101B-9397-08002B2CF9AE}" pid="64" name="xd_Signature">
    <vt:bool>false</vt:bool>
  </property>
  <property fmtid="{D5CDD505-2E9C-101B-9397-08002B2CF9AE}" pid="65" name="PM_Originator_Hash_SHA1">
    <vt:lpwstr>C3AD57350F36D8E1BD75F8F67CB06D435C9C43CA</vt:lpwstr>
  </property>
  <property fmtid="{D5CDD505-2E9C-101B-9397-08002B2CF9AE}" pid="66" name="PM_Hash_Salt_Prev">
    <vt:lpwstr>4D30157576990DFE9FDE475F89C84213</vt:lpwstr>
  </property>
  <property fmtid="{D5CDD505-2E9C-101B-9397-08002B2CF9AE}" pid="67" name="PM_Hash_Salt">
    <vt:lpwstr>16C13D897CD81EB9B5D7F4030FDA8DEF</vt:lpwstr>
  </property>
  <property fmtid="{D5CDD505-2E9C-101B-9397-08002B2CF9AE}" pid="68" name="PM_Hash_SHA1">
    <vt:lpwstr>0A2815F7C50B9C8003B889FC871E96B7B5DD17EE</vt:lpwstr>
  </property>
  <property fmtid="{D5CDD505-2E9C-101B-9397-08002B2CF9AE}" pid="69" name="PM_OriginatorUserAccountName_SHA256">
    <vt:lpwstr>6E3018F28A186D2E5FF5207C041E7A82E907C3008E071057026A53705873B72E</vt:lpwstr>
  </property>
  <property fmtid="{D5CDD505-2E9C-101B-9397-08002B2CF9AE}" pid="70" name="PMHMAC">
    <vt:lpwstr>v=2022.1;a=SHA256;h=1208EF5940692C1284F883BD0F79D1951739A4136A8F58988A88055F36BCF0A0</vt:lpwstr>
  </property>
  <property fmtid="{D5CDD505-2E9C-101B-9397-08002B2CF9AE}" pid="71" name="MSIP_Label_c0129afb-6481-4f92-bc9f-5a4a6346364d_ActionId">
    <vt:lpwstr>1152958502ff46eab11b4f44913ce1d4</vt:lpwstr>
  </property>
</Properties>
</file>