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B27F3" w14:textId="77777777" w:rsidR="00715914" w:rsidRPr="00BC57DA" w:rsidRDefault="00DA186E" w:rsidP="00B05CF4">
      <w:pPr>
        <w:rPr>
          <w:sz w:val="28"/>
        </w:rPr>
      </w:pPr>
      <w:r w:rsidRPr="00BC57DA">
        <w:rPr>
          <w:noProof/>
          <w:lang w:eastAsia="en-AU"/>
        </w:rPr>
        <w:drawing>
          <wp:inline distT="0" distB="0" distL="0" distR="0" wp14:anchorId="2557E43C" wp14:editId="01FC71D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875DB" w14:textId="77777777" w:rsidR="00715914" w:rsidRPr="00BC57DA" w:rsidRDefault="00715914" w:rsidP="00715914">
      <w:pPr>
        <w:rPr>
          <w:sz w:val="19"/>
        </w:rPr>
      </w:pPr>
    </w:p>
    <w:p w14:paraId="14FE57EF" w14:textId="77777777" w:rsidR="00715914" w:rsidRPr="00BC57DA" w:rsidRDefault="00657A18" w:rsidP="00715914">
      <w:pPr>
        <w:pStyle w:val="ShortT"/>
      </w:pPr>
      <w:r w:rsidRPr="00BC57DA">
        <w:t>Public Governance, Performance and Accountability (Investment) Authorisation 2024</w:t>
      </w:r>
    </w:p>
    <w:p w14:paraId="7C802B96" w14:textId="77777777" w:rsidR="00657A18" w:rsidRPr="00BC57DA" w:rsidRDefault="00657A18" w:rsidP="001C46B1">
      <w:pPr>
        <w:pStyle w:val="SignCoverPageStart"/>
        <w:rPr>
          <w:szCs w:val="22"/>
        </w:rPr>
      </w:pPr>
      <w:r w:rsidRPr="00BC57DA">
        <w:rPr>
          <w:szCs w:val="22"/>
        </w:rPr>
        <w:t>I, Katy Gallagher, Minister for Finance, make the following authorisation.</w:t>
      </w:r>
    </w:p>
    <w:p w14:paraId="5C15096F" w14:textId="12BF7831" w:rsidR="00657A18" w:rsidRPr="00BC57DA" w:rsidRDefault="00657A18" w:rsidP="001C46B1">
      <w:pPr>
        <w:keepNext/>
        <w:spacing w:before="300" w:line="240" w:lineRule="atLeast"/>
        <w:ind w:right="397"/>
        <w:jc w:val="both"/>
        <w:rPr>
          <w:szCs w:val="22"/>
        </w:rPr>
      </w:pPr>
      <w:r w:rsidRPr="00BC57DA">
        <w:rPr>
          <w:szCs w:val="22"/>
        </w:rPr>
        <w:t>Dated</w:t>
      </w:r>
      <w:r w:rsidRPr="00BC57DA">
        <w:rPr>
          <w:szCs w:val="22"/>
        </w:rPr>
        <w:tab/>
      </w:r>
      <w:r w:rsidR="00334111">
        <w:rPr>
          <w:szCs w:val="22"/>
        </w:rPr>
        <w:tab/>
      </w:r>
      <w:r w:rsidR="006C7E53">
        <w:rPr>
          <w:szCs w:val="22"/>
        </w:rPr>
        <w:t xml:space="preserve">5 September </w:t>
      </w:r>
      <w:r w:rsidRPr="00BC57DA">
        <w:rPr>
          <w:szCs w:val="22"/>
        </w:rPr>
        <w:fldChar w:fldCharType="begin"/>
      </w:r>
      <w:r w:rsidRPr="00BC57DA">
        <w:rPr>
          <w:szCs w:val="22"/>
        </w:rPr>
        <w:instrText xml:space="preserve"> DOCPROPERTY  DateMade </w:instrText>
      </w:r>
      <w:r w:rsidRPr="00BC57DA">
        <w:rPr>
          <w:szCs w:val="22"/>
        </w:rPr>
        <w:fldChar w:fldCharType="separate"/>
      </w:r>
      <w:r w:rsidR="00F43D27">
        <w:rPr>
          <w:szCs w:val="22"/>
        </w:rPr>
        <w:t>2024</w:t>
      </w:r>
      <w:r w:rsidRPr="00BC57DA">
        <w:rPr>
          <w:szCs w:val="22"/>
        </w:rPr>
        <w:fldChar w:fldCharType="end"/>
      </w:r>
    </w:p>
    <w:p w14:paraId="2E17CF8D" w14:textId="77777777" w:rsidR="00657A18" w:rsidRPr="00BC57DA" w:rsidRDefault="00657A18" w:rsidP="001C46B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C57DA">
        <w:rPr>
          <w:szCs w:val="22"/>
        </w:rPr>
        <w:t>Katy Gallagher</w:t>
      </w:r>
    </w:p>
    <w:p w14:paraId="62822119" w14:textId="77777777" w:rsidR="00657A18" w:rsidRPr="00BC57DA" w:rsidRDefault="00657A18" w:rsidP="001C46B1">
      <w:pPr>
        <w:pStyle w:val="SignCoverPageEnd"/>
        <w:rPr>
          <w:szCs w:val="22"/>
        </w:rPr>
      </w:pPr>
      <w:r w:rsidRPr="00BC57DA">
        <w:rPr>
          <w:szCs w:val="22"/>
        </w:rPr>
        <w:t>Minister for Finance</w:t>
      </w:r>
    </w:p>
    <w:p w14:paraId="353CA3DC" w14:textId="77777777" w:rsidR="00657A18" w:rsidRPr="00BC57DA" w:rsidRDefault="00657A18" w:rsidP="001C46B1"/>
    <w:p w14:paraId="7266F859" w14:textId="77777777" w:rsidR="00715914" w:rsidRPr="00465843" w:rsidRDefault="00715914" w:rsidP="00715914">
      <w:pPr>
        <w:pStyle w:val="Header"/>
        <w:tabs>
          <w:tab w:val="clear" w:pos="4150"/>
          <w:tab w:val="clear" w:pos="8307"/>
        </w:tabs>
      </w:pPr>
      <w:r w:rsidRPr="00465843">
        <w:rPr>
          <w:rStyle w:val="CharChapNo"/>
        </w:rPr>
        <w:t xml:space="preserve"> </w:t>
      </w:r>
      <w:r w:rsidRPr="00465843">
        <w:rPr>
          <w:rStyle w:val="CharChapText"/>
        </w:rPr>
        <w:t xml:space="preserve"> </w:t>
      </w:r>
    </w:p>
    <w:p w14:paraId="73526ED5" w14:textId="77777777" w:rsidR="00715914" w:rsidRPr="00465843" w:rsidRDefault="00715914" w:rsidP="00715914">
      <w:pPr>
        <w:pStyle w:val="Header"/>
        <w:tabs>
          <w:tab w:val="clear" w:pos="4150"/>
          <w:tab w:val="clear" w:pos="8307"/>
        </w:tabs>
      </w:pPr>
      <w:r w:rsidRPr="00465843">
        <w:rPr>
          <w:rStyle w:val="CharPartNo"/>
        </w:rPr>
        <w:t xml:space="preserve"> </w:t>
      </w:r>
      <w:r w:rsidRPr="00465843">
        <w:rPr>
          <w:rStyle w:val="CharPartText"/>
        </w:rPr>
        <w:t xml:space="preserve"> </w:t>
      </w:r>
    </w:p>
    <w:p w14:paraId="3C72CF00" w14:textId="77777777" w:rsidR="00715914" w:rsidRPr="00465843" w:rsidRDefault="00715914" w:rsidP="00715914">
      <w:pPr>
        <w:pStyle w:val="Header"/>
        <w:tabs>
          <w:tab w:val="clear" w:pos="4150"/>
          <w:tab w:val="clear" w:pos="8307"/>
        </w:tabs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1B7C02F3" w14:textId="77777777" w:rsidR="00715914" w:rsidRPr="00BC57DA" w:rsidRDefault="00715914" w:rsidP="00715914">
      <w:pPr>
        <w:sectPr w:rsidR="00715914" w:rsidRPr="00BC57DA" w:rsidSect="009F46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89F6D8" w14:textId="77777777" w:rsidR="00F67BCA" w:rsidRPr="00BC57DA" w:rsidRDefault="00715914" w:rsidP="00715914">
      <w:pPr>
        <w:outlineLvl w:val="0"/>
        <w:rPr>
          <w:sz w:val="36"/>
        </w:rPr>
      </w:pPr>
      <w:r w:rsidRPr="00BC57DA">
        <w:rPr>
          <w:sz w:val="36"/>
        </w:rPr>
        <w:lastRenderedPageBreak/>
        <w:t>Contents</w:t>
      </w:r>
    </w:p>
    <w:p w14:paraId="6ACFC31D" w14:textId="4A5A9B07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_Toc175046635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1</w:t>
      </w:r>
      <w:r w:rsidRPr="008A75DE">
        <w:rPr>
          <w:b w:val="0"/>
          <w:noProof/>
          <w:sz w:val="18"/>
        </w:rPr>
        <w:fldChar w:fldCharType="end"/>
      </w:r>
    </w:p>
    <w:p w14:paraId="3F7D191C" w14:textId="693809C6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_Toc175046636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1</w:t>
      </w:r>
      <w:r w:rsidRPr="008A75DE">
        <w:rPr>
          <w:noProof/>
        </w:rPr>
        <w:fldChar w:fldCharType="end"/>
      </w:r>
    </w:p>
    <w:p w14:paraId="3D391E77" w14:textId="7D40AAC0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_Toc175046637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1</w:t>
      </w:r>
      <w:r w:rsidRPr="008A75DE">
        <w:rPr>
          <w:noProof/>
        </w:rPr>
        <w:fldChar w:fldCharType="end"/>
      </w:r>
    </w:p>
    <w:p w14:paraId="53528628" w14:textId="17A4303C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_Toc175046638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1</w:t>
      </w:r>
      <w:r w:rsidRPr="008A75DE">
        <w:rPr>
          <w:noProof/>
        </w:rPr>
        <w:fldChar w:fldCharType="end"/>
      </w:r>
    </w:p>
    <w:p w14:paraId="1FF19EF3" w14:textId="44A908CC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_Toc175046639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1</w:t>
      </w:r>
      <w:r w:rsidRPr="008A75DE">
        <w:rPr>
          <w:noProof/>
        </w:rPr>
        <w:fldChar w:fldCharType="end"/>
      </w:r>
    </w:p>
    <w:p w14:paraId="136B91C5" w14:textId="15871953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_Toc175046640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1</w:t>
      </w:r>
      <w:r w:rsidRPr="008A75DE">
        <w:rPr>
          <w:noProof/>
        </w:rPr>
        <w:fldChar w:fldCharType="end"/>
      </w:r>
    </w:p>
    <w:p w14:paraId="20C3DC9A" w14:textId="7D4A8444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2—The Australian Broadcasting Corporation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_Toc175046641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3</w:t>
      </w:r>
      <w:r w:rsidRPr="008A75DE">
        <w:rPr>
          <w:b w:val="0"/>
          <w:noProof/>
          <w:sz w:val="18"/>
        </w:rPr>
        <w:fldChar w:fldCharType="end"/>
      </w:r>
    </w:p>
    <w:p w14:paraId="14F2D5F7" w14:textId="3FE8CA1A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Authorisation for the Australian Broadcasting Corporation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_Toc175046642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3</w:t>
      </w:r>
      <w:r w:rsidRPr="008A75DE">
        <w:rPr>
          <w:noProof/>
        </w:rPr>
        <w:fldChar w:fldCharType="end"/>
      </w:r>
    </w:p>
    <w:p w14:paraId="43072C4A" w14:textId="2C58EBBD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3—The Export Finance and Insurance Corporation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_Toc175046643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4</w:t>
      </w:r>
      <w:r w:rsidRPr="008A75DE">
        <w:rPr>
          <w:b w:val="0"/>
          <w:noProof/>
          <w:sz w:val="18"/>
        </w:rPr>
        <w:fldChar w:fldCharType="end"/>
      </w:r>
    </w:p>
    <w:p w14:paraId="053AD845" w14:textId="5E85865B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Authorisation for the Export Finance and Insurance Corporation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_Toc175046644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4</w:t>
      </w:r>
      <w:r w:rsidRPr="008A75DE">
        <w:rPr>
          <w:noProof/>
        </w:rPr>
        <w:fldChar w:fldCharType="end"/>
      </w:r>
    </w:p>
    <w:p w14:paraId="3D878A2F" w14:textId="2A1107AA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4—The Grains Research and Development Corporation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_Toc175046645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5</w:t>
      </w:r>
      <w:r w:rsidRPr="008A75DE">
        <w:rPr>
          <w:b w:val="0"/>
          <w:noProof/>
          <w:sz w:val="18"/>
        </w:rPr>
        <w:fldChar w:fldCharType="end"/>
      </w:r>
    </w:p>
    <w:p w14:paraId="13CD12FB" w14:textId="77BDE9DA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Authorisation for the Grains Research and Development Corporation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_Toc175046646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5</w:t>
      </w:r>
      <w:r w:rsidRPr="008A75DE">
        <w:rPr>
          <w:noProof/>
        </w:rPr>
        <w:fldChar w:fldCharType="end"/>
      </w:r>
    </w:p>
    <w:p w14:paraId="3D5DDBDC" w14:textId="4EB2735B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5—The Rural Industries Research and Development Corporation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_Toc175046647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6</w:t>
      </w:r>
      <w:r w:rsidRPr="008A75DE">
        <w:rPr>
          <w:b w:val="0"/>
          <w:noProof/>
          <w:sz w:val="18"/>
        </w:rPr>
        <w:fldChar w:fldCharType="end"/>
      </w:r>
    </w:p>
    <w:p w14:paraId="54C854FF" w14:textId="381441E9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Authorisation for the Rural Industries Research and Development Corporation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_Toc175046648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6</w:t>
      </w:r>
      <w:r w:rsidRPr="008A75DE">
        <w:rPr>
          <w:noProof/>
        </w:rPr>
        <w:fldChar w:fldCharType="end"/>
      </w:r>
    </w:p>
    <w:p w14:paraId="24719ED1" w14:textId="09EC2C76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6—The Commonwealth Scientific and Industrial Research Organisation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_Toc175046649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7</w:t>
      </w:r>
      <w:r w:rsidRPr="008A75DE">
        <w:rPr>
          <w:b w:val="0"/>
          <w:noProof/>
          <w:sz w:val="18"/>
        </w:rPr>
        <w:fldChar w:fldCharType="end"/>
      </w:r>
    </w:p>
    <w:p w14:paraId="35E68C25" w14:textId="719D3305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Authorisation for the Commonwealth Scientific and Industrial Research Organisation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_Toc175046650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7</w:t>
      </w:r>
      <w:r w:rsidRPr="008A75DE">
        <w:rPr>
          <w:noProof/>
        </w:rPr>
        <w:fldChar w:fldCharType="end"/>
      </w:r>
    </w:p>
    <w:p w14:paraId="689B4792" w14:textId="466A418D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7—The Civil Aviation Safety Authority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_Toc175046651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8</w:t>
      </w:r>
      <w:r w:rsidRPr="008A75DE">
        <w:rPr>
          <w:b w:val="0"/>
          <w:noProof/>
          <w:sz w:val="18"/>
        </w:rPr>
        <w:fldChar w:fldCharType="end"/>
      </w:r>
    </w:p>
    <w:p w14:paraId="2815ADF7" w14:textId="3B755699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Authorisation for the Civil Aviation Safety Authority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_Toc175046652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8</w:t>
      </w:r>
      <w:r w:rsidRPr="008A75DE">
        <w:rPr>
          <w:noProof/>
        </w:rPr>
        <w:fldChar w:fldCharType="end"/>
      </w:r>
    </w:p>
    <w:p w14:paraId="62BFB538" w14:textId="3FAF58A2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8—Australian Hearing Services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_Toc175046653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9</w:t>
      </w:r>
      <w:r w:rsidRPr="008A75DE">
        <w:rPr>
          <w:b w:val="0"/>
          <w:noProof/>
          <w:sz w:val="18"/>
        </w:rPr>
        <w:fldChar w:fldCharType="end"/>
      </w:r>
    </w:p>
    <w:p w14:paraId="6F981309" w14:textId="14956C2B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Authorisation for Australian Hearing Services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_Toc175046654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9</w:t>
      </w:r>
      <w:r w:rsidRPr="008A75DE">
        <w:rPr>
          <w:noProof/>
        </w:rPr>
        <w:fldChar w:fldCharType="end"/>
      </w:r>
    </w:p>
    <w:p w14:paraId="381F3D7A" w14:textId="58E6B2DA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9—The Australian Nuclear Science and Technology Organisation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_Toc175046655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10</w:t>
      </w:r>
      <w:r w:rsidRPr="008A75DE">
        <w:rPr>
          <w:b w:val="0"/>
          <w:noProof/>
          <w:sz w:val="18"/>
        </w:rPr>
        <w:fldChar w:fldCharType="end"/>
      </w:r>
    </w:p>
    <w:p w14:paraId="218638E1" w14:textId="2C95D344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Authorisation for the Australian Nuclear Science and Technology Organisation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_Toc175046656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10</w:t>
      </w:r>
      <w:r w:rsidRPr="008A75DE">
        <w:rPr>
          <w:noProof/>
        </w:rPr>
        <w:fldChar w:fldCharType="end"/>
      </w:r>
    </w:p>
    <w:p w14:paraId="3540D51F" w14:textId="66BF91B0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10—Airservices Australia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_Toc175046657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11</w:t>
      </w:r>
      <w:r w:rsidRPr="008A75DE">
        <w:rPr>
          <w:b w:val="0"/>
          <w:noProof/>
          <w:sz w:val="18"/>
        </w:rPr>
        <w:fldChar w:fldCharType="end"/>
      </w:r>
    </w:p>
    <w:p w14:paraId="133CE7BF" w14:textId="164A5B77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Authorisation for Airservices Australia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_Toc175046658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11</w:t>
      </w:r>
      <w:r w:rsidRPr="008A75DE">
        <w:rPr>
          <w:noProof/>
        </w:rPr>
        <w:fldChar w:fldCharType="end"/>
      </w:r>
    </w:p>
    <w:p w14:paraId="229349EE" w14:textId="49B4B8C5" w:rsidR="008A75DE" w:rsidRDefault="008A75D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11—Housing Australia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_Toc175046659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12</w:t>
      </w:r>
      <w:r w:rsidRPr="008A75DE">
        <w:rPr>
          <w:b w:val="0"/>
          <w:noProof/>
          <w:sz w:val="18"/>
        </w:rPr>
        <w:fldChar w:fldCharType="end"/>
      </w:r>
    </w:p>
    <w:p w14:paraId="0787E424" w14:textId="546338F4" w:rsidR="008A75DE" w:rsidRDefault="008A75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Authorisation for Housing Australia</w:t>
      </w:r>
      <w:r w:rsidRPr="008A75DE">
        <w:rPr>
          <w:noProof/>
        </w:rPr>
        <w:tab/>
      </w:r>
      <w:r w:rsidRPr="008A75DE">
        <w:rPr>
          <w:noProof/>
        </w:rPr>
        <w:fldChar w:fldCharType="begin"/>
      </w:r>
      <w:r w:rsidRPr="008A75DE">
        <w:rPr>
          <w:noProof/>
        </w:rPr>
        <w:instrText xml:space="preserve"> PAGEREF _Toc175046660 \h </w:instrText>
      </w:r>
      <w:r w:rsidRPr="008A75DE">
        <w:rPr>
          <w:noProof/>
        </w:rPr>
      </w:r>
      <w:r w:rsidRPr="008A75DE">
        <w:rPr>
          <w:noProof/>
        </w:rPr>
        <w:fldChar w:fldCharType="separate"/>
      </w:r>
      <w:r w:rsidR="004D45CA">
        <w:rPr>
          <w:noProof/>
        </w:rPr>
        <w:t>12</w:t>
      </w:r>
      <w:r w:rsidRPr="008A75DE">
        <w:rPr>
          <w:noProof/>
        </w:rPr>
        <w:fldChar w:fldCharType="end"/>
      </w:r>
    </w:p>
    <w:p w14:paraId="0347E0CB" w14:textId="1FF60D5A" w:rsidR="008A75DE" w:rsidRDefault="008A75D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8A75DE">
        <w:rPr>
          <w:b w:val="0"/>
          <w:noProof/>
          <w:sz w:val="18"/>
        </w:rPr>
        <w:tab/>
      </w:r>
      <w:r w:rsidRPr="008A75DE">
        <w:rPr>
          <w:b w:val="0"/>
          <w:noProof/>
          <w:sz w:val="18"/>
        </w:rPr>
        <w:fldChar w:fldCharType="begin"/>
      </w:r>
      <w:r w:rsidRPr="008A75DE">
        <w:rPr>
          <w:b w:val="0"/>
          <w:noProof/>
          <w:sz w:val="18"/>
        </w:rPr>
        <w:instrText xml:space="preserve"> PAGEREF _Toc175046661 \h </w:instrText>
      </w:r>
      <w:r w:rsidRPr="008A75DE">
        <w:rPr>
          <w:b w:val="0"/>
          <w:noProof/>
          <w:sz w:val="18"/>
        </w:rPr>
      </w:r>
      <w:r w:rsidRPr="008A75DE">
        <w:rPr>
          <w:b w:val="0"/>
          <w:noProof/>
          <w:sz w:val="18"/>
        </w:rPr>
        <w:fldChar w:fldCharType="separate"/>
      </w:r>
      <w:r w:rsidR="004D45CA">
        <w:rPr>
          <w:b w:val="0"/>
          <w:noProof/>
          <w:sz w:val="18"/>
        </w:rPr>
        <w:t>13</w:t>
      </w:r>
      <w:r w:rsidRPr="008A75DE">
        <w:rPr>
          <w:b w:val="0"/>
          <w:noProof/>
          <w:sz w:val="18"/>
        </w:rPr>
        <w:fldChar w:fldCharType="end"/>
      </w:r>
    </w:p>
    <w:p w14:paraId="7787898F" w14:textId="4D00E64E" w:rsidR="008A75DE" w:rsidRDefault="008A75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(Investment) Authorisation 2014</w:t>
      </w:r>
      <w:r w:rsidRPr="008A75DE">
        <w:rPr>
          <w:i w:val="0"/>
          <w:noProof/>
          <w:sz w:val="18"/>
        </w:rPr>
        <w:tab/>
      </w:r>
      <w:r w:rsidRPr="008A75DE">
        <w:rPr>
          <w:i w:val="0"/>
          <w:noProof/>
          <w:sz w:val="18"/>
        </w:rPr>
        <w:fldChar w:fldCharType="begin"/>
      </w:r>
      <w:r w:rsidRPr="008A75DE">
        <w:rPr>
          <w:i w:val="0"/>
          <w:noProof/>
          <w:sz w:val="18"/>
        </w:rPr>
        <w:instrText xml:space="preserve"> PAGEREF _Toc175046662 \h </w:instrText>
      </w:r>
      <w:r w:rsidRPr="008A75DE">
        <w:rPr>
          <w:i w:val="0"/>
          <w:noProof/>
          <w:sz w:val="18"/>
        </w:rPr>
      </w:r>
      <w:r w:rsidRPr="008A75DE">
        <w:rPr>
          <w:i w:val="0"/>
          <w:noProof/>
          <w:sz w:val="18"/>
        </w:rPr>
        <w:fldChar w:fldCharType="separate"/>
      </w:r>
      <w:r w:rsidR="004D45CA">
        <w:rPr>
          <w:i w:val="0"/>
          <w:noProof/>
          <w:sz w:val="18"/>
        </w:rPr>
        <w:t>13</w:t>
      </w:r>
      <w:r w:rsidRPr="008A75DE">
        <w:rPr>
          <w:i w:val="0"/>
          <w:noProof/>
          <w:sz w:val="18"/>
        </w:rPr>
        <w:fldChar w:fldCharType="end"/>
      </w:r>
    </w:p>
    <w:p w14:paraId="25B52D89" w14:textId="77777777" w:rsidR="00670EA1" w:rsidRPr="00BC57DA" w:rsidRDefault="008A75DE" w:rsidP="00715914">
      <w:r>
        <w:fldChar w:fldCharType="end"/>
      </w:r>
    </w:p>
    <w:p w14:paraId="32A0B19E" w14:textId="77777777" w:rsidR="00670EA1" w:rsidRPr="00BC57DA" w:rsidRDefault="00670EA1" w:rsidP="00715914">
      <w:pPr>
        <w:sectPr w:rsidR="00670EA1" w:rsidRPr="00BC57DA" w:rsidSect="009F46B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CAD3DD" w14:textId="77777777" w:rsidR="00715914" w:rsidRPr="00BC57DA" w:rsidRDefault="00715914" w:rsidP="00715914">
      <w:pPr>
        <w:pStyle w:val="ActHead2"/>
      </w:pPr>
      <w:bookmarkStart w:id="0" w:name="_Toc175046635"/>
      <w:r w:rsidRPr="00465843">
        <w:rPr>
          <w:rStyle w:val="CharPartNo"/>
        </w:rPr>
        <w:lastRenderedPageBreak/>
        <w:t>Part 1</w:t>
      </w:r>
      <w:r w:rsidRPr="00BC57DA">
        <w:t>—</w:t>
      </w:r>
      <w:r w:rsidRPr="00465843">
        <w:rPr>
          <w:rStyle w:val="CharPartText"/>
        </w:rPr>
        <w:t>Preliminary</w:t>
      </w:r>
      <w:bookmarkEnd w:id="0"/>
    </w:p>
    <w:p w14:paraId="552E9A7A" w14:textId="77777777" w:rsidR="00715914" w:rsidRPr="00465843" w:rsidRDefault="00715914" w:rsidP="00715914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77E92850" w14:textId="77777777" w:rsidR="00715914" w:rsidRPr="00BC57DA" w:rsidRDefault="00552FBA" w:rsidP="00715914">
      <w:pPr>
        <w:pStyle w:val="ActHead5"/>
      </w:pPr>
      <w:bookmarkStart w:id="1" w:name="_Toc175046636"/>
      <w:r w:rsidRPr="00465843">
        <w:rPr>
          <w:rStyle w:val="CharSectno"/>
        </w:rPr>
        <w:t>1</w:t>
      </w:r>
      <w:r w:rsidR="00715914" w:rsidRPr="00BC57DA">
        <w:t xml:space="preserve">  </w:t>
      </w:r>
      <w:r w:rsidR="00CE493D" w:rsidRPr="00BC57DA">
        <w:t>Name</w:t>
      </w:r>
      <w:bookmarkEnd w:id="1"/>
    </w:p>
    <w:p w14:paraId="46BC77C7" w14:textId="77777777" w:rsidR="00715914" w:rsidRPr="00BC57DA" w:rsidRDefault="00715914" w:rsidP="00715914">
      <w:pPr>
        <w:pStyle w:val="subsection"/>
      </w:pPr>
      <w:r w:rsidRPr="00BC57DA">
        <w:tab/>
      </w:r>
      <w:r w:rsidRPr="00BC57DA">
        <w:tab/>
      </w:r>
      <w:r w:rsidR="00657A18" w:rsidRPr="00BC57DA">
        <w:t>This instrument is</w:t>
      </w:r>
      <w:r w:rsidR="00CE493D" w:rsidRPr="00BC57DA">
        <w:t xml:space="preserve"> the </w:t>
      </w:r>
      <w:r w:rsidR="00126F00">
        <w:rPr>
          <w:i/>
          <w:noProof/>
        </w:rPr>
        <w:t>Public Governance, Performance and Accountability (Investment) Authorisation 2024</w:t>
      </w:r>
      <w:r w:rsidRPr="00BC57DA">
        <w:t>.</w:t>
      </w:r>
    </w:p>
    <w:p w14:paraId="474BEABA" w14:textId="77777777" w:rsidR="00715914" w:rsidRPr="00BC57DA" w:rsidRDefault="00552FBA" w:rsidP="00715914">
      <w:pPr>
        <w:pStyle w:val="ActHead5"/>
      </w:pPr>
      <w:bookmarkStart w:id="2" w:name="_Toc175046637"/>
      <w:r w:rsidRPr="00465843">
        <w:rPr>
          <w:rStyle w:val="CharSectno"/>
        </w:rPr>
        <w:t>2</w:t>
      </w:r>
      <w:r w:rsidR="00715914" w:rsidRPr="00BC57DA">
        <w:t xml:space="preserve">  Commencement</w:t>
      </w:r>
      <w:bookmarkEnd w:id="2"/>
    </w:p>
    <w:p w14:paraId="4678CED1" w14:textId="77777777" w:rsidR="00AE3652" w:rsidRPr="00BC57DA" w:rsidRDefault="00807626" w:rsidP="00AE3652">
      <w:pPr>
        <w:pStyle w:val="subsection"/>
      </w:pPr>
      <w:r w:rsidRPr="00BC57DA">
        <w:tab/>
      </w:r>
      <w:r w:rsidR="00AE3652" w:rsidRPr="00BC57DA">
        <w:t>(1)</w:t>
      </w:r>
      <w:r w:rsidR="00AE3652" w:rsidRPr="00BC57DA">
        <w:tab/>
        <w:t xml:space="preserve">Each provision of </w:t>
      </w:r>
      <w:r w:rsidR="00657A18" w:rsidRPr="00BC57DA">
        <w:t>this instrument</w:t>
      </w:r>
      <w:r w:rsidR="00AE3652" w:rsidRPr="00BC57DA">
        <w:t xml:space="preserve"> specified in column 1 of the table commences, or is taken to have commenced, in accordance with column 2 of the table. Any other statement in column 2 has effect according to its terms.</w:t>
      </w:r>
    </w:p>
    <w:p w14:paraId="23A2FB53" w14:textId="77777777" w:rsidR="00AE3652" w:rsidRPr="00BC57DA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BC57DA" w14:paraId="42B3112B" w14:textId="77777777" w:rsidTr="001C46B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9058FF" w14:textId="77777777" w:rsidR="00AE3652" w:rsidRPr="00BC57DA" w:rsidRDefault="00AE3652" w:rsidP="001C46B1">
            <w:pPr>
              <w:pStyle w:val="TableHeading"/>
            </w:pPr>
            <w:r w:rsidRPr="00BC57DA">
              <w:t>Commencement information</w:t>
            </w:r>
          </w:p>
        </w:tc>
      </w:tr>
      <w:tr w:rsidR="00AE3652" w:rsidRPr="00BC57DA" w14:paraId="5A08E71A" w14:textId="77777777" w:rsidTr="001C46B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A672FD" w14:textId="77777777" w:rsidR="00AE3652" w:rsidRPr="00BC57DA" w:rsidRDefault="00AE3652" w:rsidP="001C46B1">
            <w:pPr>
              <w:pStyle w:val="TableHeading"/>
            </w:pPr>
            <w:r w:rsidRPr="00BC57D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9641FC" w14:textId="77777777" w:rsidR="00AE3652" w:rsidRPr="00BC57DA" w:rsidRDefault="00AE3652" w:rsidP="001C46B1">
            <w:pPr>
              <w:pStyle w:val="TableHeading"/>
            </w:pPr>
            <w:r w:rsidRPr="00BC57D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6E0D81" w14:textId="77777777" w:rsidR="00AE3652" w:rsidRPr="00BC57DA" w:rsidRDefault="00AE3652" w:rsidP="001C46B1">
            <w:pPr>
              <w:pStyle w:val="TableHeading"/>
            </w:pPr>
            <w:r w:rsidRPr="00BC57DA">
              <w:t>Colum</w:t>
            </w:r>
            <w:bookmarkStart w:id="3" w:name="_GoBack"/>
            <w:bookmarkEnd w:id="3"/>
            <w:r w:rsidRPr="00BC57DA">
              <w:t>n 3</w:t>
            </w:r>
          </w:p>
        </w:tc>
      </w:tr>
      <w:tr w:rsidR="00AE3652" w:rsidRPr="00BC57DA" w14:paraId="324C29B3" w14:textId="77777777" w:rsidTr="001C46B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96B719" w14:textId="77777777" w:rsidR="00AE3652" w:rsidRPr="00BC57DA" w:rsidRDefault="00AE3652" w:rsidP="001C46B1">
            <w:pPr>
              <w:pStyle w:val="TableHeading"/>
            </w:pPr>
            <w:r w:rsidRPr="00BC57D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FB0E15" w14:textId="77777777" w:rsidR="00AE3652" w:rsidRPr="00BC57DA" w:rsidRDefault="00AE3652" w:rsidP="001C46B1">
            <w:pPr>
              <w:pStyle w:val="TableHeading"/>
            </w:pPr>
            <w:r w:rsidRPr="00BC57D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57E07E" w14:textId="77777777" w:rsidR="00AE3652" w:rsidRPr="00BC57DA" w:rsidRDefault="00AE3652" w:rsidP="001C46B1">
            <w:pPr>
              <w:pStyle w:val="TableHeading"/>
            </w:pPr>
            <w:r w:rsidRPr="00BC57DA">
              <w:t>Date/Details</w:t>
            </w:r>
          </w:p>
        </w:tc>
      </w:tr>
      <w:tr w:rsidR="00AE3652" w:rsidRPr="00BC57DA" w14:paraId="27D12E3F" w14:textId="77777777" w:rsidTr="001C46B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E88F65" w14:textId="77777777" w:rsidR="00AE3652" w:rsidRPr="00BC57DA" w:rsidRDefault="00AE3652" w:rsidP="001C46B1">
            <w:pPr>
              <w:pStyle w:val="Tabletext"/>
            </w:pPr>
            <w:r w:rsidRPr="00BC57DA">
              <w:t xml:space="preserve">1.  The whole of </w:t>
            </w:r>
            <w:r w:rsidR="00657A18" w:rsidRPr="00BC57D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D1E797" w14:textId="77777777" w:rsidR="00AE3652" w:rsidRPr="00BC57DA" w:rsidRDefault="00AE3652" w:rsidP="001C46B1">
            <w:pPr>
              <w:pStyle w:val="Tabletext"/>
            </w:pPr>
            <w:r w:rsidRPr="00BC57DA">
              <w:t xml:space="preserve">The day after </w:t>
            </w:r>
            <w:r w:rsidR="00657A18" w:rsidRPr="00BC57DA">
              <w:t>this instrument is</w:t>
            </w:r>
            <w:r w:rsidRPr="00BC57D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AE53C9" w14:textId="346E19A5" w:rsidR="00AE3652" w:rsidRPr="00BC57DA" w:rsidRDefault="00FD1D5E" w:rsidP="001C46B1">
            <w:pPr>
              <w:pStyle w:val="Tabletext"/>
            </w:pPr>
            <w:r>
              <w:t>12 September 2024</w:t>
            </w:r>
          </w:p>
        </w:tc>
      </w:tr>
    </w:tbl>
    <w:p w14:paraId="1EE7F3C4" w14:textId="77777777" w:rsidR="00AE3652" w:rsidRPr="00BC57DA" w:rsidRDefault="00AE3652" w:rsidP="00AE3652">
      <w:pPr>
        <w:pStyle w:val="notetext"/>
        <w:rPr>
          <w:snapToGrid w:val="0"/>
          <w:lang w:eastAsia="en-US"/>
        </w:rPr>
      </w:pPr>
      <w:r w:rsidRPr="00BC57DA">
        <w:rPr>
          <w:snapToGrid w:val="0"/>
          <w:lang w:eastAsia="en-US"/>
        </w:rPr>
        <w:t>Note:</w:t>
      </w:r>
      <w:r w:rsidRPr="00BC57DA">
        <w:rPr>
          <w:snapToGrid w:val="0"/>
          <w:lang w:eastAsia="en-US"/>
        </w:rPr>
        <w:tab/>
        <w:t xml:space="preserve">This table relates only to the provisions of </w:t>
      </w:r>
      <w:r w:rsidR="00657A18" w:rsidRPr="00BC57DA">
        <w:rPr>
          <w:snapToGrid w:val="0"/>
          <w:lang w:eastAsia="en-US"/>
        </w:rPr>
        <w:t>this instrument</w:t>
      </w:r>
      <w:r w:rsidRPr="00BC57DA">
        <w:t xml:space="preserve"> </w:t>
      </w:r>
      <w:r w:rsidRPr="00BC57DA">
        <w:rPr>
          <w:snapToGrid w:val="0"/>
          <w:lang w:eastAsia="en-US"/>
        </w:rPr>
        <w:t xml:space="preserve">as originally made. It will not be amended to deal with any later amendments of </w:t>
      </w:r>
      <w:r w:rsidR="00657A18" w:rsidRPr="00BC57DA">
        <w:rPr>
          <w:snapToGrid w:val="0"/>
          <w:lang w:eastAsia="en-US"/>
        </w:rPr>
        <w:t>this instrument</w:t>
      </w:r>
      <w:r w:rsidRPr="00BC57DA">
        <w:rPr>
          <w:snapToGrid w:val="0"/>
          <w:lang w:eastAsia="en-US"/>
        </w:rPr>
        <w:t>.</w:t>
      </w:r>
    </w:p>
    <w:p w14:paraId="437F679E" w14:textId="77777777" w:rsidR="00807626" w:rsidRPr="00BC57DA" w:rsidRDefault="00AE3652" w:rsidP="00AE3652">
      <w:pPr>
        <w:pStyle w:val="subsection"/>
      </w:pPr>
      <w:r w:rsidRPr="00BC57DA">
        <w:tab/>
        <w:t>(2)</w:t>
      </w:r>
      <w:r w:rsidRPr="00BC57DA">
        <w:tab/>
        <w:t xml:space="preserve">Any information in column 3 of the table is not part of </w:t>
      </w:r>
      <w:r w:rsidR="00657A18" w:rsidRPr="00BC57DA">
        <w:t>this instrument</w:t>
      </w:r>
      <w:r w:rsidRPr="00BC57DA">
        <w:t xml:space="preserve">. Information may be inserted in this column, or information in it may be edited, in any published version of </w:t>
      </w:r>
      <w:r w:rsidR="00657A18" w:rsidRPr="00BC57DA">
        <w:t>this instrument</w:t>
      </w:r>
      <w:r w:rsidRPr="00BC57DA">
        <w:t>.</w:t>
      </w:r>
    </w:p>
    <w:p w14:paraId="09B6E1D5" w14:textId="77777777" w:rsidR="007500C8" w:rsidRPr="00BC57DA" w:rsidRDefault="00552FBA" w:rsidP="007500C8">
      <w:pPr>
        <w:pStyle w:val="ActHead5"/>
      </w:pPr>
      <w:bookmarkStart w:id="4" w:name="_Toc175046638"/>
      <w:r w:rsidRPr="00465843">
        <w:rPr>
          <w:rStyle w:val="CharSectno"/>
        </w:rPr>
        <w:t>3</w:t>
      </w:r>
      <w:r w:rsidR="007500C8" w:rsidRPr="00BC57DA">
        <w:t xml:space="preserve">  Authority</w:t>
      </w:r>
      <w:bookmarkEnd w:id="4"/>
    </w:p>
    <w:p w14:paraId="48025C27" w14:textId="77777777" w:rsidR="00157B8B" w:rsidRPr="00BC57DA" w:rsidRDefault="007500C8" w:rsidP="007E667A">
      <w:pPr>
        <w:pStyle w:val="subsection"/>
      </w:pPr>
      <w:r w:rsidRPr="00BC57DA">
        <w:tab/>
      </w:r>
      <w:r w:rsidRPr="00BC57DA">
        <w:tab/>
      </w:r>
      <w:r w:rsidR="003D2F88" w:rsidRPr="00BC57DA">
        <w:t xml:space="preserve">This </w:t>
      </w:r>
      <w:r w:rsidR="009A7ABB" w:rsidRPr="00BC57DA">
        <w:t>instrument</w:t>
      </w:r>
      <w:r w:rsidR="003D2F88" w:rsidRPr="00BC57DA">
        <w:t xml:space="preserve"> is made under </w:t>
      </w:r>
      <w:r w:rsidR="0004501F" w:rsidRPr="00BC57DA">
        <w:t>subparagraph 5</w:t>
      </w:r>
      <w:r w:rsidR="00A57CF9" w:rsidRPr="00BC57DA">
        <w:t>9</w:t>
      </w:r>
      <w:r w:rsidR="003D2F88" w:rsidRPr="00BC57DA">
        <w:t xml:space="preserve">(1)(b)(iii) of the </w:t>
      </w:r>
      <w:r w:rsidR="003D2F88" w:rsidRPr="00BC57DA">
        <w:rPr>
          <w:i/>
        </w:rPr>
        <w:t>Public Governance, Performance and Accountability Act 2013</w:t>
      </w:r>
      <w:r w:rsidR="003D2F88" w:rsidRPr="00BC57DA">
        <w:t>.</w:t>
      </w:r>
    </w:p>
    <w:p w14:paraId="1D9631B7" w14:textId="77777777" w:rsidR="001C46B1" w:rsidRPr="00BC57DA" w:rsidRDefault="00552FBA" w:rsidP="001C46B1">
      <w:pPr>
        <w:pStyle w:val="ActHead5"/>
      </w:pPr>
      <w:bookmarkStart w:id="5" w:name="_Toc175046639"/>
      <w:r w:rsidRPr="00465843">
        <w:rPr>
          <w:rStyle w:val="CharSectno"/>
        </w:rPr>
        <w:t>4</w:t>
      </w:r>
      <w:r w:rsidR="001C46B1" w:rsidRPr="00BC57DA">
        <w:t xml:space="preserve">  Schedules</w:t>
      </w:r>
      <w:bookmarkEnd w:id="5"/>
    </w:p>
    <w:p w14:paraId="25FE0263" w14:textId="77777777" w:rsidR="001C46B1" w:rsidRPr="00BC57DA" w:rsidRDefault="001C46B1" w:rsidP="001C46B1">
      <w:pPr>
        <w:pStyle w:val="subsection"/>
      </w:pPr>
      <w:r w:rsidRPr="00BC57DA">
        <w:tab/>
      </w:r>
      <w:r w:rsidRPr="00BC57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CAE5FB1" w14:textId="77777777" w:rsidR="00976525" w:rsidRPr="00BC57DA" w:rsidRDefault="00552FBA" w:rsidP="00976525">
      <w:pPr>
        <w:pStyle w:val="ActHead5"/>
      </w:pPr>
      <w:bookmarkStart w:id="6" w:name="_Toc175046640"/>
      <w:r w:rsidRPr="00465843">
        <w:rPr>
          <w:rStyle w:val="CharSectno"/>
        </w:rPr>
        <w:t>5</w:t>
      </w:r>
      <w:r w:rsidR="00976525" w:rsidRPr="00BC57DA">
        <w:t xml:space="preserve">  Definitions</w:t>
      </w:r>
      <w:bookmarkEnd w:id="6"/>
    </w:p>
    <w:p w14:paraId="6899C6F7" w14:textId="77777777" w:rsidR="00976525" w:rsidRPr="00BC57DA" w:rsidRDefault="00976525" w:rsidP="00976525">
      <w:pPr>
        <w:pStyle w:val="subsection"/>
      </w:pPr>
      <w:r w:rsidRPr="00BC57DA">
        <w:tab/>
      </w:r>
      <w:r w:rsidRPr="00BC57DA">
        <w:tab/>
        <w:t xml:space="preserve">In this </w:t>
      </w:r>
      <w:r w:rsidR="009A7ABB" w:rsidRPr="00BC57DA">
        <w:t>instrument</w:t>
      </w:r>
      <w:r w:rsidRPr="00BC57DA">
        <w:t>:</w:t>
      </w:r>
    </w:p>
    <w:p w14:paraId="6E72DE60" w14:textId="77777777" w:rsidR="00976525" w:rsidRPr="00BC57DA" w:rsidRDefault="00976525" w:rsidP="00976525">
      <w:pPr>
        <w:pStyle w:val="Definition"/>
      </w:pPr>
      <w:bookmarkStart w:id="7" w:name="_Hlk171519491"/>
      <w:r w:rsidRPr="00BC57DA">
        <w:rPr>
          <w:b/>
          <w:i/>
        </w:rPr>
        <w:t>approved bank</w:t>
      </w:r>
      <w:r w:rsidRPr="00BC57DA">
        <w:t xml:space="preserve"> means a person that carries on the business of banking in Australia:</w:t>
      </w:r>
    </w:p>
    <w:p w14:paraId="47C9F140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the operations of which are subject to prudential supervision or regulation under a law of the Commonwealth, a State or a Territory; and</w:t>
      </w:r>
    </w:p>
    <w:p w14:paraId="2938FF24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the business of which has a Standard and Poor’s long</w:t>
      </w:r>
      <w:r w:rsidR="00BC57DA">
        <w:noBreakHyphen/>
      </w:r>
      <w:r w:rsidRPr="00BC57DA">
        <w:t>term rating of:</w:t>
      </w:r>
    </w:p>
    <w:p w14:paraId="0AA0C838" w14:textId="77777777" w:rsidR="00976525" w:rsidRPr="00BC57DA" w:rsidRDefault="00976525" w:rsidP="00976525">
      <w:pPr>
        <w:pStyle w:val="paragraphsub"/>
      </w:pPr>
      <w:r w:rsidRPr="00BC57DA">
        <w:tab/>
        <w:t>(i)</w:t>
      </w:r>
      <w:r w:rsidRPr="00BC57DA">
        <w:tab/>
        <w:t xml:space="preserve">for a Part other than </w:t>
      </w:r>
      <w:r w:rsidR="0004501F" w:rsidRPr="00BC57DA">
        <w:t>Part 3</w:t>
      </w:r>
      <w:r w:rsidRPr="00BC57DA">
        <w:t>—A</w:t>
      </w:r>
      <w:r w:rsidR="00BC57DA">
        <w:noBreakHyphen/>
      </w:r>
      <w:r w:rsidRPr="00BC57DA">
        <w:t xml:space="preserve"> (or the Moody’s or Fitch’s equivalent) or better; and</w:t>
      </w:r>
    </w:p>
    <w:p w14:paraId="552DD267" w14:textId="77777777" w:rsidR="00976525" w:rsidRPr="00BC57DA" w:rsidRDefault="00976525" w:rsidP="00976525">
      <w:pPr>
        <w:pStyle w:val="paragraphsub"/>
      </w:pPr>
      <w:r w:rsidRPr="00BC57DA">
        <w:lastRenderedPageBreak/>
        <w:tab/>
        <w:t>(ii)</w:t>
      </w:r>
      <w:r w:rsidRPr="00BC57DA">
        <w:tab/>
        <w:t xml:space="preserve">for </w:t>
      </w:r>
      <w:r w:rsidR="0004501F" w:rsidRPr="00BC57DA">
        <w:t>Part 3</w:t>
      </w:r>
      <w:r w:rsidRPr="00BC57DA">
        <w:t>—BBB</w:t>
      </w:r>
      <w:r w:rsidR="00BC57DA">
        <w:noBreakHyphen/>
      </w:r>
      <w:r w:rsidRPr="00BC57DA">
        <w:t xml:space="preserve"> (or the Moody’s or Fitch’s equivalent) or better.</w:t>
      </w:r>
    </w:p>
    <w:bookmarkEnd w:id="7"/>
    <w:p w14:paraId="59ED8CE3" w14:textId="77777777" w:rsidR="00976525" w:rsidRPr="00BC57DA" w:rsidRDefault="00976525" w:rsidP="00976525">
      <w:pPr>
        <w:pStyle w:val="Definition"/>
      </w:pPr>
      <w:r w:rsidRPr="00BC57DA">
        <w:rPr>
          <w:b/>
          <w:bCs/>
          <w:i/>
        </w:rPr>
        <w:t>approved entity</w:t>
      </w:r>
      <w:r w:rsidRPr="00BC57DA">
        <w:rPr>
          <w:b/>
          <w:bCs/>
        </w:rPr>
        <w:t xml:space="preserve"> </w:t>
      </w:r>
      <w:r w:rsidRPr="00BC57DA">
        <w:t>means an entity that operates inside or outside Australia and has a Standard and Poor’s long</w:t>
      </w:r>
      <w:r w:rsidR="00BC57DA">
        <w:noBreakHyphen/>
      </w:r>
      <w:r w:rsidRPr="00BC57DA">
        <w:t>term rating of AA</w:t>
      </w:r>
      <w:r w:rsidR="00BC57DA">
        <w:noBreakHyphen/>
      </w:r>
      <w:r w:rsidRPr="00BC57DA">
        <w:t xml:space="preserve"> (or the Moody’s or Fitch’s equivalent) or better.</w:t>
      </w:r>
    </w:p>
    <w:p w14:paraId="0942C7A5" w14:textId="77777777" w:rsidR="00976525" w:rsidRPr="00BC57DA" w:rsidRDefault="00976525" w:rsidP="00976525">
      <w:pPr>
        <w:pStyle w:val="Definition"/>
      </w:pPr>
      <w:r w:rsidRPr="00BC57DA">
        <w:rPr>
          <w:b/>
          <w:i/>
        </w:rPr>
        <w:t>dematerialised security</w:t>
      </w:r>
      <w:r w:rsidRPr="00BC57DA">
        <w:t xml:space="preserve"> means a dematerialised security that is deposited in the Austraclear System.</w:t>
      </w:r>
    </w:p>
    <w:p w14:paraId="61F1BCFC" w14:textId="77777777" w:rsidR="00976525" w:rsidRPr="00BC57DA" w:rsidRDefault="00976525" w:rsidP="00976525">
      <w:pPr>
        <w:pStyle w:val="notetext"/>
      </w:pPr>
      <w:r w:rsidRPr="00BC57DA">
        <w:t>Note:</w:t>
      </w:r>
      <w:r w:rsidRPr="00BC57DA">
        <w:tab/>
        <w:t>Information about the Austraclear System could in 20</w:t>
      </w:r>
      <w:r w:rsidR="00DE5876" w:rsidRPr="00BC57DA">
        <w:t>2</w:t>
      </w:r>
      <w:r w:rsidRPr="00BC57DA">
        <w:t>4 be viewed on the Australian Securities Exchange’s website (http</w:t>
      </w:r>
      <w:r w:rsidR="00DE5876" w:rsidRPr="00BC57DA">
        <w:t>s</w:t>
      </w:r>
      <w:r w:rsidRPr="00BC57DA">
        <w:t>://www.asx.com.au).</w:t>
      </w:r>
    </w:p>
    <w:p w14:paraId="11EC0AA8" w14:textId="77777777" w:rsidR="00976525" w:rsidRPr="00BC57DA" w:rsidRDefault="00976525" w:rsidP="00976525">
      <w:pPr>
        <w:pStyle w:val="Definition"/>
      </w:pPr>
      <w:r w:rsidRPr="00BC57DA">
        <w:rPr>
          <w:b/>
          <w:i/>
        </w:rPr>
        <w:t>securities</w:t>
      </w:r>
      <w:r w:rsidRPr="00BC57DA">
        <w:t>:</w:t>
      </w:r>
    </w:p>
    <w:p w14:paraId="27619338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means debentures, bonds, promissory notes, commercial paper, bills of exchange, certificates of deposit and fixed and floating rate notes issued under a senior debt program, and their dematerialised security equivalents; but</w:t>
      </w:r>
    </w:p>
    <w:p w14:paraId="65598A0F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does not include any instrument or document that is in the nature of equity, subordinate debt or hybrid equity.</w:t>
      </w:r>
    </w:p>
    <w:p w14:paraId="37123C90" w14:textId="77777777" w:rsidR="00976525" w:rsidRPr="00BC57DA" w:rsidRDefault="00976525" w:rsidP="00976525">
      <w:pPr>
        <w:pStyle w:val="Definition"/>
      </w:pPr>
      <w:r w:rsidRPr="00BC57DA">
        <w:rPr>
          <w:b/>
          <w:bCs/>
          <w:i/>
        </w:rPr>
        <w:t>senior debt</w:t>
      </w:r>
      <w:r w:rsidRPr="00BC57DA">
        <w:rPr>
          <w:bCs/>
        </w:rPr>
        <w:t xml:space="preserve"> </w:t>
      </w:r>
      <w:r w:rsidRPr="00BC57DA">
        <w:rPr>
          <w:b/>
          <w:bCs/>
          <w:i/>
        </w:rPr>
        <w:t>program</w:t>
      </w:r>
      <w:r w:rsidRPr="00BC57DA">
        <w:rPr>
          <w:bCs/>
        </w:rPr>
        <w:t xml:space="preserve"> </w:t>
      </w:r>
      <w:r w:rsidRPr="00BC57DA">
        <w:t>means a program under which debt:</w:t>
      </w:r>
    </w:p>
    <w:p w14:paraId="51AA355B" w14:textId="77777777" w:rsidR="00976525" w:rsidRPr="00BC57DA" w:rsidRDefault="00976525" w:rsidP="00976525">
      <w:pPr>
        <w:pStyle w:val="paragraph"/>
      </w:pPr>
      <w:r w:rsidRPr="00BC57DA">
        <w:rPr>
          <w:bCs/>
        </w:rPr>
        <w:tab/>
      </w:r>
      <w:r w:rsidRPr="00BC57DA">
        <w:t>(a)</w:t>
      </w:r>
      <w:r w:rsidRPr="00BC57DA">
        <w:tab/>
        <w:t>is issued and ranked ahead of other debt; and</w:t>
      </w:r>
    </w:p>
    <w:p w14:paraId="09CDC41F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has priority if debt has to be redeemed in cases of liquidation.</w:t>
      </w:r>
    </w:p>
    <w:p w14:paraId="35E9877E" w14:textId="77777777" w:rsidR="00976525" w:rsidRPr="00BC57DA" w:rsidRDefault="00976525" w:rsidP="00976525">
      <w:pPr>
        <w:pStyle w:val="ActHead2"/>
        <w:pageBreakBefore/>
      </w:pPr>
      <w:bookmarkStart w:id="8" w:name="_Toc175046641"/>
      <w:r w:rsidRPr="00465843">
        <w:rPr>
          <w:rStyle w:val="CharPartNo"/>
        </w:rPr>
        <w:lastRenderedPageBreak/>
        <w:t>Part 2</w:t>
      </w:r>
      <w:r w:rsidRPr="00BC57DA">
        <w:t>—</w:t>
      </w:r>
      <w:r w:rsidRPr="00465843">
        <w:rPr>
          <w:rStyle w:val="CharPartText"/>
        </w:rPr>
        <w:t>The Australian Broadcasting Corporation</w:t>
      </w:r>
      <w:bookmarkEnd w:id="8"/>
    </w:p>
    <w:p w14:paraId="5AFFC962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21DDA1ED" w14:textId="77777777" w:rsidR="00976525" w:rsidRPr="00BC57DA" w:rsidRDefault="00552FBA" w:rsidP="00976525">
      <w:pPr>
        <w:pStyle w:val="ActHead5"/>
      </w:pPr>
      <w:bookmarkStart w:id="9" w:name="_Toc175046642"/>
      <w:r w:rsidRPr="00465843">
        <w:rPr>
          <w:rStyle w:val="CharSectno"/>
        </w:rPr>
        <w:t>6</w:t>
      </w:r>
      <w:r w:rsidR="00976525" w:rsidRPr="00BC57DA">
        <w:t xml:space="preserve">  Authorisation for the Australian Broadcasting Corporation</w:t>
      </w:r>
      <w:bookmarkEnd w:id="9"/>
    </w:p>
    <w:p w14:paraId="4E99B519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>The Australian Broadcasting Corporation is authorised to invest relevant money for which the Corporation is responsible in accordance with this section.</w:t>
      </w:r>
    </w:p>
    <w:p w14:paraId="79C55C2A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The Corporation may invest in one or more of the following:</w:t>
      </w:r>
    </w:p>
    <w:p w14:paraId="236DC087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bills of exchange accepted or endorsed only by an approved bank;</w:t>
      </w:r>
    </w:p>
    <w:p w14:paraId="447FCBE4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dematerialised securities that are the equivalent of the bills of exchange covered by paragraph (a);</w:t>
      </w:r>
    </w:p>
    <w:p w14:paraId="75BDC34A" w14:textId="77777777" w:rsidR="00976525" w:rsidRPr="00BC57DA" w:rsidRDefault="00976525" w:rsidP="00976525">
      <w:pPr>
        <w:pStyle w:val="paragraph"/>
      </w:pPr>
      <w:r w:rsidRPr="00BC57DA">
        <w:tab/>
        <w:t>(c)</w:t>
      </w:r>
      <w:r w:rsidRPr="00BC57DA">
        <w:tab/>
        <w:t>certificates of deposit with an approved bank;</w:t>
      </w:r>
    </w:p>
    <w:p w14:paraId="0BF9E971" w14:textId="77777777" w:rsidR="00976525" w:rsidRPr="00BC57DA" w:rsidRDefault="00976525" w:rsidP="00976525">
      <w:pPr>
        <w:pStyle w:val="paragraph"/>
      </w:pPr>
      <w:r w:rsidRPr="00BC57DA">
        <w:tab/>
        <w:t>(d)</w:t>
      </w:r>
      <w:r w:rsidRPr="00BC57DA">
        <w:tab/>
        <w:t>dematerialised securities that are the equivalent of the certificates of deposit covered by paragraph (c).</w:t>
      </w:r>
    </w:p>
    <w:p w14:paraId="0D7D5BC3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be:</w:t>
      </w:r>
    </w:p>
    <w:p w14:paraId="1D35F4CD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the name of the Corporation; and</w:t>
      </w:r>
    </w:p>
    <w:p w14:paraId="39FD0F5A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denominated in Australian currency.</w:t>
      </w:r>
    </w:p>
    <w:p w14:paraId="3C42AFFC" w14:textId="77777777" w:rsidR="00976525" w:rsidRPr="00BC57DA" w:rsidRDefault="0004501F" w:rsidP="00976525">
      <w:pPr>
        <w:pStyle w:val="ActHead2"/>
        <w:pageBreakBefore/>
      </w:pPr>
      <w:bookmarkStart w:id="10" w:name="_Toc175046643"/>
      <w:r w:rsidRPr="00465843">
        <w:rPr>
          <w:rStyle w:val="CharPartNo"/>
        </w:rPr>
        <w:lastRenderedPageBreak/>
        <w:t>Part 3</w:t>
      </w:r>
      <w:r w:rsidR="00976525" w:rsidRPr="00BC57DA">
        <w:t>—</w:t>
      </w:r>
      <w:r w:rsidR="00976525" w:rsidRPr="00465843">
        <w:rPr>
          <w:rStyle w:val="CharPartText"/>
        </w:rPr>
        <w:t>The Export Finance and Insurance Corporation</w:t>
      </w:r>
      <w:bookmarkEnd w:id="10"/>
    </w:p>
    <w:p w14:paraId="65662A8A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1B7AE1BA" w14:textId="77777777" w:rsidR="00976525" w:rsidRPr="00BC57DA" w:rsidRDefault="00552FBA" w:rsidP="00976525">
      <w:pPr>
        <w:pStyle w:val="ActHead5"/>
      </w:pPr>
      <w:bookmarkStart w:id="11" w:name="_Toc175046644"/>
      <w:r w:rsidRPr="00465843">
        <w:rPr>
          <w:rStyle w:val="CharSectno"/>
        </w:rPr>
        <w:t>7</w:t>
      </w:r>
      <w:r w:rsidR="00976525" w:rsidRPr="00BC57DA">
        <w:t xml:space="preserve">  Authorisation for the Export Finance and Insurance Corporation</w:t>
      </w:r>
      <w:bookmarkEnd w:id="11"/>
    </w:p>
    <w:p w14:paraId="54325E22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>The Export Finance and Insurance Corporation is authorised to invest relevant money for which the Corporation is responsible in accordance with this section.</w:t>
      </w:r>
    </w:p>
    <w:p w14:paraId="2B5215B8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The Corporation may invest money in one or more of the following ways:</w:t>
      </w:r>
    </w:p>
    <w:p w14:paraId="071805BF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securities issued by an approved bank;</w:t>
      </w:r>
    </w:p>
    <w:p w14:paraId="3FA111F4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on deposit with, or in securities issued or guaranteed by, an approved entity.</w:t>
      </w:r>
    </w:p>
    <w:p w14:paraId="213AA5DE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 in the name of the Corporation.</w:t>
      </w:r>
    </w:p>
    <w:p w14:paraId="61FA0286" w14:textId="77777777" w:rsidR="00976525" w:rsidRPr="00BC57DA" w:rsidRDefault="00976525" w:rsidP="00976525">
      <w:pPr>
        <w:pStyle w:val="subsection"/>
      </w:pPr>
      <w:r w:rsidRPr="00BC57DA">
        <w:tab/>
        <w:t>(4)</w:t>
      </w:r>
      <w:r w:rsidRPr="00BC57DA">
        <w:tab/>
        <w:t>Subsections (5) to (7) apply if an investment:</w:t>
      </w:r>
    </w:p>
    <w:p w14:paraId="4F3FB674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is covered by paragraph (2)(a) (securities issued by an approved bank); and</w:t>
      </w:r>
    </w:p>
    <w:p w14:paraId="5A476FEF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has a Standard and Poor’s long</w:t>
      </w:r>
      <w:r w:rsidR="00BC57DA">
        <w:noBreakHyphen/>
      </w:r>
      <w:r w:rsidRPr="00BC57DA">
        <w:t>term rating lower than A</w:t>
      </w:r>
      <w:r w:rsidR="00BC57DA">
        <w:noBreakHyphen/>
      </w:r>
      <w:r w:rsidR="0068616A" w:rsidRPr="00BC57DA">
        <w:t xml:space="preserve"> </w:t>
      </w:r>
      <w:r w:rsidRPr="00BC57DA">
        <w:t>(or the Moody’s or Fitch’s equivalent).</w:t>
      </w:r>
    </w:p>
    <w:p w14:paraId="019DFDF8" w14:textId="77777777" w:rsidR="00976525" w:rsidRPr="00BC57DA" w:rsidRDefault="00976525" w:rsidP="00976525">
      <w:pPr>
        <w:pStyle w:val="subsection"/>
      </w:pPr>
      <w:r w:rsidRPr="00BC57DA">
        <w:tab/>
        <w:t>(5)</w:t>
      </w:r>
      <w:r w:rsidRPr="00BC57DA">
        <w:tab/>
        <w:t>The investment, together with any other such investments of the Corporation in the approved bank, must not exceed 10% of the total investments of the Corporation.</w:t>
      </w:r>
    </w:p>
    <w:p w14:paraId="2524B3EA" w14:textId="77777777" w:rsidR="00976525" w:rsidRPr="00BC57DA" w:rsidRDefault="00976525" w:rsidP="00976525">
      <w:pPr>
        <w:pStyle w:val="subsection"/>
      </w:pPr>
      <w:r w:rsidRPr="00BC57DA">
        <w:tab/>
        <w:t>(6)</w:t>
      </w:r>
      <w:r w:rsidRPr="00BC57DA">
        <w:tab/>
        <w:t>The investment, together with any other such investments of the Corporation in any approved bank, must not exceed 25% of the total investments of the Corporation.</w:t>
      </w:r>
    </w:p>
    <w:p w14:paraId="0C16E0EB" w14:textId="77777777" w:rsidR="00976525" w:rsidRPr="00BC57DA" w:rsidRDefault="00976525" w:rsidP="00976525">
      <w:pPr>
        <w:pStyle w:val="subsection"/>
      </w:pPr>
      <w:r w:rsidRPr="00BC57DA">
        <w:tab/>
        <w:t>(7)</w:t>
      </w:r>
      <w:r w:rsidRPr="00BC57DA">
        <w:tab/>
        <w:t>The investment:</w:t>
      </w:r>
    </w:p>
    <w:p w14:paraId="64BF4C3B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must not have a term longer than 3 years; and</w:t>
      </w:r>
    </w:p>
    <w:p w14:paraId="19DC661D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if the investment has a term longer than 6 months—must be able to be traded in the secondary market.</w:t>
      </w:r>
    </w:p>
    <w:p w14:paraId="37462D45" w14:textId="77777777" w:rsidR="00976525" w:rsidRPr="00BC57DA" w:rsidRDefault="00976525" w:rsidP="00976525">
      <w:pPr>
        <w:pStyle w:val="ActHead2"/>
        <w:pageBreakBefore/>
      </w:pPr>
      <w:bookmarkStart w:id="12" w:name="_Toc175046645"/>
      <w:r w:rsidRPr="00465843">
        <w:rPr>
          <w:rStyle w:val="CharPartNo"/>
        </w:rPr>
        <w:lastRenderedPageBreak/>
        <w:t>Part 4</w:t>
      </w:r>
      <w:r w:rsidRPr="00BC57DA">
        <w:t>—</w:t>
      </w:r>
      <w:r w:rsidRPr="00465843">
        <w:rPr>
          <w:rStyle w:val="CharPartText"/>
        </w:rPr>
        <w:t>The Grains Research and Development Corporation</w:t>
      </w:r>
      <w:bookmarkEnd w:id="12"/>
    </w:p>
    <w:p w14:paraId="1A437587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29007E22" w14:textId="77777777" w:rsidR="00976525" w:rsidRPr="00BC57DA" w:rsidRDefault="00552FBA" w:rsidP="00976525">
      <w:pPr>
        <w:pStyle w:val="ActHead5"/>
      </w:pPr>
      <w:bookmarkStart w:id="13" w:name="_Toc175046646"/>
      <w:r w:rsidRPr="00465843">
        <w:rPr>
          <w:rStyle w:val="CharSectno"/>
        </w:rPr>
        <w:t>8</w:t>
      </w:r>
      <w:r w:rsidR="00976525" w:rsidRPr="00BC57DA">
        <w:t xml:space="preserve">  Authorisation for the Grains Research and Development Corporation</w:t>
      </w:r>
      <w:bookmarkEnd w:id="13"/>
    </w:p>
    <w:p w14:paraId="12F399C6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>The Grains Research and Development Corporation is authorised to invest relevant money for which the Corporation is responsible in accordance with this section.</w:t>
      </w:r>
    </w:p>
    <w:p w14:paraId="265EF5FB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The Corporation may invest in one or more of the following:</w:t>
      </w:r>
    </w:p>
    <w:p w14:paraId="240F68BD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bills of exchange accepted or endorsed only by an approved bank;</w:t>
      </w:r>
    </w:p>
    <w:p w14:paraId="7E31EA3B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dematerialised securities that are the equivalent of the bills of exchange covered by paragraph (a);</w:t>
      </w:r>
    </w:p>
    <w:p w14:paraId="5BF3D5E3" w14:textId="77777777" w:rsidR="00976525" w:rsidRPr="00BC57DA" w:rsidRDefault="00976525" w:rsidP="00976525">
      <w:pPr>
        <w:pStyle w:val="paragraph"/>
      </w:pPr>
      <w:r w:rsidRPr="00BC57DA">
        <w:tab/>
        <w:t>(c)</w:t>
      </w:r>
      <w:r w:rsidRPr="00BC57DA">
        <w:tab/>
        <w:t>certificates of deposit with an approved bank;</w:t>
      </w:r>
    </w:p>
    <w:p w14:paraId="34615A6E" w14:textId="77777777" w:rsidR="00976525" w:rsidRPr="00BC57DA" w:rsidRDefault="00976525" w:rsidP="00976525">
      <w:pPr>
        <w:pStyle w:val="paragraph"/>
      </w:pPr>
      <w:r w:rsidRPr="00BC57DA">
        <w:tab/>
        <w:t>(d)</w:t>
      </w:r>
      <w:r w:rsidRPr="00BC57DA">
        <w:tab/>
        <w:t>dematerialised securities that are the equivalent of the certificates of deposit covered by paragraph (c);</w:t>
      </w:r>
    </w:p>
    <w:p w14:paraId="15D6F632" w14:textId="77777777" w:rsidR="00976525" w:rsidRPr="00BC57DA" w:rsidRDefault="00976525" w:rsidP="00976525">
      <w:pPr>
        <w:pStyle w:val="paragraph"/>
      </w:pPr>
      <w:r w:rsidRPr="00BC57DA">
        <w:tab/>
        <w:t>(e)</w:t>
      </w:r>
      <w:r w:rsidRPr="00BC57DA">
        <w:tab/>
        <w:t>floating rate notes issued by an approved bank under a senior debt program;</w:t>
      </w:r>
    </w:p>
    <w:p w14:paraId="72AF9389" w14:textId="77777777" w:rsidR="00976525" w:rsidRPr="00BC57DA" w:rsidRDefault="00976525" w:rsidP="00976525">
      <w:pPr>
        <w:pStyle w:val="paragraph"/>
      </w:pPr>
      <w:r w:rsidRPr="00BC57DA">
        <w:tab/>
        <w:t>(f)</w:t>
      </w:r>
      <w:r w:rsidRPr="00BC57DA">
        <w:tab/>
        <w:t>dematerialised securities that are the equivalent of the floating rate notes covered by paragraph (e);</w:t>
      </w:r>
    </w:p>
    <w:p w14:paraId="54BBD186" w14:textId="77777777" w:rsidR="00976525" w:rsidRPr="00BC57DA" w:rsidRDefault="00976525" w:rsidP="00976525">
      <w:pPr>
        <w:pStyle w:val="paragraph"/>
      </w:pPr>
      <w:r w:rsidRPr="00BC57DA">
        <w:tab/>
        <w:t>(g)</w:t>
      </w:r>
      <w:r w:rsidRPr="00BC57DA">
        <w:tab/>
        <w:t>11 am call deposits with an approved bank.</w:t>
      </w:r>
    </w:p>
    <w:p w14:paraId="4461EB1B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be:</w:t>
      </w:r>
    </w:p>
    <w:p w14:paraId="7B853416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the name of the Corporation; and</w:t>
      </w:r>
    </w:p>
    <w:p w14:paraId="402C228F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denominated in Australian currency.</w:t>
      </w:r>
    </w:p>
    <w:p w14:paraId="78369772" w14:textId="77777777" w:rsidR="00976525" w:rsidRPr="00BC57DA" w:rsidRDefault="00976525" w:rsidP="00976525">
      <w:pPr>
        <w:pStyle w:val="subsection"/>
      </w:pPr>
      <w:r w:rsidRPr="00BC57DA">
        <w:tab/>
        <w:t>(4)</w:t>
      </w:r>
      <w:r w:rsidRPr="00BC57DA">
        <w:tab/>
        <w:t>If an investment is covered by paragraph (2)(e) or (f), the investment, together with any other investments of the Corporation covered by either of those paragraphs, must not exceed 20% of the total investments of the Corporation.</w:t>
      </w:r>
    </w:p>
    <w:p w14:paraId="615CE5E6" w14:textId="77777777" w:rsidR="00976525" w:rsidRPr="00BC57DA" w:rsidRDefault="00976525" w:rsidP="00976525">
      <w:pPr>
        <w:pStyle w:val="ActHead2"/>
        <w:pageBreakBefore/>
      </w:pPr>
      <w:bookmarkStart w:id="14" w:name="_Toc175046647"/>
      <w:r w:rsidRPr="00465843">
        <w:rPr>
          <w:rStyle w:val="CharPartNo"/>
        </w:rPr>
        <w:lastRenderedPageBreak/>
        <w:t>Part 5</w:t>
      </w:r>
      <w:r w:rsidRPr="00BC57DA">
        <w:t>—</w:t>
      </w:r>
      <w:r w:rsidRPr="00465843">
        <w:rPr>
          <w:rStyle w:val="CharPartText"/>
        </w:rPr>
        <w:t>The Rural Industries Research and Development Corporation</w:t>
      </w:r>
      <w:bookmarkEnd w:id="14"/>
    </w:p>
    <w:p w14:paraId="43ECA190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67FEF890" w14:textId="77777777" w:rsidR="00976525" w:rsidRPr="00BC57DA" w:rsidRDefault="00552FBA" w:rsidP="00976525">
      <w:pPr>
        <w:pStyle w:val="ActHead5"/>
      </w:pPr>
      <w:bookmarkStart w:id="15" w:name="_Toc175046648"/>
      <w:r w:rsidRPr="00465843">
        <w:rPr>
          <w:rStyle w:val="CharSectno"/>
        </w:rPr>
        <w:t>9</w:t>
      </w:r>
      <w:r w:rsidR="00976525" w:rsidRPr="00BC57DA">
        <w:t xml:space="preserve">  Authorisation for the Rural Industries Research and Development Corporation</w:t>
      </w:r>
      <w:bookmarkEnd w:id="15"/>
    </w:p>
    <w:p w14:paraId="3B9291B1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>The Rural Industries Research and Development Corporation is authorised to invest relevant money for which the Corporation is responsible in accordance with this section.</w:t>
      </w:r>
    </w:p>
    <w:p w14:paraId="00EC03EE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The Corporation may invest in one or more of the following:</w:t>
      </w:r>
    </w:p>
    <w:p w14:paraId="795F5FA7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bills of exchange accepted or endorsed only by an approved bank;</w:t>
      </w:r>
    </w:p>
    <w:p w14:paraId="5AE59196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dematerialised securities that are the equivalent of the bills of exchange covered by paragraph (a).</w:t>
      </w:r>
    </w:p>
    <w:p w14:paraId="340F1FE7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be:</w:t>
      </w:r>
    </w:p>
    <w:p w14:paraId="4347B6C9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the name of the Corporation; and</w:t>
      </w:r>
    </w:p>
    <w:p w14:paraId="313C1D01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denominated in Australian currency.</w:t>
      </w:r>
    </w:p>
    <w:p w14:paraId="6A317CFD" w14:textId="77777777" w:rsidR="00976525" w:rsidRPr="00BC57DA" w:rsidRDefault="00976525" w:rsidP="00976525">
      <w:pPr>
        <w:pStyle w:val="ActHead2"/>
        <w:pageBreakBefore/>
      </w:pPr>
      <w:bookmarkStart w:id="16" w:name="_Toc175046649"/>
      <w:r w:rsidRPr="00465843">
        <w:rPr>
          <w:rStyle w:val="CharPartNo"/>
        </w:rPr>
        <w:lastRenderedPageBreak/>
        <w:t>Part 6</w:t>
      </w:r>
      <w:r w:rsidRPr="00BC57DA">
        <w:t>—</w:t>
      </w:r>
      <w:r w:rsidRPr="00465843">
        <w:rPr>
          <w:rStyle w:val="CharPartText"/>
        </w:rPr>
        <w:t>The Commonwealth Scientific and Industrial Research Organisation</w:t>
      </w:r>
      <w:bookmarkEnd w:id="16"/>
    </w:p>
    <w:p w14:paraId="0794D6A5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73FB3E85" w14:textId="77777777" w:rsidR="00976525" w:rsidRPr="00BC57DA" w:rsidRDefault="00552FBA" w:rsidP="00976525">
      <w:pPr>
        <w:pStyle w:val="ActHead5"/>
      </w:pPr>
      <w:bookmarkStart w:id="17" w:name="_Toc175046650"/>
      <w:r w:rsidRPr="00465843">
        <w:rPr>
          <w:rStyle w:val="CharSectno"/>
        </w:rPr>
        <w:t>10</w:t>
      </w:r>
      <w:r w:rsidR="00976525" w:rsidRPr="00BC57DA">
        <w:t xml:space="preserve">  Authorisation for the Commonwealth Scientific and Industrial Research Organisation</w:t>
      </w:r>
      <w:bookmarkEnd w:id="17"/>
    </w:p>
    <w:p w14:paraId="089A7892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>The Commonwealth Scientific and Industrial Research Organisation is authorised to invest relevant money for which the Organisation is responsible in accordance with this section.</w:t>
      </w:r>
    </w:p>
    <w:p w14:paraId="29101D15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The Organisation may invest in one or more of the following:</w:t>
      </w:r>
    </w:p>
    <w:p w14:paraId="6A387044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bills of exchange accepted or endorsed only by an approved bank;</w:t>
      </w:r>
    </w:p>
    <w:p w14:paraId="1237BF0A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dematerialised securities that are the equivalent of the bills of exchange covered by paragraph (a);</w:t>
      </w:r>
    </w:p>
    <w:p w14:paraId="7FA8B068" w14:textId="77777777" w:rsidR="00976525" w:rsidRPr="00BC57DA" w:rsidRDefault="00976525" w:rsidP="00976525">
      <w:pPr>
        <w:pStyle w:val="paragraph"/>
      </w:pPr>
      <w:r w:rsidRPr="00BC57DA">
        <w:tab/>
        <w:t>(c)</w:t>
      </w:r>
      <w:r w:rsidRPr="00BC57DA">
        <w:tab/>
        <w:t>certificates of deposit with an approved bank;</w:t>
      </w:r>
    </w:p>
    <w:p w14:paraId="05847474" w14:textId="77777777" w:rsidR="00976525" w:rsidRPr="00BC57DA" w:rsidRDefault="00976525" w:rsidP="00976525">
      <w:pPr>
        <w:pStyle w:val="paragraph"/>
      </w:pPr>
      <w:r w:rsidRPr="00BC57DA">
        <w:tab/>
        <w:t>(d)</w:t>
      </w:r>
      <w:r w:rsidRPr="00BC57DA">
        <w:tab/>
        <w:t>dematerialised securities that are the equivalent of the certificates of deposit covered by paragraph (c).</w:t>
      </w:r>
    </w:p>
    <w:p w14:paraId="4574448E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be:</w:t>
      </w:r>
    </w:p>
    <w:p w14:paraId="1876E131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the name of the Organisation; and</w:t>
      </w:r>
    </w:p>
    <w:p w14:paraId="23A9D3F8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denominated in Australian currency.</w:t>
      </w:r>
    </w:p>
    <w:p w14:paraId="4535894A" w14:textId="77777777" w:rsidR="00976525" w:rsidRPr="00BC57DA" w:rsidRDefault="00976525" w:rsidP="00976525">
      <w:pPr>
        <w:pStyle w:val="ActHead2"/>
        <w:pageBreakBefore/>
      </w:pPr>
      <w:bookmarkStart w:id="18" w:name="_Toc175046651"/>
      <w:r w:rsidRPr="00465843">
        <w:rPr>
          <w:rStyle w:val="CharPartNo"/>
        </w:rPr>
        <w:lastRenderedPageBreak/>
        <w:t>Part 7</w:t>
      </w:r>
      <w:r w:rsidRPr="00BC57DA">
        <w:t>—</w:t>
      </w:r>
      <w:r w:rsidRPr="00465843">
        <w:rPr>
          <w:rStyle w:val="CharPartText"/>
        </w:rPr>
        <w:t>The Civil Aviation Safety Authority</w:t>
      </w:r>
      <w:bookmarkEnd w:id="18"/>
    </w:p>
    <w:p w14:paraId="31E0BE91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15FB7C9F" w14:textId="77777777" w:rsidR="00976525" w:rsidRPr="00BC57DA" w:rsidRDefault="00552FBA" w:rsidP="00976525">
      <w:pPr>
        <w:pStyle w:val="ActHead5"/>
      </w:pPr>
      <w:bookmarkStart w:id="19" w:name="_Toc175046652"/>
      <w:r w:rsidRPr="00465843">
        <w:rPr>
          <w:rStyle w:val="CharSectno"/>
        </w:rPr>
        <w:t>11</w:t>
      </w:r>
      <w:r w:rsidR="00976525" w:rsidRPr="00BC57DA">
        <w:t xml:space="preserve">  Authorisation for the Civil Aviation Safety Authority</w:t>
      </w:r>
      <w:bookmarkEnd w:id="19"/>
    </w:p>
    <w:p w14:paraId="6BE89F39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>The Civil Aviation Safety Authority is authorised to invest relevant money for which the Authority is responsible in accordance with this section.</w:t>
      </w:r>
    </w:p>
    <w:p w14:paraId="56314824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The Authority may invest in one or more of the following:</w:t>
      </w:r>
    </w:p>
    <w:p w14:paraId="3BA95F6D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bills of exchange accepted or endorsed only by an approved bank;</w:t>
      </w:r>
    </w:p>
    <w:p w14:paraId="6BBEA3F9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dematerialised securities that are the equivalent of the bills of exchange covered by paragraph (a);</w:t>
      </w:r>
    </w:p>
    <w:p w14:paraId="0BA57D53" w14:textId="77777777" w:rsidR="00976525" w:rsidRPr="00BC57DA" w:rsidRDefault="00976525" w:rsidP="00976525">
      <w:pPr>
        <w:pStyle w:val="paragraph"/>
      </w:pPr>
      <w:r w:rsidRPr="00BC57DA">
        <w:tab/>
        <w:t>(c)</w:t>
      </w:r>
      <w:r w:rsidRPr="00BC57DA">
        <w:tab/>
        <w:t>certificates of deposit with an approved bank;</w:t>
      </w:r>
    </w:p>
    <w:p w14:paraId="66C581FC" w14:textId="77777777" w:rsidR="00976525" w:rsidRPr="00BC57DA" w:rsidRDefault="00976525" w:rsidP="00976525">
      <w:pPr>
        <w:pStyle w:val="paragraph"/>
      </w:pPr>
      <w:r w:rsidRPr="00BC57DA">
        <w:tab/>
        <w:t>(d)</w:t>
      </w:r>
      <w:r w:rsidRPr="00BC57DA">
        <w:tab/>
        <w:t>dematerialised securities that are the equivalent of the certificates of deposit covered by paragraph (c).</w:t>
      </w:r>
    </w:p>
    <w:p w14:paraId="4218A086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be:</w:t>
      </w:r>
    </w:p>
    <w:p w14:paraId="45D317CF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the name of the Authority; and</w:t>
      </w:r>
    </w:p>
    <w:p w14:paraId="4E4545F4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denominated in Australian currency.</w:t>
      </w:r>
    </w:p>
    <w:p w14:paraId="52996EBE" w14:textId="77777777" w:rsidR="00976525" w:rsidRPr="00BC57DA" w:rsidRDefault="00976525" w:rsidP="00976525">
      <w:pPr>
        <w:pStyle w:val="ActHead2"/>
        <w:pageBreakBefore/>
      </w:pPr>
      <w:bookmarkStart w:id="20" w:name="_Toc175046653"/>
      <w:r w:rsidRPr="00465843">
        <w:rPr>
          <w:rStyle w:val="CharPartNo"/>
        </w:rPr>
        <w:lastRenderedPageBreak/>
        <w:t>Part 8</w:t>
      </w:r>
      <w:r w:rsidRPr="00BC57DA">
        <w:t>—</w:t>
      </w:r>
      <w:r w:rsidRPr="00465843">
        <w:rPr>
          <w:rStyle w:val="CharPartText"/>
        </w:rPr>
        <w:t>Australian Hearing Services</w:t>
      </w:r>
      <w:bookmarkEnd w:id="20"/>
    </w:p>
    <w:p w14:paraId="633A4557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4D82FE09" w14:textId="77777777" w:rsidR="00976525" w:rsidRPr="00BC57DA" w:rsidRDefault="00552FBA" w:rsidP="00976525">
      <w:pPr>
        <w:pStyle w:val="ActHead5"/>
      </w:pPr>
      <w:bookmarkStart w:id="21" w:name="_Toc175046654"/>
      <w:r w:rsidRPr="00465843">
        <w:rPr>
          <w:rStyle w:val="CharSectno"/>
        </w:rPr>
        <w:t>12</w:t>
      </w:r>
      <w:r w:rsidR="00976525" w:rsidRPr="00BC57DA">
        <w:t xml:space="preserve">  Authorisation for Australian Hearing Services</w:t>
      </w:r>
      <w:bookmarkEnd w:id="21"/>
    </w:p>
    <w:p w14:paraId="35587A88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>Australian Hearing Services is authorised to invest relevant money for which Australian Hearing Services is responsible in accordance with this section.</w:t>
      </w:r>
    </w:p>
    <w:p w14:paraId="1E619664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Australian Hearing Services may invest in one or more of the following:</w:t>
      </w:r>
    </w:p>
    <w:p w14:paraId="20D32BC8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bills of exchange accepted or endorsed only by an approved bank;</w:t>
      </w:r>
    </w:p>
    <w:p w14:paraId="60436CFF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dematerialised securities that are the equivalent of the bills of exchange covered by paragraph (a).</w:t>
      </w:r>
    </w:p>
    <w:p w14:paraId="15B96E92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be:</w:t>
      </w:r>
    </w:p>
    <w:p w14:paraId="05D39B27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the name of Australian Hearing Services; and</w:t>
      </w:r>
    </w:p>
    <w:p w14:paraId="21F3DEEB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denominated in Australian currency.</w:t>
      </w:r>
    </w:p>
    <w:p w14:paraId="23BB963E" w14:textId="77777777" w:rsidR="00976525" w:rsidRPr="00BC57DA" w:rsidRDefault="00976525" w:rsidP="00976525">
      <w:pPr>
        <w:pStyle w:val="ActHead2"/>
        <w:pageBreakBefore/>
      </w:pPr>
      <w:bookmarkStart w:id="22" w:name="_Toc175046655"/>
      <w:r w:rsidRPr="00465843">
        <w:rPr>
          <w:rStyle w:val="CharPartNo"/>
        </w:rPr>
        <w:lastRenderedPageBreak/>
        <w:t>Part 9</w:t>
      </w:r>
      <w:r w:rsidRPr="00BC57DA">
        <w:t>—</w:t>
      </w:r>
      <w:r w:rsidRPr="00465843">
        <w:rPr>
          <w:rStyle w:val="CharPartText"/>
        </w:rPr>
        <w:t>The Australian Nuclear Science and Technology Organisation</w:t>
      </w:r>
      <w:bookmarkEnd w:id="22"/>
    </w:p>
    <w:p w14:paraId="6E7F9D31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30BE4462" w14:textId="77777777" w:rsidR="00976525" w:rsidRPr="00BC57DA" w:rsidRDefault="00552FBA" w:rsidP="00976525">
      <w:pPr>
        <w:pStyle w:val="ActHead5"/>
      </w:pPr>
      <w:bookmarkStart w:id="23" w:name="_Toc175046656"/>
      <w:r w:rsidRPr="00465843">
        <w:rPr>
          <w:rStyle w:val="CharSectno"/>
        </w:rPr>
        <w:t>13</w:t>
      </w:r>
      <w:r w:rsidR="00976525" w:rsidRPr="00BC57DA">
        <w:t xml:space="preserve">  Authorisation for the Australian Nuclear Science and Technology Organisation</w:t>
      </w:r>
      <w:bookmarkEnd w:id="23"/>
    </w:p>
    <w:p w14:paraId="0E522684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>The Australian Nuclear Science and Technology Organisation is authorised to invest relevant money for which the Organisation is responsible in accordance with this section.</w:t>
      </w:r>
    </w:p>
    <w:p w14:paraId="009C514D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The Organisation may invest in one or more of the following:</w:t>
      </w:r>
    </w:p>
    <w:p w14:paraId="07E7A50F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bills of exchange accepted or endorsed only by an approved bank;</w:t>
      </w:r>
    </w:p>
    <w:p w14:paraId="5CB3D8C3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dematerialised securities that are the equivalent of the bills of exchange covered by paragraph (a);</w:t>
      </w:r>
    </w:p>
    <w:p w14:paraId="7A8F8B8A" w14:textId="77777777" w:rsidR="00976525" w:rsidRPr="00BC57DA" w:rsidRDefault="00976525" w:rsidP="00976525">
      <w:pPr>
        <w:pStyle w:val="paragraph"/>
      </w:pPr>
      <w:r w:rsidRPr="00BC57DA">
        <w:tab/>
        <w:t>(c)</w:t>
      </w:r>
      <w:r w:rsidRPr="00BC57DA">
        <w:tab/>
        <w:t>certificates of deposit with an approved bank;</w:t>
      </w:r>
    </w:p>
    <w:p w14:paraId="6FE9156E" w14:textId="77777777" w:rsidR="00976525" w:rsidRPr="00BC57DA" w:rsidRDefault="00976525" w:rsidP="00976525">
      <w:pPr>
        <w:pStyle w:val="paragraph"/>
      </w:pPr>
      <w:r w:rsidRPr="00BC57DA">
        <w:tab/>
        <w:t>(d)</w:t>
      </w:r>
      <w:r w:rsidRPr="00BC57DA">
        <w:tab/>
        <w:t>dematerialised securities that are the equivalent of the certificates of deposit covered by paragraph (c).</w:t>
      </w:r>
    </w:p>
    <w:p w14:paraId="5BE8172B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be:</w:t>
      </w:r>
    </w:p>
    <w:p w14:paraId="71CDB059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the name of the Organisation; and</w:t>
      </w:r>
    </w:p>
    <w:p w14:paraId="7AF33D77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denominated in Australian currency.</w:t>
      </w:r>
    </w:p>
    <w:p w14:paraId="6089F73D" w14:textId="77777777" w:rsidR="00976525" w:rsidRPr="00BC57DA" w:rsidRDefault="00976525" w:rsidP="00976525">
      <w:pPr>
        <w:pStyle w:val="ActHead2"/>
        <w:pageBreakBefore/>
      </w:pPr>
      <w:bookmarkStart w:id="24" w:name="f_Check_Lines_above"/>
      <w:bookmarkStart w:id="25" w:name="_Toc175046657"/>
      <w:bookmarkEnd w:id="24"/>
      <w:r w:rsidRPr="00465843">
        <w:rPr>
          <w:rStyle w:val="CharPartNo"/>
        </w:rPr>
        <w:lastRenderedPageBreak/>
        <w:t>Part 10</w:t>
      </w:r>
      <w:r w:rsidRPr="00BC57DA">
        <w:t>—</w:t>
      </w:r>
      <w:r w:rsidRPr="00465843">
        <w:rPr>
          <w:rStyle w:val="CharPartText"/>
        </w:rPr>
        <w:t>Airservices Australia</w:t>
      </w:r>
      <w:bookmarkEnd w:id="25"/>
    </w:p>
    <w:p w14:paraId="27DEC67D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28716F65" w14:textId="77777777" w:rsidR="00976525" w:rsidRPr="00BC57DA" w:rsidRDefault="00552FBA" w:rsidP="00976525">
      <w:pPr>
        <w:pStyle w:val="ActHead5"/>
      </w:pPr>
      <w:bookmarkStart w:id="26" w:name="_Toc175046658"/>
      <w:r w:rsidRPr="00465843">
        <w:rPr>
          <w:rStyle w:val="CharSectno"/>
        </w:rPr>
        <w:t>14</w:t>
      </w:r>
      <w:r w:rsidR="00976525" w:rsidRPr="00BC57DA">
        <w:t xml:space="preserve">  Authorisation for Airservices Australia</w:t>
      </w:r>
      <w:bookmarkEnd w:id="26"/>
    </w:p>
    <w:p w14:paraId="22CB4232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  <w:t xml:space="preserve">Airservices Australia is authorised to invest relevant money for which </w:t>
      </w:r>
      <w:r w:rsidR="006352E9" w:rsidRPr="00BC57DA">
        <w:t>Airservices Australia</w:t>
      </w:r>
      <w:r w:rsidRPr="00BC57DA">
        <w:t xml:space="preserve"> is responsible in accordance with this section.</w:t>
      </w:r>
    </w:p>
    <w:p w14:paraId="6AB73D19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  <w:t>Airservices Australia may invest up to $20 million in one or more of the following:</w:t>
      </w:r>
    </w:p>
    <w:p w14:paraId="12AFC61F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floating rate notes issued by an approved bank under a senior debt program;</w:t>
      </w:r>
    </w:p>
    <w:p w14:paraId="7C504529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dematerialised securities that are the equivalent of the floating rate notes covered by paragraph (a).</w:t>
      </w:r>
    </w:p>
    <w:p w14:paraId="2E7A350D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>Investments must be:</w:t>
      </w:r>
    </w:p>
    <w:p w14:paraId="2151F0A4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the name of Airservices Australia; and</w:t>
      </w:r>
    </w:p>
    <w:p w14:paraId="5F8990E7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denominated in Australian currency.</w:t>
      </w:r>
    </w:p>
    <w:p w14:paraId="3B88D924" w14:textId="77777777" w:rsidR="00976525" w:rsidRPr="00BC57DA" w:rsidRDefault="00976525" w:rsidP="00976525">
      <w:pPr>
        <w:pStyle w:val="ActHead2"/>
        <w:pageBreakBefore/>
        <w:rPr>
          <w:sz w:val="28"/>
          <w:szCs w:val="28"/>
        </w:rPr>
      </w:pPr>
      <w:bookmarkStart w:id="27" w:name="_Toc175046659"/>
      <w:r w:rsidRPr="00465843">
        <w:rPr>
          <w:rStyle w:val="CharPartNo"/>
        </w:rPr>
        <w:lastRenderedPageBreak/>
        <w:t>Part 11</w:t>
      </w:r>
      <w:r w:rsidRPr="00BC57DA">
        <w:t>—</w:t>
      </w:r>
      <w:r w:rsidR="006352E9" w:rsidRPr="00465843">
        <w:rPr>
          <w:rStyle w:val="CharPartText"/>
        </w:rPr>
        <w:t>Housing Australia</w:t>
      </w:r>
      <w:bookmarkEnd w:id="27"/>
    </w:p>
    <w:p w14:paraId="0BFF1126" w14:textId="77777777" w:rsidR="00976525" w:rsidRPr="00465843" w:rsidRDefault="00976525" w:rsidP="00976525">
      <w:pPr>
        <w:pStyle w:val="Header"/>
      </w:pPr>
      <w:r w:rsidRPr="00465843">
        <w:rPr>
          <w:rStyle w:val="CharDivNo"/>
        </w:rPr>
        <w:t xml:space="preserve"> </w:t>
      </w:r>
      <w:r w:rsidRPr="00465843">
        <w:rPr>
          <w:rStyle w:val="CharDivText"/>
        </w:rPr>
        <w:t xml:space="preserve"> </w:t>
      </w:r>
    </w:p>
    <w:p w14:paraId="534194D4" w14:textId="77777777" w:rsidR="00976525" w:rsidRPr="00BC57DA" w:rsidRDefault="00552FBA" w:rsidP="00976525">
      <w:pPr>
        <w:pStyle w:val="ActHead5"/>
      </w:pPr>
      <w:bookmarkStart w:id="28" w:name="_Toc175046660"/>
      <w:r w:rsidRPr="00465843">
        <w:rPr>
          <w:rStyle w:val="CharSectno"/>
        </w:rPr>
        <w:t>15</w:t>
      </w:r>
      <w:r w:rsidR="00976525" w:rsidRPr="00BC57DA">
        <w:t xml:space="preserve">  Authorisation for </w:t>
      </w:r>
      <w:r w:rsidR="006352E9" w:rsidRPr="00BC57DA">
        <w:t>Housing Australia</w:t>
      </w:r>
      <w:bookmarkEnd w:id="28"/>
    </w:p>
    <w:p w14:paraId="15F7616F" w14:textId="77777777" w:rsidR="00976525" w:rsidRPr="00BC57DA" w:rsidRDefault="00976525" w:rsidP="00976525">
      <w:pPr>
        <w:pStyle w:val="subsection"/>
      </w:pPr>
      <w:r w:rsidRPr="00BC57DA">
        <w:tab/>
        <w:t>(1)</w:t>
      </w:r>
      <w:r w:rsidRPr="00BC57DA">
        <w:tab/>
      </w:r>
      <w:r w:rsidR="006352E9" w:rsidRPr="00BC57DA">
        <w:t>Housing Australia</w:t>
      </w:r>
      <w:r w:rsidRPr="00BC57DA">
        <w:t xml:space="preserve"> is authorised to invest relevant money for which </w:t>
      </w:r>
      <w:r w:rsidR="006352E9" w:rsidRPr="00BC57DA">
        <w:t>Housing Australia</w:t>
      </w:r>
      <w:r w:rsidRPr="00BC57DA">
        <w:t xml:space="preserve"> is responsible in accordance with this section.</w:t>
      </w:r>
    </w:p>
    <w:p w14:paraId="4E619FB0" w14:textId="77777777" w:rsidR="00976525" w:rsidRPr="00BC57DA" w:rsidRDefault="00976525" w:rsidP="00976525">
      <w:pPr>
        <w:pStyle w:val="subsection"/>
      </w:pPr>
      <w:r w:rsidRPr="00BC57DA">
        <w:tab/>
        <w:t>(2)</w:t>
      </w:r>
      <w:r w:rsidRPr="00BC57DA">
        <w:tab/>
      </w:r>
      <w:r w:rsidR="006352E9" w:rsidRPr="00BC57DA">
        <w:t>Housing Australia</w:t>
      </w:r>
      <w:r w:rsidRPr="00BC57DA">
        <w:t xml:space="preserve"> may invest money in one or more of the following ways:</w:t>
      </w:r>
    </w:p>
    <w:p w14:paraId="1237FDE7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in securities issued by an approved bank;</w:t>
      </w:r>
    </w:p>
    <w:p w14:paraId="09144E07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on deposit with, or in securities issued or guaranteed by, an approved entity.</w:t>
      </w:r>
    </w:p>
    <w:p w14:paraId="6B02247A" w14:textId="77777777" w:rsidR="00976525" w:rsidRPr="00BC57DA" w:rsidRDefault="00976525" w:rsidP="00976525">
      <w:pPr>
        <w:pStyle w:val="subsection"/>
      </w:pPr>
      <w:r w:rsidRPr="00BC57DA">
        <w:tab/>
        <w:t>(3)</w:t>
      </w:r>
      <w:r w:rsidRPr="00BC57DA">
        <w:tab/>
        <w:t xml:space="preserve">Investments must be in the name of </w:t>
      </w:r>
      <w:r w:rsidR="006352E9" w:rsidRPr="00BC57DA">
        <w:t>Housing Australia</w:t>
      </w:r>
      <w:r w:rsidRPr="00BC57DA">
        <w:t>.</w:t>
      </w:r>
    </w:p>
    <w:p w14:paraId="4C3E5687" w14:textId="77777777" w:rsidR="00976525" w:rsidRPr="00BC57DA" w:rsidRDefault="00976525" w:rsidP="00976525">
      <w:pPr>
        <w:pStyle w:val="subsection"/>
      </w:pPr>
      <w:r w:rsidRPr="00BC57DA">
        <w:tab/>
        <w:t>(4)</w:t>
      </w:r>
      <w:r w:rsidRPr="00BC57DA">
        <w:tab/>
        <w:t>Subsections (5) to (7) apply if an investment:</w:t>
      </w:r>
    </w:p>
    <w:p w14:paraId="0E8A5CC7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is covered by paragraph (2)(a) (securities issued by an approved bank); and</w:t>
      </w:r>
    </w:p>
    <w:p w14:paraId="6D15E8B3" w14:textId="77777777" w:rsidR="00976525" w:rsidRPr="00BC57DA" w:rsidRDefault="00976525" w:rsidP="00976525">
      <w:pPr>
        <w:pStyle w:val="paragraph"/>
      </w:pPr>
      <w:r w:rsidRPr="00BC57DA">
        <w:tab/>
        <w:t>(b)</w:t>
      </w:r>
      <w:r w:rsidRPr="00BC57DA">
        <w:tab/>
        <w:t>has a Standard and Poor’s long</w:t>
      </w:r>
      <w:r w:rsidR="00BC57DA">
        <w:noBreakHyphen/>
      </w:r>
      <w:r w:rsidRPr="00BC57DA">
        <w:t>term rating lower than A</w:t>
      </w:r>
      <w:r w:rsidR="00BC57DA">
        <w:noBreakHyphen/>
      </w:r>
      <w:r w:rsidRPr="00BC57DA">
        <w:t xml:space="preserve"> (or the Moody’s or Fitch’s equivalent).</w:t>
      </w:r>
    </w:p>
    <w:p w14:paraId="7C8D13E2" w14:textId="77777777" w:rsidR="00976525" w:rsidRPr="00BC57DA" w:rsidRDefault="00976525" w:rsidP="00976525">
      <w:pPr>
        <w:pStyle w:val="subsection"/>
      </w:pPr>
      <w:r w:rsidRPr="00BC57DA">
        <w:tab/>
        <w:t>(5)</w:t>
      </w:r>
      <w:r w:rsidRPr="00BC57DA">
        <w:tab/>
        <w:t xml:space="preserve">The investment, together with any other such investments of </w:t>
      </w:r>
      <w:r w:rsidR="006352E9" w:rsidRPr="00BC57DA">
        <w:t>Housing Australia</w:t>
      </w:r>
      <w:r w:rsidRPr="00BC57DA">
        <w:t xml:space="preserve"> in the approved bank, must not exceed 10% of the total investments of </w:t>
      </w:r>
      <w:r w:rsidR="006352E9" w:rsidRPr="00BC57DA">
        <w:t>Housing Australia</w:t>
      </w:r>
      <w:r w:rsidRPr="00BC57DA">
        <w:t>.</w:t>
      </w:r>
    </w:p>
    <w:p w14:paraId="4B40C4DB" w14:textId="77777777" w:rsidR="00976525" w:rsidRPr="00BC57DA" w:rsidRDefault="00976525" w:rsidP="00976525">
      <w:pPr>
        <w:pStyle w:val="subsection"/>
      </w:pPr>
      <w:r w:rsidRPr="00BC57DA">
        <w:tab/>
        <w:t>(6)</w:t>
      </w:r>
      <w:r w:rsidRPr="00BC57DA">
        <w:tab/>
        <w:t xml:space="preserve">The investment, together with any other such investments of </w:t>
      </w:r>
      <w:r w:rsidR="006352E9" w:rsidRPr="00BC57DA">
        <w:t>Housing Australia</w:t>
      </w:r>
      <w:r w:rsidRPr="00BC57DA">
        <w:t xml:space="preserve"> in any approved bank, must not exceed 25% of the total investments of </w:t>
      </w:r>
      <w:r w:rsidR="006352E9" w:rsidRPr="00BC57DA">
        <w:t>Housing Australia</w:t>
      </w:r>
      <w:r w:rsidRPr="00BC57DA">
        <w:t>.</w:t>
      </w:r>
    </w:p>
    <w:p w14:paraId="0ECCD3DD" w14:textId="77777777" w:rsidR="00976525" w:rsidRPr="00BC57DA" w:rsidRDefault="00976525" w:rsidP="00976525">
      <w:pPr>
        <w:pStyle w:val="subsection"/>
      </w:pPr>
      <w:r w:rsidRPr="00BC57DA">
        <w:tab/>
        <w:t>(7)</w:t>
      </w:r>
      <w:r w:rsidRPr="00BC57DA">
        <w:tab/>
        <w:t>The investment:</w:t>
      </w:r>
    </w:p>
    <w:p w14:paraId="62E871A4" w14:textId="77777777" w:rsidR="00976525" w:rsidRPr="00BC57DA" w:rsidRDefault="00976525" w:rsidP="00976525">
      <w:pPr>
        <w:pStyle w:val="paragraph"/>
      </w:pPr>
      <w:r w:rsidRPr="00BC57DA">
        <w:tab/>
        <w:t>(a)</w:t>
      </w:r>
      <w:r w:rsidRPr="00BC57DA">
        <w:tab/>
        <w:t>must not have a term longer than 3 years; and</w:t>
      </w:r>
    </w:p>
    <w:p w14:paraId="0A5C8ECD" w14:textId="77777777" w:rsidR="00976525" w:rsidRPr="00BC57DA" w:rsidRDefault="00976525" w:rsidP="006352E9">
      <w:pPr>
        <w:pStyle w:val="paragraph"/>
      </w:pPr>
      <w:r w:rsidRPr="00BC57DA">
        <w:tab/>
        <w:t>(b)</w:t>
      </w:r>
      <w:r w:rsidRPr="00BC57DA">
        <w:tab/>
        <w:t>if the investment has a term longer than 6 months—must be able to be traded in the secondary market.</w:t>
      </w:r>
    </w:p>
    <w:p w14:paraId="1BDF095E" w14:textId="77777777" w:rsidR="00A5494E" w:rsidRPr="00BC57DA" w:rsidRDefault="00A5494E">
      <w:pPr>
        <w:sectPr w:rsidR="00A5494E" w:rsidRPr="00BC57DA" w:rsidSect="009F46B2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56772C25" w14:textId="77777777" w:rsidR="00A5494E" w:rsidRPr="00BC57DA" w:rsidRDefault="0004501F" w:rsidP="00A5494E">
      <w:pPr>
        <w:pStyle w:val="ActHead6"/>
      </w:pPr>
      <w:bookmarkStart w:id="29" w:name="_Toc175046661"/>
      <w:r w:rsidRPr="00465843">
        <w:rPr>
          <w:rStyle w:val="CharAmSchNo"/>
        </w:rPr>
        <w:lastRenderedPageBreak/>
        <w:t>Schedule 1</w:t>
      </w:r>
      <w:r w:rsidR="00A5494E" w:rsidRPr="00BC57DA">
        <w:t>—</w:t>
      </w:r>
      <w:r w:rsidR="00A5494E" w:rsidRPr="00465843">
        <w:rPr>
          <w:rStyle w:val="CharAmSchText"/>
        </w:rPr>
        <w:t>Repeals</w:t>
      </w:r>
      <w:bookmarkEnd w:id="29"/>
    </w:p>
    <w:p w14:paraId="34E56ED8" w14:textId="77777777" w:rsidR="00A5494E" w:rsidRPr="00465843" w:rsidRDefault="00A5494E">
      <w:pPr>
        <w:pStyle w:val="Header"/>
      </w:pPr>
      <w:r w:rsidRPr="00465843">
        <w:rPr>
          <w:rStyle w:val="CharAmPartNo"/>
        </w:rPr>
        <w:t xml:space="preserve"> </w:t>
      </w:r>
      <w:r w:rsidRPr="00465843">
        <w:rPr>
          <w:rStyle w:val="CharAmPartText"/>
        </w:rPr>
        <w:t xml:space="preserve"> </w:t>
      </w:r>
    </w:p>
    <w:p w14:paraId="60DA216B" w14:textId="77777777" w:rsidR="007A68DF" w:rsidRPr="00BC57DA" w:rsidRDefault="007A68DF" w:rsidP="008A75DE">
      <w:pPr>
        <w:pStyle w:val="ActHead9"/>
      </w:pPr>
      <w:bookmarkStart w:id="30" w:name="_Toc175046662"/>
      <w:r w:rsidRPr="00BC57DA">
        <w:t>Public Governance, Performance and Accountability (Investment) Authorisation 2014</w:t>
      </w:r>
      <w:bookmarkEnd w:id="30"/>
    </w:p>
    <w:p w14:paraId="2B40F49E" w14:textId="77777777" w:rsidR="00A5494E" w:rsidRPr="00BC57DA" w:rsidRDefault="00A5494E" w:rsidP="006352E9">
      <w:pPr>
        <w:pStyle w:val="ItemHead"/>
      </w:pPr>
      <w:r w:rsidRPr="00BC57DA">
        <w:t>1  The whole of the instrument</w:t>
      </w:r>
    </w:p>
    <w:p w14:paraId="75F516B4" w14:textId="77777777" w:rsidR="00A5494E" w:rsidRPr="00BC57DA" w:rsidRDefault="00A5494E" w:rsidP="00A5494E">
      <w:pPr>
        <w:pStyle w:val="Item"/>
      </w:pPr>
      <w:r w:rsidRPr="00BC57DA">
        <w:t>Repeal the instrument.</w:t>
      </w:r>
    </w:p>
    <w:p w14:paraId="5674F844" w14:textId="77777777" w:rsidR="00A5494E" w:rsidRPr="00BC57DA" w:rsidRDefault="00A5494E">
      <w:pPr>
        <w:sectPr w:rsidR="00A5494E" w:rsidRPr="00BC57DA" w:rsidSect="009F46B2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606532BA" w14:textId="77777777" w:rsidR="00A5494E" w:rsidRPr="00BC57DA" w:rsidRDefault="00A5494E" w:rsidP="00BC57DA"/>
    <w:sectPr w:rsidR="00A5494E" w:rsidRPr="00BC57DA" w:rsidSect="009F46B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BD016" w14:textId="77777777" w:rsidR="004570EC" w:rsidRDefault="004570EC" w:rsidP="00715914">
      <w:pPr>
        <w:spacing w:line="240" w:lineRule="auto"/>
      </w:pPr>
      <w:r>
        <w:separator/>
      </w:r>
    </w:p>
  </w:endnote>
  <w:endnote w:type="continuationSeparator" w:id="0">
    <w:p w14:paraId="6D4AFA8A" w14:textId="77777777" w:rsidR="004570EC" w:rsidRDefault="004570E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1EA54" w14:textId="77777777" w:rsidR="00465843" w:rsidRPr="009F46B2" w:rsidRDefault="009F46B2" w:rsidP="009F46B2">
    <w:pPr>
      <w:pStyle w:val="Footer"/>
      <w:rPr>
        <w:i/>
        <w:sz w:val="18"/>
      </w:rPr>
    </w:pPr>
    <w:r w:rsidRPr="009F46B2">
      <w:rPr>
        <w:i/>
        <w:sz w:val="18"/>
      </w:rPr>
      <w:t>OPC67051 -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108E" w14:textId="77777777" w:rsidR="00102F4A" w:rsidRPr="00D90ABA" w:rsidRDefault="00102F4A" w:rsidP="00A549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7"/>
      <w:gridCol w:w="6103"/>
      <w:gridCol w:w="643"/>
    </w:tblGrid>
    <w:tr w:rsidR="00102F4A" w14:paraId="6B85FC86" w14:textId="77777777" w:rsidTr="006352E9">
      <w:tc>
        <w:tcPr>
          <w:tcW w:w="942" w:type="pct"/>
        </w:tcPr>
        <w:p w14:paraId="648C18F3" w14:textId="77777777" w:rsidR="00102F4A" w:rsidRDefault="00102F4A" w:rsidP="006352E9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6DA60029" w14:textId="17CDDC0D" w:rsidR="00102F4A" w:rsidRDefault="00102F4A" w:rsidP="006352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14611597" w14:textId="77777777" w:rsidR="00102F4A" w:rsidRDefault="00102F4A" w:rsidP="006352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358324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381F" w14:textId="77777777" w:rsidR="00102F4A" w:rsidRDefault="00102F4A">
    <w:pPr>
      <w:pBdr>
        <w:top w:val="single" w:sz="6" w:space="1" w:color="auto"/>
      </w:pBdr>
      <w:rPr>
        <w:sz w:val="18"/>
      </w:rPr>
    </w:pPr>
  </w:p>
  <w:p w14:paraId="696FCB1C" w14:textId="18D2E30D" w:rsidR="00102F4A" w:rsidRDefault="00102F4A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D45CA">
      <w:rPr>
        <w:i/>
        <w:noProof/>
        <w:sz w:val="18"/>
      </w:rPr>
      <w:t>Public Governance, Performance and Accountability (Investment) Authorisation 2024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D45CA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00CFE6D0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02F84" w14:textId="77777777" w:rsidR="00102F4A" w:rsidRPr="00E33C1C" w:rsidRDefault="00102F4A" w:rsidP="00A549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02F4A" w14:paraId="18B421B9" w14:textId="77777777" w:rsidTr="004658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EB9F82" w14:textId="77777777" w:rsidR="00102F4A" w:rsidRDefault="00102F4A" w:rsidP="001C46B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534625" w14:textId="12C76DEF" w:rsidR="00102F4A" w:rsidRDefault="00102F4A" w:rsidP="001C46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B6E677" w14:textId="77777777" w:rsidR="00102F4A" w:rsidRDefault="00102F4A" w:rsidP="001C46B1">
          <w:pPr>
            <w:spacing w:line="0" w:lineRule="atLeast"/>
            <w:jc w:val="right"/>
            <w:rPr>
              <w:sz w:val="18"/>
            </w:rPr>
          </w:pPr>
        </w:p>
      </w:tc>
    </w:tr>
  </w:tbl>
  <w:p w14:paraId="517E7C6A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022F2" w14:textId="77777777" w:rsidR="00102F4A" w:rsidRPr="00E33C1C" w:rsidRDefault="00102F4A" w:rsidP="00A549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F4A" w14:paraId="6884813A" w14:textId="77777777" w:rsidTr="001C46B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F956C9" w14:textId="77777777" w:rsidR="00102F4A" w:rsidRDefault="00102F4A" w:rsidP="001C46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331B0" w14:textId="7DB3F540" w:rsidR="00102F4A" w:rsidRDefault="00102F4A" w:rsidP="001C46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161085" w14:textId="77777777" w:rsidR="00102F4A" w:rsidRDefault="00102F4A" w:rsidP="001C46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5E6FC7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38AB" w14:textId="77777777" w:rsidR="00102F4A" w:rsidRPr="00E33C1C" w:rsidRDefault="00102F4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F4A" w14:paraId="2431F6B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60B4E3" w14:textId="77777777" w:rsidR="00102F4A" w:rsidRDefault="00102F4A" w:rsidP="001C46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084E38" w14:textId="27173E3C" w:rsidR="00102F4A" w:rsidRDefault="00102F4A" w:rsidP="001C46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AD8772" w14:textId="77777777" w:rsidR="00102F4A" w:rsidRDefault="00102F4A" w:rsidP="001C46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D3475D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4773" w14:textId="77777777" w:rsidR="00102F4A" w:rsidRDefault="00102F4A" w:rsidP="00A5494E">
    <w:pPr>
      <w:pStyle w:val="Footer"/>
      <w:spacing w:before="120"/>
    </w:pPr>
  </w:p>
  <w:p w14:paraId="12C1F9A5" w14:textId="77777777" w:rsidR="00102F4A" w:rsidRPr="009F46B2" w:rsidRDefault="009F46B2" w:rsidP="009F46B2">
    <w:pPr>
      <w:pStyle w:val="Footer"/>
      <w:rPr>
        <w:i/>
        <w:sz w:val="18"/>
      </w:rPr>
    </w:pPr>
    <w:r w:rsidRPr="009F46B2">
      <w:rPr>
        <w:i/>
        <w:sz w:val="18"/>
      </w:rPr>
      <w:t>OPC67051 -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3EEF" w14:textId="77777777" w:rsidR="00102F4A" w:rsidRPr="009F46B2" w:rsidRDefault="009F46B2" w:rsidP="009F46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F46B2">
      <w:rPr>
        <w:i/>
        <w:sz w:val="18"/>
      </w:rPr>
      <w:t>OPC67051 -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CBF9" w14:textId="77777777" w:rsidR="00102F4A" w:rsidRPr="00E33C1C" w:rsidRDefault="00102F4A" w:rsidP="00A549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02F4A" w14:paraId="48AE7D57" w14:textId="77777777" w:rsidTr="004658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B3F896" w14:textId="77777777" w:rsidR="00102F4A" w:rsidRDefault="00102F4A" w:rsidP="001C46B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543FF9" w14:textId="314D4341" w:rsidR="00102F4A" w:rsidRDefault="00102F4A" w:rsidP="001C46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27171C" w14:textId="77777777" w:rsidR="00102F4A" w:rsidRDefault="00102F4A" w:rsidP="001C46B1">
          <w:pPr>
            <w:spacing w:line="0" w:lineRule="atLeast"/>
            <w:jc w:val="right"/>
            <w:rPr>
              <w:sz w:val="18"/>
            </w:rPr>
          </w:pPr>
        </w:p>
      </w:tc>
    </w:tr>
  </w:tbl>
  <w:p w14:paraId="690B494C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45CF9" w14:textId="77777777" w:rsidR="00102F4A" w:rsidRPr="00E33C1C" w:rsidRDefault="00102F4A" w:rsidP="00A549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02F4A" w14:paraId="7D28E91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8FA164" w14:textId="77777777" w:rsidR="00102F4A" w:rsidRDefault="00102F4A" w:rsidP="001C46B1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F2F2024" w14:textId="080BFEC4" w:rsidR="00102F4A" w:rsidRDefault="00102F4A" w:rsidP="001C46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F0E25D" w14:textId="77777777" w:rsidR="00102F4A" w:rsidRDefault="00102F4A" w:rsidP="001C46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83195C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7B47B" w14:textId="77777777" w:rsidR="00102F4A" w:rsidRPr="00D90ABA" w:rsidRDefault="00102F4A" w:rsidP="00A549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02F4A" w14:paraId="4E51062A" w14:textId="77777777" w:rsidTr="006352E9">
      <w:tc>
        <w:tcPr>
          <w:tcW w:w="365" w:type="pct"/>
        </w:tcPr>
        <w:p w14:paraId="17039359" w14:textId="77777777" w:rsidR="00102F4A" w:rsidRDefault="00102F4A" w:rsidP="006352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F388DCD" w14:textId="162702CF" w:rsidR="00102F4A" w:rsidRDefault="00102F4A" w:rsidP="006352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7A4F4D3" w14:textId="77777777" w:rsidR="00102F4A" w:rsidRDefault="00102F4A" w:rsidP="006352E9">
          <w:pPr>
            <w:spacing w:line="0" w:lineRule="atLeast"/>
            <w:jc w:val="right"/>
            <w:rPr>
              <w:sz w:val="18"/>
            </w:rPr>
          </w:pPr>
        </w:p>
      </w:tc>
    </w:tr>
  </w:tbl>
  <w:p w14:paraId="156645FD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9DDA3" w14:textId="77777777" w:rsidR="00102F4A" w:rsidRPr="00D90ABA" w:rsidRDefault="00102F4A" w:rsidP="00A549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02F4A" w14:paraId="5B231AA8" w14:textId="77777777" w:rsidTr="006352E9">
      <w:tc>
        <w:tcPr>
          <w:tcW w:w="947" w:type="pct"/>
        </w:tcPr>
        <w:p w14:paraId="1A888F9B" w14:textId="77777777" w:rsidR="00102F4A" w:rsidRDefault="00102F4A" w:rsidP="006352E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3F9FB8A" w14:textId="273C5F78" w:rsidR="00102F4A" w:rsidRDefault="00102F4A" w:rsidP="006352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8338286" w14:textId="77777777" w:rsidR="00102F4A" w:rsidRDefault="00102F4A" w:rsidP="006352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C27FE9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F8AF" w14:textId="77777777" w:rsidR="00102F4A" w:rsidRPr="00E33C1C" w:rsidRDefault="00102F4A" w:rsidP="00A5494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F4A" w14:paraId="01CBE4C0" w14:textId="77777777" w:rsidTr="006352E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3A4318" w14:textId="77777777" w:rsidR="00102F4A" w:rsidRDefault="00102F4A" w:rsidP="00A549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2CAA51" w14:textId="476A8F2C" w:rsidR="00102F4A" w:rsidRDefault="00102F4A" w:rsidP="00A549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8E9A8D" w14:textId="77777777" w:rsidR="00102F4A" w:rsidRDefault="00102F4A" w:rsidP="00A549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133ED8" w14:textId="77777777" w:rsidR="00102F4A" w:rsidRPr="00ED79B6" w:rsidRDefault="00102F4A" w:rsidP="00A5494E">
    <w:pPr>
      <w:rPr>
        <w:i/>
        <w:sz w:val="18"/>
      </w:rPr>
    </w:pPr>
  </w:p>
  <w:p w14:paraId="2B5E9494" w14:textId="77777777" w:rsidR="00102F4A" w:rsidRPr="009F46B2" w:rsidRDefault="009F46B2" w:rsidP="009F46B2">
    <w:pPr>
      <w:pStyle w:val="Footer"/>
      <w:rPr>
        <w:i/>
        <w:sz w:val="18"/>
      </w:rPr>
    </w:pPr>
    <w:r w:rsidRPr="009F46B2">
      <w:rPr>
        <w:i/>
        <w:sz w:val="18"/>
      </w:rPr>
      <w:t>OPC67051 -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307A" w14:textId="77777777" w:rsidR="00102F4A" w:rsidRPr="00D90ABA" w:rsidRDefault="00102F4A" w:rsidP="00A549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02F4A" w14:paraId="7B5B8868" w14:textId="77777777" w:rsidTr="006352E9">
      <w:tc>
        <w:tcPr>
          <w:tcW w:w="365" w:type="pct"/>
        </w:tcPr>
        <w:p w14:paraId="653A6C78" w14:textId="77777777" w:rsidR="00102F4A" w:rsidRDefault="00102F4A" w:rsidP="006352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D60219F" w14:textId="69F47DEB" w:rsidR="00102F4A" w:rsidRDefault="00102F4A" w:rsidP="006352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5CA">
            <w:rPr>
              <w:i/>
              <w:sz w:val="18"/>
            </w:rPr>
            <w:t>Public Governance, Performance and Accountability (Investment) Authorisation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BF68510" w14:textId="77777777" w:rsidR="00102F4A" w:rsidRDefault="00102F4A" w:rsidP="006352E9">
          <w:pPr>
            <w:spacing w:line="0" w:lineRule="atLeast"/>
            <w:jc w:val="right"/>
            <w:rPr>
              <w:sz w:val="18"/>
            </w:rPr>
          </w:pPr>
        </w:p>
      </w:tc>
    </w:tr>
  </w:tbl>
  <w:p w14:paraId="018CF692" w14:textId="77777777" w:rsidR="00102F4A" w:rsidRPr="009F46B2" w:rsidRDefault="009F46B2" w:rsidP="009F46B2">
    <w:pPr>
      <w:rPr>
        <w:rFonts w:cs="Times New Roman"/>
        <w:i/>
        <w:sz w:val="18"/>
      </w:rPr>
    </w:pPr>
    <w:r w:rsidRPr="009F46B2">
      <w:rPr>
        <w:rFonts w:cs="Times New Roman"/>
        <w:i/>
        <w:sz w:val="18"/>
      </w:rPr>
      <w:t>OPC67051 -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F2B90" w14:textId="77777777" w:rsidR="004570EC" w:rsidRDefault="004570EC" w:rsidP="00715914">
      <w:pPr>
        <w:spacing w:line="240" w:lineRule="auto"/>
      </w:pPr>
      <w:r>
        <w:separator/>
      </w:r>
    </w:p>
  </w:footnote>
  <w:footnote w:type="continuationSeparator" w:id="0">
    <w:p w14:paraId="65E5A633" w14:textId="77777777" w:rsidR="004570EC" w:rsidRDefault="004570E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79F6" w14:textId="77777777" w:rsidR="00102F4A" w:rsidRPr="005F1388" w:rsidRDefault="00102F4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C1EAA" w14:textId="1862511E" w:rsidR="00102F4A" w:rsidRDefault="00102F4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D1D5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D1D5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31120CC" w14:textId="502C45EA" w:rsidR="00102F4A" w:rsidRDefault="00102F4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1323FF10" w14:textId="77777777" w:rsidR="00102F4A" w:rsidRDefault="00102F4A" w:rsidP="00A5494E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84179" w14:textId="77777777" w:rsidR="00102F4A" w:rsidRDefault="00102F4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49EAB" w14:textId="75411122" w:rsidR="00102F4A" w:rsidRDefault="00102F4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FE7D159" w14:textId="276326AF" w:rsidR="00102F4A" w:rsidRDefault="00102F4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D45CA">
      <w:rPr>
        <w:b/>
        <w:noProof/>
        <w:sz w:val="20"/>
      </w:rPr>
      <w:t>Part 11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D45CA">
      <w:rPr>
        <w:noProof/>
        <w:sz w:val="20"/>
      </w:rPr>
      <w:t>Housing Australia</w:t>
    </w:r>
    <w:r>
      <w:rPr>
        <w:sz w:val="20"/>
      </w:rPr>
      <w:fldChar w:fldCharType="end"/>
    </w:r>
  </w:p>
  <w:p w14:paraId="2B572B42" w14:textId="227C9A5C" w:rsidR="00102F4A" w:rsidRPr="007A1328" w:rsidRDefault="00102F4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A235A6B" w14:textId="77777777" w:rsidR="00102F4A" w:rsidRPr="007A1328" w:rsidRDefault="00102F4A" w:rsidP="00715914">
    <w:pPr>
      <w:rPr>
        <w:b/>
        <w:sz w:val="24"/>
      </w:rPr>
    </w:pPr>
  </w:p>
  <w:p w14:paraId="495093BC" w14:textId="7356FF74" w:rsidR="00102F4A" w:rsidRPr="007A1328" w:rsidRDefault="00102F4A" w:rsidP="00A5494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D45C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D45CA">
      <w:rPr>
        <w:noProof/>
        <w:sz w:val="24"/>
      </w:rPr>
      <w:t>15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4D31" w14:textId="23BB565A" w:rsidR="00102F4A" w:rsidRPr="007A1328" w:rsidRDefault="00102F4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8104085" w14:textId="74B48A9F" w:rsidR="00102F4A" w:rsidRPr="007A1328" w:rsidRDefault="00102F4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4D45CA">
      <w:rPr>
        <w:noProof/>
        <w:sz w:val="20"/>
      </w:rPr>
      <w:t>Housing Australia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4D45CA">
      <w:rPr>
        <w:b/>
        <w:noProof/>
        <w:sz w:val="20"/>
      </w:rPr>
      <w:t>Part 11</w:t>
    </w:r>
    <w:r>
      <w:rPr>
        <w:b/>
        <w:sz w:val="20"/>
      </w:rPr>
      <w:fldChar w:fldCharType="end"/>
    </w:r>
  </w:p>
  <w:p w14:paraId="1288017D" w14:textId="1E024D0B" w:rsidR="00102F4A" w:rsidRPr="007A1328" w:rsidRDefault="00102F4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6ADE3B8" w14:textId="77777777" w:rsidR="00102F4A" w:rsidRPr="007A1328" w:rsidRDefault="00102F4A" w:rsidP="00715914">
    <w:pPr>
      <w:jc w:val="right"/>
      <w:rPr>
        <w:b/>
        <w:sz w:val="24"/>
      </w:rPr>
    </w:pPr>
  </w:p>
  <w:p w14:paraId="5805AC03" w14:textId="0E3EB02B" w:rsidR="00102F4A" w:rsidRPr="007A1328" w:rsidRDefault="00102F4A" w:rsidP="00A5494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D45C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D45CA">
      <w:rPr>
        <w:noProof/>
        <w:sz w:val="24"/>
      </w:rPr>
      <w:t>15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9656" w14:textId="77777777" w:rsidR="00102F4A" w:rsidRPr="007A1328" w:rsidRDefault="00102F4A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F1EA1" w14:textId="77777777" w:rsidR="00102F4A" w:rsidRPr="005F1388" w:rsidRDefault="00102F4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B669" w14:textId="77777777" w:rsidR="00102F4A" w:rsidRPr="005F1388" w:rsidRDefault="00102F4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2245" w14:textId="77777777" w:rsidR="00102F4A" w:rsidRPr="00ED79B6" w:rsidRDefault="00102F4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24B4" w14:textId="77777777" w:rsidR="00102F4A" w:rsidRPr="00ED79B6" w:rsidRDefault="00102F4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46C66" w14:textId="77777777" w:rsidR="00102F4A" w:rsidRPr="00ED79B6" w:rsidRDefault="00102F4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9481" w14:textId="2870DA71" w:rsidR="00102F4A" w:rsidRDefault="00102F4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F6EE583" w14:textId="4C2076A4" w:rsidR="00102F4A" w:rsidRDefault="00102F4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D1D5E">
      <w:rPr>
        <w:b/>
        <w:noProof/>
        <w:sz w:val="20"/>
      </w:rPr>
      <w:t>Part 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D1D5E">
      <w:rPr>
        <w:noProof/>
        <w:sz w:val="20"/>
      </w:rPr>
      <w:t>Preliminary</w:t>
    </w:r>
    <w:r>
      <w:rPr>
        <w:sz w:val="20"/>
      </w:rPr>
      <w:fldChar w:fldCharType="end"/>
    </w:r>
  </w:p>
  <w:p w14:paraId="5C67CBD3" w14:textId="425833A4" w:rsidR="00102F4A" w:rsidRDefault="00102F4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5033399" w14:textId="77777777" w:rsidR="00102F4A" w:rsidRDefault="00102F4A">
    <w:pPr>
      <w:rPr>
        <w:b/>
        <w:sz w:val="24"/>
      </w:rPr>
    </w:pPr>
  </w:p>
  <w:p w14:paraId="36DF352C" w14:textId="46632EB5" w:rsidR="00102F4A" w:rsidRDefault="00102F4A" w:rsidP="00A5494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FD1D5E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17685" w14:textId="212C661D" w:rsidR="00102F4A" w:rsidRDefault="00102F4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95C8F61" w14:textId="00B166B2" w:rsidR="00102F4A" w:rsidRDefault="00102F4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FD1D5E">
      <w:rPr>
        <w:sz w:val="20"/>
      </w:rPr>
      <w:fldChar w:fldCharType="separate"/>
    </w:r>
    <w:r w:rsidR="00FD1D5E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D1D5E">
      <w:rPr>
        <w:b/>
        <w:sz w:val="20"/>
      </w:rPr>
      <w:fldChar w:fldCharType="separate"/>
    </w:r>
    <w:r w:rsidR="00FD1D5E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2EF54585" w14:textId="3D653674" w:rsidR="00102F4A" w:rsidRDefault="00102F4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278CB86" w14:textId="77777777" w:rsidR="00102F4A" w:rsidRDefault="00102F4A">
    <w:pPr>
      <w:jc w:val="right"/>
      <w:rPr>
        <w:b/>
        <w:sz w:val="24"/>
      </w:rPr>
    </w:pPr>
  </w:p>
  <w:p w14:paraId="3F247CBE" w14:textId="29C69E0A" w:rsidR="00102F4A" w:rsidRDefault="00102F4A" w:rsidP="00A5494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FD1D5E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031F" w14:textId="2E854137" w:rsidR="00102F4A" w:rsidRDefault="00102F4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D45CA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D45CA">
      <w:rPr>
        <w:noProof/>
        <w:sz w:val="20"/>
      </w:rPr>
      <w:t>Repeals</w:t>
    </w:r>
    <w:r>
      <w:rPr>
        <w:sz w:val="20"/>
      </w:rPr>
      <w:fldChar w:fldCharType="end"/>
    </w:r>
  </w:p>
  <w:p w14:paraId="466FB559" w14:textId="655229A3" w:rsidR="00102F4A" w:rsidRDefault="00102F4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68CDF30" w14:textId="77777777" w:rsidR="00102F4A" w:rsidRDefault="00102F4A" w:rsidP="00A5494E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18"/>
    <w:rsid w:val="00004470"/>
    <w:rsid w:val="000136AF"/>
    <w:rsid w:val="00024AAC"/>
    <w:rsid w:val="000437C1"/>
    <w:rsid w:val="0004501F"/>
    <w:rsid w:val="0005365D"/>
    <w:rsid w:val="000545F8"/>
    <w:rsid w:val="000614BF"/>
    <w:rsid w:val="000B58FA"/>
    <w:rsid w:val="000B7E30"/>
    <w:rsid w:val="000D05EF"/>
    <w:rsid w:val="000E2261"/>
    <w:rsid w:val="000F21C1"/>
    <w:rsid w:val="000F2FEB"/>
    <w:rsid w:val="00102F4A"/>
    <w:rsid w:val="0010745C"/>
    <w:rsid w:val="00126F00"/>
    <w:rsid w:val="00132CEB"/>
    <w:rsid w:val="00142B62"/>
    <w:rsid w:val="00142FC6"/>
    <w:rsid w:val="0014539C"/>
    <w:rsid w:val="00153893"/>
    <w:rsid w:val="00157B8B"/>
    <w:rsid w:val="00166C2F"/>
    <w:rsid w:val="0017048D"/>
    <w:rsid w:val="00171D1C"/>
    <w:rsid w:val="001721AC"/>
    <w:rsid w:val="001769A7"/>
    <w:rsid w:val="001809D7"/>
    <w:rsid w:val="001939E1"/>
    <w:rsid w:val="00194C3E"/>
    <w:rsid w:val="00195382"/>
    <w:rsid w:val="001A391A"/>
    <w:rsid w:val="001C46B1"/>
    <w:rsid w:val="001C61C5"/>
    <w:rsid w:val="001C69C4"/>
    <w:rsid w:val="001D37EF"/>
    <w:rsid w:val="001E3590"/>
    <w:rsid w:val="001E7407"/>
    <w:rsid w:val="001F098B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46421"/>
    <w:rsid w:val="002564A4"/>
    <w:rsid w:val="0026736C"/>
    <w:rsid w:val="00267E3E"/>
    <w:rsid w:val="002767AC"/>
    <w:rsid w:val="00281308"/>
    <w:rsid w:val="00284719"/>
    <w:rsid w:val="00285293"/>
    <w:rsid w:val="00292AD2"/>
    <w:rsid w:val="00297ECB"/>
    <w:rsid w:val="002A4474"/>
    <w:rsid w:val="002A7BCF"/>
    <w:rsid w:val="002C4A40"/>
    <w:rsid w:val="002D043A"/>
    <w:rsid w:val="002D6224"/>
    <w:rsid w:val="002E3F4B"/>
    <w:rsid w:val="00304F8B"/>
    <w:rsid w:val="003150CE"/>
    <w:rsid w:val="00334111"/>
    <w:rsid w:val="003354D2"/>
    <w:rsid w:val="00335BC6"/>
    <w:rsid w:val="003415D3"/>
    <w:rsid w:val="00344701"/>
    <w:rsid w:val="00352B0F"/>
    <w:rsid w:val="00356690"/>
    <w:rsid w:val="00360459"/>
    <w:rsid w:val="003624FF"/>
    <w:rsid w:val="00362C9B"/>
    <w:rsid w:val="003A63D1"/>
    <w:rsid w:val="003B77A7"/>
    <w:rsid w:val="003C6231"/>
    <w:rsid w:val="003D0BFE"/>
    <w:rsid w:val="003D2F88"/>
    <w:rsid w:val="003D5700"/>
    <w:rsid w:val="003D7472"/>
    <w:rsid w:val="003E341B"/>
    <w:rsid w:val="003F011E"/>
    <w:rsid w:val="00400247"/>
    <w:rsid w:val="0040286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570EC"/>
    <w:rsid w:val="00461C81"/>
    <w:rsid w:val="00465843"/>
    <w:rsid w:val="00467661"/>
    <w:rsid w:val="004705B7"/>
    <w:rsid w:val="00472DBE"/>
    <w:rsid w:val="00474A19"/>
    <w:rsid w:val="00495BC3"/>
    <w:rsid w:val="00496F97"/>
    <w:rsid w:val="004C6AE8"/>
    <w:rsid w:val="004D2C91"/>
    <w:rsid w:val="004D3593"/>
    <w:rsid w:val="004D45CA"/>
    <w:rsid w:val="004E063A"/>
    <w:rsid w:val="004E6D77"/>
    <w:rsid w:val="004E7BEC"/>
    <w:rsid w:val="004F53FA"/>
    <w:rsid w:val="00505D3D"/>
    <w:rsid w:val="00506AF6"/>
    <w:rsid w:val="00516B8D"/>
    <w:rsid w:val="00537FBC"/>
    <w:rsid w:val="00552FBA"/>
    <w:rsid w:val="00554954"/>
    <w:rsid w:val="005574D1"/>
    <w:rsid w:val="00562A3D"/>
    <w:rsid w:val="0057587A"/>
    <w:rsid w:val="0057749A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73C2"/>
    <w:rsid w:val="00610455"/>
    <w:rsid w:val="00620076"/>
    <w:rsid w:val="00621E19"/>
    <w:rsid w:val="006352E9"/>
    <w:rsid w:val="00642671"/>
    <w:rsid w:val="00657A18"/>
    <w:rsid w:val="0066441A"/>
    <w:rsid w:val="00670EA1"/>
    <w:rsid w:val="006715DB"/>
    <w:rsid w:val="00677CC2"/>
    <w:rsid w:val="0068616A"/>
    <w:rsid w:val="006905DE"/>
    <w:rsid w:val="0069207B"/>
    <w:rsid w:val="006944A8"/>
    <w:rsid w:val="006B5789"/>
    <w:rsid w:val="006C30C5"/>
    <w:rsid w:val="006C7E53"/>
    <w:rsid w:val="006C7F8C"/>
    <w:rsid w:val="006D2EFF"/>
    <w:rsid w:val="006D43F4"/>
    <w:rsid w:val="006E3534"/>
    <w:rsid w:val="006E6246"/>
    <w:rsid w:val="006F0F3D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8DF"/>
    <w:rsid w:val="007C2253"/>
    <w:rsid w:val="007D475D"/>
    <w:rsid w:val="007D5A63"/>
    <w:rsid w:val="007D7538"/>
    <w:rsid w:val="007D7B81"/>
    <w:rsid w:val="007E163D"/>
    <w:rsid w:val="007E667A"/>
    <w:rsid w:val="007F28C9"/>
    <w:rsid w:val="00803587"/>
    <w:rsid w:val="00807626"/>
    <w:rsid w:val="008117E9"/>
    <w:rsid w:val="00824498"/>
    <w:rsid w:val="00845261"/>
    <w:rsid w:val="00856A31"/>
    <w:rsid w:val="00864B24"/>
    <w:rsid w:val="00867B37"/>
    <w:rsid w:val="008754D0"/>
    <w:rsid w:val="008808ED"/>
    <w:rsid w:val="008855C9"/>
    <w:rsid w:val="00886456"/>
    <w:rsid w:val="008A46E1"/>
    <w:rsid w:val="008A4F43"/>
    <w:rsid w:val="008A75DE"/>
    <w:rsid w:val="008B2706"/>
    <w:rsid w:val="008D0EE0"/>
    <w:rsid w:val="008E6067"/>
    <w:rsid w:val="008F319D"/>
    <w:rsid w:val="008F54E7"/>
    <w:rsid w:val="00903422"/>
    <w:rsid w:val="0091213B"/>
    <w:rsid w:val="00915DF9"/>
    <w:rsid w:val="009254C3"/>
    <w:rsid w:val="00932377"/>
    <w:rsid w:val="00947D5A"/>
    <w:rsid w:val="009532A5"/>
    <w:rsid w:val="00963102"/>
    <w:rsid w:val="00976525"/>
    <w:rsid w:val="00982242"/>
    <w:rsid w:val="009837BC"/>
    <w:rsid w:val="009868E9"/>
    <w:rsid w:val="0099557E"/>
    <w:rsid w:val="009A7ABB"/>
    <w:rsid w:val="009B5AB3"/>
    <w:rsid w:val="009C2BF1"/>
    <w:rsid w:val="009E1604"/>
    <w:rsid w:val="009E5CFC"/>
    <w:rsid w:val="009F46B2"/>
    <w:rsid w:val="00A079CB"/>
    <w:rsid w:val="00A12128"/>
    <w:rsid w:val="00A146E2"/>
    <w:rsid w:val="00A22C98"/>
    <w:rsid w:val="00A231E2"/>
    <w:rsid w:val="00A47D0B"/>
    <w:rsid w:val="00A5494E"/>
    <w:rsid w:val="00A57CF9"/>
    <w:rsid w:val="00A57D48"/>
    <w:rsid w:val="00A64912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248B9"/>
    <w:rsid w:val="00B308FE"/>
    <w:rsid w:val="00B33709"/>
    <w:rsid w:val="00B33B3C"/>
    <w:rsid w:val="00B50ADC"/>
    <w:rsid w:val="00B566B1"/>
    <w:rsid w:val="00B56F46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0D9B"/>
    <w:rsid w:val="00BC57DA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254A"/>
    <w:rsid w:val="00C7573B"/>
    <w:rsid w:val="00C93C03"/>
    <w:rsid w:val="00CB207B"/>
    <w:rsid w:val="00CB2C8E"/>
    <w:rsid w:val="00CB334F"/>
    <w:rsid w:val="00CB602E"/>
    <w:rsid w:val="00CE051D"/>
    <w:rsid w:val="00CE1335"/>
    <w:rsid w:val="00CE493D"/>
    <w:rsid w:val="00CE603F"/>
    <w:rsid w:val="00CF07FA"/>
    <w:rsid w:val="00CF0BB2"/>
    <w:rsid w:val="00CF3EE8"/>
    <w:rsid w:val="00CF561F"/>
    <w:rsid w:val="00CF7BC5"/>
    <w:rsid w:val="00D050E6"/>
    <w:rsid w:val="00D13441"/>
    <w:rsid w:val="00D150E7"/>
    <w:rsid w:val="00D32F65"/>
    <w:rsid w:val="00D52DC2"/>
    <w:rsid w:val="00D53BCC"/>
    <w:rsid w:val="00D67E8A"/>
    <w:rsid w:val="00D70DFB"/>
    <w:rsid w:val="00D73F80"/>
    <w:rsid w:val="00D766DF"/>
    <w:rsid w:val="00DA186E"/>
    <w:rsid w:val="00DA4116"/>
    <w:rsid w:val="00DB251C"/>
    <w:rsid w:val="00DB4630"/>
    <w:rsid w:val="00DC4F88"/>
    <w:rsid w:val="00DE5876"/>
    <w:rsid w:val="00E05704"/>
    <w:rsid w:val="00E11E44"/>
    <w:rsid w:val="00E3270E"/>
    <w:rsid w:val="00E338EF"/>
    <w:rsid w:val="00E357FC"/>
    <w:rsid w:val="00E544BB"/>
    <w:rsid w:val="00E662CB"/>
    <w:rsid w:val="00E74351"/>
    <w:rsid w:val="00E74DC7"/>
    <w:rsid w:val="00E76806"/>
    <w:rsid w:val="00E8075A"/>
    <w:rsid w:val="00E94D5E"/>
    <w:rsid w:val="00EA7100"/>
    <w:rsid w:val="00EA7F9F"/>
    <w:rsid w:val="00EB1274"/>
    <w:rsid w:val="00EB6AD0"/>
    <w:rsid w:val="00EC6F8E"/>
    <w:rsid w:val="00ED2BB6"/>
    <w:rsid w:val="00ED34E1"/>
    <w:rsid w:val="00ED3B8D"/>
    <w:rsid w:val="00ED659C"/>
    <w:rsid w:val="00ED74C0"/>
    <w:rsid w:val="00EE1FA5"/>
    <w:rsid w:val="00EF2E3A"/>
    <w:rsid w:val="00F072A7"/>
    <w:rsid w:val="00F078DC"/>
    <w:rsid w:val="00F32BA8"/>
    <w:rsid w:val="00F349F1"/>
    <w:rsid w:val="00F37216"/>
    <w:rsid w:val="00F4350D"/>
    <w:rsid w:val="00F43D27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97547"/>
    <w:rsid w:val="00FA1E52"/>
    <w:rsid w:val="00FB1409"/>
    <w:rsid w:val="00FD1D5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E8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21E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1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E1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E1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E1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1E1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1E1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1E1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1E1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1E1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21E19"/>
  </w:style>
  <w:style w:type="paragraph" w:customStyle="1" w:styleId="OPCParaBase">
    <w:name w:val="OPCParaBase"/>
    <w:qFormat/>
    <w:rsid w:val="00621E1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21E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21E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21E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21E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21E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21E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21E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21E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21E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21E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21E19"/>
  </w:style>
  <w:style w:type="paragraph" w:customStyle="1" w:styleId="Blocks">
    <w:name w:val="Blocks"/>
    <w:aliases w:val="bb"/>
    <w:basedOn w:val="OPCParaBase"/>
    <w:qFormat/>
    <w:rsid w:val="00621E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21E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21E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21E19"/>
    <w:rPr>
      <w:i/>
    </w:rPr>
  </w:style>
  <w:style w:type="paragraph" w:customStyle="1" w:styleId="BoxList">
    <w:name w:val="BoxList"/>
    <w:aliases w:val="bl"/>
    <w:basedOn w:val="BoxText"/>
    <w:qFormat/>
    <w:rsid w:val="00621E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21E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21E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21E19"/>
    <w:pPr>
      <w:ind w:left="1985" w:hanging="851"/>
    </w:pPr>
  </w:style>
  <w:style w:type="character" w:customStyle="1" w:styleId="CharAmPartNo">
    <w:name w:val="CharAmPartNo"/>
    <w:basedOn w:val="OPCCharBase"/>
    <w:qFormat/>
    <w:rsid w:val="00621E19"/>
  </w:style>
  <w:style w:type="character" w:customStyle="1" w:styleId="CharAmPartText">
    <w:name w:val="CharAmPartText"/>
    <w:basedOn w:val="OPCCharBase"/>
    <w:qFormat/>
    <w:rsid w:val="00621E19"/>
  </w:style>
  <w:style w:type="character" w:customStyle="1" w:styleId="CharAmSchNo">
    <w:name w:val="CharAmSchNo"/>
    <w:basedOn w:val="OPCCharBase"/>
    <w:qFormat/>
    <w:rsid w:val="00621E19"/>
  </w:style>
  <w:style w:type="character" w:customStyle="1" w:styleId="CharAmSchText">
    <w:name w:val="CharAmSchText"/>
    <w:basedOn w:val="OPCCharBase"/>
    <w:qFormat/>
    <w:rsid w:val="00621E19"/>
  </w:style>
  <w:style w:type="character" w:customStyle="1" w:styleId="CharBoldItalic">
    <w:name w:val="CharBoldItalic"/>
    <w:basedOn w:val="OPCCharBase"/>
    <w:uiPriority w:val="1"/>
    <w:qFormat/>
    <w:rsid w:val="00621E1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21E19"/>
  </w:style>
  <w:style w:type="character" w:customStyle="1" w:styleId="CharChapText">
    <w:name w:val="CharChapText"/>
    <w:basedOn w:val="OPCCharBase"/>
    <w:uiPriority w:val="1"/>
    <w:qFormat/>
    <w:rsid w:val="00621E19"/>
  </w:style>
  <w:style w:type="character" w:customStyle="1" w:styleId="CharDivNo">
    <w:name w:val="CharDivNo"/>
    <w:basedOn w:val="OPCCharBase"/>
    <w:uiPriority w:val="1"/>
    <w:qFormat/>
    <w:rsid w:val="00621E19"/>
  </w:style>
  <w:style w:type="character" w:customStyle="1" w:styleId="CharDivText">
    <w:name w:val="CharDivText"/>
    <w:basedOn w:val="OPCCharBase"/>
    <w:uiPriority w:val="1"/>
    <w:qFormat/>
    <w:rsid w:val="00621E19"/>
  </w:style>
  <w:style w:type="character" w:customStyle="1" w:styleId="CharItalic">
    <w:name w:val="CharItalic"/>
    <w:basedOn w:val="OPCCharBase"/>
    <w:uiPriority w:val="1"/>
    <w:qFormat/>
    <w:rsid w:val="00621E19"/>
    <w:rPr>
      <w:i/>
    </w:rPr>
  </w:style>
  <w:style w:type="character" w:customStyle="1" w:styleId="CharPartNo">
    <w:name w:val="CharPartNo"/>
    <w:basedOn w:val="OPCCharBase"/>
    <w:uiPriority w:val="1"/>
    <w:qFormat/>
    <w:rsid w:val="00621E19"/>
  </w:style>
  <w:style w:type="character" w:customStyle="1" w:styleId="CharPartText">
    <w:name w:val="CharPartText"/>
    <w:basedOn w:val="OPCCharBase"/>
    <w:uiPriority w:val="1"/>
    <w:qFormat/>
    <w:rsid w:val="00621E19"/>
  </w:style>
  <w:style w:type="character" w:customStyle="1" w:styleId="CharSectno">
    <w:name w:val="CharSectno"/>
    <w:basedOn w:val="OPCCharBase"/>
    <w:qFormat/>
    <w:rsid w:val="00621E19"/>
  </w:style>
  <w:style w:type="character" w:customStyle="1" w:styleId="CharSubdNo">
    <w:name w:val="CharSubdNo"/>
    <w:basedOn w:val="OPCCharBase"/>
    <w:uiPriority w:val="1"/>
    <w:qFormat/>
    <w:rsid w:val="00621E19"/>
  </w:style>
  <w:style w:type="character" w:customStyle="1" w:styleId="CharSubdText">
    <w:name w:val="CharSubdText"/>
    <w:basedOn w:val="OPCCharBase"/>
    <w:uiPriority w:val="1"/>
    <w:qFormat/>
    <w:rsid w:val="00621E19"/>
  </w:style>
  <w:style w:type="paragraph" w:customStyle="1" w:styleId="CTA--">
    <w:name w:val="CTA --"/>
    <w:basedOn w:val="OPCParaBase"/>
    <w:next w:val="Normal"/>
    <w:rsid w:val="00621E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21E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21E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21E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21E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21E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21E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21E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21E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21E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21E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21E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21E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21E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21E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21E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21E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21E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21E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21E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21E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21E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21E1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21E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21E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21E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21E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21E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21E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21E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21E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21E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21E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21E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21E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21E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21E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21E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21E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21E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21E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21E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21E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21E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21E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21E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21E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21E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21E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21E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21E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21E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21E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21E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21E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21E1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21E1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21E1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21E1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21E1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21E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21E1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21E1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21E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21E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21E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21E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21E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21E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21E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21E1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21E1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21E19"/>
    <w:rPr>
      <w:sz w:val="16"/>
    </w:rPr>
  </w:style>
  <w:style w:type="table" w:customStyle="1" w:styleId="CFlag">
    <w:name w:val="CFlag"/>
    <w:basedOn w:val="TableNormal"/>
    <w:uiPriority w:val="99"/>
    <w:rsid w:val="00621E1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21E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1E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21E1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21E1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21E1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21E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21E1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21E1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21E1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21E1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21E1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21E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21E1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21E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21E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21E1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21E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21E1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21E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21E1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21E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21E1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21E19"/>
  </w:style>
  <w:style w:type="character" w:customStyle="1" w:styleId="CharSubPartNoCASA">
    <w:name w:val="CharSubPartNo(CASA)"/>
    <w:basedOn w:val="OPCCharBase"/>
    <w:uiPriority w:val="1"/>
    <w:rsid w:val="00621E19"/>
  </w:style>
  <w:style w:type="paragraph" w:customStyle="1" w:styleId="ENoteTTIndentHeadingSub">
    <w:name w:val="ENoteTTIndentHeadingSub"/>
    <w:aliases w:val="enTTHis"/>
    <w:basedOn w:val="OPCParaBase"/>
    <w:rsid w:val="00621E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21E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21E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21E1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21E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1E1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21E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21E19"/>
    <w:rPr>
      <w:sz w:val="22"/>
    </w:rPr>
  </w:style>
  <w:style w:type="paragraph" w:customStyle="1" w:styleId="SOTextNote">
    <w:name w:val="SO TextNote"/>
    <w:aliases w:val="sont"/>
    <w:basedOn w:val="SOText"/>
    <w:qFormat/>
    <w:rsid w:val="00621E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21E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21E19"/>
    <w:rPr>
      <w:sz w:val="22"/>
    </w:rPr>
  </w:style>
  <w:style w:type="paragraph" w:customStyle="1" w:styleId="FileName">
    <w:name w:val="FileName"/>
    <w:basedOn w:val="Normal"/>
    <w:rsid w:val="00621E19"/>
  </w:style>
  <w:style w:type="paragraph" w:customStyle="1" w:styleId="TableHeading">
    <w:name w:val="TableHeading"/>
    <w:aliases w:val="th"/>
    <w:basedOn w:val="OPCParaBase"/>
    <w:next w:val="Tabletext"/>
    <w:rsid w:val="00621E1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21E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21E1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21E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21E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21E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21E1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21E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21E1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21E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21E1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21E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21E1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21E1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1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E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21E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21E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1E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1E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21E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21E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21E1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21E19"/>
    <w:pPr>
      <w:ind w:left="240" w:hanging="240"/>
    </w:pPr>
  </w:style>
  <w:style w:type="paragraph" w:styleId="Index2">
    <w:name w:val="index 2"/>
    <w:basedOn w:val="Normal"/>
    <w:next w:val="Normal"/>
    <w:autoRedefine/>
    <w:rsid w:val="00621E19"/>
    <w:pPr>
      <w:ind w:left="480" w:hanging="240"/>
    </w:pPr>
  </w:style>
  <w:style w:type="paragraph" w:styleId="Index3">
    <w:name w:val="index 3"/>
    <w:basedOn w:val="Normal"/>
    <w:next w:val="Normal"/>
    <w:autoRedefine/>
    <w:rsid w:val="00621E19"/>
    <w:pPr>
      <w:ind w:left="720" w:hanging="240"/>
    </w:pPr>
  </w:style>
  <w:style w:type="paragraph" w:styleId="Index4">
    <w:name w:val="index 4"/>
    <w:basedOn w:val="Normal"/>
    <w:next w:val="Normal"/>
    <w:autoRedefine/>
    <w:rsid w:val="00621E19"/>
    <w:pPr>
      <w:ind w:left="960" w:hanging="240"/>
    </w:pPr>
  </w:style>
  <w:style w:type="paragraph" w:styleId="Index5">
    <w:name w:val="index 5"/>
    <w:basedOn w:val="Normal"/>
    <w:next w:val="Normal"/>
    <w:autoRedefine/>
    <w:rsid w:val="00621E19"/>
    <w:pPr>
      <w:ind w:left="1200" w:hanging="240"/>
    </w:pPr>
  </w:style>
  <w:style w:type="paragraph" w:styleId="Index6">
    <w:name w:val="index 6"/>
    <w:basedOn w:val="Normal"/>
    <w:next w:val="Normal"/>
    <w:autoRedefine/>
    <w:rsid w:val="00621E19"/>
    <w:pPr>
      <w:ind w:left="1440" w:hanging="240"/>
    </w:pPr>
  </w:style>
  <w:style w:type="paragraph" w:styleId="Index7">
    <w:name w:val="index 7"/>
    <w:basedOn w:val="Normal"/>
    <w:next w:val="Normal"/>
    <w:autoRedefine/>
    <w:rsid w:val="00621E19"/>
    <w:pPr>
      <w:ind w:left="1680" w:hanging="240"/>
    </w:pPr>
  </w:style>
  <w:style w:type="paragraph" w:styleId="Index8">
    <w:name w:val="index 8"/>
    <w:basedOn w:val="Normal"/>
    <w:next w:val="Normal"/>
    <w:autoRedefine/>
    <w:rsid w:val="00621E19"/>
    <w:pPr>
      <w:ind w:left="1920" w:hanging="240"/>
    </w:pPr>
  </w:style>
  <w:style w:type="paragraph" w:styleId="Index9">
    <w:name w:val="index 9"/>
    <w:basedOn w:val="Normal"/>
    <w:next w:val="Normal"/>
    <w:autoRedefine/>
    <w:rsid w:val="00621E19"/>
    <w:pPr>
      <w:ind w:left="2160" w:hanging="240"/>
    </w:pPr>
  </w:style>
  <w:style w:type="paragraph" w:styleId="NormalIndent">
    <w:name w:val="Normal Indent"/>
    <w:basedOn w:val="Normal"/>
    <w:rsid w:val="00621E19"/>
    <w:pPr>
      <w:ind w:left="720"/>
    </w:pPr>
  </w:style>
  <w:style w:type="paragraph" w:styleId="FootnoteText">
    <w:name w:val="footnote text"/>
    <w:basedOn w:val="Normal"/>
    <w:link w:val="FootnoteTextChar"/>
    <w:rsid w:val="00621E1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21E19"/>
  </w:style>
  <w:style w:type="paragraph" w:styleId="CommentText">
    <w:name w:val="annotation text"/>
    <w:basedOn w:val="Normal"/>
    <w:link w:val="CommentTextChar"/>
    <w:rsid w:val="00621E1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1E19"/>
  </w:style>
  <w:style w:type="paragraph" w:styleId="IndexHeading">
    <w:name w:val="index heading"/>
    <w:basedOn w:val="Normal"/>
    <w:next w:val="Index1"/>
    <w:rsid w:val="00621E1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21E1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21E19"/>
    <w:pPr>
      <w:ind w:left="480" w:hanging="480"/>
    </w:pPr>
  </w:style>
  <w:style w:type="paragraph" w:styleId="EnvelopeAddress">
    <w:name w:val="envelope address"/>
    <w:basedOn w:val="Normal"/>
    <w:rsid w:val="00621E1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21E1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21E1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21E19"/>
    <w:rPr>
      <w:sz w:val="16"/>
      <w:szCs w:val="16"/>
    </w:rPr>
  </w:style>
  <w:style w:type="character" w:styleId="PageNumber">
    <w:name w:val="page number"/>
    <w:basedOn w:val="DefaultParagraphFont"/>
    <w:rsid w:val="00621E19"/>
  </w:style>
  <w:style w:type="character" w:styleId="EndnoteReference">
    <w:name w:val="endnote reference"/>
    <w:basedOn w:val="DefaultParagraphFont"/>
    <w:rsid w:val="00621E19"/>
    <w:rPr>
      <w:vertAlign w:val="superscript"/>
    </w:rPr>
  </w:style>
  <w:style w:type="paragraph" w:styleId="EndnoteText">
    <w:name w:val="endnote text"/>
    <w:basedOn w:val="Normal"/>
    <w:link w:val="EndnoteTextChar"/>
    <w:rsid w:val="00621E1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21E19"/>
  </w:style>
  <w:style w:type="paragraph" w:styleId="TableofAuthorities">
    <w:name w:val="table of authorities"/>
    <w:basedOn w:val="Normal"/>
    <w:next w:val="Normal"/>
    <w:rsid w:val="00621E19"/>
    <w:pPr>
      <w:ind w:left="240" w:hanging="240"/>
    </w:pPr>
  </w:style>
  <w:style w:type="paragraph" w:styleId="MacroText">
    <w:name w:val="macro"/>
    <w:link w:val="MacroTextChar"/>
    <w:rsid w:val="00621E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21E1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21E1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21E19"/>
    <w:pPr>
      <w:ind w:left="283" w:hanging="283"/>
    </w:pPr>
  </w:style>
  <w:style w:type="paragraph" w:styleId="ListBullet">
    <w:name w:val="List Bullet"/>
    <w:basedOn w:val="Normal"/>
    <w:autoRedefine/>
    <w:rsid w:val="00621E1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21E1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21E19"/>
    <w:pPr>
      <w:ind w:left="566" w:hanging="283"/>
    </w:pPr>
  </w:style>
  <w:style w:type="paragraph" w:styleId="List3">
    <w:name w:val="List 3"/>
    <w:basedOn w:val="Normal"/>
    <w:rsid w:val="00621E19"/>
    <w:pPr>
      <w:ind w:left="849" w:hanging="283"/>
    </w:pPr>
  </w:style>
  <w:style w:type="paragraph" w:styleId="List4">
    <w:name w:val="List 4"/>
    <w:basedOn w:val="Normal"/>
    <w:rsid w:val="00621E19"/>
    <w:pPr>
      <w:ind w:left="1132" w:hanging="283"/>
    </w:pPr>
  </w:style>
  <w:style w:type="paragraph" w:styleId="List5">
    <w:name w:val="List 5"/>
    <w:basedOn w:val="Normal"/>
    <w:rsid w:val="00621E19"/>
    <w:pPr>
      <w:ind w:left="1415" w:hanging="283"/>
    </w:pPr>
  </w:style>
  <w:style w:type="paragraph" w:styleId="ListBullet2">
    <w:name w:val="List Bullet 2"/>
    <w:basedOn w:val="Normal"/>
    <w:autoRedefine/>
    <w:rsid w:val="00621E1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21E1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21E1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21E1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21E1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21E1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21E1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21E1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21E1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21E1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21E19"/>
    <w:pPr>
      <w:ind w:left="4252"/>
    </w:pPr>
  </w:style>
  <w:style w:type="character" w:customStyle="1" w:styleId="ClosingChar">
    <w:name w:val="Closing Char"/>
    <w:basedOn w:val="DefaultParagraphFont"/>
    <w:link w:val="Closing"/>
    <w:rsid w:val="00621E19"/>
    <w:rPr>
      <w:sz w:val="22"/>
    </w:rPr>
  </w:style>
  <w:style w:type="paragraph" w:styleId="Signature">
    <w:name w:val="Signature"/>
    <w:basedOn w:val="Normal"/>
    <w:link w:val="SignatureChar"/>
    <w:rsid w:val="00621E1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21E19"/>
    <w:rPr>
      <w:sz w:val="22"/>
    </w:rPr>
  </w:style>
  <w:style w:type="paragraph" w:styleId="BodyText">
    <w:name w:val="Body Text"/>
    <w:basedOn w:val="Normal"/>
    <w:link w:val="BodyTextChar"/>
    <w:rsid w:val="00621E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1E19"/>
    <w:rPr>
      <w:sz w:val="22"/>
    </w:rPr>
  </w:style>
  <w:style w:type="paragraph" w:styleId="BodyTextIndent">
    <w:name w:val="Body Text Indent"/>
    <w:basedOn w:val="Normal"/>
    <w:link w:val="BodyTextIndentChar"/>
    <w:rsid w:val="00621E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21E19"/>
    <w:rPr>
      <w:sz w:val="22"/>
    </w:rPr>
  </w:style>
  <w:style w:type="paragraph" w:styleId="ListContinue">
    <w:name w:val="List Continue"/>
    <w:basedOn w:val="Normal"/>
    <w:rsid w:val="00621E19"/>
    <w:pPr>
      <w:spacing w:after="120"/>
      <w:ind w:left="283"/>
    </w:pPr>
  </w:style>
  <w:style w:type="paragraph" w:styleId="ListContinue2">
    <w:name w:val="List Continue 2"/>
    <w:basedOn w:val="Normal"/>
    <w:rsid w:val="00621E19"/>
    <w:pPr>
      <w:spacing w:after="120"/>
      <w:ind w:left="566"/>
    </w:pPr>
  </w:style>
  <w:style w:type="paragraph" w:styleId="ListContinue3">
    <w:name w:val="List Continue 3"/>
    <w:basedOn w:val="Normal"/>
    <w:rsid w:val="00621E19"/>
    <w:pPr>
      <w:spacing w:after="120"/>
      <w:ind w:left="849"/>
    </w:pPr>
  </w:style>
  <w:style w:type="paragraph" w:styleId="ListContinue4">
    <w:name w:val="List Continue 4"/>
    <w:basedOn w:val="Normal"/>
    <w:rsid w:val="00621E19"/>
    <w:pPr>
      <w:spacing w:after="120"/>
      <w:ind w:left="1132"/>
    </w:pPr>
  </w:style>
  <w:style w:type="paragraph" w:styleId="ListContinue5">
    <w:name w:val="List Continue 5"/>
    <w:basedOn w:val="Normal"/>
    <w:rsid w:val="00621E1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21E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21E1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21E1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21E1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21E19"/>
  </w:style>
  <w:style w:type="character" w:customStyle="1" w:styleId="SalutationChar">
    <w:name w:val="Salutation Char"/>
    <w:basedOn w:val="DefaultParagraphFont"/>
    <w:link w:val="Salutation"/>
    <w:rsid w:val="00621E19"/>
    <w:rPr>
      <w:sz w:val="22"/>
    </w:rPr>
  </w:style>
  <w:style w:type="paragraph" w:styleId="Date">
    <w:name w:val="Date"/>
    <w:basedOn w:val="Normal"/>
    <w:next w:val="Normal"/>
    <w:link w:val="DateChar"/>
    <w:rsid w:val="00621E19"/>
  </w:style>
  <w:style w:type="character" w:customStyle="1" w:styleId="DateChar">
    <w:name w:val="Date Char"/>
    <w:basedOn w:val="DefaultParagraphFont"/>
    <w:link w:val="Date"/>
    <w:rsid w:val="00621E19"/>
    <w:rPr>
      <w:sz w:val="22"/>
    </w:rPr>
  </w:style>
  <w:style w:type="paragraph" w:styleId="BodyTextFirstIndent">
    <w:name w:val="Body Text First Indent"/>
    <w:basedOn w:val="BodyText"/>
    <w:link w:val="BodyTextFirstIndentChar"/>
    <w:rsid w:val="00621E1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21E1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21E1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21E19"/>
    <w:rPr>
      <w:sz w:val="22"/>
    </w:rPr>
  </w:style>
  <w:style w:type="paragraph" w:styleId="BodyText2">
    <w:name w:val="Body Text 2"/>
    <w:basedOn w:val="Normal"/>
    <w:link w:val="BodyText2Char"/>
    <w:rsid w:val="00621E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21E19"/>
    <w:rPr>
      <w:sz w:val="22"/>
    </w:rPr>
  </w:style>
  <w:style w:type="paragraph" w:styleId="BodyText3">
    <w:name w:val="Body Text 3"/>
    <w:basedOn w:val="Normal"/>
    <w:link w:val="BodyText3Char"/>
    <w:rsid w:val="00621E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1E1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21E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21E19"/>
    <w:rPr>
      <w:sz w:val="22"/>
    </w:rPr>
  </w:style>
  <w:style w:type="paragraph" w:styleId="BodyTextIndent3">
    <w:name w:val="Body Text Indent 3"/>
    <w:basedOn w:val="Normal"/>
    <w:link w:val="BodyTextIndent3Char"/>
    <w:rsid w:val="00621E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21E19"/>
    <w:rPr>
      <w:sz w:val="16"/>
      <w:szCs w:val="16"/>
    </w:rPr>
  </w:style>
  <w:style w:type="paragraph" w:styleId="BlockText">
    <w:name w:val="Block Text"/>
    <w:basedOn w:val="Normal"/>
    <w:rsid w:val="00621E19"/>
    <w:pPr>
      <w:spacing w:after="120"/>
      <w:ind w:left="1440" w:right="1440"/>
    </w:pPr>
  </w:style>
  <w:style w:type="character" w:styleId="Hyperlink">
    <w:name w:val="Hyperlink"/>
    <w:basedOn w:val="DefaultParagraphFont"/>
    <w:rsid w:val="00621E19"/>
    <w:rPr>
      <w:color w:val="0000FF"/>
      <w:u w:val="single"/>
    </w:rPr>
  </w:style>
  <w:style w:type="character" w:styleId="FollowedHyperlink">
    <w:name w:val="FollowedHyperlink"/>
    <w:basedOn w:val="DefaultParagraphFont"/>
    <w:rsid w:val="00621E19"/>
    <w:rPr>
      <w:color w:val="800080"/>
      <w:u w:val="single"/>
    </w:rPr>
  </w:style>
  <w:style w:type="character" w:styleId="Strong">
    <w:name w:val="Strong"/>
    <w:basedOn w:val="DefaultParagraphFont"/>
    <w:qFormat/>
    <w:rsid w:val="00621E19"/>
    <w:rPr>
      <w:b/>
      <w:bCs/>
    </w:rPr>
  </w:style>
  <w:style w:type="character" w:styleId="Emphasis">
    <w:name w:val="Emphasis"/>
    <w:basedOn w:val="DefaultParagraphFont"/>
    <w:qFormat/>
    <w:rsid w:val="00621E19"/>
    <w:rPr>
      <w:i/>
      <w:iCs/>
    </w:rPr>
  </w:style>
  <w:style w:type="paragraph" w:styleId="DocumentMap">
    <w:name w:val="Document Map"/>
    <w:basedOn w:val="Normal"/>
    <w:link w:val="DocumentMapChar"/>
    <w:rsid w:val="00621E1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21E1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21E1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21E1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21E19"/>
  </w:style>
  <w:style w:type="character" w:customStyle="1" w:styleId="E-mailSignatureChar">
    <w:name w:val="E-mail Signature Char"/>
    <w:basedOn w:val="DefaultParagraphFont"/>
    <w:link w:val="E-mailSignature"/>
    <w:rsid w:val="00621E19"/>
    <w:rPr>
      <w:sz w:val="22"/>
    </w:rPr>
  </w:style>
  <w:style w:type="paragraph" w:styleId="NormalWeb">
    <w:name w:val="Normal (Web)"/>
    <w:basedOn w:val="Normal"/>
    <w:rsid w:val="00621E19"/>
  </w:style>
  <w:style w:type="character" w:styleId="HTMLAcronym">
    <w:name w:val="HTML Acronym"/>
    <w:basedOn w:val="DefaultParagraphFont"/>
    <w:rsid w:val="00621E19"/>
  </w:style>
  <w:style w:type="paragraph" w:styleId="HTMLAddress">
    <w:name w:val="HTML Address"/>
    <w:basedOn w:val="Normal"/>
    <w:link w:val="HTMLAddressChar"/>
    <w:rsid w:val="00621E1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21E19"/>
    <w:rPr>
      <w:i/>
      <w:iCs/>
      <w:sz w:val="22"/>
    </w:rPr>
  </w:style>
  <w:style w:type="character" w:styleId="HTMLCite">
    <w:name w:val="HTML Cite"/>
    <w:basedOn w:val="DefaultParagraphFont"/>
    <w:rsid w:val="00621E19"/>
    <w:rPr>
      <w:i/>
      <w:iCs/>
    </w:rPr>
  </w:style>
  <w:style w:type="character" w:styleId="HTMLCode">
    <w:name w:val="HTML Code"/>
    <w:basedOn w:val="DefaultParagraphFont"/>
    <w:rsid w:val="00621E1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21E19"/>
    <w:rPr>
      <w:i/>
      <w:iCs/>
    </w:rPr>
  </w:style>
  <w:style w:type="character" w:styleId="HTMLKeyboard">
    <w:name w:val="HTML Keyboard"/>
    <w:basedOn w:val="DefaultParagraphFont"/>
    <w:rsid w:val="00621E1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21E1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21E19"/>
    <w:rPr>
      <w:rFonts w:ascii="Courier New" w:hAnsi="Courier New" w:cs="Courier New"/>
    </w:rPr>
  </w:style>
  <w:style w:type="character" w:styleId="HTMLSample">
    <w:name w:val="HTML Sample"/>
    <w:basedOn w:val="DefaultParagraphFont"/>
    <w:rsid w:val="00621E1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21E1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21E1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21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1E19"/>
    <w:rPr>
      <w:b/>
      <w:bCs/>
    </w:rPr>
  </w:style>
  <w:style w:type="numbering" w:styleId="1ai">
    <w:name w:val="Outline List 1"/>
    <w:basedOn w:val="NoList"/>
    <w:rsid w:val="00621E19"/>
    <w:pPr>
      <w:numPr>
        <w:numId w:val="14"/>
      </w:numPr>
    </w:pPr>
  </w:style>
  <w:style w:type="numbering" w:styleId="111111">
    <w:name w:val="Outline List 2"/>
    <w:basedOn w:val="NoList"/>
    <w:rsid w:val="00621E19"/>
    <w:pPr>
      <w:numPr>
        <w:numId w:val="15"/>
      </w:numPr>
    </w:pPr>
  </w:style>
  <w:style w:type="numbering" w:styleId="ArticleSection">
    <w:name w:val="Outline List 3"/>
    <w:basedOn w:val="NoList"/>
    <w:rsid w:val="00621E19"/>
    <w:pPr>
      <w:numPr>
        <w:numId w:val="17"/>
      </w:numPr>
    </w:pPr>
  </w:style>
  <w:style w:type="table" w:styleId="TableSimple1">
    <w:name w:val="Table Simple 1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21E1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21E1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21E1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21E1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21E1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21E1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21E1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21E1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21E1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21E1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21E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21E1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21E1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21E1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21E1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21E1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21E1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21E1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21E1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21E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21E1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21E1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21E1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21E1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21E1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21E1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21E1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21E1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21E1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21E1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21E1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21E1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21E1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21E1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21E1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21E1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21E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21E1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21E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21E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21E19"/>
  </w:style>
  <w:style w:type="paragraph" w:styleId="Bibliography">
    <w:name w:val="Bibliography"/>
    <w:basedOn w:val="Normal"/>
    <w:next w:val="Normal"/>
    <w:uiPriority w:val="37"/>
    <w:semiHidden/>
    <w:unhideWhenUsed/>
    <w:rsid w:val="00621E19"/>
  </w:style>
  <w:style w:type="character" w:styleId="BookTitle">
    <w:name w:val="Book Title"/>
    <w:basedOn w:val="DefaultParagraphFont"/>
    <w:uiPriority w:val="33"/>
    <w:qFormat/>
    <w:rsid w:val="00621E1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21E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21E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21E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21E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21E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21E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21E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21E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21E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21E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21E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21E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21E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21E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21E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21E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21E1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21E1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21E1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21E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21E1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21E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21E1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21E1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21E1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21E1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21E1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21E1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21E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21E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21E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21E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21E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21E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21E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21E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21E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21E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21E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21E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21E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21E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21E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21E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21E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21E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21E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21E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21E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21E1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21E1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1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1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21E1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21E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21E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21E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21E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21E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21E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21E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21E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21E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21E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21E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21E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21E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21E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21E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21E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21E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21E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21E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21E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21E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21E1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21E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21E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21E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21E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21E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21E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21E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21E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21E1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21E1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21E1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21E1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21E1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21E1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21E1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21E1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21E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21E1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21E1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21E1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21E1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21E1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21E1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21E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21E1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21E1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21E1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21E1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21E1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21E1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21E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21E1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21E1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21E1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21E1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21E1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21E1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21E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21E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21E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21E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21E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21E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21E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21E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21E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21E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21E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21E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21E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21E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21E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21E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21E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21E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21E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21E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21E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21E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21E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21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21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21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21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21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21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21E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21E1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21E1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E1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1E1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21E19"/>
    <w:rPr>
      <w:color w:val="808080"/>
    </w:rPr>
  </w:style>
  <w:style w:type="table" w:styleId="PlainTable1">
    <w:name w:val="Plain Table 1"/>
    <w:basedOn w:val="TableNormal"/>
    <w:uiPriority w:val="41"/>
    <w:rsid w:val="00621E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21E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21E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21E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21E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21E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1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21E1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21E1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21E1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21E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E1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21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9" Type="http://schemas.openxmlformats.org/officeDocument/2006/relationships/footer" Target="footer1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header" Target="header11.xml"/><Relationship Id="rId42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9BC0ECC4E73FC344A9FCE4CB259EE32A" ma:contentTypeVersion="82" ma:contentTypeDescription="" ma:contentTypeScope="" ma:versionID="2be6343b53d327b3b8d1a549610294a9">
  <xsd:schema xmlns:xsd="http://www.w3.org/2001/XMLSchema" xmlns:xs="http://www.w3.org/2001/XMLSchema" xmlns:p="http://schemas.microsoft.com/office/2006/metadata/properties" xmlns:ns2="a334ba3b-e131-42d3-95f3-2728f5a41884" xmlns:ns3="6a7e9632-768a-49bf-85ac-c69233ab2a52" targetNamespace="http://schemas.microsoft.com/office/2006/metadata/properties" ma:root="true" ma:fieldsID="51f46ca02b7fae70e7f66c765cff77f6" ns2:_="" ns3:_=""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00ddb619-6e4d-4680-9b53-e17f276458d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0ddb619-6e4d-4680-9b53-e17f276458d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30</Value>
      <Value>1</Value>
    </TaxCatchAll>
    <e0fcb3f570964638902a63147cd98219 xmlns="a334ba3b-e131-42d3-95f3-2728f5a41884">
      <Terms xmlns="http://schemas.microsoft.com/office/infopath/2007/PartnerControls"/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FIN33960-1789766110-436</_dlc_DocId>
    <_dlc_DocIdUrl xmlns="6a7e9632-768a-49bf-85ac-c69233ab2a52">
      <Url>https://financegovau.sharepoint.com/sites/M365_DoF_50033960/_layouts/15/DocIdRedir.aspx?ID=FIN33960-1789766110-436</Url>
      <Description>FIN33960-1789766110-436</Description>
    </_dlc_DocIdUrl>
  </documentManagement>
</p:propertie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1837-940C-4807-9C3C-ED3BDCE7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A6FFF-0F03-4369-801F-0D82DEB34FD1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</ds:schemaRefs>
</ds:datastoreItem>
</file>

<file path=customXml/itemProps3.xml><?xml version="1.0" encoding="utf-8"?>
<ds:datastoreItem xmlns:ds="http://schemas.openxmlformats.org/officeDocument/2006/customXml" ds:itemID="{B003174A-9D02-4BCE-A8D5-AB725A6D06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86E7D5-164F-4F5F-ACF5-0FAD602562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7F5695-02E4-4800-900E-93FC5373D3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CD0B56-780A-4932-9FD4-C8190E52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17</Pages>
  <Words>2208</Words>
  <Characters>12189</Characters>
  <Application>Microsoft Office Word</Application>
  <DocSecurity>0</DocSecurity>
  <PresentationFormat/>
  <Lines>487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Governance, Performance and Accountability (Investment) Authorisation 2024</vt:lpstr>
    </vt:vector>
  </TitlesOfParts>
  <Manager/>
  <Company/>
  <LinksUpToDate>false</LinksUpToDate>
  <CharactersWithSpaces>13998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2024-08-20T01:44:00Z</cp:lastPrinted>
  <dcterms:created xsi:type="dcterms:W3CDTF">2024-09-10T03:25:00Z</dcterms:created>
  <dcterms:modified xsi:type="dcterms:W3CDTF">2024-09-10T06:04:00Z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(Investment) Authorisation 2024</vt:lpwstr>
  </property>
  <property fmtid="{D5CDD505-2E9C-101B-9397-08002B2CF9AE}" pid="4" name="Header">
    <vt:lpwstr>Section</vt:lpwstr>
  </property>
  <property fmtid="{D5CDD505-2E9C-101B-9397-08002B2CF9AE}" pid="5" name="Class">
    <vt:lpwstr>Authorisation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OPC67051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ContentTypeId">
    <vt:lpwstr>0x010100B7B479F47583304BA8B631462CC772D7009BC0ECC4E73FC344A9FCE4CB259EE32A</vt:lpwstr>
  </property>
  <property fmtid="{D5CDD505-2E9C-101B-9397-08002B2CF9AE}" pid="17" name="_dlc_DocIdItemGuid">
    <vt:lpwstr>9c174dd8-6ade-42dd-b4a2-c20d2c24c4f5</vt:lpwstr>
  </property>
  <property fmtid="{D5CDD505-2E9C-101B-9397-08002B2CF9AE}" pid="18" name="About Entity">
    <vt:lpwstr>1;#Department of Finance|fd660e8f-8f31-49bd-92a3-d31d4da31afe</vt:lpwstr>
  </property>
  <property fmtid="{D5CDD505-2E9C-101B-9397-08002B2CF9AE}" pid="19" name="Initiating Entity">
    <vt:lpwstr>1;#Department of Finance|fd660e8f-8f31-49bd-92a3-d31d4da31afe</vt:lpwstr>
  </property>
  <property fmtid="{D5CDD505-2E9C-101B-9397-08002B2CF9AE}" pid="20" name="TaxKeyword">
    <vt:lpwstr>30;#[SEC=OFFICIAL]|07351cc0-de73-4913-be2f-56f124cbf8bb</vt:lpwstr>
  </property>
  <property fmtid="{D5CDD505-2E9C-101B-9397-08002B2CF9AE}" pid="21" name="Organisation Unit">
    <vt:lpwstr/>
  </property>
  <property fmtid="{D5CDD505-2E9C-101B-9397-08002B2CF9AE}" pid="22" name="Function and Activity">
    <vt:lpwstr/>
  </property>
  <property fmtid="{D5CDD505-2E9C-101B-9397-08002B2CF9AE}" pid="23" name="PM_Namespace">
    <vt:lpwstr>gov.au</vt:lpwstr>
  </property>
  <property fmtid="{D5CDD505-2E9C-101B-9397-08002B2CF9AE}" pid="24" name="PM_Caveats_Count">
    <vt:lpwstr>0</vt:lpwstr>
  </property>
  <property fmtid="{D5CDD505-2E9C-101B-9397-08002B2CF9AE}" pid="25" name="PM_Version">
    <vt:lpwstr>2018.4</vt:lpwstr>
  </property>
  <property fmtid="{D5CDD505-2E9C-101B-9397-08002B2CF9AE}" pid="26" name="PM_Note">
    <vt:lpwstr/>
  </property>
  <property fmtid="{D5CDD505-2E9C-101B-9397-08002B2CF9AE}" pid="27" name="PMHMAC">
    <vt:lpwstr>v=2022.1;a=SHA256;h=726ACF99ED792D34B0B62461DC1B3776A7000A1F1E41C199E9DA69FA65167966</vt:lpwstr>
  </property>
  <property fmtid="{D5CDD505-2E9C-101B-9397-08002B2CF9AE}" pid="28" name="PM_Qualifier">
    <vt:lpwstr/>
  </property>
  <property fmtid="{D5CDD505-2E9C-101B-9397-08002B2CF9AE}" pid="29" name="PM_SecurityClassification">
    <vt:lpwstr>OFFICIAL</vt:lpwstr>
  </property>
  <property fmtid="{D5CDD505-2E9C-101B-9397-08002B2CF9AE}" pid="30" name="PM_ProtectiveMarkingValue_Header">
    <vt:lpwstr>OFFICIAL</vt:lpwstr>
  </property>
  <property fmtid="{D5CDD505-2E9C-101B-9397-08002B2CF9AE}" pid="31" name="PM_OriginationTimeStamp">
    <vt:lpwstr>2024-08-26T00:29:52Z</vt:lpwstr>
  </property>
  <property fmtid="{D5CDD505-2E9C-101B-9397-08002B2CF9AE}" pid="32" name="PM_Markers">
    <vt:lpwstr/>
  </property>
  <property fmtid="{D5CDD505-2E9C-101B-9397-08002B2CF9AE}" pid="33" name="MSIP_Label_87d6481e-ccdd-4ab6-8b26-05a0df5699e7_Name">
    <vt:lpwstr>OFFICIAL</vt:lpwstr>
  </property>
  <property fmtid="{D5CDD505-2E9C-101B-9397-08002B2CF9AE}" pid="34" name="MSIP_Label_87d6481e-ccdd-4ab6-8b26-05a0df5699e7_SiteId">
    <vt:lpwstr>08954cee-4782-4ff6-9ad5-1997dccef4b0</vt:lpwstr>
  </property>
  <property fmtid="{D5CDD505-2E9C-101B-9397-08002B2CF9AE}" pid="35" name="MSIP_Label_87d6481e-ccdd-4ab6-8b26-05a0df5699e7_Enabled">
    <vt:lpwstr>true</vt:lpwstr>
  </property>
  <property fmtid="{D5CDD505-2E9C-101B-9397-08002B2CF9AE}" pid="36" name="PM_OriginatorUserAccountName_SHA256">
    <vt:lpwstr>68737D3C000DB29BB1F36D1F7A064E81D63790B75E1D81750F6AABBE5B642847</vt:lpwstr>
  </property>
  <property fmtid="{D5CDD505-2E9C-101B-9397-08002B2CF9AE}" pid="37" name="MSIP_Label_87d6481e-ccdd-4ab6-8b26-05a0df5699e7_SetDate">
    <vt:lpwstr>2024-08-26T00:29:52Z</vt:lpwstr>
  </property>
  <property fmtid="{D5CDD505-2E9C-101B-9397-08002B2CF9AE}" pid="38" name="MSIP_Label_87d6481e-ccdd-4ab6-8b26-05a0df5699e7_Method">
    <vt:lpwstr>Privileged</vt:lpwstr>
  </property>
  <property fmtid="{D5CDD505-2E9C-101B-9397-08002B2CF9AE}" pid="39" name="MSIP_Label_87d6481e-ccdd-4ab6-8b26-05a0df5699e7_ContentBits">
    <vt:lpwstr>0</vt:lpwstr>
  </property>
  <property fmtid="{D5CDD505-2E9C-101B-9397-08002B2CF9AE}" pid="40" name="MSIP_Label_87d6481e-ccdd-4ab6-8b26-05a0df5699e7_ActionId">
    <vt:lpwstr>2bcdf846694c48c9ad9e72d2a9c678a7</vt:lpwstr>
  </property>
  <property fmtid="{D5CDD505-2E9C-101B-9397-08002B2CF9AE}" pid="41" name="PM_InsertionValue">
    <vt:lpwstr>OFFICIAL</vt:lpwstr>
  </property>
  <property fmtid="{D5CDD505-2E9C-101B-9397-08002B2CF9AE}" pid="42" name="PM_Originator_Hash_SHA1">
    <vt:lpwstr>2C3B91DAACD22A5A4D5B1E82AF12A1ACCCE511E2</vt:lpwstr>
  </property>
  <property fmtid="{D5CDD505-2E9C-101B-9397-08002B2CF9AE}" pid="43" name="PM_DisplayValueSecClassificationWithQualifier">
    <vt:lpwstr>OFFICIAL</vt:lpwstr>
  </property>
  <property fmtid="{D5CDD505-2E9C-101B-9397-08002B2CF9AE}" pid="44" name="PM_Originating_FileId">
    <vt:lpwstr>EF4AB70C418E42D5A809EB9DEB31FABF</vt:lpwstr>
  </property>
  <property fmtid="{D5CDD505-2E9C-101B-9397-08002B2CF9AE}" pid="45" name="PM_ProtectiveMarkingValue_Footer">
    <vt:lpwstr>OFFICIAL</vt:lpwstr>
  </property>
  <property fmtid="{D5CDD505-2E9C-101B-9397-08002B2CF9AE}" pid="46" name="PM_ProtectiveMarkingImage_Header">
    <vt:lpwstr>C:\Program Files\Common Files\janusNET Shared\janusSEAL\Images\DocumentSlashBlue.png</vt:lpwstr>
  </property>
  <property fmtid="{D5CDD505-2E9C-101B-9397-08002B2CF9AE}" pid="47" name="PM_ProtectiveMarkingImage_Footer">
    <vt:lpwstr>C:\Program Files\Common Files\janusNET Shared\janusSEAL\Images\DocumentSlashBlue.png</vt:lpwstr>
  </property>
  <property fmtid="{D5CDD505-2E9C-101B-9397-08002B2CF9AE}" pid="48" name="PM_Display">
    <vt:lpwstr>OFFICIAL</vt:lpwstr>
  </property>
  <property fmtid="{D5CDD505-2E9C-101B-9397-08002B2CF9AE}" pid="49" name="PM_OriginatorDomainName_SHA256">
    <vt:lpwstr>325440F6CA31C4C3BCE4433552DC42928CAAD3E2731ABE35FDE729ECEB763AF0</vt:lpwstr>
  </property>
  <property fmtid="{D5CDD505-2E9C-101B-9397-08002B2CF9AE}" pid="50" name="PMUuid">
    <vt:lpwstr>v=2022.2;d=gov.au;g=46DD6D7C-8107-577B-BC6E-F348953B2E44</vt:lpwstr>
  </property>
  <property fmtid="{D5CDD505-2E9C-101B-9397-08002B2CF9AE}" pid="51" name="PM_Hash_Version">
    <vt:lpwstr>2022.1</vt:lpwstr>
  </property>
  <property fmtid="{D5CDD505-2E9C-101B-9397-08002B2CF9AE}" pid="52" name="PM_Hash_Salt_Prev">
    <vt:lpwstr>F0D26DDF3B15512003AE946A7EFC06FC</vt:lpwstr>
  </property>
  <property fmtid="{D5CDD505-2E9C-101B-9397-08002B2CF9AE}" pid="53" name="PM_Hash_Salt">
    <vt:lpwstr>1AE3A0654F8551EE7F1F498643B30B18</vt:lpwstr>
  </property>
  <property fmtid="{D5CDD505-2E9C-101B-9397-08002B2CF9AE}" pid="54" name="PM_Hash_SHA1">
    <vt:lpwstr>805C01D7215F45A832852671CE67C963309A8A4C</vt:lpwstr>
  </property>
  <property fmtid="{D5CDD505-2E9C-101B-9397-08002B2CF9AE}" pid="55" name="PM_SecurityClassification_Prev">
    <vt:lpwstr>OFFICIAL</vt:lpwstr>
  </property>
  <property fmtid="{D5CDD505-2E9C-101B-9397-08002B2CF9AE}" pid="56" name="PM_Qualifier_Prev">
    <vt:lpwstr/>
  </property>
</Properties>
</file>