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C5E65" w14:textId="77777777" w:rsidR="00FB640B" w:rsidRPr="00AB4CCE" w:rsidRDefault="0057002B" w:rsidP="00AB4CCE">
      <w:pPr>
        <w:pStyle w:val="ESTitleHeader"/>
      </w:pPr>
      <w:bookmarkStart w:id="0" w:name="_GoBack"/>
      <w:bookmarkEnd w:id="0"/>
      <w:r w:rsidRPr="00AB4CCE">
        <w:t>EXPLANATORY STATEMENT</w:t>
      </w:r>
    </w:p>
    <w:p w14:paraId="76AE077A" w14:textId="794E0F18" w:rsidR="0057002B" w:rsidRPr="00AB4CCE" w:rsidRDefault="0057002B" w:rsidP="00AB4CCE">
      <w:pPr>
        <w:pStyle w:val="ESTitleDecisionMaker"/>
      </w:pPr>
      <w:r w:rsidRPr="00AB4CCE">
        <w:t xml:space="preserve">Issued by authority of the </w:t>
      </w:r>
      <w:r w:rsidR="001C4CFA">
        <w:t xml:space="preserve">Minister for Home Affairs and the </w:t>
      </w:r>
      <w:r w:rsidR="00A72F06" w:rsidRPr="00AB4CCE">
        <w:t xml:space="preserve">Minister for </w:t>
      </w:r>
      <w:r w:rsidR="006E08EE">
        <w:t>Immigration</w:t>
      </w:r>
      <w:r w:rsidR="00BC7A7B" w:rsidRPr="00AB4CCE">
        <w:t xml:space="preserve"> and</w:t>
      </w:r>
      <w:r w:rsidR="001C4CFA">
        <w:t> </w:t>
      </w:r>
      <w:r w:rsidR="00BC7A7B" w:rsidRPr="00AB4CCE">
        <w:t>Multicultural</w:t>
      </w:r>
      <w:r w:rsidR="001C4CFA">
        <w:t> </w:t>
      </w:r>
      <w:r w:rsidR="00BC7A7B" w:rsidRPr="00AB4CCE">
        <w:t>Affairs</w:t>
      </w:r>
    </w:p>
    <w:p w14:paraId="0D61DBC5" w14:textId="2A07CA50" w:rsidR="0057002B" w:rsidRPr="00AB4CCE" w:rsidRDefault="00A72F06" w:rsidP="00AB4CCE">
      <w:pPr>
        <w:pStyle w:val="ESTitleEnablingLegislation"/>
      </w:pPr>
      <w:r w:rsidRPr="00AB4CCE">
        <w:t xml:space="preserve">Migration </w:t>
      </w:r>
      <w:r w:rsidR="008F5151" w:rsidRPr="00AB4CCE">
        <w:t>Regulations </w:t>
      </w:r>
      <w:r w:rsidR="00AB5DEA" w:rsidRPr="00AB4CCE">
        <w:t>1994</w:t>
      </w:r>
    </w:p>
    <w:p w14:paraId="7E38BF32" w14:textId="78EB224F" w:rsidR="0057002B" w:rsidRPr="00AB4CCE" w:rsidRDefault="00AB5DEA" w:rsidP="00AB4CCE">
      <w:pPr>
        <w:pStyle w:val="ESTitleInstrumentName"/>
      </w:pPr>
      <w:r w:rsidRPr="00AB4CCE">
        <w:t>Migration (</w:t>
      </w:r>
      <w:r w:rsidR="00B82EA0" w:rsidRPr="00AB4CCE">
        <w:t xml:space="preserve">Specification of Health Service Provider) </w:t>
      </w:r>
      <w:r w:rsidRPr="00AB4CCE">
        <w:t>Instrument (LIN</w:t>
      </w:r>
      <w:r w:rsidR="008F5151" w:rsidRPr="00AB4CCE">
        <w:t> </w:t>
      </w:r>
      <w:r w:rsidRPr="00AB4CCE">
        <w:t>24/0</w:t>
      </w:r>
      <w:r w:rsidR="00B82EA0" w:rsidRPr="00AB4CCE">
        <w:t>40</w:t>
      </w:r>
      <w:r w:rsidR="008F5151" w:rsidRPr="00AB4CCE">
        <w:t>) </w:t>
      </w:r>
      <w:r w:rsidRPr="00AB4CCE">
        <w:t>2024</w:t>
      </w:r>
    </w:p>
    <w:p w14:paraId="620BEEED" w14:textId="1C6E2E60" w:rsidR="0057002B" w:rsidRPr="004039FB" w:rsidRDefault="0057002B" w:rsidP="00AB4CCE">
      <w:pPr>
        <w:pStyle w:val="ESPara"/>
      </w:pPr>
      <w:r w:rsidRPr="004039FB">
        <w:t xml:space="preserve">The instrument, </w:t>
      </w:r>
      <w:r w:rsidR="00F16BBD" w:rsidRPr="004039FB">
        <w:t>d</w:t>
      </w:r>
      <w:r w:rsidRPr="004039FB">
        <w:t>epartmental reference LIN</w:t>
      </w:r>
      <w:r w:rsidR="008F5151">
        <w:t> </w:t>
      </w:r>
      <w:r w:rsidR="00D01F77" w:rsidRPr="004039FB">
        <w:t>2</w:t>
      </w:r>
      <w:r w:rsidR="007C02F8" w:rsidRPr="004039FB">
        <w:t>4</w:t>
      </w:r>
      <w:r w:rsidR="00D01F77" w:rsidRPr="004039FB">
        <w:t>/0</w:t>
      </w:r>
      <w:r w:rsidR="00B82EA0" w:rsidRPr="004039FB">
        <w:t>40</w:t>
      </w:r>
      <w:r w:rsidRPr="004039FB">
        <w:t xml:space="preserve">, is made under </w:t>
      </w:r>
      <w:proofErr w:type="spellStart"/>
      <w:r w:rsidR="00DD1114">
        <w:t>sub</w:t>
      </w:r>
      <w:r w:rsidR="008F5151">
        <w:t>regulation</w:t>
      </w:r>
      <w:proofErr w:type="spellEnd"/>
      <w:r w:rsidR="008F5151">
        <w:t> </w:t>
      </w:r>
      <w:proofErr w:type="gramStart"/>
      <w:r w:rsidR="00B82EA0" w:rsidRPr="004039FB">
        <w:t>1.15AA</w:t>
      </w:r>
      <w:r w:rsidR="00DD1114">
        <w:t>(</w:t>
      </w:r>
      <w:proofErr w:type="gramEnd"/>
      <w:r w:rsidR="00DD1114">
        <w:t>2)</w:t>
      </w:r>
      <w:r w:rsidR="00B82EA0" w:rsidRPr="004039FB">
        <w:t xml:space="preserve"> </w:t>
      </w:r>
      <w:r w:rsidR="00C47937" w:rsidRPr="004039FB">
        <w:t xml:space="preserve">of </w:t>
      </w:r>
      <w:r w:rsidRPr="004039FB">
        <w:t xml:space="preserve">the </w:t>
      </w:r>
      <w:r w:rsidRPr="004039FB">
        <w:rPr>
          <w:i/>
        </w:rPr>
        <w:t>Migration Regulations</w:t>
      </w:r>
      <w:r w:rsidR="008F5151">
        <w:rPr>
          <w:i/>
        </w:rPr>
        <w:t> </w:t>
      </w:r>
      <w:r w:rsidRPr="004039FB">
        <w:rPr>
          <w:i/>
        </w:rPr>
        <w:t>1994</w:t>
      </w:r>
      <w:r w:rsidR="00A72F06" w:rsidRPr="004039FB">
        <w:t xml:space="preserve"> (the Migration Regulations)</w:t>
      </w:r>
      <w:r w:rsidR="00F638D3" w:rsidRPr="004039FB">
        <w:t>.</w:t>
      </w:r>
    </w:p>
    <w:p w14:paraId="7ED9ED69" w14:textId="42A5F837" w:rsidR="00AB5DEA" w:rsidRPr="004039FB" w:rsidRDefault="00AB5DEA" w:rsidP="000F76AF">
      <w:pPr>
        <w:pStyle w:val="ESPara"/>
      </w:pPr>
      <w:r w:rsidRPr="004039FB">
        <w:t xml:space="preserve">The instrument </w:t>
      </w:r>
      <w:r w:rsidR="00D41B66">
        <w:t xml:space="preserve">also </w:t>
      </w:r>
      <w:r w:rsidRPr="004039FB">
        <w:t xml:space="preserve">repeals </w:t>
      </w:r>
      <w:r w:rsidR="008F5151">
        <w:rPr>
          <w:i/>
          <w:shd w:val="clear" w:color="auto" w:fill="FFFFFF"/>
        </w:rPr>
        <w:t>Migration Regulations </w:t>
      </w:r>
      <w:r w:rsidRPr="004039FB">
        <w:rPr>
          <w:i/>
          <w:shd w:val="clear" w:color="auto" w:fill="FFFFFF"/>
        </w:rPr>
        <w:t xml:space="preserve">1994 – Specification of </w:t>
      </w:r>
      <w:r w:rsidR="008F5151">
        <w:rPr>
          <w:i/>
          <w:shd w:val="clear" w:color="auto" w:fill="FFFFFF"/>
        </w:rPr>
        <w:t>Health Service Provider </w:t>
      </w:r>
      <w:r w:rsidR="00DD1114">
        <w:rPr>
          <w:i/>
        </w:rPr>
        <w:t xml:space="preserve">– </w:t>
      </w:r>
      <w:r w:rsidR="008F5151">
        <w:rPr>
          <w:i/>
        </w:rPr>
        <w:t>IMMI </w:t>
      </w:r>
      <w:r w:rsidR="00CE2994" w:rsidRPr="004039FB">
        <w:rPr>
          <w:i/>
        </w:rPr>
        <w:t>14/085</w:t>
      </w:r>
      <w:r w:rsidR="00CE2994" w:rsidRPr="004039FB">
        <w:t xml:space="preserve"> </w:t>
      </w:r>
      <w:r w:rsidR="00DD1114">
        <w:t>(</w:t>
      </w:r>
      <w:r w:rsidR="00DD1114" w:rsidRPr="00DD1114">
        <w:t>F2014L01278</w:t>
      </w:r>
      <w:r w:rsidR="00DD1114">
        <w:t xml:space="preserve">) </w:t>
      </w:r>
      <w:r w:rsidRPr="004039FB">
        <w:t>in accordance with subsection</w:t>
      </w:r>
      <w:r w:rsidR="008F5151">
        <w:t> </w:t>
      </w:r>
      <w:r w:rsidRPr="004039FB">
        <w:t xml:space="preserve">33(3) of the </w:t>
      </w:r>
      <w:r w:rsidRPr="004039FB">
        <w:rPr>
          <w:i/>
        </w:rPr>
        <w:t>Acts Interpretation Act</w:t>
      </w:r>
      <w:r w:rsidR="008F5151">
        <w:rPr>
          <w:i/>
        </w:rPr>
        <w:t> </w:t>
      </w:r>
      <w:r w:rsidR="00A55B4E">
        <w:rPr>
          <w:i/>
        </w:rPr>
        <w:t>1901</w:t>
      </w:r>
      <w:r w:rsidRPr="004039FB">
        <w:t>. That subsection provides that a power to make a legislative instrument includes a power to amend or repeal that instrument in the same manner, and subject to the same conditions, as the power to make the instrument.</w:t>
      </w:r>
      <w:r w:rsidR="000F76AF">
        <w:t xml:space="preserve"> IMMI 14/085 would otherwise be repealed by </w:t>
      </w:r>
      <w:proofErr w:type="spellStart"/>
      <w:r w:rsidR="000F76AF">
        <w:t>sunsetting</w:t>
      </w:r>
      <w:proofErr w:type="spellEnd"/>
      <w:r w:rsidR="000F76AF">
        <w:t xml:space="preserve"> on 1 October 2024 by operation of section 50 of the</w:t>
      </w:r>
      <w:r w:rsidR="000F76AF" w:rsidRPr="00BF5BE2">
        <w:rPr>
          <w:i/>
        </w:rPr>
        <w:t xml:space="preserve"> Legislation Act 2003 </w:t>
      </w:r>
      <w:r w:rsidR="000F76AF" w:rsidRPr="000F76AF">
        <w:t>(the Legislation Act).</w:t>
      </w:r>
    </w:p>
    <w:p w14:paraId="0975C3E4" w14:textId="1CF87C24" w:rsidR="000835C2" w:rsidRPr="004039FB" w:rsidRDefault="00AA4557" w:rsidP="00AB4CCE">
      <w:pPr>
        <w:pStyle w:val="ESPara"/>
      </w:pPr>
      <w:r w:rsidRPr="004039FB">
        <w:t xml:space="preserve">The instrument </w:t>
      </w:r>
      <w:r w:rsidRPr="00271E32">
        <w:t xml:space="preserve">commences </w:t>
      </w:r>
      <w:r w:rsidR="003241F3" w:rsidRPr="00271E32">
        <w:t xml:space="preserve">on </w:t>
      </w:r>
      <w:r w:rsidR="00271E32" w:rsidRPr="00271E32">
        <w:t>the day after the instrument is registered</w:t>
      </w:r>
      <w:r w:rsidR="00F16BBD">
        <w:t xml:space="preserve">. </w:t>
      </w:r>
      <w:r w:rsidR="00F16BBD" w:rsidRPr="004039FB">
        <w:t>It</w:t>
      </w:r>
      <w:r w:rsidRPr="004039FB">
        <w:t xml:space="preserve"> i</w:t>
      </w:r>
      <w:r w:rsidR="00BD598E" w:rsidRPr="004039FB">
        <w:t xml:space="preserve">s a </w:t>
      </w:r>
      <w:r w:rsidRPr="004039FB">
        <w:t>legislative</w:t>
      </w:r>
      <w:r w:rsidR="00BD598E" w:rsidRPr="004039FB">
        <w:t xml:space="preserve"> instrument for </w:t>
      </w:r>
      <w:r w:rsidR="00B75478" w:rsidRPr="004039FB">
        <w:t xml:space="preserve">the </w:t>
      </w:r>
      <w:r w:rsidR="00100DFC" w:rsidRPr="004039FB">
        <w:t>Legislation Act</w:t>
      </w:r>
      <w:r w:rsidR="00BD598E" w:rsidRPr="004039FB">
        <w:t>.</w:t>
      </w:r>
    </w:p>
    <w:p w14:paraId="05E8C74A" w14:textId="1B0A0A09" w:rsidR="000835C2" w:rsidRPr="004039FB" w:rsidRDefault="005D6215" w:rsidP="00AB4CCE">
      <w:pPr>
        <w:pStyle w:val="ESHeading"/>
      </w:pPr>
      <w:r>
        <w:t>Purpose</w:t>
      </w:r>
    </w:p>
    <w:p w14:paraId="5379E0C2" w14:textId="7919CAC7" w:rsidR="001C4CFA" w:rsidRDefault="001C4CFA" w:rsidP="001C4CFA">
      <w:pPr>
        <w:pStyle w:val="ESPara"/>
      </w:pPr>
      <w:r>
        <w:t>The i</w:t>
      </w:r>
      <w:r w:rsidRPr="001C4CFA">
        <w:t xml:space="preserve">nstrument operates to specify </w:t>
      </w:r>
      <w:proofErr w:type="spellStart"/>
      <w:r w:rsidRPr="001C4CFA">
        <w:t>Bupa</w:t>
      </w:r>
      <w:proofErr w:type="spellEnd"/>
      <w:r w:rsidRPr="001C4CFA">
        <w:t xml:space="preserve"> as a health service provider for the purposes of the definition </w:t>
      </w:r>
      <w:r>
        <w:t xml:space="preserve">of ‘carer’ </w:t>
      </w:r>
      <w:r w:rsidRPr="001C4CFA">
        <w:t xml:space="preserve">in regulation 1.15AA of the </w:t>
      </w:r>
      <w:r w:rsidR="000F76AF">
        <w:t xml:space="preserve">Migration </w:t>
      </w:r>
      <w:r w:rsidRPr="001C4CFA">
        <w:t>Regulations. The Regulations require the relative in Australia who has the medical condition giving rise to the need for a carer to undertake a medical assessment by a health services provider specified by the Minister in an Instrument in writing</w:t>
      </w:r>
    </w:p>
    <w:p w14:paraId="3D769109" w14:textId="7DCD992A" w:rsidR="001A6203" w:rsidRPr="00F25919" w:rsidRDefault="00DD43D3" w:rsidP="005E38F1">
      <w:pPr>
        <w:pStyle w:val="ESPara"/>
      </w:pPr>
      <w:r w:rsidRPr="00F25919">
        <w:t xml:space="preserve">Subregulation 1.15AA </w:t>
      </w:r>
      <w:r w:rsidR="001C4CFA">
        <w:t xml:space="preserve">of the Migration Regulations </w:t>
      </w:r>
      <w:r w:rsidRPr="00F25919">
        <w:t xml:space="preserve">provides a definition of </w:t>
      </w:r>
      <w:r w:rsidR="00CC7C6A" w:rsidRPr="00F25919">
        <w:t>‘</w:t>
      </w:r>
      <w:r w:rsidRPr="00F25919">
        <w:t>carer</w:t>
      </w:r>
      <w:r w:rsidR="00CC7C6A" w:rsidRPr="00F25919">
        <w:t>’</w:t>
      </w:r>
      <w:r w:rsidR="00223DF5" w:rsidRPr="00F25919">
        <w:t xml:space="preserve"> for the purposes of an applica</w:t>
      </w:r>
      <w:r w:rsidR="00CF4574" w:rsidRPr="00F25919">
        <w:t>n</w:t>
      </w:r>
      <w:r w:rsidRPr="00F25919">
        <w:t>t for a visa</w:t>
      </w:r>
      <w:r w:rsidR="00223DF5" w:rsidRPr="00F25919">
        <w:t xml:space="preserve">. </w:t>
      </w:r>
      <w:r w:rsidR="007D6B6D" w:rsidRPr="00F25919">
        <w:t>Paragraph</w:t>
      </w:r>
      <w:r w:rsidR="00223DF5" w:rsidRPr="00F25919">
        <w:t xml:space="preserve"> 1.15AA(1)(b) </w:t>
      </w:r>
      <w:r w:rsidR="007D6B6D" w:rsidRPr="00F25919">
        <w:t xml:space="preserve">provides that an applicant for a visa is a </w:t>
      </w:r>
      <w:proofErr w:type="spellStart"/>
      <w:r w:rsidR="007D6B6D" w:rsidRPr="00F25919">
        <w:t>carer</w:t>
      </w:r>
      <w:proofErr w:type="spellEnd"/>
      <w:r w:rsidR="007D6B6D" w:rsidRPr="00F25919">
        <w:t xml:space="preserve"> of a person</w:t>
      </w:r>
      <w:r w:rsidR="009C608B" w:rsidRPr="00F25919">
        <w:t xml:space="preserve"> if:</w:t>
      </w:r>
      <w:r w:rsidR="007D6B6D" w:rsidRPr="00F25919">
        <w:t xml:space="preserve"> </w:t>
      </w:r>
    </w:p>
    <w:p w14:paraId="409C603F" w14:textId="6DCE8F40" w:rsidR="001A6203" w:rsidRPr="00F25919" w:rsidRDefault="007D6B6D" w:rsidP="001A6203">
      <w:pPr>
        <w:pStyle w:val="ESSubparaList"/>
      </w:pPr>
      <w:r w:rsidRPr="00F25919">
        <w:t>the applicant is a relative of the person</w:t>
      </w:r>
      <w:r w:rsidR="001A6203" w:rsidRPr="00F25919">
        <w:t>;</w:t>
      </w:r>
      <w:r w:rsidRPr="00F25919">
        <w:t xml:space="preserve"> and </w:t>
      </w:r>
    </w:p>
    <w:p w14:paraId="7946DF40" w14:textId="1B9A985E" w:rsidR="007D6B6D" w:rsidRPr="00F25919" w:rsidRDefault="007D6B6D" w:rsidP="001A6203">
      <w:pPr>
        <w:pStyle w:val="ESSubparaList"/>
      </w:pPr>
      <w:r w:rsidRPr="00F25919">
        <w:t>according to</w:t>
      </w:r>
      <w:r w:rsidR="00223DF5" w:rsidRPr="00F25919">
        <w:t xml:space="preserve"> a certificate that </w:t>
      </w:r>
      <w:r w:rsidRPr="00F25919">
        <w:t xml:space="preserve">meets the requirements in </w:t>
      </w:r>
      <w:proofErr w:type="spellStart"/>
      <w:r w:rsidRPr="00F25919">
        <w:t>subregulation</w:t>
      </w:r>
      <w:proofErr w:type="spellEnd"/>
      <w:r w:rsidRPr="00F25919">
        <w:t xml:space="preserve"> 1.15AA(2), the</w:t>
      </w:r>
      <w:r w:rsidR="00223DF5" w:rsidRPr="00F25919">
        <w:t xml:space="preserve"> person</w:t>
      </w:r>
      <w:r w:rsidR="005E38F1" w:rsidRPr="00F25919">
        <w:t xml:space="preserve"> (or a member of the family unit of the person)</w:t>
      </w:r>
      <w:r w:rsidRPr="00F25919">
        <w:t>:</w:t>
      </w:r>
    </w:p>
    <w:p w14:paraId="7398C77B" w14:textId="20C11D54" w:rsidR="007D6B6D" w:rsidRDefault="00223DF5" w:rsidP="001A6203">
      <w:pPr>
        <w:pStyle w:val="ESSubparaList"/>
        <w:numPr>
          <w:ilvl w:val="2"/>
          <w:numId w:val="1"/>
        </w:numPr>
      </w:pPr>
      <w:r w:rsidRPr="00223DF5">
        <w:t xml:space="preserve">has a medical condition; </w:t>
      </w:r>
      <w:r w:rsidR="00DD1114" w:rsidRPr="00223DF5">
        <w:t>and</w:t>
      </w:r>
    </w:p>
    <w:p w14:paraId="4E3223F8" w14:textId="3CA9F3FA" w:rsidR="000835C2" w:rsidRDefault="00223DF5" w:rsidP="001A6203">
      <w:pPr>
        <w:pStyle w:val="ESSubparaList"/>
        <w:numPr>
          <w:ilvl w:val="2"/>
          <w:numId w:val="1"/>
        </w:numPr>
      </w:pPr>
      <w:r w:rsidRPr="00223DF5">
        <w:t>the medical condition is causing physical, intellectual or sensory impairment of the ability of that person to attend to the practical aspects of daily life</w:t>
      </w:r>
      <w:r w:rsidR="007D6B6D">
        <w:t>; and</w:t>
      </w:r>
    </w:p>
    <w:p w14:paraId="6B166CBF" w14:textId="52685A9F" w:rsidR="007D6B6D" w:rsidRDefault="007D6B6D" w:rsidP="001A6203">
      <w:pPr>
        <w:pStyle w:val="ESSubparaList"/>
        <w:numPr>
          <w:ilvl w:val="2"/>
          <w:numId w:val="1"/>
        </w:numPr>
      </w:pPr>
      <w:r>
        <w:t xml:space="preserve">the impairment has, under the Impairment Tables (within the meaning of subsection 23(1) of the </w:t>
      </w:r>
      <w:r w:rsidRPr="00AB4CCE">
        <w:rPr>
          <w:i/>
        </w:rPr>
        <w:t>Social Security Act 1991</w:t>
      </w:r>
      <w:r>
        <w:t>), the rating that is specified in the certificate; and</w:t>
      </w:r>
    </w:p>
    <w:p w14:paraId="5C5241D6" w14:textId="6E3A167B" w:rsidR="007D6B6D" w:rsidRPr="00223DF5" w:rsidRDefault="007D6B6D" w:rsidP="001A6203">
      <w:pPr>
        <w:pStyle w:val="ESSubparaList"/>
        <w:numPr>
          <w:ilvl w:val="2"/>
          <w:numId w:val="1"/>
        </w:numPr>
      </w:pPr>
      <w:proofErr w:type="gramStart"/>
      <w:r>
        <w:t>because</w:t>
      </w:r>
      <w:proofErr w:type="gramEnd"/>
      <w:r>
        <w:t xml:space="preserve"> of the medical condition, the person has, and will continue for at least 2 years to have, a need for direct assistance in attending to the practical aspects of daily life.</w:t>
      </w:r>
    </w:p>
    <w:p w14:paraId="393F3A10" w14:textId="7FFD110C" w:rsidR="00082254" w:rsidRPr="00AB4CCE" w:rsidRDefault="00F25919" w:rsidP="00BF5BE2">
      <w:pPr>
        <w:pStyle w:val="ESPara"/>
        <w:keepNext/>
        <w:ind w:left="714" w:hanging="357"/>
      </w:pPr>
      <w:r>
        <w:lastRenderedPageBreak/>
        <w:t>T</w:t>
      </w:r>
      <w:r w:rsidRPr="00AB4CCE">
        <w:t xml:space="preserve">he certificate </w:t>
      </w:r>
      <w:r>
        <w:t xml:space="preserve">will meet </w:t>
      </w:r>
      <w:r w:rsidRPr="00AB4CCE">
        <w:t xml:space="preserve">the requirements </w:t>
      </w:r>
      <w:r>
        <w:t xml:space="preserve">in </w:t>
      </w:r>
      <w:proofErr w:type="spellStart"/>
      <w:r>
        <w:t>s</w:t>
      </w:r>
      <w:r w:rsidR="00910BA0" w:rsidRPr="00AB4CCE">
        <w:t>ubregulation</w:t>
      </w:r>
      <w:proofErr w:type="spellEnd"/>
      <w:r w:rsidR="008F5151" w:rsidRPr="00AB4CCE">
        <w:t> </w:t>
      </w:r>
      <w:r w:rsidR="00910BA0" w:rsidRPr="00AB4CCE">
        <w:t xml:space="preserve">1.15AA(2) </w:t>
      </w:r>
      <w:r w:rsidR="00CF4574" w:rsidRPr="00AB4CCE">
        <w:t>if it is a certificate:</w:t>
      </w:r>
    </w:p>
    <w:p w14:paraId="0AA63880" w14:textId="31AB6D49" w:rsidR="005D6215" w:rsidRDefault="008221E8" w:rsidP="00AB4CCE">
      <w:pPr>
        <w:pStyle w:val="ESSubparaList"/>
      </w:pPr>
      <w:r w:rsidRPr="007E7081">
        <w:t xml:space="preserve">in relation to a medical assessment carried out </w:t>
      </w:r>
      <w:r w:rsidR="007E7081" w:rsidRPr="007E7081">
        <w:t xml:space="preserve">by or </w:t>
      </w:r>
      <w:r w:rsidRPr="007E7081">
        <w:t>on behalf of a health service provider specified by the Minister</w:t>
      </w:r>
      <w:r w:rsidR="005D6215">
        <w:t xml:space="preserve"> in an instrument in writing;</w:t>
      </w:r>
      <w:r w:rsidRPr="007E7081">
        <w:t xml:space="preserve"> and</w:t>
      </w:r>
    </w:p>
    <w:p w14:paraId="2F997908" w14:textId="188C5CFE" w:rsidR="005D6215" w:rsidRDefault="007E7081" w:rsidP="00AB4CCE">
      <w:pPr>
        <w:pStyle w:val="ESSubparaList"/>
      </w:pPr>
      <w:proofErr w:type="gramStart"/>
      <w:r w:rsidRPr="007E7081">
        <w:t>signed</w:t>
      </w:r>
      <w:proofErr w:type="gramEnd"/>
      <w:r w:rsidRPr="007E7081">
        <w:t xml:space="preserve"> by the medical adviser who carried it out</w:t>
      </w:r>
      <w:r w:rsidR="00DD1114">
        <w:t>.</w:t>
      </w:r>
    </w:p>
    <w:p w14:paraId="3A619329" w14:textId="3D141BDF" w:rsidR="008221E8" w:rsidRPr="00AB4CCE" w:rsidRDefault="007E7081" w:rsidP="00AB4CCE">
      <w:pPr>
        <w:pStyle w:val="ESSubparaHeader"/>
      </w:pPr>
      <w:r w:rsidRPr="00AB4CCE">
        <w:t xml:space="preserve">Alternatively, a </w:t>
      </w:r>
      <w:r w:rsidR="00910BA0" w:rsidRPr="00AB4CCE">
        <w:t xml:space="preserve">certificate </w:t>
      </w:r>
      <w:r w:rsidR="00AB4CCE" w:rsidRPr="00AB4CCE">
        <w:t xml:space="preserve">also meets the requirements if it is a certificate </w:t>
      </w:r>
      <w:r w:rsidR="00910BA0" w:rsidRPr="00AB4CCE">
        <w:t xml:space="preserve">issued by a health service provider specified by the Minister </w:t>
      </w:r>
      <w:r w:rsidR="005D6215" w:rsidRPr="00AB4CCE">
        <w:t xml:space="preserve">in an instrument in writing in relation to </w:t>
      </w:r>
      <w:r w:rsidR="00910BA0" w:rsidRPr="00AB4CCE">
        <w:t>a review of an opinion</w:t>
      </w:r>
      <w:r w:rsidR="005D6215" w:rsidRPr="00AB4CCE">
        <w:t xml:space="preserve"> in a certificate</w:t>
      </w:r>
      <w:r w:rsidR="00910BA0" w:rsidRPr="00AB4CCE">
        <w:t xml:space="preserve"> that was carried out by the health service provider in accordance with its procedures.</w:t>
      </w:r>
    </w:p>
    <w:p w14:paraId="1261F781" w14:textId="5BD83D16" w:rsidR="00223DF5" w:rsidRPr="00AB4CCE" w:rsidRDefault="00891E3C" w:rsidP="00AB4CCE">
      <w:pPr>
        <w:pStyle w:val="ESSubparaHeader"/>
      </w:pPr>
      <w:bookmarkStart w:id="1" w:name="476213aii"/>
      <w:bookmarkStart w:id="2" w:name="476213b"/>
      <w:bookmarkEnd w:id="1"/>
      <w:bookmarkEnd w:id="2"/>
      <w:r w:rsidRPr="00AB4CCE">
        <w:t xml:space="preserve">Under </w:t>
      </w:r>
      <w:proofErr w:type="spellStart"/>
      <w:r w:rsidRPr="00AB4CCE">
        <w:t>subregulation</w:t>
      </w:r>
      <w:proofErr w:type="spellEnd"/>
      <w:r w:rsidRPr="00AB4CCE">
        <w:t xml:space="preserve"> </w:t>
      </w:r>
      <w:proofErr w:type="gramStart"/>
      <w:r w:rsidRPr="00AB4CCE">
        <w:t>1.15AA(</w:t>
      </w:r>
      <w:proofErr w:type="gramEnd"/>
      <w:r w:rsidRPr="00AB4CCE">
        <w:t xml:space="preserve">3), the Minister is to take the opinion in a certificate to be correct for the purposes of deciding whether an applicant satisfies a criterion that the applicant is a </w:t>
      </w:r>
      <w:proofErr w:type="spellStart"/>
      <w:r w:rsidRPr="00AB4CCE">
        <w:t>carer</w:t>
      </w:r>
      <w:proofErr w:type="spellEnd"/>
      <w:r w:rsidRPr="00AB4CCE">
        <w:t>.</w:t>
      </w:r>
    </w:p>
    <w:p w14:paraId="63D72AA5" w14:textId="19F32F4E" w:rsidR="00223DF5" w:rsidRDefault="00223DF5" w:rsidP="002207EB">
      <w:pPr>
        <w:pStyle w:val="ESPara"/>
      </w:pPr>
      <w:r w:rsidRPr="00983B8D">
        <w:t xml:space="preserve">The purpose of the instrument is to specify </w:t>
      </w:r>
      <w:proofErr w:type="spellStart"/>
      <w:r w:rsidRPr="00983B8D">
        <w:t>Bupa</w:t>
      </w:r>
      <w:proofErr w:type="spellEnd"/>
      <w:r w:rsidRPr="00983B8D">
        <w:t xml:space="preserve"> </w:t>
      </w:r>
      <w:r w:rsidR="00891E3C">
        <w:t xml:space="preserve">Health Services Pty Ltd, trading as </w:t>
      </w:r>
      <w:proofErr w:type="spellStart"/>
      <w:r w:rsidR="00891E3C">
        <w:t>Bupa</w:t>
      </w:r>
      <w:proofErr w:type="spellEnd"/>
      <w:r w:rsidR="00891E3C">
        <w:t xml:space="preserve"> </w:t>
      </w:r>
      <w:r w:rsidRPr="00983B8D">
        <w:t>Medical Visa Services (</w:t>
      </w:r>
      <w:proofErr w:type="spellStart"/>
      <w:r w:rsidRPr="00983B8D">
        <w:t>Bupa</w:t>
      </w:r>
      <w:proofErr w:type="spellEnd"/>
      <w:r w:rsidRPr="00983B8D">
        <w:t>)</w:t>
      </w:r>
      <w:r w:rsidR="00DD1114">
        <w:t>,</w:t>
      </w:r>
      <w:r w:rsidRPr="00983B8D">
        <w:t xml:space="preserve"> as </w:t>
      </w:r>
      <w:r w:rsidR="00F25919">
        <w:t>the</w:t>
      </w:r>
      <w:r w:rsidRPr="00983B8D">
        <w:t xml:space="preserve"> health s</w:t>
      </w:r>
      <w:r w:rsidR="00F25919">
        <w:t xml:space="preserve">ervice provider for the purposes of </w:t>
      </w:r>
      <w:proofErr w:type="spellStart"/>
      <w:r w:rsidR="00F25919">
        <w:t>sub</w:t>
      </w:r>
      <w:r>
        <w:t>regulation</w:t>
      </w:r>
      <w:proofErr w:type="spellEnd"/>
      <w:r>
        <w:t> </w:t>
      </w:r>
      <w:r w:rsidRPr="00983B8D">
        <w:t>1.15AA</w:t>
      </w:r>
      <w:r w:rsidR="002207EB">
        <w:t>(2)</w:t>
      </w:r>
      <w:r w:rsidRPr="00983B8D">
        <w:t xml:space="preserve">. The instrument </w:t>
      </w:r>
      <w:r w:rsidR="002207EB">
        <w:t>repeals IMMI </w:t>
      </w:r>
      <w:r w:rsidR="002207EB" w:rsidRPr="00983B8D">
        <w:t xml:space="preserve">14/085 </w:t>
      </w:r>
      <w:r w:rsidR="00D41B66">
        <w:t xml:space="preserve">(which would otherwise have sunset on 1 October 2024), </w:t>
      </w:r>
      <w:r w:rsidR="002207EB">
        <w:t xml:space="preserve">but </w:t>
      </w:r>
      <w:r w:rsidR="002207EB" w:rsidRPr="002207EB">
        <w:t>maintain</w:t>
      </w:r>
      <w:r w:rsidR="002207EB">
        <w:t xml:space="preserve">s </w:t>
      </w:r>
      <w:r w:rsidR="00F25919">
        <w:t xml:space="preserve">existing </w:t>
      </w:r>
      <w:r w:rsidR="002207EB" w:rsidRPr="002207EB">
        <w:t xml:space="preserve">arrangements </w:t>
      </w:r>
      <w:r w:rsidR="002207EB">
        <w:t xml:space="preserve">by </w:t>
      </w:r>
      <w:r w:rsidRPr="00983B8D">
        <w:t>continu</w:t>
      </w:r>
      <w:r w:rsidR="002207EB">
        <w:t>ing</w:t>
      </w:r>
      <w:r w:rsidRPr="00983B8D">
        <w:t xml:space="preserve"> to specify </w:t>
      </w:r>
      <w:proofErr w:type="spellStart"/>
      <w:r w:rsidRPr="00983B8D">
        <w:t>Bupa</w:t>
      </w:r>
      <w:proofErr w:type="spellEnd"/>
      <w:r w:rsidRPr="00983B8D">
        <w:t xml:space="preserve"> as the relevant </w:t>
      </w:r>
      <w:r>
        <w:t>health service provider.</w:t>
      </w:r>
    </w:p>
    <w:p w14:paraId="6CECB7A9" w14:textId="77777777" w:rsidR="00CE232F" w:rsidRPr="00BB187C" w:rsidRDefault="00CE232F" w:rsidP="006E08EE">
      <w:pPr>
        <w:pStyle w:val="ESHeading"/>
      </w:pPr>
      <w:r w:rsidRPr="00BB187C">
        <w:t xml:space="preserve">Consultation </w:t>
      </w:r>
    </w:p>
    <w:p w14:paraId="504EB98B" w14:textId="7482580C" w:rsidR="00FD0D08" w:rsidRDefault="001A6203" w:rsidP="00AB4CCE">
      <w:pPr>
        <w:pStyle w:val="ESPara"/>
      </w:pPr>
      <w:proofErr w:type="spellStart"/>
      <w:r w:rsidRPr="00983B8D">
        <w:t>Bupa</w:t>
      </w:r>
      <w:proofErr w:type="spellEnd"/>
      <w:r w:rsidRPr="00983B8D">
        <w:t xml:space="preserve"> </w:t>
      </w:r>
      <w:r>
        <w:t>Health Services Pty Ltd</w:t>
      </w:r>
      <w:r w:rsidDel="001A6203">
        <w:t xml:space="preserve"> </w:t>
      </w:r>
      <w:r w:rsidR="00817588" w:rsidRPr="00F97374">
        <w:t>was the successful tenderer to an open market tender process conducted by the</w:t>
      </w:r>
      <w:r w:rsidR="00817588">
        <w:t xml:space="preserve"> Department </w:t>
      </w:r>
      <w:r>
        <w:t>of Home Affairs</w:t>
      </w:r>
      <w:r w:rsidR="00817588">
        <w:t>.</w:t>
      </w:r>
      <w:r>
        <w:t xml:space="preserve"> </w:t>
      </w:r>
      <w:r w:rsidRPr="00AB4CCE">
        <w:t>No</w:t>
      </w:r>
      <w:r w:rsidR="005C7AAF">
        <w:t xml:space="preserve"> other</w:t>
      </w:r>
      <w:r w:rsidRPr="00AB4CCE">
        <w:t xml:space="preserve"> consultation was considered necessary </w:t>
      </w:r>
      <w:r w:rsidR="001B1B73">
        <w:t xml:space="preserve">in relation to this instrument, </w:t>
      </w:r>
      <w:r>
        <w:t>as</w:t>
      </w:r>
      <w:r w:rsidRPr="00AB4CCE">
        <w:t xml:space="preserve"> </w:t>
      </w:r>
      <w:r w:rsidR="001B1B73">
        <w:t>it</w:t>
      </w:r>
      <w:r>
        <w:t xml:space="preserve"> </w:t>
      </w:r>
      <w:r w:rsidR="007F2446">
        <w:rPr>
          <w:color w:val="000000"/>
        </w:rPr>
        <w:t xml:space="preserve">does not substantially alter existing arrangements, </w:t>
      </w:r>
      <w:r w:rsidR="00495417">
        <w:rPr>
          <w:color w:val="000000"/>
        </w:rPr>
        <w:t xml:space="preserve">and maintains current commercial and operational arrangements in relation to health services to </w:t>
      </w:r>
      <w:r w:rsidR="007F2446">
        <w:rPr>
          <w:color w:val="000000"/>
        </w:rPr>
        <w:t>support effective visa processing</w:t>
      </w:r>
      <w:r w:rsidRPr="00AB4CCE">
        <w:t>.</w:t>
      </w:r>
    </w:p>
    <w:p w14:paraId="02DCAC05" w14:textId="3D89FBC5" w:rsidR="00DD1114" w:rsidRPr="0018485A" w:rsidRDefault="00DD1114" w:rsidP="00DD1114">
      <w:pPr>
        <w:pStyle w:val="ESPara"/>
      </w:pPr>
      <w:r w:rsidRPr="0018485A">
        <w:t>The Office of Impact Analysis (OIA) was consulted</w:t>
      </w:r>
      <w:r w:rsidR="001A6203">
        <w:t xml:space="preserve"> and</w:t>
      </w:r>
      <w:r w:rsidR="00347A22" w:rsidRPr="0018485A">
        <w:t xml:space="preserve"> considered </w:t>
      </w:r>
      <w:r w:rsidR="00347A22">
        <w:rPr>
          <w:rFonts w:eastAsia="Times New Roman"/>
        </w:rPr>
        <w:t>that a detailed Impact Analysis is not required</w:t>
      </w:r>
      <w:r w:rsidR="00F25919">
        <w:rPr>
          <w:rFonts w:eastAsia="Times New Roman"/>
        </w:rPr>
        <w:t>.</w:t>
      </w:r>
      <w:r w:rsidR="00347A22">
        <w:rPr>
          <w:rFonts w:eastAsia="Times New Roman"/>
        </w:rPr>
        <w:t xml:space="preserve"> </w:t>
      </w:r>
      <w:r w:rsidRPr="0018485A">
        <w:t xml:space="preserve">The OIA reference number is </w:t>
      </w:r>
      <w:r w:rsidRPr="00DD1114">
        <w:t>OIA24-07186</w:t>
      </w:r>
      <w:r w:rsidRPr="0018485A">
        <w:t>.</w:t>
      </w:r>
    </w:p>
    <w:p w14:paraId="281E3C78" w14:textId="77777777" w:rsidR="00CE232F" w:rsidRPr="00BB187C" w:rsidRDefault="00CE232F" w:rsidP="00AB4CCE">
      <w:pPr>
        <w:pStyle w:val="ESHeading"/>
      </w:pPr>
      <w:r w:rsidRPr="00BB187C">
        <w:t xml:space="preserve">Details of the instrument </w:t>
      </w:r>
    </w:p>
    <w:p w14:paraId="2B02978B" w14:textId="0ADF4A22" w:rsidR="003D5722" w:rsidRPr="00BB187C" w:rsidRDefault="003D5722" w:rsidP="00DD1114">
      <w:pPr>
        <w:pStyle w:val="ESPara"/>
      </w:pPr>
      <w:r w:rsidRPr="00BB187C">
        <w:t xml:space="preserve">Details of the instrument are set out in </w:t>
      </w:r>
      <w:r w:rsidR="005A4C73">
        <w:t xml:space="preserve">the </w:t>
      </w:r>
      <w:r w:rsidRPr="00BB187C">
        <w:rPr>
          <w:u w:val="single"/>
        </w:rPr>
        <w:t>Attachment</w:t>
      </w:r>
      <w:r w:rsidRPr="00BB187C">
        <w:t>.</w:t>
      </w:r>
    </w:p>
    <w:p w14:paraId="1D7C8212" w14:textId="77777777" w:rsidR="00AA4557" w:rsidRPr="00BB187C" w:rsidRDefault="00AA4557" w:rsidP="00AB4CCE">
      <w:pPr>
        <w:pStyle w:val="ESHeading"/>
      </w:pPr>
      <w:r w:rsidRPr="00BB187C">
        <w:t xml:space="preserve">Parliamentary scrutiny etc. </w:t>
      </w:r>
    </w:p>
    <w:p w14:paraId="4C96A675" w14:textId="07753AD1" w:rsidR="00203D7D" w:rsidRPr="00BB187C" w:rsidRDefault="00203D7D" w:rsidP="00D505B7">
      <w:pPr>
        <w:pStyle w:val="ESPara"/>
      </w:pPr>
      <w:r w:rsidRPr="00BB187C">
        <w:t>The instrument is exempt from disallowance under section</w:t>
      </w:r>
      <w:r w:rsidR="00F63A18">
        <w:t> </w:t>
      </w:r>
      <w:r w:rsidRPr="00BB187C">
        <w:t xml:space="preserve">42 of the Legislation Act. This is because </w:t>
      </w:r>
      <w:r w:rsidR="00DD1114">
        <w:t>the</w:t>
      </w:r>
      <w:r w:rsidR="00BC7A7B">
        <w:t xml:space="preserve"> instrument </w:t>
      </w:r>
      <w:r w:rsidR="00DD1114">
        <w:t xml:space="preserve">is </w:t>
      </w:r>
      <w:r w:rsidRPr="00BB187C">
        <w:t xml:space="preserve">made under </w:t>
      </w:r>
      <w:r w:rsidR="00F63A18">
        <w:t>Part </w:t>
      </w:r>
      <w:r w:rsidR="00BF0920" w:rsidRPr="00BB187C">
        <w:t>1 of</w:t>
      </w:r>
      <w:r w:rsidRPr="00BB187C">
        <w:t xml:space="preserve"> the Migration Regulations</w:t>
      </w:r>
      <w:r w:rsidR="00BC7A7B">
        <w:t>, which is</w:t>
      </w:r>
      <w:r w:rsidRPr="00BB187C">
        <w:t xml:space="preserve"> prescribed </w:t>
      </w:r>
      <w:r w:rsidR="005A4C73">
        <w:t>as being exempt</w:t>
      </w:r>
      <w:r w:rsidR="00DD1114">
        <w:t xml:space="preserve"> from disallowance</w:t>
      </w:r>
      <w:r w:rsidR="005A4C73">
        <w:t xml:space="preserve"> </w:t>
      </w:r>
      <w:r w:rsidR="00DD1114" w:rsidRPr="003871A3">
        <w:t>under paragraph 44(2)(b) of the Legislation Act</w:t>
      </w:r>
      <w:r w:rsidR="00DD1114">
        <w:t xml:space="preserve"> </w:t>
      </w:r>
      <w:r w:rsidR="00FA7205">
        <w:t xml:space="preserve">by </w:t>
      </w:r>
      <w:proofErr w:type="spellStart"/>
      <w:r w:rsidR="00FA7205">
        <w:t>sub</w:t>
      </w:r>
      <w:r w:rsidR="00BC7A7B">
        <w:t>item</w:t>
      </w:r>
      <w:proofErr w:type="spellEnd"/>
      <w:r w:rsidR="00BC7A7B">
        <w:t> 20</w:t>
      </w:r>
      <w:r w:rsidR="00FA7205">
        <w:t>(b)</w:t>
      </w:r>
      <w:r w:rsidR="00BC7A7B">
        <w:t xml:space="preserve"> of the table in section 10 of the </w:t>
      </w:r>
      <w:r w:rsidRPr="00DD1114">
        <w:rPr>
          <w:i/>
        </w:rPr>
        <w:t>Legislation (Exemptions</w:t>
      </w:r>
      <w:r w:rsidR="00F63A18" w:rsidRPr="00DD1114">
        <w:rPr>
          <w:i/>
        </w:rPr>
        <w:t xml:space="preserve"> and Other Matters) Regulation </w:t>
      </w:r>
      <w:r w:rsidRPr="00DD1114">
        <w:rPr>
          <w:i/>
        </w:rPr>
        <w:t>2015</w:t>
      </w:r>
      <w:r w:rsidRPr="00BB187C">
        <w:t>.</w:t>
      </w:r>
      <w:r w:rsidR="00DD1114">
        <w:t xml:space="preserve"> </w:t>
      </w:r>
      <w:r w:rsidRPr="00BB187C">
        <w:t>As the instrument is</w:t>
      </w:r>
      <w:r w:rsidR="00FA7205">
        <w:t xml:space="preserve"> </w:t>
      </w:r>
      <w:r w:rsidR="00DD1114">
        <w:t>exempt from</w:t>
      </w:r>
      <w:r w:rsidR="00FA7205">
        <w:t xml:space="preserve"> disallowance, a </w:t>
      </w:r>
      <w:r w:rsidRPr="00BB187C">
        <w:t>Statement of Compatibility with Human Rights is not required.</w:t>
      </w:r>
    </w:p>
    <w:p w14:paraId="4A7CC001" w14:textId="662F021E" w:rsidR="001D24B7" w:rsidRPr="00BB187C" w:rsidRDefault="00B75478" w:rsidP="00AB4CCE">
      <w:pPr>
        <w:pStyle w:val="ESPara"/>
      </w:pPr>
      <w:r w:rsidRPr="00BB187C">
        <w:t>The instrument was made by</w:t>
      </w:r>
      <w:r w:rsidR="00154BDE" w:rsidRPr="00BB187C">
        <w:t xml:space="preserve"> </w:t>
      </w:r>
      <w:r w:rsidR="00357072" w:rsidRPr="00BB187C">
        <w:t xml:space="preserve">the Minister for </w:t>
      </w:r>
      <w:r w:rsidR="005C7AAF">
        <w:t xml:space="preserve">Home Affairs and the Minister for </w:t>
      </w:r>
      <w:r w:rsidR="006E08EE">
        <w:t>Immigration</w:t>
      </w:r>
      <w:r w:rsidR="00BC7A7B">
        <w:t xml:space="preserve"> and Multicultural Affairs</w:t>
      </w:r>
      <w:r w:rsidRPr="00BB187C">
        <w:t xml:space="preserve"> in accordance with the </w:t>
      </w:r>
      <w:r w:rsidR="00357072" w:rsidRPr="00BB187C">
        <w:t>Migration Regulations</w:t>
      </w:r>
      <w:r w:rsidR="00BC7A7B">
        <w:t>.</w:t>
      </w:r>
    </w:p>
    <w:p w14:paraId="2EDEB69D" w14:textId="77777777" w:rsidR="003D5722" w:rsidRPr="001E71FD" w:rsidRDefault="003D5722">
      <w:pPr>
        <w:rPr>
          <w:rFonts w:ascii="Times New Roman" w:hAnsi="Times New Roman" w:cs="Times New Roman"/>
          <w:sz w:val="24"/>
          <w:szCs w:val="24"/>
        </w:rPr>
      </w:pPr>
      <w:r w:rsidRPr="001E71FD">
        <w:rPr>
          <w:sz w:val="24"/>
          <w:szCs w:val="24"/>
        </w:rPr>
        <w:br w:type="page"/>
      </w:r>
    </w:p>
    <w:p w14:paraId="31106D1E" w14:textId="375E0977" w:rsidR="00FF3578" w:rsidRPr="00A55B4E" w:rsidRDefault="00FF3578" w:rsidP="00AB4CCE">
      <w:pPr>
        <w:pStyle w:val="ESAttAttName"/>
      </w:pPr>
      <w:r w:rsidRPr="00A55B4E">
        <w:lastRenderedPageBreak/>
        <w:t>Attachment</w:t>
      </w:r>
    </w:p>
    <w:p w14:paraId="5E36E7B2" w14:textId="44F89149" w:rsidR="003D5722" w:rsidRPr="00AB4CCE" w:rsidRDefault="003D5722" w:rsidP="00AB4CCE">
      <w:pPr>
        <w:pStyle w:val="ESAttHeading"/>
        <w:rPr>
          <w:i/>
        </w:rPr>
      </w:pPr>
      <w:r w:rsidRPr="00AB4CCE">
        <w:rPr>
          <w:i/>
        </w:rPr>
        <w:t xml:space="preserve">Details of the </w:t>
      </w:r>
      <w:r w:rsidR="008902A5" w:rsidRPr="008902A5">
        <w:rPr>
          <w:i/>
        </w:rPr>
        <w:t xml:space="preserve">Migration (Specification of Health Service Provider) Instrument </w:t>
      </w:r>
      <w:r w:rsidR="00A30B50">
        <w:rPr>
          <w:i/>
        </w:rPr>
        <w:t>(LIN </w:t>
      </w:r>
      <w:r w:rsidR="008902A5" w:rsidRPr="008902A5">
        <w:rPr>
          <w:i/>
        </w:rPr>
        <w:t>24/040) 2024</w:t>
      </w:r>
    </w:p>
    <w:p w14:paraId="7B6382A9" w14:textId="414ADA5A" w:rsidR="00FF3578" w:rsidRPr="00A55B4E" w:rsidRDefault="00F63A18" w:rsidP="00AB4CCE">
      <w:pPr>
        <w:pStyle w:val="ESAttList"/>
        <w:numPr>
          <w:ilvl w:val="0"/>
          <w:numId w:val="32"/>
        </w:numPr>
      </w:pPr>
      <w:r w:rsidRPr="00A55B4E">
        <w:t>Section </w:t>
      </w:r>
      <w:r w:rsidR="003D5722" w:rsidRPr="00A55B4E">
        <w:t xml:space="preserve">1 provides that the name of the instrument is the </w:t>
      </w:r>
      <w:r w:rsidR="00FF3578" w:rsidRPr="008E397D">
        <w:rPr>
          <w:i/>
        </w:rPr>
        <w:t>Migration (</w:t>
      </w:r>
      <w:r w:rsidR="00D6517B" w:rsidRPr="008E397D">
        <w:rPr>
          <w:i/>
        </w:rPr>
        <w:t>Specification of Health Service Provider</w:t>
      </w:r>
      <w:r w:rsidR="00A30B50">
        <w:rPr>
          <w:i/>
        </w:rPr>
        <w:t>) Instrument (LIN </w:t>
      </w:r>
      <w:r w:rsidR="00FF3578" w:rsidRPr="008E397D">
        <w:rPr>
          <w:i/>
        </w:rPr>
        <w:t>24/0</w:t>
      </w:r>
      <w:r w:rsidR="00D6517B" w:rsidRPr="008E397D">
        <w:rPr>
          <w:i/>
        </w:rPr>
        <w:t>40</w:t>
      </w:r>
      <w:r w:rsidR="00A30B50">
        <w:rPr>
          <w:i/>
        </w:rPr>
        <w:t xml:space="preserve">) </w:t>
      </w:r>
      <w:r w:rsidR="00FF3578" w:rsidRPr="008E397D">
        <w:rPr>
          <w:i/>
        </w:rPr>
        <w:t>2024</w:t>
      </w:r>
      <w:r w:rsidR="003D5722" w:rsidRPr="00A55B4E">
        <w:t>.</w:t>
      </w:r>
    </w:p>
    <w:p w14:paraId="339875EC" w14:textId="76082788" w:rsidR="00FF3578" w:rsidRPr="00A55B4E" w:rsidRDefault="00F63A18" w:rsidP="00AB4CCE">
      <w:pPr>
        <w:pStyle w:val="ESAttList"/>
        <w:numPr>
          <w:ilvl w:val="0"/>
          <w:numId w:val="32"/>
        </w:numPr>
      </w:pPr>
      <w:r w:rsidRPr="00A55B4E">
        <w:t>Section </w:t>
      </w:r>
      <w:r w:rsidR="003D5722" w:rsidRPr="00A55B4E">
        <w:t>2 prov</w:t>
      </w:r>
      <w:r w:rsidRPr="00A55B4E">
        <w:t>ides the instrument commences on the day after the instrument is registered</w:t>
      </w:r>
      <w:r w:rsidR="003816C2">
        <w:t xml:space="preserve"> on the Federal Register of Legislation</w:t>
      </w:r>
      <w:r w:rsidR="003D5722" w:rsidRPr="00A55B4E">
        <w:t xml:space="preserve">. </w:t>
      </w:r>
    </w:p>
    <w:p w14:paraId="7AF0A131" w14:textId="0E5B6592" w:rsidR="00FF3578" w:rsidRPr="00A55B4E" w:rsidRDefault="00F63A18" w:rsidP="00AB4CCE">
      <w:pPr>
        <w:pStyle w:val="ESAttList"/>
        <w:numPr>
          <w:ilvl w:val="0"/>
          <w:numId w:val="32"/>
        </w:numPr>
      </w:pPr>
      <w:r w:rsidRPr="00A55B4E">
        <w:rPr>
          <w:lang w:val="en-US"/>
        </w:rPr>
        <w:t>Section </w:t>
      </w:r>
      <w:r w:rsidR="003D5722" w:rsidRPr="00A55B4E">
        <w:rPr>
          <w:lang w:val="en-US"/>
        </w:rPr>
        <w:t xml:space="preserve">3 </w:t>
      </w:r>
      <w:r w:rsidR="00A55B4E">
        <w:rPr>
          <w:lang w:val="en-US"/>
        </w:rPr>
        <w:t>sets out</w:t>
      </w:r>
      <w:r w:rsidR="003D5722" w:rsidRPr="00A55B4E">
        <w:rPr>
          <w:lang w:val="en-US"/>
        </w:rPr>
        <w:t xml:space="preserve"> the </w:t>
      </w:r>
      <w:r w:rsidR="00A55B4E">
        <w:rPr>
          <w:lang w:val="en-US"/>
        </w:rPr>
        <w:t xml:space="preserve">authority under which </w:t>
      </w:r>
      <w:r w:rsidR="00F16742" w:rsidRPr="00A55B4E">
        <w:rPr>
          <w:lang w:val="en-US"/>
        </w:rPr>
        <w:t xml:space="preserve">the </w:t>
      </w:r>
      <w:r w:rsidR="003D5722" w:rsidRPr="00A55B4E">
        <w:rPr>
          <w:lang w:val="en-US"/>
        </w:rPr>
        <w:t xml:space="preserve">instrument </w:t>
      </w:r>
      <w:r w:rsidR="00A55B4E">
        <w:rPr>
          <w:lang w:val="en-US"/>
        </w:rPr>
        <w:t xml:space="preserve">is made, which is </w:t>
      </w:r>
      <w:proofErr w:type="spellStart"/>
      <w:r w:rsidRPr="00A55B4E">
        <w:rPr>
          <w:lang w:val="en-US"/>
        </w:rPr>
        <w:t>subregulation</w:t>
      </w:r>
      <w:proofErr w:type="spellEnd"/>
      <w:r w:rsidRPr="00A55B4E">
        <w:rPr>
          <w:lang w:val="en-US"/>
        </w:rPr>
        <w:t> </w:t>
      </w:r>
      <w:proofErr w:type="gramStart"/>
      <w:r w:rsidR="00DB1B2E" w:rsidRPr="00A55B4E">
        <w:rPr>
          <w:lang w:val="en-US"/>
        </w:rPr>
        <w:t>1.15AA</w:t>
      </w:r>
      <w:r w:rsidRPr="00A55B4E">
        <w:rPr>
          <w:lang w:val="en-US"/>
        </w:rPr>
        <w:t>(</w:t>
      </w:r>
      <w:proofErr w:type="gramEnd"/>
      <w:r w:rsidRPr="00A55B4E">
        <w:rPr>
          <w:lang w:val="en-US"/>
        </w:rPr>
        <w:t>2)</w:t>
      </w:r>
      <w:r w:rsidR="00DB1B2E" w:rsidRPr="00A55B4E">
        <w:rPr>
          <w:lang w:val="en-US"/>
        </w:rPr>
        <w:t xml:space="preserve"> </w:t>
      </w:r>
      <w:r w:rsidR="003D5722" w:rsidRPr="00A55B4E">
        <w:rPr>
          <w:lang w:val="en-US"/>
        </w:rPr>
        <w:t xml:space="preserve">of the </w:t>
      </w:r>
      <w:r w:rsidR="00FF3578" w:rsidRPr="008E397D">
        <w:rPr>
          <w:i/>
          <w:lang w:val="en-US"/>
        </w:rPr>
        <w:t xml:space="preserve">Migration </w:t>
      </w:r>
      <w:r w:rsidR="003D5722" w:rsidRPr="008E397D">
        <w:rPr>
          <w:i/>
          <w:lang w:val="en-US"/>
        </w:rPr>
        <w:t>Regulations</w:t>
      </w:r>
      <w:r w:rsidRPr="008E397D">
        <w:rPr>
          <w:i/>
          <w:lang w:val="en-US"/>
        </w:rPr>
        <w:t> </w:t>
      </w:r>
      <w:r w:rsidR="00FF3578" w:rsidRPr="008E397D">
        <w:rPr>
          <w:i/>
          <w:lang w:val="en-US"/>
        </w:rPr>
        <w:t>1994</w:t>
      </w:r>
      <w:r w:rsidR="003D5722" w:rsidRPr="00A55B4E">
        <w:rPr>
          <w:lang w:val="en-US"/>
        </w:rPr>
        <w:t xml:space="preserve">. </w:t>
      </w:r>
    </w:p>
    <w:p w14:paraId="0AF9F413" w14:textId="6A4E9477" w:rsidR="00A55B4E" w:rsidRPr="003D5004" w:rsidRDefault="00F63A18" w:rsidP="00AB4CCE">
      <w:pPr>
        <w:pStyle w:val="ESAttList"/>
        <w:numPr>
          <w:ilvl w:val="0"/>
          <w:numId w:val="32"/>
        </w:numPr>
        <w:rPr>
          <w:lang w:val="en-US"/>
        </w:rPr>
      </w:pPr>
      <w:r w:rsidRPr="00A55B4E">
        <w:rPr>
          <w:lang w:val="en-US"/>
        </w:rPr>
        <w:t>Section </w:t>
      </w:r>
      <w:r w:rsidR="003D5722" w:rsidRPr="00A55B4E">
        <w:rPr>
          <w:lang w:val="en-US"/>
        </w:rPr>
        <w:t xml:space="preserve">4 </w:t>
      </w:r>
      <w:r w:rsidR="00FF3578" w:rsidRPr="00A55B4E">
        <w:t xml:space="preserve">sets out the </w:t>
      </w:r>
      <w:r w:rsidR="0031642D" w:rsidRPr="00A55B4E">
        <w:t xml:space="preserve">details of </w:t>
      </w:r>
      <w:r w:rsidR="00F16742" w:rsidRPr="00A55B4E">
        <w:t xml:space="preserve">the specified health service provider, being </w:t>
      </w:r>
      <w:proofErr w:type="spellStart"/>
      <w:r w:rsidR="00F16742" w:rsidRPr="00A55B4E">
        <w:t>Bupa</w:t>
      </w:r>
      <w:proofErr w:type="spellEnd"/>
      <w:r w:rsidR="00F16742" w:rsidRPr="00A55B4E">
        <w:t xml:space="preserve"> Health </w:t>
      </w:r>
      <w:r w:rsidR="001B7864">
        <w:t xml:space="preserve">Services </w:t>
      </w:r>
      <w:r w:rsidR="00F16742" w:rsidRPr="00A55B4E">
        <w:t xml:space="preserve">Pty Ltd, trading as </w:t>
      </w:r>
      <w:proofErr w:type="spellStart"/>
      <w:r w:rsidR="00F16742" w:rsidRPr="00A55B4E">
        <w:t>Bupa</w:t>
      </w:r>
      <w:proofErr w:type="spellEnd"/>
      <w:r w:rsidR="00F16742" w:rsidRPr="00A55B4E">
        <w:t xml:space="preserve"> Medical Visa Services.</w:t>
      </w:r>
    </w:p>
    <w:p w14:paraId="29774BA4" w14:textId="369B8D82" w:rsidR="00814E69" w:rsidRPr="003D5004" w:rsidRDefault="00F63A18" w:rsidP="003816C2">
      <w:pPr>
        <w:pStyle w:val="ESAttList"/>
        <w:numPr>
          <w:ilvl w:val="0"/>
          <w:numId w:val="32"/>
        </w:numPr>
        <w:rPr>
          <w:lang w:val="en-US"/>
        </w:rPr>
      </w:pPr>
      <w:r w:rsidRPr="00A55B4E">
        <w:t>Section </w:t>
      </w:r>
      <w:r w:rsidR="00F16742" w:rsidRPr="00A55B4E">
        <w:t xml:space="preserve">5 </w:t>
      </w:r>
      <w:r w:rsidR="000A578E" w:rsidRPr="00A55B4E">
        <w:t xml:space="preserve">provides the instrument </w:t>
      </w:r>
      <w:r w:rsidR="0031642D" w:rsidRPr="008E397D">
        <w:rPr>
          <w:i/>
        </w:rPr>
        <w:t>Migration</w:t>
      </w:r>
      <w:r w:rsidR="000A578E" w:rsidRPr="008E397D">
        <w:rPr>
          <w:i/>
        </w:rPr>
        <w:t xml:space="preserve"> Regulations 1994</w:t>
      </w:r>
      <w:r w:rsidR="0031642D" w:rsidRPr="008E397D">
        <w:rPr>
          <w:i/>
        </w:rPr>
        <w:t xml:space="preserve"> </w:t>
      </w:r>
      <w:r w:rsidR="001B7864">
        <w:rPr>
          <w:i/>
        </w:rPr>
        <w:t>–</w:t>
      </w:r>
      <w:r w:rsidR="000A578E" w:rsidRPr="008E397D">
        <w:rPr>
          <w:i/>
        </w:rPr>
        <w:t xml:space="preserve"> </w:t>
      </w:r>
      <w:r w:rsidR="0031642D" w:rsidRPr="008E397D">
        <w:rPr>
          <w:i/>
        </w:rPr>
        <w:t>Specification of Health Service Provider</w:t>
      </w:r>
      <w:r w:rsidRPr="008E397D">
        <w:rPr>
          <w:i/>
        </w:rPr>
        <w:t> </w:t>
      </w:r>
      <w:r w:rsidR="001B7864">
        <w:rPr>
          <w:i/>
        </w:rPr>
        <w:t xml:space="preserve">– </w:t>
      </w:r>
      <w:r w:rsidR="0031642D" w:rsidRPr="008E397D">
        <w:rPr>
          <w:i/>
        </w:rPr>
        <w:t>IMMI 1</w:t>
      </w:r>
      <w:r w:rsidR="000A578E" w:rsidRPr="008E397D">
        <w:rPr>
          <w:i/>
        </w:rPr>
        <w:t>4</w:t>
      </w:r>
      <w:r w:rsidR="0031642D" w:rsidRPr="008E397D">
        <w:rPr>
          <w:i/>
        </w:rPr>
        <w:t>/085</w:t>
      </w:r>
      <w:r w:rsidR="000A578E" w:rsidRPr="00A55B4E">
        <w:t xml:space="preserve"> is repealed</w:t>
      </w:r>
      <w:r w:rsidR="0031642D" w:rsidRPr="00A55B4E">
        <w:t xml:space="preserve">. </w:t>
      </w:r>
      <w:r w:rsidR="001B7864" w:rsidRPr="008E397D">
        <w:t>IMMI 14/085</w:t>
      </w:r>
      <w:r w:rsidR="001B7864" w:rsidRPr="00A55B4E">
        <w:t xml:space="preserve"> </w:t>
      </w:r>
      <w:r w:rsidR="001B7864">
        <w:t xml:space="preserve">was due to sunset on 1 October 2024 in accordance with subsection 50(1) of the </w:t>
      </w:r>
      <w:r w:rsidR="001B7864" w:rsidRPr="00BF5BE2">
        <w:t>Legislation Act</w:t>
      </w:r>
      <w:r w:rsidR="001B7864">
        <w:rPr>
          <w:i/>
        </w:rPr>
        <w:t xml:space="preserve">. </w:t>
      </w:r>
      <w:r w:rsidR="007F2446">
        <w:t xml:space="preserve">This instrument maintains the arrangements set out in </w:t>
      </w:r>
      <w:r w:rsidR="003D5004" w:rsidRPr="00A55B4E">
        <w:t>IMMI 14/085</w:t>
      </w:r>
      <w:r w:rsidR="003816C2">
        <w:t xml:space="preserve"> and reflecting </w:t>
      </w:r>
      <w:r w:rsidR="003816C2" w:rsidRPr="003816C2">
        <w:t>the current name of the health service provider</w:t>
      </w:r>
      <w:r w:rsidR="003D5004">
        <w:t xml:space="preserve">, with any changes to </w:t>
      </w:r>
      <w:r w:rsidR="003816C2">
        <w:t xml:space="preserve">the approach to the instrument intended to </w:t>
      </w:r>
      <w:r w:rsidR="0094308B">
        <w:t xml:space="preserve">simplify and </w:t>
      </w:r>
      <w:r w:rsidR="003D5004">
        <w:t xml:space="preserve">modernise </w:t>
      </w:r>
      <w:r w:rsidR="0094308B">
        <w:t xml:space="preserve">the </w:t>
      </w:r>
      <w:r w:rsidR="003816C2">
        <w:t>drafting</w:t>
      </w:r>
      <w:r w:rsidR="007F2446">
        <w:t xml:space="preserve">. </w:t>
      </w:r>
    </w:p>
    <w:sectPr w:rsidR="00814E69" w:rsidRPr="003D5004" w:rsidSect="004F5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74160" w14:textId="77777777" w:rsidR="00C66437" w:rsidRDefault="00C66437" w:rsidP="001E71FD">
      <w:pPr>
        <w:spacing w:after="0" w:line="240" w:lineRule="auto"/>
      </w:pPr>
      <w:r>
        <w:separator/>
      </w:r>
    </w:p>
  </w:endnote>
  <w:endnote w:type="continuationSeparator" w:id="0">
    <w:p w14:paraId="0F13BF91" w14:textId="77777777" w:rsidR="00C66437" w:rsidRDefault="00C66437" w:rsidP="001E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F34B3" w14:textId="77777777" w:rsidR="009B040A" w:rsidRDefault="009B0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803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A7B52" w14:textId="37AF1B7B" w:rsidR="001E71FD" w:rsidRDefault="001E71FD">
        <w:pPr>
          <w:pStyle w:val="Footer"/>
          <w:jc w:val="center"/>
        </w:pPr>
        <w:r w:rsidRPr="00AB4CCE">
          <w:rPr>
            <w:rFonts w:ascii="Times New Roman" w:hAnsi="Times New Roman" w:cs="Times New Roman"/>
          </w:rPr>
          <w:fldChar w:fldCharType="begin"/>
        </w:r>
        <w:r w:rsidRPr="00AB4CCE">
          <w:rPr>
            <w:rFonts w:ascii="Times New Roman" w:hAnsi="Times New Roman" w:cs="Times New Roman"/>
          </w:rPr>
          <w:instrText xml:space="preserve"> PAGE   \* MERGEFORMAT </w:instrText>
        </w:r>
        <w:r w:rsidRPr="00AB4CCE">
          <w:rPr>
            <w:rFonts w:ascii="Times New Roman" w:hAnsi="Times New Roman" w:cs="Times New Roman"/>
          </w:rPr>
          <w:fldChar w:fldCharType="separate"/>
        </w:r>
        <w:r w:rsidR="009B040A">
          <w:rPr>
            <w:rFonts w:ascii="Times New Roman" w:hAnsi="Times New Roman" w:cs="Times New Roman"/>
            <w:noProof/>
          </w:rPr>
          <w:t>2</w:t>
        </w:r>
        <w:r w:rsidRPr="00AB4CC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FE99A95" w14:textId="77777777" w:rsidR="001E71FD" w:rsidRDefault="001E7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366D5" w14:textId="77777777" w:rsidR="009B040A" w:rsidRDefault="009B0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C1CE6" w14:textId="77777777" w:rsidR="00C66437" w:rsidRDefault="00C66437" w:rsidP="001E71FD">
      <w:pPr>
        <w:spacing w:after="0" w:line="240" w:lineRule="auto"/>
      </w:pPr>
      <w:r>
        <w:separator/>
      </w:r>
    </w:p>
  </w:footnote>
  <w:footnote w:type="continuationSeparator" w:id="0">
    <w:p w14:paraId="4A4D7B12" w14:textId="77777777" w:rsidR="00C66437" w:rsidRDefault="00C66437" w:rsidP="001E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78E95" w14:textId="77777777" w:rsidR="009B040A" w:rsidRDefault="009B0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3799E" w14:textId="77777777" w:rsidR="009B040A" w:rsidRDefault="009B04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0B5F2" w14:textId="77777777" w:rsidR="009B040A" w:rsidRDefault="009B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D07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250E44"/>
    <w:multiLevelType w:val="hybridMultilevel"/>
    <w:tmpl w:val="DB062A98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74E0B8D"/>
    <w:multiLevelType w:val="hybridMultilevel"/>
    <w:tmpl w:val="8FC28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63A9A"/>
    <w:multiLevelType w:val="hybridMultilevel"/>
    <w:tmpl w:val="B1CC6FDE"/>
    <w:lvl w:ilvl="0" w:tplc="0C09001B">
      <w:start w:val="1"/>
      <w:numFmt w:val="lowerRoman"/>
      <w:lvlText w:val="%1."/>
      <w:lvlJc w:val="right"/>
      <w:pPr>
        <w:ind w:left="2160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5BB1"/>
    <w:multiLevelType w:val="hybridMultilevel"/>
    <w:tmpl w:val="B7BAFF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032D"/>
    <w:multiLevelType w:val="hybridMultilevel"/>
    <w:tmpl w:val="BCB4C582"/>
    <w:lvl w:ilvl="0" w:tplc="C80632D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E06C4"/>
    <w:multiLevelType w:val="hybridMultilevel"/>
    <w:tmpl w:val="6CA42A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E532A9"/>
    <w:multiLevelType w:val="hybridMultilevel"/>
    <w:tmpl w:val="47FAD8FA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E1EE5"/>
    <w:multiLevelType w:val="hybridMultilevel"/>
    <w:tmpl w:val="F4C28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B6971"/>
    <w:multiLevelType w:val="hybridMultilevel"/>
    <w:tmpl w:val="C7302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ABC2DF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F20E5"/>
    <w:multiLevelType w:val="hybridMultilevel"/>
    <w:tmpl w:val="B1CC6FDE"/>
    <w:lvl w:ilvl="0" w:tplc="0C09001B">
      <w:start w:val="1"/>
      <w:numFmt w:val="lowerRoman"/>
      <w:lvlText w:val="%1."/>
      <w:lvlJc w:val="right"/>
      <w:pPr>
        <w:ind w:left="2160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7CB5"/>
    <w:multiLevelType w:val="hybridMultilevel"/>
    <w:tmpl w:val="E006C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E3791"/>
    <w:multiLevelType w:val="hybridMultilevel"/>
    <w:tmpl w:val="F702B53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9"/>
    </w:lvlOverride>
  </w:num>
  <w:num w:numId="8">
    <w:abstractNumId w:val="7"/>
    <w:lvlOverride w:ilvl="0">
      <w:startOverride w:val="10"/>
    </w:lvlOverride>
  </w:num>
  <w:num w:numId="9">
    <w:abstractNumId w:val="7"/>
    <w:lvlOverride w:ilvl="0">
      <w:startOverride w:val="10"/>
    </w:lvlOverride>
  </w:num>
  <w:num w:numId="10">
    <w:abstractNumId w:val="7"/>
    <w:lvlOverride w:ilvl="0">
      <w:startOverride w:val="13"/>
    </w:lvlOverride>
  </w:num>
  <w:num w:numId="11">
    <w:abstractNumId w:val="6"/>
  </w:num>
  <w:num w:numId="12">
    <w:abstractNumId w:val="13"/>
  </w:num>
  <w:num w:numId="13">
    <w:abstractNumId w:val="9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8"/>
  </w:num>
  <w:num w:numId="17">
    <w:abstractNumId w:val="2"/>
  </w:num>
  <w:num w:numId="18">
    <w:abstractNumId w:val="7"/>
    <w:lvlOverride w:ilvl="0">
      <w:startOverride w:val="1"/>
    </w:lvlOverride>
  </w:num>
  <w:num w:numId="19">
    <w:abstractNumId w:val="1"/>
  </w:num>
  <w:num w:numId="20">
    <w:abstractNumId w:val="7"/>
  </w:num>
  <w:num w:numId="21">
    <w:abstractNumId w:val="3"/>
  </w:num>
  <w:num w:numId="22">
    <w:abstractNumId w:val="11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7"/>
  </w:num>
  <w:num w:numId="30">
    <w:abstractNumId w:val="7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F2"/>
    <w:rsid w:val="0000764B"/>
    <w:rsid w:val="00017744"/>
    <w:rsid w:val="00021553"/>
    <w:rsid w:val="0002412C"/>
    <w:rsid w:val="00026D22"/>
    <w:rsid w:val="00035EEC"/>
    <w:rsid w:val="000409E2"/>
    <w:rsid w:val="00045A52"/>
    <w:rsid w:val="00052817"/>
    <w:rsid w:val="0005452F"/>
    <w:rsid w:val="00062B73"/>
    <w:rsid w:val="00063907"/>
    <w:rsid w:val="00070F78"/>
    <w:rsid w:val="00074291"/>
    <w:rsid w:val="0008041D"/>
    <w:rsid w:val="00082254"/>
    <w:rsid w:val="000835C2"/>
    <w:rsid w:val="000858A3"/>
    <w:rsid w:val="00091DF7"/>
    <w:rsid w:val="0009222A"/>
    <w:rsid w:val="000A15AB"/>
    <w:rsid w:val="000A578E"/>
    <w:rsid w:val="000B30C4"/>
    <w:rsid w:val="000C6D3D"/>
    <w:rsid w:val="000D014F"/>
    <w:rsid w:val="000E15A7"/>
    <w:rsid w:val="000E41B7"/>
    <w:rsid w:val="000F2906"/>
    <w:rsid w:val="000F4C08"/>
    <w:rsid w:val="000F76AF"/>
    <w:rsid w:val="00100DFC"/>
    <w:rsid w:val="00102CBA"/>
    <w:rsid w:val="00103DF1"/>
    <w:rsid w:val="00107EF2"/>
    <w:rsid w:val="00117BF1"/>
    <w:rsid w:val="00143E1B"/>
    <w:rsid w:val="001502D3"/>
    <w:rsid w:val="00152932"/>
    <w:rsid w:val="00154BDE"/>
    <w:rsid w:val="0015525A"/>
    <w:rsid w:val="001652A3"/>
    <w:rsid w:val="00170350"/>
    <w:rsid w:val="00183991"/>
    <w:rsid w:val="0019164E"/>
    <w:rsid w:val="00192706"/>
    <w:rsid w:val="001A5343"/>
    <w:rsid w:val="001A6203"/>
    <w:rsid w:val="001A7646"/>
    <w:rsid w:val="001A7CF9"/>
    <w:rsid w:val="001B1B73"/>
    <w:rsid w:val="001B7864"/>
    <w:rsid w:val="001C41A0"/>
    <w:rsid w:val="001C4CFA"/>
    <w:rsid w:val="001C63AA"/>
    <w:rsid w:val="001D24B7"/>
    <w:rsid w:val="001D26D4"/>
    <w:rsid w:val="001E14EF"/>
    <w:rsid w:val="001E6B00"/>
    <w:rsid w:val="001E71FD"/>
    <w:rsid w:val="001E7EDA"/>
    <w:rsid w:val="001F1E94"/>
    <w:rsid w:val="001F328C"/>
    <w:rsid w:val="00203D7D"/>
    <w:rsid w:val="00204BA7"/>
    <w:rsid w:val="0021608A"/>
    <w:rsid w:val="002207EB"/>
    <w:rsid w:val="00223DF5"/>
    <w:rsid w:val="002247F0"/>
    <w:rsid w:val="00224D50"/>
    <w:rsid w:val="0022512D"/>
    <w:rsid w:val="0022682F"/>
    <w:rsid w:val="00226862"/>
    <w:rsid w:val="002308A4"/>
    <w:rsid w:val="00232C3F"/>
    <w:rsid w:val="00234FB4"/>
    <w:rsid w:val="002402E0"/>
    <w:rsid w:val="00244F75"/>
    <w:rsid w:val="002544A1"/>
    <w:rsid w:val="00256A3E"/>
    <w:rsid w:val="00257301"/>
    <w:rsid w:val="0026544E"/>
    <w:rsid w:val="00265F19"/>
    <w:rsid w:val="0026634E"/>
    <w:rsid w:val="00271E32"/>
    <w:rsid w:val="00286177"/>
    <w:rsid w:val="002877D5"/>
    <w:rsid w:val="002A4257"/>
    <w:rsid w:val="002B0185"/>
    <w:rsid w:val="002B63D7"/>
    <w:rsid w:val="002C06A5"/>
    <w:rsid w:val="002C1287"/>
    <w:rsid w:val="002C4D39"/>
    <w:rsid w:val="002C6549"/>
    <w:rsid w:val="002D167E"/>
    <w:rsid w:val="002D2C54"/>
    <w:rsid w:val="002D78D0"/>
    <w:rsid w:val="002E736F"/>
    <w:rsid w:val="002F02AB"/>
    <w:rsid w:val="002F147C"/>
    <w:rsid w:val="002F1DD9"/>
    <w:rsid w:val="002F75C4"/>
    <w:rsid w:val="0030666E"/>
    <w:rsid w:val="003110E3"/>
    <w:rsid w:val="00314F77"/>
    <w:rsid w:val="0031642D"/>
    <w:rsid w:val="00320D8D"/>
    <w:rsid w:val="003241F3"/>
    <w:rsid w:val="00331198"/>
    <w:rsid w:val="00331972"/>
    <w:rsid w:val="00331D0C"/>
    <w:rsid w:val="00344C83"/>
    <w:rsid w:val="00347A22"/>
    <w:rsid w:val="003534EB"/>
    <w:rsid w:val="00354DC6"/>
    <w:rsid w:val="00356130"/>
    <w:rsid w:val="00357072"/>
    <w:rsid w:val="0036337B"/>
    <w:rsid w:val="0036430E"/>
    <w:rsid w:val="00370230"/>
    <w:rsid w:val="003719B4"/>
    <w:rsid w:val="003816C2"/>
    <w:rsid w:val="003868C8"/>
    <w:rsid w:val="00397D73"/>
    <w:rsid w:val="003A1791"/>
    <w:rsid w:val="003B171D"/>
    <w:rsid w:val="003C684C"/>
    <w:rsid w:val="003D1095"/>
    <w:rsid w:val="003D5004"/>
    <w:rsid w:val="003D5722"/>
    <w:rsid w:val="003E1DB9"/>
    <w:rsid w:val="003F0B44"/>
    <w:rsid w:val="003F17FB"/>
    <w:rsid w:val="003F6E5B"/>
    <w:rsid w:val="00400990"/>
    <w:rsid w:val="00403411"/>
    <w:rsid w:val="004037F4"/>
    <w:rsid w:val="004039FB"/>
    <w:rsid w:val="00411694"/>
    <w:rsid w:val="00421CC2"/>
    <w:rsid w:val="004220F1"/>
    <w:rsid w:val="00431066"/>
    <w:rsid w:val="00443A5C"/>
    <w:rsid w:val="004443D4"/>
    <w:rsid w:val="004452C8"/>
    <w:rsid w:val="0044676D"/>
    <w:rsid w:val="00452ABA"/>
    <w:rsid w:val="00457D4A"/>
    <w:rsid w:val="00464080"/>
    <w:rsid w:val="00464B02"/>
    <w:rsid w:val="00470D10"/>
    <w:rsid w:val="00475EA7"/>
    <w:rsid w:val="004802E6"/>
    <w:rsid w:val="00484C1B"/>
    <w:rsid w:val="00484E6F"/>
    <w:rsid w:val="00491C78"/>
    <w:rsid w:val="0049215D"/>
    <w:rsid w:val="00495417"/>
    <w:rsid w:val="004A1949"/>
    <w:rsid w:val="004A4D8C"/>
    <w:rsid w:val="004A6998"/>
    <w:rsid w:val="004B43C5"/>
    <w:rsid w:val="004B6A1C"/>
    <w:rsid w:val="004B7A96"/>
    <w:rsid w:val="004C6953"/>
    <w:rsid w:val="004C716D"/>
    <w:rsid w:val="004D4C5E"/>
    <w:rsid w:val="004D553D"/>
    <w:rsid w:val="004D7993"/>
    <w:rsid w:val="004E04B7"/>
    <w:rsid w:val="004E0A16"/>
    <w:rsid w:val="004E4BD5"/>
    <w:rsid w:val="004E7BCF"/>
    <w:rsid w:val="004F0723"/>
    <w:rsid w:val="004F5CE4"/>
    <w:rsid w:val="0051014E"/>
    <w:rsid w:val="00521C0B"/>
    <w:rsid w:val="0052316C"/>
    <w:rsid w:val="00523AB4"/>
    <w:rsid w:val="00531B8A"/>
    <w:rsid w:val="00532122"/>
    <w:rsid w:val="00532DD6"/>
    <w:rsid w:val="00554264"/>
    <w:rsid w:val="00560B24"/>
    <w:rsid w:val="00560ECE"/>
    <w:rsid w:val="00562C99"/>
    <w:rsid w:val="005661E1"/>
    <w:rsid w:val="0057002B"/>
    <w:rsid w:val="005772EC"/>
    <w:rsid w:val="00583091"/>
    <w:rsid w:val="00595ABC"/>
    <w:rsid w:val="005A2597"/>
    <w:rsid w:val="005A3733"/>
    <w:rsid w:val="005A4C73"/>
    <w:rsid w:val="005B53AF"/>
    <w:rsid w:val="005C4C6B"/>
    <w:rsid w:val="005C7AAF"/>
    <w:rsid w:val="005D0BC4"/>
    <w:rsid w:val="005D3F6B"/>
    <w:rsid w:val="005D6215"/>
    <w:rsid w:val="005D6B67"/>
    <w:rsid w:val="005E38F1"/>
    <w:rsid w:val="005F06B5"/>
    <w:rsid w:val="00600349"/>
    <w:rsid w:val="00600E00"/>
    <w:rsid w:val="00604E06"/>
    <w:rsid w:val="00606BE5"/>
    <w:rsid w:val="00610C8E"/>
    <w:rsid w:val="00612352"/>
    <w:rsid w:val="00614CD6"/>
    <w:rsid w:val="006179CC"/>
    <w:rsid w:val="006218DE"/>
    <w:rsid w:val="006363DF"/>
    <w:rsid w:val="00637044"/>
    <w:rsid w:val="00640375"/>
    <w:rsid w:val="00650B05"/>
    <w:rsid w:val="00656959"/>
    <w:rsid w:val="00670D02"/>
    <w:rsid w:val="00682042"/>
    <w:rsid w:val="00683DDC"/>
    <w:rsid w:val="00684A3C"/>
    <w:rsid w:val="006871B5"/>
    <w:rsid w:val="006A4D1B"/>
    <w:rsid w:val="006B3326"/>
    <w:rsid w:val="006B5C10"/>
    <w:rsid w:val="006C4E6B"/>
    <w:rsid w:val="006E08EE"/>
    <w:rsid w:val="006E2536"/>
    <w:rsid w:val="006F31E5"/>
    <w:rsid w:val="006F4248"/>
    <w:rsid w:val="00720431"/>
    <w:rsid w:val="00724940"/>
    <w:rsid w:val="00730F1C"/>
    <w:rsid w:val="0073481B"/>
    <w:rsid w:val="0073491B"/>
    <w:rsid w:val="00740E32"/>
    <w:rsid w:val="0074224B"/>
    <w:rsid w:val="0076522B"/>
    <w:rsid w:val="00766A90"/>
    <w:rsid w:val="007756AE"/>
    <w:rsid w:val="0077689E"/>
    <w:rsid w:val="00780349"/>
    <w:rsid w:val="00785CDA"/>
    <w:rsid w:val="00790F81"/>
    <w:rsid w:val="00791F10"/>
    <w:rsid w:val="007A61ED"/>
    <w:rsid w:val="007A6D2E"/>
    <w:rsid w:val="007B5F2D"/>
    <w:rsid w:val="007C02F8"/>
    <w:rsid w:val="007C544C"/>
    <w:rsid w:val="007C6E19"/>
    <w:rsid w:val="007C7961"/>
    <w:rsid w:val="007C7F20"/>
    <w:rsid w:val="007D5076"/>
    <w:rsid w:val="007D57DE"/>
    <w:rsid w:val="007D5FA1"/>
    <w:rsid w:val="007D6B6D"/>
    <w:rsid w:val="007E066A"/>
    <w:rsid w:val="007E382F"/>
    <w:rsid w:val="007E4691"/>
    <w:rsid w:val="007E7081"/>
    <w:rsid w:val="007F01F9"/>
    <w:rsid w:val="007F2446"/>
    <w:rsid w:val="007F36E8"/>
    <w:rsid w:val="00800417"/>
    <w:rsid w:val="008044A6"/>
    <w:rsid w:val="00805E14"/>
    <w:rsid w:val="00812078"/>
    <w:rsid w:val="00812E84"/>
    <w:rsid w:val="00814E69"/>
    <w:rsid w:val="00817588"/>
    <w:rsid w:val="00820C7B"/>
    <w:rsid w:val="008221E8"/>
    <w:rsid w:val="008272DC"/>
    <w:rsid w:val="00845F3A"/>
    <w:rsid w:val="00851871"/>
    <w:rsid w:val="00864368"/>
    <w:rsid w:val="00864552"/>
    <w:rsid w:val="008649AE"/>
    <w:rsid w:val="0086616F"/>
    <w:rsid w:val="00874036"/>
    <w:rsid w:val="008770ED"/>
    <w:rsid w:val="0088011C"/>
    <w:rsid w:val="0088407D"/>
    <w:rsid w:val="00886B84"/>
    <w:rsid w:val="008902A5"/>
    <w:rsid w:val="00890D6F"/>
    <w:rsid w:val="00891E3C"/>
    <w:rsid w:val="0089769F"/>
    <w:rsid w:val="008A297C"/>
    <w:rsid w:val="008A3F57"/>
    <w:rsid w:val="008A6243"/>
    <w:rsid w:val="008A6CD2"/>
    <w:rsid w:val="008B24C8"/>
    <w:rsid w:val="008B3C00"/>
    <w:rsid w:val="008B3DCC"/>
    <w:rsid w:val="008C55D3"/>
    <w:rsid w:val="008E32BD"/>
    <w:rsid w:val="008E397D"/>
    <w:rsid w:val="008F5151"/>
    <w:rsid w:val="008F5192"/>
    <w:rsid w:val="009012E7"/>
    <w:rsid w:val="0090228E"/>
    <w:rsid w:val="00907477"/>
    <w:rsid w:val="00910BA0"/>
    <w:rsid w:val="00914FE4"/>
    <w:rsid w:val="00915032"/>
    <w:rsid w:val="0091623C"/>
    <w:rsid w:val="00935249"/>
    <w:rsid w:val="0094308B"/>
    <w:rsid w:val="00954754"/>
    <w:rsid w:val="00970516"/>
    <w:rsid w:val="00970569"/>
    <w:rsid w:val="00971ECB"/>
    <w:rsid w:val="00983B8D"/>
    <w:rsid w:val="00985CDA"/>
    <w:rsid w:val="009868BC"/>
    <w:rsid w:val="009908B4"/>
    <w:rsid w:val="00991ECD"/>
    <w:rsid w:val="00996E54"/>
    <w:rsid w:val="009A3899"/>
    <w:rsid w:val="009A67A2"/>
    <w:rsid w:val="009A6EBC"/>
    <w:rsid w:val="009B040A"/>
    <w:rsid w:val="009B4B6E"/>
    <w:rsid w:val="009B66D5"/>
    <w:rsid w:val="009C2B6F"/>
    <w:rsid w:val="009C608B"/>
    <w:rsid w:val="009C6C40"/>
    <w:rsid w:val="009D1E14"/>
    <w:rsid w:val="009D2E47"/>
    <w:rsid w:val="009E1630"/>
    <w:rsid w:val="009E16C2"/>
    <w:rsid w:val="009E3EA4"/>
    <w:rsid w:val="009E5EB1"/>
    <w:rsid w:val="009E69B4"/>
    <w:rsid w:val="009F1A39"/>
    <w:rsid w:val="00A07D94"/>
    <w:rsid w:val="00A11C88"/>
    <w:rsid w:val="00A13415"/>
    <w:rsid w:val="00A221C1"/>
    <w:rsid w:val="00A26E54"/>
    <w:rsid w:val="00A3031D"/>
    <w:rsid w:val="00A30B50"/>
    <w:rsid w:val="00A44084"/>
    <w:rsid w:val="00A45E2B"/>
    <w:rsid w:val="00A5286F"/>
    <w:rsid w:val="00A55B4E"/>
    <w:rsid w:val="00A62E25"/>
    <w:rsid w:val="00A64CF3"/>
    <w:rsid w:val="00A72F06"/>
    <w:rsid w:val="00A825FB"/>
    <w:rsid w:val="00AA10C6"/>
    <w:rsid w:val="00AA4557"/>
    <w:rsid w:val="00AA4F77"/>
    <w:rsid w:val="00AB4CCE"/>
    <w:rsid w:val="00AB5DEA"/>
    <w:rsid w:val="00AC46FA"/>
    <w:rsid w:val="00AC6D3B"/>
    <w:rsid w:val="00AD1DF4"/>
    <w:rsid w:val="00AE0950"/>
    <w:rsid w:val="00B00ED0"/>
    <w:rsid w:val="00B22EAF"/>
    <w:rsid w:val="00B445D9"/>
    <w:rsid w:val="00B47CF3"/>
    <w:rsid w:val="00B53547"/>
    <w:rsid w:val="00B54934"/>
    <w:rsid w:val="00B64BB9"/>
    <w:rsid w:val="00B65A06"/>
    <w:rsid w:val="00B65E9A"/>
    <w:rsid w:val="00B65FE3"/>
    <w:rsid w:val="00B702C8"/>
    <w:rsid w:val="00B73406"/>
    <w:rsid w:val="00B74C93"/>
    <w:rsid w:val="00B75478"/>
    <w:rsid w:val="00B7671D"/>
    <w:rsid w:val="00B771E1"/>
    <w:rsid w:val="00B82EA0"/>
    <w:rsid w:val="00B84A80"/>
    <w:rsid w:val="00B91233"/>
    <w:rsid w:val="00B933DF"/>
    <w:rsid w:val="00BA7EFA"/>
    <w:rsid w:val="00BB0CF2"/>
    <w:rsid w:val="00BB187C"/>
    <w:rsid w:val="00BB6AD2"/>
    <w:rsid w:val="00BC339E"/>
    <w:rsid w:val="00BC71A7"/>
    <w:rsid w:val="00BC7A7B"/>
    <w:rsid w:val="00BD598E"/>
    <w:rsid w:val="00BD5DC2"/>
    <w:rsid w:val="00BE2899"/>
    <w:rsid w:val="00BE3E7F"/>
    <w:rsid w:val="00BE6AC6"/>
    <w:rsid w:val="00BF0920"/>
    <w:rsid w:val="00BF5BE2"/>
    <w:rsid w:val="00C104CA"/>
    <w:rsid w:val="00C1758A"/>
    <w:rsid w:val="00C25E3D"/>
    <w:rsid w:val="00C34367"/>
    <w:rsid w:val="00C4249F"/>
    <w:rsid w:val="00C4348B"/>
    <w:rsid w:val="00C4467E"/>
    <w:rsid w:val="00C4769E"/>
    <w:rsid w:val="00C47937"/>
    <w:rsid w:val="00C532BC"/>
    <w:rsid w:val="00C55EA7"/>
    <w:rsid w:val="00C60114"/>
    <w:rsid w:val="00C66437"/>
    <w:rsid w:val="00C6676B"/>
    <w:rsid w:val="00C729DB"/>
    <w:rsid w:val="00C72E61"/>
    <w:rsid w:val="00C7520E"/>
    <w:rsid w:val="00C80652"/>
    <w:rsid w:val="00C818C4"/>
    <w:rsid w:val="00C81A5E"/>
    <w:rsid w:val="00C90A84"/>
    <w:rsid w:val="00C90E48"/>
    <w:rsid w:val="00C930F2"/>
    <w:rsid w:val="00C95B17"/>
    <w:rsid w:val="00C96778"/>
    <w:rsid w:val="00CA2358"/>
    <w:rsid w:val="00CA39B6"/>
    <w:rsid w:val="00CC7C6A"/>
    <w:rsid w:val="00CD031B"/>
    <w:rsid w:val="00CD6387"/>
    <w:rsid w:val="00CE232F"/>
    <w:rsid w:val="00CE2994"/>
    <w:rsid w:val="00CE6BDB"/>
    <w:rsid w:val="00CE6DEF"/>
    <w:rsid w:val="00CF0BF3"/>
    <w:rsid w:val="00CF4574"/>
    <w:rsid w:val="00D01F77"/>
    <w:rsid w:val="00D02926"/>
    <w:rsid w:val="00D231E0"/>
    <w:rsid w:val="00D32DBC"/>
    <w:rsid w:val="00D40E1E"/>
    <w:rsid w:val="00D41B66"/>
    <w:rsid w:val="00D505FF"/>
    <w:rsid w:val="00D54497"/>
    <w:rsid w:val="00D6517B"/>
    <w:rsid w:val="00D7070B"/>
    <w:rsid w:val="00D76F75"/>
    <w:rsid w:val="00D8075F"/>
    <w:rsid w:val="00D86D7C"/>
    <w:rsid w:val="00D916E0"/>
    <w:rsid w:val="00D94359"/>
    <w:rsid w:val="00D9786D"/>
    <w:rsid w:val="00DA2084"/>
    <w:rsid w:val="00DA44EE"/>
    <w:rsid w:val="00DB1B2E"/>
    <w:rsid w:val="00DC018C"/>
    <w:rsid w:val="00DC0B4A"/>
    <w:rsid w:val="00DC5247"/>
    <w:rsid w:val="00DC5D65"/>
    <w:rsid w:val="00DD036D"/>
    <w:rsid w:val="00DD1114"/>
    <w:rsid w:val="00DD43D3"/>
    <w:rsid w:val="00DE131B"/>
    <w:rsid w:val="00DE1A35"/>
    <w:rsid w:val="00DE6FF5"/>
    <w:rsid w:val="00DF015C"/>
    <w:rsid w:val="00DF3A32"/>
    <w:rsid w:val="00DF5C8E"/>
    <w:rsid w:val="00E008F8"/>
    <w:rsid w:val="00E01703"/>
    <w:rsid w:val="00E03DCC"/>
    <w:rsid w:val="00E11241"/>
    <w:rsid w:val="00E13BD9"/>
    <w:rsid w:val="00E22B7F"/>
    <w:rsid w:val="00E253FE"/>
    <w:rsid w:val="00E30411"/>
    <w:rsid w:val="00E3520F"/>
    <w:rsid w:val="00E45328"/>
    <w:rsid w:val="00E45FE2"/>
    <w:rsid w:val="00E52496"/>
    <w:rsid w:val="00E561C2"/>
    <w:rsid w:val="00E604A4"/>
    <w:rsid w:val="00E62BE3"/>
    <w:rsid w:val="00E6749C"/>
    <w:rsid w:val="00E73963"/>
    <w:rsid w:val="00E948AD"/>
    <w:rsid w:val="00EA12C9"/>
    <w:rsid w:val="00EA39B7"/>
    <w:rsid w:val="00EA4BF3"/>
    <w:rsid w:val="00EA664B"/>
    <w:rsid w:val="00EB02A4"/>
    <w:rsid w:val="00EB2866"/>
    <w:rsid w:val="00EC0A55"/>
    <w:rsid w:val="00ED6F77"/>
    <w:rsid w:val="00EE3DD9"/>
    <w:rsid w:val="00EE6A38"/>
    <w:rsid w:val="00EE77E5"/>
    <w:rsid w:val="00F02F3A"/>
    <w:rsid w:val="00F05785"/>
    <w:rsid w:val="00F07491"/>
    <w:rsid w:val="00F16742"/>
    <w:rsid w:val="00F16BBD"/>
    <w:rsid w:val="00F22A8D"/>
    <w:rsid w:val="00F22B0B"/>
    <w:rsid w:val="00F24052"/>
    <w:rsid w:val="00F24D89"/>
    <w:rsid w:val="00F25919"/>
    <w:rsid w:val="00F32785"/>
    <w:rsid w:val="00F32891"/>
    <w:rsid w:val="00F35CDC"/>
    <w:rsid w:val="00F43876"/>
    <w:rsid w:val="00F529C2"/>
    <w:rsid w:val="00F608D2"/>
    <w:rsid w:val="00F6381D"/>
    <w:rsid w:val="00F638D3"/>
    <w:rsid w:val="00F63A18"/>
    <w:rsid w:val="00F74140"/>
    <w:rsid w:val="00F76B71"/>
    <w:rsid w:val="00F872C7"/>
    <w:rsid w:val="00F96716"/>
    <w:rsid w:val="00F97374"/>
    <w:rsid w:val="00FA3D90"/>
    <w:rsid w:val="00FA7205"/>
    <w:rsid w:val="00FB27D7"/>
    <w:rsid w:val="00FC3105"/>
    <w:rsid w:val="00FC5512"/>
    <w:rsid w:val="00FC7DE3"/>
    <w:rsid w:val="00FD01B8"/>
    <w:rsid w:val="00FD0CD7"/>
    <w:rsid w:val="00FD0D08"/>
    <w:rsid w:val="00FD1DE4"/>
    <w:rsid w:val="00FD2E80"/>
    <w:rsid w:val="00FD5E4A"/>
    <w:rsid w:val="00FE0FEE"/>
    <w:rsid w:val="00FE3436"/>
    <w:rsid w:val="00FF3578"/>
    <w:rsid w:val="00FF3BD4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69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7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D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8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customStyle="1" w:styleId="ui-provider">
    <w:name w:val="ui-provider"/>
    <w:basedOn w:val="DefaultParagraphFont"/>
    <w:rsid w:val="003E1DB9"/>
  </w:style>
  <w:style w:type="paragraph" w:customStyle="1" w:styleId="LDDescription">
    <w:name w:val="LD Description"/>
    <w:rsid w:val="00790F81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29DB"/>
  </w:style>
  <w:style w:type="paragraph" w:customStyle="1" w:styleId="default">
    <w:name w:val="default"/>
    <w:basedOn w:val="Normal"/>
    <w:rsid w:val="009E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07D9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LDItal">
    <w:name w:val="LDItal"/>
    <w:basedOn w:val="DefaultParagraphFont"/>
    <w:uiPriority w:val="1"/>
    <w:rsid w:val="00B65FE3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DE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tentelement-indentone">
    <w:name w:val="contentelement-indentone"/>
    <w:basedOn w:val="Normal"/>
    <w:rsid w:val="00AB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ntentelement-indenttwo">
    <w:name w:val="contentelement-indenttwo"/>
    <w:basedOn w:val="Normal"/>
    <w:rsid w:val="00AB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Sec1">
    <w:name w:val="LDSec(1)"/>
    <w:link w:val="LDSec1Char"/>
    <w:rsid w:val="00AD1DF4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AD1DF4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aliases w:val="a"/>
    <w:basedOn w:val="Normal"/>
    <w:rsid w:val="00AD1DF4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a">
    <w:name w:val="Table(a)"/>
    <w:aliases w:val="ta"/>
    <w:basedOn w:val="Normal"/>
    <w:rsid w:val="009908B4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Bullet">
    <w:name w:val="List Bullet"/>
    <w:basedOn w:val="Normal"/>
    <w:uiPriority w:val="99"/>
    <w:unhideWhenUsed/>
    <w:rsid w:val="00C96778"/>
    <w:pPr>
      <w:numPr>
        <w:numId w:val="2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1FD"/>
  </w:style>
  <w:style w:type="paragraph" w:styleId="Footer">
    <w:name w:val="footer"/>
    <w:basedOn w:val="Normal"/>
    <w:link w:val="FooterChar"/>
    <w:uiPriority w:val="99"/>
    <w:unhideWhenUsed/>
    <w:rsid w:val="001E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27EB-73D2-44C3-9D14-91FA3D79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2024-09-12T00:19:00Z</dcterms:created>
  <dcterms:modified xsi:type="dcterms:W3CDTF">2024-09-12T00:19:00Z</dcterms:modified>
</cp:coreProperties>
</file>