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F125" w14:textId="55E37B1D" w:rsidR="002B76C9" w:rsidRPr="009E567A" w:rsidRDefault="006925F5" w:rsidP="006774DB">
      <w:pPr>
        <w:jc w:val="center"/>
        <w:rPr>
          <w:rFonts w:ascii="Times New Roman" w:hAnsi="Times New Roman" w:cs="Times New Roman"/>
          <w:b/>
          <w:kern w:val="0"/>
          <w:sz w:val="28"/>
          <w:szCs w:val="28"/>
          <w14:ligatures w14:val="none"/>
        </w:rPr>
      </w:pPr>
      <w:r w:rsidRPr="009E567A">
        <w:rPr>
          <w:rFonts w:ascii="Times New Roman" w:hAnsi="Times New Roman" w:cs="Times New Roman"/>
          <w:b/>
          <w:kern w:val="0"/>
          <w:sz w:val="28"/>
          <w:szCs w:val="28"/>
          <w14:ligatures w14:val="none"/>
        </w:rPr>
        <w:t xml:space="preserve">EXPLANATORY STATEMENT </w:t>
      </w:r>
    </w:p>
    <w:p w14:paraId="1B6292B1" w14:textId="228E4E4D" w:rsidR="00B61696" w:rsidRDefault="00B61696" w:rsidP="006774DB">
      <w:pPr>
        <w:jc w:val="center"/>
        <w:rPr>
          <w:rFonts w:ascii="Times New Roman" w:hAnsi="Times New Roman" w:cs="Times New Roman"/>
          <w:sz w:val="24"/>
          <w:szCs w:val="24"/>
        </w:rPr>
      </w:pPr>
      <w:r>
        <w:rPr>
          <w:rFonts w:ascii="Times New Roman" w:hAnsi="Times New Roman" w:cs="Times New Roman"/>
          <w:sz w:val="24"/>
          <w:szCs w:val="24"/>
        </w:rPr>
        <w:t xml:space="preserve">Approved by the </w:t>
      </w:r>
      <w:r w:rsidRPr="009E567A">
        <w:rPr>
          <w:rFonts w:ascii="Times New Roman" w:hAnsi="Times New Roman" w:cs="Times New Roman"/>
          <w:kern w:val="0"/>
          <w14:ligatures w14:val="none"/>
        </w:rPr>
        <w:t>Australian</w:t>
      </w:r>
      <w:r>
        <w:rPr>
          <w:rFonts w:ascii="Times New Roman" w:hAnsi="Times New Roman" w:cs="Times New Roman"/>
          <w:sz w:val="24"/>
          <w:szCs w:val="24"/>
        </w:rPr>
        <w:t xml:space="preserve"> Communications and Media Authority </w:t>
      </w:r>
    </w:p>
    <w:p w14:paraId="3E12D292" w14:textId="03C7CB53" w:rsidR="00D37FC2" w:rsidRPr="009E567A" w:rsidRDefault="00D37FC2" w:rsidP="006774DB">
      <w:pPr>
        <w:jc w:val="center"/>
        <w:rPr>
          <w:rFonts w:ascii="Times New Roman" w:hAnsi="Times New Roman" w:cs="Times New Roman"/>
          <w:i/>
          <w:kern w:val="0"/>
          <w14:ligatures w14:val="none"/>
        </w:rPr>
      </w:pPr>
      <w:r w:rsidRPr="009E567A">
        <w:rPr>
          <w:rFonts w:ascii="Times New Roman" w:hAnsi="Times New Roman" w:cs="Times New Roman"/>
          <w:i/>
          <w:kern w:val="0"/>
          <w14:ligatures w14:val="none"/>
        </w:rPr>
        <w:t>Radiocommunications (Spectrum Licence Tax) Act 1997</w:t>
      </w:r>
    </w:p>
    <w:p w14:paraId="7F0D39BF" w14:textId="7D7EBD2E" w:rsidR="00245F9F" w:rsidRPr="00DF6472" w:rsidRDefault="00245F9F" w:rsidP="006774DB">
      <w:pPr>
        <w:jc w:val="center"/>
        <w:rPr>
          <w:rFonts w:ascii="Times New Roman" w:hAnsi="Times New Roman" w:cs="Times New Roman"/>
          <w:b/>
          <w:i/>
          <w:kern w:val="0"/>
          <w14:ligatures w14:val="none"/>
        </w:rPr>
      </w:pPr>
      <w:r w:rsidRPr="009E567A">
        <w:rPr>
          <w:rFonts w:ascii="Times New Roman" w:hAnsi="Times New Roman" w:cs="Times New Roman"/>
          <w:b/>
          <w:i/>
          <w:kern w:val="0"/>
          <w14:ligatures w14:val="none"/>
        </w:rPr>
        <w:t xml:space="preserve">Radiocommunications (Spectrum Licence Tax) Amendment Determination </w:t>
      </w:r>
      <w:r w:rsidR="00844148" w:rsidRPr="009E567A">
        <w:rPr>
          <w:rFonts w:ascii="Times New Roman" w:hAnsi="Times New Roman" w:cs="Times New Roman"/>
          <w:b/>
          <w:i/>
          <w:kern w:val="0"/>
          <w14:ligatures w14:val="none"/>
        </w:rPr>
        <w:t>2024 (No. 1)</w:t>
      </w:r>
    </w:p>
    <w:p w14:paraId="37C4C5CF" w14:textId="3EC9A5B5" w:rsidR="00DA51DC" w:rsidRPr="00DF6472" w:rsidRDefault="00DA51DC" w:rsidP="00DF6472">
      <w:pPr>
        <w:spacing w:before="280"/>
        <w:rPr>
          <w:rFonts w:ascii="Times New Roman" w:hAnsi="Times New Roman" w:cs="Times New Roman"/>
          <w:b/>
          <w:kern w:val="0"/>
          <w14:ligatures w14:val="none"/>
        </w:rPr>
      </w:pPr>
      <w:r w:rsidRPr="009E567A">
        <w:rPr>
          <w:rFonts w:ascii="Times New Roman" w:hAnsi="Times New Roman" w:cs="Times New Roman"/>
          <w:b/>
          <w:kern w:val="0"/>
          <w14:ligatures w14:val="none"/>
        </w:rPr>
        <w:t>Authority</w:t>
      </w:r>
    </w:p>
    <w:p w14:paraId="6F68766D" w14:textId="1DFC1291" w:rsidR="00FB22DD" w:rsidRPr="009E567A" w:rsidRDefault="00DF7B26" w:rsidP="009E567A">
      <w:pPr>
        <w:pStyle w:val="NormalWeb"/>
        <w:spacing w:before="0" w:beforeAutospacing="0" w:after="160" w:afterAutospacing="0"/>
        <w:rPr>
          <w:color w:val="000000"/>
          <w:sz w:val="22"/>
          <w:szCs w:val="22"/>
        </w:rPr>
      </w:pPr>
      <w:r w:rsidRPr="009E567A">
        <w:rPr>
          <w:color w:val="000000"/>
          <w:sz w:val="22"/>
          <w:szCs w:val="22"/>
        </w:rPr>
        <w:t>The Australian Communications and Media Authority (</w:t>
      </w:r>
      <w:r w:rsidRPr="00DF6472">
        <w:rPr>
          <w:color w:val="000000"/>
          <w:sz w:val="22"/>
          <w:szCs w:val="22"/>
        </w:rPr>
        <w:t xml:space="preserve">the </w:t>
      </w:r>
      <w:r w:rsidRPr="009E567A">
        <w:rPr>
          <w:b/>
          <w:bCs/>
          <w:color w:val="000000"/>
          <w:sz w:val="22"/>
          <w:szCs w:val="22"/>
        </w:rPr>
        <w:t>ACMA</w:t>
      </w:r>
      <w:r w:rsidRPr="009E567A">
        <w:rPr>
          <w:color w:val="000000"/>
          <w:sz w:val="22"/>
          <w:szCs w:val="22"/>
        </w:rPr>
        <w:t xml:space="preserve">) has made the </w:t>
      </w:r>
      <w:r w:rsidRPr="009E567A">
        <w:rPr>
          <w:i/>
          <w:iCs/>
          <w:color w:val="000000"/>
          <w:sz w:val="22"/>
          <w:szCs w:val="22"/>
        </w:rPr>
        <w:t>Radiocommunications (Spectrum Licence Tax) Amendment Determination 202</w:t>
      </w:r>
      <w:r w:rsidR="00581675" w:rsidRPr="009E567A">
        <w:rPr>
          <w:i/>
          <w:iCs/>
          <w:color w:val="000000"/>
          <w:sz w:val="22"/>
          <w:szCs w:val="22"/>
        </w:rPr>
        <w:t>4</w:t>
      </w:r>
      <w:r w:rsidRPr="009E567A">
        <w:rPr>
          <w:i/>
          <w:iCs/>
          <w:color w:val="000000"/>
          <w:sz w:val="22"/>
          <w:szCs w:val="22"/>
        </w:rPr>
        <w:t xml:space="preserve"> (No. 1)</w:t>
      </w:r>
      <w:r w:rsidRPr="009E567A">
        <w:rPr>
          <w:color w:val="000000"/>
          <w:sz w:val="22"/>
          <w:szCs w:val="22"/>
        </w:rPr>
        <w:t xml:space="preserve"> (</w:t>
      </w:r>
      <w:r w:rsidRPr="00DF6472">
        <w:rPr>
          <w:color w:val="000000"/>
          <w:sz w:val="22"/>
          <w:szCs w:val="22"/>
        </w:rPr>
        <w:t xml:space="preserve">the </w:t>
      </w:r>
      <w:r w:rsidRPr="009E567A">
        <w:rPr>
          <w:b/>
          <w:bCs/>
          <w:color w:val="000000"/>
          <w:sz w:val="22"/>
          <w:szCs w:val="22"/>
        </w:rPr>
        <w:t>Amendment Determination</w:t>
      </w:r>
      <w:r w:rsidRPr="009E567A">
        <w:rPr>
          <w:color w:val="000000"/>
          <w:sz w:val="22"/>
          <w:szCs w:val="22"/>
        </w:rPr>
        <w:t xml:space="preserve">) under subsection 7(1) of the </w:t>
      </w:r>
      <w:r w:rsidRPr="009E567A">
        <w:rPr>
          <w:i/>
          <w:iCs/>
          <w:color w:val="000000"/>
          <w:sz w:val="22"/>
          <w:szCs w:val="22"/>
        </w:rPr>
        <w:t>Radiocommunications (Spectrum Licence Tax) Act 1997</w:t>
      </w:r>
      <w:r w:rsidRPr="009E567A">
        <w:rPr>
          <w:color w:val="000000"/>
          <w:sz w:val="22"/>
          <w:szCs w:val="22"/>
        </w:rPr>
        <w:t xml:space="preserve"> (</w:t>
      </w:r>
      <w:r w:rsidRPr="00DF6472">
        <w:rPr>
          <w:color w:val="000000"/>
          <w:sz w:val="22"/>
          <w:szCs w:val="22"/>
        </w:rPr>
        <w:t xml:space="preserve">the </w:t>
      </w:r>
      <w:r w:rsidRPr="009E567A">
        <w:rPr>
          <w:b/>
          <w:bCs/>
          <w:color w:val="000000"/>
          <w:sz w:val="22"/>
          <w:szCs w:val="22"/>
        </w:rPr>
        <w:t>SLT Act</w:t>
      </w:r>
      <w:r w:rsidRPr="009E567A">
        <w:rPr>
          <w:color w:val="000000"/>
          <w:sz w:val="22"/>
          <w:szCs w:val="22"/>
        </w:rPr>
        <w:t xml:space="preserve">) and subsection 33(3) of the </w:t>
      </w:r>
      <w:r w:rsidRPr="009E567A">
        <w:rPr>
          <w:i/>
          <w:iCs/>
          <w:color w:val="000000"/>
          <w:sz w:val="22"/>
          <w:szCs w:val="22"/>
        </w:rPr>
        <w:t>Acts Interpretation Act 1901</w:t>
      </w:r>
      <w:r w:rsidRPr="009E567A">
        <w:rPr>
          <w:color w:val="000000"/>
          <w:sz w:val="22"/>
          <w:szCs w:val="22"/>
        </w:rPr>
        <w:t xml:space="preserve"> (</w:t>
      </w:r>
      <w:r w:rsidRPr="00DF6472">
        <w:rPr>
          <w:color w:val="000000"/>
          <w:sz w:val="22"/>
          <w:szCs w:val="22"/>
        </w:rPr>
        <w:t xml:space="preserve">the </w:t>
      </w:r>
      <w:r w:rsidRPr="009E567A">
        <w:rPr>
          <w:b/>
          <w:bCs/>
          <w:color w:val="000000"/>
          <w:sz w:val="22"/>
          <w:szCs w:val="22"/>
        </w:rPr>
        <w:t>AIA</w:t>
      </w:r>
      <w:r w:rsidRPr="009E567A">
        <w:rPr>
          <w:color w:val="000000"/>
          <w:sz w:val="22"/>
          <w:szCs w:val="22"/>
        </w:rPr>
        <w:t>).</w:t>
      </w:r>
    </w:p>
    <w:p w14:paraId="31DFC5B8" w14:textId="77777777" w:rsidR="00366907" w:rsidRPr="00DF6472" w:rsidRDefault="00DF7B26" w:rsidP="009E567A">
      <w:pPr>
        <w:pStyle w:val="NormalWeb"/>
        <w:spacing w:before="0" w:beforeAutospacing="0" w:after="160" w:afterAutospacing="0"/>
        <w:rPr>
          <w:color w:val="000000"/>
          <w:sz w:val="22"/>
          <w:szCs w:val="22"/>
        </w:rPr>
      </w:pPr>
      <w:r w:rsidRPr="009E567A">
        <w:rPr>
          <w:color w:val="000000"/>
          <w:sz w:val="22"/>
          <w:szCs w:val="22"/>
        </w:rPr>
        <w:t xml:space="preserve">Subsection 7(1) of the SLT Act provides that the amount of tax imposed in relation to a spectrum licence is the amount ascertained in accordance with a written determination made by the ACMA. </w:t>
      </w:r>
    </w:p>
    <w:p w14:paraId="44252C11" w14:textId="3F1CDDEA" w:rsidR="008A31F2" w:rsidRPr="00DF6472" w:rsidRDefault="00DF7B26" w:rsidP="009E567A">
      <w:pPr>
        <w:pStyle w:val="NormalWeb"/>
        <w:spacing w:before="0" w:beforeAutospacing="0" w:after="160" w:afterAutospacing="0"/>
        <w:rPr>
          <w:color w:val="000000"/>
          <w:sz w:val="22"/>
          <w:szCs w:val="22"/>
        </w:rPr>
      </w:pPr>
      <w:r w:rsidRPr="009E567A">
        <w:rPr>
          <w:color w:val="000000"/>
          <w:sz w:val="22"/>
          <w:szCs w:val="22"/>
        </w:rPr>
        <w:t>Subsection 33(3) of the AIA relevantly provides that when an Act confers a power to make an instrument, that power shall, unless the contrary intention appears, be construed as including a power exercisable in a like manner and subject to like conditions, to amend that instrument.</w:t>
      </w:r>
    </w:p>
    <w:p w14:paraId="1C144EAA" w14:textId="5C9B4A8B" w:rsidR="00934831" w:rsidRPr="009E567A" w:rsidRDefault="00825399" w:rsidP="009E567A">
      <w:pPr>
        <w:spacing w:before="280"/>
        <w:rPr>
          <w:rFonts w:ascii="Times New Roman" w:hAnsi="Times New Roman" w:cs="Times New Roman"/>
          <w:b/>
          <w:kern w:val="0"/>
          <w14:ligatures w14:val="none"/>
        </w:rPr>
      </w:pPr>
      <w:r w:rsidRPr="009E567A">
        <w:rPr>
          <w:rFonts w:ascii="Times New Roman" w:hAnsi="Times New Roman" w:cs="Times New Roman"/>
          <w:b/>
          <w:kern w:val="0"/>
          <w14:ligatures w14:val="none"/>
        </w:rPr>
        <w:t>Purpose and operation of the instrument</w:t>
      </w:r>
      <w:r w:rsidR="00DC54BF" w:rsidRPr="009E567A">
        <w:rPr>
          <w:rFonts w:ascii="Times New Roman" w:hAnsi="Times New Roman" w:cs="Times New Roman"/>
          <w:b/>
          <w:kern w:val="0"/>
          <w14:ligatures w14:val="none"/>
        </w:rPr>
        <w:t xml:space="preserve"> </w:t>
      </w:r>
    </w:p>
    <w:p w14:paraId="5AB8F1D5" w14:textId="37C4806A" w:rsidR="00830575" w:rsidRPr="009E567A" w:rsidRDefault="00010997" w:rsidP="009E567A">
      <w:pPr>
        <w:pStyle w:val="NormalWeb"/>
        <w:spacing w:before="0" w:beforeAutospacing="0" w:after="160" w:afterAutospacing="0"/>
        <w:rPr>
          <w:color w:val="000000"/>
          <w:sz w:val="22"/>
          <w:szCs w:val="22"/>
        </w:rPr>
      </w:pPr>
      <w:r w:rsidRPr="009E567A">
        <w:rPr>
          <w:color w:val="000000"/>
          <w:sz w:val="22"/>
          <w:szCs w:val="22"/>
        </w:rPr>
        <w:t xml:space="preserve">The Amendment Determination amends the </w:t>
      </w:r>
      <w:r w:rsidRPr="009E567A">
        <w:rPr>
          <w:i/>
          <w:iCs/>
          <w:color w:val="000000"/>
          <w:sz w:val="22"/>
          <w:szCs w:val="22"/>
        </w:rPr>
        <w:t xml:space="preserve">Radiocommunications </w:t>
      </w:r>
      <w:r w:rsidR="00945B5A" w:rsidRPr="009E567A">
        <w:rPr>
          <w:i/>
          <w:iCs/>
          <w:color w:val="000000"/>
          <w:sz w:val="22"/>
          <w:szCs w:val="22"/>
        </w:rPr>
        <w:t>(Spectrum Licence Tax) Determination 2021</w:t>
      </w:r>
      <w:r w:rsidR="00945B5A" w:rsidRPr="009E567A">
        <w:rPr>
          <w:color w:val="000000"/>
          <w:sz w:val="22"/>
          <w:szCs w:val="22"/>
        </w:rPr>
        <w:t xml:space="preserve"> (the </w:t>
      </w:r>
      <w:r w:rsidR="00945B5A" w:rsidRPr="009E567A">
        <w:rPr>
          <w:b/>
          <w:bCs/>
          <w:color w:val="000000"/>
          <w:sz w:val="22"/>
          <w:szCs w:val="22"/>
        </w:rPr>
        <w:t>Determination</w:t>
      </w:r>
      <w:r w:rsidR="00945B5A" w:rsidRPr="009E567A">
        <w:rPr>
          <w:color w:val="000000"/>
          <w:sz w:val="22"/>
          <w:szCs w:val="22"/>
        </w:rPr>
        <w:t>)</w:t>
      </w:r>
      <w:r w:rsidR="00FC357D" w:rsidRPr="009E567A">
        <w:rPr>
          <w:color w:val="000000"/>
          <w:sz w:val="22"/>
          <w:szCs w:val="22"/>
        </w:rPr>
        <w:t xml:space="preserve">. The Determination determines the amount of tax imposed </w:t>
      </w:r>
      <w:r w:rsidR="00B61696" w:rsidRPr="009E567A">
        <w:rPr>
          <w:color w:val="000000"/>
          <w:sz w:val="22"/>
          <w:szCs w:val="22"/>
        </w:rPr>
        <w:t xml:space="preserve">by the SLT Act </w:t>
      </w:r>
      <w:r w:rsidR="00D21226" w:rsidRPr="009E567A">
        <w:rPr>
          <w:color w:val="000000"/>
          <w:sz w:val="22"/>
          <w:szCs w:val="22"/>
        </w:rPr>
        <w:t xml:space="preserve">on the initial holding date for a spectrum licence, and on each anniversary </w:t>
      </w:r>
      <w:r w:rsidR="00ED6DF8" w:rsidRPr="009E567A">
        <w:rPr>
          <w:color w:val="000000"/>
          <w:sz w:val="22"/>
          <w:szCs w:val="22"/>
        </w:rPr>
        <w:t>of that date. The Determination determines different rates of tax in relation to different classes of spectrum l</w:t>
      </w:r>
      <w:r w:rsidR="00374575" w:rsidRPr="009E567A">
        <w:rPr>
          <w:color w:val="000000"/>
          <w:sz w:val="22"/>
          <w:szCs w:val="22"/>
        </w:rPr>
        <w:t xml:space="preserve">icence, based on the frequency range of the licence and the population </w:t>
      </w:r>
      <w:r w:rsidR="0011239D" w:rsidRPr="009E567A">
        <w:rPr>
          <w:color w:val="000000"/>
          <w:sz w:val="22"/>
          <w:szCs w:val="22"/>
        </w:rPr>
        <w:t xml:space="preserve">coverage of the licence relative to the </w:t>
      </w:r>
      <w:r w:rsidR="00DB2794" w:rsidRPr="009E567A">
        <w:rPr>
          <w:color w:val="000000"/>
          <w:sz w:val="22"/>
          <w:szCs w:val="22"/>
        </w:rPr>
        <w:t xml:space="preserve">Australian </w:t>
      </w:r>
      <w:r w:rsidR="004D49E8" w:rsidRPr="009E567A">
        <w:rPr>
          <w:color w:val="000000"/>
          <w:sz w:val="22"/>
          <w:szCs w:val="22"/>
        </w:rPr>
        <w:t xml:space="preserve">population. </w:t>
      </w:r>
      <w:r w:rsidR="00F64CA6" w:rsidRPr="009E567A">
        <w:rPr>
          <w:color w:val="000000"/>
          <w:sz w:val="22"/>
          <w:szCs w:val="22"/>
        </w:rPr>
        <w:t xml:space="preserve">The Determination </w:t>
      </w:r>
      <w:r w:rsidR="00B5154E" w:rsidRPr="009E567A">
        <w:rPr>
          <w:color w:val="000000"/>
          <w:sz w:val="22"/>
          <w:szCs w:val="22"/>
        </w:rPr>
        <w:t xml:space="preserve">determines spectrum licence tax by setting </w:t>
      </w:r>
      <w:r w:rsidR="00A87BCD" w:rsidRPr="009E567A">
        <w:rPr>
          <w:color w:val="000000"/>
          <w:sz w:val="22"/>
          <w:szCs w:val="22"/>
        </w:rPr>
        <w:t xml:space="preserve">two </w:t>
      </w:r>
      <w:r w:rsidR="004F028A" w:rsidRPr="009E567A">
        <w:rPr>
          <w:color w:val="000000"/>
          <w:sz w:val="22"/>
          <w:szCs w:val="22"/>
        </w:rPr>
        <w:t>c</w:t>
      </w:r>
      <w:r w:rsidR="00C95C73" w:rsidRPr="009E567A">
        <w:rPr>
          <w:color w:val="000000"/>
          <w:sz w:val="22"/>
          <w:szCs w:val="22"/>
        </w:rPr>
        <w:t>omponent</w:t>
      </w:r>
      <w:r w:rsidR="00A87BCD" w:rsidRPr="009E567A">
        <w:rPr>
          <w:color w:val="000000"/>
          <w:sz w:val="22"/>
          <w:szCs w:val="22"/>
        </w:rPr>
        <w:t xml:space="preserve">s: the </w:t>
      </w:r>
      <w:r w:rsidR="00C95C73" w:rsidRPr="009E567A">
        <w:rPr>
          <w:color w:val="000000"/>
          <w:sz w:val="22"/>
          <w:szCs w:val="22"/>
        </w:rPr>
        <w:t>Main Component</w:t>
      </w:r>
      <w:r w:rsidR="00A87BCD" w:rsidRPr="009E567A">
        <w:rPr>
          <w:color w:val="000000"/>
          <w:sz w:val="22"/>
          <w:szCs w:val="22"/>
        </w:rPr>
        <w:t xml:space="preserve">, payable in relation </w:t>
      </w:r>
      <w:r w:rsidR="0032659D" w:rsidRPr="009E567A">
        <w:rPr>
          <w:color w:val="000000"/>
          <w:sz w:val="22"/>
          <w:szCs w:val="22"/>
        </w:rPr>
        <w:t>to all spectrum licences</w:t>
      </w:r>
      <w:r w:rsidR="000A5F41" w:rsidRPr="009E567A">
        <w:rPr>
          <w:color w:val="000000"/>
          <w:sz w:val="22"/>
          <w:szCs w:val="22"/>
        </w:rPr>
        <w:t xml:space="preserve">, </w:t>
      </w:r>
      <w:r w:rsidR="0058272D" w:rsidRPr="009E567A">
        <w:rPr>
          <w:color w:val="000000"/>
          <w:sz w:val="22"/>
          <w:szCs w:val="22"/>
        </w:rPr>
        <w:t xml:space="preserve">and the </w:t>
      </w:r>
      <w:r w:rsidR="00C95C73" w:rsidRPr="009E567A">
        <w:rPr>
          <w:color w:val="000000"/>
          <w:sz w:val="22"/>
          <w:szCs w:val="22"/>
        </w:rPr>
        <w:t>E</w:t>
      </w:r>
      <w:r w:rsidR="0058272D" w:rsidRPr="009E567A">
        <w:rPr>
          <w:color w:val="000000"/>
          <w:sz w:val="22"/>
          <w:szCs w:val="22"/>
        </w:rPr>
        <w:t xml:space="preserve">lectromagnetic </w:t>
      </w:r>
      <w:r w:rsidR="00C95C73" w:rsidRPr="009E567A">
        <w:rPr>
          <w:color w:val="000000"/>
          <w:sz w:val="22"/>
          <w:szCs w:val="22"/>
        </w:rPr>
        <w:t>E</w:t>
      </w:r>
      <w:r w:rsidR="0058272D" w:rsidRPr="009E567A">
        <w:rPr>
          <w:color w:val="000000"/>
          <w:sz w:val="22"/>
          <w:szCs w:val="22"/>
        </w:rPr>
        <w:t xml:space="preserve">nergy </w:t>
      </w:r>
      <w:r w:rsidR="00C95C73" w:rsidRPr="009E567A">
        <w:rPr>
          <w:color w:val="000000"/>
          <w:sz w:val="22"/>
          <w:szCs w:val="22"/>
        </w:rPr>
        <w:t>Component</w:t>
      </w:r>
      <w:r w:rsidR="0058272D" w:rsidRPr="009E567A">
        <w:rPr>
          <w:color w:val="000000"/>
          <w:sz w:val="22"/>
          <w:szCs w:val="22"/>
        </w:rPr>
        <w:t xml:space="preserve"> </w:t>
      </w:r>
      <w:r w:rsidR="00A0203E" w:rsidRPr="009E567A">
        <w:rPr>
          <w:color w:val="000000"/>
          <w:sz w:val="22"/>
          <w:szCs w:val="22"/>
        </w:rPr>
        <w:t xml:space="preserve">(the </w:t>
      </w:r>
      <w:r w:rsidR="00A0203E" w:rsidRPr="009E567A">
        <w:rPr>
          <w:b/>
          <w:bCs/>
          <w:color w:val="000000"/>
          <w:sz w:val="22"/>
          <w:szCs w:val="22"/>
        </w:rPr>
        <w:t xml:space="preserve">EME </w:t>
      </w:r>
      <w:r w:rsidR="00C95C73" w:rsidRPr="009E567A">
        <w:rPr>
          <w:b/>
          <w:bCs/>
          <w:color w:val="000000"/>
          <w:sz w:val="22"/>
          <w:szCs w:val="22"/>
        </w:rPr>
        <w:t>Component</w:t>
      </w:r>
      <w:r w:rsidR="00A0203E" w:rsidRPr="009E567A">
        <w:rPr>
          <w:color w:val="000000"/>
          <w:sz w:val="22"/>
          <w:szCs w:val="22"/>
        </w:rPr>
        <w:t>), payable only in relation to some spectrum licences</w:t>
      </w:r>
      <w:r w:rsidR="00025FAA" w:rsidRPr="009E567A">
        <w:rPr>
          <w:color w:val="000000"/>
          <w:sz w:val="22"/>
          <w:szCs w:val="22"/>
        </w:rPr>
        <w:t>.</w:t>
      </w:r>
    </w:p>
    <w:p w14:paraId="556977D6" w14:textId="68555D4E" w:rsidR="00025FAA" w:rsidRPr="009E567A" w:rsidRDefault="00025FAA" w:rsidP="009E567A">
      <w:pPr>
        <w:pStyle w:val="NormalWeb"/>
        <w:spacing w:before="0" w:beforeAutospacing="0" w:after="160" w:afterAutospacing="0"/>
        <w:rPr>
          <w:color w:val="000000"/>
          <w:sz w:val="22"/>
          <w:szCs w:val="22"/>
        </w:rPr>
      </w:pPr>
      <w:r w:rsidRPr="009E567A">
        <w:rPr>
          <w:color w:val="000000"/>
          <w:sz w:val="22"/>
          <w:szCs w:val="22"/>
        </w:rPr>
        <w:t xml:space="preserve">According to the explanatory memorandum to the Radiocommunications </w:t>
      </w:r>
      <w:r w:rsidR="00FC7659" w:rsidRPr="009E567A">
        <w:rPr>
          <w:color w:val="000000"/>
          <w:sz w:val="22"/>
          <w:szCs w:val="22"/>
        </w:rPr>
        <w:t>(Spectrum Licence Tax) Bill 1997</w:t>
      </w:r>
      <w:r w:rsidR="00E52286" w:rsidRPr="009E567A">
        <w:rPr>
          <w:color w:val="000000"/>
          <w:sz w:val="22"/>
          <w:szCs w:val="22"/>
        </w:rPr>
        <w:t xml:space="preserve"> </w:t>
      </w:r>
      <w:r w:rsidR="00691387" w:rsidRPr="009E567A">
        <w:rPr>
          <w:color w:val="000000"/>
          <w:sz w:val="22"/>
          <w:szCs w:val="22"/>
        </w:rPr>
        <w:t>(</w:t>
      </w:r>
      <w:r w:rsidR="00691387" w:rsidRPr="00DF6472">
        <w:rPr>
          <w:color w:val="000000"/>
          <w:sz w:val="22"/>
          <w:szCs w:val="22"/>
        </w:rPr>
        <w:t xml:space="preserve">the </w:t>
      </w:r>
      <w:r w:rsidR="00691387" w:rsidRPr="00DF6472">
        <w:rPr>
          <w:b/>
          <w:bCs/>
          <w:color w:val="000000"/>
          <w:sz w:val="22"/>
          <w:szCs w:val="22"/>
        </w:rPr>
        <w:t>memorandum</w:t>
      </w:r>
      <w:r w:rsidR="00691387" w:rsidRPr="009E567A">
        <w:rPr>
          <w:color w:val="000000"/>
          <w:sz w:val="22"/>
          <w:szCs w:val="22"/>
        </w:rPr>
        <w:t>)</w:t>
      </w:r>
      <w:r w:rsidR="00FC7659" w:rsidRPr="009E567A">
        <w:rPr>
          <w:color w:val="000000"/>
          <w:sz w:val="22"/>
          <w:szCs w:val="22"/>
        </w:rPr>
        <w:t xml:space="preserve">, </w:t>
      </w:r>
      <w:r w:rsidR="00AA63CB" w:rsidRPr="009E567A">
        <w:rPr>
          <w:color w:val="000000"/>
          <w:sz w:val="22"/>
          <w:szCs w:val="22"/>
        </w:rPr>
        <w:t xml:space="preserve">it is appropriate to allow the assessment of the cost of spectrum management, and resultant </w:t>
      </w:r>
      <w:r w:rsidR="00CD0424" w:rsidRPr="009E567A">
        <w:rPr>
          <w:color w:val="000000"/>
          <w:sz w:val="22"/>
          <w:szCs w:val="22"/>
        </w:rPr>
        <w:t xml:space="preserve">spectrum licence taxes, to be determined by the </w:t>
      </w:r>
      <w:r w:rsidR="00FE33AD" w:rsidRPr="009E567A">
        <w:rPr>
          <w:color w:val="000000"/>
          <w:sz w:val="22"/>
          <w:szCs w:val="22"/>
        </w:rPr>
        <w:t xml:space="preserve">relevant </w:t>
      </w:r>
      <w:r w:rsidR="00CD0424" w:rsidRPr="009E567A">
        <w:rPr>
          <w:color w:val="000000"/>
          <w:sz w:val="22"/>
          <w:szCs w:val="22"/>
        </w:rPr>
        <w:t>regulatory authority</w:t>
      </w:r>
      <w:r w:rsidR="00FE33AD" w:rsidRPr="009E567A">
        <w:rPr>
          <w:color w:val="000000"/>
          <w:sz w:val="22"/>
          <w:szCs w:val="22"/>
        </w:rPr>
        <w:t>.</w:t>
      </w:r>
      <w:r w:rsidR="00CD0424" w:rsidRPr="009E567A">
        <w:rPr>
          <w:color w:val="000000"/>
          <w:sz w:val="22"/>
          <w:szCs w:val="22"/>
        </w:rPr>
        <w:t xml:space="preserve"> </w:t>
      </w:r>
      <w:r w:rsidR="00DB0F03" w:rsidRPr="009E567A">
        <w:rPr>
          <w:color w:val="000000"/>
          <w:sz w:val="22"/>
          <w:szCs w:val="22"/>
        </w:rPr>
        <w:t xml:space="preserve">This authority would have </w:t>
      </w:r>
      <w:r w:rsidR="00CD0424" w:rsidRPr="009E567A">
        <w:rPr>
          <w:color w:val="000000"/>
          <w:sz w:val="22"/>
          <w:szCs w:val="22"/>
        </w:rPr>
        <w:t xml:space="preserve">close knowledge of the </w:t>
      </w:r>
      <w:r w:rsidR="001C5461" w:rsidRPr="009E567A">
        <w:rPr>
          <w:color w:val="000000"/>
          <w:sz w:val="22"/>
          <w:szCs w:val="22"/>
        </w:rPr>
        <w:t>radiocommunications industry</w:t>
      </w:r>
      <w:r w:rsidR="00377658" w:rsidRPr="009E567A">
        <w:rPr>
          <w:color w:val="000000"/>
          <w:sz w:val="22"/>
          <w:szCs w:val="22"/>
        </w:rPr>
        <w:t xml:space="preserve">, the </w:t>
      </w:r>
      <w:r w:rsidR="006078CF" w:rsidRPr="009E567A">
        <w:rPr>
          <w:color w:val="000000"/>
          <w:sz w:val="22"/>
          <w:szCs w:val="22"/>
        </w:rPr>
        <w:t>responsibility</w:t>
      </w:r>
      <w:r w:rsidR="00377658" w:rsidRPr="009E567A">
        <w:rPr>
          <w:color w:val="000000"/>
          <w:sz w:val="22"/>
          <w:szCs w:val="22"/>
        </w:rPr>
        <w:t xml:space="preserve"> for managing spectrum </w:t>
      </w:r>
      <w:r w:rsidR="006078CF" w:rsidRPr="009E567A">
        <w:rPr>
          <w:color w:val="000000"/>
          <w:sz w:val="22"/>
          <w:szCs w:val="22"/>
        </w:rPr>
        <w:t xml:space="preserve">and the responsibility </w:t>
      </w:r>
      <w:r w:rsidR="007641E2" w:rsidRPr="009E567A">
        <w:rPr>
          <w:color w:val="000000"/>
          <w:sz w:val="22"/>
          <w:szCs w:val="22"/>
        </w:rPr>
        <w:t xml:space="preserve">for </w:t>
      </w:r>
      <w:r w:rsidR="006078CF" w:rsidRPr="009E567A">
        <w:rPr>
          <w:color w:val="000000"/>
          <w:sz w:val="22"/>
          <w:szCs w:val="22"/>
        </w:rPr>
        <w:t>allocating radiocommunications licences. T</w:t>
      </w:r>
      <w:r w:rsidR="00691387" w:rsidRPr="009E567A">
        <w:rPr>
          <w:color w:val="000000"/>
          <w:sz w:val="22"/>
          <w:szCs w:val="22"/>
        </w:rPr>
        <w:t xml:space="preserve">he </w:t>
      </w:r>
      <w:r w:rsidR="006078CF" w:rsidRPr="009E567A">
        <w:rPr>
          <w:color w:val="000000"/>
          <w:sz w:val="22"/>
          <w:szCs w:val="22"/>
        </w:rPr>
        <w:t xml:space="preserve">memorandum </w:t>
      </w:r>
      <w:r w:rsidR="00E3586C" w:rsidRPr="009E567A">
        <w:rPr>
          <w:color w:val="000000"/>
          <w:sz w:val="22"/>
          <w:szCs w:val="22"/>
        </w:rPr>
        <w:t xml:space="preserve">also </w:t>
      </w:r>
      <w:r w:rsidR="00183EF2">
        <w:rPr>
          <w:color w:val="000000"/>
          <w:sz w:val="22"/>
          <w:szCs w:val="22"/>
        </w:rPr>
        <w:t>states</w:t>
      </w:r>
      <w:r w:rsidR="00E3586C" w:rsidRPr="009E567A">
        <w:rPr>
          <w:color w:val="000000"/>
          <w:sz w:val="22"/>
          <w:szCs w:val="22"/>
        </w:rPr>
        <w:t xml:space="preserve"> that it </w:t>
      </w:r>
      <w:r w:rsidR="00183EF2">
        <w:rPr>
          <w:color w:val="000000"/>
          <w:sz w:val="22"/>
          <w:szCs w:val="22"/>
        </w:rPr>
        <w:t>is</w:t>
      </w:r>
      <w:r w:rsidR="00E3586C" w:rsidRPr="009E567A">
        <w:rPr>
          <w:color w:val="000000"/>
          <w:sz w:val="22"/>
          <w:szCs w:val="22"/>
        </w:rPr>
        <w:t xml:space="preserve"> inappropriate to impose a limit on the amount </w:t>
      </w:r>
      <w:r w:rsidR="00507CAC" w:rsidRPr="009E567A">
        <w:rPr>
          <w:color w:val="000000"/>
          <w:sz w:val="22"/>
          <w:szCs w:val="22"/>
        </w:rPr>
        <w:t xml:space="preserve">of the spectrum licence tax determined, because of the nature of spectrum licensing </w:t>
      </w:r>
      <w:r w:rsidR="00D92EBA" w:rsidRPr="009E567A">
        <w:rPr>
          <w:color w:val="000000"/>
          <w:sz w:val="22"/>
          <w:szCs w:val="22"/>
        </w:rPr>
        <w:t xml:space="preserve">and the possibility of a single licensee holding a large proportion of the spectrum </w:t>
      </w:r>
      <w:proofErr w:type="gramStart"/>
      <w:r w:rsidR="00D92EBA" w:rsidRPr="009E567A">
        <w:rPr>
          <w:color w:val="000000"/>
          <w:sz w:val="22"/>
          <w:szCs w:val="22"/>
        </w:rPr>
        <w:t>in a given</w:t>
      </w:r>
      <w:proofErr w:type="gramEnd"/>
      <w:r w:rsidR="00D92EBA" w:rsidRPr="009E567A">
        <w:rPr>
          <w:color w:val="000000"/>
          <w:sz w:val="22"/>
          <w:szCs w:val="22"/>
        </w:rPr>
        <w:t xml:space="preserve"> band, and therefore </w:t>
      </w:r>
      <w:r w:rsidR="00AF101D" w:rsidRPr="009E567A">
        <w:rPr>
          <w:color w:val="000000"/>
          <w:sz w:val="22"/>
          <w:szCs w:val="22"/>
        </w:rPr>
        <w:t xml:space="preserve">paying </w:t>
      </w:r>
      <w:r w:rsidR="007641E2" w:rsidRPr="009E567A">
        <w:rPr>
          <w:color w:val="000000"/>
          <w:sz w:val="22"/>
          <w:szCs w:val="22"/>
        </w:rPr>
        <w:t xml:space="preserve">a </w:t>
      </w:r>
      <w:r w:rsidR="00AF101D" w:rsidRPr="009E567A">
        <w:rPr>
          <w:color w:val="000000"/>
          <w:sz w:val="22"/>
          <w:szCs w:val="22"/>
        </w:rPr>
        <w:t xml:space="preserve">proportionally larger amount than other licensees. </w:t>
      </w:r>
    </w:p>
    <w:p w14:paraId="487B9B0E" w14:textId="2DE9648F" w:rsidR="00456A6C" w:rsidRPr="009E567A" w:rsidRDefault="00456A6C" w:rsidP="009E567A">
      <w:pPr>
        <w:pStyle w:val="NormalWeb"/>
        <w:spacing w:before="0" w:beforeAutospacing="0" w:after="160" w:afterAutospacing="0"/>
        <w:rPr>
          <w:color w:val="000000"/>
          <w:sz w:val="22"/>
          <w:szCs w:val="22"/>
        </w:rPr>
      </w:pPr>
      <w:r w:rsidRPr="009E567A">
        <w:rPr>
          <w:color w:val="000000"/>
          <w:sz w:val="22"/>
          <w:szCs w:val="22"/>
        </w:rPr>
        <w:t>Th</w:t>
      </w:r>
      <w:r w:rsidR="00691387" w:rsidRPr="009E567A">
        <w:rPr>
          <w:color w:val="000000"/>
          <w:sz w:val="22"/>
          <w:szCs w:val="22"/>
        </w:rPr>
        <w:t>e</w:t>
      </w:r>
      <w:r w:rsidRPr="009E567A">
        <w:rPr>
          <w:color w:val="000000"/>
          <w:sz w:val="22"/>
          <w:szCs w:val="22"/>
        </w:rPr>
        <w:t xml:space="preserve"> </w:t>
      </w:r>
      <w:r w:rsidR="00F75127" w:rsidRPr="009E567A">
        <w:rPr>
          <w:color w:val="000000"/>
          <w:sz w:val="22"/>
          <w:szCs w:val="22"/>
        </w:rPr>
        <w:t>memorandum also state</w:t>
      </w:r>
      <w:r w:rsidR="00183EF2">
        <w:rPr>
          <w:color w:val="000000"/>
          <w:sz w:val="22"/>
          <w:szCs w:val="22"/>
        </w:rPr>
        <w:t>s</w:t>
      </w:r>
      <w:r w:rsidR="00F75127" w:rsidRPr="009E567A">
        <w:rPr>
          <w:color w:val="000000"/>
          <w:sz w:val="22"/>
          <w:szCs w:val="22"/>
        </w:rPr>
        <w:t xml:space="preserve"> that, given this power is legislative in nature, it is appropriate</w:t>
      </w:r>
      <w:r w:rsidR="00FA56D4" w:rsidRPr="009E567A">
        <w:rPr>
          <w:color w:val="000000"/>
          <w:sz w:val="22"/>
          <w:szCs w:val="22"/>
        </w:rPr>
        <w:t xml:space="preserve"> that Parliament be </w:t>
      </w:r>
      <w:r w:rsidR="00CC7F3B" w:rsidRPr="009E567A">
        <w:rPr>
          <w:color w:val="000000"/>
          <w:sz w:val="22"/>
          <w:szCs w:val="22"/>
        </w:rPr>
        <w:t xml:space="preserve">able to disallow an exercise of the power, and that, in accordance with what ultimately </w:t>
      </w:r>
      <w:r w:rsidR="004B4372" w:rsidRPr="009E567A">
        <w:rPr>
          <w:color w:val="000000"/>
          <w:sz w:val="22"/>
          <w:szCs w:val="22"/>
        </w:rPr>
        <w:t xml:space="preserve">became the </w:t>
      </w:r>
      <w:r w:rsidR="004B4372" w:rsidRPr="009E567A">
        <w:rPr>
          <w:i/>
          <w:iCs/>
          <w:color w:val="000000"/>
          <w:sz w:val="22"/>
          <w:szCs w:val="22"/>
        </w:rPr>
        <w:t>Legislation Act 2003</w:t>
      </w:r>
      <w:r w:rsidR="004B4372" w:rsidRPr="009E567A">
        <w:rPr>
          <w:color w:val="000000"/>
          <w:sz w:val="22"/>
          <w:szCs w:val="22"/>
        </w:rPr>
        <w:t xml:space="preserve"> (</w:t>
      </w:r>
      <w:r w:rsidR="004B4372" w:rsidRPr="009E567A">
        <w:rPr>
          <w:b/>
          <w:bCs/>
          <w:color w:val="000000"/>
          <w:sz w:val="22"/>
          <w:szCs w:val="22"/>
        </w:rPr>
        <w:t>LA</w:t>
      </w:r>
      <w:r w:rsidR="004B4372" w:rsidRPr="009E567A">
        <w:rPr>
          <w:color w:val="000000"/>
          <w:sz w:val="22"/>
          <w:szCs w:val="22"/>
        </w:rPr>
        <w:t xml:space="preserve">), there would be </w:t>
      </w:r>
      <w:r w:rsidR="008A37FD" w:rsidRPr="009E567A">
        <w:rPr>
          <w:color w:val="000000"/>
          <w:sz w:val="22"/>
          <w:szCs w:val="22"/>
        </w:rPr>
        <w:t>an</w:t>
      </w:r>
      <w:r w:rsidR="004B4372" w:rsidRPr="009E567A">
        <w:rPr>
          <w:color w:val="000000"/>
          <w:sz w:val="22"/>
          <w:szCs w:val="22"/>
        </w:rPr>
        <w:t xml:space="preserve"> obligation </w:t>
      </w:r>
      <w:r w:rsidR="00F01B33" w:rsidRPr="009E567A">
        <w:rPr>
          <w:color w:val="000000"/>
          <w:sz w:val="22"/>
          <w:szCs w:val="22"/>
        </w:rPr>
        <w:t>in relation to consultation before making</w:t>
      </w:r>
      <w:r w:rsidR="00E54E0E" w:rsidRPr="009E567A">
        <w:rPr>
          <w:color w:val="000000"/>
          <w:sz w:val="22"/>
          <w:szCs w:val="22"/>
        </w:rPr>
        <w:t xml:space="preserve"> or varying any instrument under this power. </w:t>
      </w:r>
    </w:p>
    <w:p w14:paraId="63F7D5DD" w14:textId="5D913466" w:rsidR="0098660A" w:rsidRPr="009E567A" w:rsidRDefault="00D62119" w:rsidP="00934831">
      <w:pPr>
        <w:rPr>
          <w:rFonts w:ascii="Times New Roman" w:hAnsi="Times New Roman" w:cs="Times New Roman"/>
          <w:i/>
          <w:iCs/>
        </w:rPr>
      </w:pPr>
      <w:r w:rsidRPr="009E567A">
        <w:rPr>
          <w:rFonts w:ascii="Times New Roman" w:hAnsi="Times New Roman" w:cs="Times New Roman"/>
          <w:i/>
          <w:iCs/>
        </w:rPr>
        <w:t xml:space="preserve">Amount of tax to offset electromagnetic energy </w:t>
      </w:r>
      <w:proofErr w:type="gramStart"/>
      <w:r w:rsidRPr="009E567A">
        <w:rPr>
          <w:rFonts w:ascii="Times New Roman" w:hAnsi="Times New Roman" w:cs="Times New Roman"/>
          <w:i/>
          <w:iCs/>
        </w:rPr>
        <w:t>program</w:t>
      </w:r>
      <w:proofErr w:type="gramEnd"/>
      <w:r w:rsidRPr="009E567A">
        <w:rPr>
          <w:rFonts w:ascii="Times New Roman" w:hAnsi="Times New Roman" w:cs="Times New Roman"/>
          <w:i/>
          <w:iCs/>
        </w:rPr>
        <w:t xml:space="preserve"> </w:t>
      </w:r>
    </w:p>
    <w:p w14:paraId="1763762B" w14:textId="331357D1" w:rsidR="00D62119" w:rsidRPr="009E567A" w:rsidRDefault="005005BB" w:rsidP="009E567A">
      <w:pPr>
        <w:pStyle w:val="NormalWeb"/>
        <w:spacing w:before="0" w:beforeAutospacing="0" w:after="160" w:afterAutospacing="0"/>
        <w:rPr>
          <w:color w:val="000000"/>
          <w:sz w:val="22"/>
          <w:szCs w:val="22"/>
        </w:rPr>
      </w:pPr>
      <w:r w:rsidRPr="009E567A">
        <w:rPr>
          <w:color w:val="000000"/>
          <w:sz w:val="22"/>
          <w:szCs w:val="22"/>
        </w:rPr>
        <w:t xml:space="preserve">The Determination sets, as a part of spectrum licence tax payable by some licensees, the EME </w:t>
      </w:r>
      <w:r w:rsidR="00C95C73" w:rsidRPr="009E567A">
        <w:rPr>
          <w:color w:val="000000"/>
          <w:sz w:val="22"/>
          <w:szCs w:val="22"/>
        </w:rPr>
        <w:t>Component</w:t>
      </w:r>
      <w:r w:rsidRPr="009E567A">
        <w:rPr>
          <w:color w:val="000000"/>
          <w:sz w:val="22"/>
          <w:szCs w:val="22"/>
        </w:rPr>
        <w:t>, as required by the</w:t>
      </w:r>
      <w:r w:rsidR="00D0482B" w:rsidRPr="009E567A">
        <w:rPr>
          <w:color w:val="000000"/>
          <w:sz w:val="22"/>
          <w:szCs w:val="22"/>
        </w:rPr>
        <w:t xml:space="preserve"> </w:t>
      </w:r>
      <w:r w:rsidR="00D0482B" w:rsidRPr="009E567A">
        <w:rPr>
          <w:i/>
          <w:iCs/>
          <w:color w:val="000000"/>
          <w:sz w:val="22"/>
          <w:szCs w:val="22"/>
        </w:rPr>
        <w:t>Australian Communications and Media Authority (Modifications to Apparatus and Spectrum Licence</w:t>
      </w:r>
      <w:r w:rsidR="00D86F8B" w:rsidRPr="009E567A">
        <w:rPr>
          <w:i/>
          <w:iCs/>
          <w:color w:val="000000"/>
          <w:sz w:val="22"/>
          <w:szCs w:val="22"/>
        </w:rPr>
        <w:t>s Tax</w:t>
      </w:r>
      <w:r w:rsidR="004121FC" w:rsidRPr="009E567A">
        <w:rPr>
          <w:i/>
          <w:iCs/>
          <w:color w:val="000000"/>
          <w:sz w:val="22"/>
          <w:szCs w:val="22"/>
        </w:rPr>
        <w:t>es</w:t>
      </w:r>
      <w:r w:rsidR="00D86F8B" w:rsidRPr="009E567A">
        <w:rPr>
          <w:i/>
          <w:iCs/>
          <w:color w:val="000000"/>
          <w:sz w:val="22"/>
          <w:szCs w:val="22"/>
        </w:rPr>
        <w:t>) Direction 2020</w:t>
      </w:r>
      <w:r w:rsidR="00D86F8B" w:rsidRPr="009E567A">
        <w:rPr>
          <w:color w:val="000000"/>
          <w:sz w:val="22"/>
          <w:szCs w:val="22"/>
        </w:rPr>
        <w:t xml:space="preserve"> </w:t>
      </w:r>
      <w:r w:rsidR="00D53681" w:rsidRPr="009E567A">
        <w:rPr>
          <w:color w:val="000000"/>
          <w:sz w:val="22"/>
          <w:szCs w:val="22"/>
        </w:rPr>
        <w:t xml:space="preserve">(the </w:t>
      </w:r>
      <w:r w:rsidR="00D53681" w:rsidRPr="009E567A">
        <w:rPr>
          <w:b/>
          <w:bCs/>
          <w:color w:val="000000"/>
          <w:sz w:val="22"/>
          <w:szCs w:val="22"/>
        </w:rPr>
        <w:t>Direction</w:t>
      </w:r>
      <w:r w:rsidR="00D53681" w:rsidRPr="009E567A">
        <w:rPr>
          <w:color w:val="000000"/>
          <w:sz w:val="22"/>
          <w:szCs w:val="22"/>
        </w:rPr>
        <w:t>)</w:t>
      </w:r>
      <w:r w:rsidR="006057A9" w:rsidRPr="009E567A">
        <w:rPr>
          <w:color w:val="000000"/>
          <w:sz w:val="22"/>
          <w:szCs w:val="22"/>
        </w:rPr>
        <w:t xml:space="preserve">. According to the Direction, the EME </w:t>
      </w:r>
      <w:r w:rsidR="00C95C73" w:rsidRPr="009E567A">
        <w:rPr>
          <w:color w:val="000000"/>
          <w:sz w:val="22"/>
          <w:szCs w:val="22"/>
        </w:rPr>
        <w:t>Component</w:t>
      </w:r>
      <w:r w:rsidR="006057A9" w:rsidRPr="009E567A">
        <w:rPr>
          <w:color w:val="000000"/>
          <w:sz w:val="22"/>
          <w:szCs w:val="22"/>
        </w:rPr>
        <w:t xml:space="preserve"> will be used to offset expenditure related to the Commonwealth’s </w:t>
      </w:r>
      <w:r w:rsidR="00F24D78" w:rsidRPr="009E567A">
        <w:rPr>
          <w:color w:val="000000"/>
          <w:sz w:val="22"/>
          <w:szCs w:val="22"/>
        </w:rPr>
        <w:t>electromagnetic energy program (</w:t>
      </w:r>
      <w:r w:rsidR="00F24D78" w:rsidRPr="009E567A">
        <w:rPr>
          <w:b/>
          <w:bCs/>
          <w:color w:val="000000"/>
          <w:sz w:val="22"/>
          <w:szCs w:val="22"/>
        </w:rPr>
        <w:t>EME program</w:t>
      </w:r>
      <w:r w:rsidR="00F24D78" w:rsidRPr="009E567A">
        <w:rPr>
          <w:color w:val="000000"/>
          <w:sz w:val="22"/>
          <w:szCs w:val="22"/>
        </w:rPr>
        <w:t>)</w:t>
      </w:r>
      <w:r w:rsidR="00F444E6" w:rsidRPr="009E567A">
        <w:rPr>
          <w:color w:val="000000"/>
          <w:sz w:val="22"/>
          <w:szCs w:val="22"/>
        </w:rPr>
        <w:t xml:space="preserve">. </w:t>
      </w:r>
    </w:p>
    <w:p w14:paraId="40D89451" w14:textId="65E27670" w:rsidR="00E447BF" w:rsidRPr="009E567A" w:rsidRDefault="00E447BF" w:rsidP="009E567A">
      <w:pPr>
        <w:pStyle w:val="NormalWeb"/>
        <w:spacing w:before="0" w:beforeAutospacing="0" w:after="160" w:afterAutospacing="0"/>
        <w:rPr>
          <w:color w:val="000000"/>
          <w:sz w:val="22"/>
          <w:szCs w:val="22"/>
        </w:rPr>
      </w:pPr>
      <w:r w:rsidRPr="009E567A">
        <w:rPr>
          <w:color w:val="000000"/>
          <w:sz w:val="22"/>
          <w:szCs w:val="22"/>
        </w:rPr>
        <w:lastRenderedPageBreak/>
        <w:t xml:space="preserve">The EME </w:t>
      </w:r>
      <w:r w:rsidR="00C95C73" w:rsidRPr="009E567A">
        <w:rPr>
          <w:color w:val="000000"/>
          <w:sz w:val="22"/>
          <w:szCs w:val="22"/>
        </w:rPr>
        <w:t>Component</w:t>
      </w:r>
      <w:r w:rsidRPr="009E567A">
        <w:rPr>
          <w:color w:val="000000"/>
          <w:sz w:val="22"/>
          <w:szCs w:val="22"/>
        </w:rPr>
        <w:t xml:space="preserve"> is added to the </w:t>
      </w:r>
      <w:r w:rsidR="00C95C73" w:rsidRPr="009E567A">
        <w:rPr>
          <w:color w:val="000000"/>
          <w:sz w:val="22"/>
          <w:szCs w:val="22"/>
        </w:rPr>
        <w:t>Main Component</w:t>
      </w:r>
      <w:r w:rsidRPr="009E567A">
        <w:rPr>
          <w:color w:val="000000"/>
          <w:sz w:val="22"/>
          <w:szCs w:val="22"/>
        </w:rPr>
        <w:t xml:space="preserve"> of </w:t>
      </w:r>
      <w:r w:rsidR="0045093C" w:rsidRPr="009E567A">
        <w:rPr>
          <w:color w:val="000000"/>
          <w:sz w:val="22"/>
          <w:szCs w:val="22"/>
        </w:rPr>
        <w:t>spectrum licence tax, in relation to a specified class of spectrum licences</w:t>
      </w:r>
      <w:r w:rsidR="009626AF" w:rsidRPr="009E567A">
        <w:rPr>
          <w:color w:val="000000"/>
          <w:sz w:val="22"/>
          <w:szCs w:val="22"/>
        </w:rPr>
        <w:t xml:space="preserve">. For </w:t>
      </w:r>
      <w:r w:rsidR="00006DE4">
        <w:rPr>
          <w:color w:val="000000"/>
          <w:sz w:val="22"/>
          <w:szCs w:val="22"/>
        </w:rPr>
        <w:t xml:space="preserve">annual </w:t>
      </w:r>
      <w:r w:rsidR="009626AF" w:rsidRPr="009E567A">
        <w:rPr>
          <w:color w:val="000000"/>
          <w:sz w:val="22"/>
          <w:szCs w:val="22"/>
        </w:rPr>
        <w:t xml:space="preserve">spectrum licence tax imposed </w:t>
      </w:r>
      <w:r w:rsidR="00BD2368" w:rsidRPr="009E567A">
        <w:rPr>
          <w:color w:val="000000"/>
          <w:sz w:val="22"/>
          <w:szCs w:val="22"/>
        </w:rPr>
        <w:t>from</w:t>
      </w:r>
      <w:r w:rsidR="00EE0330" w:rsidRPr="009E567A">
        <w:rPr>
          <w:color w:val="000000"/>
          <w:sz w:val="22"/>
          <w:szCs w:val="22"/>
        </w:rPr>
        <w:t xml:space="preserve"> the 202</w:t>
      </w:r>
      <w:r w:rsidR="006600D9" w:rsidRPr="009E567A">
        <w:rPr>
          <w:color w:val="000000"/>
          <w:sz w:val="22"/>
          <w:szCs w:val="22"/>
        </w:rPr>
        <w:t>3</w:t>
      </w:r>
      <w:r w:rsidR="00EE0330" w:rsidRPr="009E567A">
        <w:rPr>
          <w:color w:val="000000"/>
          <w:sz w:val="22"/>
          <w:szCs w:val="22"/>
        </w:rPr>
        <w:t>-2</w:t>
      </w:r>
      <w:r w:rsidR="006600D9" w:rsidRPr="009E567A">
        <w:rPr>
          <w:color w:val="000000"/>
          <w:sz w:val="22"/>
          <w:szCs w:val="22"/>
        </w:rPr>
        <w:t>4</w:t>
      </w:r>
      <w:r w:rsidR="00EE0330" w:rsidRPr="009E567A">
        <w:rPr>
          <w:color w:val="000000"/>
          <w:sz w:val="22"/>
          <w:szCs w:val="22"/>
        </w:rPr>
        <w:t xml:space="preserve"> financial year, the Direction </w:t>
      </w:r>
      <w:r w:rsidR="009A3EAA" w:rsidRPr="009E567A">
        <w:rPr>
          <w:color w:val="000000"/>
          <w:sz w:val="22"/>
          <w:szCs w:val="22"/>
        </w:rPr>
        <w:t xml:space="preserve">specifies </w:t>
      </w:r>
      <w:r w:rsidR="001C79EF" w:rsidRPr="009E567A">
        <w:rPr>
          <w:color w:val="000000"/>
          <w:sz w:val="22"/>
          <w:szCs w:val="22"/>
        </w:rPr>
        <w:t>a</w:t>
      </w:r>
      <w:r w:rsidR="00EF5E60">
        <w:rPr>
          <w:color w:val="000000"/>
          <w:sz w:val="22"/>
          <w:szCs w:val="22"/>
        </w:rPr>
        <w:t xml:space="preserve"> total</w:t>
      </w:r>
      <w:r w:rsidR="001C79EF" w:rsidRPr="009E567A">
        <w:rPr>
          <w:color w:val="000000"/>
          <w:sz w:val="22"/>
          <w:szCs w:val="22"/>
        </w:rPr>
        <w:t xml:space="preserve"> EME Component </w:t>
      </w:r>
      <w:r w:rsidR="00434755" w:rsidRPr="009E567A">
        <w:rPr>
          <w:color w:val="000000"/>
          <w:sz w:val="22"/>
          <w:szCs w:val="22"/>
        </w:rPr>
        <w:t>of no more than $1,900,000</w:t>
      </w:r>
      <w:r w:rsidR="00EF5E60">
        <w:rPr>
          <w:color w:val="000000"/>
          <w:sz w:val="22"/>
          <w:szCs w:val="22"/>
        </w:rPr>
        <w:t xml:space="preserve"> (</w:t>
      </w:r>
      <w:r w:rsidR="0032084C">
        <w:rPr>
          <w:color w:val="000000"/>
          <w:sz w:val="22"/>
          <w:szCs w:val="22"/>
        </w:rPr>
        <w:t>this is the sum of all the EME Components payable by spectrum licensees)</w:t>
      </w:r>
      <w:r w:rsidR="00CD3A84">
        <w:rPr>
          <w:color w:val="000000"/>
          <w:sz w:val="22"/>
          <w:szCs w:val="22"/>
        </w:rPr>
        <w:t xml:space="preserve">. However, that </w:t>
      </w:r>
      <w:r w:rsidR="0032084C">
        <w:rPr>
          <w:color w:val="000000"/>
          <w:sz w:val="22"/>
          <w:szCs w:val="22"/>
        </w:rPr>
        <w:t xml:space="preserve">total </w:t>
      </w:r>
      <w:r w:rsidR="00CD3A84">
        <w:rPr>
          <w:color w:val="000000"/>
          <w:sz w:val="22"/>
          <w:szCs w:val="22"/>
        </w:rPr>
        <w:t>EME Component</w:t>
      </w:r>
      <w:r w:rsidR="00D40361" w:rsidRPr="009E567A">
        <w:rPr>
          <w:color w:val="000000"/>
          <w:sz w:val="22"/>
          <w:szCs w:val="22"/>
        </w:rPr>
        <w:t xml:space="preserve"> must be </w:t>
      </w:r>
      <w:r w:rsidR="0051672F" w:rsidRPr="009E567A">
        <w:rPr>
          <w:color w:val="000000"/>
          <w:sz w:val="22"/>
          <w:szCs w:val="22"/>
        </w:rPr>
        <w:t xml:space="preserve">indexed each </w:t>
      </w:r>
      <w:r w:rsidR="002620E6" w:rsidRPr="009E567A">
        <w:rPr>
          <w:color w:val="000000"/>
          <w:sz w:val="22"/>
          <w:szCs w:val="22"/>
        </w:rPr>
        <w:t xml:space="preserve">financial </w:t>
      </w:r>
      <w:r w:rsidR="0051672F" w:rsidRPr="009E567A">
        <w:rPr>
          <w:color w:val="000000"/>
          <w:sz w:val="22"/>
          <w:szCs w:val="22"/>
        </w:rPr>
        <w:t>year, from the 2023-24</w:t>
      </w:r>
      <w:r w:rsidR="00FE1BBE" w:rsidRPr="009E567A">
        <w:rPr>
          <w:color w:val="000000"/>
          <w:sz w:val="22"/>
          <w:szCs w:val="22"/>
        </w:rPr>
        <w:t xml:space="preserve"> financial year</w:t>
      </w:r>
      <w:r w:rsidR="0051672F" w:rsidRPr="009E567A">
        <w:rPr>
          <w:color w:val="000000"/>
          <w:sz w:val="22"/>
          <w:szCs w:val="22"/>
        </w:rPr>
        <w:t>, by a factor that must not exceed the</w:t>
      </w:r>
      <w:r w:rsidR="00576FD0">
        <w:rPr>
          <w:color w:val="000000"/>
          <w:sz w:val="22"/>
          <w:szCs w:val="22"/>
        </w:rPr>
        <w:t xml:space="preserve"> increase</w:t>
      </w:r>
      <w:r w:rsidR="00712BD8">
        <w:rPr>
          <w:color w:val="000000"/>
          <w:sz w:val="22"/>
          <w:szCs w:val="22"/>
        </w:rPr>
        <w:t xml:space="preserve"> in</w:t>
      </w:r>
      <w:r w:rsidR="0051672F" w:rsidRPr="009E567A">
        <w:rPr>
          <w:color w:val="000000"/>
          <w:sz w:val="22"/>
          <w:szCs w:val="22"/>
        </w:rPr>
        <w:t xml:space="preserve"> consumer price index (</w:t>
      </w:r>
      <w:r w:rsidR="0051672F" w:rsidRPr="009E567A">
        <w:rPr>
          <w:b/>
          <w:bCs/>
          <w:color w:val="000000"/>
          <w:sz w:val="22"/>
          <w:szCs w:val="22"/>
        </w:rPr>
        <w:t>CPI</w:t>
      </w:r>
      <w:r w:rsidR="0051672F" w:rsidRPr="009E567A">
        <w:rPr>
          <w:color w:val="000000"/>
          <w:sz w:val="22"/>
          <w:szCs w:val="22"/>
        </w:rPr>
        <w:t>) for the reference period of June for that year.</w:t>
      </w:r>
      <w:r w:rsidR="00A33934" w:rsidRPr="009E567A">
        <w:rPr>
          <w:color w:val="000000"/>
          <w:sz w:val="22"/>
          <w:szCs w:val="22"/>
        </w:rPr>
        <w:t xml:space="preserve"> For the 2023-24 financial year, the </w:t>
      </w:r>
      <w:r w:rsidR="00EE0330" w:rsidRPr="009E567A">
        <w:rPr>
          <w:color w:val="000000"/>
          <w:sz w:val="22"/>
          <w:szCs w:val="22"/>
        </w:rPr>
        <w:t xml:space="preserve">ACMA </w:t>
      </w:r>
      <w:r w:rsidR="00EF5E60">
        <w:rPr>
          <w:color w:val="000000"/>
          <w:sz w:val="22"/>
          <w:szCs w:val="22"/>
        </w:rPr>
        <w:t>set</w:t>
      </w:r>
      <w:r w:rsidR="00EE0330" w:rsidRPr="009E567A">
        <w:rPr>
          <w:color w:val="000000"/>
          <w:sz w:val="22"/>
          <w:szCs w:val="22"/>
        </w:rPr>
        <w:t xml:space="preserve"> </w:t>
      </w:r>
      <w:r w:rsidR="00A65C9D" w:rsidRPr="009E567A">
        <w:rPr>
          <w:color w:val="000000"/>
          <w:sz w:val="22"/>
          <w:szCs w:val="22"/>
        </w:rPr>
        <w:t>a</w:t>
      </w:r>
      <w:r w:rsidR="008219FB">
        <w:rPr>
          <w:color w:val="000000"/>
          <w:sz w:val="22"/>
          <w:szCs w:val="22"/>
        </w:rPr>
        <w:t xml:space="preserve"> total</w:t>
      </w:r>
      <w:r w:rsidR="00B751A8" w:rsidRPr="009E567A">
        <w:rPr>
          <w:color w:val="000000"/>
          <w:sz w:val="22"/>
          <w:szCs w:val="22"/>
        </w:rPr>
        <w:t xml:space="preserve"> </w:t>
      </w:r>
      <w:r w:rsidR="00EE0330" w:rsidRPr="009E567A">
        <w:rPr>
          <w:color w:val="000000"/>
          <w:sz w:val="22"/>
          <w:szCs w:val="22"/>
        </w:rPr>
        <w:t xml:space="preserve">EME </w:t>
      </w:r>
      <w:r w:rsidR="00C95C73" w:rsidRPr="009E567A">
        <w:rPr>
          <w:color w:val="000000"/>
          <w:sz w:val="22"/>
          <w:szCs w:val="22"/>
        </w:rPr>
        <w:t>Component</w:t>
      </w:r>
      <w:r w:rsidR="001E4F90" w:rsidRPr="009E567A">
        <w:rPr>
          <w:color w:val="000000"/>
          <w:sz w:val="22"/>
          <w:szCs w:val="22"/>
        </w:rPr>
        <w:t xml:space="preserve"> of</w:t>
      </w:r>
      <w:r w:rsidR="00A65C9D" w:rsidRPr="009E567A">
        <w:rPr>
          <w:color w:val="000000"/>
          <w:sz w:val="22"/>
          <w:szCs w:val="22"/>
        </w:rPr>
        <w:t xml:space="preserve"> </w:t>
      </w:r>
      <w:r w:rsidR="001E4F90" w:rsidRPr="009E567A">
        <w:rPr>
          <w:color w:val="000000"/>
          <w:sz w:val="22"/>
          <w:szCs w:val="22"/>
        </w:rPr>
        <w:t>$</w:t>
      </w:r>
      <w:r w:rsidR="00AD0C94" w:rsidRPr="009E567A">
        <w:rPr>
          <w:color w:val="000000"/>
          <w:sz w:val="22"/>
          <w:szCs w:val="22"/>
        </w:rPr>
        <w:t>2,014,000</w:t>
      </w:r>
      <w:r w:rsidR="0022712E" w:rsidRPr="009E567A">
        <w:rPr>
          <w:color w:val="000000"/>
          <w:sz w:val="22"/>
          <w:szCs w:val="22"/>
        </w:rPr>
        <w:t>, being $1,900,000 in</w:t>
      </w:r>
      <w:r w:rsidR="006821AD" w:rsidRPr="009E567A">
        <w:rPr>
          <w:color w:val="000000"/>
          <w:sz w:val="22"/>
          <w:szCs w:val="22"/>
        </w:rPr>
        <w:t>creased</w:t>
      </w:r>
      <w:r w:rsidR="0022712E" w:rsidRPr="009E567A">
        <w:rPr>
          <w:color w:val="000000"/>
          <w:sz w:val="22"/>
          <w:szCs w:val="22"/>
        </w:rPr>
        <w:t xml:space="preserve"> by</w:t>
      </w:r>
      <w:r w:rsidR="00835588" w:rsidRPr="009E567A">
        <w:rPr>
          <w:color w:val="000000"/>
          <w:sz w:val="22"/>
          <w:szCs w:val="22"/>
        </w:rPr>
        <w:t xml:space="preserve"> CPI for June 2023</w:t>
      </w:r>
      <w:r w:rsidR="00F07379" w:rsidRPr="009E567A">
        <w:rPr>
          <w:color w:val="000000"/>
          <w:sz w:val="22"/>
          <w:szCs w:val="22"/>
        </w:rPr>
        <w:t xml:space="preserve"> (</w:t>
      </w:r>
      <w:r w:rsidR="00835588" w:rsidRPr="009E567A">
        <w:rPr>
          <w:color w:val="000000"/>
          <w:sz w:val="22"/>
          <w:szCs w:val="22"/>
        </w:rPr>
        <w:t>6%</w:t>
      </w:r>
      <w:r w:rsidR="00F07379" w:rsidRPr="009E567A">
        <w:rPr>
          <w:color w:val="000000"/>
          <w:sz w:val="22"/>
          <w:szCs w:val="22"/>
        </w:rPr>
        <w:t>)</w:t>
      </w:r>
      <w:r w:rsidR="00835588" w:rsidRPr="009E567A">
        <w:rPr>
          <w:color w:val="000000"/>
          <w:sz w:val="22"/>
          <w:szCs w:val="22"/>
        </w:rPr>
        <w:t>.</w:t>
      </w:r>
    </w:p>
    <w:p w14:paraId="7C98061A" w14:textId="1A60ED38" w:rsidR="008A31F2" w:rsidRPr="009E567A" w:rsidRDefault="00D64DB0" w:rsidP="009E567A">
      <w:pPr>
        <w:pStyle w:val="NormalWeb"/>
        <w:spacing w:before="0" w:beforeAutospacing="0" w:after="160" w:afterAutospacing="0"/>
        <w:rPr>
          <w:color w:val="000000"/>
          <w:sz w:val="22"/>
          <w:szCs w:val="22"/>
        </w:rPr>
      </w:pPr>
      <w:r w:rsidRPr="009E567A">
        <w:rPr>
          <w:color w:val="000000"/>
          <w:sz w:val="22"/>
          <w:szCs w:val="22"/>
        </w:rPr>
        <w:t>The</w:t>
      </w:r>
      <w:r w:rsidR="007E5BC1">
        <w:rPr>
          <w:color w:val="000000"/>
          <w:sz w:val="22"/>
          <w:szCs w:val="22"/>
        </w:rPr>
        <w:t xml:space="preserve"> increase in</w:t>
      </w:r>
      <w:r w:rsidRPr="009E567A">
        <w:rPr>
          <w:color w:val="000000"/>
          <w:sz w:val="22"/>
          <w:szCs w:val="22"/>
        </w:rPr>
        <w:t xml:space="preserve"> CPI for the reference period of June </w:t>
      </w:r>
      <w:r w:rsidR="00393815" w:rsidRPr="009E567A">
        <w:rPr>
          <w:color w:val="000000"/>
          <w:sz w:val="22"/>
          <w:szCs w:val="22"/>
        </w:rPr>
        <w:t>202</w:t>
      </w:r>
      <w:r w:rsidR="006F4483" w:rsidRPr="009E567A">
        <w:rPr>
          <w:color w:val="000000"/>
          <w:sz w:val="22"/>
          <w:szCs w:val="22"/>
        </w:rPr>
        <w:t>4</w:t>
      </w:r>
      <w:r w:rsidR="00393815" w:rsidRPr="009E567A">
        <w:rPr>
          <w:color w:val="000000"/>
          <w:sz w:val="22"/>
          <w:szCs w:val="22"/>
        </w:rPr>
        <w:t xml:space="preserve"> was</w:t>
      </w:r>
      <w:r w:rsidR="001B2E27" w:rsidRPr="009E567A">
        <w:rPr>
          <w:color w:val="000000"/>
          <w:sz w:val="22"/>
          <w:szCs w:val="22"/>
        </w:rPr>
        <w:t xml:space="preserve"> 3.8%</w:t>
      </w:r>
      <w:r w:rsidR="000344EA" w:rsidRPr="009E567A">
        <w:rPr>
          <w:color w:val="000000"/>
          <w:sz w:val="22"/>
          <w:szCs w:val="22"/>
        </w:rPr>
        <w:t xml:space="preserve">. The Amendment Determination varies the Determination so that the total EME </w:t>
      </w:r>
      <w:r w:rsidR="00C95C73" w:rsidRPr="009E567A">
        <w:rPr>
          <w:color w:val="000000"/>
          <w:sz w:val="22"/>
          <w:szCs w:val="22"/>
        </w:rPr>
        <w:t>Component</w:t>
      </w:r>
      <w:r w:rsidR="000344EA" w:rsidRPr="009E567A">
        <w:rPr>
          <w:color w:val="000000"/>
          <w:sz w:val="22"/>
          <w:szCs w:val="22"/>
        </w:rPr>
        <w:t xml:space="preserve"> of the spectrum </w:t>
      </w:r>
      <w:r w:rsidR="00332CAD" w:rsidRPr="009E567A">
        <w:rPr>
          <w:color w:val="000000"/>
          <w:sz w:val="22"/>
          <w:szCs w:val="22"/>
        </w:rPr>
        <w:t>licence tax imposed in the 202</w:t>
      </w:r>
      <w:r w:rsidR="006F4483" w:rsidRPr="009E567A">
        <w:rPr>
          <w:color w:val="000000"/>
          <w:sz w:val="22"/>
          <w:szCs w:val="22"/>
        </w:rPr>
        <w:t>4-25</w:t>
      </w:r>
      <w:r w:rsidR="00287D47" w:rsidRPr="009E567A">
        <w:rPr>
          <w:color w:val="000000"/>
          <w:sz w:val="22"/>
          <w:szCs w:val="22"/>
        </w:rPr>
        <w:t xml:space="preserve"> financial year is </w:t>
      </w:r>
      <w:r w:rsidR="004D2C42" w:rsidRPr="009E567A">
        <w:rPr>
          <w:color w:val="000000"/>
          <w:sz w:val="22"/>
          <w:szCs w:val="22"/>
        </w:rPr>
        <w:t>$2,090,532</w:t>
      </w:r>
      <w:r w:rsidR="0049364B" w:rsidRPr="009E567A">
        <w:rPr>
          <w:color w:val="000000"/>
          <w:sz w:val="22"/>
          <w:szCs w:val="22"/>
        </w:rPr>
        <w:t xml:space="preserve"> </w:t>
      </w:r>
      <w:r w:rsidR="00760EFA" w:rsidRPr="009E567A">
        <w:rPr>
          <w:color w:val="000000"/>
          <w:sz w:val="22"/>
          <w:szCs w:val="22"/>
        </w:rPr>
        <w:t>(</w:t>
      </w:r>
      <w:r w:rsidR="00953008" w:rsidRPr="009E567A">
        <w:rPr>
          <w:color w:val="000000"/>
          <w:sz w:val="22"/>
          <w:szCs w:val="22"/>
        </w:rPr>
        <w:t>i.e</w:t>
      </w:r>
      <w:r w:rsidR="00A94195" w:rsidRPr="009E567A">
        <w:rPr>
          <w:color w:val="000000"/>
          <w:sz w:val="22"/>
          <w:szCs w:val="22"/>
        </w:rPr>
        <w:t>.</w:t>
      </w:r>
      <w:r w:rsidR="00953008" w:rsidRPr="009E567A">
        <w:rPr>
          <w:color w:val="000000"/>
          <w:sz w:val="22"/>
          <w:szCs w:val="22"/>
        </w:rPr>
        <w:t xml:space="preserve"> </w:t>
      </w:r>
      <w:r w:rsidR="00853F27" w:rsidRPr="009E567A">
        <w:rPr>
          <w:color w:val="000000"/>
          <w:sz w:val="22"/>
          <w:szCs w:val="22"/>
        </w:rPr>
        <w:t xml:space="preserve">the </w:t>
      </w:r>
      <w:r w:rsidR="00A9033D" w:rsidRPr="009E567A">
        <w:rPr>
          <w:color w:val="000000"/>
          <w:sz w:val="22"/>
          <w:szCs w:val="22"/>
        </w:rPr>
        <w:t>2023-24</w:t>
      </w:r>
      <w:r w:rsidR="00BD452F" w:rsidRPr="009E567A">
        <w:rPr>
          <w:color w:val="000000"/>
          <w:sz w:val="22"/>
          <w:szCs w:val="22"/>
        </w:rPr>
        <w:t xml:space="preserve"> EME </w:t>
      </w:r>
      <w:r w:rsidR="00B64876" w:rsidRPr="009E567A">
        <w:rPr>
          <w:color w:val="000000"/>
          <w:sz w:val="22"/>
          <w:szCs w:val="22"/>
        </w:rPr>
        <w:t>C</w:t>
      </w:r>
      <w:r w:rsidR="00BD452F" w:rsidRPr="009E567A">
        <w:rPr>
          <w:color w:val="000000"/>
          <w:sz w:val="22"/>
          <w:szCs w:val="22"/>
        </w:rPr>
        <w:t xml:space="preserve">omponent of </w:t>
      </w:r>
      <w:r w:rsidR="00AB27AE" w:rsidRPr="009E567A">
        <w:rPr>
          <w:color w:val="000000"/>
          <w:sz w:val="22"/>
          <w:szCs w:val="22"/>
        </w:rPr>
        <w:t xml:space="preserve">$2,014,000 </w:t>
      </w:r>
      <w:r w:rsidR="00276055" w:rsidRPr="009E567A">
        <w:rPr>
          <w:color w:val="000000"/>
          <w:sz w:val="22"/>
          <w:szCs w:val="22"/>
        </w:rPr>
        <w:t xml:space="preserve">increased by </w:t>
      </w:r>
      <w:r w:rsidR="00DE7671" w:rsidRPr="009E567A">
        <w:rPr>
          <w:color w:val="000000"/>
          <w:sz w:val="22"/>
          <w:szCs w:val="22"/>
        </w:rPr>
        <w:t>3.8%</w:t>
      </w:r>
      <w:r w:rsidR="0062105F" w:rsidRPr="009E567A">
        <w:rPr>
          <w:color w:val="000000"/>
          <w:sz w:val="22"/>
          <w:szCs w:val="22"/>
        </w:rPr>
        <w:t xml:space="preserve">). This amount is apportioned </w:t>
      </w:r>
      <w:r w:rsidR="00EE756A" w:rsidRPr="009E567A">
        <w:rPr>
          <w:color w:val="000000"/>
          <w:sz w:val="22"/>
          <w:szCs w:val="22"/>
        </w:rPr>
        <w:t xml:space="preserve">between those spectrum licensees subject to the EME </w:t>
      </w:r>
      <w:r w:rsidR="00C95C73" w:rsidRPr="009E567A">
        <w:rPr>
          <w:color w:val="000000"/>
          <w:sz w:val="22"/>
          <w:szCs w:val="22"/>
        </w:rPr>
        <w:t>Component</w:t>
      </w:r>
      <w:r w:rsidR="00EE756A" w:rsidRPr="009E567A">
        <w:rPr>
          <w:color w:val="000000"/>
          <w:sz w:val="22"/>
          <w:szCs w:val="22"/>
        </w:rPr>
        <w:t xml:space="preserve"> of spectrum licence tax, based on the frequency range of the licence and </w:t>
      </w:r>
      <w:r w:rsidR="00DC5EB1" w:rsidRPr="009E567A">
        <w:rPr>
          <w:color w:val="000000"/>
          <w:sz w:val="22"/>
          <w:szCs w:val="22"/>
        </w:rPr>
        <w:t xml:space="preserve">the population coverage of the licence relative to the Australian population. </w:t>
      </w:r>
    </w:p>
    <w:p w14:paraId="768A72B6" w14:textId="77777777" w:rsidR="004D6353" w:rsidRPr="009E567A" w:rsidRDefault="004D6353" w:rsidP="009E567A">
      <w:pPr>
        <w:pStyle w:val="NormalWeb"/>
        <w:spacing w:before="0" w:beforeAutospacing="0" w:after="160" w:afterAutospacing="0"/>
        <w:rPr>
          <w:color w:val="000000"/>
          <w:sz w:val="22"/>
          <w:szCs w:val="22"/>
        </w:rPr>
      </w:pPr>
      <w:r w:rsidRPr="00DF6472">
        <w:rPr>
          <w:color w:val="000000"/>
          <w:sz w:val="22"/>
          <w:szCs w:val="22"/>
        </w:rPr>
        <w:t>A provision-by-provision description of the Amendment Determination is set out in the notes at</w:t>
      </w:r>
      <w:r w:rsidRPr="009E567A">
        <w:rPr>
          <w:color w:val="000000"/>
          <w:sz w:val="22"/>
          <w:szCs w:val="22"/>
        </w:rPr>
        <w:t xml:space="preserve"> </w:t>
      </w:r>
      <w:r w:rsidRPr="00DF6472">
        <w:rPr>
          <w:b/>
          <w:bCs/>
          <w:color w:val="000000"/>
          <w:sz w:val="22"/>
          <w:szCs w:val="22"/>
        </w:rPr>
        <w:t>Attachment A</w:t>
      </w:r>
      <w:r w:rsidRPr="00DF6472">
        <w:rPr>
          <w:color w:val="000000"/>
          <w:sz w:val="22"/>
          <w:szCs w:val="22"/>
        </w:rPr>
        <w:t>.</w:t>
      </w:r>
    </w:p>
    <w:p w14:paraId="385FA7EE" w14:textId="2CBA09CC" w:rsidR="004D6353" w:rsidRPr="00DF6472" w:rsidRDefault="004D6353" w:rsidP="009E567A">
      <w:pPr>
        <w:pStyle w:val="NormalWeb"/>
        <w:spacing w:before="0" w:beforeAutospacing="0" w:after="160" w:afterAutospacing="0"/>
        <w:rPr>
          <w:color w:val="000000"/>
          <w:sz w:val="22"/>
          <w:szCs w:val="22"/>
        </w:rPr>
      </w:pPr>
      <w:r w:rsidRPr="00DF6472">
        <w:rPr>
          <w:color w:val="000000"/>
          <w:sz w:val="22"/>
          <w:szCs w:val="22"/>
        </w:rPr>
        <w:t xml:space="preserve">The Amendment Determination is a legislative instrument for the purposes of the </w:t>
      </w:r>
      <w:proofErr w:type="gramStart"/>
      <w:r w:rsidRPr="00DF6472">
        <w:rPr>
          <w:color w:val="000000"/>
          <w:sz w:val="22"/>
          <w:szCs w:val="22"/>
        </w:rPr>
        <w:t>LA</w:t>
      </w:r>
      <w:r w:rsidR="00496557">
        <w:rPr>
          <w:color w:val="000000"/>
          <w:sz w:val="22"/>
          <w:szCs w:val="22"/>
        </w:rPr>
        <w:t>, and</w:t>
      </w:r>
      <w:proofErr w:type="gramEnd"/>
      <w:r w:rsidR="00496557">
        <w:rPr>
          <w:color w:val="000000"/>
          <w:sz w:val="22"/>
          <w:szCs w:val="22"/>
        </w:rPr>
        <w:t xml:space="preserve"> is disallowable</w:t>
      </w:r>
      <w:r w:rsidRPr="00DF6472">
        <w:rPr>
          <w:color w:val="000000"/>
          <w:sz w:val="22"/>
          <w:szCs w:val="22"/>
        </w:rPr>
        <w:t xml:space="preserve">. The Determination is subject to the sunsetting provisions </w:t>
      </w:r>
      <w:r w:rsidR="004B1AC7">
        <w:rPr>
          <w:color w:val="000000"/>
          <w:sz w:val="22"/>
          <w:szCs w:val="22"/>
        </w:rPr>
        <w:t xml:space="preserve">in Part 4 of Chapter 3 </w:t>
      </w:r>
      <w:r w:rsidRPr="00DF6472">
        <w:rPr>
          <w:color w:val="000000"/>
          <w:sz w:val="22"/>
          <w:szCs w:val="22"/>
        </w:rPr>
        <w:t>of the LA.</w:t>
      </w:r>
    </w:p>
    <w:p w14:paraId="3939E3AF" w14:textId="0593F5E9" w:rsidR="00B9342A" w:rsidRPr="009E567A" w:rsidRDefault="00B9342A" w:rsidP="009E567A">
      <w:pPr>
        <w:spacing w:before="280"/>
        <w:rPr>
          <w:rFonts w:ascii="Times New Roman" w:hAnsi="Times New Roman" w:cs="Times New Roman"/>
          <w:b/>
          <w:kern w:val="0"/>
          <w14:ligatures w14:val="none"/>
        </w:rPr>
      </w:pPr>
      <w:r w:rsidRPr="009E567A">
        <w:rPr>
          <w:rFonts w:ascii="Times New Roman" w:hAnsi="Times New Roman" w:cs="Times New Roman"/>
          <w:b/>
          <w:kern w:val="0"/>
          <w14:ligatures w14:val="none"/>
        </w:rPr>
        <w:t xml:space="preserve">Documents incorporated by </w:t>
      </w:r>
      <w:proofErr w:type="gramStart"/>
      <w:r w:rsidRPr="009E567A">
        <w:rPr>
          <w:rFonts w:ascii="Times New Roman" w:hAnsi="Times New Roman" w:cs="Times New Roman"/>
          <w:b/>
          <w:kern w:val="0"/>
          <w14:ligatures w14:val="none"/>
        </w:rPr>
        <w:t>reference</w:t>
      </w:r>
      <w:proofErr w:type="gramEnd"/>
      <w:r w:rsidRPr="009E567A">
        <w:rPr>
          <w:rFonts w:ascii="Times New Roman" w:hAnsi="Times New Roman" w:cs="Times New Roman"/>
          <w:b/>
          <w:kern w:val="0"/>
          <w14:ligatures w14:val="none"/>
        </w:rPr>
        <w:t xml:space="preserve"> </w:t>
      </w:r>
    </w:p>
    <w:p w14:paraId="03CBB70B" w14:textId="7816A016" w:rsidR="00B9342A" w:rsidRPr="009E567A" w:rsidRDefault="00546E21" w:rsidP="009E567A">
      <w:pPr>
        <w:pStyle w:val="NormalWeb"/>
        <w:spacing w:before="0" w:beforeAutospacing="0" w:after="160" w:afterAutospacing="0"/>
        <w:rPr>
          <w:color w:val="000000"/>
          <w:sz w:val="22"/>
          <w:szCs w:val="22"/>
        </w:rPr>
      </w:pPr>
      <w:r w:rsidRPr="009E567A">
        <w:rPr>
          <w:color w:val="000000"/>
          <w:sz w:val="22"/>
          <w:szCs w:val="22"/>
        </w:rPr>
        <w:t xml:space="preserve">The Amendment Determination does not amend the Determination to incorporate any additional documents. </w:t>
      </w:r>
    </w:p>
    <w:p w14:paraId="3309A7E8" w14:textId="3490D3EC" w:rsidR="00830575" w:rsidRPr="00DF6472" w:rsidRDefault="00830575" w:rsidP="00DF6472">
      <w:pPr>
        <w:spacing w:before="280"/>
        <w:rPr>
          <w:rFonts w:ascii="Times New Roman" w:hAnsi="Times New Roman" w:cs="Times New Roman"/>
          <w:b/>
          <w:kern w:val="0"/>
          <w14:ligatures w14:val="none"/>
        </w:rPr>
      </w:pPr>
      <w:r w:rsidRPr="00DF6472">
        <w:rPr>
          <w:rFonts w:ascii="Times New Roman" w:hAnsi="Times New Roman" w:cs="Times New Roman"/>
          <w:b/>
          <w:kern w:val="0"/>
          <w14:ligatures w14:val="none"/>
        </w:rPr>
        <w:t>Consultation</w:t>
      </w:r>
      <w:r w:rsidR="00DC54BF" w:rsidRPr="00DF6472">
        <w:rPr>
          <w:rFonts w:ascii="Times New Roman" w:hAnsi="Times New Roman" w:cs="Times New Roman"/>
          <w:b/>
          <w:kern w:val="0"/>
          <w14:ligatures w14:val="none"/>
        </w:rPr>
        <w:t xml:space="preserve"> </w:t>
      </w:r>
    </w:p>
    <w:p w14:paraId="0FA13CE6" w14:textId="14DD21CD" w:rsidR="00830575" w:rsidRPr="009E567A" w:rsidRDefault="00E315A2" w:rsidP="009E567A">
      <w:pPr>
        <w:pStyle w:val="NormalWeb"/>
        <w:spacing w:before="0" w:beforeAutospacing="0" w:after="160" w:afterAutospacing="0"/>
        <w:rPr>
          <w:color w:val="000000"/>
          <w:sz w:val="22"/>
          <w:szCs w:val="22"/>
        </w:rPr>
      </w:pPr>
      <w:r w:rsidRPr="009E567A">
        <w:rPr>
          <w:color w:val="000000"/>
          <w:sz w:val="22"/>
          <w:szCs w:val="22"/>
        </w:rPr>
        <w:t xml:space="preserve">Before the </w:t>
      </w:r>
      <w:r w:rsidR="00D64AB6" w:rsidRPr="009E567A">
        <w:rPr>
          <w:color w:val="000000"/>
          <w:sz w:val="22"/>
          <w:szCs w:val="22"/>
        </w:rPr>
        <w:t xml:space="preserve">Amendment Determination was made, the ACMA was satisfied that consultation was undertaken to the extent appropriate and reasonably practicable, in accordance </w:t>
      </w:r>
      <w:r w:rsidR="00B5479E" w:rsidRPr="009E567A">
        <w:rPr>
          <w:color w:val="000000"/>
          <w:sz w:val="22"/>
          <w:szCs w:val="22"/>
        </w:rPr>
        <w:t xml:space="preserve">with section 17 of the LA. </w:t>
      </w:r>
    </w:p>
    <w:p w14:paraId="3FA5C7DD" w14:textId="6DC39903" w:rsidR="00892078" w:rsidRPr="009E567A" w:rsidRDefault="008453C2" w:rsidP="009E567A">
      <w:pPr>
        <w:pStyle w:val="NormalWeb"/>
        <w:spacing w:before="0" w:beforeAutospacing="0" w:after="160" w:afterAutospacing="0"/>
        <w:rPr>
          <w:color w:val="000000"/>
          <w:sz w:val="22"/>
          <w:szCs w:val="22"/>
        </w:rPr>
      </w:pPr>
      <w:r>
        <w:rPr>
          <w:color w:val="000000"/>
          <w:sz w:val="22"/>
          <w:szCs w:val="22"/>
        </w:rPr>
        <w:t xml:space="preserve">Following the release of </w:t>
      </w:r>
      <w:r w:rsidR="003A1F2A">
        <w:rPr>
          <w:color w:val="000000"/>
          <w:sz w:val="22"/>
          <w:szCs w:val="22"/>
        </w:rPr>
        <w:t xml:space="preserve">the </w:t>
      </w:r>
      <w:r w:rsidR="00CA55EA">
        <w:rPr>
          <w:color w:val="000000"/>
          <w:sz w:val="22"/>
          <w:szCs w:val="22"/>
        </w:rPr>
        <w:t xml:space="preserve">June </w:t>
      </w:r>
      <w:r w:rsidR="00C867CA">
        <w:rPr>
          <w:color w:val="000000"/>
          <w:sz w:val="22"/>
          <w:szCs w:val="22"/>
        </w:rPr>
        <w:t xml:space="preserve">2024 </w:t>
      </w:r>
      <w:r w:rsidR="002A0E65">
        <w:rPr>
          <w:color w:val="000000"/>
          <w:sz w:val="22"/>
          <w:szCs w:val="22"/>
        </w:rPr>
        <w:t xml:space="preserve">CPI figures </w:t>
      </w:r>
      <w:r w:rsidR="004C0C34">
        <w:rPr>
          <w:color w:val="000000"/>
          <w:sz w:val="22"/>
          <w:szCs w:val="22"/>
        </w:rPr>
        <w:t>on 31 July 2024</w:t>
      </w:r>
      <w:r w:rsidR="00C874E0">
        <w:rPr>
          <w:color w:val="000000"/>
          <w:sz w:val="22"/>
          <w:szCs w:val="22"/>
        </w:rPr>
        <w:t xml:space="preserve"> by the Australian Bureau of Statistics</w:t>
      </w:r>
      <w:r w:rsidR="004C0C34">
        <w:rPr>
          <w:color w:val="000000"/>
          <w:sz w:val="22"/>
          <w:szCs w:val="22"/>
        </w:rPr>
        <w:t xml:space="preserve">, </w:t>
      </w:r>
      <w:r w:rsidR="003977BB" w:rsidRPr="009E567A">
        <w:rPr>
          <w:color w:val="000000"/>
          <w:sz w:val="22"/>
          <w:szCs w:val="22"/>
        </w:rPr>
        <w:t xml:space="preserve">the ACMA published a consultation paper </w:t>
      </w:r>
      <w:r w:rsidR="00B62FAF">
        <w:rPr>
          <w:color w:val="000000"/>
          <w:sz w:val="22"/>
          <w:szCs w:val="22"/>
        </w:rPr>
        <w:t>on 9 August 2024</w:t>
      </w:r>
      <w:r w:rsidR="004B23B1">
        <w:rPr>
          <w:color w:val="000000"/>
          <w:sz w:val="22"/>
          <w:szCs w:val="22"/>
        </w:rPr>
        <w:t>. T</w:t>
      </w:r>
      <w:r w:rsidR="003977BB" w:rsidRPr="009E567A">
        <w:rPr>
          <w:color w:val="000000"/>
          <w:sz w:val="22"/>
          <w:szCs w:val="22"/>
        </w:rPr>
        <w:t>h</w:t>
      </w:r>
      <w:r w:rsidR="007327E9">
        <w:rPr>
          <w:color w:val="000000"/>
          <w:sz w:val="22"/>
          <w:szCs w:val="22"/>
        </w:rPr>
        <w:t>e consultation</w:t>
      </w:r>
      <w:r w:rsidR="003977BB" w:rsidRPr="009E567A">
        <w:rPr>
          <w:color w:val="000000"/>
          <w:sz w:val="22"/>
          <w:szCs w:val="22"/>
        </w:rPr>
        <w:t xml:space="preserve"> </w:t>
      </w:r>
      <w:r w:rsidR="004B23B1">
        <w:rPr>
          <w:color w:val="000000"/>
          <w:sz w:val="22"/>
          <w:szCs w:val="22"/>
        </w:rPr>
        <w:t xml:space="preserve">paper </w:t>
      </w:r>
      <w:r w:rsidR="003977BB" w:rsidRPr="009E567A">
        <w:rPr>
          <w:color w:val="000000"/>
          <w:sz w:val="22"/>
          <w:szCs w:val="22"/>
        </w:rPr>
        <w:t xml:space="preserve">set out the proposed </w:t>
      </w:r>
      <w:r w:rsidR="007327E9">
        <w:rPr>
          <w:color w:val="000000"/>
          <w:sz w:val="22"/>
          <w:szCs w:val="22"/>
        </w:rPr>
        <w:t>amendments</w:t>
      </w:r>
      <w:r w:rsidR="007327E9" w:rsidRPr="009E567A">
        <w:rPr>
          <w:color w:val="000000"/>
          <w:sz w:val="22"/>
          <w:szCs w:val="22"/>
        </w:rPr>
        <w:t xml:space="preserve"> </w:t>
      </w:r>
      <w:r w:rsidR="00D37441" w:rsidRPr="009E567A">
        <w:rPr>
          <w:color w:val="000000"/>
          <w:sz w:val="22"/>
          <w:szCs w:val="22"/>
        </w:rPr>
        <w:t xml:space="preserve">to the Determination concerning the change to the total annual EME </w:t>
      </w:r>
      <w:r w:rsidR="00C95C73" w:rsidRPr="009E567A">
        <w:rPr>
          <w:color w:val="000000"/>
          <w:sz w:val="22"/>
          <w:szCs w:val="22"/>
        </w:rPr>
        <w:t>Component</w:t>
      </w:r>
      <w:r w:rsidR="00D37441" w:rsidRPr="009E567A">
        <w:rPr>
          <w:color w:val="000000"/>
          <w:sz w:val="22"/>
          <w:szCs w:val="22"/>
        </w:rPr>
        <w:t xml:space="preserve"> for the 2024-25 financial </w:t>
      </w:r>
      <w:r w:rsidR="003111BB" w:rsidRPr="009E567A">
        <w:rPr>
          <w:color w:val="000000"/>
          <w:sz w:val="22"/>
          <w:szCs w:val="22"/>
        </w:rPr>
        <w:t>year</w:t>
      </w:r>
      <w:r w:rsidR="00A95D84" w:rsidRPr="009E567A">
        <w:rPr>
          <w:color w:val="000000"/>
          <w:sz w:val="22"/>
          <w:szCs w:val="22"/>
        </w:rPr>
        <w:t xml:space="preserve">. The ACMA received </w:t>
      </w:r>
      <w:r w:rsidR="006A33E1" w:rsidRPr="009E567A">
        <w:rPr>
          <w:color w:val="000000"/>
          <w:sz w:val="22"/>
          <w:szCs w:val="22"/>
        </w:rPr>
        <w:t>3</w:t>
      </w:r>
      <w:r w:rsidR="004B1AC7">
        <w:rPr>
          <w:color w:val="000000"/>
          <w:sz w:val="22"/>
          <w:szCs w:val="22"/>
        </w:rPr>
        <w:t xml:space="preserve"> </w:t>
      </w:r>
      <w:r w:rsidR="004E0D6F" w:rsidRPr="009E567A">
        <w:rPr>
          <w:color w:val="000000"/>
          <w:sz w:val="22"/>
          <w:szCs w:val="22"/>
        </w:rPr>
        <w:t xml:space="preserve">submissions </w:t>
      </w:r>
      <w:r w:rsidR="00482104" w:rsidRPr="009E567A">
        <w:rPr>
          <w:color w:val="000000"/>
          <w:sz w:val="22"/>
          <w:szCs w:val="22"/>
        </w:rPr>
        <w:t>to</w:t>
      </w:r>
      <w:r w:rsidR="004E0D6F" w:rsidRPr="009E567A">
        <w:rPr>
          <w:color w:val="000000"/>
          <w:sz w:val="22"/>
          <w:szCs w:val="22"/>
        </w:rPr>
        <w:t xml:space="preserve"> the consultation paper</w:t>
      </w:r>
      <w:r w:rsidR="00D42B34" w:rsidRPr="009E567A">
        <w:rPr>
          <w:color w:val="000000"/>
          <w:sz w:val="22"/>
          <w:szCs w:val="22"/>
        </w:rPr>
        <w:t xml:space="preserve">. </w:t>
      </w:r>
      <w:r w:rsidR="004D079F" w:rsidRPr="009E567A">
        <w:rPr>
          <w:color w:val="000000"/>
          <w:sz w:val="22"/>
          <w:szCs w:val="22"/>
        </w:rPr>
        <w:t xml:space="preserve">Submissions </w:t>
      </w:r>
      <w:r w:rsidR="00EE3877" w:rsidRPr="009E567A">
        <w:rPr>
          <w:color w:val="000000"/>
          <w:sz w:val="22"/>
          <w:szCs w:val="22"/>
        </w:rPr>
        <w:t>acknowledged the need for the EME Program</w:t>
      </w:r>
      <w:r w:rsidR="002C3B2F" w:rsidRPr="009E567A">
        <w:rPr>
          <w:color w:val="000000"/>
          <w:sz w:val="22"/>
          <w:szCs w:val="22"/>
        </w:rPr>
        <w:t xml:space="preserve"> and did not </w:t>
      </w:r>
      <w:r w:rsidR="004940C5" w:rsidRPr="009E567A">
        <w:rPr>
          <w:color w:val="000000"/>
          <w:sz w:val="22"/>
          <w:szCs w:val="22"/>
        </w:rPr>
        <w:t>object to</w:t>
      </w:r>
      <w:r w:rsidR="003329BA" w:rsidRPr="009E567A">
        <w:rPr>
          <w:color w:val="000000"/>
          <w:sz w:val="22"/>
          <w:szCs w:val="22"/>
        </w:rPr>
        <w:t xml:space="preserve"> the proposed </w:t>
      </w:r>
      <w:r w:rsidR="004D079F" w:rsidRPr="009E567A">
        <w:rPr>
          <w:color w:val="000000"/>
          <w:sz w:val="22"/>
          <w:szCs w:val="22"/>
        </w:rPr>
        <w:t>change in the total annual EME component</w:t>
      </w:r>
      <w:r w:rsidR="003329BA" w:rsidRPr="009E567A">
        <w:rPr>
          <w:color w:val="000000"/>
          <w:sz w:val="22"/>
          <w:szCs w:val="22"/>
        </w:rPr>
        <w:t>. Submissions</w:t>
      </w:r>
      <w:r w:rsidR="004D079F" w:rsidRPr="009E567A">
        <w:rPr>
          <w:color w:val="000000"/>
          <w:sz w:val="22"/>
          <w:szCs w:val="22"/>
        </w:rPr>
        <w:t xml:space="preserve"> raised </w:t>
      </w:r>
      <w:r w:rsidR="00077D77" w:rsidRPr="009E567A">
        <w:rPr>
          <w:color w:val="000000"/>
          <w:sz w:val="22"/>
          <w:szCs w:val="22"/>
        </w:rPr>
        <w:t xml:space="preserve">additional </w:t>
      </w:r>
      <w:r w:rsidR="009232EE">
        <w:rPr>
          <w:color w:val="000000"/>
          <w:sz w:val="22"/>
          <w:szCs w:val="22"/>
        </w:rPr>
        <w:t>comments</w:t>
      </w:r>
      <w:r w:rsidR="004D079F" w:rsidRPr="009E567A">
        <w:rPr>
          <w:color w:val="000000"/>
          <w:sz w:val="22"/>
          <w:szCs w:val="22"/>
        </w:rPr>
        <w:t xml:space="preserve"> </w:t>
      </w:r>
      <w:r w:rsidR="00A5131D" w:rsidRPr="009E567A">
        <w:rPr>
          <w:color w:val="000000"/>
          <w:sz w:val="22"/>
          <w:szCs w:val="22"/>
        </w:rPr>
        <w:t xml:space="preserve">about the EME program </w:t>
      </w:r>
      <w:r w:rsidR="004D079F" w:rsidRPr="009E567A">
        <w:rPr>
          <w:color w:val="000000"/>
          <w:sz w:val="22"/>
          <w:szCs w:val="22"/>
        </w:rPr>
        <w:t>beyond the scope of the Amendment Determination</w:t>
      </w:r>
      <w:r w:rsidR="00A5131D" w:rsidRPr="009E567A">
        <w:rPr>
          <w:color w:val="000000"/>
          <w:sz w:val="22"/>
          <w:szCs w:val="22"/>
        </w:rPr>
        <w:t xml:space="preserve">, that the ACMA has provided to the </w:t>
      </w:r>
      <w:r w:rsidR="003A7147" w:rsidRPr="009E567A">
        <w:rPr>
          <w:color w:val="000000"/>
          <w:sz w:val="22"/>
          <w:szCs w:val="22"/>
        </w:rPr>
        <w:t xml:space="preserve">Department of Infrastructure, Transport, Regional Development, </w:t>
      </w:r>
      <w:proofErr w:type="gramStart"/>
      <w:r w:rsidR="003A7147" w:rsidRPr="009E567A">
        <w:rPr>
          <w:color w:val="000000"/>
          <w:sz w:val="22"/>
          <w:szCs w:val="22"/>
        </w:rPr>
        <w:t>Communications</w:t>
      </w:r>
      <w:proofErr w:type="gramEnd"/>
      <w:r w:rsidR="003A7147" w:rsidRPr="009E567A">
        <w:rPr>
          <w:color w:val="000000"/>
          <w:sz w:val="22"/>
          <w:szCs w:val="22"/>
        </w:rPr>
        <w:t xml:space="preserve"> and the Arts. </w:t>
      </w:r>
    </w:p>
    <w:p w14:paraId="2F3973EA" w14:textId="2AA65D46" w:rsidR="00B5479E" w:rsidRPr="009E567A" w:rsidRDefault="008A0A94" w:rsidP="009E567A">
      <w:pPr>
        <w:pStyle w:val="NormalWeb"/>
        <w:spacing w:before="0" w:beforeAutospacing="0" w:after="160" w:afterAutospacing="0"/>
        <w:rPr>
          <w:color w:val="000000"/>
          <w:sz w:val="22"/>
          <w:szCs w:val="22"/>
        </w:rPr>
      </w:pPr>
      <w:r w:rsidRPr="009E567A">
        <w:rPr>
          <w:color w:val="000000"/>
          <w:sz w:val="22"/>
          <w:szCs w:val="22"/>
        </w:rPr>
        <w:t xml:space="preserve">In making this Amendment Determination, the ACMA </w:t>
      </w:r>
      <w:proofErr w:type="gramStart"/>
      <w:r w:rsidRPr="009E567A">
        <w:rPr>
          <w:color w:val="000000"/>
          <w:sz w:val="22"/>
          <w:szCs w:val="22"/>
        </w:rPr>
        <w:t>took into account</w:t>
      </w:r>
      <w:proofErr w:type="gramEnd"/>
      <w:r w:rsidRPr="009E567A">
        <w:rPr>
          <w:color w:val="000000"/>
          <w:sz w:val="22"/>
          <w:szCs w:val="22"/>
        </w:rPr>
        <w:t xml:space="preserve"> these submissions, but did not change the proposal outlined in the </w:t>
      </w:r>
      <w:r w:rsidR="00D15CC7" w:rsidRPr="009E567A">
        <w:rPr>
          <w:color w:val="000000"/>
          <w:sz w:val="22"/>
          <w:szCs w:val="22"/>
        </w:rPr>
        <w:t xml:space="preserve">consultation paper. </w:t>
      </w:r>
    </w:p>
    <w:p w14:paraId="0D575804" w14:textId="331ED12A" w:rsidR="00830575" w:rsidRPr="009E567A" w:rsidRDefault="00830575" w:rsidP="009E567A">
      <w:pPr>
        <w:spacing w:before="280"/>
        <w:rPr>
          <w:rFonts w:ascii="Times New Roman" w:hAnsi="Times New Roman" w:cs="Times New Roman"/>
          <w:b/>
          <w:kern w:val="0"/>
          <w14:ligatures w14:val="none"/>
        </w:rPr>
      </w:pPr>
      <w:r w:rsidRPr="009E567A">
        <w:rPr>
          <w:rFonts w:ascii="Times New Roman" w:hAnsi="Times New Roman" w:cs="Times New Roman"/>
          <w:b/>
          <w:kern w:val="0"/>
          <w14:ligatures w14:val="none"/>
        </w:rPr>
        <w:t>Regulatory impact assessment</w:t>
      </w:r>
      <w:r w:rsidR="008E1742" w:rsidRPr="009E567A">
        <w:rPr>
          <w:rFonts w:ascii="Times New Roman" w:hAnsi="Times New Roman" w:cs="Times New Roman"/>
          <w:b/>
          <w:kern w:val="0"/>
          <w14:ligatures w14:val="none"/>
        </w:rPr>
        <w:t xml:space="preserve"> </w:t>
      </w:r>
    </w:p>
    <w:p w14:paraId="3CE9E399" w14:textId="322E5EEA" w:rsidR="000539E5" w:rsidRPr="009E567A" w:rsidRDefault="000F4668" w:rsidP="009E567A">
      <w:pPr>
        <w:pStyle w:val="NormalWeb"/>
        <w:spacing w:before="0" w:beforeAutospacing="0" w:after="160" w:afterAutospacing="0"/>
        <w:rPr>
          <w:color w:val="000000"/>
          <w:sz w:val="22"/>
          <w:szCs w:val="22"/>
        </w:rPr>
      </w:pPr>
      <w:r w:rsidRPr="009E567A">
        <w:rPr>
          <w:color w:val="000000"/>
          <w:sz w:val="22"/>
          <w:szCs w:val="22"/>
        </w:rPr>
        <w:t>T</w:t>
      </w:r>
      <w:r w:rsidR="008D778F" w:rsidRPr="009E567A">
        <w:rPr>
          <w:color w:val="000000"/>
          <w:sz w:val="22"/>
          <w:szCs w:val="22"/>
        </w:rPr>
        <w:t xml:space="preserve">he </w:t>
      </w:r>
      <w:r w:rsidRPr="009E567A">
        <w:rPr>
          <w:color w:val="000000"/>
          <w:sz w:val="22"/>
          <w:szCs w:val="22"/>
        </w:rPr>
        <w:t>Office of Impact Assessment (</w:t>
      </w:r>
      <w:r w:rsidR="008D778F" w:rsidRPr="009E567A">
        <w:rPr>
          <w:b/>
          <w:bCs/>
          <w:color w:val="000000"/>
          <w:sz w:val="22"/>
          <w:szCs w:val="22"/>
        </w:rPr>
        <w:t>OIA</w:t>
      </w:r>
      <w:r w:rsidRPr="009E567A">
        <w:rPr>
          <w:color w:val="000000"/>
          <w:sz w:val="22"/>
          <w:szCs w:val="22"/>
        </w:rPr>
        <w:t>)</w:t>
      </w:r>
      <w:r w:rsidR="008D778F" w:rsidRPr="009E567A">
        <w:rPr>
          <w:color w:val="000000"/>
          <w:sz w:val="22"/>
          <w:szCs w:val="22"/>
        </w:rPr>
        <w:t xml:space="preserve"> provide</w:t>
      </w:r>
      <w:r w:rsidR="00224040" w:rsidRPr="009E567A">
        <w:rPr>
          <w:color w:val="000000"/>
          <w:sz w:val="22"/>
          <w:szCs w:val="22"/>
        </w:rPr>
        <w:t>s</w:t>
      </w:r>
      <w:r w:rsidR="008D778F" w:rsidRPr="009E567A">
        <w:rPr>
          <w:color w:val="000000"/>
          <w:sz w:val="22"/>
          <w:szCs w:val="22"/>
        </w:rPr>
        <w:t xml:space="preserve"> a streamlined impact analysis process for </w:t>
      </w:r>
      <w:r w:rsidR="00972865" w:rsidRPr="009E567A">
        <w:rPr>
          <w:color w:val="000000"/>
          <w:sz w:val="22"/>
          <w:szCs w:val="22"/>
        </w:rPr>
        <w:t xml:space="preserve">regular minor or machinery </w:t>
      </w:r>
      <w:r w:rsidR="008D778F" w:rsidRPr="009E567A">
        <w:rPr>
          <w:color w:val="000000"/>
          <w:sz w:val="22"/>
          <w:szCs w:val="22"/>
        </w:rPr>
        <w:t>updates which are referred to as ‘carve-outs’</w:t>
      </w:r>
      <w:r w:rsidR="00794447" w:rsidRPr="009E567A">
        <w:rPr>
          <w:color w:val="000000"/>
          <w:sz w:val="22"/>
          <w:szCs w:val="22"/>
        </w:rPr>
        <w:t xml:space="preserve">. The ACMA requested </w:t>
      </w:r>
      <w:r w:rsidR="00374293" w:rsidRPr="009E567A">
        <w:rPr>
          <w:color w:val="000000"/>
          <w:sz w:val="22"/>
          <w:szCs w:val="22"/>
        </w:rPr>
        <w:t>a</w:t>
      </w:r>
      <w:r w:rsidR="00794447" w:rsidRPr="009E567A">
        <w:rPr>
          <w:color w:val="000000"/>
          <w:sz w:val="22"/>
          <w:szCs w:val="22"/>
        </w:rPr>
        <w:t xml:space="preserve"> carve-out </w:t>
      </w:r>
      <w:r w:rsidR="00962775" w:rsidRPr="009E567A">
        <w:rPr>
          <w:color w:val="000000"/>
          <w:sz w:val="22"/>
          <w:szCs w:val="22"/>
        </w:rPr>
        <w:t>for the changes to the Determination</w:t>
      </w:r>
      <w:r w:rsidR="007A4E7B" w:rsidRPr="009E567A">
        <w:rPr>
          <w:color w:val="000000"/>
          <w:sz w:val="22"/>
          <w:szCs w:val="22"/>
        </w:rPr>
        <w:t xml:space="preserve"> relating to </w:t>
      </w:r>
      <w:r w:rsidR="00374293" w:rsidRPr="009E567A">
        <w:rPr>
          <w:color w:val="000000"/>
          <w:sz w:val="22"/>
          <w:szCs w:val="22"/>
        </w:rPr>
        <w:t>indexing the</w:t>
      </w:r>
      <w:r w:rsidR="007A4E7B" w:rsidRPr="009E567A">
        <w:rPr>
          <w:color w:val="000000"/>
          <w:sz w:val="22"/>
          <w:szCs w:val="22"/>
        </w:rPr>
        <w:t xml:space="preserve"> total annual EME </w:t>
      </w:r>
      <w:r w:rsidR="00C95C73" w:rsidRPr="009E567A">
        <w:rPr>
          <w:color w:val="000000"/>
          <w:sz w:val="22"/>
          <w:szCs w:val="22"/>
        </w:rPr>
        <w:t>Component</w:t>
      </w:r>
      <w:r w:rsidR="00691A0E" w:rsidRPr="009E567A">
        <w:rPr>
          <w:color w:val="000000"/>
          <w:sz w:val="22"/>
          <w:szCs w:val="22"/>
        </w:rPr>
        <w:t xml:space="preserve">. </w:t>
      </w:r>
      <w:r w:rsidR="00407349" w:rsidRPr="009E567A">
        <w:rPr>
          <w:color w:val="000000"/>
          <w:sz w:val="22"/>
          <w:szCs w:val="22"/>
        </w:rPr>
        <w:t xml:space="preserve">As indexing the total annual EME </w:t>
      </w:r>
      <w:r w:rsidR="00C95C73" w:rsidRPr="009E567A">
        <w:rPr>
          <w:color w:val="000000"/>
          <w:sz w:val="22"/>
          <w:szCs w:val="22"/>
        </w:rPr>
        <w:t>Component</w:t>
      </w:r>
      <w:r w:rsidR="00407349" w:rsidRPr="009E567A">
        <w:rPr>
          <w:color w:val="000000"/>
          <w:sz w:val="22"/>
          <w:szCs w:val="22"/>
        </w:rPr>
        <w:t xml:space="preserve"> in accordance with the Direction is a yearly routine process</w:t>
      </w:r>
      <w:r w:rsidR="00DE4633" w:rsidRPr="009E567A">
        <w:rPr>
          <w:color w:val="000000"/>
          <w:sz w:val="22"/>
          <w:szCs w:val="22"/>
        </w:rPr>
        <w:t>,</w:t>
      </w:r>
      <w:r w:rsidR="00407349" w:rsidRPr="009E567A">
        <w:rPr>
          <w:color w:val="000000"/>
          <w:sz w:val="22"/>
          <w:szCs w:val="22"/>
        </w:rPr>
        <w:t xml:space="preserve"> the OIA has advised that </w:t>
      </w:r>
      <w:r w:rsidR="00D01C05" w:rsidRPr="009E567A">
        <w:rPr>
          <w:color w:val="000000"/>
          <w:sz w:val="22"/>
          <w:szCs w:val="22"/>
        </w:rPr>
        <w:t xml:space="preserve">the </w:t>
      </w:r>
      <w:r w:rsidR="00DE4633" w:rsidRPr="009E567A">
        <w:rPr>
          <w:color w:val="000000"/>
          <w:sz w:val="22"/>
          <w:szCs w:val="22"/>
        </w:rPr>
        <w:t>carve-out</w:t>
      </w:r>
      <w:r w:rsidR="00407349" w:rsidRPr="009E567A">
        <w:rPr>
          <w:color w:val="000000"/>
          <w:sz w:val="22"/>
          <w:szCs w:val="22"/>
        </w:rPr>
        <w:t xml:space="preserve"> would not give rise to a regulatory change and therefore no regulatory impact analysis is required</w:t>
      </w:r>
      <w:r w:rsidR="00F76896" w:rsidRPr="009E567A">
        <w:rPr>
          <w:color w:val="000000"/>
          <w:sz w:val="22"/>
          <w:szCs w:val="22"/>
        </w:rPr>
        <w:t xml:space="preserve">. The OIA </w:t>
      </w:r>
      <w:r w:rsidR="000F1BAF">
        <w:rPr>
          <w:color w:val="000000"/>
          <w:sz w:val="22"/>
          <w:szCs w:val="22"/>
        </w:rPr>
        <w:t>granted the</w:t>
      </w:r>
      <w:r w:rsidR="00F76896" w:rsidRPr="009E567A">
        <w:rPr>
          <w:color w:val="000000"/>
          <w:sz w:val="22"/>
          <w:szCs w:val="22"/>
        </w:rPr>
        <w:t xml:space="preserve"> carve-out on 12 June 2024 </w:t>
      </w:r>
      <w:r w:rsidR="00407349" w:rsidRPr="009E567A">
        <w:rPr>
          <w:color w:val="000000"/>
          <w:sz w:val="22"/>
          <w:szCs w:val="22"/>
        </w:rPr>
        <w:t>(reference number OIA24-07581).</w:t>
      </w:r>
    </w:p>
    <w:p w14:paraId="2295F5C8" w14:textId="404AF639" w:rsidR="000539E5" w:rsidRPr="00DF6472" w:rsidRDefault="000539E5" w:rsidP="00DF6472">
      <w:pPr>
        <w:keepNext/>
        <w:spacing w:before="280"/>
        <w:rPr>
          <w:rFonts w:ascii="Times New Roman" w:hAnsi="Times New Roman" w:cs="Times New Roman"/>
          <w:b/>
          <w:kern w:val="0"/>
          <w14:ligatures w14:val="none"/>
        </w:rPr>
      </w:pPr>
      <w:r w:rsidRPr="00DF6472">
        <w:rPr>
          <w:rFonts w:ascii="Times New Roman" w:hAnsi="Times New Roman" w:cs="Times New Roman"/>
          <w:b/>
          <w:kern w:val="0"/>
          <w14:ligatures w14:val="none"/>
        </w:rPr>
        <w:lastRenderedPageBreak/>
        <w:t xml:space="preserve">Statement of compatibility </w:t>
      </w:r>
      <w:r w:rsidR="00AA30D6" w:rsidRPr="00DF6472">
        <w:rPr>
          <w:rFonts w:ascii="Times New Roman" w:hAnsi="Times New Roman" w:cs="Times New Roman"/>
          <w:b/>
          <w:kern w:val="0"/>
          <w14:ligatures w14:val="none"/>
        </w:rPr>
        <w:t>with human rights</w:t>
      </w:r>
      <w:r w:rsidR="00B47EF4" w:rsidRPr="00DF6472">
        <w:rPr>
          <w:rFonts w:ascii="Times New Roman" w:hAnsi="Times New Roman" w:cs="Times New Roman"/>
          <w:b/>
          <w:kern w:val="0"/>
          <w14:ligatures w14:val="none"/>
        </w:rPr>
        <w:t xml:space="preserve"> </w:t>
      </w:r>
    </w:p>
    <w:p w14:paraId="4A0825EE" w14:textId="77777777" w:rsidR="00FD1B2F" w:rsidRPr="009E567A" w:rsidRDefault="0011755B" w:rsidP="009E567A">
      <w:pPr>
        <w:pStyle w:val="NormalWeb"/>
        <w:spacing w:before="0" w:beforeAutospacing="0" w:after="160" w:afterAutospacing="0"/>
        <w:rPr>
          <w:color w:val="000000"/>
          <w:sz w:val="22"/>
          <w:szCs w:val="22"/>
        </w:rPr>
      </w:pPr>
      <w:r w:rsidRPr="009E567A">
        <w:rPr>
          <w:color w:val="000000"/>
          <w:sz w:val="22"/>
          <w:szCs w:val="22"/>
        </w:rPr>
        <w:t xml:space="preserve">Subsection 9(1) of the </w:t>
      </w:r>
      <w:r w:rsidRPr="009E567A">
        <w:rPr>
          <w:i/>
          <w:iCs/>
          <w:color w:val="000000"/>
          <w:sz w:val="22"/>
          <w:szCs w:val="22"/>
        </w:rPr>
        <w:t>Human Rights (Parliamentary Scrutiny) Act 2011</w:t>
      </w:r>
      <w:r w:rsidRPr="009E567A">
        <w:rPr>
          <w:color w:val="000000"/>
          <w:sz w:val="22"/>
          <w:szCs w:val="22"/>
        </w:rPr>
        <w:t xml:space="preserve"> requires a rule maker in relation to a legislative instrument to which section 42 (disallowance) of the LA applies, to cause a statement of compatibility with human rights to be prepared in respect of that legislative instrument. </w:t>
      </w:r>
    </w:p>
    <w:p w14:paraId="0DA16F57" w14:textId="0CCC8BAE" w:rsidR="00B27C17" w:rsidRPr="009E567A" w:rsidRDefault="0011755B" w:rsidP="009E567A">
      <w:pPr>
        <w:pStyle w:val="NormalWeb"/>
        <w:spacing w:before="0" w:beforeAutospacing="0" w:after="160" w:afterAutospacing="0"/>
        <w:rPr>
          <w:color w:val="000000"/>
          <w:sz w:val="22"/>
          <w:szCs w:val="22"/>
        </w:rPr>
      </w:pPr>
      <w:r w:rsidRPr="009E567A">
        <w:rPr>
          <w:color w:val="000000"/>
          <w:sz w:val="22"/>
          <w:szCs w:val="22"/>
        </w:rPr>
        <w:t>This statement of compatibility has been prepared in accordance with that requirement.</w:t>
      </w:r>
    </w:p>
    <w:p w14:paraId="2238F7E8" w14:textId="16D4CADE" w:rsidR="001837B3" w:rsidRPr="00DF6472" w:rsidRDefault="001837B3" w:rsidP="00934831">
      <w:pPr>
        <w:rPr>
          <w:rFonts w:ascii="Times New Roman" w:hAnsi="Times New Roman" w:cs="Times New Roman"/>
          <w:b/>
          <w:bCs/>
          <w:i/>
          <w:iCs/>
        </w:rPr>
      </w:pPr>
      <w:r w:rsidRPr="00DF6472">
        <w:rPr>
          <w:rFonts w:ascii="Times New Roman" w:hAnsi="Times New Roman" w:cs="Times New Roman"/>
          <w:b/>
          <w:bCs/>
          <w:i/>
          <w:iCs/>
        </w:rPr>
        <w:t>Overview of the instrument</w:t>
      </w:r>
      <w:r w:rsidR="00B47EF4" w:rsidRPr="00DF6472">
        <w:rPr>
          <w:rFonts w:ascii="Times New Roman" w:hAnsi="Times New Roman" w:cs="Times New Roman"/>
          <w:b/>
          <w:bCs/>
          <w:i/>
          <w:iCs/>
        </w:rPr>
        <w:t xml:space="preserve"> </w:t>
      </w:r>
    </w:p>
    <w:p w14:paraId="0646BA03" w14:textId="771470A0" w:rsidR="002A1395" w:rsidRPr="009E567A" w:rsidRDefault="00B27C17" w:rsidP="009E567A">
      <w:pPr>
        <w:pStyle w:val="NormalWeb"/>
        <w:spacing w:before="0" w:beforeAutospacing="0" w:after="160" w:afterAutospacing="0"/>
        <w:rPr>
          <w:color w:val="000000"/>
          <w:sz w:val="22"/>
          <w:szCs w:val="22"/>
        </w:rPr>
      </w:pPr>
      <w:r w:rsidRPr="009E567A">
        <w:rPr>
          <w:color w:val="000000"/>
          <w:sz w:val="22"/>
          <w:szCs w:val="22"/>
        </w:rPr>
        <w:t xml:space="preserve">The purpose of the Amendment Determination is to set the total annual EME </w:t>
      </w:r>
      <w:r w:rsidR="00C95C73" w:rsidRPr="009E567A">
        <w:rPr>
          <w:color w:val="000000"/>
          <w:sz w:val="22"/>
          <w:szCs w:val="22"/>
        </w:rPr>
        <w:t>Component</w:t>
      </w:r>
      <w:r w:rsidRPr="009E567A">
        <w:rPr>
          <w:color w:val="000000"/>
          <w:sz w:val="22"/>
          <w:szCs w:val="22"/>
        </w:rPr>
        <w:t xml:space="preserve"> of spectrum licence tax imposed in the 202</w:t>
      </w:r>
      <w:r w:rsidR="00EB6267" w:rsidRPr="009E567A">
        <w:rPr>
          <w:color w:val="000000"/>
          <w:sz w:val="22"/>
          <w:szCs w:val="22"/>
        </w:rPr>
        <w:t>4</w:t>
      </w:r>
      <w:r w:rsidRPr="009E567A">
        <w:rPr>
          <w:color w:val="000000"/>
          <w:sz w:val="22"/>
          <w:szCs w:val="22"/>
        </w:rPr>
        <w:t>-2</w:t>
      </w:r>
      <w:r w:rsidR="00EB6267" w:rsidRPr="009E567A">
        <w:rPr>
          <w:color w:val="000000"/>
          <w:sz w:val="22"/>
          <w:szCs w:val="22"/>
        </w:rPr>
        <w:t>5</w:t>
      </w:r>
      <w:r w:rsidRPr="009E567A">
        <w:rPr>
          <w:color w:val="000000"/>
          <w:sz w:val="22"/>
          <w:szCs w:val="22"/>
        </w:rPr>
        <w:t xml:space="preserve"> financial year as </w:t>
      </w:r>
      <w:r w:rsidR="00FE6901" w:rsidRPr="009E567A">
        <w:rPr>
          <w:color w:val="000000"/>
          <w:sz w:val="22"/>
          <w:szCs w:val="22"/>
        </w:rPr>
        <w:t>$2,090,532</w:t>
      </w:r>
      <w:r w:rsidRPr="009E567A">
        <w:rPr>
          <w:color w:val="000000"/>
          <w:sz w:val="22"/>
          <w:szCs w:val="22"/>
        </w:rPr>
        <w:t>, consistent with</w:t>
      </w:r>
      <w:r w:rsidR="00FE6901" w:rsidRPr="009E567A">
        <w:rPr>
          <w:color w:val="000000"/>
          <w:sz w:val="22"/>
          <w:szCs w:val="22"/>
        </w:rPr>
        <w:t xml:space="preserve"> </w:t>
      </w:r>
      <w:r w:rsidR="00006295">
        <w:rPr>
          <w:color w:val="000000"/>
          <w:sz w:val="22"/>
          <w:szCs w:val="22"/>
        </w:rPr>
        <w:t xml:space="preserve">the terms </w:t>
      </w:r>
      <w:r w:rsidR="008465C0">
        <w:rPr>
          <w:color w:val="000000"/>
          <w:sz w:val="22"/>
          <w:szCs w:val="22"/>
        </w:rPr>
        <w:t xml:space="preserve">of </w:t>
      </w:r>
      <w:r w:rsidRPr="009E567A">
        <w:rPr>
          <w:color w:val="000000"/>
          <w:sz w:val="22"/>
          <w:szCs w:val="22"/>
        </w:rPr>
        <w:t>the Direction.</w:t>
      </w:r>
    </w:p>
    <w:p w14:paraId="15894BD3" w14:textId="1F3C313A" w:rsidR="00234BB1" w:rsidRPr="00DF6472" w:rsidRDefault="00234BB1" w:rsidP="00934831">
      <w:pPr>
        <w:rPr>
          <w:rFonts w:ascii="Times New Roman" w:hAnsi="Times New Roman" w:cs="Times New Roman"/>
          <w:b/>
          <w:bCs/>
          <w:i/>
          <w:iCs/>
        </w:rPr>
      </w:pPr>
      <w:r w:rsidRPr="00DF6472">
        <w:rPr>
          <w:rFonts w:ascii="Times New Roman" w:hAnsi="Times New Roman" w:cs="Times New Roman"/>
          <w:b/>
          <w:bCs/>
          <w:i/>
          <w:iCs/>
        </w:rPr>
        <w:t>Human rights implications</w:t>
      </w:r>
      <w:r w:rsidR="00B47EF4" w:rsidRPr="00DF6472">
        <w:rPr>
          <w:rFonts w:ascii="Times New Roman" w:hAnsi="Times New Roman" w:cs="Times New Roman"/>
          <w:b/>
          <w:bCs/>
          <w:i/>
          <w:iCs/>
        </w:rPr>
        <w:t xml:space="preserve"> </w:t>
      </w:r>
    </w:p>
    <w:p w14:paraId="1ED08697" w14:textId="77777777" w:rsidR="00F6491B" w:rsidRPr="009E567A" w:rsidRDefault="002A1395" w:rsidP="009E567A">
      <w:pPr>
        <w:pStyle w:val="NormalWeb"/>
        <w:spacing w:before="0" w:beforeAutospacing="0" w:after="160" w:afterAutospacing="0"/>
        <w:rPr>
          <w:color w:val="000000"/>
          <w:sz w:val="22"/>
          <w:szCs w:val="22"/>
        </w:rPr>
      </w:pPr>
      <w:r w:rsidRPr="009E567A">
        <w:rPr>
          <w:color w:val="000000"/>
          <w:sz w:val="22"/>
          <w:szCs w:val="22"/>
        </w:rPr>
        <w:t xml:space="preserve">The ACMA has assessed whether the Amendment Determination is compatible with human rights, being the rights and freedoms recognised or declared by the international instruments listed in subsection 3(1) of the </w:t>
      </w:r>
      <w:r w:rsidRPr="009E567A">
        <w:rPr>
          <w:i/>
          <w:iCs/>
          <w:color w:val="000000"/>
          <w:sz w:val="22"/>
          <w:szCs w:val="22"/>
        </w:rPr>
        <w:t>Human Rights (Parliamentary Scrutiny) Act 2011</w:t>
      </w:r>
      <w:r w:rsidRPr="009E567A">
        <w:rPr>
          <w:color w:val="000000"/>
          <w:sz w:val="22"/>
          <w:szCs w:val="22"/>
        </w:rPr>
        <w:t xml:space="preserve"> as they apply to Australia. </w:t>
      </w:r>
    </w:p>
    <w:p w14:paraId="5A07F960" w14:textId="2E797B5D" w:rsidR="00C754C3" w:rsidRPr="009E567A" w:rsidRDefault="002A1395" w:rsidP="009E567A">
      <w:pPr>
        <w:pStyle w:val="NormalWeb"/>
        <w:spacing w:before="0" w:beforeAutospacing="0" w:after="160" w:afterAutospacing="0"/>
        <w:rPr>
          <w:color w:val="000000"/>
          <w:sz w:val="22"/>
          <w:szCs w:val="22"/>
        </w:rPr>
      </w:pPr>
      <w:r w:rsidRPr="009E567A">
        <w:rPr>
          <w:color w:val="000000"/>
          <w:sz w:val="22"/>
          <w:szCs w:val="22"/>
        </w:rPr>
        <w:t>Having considered the likely impact of the Amendment Determination and the nature of the applicable rights and freedoms, the ACMA has formed the view that the instrument does not engage any of those rights or freedoms.</w:t>
      </w:r>
    </w:p>
    <w:p w14:paraId="0AF1254A" w14:textId="63394BEB" w:rsidR="00234BB1" w:rsidRPr="00DF6472" w:rsidRDefault="00234BB1" w:rsidP="00934831">
      <w:pPr>
        <w:rPr>
          <w:rFonts w:ascii="Times New Roman" w:hAnsi="Times New Roman" w:cs="Times New Roman"/>
          <w:b/>
          <w:bCs/>
          <w:i/>
          <w:iCs/>
        </w:rPr>
      </w:pPr>
      <w:r w:rsidRPr="00DF6472">
        <w:rPr>
          <w:rFonts w:ascii="Times New Roman" w:hAnsi="Times New Roman" w:cs="Times New Roman"/>
          <w:b/>
          <w:bCs/>
          <w:i/>
          <w:iCs/>
        </w:rPr>
        <w:t xml:space="preserve">Conclusion </w:t>
      </w:r>
    </w:p>
    <w:p w14:paraId="5CB880DD" w14:textId="6614EB81" w:rsidR="00FB07B0" w:rsidRDefault="00C754C3" w:rsidP="009E567A">
      <w:pPr>
        <w:pStyle w:val="NormalWeb"/>
        <w:spacing w:before="0" w:beforeAutospacing="0" w:after="160" w:afterAutospacing="0"/>
        <w:rPr>
          <w:color w:val="000000"/>
          <w:sz w:val="22"/>
          <w:szCs w:val="22"/>
        </w:rPr>
      </w:pPr>
      <w:r w:rsidRPr="009E567A">
        <w:rPr>
          <w:color w:val="000000"/>
          <w:sz w:val="22"/>
          <w:szCs w:val="22"/>
        </w:rPr>
        <w:t>The Amendment Determination is compatible with human rights and freedoms as it does not raise any human rights issues.</w:t>
      </w:r>
    </w:p>
    <w:p w14:paraId="4B9BB244" w14:textId="77777777" w:rsidR="00FB07B0" w:rsidRDefault="00FB07B0">
      <w:pPr>
        <w:rPr>
          <w:rFonts w:ascii="Times New Roman" w:eastAsia="Times New Roman" w:hAnsi="Times New Roman" w:cs="Times New Roman"/>
          <w:color w:val="000000"/>
          <w:kern w:val="0"/>
          <w:lang w:eastAsia="en-AU"/>
          <w14:ligatures w14:val="none"/>
        </w:rPr>
      </w:pPr>
      <w:r>
        <w:rPr>
          <w:color w:val="000000"/>
        </w:rPr>
        <w:br w:type="page"/>
      </w:r>
    </w:p>
    <w:p w14:paraId="6B318700" w14:textId="77777777" w:rsidR="00C754C3" w:rsidRPr="009E567A" w:rsidRDefault="00C754C3" w:rsidP="009E567A">
      <w:pPr>
        <w:pStyle w:val="NormalWeb"/>
        <w:spacing w:before="0" w:beforeAutospacing="0" w:after="160" w:afterAutospacing="0"/>
        <w:rPr>
          <w:color w:val="000000"/>
          <w:sz w:val="22"/>
          <w:szCs w:val="22"/>
        </w:rPr>
      </w:pPr>
    </w:p>
    <w:p w14:paraId="2BA80018" w14:textId="77777777" w:rsidR="004F0079" w:rsidRPr="00D75DA6" w:rsidRDefault="004F0079" w:rsidP="004F0079">
      <w:pPr>
        <w:pStyle w:val="ArialHeading"/>
        <w:jc w:val="right"/>
        <w:rPr>
          <w:rFonts w:ascii="Times New Roman" w:hAnsi="Times New Roman" w:cs="Times New Roman"/>
          <w:b/>
          <w:bCs/>
          <w:sz w:val="28"/>
          <w:szCs w:val="28"/>
        </w:rPr>
      </w:pPr>
      <w:r w:rsidRPr="00D75DA6">
        <w:rPr>
          <w:rFonts w:ascii="Times New Roman" w:hAnsi="Times New Roman" w:cs="Times New Roman"/>
          <w:b/>
          <w:bCs/>
          <w:sz w:val="28"/>
          <w:szCs w:val="28"/>
        </w:rPr>
        <w:t>Attachment A</w:t>
      </w:r>
    </w:p>
    <w:p w14:paraId="2AD98435" w14:textId="21074222" w:rsidR="004F0079" w:rsidRPr="00D75DA6" w:rsidRDefault="004F0079" w:rsidP="004F0079">
      <w:pPr>
        <w:pStyle w:val="ArialHeading"/>
        <w:jc w:val="center"/>
        <w:rPr>
          <w:rFonts w:ascii="Times New Roman" w:hAnsi="Times New Roman" w:cs="Times New Roman"/>
          <w:b/>
          <w:bCs/>
          <w:i/>
          <w:iCs/>
          <w:sz w:val="28"/>
          <w:szCs w:val="28"/>
        </w:rPr>
      </w:pPr>
      <w:r w:rsidRPr="00D75DA6">
        <w:rPr>
          <w:rFonts w:ascii="Times New Roman" w:hAnsi="Times New Roman" w:cs="Times New Roman"/>
          <w:b/>
          <w:bCs/>
          <w:sz w:val="28"/>
          <w:szCs w:val="28"/>
        </w:rPr>
        <w:t xml:space="preserve">Notes to the </w:t>
      </w:r>
      <w:r w:rsidRPr="00D75DA6">
        <w:rPr>
          <w:rFonts w:ascii="Times New Roman" w:hAnsi="Times New Roman" w:cs="Times New Roman"/>
          <w:b/>
          <w:bCs/>
          <w:i/>
          <w:iCs/>
          <w:sz w:val="28"/>
          <w:szCs w:val="28"/>
        </w:rPr>
        <w:t>Radiocommunication</w:t>
      </w:r>
      <w:r w:rsidR="00510C9D">
        <w:rPr>
          <w:rFonts w:ascii="Times New Roman" w:hAnsi="Times New Roman" w:cs="Times New Roman"/>
          <w:b/>
          <w:bCs/>
          <w:i/>
          <w:iCs/>
          <w:sz w:val="28"/>
          <w:szCs w:val="28"/>
        </w:rPr>
        <w:t>s</w:t>
      </w:r>
      <w:r w:rsidRPr="00D75DA6">
        <w:rPr>
          <w:rFonts w:ascii="Times New Roman" w:hAnsi="Times New Roman" w:cs="Times New Roman"/>
          <w:b/>
          <w:bCs/>
          <w:i/>
          <w:iCs/>
          <w:sz w:val="28"/>
          <w:szCs w:val="28"/>
        </w:rPr>
        <w:t xml:space="preserve"> (Spectrum Licence Tax) Amendment Determination 202</w:t>
      </w:r>
      <w:r w:rsidR="000E46E2">
        <w:rPr>
          <w:rFonts w:ascii="Times New Roman" w:hAnsi="Times New Roman" w:cs="Times New Roman"/>
          <w:b/>
          <w:bCs/>
          <w:i/>
          <w:iCs/>
          <w:sz w:val="28"/>
          <w:szCs w:val="28"/>
        </w:rPr>
        <w:t>4</w:t>
      </w:r>
      <w:r w:rsidRPr="00D75DA6">
        <w:rPr>
          <w:rFonts w:ascii="Times New Roman" w:hAnsi="Times New Roman" w:cs="Times New Roman"/>
          <w:b/>
          <w:bCs/>
          <w:i/>
          <w:iCs/>
          <w:sz w:val="28"/>
          <w:szCs w:val="28"/>
        </w:rPr>
        <w:t xml:space="preserve"> (No. 1)</w:t>
      </w:r>
    </w:p>
    <w:p w14:paraId="3CFA448A" w14:textId="77777777" w:rsidR="004F0079" w:rsidRPr="008818B7" w:rsidRDefault="004F0079" w:rsidP="004F0079">
      <w:pPr>
        <w:spacing w:line="256" w:lineRule="auto"/>
        <w:rPr>
          <w:rFonts w:ascii="Times New Roman" w:hAnsi="Times New Roman" w:cs="Times New Roman"/>
          <w:b/>
        </w:rPr>
      </w:pPr>
      <w:r w:rsidRPr="008818B7">
        <w:rPr>
          <w:rFonts w:ascii="Times New Roman" w:hAnsi="Times New Roman" w:cs="Times New Roman"/>
          <w:b/>
        </w:rPr>
        <w:t>Section 1</w:t>
      </w:r>
      <w:r w:rsidRPr="008818B7">
        <w:rPr>
          <w:rFonts w:ascii="Times New Roman" w:hAnsi="Times New Roman" w:cs="Times New Roman"/>
          <w:b/>
        </w:rPr>
        <w:tab/>
        <w:t>Name</w:t>
      </w:r>
    </w:p>
    <w:p w14:paraId="6824445D" w14:textId="7324F979" w:rsidR="004F0079" w:rsidRPr="008818B7" w:rsidRDefault="004F0079" w:rsidP="004F0079">
      <w:pPr>
        <w:spacing w:line="256" w:lineRule="auto"/>
        <w:rPr>
          <w:rFonts w:ascii="Times New Roman" w:hAnsi="Times New Roman" w:cs="Times New Roman"/>
        </w:rPr>
      </w:pPr>
      <w:r w:rsidRPr="008818B7">
        <w:rPr>
          <w:rFonts w:ascii="Times New Roman" w:hAnsi="Times New Roman" w:cs="Times New Roman"/>
        </w:rPr>
        <w:t xml:space="preserve">This section provides for the Amendment Determination to be cited as the </w:t>
      </w:r>
      <w:r w:rsidR="00491886" w:rsidRPr="008818B7">
        <w:rPr>
          <w:rFonts w:ascii="Times New Roman" w:hAnsi="Times New Roman" w:cs="Times New Roman"/>
          <w:i/>
          <w:iCs/>
        </w:rPr>
        <w:t>Radiocommunications (Spectrum Licence Tax) Amendment Determination 2024 (No. 1)</w:t>
      </w:r>
      <w:r w:rsidRPr="008818B7">
        <w:rPr>
          <w:rFonts w:ascii="Times New Roman" w:hAnsi="Times New Roman" w:cs="Times New Roman"/>
        </w:rPr>
        <w:t xml:space="preserve">. </w:t>
      </w:r>
    </w:p>
    <w:p w14:paraId="525F82A5" w14:textId="77777777" w:rsidR="004F0079" w:rsidRPr="008818B7" w:rsidRDefault="004F0079" w:rsidP="004F0079">
      <w:pPr>
        <w:spacing w:line="256" w:lineRule="auto"/>
        <w:rPr>
          <w:rFonts w:ascii="Times New Roman" w:hAnsi="Times New Roman" w:cs="Times New Roman"/>
          <w:b/>
        </w:rPr>
      </w:pPr>
      <w:r w:rsidRPr="008818B7">
        <w:rPr>
          <w:rFonts w:ascii="Times New Roman" w:hAnsi="Times New Roman" w:cs="Times New Roman"/>
          <w:b/>
        </w:rPr>
        <w:t>Section 2</w:t>
      </w:r>
      <w:r w:rsidRPr="008818B7">
        <w:rPr>
          <w:rFonts w:ascii="Times New Roman" w:hAnsi="Times New Roman" w:cs="Times New Roman"/>
          <w:b/>
        </w:rPr>
        <w:tab/>
        <w:t>Commencement</w:t>
      </w:r>
    </w:p>
    <w:p w14:paraId="3523CC22" w14:textId="77777777" w:rsidR="004F0079" w:rsidRPr="00DF6472" w:rsidRDefault="004F0079" w:rsidP="004F0079">
      <w:pPr>
        <w:rPr>
          <w:rFonts w:ascii="Times New Roman" w:hAnsi="Times New Roman" w:cs="Times New Roman"/>
          <w:lang w:eastAsia="en-AU"/>
        </w:rPr>
      </w:pPr>
      <w:r w:rsidRPr="008818B7">
        <w:rPr>
          <w:rFonts w:ascii="Times New Roman" w:hAnsi="Times New Roman" w:cs="Times New Roman"/>
        </w:rPr>
        <w:t xml:space="preserve">This section provides for the Amendment Determination to commence </w:t>
      </w:r>
      <w:r w:rsidRPr="008818B7">
        <w:rPr>
          <w:rFonts w:ascii="Times New Roman" w:hAnsi="Times New Roman" w:cs="Times New Roman"/>
          <w:lang w:eastAsia="en-AU"/>
        </w:rPr>
        <w:t>at the start of the day after the day it is registered on the Federal Register of Legislation.</w:t>
      </w:r>
    </w:p>
    <w:p w14:paraId="395B062D" w14:textId="77777777" w:rsidR="004F0079" w:rsidRPr="008818B7" w:rsidRDefault="004F0079" w:rsidP="004F0079">
      <w:pPr>
        <w:spacing w:line="256" w:lineRule="auto"/>
        <w:rPr>
          <w:rFonts w:ascii="Times New Roman" w:hAnsi="Times New Roman" w:cs="Times New Roman"/>
          <w:b/>
          <w:bCs/>
        </w:rPr>
      </w:pPr>
      <w:r w:rsidRPr="008818B7">
        <w:rPr>
          <w:rFonts w:ascii="Times New Roman" w:hAnsi="Times New Roman" w:cs="Times New Roman"/>
          <w:b/>
        </w:rPr>
        <w:t>Section 3</w:t>
      </w:r>
      <w:r w:rsidRPr="008818B7">
        <w:rPr>
          <w:rFonts w:ascii="Times New Roman" w:hAnsi="Times New Roman" w:cs="Times New Roman"/>
          <w:b/>
        </w:rPr>
        <w:tab/>
        <w:t>Authority</w:t>
      </w:r>
    </w:p>
    <w:p w14:paraId="7408AD4F" w14:textId="1C86DCE5" w:rsidR="004F0079" w:rsidRPr="008818B7" w:rsidRDefault="004F0079" w:rsidP="004F0079">
      <w:pPr>
        <w:rPr>
          <w:rFonts w:ascii="Times New Roman" w:hAnsi="Times New Roman" w:cs="Times New Roman"/>
        </w:rPr>
      </w:pPr>
      <w:r w:rsidRPr="008818B7">
        <w:rPr>
          <w:rFonts w:ascii="Times New Roman" w:hAnsi="Times New Roman" w:cs="Times New Roman"/>
        </w:rPr>
        <w:t>This section identifies the provision of the SLT Act that authorises the making of the Amendment Determination, namely, subsection 7(1).</w:t>
      </w:r>
    </w:p>
    <w:p w14:paraId="0BED9C0D" w14:textId="66318FBA" w:rsidR="004F0079" w:rsidRPr="008818B7" w:rsidRDefault="004F0079" w:rsidP="004F0079">
      <w:pPr>
        <w:spacing w:line="256" w:lineRule="auto"/>
        <w:rPr>
          <w:rFonts w:ascii="Times New Roman" w:hAnsi="Times New Roman" w:cs="Times New Roman"/>
          <w:b/>
        </w:rPr>
      </w:pPr>
      <w:r w:rsidRPr="008818B7">
        <w:rPr>
          <w:rFonts w:ascii="Times New Roman" w:hAnsi="Times New Roman" w:cs="Times New Roman"/>
          <w:b/>
        </w:rPr>
        <w:t>Section 4</w:t>
      </w:r>
      <w:r w:rsidRPr="008818B7">
        <w:rPr>
          <w:rFonts w:ascii="Times New Roman" w:hAnsi="Times New Roman" w:cs="Times New Roman"/>
          <w:b/>
        </w:rPr>
        <w:tab/>
        <w:t>Amendment</w:t>
      </w:r>
    </w:p>
    <w:p w14:paraId="35884503" w14:textId="77777777" w:rsidR="004F0079" w:rsidRPr="008818B7" w:rsidRDefault="004F0079" w:rsidP="004F0079">
      <w:pPr>
        <w:rPr>
          <w:rFonts w:ascii="Times New Roman" w:hAnsi="Times New Roman" w:cs="Times New Roman"/>
        </w:rPr>
      </w:pPr>
      <w:r w:rsidRPr="008818B7">
        <w:rPr>
          <w:rFonts w:ascii="Times New Roman" w:hAnsi="Times New Roman" w:cs="Times New Roman"/>
        </w:rPr>
        <w:t>This section provides that the instrument that is specified in Schedule 1 is amended as set out in that Schedule.</w:t>
      </w:r>
    </w:p>
    <w:p w14:paraId="47CC56F6" w14:textId="1663B81A" w:rsidR="004F0079" w:rsidRPr="008818B7" w:rsidRDefault="004F0079" w:rsidP="004F0079">
      <w:pPr>
        <w:spacing w:line="257" w:lineRule="auto"/>
        <w:rPr>
          <w:rFonts w:ascii="Times New Roman" w:hAnsi="Times New Roman" w:cs="Times New Roman"/>
          <w:b/>
        </w:rPr>
      </w:pPr>
      <w:r w:rsidRPr="008818B7">
        <w:rPr>
          <w:rFonts w:ascii="Times New Roman" w:hAnsi="Times New Roman" w:cs="Times New Roman"/>
          <w:b/>
        </w:rPr>
        <w:t>Schedule 1–Amendment</w:t>
      </w:r>
    </w:p>
    <w:p w14:paraId="46FDDE64" w14:textId="00C3450B" w:rsidR="004F0079" w:rsidRPr="008818B7" w:rsidRDefault="004F0079" w:rsidP="004F0079">
      <w:pPr>
        <w:pStyle w:val="Arialsub-subheading"/>
        <w:rPr>
          <w:rFonts w:ascii="Times New Roman" w:hAnsi="Times New Roman" w:cs="Times New Roman"/>
          <w:b/>
          <w:bCs/>
        </w:rPr>
      </w:pPr>
      <w:r w:rsidRPr="008818B7">
        <w:rPr>
          <w:rFonts w:ascii="Times New Roman" w:hAnsi="Times New Roman" w:cs="Times New Roman"/>
          <w:b/>
          <w:bCs/>
        </w:rPr>
        <w:t xml:space="preserve">Item </w:t>
      </w:r>
      <w:r w:rsidR="00491886" w:rsidRPr="008818B7">
        <w:rPr>
          <w:rFonts w:ascii="Times New Roman" w:hAnsi="Times New Roman" w:cs="Times New Roman"/>
          <w:b/>
          <w:bCs/>
        </w:rPr>
        <w:t>1</w:t>
      </w:r>
    </w:p>
    <w:p w14:paraId="144982B0" w14:textId="2B9FCC30" w:rsidR="004F0079" w:rsidRPr="008818B7" w:rsidRDefault="004F0079" w:rsidP="004F0079">
      <w:pPr>
        <w:rPr>
          <w:rFonts w:ascii="Times New Roman" w:hAnsi="Times New Roman" w:cs="Times New Roman"/>
        </w:rPr>
      </w:pPr>
      <w:r w:rsidRPr="008818B7">
        <w:rPr>
          <w:rFonts w:ascii="Times New Roman" w:hAnsi="Times New Roman" w:cs="Times New Roman"/>
        </w:rPr>
        <w:t xml:space="preserve">Item </w:t>
      </w:r>
      <w:r w:rsidR="00C618A7" w:rsidRPr="008818B7">
        <w:rPr>
          <w:rFonts w:ascii="Times New Roman" w:hAnsi="Times New Roman" w:cs="Times New Roman"/>
        </w:rPr>
        <w:t>1</w:t>
      </w:r>
      <w:r w:rsidRPr="008818B7">
        <w:rPr>
          <w:rFonts w:ascii="Times New Roman" w:hAnsi="Times New Roman" w:cs="Times New Roman"/>
        </w:rPr>
        <w:t xml:space="preserve"> amends clause 1 of Schedule 2 to the Determination to specify the total EME </w:t>
      </w:r>
      <w:r w:rsidR="00AF0963" w:rsidRPr="00DF6472">
        <w:rPr>
          <w:rFonts w:ascii="Times New Roman" w:hAnsi="Times New Roman" w:cs="Times New Roman"/>
        </w:rPr>
        <w:t>C</w:t>
      </w:r>
      <w:r w:rsidRPr="008818B7">
        <w:rPr>
          <w:rFonts w:ascii="Times New Roman" w:hAnsi="Times New Roman" w:cs="Times New Roman"/>
        </w:rPr>
        <w:t>omponent for the 202</w:t>
      </w:r>
      <w:r w:rsidR="00C618A7" w:rsidRPr="008818B7">
        <w:rPr>
          <w:rFonts w:ascii="Times New Roman" w:hAnsi="Times New Roman" w:cs="Times New Roman"/>
        </w:rPr>
        <w:t>4</w:t>
      </w:r>
      <w:r w:rsidRPr="008818B7">
        <w:rPr>
          <w:rFonts w:ascii="Times New Roman" w:hAnsi="Times New Roman" w:cs="Times New Roman"/>
        </w:rPr>
        <w:t>-202</w:t>
      </w:r>
      <w:r w:rsidR="00C618A7" w:rsidRPr="008818B7">
        <w:rPr>
          <w:rFonts w:ascii="Times New Roman" w:hAnsi="Times New Roman" w:cs="Times New Roman"/>
        </w:rPr>
        <w:t>5</w:t>
      </w:r>
      <w:r w:rsidRPr="008818B7">
        <w:rPr>
          <w:rFonts w:ascii="Times New Roman" w:hAnsi="Times New Roman" w:cs="Times New Roman"/>
        </w:rPr>
        <w:t xml:space="preserve"> financial year to be </w:t>
      </w:r>
      <w:r w:rsidR="00890480" w:rsidRPr="00DF6472">
        <w:rPr>
          <w:rFonts w:ascii="Times New Roman" w:hAnsi="Times New Roman" w:cs="Times New Roman"/>
        </w:rPr>
        <w:t>$2,090,532</w:t>
      </w:r>
      <w:r w:rsidRPr="008818B7">
        <w:rPr>
          <w:rFonts w:ascii="Times New Roman" w:hAnsi="Times New Roman" w:cs="Times New Roman"/>
        </w:rPr>
        <w:t xml:space="preserve">. </w:t>
      </w:r>
    </w:p>
    <w:p w14:paraId="5FD5D928" w14:textId="6BB93740" w:rsidR="00FE7D3F" w:rsidRPr="00C91E81" w:rsidRDefault="00FE7D3F" w:rsidP="00AC45C2">
      <w:pPr>
        <w:jc w:val="center"/>
        <w:rPr>
          <w:rFonts w:ascii="Times New Roman" w:hAnsi="Times New Roman" w:cs="Times New Roman"/>
          <w:b/>
          <w:bCs/>
          <w:sz w:val="24"/>
          <w:szCs w:val="24"/>
          <w:u w:val="single"/>
        </w:rPr>
      </w:pPr>
    </w:p>
    <w:sectPr w:rsidR="00FE7D3F" w:rsidRPr="00C91E81" w:rsidSect="00E43FD6">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B6E6" w14:textId="77777777" w:rsidR="009063DE" w:rsidRDefault="009063DE" w:rsidP="002448A1">
      <w:pPr>
        <w:spacing w:after="0" w:line="240" w:lineRule="auto"/>
      </w:pPr>
      <w:r>
        <w:separator/>
      </w:r>
    </w:p>
  </w:endnote>
  <w:endnote w:type="continuationSeparator" w:id="0">
    <w:p w14:paraId="3D75252A" w14:textId="77777777" w:rsidR="009063DE" w:rsidRDefault="009063DE" w:rsidP="002448A1">
      <w:pPr>
        <w:spacing w:after="0" w:line="240" w:lineRule="auto"/>
      </w:pPr>
      <w:r>
        <w:continuationSeparator/>
      </w:r>
    </w:p>
  </w:endnote>
  <w:endnote w:type="continuationNotice" w:id="1">
    <w:p w14:paraId="21BF83E5" w14:textId="77777777" w:rsidR="009063DE" w:rsidRDefault="00906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69C" w14:textId="77777777" w:rsidR="00073A4F" w:rsidRDefault="00073A4F" w:rsidP="00DF6472">
    <w:pPr>
      <w:spacing w:after="0"/>
      <w:jc w:val="center"/>
      <w:rPr>
        <w:rFonts w:ascii="Times New Roman" w:hAnsi="Times New Roman" w:cs="Times New Roman"/>
        <w:bCs/>
        <w:i/>
      </w:rPr>
    </w:pPr>
    <w:r>
      <w:rPr>
        <w:rFonts w:ascii="Times New Roman" w:hAnsi="Times New Roman" w:cs="Times New Roman"/>
        <w:bCs/>
        <w:i/>
        <w:noProof/>
      </w:rPr>
      <mc:AlternateContent>
        <mc:Choice Requires="wps">
          <w:drawing>
            <wp:anchor distT="0" distB="0" distL="114300" distR="114300" simplePos="0" relativeHeight="251661312" behindDoc="0" locked="0" layoutInCell="1" allowOverlap="1" wp14:anchorId="735B6A66" wp14:editId="150DB5C1">
              <wp:simplePos x="0" y="0"/>
              <wp:positionH relativeFrom="column">
                <wp:posOffset>-4763</wp:posOffset>
              </wp:positionH>
              <wp:positionV relativeFrom="paragraph">
                <wp:posOffset>-1587</wp:posOffset>
              </wp:positionV>
              <wp:extent cx="5762625" cy="0"/>
              <wp:effectExtent l="0" t="0" r="0" b="0"/>
              <wp:wrapNone/>
              <wp:docPr id="110667968" name="Straight Connector 2"/>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CC81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1pt" to="45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zP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" strokecolor="black [3200]" strokeweight=".5pt">
              <v:stroke joinstyle="miter"/>
            </v:line>
          </w:pict>
        </mc:Fallback>
      </mc:AlternateContent>
    </w:r>
  </w:p>
  <w:p w14:paraId="265837D8" w14:textId="77777777" w:rsidR="00073A4F" w:rsidRPr="00697E52" w:rsidRDefault="00073A4F" w:rsidP="00073A4F">
    <w:pPr>
      <w:jc w:val="center"/>
      <w:rPr>
        <w:rFonts w:ascii="Times New Roman" w:hAnsi="Times New Roman" w:cs="Times New Roman"/>
        <w:bCs/>
        <w:i/>
      </w:rPr>
    </w:pPr>
    <w:r>
      <w:rPr>
        <w:rFonts w:ascii="Times New Roman" w:hAnsi="Times New Roman" w:cs="Times New Roman"/>
        <w:bCs/>
        <w:i/>
      </w:rPr>
      <w:t xml:space="preserve">Explanatory Statement to the </w:t>
    </w:r>
    <w:r w:rsidRPr="00697E52">
      <w:rPr>
        <w:rFonts w:ascii="Times New Roman" w:hAnsi="Times New Roman" w:cs="Times New Roman"/>
        <w:bCs/>
        <w:i/>
      </w:rPr>
      <w:t>Radiocommunications (</w:t>
    </w:r>
    <w:r>
      <w:rPr>
        <w:rFonts w:ascii="Times New Roman" w:hAnsi="Times New Roman" w:cs="Times New Roman"/>
        <w:bCs/>
        <w:i/>
      </w:rPr>
      <w:t>Spectrum Licence Tax</w:t>
    </w:r>
    <w:r w:rsidRPr="00697E52">
      <w:rPr>
        <w:rFonts w:ascii="Times New Roman" w:hAnsi="Times New Roman" w:cs="Times New Roman"/>
        <w:bCs/>
        <w:i/>
      </w:rPr>
      <w:t xml:space="preserve">) Amendment </w:t>
    </w:r>
    <w:r>
      <w:rPr>
        <w:rFonts w:ascii="Times New Roman" w:hAnsi="Times New Roman" w:cs="Times New Roman"/>
        <w:bCs/>
        <w:i/>
      </w:rPr>
      <w:t>Determination</w:t>
    </w:r>
    <w:r w:rsidRPr="00697E52">
      <w:rPr>
        <w:rFonts w:ascii="Times New Roman" w:hAnsi="Times New Roman" w:cs="Times New Roman"/>
        <w:bCs/>
        <w:i/>
      </w:rPr>
      <w:t xml:space="preserve"> 202</w:t>
    </w:r>
    <w:r>
      <w:rPr>
        <w:rFonts w:ascii="Times New Roman" w:hAnsi="Times New Roman" w:cs="Times New Roman"/>
        <w:bCs/>
        <w:i/>
      </w:rPr>
      <w:t>4 (No. 1)</w:t>
    </w:r>
  </w:p>
  <w:p w14:paraId="216323A6" w14:textId="77777777" w:rsidR="00073A4F" w:rsidRDefault="00073A4F" w:rsidP="00073A4F">
    <w:pPr>
      <w:pStyle w:val="Footer"/>
      <w:jc w:val="right"/>
    </w:pPr>
    <w:r w:rsidRPr="001049B7">
      <w:rPr>
        <w:rFonts w:ascii="Times New Roman" w:hAnsi="Times New Roman" w:cs="Times New Roman"/>
      </w:rPr>
      <w:fldChar w:fldCharType="begin"/>
    </w:r>
    <w:r w:rsidRPr="001049B7">
      <w:rPr>
        <w:rFonts w:ascii="Times New Roman" w:hAnsi="Times New Roman" w:cs="Times New Roman"/>
      </w:rPr>
      <w:instrText xml:space="preserve"> PAGE  \* Arabic  \* MERGEFORMAT </w:instrText>
    </w:r>
    <w:r w:rsidRPr="001049B7">
      <w:rPr>
        <w:rFonts w:ascii="Times New Roman" w:hAnsi="Times New Roman" w:cs="Times New Roman"/>
      </w:rPr>
      <w:fldChar w:fldCharType="separate"/>
    </w:r>
    <w:r>
      <w:rPr>
        <w:rFonts w:ascii="Times New Roman" w:hAnsi="Times New Roman" w:cs="Times New Roman"/>
      </w:rPr>
      <w:t>4</w:t>
    </w:r>
    <w:r w:rsidRPr="001049B7">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E629" w14:textId="77777777" w:rsidR="00AF6A00" w:rsidRDefault="00AF6A00" w:rsidP="00DF64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94D7" w14:textId="77777777" w:rsidR="009063DE" w:rsidRDefault="009063DE" w:rsidP="002448A1">
      <w:pPr>
        <w:spacing w:after="0" w:line="240" w:lineRule="auto"/>
      </w:pPr>
      <w:r>
        <w:separator/>
      </w:r>
    </w:p>
  </w:footnote>
  <w:footnote w:type="continuationSeparator" w:id="0">
    <w:p w14:paraId="45C463CB" w14:textId="77777777" w:rsidR="009063DE" w:rsidRDefault="009063DE" w:rsidP="002448A1">
      <w:pPr>
        <w:spacing w:after="0" w:line="240" w:lineRule="auto"/>
      </w:pPr>
      <w:r>
        <w:continuationSeparator/>
      </w:r>
    </w:p>
  </w:footnote>
  <w:footnote w:type="continuationNotice" w:id="1">
    <w:p w14:paraId="08117047" w14:textId="77777777" w:rsidR="009063DE" w:rsidRDefault="009063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24E2"/>
    <w:multiLevelType w:val="hybridMultilevel"/>
    <w:tmpl w:val="59B84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613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DC"/>
    <w:rsid w:val="000029C8"/>
    <w:rsid w:val="00003282"/>
    <w:rsid w:val="00006295"/>
    <w:rsid w:val="00006DE4"/>
    <w:rsid w:val="00007280"/>
    <w:rsid w:val="00010997"/>
    <w:rsid w:val="00012838"/>
    <w:rsid w:val="00025605"/>
    <w:rsid w:val="00025FAA"/>
    <w:rsid w:val="000344EA"/>
    <w:rsid w:val="000362E9"/>
    <w:rsid w:val="00037721"/>
    <w:rsid w:val="0004002A"/>
    <w:rsid w:val="000409D9"/>
    <w:rsid w:val="00044AFB"/>
    <w:rsid w:val="000539E5"/>
    <w:rsid w:val="00055107"/>
    <w:rsid w:val="00057029"/>
    <w:rsid w:val="00064CD9"/>
    <w:rsid w:val="000704E4"/>
    <w:rsid w:val="00073A4F"/>
    <w:rsid w:val="00073F7B"/>
    <w:rsid w:val="00073F8C"/>
    <w:rsid w:val="00077D77"/>
    <w:rsid w:val="00080E75"/>
    <w:rsid w:val="000837A9"/>
    <w:rsid w:val="00094323"/>
    <w:rsid w:val="000A385E"/>
    <w:rsid w:val="000A5F41"/>
    <w:rsid w:val="000C24D2"/>
    <w:rsid w:val="000C735B"/>
    <w:rsid w:val="000E3F6B"/>
    <w:rsid w:val="000E46E2"/>
    <w:rsid w:val="000E7509"/>
    <w:rsid w:val="000F0667"/>
    <w:rsid w:val="000F0F75"/>
    <w:rsid w:val="000F1BAF"/>
    <w:rsid w:val="000F26A6"/>
    <w:rsid w:val="000F4668"/>
    <w:rsid w:val="0010097B"/>
    <w:rsid w:val="0011239D"/>
    <w:rsid w:val="001128DE"/>
    <w:rsid w:val="0011755B"/>
    <w:rsid w:val="0013277C"/>
    <w:rsid w:val="001451D5"/>
    <w:rsid w:val="00155769"/>
    <w:rsid w:val="001706BF"/>
    <w:rsid w:val="001837B3"/>
    <w:rsid w:val="00183EF2"/>
    <w:rsid w:val="001947FB"/>
    <w:rsid w:val="00194BC5"/>
    <w:rsid w:val="001B2E27"/>
    <w:rsid w:val="001C5461"/>
    <w:rsid w:val="001C79EF"/>
    <w:rsid w:val="001D4FC1"/>
    <w:rsid w:val="001E4091"/>
    <w:rsid w:val="001E4F90"/>
    <w:rsid w:val="0022026F"/>
    <w:rsid w:val="00224040"/>
    <w:rsid w:val="002244FD"/>
    <w:rsid w:val="00224893"/>
    <w:rsid w:val="0022712E"/>
    <w:rsid w:val="00234BB1"/>
    <w:rsid w:val="002412C7"/>
    <w:rsid w:val="00243B2C"/>
    <w:rsid w:val="002448A1"/>
    <w:rsid w:val="00245F9F"/>
    <w:rsid w:val="002503FA"/>
    <w:rsid w:val="00252CFE"/>
    <w:rsid w:val="002620E6"/>
    <w:rsid w:val="00276055"/>
    <w:rsid w:val="00287D47"/>
    <w:rsid w:val="002909C0"/>
    <w:rsid w:val="002934A9"/>
    <w:rsid w:val="00295723"/>
    <w:rsid w:val="00295C03"/>
    <w:rsid w:val="002A0E65"/>
    <w:rsid w:val="002A1395"/>
    <w:rsid w:val="002B76C9"/>
    <w:rsid w:val="002C3B2F"/>
    <w:rsid w:val="002C62E1"/>
    <w:rsid w:val="002E0BE1"/>
    <w:rsid w:val="002F5EB6"/>
    <w:rsid w:val="00310D55"/>
    <w:rsid w:val="003111BB"/>
    <w:rsid w:val="00316C4A"/>
    <w:rsid w:val="0032084C"/>
    <w:rsid w:val="0032659D"/>
    <w:rsid w:val="003329BA"/>
    <w:rsid w:val="00332CAD"/>
    <w:rsid w:val="00332D9C"/>
    <w:rsid w:val="00336464"/>
    <w:rsid w:val="00340C42"/>
    <w:rsid w:val="00343CA0"/>
    <w:rsid w:val="00347554"/>
    <w:rsid w:val="00366907"/>
    <w:rsid w:val="00374293"/>
    <w:rsid w:val="00374575"/>
    <w:rsid w:val="00377658"/>
    <w:rsid w:val="0039094A"/>
    <w:rsid w:val="00393815"/>
    <w:rsid w:val="003977BB"/>
    <w:rsid w:val="003A17B3"/>
    <w:rsid w:val="003A1F2A"/>
    <w:rsid w:val="003A558F"/>
    <w:rsid w:val="003A7147"/>
    <w:rsid w:val="003B0941"/>
    <w:rsid w:val="003B0E77"/>
    <w:rsid w:val="003B3A35"/>
    <w:rsid w:val="003C0C0D"/>
    <w:rsid w:val="003C1613"/>
    <w:rsid w:val="003C16C0"/>
    <w:rsid w:val="003C2548"/>
    <w:rsid w:val="003D13E2"/>
    <w:rsid w:val="003E172B"/>
    <w:rsid w:val="003E32B4"/>
    <w:rsid w:val="003F36A3"/>
    <w:rsid w:val="003F36B7"/>
    <w:rsid w:val="004012DD"/>
    <w:rsid w:val="00405035"/>
    <w:rsid w:val="00407349"/>
    <w:rsid w:val="004121FC"/>
    <w:rsid w:val="00422704"/>
    <w:rsid w:val="004300D0"/>
    <w:rsid w:val="00434755"/>
    <w:rsid w:val="004373D9"/>
    <w:rsid w:val="004377CE"/>
    <w:rsid w:val="00437BA4"/>
    <w:rsid w:val="0045093C"/>
    <w:rsid w:val="00456A6C"/>
    <w:rsid w:val="00470C1F"/>
    <w:rsid w:val="00477B22"/>
    <w:rsid w:val="00482104"/>
    <w:rsid w:val="00491886"/>
    <w:rsid w:val="0049364B"/>
    <w:rsid w:val="004940C5"/>
    <w:rsid w:val="00496557"/>
    <w:rsid w:val="00497BED"/>
    <w:rsid w:val="004B0690"/>
    <w:rsid w:val="004B1AC7"/>
    <w:rsid w:val="004B23B1"/>
    <w:rsid w:val="004B4372"/>
    <w:rsid w:val="004B65BB"/>
    <w:rsid w:val="004C0C34"/>
    <w:rsid w:val="004C2940"/>
    <w:rsid w:val="004C40ED"/>
    <w:rsid w:val="004D079F"/>
    <w:rsid w:val="004D2945"/>
    <w:rsid w:val="004D2C42"/>
    <w:rsid w:val="004D49E8"/>
    <w:rsid w:val="004D4CAB"/>
    <w:rsid w:val="004D4E11"/>
    <w:rsid w:val="004D51FB"/>
    <w:rsid w:val="004D6353"/>
    <w:rsid w:val="004E0700"/>
    <w:rsid w:val="004E0D6F"/>
    <w:rsid w:val="004F0079"/>
    <w:rsid w:val="004F028A"/>
    <w:rsid w:val="005005BB"/>
    <w:rsid w:val="00502C36"/>
    <w:rsid w:val="00507CAC"/>
    <w:rsid w:val="00510C9D"/>
    <w:rsid w:val="0051563E"/>
    <w:rsid w:val="0051672F"/>
    <w:rsid w:val="00522AF1"/>
    <w:rsid w:val="0052547D"/>
    <w:rsid w:val="00541C6C"/>
    <w:rsid w:val="00546E21"/>
    <w:rsid w:val="00547764"/>
    <w:rsid w:val="005512C3"/>
    <w:rsid w:val="00554FD2"/>
    <w:rsid w:val="00571234"/>
    <w:rsid w:val="00576FD0"/>
    <w:rsid w:val="00581675"/>
    <w:rsid w:val="0058272D"/>
    <w:rsid w:val="00583E32"/>
    <w:rsid w:val="005A6A70"/>
    <w:rsid w:val="005C1586"/>
    <w:rsid w:val="005C4EAC"/>
    <w:rsid w:val="005C7E60"/>
    <w:rsid w:val="005D29E0"/>
    <w:rsid w:val="005E4B9A"/>
    <w:rsid w:val="005E64EB"/>
    <w:rsid w:val="005F64DC"/>
    <w:rsid w:val="006057A9"/>
    <w:rsid w:val="006078CF"/>
    <w:rsid w:val="0062105F"/>
    <w:rsid w:val="00626CF7"/>
    <w:rsid w:val="00641ABC"/>
    <w:rsid w:val="00644CFA"/>
    <w:rsid w:val="006600D9"/>
    <w:rsid w:val="00664142"/>
    <w:rsid w:val="00675142"/>
    <w:rsid w:val="006774DB"/>
    <w:rsid w:val="006821AD"/>
    <w:rsid w:val="00691387"/>
    <w:rsid w:val="00691A0E"/>
    <w:rsid w:val="006925F5"/>
    <w:rsid w:val="006970D6"/>
    <w:rsid w:val="006A33E1"/>
    <w:rsid w:val="006B3820"/>
    <w:rsid w:val="006C7C7C"/>
    <w:rsid w:val="006E1A3A"/>
    <w:rsid w:val="006E6BFF"/>
    <w:rsid w:val="006F4483"/>
    <w:rsid w:val="00712BD8"/>
    <w:rsid w:val="0072244E"/>
    <w:rsid w:val="0073241F"/>
    <w:rsid w:val="007327E9"/>
    <w:rsid w:val="00760EFA"/>
    <w:rsid w:val="007641E2"/>
    <w:rsid w:val="00764B4C"/>
    <w:rsid w:val="00767ADA"/>
    <w:rsid w:val="00787CDE"/>
    <w:rsid w:val="00794447"/>
    <w:rsid w:val="007A4E7B"/>
    <w:rsid w:val="007A74F2"/>
    <w:rsid w:val="007B7DC9"/>
    <w:rsid w:val="007C4A41"/>
    <w:rsid w:val="007C54E3"/>
    <w:rsid w:val="007D362C"/>
    <w:rsid w:val="007E58A2"/>
    <w:rsid w:val="007E5BC1"/>
    <w:rsid w:val="007E7EB5"/>
    <w:rsid w:val="007F1EF5"/>
    <w:rsid w:val="008178B9"/>
    <w:rsid w:val="0082129D"/>
    <w:rsid w:val="008219FB"/>
    <w:rsid w:val="00825399"/>
    <w:rsid w:val="00827F96"/>
    <w:rsid w:val="00830575"/>
    <w:rsid w:val="0083432B"/>
    <w:rsid w:val="00835588"/>
    <w:rsid w:val="00844148"/>
    <w:rsid w:val="008453C2"/>
    <w:rsid w:val="008465C0"/>
    <w:rsid w:val="0085089F"/>
    <w:rsid w:val="00852EE4"/>
    <w:rsid w:val="00853F27"/>
    <w:rsid w:val="0085492B"/>
    <w:rsid w:val="008565AA"/>
    <w:rsid w:val="00857357"/>
    <w:rsid w:val="0086157E"/>
    <w:rsid w:val="0086321C"/>
    <w:rsid w:val="00866FD4"/>
    <w:rsid w:val="008715A9"/>
    <w:rsid w:val="008718CA"/>
    <w:rsid w:val="008733AD"/>
    <w:rsid w:val="0087442D"/>
    <w:rsid w:val="008818B7"/>
    <w:rsid w:val="00890480"/>
    <w:rsid w:val="00892078"/>
    <w:rsid w:val="00893ACA"/>
    <w:rsid w:val="008A0A94"/>
    <w:rsid w:val="008A1788"/>
    <w:rsid w:val="008A1CA3"/>
    <w:rsid w:val="008A1D64"/>
    <w:rsid w:val="008A31F2"/>
    <w:rsid w:val="008A37FD"/>
    <w:rsid w:val="008C35B6"/>
    <w:rsid w:val="008C4619"/>
    <w:rsid w:val="008D6688"/>
    <w:rsid w:val="008D6EFE"/>
    <w:rsid w:val="008D778F"/>
    <w:rsid w:val="008E1742"/>
    <w:rsid w:val="008F1C8C"/>
    <w:rsid w:val="008F7D18"/>
    <w:rsid w:val="009063DE"/>
    <w:rsid w:val="00910B69"/>
    <w:rsid w:val="009201D3"/>
    <w:rsid w:val="009232EE"/>
    <w:rsid w:val="0092490C"/>
    <w:rsid w:val="00926343"/>
    <w:rsid w:val="00926928"/>
    <w:rsid w:val="00927529"/>
    <w:rsid w:val="00934831"/>
    <w:rsid w:val="00940C4B"/>
    <w:rsid w:val="00945B5A"/>
    <w:rsid w:val="00952CCC"/>
    <w:rsid w:val="00953008"/>
    <w:rsid w:val="00953E81"/>
    <w:rsid w:val="009626AF"/>
    <w:rsid w:val="00962775"/>
    <w:rsid w:val="00964841"/>
    <w:rsid w:val="00965724"/>
    <w:rsid w:val="00972865"/>
    <w:rsid w:val="0097312C"/>
    <w:rsid w:val="009812A9"/>
    <w:rsid w:val="00982211"/>
    <w:rsid w:val="00984A2F"/>
    <w:rsid w:val="00985879"/>
    <w:rsid w:val="0098660A"/>
    <w:rsid w:val="009A3EAA"/>
    <w:rsid w:val="009C543F"/>
    <w:rsid w:val="009D1A6C"/>
    <w:rsid w:val="009E1755"/>
    <w:rsid w:val="009E359E"/>
    <w:rsid w:val="009E567A"/>
    <w:rsid w:val="009F1BEA"/>
    <w:rsid w:val="009F5602"/>
    <w:rsid w:val="00A0203E"/>
    <w:rsid w:val="00A12709"/>
    <w:rsid w:val="00A2198B"/>
    <w:rsid w:val="00A25AF6"/>
    <w:rsid w:val="00A30512"/>
    <w:rsid w:val="00A3150A"/>
    <w:rsid w:val="00A33934"/>
    <w:rsid w:val="00A4072A"/>
    <w:rsid w:val="00A41651"/>
    <w:rsid w:val="00A441C4"/>
    <w:rsid w:val="00A5131D"/>
    <w:rsid w:val="00A55800"/>
    <w:rsid w:val="00A56AC8"/>
    <w:rsid w:val="00A65C9D"/>
    <w:rsid w:val="00A7335E"/>
    <w:rsid w:val="00A83639"/>
    <w:rsid w:val="00A87BCD"/>
    <w:rsid w:val="00A9033D"/>
    <w:rsid w:val="00A914D4"/>
    <w:rsid w:val="00A91C6A"/>
    <w:rsid w:val="00A94195"/>
    <w:rsid w:val="00A95D84"/>
    <w:rsid w:val="00AA30D6"/>
    <w:rsid w:val="00AA4C73"/>
    <w:rsid w:val="00AA5C5A"/>
    <w:rsid w:val="00AA63CB"/>
    <w:rsid w:val="00AB27AE"/>
    <w:rsid w:val="00AB3675"/>
    <w:rsid w:val="00AC45C2"/>
    <w:rsid w:val="00AD0C94"/>
    <w:rsid w:val="00AD4819"/>
    <w:rsid w:val="00AF0963"/>
    <w:rsid w:val="00AF101D"/>
    <w:rsid w:val="00AF5F78"/>
    <w:rsid w:val="00AF6A00"/>
    <w:rsid w:val="00B00554"/>
    <w:rsid w:val="00B1064D"/>
    <w:rsid w:val="00B111F4"/>
    <w:rsid w:val="00B21686"/>
    <w:rsid w:val="00B257B4"/>
    <w:rsid w:val="00B27C17"/>
    <w:rsid w:val="00B27CF3"/>
    <w:rsid w:val="00B354C5"/>
    <w:rsid w:val="00B36677"/>
    <w:rsid w:val="00B47A28"/>
    <w:rsid w:val="00B47EF4"/>
    <w:rsid w:val="00B5154E"/>
    <w:rsid w:val="00B5479E"/>
    <w:rsid w:val="00B60C1C"/>
    <w:rsid w:val="00B61696"/>
    <w:rsid w:val="00B6170E"/>
    <w:rsid w:val="00B62FAF"/>
    <w:rsid w:val="00B64876"/>
    <w:rsid w:val="00B64AA7"/>
    <w:rsid w:val="00B7446B"/>
    <w:rsid w:val="00B751A8"/>
    <w:rsid w:val="00B9342A"/>
    <w:rsid w:val="00BA37A8"/>
    <w:rsid w:val="00BA554B"/>
    <w:rsid w:val="00BA7C1F"/>
    <w:rsid w:val="00BB40AB"/>
    <w:rsid w:val="00BB6227"/>
    <w:rsid w:val="00BC5C0C"/>
    <w:rsid w:val="00BC5F0E"/>
    <w:rsid w:val="00BD2368"/>
    <w:rsid w:val="00BD452F"/>
    <w:rsid w:val="00BF6B02"/>
    <w:rsid w:val="00C04291"/>
    <w:rsid w:val="00C145FE"/>
    <w:rsid w:val="00C15171"/>
    <w:rsid w:val="00C17F5B"/>
    <w:rsid w:val="00C20F4F"/>
    <w:rsid w:val="00C3289D"/>
    <w:rsid w:val="00C35331"/>
    <w:rsid w:val="00C43AC8"/>
    <w:rsid w:val="00C5069E"/>
    <w:rsid w:val="00C53746"/>
    <w:rsid w:val="00C57042"/>
    <w:rsid w:val="00C60A7B"/>
    <w:rsid w:val="00C60C00"/>
    <w:rsid w:val="00C618A7"/>
    <w:rsid w:val="00C62842"/>
    <w:rsid w:val="00C754C3"/>
    <w:rsid w:val="00C77687"/>
    <w:rsid w:val="00C779BA"/>
    <w:rsid w:val="00C867CA"/>
    <w:rsid w:val="00C874E0"/>
    <w:rsid w:val="00C91E81"/>
    <w:rsid w:val="00C95C73"/>
    <w:rsid w:val="00CA138D"/>
    <w:rsid w:val="00CA1CBF"/>
    <w:rsid w:val="00CA238B"/>
    <w:rsid w:val="00CA55EA"/>
    <w:rsid w:val="00CB435F"/>
    <w:rsid w:val="00CB4CC1"/>
    <w:rsid w:val="00CB750B"/>
    <w:rsid w:val="00CC7F3B"/>
    <w:rsid w:val="00CD0424"/>
    <w:rsid w:val="00CD3A84"/>
    <w:rsid w:val="00CD6DE0"/>
    <w:rsid w:val="00CE34C0"/>
    <w:rsid w:val="00CE36F9"/>
    <w:rsid w:val="00D01C05"/>
    <w:rsid w:val="00D0482B"/>
    <w:rsid w:val="00D05FA5"/>
    <w:rsid w:val="00D120C4"/>
    <w:rsid w:val="00D15CC7"/>
    <w:rsid w:val="00D21226"/>
    <w:rsid w:val="00D278BA"/>
    <w:rsid w:val="00D308CD"/>
    <w:rsid w:val="00D37441"/>
    <w:rsid w:val="00D37FC2"/>
    <w:rsid w:val="00D40361"/>
    <w:rsid w:val="00D42396"/>
    <w:rsid w:val="00D42B34"/>
    <w:rsid w:val="00D473AB"/>
    <w:rsid w:val="00D53681"/>
    <w:rsid w:val="00D54EC3"/>
    <w:rsid w:val="00D5653B"/>
    <w:rsid w:val="00D62119"/>
    <w:rsid w:val="00D64AB6"/>
    <w:rsid w:val="00D64DB0"/>
    <w:rsid w:val="00D72B72"/>
    <w:rsid w:val="00D74572"/>
    <w:rsid w:val="00D86F8B"/>
    <w:rsid w:val="00D9241D"/>
    <w:rsid w:val="00D92EBA"/>
    <w:rsid w:val="00D97102"/>
    <w:rsid w:val="00DA51DC"/>
    <w:rsid w:val="00DB0F03"/>
    <w:rsid w:val="00DB2794"/>
    <w:rsid w:val="00DB5926"/>
    <w:rsid w:val="00DC54BF"/>
    <w:rsid w:val="00DC5EB1"/>
    <w:rsid w:val="00DC7FDC"/>
    <w:rsid w:val="00DE1E61"/>
    <w:rsid w:val="00DE301D"/>
    <w:rsid w:val="00DE4633"/>
    <w:rsid w:val="00DE7671"/>
    <w:rsid w:val="00DF4D53"/>
    <w:rsid w:val="00DF6472"/>
    <w:rsid w:val="00DF7B26"/>
    <w:rsid w:val="00E04744"/>
    <w:rsid w:val="00E24E7E"/>
    <w:rsid w:val="00E3106C"/>
    <w:rsid w:val="00E315A2"/>
    <w:rsid w:val="00E3586C"/>
    <w:rsid w:val="00E43FD6"/>
    <w:rsid w:val="00E447BF"/>
    <w:rsid w:val="00E476D7"/>
    <w:rsid w:val="00E52286"/>
    <w:rsid w:val="00E54E0E"/>
    <w:rsid w:val="00E57E16"/>
    <w:rsid w:val="00E664A9"/>
    <w:rsid w:val="00E76516"/>
    <w:rsid w:val="00E836B7"/>
    <w:rsid w:val="00E83C49"/>
    <w:rsid w:val="00E84884"/>
    <w:rsid w:val="00E90045"/>
    <w:rsid w:val="00EB25EA"/>
    <w:rsid w:val="00EB5C13"/>
    <w:rsid w:val="00EB6267"/>
    <w:rsid w:val="00ED6DF8"/>
    <w:rsid w:val="00EE0330"/>
    <w:rsid w:val="00EE3877"/>
    <w:rsid w:val="00EE756A"/>
    <w:rsid w:val="00EF5E60"/>
    <w:rsid w:val="00F01B33"/>
    <w:rsid w:val="00F02CD2"/>
    <w:rsid w:val="00F07379"/>
    <w:rsid w:val="00F10B05"/>
    <w:rsid w:val="00F164BC"/>
    <w:rsid w:val="00F21845"/>
    <w:rsid w:val="00F2185A"/>
    <w:rsid w:val="00F24D78"/>
    <w:rsid w:val="00F3214A"/>
    <w:rsid w:val="00F32D6C"/>
    <w:rsid w:val="00F444E6"/>
    <w:rsid w:val="00F63BAB"/>
    <w:rsid w:val="00F6491B"/>
    <w:rsid w:val="00F64CA6"/>
    <w:rsid w:val="00F666BD"/>
    <w:rsid w:val="00F7468B"/>
    <w:rsid w:val="00F75127"/>
    <w:rsid w:val="00F75D3A"/>
    <w:rsid w:val="00F76896"/>
    <w:rsid w:val="00F90AAC"/>
    <w:rsid w:val="00FA261D"/>
    <w:rsid w:val="00FA56D4"/>
    <w:rsid w:val="00FB07B0"/>
    <w:rsid w:val="00FB22DD"/>
    <w:rsid w:val="00FB4BA4"/>
    <w:rsid w:val="00FB631C"/>
    <w:rsid w:val="00FB7DF7"/>
    <w:rsid w:val="00FC043D"/>
    <w:rsid w:val="00FC357D"/>
    <w:rsid w:val="00FC7659"/>
    <w:rsid w:val="00FC7CB5"/>
    <w:rsid w:val="00FD1B2F"/>
    <w:rsid w:val="00FE1BBE"/>
    <w:rsid w:val="00FE33AD"/>
    <w:rsid w:val="00FE6901"/>
    <w:rsid w:val="00FE7D3F"/>
    <w:rsid w:val="00FF1C71"/>
    <w:rsid w:val="00FF5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0753"/>
  <w15:chartTrackingRefBased/>
  <w15:docId w15:val="{1141DB53-E1B2-48DD-9199-A4CA197F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043D"/>
    <w:rPr>
      <w:sz w:val="16"/>
      <w:szCs w:val="16"/>
    </w:rPr>
  </w:style>
  <w:style w:type="paragraph" w:styleId="CommentText">
    <w:name w:val="annotation text"/>
    <w:basedOn w:val="Normal"/>
    <w:link w:val="CommentTextChar"/>
    <w:uiPriority w:val="99"/>
    <w:unhideWhenUsed/>
    <w:rsid w:val="00FC043D"/>
    <w:pPr>
      <w:spacing w:line="240" w:lineRule="auto"/>
    </w:pPr>
    <w:rPr>
      <w:sz w:val="20"/>
      <w:szCs w:val="20"/>
    </w:rPr>
  </w:style>
  <w:style w:type="character" w:customStyle="1" w:styleId="CommentTextChar">
    <w:name w:val="Comment Text Char"/>
    <w:basedOn w:val="DefaultParagraphFont"/>
    <w:link w:val="CommentText"/>
    <w:uiPriority w:val="99"/>
    <w:rsid w:val="00FC043D"/>
    <w:rPr>
      <w:sz w:val="20"/>
      <w:szCs w:val="20"/>
    </w:rPr>
  </w:style>
  <w:style w:type="paragraph" w:styleId="CommentSubject">
    <w:name w:val="annotation subject"/>
    <w:basedOn w:val="CommentText"/>
    <w:next w:val="CommentText"/>
    <w:link w:val="CommentSubjectChar"/>
    <w:uiPriority w:val="99"/>
    <w:semiHidden/>
    <w:unhideWhenUsed/>
    <w:rsid w:val="00FC043D"/>
    <w:rPr>
      <w:b/>
      <w:bCs/>
    </w:rPr>
  </w:style>
  <w:style w:type="character" w:customStyle="1" w:styleId="CommentSubjectChar">
    <w:name w:val="Comment Subject Char"/>
    <w:basedOn w:val="CommentTextChar"/>
    <w:link w:val="CommentSubject"/>
    <w:uiPriority w:val="99"/>
    <w:semiHidden/>
    <w:rsid w:val="00FC043D"/>
    <w:rPr>
      <w:b/>
      <w:bCs/>
      <w:sz w:val="20"/>
      <w:szCs w:val="20"/>
    </w:rPr>
  </w:style>
  <w:style w:type="paragraph" w:styleId="ListParagraph">
    <w:name w:val="List Paragraph"/>
    <w:basedOn w:val="Normal"/>
    <w:uiPriority w:val="34"/>
    <w:qFormat/>
    <w:rsid w:val="00B27C17"/>
    <w:pPr>
      <w:ind w:left="720"/>
      <w:contextualSpacing/>
    </w:pPr>
  </w:style>
  <w:style w:type="paragraph" w:styleId="Header">
    <w:name w:val="header"/>
    <w:basedOn w:val="Normal"/>
    <w:link w:val="HeaderChar"/>
    <w:uiPriority w:val="99"/>
    <w:unhideWhenUsed/>
    <w:rsid w:val="00244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A1"/>
  </w:style>
  <w:style w:type="paragraph" w:styleId="Footer">
    <w:name w:val="footer"/>
    <w:basedOn w:val="Normal"/>
    <w:link w:val="FooterChar"/>
    <w:uiPriority w:val="99"/>
    <w:unhideWhenUsed/>
    <w:rsid w:val="00244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A1"/>
  </w:style>
  <w:style w:type="paragraph" w:styleId="EndnoteText">
    <w:name w:val="endnote text"/>
    <w:basedOn w:val="Normal"/>
    <w:link w:val="EndnoteTextChar"/>
    <w:uiPriority w:val="99"/>
    <w:semiHidden/>
    <w:unhideWhenUsed/>
    <w:rsid w:val="00CA1C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1CBF"/>
    <w:rPr>
      <w:sz w:val="20"/>
      <w:szCs w:val="20"/>
    </w:rPr>
  </w:style>
  <w:style w:type="character" w:styleId="EndnoteReference">
    <w:name w:val="endnote reference"/>
    <w:basedOn w:val="DefaultParagraphFont"/>
    <w:uiPriority w:val="99"/>
    <w:semiHidden/>
    <w:unhideWhenUsed/>
    <w:rsid w:val="00CA1CBF"/>
    <w:rPr>
      <w:vertAlign w:val="superscript"/>
    </w:rPr>
  </w:style>
  <w:style w:type="paragraph" w:styleId="Revision">
    <w:name w:val="Revision"/>
    <w:hidden/>
    <w:uiPriority w:val="99"/>
    <w:semiHidden/>
    <w:rsid w:val="00AA5C5A"/>
    <w:pPr>
      <w:spacing w:after="0" w:line="240" w:lineRule="auto"/>
    </w:pPr>
  </w:style>
  <w:style w:type="character" w:styleId="Hyperlink">
    <w:name w:val="Hyperlink"/>
    <w:basedOn w:val="DefaultParagraphFont"/>
    <w:uiPriority w:val="99"/>
    <w:unhideWhenUsed/>
    <w:rsid w:val="00FF1C71"/>
    <w:rPr>
      <w:color w:val="0563C1" w:themeColor="hyperlink"/>
      <w:u w:val="single"/>
    </w:rPr>
  </w:style>
  <w:style w:type="character" w:styleId="UnresolvedMention">
    <w:name w:val="Unresolved Mention"/>
    <w:basedOn w:val="DefaultParagraphFont"/>
    <w:uiPriority w:val="99"/>
    <w:semiHidden/>
    <w:unhideWhenUsed/>
    <w:rsid w:val="00FF1C71"/>
    <w:rPr>
      <w:color w:val="605E5C"/>
      <w:shd w:val="clear" w:color="auto" w:fill="E1DFDD"/>
    </w:rPr>
  </w:style>
  <w:style w:type="paragraph" w:customStyle="1" w:styleId="ArialHeading">
    <w:name w:val="Arial Heading"/>
    <w:basedOn w:val="NoSpacing"/>
    <w:link w:val="ArialHeadingChar"/>
    <w:qFormat/>
    <w:rsid w:val="004F0079"/>
    <w:pPr>
      <w:outlineLvl w:val="0"/>
    </w:pPr>
    <w:rPr>
      <w:rFonts w:ascii="Arial" w:hAnsi="Arial"/>
      <w:kern w:val="0"/>
      <w:sz w:val="32"/>
      <w14:ligatures w14:val="none"/>
    </w:rPr>
  </w:style>
  <w:style w:type="character" w:customStyle="1" w:styleId="ArialHeadingChar">
    <w:name w:val="Arial Heading Char"/>
    <w:basedOn w:val="DefaultParagraphFont"/>
    <w:link w:val="ArialHeading"/>
    <w:rsid w:val="004F0079"/>
    <w:rPr>
      <w:rFonts w:ascii="Arial" w:hAnsi="Arial"/>
      <w:kern w:val="0"/>
      <w:sz w:val="32"/>
      <w14:ligatures w14:val="none"/>
    </w:rPr>
  </w:style>
  <w:style w:type="paragraph" w:customStyle="1" w:styleId="Arialsub-subheading">
    <w:name w:val="Arial sub-subheading"/>
    <w:basedOn w:val="Normal"/>
    <w:link w:val="Arialsub-subheadingChar"/>
    <w:qFormat/>
    <w:rsid w:val="004F0079"/>
    <w:pPr>
      <w:outlineLvl w:val="2"/>
    </w:pPr>
    <w:rPr>
      <w:rFonts w:ascii="Arial" w:hAnsi="Arial"/>
      <w:kern w:val="0"/>
      <w14:ligatures w14:val="none"/>
    </w:rPr>
  </w:style>
  <w:style w:type="character" w:customStyle="1" w:styleId="Arialsub-subheadingChar">
    <w:name w:val="Arial sub-subheading Char"/>
    <w:basedOn w:val="DefaultParagraphFont"/>
    <w:link w:val="Arialsub-subheading"/>
    <w:rsid w:val="004F0079"/>
    <w:rPr>
      <w:rFonts w:ascii="Arial" w:hAnsi="Arial"/>
      <w:kern w:val="0"/>
      <w14:ligatures w14:val="none"/>
    </w:rPr>
  </w:style>
  <w:style w:type="paragraph" w:styleId="NoSpacing">
    <w:name w:val="No Spacing"/>
    <w:uiPriority w:val="1"/>
    <w:qFormat/>
    <w:rsid w:val="004F0079"/>
    <w:pPr>
      <w:spacing w:after="0" w:line="240" w:lineRule="auto"/>
    </w:pPr>
  </w:style>
  <w:style w:type="paragraph" w:styleId="NormalWeb">
    <w:name w:val="Normal (Web)"/>
    <w:basedOn w:val="Normal"/>
    <w:uiPriority w:val="99"/>
    <w:unhideWhenUsed/>
    <w:rsid w:val="00893AC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3771">
      <w:bodyDiv w:val="1"/>
      <w:marLeft w:val="0"/>
      <w:marRight w:val="0"/>
      <w:marTop w:val="0"/>
      <w:marBottom w:val="0"/>
      <w:divBdr>
        <w:top w:val="none" w:sz="0" w:space="0" w:color="auto"/>
        <w:left w:val="none" w:sz="0" w:space="0" w:color="auto"/>
        <w:bottom w:val="none" w:sz="0" w:space="0" w:color="auto"/>
        <w:right w:val="none" w:sz="0" w:space="0" w:color="auto"/>
      </w:divBdr>
    </w:div>
    <w:div w:id="1555114612">
      <w:bodyDiv w:val="1"/>
      <w:marLeft w:val="0"/>
      <w:marRight w:val="0"/>
      <w:marTop w:val="0"/>
      <w:marBottom w:val="0"/>
      <w:divBdr>
        <w:top w:val="none" w:sz="0" w:space="0" w:color="auto"/>
        <w:left w:val="none" w:sz="0" w:space="0" w:color="auto"/>
        <w:bottom w:val="none" w:sz="0" w:space="0" w:color="auto"/>
        <w:right w:val="none" w:sz="0" w:space="0" w:color="auto"/>
      </w:divBdr>
    </w:div>
    <w:div w:id="20207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7e4107-340f-49bc-b242-932585323802">
      <Terms xmlns="http://schemas.microsoft.com/office/infopath/2007/PartnerControls"/>
    </lcf76f155ced4ddcb4097134ff3c332f>
    <TaxCatchAll xmlns="aaf5b1b8-7fa3-4132-a2ec-fb8a46b60e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2A608CC66EF46A94C5406789A67A5" ma:contentTypeVersion="18" ma:contentTypeDescription="Create a new document." ma:contentTypeScope="" ma:versionID="c70fa8bb632bc1a3aa3f374795b9dd8b">
  <xsd:schema xmlns:xsd="http://www.w3.org/2001/XMLSchema" xmlns:xs="http://www.w3.org/2001/XMLSchema" xmlns:p="http://schemas.microsoft.com/office/2006/metadata/properties" xmlns:ns2="dd7e4107-340f-49bc-b242-932585323802" xmlns:ns3="aaf5b1b8-7fa3-4132-a2ec-fb8a46b60ebe" targetNamespace="http://schemas.microsoft.com/office/2006/metadata/properties" ma:root="true" ma:fieldsID="1378d0875a7a5c1ba170ef745c32f716" ns2:_="" ns3:_="">
    <xsd:import namespace="dd7e4107-340f-49bc-b242-932585323802"/>
    <xsd:import namespace="aaf5b1b8-7fa3-4132-a2ec-fb8a46b60e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4107-340f-49bc-b242-932585323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5b1b8-7fa3-4132-a2ec-fb8a46b60e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b73f39-9b92-4bc0-bfc8-2ada248a5604}" ma:internalName="TaxCatchAll" ma:showField="CatchAllData" ma:web="aaf5b1b8-7fa3-4132-a2ec-fb8a46b60e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0D2F-D13A-4318-A77A-4903E4E887D0}">
  <ds:schemaRefs>
    <ds:schemaRef ds:uri="http://schemas.microsoft.com/office/2006/metadata/properties"/>
    <ds:schemaRef ds:uri="http://schemas.microsoft.com/office/infopath/2007/PartnerControls"/>
    <ds:schemaRef ds:uri="dd7e4107-340f-49bc-b242-932585323802"/>
    <ds:schemaRef ds:uri="aaf5b1b8-7fa3-4132-a2ec-fb8a46b60ebe"/>
  </ds:schemaRefs>
</ds:datastoreItem>
</file>

<file path=customXml/itemProps2.xml><?xml version="1.0" encoding="utf-8"?>
<ds:datastoreItem xmlns:ds="http://schemas.openxmlformats.org/officeDocument/2006/customXml" ds:itemID="{2E16A20F-D88D-4EAE-B481-46B921A776D3}">
  <ds:schemaRefs>
    <ds:schemaRef ds:uri="http://schemas.microsoft.com/sharepoint/v3/contenttype/forms"/>
  </ds:schemaRefs>
</ds:datastoreItem>
</file>

<file path=customXml/itemProps3.xml><?xml version="1.0" encoding="utf-8"?>
<ds:datastoreItem xmlns:ds="http://schemas.openxmlformats.org/officeDocument/2006/customXml" ds:itemID="{823C7884-EC33-4673-ABE5-A008431E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4107-340f-49bc-b242-932585323802"/>
    <ds:schemaRef ds:uri="aaf5b1b8-7fa3-4132-a2ec-fb8a46b6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9D152-8053-437E-AEF5-3CD06BFB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1364</Words>
  <Characters>7862</Characters>
  <Application>Microsoft Office Word</Application>
  <DocSecurity>0</DocSecurity>
  <Lines>148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Street</dc:creator>
  <cp:keywords/>
  <dc:description/>
  <cp:lastModifiedBy>Laurie Korpi</cp:lastModifiedBy>
  <cp:revision>73</cp:revision>
  <cp:lastPrinted>2024-08-29T06:38:00Z</cp:lastPrinted>
  <dcterms:created xsi:type="dcterms:W3CDTF">2024-08-29T23:46:00Z</dcterms:created>
  <dcterms:modified xsi:type="dcterms:W3CDTF">2024-09-06T01:50:00Z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0x0101009312A608CC66EF46A94C5406789A67A5</vt:lpwstr>
  </property>
  <property fmtid="{D5CDD505-2E9C-101B-9397-08002B2CF9AE}" pid="3" name="MediaServiceImageTags">
    <vt:lpwstr/>
  </property>
</Properties>
</file>