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1600" w14:textId="77777777" w:rsidR="00715914" w:rsidRPr="00046E4A" w:rsidRDefault="00DA186E" w:rsidP="00B05CF4">
      <w:pPr>
        <w:rPr>
          <w:sz w:val="28"/>
        </w:rPr>
      </w:pPr>
      <w:r w:rsidRPr="00046E4A">
        <w:rPr>
          <w:noProof/>
          <w:lang w:eastAsia="en-AU"/>
        </w:rPr>
        <w:drawing>
          <wp:inline distT="0" distB="0" distL="0" distR="0" wp14:anchorId="71845AFC" wp14:editId="7DA35A0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E65CCD3" w14:textId="77777777" w:rsidR="00715914" w:rsidRPr="00046E4A" w:rsidRDefault="00715914" w:rsidP="00715914">
      <w:pPr>
        <w:rPr>
          <w:sz w:val="19"/>
        </w:rPr>
      </w:pPr>
    </w:p>
    <w:p w14:paraId="326F97CA" w14:textId="77777777" w:rsidR="00715914" w:rsidRPr="00046E4A" w:rsidRDefault="00937BB0" w:rsidP="00715914">
      <w:pPr>
        <w:pStyle w:val="ShortT"/>
      </w:pPr>
      <w:r w:rsidRPr="00046E4A">
        <w:t xml:space="preserve">Administrative Review Tribunal </w:t>
      </w:r>
      <w:r w:rsidR="00046E4A" w:rsidRPr="00046E4A">
        <w:t>Regulations 2</w:t>
      </w:r>
      <w:r w:rsidRPr="00046E4A">
        <w:t>024</w:t>
      </w:r>
    </w:p>
    <w:p w14:paraId="7E1EF1C0" w14:textId="77777777" w:rsidR="00F44C38" w:rsidRPr="00046E4A" w:rsidRDefault="00F44C38" w:rsidP="00DB7A46">
      <w:pPr>
        <w:pStyle w:val="SignCoverPageStart"/>
        <w:spacing w:before="240"/>
        <w:rPr>
          <w:szCs w:val="22"/>
        </w:rPr>
      </w:pPr>
      <w:r w:rsidRPr="00046E4A">
        <w:rPr>
          <w:szCs w:val="22"/>
        </w:rPr>
        <w:t>I, the Honourable Sam Mostyn AC, Governor</w:t>
      </w:r>
      <w:r w:rsidR="00046E4A">
        <w:rPr>
          <w:szCs w:val="22"/>
        </w:rPr>
        <w:noBreakHyphen/>
      </w:r>
      <w:r w:rsidRPr="00046E4A">
        <w:rPr>
          <w:szCs w:val="22"/>
        </w:rPr>
        <w:t>General of the Commonwealth of Australia, acting with the advice of the Federal Executive Council, make the following regulations.</w:t>
      </w:r>
    </w:p>
    <w:p w14:paraId="042D5CFF" w14:textId="016F95E3" w:rsidR="00F44C38" w:rsidRPr="00046E4A" w:rsidRDefault="00F44C38" w:rsidP="00DB7A46">
      <w:pPr>
        <w:keepNext/>
        <w:spacing w:before="720" w:line="240" w:lineRule="atLeast"/>
        <w:ind w:right="397"/>
        <w:jc w:val="both"/>
        <w:rPr>
          <w:szCs w:val="22"/>
        </w:rPr>
      </w:pPr>
      <w:r w:rsidRPr="00046E4A">
        <w:rPr>
          <w:szCs w:val="22"/>
        </w:rPr>
        <w:t xml:space="preserve">Dated </w:t>
      </w:r>
      <w:r w:rsidRPr="00046E4A">
        <w:rPr>
          <w:szCs w:val="22"/>
        </w:rPr>
        <w:tab/>
      </w:r>
      <w:r w:rsidRPr="00046E4A">
        <w:rPr>
          <w:szCs w:val="22"/>
        </w:rPr>
        <w:tab/>
      </w:r>
      <w:r w:rsidR="007C6260">
        <w:rPr>
          <w:szCs w:val="22"/>
        </w:rPr>
        <w:t>12 September</w:t>
      </w:r>
      <w:r w:rsidRPr="00046E4A">
        <w:rPr>
          <w:szCs w:val="22"/>
        </w:rPr>
        <w:tab/>
      </w:r>
      <w:r w:rsidRPr="00046E4A">
        <w:rPr>
          <w:szCs w:val="22"/>
        </w:rPr>
        <w:fldChar w:fldCharType="begin"/>
      </w:r>
      <w:r w:rsidRPr="00046E4A">
        <w:rPr>
          <w:szCs w:val="22"/>
        </w:rPr>
        <w:instrText xml:space="preserve"> DOCPROPERTY  DateMade </w:instrText>
      </w:r>
      <w:r w:rsidRPr="00046E4A">
        <w:rPr>
          <w:szCs w:val="22"/>
        </w:rPr>
        <w:fldChar w:fldCharType="separate"/>
      </w:r>
      <w:r w:rsidR="00075518">
        <w:rPr>
          <w:szCs w:val="22"/>
        </w:rPr>
        <w:t>2024</w:t>
      </w:r>
      <w:r w:rsidRPr="00046E4A">
        <w:rPr>
          <w:szCs w:val="22"/>
        </w:rPr>
        <w:fldChar w:fldCharType="end"/>
      </w:r>
    </w:p>
    <w:p w14:paraId="5B555B0E" w14:textId="77777777" w:rsidR="00F44C38" w:rsidRPr="00046E4A" w:rsidRDefault="00F44C38" w:rsidP="00DB7A46">
      <w:pPr>
        <w:keepNext/>
        <w:tabs>
          <w:tab w:val="left" w:pos="3402"/>
        </w:tabs>
        <w:spacing w:before="1080" w:line="300" w:lineRule="atLeast"/>
        <w:ind w:left="397" w:right="397"/>
        <w:jc w:val="right"/>
        <w:rPr>
          <w:szCs w:val="22"/>
        </w:rPr>
      </w:pPr>
      <w:r w:rsidRPr="00046E4A">
        <w:rPr>
          <w:szCs w:val="22"/>
        </w:rPr>
        <w:t>Sam Mostyn AC</w:t>
      </w:r>
    </w:p>
    <w:p w14:paraId="74931FAB" w14:textId="77777777" w:rsidR="00F44C38" w:rsidRPr="00046E4A" w:rsidRDefault="00F44C38" w:rsidP="00DB7A46">
      <w:pPr>
        <w:keepNext/>
        <w:tabs>
          <w:tab w:val="left" w:pos="3402"/>
        </w:tabs>
        <w:spacing w:line="300" w:lineRule="atLeast"/>
        <w:ind w:left="397" w:right="397"/>
        <w:jc w:val="right"/>
        <w:rPr>
          <w:szCs w:val="22"/>
        </w:rPr>
      </w:pPr>
      <w:r w:rsidRPr="00046E4A">
        <w:rPr>
          <w:szCs w:val="22"/>
        </w:rPr>
        <w:t>Governor</w:t>
      </w:r>
      <w:r w:rsidR="00046E4A">
        <w:rPr>
          <w:szCs w:val="22"/>
        </w:rPr>
        <w:noBreakHyphen/>
      </w:r>
      <w:r w:rsidRPr="00046E4A">
        <w:rPr>
          <w:szCs w:val="22"/>
        </w:rPr>
        <w:t>General</w:t>
      </w:r>
    </w:p>
    <w:p w14:paraId="4B32DF6D" w14:textId="77777777" w:rsidR="00F44C38" w:rsidRPr="00046E4A" w:rsidRDefault="00F44C38" w:rsidP="00DB7A46">
      <w:pPr>
        <w:keepNext/>
        <w:tabs>
          <w:tab w:val="left" w:pos="3402"/>
        </w:tabs>
        <w:spacing w:before="840" w:after="1080" w:line="300" w:lineRule="atLeast"/>
        <w:ind w:right="397"/>
        <w:rPr>
          <w:szCs w:val="22"/>
        </w:rPr>
      </w:pPr>
      <w:r w:rsidRPr="00046E4A">
        <w:rPr>
          <w:szCs w:val="22"/>
        </w:rPr>
        <w:t>By H</w:t>
      </w:r>
      <w:r w:rsidRPr="00046E4A">
        <w:t>er</w:t>
      </w:r>
      <w:r w:rsidRPr="00046E4A">
        <w:rPr>
          <w:szCs w:val="22"/>
        </w:rPr>
        <w:t xml:space="preserve"> Excellency’s Command</w:t>
      </w:r>
    </w:p>
    <w:p w14:paraId="79B23F9F" w14:textId="77777777" w:rsidR="00F44C38" w:rsidRPr="00046E4A" w:rsidRDefault="00F44C38" w:rsidP="00DB7A46">
      <w:pPr>
        <w:keepNext/>
        <w:tabs>
          <w:tab w:val="left" w:pos="3402"/>
        </w:tabs>
        <w:spacing w:before="480" w:line="300" w:lineRule="atLeast"/>
        <w:ind w:right="397"/>
        <w:rPr>
          <w:szCs w:val="22"/>
        </w:rPr>
      </w:pPr>
      <w:r w:rsidRPr="00046E4A">
        <w:rPr>
          <w:szCs w:val="22"/>
        </w:rPr>
        <w:t>Mark Dreyfus KC</w:t>
      </w:r>
    </w:p>
    <w:p w14:paraId="463FAD99" w14:textId="77777777" w:rsidR="00F44C38" w:rsidRPr="00046E4A" w:rsidRDefault="00F44C38" w:rsidP="00DB7A46">
      <w:pPr>
        <w:pStyle w:val="SignCoverPageEnd"/>
        <w:rPr>
          <w:szCs w:val="22"/>
        </w:rPr>
      </w:pPr>
      <w:r w:rsidRPr="00046E4A">
        <w:rPr>
          <w:szCs w:val="22"/>
        </w:rPr>
        <w:t>Attorney</w:t>
      </w:r>
      <w:r w:rsidR="00046E4A">
        <w:rPr>
          <w:szCs w:val="22"/>
        </w:rPr>
        <w:noBreakHyphen/>
      </w:r>
      <w:r w:rsidRPr="00046E4A">
        <w:rPr>
          <w:szCs w:val="22"/>
        </w:rPr>
        <w:t>General</w:t>
      </w:r>
    </w:p>
    <w:p w14:paraId="13F3A3B9" w14:textId="77777777" w:rsidR="00F44C38" w:rsidRPr="00046E4A" w:rsidRDefault="00F44C38" w:rsidP="00DB7A46"/>
    <w:p w14:paraId="04DC9B38" w14:textId="77777777" w:rsidR="00F44C38" w:rsidRPr="00046E4A" w:rsidRDefault="00F44C38" w:rsidP="00DB7A46"/>
    <w:p w14:paraId="1E3B70DD" w14:textId="77777777" w:rsidR="00F44C38" w:rsidRPr="00046E4A" w:rsidRDefault="00F44C38" w:rsidP="00DB7A46"/>
    <w:p w14:paraId="696586A1" w14:textId="77777777" w:rsidR="00715914" w:rsidRPr="00177AC3" w:rsidRDefault="00715914" w:rsidP="00715914">
      <w:pPr>
        <w:pStyle w:val="Header"/>
        <w:tabs>
          <w:tab w:val="clear" w:pos="4150"/>
          <w:tab w:val="clear" w:pos="8307"/>
        </w:tabs>
      </w:pPr>
      <w:r w:rsidRPr="00177AC3">
        <w:rPr>
          <w:rStyle w:val="CharChapNo"/>
        </w:rPr>
        <w:t xml:space="preserve"> </w:t>
      </w:r>
      <w:r w:rsidRPr="00177AC3">
        <w:rPr>
          <w:rStyle w:val="CharChapText"/>
        </w:rPr>
        <w:t xml:space="preserve"> </w:t>
      </w:r>
    </w:p>
    <w:p w14:paraId="76EABF1A" w14:textId="77777777" w:rsidR="00715914" w:rsidRPr="00177AC3" w:rsidRDefault="00715914" w:rsidP="00715914">
      <w:pPr>
        <w:pStyle w:val="Header"/>
        <w:tabs>
          <w:tab w:val="clear" w:pos="4150"/>
          <w:tab w:val="clear" w:pos="8307"/>
        </w:tabs>
      </w:pPr>
      <w:r w:rsidRPr="00177AC3">
        <w:rPr>
          <w:rStyle w:val="CharPartNo"/>
        </w:rPr>
        <w:t xml:space="preserve"> </w:t>
      </w:r>
      <w:r w:rsidRPr="00177AC3">
        <w:rPr>
          <w:rStyle w:val="CharPartText"/>
        </w:rPr>
        <w:t xml:space="preserve"> </w:t>
      </w:r>
    </w:p>
    <w:p w14:paraId="26B248E0" w14:textId="77777777" w:rsidR="00715914" w:rsidRPr="00177AC3" w:rsidRDefault="00715914" w:rsidP="00715914">
      <w:pPr>
        <w:pStyle w:val="Header"/>
        <w:tabs>
          <w:tab w:val="clear" w:pos="4150"/>
          <w:tab w:val="clear" w:pos="8307"/>
        </w:tabs>
      </w:pPr>
      <w:r w:rsidRPr="00177AC3">
        <w:rPr>
          <w:rStyle w:val="CharDivNo"/>
        </w:rPr>
        <w:t xml:space="preserve"> </w:t>
      </w:r>
      <w:r w:rsidRPr="00177AC3">
        <w:rPr>
          <w:rStyle w:val="CharDivText"/>
        </w:rPr>
        <w:t xml:space="preserve"> </w:t>
      </w:r>
    </w:p>
    <w:p w14:paraId="20A279BE" w14:textId="77777777" w:rsidR="00715914" w:rsidRPr="00046E4A" w:rsidRDefault="00715914" w:rsidP="00715914">
      <w:pPr>
        <w:sectPr w:rsidR="00715914" w:rsidRPr="00046E4A" w:rsidSect="00AB4742">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142522A0" w14:textId="77777777" w:rsidR="00F67BCA" w:rsidRPr="00046E4A" w:rsidRDefault="00715914" w:rsidP="00715914">
      <w:pPr>
        <w:outlineLvl w:val="0"/>
        <w:rPr>
          <w:sz w:val="36"/>
        </w:rPr>
      </w:pPr>
      <w:r w:rsidRPr="00046E4A">
        <w:rPr>
          <w:sz w:val="36"/>
        </w:rPr>
        <w:lastRenderedPageBreak/>
        <w:t>Contents</w:t>
      </w:r>
    </w:p>
    <w:p w14:paraId="6FAE1B3B" w14:textId="5677F51C" w:rsidR="00C43E97" w:rsidRPr="00046E4A" w:rsidRDefault="00C43E97">
      <w:pPr>
        <w:pStyle w:val="TOC2"/>
        <w:rPr>
          <w:rFonts w:asciiTheme="minorHAnsi" w:eastAsiaTheme="minorEastAsia" w:hAnsiTheme="minorHAnsi" w:cstheme="minorBidi"/>
          <w:b w:val="0"/>
          <w:noProof/>
          <w:kern w:val="0"/>
          <w:sz w:val="22"/>
          <w:szCs w:val="22"/>
        </w:rPr>
      </w:pPr>
      <w:r w:rsidRPr="00046E4A">
        <w:fldChar w:fldCharType="begin"/>
      </w:r>
      <w:r w:rsidRPr="00046E4A">
        <w:instrText xml:space="preserve"> TOC \o "1-9" </w:instrText>
      </w:r>
      <w:r w:rsidRPr="00046E4A">
        <w:fldChar w:fldCharType="separate"/>
      </w:r>
      <w:r w:rsidRPr="00046E4A">
        <w:rPr>
          <w:noProof/>
        </w:rPr>
        <w:t>Part 1—Preliminary</w:t>
      </w:r>
      <w:r w:rsidRPr="00046E4A">
        <w:rPr>
          <w:b w:val="0"/>
          <w:noProof/>
          <w:sz w:val="18"/>
        </w:rPr>
        <w:tab/>
      </w:r>
      <w:r w:rsidRPr="00046E4A">
        <w:rPr>
          <w:b w:val="0"/>
          <w:noProof/>
          <w:sz w:val="18"/>
        </w:rPr>
        <w:fldChar w:fldCharType="begin"/>
      </w:r>
      <w:r w:rsidRPr="00046E4A">
        <w:rPr>
          <w:b w:val="0"/>
          <w:noProof/>
          <w:sz w:val="18"/>
        </w:rPr>
        <w:instrText xml:space="preserve"> PAGEREF _Toc175811209 \h </w:instrText>
      </w:r>
      <w:r w:rsidRPr="00046E4A">
        <w:rPr>
          <w:b w:val="0"/>
          <w:noProof/>
          <w:sz w:val="18"/>
        </w:rPr>
      </w:r>
      <w:r w:rsidRPr="00046E4A">
        <w:rPr>
          <w:b w:val="0"/>
          <w:noProof/>
          <w:sz w:val="18"/>
        </w:rPr>
        <w:fldChar w:fldCharType="separate"/>
      </w:r>
      <w:r w:rsidR="00075518">
        <w:rPr>
          <w:b w:val="0"/>
          <w:noProof/>
          <w:sz w:val="18"/>
        </w:rPr>
        <w:t>1</w:t>
      </w:r>
      <w:r w:rsidRPr="00046E4A">
        <w:rPr>
          <w:b w:val="0"/>
          <w:noProof/>
          <w:sz w:val="18"/>
        </w:rPr>
        <w:fldChar w:fldCharType="end"/>
      </w:r>
    </w:p>
    <w:p w14:paraId="05578EBD" w14:textId="386FEE3E" w:rsidR="00C43E97" w:rsidRPr="00046E4A" w:rsidRDefault="00C43E97">
      <w:pPr>
        <w:pStyle w:val="TOC5"/>
        <w:rPr>
          <w:rFonts w:asciiTheme="minorHAnsi" w:eastAsiaTheme="minorEastAsia" w:hAnsiTheme="minorHAnsi" w:cstheme="minorBidi"/>
          <w:noProof/>
          <w:kern w:val="0"/>
          <w:sz w:val="22"/>
          <w:szCs w:val="22"/>
        </w:rPr>
      </w:pPr>
      <w:r w:rsidRPr="00046E4A">
        <w:rPr>
          <w:noProof/>
        </w:rPr>
        <w:t>1</w:t>
      </w:r>
      <w:r w:rsidRPr="00046E4A">
        <w:rPr>
          <w:noProof/>
        </w:rPr>
        <w:tab/>
        <w:t>Name</w:t>
      </w:r>
      <w:r w:rsidRPr="00046E4A">
        <w:rPr>
          <w:noProof/>
        </w:rPr>
        <w:tab/>
      </w:r>
      <w:r w:rsidRPr="00046E4A">
        <w:rPr>
          <w:noProof/>
        </w:rPr>
        <w:fldChar w:fldCharType="begin"/>
      </w:r>
      <w:r w:rsidRPr="00046E4A">
        <w:rPr>
          <w:noProof/>
        </w:rPr>
        <w:instrText xml:space="preserve"> PAGEREF _Toc175811210 \h </w:instrText>
      </w:r>
      <w:r w:rsidRPr="00046E4A">
        <w:rPr>
          <w:noProof/>
        </w:rPr>
      </w:r>
      <w:r w:rsidRPr="00046E4A">
        <w:rPr>
          <w:noProof/>
        </w:rPr>
        <w:fldChar w:fldCharType="separate"/>
      </w:r>
      <w:r w:rsidR="00075518">
        <w:rPr>
          <w:noProof/>
        </w:rPr>
        <w:t>1</w:t>
      </w:r>
      <w:r w:rsidRPr="00046E4A">
        <w:rPr>
          <w:noProof/>
        </w:rPr>
        <w:fldChar w:fldCharType="end"/>
      </w:r>
    </w:p>
    <w:p w14:paraId="0B0B9625" w14:textId="40A56CFE" w:rsidR="00C43E97" w:rsidRPr="00046E4A" w:rsidRDefault="00C43E97">
      <w:pPr>
        <w:pStyle w:val="TOC5"/>
        <w:rPr>
          <w:rFonts w:asciiTheme="minorHAnsi" w:eastAsiaTheme="minorEastAsia" w:hAnsiTheme="minorHAnsi" w:cstheme="minorBidi"/>
          <w:noProof/>
          <w:kern w:val="0"/>
          <w:sz w:val="22"/>
          <w:szCs w:val="22"/>
        </w:rPr>
      </w:pPr>
      <w:r w:rsidRPr="00046E4A">
        <w:rPr>
          <w:noProof/>
        </w:rPr>
        <w:t>2</w:t>
      </w:r>
      <w:r w:rsidRPr="00046E4A">
        <w:rPr>
          <w:noProof/>
        </w:rPr>
        <w:tab/>
        <w:t>Commencement</w:t>
      </w:r>
      <w:r w:rsidRPr="00046E4A">
        <w:rPr>
          <w:noProof/>
        </w:rPr>
        <w:tab/>
      </w:r>
      <w:r w:rsidRPr="00046E4A">
        <w:rPr>
          <w:noProof/>
        </w:rPr>
        <w:fldChar w:fldCharType="begin"/>
      </w:r>
      <w:r w:rsidRPr="00046E4A">
        <w:rPr>
          <w:noProof/>
        </w:rPr>
        <w:instrText xml:space="preserve"> PAGEREF _Toc175811211 \h </w:instrText>
      </w:r>
      <w:r w:rsidRPr="00046E4A">
        <w:rPr>
          <w:noProof/>
        </w:rPr>
      </w:r>
      <w:r w:rsidRPr="00046E4A">
        <w:rPr>
          <w:noProof/>
        </w:rPr>
        <w:fldChar w:fldCharType="separate"/>
      </w:r>
      <w:r w:rsidR="00075518">
        <w:rPr>
          <w:noProof/>
        </w:rPr>
        <w:t>1</w:t>
      </w:r>
      <w:r w:rsidRPr="00046E4A">
        <w:rPr>
          <w:noProof/>
        </w:rPr>
        <w:fldChar w:fldCharType="end"/>
      </w:r>
    </w:p>
    <w:p w14:paraId="568BC6BB" w14:textId="7FB6918D" w:rsidR="00C43E97" w:rsidRPr="00046E4A" w:rsidRDefault="00C43E97">
      <w:pPr>
        <w:pStyle w:val="TOC5"/>
        <w:rPr>
          <w:rFonts w:asciiTheme="minorHAnsi" w:eastAsiaTheme="minorEastAsia" w:hAnsiTheme="minorHAnsi" w:cstheme="minorBidi"/>
          <w:noProof/>
          <w:kern w:val="0"/>
          <w:sz w:val="22"/>
          <w:szCs w:val="22"/>
        </w:rPr>
      </w:pPr>
      <w:r w:rsidRPr="00046E4A">
        <w:rPr>
          <w:noProof/>
        </w:rPr>
        <w:t>3</w:t>
      </w:r>
      <w:r w:rsidRPr="00046E4A">
        <w:rPr>
          <w:noProof/>
        </w:rPr>
        <w:tab/>
        <w:t>Authority</w:t>
      </w:r>
      <w:r w:rsidRPr="00046E4A">
        <w:rPr>
          <w:noProof/>
        </w:rPr>
        <w:tab/>
      </w:r>
      <w:r w:rsidRPr="00046E4A">
        <w:rPr>
          <w:noProof/>
        </w:rPr>
        <w:fldChar w:fldCharType="begin"/>
      </w:r>
      <w:r w:rsidRPr="00046E4A">
        <w:rPr>
          <w:noProof/>
        </w:rPr>
        <w:instrText xml:space="preserve"> PAGEREF _Toc175811212 \h </w:instrText>
      </w:r>
      <w:r w:rsidRPr="00046E4A">
        <w:rPr>
          <w:noProof/>
        </w:rPr>
      </w:r>
      <w:r w:rsidRPr="00046E4A">
        <w:rPr>
          <w:noProof/>
        </w:rPr>
        <w:fldChar w:fldCharType="separate"/>
      </w:r>
      <w:r w:rsidR="00075518">
        <w:rPr>
          <w:noProof/>
        </w:rPr>
        <w:t>1</w:t>
      </w:r>
      <w:r w:rsidRPr="00046E4A">
        <w:rPr>
          <w:noProof/>
        </w:rPr>
        <w:fldChar w:fldCharType="end"/>
      </w:r>
    </w:p>
    <w:p w14:paraId="4B53E41A" w14:textId="460D3A80" w:rsidR="00C43E97" w:rsidRPr="00046E4A" w:rsidRDefault="00C43E97">
      <w:pPr>
        <w:pStyle w:val="TOC5"/>
        <w:rPr>
          <w:rFonts w:asciiTheme="minorHAnsi" w:eastAsiaTheme="minorEastAsia" w:hAnsiTheme="minorHAnsi" w:cstheme="minorBidi"/>
          <w:noProof/>
          <w:kern w:val="0"/>
          <w:sz w:val="22"/>
          <w:szCs w:val="22"/>
        </w:rPr>
      </w:pPr>
      <w:r w:rsidRPr="00046E4A">
        <w:rPr>
          <w:noProof/>
        </w:rPr>
        <w:t>4</w:t>
      </w:r>
      <w:r w:rsidRPr="00046E4A">
        <w:rPr>
          <w:noProof/>
        </w:rPr>
        <w:tab/>
        <w:t>Definitions</w:t>
      </w:r>
      <w:r w:rsidRPr="00046E4A">
        <w:rPr>
          <w:noProof/>
        </w:rPr>
        <w:tab/>
      </w:r>
      <w:r w:rsidRPr="00046E4A">
        <w:rPr>
          <w:noProof/>
        </w:rPr>
        <w:fldChar w:fldCharType="begin"/>
      </w:r>
      <w:r w:rsidRPr="00046E4A">
        <w:rPr>
          <w:noProof/>
        </w:rPr>
        <w:instrText xml:space="preserve"> PAGEREF _Toc175811213 \h </w:instrText>
      </w:r>
      <w:r w:rsidRPr="00046E4A">
        <w:rPr>
          <w:noProof/>
        </w:rPr>
      </w:r>
      <w:r w:rsidRPr="00046E4A">
        <w:rPr>
          <w:noProof/>
        </w:rPr>
        <w:fldChar w:fldCharType="separate"/>
      </w:r>
      <w:r w:rsidR="00075518">
        <w:rPr>
          <w:noProof/>
        </w:rPr>
        <w:t>1</w:t>
      </w:r>
      <w:r w:rsidRPr="00046E4A">
        <w:rPr>
          <w:noProof/>
        </w:rPr>
        <w:fldChar w:fldCharType="end"/>
      </w:r>
    </w:p>
    <w:p w14:paraId="6C62900F" w14:textId="4004BA15" w:rsidR="00C43E97" w:rsidRPr="00046E4A" w:rsidRDefault="00C43E97">
      <w:pPr>
        <w:pStyle w:val="TOC2"/>
        <w:rPr>
          <w:rFonts w:asciiTheme="minorHAnsi" w:eastAsiaTheme="minorEastAsia" w:hAnsiTheme="minorHAnsi" w:cstheme="minorBidi"/>
          <w:b w:val="0"/>
          <w:noProof/>
          <w:kern w:val="0"/>
          <w:sz w:val="22"/>
          <w:szCs w:val="22"/>
        </w:rPr>
      </w:pPr>
      <w:r w:rsidRPr="00046E4A">
        <w:rPr>
          <w:noProof/>
        </w:rPr>
        <w:t>Part 2—Guidance and appeals panel</w:t>
      </w:r>
      <w:r w:rsidRPr="00046E4A">
        <w:rPr>
          <w:b w:val="0"/>
          <w:noProof/>
          <w:sz w:val="18"/>
        </w:rPr>
        <w:tab/>
      </w:r>
      <w:r w:rsidRPr="00046E4A">
        <w:rPr>
          <w:b w:val="0"/>
          <w:noProof/>
          <w:sz w:val="18"/>
        </w:rPr>
        <w:fldChar w:fldCharType="begin"/>
      </w:r>
      <w:r w:rsidRPr="00046E4A">
        <w:rPr>
          <w:b w:val="0"/>
          <w:noProof/>
          <w:sz w:val="18"/>
        </w:rPr>
        <w:instrText xml:space="preserve"> PAGEREF _Toc175811214 \h </w:instrText>
      </w:r>
      <w:r w:rsidRPr="00046E4A">
        <w:rPr>
          <w:b w:val="0"/>
          <w:noProof/>
          <w:sz w:val="18"/>
        </w:rPr>
      </w:r>
      <w:r w:rsidRPr="00046E4A">
        <w:rPr>
          <w:b w:val="0"/>
          <w:noProof/>
          <w:sz w:val="18"/>
        </w:rPr>
        <w:fldChar w:fldCharType="separate"/>
      </w:r>
      <w:r w:rsidR="00075518">
        <w:rPr>
          <w:b w:val="0"/>
          <w:noProof/>
          <w:sz w:val="18"/>
        </w:rPr>
        <w:t>3</w:t>
      </w:r>
      <w:r w:rsidRPr="00046E4A">
        <w:rPr>
          <w:b w:val="0"/>
          <w:noProof/>
          <w:sz w:val="18"/>
        </w:rPr>
        <w:fldChar w:fldCharType="end"/>
      </w:r>
    </w:p>
    <w:p w14:paraId="1C3D8EC1" w14:textId="54A5B339" w:rsidR="00C43E97" w:rsidRPr="00046E4A" w:rsidRDefault="00C43E97">
      <w:pPr>
        <w:pStyle w:val="TOC5"/>
        <w:rPr>
          <w:rFonts w:asciiTheme="minorHAnsi" w:eastAsiaTheme="minorEastAsia" w:hAnsiTheme="minorHAnsi" w:cstheme="minorBidi"/>
          <w:noProof/>
          <w:kern w:val="0"/>
          <w:sz w:val="22"/>
          <w:szCs w:val="22"/>
        </w:rPr>
      </w:pPr>
      <w:r w:rsidRPr="00046E4A">
        <w:rPr>
          <w:noProof/>
        </w:rPr>
        <w:t>5</w:t>
      </w:r>
      <w:r w:rsidRPr="00046E4A">
        <w:rPr>
          <w:noProof/>
        </w:rPr>
        <w:tab/>
        <w:t>Purpose of this Part</w:t>
      </w:r>
      <w:r w:rsidRPr="00046E4A">
        <w:rPr>
          <w:noProof/>
        </w:rPr>
        <w:tab/>
      </w:r>
      <w:r w:rsidRPr="00046E4A">
        <w:rPr>
          <w:noProof/>
        </w:rPr>
        <w:fldChar w:fldCharType="begin"/>
      </w:r>
      <w:r w:rsidRPr="00046E4A">
        <w:rPr>
          <w:noProof/>
        </w:rPr>
        <w:instrText xml:space="preserve"> PAGEREF _Toc175811215 \h </w:instrText>
      </w:r>
      <w:r w:rsidRPr="00046E4A">
        <w:rPr>
          <w:noProof/>
        </w:rPr>
      </w:r>
      <w:r w:rsidRPr="00046E4A">
        <w:rPr>
          <w:noProof/>
        </w:rPr>
        <w:fldChar w:fldCharType="separate"/>
      </w:r>
      <w:r w:rsidR="00075518">
        <w:rPr>
          <w:noProof/>
        </w:rPr>
        <w:t>3</w:t>
      </w:r>
      <w:r w:rsidRPr="00046E4A">
        <w:rPr>
          <w:noProof/>
        </w:rPr>
        <w:fldChar w:fldCharType="end"/>
      </w:r>
    </w:p>
    <w:p w14:paraId="009A4CF9" w14:textId="7B245BCF" w:rsidR="00C43E97" w:rsidRPr="00046E4A" w:rsidRDefault="00C43E97">
      <w:pPr>
        <w:pStyle w:val="TOC5"/>
        <w:rPr>
          <w:rFonts w:asciiTheme="minorHAnsi" w:eastAsiaTheme="minorEastAsia" w:hAnsiTheme="minorHAnsi" w:cstheme="minorBidi"/>
          <w:noProof/>
          <w:kern w:val="0"/>
          <w:sz w:val="22"/>
          <w:szCs w:val="22"/>
        </w:rPr>
      </w:pPr>
      <w:r w:rsidRPr="00046E4A">
        <w:rPr>
          <w:noProof/>
        </w:rPr>
        <w:t>6</w:t>
      </w:r>
      <w:r w:rsidRPr="00046E4A">
        <w:rPr>
          <w:noProof/>
        </w:rPr>
        <w:tab/>
        <w:t>Tribunal may dismiss application if first review applicant dies or is bankrupt etc.</w:t>
      </w:r>
      <w:r w:rsidRPr="00046E4A">
        <w:rPr>
          <w:noProof/>
        </w:rPr>
        <w:tab/>
      </w:r>
      <w:r w:rsidRPr="00046E4A">
        <w:rPr>
          <w:noProof/>
        </w:rPr>
        <w:fldChar w:fldCharType="begin"/>
      </w:r>
      <w:r w:rsidRPr="00046E4A">
        <w:rPr>
          <w:noProof/>
        </w:rPr>
        <w:instrText xml:space="preserve"> PAGEREF _Toc175811216 \h </w:instrText>
      </w:r>
      <w:r w:rsidRPr="00046E4A">
        <w:rPr>
          <w:noProof/>
        </w:rPr>
      </w:r>
      <w:r w:rsidRPr="00046E4A">
        <w:rPr>
          <w:noProof/>
        </w:rPr>
        <w:fldChar w:fldCharType="separate"/>
      </w:r>
      <w:r w:rsidR="00075518">
        <w:rPr>
          <w:noProof/>
        </w:rPr>
        <w:t>3</w:t>
      </w:r>
      <w:r w:rsidRPr="00046E4A">
        <w:rPr>
          <w:noProof/>
        </w:rPr>
        <w:fldChar w:fldCharType="end"/>
      </w:r>
    </w:p>
    <w:p w14:paraId="3A878B2E" w14:textId="6AD83019" w:rsidR="00C43E97" w:rsidRPr="00046E4A" w:rsidRDefault="00C43E97">
      <w:pPr>
        <w:pStyle w:val="TOC2"/>
        <w:rPr>
          <w:rFonts w:asciiTheme="minorHAnsi" w:eastAsiaTheme="minorEastAsia" w:hAnsiTheme="minorHAnsi" w:cstheme="minorBidi"/>
          <w:b w:val="0"/>
          <w:noProof/>
          <w:kern w:val="0"/>
          <w:sz w:val="22"/>
          <w:szCs w:val="22"/>
        </w:rPr>
      </w:pPr>
      <w:r w:rsidRPr="00046E4A">
        <w:rPr>
          <w:noProof/>
        </w:rPr>
        <w:t>Part 3—Second review for certain social services decisions</w:t>
      </w:r>
      <w:r w:rsidRPr="00046E4A">
        <w:rPr>
          <w:b w:val="0"/>
          <w:noProof/>
          <w:sz w:val="18"/>
        </w:rPr>
        <w:tab/>
      </w:r>
      <w:r w:rsidRPr="00046E4A">
        <w:rPr>
          <w:b w:val="0"/>
          <w:noProof/>
          <w:sz w:val="18"/>
        </w:rPr>
        <w:fldChar w:fldCharType="begin"/>
      </w:r>
      <w:r w:rsidRPr="00046E4A">
        <w:rPr>
          <w:b w:val="0"/>
          <w:noProof/>
          <w:sz w:val="18"/>
        </w:rPr>
        <w:instrText xml:space="preserve"> PAGEREF _Toc175811217 \h </w:instrText>
      </w:r>
      <w:r w:rsidRPr="00046E4A">
        <w:rPr>
          <w:b w:val="0"/>
          <w:noProof/>
          <w:sz w:val="18"/>
        </w:rPr>
      </w:r>
      <w:r w:rsidRPr="00046E4A">
        <w:rPr>
          <w:b w:val="0"/>
          <w:noProof/>
          <w:sz w:val="18"/>
        </w:rPr>
        <w:fldChar w:fldCharType="separate"/>
      </w:r>
      <w:r w:rsidR="00075518">
        <w:rPr>
          <w:b w:val="0"/>
          <w:noProof/>
          <w:sz w:val="18"/>
        </w:rPr>
        <w:t>4</w:t>
      </w:r>
      <w:r w:rsidRPr="00046E4A">
        <w:rPr>
          <w:b w:val="0"/>
          <w:noProof/>
          <w:sz w:val="18"/>
        </w:rPr>
        <w:fldChar w:fldCharType="end"/>
      </w:r>
    </w:p>
    <w:p w14:paraId="7CF32951" w14:textId="3AC08056" w:rsidR="00C43E97" w:rsidRPr="00046E4A" w:rsidRDefault="00C43E97">
      <w:pPr>
        <w:pStyle w:val="TOC5"/>
        <w:rPr>
          <w:rFonts w:asciiTheme="minorHAnsi" w:eastAsiaTheme="minorEastAsia" w:hAnsiTheme="minorHAnsi" w:cstheme="minorBidi"/>
          <w:noProof/>
          <w:kern w:val="0"/>
          <w:sz w:val="22"/>
          <w:szCs w:val="22"/>
        </w:rPr>
      </w:pPr>
      <w:r w:rsidRPr="00046E4A">
        <w:rPr>
          <w:noProof/>
        </w:rPr>
        <w:t>7</w:t>
      </w:r>
      <w:r w:rsidRPr="00046E4A">
        <w:rPr>
          <w:noProof/>
        </w:rPr>
        <w:tab/>
        <w:t>Purpose of this Part</w:t>
      </w:r>
      <w:r w:rsidRPr="00046E4A">
        <w:rPr>
          <w:noProof/>
        </w:rPr>
        <w:tab/>
      </w:r>
      <w:r w:rsidRPr="00046E4A">
        <w:rPr>
          <w:noProof/>
        </w:rPr>
        <w:fldChar w:fldCharType="begin"/>
      </w:r>
      <w:r w:rsidRPr="00046E4A">
        <w:rPr>
          <w:noProof/>
        </w:rPr>
        <w:instrText xml:space="preserve"> PAGEREF _Toc175811218 \h </w:instrText>
      </w:r>
      <w:r w:rsidRPr="00046E4A">
        <w:rPr>
          <w:noProof/>
        </w:rPr>
      </w:r>
      <w:r w:rsidRPr="00046E4A">
        <w:rPr>
          <w:noProof/>
        </w:rPr>
        <w:fldChar w:fldCharType="separate"/>
      </w:r>
      <w:r w:rsidR="00075518">
        <w:rPr>
          <w:noProof/>
        </w:rPr>
        <w:t>4</w:t>
      </w:r>
      <w:r w:rsidRPr="00046E4A">
        <w:rPr>
          <w:noProof/>
        </w:rPr>
        <w:fldChar w:fldCharType="end"/>
      </w:r>
    </w:p>
    <w:p w14:paraId="17850A48" w14:textId="02227994" w:rsidR="00C43E97" w:rsidRPr="00046E4A" w:rsidRDefault="00C43E97">
      <w:pPr>
        <w:pStyle w:val="TOC5"/>
        <w:rPr>
          <w:rFonts w:asciiTheme="minorHAnsi" w:eastAsiaTheme="minorEastAsia" w:hAnsiTheme="minorHAnsi" w:cstheme="minorBidi"/>
          <w:noProof/>
          <w:kern w:val="0"/>
          <w:sz w:val="22"/>
          <w:szCs w:val="22"/>
        </w:rPr>
      </w:pPr>
      <w:r w:rsidRPr="00046E4A">
        <w:rPr>
          <w:noProof/>
        </w:rPr>
        <w:t>8</w:t>
      </w:r>
      <w:r w:rsidRPr="00046E4A">
        <w:rPr>
          <w:noProof/>
        </w:rPr>
        <w:tab/>
        <w:t>Tribunal may dismiss application if first review applicant dies or is bankrupt</w:t>
      </w:r>
      <w:r w:rsidRPr="00046E4A">
        <w:rPr>
          <w:noProof/>
        </w:rPr>
        <w:tab/>
      </w:r>
      <w:r w:rsidRPr="00046E4A">
        <w:rPr>
          <w:noProof/>
        </w:rPr>
        <w:fldChar w:fldCharType="begin"/>
      </w:r>
      <w:r w:rsidRPr="00046E4A">
        <w:rPr>
          <w:noProof/>
        </w:rPr>
        <w:instrText xml:space="preserve"> PAGEREF _Toc175811219 \h </w:instrText>
      </w:r>
      <w:r w:rsidRPr="00046E4A">
        <w:rPr>
          <w:noProof/>
        </w:rPr>
      </w:r>
      <w:r w:rsidRPr="00046E4A">
        <w:rPr>
          <w:noProof/>
        </w:rPr>
        <w:fldChar w:fldCharType="separate"/>
      </w:r>
      <w:r w:rsidR="00075518">
        <w:rPr>
          <w:noProof/>
        </w:rPr>
        <w:t>4</w:t>
      </w:r>
      <w:r w:rsidRPr="00046E4A">
        <w:rPr>
          <w:noProof/>
        </w:rPr>
        <w:fldChar w:fldCharType="end"/>
      </w:r>
    </w:p>
    <w:p w14:paraId="65E81763" w14:textId="0CCFCBB7" w:rsidR="00C43E97" w:rsidRPr="00046E4A" w:rsidRDefault="00C43E97">
      <w:pPr>
        <w:pStyle w:val="TOC2"/>
        <w:rPr>
          <w:rFonts w:asciiTheme="minorHAnsi" w:eastAsiaTheme="minorEastAsia" w:hAnsiTheme="minorHAnsi" w:cstheme="minorBidi"/>
          <w:b w:val="0"/>
          <w:noProof/>
          <w:kern w:val="0"/>
          <w:sz w:val="22"/>
          <w:szCs w:val="22"/>
        </w:rPr>
      </w:pPr>
      <w:r w:rsidRPr="00046E4A">
        <w:rPr>
          <w:noProof/>
        </w:rPr>
        <w:t>Part 4—Appointment of members and Principal Registrar</w:t>
      </w:r>
      <w:r w:rsidRPr="00046E4A">
        <w:rPr>
          <w:b w:val="0"/>
          <w:noProof/>
          <w:sz w:val="18"/>
        </w:rPr>
        <w:tab/>
      </w:r>
      <w:r w:rsidRPr="00046E4A">
        <w:rPr>
          <w:b w:val="0"/>
          <w:noProof/>
          <w:sz w:val="18"/>
        </w:rPr>
        <w:fldChar w:fldCharType="begin"/>
      </w:r>
      <w:r w:rsidRPr="00046E4A">
        <w:rPr>
          <w:b w:val="0"/>
          <w:noProof/>
          <w:sz w:val="18"/>
        </w:rPr>
        <w:instrText xml:space="preserve"> PAGEREF _Toc175811220 \h </w:instrText>
      </w:r>
      <w:r w:rsidRPr="00046E4A">
        <w:rPr>
          <w:b w:val="0"/>
          <w:noProof/>
          <w:sz w:val="18"/>
        </w:rPr>
      </w:r>
      <w:r w:rsidRPr="00046E4A">
        <w:rPr>
          <w:b w:val="0"/>
          <w:noProof/>
          <w:sz w:val="18"/>
        </w:rPr>
        <w:fldChar w:fldCharType="separate"/>
      </w:r>
      <w:r w:rsidR="00075518">
        <w:rPr>
          <w:b w:val="0"/>
          <w:noProof/>
          <w:sz w:val="18"/>
        </w:rPr>
        <w:t>5</w:t>
      </w:r>
      <w:r w:rsidRPr="00046E4A">
        <w:rPr>
          <w:b w:val="0"/>
          <w:noProof/>
          <w:sz w:val="18"/>
        </w:rPr>
        <w:fldChar w:fldCharType="end"/>
      </w:r>
    </w:p>
    <w:p w14:paraId="13D629C1" w14:textId="5D9A49B0" w:rsidR="00C43E97" w:rsidRPr="00046E4A" w:rsidRDefault="00C43E97">
      <w:pPr>
        <w:pStyle w:val="TOC3"/>
        <w:rPr>
          <w:rFonts w:asciiTheme="minorHAnsi" w:eastAsiaTheme="minorEastAsia" w:hAnsiTheme="minorHAnsi" w:cstheme="minorBidi"/>
          <w:b w:val="0"/>
          <w:noProof/>
          <w:kern w:val="0"/>
          <w:szCs w:val="22"/>
        </w:rPr>
      </w:pPr>
      <w:r w:rsidRPr="00046E4A">
        <w:rPr>
          <w:noProof/>
        </w:rPr>
        <w:t>Division 1—Assessment process</w:t>
      </w:r>
      <w:r w:rsidRPr="00046E4A">
        <w:rPr>
          <w:b w:val="0"/>
          <w:noProof/>
          <w:sz w:val="18"/>
        </w:rPr>
        <w:tab/>
      </w:r>
      <w:r w:rsidRPr="00046E4A">
        <w:rPr>
          <w:b w:val="0"/>
          <w:noProof/>
          <w:sz w:val="18"/>
        </w:rPr>
        <w:fldChar w:fldCharType="begin"/>
      </w:r>
      <w:r w:rsidRPr="00046E4A">
        <w:rPr>
          <w:b w:val="0"/>
          <w:noProof/>
          <w:sz w:val="18"/>
        </w:rPr>
        <w:instrText xml:space="preserve"> PAGEREF _Toc175811221 \h </w:instrText>
      </w:r>
      <w:r w:rsidRPr="00046E4A">
        <w:rPr>
          <w:b w:val="0"/>
          <w:noProof/>
          <w:sz w:val="18"/>
        </w:rPr>
      </w:r>
      <w:r w:rsidRPr="00046E4A">
        <w:rPr>
          <w:b w:val="0"/>
          <w:noProof/>
          <w:sz w:val="18"/>
        </w:rPr>
        <w:fldChar w:fldCharType="separate"/>
      </w:r>
      <w:r w:rsidR="00075518">
        <w:rPr>
          <w:b w:val="0"/>
          <w:noProof/>
          <w:sz w:val="18"/>
        </w:rPr>
        <w:t>5</w:t>
      </w:r>
      <w:r w:rsidRPr="00046E4A">
        <w:rPr>
          <w:b w:val="0"/>
          <w:noProof/>
          <w:sz w:val="18"/>
        </w:rPr>
        <w:fldChar w:fldCharType="end"/>
      </w:r>
    </w:p>
    <w:p w14:paraId="1A0C7D19" w14:textId="296F9861" w:rsidR="00C43E97" w:rsidRPr="00046E4A" w:rsidRDefault="00C43E97">
      <w:pPr>
        <w:pStyle w:val="TOC5"/>
        <w:rPr>
          <w:rFonts w:asciiTheme="minorHAnsi" w:eastAsiaTheme="minorEastAsia" w:hAnsiTheme="minorHAnsi" w:cstheme="minorBidi"/>
          <w:noProof/>
          <w:kern w:val="0"/>
          <w:sz w:val="22"/>
          <w:szCs w:val="22"/>
        </w:rPr>
      </w:pPr>
      <w:r w:rsidRPr="00046E4A">
        <w:rPr>
          <w:noProof/>
        </w:rPr>
        <w:t>9</w:t>
      </w:r>
      <w:r w:rsidRPr="00046E4A">
        <w:rPr>
          <w:noProof/>
        </w:rPr>
        <w:tab/>
        <w:t>Requirements for assessment process</w:t>
      </w:r>
      <w:r w:rsidRPr="00046E4A">
        <w:rPr>
          <w:noProof/>
        </w:rPr>
        <w:tab/>
      </w:r>
      <w:r w:rsidRPr="00046E4A">
        <w:rPr>
          <w:noProof/>
        </w:rPr>
        <w:fldChar w:fldCharType="begin"/>
      </w:r>
      <w:r w:rsidRPr="00046E4A">
        <w:rPr>
          <w:noProof/>
        </w:rPr>
        <w:instrText xml:space="preserve"> PAGEREF _Toc175811222 \h </w:instrText>
      </w:r>
      <w:r w:rsidRPr="00046E4A">
        <w:rPr>
          <w:noProof/>
        </w:rPr>
      </w:r>
      <w:r w:rsidRPr="00046E4A">
        <w:rPr>
          <w:noProof/>
        </w:rPr>
        <w:fldChar w:fldCharType="separate"/>
      </w:r>
      <w:r w:rsidR="00075518">
        <w:rPr>
          <w:noProof/>
        </w:rPr>
        <w:t>5</w:t>
      </w:r>
      <w:r w:rsidRPr="00046E4A">
        <w:rPr>
          <w:noProof/>
        </w:rPr>
        <w:fldChar w:fldCharType="end"/>
      </w:r>
    </w:p>
    <w:p w14:paraId="6C27F375" w14:textId="54F92011" w:rsidR="00C43E97" w:rsidRPr="00046E4A" w:rsidRDefault="00C43E97">
      <w:pPr>
        <w:pStyle w:val="TOC5"/>
        <w:rPr>
          <w:rFonts w:asciiTheme="minorHAnsi" w:eastAsiaTheme="minorEastAsia" w:hAnsiTheme="minorHAnsi" w:cstheme="minorBidi"/>
          <w:noProof/>
          <w:kern w:val="0"/>
          <w:sz w:val="22"/>
          <w:szCs w:val="22"/>
        </w:rPr>
      </w:pPr>
      <w:r w:rsidRPr="00046E4A">
        <w:rPr>
          <w:noProof/>
        </w:rPr>
        <w:t>10</w:t>
      </w:r>
      <w:r w:rsidRPr="00046E4A">
        <w:rPr>
          <w:noProof/>
        </w:rPr>
        <w:tab/>
        <w:t>Invitations for applications to be published</w:t>
      </w:r>
      <w:r w:rsidRPr="00046E4A">
        <w:rPr>
          <w:noProof/>
        </w:rPr>
        <w:tab/>
      </w:r>
      <w:r w:rsidRPr="00046E4A">
        <w:rPr>
          <w:noProof/>
        </w:rPr>
        <w:fldChar w:fldCharType="begin"/>
      </w:r>
      <w:r w:rsidRPr="00046E4A">
        <w:rPr>
          <w:noProof/>
        </w:rPr>
        <w:instrText xml:space="preserve"> PAGEREF _Toc175811223 \h </w:instrText>
      </w:r>
      <w:r w:rsidRPr="00046E4A">
        <w:rPr>
          <w:noProof/>
        </w:rPr>
      </w:r>
      <w:r w:rsidRPr="00046E4A">
        <w:rPr>
          <w:noProof/>
        </w:rPr>
        <w:fldChar w:fldCharType="separate"/>
      </w:r>
      <w:r w:rsidR="00075518">
        <w:rPr>
          <w:noProof/>
        </w:rPr>
        <w:t>5</w:t>
      </w:r>
      <w:r w:rsidRPr="00046E4A">
        <w:rPr>
          <w:noProof/>
        </w:rPr>
        <w:fldChar w:fldCharType="end"/>
      </w:r>
    </w:p>
    <w:p w14:paraId="53B3C55E" w14:textId="3C823EF2" w:rsidR="00C43E97" w:rsidRPr="00046E4A" w:rsidRDefault="00C43E97">
      <w:pPr>
        <w:pStyle w:val="TOC5"/>
        <w:rPr>
          <w:rFonts w:asciiTheme="minorHAnsi" w:eastAsiaTheme="minorEastAsia" w:hAnsiTheme="minorHAnsi" w:cstheme="minorBidi"/>
          <w:noProof/>
          <w:kern w:val="0"/>
          <w:sz w:val="22"/>
          <w:szCs w:val="22"/>
        </w:rPr>
      </w:pPr>
      <w:r w:rsidRPr="00046E4A">
        <w:rPr>
          <w:noProof/>
        </w:rPr>
        <w:t>11</w:t>
      </w:r>
      <w:r w:rsidRPr="00046E4A">
        <w:rPr>
          <w:noProof/>
        </w:rPr>
        <w:tab/>
        <w:t>Information to be available to potential applicants</w:t>
      </w:r>
      <w:r w:rsidRPr="00046E4A">
        <w:rPr>
          <w:noProof/>
        </w:rPr>
        <w:tab/>
      </w:r>
      <w:r w:rsidRPr="00046E4A">
        <w:rPr>
          <w:noProof/>
        </w:rPr>
        <w:fldChar w:fldCharType="begin"/>
      </w:r>
      <w:r w:rsidRPr="00046E4A">
        <w:rPr>
          <w:noProof/>
        </w:rPr>
        <w:instrText xml:space="preserve"> PAGEREF _Toc175811224 \h </w:instrText>
      </w:r>
      <w:r w:rsidRPr="00046E4A">
        <w:rPr>
          <w:noProof/>
        </w:rPr>
      </w:r>
      <w:r w:rsidRPr="00046E4A">
        <w:rPr>
          <w:noProof/>
        </w:rPr>
        <w:fldChar w:fldCharType="separate"/>
      </w:r>
      <w:r w:rsidR="00075518">
        <w:rPr>
          <w:noProof/>
        </w:rPr>
        <w:t>6</w:t>
      </w:r>
      <w:r w:rsidRPr="00046E4A">
        <w:rPr>
          <w:noProof/>
        </w:rPr>
        <w:fldChar w:fldCharType="end"/>
      </w:r>
    </w:p>
    <w:p w14:paraId="32A77659" w14:textId="3155406D" w:rsidR="00C43E97" w:rsidRPr="00046E4A" w:rsidRDefault="00C43E97">
      <w:pPr>
        <w:pStyle w:val="TOC5"/>
        <w:rPr>
          <w:rFonts w:asciiTheme="minorHAnsi" w:eastAsiaTheme="minorEastAsia" w:hAnsiTheme="minorHAnsi" w:cstheme="minorBidi"/>
          <w:noProof/>
          <w:kern w:val="0"/>
          <w:sz w:val="22"/>
          <w:szCs w:val="22"/>
        </w:rPr>
      </w:pPr>
      <w:r w:rsidRPr="00046E4A">
        <w:rPr>
          <w:noProof/>
        </w:rPr>
        <w:t>12</w:t>
      </w:r>
      <w:r w:rsidRPr="00046E4A">
        <w:rPr>
          <w:noProof/>
        </w:rPr>
        <w:tab/>
        <w:t>Assessment panel reports</w:t>
      </w:r>
      <w:r w:rsidRPr="00046E4A">
        <w:rPr>
          <w:noProof/>
        </w:rPr>
        <w:tab/>
      </w:r>
      <w:r w:rsidRPr="00046E4A">
        <w:rPr>
          <w:noProof/>
        </w:rPr>
        <w:fldChar w:fldCharType="begin"/>
      </w:r>
      <w:r w:rsidRPr="00046E4A">
        <w:rPr>
          <w:noProof/>
        </w:rPr>
        <w:instrText xml:space="preserve"> PAGEREF _Toc175811225 \h </w:instrText>
      </w:r>
      <w:r w:rsidRPr="00046E4A">
        <w:rPr>
          <w:noProof/>
        </w:rPr>
      </w:r>
      <w:r w:rsidRPr="00046E4A">
        <w:rPr>
          <w:noProof/>
        </w:rPr>
        <w:fldChar w:fldCharType="separate"/>
      </w:r>
      <w:r w:rsidR="00075518">
        <w:rPr>
          <w:noProof/>
        </w:rPr>
        <w:t>6</w:t>
      </w:r>
      <w:r w:rsidRPr="00046E4A">
        <w:rPr>
          <w:noProof/>
        </w:rPr>
        <w:fldChar w:fldCharType="end"/>
      </w:r>
    </w:p>
    <w:p w14:paraId="5D740DF2" w14:textId="33E7041F" w:rsidR="00C43E97" w:rsidRPr="00046E4A" w:rsidRDefault="00C43E97">
      <w:pPr>
        <w:pStyle w:val="TOC5"/>
        <w:rPr>
          <w:rFonts w:asciiTheme="minorHAnsi" w:eastAsiaTheme="minorEastAsia" w:hAnsiTheme="minorHAnsi" w:cstheme="minorBidi"/>
          <w:noProof/>
          <w:kern w:val="0"/>
          <w:sz w:val="22"/>
          <w:szCs w:val="22"/>
        </w:rPr>
      </w:pPr>
      <w:r w:rsidRPr="00046E4A">
        <w:rPr>
          <w:noProof/>
        </w:rPr>
        <w:t>13</w:t>
      </w:r>
      <w:r w:rsidRPr="00046E4A">
        <w:rPr>
          <w:noProof/>
        </w:rPr>
        <w:tab/>
        <w:t>List of persons on assessment panel to be published</w:t>
      </w:r>
      <w:r w:rsidRPr="00046E4A">
        <w:rPr>
          <w:noProof/>
        </w:rPr>
        <w:tab/>
      </w:r>
      <w:r w:rsidRPr="00046E4A">
        <w:rPr>
          <w:noProof/>
        </w:rPr>
        <w:fldChar w:fldCharType="begin"/>
      </w:r>
      <w:r w:rsidRPr="00046E4A">
        <w:rPr>
          <w:noProof/>
        </w:rPr>
        <w:instrText xml:space="preserve"> PAGEREF _Toc175811226 \h </w:instrText>
      </w:r>
      <w:r w:rsidRPr="00046E4A">
        <w:rPr>
          <w:noProof/>
        </w:rPr>
      </w:r>
      <w:r w:rsidRPr="00046E4A">
        <w:rPr>
          <w:noProof/>
        </w:rPr>
        <w:fldChar w:fldCharType="separate"/>
      </w:r>
      <w:r w:rsidR="00075518">
        <w:rPr>
          <w:noProof/>
        </w:rPr>
        <w:t>7</w:t>
      </w:r>
      <w:r w:rsidRPr="00046E4A">
        <w:rPr>
          <w:noProof/>
        </w:rPr>
        <w:fldChar w:fldCharType="end"/>
      </w:r>
    </w:p>
    <w:p w14:paraId="4847E00B" w14:textId="5300C51A" w:rsidR="00C43E97" w:rsidRPr="00046E4A" w:rsidRDefault="00C43E97">
      <w:pPr>
        <w:pStyle w:val="TOC3"/>
        <w:rPr>
          <w:rFonts w:asciiTheme="minorHAnsi" w:eastAsiaTheme="minorEastAsia" w:hAnsiTheme="minorHAnsi" w:cstheme="minorBidi"/>
          <w:b w:val="0"/>
          <w:noProof/>
          <w:kern w:val="0"/>
          <w:szCs w:val="22"/>
        </w:rPr>
      </w:pPr>
      <w:r w:rsidRPr="00046E4A">
        <w:rPr>
          <w:noProof/>
        </w:rPr>
        <w:t>Division 2—Selection criteria</w:t>
      </w:r>
      <w:r w:rsidRPr="00046E4A">
        <w:rPr>
          <w:b w:val="0"/>
          <w:noProof/>
          <w:sz w:val="18"/>
        </w:rPr>
        <w:tab/>
      </w:r>
      <w:r w:rsidRPr="00046E4A">
        <w:rPr>
          <w:b w:val="0"/>
          <w:noProof/>
          <w:sz w:val="18"/>
        </w:rPr>
        <w:fldChar w:fldCharType="begin"/>
      </w:r>
      <w:r w:rsidRPr="00046E4A">
        <w:rPr>
          <w:b w:val="0"/>
          <w:noProof/>
          <w:sz w:val="18"/>
        </w:rPr>
        <w:instrText xml:space="preserve"> PAGEREF _Toc175811227 \h </w:instrText>
      </w:r>
      <w:r w:rsidRPr="00046E4A">
        <w:rPr>
          <w:b w:val="0"/>
          <w:noProof/>
          <w:sz w:val="18"/>
        </w:rPr>
      </w:r>
      <w:r w:rsidRPr="00046E4A">
        <w:rPr>
          <w:b w:val="0"/>
          <w:noProof/>
          <w:sz w:val="18"/>
        </w:rPr>
        <w:fldChar w:fldCharType="separate"/>
      </w:r>
      <w:r w:rsidR="00075518">
        <w:rPr>
          <w:b w:val="0"/>
          <w:noProof/>
          <w:sz w:val="18"/>
        </w:rPr>
        <w:t>8</w:t>
      </w:r>
      <w:r w:rsidRPr="00046E4A">
        <w:rPr>
          <w:b w:val="0"/>
          <w:noProof/>
          <w:sz w:val="18"/>
        </w:rPr>
        <w:fldChar w:fldCharType="end"/>
      </w:r>
    </w:p>
    <w:p w14:paraId="086AEBC1" w14:textId="235C6029" w:rsidR="00C43E97" w:rsidRPr="00046E4A" w:rsidRDefault="00C43E97">
      <w:pPr>
        <w:pStyle w:val="TOC5"/>
        <w:rPr>
          <w:rFonts w:asciiTheme="minorHAnsi" w:eastAsiaTheme="minorEastAsia" w:hAnsiTheme="minorHAnsi" w:cstheme="minorBidi"/>
          <w:noProof/>
          <w:kern w:val="0"/>
          <w:sz w:val="22"/>
          <w:szCs w:val="22"/>
        </w:rPr>
      </w:pPr>
      <w:r w:rsidRPr="00046E4A">
        <w:rPr>
          <w:noProof/>
        </w:rPr>
        <w:t>14</w:t>
      </w:r>
      <w:r w:rsidRPr="00046E4A">
        <w:rPr>
          <w:noProof/>
        </w:rPr>
        <w:tab/>
        <w:t>Selection criteria—President</w:t>
      </w:r>
      <w:r w:rsidRPr="00046E4A">
        <w:rPr>
          <w:noProof/>
        </w:rPr>
        <w:tab/>
      </w:r>
      <w:r w:rsidRPr="00046E4A">
        <w:rPr>
          <w:noProof/>
        </w:rPr>
        <w:fldChar w:fldCharType="begin"/>
      </w:r>
      <w:r w:rsidRPr="00046E4A">
        <w:rPr>
          <w:noProof/>
        </w:rPr>
        <w:instrText xml:space="preserve"> PAGEREF _Toc175811228 \h </w:instrText>
      </w:r>
      <w:r w:rsidRPr="00046E4A">
        <w:rPr>
          <w:noProof/>
        </w:rPr>
      </w:r>
      <w:r w:rsidRPr="00046E4A">
        <w:rPr>
          <w:noProof/>
        </w:rPr>
        <w:fldChar w:fldCharType="separate"/>
      </w:r>
      <w:r w:rsidR="00075518">
        <w:rPr>
          <w:noProof/>
        </w:rPr>
        <w:t>8</w:t>
      </w:r>
      <w:r w:rsidRPr="00046E4A">
        <w:rPr>
          <w:noProof/>
        </w:rPr>
        <w:fldChar w:fldCharType="end"/>
      </w:r>
    </w:p>
    <w:p w14:paraId="08E2F1DB" w14:textId="56CEFF20" w:rsidR="00C43E97" w:rsidRPr="00046E4A" w:rsidRDefault="00C43E97">
      <w:pPr>
        <w:pStyle w:val="TOC5"/>
        <w:rPr>
          <w:rFonts w:asciiTheme="minorHAnsi" w:eastAsiaTheme="minorEastAsia" w:hAnsiTheme="minorHAnsi" w:cstheme="minorBidi"/>
          <w:noProof/>
          <w:kern w:val="0"/>
          <w:sz w:val="22"/>
          <w:szCs w:val="22"/>
        </w:rPr>
      </w:pPr>
      <w:r w:rsidRPr="00046E4A">
        <w:rPr>
          <w:noProof/>
        </w:rPr>
        <w:t>15</w:t>
      </w:r>
      <w:r w:rsidRPr="00046E4A">
        <w:rPr>
          <w:noProof/>
        </w:rPr>
        <w:tab/>
        <w:t>Selection criteria—Non</w:t>
      </w:r>
      <w:r w:rsidR="00046E4A">
        <w:rPr>
          <w:noProof/>
        </w:rPr>
        <w:noBreakHyphen/>
      </w:r>
      <w:r w:rsidRPr="00046E4A">
        <w:rPr>
          <w:noProof/>
        </w:rPr>
        <w:t>Judicial Deputy Presidents, senior members and general members</w:t>
      </w:r>
      <w:r w:rsidRPr="00046E4A">
        <w:rPr>
          <w:noProof/>
        </w:rPr>
        <w:tab/>
      </w:r>
      <w:r w:rsidRPr="00046E4A">
        <w:rPr>
          <w:noProof/>
        </w:rPr>
        <w:fldChar w:fldCharType="begin"/>
      </w:r>
      <w:r w:rsidRPr="00046E4A">
        <w:rPr>
          <w:noProof/>
        </w:rPr>
        <w:instrText xml:space="preserve"> PAGEREF _Toc175811229 \h </w:instrText>
      </w:r>
      <w:r w:rsidRPr="00046E4A">
        <w:rPr>
          <w:noProof/>
        </w:rPr>
      </w:r>
      <w:r w:rsidRPr="00046E4A">
        <w:rPr>
          <w:noProof/>
        </w:rPr>
        <w:fldChar w:fldCharType="separate"/>
      </w:r>
      <w:r w:rsidR="00075518">
        <w:rPr>
          <w:noProof/>
        </w:rPr>
        <w:t>8</w:t>
      </w:r>
      <w:r w:rsidRPr="00046E4A">
        <w:rPr>
          <w:noProof/>
        </w:rPr>
        <w:fldChar w:fldCharType="end"/>
      </w:r>
    </w:p>
    <w:p w14:paraId="05650E84" w14:textId="4DF3AAB1" w:rsidR="00C43E97" w:rsidRPr="00046E4A" w:rsidRDefault="00C43E97">
      <w:pPr>
        <w:pStyle w:val="TOC5"/>
        <w:rPr>
          <w:rFonts w:asciiTheme="minorHAnsi" w:eastAsiaTheme="minorEastAsia" w:hAnsiTheme="minorHAnsi" w:cstheme="minorBidi"/>
          <w:noProof/>
          <w:kern w:val="0"/>
          <w:sz w:val="22"/>
          <w:szCs w:val="22"/>
        </w:rPr>
      </w:pPr>
      <w:r w:rsidRPr="00046E4A">
        <w:rPr>
          <w:noProof/>
        </w:rPr>
        <w:t>16</w:t>
      </w:r>
      <w:r w:rsidRPr="00046E4A">
        <w:rPr>
          <w:noProof/>
        </w:rPr>
        <w:tab/>
        <w:t>Selection criteria—Chief Executive Officer and Principal Registrar</w:t>
      </w:r>
      <w:r w:rsidRPr="00046E4A">
        <w:rPr>
          <w:noProof/>
        </w:rPr>
        <w:tab/>
      </w:r>
      <w:r w:rsidRPr="00046E4A">
        <w:rPr>
          <w:noProof/>
        </w:rPr>
        <w:fldChar w:fldCharType="begin"/>
      </w:r>
      <w:r w:rsidRPr="00046E4A">
        <w:rPr>
          <w:noProof/>
        </w:rPr>
        <w:instrText xml:space="preserve"> PAGEREF _Toc175811230 \h </w:instrText>
      </w:r>
      <w:r w:rsidRPr="00046E4A">
        <w:rPr>
          <w:noProof/>
        </w:rPr>
      </w:r>
      <w:r w:rsidRPr="00046E4A">
        <w:rPr>
          <w:noProof/>
        </w:rPr>
        <w:fldChar w:fldCharType="separate"/>
      </w:r>
      <w:r w:rsidR="00075518">
        <w:rPr>
          <w:noProof/>
        </w:rPr>
        <w:t>8</w:t>
      </w:r>
      <w:r w:rsidRPr="00046E4A">
        <w:rPr>
          <w:noProof/>
        </w:rPr>
        <w:fldChar w:fldCharType="end"/>
      </w:r>
    </w:p>
    <w:p w14:paraId="10EA9B06" w14:textId="3EEE56B3" w:rsidR="00C43E97" w:rsidRPr="00046E4A" w:rsidRDefault="00C43E97">
      <w:pPr>
        <w:pStyle w:val="TOC3"/>
        <w:rPr>
          <w:rFonts w:asciiTheme="minorHAnsi" w:eastAsiaTheme="minorEastAsia" w:hAnsiTheme="minorHAnsi" w:cstheme="minorBidi"/>
          <w:b w:val="0"/>
          <w:noProof/>
          <w:kern w:val="0"/>
          <w:szCs w:val="22"/>
        </w:rPr>
      </w:pPr>
      <w:r w:rsidRPr="00046E4A">
        <w:rPr>
          <w:noProof/>
        </w:rPr>
        <w:t>Division 3—Assessment panels</w:t>
      </w:r>
      <w:r w:rsidRPr="00046E4A">
        <w:rPr>
          <w:b w:val="0"/>
          <w:noProof/>
          <w:sz w:val="18"/>
        </w:rPr>
        <w:tab/>
      </w:r>
      <w:r w:rsidRPr="00046E4A">
        <w:rPr>
          <w:b w:val="0"/>
          <w:noProof/>
          <w:sz w:val="18"/>
        </w:rPr>
        <w:fldChar w:fldCharType="begin"/>
      </w:r>
      <w:r w:rsidRPr="00046E4A">
        <w:rPr>
          <w:b w:val="0"/>
          <w:noProof/>
          <w:sz w:val="18"/>
        </w:rPr>
        <w:instrText xml:space="preserve"> PAGEREF _Toc175811231 \h </w:instrText>
      </w:r>
      <w:r w:rsidRPr="00046E4A">
        <w:rPr>
          <w:b w:val="0"/>
          <w:noProof/>
          <w:sz w:val="18"/>
        </w:rPr>
      </w:r>
      <w:r w:rsidRPr="00046E4A">
        <w:rPr>
          <w:b w:val="0"/>
          <w:noProof/>
          <w:sz w:val="18"/>
        </w:rPr>
        <w:fldChar w:fldCharType="separate"/>
      </w:r>
      <w:r w:rsidR="00075518">
        <w:rPr>
          <w:b w:val="0"/>
          <w:noProof/>
          <w:sz w:val="18"/>
        </w:rPr>
        <w:t>10</w:t>
      </w:r>
      <w:r w:rsidRPr="00046E4A">
        <w:rPr>
          <w:b w:val="0"/>
          <w:noProof/>
          <w:sz w:val="18"/>
        </w:rPr>
        <w:fldChar w:fldCharType="end"/>
      </w:r>
    </w:p>
    <w:p w14:paraId="1349EA15" w14:textId="64579CF9" w:rsidR="00C43E97" w:rsidRPr="00046E4A" w:rsidRDefault="00C43E97">
      <w:pPr>
        <w:pStyle w:val="TOC4"/>
        <w:rPr>
          <w:rFonts w:asciiTheme="minorHAnsi" w:eastAsiaTheme="minorEastAsia" w:hAnsiTheme="minorHAnsi" w:cstheme="minorBidi"/>
          <w:b w:val="0"/>
          <w:noProof/>
          <w:kern w:val="0"/>
          <w:sz w:val="22"/>
          <w:szCs w:val="22"/>
        </w:rPr>
      </w:pPr>
      <w:r w:rsidRPr="00046E4A">
        <w:rPr>
          <w:noProof/>
        </w:rPr>
        <w:t>Subdivision A—Composition of assessment panels</w:t>
      </w:r>
      <w:r w:rsidRPr="00046E4A">
        <w:rPr>
          <w:b w:val="0"/>
          <w:noProof/>
          <w:sz w:val="18"/>
        </w:rPr>
        <w:tab/>
      </w:r>
      <w:r w:rsidRPr="00046E4A">
        <w:rPr>
          <w:b w:val="0"/>
          <w:noProof/>
          <w:sz w:val="18"/>
        </w:rPr>
        <w:fldChar w:fldCharType="begin"/>
      </w:r>
      <w:r w:rsidRPr="00046E4A">
        <w:rPr>
          <w:b w:val="0"/>
          <w:noProof/>
          <w:sz w:val="18"/>
        </w:rPr>
        <w:instrText xml:space="preserve"> PAGEREF _Toc175811232 \h </w:instrText>
      </w:r>
      <w:r w:rsidRPr="00046E4A">
        <w:rPr>
          <w:b w:val="0"/>
          <w:noProof/>
          <w:sz w:val="18"/>
        </w:rPr>
      </w:r>
      <w:r w:rsidRPr="00046E4A">
        <w:rPr>
          <w:b w:val="0"/>
          <w:noProof/>
          <w:sz w:val="18"/>
        </w:rPr>
        <w:fldChar w:fldCharType="separate"/>
      </w:r>
      <w:r w:rsidR="00075518">
        <w:rPr>
          <w:b w:val="0"/>
          <w:noProof/>
          <w:sz w:val="18"/>
        </w:rPr>
        <w:t>10</w:t>
      </w:r>
      <w:r w:rsidRPr="00046E4A">
        <w:rPr>
          <w:b w:val="0"/>
          <w:noProof/>
          <w:sz w:val="18"/>
        </w:rPr>
        <w:fldChar w:fldCharType="end"/>
      </w:r>
    </w:p>
    <w:p w14:paraId="15A5E440" w14:textId="4E6DFAA3" w:rsidR="00C43E97" w:rsidRPr="00046E4A" w:rsidRDefault="00C43E97">
      <w:pPr>
        <w:pStyle w:val="TOC5"/>
        <w:rPr>
          <w:rFonts w:asciiTheme="minorHAnsi" w:eastAsiaTheme="minorEastAsia" w:hAnsiTheme="minorHAnsi" w:cstheme="minorBidi"/>
          <w:noProof/>
          <w:kern w:val="0"/>
          <w:sz w:val="22"/>
          <w:szCs w:val="22"/>
        </w:rPr>
      </w:pPr>
      <w:r w:rsidRPr="00046E4A">
        <w:rPr>
          <w:noProof/>
        </w:rPr>
        <w:t>17</w:t>
      </w:r>
      <w:r w:rsidRPr="00046E4A">
        <w:rPr>
          <w:noProof/>
        </w:rPr>
        <w:tab/>
        <w:t>Assessment panels—President</w:t>
      </w:r>
      <w:r w:rsidRPr="00046E4A">
        <w:rPr>
          <w:noProof/>
        </w:rPr>
        <w:tab/>
      </w:r>
      <w:r w:rsidRPr="00046E4A">
        <w:rPr>
          <w:noProof/>
        </w:rPr>
        <w:fldChar w:fldCharType="begin"/>
      </w:r>
      <w:r w:rsidRPr="00046E4A">
        <w:rPr>
          <w:noProof/>
        </w:rPr>
        <w:instrText xml:space="preserve"> PAGEREF _Toc175811233 \h </w:instrText>
      </w:r>
      <w:r w:rsidRPr="00046E4A">
        <w:rPr>
          <w:noProof/>
        </w:rPr>
      </w:r>
      <w:r w:rsidRPr="00046E4A">
        <w:rPr>
          <w:noProof/>
        </w:rPr>
        <w:fldChar w:fldCharType="separate"/>
      </w:r>
      <w:r w:rsidR="00075518">
        <w:rPr>
          <w:noProof/>
        </w:rPr>
        <w:t>10</w:t>
      </w:r>
      <w:r w:rsidRPr="00046E4A">
        <w:rPr>
          <w:noProof/>
        </w:rPr>
        <w:fldChar w:fldCharType="end"/>
      </w:r>
    </w:p>
    <w:p w14:paraId="18321CB5" w14:textId="4BB303E5" w:rsidR="00C43E97" w:rsidRPr="00046E4A" w:rsidRDefault="00C43E97">
      <w:pPr>
        <w:pStyle w:val="TOC5"/>
        <w:rPr>
          <w:rFonts w:asciiTheme="minorHAnsi" w:eastAsiaTheme="minorEastAsia" w:hAnsiTheme="minorHAnsi" w:cstheme="minorBidi"/>
          <w:noProof/>
          <w:kern w:val="0"/>
          <w:sz w:val="22"/>
          <w:szCs w:val="22"/>
        </w:rPr>
      </w:pPr>
      <w:r w:rsidRPr="00046E4A">
        <w:rPr>
          <w:noProof/>
        </w:rPr>
        <w:t>18</w:t>
      </w:r>
      <w:r w:rsidRPr="00046E4A">
        <w:rPr>
          <w:noProof/>
        </w:rPr>
        <w:tab/>
        <w:t>Assessment panels—Non</w:t>
      </w:r>
      <w:r w:rsidR="00046E4A">
        <w:rPr>
          <w:noProof/>
        </w:rPr>
        <w:noBreakHyphen/>
      </w:r>
      <w:r w:rsidRPr="00046E4A">
        <w:rPr>
          <w:noProof/>
        </w:rPr>
        <w:t>Judicial Deputy President, senior member or general member</w:t>
      </w:r>
      <w:r w:rsidRPr="00046E4A">
        <w:rPr>
          <w:noProof/>
        </w:rPr>
        <w:tab/>
      </w:r>
      <w:r w:rsidRPr="00046E4A">
        <w:rPr>
          <w:noProof/>
        </w:rPr>
        <w:fldChar w:fldCharType="begin"/>
      </w:r>
      <w:r w:rsidRPr="00046E4A">
        <w:rPr>
          <w:noProof/>
        </w:rPr>
        <w:instrText xml:space="preserve"> PAGEREF _Toc175811234 \h </w:instrText>
      </w:r>
      <w:r w:rsidRPr="00046E4A">
        <w:rPr>
          <w:noProof/>
        </w:rPr>
      </w:r>
      <w:r w:rsidRPr="00046E4A">
        <w:rPr>
          <w:noProof/>
        </w:rPr>
        <w:fldChar w:fldCharType="separate"/>
      </w:r>
      <w:r w:rsidR="00075518">
        <w:rPr>
          <w:noProof/>
        </w:rPr>
        <w:t>10</w:t>
      </w:r>
      <w:r w:rsidRPr="00046E4A">
        <w:rPr>
          <w:noProof/>
        </w:rPr>
        <w:fldChar w:fldCharType="end"/>
      </w:r>
    </w:p>
    <w:p w14:paraId="5583FABC" w14:textId="53CF6220" w:rsidR="00C43E97" w:rsidRPr="00046E4A" w:rsidRDefault="00C43E97">
      <w:pPr>
        <w:pStyle w:val="TOC5"/>
        <w:rPr>
          <w:rFonts w:asciiTheme="minorHAnsi" w:eastAsiaTheme="minorEastAsia" w:hAnsiTheme="minorHAnsi" w:cstheme="minorBidi"/>
          <w:noProof/>
          <w:kern w:val="0"/>
          <w:sz w:val="22"/>
          <w:szCs w:val="22"/>
        </w:rPr>
      </w:pPr>
      <w:r w:rsidRPr="00046E4A">
        <w:rPr>
          <w:noProof/>
        </w:rPr>
        <w:t>19</w:t>
      </w:r>
      <w:r w:rsidRPr="00046E4A">
        <w:rPr>
          <w:noProof/>
        </w:rPr>
        <w:tab/>
        <w:t>Assessment panels—Chief Executive Officer and Principal Registrar</w:t>
      </w:r>
      <w:r w:rsidRPr="00046E4A">
        <w:rPr>
          <w:noProof/>
        </w:rPr>
        <w:tab/>
      </w:r>
      <w:r w:rsidRPr="00046E4A">
        <w:rPr>
          <w:noProof/>
        </w:rPr>
        <w:fldChar w:fldCharType="begin"/>
      </w:r>
      <w:r w:rsidRPr="00046E4A">
        <w:rPr>
          <w:noProof/>
        </w:rPr>
        <w:instrText xml:space="preserve"> PAGEREF _Toc175811235 \h </w:instrText>
      </w:r>
      <w:r w:rsidRPr="00046E4A">
        <w:rPr>
          <w:noProof/>
        </w:rPr>
      </w:r>
      <w:r w:rsidRPr="00046E4A">
        <w:rPr>
          <w:noProof/>
        </w:rPr>
        <w:fldChar w:fldCharType="separate"/>
      </w:r>
      <w:r w:rsidR="00075518">
        <w:rPr>
          <w:noProof/>
        </w:rPr>
        <w:t>10</w:t>
      </w:r>
      <w:r w:rsidRPr="00046E4A">
        <w:rPr>
          <w:noProof/>
        </w:rPr>
        <w:fldChar w:fldCharType="end"/>
      </w:r>
    </w:p>
    <w:p w14:paraId="4336D3DD" w14:textId="183EB25E" w:rsidR="00C43E97" w:rsidRPr="00046E4A" w:rsidRDefault="00C43E97">
      <w:pPr>
        <w:pStyle w:val="TOC5"/>
        <w:rPr>
          <w:rFonts w:asciiTheme="minorHAnsi" w:eastAsiaTheme="minorEastAsia" w:hAnsiTheme="minorHAnsi" w:cstheme="minorBidi"/>
          <w:noProof/>
          <w:kern w:val="0"/>
          <w:sz w:val="22"/>
          <w:szCs w:val="22"/>
        </w:rPr>
      </w:pPr>
      <w:r w:rsidRPr="00046E4A">
        <w:rPr>
          <w:noProof/>
        </w:rPr>
        <w:t>20</w:t>
      </w:r>
      <w:r w:rsidRPr="00046E4A">
        <w:rPr>
          <w:noProof/>
        </w:rPr>
        <w:tab/>
        <w:t xml:space="preserve">Assessment panels—no employees under the </w:t>
      </w:r>
      <w:r w:rsidRPr="00046E4A">
        <w:rPr>
          <w:i/>
          <w:noProof/>
        </w:rPr>
        <w:t>Members of Parliament (Staff) Act 1984</w:t>
      </w:r>
      <w:r w:rsidRPr="00046E4A">
        <w:rPr>
          <w:noProof/>
        </w:rPr>
        <w:tab/>
      </w:r>
      <w:r w:rsidRPr="00046E4A">
        <w:rPr>
          <w:noProof/>
        </w:rPr>
        <w:fldChar w:fldCharType="begin"/>
      </w:r>
      <w:r w:rsidRPr="00046E4A">
        <w:rPr>
          <w:noProof/>
        </w:rPr>
        <w:instrText xml:space="preserve"> PAGEREF _Toc175811236 \h </w:instrText>
      </w:r>
      <w:r w:rsidRPr="00046E4A">
        <w:rPr>
          <w:noProof/>
        </w:rPr>
      </w:r>
      <w:r w:rsidRPr="00046E4A">
        <w:rPr>
          <w:noProof/>
        </w:rPr>
        <w:fldChar w:fldCharType="separate"/>
      </w:r>
      <w:r w:rsidR="00075518">
        <w:rPr>
          <w:noProof/>
        </w:rPr>
        <w:t>11</w:t>
      </w:r>
      <w:r w:rsidRPr="00046E4A">
        <w:rPr>
          <w:noProof/>
        </w:rPr>
        <w:fldChar w:fldCharType="end"/>
      </w:r>
    </w:p>
    <w:p w14:paraId="296AAFC3" w14:textId="10DD75D5" w:rsidR="00C43E97" w:rsidRPr="00046E4A" w:rsidRDefault="00C43E97">
      <w:pPr>
        <w:pStyle w:val="TOC4"/>
        <w:rPr>
          <w:rFonts w:asciiTheme="minorHAnsi" w:eastAsiaTheme="minorEastAsia" w:hAnsiTheme="minorHAnsi" w:cstheme="minorBidi"/>
          <w:b w:val="0"/>
          <w:noProof/>
          <w:kern w:val="0"/>
          <w:sz w:val="22"/>
          <w:szCs w:val="22"/>
        </w:rPr>
      </w:pPr>
      <w:r w:rsidRPr="00046E4A">
        <w:rPr>
          <w:noProof/>
        </w:rPr>
        <w:t>Subdivision B—Operation of assessment panels</w:t>
      </w:r>
      <w:r w:rsidRPr="00046E4A">
        <w:rPr>
          <w:b w:val="0"/>
          <w:noProof/>
          <w:sz w:val="18"/>
        </w:rPr>
        <w:tab/>
      </w:r>
      <w:r w:rsidRPr="00046E4A">
        <w:rPr>
          <w:b w:val="0"/>
          <w:noProof/>
          <w:sz w:val="18"/>
        </w:rPr>
        <w:fldChar w:fldCharType="begin"/>
      </w:r>
      <w:r w:rsidRPr="00046E4A">
        <w:rPr>
          <w:b w:val="0"/>
          <w:noProof/>
          <w:sz w:val="18"/>
        </w:rPr>
        <w:instrText xml:space="preserve"> PAGEREF _Toc175811237 \h </w:instrText>
      </w:r>
      <w:r w:rsidRPr="00046E4A">
        <w:rPr>
          <w:b w:val="0"/>
          <w:noProof/>
          <w:sz w:val="18"/>
        </w:rPr>
      </w:r>
      <w:r w:rsidRPr="00046E4A">
        <w:rPr>
          <w:b w:val="0"/>
          <w:noProof/>
          <w:sz w:val="18"/>
        </w:rPr>
        <w:fldChar w:fldCharType="separate"/>
      </w:r>
      <w:r w:rsidR="00075518">
        <w:rPr>
          <w:b w:val="0"/>
          <w:noProof/>
          <w:sz w:val="18"/>
        </w:rPr>
        <w:t>11</w:t>
      </w:r>
      <w:r w:rsidRPr="00046E4A">
        <w:rPr>
          <w:b w:val="0"/>
          <w:noProof/>
          <w:sz w:val="18"/>
        </w:rPr>
        <w:fldChar w:fldCharType="end"/>
      </w:r>
    </w:p>
    <w:p w14:paraId="7CE58395" w14:textId="21ABAB26" w:rsidR="00C43E97" w:rsidRPr="00046E4A" w:rsidRDefault="00C43E97">
      <w:pPr>
        <w:pStyle w:val="TOC5"/>
        <w:rPr>
          <w:rFonts w:asciiTheme="minorHAnsi" w:eastAsiaTheme="minorEastAsia" w:hAnsiTheme="minorHAnsi" w:cstheme="minorBidi"/>
          <w:noProof/>
          <w:kern w:val="0"/>
          <w:sz w:val="22"/>
          <w:szCs w:val="22"/>
        </w:rPr>
      </w:pPr>
      <w:r w:rsidRPr="00046E4A">
        <w:rPr>
          <w:noProof/>
        </w:rPr>
        <w:t>21</w:t>
      </w:r>
      <w:r w:rsidRPr="00046E4A">
        <w:rPr>
          <w:noProof/>
        </w:rPr>
        <w:tab/>
        <w:t>Assessment panels—conflict of interests</w:t>
      </w:r>
      <w:r w:rsidRPr="00046E4A">
        <w:rPr>
          <w:noProof/>
        </w:rPr>
        <w:tab/>
      </w:r>
      <w:r w:rsidRPr="00046E4A">
        <w:rPr>
          <w:noProof/>
        </w:rPr>
        <w:fldChar w:fldCharType="begin"/>
      </w:r>
      <w:r w:rsidRPr="00046E4A">
        <w:rPr>
          <w:noProof/>
        </w:rPr>
        <w:instrText xml:space="preserve"> PAGEREF _Toc175811238 \h </w:instrText>
      </w:r>
      <w:r w:rsidRPr="00046E4A">
        <w:rPr>
          <w:noProof/>
        </w:rPr>
      </w:r>
      <w:r w:rsidRPr="00046E4A">
        <w:rPr>
          <w:noProof/>
        </w:rPr>
        <w:fldChar w:fldCharType="separate"/>
      </w:r>
      <w:r w:rsidR="00075518">
        <w:rPr>
          <w:noProof/>
        </w:rPr>
        <w:t>11</w:t>
      </w:r>
      <w:r w:rsidRPr="00046E4A">
        <w:rPr>
          <w:noProof/>
        </w:rPr>
        <w:fldChar w:fldCharType="end"/>
      </w:r>
    </w:p>
    <w:p w14:paraId="0BF5F0BB" w14:textId="6E340B2B" w:rsidR="00C43E97" w:rsidRPr="00046E4A" w:rsidRDefault="00C43E97">
      <w:pPr>
        <w:pStyle w:val="TOC5"/>
        <w:rPr>
          <w:rFonts w:asciiTheme="minorHAnsi" w:eastAsiaTheme="minorEastAsia" w:hAnsiTheme="minorHAnsi" w:cstheme="minorBidi"/>
          <w:noProof/>
          <w:kern w:val="0"/>
          <w:sz w:val="22"/>
          <w:szCs w:val="22"/>
        </w:rPr>
      </w:pPr>
      <w:r w:rsidRPr="00046E4A">
        <w:rPr>
          <w:noProof/>
        </w:rPr>
        <w:t>22</w:t>
      </w:r>
      <w:r w:rsidRPr="00046E4A">
        <w:rPr>
          <w:noProof/>
        </w:rPr>
        <w:tab/>
        <w:t>Delegation</w:t>
      </w:r>
      <w:r w:rsidRPr="00046E4A">
        <w:rPr>
          <w:noProof/>
        </w:rPr>
        <w:tab/>
      </w:r>
      <w:r w:rsidRPr="00046E4A">
        <w:rPr>
          <w:noProof/>
        </w:rPr>
        <w:fldChar w:fldCharType="begin"/>
      </w:r>
      <w:r w:rsidRPr="00046E4A">
        <w:rPr>
          <w:noProof/>
        </w:rPr>
        <w:instrText xml:space="preserve"> PAGEREF _Toc175811239 \h </w:instrText>
      </w:r>
      <w:r w:rsidRPr="00046E4A">
        <w:rPr>
          <w:noProof/>
        </w:rPr>
      </w:r>
      <w:r w:rsidRPr="00046E4A">
        <w:rPr>
          <w:noProof/>
        </w:rPr>
        <w:fldChar w:fldCharType="separate"/>
      </w:r>
      <w:r w:rsidR="00075518">
        <w:rPr>
          <w:noProof/>
        </w:rPr>
        <w:t>11</w:t>
      </w:r>
      <w:r w:rsidRPr="00046E4A">
        <w:rPr>
          <w:noProof/>
        </w:rPr>
        <w:fldChar w:fldCharType="end"/>
      </w:r>
    </w:p>
    <w:p w14:paraId="7520E450" w14:textId="7CB05861" w:rsidR="00C43E97" w:rsidRPr="00046E4A" w:rsidRDefault="00C43E97">
      <w:pPr>
        <w:pStyle w:val="TOC5"/>
        <w:rPr>
          <w:rFonts w:asciiTheme="minorHAnsi" w:eastAsiaTheme="minorEastAsia" w:hAnsiTheme="minorHAnsi" w:cstheme="minorBidi"/>
          <w:noProof/>
          <w:kern w:val="0"/>
          <w:sz w:val="22"/>
          <w:szCs w:val="22"/>
        </w:rPr>
      </w:pPr>
      <w:r w:rsidRPr="00046E4A">
        <w:rPr>
          <w:noProof/>
        </w:rPr>
        <w:t>23</w:t>
      </w:r>
      <w:r w:rsidRPr="00046E4A">
        <w:rPr>
          <w:noProof/>
        </w:rPr>
        <w:tab/>
        <w:t>Assessment panels—conflict of interests for Secretary</w:t>
      </w:r>
      <w:r w:rsidRPr="00046E4A">
        <w:rPr>
          <w:noProof/>
        </w:rPr>
        <w:tab/>
      </w:r>
      <w:r w:rsidRPr="00046E4A">
        <w:rPr>
          <w:noProof/>
        </w:rPr>
        <w:fldChar w:fldCharType="begin"/>
      </w:r>
      <w:r w:rsidRPr="00046E4A">
        <w:rPr>
          <w:noProof/>
        </w:rPr>
        <w:instrText xml:space="preserve"> PAGEREF _Toc175811240 \h </w:instrText>
      </w:r>
      <w:r w:rsidRPr="00046E4A">
        <w:rPr>
          <w:noProof/>
        </w:rPr>
      </w:r>
      <w:r w:rsidRPr="00046E4A">
        <w:rPr>
          <w:noProof/>
        </w:rPr>
        <w:fldChar w:fldCharType="separate"/>
      </w:r>
      <w:r w:rsidR="00075518">
        <w:rPr>
          <w:noProof/>
        </w:rPr>
        <w:t>11</w:t>
      </w:r>
      <w:r w:rsidRPr="00046E4A">
        <w:rPr>
          <w:noProof/>
        </w:rPr>
        <w:fldChar w:fldCharType="end"/>
      </w:r>
    </w:p>
    <w:p w14:paraId="09E3BB9D" w14:textId="47101E2F" w:rsidR="00C43E97" w:rsidRPr="00046E4A" w:rsidRDefault="00C43E97">
      <w:pPr>
        <w:pStyle w:val="TOC5"/>
        <w:rPr>
          <w:rFonts w:asciiTheme="minorHAnsi" w:eastAsiaTheme="minorEastAsia" w:hAnsiTheme="minorHAnsi" w:cstheme="minorBidi"/>
          <w:noProof/>
          <w:kern w:val="0"/>
          <w:sz w:val="22"/>
          <w:szCs w:val="22"/>
        </w:rPr>
      </w:pPr>
      <w:r w:rsidRPr="00046E4A">
        <w:rPr>
          <w:noProof/>
        </w:rPr>
        <w:t>24</w:t>
      </w:r>
      <w:r w:rsidRPr="00046E4A">
        <w:rPr>
          <w:noProof/>
        </w:rPr>
        <w:tab/>
        <w:t>Assessment panels—majority decisions</w:t>
      </w:r>
      <w:r w:rsidRPr="00046E4A">
        <w:rPr>
          <w:noProof/>
        </w:rPr>
        <w:tab/>
      </w:r>
      <w:r w:rsidRPr="00046E4A">
        <w:rPr>
          <w:noProof/>
        </w:rPr>
        <w:fldChar w:fldCharType="begin"/>
      </w:r>
      <w:r w:rsidRPr="00046E4A">
        <w:rPr>
          <w:noProof/>
        </w:rPr>
        <w:instrText xml:space="preserve"> PAGEREF _Toc175811241 \h </w:instrText>
      </w:r>
      <w:r w:rsidRPr="00046E4A">
        <w:rPr>
          <w:noProof/>
        </w:rPr>
      </w:r>
      <w:r w:rsidRPr="00046E4A">
        <w:rPr>
          <w:noProof/>
        </w:rPr>
        <w:fldChar w:fldCharType="separate"/>
      </w:r>
      <w:r w:rsidR="00075518">
        <w:rPr>
          <w:noProof/>
        </w:rPr>
        <w:t>12</w:t>
      </w:r>
      <w:r w:rsidRPr="00046E4A">
        <w:rPr>
          <w:noProof/>
        </w:rPr>
        <w:fldChar w:fldCharType="end"/>
      </w:r>
    </w:p>
    <w:p w14:paraId="00A134E7" w14:textId="78C767E9" w:rsidR="00C43E97" w:rsidRPr="00046E4A" w:rsidRDefault="00C43E97">
      <w:pPr>
        <w:pStyle w:val="TOC5"/>
        <w:rPr>
          <w:rFonts w:asciiTheme="minorHAnsi" w:eastAsiaTheme="minorEastAsia" w:hAnsiTheme="minorHAnsi" w:cstheme="minorBidi"/>
          <w:noProof/>
          <w:kern w:val="0"/>
          <w:sz w:val="22"/>
          <w:szCs w:val="22"/>
        </w:rPr>
      </w:pPr>
      <w:r w:rsidRPr="00046E4A">
        <w:rPr>
          <w:noProof/>
        </w:rPr>
        <w:t>25</w:t>
      </w:r>
      <w:r w:rsidRPr="00046E4A">
        <w:rPr>
          <w:noProof/>
        </w:rPr>
        <w:tab/>
        <w:t>Assessment panels not subject to direction by the Minister</w:t>
      </w:r>
      <w:r w:rsidRPr="00046E4A">
        <w:rPr>
          <w:noProof/>
        </w:rPr>
        <w:tab/>
      </w:r>
      <w:r w:rsidRPr="00046E4A">
        <w:rPr>
          <w:noProof/>
        </w:rPr>
        <w:fldChar w:fldCharType="begin"/>
      </w:r>
      <w:r w:rsidRPr="00046E4A">
        <w:rPr>
          <w:noProof/>
        </w:rPr>
        <w:instrText xml:space="preserve"> PAGEREF _Toc175811242 \h </w:instrText>
      </w:r>
      <w:r w:rsidRPr="00046E4A">
        <w:rPr>
          <w:noProof/>
        </w:rPr>
      </w:r>
      <w:r w:rsidRPr="00046E4A">
        <w:rPr>
          <w:noProof/>
        </w:rPr>
        <w:fldChar w:fldCharType="separate"/>
      </w:r>
      <w:r w:rsidR="00075518">
        <w:rPr>
          <w:noProof/>
        </w:rPr>
        <w:t>12</w:t>
      </w:r>
      <w:r w:rsidRPr="00046E4A">
        <w:rPr>
          <w:noProof/>
        </w:rPr>
        <w:fldChar w:fldCharType="end"/>
      </w:r>
    </w:p>
    <w:p w14:paraId="4377449B" w14:textId="7B0C2D19" w:rsidR="00C43E97" w:rsidRPr="00046E4A" w:rsidRDefault="00C43E97">
      <w:pPr>
        <w:pStyle w:val="TOC5"/>
        <w:rPr>
          <w:rFonts w:asciiTheme="minorHAnsi" w:eastAsiaTheme="minorEastAsia" w:hAnsiTheme="minorHAnsi" w:cstheme="minorBidi"/>
          <w:noProof/>
          <w:kern w:val="0"/>
          <w:sz w:val="22"/>
          <w:szCs w:val="22"/>
        </w:rPr>
      </w:pPr>
      <w:r w:rsidRPr="00046E4A">
        <w:rPr>
          <w:noProof/>
        </w:rPr>
        <w:t>26</w:t>
      </w:r>
      <w:r w:rsidRPr="00046E4A">
        <w:rPr>
          <w:noProof/>
        </w:rPr>
        <w:tab/>
        <w:t>Assessment panels—replacement of persons</w:t>
      </w:r>
      <w:r w:rsidRPr="00046E4A">
        <w:rPr>
          <w:noProof/>
        </w:rPr>
        <w:tab/>
      </w:r>
      <w:r w:rsidRPr="00046E4A">
        <w:rPr>
          <w:noProof/>
        </w:rPr>
        <w:fldChar w:fldCharType="begin"/>
      </w:r>
      <w:r w:rsidRPr="00046E4A">
        <w:rPr>
          <w:noProof/>
        </w:rPr>
        <w:instrText xml:space="preserve"> PAGEREF _Toc175811243 \h </w:instrText>
      </w:r>
      <w:r w:rsidRPr="00046E4A">
        <w:rPr>
          <w:noProof/>
        </w:rPr>
      </w:r>
      <w:r w:rsidRPr="00046E4A">
        <w:rPr>
          <w:noProof/>
        </w:rPr>
        <w:fldChar w:fldCharType="separate"/>
      </w:r>
      <w:r w:rsidR="00075518">
        <w:rPr>
          <w:noProof/>
        </w:rPr>
        <w:t>12</w:t>
      </w:r>
      <w:r w:rsidRPr="00046E4A">
        <w:rPr>
          <w:noProof/>
        </w:rPr>
        <w:fldChar w:fldCharType="end"/>
      </w:r>
    </w:p>
    <w:p w14:paraId="518FBB1C" w14:textId="18E51F21" w:rsidR="00C43E97" w:rsidRPr="00046E4A" w:rsidRDefault="00C43E97">
      <w:pPr>
        <w:pStyle w:val="TOC2"/>
        <w:rPr>
          <w:rFonts w:asciiTheme="minorHAnsi" w:eastAsiaTheme="minorEastAsia" w:hAnsiTheme="minorHAnsi" w:cstheme="minorBidi"/>
          <w:b w:val="0"/>
          <w:noProof/>
          <w:kern w:val="0"/>
          <w:sz w:val="22"/>
          <w:szCs w:val="22"/>
        </w:rPr>
      </w:pPr>
      <w:r w:rsidRPr="00046E4A">
        <w:rPr>
          <w:noProof/>
        </w:rPr>
        <w:t>Part 5—Norfolk Island</w:t>
      </w:r>
      <w:r w:rsidRPr="00046E4A">
        <w:rPr>
          <w:b w:val="0"/>
          <w:noProof/>
          <w:sz w:val="18"/>
        </w:rPr>
        <w:tab/>
      </w:r>
      <w:r w:rsidRPr="00046E4A">
        <w:rPr>
          <w:b w:val="0"/>
          <w:noProof/>
          <w:sz w:val="18"/>
        </w:rPr>
        <w:fldChar w:fldCharType="begin"/>
      </w:r>
      <w:r w:rsidRPr="00046E4A">
        <w:rPr>
          <w:b w:val="0"/>
          <w:noProof/>
          <w:sz w:val="18"/>
        </w:rPr>
        <w:instrText xml:space="preserve"> PAGEREF _Toc175811244 \h </w:instrText>
      </w:r>
      <w:r w:rsidRPr="00046E4A">
        <w:rPr>
          <w:b w:val="0"/>
          <w:noProof/>
          <w:sz w:val="18"/>
        </w:rPr>
      </w:r>
      <w:r w:rsidRPr="00046E4A">
        <w:rPr>
          <w:b w:val="0"/>
          <w:noProof/>
          <w:sz w:val="18"/>
        </w:rPr>
        <w:fldChar w:fldCharType="separate"/>
      </w:r>
      <w:r w:rsidR="00075518">
        <w:rPr>
          <w:b w:val="0"/>
          <w:noProof/>
          <w:sz w:val="18"/>
        </w:rPr>
        <w:t>14</w:t>
      </w:r>
      <w:r w:rsidRPr="00046E4A">
        <w:rPr>
          <w:b w:val="0"/>
          <w:noProof/>
          <w:sz w:val="18"/>
        </w:rPr>
        <w:fldChar w:fldCharType="end"/>
      </w:r>
    </w:p>
    <w:p w14:paraId="120A0D72" w14:textId="65ADF94E" w:rsidR="00C43E97" w:rsidRPr="00046E4A" w:rsidRDefault="00C43E97">
      <w:pPr>
        <w:pStyle w:val="TOC5"/>
        <w:rPr>
          <w:rFonts w:asciiTheme="minorHAnsi" w:eastAsiaTheme="minorEastAsia" w:hAnsiTheme="minorHAnsi" w:cstheme="minorBidi"/>
          <w:noProof/>
          <w:kern w:val="0"/>
          <w:sz w:val="22"/>
          <w:szCs w:val="22"/>
        </w:rPr>
      </w:pPr>
      <w:r w:rsidRPr="00046E4A">
        <w:rPr>
          <w:noProof/>
        </w:rPr>
        <w:t>27</w:t>
      </w:r>
      <w:r w:rsidRPr="00046E4A">
        <w:rPr>
          <w:noProof/>
        </w:rPr>
        <w:tab/>
        <w:t>Review of decisions under Norfolk Island enactments</w:t>
      </w:r>
      <w:r w:rsidRPr="00046E4A">
        <w:rPr>
          <w:noProof/>
        </w:rPr>
        <w:tab/>
      </w:r>
      <w:r w:rsidRPr="00046E4A">
        <w:rPr>
          <w:noProof/>
        </w:rPr>
        <w:fldChar w:fldCharType="begin"/>
      </w:r>
      <w:r w:rsidRPr="00046E4A">
        <w:rPr>
          <w:noProof/>
        </w:rPr>
        <w:instrText xml:space="preserve"> PAGEREF _Toc175811245 \h </w:instrText>
      </w:r>
      <w:r w:rsidRPr="00046E4A">
        <w:rPr>
          <w:noProof/>
        </w:rPr>
      </w:r>
      <w:r w:rsidRPr="00046E4A">
        <w:rPr>
          <w:noProof/>
        </w:rPr>
        <w:fldChar w:fldCharType="separate"/>
      </w:r>
      <w:r w:rsidR="00075518">
        <w:rPr>
          <w:noProof/>
        </w:rPr>
        <w:t>14</w:t>
      </w:r>
      <w:r w:rsidRPr="00046E4A">
        <w:rPr>
          <w:noProof/>
        </w:rPr>
        <w:fldChar w:fldCharType="end"/>
      </w:r>
    </w:p>
    <w:p w14:paraId="26B293F3" w14:textId="252F0FCA" w:rsidR="00C43E97" w:rsidRPr="00046E4A" w:rsidRDefault="00C43E97">
      <w:pPr>
        <w:pStyle w:val="TOC5"/>
        <w:rPr>
          <w:rFonts w:asciiTheme="minorHAnsi" w:eastAsiaTheme="minorEastAsia" w:hAnsiTheme="minorHAnsi" w:cstheme="minorBidi"/>
          <w:noProof/>
          <w:kern w:val="0"/>
          <w:sz w:val="22"/>
          <w:szCs w:val="22"/>
        </w:rPr>
      </w:pPr>
      <w:r w:rsidRPr="00046E4A">
        <w:rPr>
          <w:noProof/>
        </w:rPr>
        <w:t>28</w:t>
      </w:r>
      <w:r w:rsidRPr="00046E4A">
        <w:rPr>
          <w:noProof/>
        </w:rPr>
        <w:tab/>
        <w:t>Modification of operation of Act</w:t>
      </w:r>
      <w:r w:rsidRPr="00046E4A">
        <w:rPr>
          <w:noProof/>
        </w:rPr>
        <w:tab/>
      </w:r>
      <w:r w:rsidRPr="00046E4A">
        <w:rPr>
          <w:noProof/>
        </w:rPr>
        <w:fldChar w:fldCharType="begin"/>
      </w:r>
      <w:r w:rsidRPr="00046E4A">
        <w:rPr>
          <w:noProof/>
        </w:rPr>
        <w:instrText xml:space="preserve"> PAGEREF _Toc175811246 \h </w:instrText>
      </w:r>
      <w:r w:rsidRPr="00046E4A">
        <w:rPr>
          <w:noProof/>
        </w:rPr>
      </w:r>
      <w:r w:rsidRPr="00046E4A">
        <w:rPr>
          <w:noProof/>
        </w:rPr>
        <w:fldChar w:fldCharType="separate"/>
      </w:r>
      <w:r w:rsidR="00075518">
        <w:rPr>
          <w:noProof/>
        </w:rPr>
        <w:t>16</w:t>
      </w:r>
      <w:r w:rsidRPr="00046E4A">
        <w:rPr>
          <w:noProof/>
        </w:rPr>
        <w:fldChar w:fldCharType="end"/>
      </w:r>
    </w:p>
    <w:p w14:paraId="2BE29A55" w14:textId="77777777" w:rsidR="00670EA1" w:rsidRPr="00046E4A" w:rsidRDefault="00C43E97" w:rsidP="00715914">
      <w:r w:rsidRPr="00046E4A">
        <w:fldChar w:fldCharType="end"/>
      </w:r>
    </w:p>
    <w:p w14:paraId="2F478C8A" w14:textId="77777777" w:rsidR="00670EA1" w:rsidRPr="00046E4A" w:rsidRDefault="00670EA1" w:rsidP="00715914">
      <w:pPr>
        <w:sectPr w:rsidR="00670EA1" w:rsidRPr="00046E4A" w:rsidSect="00AB4742">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66E765EB" w14:textId="77777777" w:rsidR="00715914" w:rsidRPr="00046E4A" w:rsidRDefault="00715914" w:rsidP="00715914">
      <w:pPr>
        <w:pStyle w:val="ActHead2"/>
      </w:pPr>
      <w:bookmarkStart w:id="0" w:name="_Toc175811209"/>
      <w:r w:rsidRPr="00177AC3">
        <w:rPr>
          <w:rStyle w:val="CharPartNo"/>
        </w:rPr>
        <w:lastRenderedPageBreak/>
        <w:t>Part 1</w:t>
      </w:r>
      <w:r w:rsidRPr="00046E4A">
        <w:t>—</w:t>
      </w:r>
      <w:r w:rsidRPr="00177AC3">
        <w:rPr>
          <w:rStyle w:val="CharPartText"/>
        </w:rPr>
        <w:t>Preliminary</w:t>
      </w:r>
      <w:bookmarkEnd w:id="0"/>
    </w:p>
    <w:p w14:paraId="563DD5C4" w14:textId="77777777" w:rsidR="00715914" w:rsidRPr="00177AC3" w:rsidRDefault="00715914" w:rsidP="00715914">
      <w:pPr>
        <w:pStyle w:val="Header"/>
      </w:pPr>
      <w:r w:rsidRPr="00177AC3">
        <w:rPr>
          <w:rStyle w:val="CharDivNo"/>
        </w:rPr>
        <w:t xml:space="preserve"> </w:t>
      </w:r>
      <w:r w:rsidRPr="00177AC3">
        <w:rPr>
          <w:rStyle w:val="CharDivText"/>
        </w:rPr>
        <w:t xml:space="preserve"> </w:t>
      </w:r>
    </w:p>
    <w:p w14:paraId="1D3EA18A" w14:textId="77777777" w:rsidR="00715914" w:rsidRPr="00046E4A" w:rsidRDefault="0045486B" w:rsidP="00715914">
      <w:pPr>
        <w:pStyle w:val="ActHead5"/>
      </w:pPr>
      <w:bookmarkStart w:id="1" w:name="_Toc175811210"/>
      <w:r w:rsidRPr="00177AC3">
        <w:rPr>
          <w:rStyle w:val="CharSectno"/>
        </w:rPr>
        <w:t>1</w:t>
      </w:r>
      <w:r w:rsidR="00715914" w:rsidRPr="00046E4A">
        <w:t xml:space="preserve">  </w:t>
      </w:r>
      <w:r w:rsidR="00CE493D" w:rsidRPr="00046E4A">
        <w:t>Name</w:t>
      </w:r>
      <w:bookmarkEnd w:id="1"/>
    </w:p>
    <w:p w14:paraId="06C7DCBD" w14:textId="77777777" w:rsidR="00715914" w:rsidRPr="00046E4A" w:rsidRDefault="00715914" w:rsidP="00715914">
      <w:pPr>
        <w:pStyle w:val="subsection"/>
      </w:pPr>
      <w:r w:rsidRPr="00046E4A">
        <w:tab/>
      </w:r>
      <w:r w:rsidRPr="00046E4A">
        <w:tab/>
      </w:r>
      <w:r w:rsidR="00937BB0" w:rsidRPr="00046E4A">
        <w:t>This instrument is</w:t>
      </w:r>
      <w:r w:rsidR="00CE493D" w:rsidRPr="00046E4A">
        <w:t xml:space="preserve"> the </w:t>
      </w:r>
      <w:r w:rsidR="00046E4A" w:rsidRPr="00046E4A">
        <w:rPr>
          <w:i/>
          <w:noProof/>
        </w:rPr>
        <w:t>Administrative Review Tribunal Regulations 2024</w:t>
      </w:r>
      <w:r w:rsidRPr="00046E4A">
        <w:t>.</w:t>
      </w:r>
    </w:p>
    <w:p w14:paraId="3C6BFB94" w14:textId="77777777" w:rsidR="00715914" w:rsidRPr="00046E4A" w:rsidRDefault="0045486B" w:rsidP="00715914">
      <w:pPr>
        <w:pStyle w:val="ActHead5"/>
      </w:pPr>
      <w:bookmarkStart w:id="2" w:name="_Toc175811211"/>
      <w:r w:rsidRPr="00177AC3">
        <w:rPr>
          <w:rStyle w:val="CharSectno"/>
        </w:rPr>
        <w:t>2</w:t>
      </w:r>
      <w:r w:rsidR="00715914" w:rsidRPr="00046E4A">
        <w:t xml:space="preserve">  Commencement</w:t>
      </w:r>
      <w:bookmarkEnd w:id="2"/>
    </w:p>
    <w:p w14:paraId="159F2A18" w14:textId="77777777" w:rsidR="00AE3652" w:rsidRPr="00046E4A" w:rsidRDefault="00807626" w:rsidP="00AE3652">
      <w:pPr>
        <w:pStyle w:val="subsection"/>
      </w:pPr>
      <w:r w:rsidRPr="00046E4A">
        <w:tab/>
      </w:r>
      <w:r w:rsidR="00AE3652" w:rsidRPr="00046E4A">
        <w:t>(1)</w:t>
      </w:r>
      <w:r w:rsidR="00AE3652" w:rsidRPr="00046E4A">
        <w:tab/>
        <w:t xml:space="preserve">Each provision of </w:t>
      </w:r>
      <w:r w:rsidR="00937BB0" w:rsidRPr="00046E4A">
        <w:t>this instrument</w:t>
      </w:r>
      <w:r w:rsidR="00AE3652" w:rsidRPr="00046E4A">
        <w:t xml:space="preserve"> specified in column 1 of the table commences, or is taken to have commenced, in accordance with column 2 of the table. Any other statement in column 2 has effect according to its terms.</w:t>
      </w:r>
    </w:p>
    <w:p w14:paraId="161E9F95" w14:textId="77777777" w:rsidR="00AE3652" w:rsidRPr="00046E4A"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46E4A" w14:paraId="43EB12C4" w14:textId="77777777" w:rsidTr="00D6141F">
        <w:trPr>
          <w:tblHeader/>
        </w:trPr>
        <w:tc>
          <w:tcPr>
            <w:tcW w:w="8364" w:type="dxa"/>
            <w:gridSpan w:val="3"/>
            <w:tcBorders>
              <w:top w:val="single" w:sz="12" w:space="0" w:color="auto"/>
              <w:bottom w:val="single" w:sz="6" w:space="0" w:color="auto"/>
            </w:tcBorders>
            <w:shd w:val="clear" w:color="auto" w:fill="auto"/>
            <w:hideMark/>
          </w:tcPr>
          <w:p w14:paraId="2FDCC7D5" w14:textId="77777777" w:rsidR="00AE3652" w:rsidRPr="00046E4A" w:rsidRDefault="00AE3652" w:rsidP="00D6141F">
            <w:pPr>
              <w:pStyle w:val="TableHeading"/>
            </w:pPr>
            <w:r w:rsidRPr="00046E4A">
              <w:t>Commencement information</w:t>
            </w:r>
            <w:bookmarkStart w:id="3" w:name="_GoBack"/>
            <w:bookmarkEnd w:id="3"/>
          </w:p>
        </w:tc>
      </w:tr>
      <w:tr w:rsidR="00AE3652" w:rsidRPr="00046E4A" w14:paraId="6B1FAEF6" w14:textId="77777777" w:rsidTr="00D6141F">
        <w:trPr>
          <w:tblHeader/>
        </w:trPr>
        <w:tc>
          <w:tcPr>
            <w:tcW w:w="2127" w:type="dxa"/>
            <w:tcBorders>
              <w:top w:val="single" w:sz="6" w:space="0" w:color="auto"/>
              <w:bottom w:val="single" w:sz="6" w:space="0" w:color="auto"/>
            </w:tcBorders>
            <w:shd w:val="clear" w:color="auto" w:fill="auto"/>
            <w:hideMark/>
          </w:tcPr>
          <w:p w14:paraId="2C3BC19F" w14:textId="77777777" w:rsidR="00AE3652" w:rsidRPr="00046E4A" w:rsidRDefault="00AE3652" w:rsidP="00D6141F">
            <w:pPr>
              <w:pStyle w:val="TableHeading"/>
            </w:pPr>
            <w:r w:rsidRPr="00046E4A">
              <w:t>Column 1</w:t>
            </w:r>
          </w:p>
        </w:tc>
        <w:tc>
          <w:tcPr>
            <w:tcW w:w="4394" w:type="dxa"/>
            <w:tcBorders>
              <w:top w:val="single" w:sz="6" w:space="0" w:color="auto"/>
              <w:bottom w:val="single" w:sz="6" w:space="0" w:color="auto"/>
            </w:tcBorders>
            <w:shd w:val="clear" w:color="auto" w:fill="auto"/>
            <w:hideMark/>
          </w:tcPr>
          <w:p w14:paraId="0B7FB121" w14:textId="77777777" w:rsidR="00AE3652" w:rsidRPr="00046E4A" w:rsidRDefault="00AE3652" w:rsidP="00D6141F">
            <w:pPr>
              <w:pStyle w:val="TableHeading"/>
            </w:pPr>
            <w:r w:rsidRPr="00046E4A">
              <w:t>Column 2</w:t>
            </w:r>
          </w:p>
        </w:tc>
        <w:tc>
          <w:tcPr>
            <w:tcW w:w="1843" w:type="dxa"/>
            <w:tcBorders>
              <w:top w:val="single" w:sz="6" w:space="0" w:color="auto"/>
              <w:bottom w:val="single" w:sz="6" w:space="0" w:color="auto"/>
            </w:tcBorders>
            <w:shd w:val="clear" w:color="auto" w:fill="auto"/>
            <w:hideMark/>
          </w:tcPr>
          <w:p w14:paraId="3CBAF397" w14:textId="77777777" w:rsidR="00AE3652" w:rsidRPr="00046E4A" w:rsidRDefault="00AE3652" w:rsidP="00D6141F">
            <w:pPr>
              <w:pStyle w:val="TableHeading"/>
            </w:pPr>
            <w:r w:rsidRPr="00046E4A">
              <w:t>Column 3</w:t>
            </w:r>
          </w:p>
        </w:tc>
      </w:tr>
      <w:tr w:rsidR="00AE3652" w:rsidRPr="00046E4A" w14:paraId="225DBCC5" w14:textId="77777777" w:rsidTr="00D6141F">
        <w:trPr>
          <w:tblHeader/>
        </w:trPr>
        <w:tc>
          <w:tcPr>
            <w:tcW w:w="2127" w:type="dxa"/>
            <w:tcBorders>
              <w:top w:val="single" w:sz="6" w:space="0" w:color="auto"/>
              <w:bottom w:val="single" w:sz="12" w:space="0" w:color="auto"/>
            </w:tcBorders>
            <w:shd w:val="clear" w:color="auto" w:fill="auto"/>
            <w:hideMark/>
          </w:tcPr>
          <w:p w14:paraId="3987FBAB" w14:textId="77777777" w:rsidR="00AE3652" w:rsidRPr="00046E4A" w:rsidRDefault="00AE3652" w:rsidP="00D6141F">
            <w:pPr>
              <w:pStyle w:val="TableHeading"/>
            </w:pPr>
            <w:r w:rsidRPr="00046E4A">
              <w:t>Provisions</w:t>
            </w:r>
          </w:p>
        </w:tc>
        <w:tc>
          <w:tcPr>
            <w:tcW w:w="4394" w:type="dxa"/>
            <w:tcBorders>
              <w:top w:val="single" w:sz="6" w:space="0" w:color="auto"/>
              <w:bottom w:val="single" w:sz="12" w:space="0" w:color="auto"/>
            </w:tcBorders>
            <w:shd w:val="clear" w:color="auto" w:fill="auto"/>
            <w:hideMark/>
          </w:tcPr>
          <w:p w14:paraId="30CEA2F8" w14:textId="77777777" w:rsidR="00AE3652" w:rsidRPr="00046E4A" w:rsidRDefault="00AE3652" w:rsidP="00D6141F">
            <w:pPr>
              <w:pStyle w:val="TableHeading"/>
            </w:pPr>
            <w:r w:rsidRPr="00046E4A">
              <w:t>Commencement</w:t>
            </w:r>
          </w:p>
        </w:tc>
        <w:tc>
          <w:tcPr>
            <w:tcW w:w="1843" w:type="dxa"/>
            <w:tcBorders>
              <w:top w:val="single" w:sz="6" w:space="0" w:color="auto"/>
              <w:bottom w:val="single" w:sz="12" w:space="0" w:color="auto"/>
            </w:tcBorders>
            <w:shd w:val="clear" w:color="auto" w:fill="auto"/>
            <w:hideMark/>
          </w:tcPr>
          <w:p w14:paraId="024EC164" w14:textId="77777777" w:rsidR="00AE3652" w:rsidRPr="00046E4A" w:rsidRDefault="00AE3652" w:rsidP="00D6141F">
            <w:pPr>
              <w:pStyle w:val="TableHeading"/>
            </w:pPr>
            <w:r w:rsidRPr="00046E4A">
              <w:t>Date/Details</w:t>
            </w:r>
          </w:p>
        </w:tc>
      </w:tr>
      <w:tr w:rsidR="00AE3652" w:rsidRPr="00046E4A" w14:paraId="710C63CF" w14:textId="77777777" w:rsidTr="00D6141F">
        <w:tc>
          <w:tcPr>
            <w:tcW w:w="2127" w:type="dxa"/>
            <w:tcBorders>
              <w:top w:val="single" w:sz="12" w:space="0" w:color="auto"/>
              <w:bottom w:val="single" w:sz="12" w:space="0" w:color="auto"/>
            </w:tcBorders>
            <w:shd w:val="clear" w:color="auto" w:fill="auto"/>
            <w:hideMark/>
          </w:tcPr>
          <w:p w14:paraId="011FA831" w14:textId="77777777" w:rsidR="00AE3652" w:rsidRPr="00046E4A" w:rsidRDefault="00AE3652" w:rsidP="00D6141F">
            <w:pPr>
              <w:pStyle w:val="Tabletext"/>
            </w:pPr>
            <w:r w:rsidRPr="00046E4A">
              <w:t xml:space="preserve">1.  The whole of </w:t>
            </w:r>
            <w:r w:rsidR="00937BB0" w:rsidRPr="00046E4A">
              <w:t>this instrument</w:t>
            </w:r>
          </w:p>
        </w:tc>
        <w:tc>
          <w:tcPr>
            <w:tcW w:w="4394" w:type="dxa"/>
            <w:tcBorders>
              <w:top w:val="single" w:sz="12" w:space="0" w:color="auto"/>
              <w:bottom w:val="single" w:sz="12" w:space="0" w:color="auto"/>
            </w:tcBorders>
            <w:shd w:val="clear" w:color="auto" w:fill="auto"/>
            <w:hideMark/>
          </w:tcPr>
          <w:p w14:paraId="36840305" w14:textId="77777777" w:rsidR="00AE3652" w:rsidRPr="00046E4A" w:rsidRDefault="00D6141F" w:rsidP="00D6141F">
            <w:pPr>
              <w:pStyle w:val="Tabletext"/>
            </w:pPr>
            <w:r w:rsidRPr="00046E4A">
              <w:t xml:space="preserve">At the same time as the </w:t>
            </w:r>
            <w:r w:rsidRPr="00046E4A">
              <w:rPr>
                <w:i/>
              </w:rPr>
              <w:t>Administrative Review Tribunal Act 2024</w:t>
            </w:r>
            <w:r w:rsidRPr="00046E4A">
              <w:t xml:space="preserve"> commences.</w:t>
            </w:r>
          </w:p>
        </w:tc>
        <w:tc>
          <w:tcPr>
            <w:tcW w:w="1843" w:type="dxa"/>
            <w:tcBorders>
              <w:top w:val="single" w:sz="12" w:space="0" w:color="auto"/>
              <w:bottom w:val="single" w:sz="12" w:space="0" w:color="auto"/>
            </w:tcBorders>
            <w:shd w:val="clear" w:color="auto" w:fill="auto"/>
          </w:tcPr>
          <w:p w14:paraId="01749889" w14:textId="3DCDAF44" w:rsidR="00AE3652" w:rsidRPr="00046E4A" w:rsidRDefault="00401446" w:rsidP="00D6141F">
            <w:pPr>
              <w:pStyle w:val="Tabletext"/>
            </w:pPr>
            <w:r>
              <w:t>14 October 2024</w:t>
            </w:r>
          </w:p>
        </w:tc>
      </w:tr>
    </w:tbl>
    <w:p w14:paraId="035DE434" w14:textId="77777777" w:rsidR="00AE3652" w:rsidRPr="00046E4A" w:rsidRDefault="00AE3652" w:rsidP="00AE3652">
      <w:pPr>
        <w:pStyle w:val="notetext"/>
      </w:pPr>
      <w:r w:rsidRPr="00046E4A">
        <w:rPr>
          <w:snapToGrid w:val="0"/>
          <w:lang w:eastAsia="en-US"/>
        </w:rPr>
        <w:t>Note:</w:t>
      </w:r>
      <w:r w:rsidRPr="00046E4A">
        <w:rPr>
          <w:snapToGrid w:val="0"/>
          <w:lang w:eastAsia="en-US"/>
        </w:rPr>
        <w:tab/>
        <w:t xml:space="preserve">This table relates only to the provisions of </w:t>
      </w:r>
      <w:r w:rsidR="00937BB0" w:rsidRPr="00046E4A">
        <w:rPr>
          <w:snapToGrid w:val="0"/>
          <w:lang w:eastAsia="en-US"/>
        </w:rPr>
        <w:t>this instrument</w:t>
      </w:r>
      <w:r w:rsidRPr="00046E4A">
        <w:t xml:space="preserve"> </w:t>
      </w:r>
      <w:r w:rsidRPr="00046E4A">
        <w:rPr>
          <w:snapToGrid w:val="0"/>
          <w:lang w:eastAsia="en-US"/>
        </w:rPr>
        <w:t xml:space="preserve">as originally made. It will not be amended to deal with any later amendments of </w:t>
      </w:r>
      <w:r w:rsidR="00937BB0" w:rsidRPr="00046E4A">
        <w:rPr>
          <w:snapToGrid w:val="0"/>
          <w:lang w:eastAsia="en-US"/>
        </w:rPr>
        <w:t>this instrument</w:t>
      </w:r>
      <w:r w:rsidRPr="00046E4A">
        <w:rPr>
          <w:snapToGrid w:val="0"/>
          <w:lang w:eastAsia="en-US"/>
        </w:rPr>
        <w:t>.</w:t>
      </w:r>
    </w:p>
    <w:p w14:paraId="44086267" w14:textId="77777777" w:rsidR="00807626" w:rsidRPr="00046E4A" w:rsidRDefault="00AE3652" w:rsidP="00AE3652">
      <w:pPr>
        <w:pStyle w:val="subsection"/>
      </w:pPr>
      <w:r w:rsidRPr="00046E4A">
        <w:tab/>
        <w:t>(2)</w:t>
      </w:r>
      <w:r w:rsidRPr="00046E4A">
        <w:tab/>
        <w:t xml:space="preserve">Any information in column 3 of the table is not part of </w:t>
      </w:r>
      <w:r w:rsidR="00937BB0" w:rsidRPr="00046E4A">
        <w:t>this instrument</w:t>
      </w:r>
      <w:r w:rsidRPr="00046E4A">
        <w:t xml:space="preserve">. Information may be inserted in this column, or information in it may be edited, in any published version of </w:t>
      </w:r>
      <w:r w:rsidR="00937BB0" w:rsidRPr="00046E4A">
        <w:t>this instrument</w:t>
      </w:r>
      <w:r w:rsidRPr="00046E4A">
        <w:t>.</w:t>
      </w:r>
    </w:p>
    <w:p w14:paraId="10B3D626" w14:textId="77777777" w:rsidR="007500C8" w:rsidRPr="00046E4A" w:rsidRDefault="0045486B" w:rsidP="007500C8">
      <w:pPr>
        <w:pStyle w:val="ActHead5"/>
      </w:pPr>
      <w:bookmarkStart w:id="4" w:name="_Toc175811212"/>
      <w:r w:rsidRPr="00177AC3">
        <w:rPr>
          <w:rStyle w:val="CharSectno"/>
        </w:rPr>
        <w:t>3</w:t>
      </w:r>
      <w:r w:rsidR="007500C8" w:rsidRPr="00046E4A">
        <w:t xml:space="preserve">  Authority</w:t>
      </w:r>
      <w:bookmarkEnd w:id="4"/>
    </w:p>
    <w:p w14:paraId="5E2B2347" w14:textId="77777777" w:rsidR="00157B8B" w:rsidRPr="00046E4A" w:rsidRDefault="007500C8" w:rsidP="007E667A">
      <w:pPr>
        <w:pStyle w:val="subsection"/>
      </w:pPr>
      <w:r w:rsidRPr="00046E4A">
        <w:tab/>
      </w:r>
      <w:r w:rsidRPr="00046E4A">
        <w:tab/>
      </w:r>
      <w:r w:rsidR="00937BB0" w:rsidRPr="00046E4A">
        <w:t>This instrument is</w:t>
      </w:r>
      <w:r w:rsidRPr="00046E4A">
        <w:t xml:space="preserve"> made under the</w:t>
      </w:r>
      <w:r w:rsidR="00C004BA" w:rsidRPr="00046E4A">
        <w:t xml:space="preserve"> </w:t>
      </w:r>
      <w:r w:rsidR="00C004BA" w:rsidRPr="00046E4A">
        <w:rPr>
          <w:i/>
        </w:rPr>
        <w:t>Administrative Review Tribunal Act 2024</w:t>
      </w:r>
      <w:r w:rsidR="00C004BA" w:rsidRPr="00046E4A">
        <w:t>.</w:t>
      </w:r>
    </w:p>
    <w:p w14:paraId="37F552D4" w14:textId="77777777" w:rsidR="00C004BA" w:rsidRPr="00046E4A" w:rsidRDefault="0045486B" w:rsidP="00C004BA">
      <w:pPr>
        <w:pStyle w:val="ActHead5"/>
      </w:pPr>
      <w:bookmarkStart w:id="5" w:name="_Toc175811213"/>
      <w:r w:rsidRPr="00177AC3">
        <w:rPr>
          <w:rStyle w:val="CharSectno"/>
        </w:rPr>
        <w:t>4</w:t>
      </w:r>
      <w:r w:rsidR="00C004BA" w:rsidRPr="00046E4A">
        <w:t xml:space="preserve">  Definitions</w:t>
      </w:r>
      <w:bookmarkEnd w:id="5"/>
    </w:p>
    <w:p w14:paraId="59776867" w14:textId="77777777" w:rsidR="00C004BA" w:rsidRPr="00046E4A" w:rsidRDefault="00C004BA" w:rsidP="00C004BA">
      <w:pPr>
        <w:pStyle w:val="notetext"/>
      </w:pPr>
      <w:r w:rsidRPr="00046E4A">
        <w:t>Note:</w:t>
      </w:r>
      <w:r w:rsidRPr="00046E4A">
        <w:tab/>
        <w:t>A number of expressions used in this instrument are defined in the Act, including the following:</w:t>
      </w:r>
    </w:p>
    <w:p w14:paraId="54ED2C01" w14:textId="77777777" w:rsidR="00DB7A46" w:rsidRPr="00046E4A" w:rsidRDefault="00C004BA" w:rsidP="00C004BA">
      <w:pPr>
        <w:pStyle w:val="notepara"/>
      </w:pPr>
      <w:r w:rsidRPr="00046E4A">
        <w:t>(a)</w:t>
      </w:r>
      <w:r w:rsidRPr="00046E4A">
        <w:tab/>
      </w:r>
      <w:r w:rsidR="00DB7A46" w:rsidRPr="00046E4A">
        <w:t>eligible social services decision;</w:t>
      </w:r>
    </w:p>
    <w:p w14:paraId="29BE147B" w14:textId="77777777" w:rsidR="00DB7A46" w:rsidRPr="00046E4A" w:rsidRDefault="00DB7A46" w:rsidP="00C004BA">
      <w:pPr>
        <w:pStyle w:val="notepara"/>
      </w:pPr>
      <w:r w:rsidRPr="00046E4A">
        <w:t>(b)</w:t>
      </w:r>
      <w:r w:rsidRPr="00046E4A">
        <w:tab/>
        <w:t>guidance and appeals panel application;</w:t>
      </w:r>
    </w:p>
    <w:p w14:paraId="7C247EA8" w14:textId="77777777" w:rsidR="00DB7A46" w:rsidRPr="00046E4A" w:rsidRDefault="00DB7A46" w:rsidP="00C004BA">
      <w:pPr>
        <w:pStyle w:val="notepara"/>
      </w:pPr>
      <w:r w:rsidRPr="00046E4A">
        <w:t>(c)</w:t>
      </w:r>
      <w:r w:rsidRPr="00046E4A">
        <w:tab/>
      </w:r>
      <w:r w:rsidR="00A77F7E" w:rsidRPr="00046E4A">
        <w:t>President</w:t>
      </w:r>
      <w:r w:rsidR="00203C8C" w:rsidRPr="00046E4A">
        <w:t>;</w:t>
      </w:r>
    </w:p>
    <w:p w14:paraId="1F1BFA47" w14:textId="77777777" w:rsidR="004C2BB8" w:rsidRPr="00046E4A" w:rsidRDefault="00203C8C" w:rsidP="00C004BA">
      <w:pPr>
        <w:pStyle w:val="notepara"/>
      </w:pPr>
      <w:r w:rsidRPr="00046E4A">
        <w:t>(</w:t>
      </w:r>
      <w:r w:rsidR="00DB7A46" w:rsidRPr="00046E4A">
        <w:t>d</w:t>
      </w:r>
      <w:r w:rsidRPr="00046E4A">
        <w:t>)</w:t>
      </w:r>
      <w:r w:rsidRPr="00046E4A">
        <w:tab/>
      </w:r>
      <w:r w:rsidR="004C2BB8" w:rsidRPr="00046E4A">
        <w:t>second review;</w:t>
      </w:r>
    </w:p>
    <w:p w14:paraId="0F5D4A64" w14:textId="77777777" w:rsidR="00C61D5A" w:rsidRPr="00046E4A" w:rsidRDefault="004C2BB8" w:rsidP="00C004BA">
      <w:pPr>
        <w:pStyle w:val="notepara"/>
      </w:pPr>
      <w:r w:rsidRPr="00046E4A">
        <w:t>(e)</w:t>
      </w:r>
      <w:r w:rsidRPr="00046E4A">
        <w:tab/>
      </w:r>
      <w:r w:rsidR="00C61D5A" w:rsidRPr="00046E4A">
        <w:t>Tribunal</w:t>
      </w:r>
      <w:r w:rsidR="00A77F7E" w:rsidRPr="00046E4A">
        <w:t>.</w:t>
      </w:r>
    </w:p>
    <w:p w14:paraId="08FB9494" w14:textId="77777777" w:rsidR="00C004BA" w:rsidRPr="00046E4A" w:rsidRDefault="00C004BA" w:rsidP="00C004BA">
      <w:pPr>
        <w:pStyle w:val="subsection"/>
      </w:pPr>
      <w:r w:rsidRPr="00046E4A">
        <w:tab/>
      </w:r>
      <w:r w:rsidRPr="00046E4A">
        <w:tab/>
        <w:t>In this instrument:</w:t>
      </w:r>
    </w:p>
    <w:p w14:paraId="367FB8B9" w14:textId="77777777" w:rsidR="00C004BA" w:rsidRPr="00046E4A" w:rsidRDefault="00C004BA" w:rsidP="00C004BA">
      <w:pPr>
        <w:pStyle w:val="Definition"/>
      </w:pPr>
      <w:r w:rsidRPr="00046E4A">
        <w:rPr>
          <w:b/>
          <w:i/>
        </w:rPr>
        <w:t>Act</w:t>
      </w:r>
      <w:r w:rsidRPr="00046E4A">
        <w:t xml:space="preserve"> means the </w:t>
      </w:r>
      <w:r w:rsidRPr="00046E4A">
        <w:rPr>
          <w:i/>
        </w:rPr>
        <w:t>Administrative Review Tribunal Act 2024</w:t>
      </w:r>
      <w:r w:rsidRPr="00046E4A">
        <w:t>.</w:t>
      </w:r>
    </w:p>
    <w:p w14:paraId="5CDE6B92" w14:textId="77777777" w:rsidR="00DB7A46" w:rsidRPr="00046E4A" w:rsidRDefault="00DB7A46" w:rsidP="00DB7A46">
      <w:pPr>
        <w:pStyle w:val="Definition"/>
      </w:pPr>
      <w:r w:rsidRPr="00046E4A">
        <w:rPr>
          <w:b/>
          <w:i/>
        </w:rPr>
        <w:t>Norfolk Island decision</w:t>
      </w:r>
      <w:r w:rsidRPr="00046E4A">
        <w:t xml:space="preserve"> has the meaning given by </w:t>
      </w:r>
      <w:r w:rsidR="002B0CE9" w:rsidRPr="00046E4A">
        <w:t>section 2</w:t>
      </w:r>
      <w:r w:rsidR="0045486B" w:rsidRPr="00046E4A">
        <w:t>7</w:t>
      </w:r>
      <w:r w:rsidRPr="00046E4A">
        <w:t>.</w:t>
      </w:r>
    </w:p>
    <w:p w14:paraId="5BD19C20" w14:textId="77777777" w:rsidR="008F2612" w:rsidRPr="00046E4A" w:rsidRDefault="008F2612" w:rsidP="008F2612">
      <w:pPr>
        <w:pStyle w:val="Definition"/>
      </w:pPr>
      <w:r w:rsidRPr="00046E4A">
        <w:rPr>
          <w:b/>
          <w:i/>
        </w:rPr>
        <w:t>qualification requirements</w:t>
      </w:r>
      <w:r w:rsidRPr="00046E4A">
        <w:t xml:space="preserve"> means the requirements in:</w:t>
      </w:r>
    </w:p>
    <w:p w14:paraId="135F5A89" w14:textId="77777777" w:rsidR="008F2612" w:rsidRPr="00046E4A" w:rsidRDefault="008F2612" w:rsidP="008F2612">
      <w:pPr>
        <w:pStyle w:val="paragraph"/>
      </w:pPr>
      <w:r w:rsidRPr="00046E4A">
        <w:tab/>
        <w:t>(a)</w:t>
      </w:r>
      <w:r w:rsidRPr="00046E4A">
        <w:tab/>
        <w:t>for appointment as President—</w:t>
      </w:r>
      <w:r w:rsidR="002B0CE9" w:rsidRPr="00046E4A">
        <w:t>subsection 2</w:t>
      </w:r>
      <w:r w:rsidRPr="00046E4A">
        <w:t>05(3) of the Act; or</w:t>
      </w:r>
    </w:p>
    <w:p w14:paraId="4C20E441" w14:textId="77777777" w:rsidR="008F2612" w:rsidRPr="00046E4A" w:rsidRDefault="008F2612" w:rsidP="008F2612">
      <w:pPr>
        <w:pStyle w:val="paragraph"/>
      </w:pPr>
      <w:r w:rsidRPr="00046E4A">
        <w:tab/>
        <w:t>(b)</w:t>
      </w:r>
      <w:r w:rsidRPr="00046E4A">
        <w:tab/>
        <w:t>for appointment as Non</w:t>
      </w:r>
      <w:r w:rsidR="00046E4A">
        <w:noBreakHyphen/>
      </w:r>
      <w:r w:rsidRPr="00046E4A">
        <w:t>Judicial Deputy President—</w:t>
      </w:r>
      <w:r w:rsidR="002B0CE9" w:rsidRPr="00046E4A">
        <w:t>subsection 2</w:t>
      </w:r>
      <w:r w:rsidRPr="00046E4A">
        <w:t>07(3) of the Act; or</w:t>
      </w:r>
    </w:p>
    <w:p w14:paraId="24E16B14" w14:textId="77777777" w:rsidR="008F2612" w:rsidRPr="00046E4A" w:rsidRDefault="008F2612" w:rsidP="008F2612">
      <w:pPr>
        <w:pStyle w:val="paragraph"/>
      </w:pPr>
      <w:r w:rsidRPr="00046E4A">
        <w:tab/>
        <w:t>(c)</w:t>
      </w:r>
      <w:r w:rsidRPr="00046E4A">
        <w:tab/>
        <w:t>for appointment as senior member—</w:t>
      </w:r>
      <w:r w:rsidR="002B0CE9" w:rsidRPr="00046E4A">
        <w:t>subsection 2</w:t>
      </w:r>
      <w:r w:rsidRPr="00046E4A">
        <w:t>08(3) of the Act; or</w:t>
      </w:r>
    </w:p>
    <w:p w14:paraId="76D5B375" w14:textId="77777777" w:rsidR="008F2612" w:rsidRPr="00046E4A" w:rsidRDefault="008F2612" w:rsidP="008F2612">
      <w:pPr>
        <w:pStyle w:val="paragraph"/>
      </w:pPr>
      <w:r w:rsidRPr="00046E4A">
        <w:tab/>
        <w:t>(d)</w:t>
      </w:r>
      <w:r w:rsidRPr="00046E4A">
        <w:tab/>
        <w:t>for appointment as general member—</w:t>
      </w:r>
      <w:r w:rsidR="002B0CE9" w:rsidRPr="00046E4A">
        <w:t>subsection 2</w:t>
      </w:r>
      <w:r w:rsidRPr="00046E4A">
        <w:t>08(4) of the Act.</w:t>
      </w:r>
    </w:p>
    <w:p w14:paraId="7F527D7F" w14:textId="77777777" w:rsidR="008F2612" w:rsidRPr="00046E4A" w:rsidRDefault="008F2612" w:rsidP="008F2612">
      <w:pPr>
        <w:pStyle w:val="Definition"/>
      </w:pPr>
      <w:r w:rsidRPr="00046E4A">
        <w:rPr>
          <w:b/>
          <w:i/>
        </w:rPr>
        <w:lastRenderedPageBreak/>
        <w:t>Secretary</w:t>
      </w:r>
      <w:r w:rsidRPr="00046E4A">
        <w:t xml:space="preserve"> means the Secretary of the Department.</w:t>
      </w:r>
    </w:p>
    <w:p w14:paraId="1AA563DB" w14:textId="77777777" w:rsidR="008F2612" w:rsidRPr="00046E4A" w:rsidRDefault="008F2612" w:rsidP="008F2612">
      <w:pPr>
        <w:pStyle w:val="Definition"/>
      </w:pPr>
      <w:r w:rsidRPr="00046E4A">
        <w:rPr>
          <w:b/>
          <w:i/>
        </w:rPr>
        <w:t>selection criteria</w:t>
      </w:r>
      <w:r w:rsidRPr="00046E4A">
        <w:t xml:space="preserve"> means:</w:t>
      </w:r>
    </w:p>
    <w:p w14:paraId="55F47FA1" w14:textId="77777777" w:rsidR="008F2612" w:rsidRPr="00046E4A" w:rsidRDefault="008F2612" w:rsidP="008F2612">
      <w:pPr>
        <w:pStyle w:val="paragraph"/>
      </w:pPr>
      <w:r w:rsidRPr="00046E4A">
        <w:tab/>
        <w:t>(a)</w:t>
      </w:r>
      <w:r w:rsidRPr="00046E4A">
        <w:tab/>
        <w:t xml:space="preserve">for appointment as President—the selection criteria mentioned in </w:t>
      </w:r>
      <w:r w:rsidR="002B0CE9" w:rsidRPr="00046E4A">
        <w:t>section 1</w:t>
      </w:r>
      <w:r w:rsidR="0045486B" w:rsidRPr="00046E4A">
        <w:t>4</w:t>
      </w:r>
      <w:r w:rsidRPr="00046E4A">
        <w:t>; or</w:t>
      </w:r>
    </w:p>
    <w:p w14:paraId="1FD130BC" w14:textId="77777777" w:rsidR="008F2612" w:rsidRPr="00046E4A" w:rsidRDefault="008F2612" w:rsidP="008F2612">
      <w:pPr>
        <w:pStyle w:val="paragraph"/>
      </w:pPr>
      <w:r w:rsidRPr="00046E4A">
        <w:tab/>
        <w:t>(b)</w:t>
      </w:r>
      <w:r w:rsidRPr="00046E4A">
        <w:tab/>
        <w:t>for appointment as Non</w:t>
      </w:r>
      <w:r w:rsidR="00046E4A">
        <w:noBreakHyphen/>
      </w:r>
      <w:r w:rsidRPr="00046E4A">
        <w:t xml:space="preserve">Judicial Deputy President, senior member or general member—the selection criteria mentioned in </w:t>
      </w:r>
      <w:r w:rsidR="002B0CE9" w:rsidRPr="00046E4A">
        <w:t>section 1</w:t>
      </w:r>
      <w:r w:rsidR="0045486B" w:rsidRPr="00046E4A">
        <w:t>5</w:t>
      </w:r>
      <w:r w:rsidRPr="00046E4A">
        <w:t>; or</w:t>
      </w:r>
    </w:p>
    <w:p w14:paraId="37476FB1" w14:textId="77777777" w:rsidR="008F2612" w:rsidRPr="00046E4A" w:rsidRDefault="008F2612" w:rsidP="008F2612">
      <w:pPr>
        <w:pStyle w:val="paragraph"/>
      </w:pPr>
      <w:r w:rsidRPr="00046E4A">
        <w:tab/>
        <w:t>(c)</w:t>
      </w:r>
      <w:r w:rsidRPr="00046E4A">
        <w:tab/>
        <w:t xml:space="preserve">for appointment as Chief Executive Officer and Principal Registrar—the selection criteria mentioned in </w:t>
      </w:r>
      <w:r w:rsidR="002B0CE9" w:rsidRPr="00046E4A">
        <w:t>section 1</w:t>
      </w:r>
      <w:r w:rsidR="0045486B" w:rsidRPr="00046E4A">
        <w:t>6</w:t>
      </w:r>
      <w:r w:rsidRPr="00046E4A">
        <w:t>.</w:t>
      </w:r>
    </w:p>
    <w:p w14:paraId="4A94B982" w14:textId="77777777" w:rsidR="000E513B" w:rsidRPr="00046E4A" w:rsidRDefault="000E513B" w:rsidP="005B53F3">
      <w:pPr>
        <w:pStyle w:val="ActHead2"/>
        <w:pageBreakBefore/>
      </w:pPr>
      <w:bookmarkStart w:id="6" w:name="_Toc175811214"/>
      <w:r w:rsidRPr="00177AC3">
        <w:rPr>
          <w:rStyle w:val="CharPartNo"/>
        </w:rPr>
        <w:lastRenderedPageBreak/>
        <w:t>Part 2</w:t>
      </w:r>
      <w:r w:rsidRPr="00046E4A">
        <w:t>—</w:t>
      </w:r>
      <w:r w:rsidRPr="00177AC3">
        <w:rPr>
          <w:rStyle w:val="CharPartText"/>
        </w:rPr>
        <w:t>Guidance and appeals panel</w:t>
      </w:r>
      <w:bookmarkEnd w:id="6"/>
    </w:p>
    <w:p w14:paraId="469D92C2" w14:textId="77777777" w:rsidR="000E513B" w:rsidRPr="00177AC3" w:rsidRDefault="000E513B" w:rsidP="000E513B">
      <w:pPr>
        <w:pStyle w:val="Header"/>
      </w:pPr>
      <w:r w:rsidRPr="00177AC3">
        <w:rPr>
          <w:rStyle w:val="CharDivNo"/>
        </w:rPr>
        <w:t xml:space="preserve"> </w:t>
      </w:r>
      <w:r w:rsidRPr="00177AC3">
        <w:rPr>
          <w:rStyle w:val="CharDivText"/>
        </w:rPr>
        <w:t xml:space="preserve"> </w:t>
      </w:r>
    </w:p>
    <w:p w14:paraId="2613F0D9" w14:textId="77777777" w:rsidR="000E513B" w:rsidRPr="00046E4A" w:rsidRDefault="0045486B" w:rsidP="000E513B">
      <w:pPr>
        <w:pStyle w:val="ActHead5"/>
      </w:pPr>
      <w:bookmarkStart w:id="7" w:name="_Toc175811215"/>
      <w:r w:rsidRPr="00177AC3">
        <w:rPr>
          <w:rStyle w:val="CharSectno"/>
        </w:rPr>
        <w:t>5</w:t>
      </w:r>
      <w:r w:rsidR="000E513B" w:rsidRPr="00046E4A">
        <w:t xml:space="preserve">  Purpose of this Part</w:t>
      </w:r>
      <w:bookmarkEnd w:id="7"/>
    </w:p>
    <w:p w14:paraId="660B7C89" w14:textId="77777777" w:rsidR="000E513B" w:rsidRPr="00046E4A" w:rsidRDefault="000E513B" w:rsidP="000E513B">
      <w:pPr>
        <w:pStyle w:val="subsection"/>
      </w:pPr>
      <w:r w:rsidRPr="00046E4A">
        <w:tab/>
      </w:r>
      <w:r w:rsidRPr="00046E4A">
        <w:tab/>
        <w:t>For the purposes of sub</w:t>
      </w:r>
      <w:r w:rsidR="002B0CE9" w:rsidRPr="00046E4A">
        <w:t>section 1</w:t>
      </w:r>
      <w:r w:rsidRPr="00046E4A">
        <w:t>30(7) of the Act, this Part prescribes modifications of the Act as it applies in relation to a guidance and appeals panel application.</w:t>
      </w:r>
    </w:p>
    <w:p w14:paraId="61B58D74" w14:textId="77777777" w:rsidR="000E513B" w:rsidRPr="00046E4A" w:rsidRDefault="0045486B" w:rsidP="000E513B">
      <w:pPr>
        <w:pStyle w:val="ActHead5"/>
      </w:pPr>
      <w:bookmarkStart w:id="8" w:name="_Toc175811216"/>
      <w:r w:rsidRPr="00177AC3">
        <w:rPr>
          <w:rStyle w:val="CharSectno"/>
        </w:rPr>
        <w:t>6</w:t>
      </w:r>
      <w:r w:rsidR="000E513B" w:rsidRPr="00046E4A">
        <w:t xml:space="preserve">  Tribunal may dismiss application if first review applicant dies or is bankrupt etc.</w:t>
      </w:r>
      <w:bookmarkEnd w:id="8"/>
    </w:p>
    <w:p w14:paraId="0D007462" w14:textId="77777777" w:rsidR="000E513B" w:rsidRPr="00046E4A" w:rsidRDefault="000E513B" w:rsidP="000E513B">
      <w:pPr>
        <w:pStyle w:val="subsection"/>
      </w:pPr>
      <w:r w:rsidRPr="00046E4A">
        <w:tab/>
      </w:r>
      <w:r w:rsidRPr="00046E4A">
        <w:tab/>
        <w:t xml:space="preserve">The Act applies in relation to a guidance and appeals panel application as if the following section were inserted after </w:t>
      </w:r>
      <w:r w:rsidR="000271C4" w:rsidRPr="00046E4A">
        <w:t>section 8</w:t>
      </w:r>
      <w:r w:rsidRPr="00046E4A">
        <w:t>4 of the Act:</w:t>
      </w:r>
    </w:p>
    <w:p w14:paraId="657D93E3" w14:textId="77777777" w:rsidR="000E513B" w:rsidRPr="00046E4A" w:rsidRDefault="000E513B" w:rsidP="000E513B">
      <w:pPr>
        <w:pStyle w:val="Specials"/>
      </w:pPr>
      <w:r w:rsidRPr="00046E4A">
        <w:t>84A  Tribunal may dismiss guidance and appeals panel application if first review applicant dies or is bankrupt etc.</w:t>
      </w:r>
    </w:p>
    <w:p w14:paraId="1D9F65D3" w14:textId="77777777" w:rsidR="000E513B" w:rsidRPr="00046E4A" w:rsidRDefault="000E513B" w:rsidP="000E513B">
      <w:pPr>
        <w:pStyle w:val="subsection"/>
      </w:pPr>
      <w:r w:rsidRPr="00046E4A">
        <w:tab/>
        <w:t>(1)</w:t>
      </w:r>
      <w:r w:rsidRPr="00046E4A">
        <w:tab/>
        <w:t>This section applies if:</w:t>
      </w:r>
    </w:p>
    <w:p w14:paraId="07121AE2" w14:textId="77777777" w:rsidR="000E513B" w:rsidRPr="00046E4A" w:rsidRDefault="000E513B" w:rsidP="000E513B">
      <w:pPr>
        <w:pStyle w:val="paragraph"/>
      </w:pPr>
      <w:r w:rsidRPr="00046E4A">
        <w:tab/>
        <w:t>(a)</w:t>
      </w:r>
      <w:r w:rsidRPr="00046E4A">
        <w:tab/>
        <w:t>a guidance and appeals panel application is taken to be made because of the referral of a decision of the Tribunal; and</w:t>
      </w:r>
    </w:p>
    <w:p w14:paraId="5C9E11AA" w14:textId="77777777" w:rsidR="000E513B" w:rsidRPr="00046E4A" w:rsidRDefault="000E513B" w:rsidP="000E513B">
      <w:pPr>
        <w:pStyle w:val="paragraph"/>
      </w:pPr>
      <w:r w:rsidRPr="00046E4A">
        <w:tab/>
        <w:t>(b)</w:t>
      </w:r>
      <w:r w:rsidRPr="00046E4A">
        <w:tab/>
        <w:t xml:space="preserve">the person who applied to refer the decision of the Tribunal is not the person (the </w:t>
      </w:r>
      <w:r w:rsidRPr="00046E4A">
        <w:rPr>
          <w:b/>
          <w:i/>
        </w:rPr>
        <w:t>first review applicant</w:t>
      </w:r>
      <w:r w:rsidRPr="00046E4A">
        <w:t>) who made the application on which the decision of the Tribunal was made.</w:t>
      </w:r>
    </w:p>
    <w:p w14:paraId="37187E20" w14:textId="77777777" w:rsidR="000E513B" w:rsidRPr="00046E4A" w:rsidRDefault="000E513B" w:rsidP="000E513B">
      <w:pPr>
        <w:pStyle w:val="subsection"/>
      </w:pPr>
      <w:r w:rsidRPr="00046E4A">
        <w:tab/>
        <w:t>(2)</w:t>
      </w:r>
      <w:r w:rsidRPr="00046E4A">
        <w:tab/>
        <w:t>The Tribunal may dismiss the guidance and appeals panel application if:</w:t>
      </w:r>
    </w:p>
    <w:p w14:paraId="41AB6386" w14:textId="77777777" w:rsidR="000E513B" w:rsidRPr="00046E4A" w:rsidRDefault="000E513B" w:rsidP="000E513B">
      <w:pPr>
        <w:pStyle w:val="paragraph"/>
      </w:pPr>
      <w:r w:rsidRPr="00046E4A">
        <w:tab/>
        <w:t>(a)</w:t>
      </w:r>
      <w:r w:rsidRPr="00046E4A">
        <w:tab/>
        <w:t>the first review applicant:</w:t>
      </w:r>
    </w:p>
    <w:p w14:paraId="6715D39C" w14:textId="77777777" w:rsidR="000E513B" w:rsidRPr="00046E4A" w:rsidRDefault="000E513B" w:rsidP="000E513B">
      <w:pPr>
        <w:pStyle w:val="paragraphsub"/>
      </w:pPr>
      <w:r w:rsidRPr="00046E4A">
        <w:tab/>
        <w:t>(i)</w:t>
      </w:r>
      <w:r w:rsidRPr="00046E4A">
        <w:tab/>
        <w:t>dies; or</w:t>
      </w:r>
    </w:p>
    <w:p w14:paraId="4B63EFE6" w14:textId="77777777" w:rsidR="000E513B" w:rsidRPr="00046E4A" w:rsidRDefault="000E513B" w:rsidP="000E513B">
      <w:pPr>
        <w:pStyle w:val="paragraphsub"/>
      </w:pPr>
      <w:r w:rsidRPr="00046E4A">
        <w:tab/>
        <w:t>(ii)</w:t>
      </w:r>
      <w:r w:rsidRPr="00046E4A">
        <w:tab/>
        <w:t>becomes bankrupt; or</w:t>
      </w:r>
    </w:p>
    <w:p w14:paraId="53F7176E" w14:textId="77777777" w:rsidR="000E513B" w:rsidRPr="00046E4A" w:rsidRDefault="000E513B" w:rsidP="000E513B">
      <w:pPr>
        <w:pStyle w:val="paragraphsub"/>
      </w:pPr>
      <w:r w:rsidRPr="00046E4A">
        <w:tab/>
        <w:t>(iii)</w:t>
      </w:r>
      <w:r w:rsidRPr="00046E4A">
        <w:tab/>
        <w:t>is wound up or otherwise ceases to exist; or</w:t>
      </w:r>
    </w:p>
    <w:p w14:paraId="494ABEBD" w14:textId="77777777" w:rsidR="000E513B" w:rsidRPr="00046E4A" w:rsidRDefault="000E513B" w:rsidP="000E513B">
      <w:pPr>
        <w:pStyle w:val="paragraphsub"/>
      </w:pPr>
      <w:r w:rsidRPr="00046E4A">
        <w:tab/>
        <w:t>(iv)</w:t>
      </w:r>
      <w:r w:rsidRPr="00046E4A">
        <w:tab/>
        <w:t>becomes subject to any form of liquidation or administration (however described); and</w:t>
      </w:r>
    </w:p>
    <w:p w14:paraId="53842217" w14:textId="77777777" w:rsidR="000E513B" w:rsidRPr="00046E4A" w:rsidRDefault="000E513B" w:rsidP="000E513B">
      <w:pPr>
        <w:pStyle w:val="paragraph"/>
      </w:pPr>
      <w:r w:rsidRPr="00046E4A">
        <w:tab/>
        <w:t>(b)</w:t>
      </w:r>
      <w:r w:rsidRPr="00046E4A">
        <w:tab/>
        <w:t>the Tribunal considers that the application cannot continue because of the event mentioned in paragraph (a).</w:t>
      </w:r>
    </w:p>
    <w:p w14:paraId="0F1CA67F" w14:textId="77777777" w:rsidR="000E513B" w:rsidRPr="00046E4A" w:rsidRDefault="000E513B" w:rsidP="000E513B">
      <w:pPr>
        <w:pStyle w:val="ActHead2"/>
        <w:pageBreakBefore/>
      </w:pPr>
      <w:bookmarkStart w:id="9" w:name="_Toc175811217"/>
      <w:r w:rsidRPr="00177AC3">
        <w:rPr>
          <w:rStyle w:val="CharPartNo"/>
        </w:rPr>
        <w:lastRenderedPageBreak/>
        <w:t>Part 3</w:t>
      </w:r>
      <w:r w:rsidRPr="00046E4A">
        <w:t>—</w:t>
      </w:r>
      <w:r w:rsidRPr="00177AC3">
        <w:rPr>
          <w:rStyle w:val="CharPartText"/>
        </w:rPr>
        <w:t>Second review for certain social services decisions</w:t>
      </w:r>
      <w:bookmarkEnd w:id="9"/>
    </w:p>
    <w:p w14:paraId="592C1D51" w14:textId="77777777" w:rsidR="000E513B" w:rsidRPr="00177AC3" w:rsidRDefault="000E513B" w:rsidP="000E513B">
      <w:pPr>
        <w:pStyle w:val="Header"/>
      </w:pPr>
      <w:r w:rsidRPr="00177AC3">
        <w:rPr>
          <w:rStyle w:val="CharDivNo"/>
        </w:rPr>
        <w:t xml:space="preserve"> </w:t>
      </w:r>
      <w:r w:rsidRPr="00177AC3">
        <w:rPr>
          <w:rStyle w:val="CharDivText"/>
        </w:rPr>
        <w:t xml:space="preserve"> </w:t>
      </w:r>
    </w:p>
    <w:p w14:paraId="0C6D9BB3" w14:textId="77777777" w:rsidR="000E513B" w:rsidRPr="00046E4A" w:rsidRDefault="0045486B" w:rsidP="000E513B">
      <w:pPr>
        <w:pStyle w:val="ActHead5"/>
      </w:pPr>
      <w:bookmarkStart w:id="10" w:name="_Toc175811218"/>
      <w:r w:rsidRPr="00177AC3">
        <w:rPr>
          <w:rStyle w:val="CharSectno"/>
        </w:rPr>
        <w:t>7</w:t>
      </w:r>
      <w:r w:rsidR="000E513B" w:rsidRPr="00046E4A">
        <w:t xml:space="preserve">  Purpose of this Part</w:t>
      </w:r>
      <w:bookmarkEnd w:id="10"/>
    </w:p>
    <w:p w14:paraId="63FACB63" w14:textId="77777777" w:rsidR="000E513B" w:rsidRPr="00046E4A" w:rsidRDefault="000E513B" w:rsidP="000E513B">
      <w:pPr>
        <w:pStyle w:val="subsection"/>
      </w:pPr>
      <w:r w:rsidRPr="00046E4A">
        <w:tab/>
      </w:r>
      <w:r w:rsidRPr="00046E4A">
        <w:tab/>
        <w:t>For the purposes of paragraph 131E(3)(b) of the Act, this Part prescribes modifications of the Act for the purposes of second review.</w:t>
      </w:r>
    </w:p>
    <w:p w14:paraId="275978FF" w14:textId="77777777" w:rsidR="000E513B" w:rsidRPr="00046E4A" w:rsidRDefault="0045486B" w:rsidP="000E513B">
      <w:pPr>
        <w:pStyle w:val="ActHead5"/>
      </w:pPr>
      <w:bookmarkStart w:id="11" w:name="_Toc175811219"/>
      <w:r w:rsidRPr="00177AC3">
        <w:rPr>
          <w:rStyle w:val="CharSectno"/>
        </w:rPr>
        <w:t>8</w:t>
      </w:r>
      <w:r w:rsidR="000E513B" w:rsidRPr="00046E4A">
        <w:t xml:space="preserve">  Tribunal may dismiss application if first review applicant dies or is bankrupt</w:t>
      </w:r>
      <w:bookmarkEnd w:id="11"/>
    </w:p>
    <w:p w14:paraId="2E8394EC" w14:textId="77777777" w:rsidR="000E513B" w:rsidRPr="00046E4A" w:rsidRDefault="000E513B" w:rsidP="000E513B">
      <w:pPr>
        <w:pStyle w:val="subsection"/>
      </w:pPr>
      <w:r w:rsidRPr="00046E4A">
        <w:tab/>
      </w:r>
      <w:r w:rsidRPr="00046E4A">
        <w:tab/>
        <w:t xml:space="preserve">The Act applies for the purposes of second review as if the following section were inserted before </w:t>
      </w:r>
      <w:r w:rsidR="000271C4" w:rsidRPr="00046E4A">
        <w:t>section 8</w:t>
      </w:r>
      <w:r w:rsidRPr="00046E4A">
        <w:t>5 of the Act:</w:t>
      </w:r>
    </w:p>
    <w:p w14:paraId="08F4E3C0" w14:textId="77777777" w:rsidR="000E513B" w:rsidRPr="00046E4A" w:rsidRDefault="000E513B" w:rsidP="000E513B">
      <w:pPr>
        <w:pStyle w:val="Specials"/>
      </w:pPr>
      <w:r w:rsidRPr="00046E4A">
        <w:t>84B  Tribunal may dismiss second review application if first review applicant dies or is bankrupt</w:t>
      </w:r>
    </w:p>
    <w:p w14:paraId="35D1F133" w14:textId="77777777" w:rsidR="000E513B" w:rsidRPr="00046E4A" w:rsidRDefault="000E513B" w:rsidP="000E513B">
      <w:pPr>
        <w:pStyle w:val="subsection"/>
      </w:pPr>
      <w:r w:rsidRPr="00046E4A">
        <w:tab/>
        <w:t>(1)</w:t>
      </w:r>
      <w:r w:rsidRPr="00046E4A">
        <w:tab/>
        <w:t xml:space="preserve">This section applies if an application is made to the Tribunal for second review other than by the person (the </w:t>
      </w:r>
      <w:r w:rsidRPr="00046E4A">
        <w:rPr>
          <w:b/>
          <w:i/>
        </w:rPr>
        <w:t>first review applicant</w:t>
      </w:r>
      <w:r w:rsidRPr="00046E4A">
        <w:t>) who applied to the Tribunal for review of the related eligible social services decision.</w:t>
      </w:r>
    </w:p>
    <w:p w14:paraId="521F110F" w14:textId="77777777" w:rsidR="000E513B" w:rsidRPr="00046E4A" w:rsidRDefault="000E513B" w:rsidP="000E513B">
      <w:pPr>
        <w:pStyle w:val="subsection"/>
      </w:pPr>
      <w:r w:rsidRPr="00046E4A">
        <w:tab/>
        <w:t>(2)</w:t>
      </w:r>
      <w:r w:rsidRPr="00046E4A">
        <w:tab/>
        <w:t>The Tribunal may dismiss the application if:</w:t>
      </w:r>
    </w:p>
    <w:p w14:paraId="0CDE5CFF" w14:textId="77777777" w:rsidR="000E513B" w:rsidRPr="00046E4A" w:rsidRDefault="000E513B" w:rsidP="000E513B">
      <w:pPr>
        <w:pStyle w:val="paragraph"/>
      </w:pPr>
      <w:r w:rsidRPr="00046E4A">
        <w:tab/>
        <w:t>(a)</w:t>
      </w:r>
      <w:r w:rsidRPr="00046E4A">
        <w:tab/>
        <w:t>the first review applicant:</w:t>
      </w:r>
    </w:p>
    <w:p w14:paraId="49A24F5E" w14:textId="77777777" w:rsidR="000E513B" w:rsidRPr="00046E4A" w:rsidRDefault="000E513B" w:rsidP="000E513B">
      <w:pPr>
        <w:pStyle w:val="paragraphsub"/>
      </w:pPr>
      <w:r w:rsidRPr="00046E4A">
        <w:tab/>
        <w:t>(i)</w:t>
      </w:r>
      <w:r w:rsidRPr="00046E4A">
        <w:tab/>
        <w:t xml:space="preserve">if the related eligible social services decision is made under the </w:t>
      </w:r>
      <w:r w:rsidRPr="00046E4A">
        <w:rPr>
          <w:i/>
        </w:rPr>
        <w:t>Child Support (Registration and Collection) Act 1988</w:t>
      </w:r>
      <w:r w:rsidRPr="00046E4A">
        <w:t xml:space="preserve"> or the </w:t>
      </w:r>
      <w:r w:rsidRPr="00046E4A">
        <w:rPr>
          <w:i/>
        </w:rPr>
        <w:t>Student Assistance Act 1973</w:t>
      </w:r>
      <w:r w:rsidRPr="00046E4A">
        <w:t>—becomes bankrupt; or</w:t>
      </w:r>
    </w:p>
    <w:p w14:paraId="72CBB3D8" w14:textId="77777777" w:rsidR="000E513B" w:rsidRPr="00046E4A" w:rsidRDefault="000E513B" w:rsidP="000E513B">
      <w:pPr>
        <w:pStyle w:val="paragraphsub"/>
      </w:pPr>
      <w:r w:rsidRPr="00046E4A">
        <w:tab/>
        <w:t>(ii)</w:t>
      </w:r>
      <w:r w:rsidRPr="00046E4A">
        <w:tab/>
        <w:t>in any case—dies; and</w:t>
      </w:r>
    </w:p>
    <w:p w14:paraId="0BBF587D" w14:textId="77777777" w:rsidR="00CC05D4" w:rsidRPr="00046E4A" w:rsidRDefault="000E513B" w:rsidP="000E513B">
      <w:pPr>
        <w:pStyle w:val="paragraph"/>
      </w:pPr>
      <w:r w:rsidRPr="00046E4A">
        <w:tab/>
        <w:t>(b)</w:t>
      </w:r>
      <w:r w:rsidRPr="00046E4A">
        <w:tab/>
        <w:t>the Tribunal considers that the application cannot continue because of the event mentioned in paragraph (a).</w:t>
      </w:r>
    </w:p>
    <w:p w14:paraId="46B25FFE" w14:textId="77777777" w:rsidR="005B53F3" w:rsidRPr="00046E4A" w:rsidRDefault="005B53F3" w:rsidP="005B53F3">
      <w:pPr>
        <w:pStyle w:val="ActHead2"/>
        <w:pageBreakBefore/>
      </w:pPr>
      <w:bookmarkStart w:id="12" w:name="_Toc175811220"/>
      <w:r w:rsidRPr="00177AC3">
        <w:rPr>
          <w:rStyle w:val="CharPartNo"/>
        </w:rPr>
        <w:lastRenderedPageBreak/>
        <w:t>Part 4</w:t>
      </w:r>
      <w:r w:rsidRPr="00046E4A">
        <w:t>—</w:t>
      </w:r>
      <w:r w:rsidRPr="00177AC3">
        <w:rPr>
          <w:rStyle w:val="CharPartText"/>
        </w:rPr>
        <w:t>Appointment of members and Principal Registrar</w:t>
      </w:r>
      <w:bookmarkEnd w:id="12"/>
    </w:p>
    <w:p w14:paraId="44197009" w14:textId="77777777" w:rsidR="005B53F3" w:rsidRPr="00046E4A" w:rsidRDefault="005B53F3" w:rsidP="005B53F3">
      <w:pPr>
        <w:pStyle w:val="ActHead3"/>
      </w:pPr>
      <w:bookmarkStart w:id="13" w:name="_Toc175811221"/>
      <w:r w:rsidRPr="00177AC3">
        <w:rPr>
          <w:rStyle w:val="CharDivNo"/>
        </w:rPr>
        <w:t>Division 1</w:t>
      </w:r>
      <w:r w:rsidRPr="00046E4A">
        <w:t>—</w:t>
      </w:r>
      <w:r w:rsidRPr="00177AC3">
        <w:rPr>
          <w:rStyle w:val="CharDivText"/>
        </w:rPr>
        <w:t>Assessment process</w:t>
      </w:r>
      <w:bookmarkEnd w:id="13"/>
    </w:p>
    <w:p w14:paraId="1EEBDE2A" w14:textId="77777777" w:rsidR="005B53F3" w:rsidRPr="00046E4A" w:rsidRDefault="0045486B" w:rsidP="005B53F3">
      <w:pPr>
        <w:pStyle w:val="ActHead5"/>
      </w:pPr>
      <w:bookmarkStart w:id="14" w:name="_Toc175811222"/>
      <w:r w:rsidRPr="00177AC3">
        <w:rPr>
          <w:rStyle w:val="CharSectno"/>
        </w:rPr>
        <w:t>9</w:t>
      </w:r>
      <w:r w:rsidR="005B53F3" w:rsidRPr="00046E4A">
        <w:t xml:space="preserve">  Requirements for assessment process</w:t>
      </w:r>
      <w:bookmarkEnd w:id="14"/>
    </w:p>
    <w:p w14:paraId="59B6C361" w14:textId="77777777" w:rsidR="005B53F3" w:rsidRPr="00046E4A" w:rsidRDefault="005B53F3" w:rsidP="005B53F3">
      <w:pPr>
        <w:pStyle w:val="subsection"/>
      </w:pPr>
      <w:r w:rsidRPr="00046E4A">
        <w:tab/>
        <w:t>(1)</w:t>
      </w:r>
      <w:r w:rsidRPr="00046E4A">
        <w:tab/>
        <w:t>For the purposes of subparagraphs 205(2)(b)(iii), 207(2)(b)(iii), 208(2)(b)(iii) and 227(2)(b)(iii) of the Act, the following requirements are prescribed for an assessment process in relation to an appointment:</w:t>
      </w:r>
    </w:p>
    <w:p w14:paraId="53723D13" w14:textId="77777777" w:rsidR="005B53F3" w:rsidRPr="00046E4A" w:rsidRDefault="005B53F3" w:rsidP="005B53F3">
      <w:pPr>
        <w:pStyle w:val="paragraph"/>
      </w:pPr>
      <w:r w:rsidRPr="00046E4A">
        <w:tab/>
        <w:t>(a)</w:t>
      </w:r>
      <w:r w:rsidRPr="00046E4A">
        <w:tab/>
        <w:t xml:space="preserve">the Department must publish an invitation for applications for the appointment in accordance with </w:t>
      </w:r>
      <w:r w:rsidR="002B0CE9" w:rsidRPr="00046E4A">
        <w:t>section 1</w:t>
      </w:r>
      <w:r w:rsidR="0045486B" w:rsidRPr="00046E4A">
        <w:t>0</w:t>
      </w:r>
      <w:r w:rsidRPr="00046E4A">
        <w:t xml:space="preserve"> of this instrument;</w:t>
      </w:r>
    </w:p>
    <w:p w14:paraId="609DDDC3" w14:textId="77777777" w:rsidR="005B53F3" w:rsidRPr="00046E4A" w:rsidRDefault="005B53F3" w:rsidP="005B53F3">
      <w:pPr>
        <w:pStyle w:val="paragraph"/>
      </w:pPr>
      <w:r w:rsidRPr="00046E4A">
        <w:tab/>
        <w:t>(b)</w:t>
      </w:r>
      <w:r w:rsidRPr="00046E4A">
        <w:tab/>
        <w:t>the assessment panel for the appointment must allow applications for the appointment to be made for at least 2 weeks after the invitation for applications for the appointment is published on the Department’s website;</w:t>
      </w:r>
    </w:p>
    <w:p w14:paraId="23517635" w14:textId="77777777" w:rsidR="005B53F3" w:rsidRPr="00046E4A" w:rsidRDefault="005B53F3" w:rsidP="005B53F3">
      <w:pPr>
        <w:pStyle w:val="paragraph"/>
      </w:pPr>
      <w:r w:rsidRPr="00046E4A">
        <w:tab/>
        <w:t>(c)</w:t>
      </w:r>
      <w:r w:rsidRPr="00046E4A">
        <w:tab/>
        <w:t xml:space="preserve">the Department must make information available to potential applicants for the appointment in accordance with </w:t>
      </w:r>
      <w:r w:rsidR="002B0CE9" w:rsidRPr="00046E4A">
        <w:t>section 1</w:t>
      </w:r>
      <w:r w:rsidR="0045486B" w:rsidRPr="00046E4A">
        <w:t>1</w:t>
      </w:r>
      <w:r w:rsidRPr="00046E4A">
        <w:t xml:space="preserve"> of this instrument;</w:t>
      </w:r>
    </w:p>
    <w:p w14:paraId="0730861B" w14:textId="77777777" w:rsidR="005B53F3" w:rsidRPr="00046E4A" w:rsidRDefault="005B53F3" w:rsidP="005B53F3">
      <w:pPr>
        <w:pStyle w:val="paragraph"/>
      </w:pPr>
      <w:r w:rsidRPr="00046E4A">
        <w:tab/>
        <w:t>(d)</w:t>
      </w:r>
      <w:r w:rsidRPr="00046E4A">
        <w:tab/>
        <w:t>the assessment panel for the appointment must not assess a person as suitable for the appointment unless:</w:t>
      </w:r>
    </w:p>
    <w:p w14:paraId="6B956BC9" w14:textId="77777777" w:rsidR="005B53F3" w:rsidRPr="00046E4A" w:rsidRDefault="005B53F3" w:rsidP="005B53F3">
      <w:pPr>
        <w:pStyle w:val="paragraphsub"/>
      </w:pPr>
      <w:r w:rsidRPr="00046E4A">
        <w:tab/>
        <w:t>(i)</w:t>
      </w:r>
      <w:r w:rsidRPr="00046E4A">
        <w:tab/>
        <w:t>the person applies for the appointment; and</w:t>
      </w:r>
    </w:p>
    <w:p w14:paraId="5E54DDC7" w14:textId="77777777" w:rsidR="005B53F3" w:rsidRPr="00046E4A" w:rsidRDefault="005B53F3" w:rsidP="005B53F3">
      <w:pPr>
        <w:pStyle w:val="paragraphsub"/>
      </w:pPr>
      <w:r w:rsidRPr="00046E4A">
        <w:tab/>
        <w:t>(ii)</w:t>
      </w:r>
      <w:r w:rsidRPr="00046E4A">
        <w:tab/>
        <w:t>if the appointment is as a Non</w:t>
      </w:r>
      <w:r w:rsidR="00046E4A">
        <w:noBreakHyphen/>
      </w:r>
      <w:r w:rsidRPr="00046E4A">
        <w:t xml:space="preserve">Judicial Deputy President—the panel considers whether the person could meet the requirement in </w:t>
      </w:r>
      <w:r w:rsidR="000271C4" w:rsidRPr="00046E4A">
        <w:t>paragraph 2</w:t>
      </w:r>
      <w:r w:rsidRPr="00046E4A">
        <w:t>07(3)(a) of the Act; and</w:t>
      </w:r>
    </w:p>
    <w:p w14:paraId="78CCFA86" w14:textId="77777777" w:rsidR="005B53F3" w:rsidRPr="00046E4A" w:rsidRDefault="005B53F3" w:rsidP="005B53F3">
      <w:pPr>
        <w:pStyle w:val="paragraphsub"/>
      </w:pPr>
      <w:r w:rsidRPr="00046E4A">
        <w:tab/>
        <w:t>(iii)</w:t>
      </w:r>
      <w:r w:rsidRPr="00046E4A">
        <w:tab/>
        <w:t>the panel shortlists the person for interview based on the person’s application; and</w:t>
      </w:r>
    </w:p>
    <w:p w14:paraId="6AB3E1B6" w14:textId="77777777" w:rsidR="005B53F3" w:rsidRPr="00046E4A" w:rsidRDefault="005B53F3" w:rsidP="005B53F3">
      <w:pPr>
        <w:pStyle w:val="paragraphsub"/>
      </w:pPr>
      <w:r w:rsidRPr="00046E4A">
        <w:tab/>
        <w:t>(iv)</w:t>
      </w:r>
      <w:r w:rsidRPr="00046E4A">
        <w:tab/>
        <w:t>the panel interviews the person; and</w:t>
      </w:r>
    </w:p>
    <w:p w14:paraId="11E6E6DA" w14:textId="77777777" w:rsidR="005B53F3" w:rsidRPr="00046E4A" w:rsidRDefault="005B53F3" w:rsidP="005B53F3">
      <w:pPr>
        <w:pStyle w:val="paragraphsub"/>
      </w:pPr>
      <w:r w:rsidRPr="00046E4A">
        <w:tab/>
        <w:t>(v)</w:t>
      </w:r>
      <w:r w:rsidRPr="00046E4A">
        <w:tab/>
        <w:t>the panel seeks at least one referee report in relation to the person; and</w:t>
      </w:r>
    </w:p>
    <w:p w14:paraId="6232E39A" w14:textId="77777777" w:rsidR="005B53F3" w:rsidRPr="00046E4A" w:rsidRDefault="005B53F3" w:rsidP="005B53F3">
      <w:pPr>
        <w:pStyle w:val="paragraphsub"/>
      </w:pPr>
      <w:r w:rsidRPr="00046E4A">
        <w:tab/>
        <w:t>(vi)</w:t>
      </w:r>
      <w:r w:rsidRPr="00046E4A">
        <w:tab/>
        <w:t>if the appointment is as a Non</w:t>
      </w:r>
      <w:r w:rsidR="00046E4A">
        <w:noBreakHyphen/>
      </w:r>
      <w:r w:rsidRPr="00046E4A">
        <w:t>Judicial Deputy President, senior member or general member and the person is a member—the panel seeks a referee report from another member with appropriate seniority and knowledge of the applicant’s work; and</w:t>
      </w:r>
    </w:p>
    <w:p w14:paraId="555283CE" w14:textId="77777777" w:rsidR="005B53F3" w:rsidRPr="00046E4A" w:rsidRDefault="005B53F3" w:rsidP="005B53F3">
      <w:pPr>
        <w:pStyle w:val="paragraphsub"/>
      </w:pPr>
      <w:r w:rsidRPr="00046E4A">
        <w:tab/>
        <w:t>(vii)</w:t>
      </w:r>
      <w:r w:rsidRPr="00046E4A">
        <w:tab/>
        <w:t>the panel assesses the person against the selection criteria for the appointment (see Division 2 of this Part);</w:t>
      </w:r>
    </w:p>
    <w:p w14:paraId="59974F26" w14:textId="77777777" w:rsidR="005B53F3" w:rsidRPr="00046E4A" w:rsidRDefault="005B53F3" w:rsidP="005B53F3">
      <w:pPr>
        <w:pStyle w:val="paragraph"/>
      </w:pPr>
      <w:r w:rsidRPr="00046E4A">
        <w:tab/>
        <w:t>(e)</w:t>
      </w:r>
      <w:r w:rsidRPr="00046E4A">
        <w:tab/>
        <w:t xml:space="preserve">the assessment panel for the appointment must give the Minister a report in accordance with </w:t>
      </w:r>
      <w:r w:rsidR="002B0CE9" w:rsidRPr="00046E4A">
        <w:t>section 1</w:t>
      </w:r>
      <w:r w:rsidR="0045486B" w:rsidRPr="00046E4A">
        <w:t>2</w:t>
      </w:r>
      <w:r w:rsidRPr="00046E4A">
        <w:t xml:space="preserve"> of this instrument.</w:t>
      </w:r>
    </w:p>
    <w:p w14:paraId="1CC4526D" w14:textId="77777777" w:rsidR="005B53F3" w:rsidRPr="00046E4A" w:rsidRDefault="005B53F3" w:rsidP="005B53F3">
      <w:pPr>
        <w:pStyle w:val="subsection"/>
      </w:pPr>
      <w:r w:rsidRPr="00046E4A">
        <w:tab/>
        <w:t>(2)</w:t>
      </w:r>
      <w:r w:rsidRPr="00046E4A">
        <w:tab/>
        <w:t>For the purposes of subparagraphs 205(2)(b)(iii), 207(2)(b)(iii), 208(2)(b)(iii) and 227(2)(b)(iii) of the Act, an assessment process in relation to an appointment must be completed within 18 months before the appointment.</w:t>
      </w:r>
    </w:p>
    <w:p w14:paraId="329AEF79" w14:textId="77777777" w:rsidR="005B53F3" w:rsidRPr="00046E4A" w:rsidRDefault="005B53F3" w:rsidP="005B53F3">
      <w:pPr>
        <w:pStyle w:val="notetext"/>
      </w:pPr>
      <w:r w:rsidRPr="00046E4A">
        <w:t>Note 1:</w:t>
      </w:r>
      <w:r w:rsidRPr="00046E4A">
        <w:tab/>
        <w:t xml:space="preserve">The assessment must be done by a panel established under </w:t>
      </w:r>
      <w:r w:rsidR="002B0CE9" w:rsidRPr="00046E4A">
        <w:t>section 2</w:t>
      </w:r>
      <w:r w:rsidRPr="00046E4A">
        <w:t>09 of the Act (see paragraphs 205(2)(b), 207(2)(b), 208(2)(b) and 227(2)(b) of the Act).</w:t>
      </w:r>
    </w:p>
    <w:p w14:paraId="7CE1C08E" w14:textId="77777777" w:rsidR="005B53F3" w:rsidRPr="00046E4A" w:rsidRDefault="005B53F3" w:rsidP="005B53F3">
      <w:pPr>
        <w:pStyle w:val="notetext"/>
      </w:pPr>
      <w:r w:rsidRPr="00046E4A">
        <w:t>Note 2:</w:t>
      </w:r>
      <w:r w:rsidRPr="00046E4A">
        <w:tab/>
        <w:t>The assessment process must be merit</w:t>
      </w:r>
      <w:r w:rsidR="00046E4A">
        <w:noBreakHyphen/>
      </w:r>
      <w:r w:rsidRPr="00046E4A">
        <w:t>based (see subparagraphs 205(2)(b)(i), 207(2)(b)(i), 208(2)(b)(i) and 227(2)(b)(i) of the Act).</w:t>
      </w:r>
    </w:p>
    <w:p w14:paraId="7BA5125A" w14:textId="77777777" w:rsidR="005B53F3" w:rsidRPr="00046E4A" w:rsidRDefault="0045486B" w:rsidP="005B53F3">
      <w:pPr>
        <w:pStyle w:val="ActHead5"/>
      </w:pPr>
      <w:bookmarkStart w:id="15" w:name="_Toc175811223"/>
      <w:r w:rsidRPr="00177AC3">
        <w:rPr>
          <w:rStyle w:val="CharSectno"/>
        </w:rPr>
        <w:t>10</w:t>
      </w:r>
      <w:r w:rsidR="005B53F3" w:rsidRPr="00046E4A">
        <w:t xml:space="preserve">  Invitations for applications to be published</w:t>
      </w:r>
      <w:bookmarkEnd w:id="15"/>
    </w:p>
    <w:p w14:paraId="06BDEFD3" w14:textId="77777777" w:rsidR="005B53F3" w:rsidRPr="00046E4A" w:rsidRDefault="005B53F3" w:rsidP="005B53F3">
      <w:pPr>
        <w:pStyle w:val="subsection"/>
      </w:pPr>
      <w:r w:rsidRPr="00046E4A">
        <w:tab/>
      </w:r>
      <w:r w:rsidRPr="00046E4A">
        <w:tab/>
        <w:t xml:space="preserve">For the purposes of </w:t>
      </w:r>
      <w:r w:rsidR="002B0CE9" w:rsidRPr="00046E4A">
        <w:t>paragraph 9</w:t>
      </w:r>
      <w:r w:rsidRPr="00046E4A">
        <w:t>(1)(a), the invitation for applications for an appointment must be published:</w:t>
      </w:r>
    </w:p>
    <w:p w14:paraId="3FA61F22" w14:textId="77777777" w:rsidR="005B53F3" w:rsidRPr="00046E4A" w:rsidRDefault="005B53F3" w:rsidP="005B53F3">
      <w:pPr>
        <w:pStyle w:val="paragraph"/>
      </w:pPr>
      <w:r w:rsidRPr="00046E4A">
        <w:tab/>
        <w:t>(a)</w:t>
      </w:r>
      <w:r w:rsidRPr="00046E4A">
        <w:tab/>
        <w:t>for at least 2 weeks on the Department’s website; and</w:t>
      </w:r>
    </w:p>
    <w:p w14:paraId="63053F01" w14:textId="77777777" w:rsidR="005B53F3" w:rsidRPr="00046E4A" w:rsidRDefault="005B53F3" w:rsidP="005B53F3">
      <w:pPr>
        <w:pStyle w:val="paragraph"/>
      </w:pPr>
      <w:r w:rsidRPr="00046E4A">
        <w:tab/>
        <w:t>(b)</w:t>
      </w:r>
      <w:r w:rsidRPr="00046E4A">
        <w:tab/>
        <w:t>in at least one other way accessible to the public.</w:t>
      </w:r>
    </w:p>
    <w:p w14:paraId="5B4EF988" w14:textId="77777777" w:rsidR="005B53F3" w:rsidRPr="00046E4A" w:rsidRDefault="005B53F3" w:rsidP="005B53F3">
      <w:pPr>
        <w:pStyle w:val="notetext"/>
      </w:pPr>
      <w:r w:rsidRPr="00046E4A">
        <w:lastRenderedPageBreak/>
        <w:t>Note:</w:t>
      </w:r>
      <w:r w:rsidRPr="00046E4A">
        <w:tab/>
        <w:t xml:space="preserve">For paragraph (b), publication in a way accessible to the public could include publication in national media, on the </w:t>
      </w:r>
      <w:proofErr w:type="spellStart"/>
      <w:r w:rsidRPr="00046E4A">
        <w:t>APSJobs</w:t>
      </w:r>
      <w:proofErr w:type="spellEnd"/>
      <w:r w:rsidRPr="00046E4A">
        <w:t xml:space="preserve"> website or on another publicly accessible website. The </w:t>
      </w:r>
      <w:proofErr w:type="spellStart"/>
      <w:r w:rsidRPr="00046E4A">
        <w:t>APSJobs</w:t>
      </w:r>
      <w:proofErr w:type="spellEnd"/>
      <w:r w:rsidRPr="00046E4A">
        <w:t xml:space="preserve"> website could in 2024 be viewed at http://www.apsjobs.gov.au.</w:t>
      </w:r>
    </w:p>
    <w:p w14:paraId="7FC7AD05" w14:textId="77777777" w:rsidR="005B53F3" w:rsidRPr="00046E4A" w:rsidRDefault="0045486B" w:rsidP="005B53F3">
      <w:pPr>
        <w:pStyle w:val="ActHead5"/>
      </w:pPr>
      <w:bookmarkStart w:id="16" w:name="_Toc175811224"/>
      <w:r w:rsidRPr="00177AC3">
        <w:rPr>
          <w:rStyle w:val="CharSectno"/>
        </w:rPr>
        <w:t>11</w:t>
      </w:r>
      <w:r w:rsidR="005B53F3" w:rsidRPr="00046E4A">
        <w:t xml:space="preserve">  Information to be available to potential applicants</w:t>
      </w:r>
      <w:bookmarkEnd w:id="16"/>
    </w:p>
    <w:p w14:paraId="2A45981F" w14:textId="77777777" w:rsidR="005B53F3" w:rsidRPr="00046E4A" w:rsidRDefault="005B53F3" w:rsidP="005B53F3">
      <w:pPr>
        <w:pStyle w:val="subsection"/>
      </w:pPr>
      <w:r w:rsidRPr="00046E4A">
        <w:tab/>
      </w:r>
      <w:r w:rsidRPr="00046E4A">
        <w:tab/>
        <w:t xml:space="preserve">For the purposes of </w:t>
      </w:r>
      <w:r w:rsidR="002B0CE9" w:rsidRPr="00046E4A">
        <w:t>paragraph 9</w:t>
      </w:r>
      <w:r w:rsidRPr="00046E4A">
        <w:t>(1)(c), the Department must make the following information available to potential applicants for an appointment:</w:t>
      </w:r>
    </w:p>
    <w:p w14:paraId="4AE9A81D" w14:textId="77777777" w:rsidR="005B53F3" w:rsidRPr="00046E4A" w:rsidRDefault="005B53F3" w:rsidP="005B53F3">
      <w:pPr>
        <w:pStyle w:val="paragraph"/>
      </w:pPr>
      <w:r w:rsidRPr="00046E4A">
        <w:tab/>
        <w:t>(a)</w:t>
      </w:r>
      <w:r w:rsidRPr="00046E4A">
        <w:tab/>
        <w:t>the selection criteria for the appointment;</w:t>
      </w:r>
    </w:p>
    <w:p w14:paraId="00E34BFD" w14:textId="77777777" w:rsidR="005B53F3" w:rsidRPr="00046E4A" w:rsidRDefault="005B53F3" w:rsidP="005B53F3">
      <w:pPr>
        <w:pStyle w:val="paragraph"/>
      </w:pPr>
      <w:r w:rsidRPr="00046E4A">
        <w:tab/>
        <w:t>(b)</w:t>
      </w:r>
      <w:r w:rsidRPr="00046E4A">
        <w:tab/>
        <w:t>the qualification requirements (if any) for the appointment;</w:t>
      </w:r>
    </w:p>
    <w:p w14:paraId="2AE6C828" w14:textId="77777777" w:rsidR="005B53F3" w:rsidRPr="00046E4A" w:rsidRDefault="005B53F3" w:rsidP="005B53F3">
      <w:pPr>
        <w:pStyle w:val="paragraph"/>
      </w:pPr>
      <w:r w:rsidRPr="00046E4A">
        <w:tab/>
        <w:t>(c)</w:t>
      </w:r>
      <w:r w:rsidRPr="00046E4A">
        <w:tab/>
        <w:t>information on remuneration for the appointment;</w:t>
      </w:r>
    </w:p>
    <w:p w14:paraId="7299768E" w14:textId="77777777" w:rsidR="005B53F3" w:rsidRPr="00046E4A" w:rsidRDefault="005B53F3" w:rsidP="005B53F3">
      <w:pPr>
        <w:pStyle w:val="paragraph"/>
      </w:pPr>
      <w:r w:rsidRPr="00046E4A">
        <w:tab/>
        <w:t>(d)</w:t>
      </w:r>
      <w:r w:rsidRPr="00046E4A">
        <w:tab/>
        <w:t>information on the assessment process for the appointment;</w:t>
      </w:r>
    </w:p>
    <w:p w14:paraId="04660AA1" w14:textId="77777777" w:rsidR="005B53F3" w:rsidRPr="00046E4A" w:rsidRDefault="005B53F3" w:rsidP="005B53F3">
      <w:pPr>
        <w:pStyle w:val="paragraph"/>
      </w:pPr>
      <w:r w:rsidRPr="00046E4A">
        <w:tab/>
        <w:t>(e)</w:t>
      </w:r>
      <w:r w:rsidRPr="00046E4A">
        <w:tab/>
        <w:t>if the appointment is as a Non</w:t>
      </w:r>
      <w:r w:rsidR="00046E4A">
        <w:noBreakHyphen/>
      </w:r>
      <w:r w:rsidRPr="00046E4A">
        <w:t>Judicial Deputy President, senior member or general member:</w:t>
      </w:r>
    </w:p>
    <w:p w14:paraId="59B2870C" w14:textId="77777777" w:rsidR="005B53F3" w:rsidRPr="00046E4A" w:rsidRDefault="005B53F3" w:rsidP="005B53F3">
      <w:pPr>
        <w:pStyle w:val="paragraphsub"/>
      </w:pPr>
      <w:r w:rsidRPr="00046E4A">
        <w:tab/>
        <w:t>(i)</w:t>
      </w:r>
      <w:r w:rsidRPr="00046E4A">
        <w:tab/>
        <w:t>the code of conduct; and</w:t>
      </w:r>
    </w:p>
    <w:p w14:paraId="30F3B8EB" w14:textId="77777777" w:rsidR="005B53F3" w:rsidRPr="00046E4A" w:rsidRDefault="005B53F3" w:rsidP="005B53F3">
      <w:pPr>
        <w:pStyle w:val="paragraphsub"/>
      </w:pPr>
      <w:r w:rsidRPr="00046E4A">
        <w:tab/>
        <w:t>(ii)</w:t>
      </w:r>
      <w:r w:rsidRPr="00046E4A">
        <w:tab/>
        <w:t>the performance standard.</w:t>
      </w:r>
    </w:p>
    <w:p w14:paraId="1109D5E2" w14:textId="77777777" w:rsidR="005B53F3" w:rsidRPr="00046E4A" w:rsidRDefault="005B53F3" w:rsidP="005B53F3">
      <w:pPr>
        <w:pStyle w:val="notetext"/>
      </w:pPr>
      <w:r w:rsidRPr="00046E4A">
        <w:t>Note:</w:t>
      </w:r>
      <w:r w:rsidRPr="00046E4A">
        <w:tab/>
        <w:t>For example, the Department may make the information available to potential applicants on its website.</w:t>
      </w:r>
    </w:p>
    <w:p w14:paraId="415EEFA8" w14:textId="77777777" w:rsidR="005B53F3" w:rsidRPr="00046E4A" w:rsidRDefault="0045486B" w:rsidP="005B53F3">
      <w:pPr>
        <w:pStyle w:val="ActHead5"/>
      </w:pPr>
      <w:bookmarkStart w:id="17" w:name="_Toc175811225"/>
      <w:r w:rsidRPr="00177AC3">
        <w:rPr>
          <w:rStyle w:val="CharSectno"/>
        </w:rPr>
        <w:t>12</w:t>
      </w:r>
      <w:r w:rsidR="005B53F3" w:rsidRPr="00046E4A">
        <w:t xml:space="preserve">  Assessment panel reports</w:t>
      </w:r>
      <w:bookmarkEnd w:id="17"/>
    </w:p>
    <w:p w14:paraId="721CCE7A" w14:textId="77777777" w:rsidR="005B53F3" w:rsidRPr="00046E4A" w:rsidRDefault="005B53F3" w:rsidP="005B53F3">
      <w:pPr>
        <w:pStyle w:val="SubsectionHead"/>
      </w:pPr>
      <w:r w:rsidRPr="00046E4A">
        <w:t>Outcome of assessment process</w:t>
      </w:r>
    </w:p>
    <w:p w14:paraId="562A2557" w14:textId="77777777" w:rsidR="005B53F3" w:rsidRPr="00046E4A" w:rsidRDefault="005B53F3" w:rsidP="005B53F3">
      <w:pPr>
        <w:pStyle w:val="subsection"/>
      </w:pPr>
      <w:r w:rsidRPr="00046E4A">
        <w:tab/>
        <w:t>(1)</w:t>
      </w:r>
      <w:r w:rsidRPr="00046E4A">
        <w:tab/>
        <w:t xml:space="preserve">For the purposes of </w:t>
      </w:r>
      <w:r w:rsidR="002B0CE9" w:rsidRPr="00046E4A">
        <w:t>paragraph 9</w:t>
      </w:r>
      <w:r w:rsidRPr="00046E4A">
        <w:t>(1)(e), the assessment panel’s report in relation to an assessment process for an appointment as President must set out the outcome of the assessment process, including:</w:t>
      </w:r>
    </w:p>
    <w:p w14:paraId="29E760BC" w14:textId="77777777" w:rsidR="005B53F3" w:rsidRPr="00046E4A" w:rsidRDefault="005B53F3" w:rsidP="005B53F3">
      <w:pPr>
        <w:pStyle w:val="paragraph"/>
      </w:pPr>
      <w:r w:rsidRPr="00046E4A">
        <w:tab/>
        <w:t>(a)</w:t>
      </w:r>
      <w:r w:rsidRPr="00046E4A">
        <w:tab/>
        <w:t>identification of applicants interviewed; and</w:t>
      </w:r>
    </w:p>
    <w:p w14:paraId="2C76D5E1" w14:textId="77777777" w:rsidR="005B53F3" w:rsidRPr="00046E4A" w:rsidRDefault="005B53F3" w:rsidP="005B53F3">
      <w:pPr>
        <w:pStyle w:val="paragraph"/>
      </w:pPr>
      <w:r w:rsidRPr="00046E4A">
        <w:tab/>
        <w:t>(b)</w:t>
      </w:r>
      <w:r w:rsidRPr="00046E4A">
        <w:tab/>
        <w:t>identification of applicants interviewed who were assessed as suitable for the appointment and the reasons for that outcome.</w:t>
      </w:r>
    </w:p>
    <w:p w14:paraId="65F7DA73" w14:textId="77777777" w:rsidR="00C43E97" w:rsidRPr="00046E4A" w:rsidRDefault="00C43E97" w:rsidP="00C43E97">
      <w:pPr>
        <w:pStyle w:val="subsection"/>
      </w:pPr>
      <w:r w:rsidRPr="00046E4A">
        <w:tab/>
        <w:t>(2)</w:t>
      </w:r>
      <w:r w:rsidRPr="00046E4A">
        <w:tab/>
        <w:t>For the purposes of paragraph 9(1)(e), the assessment panel’s report in relation to an assessment process for an appointment as Non</w:t>
      </w:r>
      <w:r w:rsidR="00046E4A">
        <w:noBreakHyphen/>
      </w:r>
      <w:r w:rsidRPr="00046E4A">
        <w:t>Judicial Deputy President, senior member, general member or Chief Executive Officer and Principal Registrar must set out the outcome of the assessment process, including:</w:t>
      </w:r>
    </w:p>
    <w:p w14:paraId="70845314" w14:textId="77777777" w:rsidR="00C43E97" w:rsidRPr="00046E4A" w:rsidRDefault="00C43E97" w:rsidP="00C43E97">
      <w:pPr>
        <w:pStyle w:val="paragraph"/>
      </w:pPr>
      <w:r w:rsidRPr="00046E4A">
        <w:tab/>
        <w:t>(a)</w:t>
      </w:r>
      <w:r w:rsidRPr="00046E4A">
        <w:tab/>
        <w:t>identification of applicants interviewed; and</w:t>
      </w:r>
    </w:p>
    <w:p w14:paraId="1F741649" w14:textId="77777777" w:rsidR="00C43E97" w:rsidRPr="00046E4A" w:rsidRDefault="00C43E97" w:rsidP="00C43E97">
      <w:pPr>
        <w:pStyle w:val="paragraph"/>
      </w:pPr>
      <w:r w:rsidRPr="00046E4A">
        <w:tab/>
        <w:t>(b)</w:t>
      </w:r>
      <w:r w:rsidRPr="00046E4A">
        <w:tab/>
        <w:t xml:space="preserve">for any applicants interviewed who were assessed </w:t>
      </w:r>
      <w:r w:rsidR="009F1C16" w:rsidRPr="00046E4A">
        <w:t xml:space="preserve">by the panel </w:t>
      </w:r>
      <w:r w:rsidRPr="00046E4A">
        <w:t>as suitable for the appointment:</w:t>
      </w:r>
    </w:p>
    <w:p w14:paraId="4387B746" w14:textId="77777777" w:rsidR="00C43E97" w:rsidRPr="00046E4A" w:rsidRDefault="00C43E97" w:rsidP="00C43E97">
      <w:pPr>
        <w:pStyle w:val="paragraphsub"/>
      </w:pPr>
      <w:r w:rsidRPr="00046E4A">
        <w:tab/>
        <w:t>(i)</w:t>
      </w:r>
      <w:r w:rsidRPr="00046E4A">
        <w:tab/>
        <w:t>identification of the applicant and the reasons for that outcome; and</w:t>
      </w:r>
    </w:p>
    <w:p w14:paraId="488EE094" w14:textId="77777777" w:rsidR="001F5DBB" w:rsidRPr="00046E4A" w:rsidRDefault="00C43E97" w:rsidP="001F5DBB">
      <w:pPr>
        <w:pStyle w:val="paragraphsub"/>
      </w:pPr>
      <w:r w:rsidRPr="00046E4A">
        <w:tab/>
        <w:t>(ii)</w:t>
      </w:r>
      <w:r w:rsidRPr="00046E4A">
        <w:tab/>
        <w:t xml:space="preserve">if any </w:t>
      </w:r>
      <w:r w:rsidR="004B1A39" w:rsidRPr="00046E4A">
        <w:t xml:space="preserve">person who is part of the panel </w:t>
      </w:r>
      <w:r w:rsidRPr="00046E4A">
        <w:t xml:space="preserve">did not </w:t>
      </w:r>
      <w:r w:rsidR="004B1A39" w:rsidRPr="00046E4A">
        <w:t xml:space="preserve">support the assessment of the applicant </w:t>
      </w:r>
      <w:r w:rsidRPr="00046E4A">
        <w:t xml:space="preserve">as suitable—the </w:t>
      </w:r>
      <w:r w:rsidR="004B1A39" w:rsidRPr="00046E4A">
        <w:t xml:space="preserve">person’s </w:t>
      </w:r>
      <w:r w:rsidRPr="00046E4A">
        <w:t xml:space="preserve">reasons for </w:t>
      </w:r>
      <w:r w:rsidR="008B1779" w:rsidRPr="00046E4A">
        <w:t xml:space="preserve">not supporting </w:t>
      </w:r>
      <w:r w:rsidRPr="00046E4A">
        <w:t xml:space="preserve">that </w:t>
      </w:r>
      <w:r w:rsidR="001F5DBB" w:rsidRPr="00046E4A">
        <w:t>assessment</w:t>
      </w:r>
      <w:r w:rsidRPr="00046E4A">
        <w:t>; and</w:t>
      </w:r>
    </w:p>
    <w:p w14:paraId="2C4A7A0A" w14:textId="77777777" w:rsidR="00C43E97" w:rsidRPr="00046E4A" w:rsidRDefault="00C43E97" w:rsidP="001F5DBB">
      <w:pPr>
        <w:pStyle w:val="paragraph"/>
      </w:pPr>
      <w:r w:rsidRPr="00046E4A">
        <w:tab/>
        <w:t>(c)</w:t>
      </w:r>
      <w:r w:rsidRPr="00046E4A">
        <w:tab/>
        <w:t xml:space="preserve">for any applicants interviewed who were assessed </w:t>
      </w:r>
      <w:r w:rsidR="008D70F3" w:rsidRPr="00046E4A">
        <w:t xml:space="preserve">by the panel </w:t>
      </w:r>
      <w:r w:rsidRPr="00046E4A">
        <w:t>as not suitable for the appointment—identification of the applicant and the reasons for that outcome.</w:t>
      </w:r>
    </w:p>
    <w:p w14:paraId="4038972B" w14:textId="77777777" w:rsidR="005B53F3" w:rsidRPr="00046E4A" w:rsidRDefault="005B53F3" w:rsidP="005B53F3">
      <w:pPr>
        <w:pStyle w:val="SubsectionHead"/>
      </w:pPr>
      <w:r w:rsidRPr="00046E4A">
        <w:t>Consideration of qualification requirements</w:t>
      </w:r>
    </w:p>
    <w:p w14:paraId="560C15AD" w14:textId="77777777" w:rsidR="005B53F3" w:rsidRPr="00046E4A" w:rsidRDefault="005B53F3" w:rsidP="005B53F3">
      <w:pPr>
        <w:pStyle w:val="subsection"/>
      </w:pPr>
      <w:r w:rsidRPr="00046E4A">
        <w:tab/>
        <w:t>(3)</w:t>
      </w:r>
      <w:r w:rsidRPr="00046E4A">
        <w:tab/>
        <w:t xml:space="preserve">For the purposes of </w:t>
      </w:r>
      <w:r w:rsidR="002B0CE9" w:rsidRPr="00046E4A">
        <w:t>paragraph 9</w:t>
      </w:r>
      <w:r w:rsidRPr="00046E4A">
        <w:t>(1)(e), the assessment panel’s report in relation to an assessment process for an appointment as a Non</w:t>
      </w:r>
      <w:r w:rsidR="00046E4A">
        <w:noBreakHyphen/>
      </w:r>
      <w:r w:rsidRPr="00046E4A">
        <w:t xml:space="preserve">Judicial Deputy President, senior member or general member may include information on whether the panel </w:t>
      </w:r>
      <w:r w:rsidRPr="00046E4A">
        <w:lastRenderedPageBreak/>
        <w:t>considers that an applicant assessed by the panel as suitable for the appointment could meet the qualification requirements for the appointment.</w:t>
      </w:r>
    </w:p>
    <w:p w14:paraId="28A86B83" w14:textId="77777777" w:rsidR="005B53F3" w:rsidRPr="00046E4A" w:rsidRDefault="0045486B" w:rsidP="005B53F3">
      <w:pPr>
        <w:pStyle w:val="ActHead5"/>
      </w:pPr>
      <w:bookmarkStart w:id="18" w:name="_Toc175811226"/>
      <w:r w:rsidRPr="00177AC3">
        <w:rPr>
          <w:rStyle w:val="CharSectno"/>
        </w:rPr>
        <w:t>13</w:t>
      </w:r>
      <w:r w:rsidR="005B53F3" w:rsidRPr="00046E4A">
        <w:t xml:space="preserve">  List of persons on assessment panel to be published</w:t>
      </w:r>
      <w:bookmarkEnd w:id="18"/>
    </w:p>
    <w:p w14:paraId="60313603" w14:textId="77777777" w:rsidR="005B53F3" w:rsidRPr="00046E4A" w:rsidRDefault="005B53F3" w:rsidP="007826BC">
      <w:pPr>
        <w:pStyle w:val="subsection"/>
      </w:pPr>
      <w:r w:rsidRPr="00046E4A">
        <w:tab/>
      </w:r>
      <w:r w:rsidRPr="00046E4A">
        <w:tab/>
        <w:t xml:space="preserve">For the purposes of </w:t>
      </w:r>
      <w:r w:rsidR="002B0CE9" w:rsidRPr="00046E4A">
        <w:t>subsection 2</w:t>
      </w:r>
      <w:r w:rsidRPr="00046E4A">
        <w:t xml:space="preserve">09(2) of the Act, within 28 days after an assessment panel gives the Minister a report in accordance with </w:t>
      </w:r>
      <w:r w:rsidR="002B0CE9" w:rsidRPr="00046E4A">
        <w:t>section 1</w:t>
      </w:r>
      <w:r w:rsidR="0045486B" w:rsidRPr="00046E4A">
        <w:t>2</w:t>
      </w:r>
      <w:r w:rsidRPr="00046E4A">
        <w:t xml:space="preserve"> of this instrument, the Department must publish on its website the names of the persons who were part of the panel.</w:t>
      </w:r>
    </w:p>
    <w:p w14:paraId="5AF1FE7C" w14:textId="77777777" w:rsidR="005B53F3" w:rsidRPr="00046E4A" w:rsidRDefault="005B53F3" w:rsidP="005B53F3">
      <w:pPr>
        <w:pStyle w:val="ActHead3"/>
        <w:pageBreakBefore/>
      </w:pPr>
      <w:bookmarkStart w:id="19" w:name="_Toc175811227"/>
      <w:r w:rsidRPr="00177AC3">
        <w:rPr>
          <w:rStyle w:val="CharDivNo"/>
        </w:rPr>
        <w:lastRenderedPageBreak/>
        <w:t>Division 2</w:t>
      </w:r>
      <w:r w:rsidRPr="00046E4A">
        <w:t>—</w:t>
      </w:r>
      <w:r w:rsidRPr="00177AC3">
        <w:rPr>
          <w:rStyle w:val="CharDivText"/>
        </w:rPr>
        <w:t>Selection criteria</w:t>
      </w:r>
      <w:bookmarkEnd w:id="19"/>
    </w:p>
    <w:p w14:paraId="10BCBC62" w14:textId="77777777" w:rsidR="005B53F3" w:rsidRPr="00046E4A" w:rsidRDefault="0045486B" w:rsidP="005B53F3">
      <w:pPr>
        <w:pStyle w:val="ActHead5"/>
      </w:pPr>
      <w:bookmarkStart w:id="20" w:name="_Toc175811228"/>
      <w:r w:rsidRPr="00177AC3">
        <w:rPr>
          <w:rStyle w:val="CharSectno"/>
        </w:rPr>
        <w:t>14</w:t>
      </w:r>
      <w:r w:rsidR="005B53F3" w:rsidRPr="00046E4A">
        <w:t xml:space="preserve">  Selection criteria—President</w:t>
      </w:r>
      <w:bookmarkEnd w:id="20"/>
    </w:p>
    <w:p w14:paraId="3393AD35" w14:textId="77777777" w:rsidR="005B53F3" w:rsidRPr="00046E4A" w:rsidRDefault="005B53F3" w:rsidP="005B53F3">
      <w:pPr>
        <w:pStyle w:val="subsection"/>
      </w:pPr>
      <w:r w:rsidRPr="00046E4A">
        <w:tab/>
      </w:r>
      <w:r w:rsidRPr="00046E4A">
        <w:tab/>
        <w:t>The selection criteria for appointment as President are:</w:t>
      </w:r>
    </w:p>
    <w:p w14:paraId="4368872C" w14:textId="77777777" w:rsidR="005B53F3" w:rsidRPr="00046E4A" w:rsidRDefault="005B53F3" w:rsidP="005B53F3">
      <w:pPr>
        <w:pStyle w:val="paragraph"/>
      </w:pPr>
      <w:r w:rsidRPr="00046E4A">
        <w:tab/>
        <w:t>(a)</w:t>
      </w:r>
      <w:r w:rsidRPr="00046E4A">
        <w:tab/>
        <w:t>if the applicant is not a Judge of the Federal Court—suitability for appointment as a Judge of the Federal Court; and</w:t>
      </w:r>
    </w:p>
    <w:p w14:paraId="1C167050" w14:textId="77777777" w:rsidR="005B53F3" w:rsidRPr="00046E4A" w:rsidRDefault="005B53F3" w:rsidP="005B53F3">
      <w:pPr>
        <w:pStyle w:val="paragraph"/>
      </w:pPr>
      <w:r w:rsidRPr="00046E4A">
        <w:tab/>
        <w:t>(b)</w:t>
      </w:r>
      <w:r w:rsidRPr="00046E4A">
        <w:tab/>
        <w:t>outstanding expertise in, and experience in the practice of, administrative law; and</w:t>
      </w:r>
    </w:p>
    <w:p w14:paraId="23DF71EC" w14:textId="77777777" w:rsidR="005B53F3" w:rsidRPr="00046E4A" w:rsidRDefault="005B53F3" w:rsidP="005B53F3">
      <w:pPr>
        <w:pStyle w:val="paragraph"/>
      </w:pPr>
      <w:r w:rsidRPr="00046E4A">
        <w:tab/>
        <w:t>(c)</w:t>
      </w:r>
      <w:r w:rsidRPr="00046E4A">
        <w:tab/>
        <w:t>commitment to, and ability to support, the objective in section 9 of the Act; and</w:t>
      </w:r>
    </w:p>
    <w:p w14:paraId="4E2241CD" w14:textId="77777777" w:rsidR="005B53F3" w:rsidRPr="00046E4A" w:rsidRDefault="005B53F3" w:rsidP="005B53F3">
      <w:pPr>
        <w:pStyle w:val="paragraph"/>
      </w:pPr>
      <w:r w:rsidRPr="00046E4A">
        <w:tab/>
        <w:t>(d)</w:t>
      </w:r>
      <w:r w:rsidRPr="00046E4A">
        <w:tab/>
        <w:t>demonstrated understanding of the diverse needs of parties to proceedings; and</w:t>
      </w:r>
    </w:p>
    <w:p w14:paraId="134331DD" w14:textId="77777777" w:rsidR="005B53F3" w:rsidRPr="00046E4A" w:rsidRDefault="005B53F3" w:rsidP="005B53F3">
      <w:pPr>
        <w:pStyle w:val="paragraph"/>
      </w:pPr>
      <w:r w:rsidRPr="00046E4A">
        <w:tab/>
        <w:t>(e)</w:t>
      </w:r>
      <w:r w:rsidRPr="00046E4A">
        <w:tab/>
        <w:t>leadership and management skills, including the following:</w:t>
      </w:r>
    </w:p>
    <w:p w14:paraId="13DC9D57" w14:textId="77777777" w:rsidR="005B53F3" w:rsidRPr="00046E4A" w:rsidRDefault="005B53F3" w:rsidP="005B53F3">
      <w:pPr>
        <w:pStyle w:val="paragraphsub"/>
      </w:pPr>
      <w:r w:rsidRPr="00046E4A">
        <w:tab/>
        <w:t>(i)</w:t>
      </w:r>
      <w:r w:rsidRPr="00046E4A">
        <w:tab/>
        <w:t>ability to lead the Tribunal, with a focus on high</w:t>
      </w:r>
      <w:r w:rsidR="00046E4A">
        <w:noBreakHyphen/>
      </w:r>
      <w:r w:rsidRPr="00046E4A">
        <w:t>quality performance, financial sustainability and innovation;</w:t>
      </w:r>
    </w:p>
    <w:p w14:paraId="118CD2F9" w14:textId="77777777" w:rsidR="005B53F3" w:rsidRPr="00046E4A" w:rsidRDefault="005B53F3" w:rsidP="005B53F3">
      <w:pPr>
        <w:pStyle w:val="paragraphsub"/>
      </w:pPr>
      <w:r w:rsidRPr="00046E4A">
        <w:tab/>
        <w:t>(ii)</w:t>
      </w:r>
      <w:r w:rsidRPr="00046E4A">
        <w:tab/>
        <w:t>ability to inspire and support members and staff members;</w:t>
      </w:r>
    </w:p>
    <w:p w14:paraId="62864F0E" w14:textId="77777777" w:rsidR="005B53F3" w:rsidRPr="00046E4A" w:rsidRDefault="005B53F3" w:rsidP="005B53F3">
      <w:pPr>
        <w:pStyle w:val="paragraphsub"/>
      </w:pPr>
      <w:r w:rsidRPr="00046E4A">
        <w:tab/>
        <w:t>(iii)</w:t>
      </w:r>
      <w:r w:rsidRPr="00046E4A">
        <w:tab/>
        <w:t>commitment to providing a diverse, safe and respectful workplace.</w:t>
      </w:r>
    </w:p>
    <w:p w14:paraId="5593B98E" w14:textId="77777777" w:rsidR="005B53F3" w:rsidRPr="00046E4A" w:rsidRDefault="0045486B" w:rsidP="005B53F3">
      <w:pPr>
        <w:pStyle w:val="ActHead5"/>
      </w:pPr>
      <w:bookmarkStart w:id="21" w:name="_Toc175811229"/>
      <w:r w:rsidRPr="00177AC3">
        <w:rPr>
          <w:rStyle w:val="CharSectno"/>
        </w:rPr>
        <w:t>15</w:t>
      </w:r>
      <w:r w:rsidR="005B53F3" w:rsidRPr="00046E4A">
        <w:t xml:space="preserve">  Selection criteria—Non</w:t>
      </w:r>
      <w:r w:rsidR="00046E4A">
        <w:noBreakHyphen/>
      </w:r>
      <w:r w:rsidR="005B53F3" w:rsidRPr="00046E4A">
        <w:t>Judicial Deputy Presidents, senior members and general members</w:t>
      </w:r>
      <w:bookmarkEnd w:id="21"/>
    </w:p>
    <w:p w14:paraId="1F4264E3" w14:textId="77777777" w:rsidR="005B53F3" w:rsidRPr="00046E4A" w:rsidRDefault="005B53F3" w:rsidP="005B53F3">
      <w:pPr>
        <w:pStyle w:val="subsection"/>
      </w:pPr>
      <w:r w:rsidRPr="00046E4A">
        <w:tab/>
      </w:r>
      <w:r w:rsidRPr="00046E4A">
        <w:tab/>
        <w:t>The selection criteria for appointment as a Non</w:t>
      </w:r>
      <w:r w:rsidR="00046E4A">
        <w:noBreakHyphen/>
      </w:r>
      <w:r w:rsidRPr="00046E4A">
        <w:t>Judicial Deputy President, senior member or general member are:</w:t>
      </w:r>
    </w:p>
    <w:p w14:paraId="51252C4F" w14:textId="77777777" w:rsidR="005B53F3" w:rsidRPr="00046E4A" w:rsidRDefault="005B53F3" w:rsidP="005B53F3">
      <w:pPr>
        <w:pStyle w:val="paragraph"/>
      </w:pPr>
      <w:r w:rsidRPr="00046E4A">
        <w:tab/>
        <w:t>(a)</w:t>
      </w:r>
      <w:r w:rsidRPr="00046E4A">
        <w:tab/>
        <w:t>commitment to, and ability to support, the objective in section 9 of the Act; and</w:t>
      </w:r>
    </w:p>
    <w:p w14:paraId="1A21B65B" w14:textId="77777777" w:rsidR="005B53F3" w:rsidRPr="00046E4A" w:rsidRDefault="005B53F3" w:rsidP="005B53F3">
      <w:pPr>
        <w:pStyle w:val="paragraph"/>
      </w:pPr>
      <w:r w:rsidRPr="00046E4A">
        <w:tab/>
        <w:t>(b)</w:t>
      </w:r>
      <w:r w:rsidRPr="00046E4A">
        <w:tab/>
        <w:t>the following, at appropriate levels for the appointment:</w:t>
      </w:r>
    </w:p>
    <w:p w14:paraId="1A5D8ADE" w14:textId="77777777" w:rsidR="005B53F3" w:rsidRPr="00046E4A" w:rsidRDefault="005B53F3" w:rsidP="005B53F3">
      <w:pPr>
        <w:pStyle w:val="paragraphsub"/>
      </w:pPr>
      <w:r w:rsidRPr="00046E4A">
        <w:tab/>
        <w:t>(i)</w:t>
      </w:r>
      <w:r w:rsidRPr="00046E4A">
        <w:tab/>
      </w:r>
      <w:r w:rsidR="00124CAE" w:rsidRPr="00046E4A">
        <w:rPr>
          <w:szCs w:val="22"/>
          <w:lang w:eastAsia="en-US"/>
        </w:rPr>
        <w:t>decision</w:t>
      </w:r>
      <w:r w:rsidR="00046E4A">
        <w:rPr>
          <w:szCs w:val="22"/>
          <w:lang w:eastAsia="en-US"/>
        </w:rPr>
        <w:noBreakHyphen/>
      </w:r>
      <w:r w:rsidR="00124CAE" w:rsidRPr="00046E4A">
        <w:rPr>
          <w:szCs w:val="22"/>
          <w:lang w:eastAsia="en-US"/>
        </w:rPr>
        <w:t>making and reasoning skills</w:t>
      </w:r>
      <w:r w:rsidRPr="00046E4A">
        <w:t>;</w:t>
      </w:r>
    </w:p>
    <w:p w14:paraId="11A516E8" w14:textId="77777777" w:rsidR="005B53F3" w:rsidRPr="00046E4A" w:rsidRDefault="005B53F3" w:rsidP="005B53F3">
      <w:pPr>
        <w:pStyle w:val="paragraphsub"/>
      </w:pPr>
      <w:r w:rsidRPr="00046E4A">
        <w:tab/>
        <w:t>(ii)</w:t>
      </w:r>
      <w:r w:rsidRPr="00046E4A">
        <w:tab/>
        <w:t>ability to conduct hearings and other Tribunal case events;</w:t>
      </w:r>
    </w:p>
    <w:p w14:paraId="056C74DD" w14:textId="77777777" w:rsidR="005B53F3" w:rsidRPr="00046E4A" w:rsidRDefault="005B53F3" w:rsidP="005B53F3">
      <w:pPr>
        <w:pStyle w:val="paragraphsub"/>
      </w:pPr>
      <w:r w:rsidRPr="00046E4A">
        <w:tab/>
        <w:t>(iii)</w:t>
      </w:r>
      <w:r w:rsidRPr="00046E4A">
        <w:tab/>
        <w:t>writing and communication skills;</w:t>
      </w:r>
    </w:p>
    <w:p w14:paraId="2CCBE6B4" w14:textId="77777777" w:rsidR="005B53F3" w:rsidRPr="00046E4A" w:rsidRDefault="005B53F3" w:rsidP="005B53F3">
      <w:pPr>
        <w:pStyle w:val="paragraphsub"/>
      </w:pPr>
      <w:r w:rsidRPr="00046E4A">
        <w:tab/>
        <w:t>(iv)</w:t>
      </w:r>
      <w:r w:rsidRPr="00046E4A">
        <w:tab/>
        <w:t>ability to be responsive to the diverse needs of parties to proceedings;</w:t>
      </w:r>
    </w:p>
    <w:p w14:paraId="255E4582" w14:textId="77777777" w:rsidR="005B53F3" w:rsidRPr="00046E4A" w:rsidRDefault="005B53F3" w:rsidP="005B53F3">
      <w:pPr>
        <w:pStyle w:val="paragraphsub"/>
      </w:pPr>
      <w:r w:rsidRPr="00046E4A">
        <w:tab/>
        <w:t>(v)</w:t>
      </w:r>
      <w:r w:rsidRPr="00046E4A">
        <w:tab/>
        <w:t>professionalism, independence, integrity and collegiality;</w:t>
      </w:r>
    </w:p>
    <w:p w14:paraId="2C9D55F5" w14:textId="77777777" w:rsidR="005B53F3" w:rsidRPr="00046E4A" w:rsidRDefault="005B53F3" w:rsidP="005B53F3">
      <w:pPr>
        <w:pStyle w:val="paragraphsub"/>
      </w:pPr>
      <w:r w:rsidRPr="00046E4A">
        <w:tab/>
        <w:t>(vi)</w:t>
      </w:r>
      <w:r w:rsidRPr="00046E4A">
        <w:tab/>
        <w:t>productivity, diligence and resilience;</w:t>
      </w:r>
    </w:p>
    <w:p w14:paraId="2AF767A7" w14:textId="77777777" w:rsidR="005B53F3" w:rsidRPr="00046E4A" w:rsidRDefault="005B53F3" w:rsidP="005B53F3">
      <w:pPr>
        <w:pStyle w:val="paragraphsub"/>
      </w:pPr>
      <w:r w:rsidRPr="00046E4A">
        <w:tab/>
        <w:t>(vii)</w:t>
      </w:r>
      <w:r w:rsidRPr="00046E4A">
        <w:tab/>
        <w:t>understanding of, and commitment to, diverse, safe and respectful workplaces; and</w:t>
      </w:r>
    </w:p>
    <w:p w14:paraId="70504EBA" w14:textId="77777777" w:rsidR="005B53F3" w:rsidRPr="00046E4A" w:rsidRDefault="005B53F3" w:rsidP="005B53F3">
      <w:pPr>
        <w:pStyle w:val="paragraph"/>
      </w:pPr>
      <w:r w:rsidRPr="00046E4A">
        <w:tab/>
        <w:t>(c)</w:t>
      </w:r>
      <w:r w:rsidRPr="00046E4A">
        <w:tab/>
        <w:t>if the appointment is as Non</w:t>
      </w:r>
      <w:r w:rsidR="00046E4A">
        <w:noBreakHyphen/>
      </w:r>
      <w:r w:rsidRPr="00046E4A">
        <w:t>Judicial Deputy President or senior member—leadership and management skills, at an appropriate level for the appointment; and</w:t>
      </w:r>
    </w:p>
    <w:p w14:paraId="53E92656" w14:textId="77777777" w:rsidR="005B53F3" w:rsidRPr="00046E4A" w:rsidRDefault="005B53F3" w:rsidP="005B53F3">
      <w:pPr>
        <w:pStyle w:val="paragraph"/>
      </w:pPr>
      <w:r w:rsidRPr="00046E4A">
        <w:tab/>
        <w:t>(d)</w:t>
      </w:r>
      <w:r w:rsidRPr="00046E4A">
        <w:tab/>
        <w:t>any other selection criteria relevant to the operational needs of the Tribunal the Minister considers appropriate after consultation with the President.</w:t>
      </w:r>
    </w:p>
    <w:p w14:paraId="32709952" w14:textId="77777777" w:rsidR="005B53F3" w:rsidRPr="00046E4A" w:rsidRDefault="0045486B" w:rsidP="005B53F3">
      <w:pPr>
        <w:pStyle w:val="ActHead5"/>
      </w:pPr>
      <w:bookmarkStart w:id="22" w:name="_Toc175811230"/>
      <w:r w:rsidRPr="00177AC3">
        <w:rPr>
          <w:rStyle w:val="CharSectno"/>
        </w:rPr>
        <w:t>16</w:t>
      </w:r>
      <w:r w:rsidR="005B53F3" w:rsidRPr="00046E4A">
        <w:t xml:space="preserve">  Selection criteria—Chief Executive Officer and Principal Registrar</w:t>
      </w:r>
      <w:bookmarkEnd w:id="22"/>
    </w:p>
    <w:p w14:paraId="24B69DBB" w14:textId="77777777" w:rsidR="005B53F3" w:rsidRPr="00046E4A" w:rsidRDefault="005B53F3" w:rsidP="005B53F3">
      <w:pPr>
        <w:pStyle w:val="subsection"/>
      </w:pPr>
      <w:r w:rsidRPr="00046E4A">
        <w:tab/>
      </w:r>
      <w:r w:rsidRPr="00046E4A">
        <w:tab/>
        <w:t>The selection criteria for appointment as Chief Executive Officer and Principal Registrar are:</w:t>
      </w:r>
    </w:p>
    <w:p w14:paraId="0CCDD897" w14:textId="77777777" w:rsidR="005B53F3" w:rsidRPr="00046E4A" w:rsidRDefault="005B53F3" w:rsidP="005B53F3">
      <w:pPr>
        <w:pStyle w:val="paragraph"/>
      </w:pPr>
      <w:r w:rsidRPr="00046E4A">
        <w:tab/>
        <w:t>(a)</w:t>
      </w:r>
      <w:r w:rsidRPr="00046E4A">
        <w:tab/>
        <w:t>leadership, including the following:</w:t>
      </w:r>
    </w:p>
    <w:p w14:paraId="4FFAE189" w14:textId="77777777" w:rsidR="005B53F3" w:rsidRPr="00046E4A" w:rsidRDefault="005B53F3" w:rsidP="005B53F3">
      <w:pPr>
        <w:pStyle w:val="paragraphsub"/>
      </w:pPr>
      <w:r w:rsidRPr="00046E4A">
        <w:tab/>
        <w:t>(i)</w:t>
      </w:r>
      <w:r w:rsidRPr="00046E4A">
        <w:tab/>
        <w:t>ability to set a strategic direction and inspire people to work towards it;</w:t>
      </w:r>
    </w:p>
    <w:p w14:paraId="66AB25F3" w14:textId="77777777" w:rsidR="005B53F3" w:rsidRPr="00046E4A" w:rsidRDefault="005B53F3" w:rsidP="005B53F3">
      <w:pPr>
        <w:pStyle w:val="paragraphsub"/>
      </w:pPr>
      <w:r w:rsidRPr="00046E4A">
        <w:lastRenderedPageBreak/>
        <w:tab/>
        <w:t>(ii)</w:t>
      </w:r>
      <w:r w:rsidRPr="00046E4A">
        <w:tab/>
        <w:t>high standard of personal integrity and commitment to organisational integrity and accountability;</w:t>
      </w:r>
    </w:p>
    <w:p w14:paraId="4EDBCBAB" w14:textId="77777777" w:rsidR="005B53F3" w:rsidRPr="00046E4A" w:rsidRDefault="005B53F3" w:rsidP="005B53F3">
      <w:pPr>
        <w:pStyle w:val="paragraphsub"/>
      </w:pPr>
      <w:r w:rsidRPr="00046E4A">
        <w:tab/>
        <w:t>(iii)</w:t>
      </w:r>
      <w:r w:rsidRPr="00046E4A">
        <w:tab/>
        <w:t>commitment to fostering a strong organisational culture and a diverse, safe and respectful workplace;</w:t>
      </w:r>
    </w:p>
    <w:p w14:paraId="61214AA4" w14:textId="77777777" w:rsidR="005B53F3" w:rsidRPr="00046E4A" w:rsidRDefault="005B53F3" w:rsidP="005B53F3">
      <w:pPr>
        <w:pStyle w:val="paragraphsub"/>
      </w:pPr>
      <w:r w:rsidRPr="00046E4A">
        <w:tab/>
        <w:t>(iv)</w:t>
      </w:r>
      <w:r w:rsidRPr="00046E4A">
        <w:tab/>
        <w:t>ability to identify and respond to possible challenges and opportunities;</w:t>
      </w:r>
    </w:p>
    <w:p w14:paraId="55396884" w14:textId="77777777" w:rsidR="005B53F3" w:rsidRPr="00046E4A" w:rsidRDefault="005B53F3" w:rsidP="005B53F3">
      <w:pPr>
        <w:pStyle w:val="paragraphsub"/>
      </w:pPr>
      <w:r w:rsidRPr="00046E4A">
        <w:tab/>
        <w:t>(v)</w:t>
      </w:r>
      <w:r w:rsidRPr="00046E4A">
        <w:tab/>
        <w:t>high level of judgement; and</w:t>
      </w:r>
    </w:p>
    <w:p w14:paraId="166B8239" w14:textId="77777777" w:rsidR="005B53F3" w:rsidRPr="00046E4A" w:rsidRDefault="005B53F3" w:rsidP="005B53F3">
      <w:pPr>
        <w:pStyle w:val="paragraph"/>
      </w:pPr>
      <w:r w:rsidRPr="00046E4A">
        <w:tab/>
        <w:t>(b)</w:t>
      </w:r>
      <w:r w:rsidRPr="00046E4A">
        <w:tab/>
        <w:t>management skills, including the following:</w:t>
      </w:r>
    </w:p>
    <w:p w14:paraId="356F7842" w14:textId="77777777" w:rsidR="005B53F3" w:rsidRPr="00046E4A" w:rsidRDefault="005B53F3" w:rsidP="005B53F3">
      <w:pPr>
        <w:pStyle w:val="paragraphsub"/>
      </w:pPr>
      <w:r w:rsidRPr="00046E4A">
        <w:tab/>
        <w:t>(i)</w:t>
      </w:r>
      <w:r w:rsidRPr="00046E4A">
        <w:tab/>
        <w:t>ability to lead a large and complex organisation and achieve results within appropriate frameworks across diverse functions;</w:t>
      </w:r>
    </w:p>
    <w:p w14:paraId="1065549F" w14:textId="77777777" w:rsidR="005B53F3" w:rsidRPr="00046E4A" w:rsidRDefault="005B53F3" w:rsidP="005B53F3">
      <w:pPr>
        <w:pStyle w:val="paragraphsub"/>
      </w:pPr>
      <w:r w:rsidRPr="00046E4A">
        <w:tab/>
        <w:t>(ii)</w:t>
      </w:r>
      <w:r w:rsidRPr="00046E4A">
        <w:tab/>
        <w:t>understanding of best</w:t>
      </w:r>
      <w:r w:rsidR="00046E4A">
        <w:noBreakHyphen/>
      </w:r>
      <w:r w:rsidRPr="00046E4A">
        <w:t>practice organisational governance;</w:t>
      </w:r>
    </w:p>
    <w:p w14:paraId="1A6C06AB" w14:textId="77777777" w:rsidR="005B53F3" w:rsidRPr="00046E4A" w:rsidRDefault="005B53F3" w:rsidP="005B53F3">
      <w:pPr>
        <w:pStyle w:val="paragraphsub"/>
      </w:pPr>
      <w:r w:rsidRPr="00046E4A">
        <w:tab/>
        <w:t>(iii)</w:t>
      </w:r>
      <w:r w:rsidRPr="00046E4A">
        <w:tab/>
        <w:t xml:space="preserve">extensive experience in public administration and strong knowledge of the obligations of agency heads under the </w:t>
      </w:r>
      <w:r w:rsidRPr="00046E4A">
        <w:rPr>
          <w:i/>
        </w:rPr>
        <w:t>Public Governance, Performance and Accountability Act 2013</w:t>
      </w:r>
      <w:r w:rsidRPr="00046E4A">
        <w:t xml:space="preserve"> and the </w:t>
      </w:r>
      <w:r w:rsidRPr="00046E4A">
        <w:rPr>
          <w:i/>
        </w:rPr>
        <w:t>Public Service Act 1999</w:t>
      </w:r>
      <w:r w:rsidRPr="00046E4A">
        <w:t>;</w:t>
      </w:r>
    </w:p>
    <w:p w14:paraId="3D489CB9" w14:textId="77777777" w:rsidR="005B53F3" w:rsidRPr="00046E4A" w:rsidRDefault="005B53F3" w:rsidP="005B53F3">
      <w:pPr>
        <w:pStyle w:val="paragraphsub"/>
      </w:pPr>
      <w:r w:rsidRPr="00046E4A">
        <w:tab/>
        <w:t>(iv)</w:t>
      </w:r>
      <w:r w:rsidRPr="00046E4A">
        <w:tab/>
        <w:t>ability to foster strong working relationships, including with members; and</w:t>
      </w:r>
    </w:p>
    <w:p w14:paraId="25B12D71" w14:textId="77777777" w:rsidR="005B53F3" w:rsidRPr="00046E4A" w:rsidRDefault="005B53F3" w:rsidP="005B53F3">
      <w:pPr>
        <w:pStyle w:val="paragraph"/>
      </w:pPr>
      <w:r w:rsidRPr="00046E4A">
        <w:tab/>
        <w:t>(c)</w:t>
      </w:r>
      <w:r w:rsidRPr="00046E4A">
        <w:tab/>
        <w:t>commitment to accessible administrative review of decisions made under legislation, including the following:</w:t>
      </w:r>
    </w:p>
    <w:p w14:paraId="1928FF6D" w14:textId="77777777" w:rsidR="005B53F3" w:rsidRPr="00046E4A" w:rsidRDefault="005B53F3" w:rsidP="005B53F3">
      <w:pPr>
        <w:pStyle w:val="paragraphsub"/>
      </w:pPr>
      <w:r w:rsidRPr="00046E4A">
        <w:tab/>
        <w:t>(i)</w:t>
      </w:r>
      <w:r w:rsidRPr="00046E4A">
        <w:tab/>
        <w:t>understanding of the work of the Tribunal and the administrative review process or capacity to quickly develop that understanding;</w:t>
      </w:r>
    </w:p>
    <w:p w14:paraId="54DBB4FD" w14:textId="77777777" w:rsidR="005B53F3" w:rsidRPr="00046E4A" w:rsidRDefault="005B53F3" w:rsidP="005B53F3">
      <w:pPr>
        <w:pStyle w:val="paragraphsub"/>
      </w:pPr>
      <w:r w:rsidRPr="00046E4A">
        <w:tab/>
        <w:t>(ii)</w:t>
      </w:r>
      <w:r w:rsidRPr="00046E4A">
        <w:tab/>
        <w:t>commitment to the objective in section 9 of the Act;</w:t>
      </w:r>
    </w:p>
    <w:p w14:paraId="0BBB3730" w14:textId="77777777" w:rsidR="005B53F3" w:rsidRPr="00046E4A" w:rsidRDefault="005B53F3" w:rsidP="005B53F3">
      <w:pPr>
        <w:pStyle w:val="paragraphsub"/>
      </w:pPr>
      <w:r w:rsidRPr="00046E4A">
        <w:tab/>
        <w:t>(iii)</w:t>
      </w:r>
      <w:r w:rsidRPr="00046E4A">
        <w:tab/>
        <w:t>understanding of the diverse needs of parties to proceedings; and</w:t>
      </w:r>
    </w:p>
    <w:p w14:paraId="2840E7C8" w14:textId="77777777" w:rsidR="005B53F3" w:rsidRPr="00046E4A" w:rsidRDefault="005B53F3" w:rsidP="005B53F3">
      <w:pPr>
        <w:pStyle w:val="paragraph"/>
      </w:pPr>
      <w:r w:rsidRPr="00046E4A">
        <w:tab/>
        <w:t>(d)</w:t>
      </w:r>
      <w:r w:rsidRPr="00046E4A">
        <w:tab/>
        <w:t>any other selection criteria relevant to the operational needs of the Tribunal the Minister considers appropriate after consultation with the President.</w:t>
      </w:r>
    </w:p>
    <w:p w14:paraId="5D08B819" w14:textId="77777777" w:rsidR="005B53F3" w:rsidRPr="00046E4A" w:rsidRDefault="005B53F3" w:rsidP="005B53F3">
      <w:pPr>
        <w:pStyle w:val="ActHead3"/>
        <w:pageBreakBefore/>
      </w:pPr>
      <w:bookmarkStart w:id="23" w:name="_Toc175811231"/>
      <w:r w:rsidRPr="00177AC3">
        <w:rPr>
          <w:rStyle w:val="CharDivNo"/>
        </w:rPr>
        <w:lastRenderedPageBreak/>
        <w:t>Division 3</w:t>
      </w:r>
      <w:r w:rsidRPr="00046E4A">
        <w:t>—</w:t>
      </w:r>
      <w:r w:rsidRPr="00177AC3">
        <w:rPr>
          <w:rStyle w:val="CharDivText"/>
        </w:rPr>
        <w:t>Assessment panels</w:t>
      </w:r>
      <w:bookmarkEnd w:id="23"/>
    </w:p>
    <w:p w14:paraId="328B8C1F" w14:textId="77777777" w:rsidR="005B53F3" w:rsidRPr="00046E4A" w:rsidRDefault="005B53F3" w:rsidP="005B53F3">
      <w:pPr>
        <w:pStyle w:val="ActHead4"/>
      </w:pPr>
      <w:bookmarkStart w:id="24" w:name="_Toc175811232"/>
      <w:r w:rsidRPr="00177AC3">
        <w:rPr>
          <w:rStyle w:val="CharSubdNo"/>
        </w:rPr>
        <w:t>Subdivision A</w:t>
      </w:r>
      <w:r w:rsidRPr="00046E4A">
        <w:t>—</w:t>
      </w:r>
      <w:r w:rsidRPr="00177AC3">
        <w:rPr>
          <w:rStyle w:val="CharSubdText"/>
        </w:rPr>
        <w:t>Composition of assessment panels</w:t>
      </w:r>
      <w:bookmarkEnd w:id="24"/>
    </w:p>
    <w:p w14:paraId="2E8B5076" w14:textId="77777777" w:rsidR="005B53F3" w:rsidRPr="00046E4A" w:rsidRDefault="0045486B" w:rsidP="005B53F3">
      <w:pPr>
        <w:pStyle w:val="ActHead5"/>
      </w:pPr>
      <w:bookmarkStart w:id="25" w:name="_Toc175811233"/>
      <w:r w:rsidRPr="00177AC3">
        <w:rPr>
          <w:rStyle w:val="CharSectno"/>
        </w:rPr>
        <w:t>17</w:t>
      </w:r>
      <w:r w:rsidR="005B53F3" w:rsidRPr="00046E4A">
        <w:t xml:space="preserve">  Assessment panels—President</w:t>
      </w:r>
      <w:bookmarkEnd w:id="25"/>
    </w:p>
    <w:p w14:paraId="319A987C" w14:textId="77777777" w:rsidR="005B53F3" w:rsidRPr="00046E4A" w:rsidRDefault="005B53F3" w:rsidP="005B53F3">
      <w:pPr>
        <w:pStyle w:val="subsection"/>
      </w:pPr>
      <w:r w:rsidRPr="00046E4A">
        <w:tab/>
        <w:t>(1)</w:t>
      </w:r>
      <w:r w:rsidRPr="00046E4A">
        <w:tab/>
        <w:t xml:space="preserve">For the purposes of </w:t>
      </w:r>
      <w:r w:rsidR="000271C4" w:rsidRPr="00046E4A">
        <w:t>paragraph 2</w:t>
      </w:r>
      <w:r w:rsidRPr="00046E4A">
        <w:t>09(3)(b) of the Act, an assessment panel established in relation to the appointment of a person as President must be composed of the following persons:</w:t>
      </w:r>
    </w:p>
    <w:p w14:paraId="12D889D1" w14:textId="77777777" w:rsidR="005B53F3" w:rsidRPr="00046E4A" w:rsidRDefault="005B53F3" w:rsidP="005B53F3">
      <w:pPr>
        <w:pStyle w:val="paragraph"/>
      </w:pPr>
      <w:r w:rsidRPr="00046E4A">
        <w:tab/>
        <w:t>(a)</w:t>
      </w:r>
      <w:r w:rsidRPr="00046E4A">
        <w:tab/>
        <w:t>the Secretary or a person nominated by the Secretary;</w:t>
      </w:r>
    </w:p>
    <w:p w14:paraId="182BD651" w14:textId="77777777" w:rsidR="005B53F3" w:rsidRPr="00046E4A" w:rsidRDefault="005B53F3" w:rsidP="005B53F3">
      <w:pPr>
        <w:pStyle w:val="paragraph"/>
      </w:pPr>
      <w:r w:rsidRPr="00046E4A">
        <w:tab/>
        <w:t>(b)</w:t>
      </w:r>
      <w:r w:rsidRPr="00046E4A">
        <w:tab/>
        <w:t>the Chief Justice of the Federal Court or a person nominated by the Chief Justice of the Federal Court;</w:t>
      </w:r>
    </w:p>
    <w:p w14:paraId="64C9AE86" w14:textId="77777777" w:rsidR="005B53F3" w:rsidRPr="00046E4A" w:rsidRDefault="005B53F3" w:rsidP="005B53F3">
      <w:pPr>
        <w:pStyle w:val="paragraph"/>
      </w:pPr>
      <w:r w:rsidRPr="00046E4A">
        <w:tab/>
        <w:t>(c)</w:t>
      </w:r>
      <w:r w:rsidRPr="00046E4A">
        <w:tab/>
        <w:t>a person nominated by the Minister.</w:t>
      </w:r>
    </w:p>
    <w:p w14:paraId="2839475D" w14:textId="77777777" w:rsidR="005B53F3" w:rsidRPr="00046E4A" w:rsidRDefault="005B53F3" w:rsidP="005B53F3">
      <w:pPr>
        <w:pStyle w:val="subsection"/>
      </w:pPr>
      <w:r w:rsidRPr="00046E4A">
        <w:tab/>
        <w:t>(2)</w:t>
      </w:r>
      <w:r w:rsidRPr="00046E4A">
        <w:tab/>
        <w:t xml:space="preserve">For the purposes of </w:t>
      </w:r>
      <w:r w:rsidR="000271C4" w:rsidRPr="00046E4A">
        <w:t>paragraph 2</w:t>
      </w:r>
      <w:r w:rsidRPr="00046E4A">
        <w:t>09(3)(c) of the Act, the person mentioned in paragraph (1)(a) of this section is to chair the assessment panel.</w:t>
      </w:r>
    </w:p>
    <w:p w14:paraId="387377DA" w14:textId="77777777" w:rsidR="005B53F3" w:rsidRPr="00046E4A" w:rsidRDefault="0045486B" w:rsidP="005B53F3">
      <w:pPr>
        <w:pStyle w:val="ActHead5"/>
      </w:pPr>
      <w:bookmarkStart w:id="26" w:name="_Toc175811234"/>
      <w:r w:rsidRPr="00177AC3">
        <w:rPr>
          <w:rStyle w:val="CharSectno"/>
        </w:rPr>
        <w:t>18</w:t>
      </w:r>
      <w:r w:rsidR="005B53F3" w:rsidRPr="00046E4A">
        <w:t xml:space="preserve">  Assessment panels—Non</w:t>
      </w:r>
      <w:r w:rsidR="00046E4A">
        <w:noBreakHyphen/>
      </w:r>
      <w:r w:rsidR="005B53F3" w:rsidRPr="00046E4A">
        <w:t>Judicial Deputy President, senior member or general member</w:t>
      </w:r>
      <w:bookmarkEnd w:id="26"/>
    </w:p>
    <w:p w14:paraId="40C9C175" w14:textId="77777777" w:rsidR="005B53F3" w:rsidRPr="00046E4A" w:rsidRDefault="005B53F3" w:rsidP="005B53F3">
      <w:pPr>
        <w:pStyle w:val="subsection"/>
      </w:pPr>
      <w:r w:rsidRPr="00046E4A">
        <w:tab/>
        <w:t>(1)</w:t>
      </w:r>
      <w:r w:rsidRPr="00046E4A">
        <w:tab/>
        <w:t>This section applies in relation to an assessment panel established in relation to the appointment of a person as a Non</w:t>
      </w:r>
      <w:r w:rsidR="00046E4A">
        <w:noBreakHyphen/>
      </w:r>
      <w:r w:rsidRPr="00046E4A">
        <w:t>Judicial Deputy President, senior member or general member.</w:t>
      </w:r>
    </w:p>
    <w:p w14:paraId="170F887D" w14:textId="77777777" w:rsidR="005B53F3" w:rsidRPr="00046E4A" w:rsidRDefault="005B53F3" w:rsidP="005B53F3">
      <w:pPr>
        <w:pStyle w:val="subsection"/>
      </w:pPr>
      <w:r w:rsidRPr="00046E4A">
        <w:tab/>
        <w:t>(2)</w:t>
      </w:r>
      <w:r w:rsidRPr="00046E4A">
        <w:tab/>
        <w:t xml:space="preserve">For the purposes of </w:t>
      </w:r>
      <w:r w:rsidR="000271C4" w:rsidRPr="00046E4A">
        <w:t>paragraph 2</w:t>
      </w:r>
      <w:r w:rsidRPr="00046E4A">
        <w:t>09(3)(b) of the Act, the assessment panel must be composed of the following persons:</w:t>
      </w:r>
    </w:p>
    <w:p w14:paraId="49F3D4DD" w14:textId="77777777" w:rsidR="005B53F3" w:rsidRPr="00046E4A" w:rsidRDefault="005B53F3" w:rsidP="005B53F3">
      <w:pPr>
        <w:pStyle w:val="paragraph"/>
      </w:pPr>
      <w:r w:rsidRPr="00046E4A">
        <w:tab/>
        <w:t>(a)</w:t>
      </w:r>
      <w:r w:rsidRPr="00046E4A">
        <w:tab/>
        <w:t>the Secretary or a person nominated by the Secretary;</w:t>
      </w:r>
    </w:p>
    <w:p w14:paraId="2A39F7A1" w14:textId="77777777" w:rsidR="005B53F3" w:rsidRPr="00046E4A" w:rsidRDefault="005B53F3" w:rsidP="005B53F3">
      <w:pPr>
        <w:pStyle w:val="paragraph"/>
      </w:pPr>
      <w:r w:rsidRPr="00046E4A">
        <w:tab/>
        <w:t>(b)</w:t>
      </w:r>
      <w:r w:rsidRPr="00046E4A">
        <w:tab/>
        <w:t>the President or a person nominated by the President;</w:t>
      </w:r>
    </w:p>
    <w:p w14:paraId="0CDDB10F" w14:textId="77777777" w:rsidR="005B53F3" w:rsidRPr="00046E4A" w:rsidRDefault="005B53F3" w:rsidP="005B53F3">
      <w:pPr>
        <w:pStyle w:val="paragraph"/>
      </w:pPr>
      <w:r w:rsidRPr="00046E4A">
        <w:tab/>
        <w:t>(c)</w:t>
      </w:r>
      <w:r w:rsidRPr="00046E4A">
        <w:tab/>
        <w:t>a person nominated by the Minister.</w:t>
      </w:r>
    </w:p>
    <w:p w14:paraId="2FDE508F" w14:textId="77777777" w:rsidR="005B53F3" w:rsidRPr="00046E4A" w:rsidRDefault="005B53F3" w:rsidP="005B53F3">
      <w:pPr>
        <w:pStyle w:val="subsection"/>
      </w:pPr>
      <w:r w:rsidRPr="00046E4A">
        <w:tab/>
        <w:t>(3)</w:t>
      </w:r>
      <w:r w:rsidRPr="00046E4A">
        <w:tab/>
        <w:t xml:space="preserve">For the purposes of </w:t>
      </w:r>
      <w:r w:rsidR="000271C4" w:rsidRPr="00046E4A">
        <w:t>paragraph 2</w:t>
      </w:r>
      <w:r w:rsidRPr="00046E4A">
        <w:t>09(3)(c) of the Act, the person mentioned in paragraph (2)(a) of this section is to chair the assessment panel.</w:t>
      </w:r>
    </w:p>
    <w:p w14:paraId="7EC55C0E" w14:textId="77777777" w:rsidR="005B53F3" w:rsidRPr="00046E4A" w:rsidRDefault="0045486B" w:rsidP="005B53F3">
      <w:pPr>
        <w:pStyle w:val="ActHead5"/>
      </w:pPr>
      <w:bookmarkStart w:id="27" w:name="_Toc175811235"/>
      <w:r w:rsidRPr="00177AC3">
        <w:rPr>
          <w:rStyle w:val="CharSectno"/>
        </w:rPr>
        <w:t>19</w:t>
      </w:r>
      <w:r w:rsidR="005B53F3" w:rsidRPr="00046E4A">
        <w:t xml:space="preserve">  Assessment panels—Chief Executive Officer and Principal Registrar</w:t>
      </w:r>
      <w:bookmarkEnd w:id="27"/>
    </w:p>
    <w:p w14:paraId="74698AAE" w14:textId="77777777" w:rsidR="005B53F3" w:rsidRPr="00046E4A" w:rsidRDefault="005B53F3" w:rsidP="005B53F3">
      <w:pPr>
        <w:pStyle w:val="subsection"/>
      </w:pPr>
      <w:r w:rsidRPr="00046E4A">
        <w:tab/>
        <w:t>(1)</w:t>
      </w:r>
      <w:r w:rsidRPr="00046E4A">
        <w:tab/>
        <w:t xml:space="preserve">For the purposes of </w:t>
      </w:r>
      <w:r w:rsidR="000271C4" w:rsidRPr="00046E4A">
        <w:t>paragraph 2</w:t>
      </w:r>
      <w:r w:rsidRPr="00046E4A">
        <w:t>09(3)(b) of the Act, an assessment panel established in relation to the appointment of a person as Chief Executive Officer and Principal Registrar must be composed of the following persons:</w:t>
      </w:r>
    </w:p>
    <w:p w14:paraId="0FFA3052" w14:textId="77777777" w:rsidR="005B53F3" w:rsidRPr="00046E4A" w:rsidRDefault="005B53F3" w:rsidP="005B53F3">
      <w:pPr>
        <w:pStyle w:val="paragraph"/>
      </w:pPr>
      <w:r w:rsidRPr="00046E4A">
        <w:tab/>
        <w:t>(a)</w:t>
      </w:r>
      <w:r w:rsidRPr="00046E4A">
        <w:tab/>
        <w:t>the Secretary or a person nominated by the Secretary;</w:t>
      </w:r>
    </w:p>
    <w:p w14:paraId="0C1C7E0D" w14:textId="77777777" w:rsidR="005B53F3" w:rsidRPr="00046E4A" w:rsidRDefault="005B53F3" w:rsidP="005B53F3">
      <w:pPr>
        <w:pStyle w:val="paragraph"/>
      </w:pPr>
      <w:r w:rsidRPr="00046E4A">
        <w:tab/>
        <w:t>(b)</w:t>
      </w:r>
      <w:r w:rsidRPr="00046E4A">
        <w:tab/>
        <w:t>the President or a person nominated by the President;</w:t>
      </w:r>
    </w:p>
    <w:p w14:paraId="3C1C7E68" w14:textId="77777777" w:rsidR="005B53F3" w:rsidRPr="00046E4A" w:rsidRDefault="005B53F3" w:rsidP="005B53F3">
      <w:pPr>
        <w:pStyle w:val="paragraph"/>
      </w:pPr>
      <w:r w:rsidRPr="00046E4A">
        <w:tab/>
        <w:t>(c)</w:t>
      </w:r>
      <w:r w:rsidRPr="00046E4A">
        <w:tab/>
        <w:t>a person nominated by the Minister.</w:t>
      </w:r>
    </w:p>
    <w:p w14:paraId="2C2A32C6" w14:textId="77777777" w:rsidR="005B53F3" w:rsidRPr="00046E4A" w:rsidRDefault="005B53F3" w:rsidP="005B53F3">
      <w:pPr>
        <w:pStyle w:val="subsection"/>
      </w:pPr>
      <w:r w:rsidRPr="00046E4A">
        <w:tab/>
        <w:t>(2)</w:t>
      </w:r>
      <w:r w:rsidRPr="00046E4A">
        <w:tab/>
        <w:t xml:space="preserve">For the purposes of </w:t>
      </w:r>
      <w:r w:rsidR="000271C4" w:rsidRPr="00046E4A">
        <w:t>paragraph 2</w:t>
      </w:r>
      <w:r w:rsidRPr="00046E4A">
        <w:t>09(3)(c) of the Act, the person mentioned in paragraph (1)(a) of this section is to chair the assessment panel.</w:t>
      </w:r>
    </w:p>
    <w:p w14:paraId="69EAAB59" w14:textId="77777777" w:rsidR="005B53F3" w:rsidRPr="00046E4A" w:rsidRDefault="0045486B" w:rsidP="005B53F3">
      <w:pPr>
        <w:pStyle w:val="ActHead5"/>
      </w:pPr>
      <w:bookmarkStart w:id="28" w:name="_Toc175811236"/>
      <w:r w:rsidRPr="00177AC3">
        <w:rPr>
          <w:rStyle w:val="CharSectno"/>
        </w:rPr>
        <w:t>20</w:t>
      </w:r>
      <w:r w:rsidR="005B53F3" w:rsidRPr="00046E4A">
        <w:t xml:space="preserve">  Assessment panels—no employees under the </w:t>
      </w:r>
      <w:r w:rsidR="005B53F3" w:rsidRPr="00046E4A">
        <w:rPr>
          <w:i/>
        </w:rPr>
        <w:t>Members of Parliament (Staff) Act 1984</w:t>
      </w:r>
      <w:bookmarkEnd w:id="28"/>
    </w:p>
    <w:p w14:paraId="6ABC51DE" w14:textId="77777777" w:rsidR="005B53F3" w:rsidRPr="00046E4A" w:rsidRDefault="005B53F3" w:rsidP="005B53F3">
      <w:pPr>
        <w:pStyle w:val="subsection"/>
      </w:pPr>
      <w:r w:rsidRPr="00046E4A">
        <w:tab/>
      </w:r>
      <w:r w:rsidRPr="00046E4A">
        <w:tab/>
        <w:t xml:space="preserve">For the purposes of </w:t>
      </w:r>
      <w:r w:rsidR="000271C4" w:rsidRPr="00046E4A">
        <w:t>paragraph 2</w:t>
      </w:r>
      <w:r w:rsidRPr="00046E4A">
        <w:t xml:space="preserve">09(3)(b) of the Act, a person must not be part of an assessment panel if the person is employed under the </w:t>
      </w:r>
      <w:r w:rsidRPr="00046E4A">
        <w:rPr>
          <w:i/>
        </w:rPr>
        <w:t>Members of Parliament (Staff) Act 1984</w:t>
      </w:r>
      <w:r w:rsidRPr="00046E4A">
        <w:t>.</w:t>
      </w:r>
    </w:p>
    <w:p w14:paraId="559D9800" w14:textId="77777777" w:rsidR="005B53F3" w:rsidRPr="00046E4A" w:rsidRDefault="005B53F3" w:rsidP="005B53F3">
      <w:pPr>
        <w:pStyle w:val="ActHead4"/>
      </w:pPr>
      <w:bookmarkStart w:id="29" w:name="_Toc175811237"/>
      <w:r w:rsidRPr="00177AC3">
        <w:rPr>
          <w:rStyle w:val="CharSubdNo"/>
        </w:rPr>
        <w:lastRenderedPageBreak/>
        <w:t>Subdivision B</w:t>
      </w:r>
      <w:r w:rsidRPr="00046E4A">
        <w:t>—</w:t>
      </w:r>
      <w:r w:rsidRPr="00177AC3">
        <w:rPr>
          <w:rStyle w:val="CharSubdText"/>
        </w:rPr>
        <w:t>Operation of assessment panels</w:t>
      </w:r>
      <w:bookmarkEnd w:id="29"/>
    </w:p>
    <w:p w14:paraId="19DD167D" w14:textId="77777777" w:rsidR="005B53F3" w:rsidRPr="00046E4A" w:rsidRDefault="0045486B" w:rsidP="005B53F3">
      <w:pPr>
        <w:pStyle w:val="ActHead5"/>
      </w:pPr>
      <w:bookmarkStart w:id="30" w:name="_Toc175811238"/>
      <w:r w:rsidRPr="00177AC3">
        <w:rPr>
          <w:rStyle w:val="CharSectno"/>
        </w:rPr>
        <w:t>21</w:t>
      </w:r>
      <w:r w:rsidR="005B53F3" w:rsidRPr="00046E4A">
        <w:t xml:space="preserve">  Assessment panels—conflict of interests</w:t>
      </w:r>
      <w:bookmarkEnd w:id="30"/>
    </w:p>
    <w:p w14:paraId="51B46EC2" w14:textId="77777777" w:rsidR="005B53F3" w:rsidRPr="00046E4A" w:rsidRDefault="005B53F3" w:rsidP="005B53F3">
      <w:pPr>
        <w:pStyle w:val="subsection"/>
      </w:pPr>
      <w:r w:rsidRPr="00046E4A">
        <w:tab/>
        <w:t>(1)</w:t>
      </w:r>
      <w:r w:rsidRPr="00046E4A">
        <w:tab/>
        <w:t xml:space="preserve">This section is made for the purposes of </w:t>
      </w:r>
      <w:r w:rsidR="000271C4" w:rsidRPr="00046E4A">
        <w:t>paragraph 2</w:t>
      </w:r>
      <w:r w:rsidRPr="00046E4A">
        <w:t>09(3)(c) of the Act.</w:t>
      </w:r>
    </w:p>
    <w:p w14:paraId="1209EEE8" w14:textId="77777777" w:rsidR="005B53F3" w:rsidRPr="00046E4A" w:rsidRDefault="005B53F3" w:rsidP="005B53F3">
      <w:pPr>
        <w:pStyle w:val="SubsectionHead"/>
      </w:pPr>
      <w:r w:rsidRPr="00046E4A">
        <w:t>Disclosure</w:t>
      </w:r>
    </w:p>
    <w:p w14:paraId="221EF95F" w14:textId="77777777" w:rsidR="005B53F3" w:rsidRPr="00046E4A" w:rsidRDefault="005B53F3" w:rsidP="005B53F3">
      <w:pPr>
        <w:pStyle w:val="subsection"/>
      </w:pPr>
      <w:r w:rsidRPr="00046E4A">
        <w:tab/>
        <w:t>(2)</w:t>
      </w:r>
      <w:r w:rsidRPr="00046E4A">
        <w:tab/>
        <w:t>If a person (other than the Secretary) who is part of an assessment panel for an appointment has an interest that conflicts or could conflict with the person’s participation in the assessment process, the person must disclose the nature of the interest to the Secretary.</w:t>
      </w:r>
    </w:p>
    <w:p w14:paraId="1951891B" w14:textId="77777777" w:rsidR="005B53F3" w:rsidRPr="00046E4A" w:rsidRDefault="005B53F3" w:rsidP="005B53F3">
      <w:pPr>
        <w:pStyle w:val="subsection"/>
      </w:pPr>
      <w:r w:rsidRPr="00046E4A">
        <w:tab/>
        <w:t>(3)</w:t>
      </w:r>
      <w:r w:rsidRPr="00046E4A">
        <w:tab/>
      </w:r>
      <w:r w:rsidR="000271C4" w:rsidRPr="00046E4A">
        <w:t>Subsection (</w:t>
      </w:r>
      <w:r w:rsidRPr="00046E4A">
        <w:t>2) does not limit any other obligation of the person.</w:t>
      </w:r>
    </w:p>
    <w:p w14:paraId="6805913F" w14:textId="77777777" w:rsidR="005B53F3" w:rsidRPr="00046E4A" w:rsidRDefault="005B53F3" w:rsidP="005B53F3">
      <w:pPr>
        <w:pStyle w:val="SubsectionHead"/>
      </w:pPr>
      <w:r w:rsidRPr="00046E4A">
        <w:t>Management</w:t>
      </w:r>
    </w:p>
    <w:p w14:paraId="38A1FFD2" w14:textId="77777777" w:rsidR="005B53F3" w:rsidRPr="00046E4A" w:rsidRDefault="005B53F3" w:rsidP="005B53F3">
      <w:pPr>
        <w:pStyle w:val="subsection"/>
      </w:pPr>
      <w:r w:rsidRPr="00046E4A">
        <w:tab/>
        <w:t>(4)</w:t>
      </w:r>
      <w:r w:rsidRPr="00046E4A">
        <w:tab/>
        <w:t>If:</w:t>
      </w:r>
    </w:p>
    <w:p w14:paraId="39DFDE47" w14:textId="77777777" w:rsidR="005B53F3" w:rsidRPr="00046E4A" w:rsidRDefault="005B53F3" w:rsidP="005B53F3">
      <w:pPr>
        <w:pStyle w:val="paragraph"/>
      </w:pPr>
      <w:r w:rsidRPr="00046E4A">
        <w:tab/>
        <w:t>(a)</w:t>
      </w:r>
      <w:r w:rsidRPr="00046E4A">
        <w:tab/>
        <w:t>a person (other than the Secretary) is part of an assessment panel for an appointment; and</w:t>
      </w:r>
    </w:p>
    <w:p w14:paraId="5C5F0C1A" w14:textId="77777777" w:rsidR="005B53F3" w:rsidRPr="00046E4A" w:rsidRDefault="005B53F3" w:rsidP="005B53F3">
      <w:pPr>
        <w:pStyle w:val="paragraph"/>
      </w:pPr>
      <w:r w:rsidRPr="00046E4A">
        <w:tab/>
        <w:t>(b)</w:t>
      </w:r>
      <w:r w:rsidRPr="00046E4A">
        <w:tab/>
        <w:t>the person considers that the person has a conflict of interest that could materially affect the person’s capacity to make an unbiased assessment of an applicant for the appointment;</w:t>
      </w:r>
    </w:p>
    <w:p w14:paraId="45603822" w14:textId="77777777" w:rsidR="005B53F3" w:rsidRPr="00046E4A" w:rsidRDefault="005B53F3" w:rsidP="005B53F3">
      <w:pPr>
        <w:pStyle w:val="subsection2"/>
      </w:pPr>
      <w:r w:rsidRPr="00046E4A">
        <w:t>the person may choose not to participate in the assessment of the applicant.</w:t>
      </w:r>
    </w:p>
    <w:p w14:paraId="17563F67" w14:textId="77777777" w:rsidR="005B53F3" w:rsidRPr="00046E4A" w:rsidRDefault="005B53F3" w:rsidP="005B53F3">
      <w:pPr>
        <w:pStyle w:val="subsection"/>
      </w:pPr>
      <w:r w:rsidRPr="00046E4A">
        <w:tab/>
        <w:t>(5)</w:t>
      </w:r>
      <w:r w:rsidRPr="00046E4A">
        <w:tab/>
        <w:t>If the Secretary considers that a person (other than the Secretary) who is part of an assessment panel for an appointment has a conflict of interest that would materially affect the person’s capacity to make an unbiased assessment of an applicant for the appointment, the Secretary may direct the person not to participate in the assessment of the applicant.</w:t>
      </w:r>
    </w:p>
    <w:p w14:paraId="62CB1E18" w14:textId="77777777" w:rsidR="005B53F3" w:rsidRPr="00046E4A" w:rsidRDefault="0045486B" w:rsidP="005B53F3">
      <w:pPr>
        <w:pStyle w:val="ActHead5"/>
      </w:pPr>
      <w:bookmarkStart w:id="31" w:name="_Toc175811239"/>
      <w:r w:rsidRPr="00177AC3">
        <w:rPr>
          <w:rStyle w:val="CharSectno"/>
        </w:rPr>
        <w:t>22</w:t>
      </w:r>
      <w:r w:rsidR="005B53F3" w:rsidRPr="00046E4A">
        <w:t xml:space="preserve">  Delegation</w:t>
      </w:r>
      <w:bookmarkEnd w:id="31"/>
    </w:p>
    <w:p w14:paraId="254E6A18" w14:textId="77777777" w:rsidR="005B53F3" w:rsidRPr="00046E4A" w:rsidRDefault="005B53F3" w:rsidP="005B53F3">
      <w:pPr>
        <w:pStyle w:val="subsection"/>
      </w:pPr>
      <w:r w:rsidRPr="00046E4A">
        <w:tab/>
        <w:t>(1)</w:t>
      </w:r>
      <w:r w:rsidRPr="00046E4A">
        <w:tab/>
        <w:t xml:space="preserve">The Secretary may, in writing, delegate the Secretary’s functions or powers under </w:t>
      </w:r>
      <w:r w:rsidR="002B0CE9" w:rsidRPr="00046E4A">
        <w:t>section 2</w:t>
      </w:r>
      <w:r w:rsidR="0045486B" w:rsidRPr="00046E4A">
        <w:t>1</w:t>
      </w:r>
      <w:r w:rsidRPr="00046E4A">
        <w:t xml:space="preserve"> to an SES employee, or acting SES employee, in the Department.</w:t>
      </w:r>
    </w:p>
    <w:p w14:paraId="4C48D95C" w14:textId="77777777" w:rsidR="005B53F3" w:rsidRPr="00046E4A" w:rsidRDefault="005B53F3" w:rsidP="005B53F3">
      <w:pPr>
        <w:pStyle w:val="subsection"/>
      </w:pPr>
      <w:r w:rsidRPr="00046E4A">
        <w:tab/>
        <w:t>(2)</w:t>
      </w:r>
      <w:r w:rsidRPr="00046E4A">
        <w:tab/>
        <w:t>In performing a delegated function or exercising a delegated power, the delegate must comply with any written directions of the Secretary.</w:t>
      </w:r>
    </w:p>
    <w:p w14:paraId="21C77292" w14:textId="77777777" w:rsidR="005B53F3" w:rsidRPr="00046E4A" w:rsidRDefault="0045486B" w:rsidP="005B53F3">
      <w:pPr>
        <w:pStyle w:val="ActHead5"/>
      </w:pPr>
      <w:bookmarkStart w:id="32" w:name="_Toc175811240"/>
      <w:r w:rsidRPr="00177AC3">
        <w:rPr>
          <w:rStyle w:val="CharSectno"/>
        </w:rPr>
        <w:t>23</w:t>
      </w:r>
      <w:r w:rsidR="005B53F3" w:rsidRPr="00046E4A">
        <w:t xml:space="preserve">  Assessment panels—conflict of interests for Secretary</w:t>
      </w:r>
      <w:bookmarkEnd w:id="32"/>
    </w:p>
    <w:p w14:paraId="7B82FDD6" w14:textId="77777777" w:rsidR="005B53F3" w:rsidRPr="00046E4A" w:rsidRDefault="005B53F3" w:rsidP="005B53F3">
      <w:pPr>
        <w:pStyle w:val="subsection"/>
      </w:pPr>
      <w:r w:rsidRPr="00046E4A">
        <w:tab/>
        <w:t>(1)</w:t>
      </w:r>
      <w:r w:rsidRPr="00046E4A">
        <w:tab/>
        <w:t xml:space="preserve">This section is made for the purposes of </w:t>
      </w:r>
      <w:r w:rsidR="000271C4" w:rsidRPr="00046E4A">
        <w:t>paragraph 2</w:t>
      </w:r>
      <w:r w:rsidRPr="00046E4A">
        <w:t>09(3)(c) of the Act.</w:t>
      </w:r>
    </w:p>
    <w:p w14:paraId="6B5100C9" w14:textId="77777777" w:rsidR="005B53F3" w:rsidRPr="00046E4A" w:rsidRDefault="005B53F3" w:rsidP="005B53F3">
      <w:pPr>
        <w:pStyle w:val="SubsectionHead"/>
      </w:pPr>
      <w:r w:rsidRPr="00046E4A">
        <w:t>Disclosure</w:t>
      </w:r>
    </w:p>
    <w:p w14:paraId="1D981D93" w14:textId="77777777" w:rsidR="005B53F3" w:rsidRPr="00046E4A" w:rsidRDefault="005B53F3" w:rsidP="005B53F3">
      <w:pPr>
        <w:pStyle w:val="subsection"/>
      </w:pPr>
      <w:r w:rsidRPr="00046E4A">
        <w:tab/>
        <w:t>(2)</w:t>
      </w:r>
      <w:r w:rsidRPr="00046E4A">
        <w:tab/>
        <w:t>If the Secretary is part of an assessment panel for an appointment and has an interest that conflicts or could conflict with the Secretary’s participation in the assessment process, the Secretary must disclose the nature of the interest to the Minister.</w:t>
      </w:r>
    </w:p>
    <w:p w14:paraId="6FB3624C" w14:textId="77777777" w:rsidR="005B53F3" w:rsidRPr="00046E4A" w:rsidRDefault="005B53F3" w:rsidP="005B53F3">
      <w:pPr>
        <w:pStyle w:val="subsection"/>
      </w:pPr>
      <w:r w:rsidRPr="00046E4A">
        <w:tab/>
        <w:t>(3)</w:t>
      </w:r>
      <w:r w:rsidRPr="00046E4A">
        <w:tab/>
      </w:r>
      <w:r w:rsidR="000271C4" w:rsidRPr="00046E4A">
        <w:t>Subsection (</w:t>
      </w:r>
      <w:r w:rsidRPr="00046E4A">
        <w:t>2) does not limit any other obligation of the Secretary.</w:t>
      </w:r>
    </w:p>
    <w:p w14:paraId="4FCEEBE7" w14:textId="77777777" w:rsidR="005B53F3" w:rsidRPr="00046E4A" w:rsidRDefault="005B53F3" w:rsidP="005B53F3">
      <w:pPr>
        <w:pStyle w:val="SubsectionHead"/>
      </w:pPr>
      <w:r w:rsidRPr="00046E4A">
        <w:lastRenderedPageBreak/>
        <w:t>Management</w:t>
      </w:r>
    </w:p>
    <w:p w14:paraId="503CE524" w14:textId="77777777" w:rsidR="005B53F3" w:rsidRPr="00046E4A" w:rsidRDefault="005B53F3" w:rsidP="005B53F3">
      <w:pPr>
        <w:pStyle w:val="subsection"/>
      </w:pPr>
      <w:r w:rsidRPr="00046E4A">
        <w:tab/>
        <w:t>(4)</w:t>
      </w:r>
      <w:r w:rsidRPr="00046E4A">
        <w:tab/>
        <w:t>If:</w:t>
      </w:r>
    </w:p>
    <w:p w14:paraId="4B2F8951" w14:textId="77777777" w:rsidR="005B53F3" w:rsidRPr="00046E4A" w:rsidRDefault="005B53F3" w:rsidP="005B53F3">
      <w:pPr>
        <w:pStyle w:val="paragraph"/>
      </w:pPr>
      <w:r w:rsidRPr="00046E4A">
        <w:tab/>
        <w:t>(a)</w:t>
      </w:r>
      <w:r w:rsidRPr="00046E4A">
        <w:tab/>
        <w:t>the Secretary is part of an assessment panel for an appointment; and</w:t>
      </w:r>
    </w:p>
    <w:p w14:paraId="79B3D033" w14:textId="77777777" w:rsidR="005B53F3" w:rsidRPr="00046E4A" w:rsidRDefault="005B53F3" w:rsidP="005B53F3">
      <w:pPr>
        <w:pStyle w:val="paragraph"/>
      </w:pPr>
      <w:r w:rsidRPr="00046E4A">
        <w:tab/>
        <w:t>(b)</w:t>
      </w:r>
      <w:r w:rsidRPr="00046E4A">
        <w:tab/>
        <w:t>the Secretary considers that the Secretary has a conflict of interest that could materially affect the Secretary’s capacity to make an unbiased assessment of an applicant for the appointment;</w:t>
      </w:r>
    </w:p>
    <w:p w14:paraId="02472453" w14:textId="77777777" w:rsidR="005B53F3" w:rsidRPr="00046E4A" w:rsidRDefault="005B53F3" w:rsidP="005B53F3">
      <w:pPr>
        <w:pStyle w:val="subsection2"/>
      </w:pPr>
      <w:r w:rsidRPr="00046E4A">
        <w:t>the Secretary may choose not to participate in the assessment of the applicant.</w:t>
      </w:r>
    </w:p>
    <w:p w14:paraId="7E4937ED" w14:textId="77777777" w:rsidR="005B53F3" w:rsidRPr="00046E4A" w:rsidRDefault="005B53F3" w:rsidP="005B53F3">
      <w:pPr>
        <w:pStyle w:val="subsection"/>
      </w:pPr>
      <w:r w:rsidRPr="00046E4A">
        <w:tab/>
        <w:t>(5)</w:t>
      </w:r>
      <w:r w:rsidRPr="00046E4A">
        <w:tab/>
        <w:t>If:</w:t>
      </w:r>
    </w:p>
    <w:p w14:paraId="59F36CA5" w14:textId="77777777" w:rsidR="005B53F3" w:rsidRPr="00046E4A" w:rsidRDefault="005B53F3" w:rsidP="005B53F3">
      <w:pPr>
        <w:pStyle w:val="paragraph"/>
      </w:pPr>
      <w:r w:rsidRPr="00046E4A">
        <w:tab/>
        <w:t>(a)</w:t>
      </w:r>
      <w:r w:rsidRPr="00046E4A">
        <w:tab/>
        <w:t>the Secretary is part of an assessment panel for an appointment; and</w:t>
      </w:r>
    </w:p>
    <w:p w14:paraId="6A9BD5EC" w14:textId="77777777" w:rsidR="005B53F3" w:rsidRPr="00046E4A" w:rsidRDefault="005B53F3" w:rsidP="005B53F3">
      <w:pPr>
        <w:pStyle w:val="paragraph"/>
      </w:pPr>
      <w:r w:rsidRPr="00046E4A">
        <w:tab/>
        <w:t>(b)</w:t>
      </w:r>
      <w:r w:rsidRPr="00046E4A">
        <w:tab/>
        <w:t>the Minister considers that the Secretary has a conflict of interest that would materially affect the Secretary’s capacity to make an unbiased assessment of an applicant for the appointment;</w:t>
      </w:r>
    </w:p>
    <w:p w14:paraId="776AB2B8" w14:textId="77777777" w:rsidR="005B53F3" w:rsidRPr="00046E4A" w:rsidRDefault="005B53F3" w:rsidP="005B53F3">
      <w:pPr>
        <w:pStyle w:val="subsection2"/>
      </w:pPr>
      <w:r w:rsidRPr="00046E4A">
        <w:t>the Minister may direct the Secretary not to participate in the assessment of the applicant.</w:t>
      </w:r>
    </w:p>
    <w:p w14:paraId="535743F0" w14:textId="77777777" w:rsidR="00C43E97" w:rsidRPr="00046E4A" w:rsidRDefault="00C43E97" w:rsidP="00C43E97">
      <w:pPr>
        <w:pStyle w:val="ActHead5"/>
      </w:pPr>
      <w:bookmarkStart w:id="33" w:name="_Toc175811241"/>
      <w:r w:rsidRPr="00177AC3">
        <w:rPr>
          <w:rStyle w:val="CharSectno"/>
        </w:rPr>
        <w:t>24</w:t>
      </w:r>
      <w:r w:rsidRPr="00046E4A">
        <w:t xml:space="preserve">  Assessment panels—majority decisions</w:t>
      </w:r>
      <w:bookmarkEnd w:id="33"/>
    </w:p>
    <w:p w14:paraId="55D63B35" w14:textId="77777777" w:rsidR="00C43E97" w:rsidRPr="00046E4A" w:rsidRDefault="00C43E97" w:rsidP="00C43E97">
      <w:pPr>
        <w:pStyle w:val="subsection"/>
      </w:pPr>
      <w:r w:rsidRPr="00046E4A">
        <w:tab/>
      </w:r>
      <w:r w:rsidRPr="00046E4A">
        <w:tab/>
        <w:t>For the purposes of paragraph 209(3)(c) of the Act, an assessment panel may only assess an applicant as suitable for an appointment if at least 2 of the persons who are part of the panel support the assessment.</w:t>
      </w:r>
    </w:p>
    <w:p w14:paraId="16AA451C" w14:textId="77777777" w:rsidR="005B53F3" w:rsidRPr="00046E4A" w:rsidRDefault="0045486B" w:rsidP="005B53F3">
      <w:pPr>
        <w:pStyle w:val="ActHead5"/>
      </w:pPr>
      <w:bookmarkStart w:id="34" w:name="_Toc175811242"/>
      <w:r w:rsidRPr="00177AC3">
        <w:rPr>
          <w:rStyle w:val="CharSectno"/>
        </w:rPr>
        <w:t>25</w:t>
      </w:r>
      <w:r w:rsidR="005B53F3" w:rsidRPr="00046E4A">
        <w:t xml:space="preserve">  Assessment panels not subject to direction by the Minister</w:t>
      </w:r>
      <w:bookmarkEnd w:id="34"/>
    </w:p>
    <w:p w14:paraId="1D2A0962" w14:textId="77777777" w:rsidR="005B53F3" w:rsidRPr="00046E4A" w:rsidRDefault="005B53F3" w:rsidP="005B53F3">
      <w:pPr>
        <w:pStyle w:val="subsection"/>
      </w:pPr>
      <w:r w:rsidRPr="00046E4A">
        <w:tab/>
        <w:t>(1)</w:t>
      </w:r>
      <w:r w:rsidRPr="00046E4A">
        <w:tab/>
        <w:t xml:space="preserve">For the purposes of </w:t>
      </w:r>
      <w:r w:rsidR="002B0CE9" w:rsidRPr="00046E4A">
        <w:t>subsection 2</w:t>
      </w:r>
      <w:r w:rsidRPr="00046E4A">
        <w:t>09(2) of the Act, the persons who are part of an assessment panel for an appointment are not subject to direction by the Minister in relation to the panel’s assessment of whether or not a person is suitable for the appointment.</w:t>
      </w:r>
    </w:p>
    <w:p w14:paraId="70B6AFA4" w14:textId="77777777" w:rsidR="005B53F3" w:rsidRPr="00046E4A" w:rsidRDefault="005B53F3" w:rsidP="005B53F3">
      <w:pPr>
        <w:pStyle w:val="subsection"/>
      </w:pPr>
      <w:r w:rsidRPr="00046E4A">
        <w:tab/>
        <w:t>(2)</w:t>
      </w:r>
      <w:r w:rsidRPr="00046E4A">
        <w:tab/>
      </w:r>
      <w:r w:rsidR="000271C4" w:rsidRPr="00046E4A">
        <w:t>Subsection (</w:t>
      </w:r>
      <w:r w:rsidRPr="00046E4A">
        <w:t xml:space="preserve">1) is subject to </w:t>
      </w:r>
      <w:r w:rsidR="002B0CE9" w:rsidRPr="00046E4A">
        <w:t>subsection 2</w:t>
      </w:r>
      <w:r w:rsidR="0045486B" w:rsidRPr="00046E4A">
        <w:t>3</w:t>
      </w:r>
      <w:r w:rsidRPr="00046E4A">
        <w:t xml:space="preserve">(5) and </w:t>
      </w:r>
      <w:r w:rsidR="002B0CE9" w:rsidRPr="00046E4A">
        <w:t>section 2</w:t>
      </w:r>
      <w:r w:rsidR="0045486B" w:rsidRPr="00046E4A">
        <w:t>6</w:t>
      </w:r>
      <w:r w:rsidRPr="00046E4A">
        <w:t>.</w:t>
      </w:r>
    </w:p>
    <w:p w14:paraId="2B7D2BE1" w14:textId="77777777" w:rsidR="005B53F3" w:rsidRPr="00046E4A" w:rsidRDefault="0045486B" w:rsidP="005B53F3">
      <w:pPr>
        <w:pStyle w:val="ActHead5"/>
      </w:pPr>
      <w:bookmarkStart w:id="35" w:name="_Toc175811243"/>
      <w:r w:rsidRPr="00177AC3">
        <w:rPr>
          <w:rStyle w:val="CharSectno"/>
        </w:rPr>
        <w:t>26</w:t>
      </w:r>
      <w:r w:rsidR="005B53F3" w:rsidRPr="00046E4A">
        <w:t xml:space="preserve">  Assessment panels—replacement of persons</w:t>
      </w:r>
      <w:bookmarkEnd w:id="35"/>
    </w:p>
    <w:p w14:paraId="7C090F9B" w14:textId="77777777" w:rsidR="005B53F3" w:rsidRPr="00046E4A" w:rsidRDefault="005B53F3" w:rsidP="005B53F3">
      <w:pPr>
        <w:pStyle w:val="subsection"/>
      </w:pPr>
      <w:r w:rsidRPr="00046E4A">
        <w:tab/>
        <w:t>(1)</w:t>
      </w:r>
      <w:r w:rsidRPr="00046E4A">
        <w:tab/>
        <w:t xml:space="preserve">This section is made for the purposes of </w:t>
      </w:r>
      <w:r w:rsidR="002B0CE9" w:rsidRPr="00046E4A">
        <w:t>subsection 2</w:t>
      </w:r>
      <w:r w:rsidRPr="00046E4A">
        <w:t>09(2) of the Act.</w:t>
      </w:r>
    </w:p>
    <w:p w14:paraId="02A8A858" w14:textId="77777777" w:rsidR="005B53F3" w:rsidRPr="00046E4A" w:rsidRDefault="005B53F3" w:rsidP="005B53F3">
      <w:pPr>
        <w:pStyle w:val="subsection"/>
      </w:pPr>
      <w:r w:rsidRPr="00046E4A">
        <w:tab/>
        <w:t>(2)</w:t>
      </w:r>
      <w:r w:rsidRPr="00046E4A">
        <w:tab/>
        <w:t xml:space="preserve">If, for any reason, a person (the </w:t>
      </w:r>
      <w:r w:rsidRPr="00046E4A">
        <w:rPr>
          <w:b/>
          <w:i/>
        </w:rPr>
        <w:t>original panellist</w:t>
      </w:r>
      <w:r w:rsidRPr="00046E4A">
        <w:t>) who is part of an assessment panel for an appointment cannot participate, or continue to participate, in the assessment process for the appointment, the Minister may determine that a different person is part of the panel in place of the original panellist.</w:t>
      </w:r>
    </w:p>
    <w:p w14:paraId="1B4EF556" w14:textId="77777777" w:rsidR="005B53F3" w:rsidRPr="00046E4A" w:rsidRDefault="005B53F3" w:rsidP="005B53F3">
      <w:pPr>
        <w:pStyle w:val="subsection"/>
      </w:pPr>
      <w:r w:rsidRPr="00046E4A">
        <w:tab/>
        <w:t>(3)</w:t>
      </w:r>
      <w:r w:rsidRPr="00046E4A">
        <w:tab/>
        <w:t xml:space="preserve">If the Minister makes a determination under </w:t>
      </w:r>
      <w:r w:rsidR="000271C4" w:rsidRPr="00046E4A">
        <w:t>subsection (</w:t>
      </w:r>
      <w:r w:rsidRPr="00046E4A">
        <w:t>2), the panel must continue the assessment process.</w:t>
      </w:r>
    </w:p>
    <w:p w14:paraId="3F26B505" w14:textId="77777777" w:rsidR="005B53F3" w:rsidRPr="00046E4A" w:rsidRDefault="005B53F3" w:rsidP="007826BC">
      <w:pPr>
        <w:pStyle w:val="subsection"/>
      </w:pPr>
      <w:r w:rsidRPr="00046E4A">
        <w:tab/>
        <w:t>(4)</w:t>
      </w:r>
      <w:r w:rsidRPr="00046E4A">
        <w:tab/>
        <w:t>To avoid doubt, if the panel has done any thing in relation to the assessment process before the making of the determination, the panel is not required to do that thing again after the making of the determination.</w:t>
      </w:r>
    </w:p>
    <w:p w14:paraId="4AFB43F4" w14:textId="77777777" w:rsidR="000271C4" w:rsidRPr="00046E4A" w:rsidRDefault="000271C4" w:rsidP="000271C4">
      <w:pPr>
        <w:pStyle w:val="ActHead2"/>
        <w:pageBreakBefore/>
      </w:pPr>
      <w:bookmarkStart w:id="36" w:name="_Toc175811244"/>
      <w:r w:rsidRPr="00177AC3">
        <w:rPr>
          <w:rStyle w:val="CharPartNo"/>
        </w:rPr>
        <w:lastRenderedPageBreak/>
        <w:t>Part 5</w:t>
      </w:r>
      <w:r w:rsidRPr="00046E4A">
        <w:t>—</w:t>
      </w:r>
      <w:r w:rsidRPr="00177AC3">
        <w:rPr>
          <w:rStyle w:val="CharPartText"/>
        </w:rPr>
        <w:t>Norfolk Island</w:t>
      </w:r>
      <w:bookmarkEnd w:id="36"/>
    </w:p>
    <w:p w14:paraId="246AB7E4" w14:textId="77777777" w:rsidR="000271C4" w:rsidRPr="00177AC3" w:rsidRDefault="000271C4" w:rsidP="000271C4">
      <w:pPr>
        <w:pStyle w:val="Header"/>
      </w:pPr>
      <w:r w:rsidRPr="00177AC3">
        <w:rPr>
          <w:rStyle w:val="CharDivNo"/>
        </w:rPr>
        <w:t xml:space="preserve"> </w:t>
      </w:r>
      <w:r w:rsidRPr="00177AC3">
        <w:rPr>
          <w:rStyle w:val="CharDivText"/>
        </w:rPr>
        <w:t xml:space="preserve"> </w:t>
      </w:r>
    </w:p>
    <w:p w14:paraId="2D1D6DE9" w14:textId="77777777" w:rsidR="000271C4" w:rsidRPr="00046E4A" w:rsidRDefault="0045486B" w:rsidP="000271C4">
      <w:pPr>
        <w:pStyle w:val="ActHead5"/>
      </w:pPr>
      <w:bookmarkStart w:id="37" w:name="_Toc175811245"/>
      <w:r w:rsidRPr="00177AC3">
        <w:rPr>
          <w:rStyle w:val="CharSectno"/>
        </w:rPr>
        <w:t>27</w:t>
      </w:r>
      <w:r w:rsidR="000271C4" w:rsidRPr="00046E4A">
        <w:t xml:space="preserve">  Review of decisions under Norfolk Island enactments</w:t>
      </w:r>
      <w:bookmarkEnd w:id="37"/>
    </w:p>
    <w:p w14:paraId="5D0E5371" w14:textId="77777777" w:rsidR="000271C4" w:rsidRPr="00046E4A" w:rsidRDefault="000271C4" w:rsidP="000271C4">
      <w:pPr>
        <w:pStyle w:val="subsection"/>
      </w:pPr>
      <w:r w:rsidRPr="00046E4A">
        <w:tab/>
      </w:r>
      <w:r w:rsidRPr="00046E4A">
        <w:tab/>
        <w:t xml:space="preserve">For the purposes of paragraph 297(2)(a) of the Act, an application may be made to the Tribunal, in accordance with </w:t>
      </w:r>
      <w:r w:rsidR="002B0CE9" w:rsidRPr="00046E4A">
        <w:t>section 1</w:t>
      </w:r>
      <w:r w:rsidRPr="00046E4A">
        <w:t xml:space="preserve">7 of the Act, for review of the following decisions (a </w:t>
      </w:r>
      <w:r w:rsidRPr="00046E4A">
        <w:rPr>
          <w:b/>
          <w:i/>
        </w:rPr>
        <w:t>Norfolk Island decision</w:t>
      </w:r>
      <w:r w:rsidRPr="00046E4A">
        <w:t>) made in the exercise of powers conferred by a Norfolk Island enactment:</w:t>
      </w:r>
    </w:p>
    <w:p w14:paraId="09A4010D" w14:textId="77777777" w:rsidR="000271C4" w:rsidRPr="00046E4A" w:rsidRDefault="000271C4" w:rsidP="000271C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7697"/>
      </w:tblGrid>
      <w:tr w:rsidR="000271C4" w:rsidRPr="00046E4A" w14:paraId="03BFF3DB" w14:textId="77777777" w:rsidTr="00B21100">
        <w:trPr>
          <w:tblHeader/>
        </w:trPr>
        <w:tc>
          <w:tcPr>
            <w:tcW w:w="5000" w:type="pct"/>
            <w:gridSpan w:val="2"/>
            <w:tcBorders>
              <w:top w:val="single" w:sz="12" w:space="0" w:color="auto"/>
              <w:bottom w:val="single" w:sz="2" w:space="0" w:color="auto"/>
            </w:tcBorders>
            <w:shd w:val="clear" w:color="auto" w:fill="auto"/>
          </w:tcPr>
          <w:p w14:paraId="73C911E2" w14:textId="77777777" w:rsidR="000271C4" w:rsidRPr="00046E4A" w:rsidRDefault="000271C4" w:rsidP="00B21100">
            <w:pPr>
              <w:pStyle w:val="TableHeading"/>
            </w:pPr>
            <w:r w:rsidRPr="00046E4A">
              <w:t>Norfolk Island decisions</w:t>
            </w:r>
          </w:p>
        </w:tc>
      </w:tr>
      <w:tr w:rsidR="000271C4" w:rsidRPr="00046E4A" w14:paraId="3F4B2897" w14:textId="77777777" w:rsidTr="00B21100">
        <w:trPr>
          <w:tblHeader/>
        </w:trPr>
        <w:tc>
          <w:tcPr>
            <w:tcW w:w="368" w:type="pct"/>
            <w:tcBorders>
              <w:top w:val="single" w:sz="2" w:space="0" w:color="auto"/>
              <w:bottom w:val="single" w:sz="12" w:space="0" w:color="auto"/>
            </w:tcBorders>
            <w:shd w:val="clear" w:color="auto" w:fill="auto"/>
          </w:tcPr>
          <w:p w14:paraId="75FAC9A2" w14:textId="77777777" w:rsidR="000271C4" w:rsidRPr="00046E4A" w:rsidRDefault="000271C4" w:rsidP="00B21100">
            <w:pPr>
              <w:pStyle w:val="TableHeading"/>
            </w:pPr>
            <w:r w:rsidRPr="00046E4A">
              <w:t>Item</w:t>
            </w:r>
          </w:p>
        </w:tc>
        <w:tc>
          <w:tcPr>
            <w:tcW w:w="4632" w:type="pct"/>
            <w:tcBorders>
              <w:top w:val="single" w:sz="2" w:space="0" w:color="auto"/>
              <w:bottom w:val="single" w:sz="12" w:space="0" w:color="auto"/>
            </w:tcBorders>
            <w:shd w:val="clear" w:color="auto" w:fill="auto"/>
          </w:tcPr>
          <w:p w14:paraId="31164B15" w14:textId="77777777" w:rsidR="000271C4" w:rsidRPr="00046E4A" w:rsidRDefault="000271C4" w:rsidP="00B21100">
            <w:pPr>
              <w:pStyle w:val="TableHeading"/>
            </w:pPr>
            <w:r w:rsidRPr="00046E4A">
              <w:t>Decision</w:t>
            </w:r>
          </w:p>
        </w:tc>
      </w:tr>
      <w:tr w:rsidR="000271C4" w:rsidRPr="00046E4A" w14:paraId="354FB8BD" w14:textId="77777777" w:rsidTr="00B21100">
        <w:tc>
          <w:tcPr>
            <w:tcW w:w="368" w:type="pct"/>
            <w:tcBorders>
              <w:top w:val="single" w:sz="12" w:space="0" w:color="auto"/>
            </w:tcBorders>
            <w:shd w:val="clear" w:color="auto" w:fill="auto"/>
          </w:tcPr>
          <w:p w14:paraId="4160F907" w14:textId="77777777" w:rsidR="000271C4" w:rsidRPr="00046E4A" w:rsidRDefault="000271C4" w:rsidP="00B21100">
            <w:pPr>
              <w:pStyle w:val="Tabletext"/>
            </w:pPr>
            <w:r w:rsidRPr="00046E4A">
              <w:t>1</w:t>
            </w:r>
          </w:p>
        </w:tc>
        <w:tc>
          <w:tcPr>
            <w:tcW w:w="4632" w:type="pct"/>
            <w:tcBorders>
              <w:top w:val="single" w:sz="12" w:space="0" w:color="auto"/>
            </w:tcBorders>
            <w:shd w:val="clear" w:color="auto" w:fill="auto"/>
          </w:tcPr>
          <w:p w14:paraId="403E6905" w14:textId="77777777" w:rsidR="000271C4" w:rsidRPr="00046E4A" w:rsidRDefault="000271C4" w:rsidP="00B21100">
            <w:pPr>
              <w:pStyle w:val="Tabletext"/>
            </w:pPr>
            <w:r w:rsidRPr="00046E4A">
              <w:t>A decision under sub</w:t>
            </w:r>
            <w:r w:rsidR="002B0CE9" w:rsidRPr="00046E4A">
              <w:t>section 1</w:t>
            </w:r>
            <w:r w:rsidRPr="00046E4A">
              <w:t xml:space="preserve">0(2) of the </w:t>
            </w:r>
            <w:r w:rsidRPr="00046E4A">
              <w:rPr>
                <w:i/>
              </w:rPr>
              <w:t>Absentee Landowners Levy Act 1976</w:t>
            </w:r>
          </w:p>
        </w:tc>
      </w:tr>
      <w:tr w:rsidR="000271C4" w:rsidRPr="00046E4A" w14:paraId="2D9A74DD" w14:textId="77777777" w:rsidTr="00B21100">
        <w:tc>
          <w:tcPr>
            <w:tcW w:w="368" w:type="pct"/>
            <w:shd w:val="clear" w:color="auto" w:fill="auto"/>
          </w:tcPr>
          <w:p w14:paraId="4E6EEEEB" w14:textId="77777777" w:rsidR="000271C4" w:rsidRPr="00046E4A" w:rsidRDefault="000271C4" w:rsidP="00B21100">
            <w:pPr>
              <w:pStyle w:val="Tabletext"/>
            </w:pPr>
            <w:r w:rsidRPr="00046E4A">
              <w:t>2</w:t>
            </w:r>
          </w:p>
        </w:tc>
        <w:tc>
          <w:tcPr>
            <w:tcW w:w="4632" w:type="pct"/>
            <w:shd w:val="clear" w:color="auto" w:fill="auto"/>
          </w:tcPr>
          <w:p w14:paraId="10D0996C" w14:textId="77777777" w:rsidR="000271C4" w:rsidRPr="00046E4A" w:rsidRDefault="000271C4" w:rsidP="00B21100">
            <w:pPr>
              <w:pStyle w:val="Tabletext"/>
            </w:pPr>
            <w:r w:rsidRPr="00046E4A">
              <w:t xml:space="preserve">A decision under section 8 of the </w:t>
            </w:r>
            <w:r w:rsidRPr="00046E4A">
              <w:rPr>
                <w:i/>
              </w:rPr>
              <w:t>Animals (Importation) Act 1983</w:t>
            </w:r>
          </w:p>
        </w:tc>
      </w:tr>
      <w:tr w:rsidR="000271C4" w:rsidRPr="00046E4A" w14:paraId="15A61327" w14:textId="77777777" w:rsidTr="00B21100">
        <w:tc>
          <w:tcPr>
            <w:tcW w:w="368" w:type="pct"/>
            <w:shd w:val="clear" w:color="auto" w:fill="auto"/>
          </w:tcPr>
          <w:p w14:paraId="198217B5" w14:textId="77777777" w:rsidR="000271C4" w:rsidRPr="00046E4A" w:rsidRDefault="000271C4" w:rsidP="00B21100">
            <w:pPr>
              <w:pStyle w:val="Tabletext"/>
            </w:pPr>
            <w:r w:rsidRPr="00046E4A">
              <w:t>3</w:t>
            </w:r>
          </w:p>
        </w:tc>
        <w:tc>
          <w:tcPr>
            <w:tcW w:w="4632" w:type="pct"/>
            <w:shd w:val="clear" w:color="auto" w:fill="auto"/>
          </w:tcPr>
          <w:p w14:paraId="2ED430EE" w14:textId="77777777" w:rsidR="000271C4" w:rsidRPr="00046E4A" w:rsidRDefault="000271C4" w:rsidP="00B21100">
            <w:pPr>
              <w:pStyle w:val="Tabletext"/>
            </w:pPr>
            <w:r w:rsidRPr="00046E4A">
              <w:t xml:space="preserve">A decision under any of the following provisions of the </w:t>
            </w:r>
            <w:r w:rsidRPr="00046E4A">
              <w:rPr>
                <w:i/>
              </w:rPr>
              <w:t>Apiaries Act 1935</w:t>
            </w:r>
            <w:r w:rsidRPr="00046E4A">
              <w:t>:</w:t>
            </w:r>
          </w:p>
          <w:p w14:paraId="1D65DA74" w14:textId="77777777" w:rsidR="000271C4" w:rsidRPr="00046E4A" w:rsidRDefault="000271C4" w:rsidP="00B21100">
            <w:pPr>
              <w:pStyle w:val="Tablea"/>
            </w:pPr>
            <w:r w:rsidRPr="00046E4A">
              <w:t>(a) paragraph 3A(1)(c) or (2)(a);</w:t>
            </w:r>
          </w:p>
          <w:p w14:paraId="677A4C43" w14:textId="77777777" w:rsidR="000271C4" w:rsidRPr="00046E4A" w:rsidRDefault="000271C4" w:rsidP="00B21100">
            <w:pPr>
              <w:pStyle w:val="Tablea"/>
            </w:pPr>
            <w:r w:rsidRPr="00046E4A">
              <w:t>(b) subsection 4(2);</w:t>
            </w:r>
          </w:p>
          <w:p w14:paraId="59CC820D" w14:textId="77777777" w:rsidR="000271C4" w:rsidRPr="00046E4A" w:rsidRDefault="000271C4" w:rsidP="00B21100">
            <w:pPr>
              <w:pStyle w:val="Tablea"/>
            </w:pPr>
            <w:r w:rsidRPr="00046E4A">
              <w:t>(c) sub</w:t>
            </w:r>
            <w:r w:rsidR="002B0CE9" w:rsidRPr="00046E4A">
              <w:t>section 1</w:t>
            </w:r>
            <w:r w:rsidRPr="00046E4A">
              <w:t>2(6)</w:t>
            </w:r>
          </w:p>
        </w:tc>
      </w:tr>
      <w:tr w:rsidR="000271C4" w:rsidRPr="00046E4A" w14:paraId="76DEA24C" w14:textId="77777777" w:rsidTr="00B21100">
        <w:tc>
          <w:tcPr>
            <w:tcW w:w="368" w:type="pct"/>
            <w:shd w:val="clear" w:color="auto" w:fill="auto"/>
          </w:tcPr>
          <w:p w14:paraId="1F397E43" w14:textId="77777777" w:rsidR="000271C4" w:rsidRPr="00046E4A" w:rsidRDefault="000271C4" w:rsidP="00B21100">
            <w:pPr>
              <w:pStyle w:val="Tabletext"/>
            </w:pPr>
            <w:r w:rsidRPr="00046E4A">
              <w:t>4</w:t>
            </w:r>
          </w:p>
        </w:tc>
        <w:tc>
          <w:tcPr>
            <w:tcW w:w="4632" w:type="pct"/>
            <w:shd w:val="clear" w:color="auto" w:fill="auto"/>
          </w:tcPr>
          <w:p w14:paraId="7BAD8190" w14:textId="77777777" w:rsidR="000271C4" w:rsidRPr="00046E4A" w:rsidRDefault="000271C4" w:rsidP="00B21100">
            <w:pPr>
              <w:pStyle w:val="Tabletext"/>
            </w:pPr>
            <w:r w:rsidRPr="00046E4A">
              <w:t xml:space="preserve">A decision under any of the following provisions of the </w:t>
            </w:r>
            <w:r w:rsidRPr="00046E4A">
              <w:rPr>
                <w:i/>
              </w:rPr>
              <w:t>Associations Incorporation Act 2005</w:t>
            </w:r>
            <w:r w:rsidRPr="00046E4A">
              <w:t>:</w:t>
            </w:r>
          </w:p>
          <w:p w14:paraId="4A507E7A" w14:textId="77777777" w:rsidR="000271C4" w:rsidRPr="00046E4A" w:rsidRDefault="000271C4" w:rsidP="00B21100">
            <w:pPr>
              <w:pStyle w:val="Tablea"/>
            </w:pPr>
            <w:r w:rsidRPr="00046E4A">
              <w:t xml:space="preserve">(a) </w:t>
            </w:r>
            <w:r w:rsidR="002B0CE9" w:rsidRPr="00046E4A">
              <w:t>section 1</w:t>
            </w:r>
            <w:r w:rsidRPr="00046E4A">
              <w:t>1;</w:t>
            </w:r>
          </w:p>
          <w:p w14:paraId="0D10F041" w14:textId="77777777" w:rsidR="000271C4" w:rsidRPr="00046E4A" w:rsidRDefault="000271C4" w:rsidP="00B21100">
            <w:pPr>
              <w:pStyle w:val="Tablea"/>
            </w:pPr>
            <w:r w:rsidRPr="00046E4A">
              <w:t xml:space="preserve">(b) </w:t>
            </w:r>
            <w:r w:rsidR="002B0CE9" w:rsidRPr="00046E4A">
              <w:t>subsection 2</w:t>
            </w:r>
            <w:r w:rsidRPr="00046E4A">
              <w:t>9(4);</w:t>
            </w:r>
          </w:p>
          <w:p w14:paraId="5DDDB099" w14:textId="77777777" w:rsidR="000271C4" w:rsidRPr="00046E4A" w:rsidRDefault="000271C4" w:rsidP="00B21100">
            <w:pPr>
              <w:pStyle w:val="Tablea"/>
            </w:pPr>
            <w:r w:rsidRPr="00046E4A">
              <w:t>(c) section 37;</w:t>
            </w:r>
          </w:p>
          <w:p w14:paraId="1CCCC642" w14:textId="77777777" w:rsidR="000271C4" w:rsidRPr="00046E4A" w:rsidRDefault="000271C4" w:rsidP="00B21100">
            <w:pPr>
              <w:pStyle w:val="Tablea"/>
            </w:pPr>
            <w:r w:rsidRPr="00046E4A">
              <w:t>(d) section 50</w:t>
            </w:r>
          </w:p>
        </w:tc>
      </w:tr>
      <w:tr w:rsidR="000271C4" w:rsidRPr="00046E4A" w14:paraId="652BF4CD" w14:textId="77777777" w:rsidTr="00B21100">
        <w:tc>
          <w:tcPr>
            <w:tcW w:w="368" w:type="pct"/>
            <w:shd w:val="clear" w:color="auto" w:fill="auto"/>
          </w:tcPr>
          <w:p w14:paraId="56053305" w14:textId="77777777" w:rsidR="000271C4" w:rsidRPr="00046E4A" w:rsidRDefault="000271C4" w:rsidP="00B21100">
            <w:pPr>
              <w:pStyle w:val="Tabletext"/>
            </w:pPr>
            <w:r w:rsidRPr="00046E4A">
              <w:t>5</w:t>
            </w:r>
          </w:p>
        </w:tc>
        <w:tc>
          <w:tcPr>
            <w:tcW w:w="4632" w:type="pct"/>
            <w:shd w:val="clear" w:color="auto" w:fill="auto"/>
          </w:tcPr>
          <w:p w14:paraId="208338EF" w14:textId="77777777" w:rsidR="000271C4" w:rsidRPr="00046E4A" w:rsidRDefault="000271C4" w:rsidP="00B21100">
            <w:pPr>
              <w:pStyle w:val="Tabletext"/>
            </w:pPr>
            <w:r w:rsidRPr="00046E4A">
              <w:t xml:space="preserve">A decision under section 3, 4 or 5 of the </w:t>
            </w:r>
            <w:r w:rsidRPr="00046E4A">
              <w:rPr>
                <w:i/>
              </w:rPr>
              <w:t>Birds Protection Act 1913</w:t>
            </w:r>
          </w:p>
        </w:tc>
      </w:tr>
      <w:tr w:rsidR="000271C4" w:rsidRPr="00046E4A" w14:paraId="522148AF" w14:textId="77777777" w:rsidTr="00B21100">
        <w:tc>
          <w:tcPr>
            <w:tcW w:w="368" w:type="pct"/>
            <w:shd w:val="clear" w:color="auto" w:fill="auto"/>
          </w:tcPr>
          <w:p w14:paraId="625B3D5A" w14:textId="77777777" w:rsidR="000271C4" w:rsidRPr="00046E4A" w:rsidRDefault="000271C4" w:rsidP="00B21100">
            <w:pPr>
              <w:pStyle w:val="Tabletext"/>
            </w:pPr>
            <w:r w:rsidRPr="00046E4A">
              <w:t>6</w:t>
            </w:r>
          </w:p>
        </w:tc>
        <w:tc>
          <w:tcPr>
            <w:tcW w:w="4632" w:type="pct"/>
            <w:shd w:val="clear" w:color="auto" w:fill="auto"/>
          </w:tcPr>
          <w:p w14:paraId="614DA093" w14:textId="77777777" w:rsidR="000271C4" w:rsidRPr="00046E4A" w:rsidRDefault="000271C4" w:rsidP="00B21100">
            <w:pPr>
              <w:pStyle w:val="Tabletext"/>
            </w:pPr>
            <w:r w:rsidRPr="00046E4A">
              <w:t xml:space="preserve">Any of the following decisions under the </w:t>
            </w:r>
            <w:r w:rsidRPr="00046E4A">
              <w:rPr>
                <w:i/>
              </w:rPr>
              <w:t>Bookmakers and Betting Exchange Act 1998</w:t>
            </w:r>
            <w:r w:rsidRPr="00046E4A">
              <w:t>:</w:t>
            </w:r>
          </w:p>
          <w:p w14:paraId="7A162368" w14:textId="77777777" w:rsidR="000271C4" w:rsidRPr="00046E4A" w:rsidRDefault="000271C4" w:rsidP="00B21100">
            <w:pPr>
              <w:pStyle w:val="Tablea"/>
            </w:pPr>
            <w:r w:rsidRPr="00046E4A">
              <w:t>(a) a decision under section 8;</w:t>
            </w:r>
          </w:p>
          <w:p w14:paraId="3E593E39" w14:textId="77777777" w:rsidR="000271C4" w:rsidRPr="00046E4A" w:rsidRDefault="000271C4" w:rsidP="00B21100">
            <w:pPr>
              <w:pStyle w:val="Tablea"/>
            </w:pPr>
            <w:r w:rsidRPr="00046E4A">
              <w:t>(b) a decision under sub</w:t>
            </w:r>
            <w:r w:rsidR="002B0CE9" w:rsidRPr="00046E4A">
              <w:t>section 1</w:t>
            </w:r>
            <w:r w:rsidRPr="00046E4A">
              <w:t>1(1) or (2);</w:t>
            </w:r>
          </w:p>
          <w:p w14:paraId="00B4EADA" w14:textId="77777777" w:rsidR="000271C4" w:rsidRPr="00046E4A" w:rsidRDefault="000271C4" w:rsidP="00B21100">
            <w:pPr>
              <w:pStyle w:val="Tablea"/>
            </w:pPr>
            <w:r w:rsidRPr="00046E4A">
              <w:t>(c) a decision under sub</w:t>
            </w:r>
            <w:r w:rsidR="002B0CE9" w:rsidRPr="00046E4A">
              <w:t>section 1</w:t>
            </w:r>
            <w:r w:rsidRPr="00046E4A">
              <w:t>2(1) or (2);</w:t>
            </w:r>
          </w:p>
          <w:p w14:paraId="37A24E04" w14:textId="77777777" w:rsidR="000271C4" w:rsidRPr="00046E4A" w:rsidRDefault="000271C4" w:rsidP="00B21100">
            <w:pPr>
              <w:pStyle w:val="Tablea"/>
            </w:pPr>
            <w:r w:rsidRPr="00046E4A">
              <w:t>(d) a decision under sub</w:t>
            </w:r>
            <w:r w:rsidR="002B0CE9" w:rsidRPr="00046E4A">
              <w:t>section 1</w:t>
            </w:r>
            <w:r w:rsidRPr="00046E4A">
              <w:t>3(1) or (2);</w:t>
            </w:r>
          </w:p>
          <w:p w14:paraId="6897B85B" w14:textId="77777777" w:rsidR="000271C4" w:rsidRPr="00046E4A" w:rsidRDefault="000271C4" w:rsidP="00B21100">
            <w:pPr>
              <w:pStyle w:val="Tablea"/>
            </w:pPr>
            <w:r w:rsidRPr="00046E4A">
              <w:t>(e) a decision under section 34;</w:t>
            </w:r>
          </w:p>
          <w:p w14:paraId="1F887C9D" w14:textId="77777777" w:rsidR="000271C4" w:rsidRPr="00046E4A" w:rsidRDefault="000271C4" w:rsidP="00B21100">
            <w:pPr>
              <w:pStyle w:val="Tablea"/>
            </w:pPr>
            <w:r w:rsidRPr="00046E4A">
              <w:t>(f) a decision mentioned in subsection 44(1) or (2)</w:t>
            </w:r>
          </w:p>
        </w:tc>
      </w:tr>
      <w:tr w:rsidR="000271C4" w:rsidRPr="00046E4A" w14:paraId="11880A0B" w14:textId="77777777" w:rsidTr="00B21100">
        <w:tc>
          <w:tcPr>
            <w:tcW w:w="368" w:type="pct"/>
            <w:shd w:val="clear" w:color="auto" w:fill="auto"/>
          </w:tcPr>
          <w:p w14:paraId="61EE3D82" w14:textId="77777777" w:rsidR="000271C4" w:rsidRPr="00046E4A" w:rsidRDefault="000271C4" w:rsidP="00B21100">
            <w:pPr>
              <w:pStyle w:val="Tabletext"/>
            </w:pPr>
            <w:r w:rsidRPr="00046E4A">
              <w:t>7</w:t>
            </w:r>
          </w:p>
        </w:tc>
        <w:tc>
          <w:tcPr>
            <w:tcW w:w="4632" w:type="pct"/>
            <w:shd w:val="clear" w:color="auto" w:fill="auto"/>
          </w:tcPr>
          <w:p w14:paraId="0BBA9F90" w14:textId="77777777" w:rsidR="000271C4" w:rsidRPr="00046E4A" w:rsidRDefault="000271C4" w:rsidP="00B21100">
            <w:pPr>
              <w:pStyle w:val="Tabletext"/>
            </w:pPr>
            <w:r w:rsidRPr="00046E4A">
              <w:t xml:space="preserve">A decision under section 6, 7 or 8 of the </w:t>
            </w:r>
            <w:r w:rsidRPr="00046E4A">
              <w:rPr>
                <w:i/>
              </w:rPr>
              <w:t>Brands and Marks Act 1949</w:t>
            </w:r>
          </w:p>
        </w:tc>
      </w:tr>
      <w:tr w:rsidR="000271C4" w:rsidRPr="00046E4A" w14:paraId="2F02B46E" w14:textId="77777777" w:rsidTr="00B21100">
        <w:tc>
          <w:tcPr>
            <w:tcW w:w="368" w:type="pct"/>
            <w:shd w:val="clear" w:color="auto" w:fill="auto"/>
          </w:tcPr>
          <w:p w14:paraId="2AF5FA59" w14:textId="77777777" w:rsidR="000271C4" w:rsidRPr="00046E4A" w:rsidRDefault="000271C4" w:rsidP="00B21100">
            <w:pPr>
              <w:pStyle w:val="Tabletext"/>
            </w:pPr>
            <w:r w:rsidRPr="00046E4A">
              <w:t>8</w:t>
            </w:r>
          </w:p>
        </w:tc>
        <w:tc>
          <w:tcPr>
            <w:tcW w:w="4632" w:type="pct"/>
            <w:shd w:val="clear" w:color="auto" w:fill="auto"/>
          </w:tcPr>
          <w:p w14:paraId="39920492" w14:textId="77777777" w:rsidR="000271C4" w:rsidRPr="00046E4A" w:rsidRDefault="000271C4" w:rsidP="00B21100">
            <w:pPr>
              <w:pStyle w:val="Tabletext"/>
            </w:pPr>
            <w:r w:rsidRPr="00046E4A">
              <w:t xml:space="preserve">A decision mentioned in any of the following provisions of the </w:t>
            </w:r>
            <w:r w:rsidRPr="00046E4A">
              <w:rPr>
                <w:i/>
              </w:rPr>
              <w:t>Building Act 2002</w:t>
            </w:r>
            <w:r w:rsidRPr="00046E4A">
              <w:t>:</w:t>
            </w:r>
          </w:p>
          <w:p w14:paraId="31C61F85" w14:textId="77777777" w:rsidR="000271C4" w:rsidRPr="00046E4A" w:rsidRDefault="000271C4" w:rsidP="00B21100">
            <w:pPr>
              <w:pStyle w:val="Tablea"/>
            </w:pPr>
            <w:r w:rsidRPr="00046E4A">
              <w:t>(a) subsection 43(1);</w:t>
            </w:r>
          </w:p>
          <w:p w14:paraId="18B3F9ED" w14:textId="77777777" w:rsidR="000271C4" w:rsidRPr="00046E4A" w:rsidRDefault="000271C4" w:rsidP="00B21100">
            <w:pPr>
              <w:pStyle w:val="Tablea"/>
            </w:pPr>
            <w:r w:rsidRPr="00046E4A">
              <w:t>(b) paragraph 43(2)(a);</w:t>
            </w:r>
          </w:p>
          <w:p w14:paraId="4B87ACF3" w14:textId="77777777" w:rsidR="000271C4" w:rsidRPr="00046E4A" w:rsidRDefault="000271C4" w:rsidP="00B21100">
            <w:pPr>
              <w:pStyle w:val="Tablea"/>
            </w:pPr>
            <w:r w:rsidRPr="00046E4A">
              <w:t>(c) paragraph 43(2)(b)</w:t>
            </w:r>
          </w:p>
        </w:tc>
      </w:tr>
      <w:tr w:rsidR="000271C4" w:rsidRPr="00046E4A" w14:paraId="258B8C8E" w14:textId="77777777" w:rsidTr="00B21100">
        <w:tc>
          <w:tcPr>
            <w:tcW w:w="368" w:type="pct"/>
            <w:shd w:val="clear" w:color="auto" w:fill="auto"/>
          </w:tcPr>
          <w:p w14:paraId="15D0A4BF" w14:textId="77777777" w:rsidR="000271C4" w:rsidRPr="00046E4A" w:rsidRDefault="000271C4" w:rsidP="00B21100">
            <w:pPr>
              <w:pStyle w:val="Tabletext"/>
            </w:pPr>
            <w:r w:rsidRPr="00046E4A">
              <w:t>9</w:t>
            </w:r>
          </w:p>
        </w:tc>
        <w:tc>
          <w:tcPr>
            <w:tcW w:w="4632" w:type="pct"/>
            <w:shd w:val="clear" w:color="auto" w:fill="auto"/>
          </w:tcPr>
          <w:p w14:paraId="004D037D" w14:textId="77777777" w:rsidR="000271C4" w:rsidRPr="00046E4A" w:rsidRDefault="000271C4" w:rsidP="00B21100">
            <w:pPr>
              <w:pStyle w:val="Tabletext"/>
            </w:pPr>
            <w:r w:rsidRPr="00046E4A">
              <w:t xml:space="preserve">A decision under section 7 or 19 of the </w:t>
            </w:r>
            <w:r w:rsidRPr="00046E4A">
              <w:rPr>
                <w:i/>
              </w:rPr>
              <w:t>Business Names Act 1976</w:t>
            </w:r>
          </w:p>
        </w:tc>
      </w:tr>
      <w:tr w:rsidR="000271C4" w:rsidRPr="00046E4A" w14:paraId="3848FA66" w14:textId="77777777" w:rsidTr="00B21100">
        <w:tc>
          <w:tcPr>
            <w:tcW w:w="368" w:type="pct"/>
            <w:shd w:val="clear" w:color="auto" w:fill="auto"/>
          </w:tcPr>
          <w:p w14:paraId="759BFBA0" w14:textId="77777777" w:rsidR="000271C4" w:rsidRPr="00046E4A" w:rsidRDefault="000271C4" w:rsidP="00B21100">
            <w:pPr>
              <w:pStyle w:val="Tabletext"/>
            </w:pPr>
            <w:r w:rsidRPr="00046E4A">
              <w:t>10</w:t>
            </w:r>
          </w:p>
        </w:tc>
        <w:tc>
          <w:tcPr>
            <w:tcW w:w="4632" w:type="pct"/>
            <w:shd w:val="clear" w:color="auto" w:fill="auto"/>
          </w:tcPr>
          <w:p w14:paraId="7C1121C2" w14:textId="77777777" w:rsidR="000271C4" w:rsidRPr="00046E4A" w:rsidRDefault="000271C4" w:rsidP="00B21100">
            <w:pPr>
              <w:pStyle w:val="Tabletext"/>
            </w:pPr>
            <w:r w:rsidRPr="00046E4A">
              <w:t xml:space="preserve">A decision under the </w:t>
            </w:r>
            <w:r w:rsidRPr="00046E4A">
              <w:rPr>
                <w:i/>
              </w:rPr>
              <w:t>Business Transactions (Administration) Act 2006</w:t>
            </w:r>
          </w:p>
        </w:tc>
      </w:tr>
      <w:tr w:rsidR="000271C4" w:rsidRPr="00046E4A" w14:paraId="5DE1EA4D" w14:textId="77777777" w:rsidTr="00B21100">
        <w:tc>
          <w:tcPr>
            <w:tcW w:w="368" w:type="pct"/>
            <w:shd w:val="clear" w:color="auto" w:fill="auto"/>
          </w:tcPr>
          <w:p w14:paraId="62BAFCAF" w14:textId="77777777" w:rsidR="000271C4" w:rsidRPr="00046E4A" w:rsidRDefault="000271C4" w:rsidP="00B21100">
            <w:pPr>
              <w:pStyle w:val="Tabletext"/>
            </w:pPr>
            <w:r w:rsidRPr="00046E4A">
              <w:t>11</w:t>
            </w:r>
          </w:p>
        </w:tc>
        <w:tc>
          <w:tcPr>
            <w:tcW w:w="4632" w:type="pct"/>
            <w:shd w:val="clear" w:color="auto" w:fill="auto"/>
          </w:tcPr>
          <w:p w14:paraId="3A7CB96A" w14:textId="77777777" w:rsidR="000271C4" w:rsidRPr="00046E4A" w:rsidRDefault="000271C4" w:rsidP="00B21100">
            <w:pPr>
              <w:pStyle w:val="Tabletext"/>
            </w:pPr>
            <w:r w:rsidRPr="00046E4A">
              <w:t xml:space="preserve">A decision under subsection 9(2) of the </w:t>
            </w:r>
            <w:r w:rsidRPr="00046E4A">
              <w:rPr>
                <w:i/>
              </w:rPr>
              <w:t>Business Transactions (Levy Imposition) Act 2006</w:t>
            </w:r>
          </w:p>
        </w:tc>
      </w:tr>
      <w:tr w:rsidR="000271C4" w:rsidRPr="00046E4A" w14:paraId="127A0748" w14:textId="77777777" w:rsidTr="00B21100">
        <w:tc>
          <w:tcPr>
            <w:tcW w:w="368" w:type="pct"/>
            <w:shd w:val="clear" w:color="auto" w:fill="auto"/>
          </w:tcPr>
          <w:p w14:paraId="3EE68129" w14:textId="77777777" w:rsidR="000271C4" w:rsidRPr="00046E4A" w:rsidRDefault="000271C4" w:rsidP="00B21100">
            <w:pPr>
              <w:pStyle w:val="Tabletext"/>
            </w:pPr>
            <w:r w:rsidRPr="00046E4A">
              <w:t>12</w:t>
            </w:r>
          </w:p>
        </w:tc>
        <w:tc>
          <w:tcPr>
            <w:tcW w:w="4632" w:type="pct"/>
            <w:shd w:val="clear" w:color="auto" w:fill="auto"/>
          </w:tcPr>
          <w:p w14:paraId="2BF5DF08" w14:textId="77777777" w:rsidR="000271C4" w:rsidRPr="00046E4A" w:rsidRDefault="000271C4" w:rsidP="00B21100">
            <w:pPr>
              <w:pStyle w:val="Tabletext"/>
            </w:pPr>
            <w:r w:rsidRPr="00046E4A">
              <w:t xml:space="preserve">A decision mentioned in subsection 58(2) or (3) of the </w:t>
            </w:r>
            <w:r w:rsidRPr="00046E4A">
              <w:rPr>
                <w:i/>
              </w:rPr>
              <w:t>Companies Act 1985</w:t>
            </w:r>
          </w:p>
        </w:tc>
      </w:tr>
      <w:tr w:rsidR="000271C4" w:rsidRPr="00046E4A" w14:paraId="349BF072" w14:textId="77777777" w:rsidTr="00B21100">
        <w:tc>
          <w:tcPr>
            <w:tcW w:w="368" w:type="pct"/>
            <w:shd w:val="clear" w:color="auto" w:fill="auto"/>
          </w:tcPr>
          <w:p w14:paraId="6E7612AB" w14:textId="77777777" w:rsidR="000271C4" w:rsidRPr="00046E4A" w:rsidRDefault="000271C4" w:rsidP="00B21100">
            <w:pPr>
              <w:pStyle w:val="Tabletext"/>
            </w:pPr>
            <w:r w:rsidRPr="00046E4A">
              <w:t>13</w:t>
            </w:r>
          </w:p>
        </w:tc>
        <w:tc>
          <w:tcPr>
            <w:tcW w:w="4632" w:type="pct"/>
            <w:shd w:val="clear" w:color="auto" w:fill="auto"/>
          </w:tcPr>
          <w:p w14:paraId="42B72F32" w14:textId="77777777" w:rsidR="000271C4" w:rsidRPr="00046E4A" w:rsidRDefault="000271C4" w:rsidP="00B21100">
            <w:pPr>
              <w:pStyle w:val="Tabletext"/>
            </w:pPr>
            <w:r w:rsidRPr="00046E4A">
              <w:t xml:space="preserve">Any of the following decisions under the </w:t>
            </w:r>
            <w:r w:rsidRPr="00046E4A">
              <w:rPr>
                <w:i/>
              </w:rPr>
              <w:t>Crown Lands Act 1996</w:t>
            </w:r>
            <w:r w:rsidRPr="00046E4A">
              <w:t>:</w:t>
            </w:r>
          </w:p>
          <w:p w14:paraId="089A5B6C" w14:textId="77777777" w:rsidR="000271C4" w:rsidRPr="00046E4A" w:rsidRDefault="000271C4" w:rsidP="00B21100">
            <w:pPr>
              <w:pStyle w:val="Tablea"/>
            </w:pPr>
            <w:r w:rsidRPr="00046E4A">
              <w:t>(a) a decision under sub</w:t>
            </w:r>
            <w:r w:rsidR="002B0CE9" w:rsidRPr="00046E4A">
              <w:t>section 1</w:t>
            </w:r>
            <w:r w:rsidRPr="00046E4A">
              <w:t>4(1);</w:t>
            </w:r>
          </w:p>
          <w:p w14:paraId="24B1F1F0" w14:textId="77777777" w:rsidR="000271C4" w:rsidRPr="00046E4A" w:rsidRDefault="000271C4" w:rsidP="00B21100">
            <w:pPr>
              <w:pStyle w:val="Tablea"/>
            </w:pPr>
            <w:r w:rsidRPr="00046E4A">
              <w:t xml:space="preserve">(b) a decision related to a request made under </w:t>
            </w:r>
            <w:r w:rsidR="002B0CE9" w:rsidRPr="00046E4A">
              <w:t>subsection 2</w:t>
            </w:r>
            <w:r w:rsidRPr="00046E4A">
              <w:t>6(1);</w:t>
            </w:r>
          </w:p>
          <w:p w14:paraId="599B4466" w14:textId="77777777" w:rsidR="000271C4" w:rsidRPr="00046E4A" w:rsidRDefault="000271C4" w:rsidP="00B21100">
            <w:pPr>
              <w:pStyle w:val="Tablea"/>
            </w:pPr>
            <w:r w:rsidRPr="00046E4A">
              <w:t xml:space="preserve">(c) a decision under </w:t>
            </w:r>
            <w:r w:rsidR="002B0CE9" w:rsidRPr="00046E4A">
              <w:t>section 2</w:t>
            </w:r>
            <w:r w:rsidRPr="00046E4A">
              <w:t>8</w:t>
            </w:r>
          </w:p>
        </w:tc>
      </w:tr>
      <w:tr w:rsidR="000271C4" w:rsidRPr="00046E4A" w14:paraId="284F321B" w14:textId="77777777" w:rsidTr="00B21100">
        <w:tc>
          <w:tcPr>
            <w:tcW w:w="368" w:type="pct"/>
            <w:shd w:val="clear" w:color="auto" w:fill="auto"/>
          </w:tcPr>
          <w:p w14:paraId="5D6414C3" w14:textId="77777777" w:rsidR="000271C4" w:rsidRPr="00046E4A" w:rsidRDefault="000271C4" w:rsidP="00B21100">
            <w:pPr>
              <w:pStyle w:val="Tabletext"/>
            </w:pPr>
            <w:r w:rsidRPr="00046E4A">
              <w:lastRenderedPageBreak/>
              <w:t>14</w:t>
            </w:r>
          </w:p>
        </w:tc>
        <w:tc>
          <w:tcPr>
            <w:tcW w:w="4632" w:type="pct"/>
            <w:shd w:val="clear" w:color="auto" w:fill="auto"/>
          </w:tcPr>
          <w:p w14:paraId="637D6464" w14:textId="77777777" w:rsidR="000271C4" w:rsidRPr="00046E4A" w:rsidRDefault="000271C4" w:rsidP="00B21100">
            <w:pPr>
              <w:pStyle w:val="Tabletext"/>
            </w:pPr>
            <w:r w:rsidRPr="00046E4A">
              <w:t xml:space="preserve">A decision under any of the following provisions of the </w:t>
            </w:r>
            <w:r w:rsidRPr="00046E4A">
              <w:rPr>
                <w:i/>
              </w:rPr>
              <w:t>Electricity (Licensing and Registration) Act 1985</w:t>
            </w:r>
            <w:r w:rsidRPr="00046E4A">
              <w:t>:</w:t>
            </w:r>
          </w:p>
          <w:p w14:paraId="5C812B37" w14:textId="77777777" w:rsidR="000271C4" w:rsidRPr="00046E4A" w:rsidRDefault="000271C4" w:rsidP="00B21100">
            <w:pPr>
              <w:pStyle w:val="Tablea"/>
            </w:pPr>
            <w:r w:rsidRPr="00046E4A">
              <w:t>(a) subsection 9(4);</w:t>
            </w:r>
          </w:p>
          <w:p w14:paraId="6263C37B" w14:textId="77777777" w:rsidR="000271C4" w:rsidRPr="00046E4A" w:rsidRDefault="000271C4" w:rsidP="00B21100">
            <w:pPr>
              <w:pStyle w:val="Tablea"/>
            </w:pPr>
            <w:r w:rsidRPr="00046E4A">
              <w:t xml:space="preserve">(b) </w:t>
            </w:r>
            <w:r w:rsidR="002B0CE9" w:rsidRPr="00046E4A">
              <w:t>section 1</w:t>
            </w:r>
            <w:r w:rsidRPr="00046E4A">
              <w:t>3 or 14</w:t>
            </w:r>
          </w:p>
        </w:tc>
      </w:tr>
      <w:tr w:rsidR="000271C4" w:rsidRPr="00046E4A" w14:paraId="619F2911" w14:textId="77777777" w:rsidTr="00B21100">
        <w:tc>
          <w:tcPr>
            <w:tcW w:w="368" w:type="pct"/>
            <w:shd w:val="clear" w:color="auto" w:fill="auto"/>
          </w:tcPr>
          <w:p w14:paraId="01420948" w14:textId="77777777" w:rsidR="000271C4" w:rsidRPr="00046E4A" w:rsidRDefault="000271C4" w:rsidP="00B21100">
            <w:pPr>
              <w:pStyle w:val="Tabletext"/>
            </w:pPr>
            <w:r w:rsidRPr="00046E4A">
              <w:t>15</w:t>
            </w:r>
          </w:p>
        </w:tc>
        <w:tc>
          <w:tcPr>
            <w:tcW w:w="4632" w:type="pct"/>
            <w:shd w:val="clear" w:color="auto" w:fill="auto"/>
          </w:tcPr>
          <w:p w14:paraId="5D6ACFF8" w14:textId="77777777" w:rsidR="000271C4" w:rsidRPr="00046E4A" w:rsidRDefault="000271C4" w:rsidP="00B21100">
            <w:pPr>
              <w:pStyle w:val="Tabletext"/>
            </w:pPr>
            <w:r w:rsidRPr="00046E4A">
              <w:t xml:space="preserve">Any of the following decisions under the </w:t>
            </w:r>
            <w:r w:rsidRPr="00046E4A">
              <w:rPr>
                <w:i/>
              </w:rPr>
              <w:t>Environment Act 1990</w:t>
            </w:r>
            <w:r w:rsidRPr="00046E4A">
              <w:t>:</w:t>
            </w:r>
          </w:p>
          <w:p w14:paraId="65B93B81" w14:textId="77777777" w:rsidR="000271C4" w:rsidRPr="00046E4A" w:rsidRDefault="000271C4" w:rsidP="00B21100">
            <w:pPr>
              <w:pStyle w:val="Tablea"/>
            </w:pPr>
            <w:r w:rsidRPr="00046E4A">
              <w:t>(a) a decision to reject a claim made under section 91;</w:t>
            </w:r>
          </w:p>
          <w:p w14:paraId="0E2CA413" w14:textId="77777777" w:rsidR="000271C4" w:rsidRPr="00046E4A" w:rsidRDefault="000271C4" w:rsidP="00B21100">
            <w:pPr>
              <w:pStyle w:val="Tablea"/>
            </w:pPr>
            <w:r w:rsidRPr="00046E4A">
              <w:t>(b) a decision under sub</w:t>
            </w:r>
            <w:r w:rsidR="002B0CE9" w:rsidRPr="00046E4A">
              <w:t>section 1</w:t>
            </w:r>
            <w:r w:rsidRPr="00046E4A">
              <w:t>28(1)</w:t>
            </w:r>
          </w:p>
        </w:tc>
      </w:tr>
      <w:tr w:rsidR="000271C4" w:rsidRPr="00046E4A" w14:paraId="4A1BFD04" w14:textId="77777777" w:rsidTr="00B21100">
        <w:tc>
          <w:tcPr>
            <w:tcW w:w="368" w:type="pct"/>
            <w:shd w:val="clear" w:color="auto" w:fill="auto"/>
          </w:tcPr>
          <w:p w14:paraId="31F76BE9" w14:textId="77777777" w:rsidR="000271C4" w:rsidRPr="00046E4A" w:rsidRDefault="000271C4" w:rsidP="00B21100">
            <w:pPr>
              <w:pStyle w:val="Tabletext"/>
            </w:pPr>
            <w:r w:rsidRPr="00046E4A">
              <w:t>16</w:t>
            </w:r>
          </w:p>
        </w:tc>
        <w:tc>
          <w:tcPr>
            <w:tcW w:w="4632" w:type="pct"/>
            <w:shd w:val="clear" w:color="auto" w:fill="auto"/>
          </w:tcPr>
          <w:p w14:paraId="7BF39159" w14:textId="77777777" w:rsidR="000271C4" w:rsidRPr="00046E4A" w:rsidRDefault="000271C4" w:rsidP="00B21100">
            <w:pPr>
              <w:pStyle w:val="Tabletext"/>
            </w:pPr>
            <w:r w:rsidRPr="00046E4A">
              <w:t>A decision under section 8 or sub</w:t>
            </w:r>
            <w:r w:rsidR="002B0CE9" w:rsidRPr="00046E4A">
              <w:t>section 1</w:t>
            </w:r>
            <w:r w:rsidRPr="00046E4A">
              <w:t xml:space="preserve">4(2) of the </w:t>
            </w:r>
            <w:r w:rsidRPr="00046E4A">
              <w:rPr>
                <w:i/>
              </w:rPr>
              <w:t>Financial Institutions Levy Act 1985</w:t>
            </w:r>
          </w:p>
        </w:tc>
      </w:tr>
      <w:tr w:rsidR="000271C4" w:rsidRPr="00046E4A" w14:paraId="627813A2" w14:textId="77777777" w:rsidTr="00B21100">
        <w:tc>
          <w:tcPr>
            <w:tcW w:w="368" w:type="pct"/>
            <w:shd w:val="clear" w:color="auto" w:fill="auto"/>
          </w:tcPr>
          <w:p w14:paraId="2EC65BB2" w14:textId="77777777" w:rsidR="000271C4" w:rsidRPr="00046E4A" w:rsidRDefault="000271C4" w:rsidP="00B21100">
            <w:pPr>
              <w:pStyle w:val="Tabletext"/>
            </w:pPr>
            <w:r w:rsidRPr="00046E4A">
              <w:t>17</w:t>
            </w:r>
          </w:p>
        </w:tc>
        <w:tc>
          <w:tcPr>
            <w:tcW w:w="4632" w:type="pct"/>
            <w:shd w:val="clear" w:color="auto" w:fill="auto"/>
          </w:tcPr>
          <w:p w14:paraId="0AB87BF5" w14:textId="77777777" w:rsidR="000271C4" w:rsidRPr="00046E4A" w:rsidRDefault="000271C4" w:rsidP="00B21100">
            <w:pPr>
              <w:pStyle w:val="Tabletext"/>
            </w:pPr>
            <w:r w:rsidRPr="00046E4A">
              <w:t xml:space="preserve">A decision under section 6 or 7 of the </w:t>
            </w:r>
            <w:r w:rsidRPr="00046E4A">
              <w:rPr>
                <w:i/>
              </w:rPr>
              <w:t>Fuel Levy Act 1987</w:t>
            </w:r>
          </w:p>
        </w:tc>
      </w:tr>
      <w:tr w:rsidR="000271C4" w:rsidRPr="00046E4A" w14:paraId="598E632F" w14:textId="77777777" w:rsidTr="00B21100">
        <w:tc>
          <w:tcPr>
            <w:tcW w:w="368" w:type="pct"/>
            <w:shd w:val="clear" w:color="auto" w:fill="auto"/>
          </w:tcPr>
          <w:p w14:paraId="33961F72" w14:textId="77777777" w:rsidR="000271C4" w:rsidRPr="00046E4A" w:rsidRDefault="000271C4" w:rsidP="00B21100">
            <w:pPr>
              <w:pStyle w:val="Tabletext"/>
            </w:pPr>
            <w:r w:rsidRPr="00046E4A">
              <w:t>18</w:t>
            </w:r>
          </w:p>
        </w:tc>
        <w:tc>
          <w:tcPr>
            <w:tcW w:w="4632" w:type="pct"/>
            <w:shd w:val="clear" w:color="auto" w:fill="auto"/>
          </w:tcPr>
          <w:p w14:paraId="214119FB" w14:textId="77777777" w:rsidR="000271C4" w:rsidRPr="00046E4A" w:rsidRDefault="000271C4" w:rsidP="00B21100">
            <w:pPr>
              <w:pStyle w:val="Tabletext"/>
            </w:pPr>
            <w:r w:rsidRPr="00046E4A">
              <w:t xml:space="preserve">A decision under section 5 of the </w:t>
            </w:r>
            <w:r w:rsidRPr="00046E4A">
              <w:rPr>
                <w:i/>
              </w:rPr>
              <w:t>Land Administration Fees Act 1996</w:t>
            </w:r>
          </w:p>
        </w:tc>
      </w:tr>
      <w:tr w:rsidR="000271C4" w:rsidRPr="00046E4A" w14:paraId="05878E8E" w14:textId="77777777" w:rsidTr="00B21100">
        <w:tc>
          <w:tcPr>
            <w:tcW w:w="368" w:type="pct"/>
            <w:shd w:val="clear" w:color="auto" w:fill="auto"/>
          </w:tcPr>
          <w:p w14:paraId="467FFA56" w14:textId="77777777" w:rsidR="000271C4" w:rsidRPr="00046E4A" w:rsidRDefault="000271C4" w:rsidP="00B21100">
            <w:pPr>
              <w:pStyle w:val="Tabletext"/>
            </w:pPr>
            <w:r w:rsidRPr="00046E4A">
              <w:t>19</w:t>
            </w:r>
          </w:p>
        </w:tc>
        <w:tc>
          <w:tcPr>
            <w:tcW w:w="4632" w:type="pct"/>
            <w:shd w:val="clear" w:color="auto" w:fill="auto"/>
          </w:tcPr>
          <w:p w14:paraId="36B37D2D" w14:textId="77777777" w:rsidR="000271C4" w:rsidRPr="00046E4A" w:rsidRDefault="000271C4" w:rsidP="00B21100">
            <w:pPr>
              <w:pStyle w:val="Tabletext"/>
            </w:pPr>
            <w:r w:rsidRPr="00046E4A">
              <w:t xml:space="preserve">A decision under any of the following provisions of the </w:t>
            </w:r>
            <w:r w:rsidRPr="00046E4A">
              <w:rPr>
                <w:i/>
              </w:rPr>
              <w:t>Land Titles Act 1996</w:t>
            </w:r>
            <w:r w:rsidRPr="00046E4A">
              <w:t>:</w:t>
            </w:r>
          </w:p>
          <w:p w14:paraId="1ED5E936" w14:textId="77777777" w:rsidR="000271C4" w:rsidRPr="00046E4A" w:rsidRDefault="000271C4" w:rsidP="00B21100">
            <w:pPr>
              <w:pStyle w:val="Tablea"/>
            </w:pPr>
            <w:r w:rsidRPr="00046E4A">
              <w:t>(a) paragraph 138(1)(a), (b) or (c);</w:t>
            </w:r>
          </w:p>
          <w:p w14:paraId="0F60897F" w14:textId="77777777" w:rsidR="000271C4" w:rsidRPr="00046E4A" w:rsidRDefault="000271C4" w:rsidP="00B21100">
            <w:pPr>
              <w:pStyle w:val="Tablea"/>
            </w:pPr>
            <w:r w:rsidRPr="00046E4A">
              <w:t>(b) paragraph 146(2)(f)</w:t>
            </w:r>
          </w:p>
        </w:tc>
      </w:tr>
      <w:tr w:rsidR="000271C4" w:rsidRPr="00046E4A" w14:paraId="1126AC62" w14:textId="77777777" w:rsidTr="00B21100">
        <w:tc>
          <w:tcPr>
            <w:tcW w:w="368" w:type="pct"/>
            <w:shd w:val="clear" w:color="auto" w:fill="auto"/>
          </w:tcPr>
          <w:p w14:paraId="3C7480A7" w14:textId="77777777" w:rsidR="000271C4" w:rsidRPr="00046E4A" w:rsidRDefault="000271C4" w:rsidP="00B21100">
            <w:pPr>
              <w:pStyle w:val="Tabletext"/>
            </w:pPr>
            <w:r w:rsidRPr="00046E4A">
              <w:t>20</w:t>
            </w:r>
          </w:p>
        </w:tc>
        <w:tc>
          <w:tcPr>
            <w:tcW w:w="4632" w:type="pct"/>
            <w:shd w:val="clear" w:color="auto" w:fill="auto"/>
          </w:tcPr>
          <w:p w14:paraId="5C7860CE" w14:textId="77777777" w:rsidR="000271C4" w:rsidRPr="00046E4A" w:rsidRDefault="000271C4" w:rsidP="00B21100">
            <w:pPr>
              <w:pStyle w:val="Tabletext"/>
            </w:pPr>
            <w:r w:rsidRPr="00046E4A">
              <w:t xml:space="preserve">A decision under subsection 79(1) of the </w:t>
            </w:r>
            <w:r w:rsidRPr="00046E4A">
              <w:rPr>
                <w:i/>
              </w:rPr>
              <w:t>Land Valuation Act 2012</w:t>
            </w:r>
          </w:p>
        </w:tc>
      </w:tr>
      <w:tr w:rsidR="000271C4" w:rsidRPr="00046E4A" w14:paraId="3E950694" w14:textId="77777777" w:rsidTr="00B21100">
        <w:tc>
          <w:tcPr>
            <w:tcW w:w="368" w:type="pct"/>
            <w:shd w:val="clear" w:color="auto" w:fill="auto"/>
          </w:tcPr>
          <w:p w14:paraId="13AFF483" w14:textId="77777777" w:rsidR="000271C4" w:rsidRPr="00046E4A" w:rsidRDefault="000271C4" w:rsidP="00B21100">
            <w:pPr>
              <w:pStyle w:val="Tabletext"/>
            </w:pPr>
            <w:r w:rsidRPr="00046E4A">
              <w:t>21</w:t>
            </w:r>
          </w:p>
        </w:tc>
        <w:tc>
          <w:tcPr>
            <w:tcW w:w="4632" w:type="pct"/>
            <w:shd w:val="clear" w:color="auto" w:fill="auto"/>
          </w:tcPr>
          <w:p w14:paraId="6043EEF3" w14:textId="77777777" w:rsidR="000271C4" w:rsidRPr="00046E4A" w:rsidRDefault="000271C4" w:rsidP="00B21100">
            <w:pPr>
              <w:pStyle w:val="Tabletext"/>
            </w:pPr>
            <w:r w:rsidRPr="00046E4A">
              <w:t xml:space="preserve">A decision under the </w:t>
            </w:r>
            <w:r w:rsidRPr="00046E4A">
              <w:rPr>
                <w:i/>
              </w:rPr>
              <w:t>Liquor Act 2005</w:t>
            </w:r>
            <w:r w:rsidRPr="00046E4A">
              <w:t xml:space="preserve"> in relation to any of the following:</w:t>
            </w:r>
          </w:p>
          <w:p w14:paraId="2932C44F" w14:textId="77777777" w:rsidR="000271C4" w:rsidRPr="00046E4A" w:rsidRDefault="000271C4" w:rsidP="00B21100">
            <w:pPr>
              <w:pStyle w:val="Tablea"/>
            </w:pPr>
            <w:r w:rsidRPr="00046E4A">
              <w:t>(a) an application for the disqualification of a licensee or licensed premises;</w:t>
            </w:r>
          </w:p>
          <w:p w14:paraId="1BA1D0FC" w14:textId="77777777" w:rsidR="000271C4" w:rsidRPr="00046E4A" w:rsidRDefault="000271C4" w:rsidP="00B21100">
            <w:pPr>
              <w:pStyle w:val="Tablea"/>
            </w:pPr>
            <w:r w:rsidRPr="00046E4A">
              <w:t>(b) an application for the appointment of a nominee of a licensee;</w:t>
            </w:r>
          </w:p>
          <w:p w14:paraId="29DB158F" w14:textId="77777777" w:rsidR="000271C4" w:rsidRPr="00046E4A" w:rsidRDefault="000271C4" w:rsidP="00B21100">
            <w:pPr>
              <w:pStyle w:val="Tablea"/>
            </w:pPr>
            <w:r w:rsidRPr="00046E4A">
              <w:t>(c) an application for any of the following actions to be taken in relation to a licence or permit:</w:t>
            </w:r>
          </w:p>
          <w:p w14:paraId="54D6E9C3" w14:textId="77777777" w:rsidR="000271C4" w:rsidRPr="00046E4A" w:rsidRDefault="000271C4" w:rsidP="00B21100">
            <w:pPr>
              <w:pStyle w:val="Tablei"/>
            </w:pPr>
            <w:r w:rsidRPr="00046E4A">
              <w:t>(i) grant;</w:t>
            </w:r>
          </w:p>
          <w:p w14:paraId="53D2BD5F" w14:textId="77777777" w:rsidR="000271C4" w:rsidRPr="00046E4A" w:rsidRDefault="000271C4" w:rsidP="00B21100">
            <w:pPr>
              <w:pStyle w:val="Tablei"/>
            </w:pPr>
            <w:r w:rsidRPr="00046E4A">
              <w:t>(ii) variation;</w:t>
            </w:r>
          </w:p>
          <w:p w14:paraId="56B7D60E" w14:textId="77777777" w:rsidR="000271C4" w:rsidRPr="00046E4A" w:rsidRDefault="000271C4" w:rsidP="00B21100">
            <w:pPr>
              <w:pStyle w:val="Tablei"/>
            </w:pPr>
            <w:r w:rsidRPr="00046E4A">
              <w:t>(iii) relocation;</w:t>
            </w:r>
          </w:p>
          <w:p w14:paraId="659BAA2E" w14:textId="77777777" w:rsidR="000271C4" w:rsidRPr="00046E4A" w:rsidRDefault="000271C4" w:rsidP="00B21100">
            <w:pPr>
              <w:pStyle w:val="Tablei"/>
            </w:pPr>
            <w:r w:rsidRPr="00046E4A">
              <w:t>(iv) transfer;</w:t>
            </w:r>
          </w:p>
          <w:p w14:paraId="1FDC9169" w14:textId="77777777" w:rsidR="000271C4" w:rsidRPr="00046E4A" w:rsidRDefault="000271C4" w:rsidP="00B21100">
            <w:pPr>
              <w:pStyle w:val="Tablei"/>
            </w:pPr>
            <w:r w:rsidRPr="00046E4A">
              <w:t>(v) renewal;</w:t>
            </w:r>
          </w:p>
          <w:p w14:paraId="6BC335CB" w14:textId="77777777" w:rsidR="000271C4" w:rsidRPr="00046E4A" w:rsidRDefault="000271C4" w:rsidP="00B21100">
            <w:pPr>
              <w:pStyle w:val="Tablei"/>
            </w:pPr>
            <w:r w:rsidRPr="00046E4A">
              <w:t>(vi) surrender;</w:t>
            </w:r>
          </w:p>
          <w:p w14:paraId="3AF3A5FB" w14:textId="77777777" w:rsidR="000271C4" w:rsidRPr="00046E4A" w:rsidRDefault="000271C4" w:rsidP="00B21100">
            <w:pPr>
              <w:pStyle w:val="Tablei"/>
            </w:pPr>
            <w:r w:rsidRPr="00046E4A">
              <w:t>(vii) suspension;</w:t>
            </w:r>
          </w:p>
          <w:p w14:paraId="30336421" w14:textId="77777777" w:rsidR="000271C4" w:rsidRPr="00046E4A" w:rsidRDefault="000271C4" w:rsidP="00B21100">
            <w:pPr>
              <w:pStyle w:val="Tablei"/>
            </w:pPr>
            <w:r w:rsidRPr="00046E4A">
              <w:t>(viii) cancellation</w:t>
            </w:r>
          </w:p>
        </w:tc>
      </w:tr>
      <w:tr w:rsidR="000271C4" w:rsidRPr="00046E4A" w14:paraId="643AE668" w14:textId="77777777" w:rsidTr="00B21100">
        <w:tc>
          <w:tcPr>
            <w:tcW w:w="368" w:type="pct"/>
            <w:shd w:val="clear" w:color="auto" w:fill="auto"/>
          </w:tcPr>
          <w:p w14:paraId="762A2544" w14:textId="77777777" w:rsidR="000271C4" w:rsidRPr="00046E4A" w:rsidRDefault="000271C4" w:rsidP="00B21100">
            <w:pPr>
              <w:pStyle w:val="Tabletext"/>
            </w:pPr>
            <w:r w:rsidRPr="00046E4A">
              <w:t>22</w:t>
            </w:r>
          </w:p>
        </w:tc>
        <w:tc>
          <w:tcPr>
            <w:tcW w:w="4632" w:type="pct"/>
            <w:shd w:val="clear" w:color="auto" w:fill="auto"/>
          </w:tcPr>
          <w:p w14:paraId="49E4A92C" w14:textId="77777777" w:rsidR="000271C4" w:rsidRPr="00046E4A" w:rsidRDefault="000271C4" w:rsidP="00B21100">
            <w:pPr>
              <w:pStyle w:val="Tabletext"/>
            </w:pPr>
            <w:r w:rsidRPr="00046E4A">
              <w:t xml:space="preserve">A decision under section 7, 11 or 18 of the </w:t>
            </w:r>
            <w:r w:rsidRPr="00046E4A">
              <w:rPr>
                <w:i/>
              </w:rPr>
              <w:t>Lotteries and Fundraising Act 1987</w:t>
            </w:r>
          </w:p>
        </w:tc>
      </w:tr>
      <w:tr w:rsidR="000271C4" w:rsidRPr="00046E4A" w14:paraId="471826E2" w14:textId="77777777" w:rsidTr="00B21100">
        <w:tc>
          <w:tcPr>
            <w:tcW w:w="368" w:type="pct"/>
            <w:shd w:val="clear" w:color="auto" w:fill="auto"/>
          </w:tcPr>
          <w:p w14:paraId="42A6136D" w14:textId="77777777" w:rsidR="000271C4" w:rsidRPr="00046E4A" w:rsidRDefault="000271C4" w:rsidP="00B21100">
            <w:pPr>
              <w:pStyle w:val="Tabletext"/>
            </w:pPr>
            <w:r w:rsidRPr="00046E4A">
              <w:t>23</w:t>
            </w:r>
          </w:p>
        </w:tc>
        <w:tc>
          <w:tcPr>
            <w:tcW w:w="4632" w:type="pct"/>
            <w:shd w:val="clear" w:color="auto" w:fill="auto"/>
          </w:tcPr>
          <w:p w14:paraId="784408CC" w14:textId="77777777" w:rsidR="000271C4" w:rsidRPr="00046E4A" w:rsidRDefault="000271C4" w:rsidP="00B21100">
            <w:pPr>
              <w:pStyle w:val="Tabletext"/>
            </w:pPr>
            <w:r w:rsidRPr="00046E4A">
              <w:t xml:space="preserve">A decision under any of the following provisions of the </w:t>
            </w:r>
            <w:r w:rsidRPr="00046E4A">
              <w:rPr>
                <w:i/>
              </w:rPr>
              <w:t>Migratory Birds Act 1980</w:t>
            </w:r>
            <w:r w:rsidRPr="00046E4A">
              <w:t>:</w:t>
            </w:r>
          </w:p>
          <w:p w14:paraId="65126FE5" w14:textId="77777777" w:rsidR="000271C4" w:rsidRPr="00046E4A" w:rsidRDefault="000271C4" w:rsidP="00B21100">
            <w:pPr>
              <w:pStyle w:val="Tablea"/>
            </w:pPr>
            <w:r w:rsidRPr="00046E4A">
              <w:t>(a) subsection 4(3), 7(2), 9(3) or 15(1);</w:t>
            </w:r>
          </w:p>
          <w:p w14:paraId="0F5B92B7" w14:textId="77777777" w:rsidR="000271C4" w:rsidRPr="00046E4A" w:rsidRDefault="000271C4" w:rsidP="00B21100">
            <w:pPr>
              <w:pStyle w:val="Tablea"/>
            </w:pPr>
            <w:r w:rsidRPr="00046E4A">
              <w:t>(b) paragraph 15(2)(a)</w:t>
            </w:r>
          </w:p>
        </w:tc>
      </w:tr>
      <w:tr w:rsidR="000271C4" w:rsidRPr="00046E4A" w14:paraId="24239D13" w14:textId="77777777" w:rsidTr="00B21100">
        <w:tc>
          <w:tcPr>
            <w:tcW w:w="368" w:type="pct"/>
            <w:shd w:val="clear" w:color="auto" w:fill="auto"/>
          </w:tcPr>
          <w:p w14:paraId="049892FB" w14:textId="77777777" w:rsidR="000271C4" w:rsidRPr="00046E4A" w:rsidRDefault="000271C4" w:rsidP="00B21100">
            <w:pPr>
              <w:pStyle w:val="Tabletext"/>
            </w:pPr>
            <w:r w:rsidRPr="00046E4A">
              <w:t>24</w:t>
            </w:r>
          </w:p>
        </w:tc>
        <w:tc>
          <w:tcPr>
            <w:tcW w:w="4632" w:type="pct"/>
            <w:shd w:val="clear" w:color="auto" w:fill="auto"/>
          </w:tcPr>
          <w:p w14:paraId="6C4B69B8" w14:textId="77777777" w:rsidR="000271C4" w:rsidRPr="00046E4A" w:rsidRDefault="000271C4" w:rsidP="00B21100">
            <w:pPr>
              <w:pStyle w:val="Tabletext"/>
            </w:pPr>
            <w:r w:rsidRPr="00046E4A">
              <w:t xml:space="preserve">A decision under the </w:t>
            </w:r>
            <w:r w:rsidRPr="00046E4A">
              <w:rPr>
                <w:i/>
              </w:rPr>
              <w:t>Norfolk Island Broadcasting Act 2001</w:t>
            </w:r>
            <w:r w:rsidRPr="00046E4A">
              <w:t xml:space="preserve"> other than a decision made under sub</w:t>
            </w:r>
            <w:r w:rsidR="002B0CE9" w:rsidRPr="00046E4A">
              <w:t>section 1</w:t>
            </w:r>
            <w:r w:rsidRPr="00046E4A">
              <w:t>0(6) of that Act</w:t>
            </w:r>
          </w:p>
        </w:tc>
      </w:tr>
      <w:tr w:rsidR="000271C4" w:rsidRPr="00046E4A" w14:paraId="7F82D4BA" w14:textId="77777777" w:rsidTr="00B21100">
        <w:tc>
          <w:tcPr>
            <w:tcW w:w="368" w:type="pct"/>
            <w:shd w:val="clear" w:color="auto" w:fill="auto"/>
          </w:tcPr>
          <w:p w14:paraId="054DA4AB" w14:textId="77777777" w:rsidR="000271C4" w:rsidRPr="00046E4A" w:rsidRDefault="000271C4" w:rsidP="00B21100">
            <w:pPr>
              <w:pStyle w:val="Tabletext"/>
            </w:pPr>
            <w:r w:rsidRPr="00046E4A">
              <w:t>25</w:t>
            </w:r>
          </w:p>
        </w:tc>
        <w:tc>
          <w:tcPr>
            <w:tcW w:w="4632" w:type="pct"/>
            <w:shd w:val="clear" w:color="auto" w:fill="auto"/>
          </w:tcPr>
          <w:p w14:paraId="0EB2E188" w14:textId="77777777" w:rsidR="000271C4" w:rsidRPr="00046E4A" w:rsidRDefault="000271C4" w:rsidP="00B21100">
            <w:pPr>
              <w:pStyle w:val="Tabletext"/>
            </w:pPr>
            <w:r w:rsidRPr="00046E4A">
              <w:t xml:space="preserve">A decision under </w:t>
            </w:r>
            <w:r w:rsidR="002B0CE9" w:rsidRPr="00046E4A">
              <w:t>section 2</w:t>
            </w:r>
            <w:r w:rsidRPr="00046E4A">
              <w:t xml:space="preserve">A or 3A of the </w:t>
            </w:r>
            <w:r w:rsidRPr="00046E4A">
              <w:rPr>
                <w:i/>
              </w:rPr>
              <w:t>Norfolk Island National Park and Norfolk Island Botanic Garden Act 1984</w:t>
            </w:r>
          </w:p>
        </w:tc>
      </w:tr>
      <w:tr w:rsidR="000271C4" w:rsidRPr="00046E4A" w14:paraId="1A4DCCB9" w14:textId="77777777" w:rsidTr="00B21100">
        <w:tc>
          <w:tcPr>
            <w:tcW w:w="368" w:type="pct"/>
            <w:shd w:val="clear" w:color="auto" w:fill="auto"/>
          </w:tcPr>
          <w:p w14:paraId="5927D7DC" w14:textId="77777777" w:rsidR="000271C4" w:rsidRPr="00046E4A" w:rsidRDefault="000271C4" w:rsidP="00B21100">
            <w:pPr>
              <w:pStyle w:val="Tabletext"/>
            </w:pPr>
            <w:r w:rsidRPr="00046E4A">
              <w:t>26</w:t>
            </w:r>
          </w:p>
        </w:tc>
        <w:tc>
          <w:tcPr>
            <w:tcW w:w="4632" w:type="pct"/>
            <w:shd w:val="clear" w:color="auto" w:fill="auto"/>
          </w:tcPr>
          <w:p w14:paraId="6890E92A" w14:textId="77777777" w:rsidR="000271C4" w:rsidRPr="00046E4A" w:rsidRDefault="000271C4" w:rsidP="00B21100">
            <w:pPr>
              <w:pStyle w:val="Tabletext"/>
            </w:pPr>
            <w:r w:rsidRPr="00046E4A">
              <w:t xml:space="preserve">A decision mentioned in paragraph 78(1)(a), (b) or (c) of the </w:t>
            </w:r>
            <w:r w:rsidRPr="00046E4A">
              <w:rPr>
                <w:i/>
              </w:rPr>
              <w:t>Planning Act 2002</w:t>
            </w:r>
          </w:p>
        </w:tc>
      </w:tr>
      <w:tr w:rsidR="000271C4" w:rsidRPr="00046E4A" w14:paraId="519FAD2F" w14:textId="77777777" w:rsidTr="00B21100">
        <w:tc>
          <w:tcPr>
            <w:tcW w:w="368" w:type="pct"/>
            <w:shd w:val="clear" w:color="auto" w:fill="auto"/>
          </w:tcPr>
          <w:p w14:paraId="35B38E3A" w14:textId="77777777" w:rsidR="000271C4" w:rsidRPr="00046E4A" w:rsidRDefault="000271C4" w:rsidP="00B21100">
            <w:pPr>
              <w:pStyle w:val="Tabletext"/>
            </w:pPr>
            <w:r w:rsidRPr="00046E4A">
              <w:t>27</w:t>
            </w:r>
          </w:p>
        </w:tc>
        <w:tc>
          <w:tcPr>
            <w:tcW w:w="4632" w:type="pct"/>
            <w:shd w:val="clear" w:color="auto" w:fill="auto"/>
          </w:tcPr>
          <w:p w14:paraId="446429AD" w14:textId="77777777" w:rsidR="000271C4" w:rsidRPr="00046E4A" w:rsidRDefault="000271C4" w:rsidP="00B21100">
            <w:pPr>
              <w:pStyle w:val="Tabletext"/>
            </w:pPr>
            <w:r w:rsidRPr="00046E4A">
              <w:t xml:space="preserve">A decision mentioned in paragraph 31(a), (b), (c) or (d) of the </w:t>
            </w:r>
            <w:r w:rsidRPr="00046E4A">
              <w:rPr>
                <w:i/>
              </w:rPr>
              <w:t>Public Reserves Act 1997</w:t>
            </w:r>
          </w:p>
        </w:tc>
      </w:tr>
      <w:tr w:rsidR="000271C4" w:rsidRPr="00046E4A" w14:paraId="30735A2B" w14:textId="77777777" w:rsidTr="00B21100">
        <w:tc>
          <w:tcPr>
            <w:tcW w:w="368" w:type="pct"/>
            <w:shd w:val="clear" w:color="auto" w:fill="auto"/>
          </w:tcPr>
          <w:p w14:paraId="75C3CE05" w14:textId="77777777" w:rsidR="000271C4" w:rsidRPr="00046E4A" w:rsidRDefault="000271C4" w:rsidP="00B21100">
            <w:pPr>
              <w:pStyle w:val="Tabletext"/>
            </w:pPr>
            <w:r w:rsidRPr="00046E4A">
              <w:t>28</w:t>
            </w:r>
          </w:p>
        </w:tc>
        <w:tc>
          <w:tcPr>
            <w:tcW w:w="4632" w:type="pct"/>
            <w:shd w:val="clear" w:color="auto" w:fill="auto"/>
          </w:tcPr>
          <w:p w14:paraId="73C38FDF" w14:textId="77777777" w:rsidR="000271C4" w:rsidRPr="00046E4A" w:rsidRDefault="000271C4" w:rsidP="00B21100">
            <w:pPr>
              <w:pStyle w:val="Tabletext"/>
            </w:pPr>
            <w:r w:rsidRPr="00046E4A">
              <w:t xml:space="preserve">A refusal to give a certificate under </w:t>
            </w:r>
            <w:r w:rsidR="002B0CE9" w:rsidRPr="00046E4A">
              <w:t>section 1</w:t>
            </w:r>
            <w:r w:rsidRPr="00046E4A">
              <w:t xml:space="preserve">5 of the </w:t>
            </w:r>
            <w:r w:rsidRPr="00046E4A">
              <w:rPr>
                <w:i/>
              </w:rPr>
              <w:t>Roads Act 2002</w:t>
            </w:r>
          </w:p>
        </w:tc>
      </w:tr>
      <w:tr w:rsidR="000271C4" w:rsidRPr="00046E4A" w14:paraId="618B899D" w14:textId="77777777" w:rsidTr="00B21100">
        <w:tc>
          <w:tcPr>
            <w:tcW w:w="368" w:type="pct"/>
            <w:shd w:val="clear" w:color="auto" w:fill="auto"/>
          </w:tcPr>
          <w:p w14:paraId="5456FCB6" w14:textId="77777777" w:rsidR="000271C4" w:rsidRPr="00046E4A" w:rsidRDefault="000271C4" w:rsidP="00B21100">
            <w:pPr>
              <w:pStyle w:val="Tabletext"/>
            </w:pPr>
            <w:r w:rsidRPr="00046E4A">
              <w:t>29</w:t>
            </w:r>
          </w:p>
        </w:tc>
        <w:tc>
          <w:tcPr>
            <w:tcW w:w="4632" w:type="pct"/>
            <w:shd w:val="clear" w:color="auto" w:fill="auto"/>
          </w:tcPr>
          <w:p w14:paraId="2829AAD6" w14:textId="77777777" w:rsidR="000271C4" w:rsidRPr="00046E4A" w:rsidRDefault="000271C4" w:rsidP="00B21100">
            <w:pPr>
              <w:pStyle w:val="Tabletext"/>
            </w:pPr>
            <w:r w:rsidRPr="00046E4A">
              <w:t xml:space="preserve">A refusal to give a written notice under </w:t>
            </w:r>
            <w:r w:rsidR="002B0CE9" w:rsidRPr="00046E4A">
              <w:t>section 1</w:t>
            </w:r>
            <w:r w:rsidRPr="00046E4A">
              <w:t xml:space="preserve">1 of the </w:t>
            </w:r>
            <w:r w:rsidRPr="00046E4A">
              <w:rPr>
                <w:i/>
              </w:rPr>
              <w:t>Subdivision Act 2002</w:t>
            </w:r>
          </w:p>
        </w:tc>
      </w:tr>
      <w:tr w:rsidR="000271C4" w:rsidRPr="00046E4A" w14:paraId="3C3CA62F" w14:textId="77777777" w:rsidTr="00B21100">
        <w:tc>
          <w:tcPr>
            <w:tcW w:w="368" w:type="pct"/>
            <w:tcBorders>
              <w:bottom w:val="single" w:sz="4" w:space="0" w:color="auto"/>
            </w:tcBorders>
            <w:shd w:val="clear" w:color="auto" w:fill="auto"/>
          </w:tcPr>
          <w:p w14:paraId="412B3CE1" w14:textId="77777777" w:rsidR="000271C4" w:rsidRPr="00046E4A" w:rsidRDefault="000271C4" w:rsidP="00B21100">
            <w:pPr>
              <w:pStyle w:val="Tabletext"/>
            </w:pPr>
            <w:r w:rsidRPr="00046E4A">
              <w:t>30</w:t>
            </w:r>
          </w:p>
        </w:tc>
        <w:tc>
          <w:tcPr>
            <w:tcW w:w="4632" w:type="pct"/>
            <w:tcBorders>
              <w:bottom w:val="single" w:sz="4" w:space="0" w:color="auto"/>
            </w:tcBorders>
            <w:shd w:val="clear" w:color="auto" w:fill="auto"/>
          </w:tcPr>
          <w:p w14:paraId="32CB4C58" w14:textId="77777777" w:rsidR="000271C4" w:rsidRPr="00046E4A" w:rsidRDefault="000271C4" w:rsidP="00B21100">
            <w:pPr>
              <w:pStyle w:val="Tabletext"/>
            </w:pPr>
            <w:r w:rsidRPr="00046E4A">
              <w:t xml:space="preserve">A decision under section 7 or 17 of the </w:t>
            </w:r>
            <w:r w:rsidRPr="00046E4A">
              <w:rPr>
                <w:i/>
              </w:rPr>
              <w:t>Tourist Accommodation Act 1984</w:t>
            </w:r>
          </w:p>
        </w:tc>
      </w:tr>
      <w:tr w:rsidR="000271C4" w:rsidRPr="00046E4A" w14:paraId="5300C1CE" w14:textId="77777777" w:rsidTr="00B21100">
        <w:tc>
          <w:tcPr>
            <w:tcW w:w="368" w:type="pct"/>
            <w:tcBorders>
              <w:bottom w:val="single" w:sz="4" w:space="0" w:color="auto"/>
            </w:tcBorders>
            <w:shd w:val="clear" w:color="auto" w:fill="auto"/>
          </w:tcPr>
          <w:p w14:paraId="7DC02739" w14:textId="77777777" w:rsidR="000271C4" w:rsidRPr="00046E4A" w:rsidRDefault="000271C4" w:rsidP="00B21100">
            <w:pPr>
              <w:pStyle w:val="Tabletext"/>
            </w:pPr>
            <w:r w:rsidRPr="00046E4A">
              <w:t>31</w:t>
            </w:r>
          </w:p>
        </w:tc>
        <w:tc>
          <w:tcPr>
            <w:tcW w:w="4632" w:type="pct"/>
            <w:tcBorders>
              <w:bottom w:val="single" w:sz="4" w:space="0" w:color="auto"/>
            </w:tcBorders>
            <w:shd w:val="clear" w:color="auto" w:fill="auto"/>
          </w:tcPr>
          <w:p w14:paraId="4FADA0DB" w14:textId="77777777" w:rsidR="000271C4" w:rsidRPr="00046E4A" w:rsidRDefault="000271C4" w:rsidP="00B21100">
            <w:pPr>
              <w:pStyle w:val="Tabletext"/>
            </w:pPr>
            <w:r w:rsidRPr="00046E4A">
              <w:t xml:space="preserve">A decision under section 4 of the </w:t>
            </w:r>
            <w:r w:rsidRPr="00046E4A">
              <w:rPr>
                <w:i/>
              </w:rPr>
              <w:t>Tourist Accommodation (Ownership) Act 1989</w:t>
            </w:r>
          </w:p>
        </w:tc>
      </w:tr>
      <w:tr w:rsidR="000271C4" w:rsidRPr="00046E4A" w14:paraId="4041F8A1" w14:textId="77777777" w:rsidTr="00B21100">
        <w:tc>
          <w:tcPr>
            <w:tcW w:w="368" w:type="pct"/>
            <w:tcBorders>
              <w:bottom w:val="single" w:sz="12" w:space="0" w:color="auto"/>
            </w:tcBorders>
            <w:shd w:val="clear" w:color="auto" w:fill="auto"/>
          </w:tcPr>
          <w:p w14:paraId="5F17EA47" w14:textId="77777777" w:rsidR="000271C4" w:rsidRPr="00046E4A" w:rsidRDefault="000271C4" w:rsidP="00B21100">
            <w:pPr>
              <w:pStyle w:val="Tabletext"/>
            </w:pPr>
            <w:r w:rsidRPr="00046E4A">
              <w:t>32</w:t>
            </w:r>
          </w:p>
        </w:tc>
        <w:tc>
          <w:tcPr>
            <w:tcW w:w="4632" w:type="pct"/>
            <w:tcBorders>
              <w:bottom w:val="single" w:sz="12" w:space="0" w:color="auto"/>
            </w:tcBorders>
            <w:shd w:val="clear" w:color="auto" w:fill="auto"/>
          </w:tcPr>
          <w:p w14:paraId="33839BF5" w14:textId="77777777" w:rsidR="000271C4" w:rsidRPr="00046E4A" w:rsidRDefault="000271C4" w:rsidP="00B21100">
            <w:pPr>
              <w:pStyle w:val="Tabletext"/>
            </w:pPr>
            <w:r w:rsidRPr="00046E4A">
              <w:t xml:space="preserve">Any of the following decisions under the </w:t>
            </w:r>
            <w:r w:rsidRPr="00046E4A">
              <w:rPr>
                <w:i/>
              </w:rPr>
              <w:t>Trees Act 1997</w:t>
            </w:r>
            <w:r w:rsidRPr="00046E4A">
              <w:t>:</w:t>
            </w:r>
          </w:p>
          <w:p w14:paraId="5B02CAA3" w14:textId="77777777" w:rsidR="000271C4" w:rsidRPr="00046E4A" w:rsidRDefault="000271C4" w:rsidP="00B21100">
            <w:pPr>
              <w:pStyle w:val="Tablea"/>
            </w:pPr>
            <w:r w:rsidRPr="00046E4A">
              <w:t>(a) a decision under section 9 to:</w:t>
            </w:r>
          </w:p>
          <w:p w14:paraId="1524B7BE" w14:textId="77777777" w:rsidR="000271C4" w:rsidRPr="00046E4A" w:rsidRDefault="000271C4" w:rsidP="00B21100">
            <w:pPr>
              <w:pStyle w:val="Tablei"/>
            </w:pPr>
            <w:r w:rsidRPr="00046E4A">
              <w:lastRenderedPageBreak/>
              <w:t>(i) refuse to grant a permit; or</w:t>
            </w:r>
          </w:p>
          <w:p w14:paraId="3CA9B669" w14:textId="77777777" w:rsidR="000271C4" w:rsidRPr="00046E4A" w:rsidRDefault="000271C4" w:rsidP="00B21100">
            <w:pPr>
              <w:pStyle w:val="Tablei"/>
            </w:pPr>
            <w:r w:rsidRPr="00046E4A">
              <w:t>(ii) endorse conditions on a permit;</w:t>
            </w:r>
          </w:p>
          <w:p w14:paraId="55C7B16F" w14:textId="77777777" w:rsidR="000271C4" w:rsidRPr="00046E4A" w:rsidRDefault="000271C4" w:rsidP="00B21100">
            <w:pPr>
              <w:pStyle w:val="Tablea"/>
            </w:pPr>
            <w:r w:rsidRPr="00046E4A">
              <w:t xml:space="preserve">(b) a decision under </w:t>
            </w:r>
            <w:r w:rsidR="002B0CE9" w:rsidRPr="00046E4A">
              <w:t>section 1</w:t>
            </w:r>
            <w:r w:rsidRPr="00046E4A">
              <w:t>2 to refuse to register a plantation;</w:t>
            </w:r>
          </w:p>
          <w:p w14:paraId="68EEE09D" w14:textId="77777777" w:rsidR="000271C4" w:rsidRPr="00046E4A" w:rsidRDefault="000271C4" w:rsidP="00B21100">
            <w:pPr>
              <w:pStyle w:val="Tablea"/>
            </w:pPr>
            <w:r w:rsidRPr="00046E4A">
              <w:t xml:space="preserve">(c) a decision under </w:t>
            </w:r>
            <w:r w:rsidR="002B0CE9" w:rsidRPr="00046E4A">
              <w:t>section 1</w:t>
            </w:r>
            <w:r w:rsidRPr="00046E4A">
              <w:t>7 to refuse to grant a timber licence;</w:t>
            </w:r>
          </w:p>
          <w:p w14:paraId="2F2BD974" w14:textId="77777777" w:rsidR="000271C4" w:rsidRPr="00046E4A" w:rsidRDefault="000271C4" w:rsidP="00B21100">
            <w:pPr>
              <w:pStyle w:val="Tablea"/>
            </w:pPr>
            <w:r w:rsidRPr="00046E4A">
              <w:t xml:space="preserve">(d) a decision under </w:t>
            </w:r>
            <w:r w:rsidR="002B0CE9" w:rsidRPr="00046E4A">
              <w:t>section 1</w:t>
            </w:r>
            <w:r w:rsidRPr="00046E4A">
              <w:t>8 to endorse conditions on a timber licence</w:t>
            </w:r>
          </w:p>
        </w:tc>
      </w:tr>
    </w:tbl>
    <w:p w14:paraId="3DEC08E3" w14:textId="77777777" w:rsidR="000271C4" w:rsidRPr="00046E4A" w:rsidRDefault="0045486B" w:rsidP="000271C4">
      <w:pPr>
        <w:pStyle w:val="ActHead5"/>
      </w:pPr>
      <w:bookmarkStart w:id="38" w:name="_Toc175811246"/>
      <w:r w:rsidRPr="00177AC3">
        <w:rPr>
          <w:rStyle w:val="CharSectno"/>
        </w:rPr>
        <w:lastRenderedPageBreak/>
        <w:t>28</w:t>
      </w:r>
      <w:r w:rsidR="000271C4" w:rsidRPr="00046E4A">
        <w:t xml:space="preserve">  Modification of operation of Act</w:t>
      </w:r>
      <w:bookmarkEnd w:id="38"/>
    </w:p>
    <w:p w14:paraId="231DC27C" w14:textId="77777777" w:rsidR="000271C4" w:rsidRPr="00046E4A" w:rsidRDefault="000271C4" w:rsidP="000271C4">
      <w:pPr>
        <w:pStyle w:val="SubsectionHead"/>
      </w:pPr>
      <w:r w:rsidRPr="00046E4A">
        <w:t>Certain references to instruments include references to Norfolk Island enactments</w:t>
      </w:r>
    </w:p>
    <w:p w14:paraId="47BAD69A" w14:textId="77777777" w:rsidR="000271C4" w:rsidRPr="00046E4A" w:rsidRDefault="000271C4" w:rsidP="000271C4">
      <w:pPr>
        <w:pStyle w:val="subsection"/>
      </w:pPr>
      <w:r w:rsidRPr="00046E4A">
        <w:tab/>
        <w:t>(1)</w:t>
      </w:r>
      <w:r w:rsidRPr="00046E4A">
        <w:tab/>
        <w:t>Subsection (2) applies, for the purposes of paragraph 297(2)(b) of the Act, if:</w:t>
      </w:r>
    </w:p>
    <w:p w14:paraId="65C7BDB1" w14:textId="77777777" w:rsidR="000271C4" w:rsidRPr="00046E4A" w:rsidRDefault="000271C4" w:rsidP="000271C4">
      <w:pPr>
        <w:pStyle w:val="paragraph"/>
      </w:pPr>
      <w:r w:rsidRPr="00046E4A">
        <w:tab/>
        <w:t>(a)</w:t>
      </w:r>
      <w:r w:rsidRPr="00046E4A">
        <w:tab/>
        <w:t xml:space="preserve">the Act or an instrument made under the Act (the </w:t>
      </w:r>
      <w:r w:rsidRPr="00046E4A">
        <w:rPr>
          <w:b/>
          <w:i/>
        </w:rPr>
        <w:t>ART Act or instrument</w:t>
      </w:r>
      <w:r w:rsidRPr="00046E4A">
        <w:t>) applies a rule (within the ordinary meaning of the word); and</w:t>
      </w:r>
    </w:p>
    <w:p w14:paraId="3AC510C8" w14:textId="77777777" w:rsidR="000271C4" w:rsidRPr="00046E4A" w:rsidRDefault="000271C4" w:rsidP="000271C4">
      <w:pPr>
        <w:pStyle w:val="paragraph"/>
      </w:pPr>
      <w:r w:rsidRPr="00046E4A">
        <w:tab/>
        <w:t>(b)</w:t>
      </w:r>
      <w:r w:rsidRPr="00046E4A">
        <w:tab/>
        <w:t>the rule includes a reference to an instrument made under an Act (however described); and</w:t>
      </w:r>
    </w:p>
    <w:p w14:paraId="3521AE8F" w14:textId="77777777" w:rsidR="000271C4" w:rsidRPr="00046E4A" w:rsidRDefault="000271C4" w:rsidP="000271C4">
      <w:pPr>
        <w:pStyle w:val="paragraph"/>
      </w:pPr>
      <w:r w:rsidRPr="00046E4A">
        <w:tab/>
        <w:t>(c)</w:t>
      </w:r>
      <w:r w:rsidRPr="00046E4A">
        <w:tab/>
        <w:t>the rule applies differently in relation to a Norfolk Island decision from the way the rule applies in relation to a decision made under an instrument made under an Act; and</w:t>
      </w:r>
    </w:p>
    <w:p w14:paraId="68327EFC" w14:textId="77777777" w:rsidR="000271C4" w:rsidRPr="00046E4A" w:rsidRDefault="000271C4" w:rsidP="000271C4">
      <w:pPr>
        <w:pStyle w:val="paragraph"/>
      </w:pPr>
      <w:r w:rsidRPr="00046E4A">
        <w:tab/>
        <w:t>(d)</w:t>
      </w:r>
      <w:r w:rsidRPr="00046E4A">
        <w:tab/>
        <w:t>the reason for the difference is that (apart from this subsection) the reference to an instrument made under an Act does not include a reference to a Norfolk Island enactment.</w:t>
      </w:r>
    </w:p>
    <w:p w14:paraId="743E7DFC" w14:textId="77777777" w:rsidR="000271C4" w:rsidRPr="00046E4A" w:rsidRDefault="000271C4" w:rsidP="000271C4">
      <w:pPr>
        <w:pStyle w:val="subsection"/>
      </w:pPr>
      <w:r w:rsidRPr="00046E4A">
        <w:tab/>
        <w:t>(2)</w:t>
      </w:r>
      <w:r w:rsidRPr="00046E4A">
        <w:tab/>
        <w:t>The ART Act or instrument applies, in relation to the Norfolk Island decision, as if the reference in the rule to an instrument made under an Act included a reference to a Norfolk Island enactment (whether the enactment under which the decision is made, or another Norfolk Island enactment, as the case requires).</w:t>
      </w:r>
    </w:p>
    <w:p w14:paraId="1C7410BA" w14:textId="77777777" w:rsidR="000271C4" w:rsidRPr="00046E4A" w:rsidRDefault="000271C4" w:rsidP="000271C4">
      <w:pPr>
        <w:pStyle w:val="notetext"/>
      </w:pPr>
      <w:r w:rsidRPr="00046E4A">
        <w:t>Example 1:</w:t>
      </w:r>
      <w:r w:rsidRPr="00046E4A">
        <w:tab/>
        <w:t>Section 16 of the Act provides that, for the purposes of an instrument that provides for an application to be made to the Tribunal, a decision is taken to be made if a timeframe expires without a decision having been made. This subsection extends that rule to Norfolk Island enactments for Norfolk Island decisions.</w:t>
      </w:r>
    </w:p>
    <w:p w14:paraId="2BB283DE" w14:textId="77777777" w:rsidR="000271C4" w:rsidRPr="00046E4A" w:rsidRDefault="000271C4" w:rsidP="000271C4">
      <w:pPr>
        <w:pStyle w:val="notetext"/>
      </w:pPr>
      <w:r w:rsidRPr="00046E4A">
        <w:t>Example 2:</w:t>
      </w:r>
      <w:r w:rsidRPr="00046E4A">
        <w:tab/>
        <w:t>Section 54 of the Act confers on the Tribunal all the powers and discretions conferred on a decision</w:t>
      </w:r>
      <w:r w:rsidR="00046E4A">
        <w:noBreakHyphen/>
      </w:r>
      <w:r w:rsidRPr="00046E4A">
        <w:t>maker by an instrument made under an Act. This subsection ensures that the Tribunal can exercise powers and discretions under Norfolk Island enactments in relation to Norfolk Island decisions.</w:t>
      </w:r>
    </w:p>
    <w:p w14:paraId="7A799C62" w14:textId="77777777" w:rsidR="000271C4" w:rsidRPr="00046E4A" w:rsidRDefault="000271C4" w:rsidP="000271C4">
      <w:pPr>
        <w:pStyle w:val="subsection"/>
      </w:pPr>
      <w:r w:rsidRPr="00046E4A">
        <w:tab/>
        <w:t>(3)</w:t>
      </w:r>
      <w:r w:rsidRPr="00046E4A">
        <w:tab/>
        <w:t>To avoid doubt, subsection (2) applies whether or not the rule explicitly refers to a decision.</w:t>
      </w:r>
    </w:p>
    <w:p w14:paraId="26715968" w14:textId="77777777" w:rsidR="000271C4" w:rsidRPr="00046E4A" w:rsidRDefault="000271C4" w:rsidP="000271C4">
      <w:pPr>
        <w:pStyle w:val="SubsectionHead"/>
      </w:pPr>
      <w:r w:rsidRPr="00046E4A">
        <w:t>Reference to Secretary of the Department</w:t>
      </w:r>
    </w:p>
    <w:p w14:paraId="657FC3B8" w14:textId="77777777" w:rsidR="000271C4" w:rsidRPr="00046E4A" w:rsidRDefault="000271C4" w:rsidP="000271C4">
      <w:pPr>
        <w:pStyle w:val="subsection"/>
      </w:pPr>
      <w:r w:rsidRPr="00046E4A">
        <w:tab/>
        <w:t>(4)</w:t>
      </w:r>
      <w:r w:rsidRPr="00046E4A">
        <w:tab/>
        <w:t xml:space="preserve">For the purposes of paragraph 297(2)(b), </w:t>
      </w:r>
      <w:r w:rsidR="002B0CE9" w:rsidRPr="00046E4A">
        <w:t>subsection 2</w:t>
      </w:r>
      <w:r w:rsidRPr="00046E4A">
        <w:t xml:space="preserve">91(2) of the Act applies, in relation to a Norfolk Island decision, as if a reference to the Secretary of the Department were a reference to the Secretary of the Department administered by the Minister who administers the </w:t>
      </w:r>
      <w:r w:rsidRPr="00046E4A">
        <w:rPr>
          <w:i/>
        </w:rPr>
        <w:t>Norfolk Island Act 1979</w:t>
      </w:r>
      <w:r w:rsidRPr="00046E4A">
        <w:t>.</w:t>
      </w:r>
    </w:p>
    <w:sectPr w:rsidR="000271C4" w:rsidRPr="00046E4A" w:rsidSect="00AB4742">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5BF95" w14:textId="77777777" w:rsidR="008D70F3" w:rsidRDefault="008D70F3" w:rsidP="00715914">
      <w:pPr>
        <w:spacing w:line="240" w:lineRule="auto"/>
      </w:pPr>
      <w:r>
        <w:separator/>
      </w:r>
    </w:p>
  </w:endnote>
  <w:endnote w:type="continuationSeparator" w:id="0">
    <w:p w14:paraId="5BD5B136" w14:textId="77777777" w:rsidR="008D70F3" w:rsidRDefault="008D70F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B1D4" w14:textId="77777777" w:rsidR="00177AC3" w:rsidRPr="00AB4742" w:rsidRDefault="00AB4742" w:rsidP="00AB4742">
    <w:pPr>
      <w:pStyle w:val="Footer"/>
      <w:rPr>
        <w:i/>
        <w:sz w:val="18"/>
      </w:rPr>
    </w:pPr>
    <w:r w:rsidRPr="00AB4742">
      <w:rPr>
        <w:i/>
        <w:sz w:val="18"/>
      </w:rPr>
      <w:t>OPC66733 -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2136" w14:textId="77777777" w:rsidR="008D70F3" w:rsidRDefault="008D70F3" w:rsidP="007500C8">
    <w:pPr>
      <w:pStyle w:val="Footer"/>
    </w:pPr>
  </w:p>
  <w:p w14:paraId="380BFA12" w14:textId="77777777" w:rsidR="008D70F3" w:rsidRPr="00AB4742" w:rsidRDefault="00AB4742" w:rsidP="00AB4742">
    <w:pPr>
      <w:pStyle w:val="Footer"/>
      <w:rPr>
        <w:i/>
        <w:sz w:val="18"/>
      </w:rPr>
    </w:pPr>
    <w:r w:rsidRPr="00AB4742">
      <w:rPr>
        <w:i/>
        <w:sz w:val="18"/>
      </w:rPr>
      <w:t>OPC66733 -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756A" w14:textId="77777777" w:rsidR="008D70F3" w:rsidRPr="00AB4742" w:rsidRDefault="00AB4742" w:rsidP="00AB4742">
    <w:pPr>
      <w:pStyle w:val="Footer"/>
      <w:tabs>
        <w:tab w:val="clear" w:pos="4153"/>
        <w:tab w:val="clear" w:pos="8306"/>
        <w:tab w:val="center" w:pos="4150"/>
        <w:tab w:val="right" w:pos="8307"/>
      </w:tabs>
      <w:spacing w:before="120"/>
      <w:rPr>
        <w:i/>
        <w:sz w:val="18"/>
      </w:rPr>
    </w:pPr>
    <w:r w:rsidRPr="00AB4742">
      <w:rPr>
        <w:i/>
        <w:sz w:val="18"/>
      </w:rPr>
      <w:t>OPC66733 -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75AC" w14:textId="77777777" w:rsidR="008D70F3" w:rsidRPr="00E33C1C" w:rsidRDefault="008D70F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D70F3" w14:paraId="71226436" w14:textId="77777777" w:rsidTr="00177AC3">
      <w:tc>
        <w:tcPr>
          <w:tcW w:w="709" w:type="dxa"/>
          <w:tcBorders>
            <w:top w:val="nil"/>
            <w:left w:val="nil"/>
            <w:bottom w:val="nil"/>
            <w:right w:val="nil"/>
          </w:tcBorders>
        </w:tcPr>
        <w:p w14:paraId="65CCF5B7" w14:textId="77777777" w:rsidR="008D70F3" w:rsidRDefault="008D70F3" w:rsidP="00D6141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2FB4A19" w14:textId="5ECD7CF0" w:rsidR="008D70F3" w:rsidRDefault="008D70F3" w:rsidP="00D614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518">
            <w:rPr>
              <w:i/>
              <w:sz w:val="18"/>
            </w:rPr>
            <w:t>Administrative Review Tribunal Regulations 2024</w:t>
          </w:r>
          <w:r w:rsidRPr="007A1328">
            <w:rPr>
              <w:i/>
              <w:sz w:val="18"/>
            </w:rPr>
            <w:fldChar w:fldCharType="end"/>
          </w:r>
        </w:p>
      </w:tc>
      <w:tc>
        <w:tcPr>
          <w:tcW w:w="1384" w:type="dxa"/>
          <w:tcBorders>
            <w:top w:val="nil"/>
            <w:left w:val="nil"/>
            <w:bottom w:val="nil"/>
            <w:right w:val="nil"/>
          </w:tcBorders>
        </w:tcPr>
        <w:p w14:paraId="7D5641AC" w14:textId="77777777" w:rsidR="008D70F3" w:rsidRDefault="008D70F3" w:rsidP="00D6141F">
          <w:pPr>
            <w:spacing w:line="0" w:lineRule="atLeast"/>
            <w:jc w:val="right"/>
            <w:rPr>
              <w:sz w:val="18"/>
            </w:rPr>
          </w:pPr>
        </w:p>
      </w:tc>
    </w:tr>
  </w:tbl>
  <w:p w14:paraId="4F6B5EC8" w14:textId="77777777" w:rsidR="008D70F3" w:rsidRPr="00AB4742" w:rsidRDefault="00AB4742" w:rsidP="00AB4742">
    <w:pPr>
      <w:rPr>
        <w:rFonts w:cs="Times New Roman"/>
        <w:i/>
        <w:sz w:val="18"/>
      </w:rPr>
    </w:pPr>
    <w:r w:rsidRPr="00AB4742">
      <w:rPr>
        <w:rFonts w:cs="Times New Roman"/>
        <w:i/>
        <w:sz w:val="18"/>
      </w:rPr>
      <w:t>OPC66733 -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25A8" w14:textId="77777777" w:rsidR="008D70F3" w:rsidRPr="00E33C1C" w:rsidRDefault="008D70F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D70F3" w14:paraId="3150D7C9" w14:textId="77777777" w:rsidTr="00B33709">
      <w:tc>
        <w:tcPr>
          <w:tcW w:w="1383" w:type="dxa"/>
          <w:tcBorders>
            <w:top w:val="nil"/>
            <w:left w:val="nil"/>
            <w:bottom w:val="nil"/>
            <w:right w:val="nil"/>
          </w:tcBorders>
        </w:tcPr>
        <w:p w14:paraId="36004D50" w14:textId="77777777" w:rsidR="008D70F3" w:rsidRDefault="008D70F3" w:rsidP="00D6141F">
          <w:pPr>
            <w:spacing w:line="0" w:lineRule="atLeast"/>
            <w:rPr>
              <w:sz w:val="18"/>
            </w:rPr>
          </w:pPr>
        </w:p>
      </w:tc>
      <w:tc>
        <w:tcPr>
          <w:tcW w:w="6380" w:type="dxa"/>
          <w:tcBorders>
            <w:top w:val="nil"/>
            <w:left w:val="nil"/>
            <w:bottom w:val="nil"/>
            <w:right w:val="nil"/>
          </w:tcBorders>
        </w:tcPr>
        <w:p w14:paraId="44A2C124" w14:textId="63925D20" w:rsidR="008D70F3" w:rsidRDefault="008D70F3" w:rsidP="00D614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518">
            <w:rPr>
              <w:i/>
              <w:sz w:val="18"/>
            </w:rPr>
            <w:t>Administrative Review Tribunal Regulations 2024</w:t>
          </w:r>
          <w:r w:rsidRPr="007A1328">
            <w:rPr>
              <w:i/>
              <w:sz w:val="18"/>
            </w:rPr>
            <w:fldChar w:fldCharType="end"/>
          </w:r>
        </w:p>
      </w:tc>
      <w:tc>
        <w:tcPr>
          <w:tcW w:w="709" w:type="dxa"/>
          <w:tcBorders>
            <w:top w:val="nil"/>
            <w:left w:val="nil"/>
            <w:bottom w:val="nil"/>
            <w:right w:val="nil"/>
          </w:tcBorders>
        </w:tcPr>
        <w:p w14:paraId="32D85C11" w14:textId="77777777" w:rsidR="008D70F3" w:rsidRDefault="008D70F3" w:rsidP="00D6141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5730B2C" w14:textId="77777777" w:rsidR="008D70F3" w:rsidRPr="00AB4742" w:rsidRDefault="00AB4742" w:rsidP="00AB4742">
    <w:pPr>
      <w:rPr>
        <w:rFonts w:cs="Times New Roman"/>
        <w:i/>
        <w:sz w:val="18"/>
      </w:rPr>
    </w:pPr>
    <w:r w:rsidRPr="00AB4742">
      <w:rPr>
        <w:rFonts w:cs="Times New Roman"/>
        <w:i/>
        <w:sz w:val="18"/>
      </w:rPr>
      <w:t>OPC66733 -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17CB" w14:textId="77777777" w:rsidR="008D70F3" w:rsidRPr="00E33C1C" w:rsidRDefault="008D70F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D70F3" w14:paraId="6668D820" w14:textId="77777777" w:rsidTr="00177AC3">
      <w:tc>
        <w:tcPr>
          <w:tcW w:w="709" w:type="dxa"/>
          <w:tcBorders>
            <w:top w:val="nil"/>
            <w:left w:val="nil"/>
            <w:bottom w:val="nil"/>
            <w:right w:val="nil"/>
          </w:tcBorders>
        </w:tcPr>
        <w:p w14:paraId="373BC3F4" w14:textId="77777777" w:rsidR="008D70F3" w:rsidRDefault="008D70F3" w:rsidP="00D6141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0AD92F33" w14:textId="72A1E8B4" w:rsidR="008D70F3" w:rsidRDefault="008D70F3" w:rsidP="00D614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518">
            <w:rPr>
              <w:i/>
              <w:sz w:val="18"/>
            </w:rPr>
            <w:t>Administrative Review Tribunal Regulations 2024</w:t>
          </w:r>
          <w:r w:rsidRPr="007A1328">
            <w:rPr>
              <w:i/>
              <w:sz w:val="18"/>
            </w:rPr>
            <w:fldChar w:fldCharType="end"/>
          </w:r>
        </w:p>
      </w:tc>
      <w:tc>
        <w:tcPr>
          <w:tcW w:w="1384" w:type="dxa"/>
          <w:tcBorders>
            <w:top w:val="nil"/>
            <w:left w:val="nil"/>
            <w:bottom w:val="nil"/>
            <w:right w:val="nil"/>
          </w:tcBorders>
        </w:tcPr>
        <w:p w14:paraId="48F47CE9" w14:textId="77777777" w:rsidR="008D70F3" w:rsidRDefault="008D70F3" w:rsidP="00D6141F">
          <w:pPr>
            <w:spacing w:line="0" w:lineRule="atLeast"/>
            <w:jc w:val="right"/>
            <w:rPr>
              <w:sz w:val="18"/>
            </w:rPr>
          </w:pPr>
        </w:p>
      </w:tc>
    </w:tr>
  </w:tbl>
  <w:p w14:paraId="5F382987" w14:textId="77777777" w:rsidR="008D70F3" w:rsidRPr="00AB4742" w:rsidRDefault="00AB4742" w:rsidP="00AB4742">
    <w:pPr>
      <w:rPr>
        <w:rFonts w:cs="Times New Roman"/>
        <w:i/>
        <w:sz w:val="18"/>
      </w:rPr>
    </w:pPr>
    <w:r w:rsidRPr="00AB4742">
      <w:rPr>
        <w:rFonts w:cs="Times New Roman"/>
        <w:i/>
        <w:sz w:val="18"/>
      </w:rPr>
      <w:t>OPC66733 -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22B5" w14:textId="77777777" w:rsidR="008D70F3" w:rsidRPr="00E33C1C" w:rsidRDefault="008D70F3"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8D70F3" w14:paraId="1B1E71BD" w14:textId="77777777" w:rsidTr="00D6141F">
      <w:tc>
        <w:tcPr>
          <w:tcW w:w="1384" w:type="dxa"/>
          <w:tcBorders>
            <w:top w:val="nil"/>
            <w:left w:val="nil"/>
            <w:bottom w:val="nil"/>
            <w:right w:val="nil"/>
          </w:tcBorders>
        </w:tcPr>
        <w:p w14:paraId="795E3791" w14:textId="77777777" w:rsidR="008D70F3" w:rsidRDefault="008D70F3" w:rsidP="00D6141F">
          <w:pPr>
            <w:spacing w:line="0" w:lineRule="atLeast"/>
            <w:rPr>
              <w:sz w:val="18"/>
            </w:rPr>
          </w:pPr>
        </w:p>
      </w:tc>
      <w:tc>
        <w:tcPr>
          <w:tcW w:w="6379" w:type="dxa"/>
          <w:tcBorders>
            <w:top w:val="nil"/>
            <w:left w:val="nil"/>
            <w:bottom w:val="nil"/>
            <w:right w:val="nil"/>
          </w:tcBorders>
        </w:tcPr>
        <w:p w14:paraId="2E86B043" w14:textId="0645F5BB" w:rsidR="008D70F3" w:rsidRDefault="008D70F3" w:rsidP="00D614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518">
            <w:rPr>
              <w:i/>
              <w:sz w:val="18"/>
            </w:rPr>
            <w:t>Administrative Review Tribunal Regulations 2024</w:t>
          </w:r>
          <w:r w:rsidRPr="007A1328">
            <w:rPr>
              <w:i/>
              <w:sz w:val="18"/>
            </w:rPr>
            <w:fldChar w:fldCharType="end"/>
          </w:r>
        </w:p>
      </w:tc>
      <w:tc>
        <w:tcPr>
          <w:tcW w:w="709" w:type="dxa"/>
          <w:tcBorders>
            <w:top w:val="nil"/>
            <w:left w:val="nil"/>
            <w:bottom w:val="nil"/>
            <w:right w:val="nil"/>
          </w:tcBorders>
        </w:tcPr>
        <w:p w14:paraId="0024B41D" w14:textId="77777777" w:rsidR="008D70F3" w:rsidRDefault="008D70F3" w:rsidP="00D6141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9FE11C9" w14:textId="77777777" w:rsidR="008D70F3" w:rsidRPr="00AB4742" w:rsidRDefault="00AB4742" w:rsidP="00AB4742">
    <w:pPr>
      <w:rPr>
        <w:rFonts w:cs="Times New Roman"/>
        <w:i/>
        <w:sz w:val="18"/>
      </w:rPr>
    </w:pPr>
    <w:r w:rsidRPr="00AB4742">
      <w:rPr>
        <w:rFonts w:cs="Times New Roman"/>
        <w:i/>
        <w:sz w:val="18"/>
      </w:rPr>
      <w:t>OPC66733 -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0590" w14:textId="77777777" w:rsidR="008D70F3" w:rsidRPr="00E33C1C" w:rsidRDefault="008D70F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D70F3" w14:paraId="005EDE77" w14:textId="77777777" w:rsidTr="00B33709">
      <w:tc>
        <w:tcPr>
          <w:tcW w:w="1384" w:type="dxa"/>
          <w:tcBorders>
            <w:top w:val="nil"/>
            <w:left w:val="nil"/>
            <w:bottom w:val="nil"/>
            <w:right w:val="nil"/>
          </w:tcBorders>
        </w:tcPr>
        <w:p w14:paraId="29DC32F1" w14:textId="77777777" w:rsidR="008D70F3" w:rsidRDefault="008D70F3" w:rsidP="00D6141F">
          <w:pPr>
            <w:spacing w:line="0" w:lineRule="atLeast"/>
            <w:rPr>
              <w:sz w:val="18"/>
            </w:rPr>
          </w:pPr>
        </w:p>
      </w:tc>
      <w:tc>
        <w:tcPr>
          <w:tcW w:w="6379" w:type="dxa"/>
          <w:tcBorders>
            <w:top w:val="nil"/>
            <w:left w:val="nil"/>
            <w:bottom w:val="nil"/>
            <w:right w:val="nil"/>
          </w:tcBorders>
        </w:tcPr>
        <w:p w14:paraId="7F9B01EB" w14:textId="604655AC" w:rsidR="008D70F3" w:rsidRDefault="008D70F3" w:rsidP="00D614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518">
            <w:rPr>
              <w:i/>
              <w:sz w:val="18"/>
            </w:rPr>
            <w:t>Administrative Review Tribunal Regulations 2024</w:t>
          </w:r>
          <w:r w:rsidRPr="007A1328">
            <w:rPr>
              <w:i/>
              <w:sz w:val="18"/>
            </w:rPr>
            <w:fldChar w:fldCharType="end"/>
          </w:r>
        </w:p>
      </w:tc>
      <w:tc>
        <w:tcPr>
          <w:tcW w:w="709" w:type="dxa"/>
          <w:tcBorders>
            <w:top w:val="nil"/>
            <w:left w:val="nil"/>
            <w:bottom w:val="nil"/>
            <w:right w:val="nil"/>
          </w:tcBorders>
        </w:tcPr>
        <w:p w14:paraId="78A58150" w14:textId="77777777" w:rsidR="008D70F3" w:rsidRDefault="008D70F3" w:rsidP="00D6141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2892D35" w14:textId="77777777" w:rsidR="008D70F3" w:rsidRPr="00AB4742" w:rsidRDefault="00AB4742" w:rsidP="00AB4742">
    <w:pPr>
      <w:rPr>
        <w:rFonts w:cs="Times New Roman"/>
        <w:i/>
        <w:sz w:val="18"/>
      </w:rPr>
    </w:pPr>
    <w:r w:rsidRPr="00AB4742">
      <w:rPr>
        <w:rFonts w:cs="Times New Roman"/>
        <w:i/>
        <w:sz w:val="18"/>
      </w:rPr>
      <w:t>OPC66733 -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C99A1" w14:textId="77777777" w:rsidR="008D70F3" w:rsidRDefault="008D70F3" w:rsidP="00715914">
      <w:pPr>
        <w:spacing w:line="240" w:lineRule="auto"/>
      </w:pPr>
      <w:r>
        <w:separator/>
      </w:r>
    </w:p>
  </w:footnote>
  <w:footnote w:type="continuationSeparator" w:id="0">
    <w:p w14:paraId="7D5ACC2F" w14:textId="77777777" w:rsidR="008D70F3" w:rsidRDefault="008D70F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938E" w14:textId="77777777" w:rsidR="008D70F3" w:rsidRPr="005F1388" w:rsidRDefault="008D70F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F1FD" w14:textId="77777777" w:rsidR="008D70F3" w:rsidRPr="005F1388" w:rsidRDefault="008D70F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44CB" w14:textId="77777777" w:rsidR="008D70F3" w:rsidRPr="005F1388" w:rsidRDefault="008D70F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B99C" w14:textId="77777777" w:rsidR="008D70F3" w:rsidRPr="00ED79B6" w:rsidRDefault="008D70F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96BF" w14:textId="77777777" w:rsidR="008D70F3" w:rsidRPr="00ED79B6" w:rsidRDefault="008D70F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954B" w14:textId="77777777" w:rsidR="008D70F3" w:rsidRPr="00ED79B6" w:rsidRDefault="008D70F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7280" w14:textId="0622FF8E" w:rsidR="008D70F3" w:rsidRDefault="008D70F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8AC9687" w14:textId="26E202A7" w:rsidR="008D70F3" w:rsidRDefault="008D70F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01446">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01446">
      <w:rPr>
        <w:noProof/>
        <w:sz w:val="20"/>
      </w:rPr>
      <w:t>Norfolk Island</w:t>
    </w:r>
    <w:r>
      <w:rPr>
        <w:sz w:val="20"/>
      </w:rPr>
      <w:fldChar w:fldCharType="end"/>
    </w:r>
  </w:p>
  <w:p w14:paraId="1017A6D1" w14:textId="76D12D40" w:rsidR="008D70F3" w:rsidRPr="007A1328" w:rsidRDefault="008D70F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6675772" w14:textId="77777777" w:rsidR="008D70F3" w:rsidRPr="007A1328" w:rsidRDefault="008D70F3" w:rsidP="00715914">
    <w:pPr>
      <w:rPr>
        <w:b/>
        <w:sz w:val="24"/>
      </w:rPr>
    </w:pPr>
  </w:p>
  <w:p w14:paraId="7592A11A" w14:textId="17B109C9" w:rsidR="008D70F3" w:rsidRPr="007A1328" w:rsidRDefault="008D70F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7551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1446">
      <w:rPr>
        <w:noProof/>
        <w:sz w:val="24"/>
      </w:rPr>
      <w:t>27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3FA3" w14:textId="309F8C37" w:rsidR="008D70F3" w:rsidRPr="007A1328" w:rsidRDefault="008D70F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B8E2496" w14:textId="6C147A3D" w:rsidR="008D70F3" w:rsidRPr="007A1328" w:rsidRDefault="008D70F3" w:rsidP="00715914">
    <w:pPr>
      <w:jc w:val="right"/>
      <w:rPr>
        <w:sz w:val="20"/>
      </w:rPr>
    </w:pPr>
    <w:r w:rsidRPr="007A1328">
      <w:rPr>
        <w:sz w:val="20"/>
      </w:rPr>
      <w:fldChar w:fldCharType="begin"/>
    </w:r>
    <w:r w:rsidRPr="007A1328">
      <w:rPr>
        <w:sz w:val="20"/>
      </w:rPr>
      <w:instrText xml:space="preserve"> STYLEREF CharPartText </w:instrText>
    </w:r>
    <w:r w:rsidR="00401446">
      <w:rPr>
        <w:sz w:val="20"/>
      </w:rPr>
      <w:fldChar w:fldCharType="separate"/>
    </w:r>
    <w:r w:rsidR="00401446">
      <w:rPr>
        <w:noProof/>
        <w:sz w:val="20"/>
      </w:rPr>
      <w:t>Norfolk Island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01446">
      <w:rPr>
        <w:b/>
        <w:sz w:val="20"/>
      </w:rPr>
      <w:fldChar w:fldCharType="separate"/>
    </w:r>
    <w:r w:rsidR="00401446">
      <w:rPr>
        <w:b/>
        <w:noProof/>
        <w:sz w:val="20"/>
      </w:rPr>
      <w:t>Part 5</w:t>
    </w:r>
    <w:r>
      <w:rPr>
        <w:b/>
        <w:sz w:val="20"/>
      </w:rPr>
      <w:fldChar w:fldCharType="end"/>
    </w:r>
  </w:p>
  <w:p w14:paraId="671E5632" w14:textId="355C8699" w:rsidR="008D70F3" w:rsidRPr="007A1328" w:rsidRDefault="008D70F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1DDB5DA" w14:textId="77777777" w:rsidR="008D70F3" w:rsidRPr="007A1328" w:rsidRDefault="008D70F3" w:rsidP="00715914">
    <w:pPr>
      <w:jc w:val="right"/>
      <w:rPr>
        <w:b/>
        <w:sz w:val="24"/>
      </w:rPr>
    </w:pPr>
  </w:p>
  <w:p w14:paraId="01961F13" w14:textId="74C966F2" w:rsidR="008D70F3" w:rsidRPr="007A1328" w:rsidRDefault="008D70F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7551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1446">
      <w:rPr>
        <w:noProof/>
        <w:sz w:val="24"/>
      </w:rPr>
      <w:t>28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DF7D" w14:textId="77777777" w:rsidR="008D70F3" w:rsidRPr="007A1328" w:rsidRDefault="008D70F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B0"/>
    <w:rsid w:val="00004470"/>
    <w:rsid w:val="000136AF"/>
    <w:rsid w:val="000235B0"/>
    <w:rsid w:val="000271C4"/>
    <w:rsid w:val="000272B8"/>
    <w:rsid w:val="000437C1"/>
    <w:rsid w:val="00046E4A"/>
    <w:rsid w:val="0005365D"/>
    <w:rsid w:val="000545F8"/>
    <w:rsid w:val="000614BF"/>
    <w:rsid w:val="00075518"/>
    <w:rsid w:val="00084C7E"/>
    <w:rsid w:val="000A753B"/>
    <w:rsid w:val="000B5052"/>
    <w:rsid w:val="000B58FA"/>
    <w:rsid w:val="000B7E30"/>
    <w:rsid w:val="000D05EF"/>
    <w:rsid w:val="000E2261"/>
    <w:rsid w:val="000E513B"/>
    <w:rsid w:val="000F21C1"/>
    <w:rsid w:val="000F6787"/>
    <w:rsid w:val="00103C2F"/>
    <w:rsid w:val="0010745C"/>
    <w:rsid w:val="001235E9"/>
    <w:rsid w:val="00124527"/>
    <w:rsid w:val="00124CAE"/>
    <w:rsid w:val="00132CEB"/>
    <w:rsid w:val="00134469"/>
    <w:rsid w:val="00142B62"/>
    <w:rsid w:val="00142FC6"/>
    <w:rsid w:val="0014539C"/>
    <w:rsid w:val="00153893"/>
    <w:rsid w:val="00154CAE"/>
    <w:rsid w:val="00157B8B"/>
    <w:rsid w:val="001615FB"/>
    <w:rsid w:val="00166C2F"/>
    <w:rsid w:val="0017048D"/>
    <w:rsid w:val="00171D1C"/>
    <w:rsid w:val="001721AC"/>
    <w:rsid w:val="001769A7"/>
    <w:rsid w:val="00177AC3"/>
    <w:rsid w:val="001809D7"/>
    <w:rsid w:val="001939E1"/>
    <w:rsid w:val="00194C3E"/>
    <w:rsid w:val="00195382"/>
    <w:rsid w:val="001A391A"/>
    <w:rsid w:val="001B3B81"/>
    <w:rsid w:val="001C33B1"/>
    <w:rsid w:val="001C3ECF"/>
    <w:rsid w:val="001C61C5"/>
    <w:rsid w:val="001C69C4"/>
    <w:rsid w:val="001D37EF"/>
    <w:rsid w:val="001E3590"/>
    <w:rsid w:val="001E7407"/>
    <w:rsid w:val="001F098B"/>
    <w:rsid w:val="001F4E7F"/>
    <w:rsid w:val="001F5D5E"/>
    <w:rsid w:val="001F5DBB"/>
    <w:rsid w:val="001F6219"/>
    <w:rsid w:val="001F6CD4"/>
    <w:rsid w:val="00203C8C"/>
    <w:rsid w:val="00206C4D"/>
    <w:rsid w:val="0021053C"/>
    <w:rsid w:val="002150FD"/>
    <w:rsid w:val="00215AF1"/>
    <w:rsid w:val="00226562"/>
    <w:rsid w:val="00226F08"/>
    <w:rsid w:val="002277F1"/>
    <w:rsid w:val="002321E8"/>
    <w:rsid w:val="00236EEC"/>
    <w:rsid w:val="0024010F"/>
    <w:rsid w:val="00240749"/>
    <w:rsid w:val="00243018"/>
    <w:rsid w:val="002564A4"/>
    <w:rsid w:val="0026736C"/>
    <w:rsid w:val="002767AC"/>
    <w:rsid w:val="00281308"/>
    <w:rsid w:val="00284002"/>
    <w:rsid w:val="00284719"/>
    <w:rsid w:val="00285293"/>
    <w:rsid w:val="00297ECB"/>
    <w:rsid w:val="002A6F10"/>
    <w:rsid w:val="002A7BCF"/>
    <w:rsid w:val="002B0CE9"/>
    <w:rsid w:val="002C4A40"/>
    <w:rsid w:val="002D043A"/>
    <w:rsid w:val="002D6224"/>
    <w:rsid w:val="002E3F4B"/>
    <w:rsid w:val="00304F8B"/>
    <w:rsid w:val="003279FD"/>
    <w:rsid w:val="003328D5"/>
    <w:rsid w:val="003354D2"/>
    <w:rsid w:val="00335BC6"/>
    <w:rsid w:val="003415D3"/>
    <w:rsid w:val="00344701"/>
    <w:rsid w:val="00352B0F"/>
    <w:rsid w:val="00356690"/>
    <w:rsid w:val="00360459"/>
    <w:rsid w:val="0036544A"/>
    <w:rsid w:val="0037758D"/>
    <w:rsid w:val="0037761C"/>
    <w:rsid w:val="003B77A7"/>
    <w:rsid w:val="003C6231"/>
    <w:rsid w:val="003D0BFE"/>
    <w:rsid w:val="003D5700"/>
    <w:rsid w:val="003E341B"/>
    <w:rsid w:val="00400247"/>
    <w:rsid w:val="00401446"/>
    <w:rsid w:val="004116CD"/>
    <w:rsid w:val="004144EC"/>
    <w:rsid w:val="00417EB9"/>
    <w:rsid w:val="00424CA9"/>
    <w:rsid w:val="0042637E"/>
    <w:rsid w:val="00431E9B"/>
    <w:rsid w:val="004379E3"/>
    <w:rsid w:val="00437E5C"/>
    <w:rsid w:val="0044015E"/>
    <w:rsid w:val="0044291A"/>
    <w:rsid w:val="00444ABD"/>
    <w:rsid w:val="0045486B"/>
    <w:rsid w:val="00461C81"/>
    <w:rsid w:val="00467661"/>
    <w:rsid w:val="004705B7"/>
    <w:rsid w:val="004714B3"/>
    <w:rsid w:val="00472DBE"/>
    <w:rsid w:val="00474A19"/>
    <w:rsid w:val="00495BC3"/>
    <w:rsid w:val="00496F97"/>
    <w:rsid w:val="004B1A39"/>
    <w:rsid w:val="004C2BB8"/>
    <w:rsid w:val="004C6AE8"/>
    <w:rsid w:val="004D3593"/>
    <w:rsid w:val="004E063A"/>
    <w:rsid w:val="004E7BEC"/>
    <w:rsid w:val="004F53FA"/>
    <w:rsid w:val="00505D3D"/>
    <w:rsid w:val="00506AF6"/>
    <w:rsid w:val="00516B8D"/>
    <w:rsid w:val="00537FBC"/>
    <w:rsid w:val="00554954"/>
    <w:rsid w:val="005574D1"/>
    <w:rsid w:val="00584811"/>
    <w:rsid w:val="00585784"/>
    <w:rsid w:val="00592F52"/>
    <w:rsid w:val="00593AA6"/>
    <w:rsid w:val="00594161"/>
    <w:rsid w:val="00594749"/>
    <w:rsid w:val="005B4067"/>
    <w:rsid w:val="005B53F3"/>
    <w:rsid w:val="005C3F41"/>
    <w:rsid w:val="005D2D09"/>
    <w:rsid w:val="00600219"/>
    <w:rsid w:val="00603DC4"/>
    <w:rsid w:val="00611B9A"/>
    <w:rsid w:val="006133DD"/>
    <w:rsid w:val="00620076"/>
    <w:rsid w:val="00657F6D"/>
    <w:rsid w:val="00660EFF"/>
    <w:rsid w:val="00670EA1"/>
    <w:rsid w:val="006715DB"/>
    <w:rsid w:val="00672980"/>
    <w:rsid w:val="00677CC2"/>
    <w:rsid w:val="006905DE"/>
    <w:rsid w:val="0069207B"/>
    <w:rsid w:val="006944A8"/>
    <w:rsid w:val="006B5789"/>
    <w:rsid w:val="006C30C5"/>
    <w:rsid w:val="006C7F8C"/>
    <w:rsid w:val="006D2EFF"/>
    <w:rsid w:val="006D43F4"/>
    <w:rsid w:val="006E6246"/>
    <w:rsid w:val="006F318F"/>
    <w:rsid w:val="006F4226"/>
    <w:rsid w:val="0070017E"/>
    <w:rsid w:val="00700B2C"/>
    <w:rsid w:val="00700FA8"/>
    <w:rsid w:val="007050A2"/>
    <w:rsid w:val="00713084"/>
    <w:rsid w:val="00714F20"/>
    <w:rsid w:val="0071590F"/>
    <w:rsid w:val="00715914"/>
    <w:rsid w:val="00723825"/>
    <w:rsid w:val="00731E00"/>
    <w:rsid w:val="007440B7"/>
    <w:rsid w:val="007500C8"/>
    <w:rsid w:val="0075015D"/>
    <w:rsid w:val="00756272"/>
    <w:rsid w:val="0076681A"/>
    <w:rsid w:val="007715C9"/>
    <w:rsid w:val="00771613"/>
    <w:rsid w:val="00774EDD"/>
    <w:rsid w:val="007757EC"/>
    <w:rsid w:val="00780D2A"/>
    <w:rsid w:val="0078254D"/>
    <w:rsid w:val="007826BC"/>
    <w:rsid w:val="00783E89"/>
    <w:rsid w:val="00793915"/>
    <w:rsid w:val="007C2253"/>
    <w:rsid w:val="007C6260"/>
    <w:rsid w:val="007D2964"/>
    <w:rsid w:val="007D35AA"/>
    <w:rsid w:val="007D5A63"/>
    <w:rsid w:val="007D7B81"/>
    <w:rsid w:val="007E163D"/>
    <w:rsid w:val="007E667A"/>
    <w:rsid w:val="007F28C9"/>
    <w:rsid w:val="00803587"/>
    <w:rsid w:val="00807626"/>
    <w:rsid w:val="008117E9"/>
    <w:rsid w:val="00812C1E"/>
    <w:rsid w:val="00824498"/>
    <w:rsid w:val="008268B4"/>
    <w:rsid w:val="00853E99"/>
    <w:rsid w:val="00856A31"/>
    <w:rsid w:val="00864B24"/>
    <w:rsid w:val="00867B37"/>
    <w:rsid w:val="008754D0"/>
    <w:rsid w:val="008855C9"/>
    <w:rsid w:val="00886456"/>
    <w:rsid w:val="00887698"/>
    <w:rsid w:val="0089281B"/>
    <w:rsid w:val="008A46E1"/>
    <w:rsid w:val="008A4F43"/>
    <w:rsid w:val="008B1779"/>
    <w:rsid w:val="008B2706"/>
    <w:rsid w:val="008D0EE0"/>
    <w:rsid w:val="008D70F3"/>
    <w:rsid w:val="008E4375"/>
    <w:rsid w:val="008E6067"/>
    <w:rsid w:val="008F2612"/>
    <w:rsid w:val="008F319D"/>
    <w:rsid w:val="008F54E7"/>
    <w:rsid w:val="00902CEC"/>
    <w:rsid w:val="00903422"/>
    <w:rsid w:val="00915DF9"/>
    <w:rsid w:val="009254C3"/>
    <w:rsid w:val="00932377"/>
    <w:rsid w:val="00937BB0"/>
    <w:rsid w:val="00947D5A"/>
    <w:rsid w:val="00952EEE"/>
    <w:rsid w:val="009532A5"/>
    <w:rsid w:val="0096121C"/>
    <w:rsid w:val="00982242"/>
    <w:rsid w:val="009868E9"/>
    <w:rsid w:val="00991AA5"/>
    <w:rsid w:val="0099557E"/>
    <w:rsid w:val="009A32AE"/>
    <w:rsid w:val="009B2DE2"/>
    <w:rsid w:val="009B5AB3"/>
    <w:rsid w:val="009C2BF1"/>
    <w:rsid w:val="009E1604"/>
    <w:rsid w:val="009E5CFC"/>
    <w:rsid w:val="009F1C16"/>
    <w:rsid w:val="009F556F"/>
    <w:rsid w:val="00A079CB"/>
    <w:rsid w:val="00A12128"/>
    <w:rsid w:val="00A22C98"/>
    <w:rsid w:val="00A231E2"/>
    <w:rsid w:val="00A32CE1"/>
    <w:rsid w:val="00A64912"/>
    <w:rsid w:val="00A70A74"/>
    <w:rsid w:val="00A77F7E"/>
    <w:rsid w:val="00A85D5E"/>
    <w:rsid w:val="00AA6872"/>
    <w:rsid w:val="00AB4742"/>
    <w:rsid w:val="00AD5641"/>
    <w:rsid w:val="00AD7889"/>
    <w:rsid w:val="00AE3652"/>
    <w:rsid w:val="00AF021B"/>
    <w:rsid w:val="00AF06CF"/>
    <w:rsid w:val="00B05CF4"/>
    <w:rsid w:val="00B07CDB"/>
    <w:rsid w:val="00B16A31"/>
    <w:rsid w:val="00B17DFD"/>
    <w:rsid w:val="00B21100"/>
    <w:rsid w:val="00B30707"/>
    <w:rsid w:val="00B308FE"/>
    <w:rsid w:val="00B33709"/>
    <w:rsid w:val="00B33B3C"/>
    <w:rsid w:val="00B34766"/>
    <w:rsid w:val="00B372A0"/>
    <w:rsid w:val="00B40BBF"/>
    <w:rsid w:val="00B50ADC"/>
    <w:rsid w:val="00B566B1"/>
    <w:rsid w:val="00B56F46"/>
    <w:rsid w:val="00B63834"/>
    <w:rsid w:val="00B65F8A"/>
    <w:rsid w:val="00B72734"/>
    <w:rsid w:val="00B80199"/>
    <w:rsid w:val="00B83204"/>
    <w:rsid w:val="00BA0C87"/>
    <w:rsid w:val="00BA1246"/>
    <w:rsid w:val="00BA220B"/>
    <w:rsid w:val="00BA3A57"/>
    <w:rsid w:val="00BA691F"/>
    <w:rsid w:val="00BA7FD3"/>
    <w:rsid w:val="00BB4E1A"/>
    <w:rsid w:val="00BC015E"/>
    <w:rsid w:val="00BC0D9B"/>
    <w:rsid w:val="00BC76AC"/>
    <w:rsid w:val="00BD0ECB"/>
    <w:rsid w:val="00BE2155"/>
    <w:rsid w:val="00BE2213"/>
    <w:rsid w:val="00BE719A"/>
    <w:rsid w:val="00BE720A"/>
    <w:rsid w:val="00BF0D73"/>
    <w:rsid w:val="00BF2465"/>
    <w:rsid w:val="00C004BA"/>
    <w:rsid w:val="00C05FD1"/>
    <w:rsid w:val="00C25E7F"/>
    <w:rsid w:val="00C2746F"/>
    <w:rsid w:val="00C324A0"/>
    <w:rsid w:val="00C3300F"/>
    <w:rsid w:val="00C42BF8"/>
    <w:rsid w:val="00C43E97"/>
    <w:rsid w:val="00C50043"/>
    <w:rsid w:val="00C61D5A"/>
    <w:rsid w:val="00C658BC"/>
    <w:rsid w:val="00C7070E"/>
    <w:rsid w:val="00C7573B"/>
    <w:rsid w:val="00C93C03"/>
    <w:rsid w:val="00CA7E71"/>
    <w:rsid w:val="00CB2C8E"/>
    <w:rsid w:val="00CB602E"/>
    <w:rsid w:val="00CC05D4"/>
    <w:rsid w:val="00CD3E44"/>
    <w:rsid w:val="00CE051D"/>
    <w:rsid w:val="00CE1335"/>
    <w:rsid w:val="00CE493D"/>
    <w:rsid w:val="00CE603F"/>
    <w:rsid w:val="00CF07FA"/>
    <w:rsid w:val="00CF0BB2"/>
    <w:rsid w:val="00CF3EE8"/>
    <w:rsid w:val="00D050E6"/>
    <w:rsid w:val="00D06F85"/>
    <w:rsid w:val="00D13441"/>
    <w:rsid w:val="00D150E7"/>
    <w:rsid w:val="00D32F65"/>
    <w:rsid w:val="00D52DBB"/>
    <w:rsid w:val="00D52DC2"/>
    <w:rsid w:val="00D53BCC"/>
    <w:rsid w:val="00D6141F"/>
    <w:rsid w:val="00D67E8A"/>
    <w:rsid w:val="00D70DFB"/>
    <w:rsid w:val="00D766DF"/>
    <w:rsid w:val="00DA186E"/>
    <w:rsid w:val="00DA4116"/>
    <w:rsid w:val="00DB21E6"/>
    <w:rsid w:val="00DB251C"/>
    <w:rsid w:val="00DB35B2"/>
    <w:rsid w:val="00DB4630"/>
    <w:rsid w:val="00DB544C"/>
    <w:rsid w:val="00DB7A46"/>
    <w:rsid w:val="00DC4F88"/>
    <w:rsid w:val="00E05704"/>
    <w:rsid w:val="00E11E44"/>
    <w:rsid w:val="00E2346A"/>
    <w:rsid w:val="00E3270E"/>
    <w:rsid w:val="00E338EF"/>
    <w:rsid w:val="00E544BB"/>
    <w:rsid w:val="00E54885"/>
    <w:rsid w:val="00E626D5"/>
    <w:rsid w:val="00E62E9B"/>
    <w:rsid w:val="00E662CB"/>
    <w:rsid w:val="00E74351"/>
    <w:rsid w:val="00E74DC7"/>
    <w:rsid w:val="00E76806"/>
    <w:rsid w:val="00E8075A"/>
    <w:rsid w:val="00E94D5E"/>
    <w:rsid w:val="00EA7100"/>
    <w:rsid w:val="00EA7F9F"/>
    <w:rsid w:val="00EB1274"/>
    <w:rsid w:val="00EB4F2A"/>
    <w:rsid w:val="00EB6AD0"/>
    <w:rsid w:val="00EC6F8E"/>
    <w:rsid w:val="00ED2BB6"/>
    <w:rsid w:val="00ED34E1"/>
    <w:rsid w:val="00ED3B8D"/>
    <w:rsid w:val="00ED659C"/>
    <w:rsid w:val="00ED74C0"/>
    <w:rsid w:val="00EE2E97"/>
    <w:rsid w:val="00EF2E3A"/>
    <w:rsid w:val="00F072A7"/>
    <w:rsid w:val="00F078DC"/>
    <w:rsid w:val="00F2777A"/>
    <w:rsid w:val="00F32BA8"/>
    <w:rsid w:val="00F349F1"/>
    <w:rsid w:val="00F37216"/>
    <w:rsid w:val="00F4350D"/>
    <w:rsid w:val="00F44C38"/>
    <w:rsid w:val="00F567F7"/>
    <w:rsid w:val="00F62036"/>
    <w:rsid w:val="00F65B52"/>
    <w:rsid w:val="00F67BCA"/>
    <w:rsid w:val="00F73BD6"/>
    <w:rsid w:val="00F83989"/>
    <w:rsid w:val="00F85099"/>
    <w:rsid w:val="00F85FD5"/>
    <w:rsid w:val="00F9379C"/>
    <w:rsid w:val="00F9632C"/>
    <w:rsid w:val="00FA1E52"/>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303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46E4A"/>
    <w:pPr>
      <w:spacing w:line="260" w:lineRule="atLeast"/>
    </w:pPr>
    <w:rPr>
      <w:sz w:val="22"/>
    </w:rPr>
  </w:style>
  <w:style w:type="paragraph" w:styleId="Heading1">
    <w:name w:val="heading 1"/>
    <w:basedOn w:val="Normal"/>
    <w:next w:val="Normal"/>
    <w:link w:val="Heading1Char"/>
    <w:uiPriority w:val="9"/>
    <w:qFormat/>
    <w:rsid w:val="00046E4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6E4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6E4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6E4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46E4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6E4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46E4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46E4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46E4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46E4A"/>
  </w:style>
  <w:style w:type="paragraph" w:customStyle="1" w:styleId="OPCParaBase">
    <w:name w:val="OPCParaBase"/>
    <w:qFormat/>
    <w:rsid w:val="00046E4A"/>
    <w:pPr>
      <w:spacing w:line="260" w:lineRule="atLeast"/>
    </w:pPr>
    <w:rPr>
      <w:rFonts w:eastAsia="Times New Roman" w:cs="Times New Roman"/>
      <w:sz w:val="22"/>
      <w:lang w:eastAsia="en-AU"/>
    </w:rPr>
  </w:style>
  <w:style w:type="paragraph" w:customStyle="1" w:styleId="ShortT">
    <w:name w:val="ShortT"/>
    <w:basedOn w:val="OPCParaBase"/>
    <w:next w:val="Normal"/>
    <w:qFormat/>
    <w:rsid w:val="00046E4A"/>
    <w:pPr>
      <w:spacing w:line="240" w:lineRule="auto"/>
    </w:pPr>
    <w:rPr>
      <w:b/>
      <w:sz w:val="40"/>
    </w:rPr>
  </w:style>
  <w:style w:type="paragraph" w:customStyle="1" w:styleId="ActHead1">
    <w:name w:val="ActHead 1"/>
    <w:aliases w:val="c"/>
    <w:basedOn w:val="OPCParaBase"/>
    <w:next w:val="Normal"/>
    <w:qFormat/>
    <w:rsid w:val="00046E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46E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6E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6E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46E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6E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6E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6E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6E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6E4A"/>
  </w:style>
  <w:style w:type="paragraph" w:customStyle="1" w:styleId="Blocks">
    <w:name w:val="Blocks"/>
    <w:aliases w:val="bb"/>
    <w:basedOn w:val="OPCParaBase"/>
    <w:qFormat/>
    <w:rsid w:val="00046E4A"/>
    <w:pPr>
      <w:spacing w:line="240" w:lineRule="auto"/>
    </w:pPr>
    <w:rPr>
      <w:sz w:val="24"/>
    </w:rPr>
  </w:style>
  <w:style w:type="paragraph" w:customStyle="1" w:styleId="BoxText">
    <w:name w:val="BoxText"/>
    <w:aliases w:val="bt"/>
    <w:basedOn w:val="OPCParaBase"/>
    <w:qFormat/>
    <w:rsid w:val="00046E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6E4A"/>
    <w:rPr>
      <w:b/>
    </w:rPr>
  </w:style>
  <w:style w:type="paragraph" w:customStyle="1" w:styleId="BoxHeadItalic">
    <w:name w:val="BoxHeadItalic"/>
    <w:aliases w:val="bhi"/>
    <w:basedOn w:val="BoxText"/>
    <w:next w:val="BoxStep"/>
    <w:qFormat/>
    <w:rsid w:val="00046E4A"/>
    <w:rPr>
      <w:i/>
    </w:rPr>
  </w:style>
  <w:style w:type="paragraph" w:customStyle="1" w:styleId="BoxList">
    <w:name w:val="BoxList"/>
    <w:aliases w:val="bl"/>
    <w:basedOn w:val="BoxText"/>
    <w:qFormat/>
    <w:rsid w:val="00046E4A"/>
    <w:pPr>
      <w:ind w:left="1559" w:hanging="425"/>
    </w:pPr>
  </w:style>
  <w:style w:type="paragraph" w:customStyle="1" w:styleId="BoxNote">
    <w:name w:val="BoxNote"/>
    <w:aliases w:val="bn"/>
    <w:basedOn w:val="BoxText"/>
    <w:qFormat/>
    <w:rsid w:val="00046E4A"/>
    <w:pPr>
      <w:tabs>
        <w:tab w:val="left" w:pos="1985"/>
      </w:tabs>
      <w:spacing w:before="122" w:line="198" w:lineRule="exact"/>
      <w:ind w:left="2948" w:hanging="1814"/>
    </w:pPr>
    <w:rPr>
      <w:sz w:val="18"/>
    </w:rPr>
  </w:style>
  <w:style w:type="paragraph" w:customStyle="1" w:styleId="BoxPara">
    <w:name w:val="BoxPara"/>
    <w:aliases w:val="bp"/>
    <w:basedOn w:val="BoxText"/>
    <w:qFormat/>
    <w:rsid w:val="00046E4A"/>
    <w:pPr>
      <w:tabs>
        <w:tab w:val="right" w:pos="2268"/>
      </w:tabs>
      <w:ind w:left="2552" w:hanging="1418"/>
    </w:pPr>
  </w:style>
  <w:style w:type="paragraph" w:customStyle="1" w:styleId="BoxStep">
    <w:name w:val="BoxStep"/>
    <w:aliases w:val="bs"/>
    <w:basedOn w:val="BoxText"/>
    <w:qFormat/>
    <w:rsid w:val="00046E4A"/>
    <w:pPr>
      <w:ind w:left="1985" w:hanging="851"/>
    </w:pPr>
  </w:style>
  <w:style w:type="character" w:customStyle="1" w:styleId="CharAmPartNo">
    <w:name w:val="CharAmPartNo"/>
    <w:basedOn w:val="OPCCharBase"/>
    <w:qFormat/>
    <w:rsid w:val="00046E4A"/>
  </w:style>
  <w:style w:type="character" w:customStyle="1" w:styleId="CharAmPartText">
    <w:name w:val="CharAmPartText"/>
    <w:basedOn w:val="OPCCharBase"/>
    <w:qFormat/>
    <w:rsid w:val="00046E4A"/>
  </w:style>
  <w:style w:type="character" w:customStyle="1" w:styleId="CharAmSchNo">
    <w:name w:val="CharAmSchNo"/>
    <w:basedOn w:val="OPCCharBase"/>
    <w:qFormat/>
    <w:rsid w:val="00046E4A"/>
  </w:style>
  <w:style w:type="character" w:customStyle="1" w:styleId="CharAmSchText">
    <w:name w:val="CharAmSchText"/>
    <w:basedOn w:val="OPCCharBase"/>
    <w:qFormat/>
    <w:rsid w:val="00046E4A"/>
  </w:style>
  <w:style w:type="character" w:customStyle="1" w:styleId="CharBoldItalic">
    <w:name w:val="CharBoldItalic"/>
    <w:basedOn w:val="OPCCharBase"/>
    <w:uiPriority w:val="1"/>
    <w:qFormat/>
    <w:rsid w:val="00046E4A"/>
    <w:rPr>
      <w:b/>
      <w:i/>
    </w:rPr>
  </w:style>
  <w:style w:type="character" w:customStyle="1" w:styleId="CharChapNo">
    <w:name w:val="CharChapNo"/>
    <w:basedOn w:val="OPCCharBase"/>
    <w:uiPriority w:val="1"/>
    <w:qFormat/>
    <w:rsid w:val="00046E4A"/>
  </w:style>
  <w:style w:type="character" w:customStyle="1" w:styleId="CharChapText">
    <w:name w:val="CharChapText"/>
    <w:basedOn w:val="OPCCharBase"/>
    <w:uiPriority w:val="1"/>
    <w:qFormat/>
    <w:rsid w:val="00046E4A"/>
  </w:style>
  <w:style w:type="character" w:customStyle="1" w:styleId="CharDivNo">
    <w:name w:val="CharDivNo"/>
    <w:basedOn w:val="OPCCharBase"/>
    <w:uiPriority w:val="1"/>
    <w:qFormat/>
    <w:rsid w:val="00046E4A"/>
  </w:style>
  <w:style w:type="character" w:customStyle="1" w:styleId="CharDivText">
    <w:name w:val="CharDivText"/>
    <w:basedOn w:val="OPCCharBase"/>
    <w:uiPriority w:val="1"/>
    <w:qFormat/>
    <w:rsid w:val="00046E4A"/>
  </w:style>
  <w:style w:type="character" w:customStyle="1" w:styleId="CharItalic">
    <w:name w:val="CharItalic"/>
    <w:basedOn w:val="OPCCharBase"/>
    <w:uiPriority w:val="1"/>
    <w:qFormat/>
    <w:rsid w:val="00046E4A"/>
    <w:rPr>
      <w:i/>
    </w:rPr>
  </w:style>
  <w:style w:type="character" w:customStyle="1" w:styleId="CharPartNo">
    <w:name w:val="CharPartNo"/>
    <w:basedOn w:val="OPCCharBase"/>
    <w:uiPriority w:val="1"/>
    <w:qFormat/>
    <w:rsid w:val="00046E4A"/>
  </w:style>
  <w:style w:type="character" w:customStyle="1" w:styleId="CharPartText">
    <w:name w:val="CharPartText"/>
    <w:basedOn w:val="OPCCharBase"/>
    <w:uiPriority w:val="1"/>
    <w:qFormat/>
    <w:rsid w:val="00046E4A"/>
  </w:style>
  <w:style w:type="character" w:customStyle="1" w:styleId="CharSectno">
    <w:name w:val="CharSectno"/>
    <w:basedOn w:val="OPCCharBase"/>
    <w:qFormat/>
    <w:rsid w:val="00046E4A"/>
  </w:style>
  <w:style w:type="character" w:customStyle="1" w:styleId="CharSubdNo">
    <w:name w:val="CharSubdNo"/>
    <w:basedOn w:val="OPCCharBase"/>
    <w:uiPriority w:val="1"/>
    <w:qFormat/>
    <w:rsid w:val="00046E4A"/>
  </w:style>
  <w:style w:type="character" w:customStyle="1" w:styleId="CharSubdText">
    <w:name w:val="CharSubdText"/>
    <w:basedOn w:val="OPCCharBase"/>
    <w:uiPriority w:val="1"/>
    <w:qFormat/>
    <w:rsid w:val="00046E4A"/>
  </w:style>
  <w:style w:type="paragraph" w:customStyle="1" w:styleId="CTA--">
    <w:name w:val="CTA --"/>
    <w:basedOn w:val="OPCParaBase"/>
    <w:next w:val="Normal"/>
    <w:rsid w:val="00046E4A"/>
    <w:pPr>
      <w:spacing w:before="60" w:line="240" w:lineRule="atLeast"/>
      <w:ind w:left="142" w:hanging="142"/>
    </w:pPr>
    <w:rPr>
      <w:sz w:val="20"/>
    </w:rPr>
  </w:style>
  <w:style w:type="paragraph" w:customStyle="1" w:styleId="CTA-">
    <w:name w:val="CTA -"/>
    <w:basedOn w:val="OPCParaBase"/>
    <w:rsid w:val="00046E4A"/>
    <w:pPr>
      <w:spacing w:before="60" w:line="240" w:lineRule="atLeast"/>
      <w:ind w:left="85" w:hanging="85"/>
    </w:pPr>
    <w:rPr>
      <w:sz w:val="20"/>
    </w:rPr>
  </w:style>
  <w:style w:type="paragraph" w:customStyle="1" w:styleId="CTA---">
    <w:name w:val="CTA ---"/>
    <w:basedOn w:val="OPCParaBase"/>
    <w:next w:val="Normal"/>
    <w:rsid w:val="00046E4A"/>
    <w:pPr>
      <w:spacing w:before="60" w:line="240" w:lineRule="atLeast"/>
      <w:ind w:left="198" w:hanging="198"/>
    </w:pPr>
    <w:rPr>
      <w:sz w:val="20"/>
    </w:rPr>
  </w:style>
  <w:style w:type="paragraph" w:customStyle="1" w:styleId="CTA----">
    <w:name w:val="CTA ----"/>
    <w:basedOn w:val="OPCParaBase"/>
    <w:next w:val="Normal"/>
    <w:rsid w:val="00046E4A"/>
    <w:pPr>
      <w:spacing w:before="60" w:line="240" w:lineRule="atLeast"/>
      <w:ind w:left="255" w:hanging="255"/>
    </w:pPr>
    <w:rPr>
      <w:sz w:val="20"/>
    </w:rPr>
  </w:style>
  <w:style w:type="paragraph" w:customStyle="1" w:styleId="CTA1a">
    <w:name w:val="CTA 1(a)"/>
    <w:basedOn w:val="OPCParaBase"/>
    <w:rsid w:val="00046E4A"/>
    <w:pPr>
      <w:tabs>
        <w:tab w:val="right" w:pos="414"/>
      </w:tabs>
      <w:spacing w:before="40" w:line="240" w:lineRule="atLeast"/>
      <w:ind w:left="675" w:hanging="675"/>
    </w:pPr>
    <w:rPr>
      <w:sz w:val="20"/>
    </w:rPr>
  </w:style>
  <w:style w:type="paragraph" w:customStyle="1" w:styleId="CTA1ai">
    <w:name w:val="CTA 1(a)(i)"/>
    <w:basedOn w:val="OPCParaBase"/>
    <w:rsid w:val="00046E4A"/>
    <w:pPr>
      <w:tabs>
        <w:tab w:val="right" w:pos="1004"/>
      </w:tabs>
      <w:spacing w:before="40" w:line="240" w:lineRule="atLeast"/>
      <w:ind w:left="1253" w:hanging="1253"/>
    </w:pPr>
    <w:rPr>
      <w:sz w:val="20"/>
    </w:rPr>
  </w:style>
  <w:style w:type="paragraph" w:customStyle="1" w:styleId="CTA2a">
    <w:name w:val="CTA 2(a)"/>
    <w:basedOn w:val="OPCParaBase"/>
    <w:rsid w:val="00046E4A"/>
    <w:pPr>
      <w:tabs>
        <w:tab w:val="right" w:pos="482"/>
      </w:tabs>
      <w:spacing w:before="40" w:line="240" w:lineRule="atLeast"/>
      <w:ind w:left="748" w:hanging="748"/>
    </w:pPr>
    <w:rPr>
      <w:sz w:val="20"/>
    </w:rPr>
  </w:style>
  <w:style w:type="paragraph" w:customStyle="1" w:styleId="CTA2ai">
    <w:name w:val="CTA 2(a)(i)"/>
    <w:basedOn w:val="OPCParaBase"/>
    <w:rsid w:val="00046E4A"/>
    <w:pPr>
      <w:tabs>
        <w:tab w:val="right" w:pos="1089"/>
      </w:tabs>
      <w:spacing w:before="40" w:line="240" w:lineRule="atLeast"/>
      <w:ind w:left="1327" w:hanging="1327"/>
    </w:pPr>
    <w:rPr>
      <w:sz w:val="20"/>
    </w:rPr>
  </w:style>
  <w:style w:type="paragraph" w:customStyle="1" w:styleId="CTA3a">
    <w:name w:val="CTA 3(a)"/>
    <w:basedOn w:val="OPCParaBase"/>
    <w:rsid w:val="00046E4A"/>
    <w:pPr>
      <w:tabs>
        <w:tab w:val="right" w:pos="556"/>
      </w:tabs>
      <w:spacing w:before="40" w:line="240" w:lineRule="atLeast"/>
      <w:ind w:left="805" w:hanging="805"/>
    </w:pPr>
    <w:rPr>
      <w:sz w:val="20"/>
    </w:rPr>
  </w:style>
  <w:style w:type="paragraph" w:customStyle="1" w:styleId="CTA3ai">
    <w:name w:val="CTA 3(a)(i)"/>
    <w:basedOn w:val="OPCParaBase"/>
    <w:rsid w:val="00046E4A"/>
    <w:pPr>
      <w:tabs>
        <w:tab w:val="right" w:pos="1140"/>
      </w:tabs>
      <w:spacing w:before="40" w:line="240" w:lineRule="atLeast"/>
      <w:ind w:left="1361" w:hanging="1361"/>
    </w:pPr>
    <w:rPr>
      <w:sz w:val="20"/>
    </w:rPr>
  </w:style>
  <w:style w:type="paragraph" w:customStyle="1" w:styleId="CTA4a">
    <w:name w:val="CTA 4(a)"/>
    <w:basedOn w:val="OPCParaBase"/>
    <w:rsid w:val="00046E4A"/>
    <w:pPr>
      <w:tabs>
        <w:tab w:val="right" w:pos="624"/>
      </w:tabs>
      <w:spacing w:before="40" w:line="240" w:lineRule="atLeast"/>
      <w:ind w:left="873" w:hanging="873"/>
    </w:pPr>
    <w:rPr>
      <w:sz w:val="20"/>
    </w:rPr>
  </w:style>
  <w:style w:type="paragraph" w:customStyle="1" w:styleId="CTA4ai">
    <w:name w:val="CTA 4(a)(i)"/>
    <w:basedOn w:val="OPCParaBase"/>
    <w:rsid w:val="00046E4A"/>
    <w:pPr>
      <w:tabs>
        <w:tab w:val="right" w:pos="1213"/>
      </w:tabs>
      <w:spacing w:before="40" w:line="240" w:lineRule="atLeast"/>
      <w:ind w:left="1452" w:hanging="1452"/>
    </w:pPr>
    <w:rPr>
      <w:sz w:val="20"/>
    </w:rPr>
  </w:style>
  <w:style w:type="paragraph" w:customStyle="1" w:styleId="CTACAPS">
    <w:name w:val="CTA CAPS"/>
    <w:basedOn w:val="OPCParaBase"/>
    <w:rsid w:val="00046E4A"/>
    <w:pPr>
      <w:spacing w:before="60" w:line="240" w:lineRule="atLeast"/>
    </w:pPr>
    <w:rPr>
      <w:sz w:val="20"/>
    </w:rPr>
  </w:style>
  <w:style w:type="paragraph" w:customStyle="1" w:styleId="CTAright">
    <w:name w:val="CTA right"/>
    <w:basedOn w:val="OPCParaBase"/>
    <w:rsid w:val="00046E4A"/>
    <w:pPr>
      <w:spacing w:before="60" w:line="240" w:lineRule="auto"/>
      <w:jc w:val="right"/>
    </w:pPr>
    <w:rPr>
      <w:sz w:val="20"/>
    </w:rPr>
  </w:style>
  <w:style w:type="paragraph" w:customStyle="1" w:styleId="subsection">
    <w:name w:val="subsection"/>
    <w:aliases w:val="ss"/>
    <w:basedOn w:val="OPCParaBase"/>
    <w:link w:val="subsectionChar"/>
    <w:rsid w:val="00046E4A"/>
    <w:pPr>
      <w:tabs>
        <w:tab w:val="right" w:pos="1021"/>
      </w:tabs>
      <w:spacing w:before="180" w:line="240" w:lineRule="auto"/>
      <w:ind w:left="1134" w:hanging="1134"/>
    </w:pPr>
  </w:style>
  <w:style w:type="paragraph" w:customStyle="1" w:styleId="Definition">
    <w:name w:val="Definition"/>
    <w:aliases w:val="dd"/>
    <w:basedOn w:val="OPCParaBase"/>
    <w:rsid w:val="00046E4A"/>
    <w:pPr>
      <w:spacing w:before="180" w:line="240" w:lineRule="auto"/>
      <w:ind w:left="1134"/>
    </w:pPr>
  </w:style>
  <w:style w:type="paragraph" w:customStyle="1" w:styleId="EndNotespara">
    <w:name w:val="EndNotes(para)"/>
    <w:aliases w:val="eta"/>
    <w:basedOn w:val="OPCParaBase"/>
    <w:next w:val="EndNotessubpara"/>
    <w:rsid w:val="00046E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6E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6E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6E4A"/>
    <w:pPr>
      <w:tabs>
        <w:tab w:val="right" w:pos="1412"/>
      </w:tabs>
      <w:spacing w:before="60" w:line="240" w:lineRule="auto"/>
      <w:ind w:left="1525" w:hanging="1525"/>
    </w:pPr>
    <w:rPr>
      <w:sz w:val="20"/>
    </w:rPr>
  </w:style>
  <w:style w:type="paragraph" w:customStyle="1" w:styleId="Formula">
    <w:name w:val="Formula"/>
    <w:basedOn w:val="OPCParaBase"/>
    <w:rsid w:val="00046E4A"/>
    <w:pPr>
      <w:spacing w:line="240" w:lineRule="auto"/>
      <w:ind w:left="1134"/>
    </w:pPr>
    <w:rPr>
      <w:sz w:val="20"/>
    </w:rPr>
  </w:style>
  <w:style w:type="paragraph" w:styleId="Header">
    <w:name w:val="header"/>
    <w:basedOn w:val="OPCParaBase"/>
    <w:link w:val="HeaderChar"/>
    <w:unhideWhenUsed/>
    <w:rsid w:val="00046E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46E4A"/>
    <w:rPr>
      <w:rFonts w:eastAsia="Times New Roman" w:cs="Times New Roman"/>
      <w:sz w:val="16"/>
      <w:lang w:eastAsia="en-AU"/>
    </w:rPr>
  </w:style>
  <w:style w:type="paragraph" w:customStyle="1" w:styleId="House">
    <w:name w:val="House"/>
    <w:basedOn w:val="OPCParaBase"/>
    <w:rsid w:val="00046E4A"/>
    <w:pPr>
      <w:spacing w:line="240" w:lineRule="auto"/>
    </w:pPr>
    <w:rPr>
      <w:sz w:val="28"/>
    </w:rPr>
  </w:style>
  <w:style w:type="paragraph" w:customStyle="1" w:styleId="Item">
    <w:name w:val="Item"/>
    <w:aliases w:val="i"/>
    <w:basedOn w:val="OPCParaBase"/>
    <w:next w:val="ItemHead"/>
    <w:rsid w:val="00046E4A"/>
    <w:pPr>
      <w:keepLines/>
      <w:spacing w:before="80" w:line="240" w:lineRule="auto"/>
      <w:ind w:left="709"/>
    </w:pPr>
  </w:style>
  <w:style w:type="paragraph" w:customStyle="1" w:styleId="ItemHead">
    <w:name w:val="ItemHead"/>
    <w:aliases w:val="ih"/>
    <w:basedOn w:val="OPCParaBase"/>
    <w:next w:val="Item"/>
    <w:rsid w:val="00046E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6E4A"/>
    <w:pPr>
      <w:spacing w:line="240" w:lineRule="auto"/>
    </w:pPr>
    <w:rPr>
      <w:b/>
      <w:sz w:val="32"/>
    </w:rPr>
  </w:style>
  <w:style w:type="paragraph" w:customStyle="1" w:styleId="notedraft">
    <w:name w:val="note(draft)"/>
    <w:aliases w:val="nd"/>
    <w:basedOn w:val="OPCParaBase"/>
    <w:rsid w:val="00046E4A"/>
    <w:pPr>
      <w:spacing w:before="240" w:line="240" w:lineRule="auto"/>
      <w:ind w:left="284" w:hanging="284"/>
    </w:pPr>
    <w:rPr>
      <w:i/>
      <w:sz w:val="24"/>
    </w:rPr>
  </w:style>
  <w:style w:type="paragraph" w:customStyle="1" w:styleId="notemargin">
    <w:name w:val="note(margin)"/>
    <w:aliases w:val="nm"/>
    <w:basedOn w:val="OPCParaBase"/>
    <w:rsid w:val="00046E4A"/>
    <w:pPr>
      <w:tabs>
        <w:tab w:val="left" w:pos="709"/>
      </w:tabs>
      <w:spacing w:before="122" w:line="198" w:lineRule="exact"/>
      <w:ind w:left="709" w:hanging="709"/>
    </w:pPr>
    <w:rPr>
      <w:sz w:val="18"/>
    </w:rPr>
  </w:style>
  <w:style w:type="paragraph" w:customStyle="1" w:styleId="noteToPara">
    <w:name w:val="noteToPara"/>
    <w:aliases w:val="ntp"/>
    <w:basedOn w:val="OPCParaBase"/>
    <w:rsid w:val="00046E4A"/>
    <w:pPr>
      <w:spacing w:before="122" w:line="198" w:lineRule="exact"/>
      <w:ind w:left="2353" w:hanging="709"/>
    </w:pPr>
    <w:rPr>
      <w:sz w:val="18"/>
    </w:rPr>
  </w:style>
  <w:style w:type="paragraph" w:customStyle="1" w:styleId="noteParlAmend">
    <w:name w:val="note(ParlAmend)"/>
    <w:aliases w:val="npp"/>
    <w:basedOn w:val="OPCParaBase"/>
    <w:next w:val="ParlAmend"/>
    <w:rsid w:val="00046E4A"/>
    <w:pPr>
      <w:spacing w:line="240" w:lineRule="auto"/>
      <w:jc w:val="right"/>
    </w:pPr>
    <w:rPr>
      <w:rFonts w:ascii="Arial" w:hAnsi="Arial"/>
      <w:b/>
      <w:i/>
    </w:rPr>
  </w:style>
  <w:style w:type="paragraph" w:customStyle="1" w:styleId="Page1">
    <w:name w:val="Page1"/>
    <w:basedOn w:val="OPCParaBase"/>
    <w:rsid w:val="00046E4A"/>
    <w:pPr>
      <w:spacing w:before="5600" w:line="240" w:lineRule="auto"/>
    </w:pPr>
    <w:rPr>
      <w:b/>
      <w:sz w:val="32"/>
    </w:rPr>
  </w:style>
  <w:style w:type="paragraph" w:customStyle="1" w:styleId="PageBreak">
    <w:name w:val="PageBreak"/>
    <w:aliases w:val="pb"/>
    <w:basedOn w:val="OPCParaBase"/>
    <w:rsid w:val="00046E4A"/>
    <w:pPr>
      <w:spacing w:line="240" w:lineRule="auto"/>
    </w:pPr>
    <w:rPr>
      <w:sz w:val="20"/>
    </w:rPr>
  </w:style>
  <w:style w:type="paragraph" w:customStyle="1" w:styleId="paragraphsub">
    <w:name w:val="paragraph(sub)"/>
    <w:aliases w:val="aa"/>
    <w:basedOn w:val="OPCParaBase"/>
    <w:rsid w:val="00046E4A"/>
    <w:pPr>
      <w:tabs>
        <w:tab w:val="right" w:pos="1985"/>
      </w:tabs>
      <w:spacing w:before="40" w:line="240" w:lineRule="auto"/>
      <w:ind w:left="2098" w:hanging="2098"/>
    </w:pPr>
  </w:style>
  <w:style w:type="paragraph" w:customStyle="1" w:styleId="paragraphsub-sub">
    <w:name w:val="paragraph(sub-sub)"/>
    <w:aliases w:val="aaa"/>
    <w:basedOn w:val="OPCParaBase"/>
    <w:rsid w:val="00046E4A"/>
    <w:pPr>
      <w:tabs>
        <w:tab w:val="right" w:pos="2722"/>
      </w:tabs>
      <w:spacing w:before="40" w:line="240" w:lineRule="auto"/>
      <w:ind w:left="2835" w:hanging="2835"/>
    </w:pPr>
  </w:style>
  <w:style w:type="paragraph" w:customStyle="1" w:styleId="paragraph">
    <w:name w:val="paragraph"/>
    <w:aliases w:val="a"/>
    <w:basedOn w:val="OPCParaBase"/>
    <w:rsid w:val="00046E4A"/>
    <w:pPr>
      <w:tabs>
        <w:tab w:val="right" w:pos="1531"/>
      </w:tabs>
      <w:spacing w:before="40" w:line="240" w:lineRule="auto"/>
      <w:ind w:left="1644" w:hanging="1644"/>
    </w:pPr>
  </w:style>
  <w:style w:type="paragraph" w:customStyle="1" w:styleId="ParlAmend">
    <w:name w:val="ParlAmend"/>
    <w:aliases w:val="pp"/>
    <w:basedOn w:val="OPCParaBase"/>
    <w:rsid w:val="00046E4A"/>
    <w:pPr>
      <w:spacing w:before="240" w:line="240" w:lineRule="atLeast"/>
      <w:ind w:hanging="567"/>
    </w:pPr>
    <w:rPr>
      <w:sz w:val="24"/>
    </w:rPr>
  </w:style>
  <w:style w:type="paragraph" w:customStyle="1" w:styleId="Penalty">
    <w:name w:val="Penalty"/>
    <w:basedOn w:val="OPCParaBase"/>
    <w:rsid w:val="00046E4A"/>
    <w:pPr>
      <w:tabs>
        <w:tab w:val="left" w:pos="2977"/>
      </w:tabs>
      <w:spacing w:before="180" w:line="240" w:lineRule="auto"/>
      <w:ind w:left="1985" w:hanging="851"/>
    </w:pPr>
  </w:style>
  <w:style w:type="paragraph" w:customStyle="1" w:styleId="Portfolio">
    <w:name w:val="Portfolio"/>
    <w:basedOn w:val="OPCParaBase"/>
    <w:rsid w:val="00046E4A"/>
    <w:pPr>
      <w:spacing w:line="240" w:lineRule="auto"/>
    </w:pPr>
    <w:rPr>
      <w:i/>
      <w:sz w:val="20"/>
    </w:rPr>
  </w:style>
  <w:style w:type="paragraph" w:customStyle="1" w:styleId="Preamble">
    <w:name w:val="Preamble"/>
    <w:basedOn w:val="OPCParaBase"/>
    <w:next w:val="Normal"/>
    <w:rsid w:val="00046E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6E4A"/>
    <w:pPr>
      <w:spacing w:line="240" w:lineRule="auto"/>
    </w:pPr>
    <w:rPr>
      <w:i/>
      <w:sz w:val="20"/>
    </w:rPr>
  </w:style>
  <w:style w:type="paragraph" w:customStyle="1" w:styleId="Session">
    <w:name w:val="Session"/>
    <w:basedOn w:val="OPCParaBase"/>
    <w:rsid w:val="00046E4A"/>
    <w:pPr>
      <w:spacing w:line="240" w:lineRule="auto"/>
    </w:pPr>
    <w:rPr>
      <w:sz w:val="28"/>
    </w:rPr>
  </w:style>
  <w:style w:type="paragraph" w:customStyle="1" w:styleId="Sponsor">
    <w:name w:val="Sponsor"/>
    <w:basedOn w:val="OPCParaBase"/>
    <w:rsid w:val="00046E4A"/>
    <w:pPr>
      <w:spacing w:line="240" w:lineRule="auto"/>
    </w:pPr>
    <w:rPr>
      <w:i/>
    </w:rPr>
  </w:style>
  <w:style w:type="paragraph" w:customStyle="1" w:styleId="Subitem">
    <w:name w:val="Subitem"/>
    <w:aliases w:val="iss"/>
    <w:basedOn w:val="OPCParaBase"/>
    <w:rsid w:val="00046E4A"/>
    <w:pPr>
      <w:spacing w:before="180" w:line="240" w:lineRule="auto"/>
      <w:ind w:left="709" w:hanging="709"/>
    </w:pPr>
  </w:style>
  <w:style w:type="paragraph" w:customStyle="1" w:styleId="SubitemHead">
    <w:name w:val="SubitemHead"/>
    <w:aliases w:val="issh"/>
    <w:basedOn w:val="OPCParaBase"/>
    <w:rsid w:val="00046E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6E4A"/>
    <w:pPr>
      <w:spacing w:before="40" w:line="240" w:lineRule="auto"/>
      <w:ind w:left="1134"/>
    </w:pPr>
  </w:style>
  <w:style w:type="paragraph" w:customStyle="1" w:styleId="SubsectionHead">
    <w:name w:val="SubsectionHead"/>
    <w:aliases w:val="ssh"/>
    <w:basedOn w:val="OPCParaBase"/>
    <w:next w:val="subsection"/>
    <w:rsid w:val="00046E4A"/>
    <w:pPr>
      <w:keepNext/>
      <w:keepLines/>
      <w:spacing w:before="240" w:line="240" w:lineRule="auto"/>
      <w:ind w:left="1134"/>
    </w:pPr>
    <w:rPr>
      <w:i/>
    </w:rPr>
  </w:style>
  <w:style w:type="paragraph" w:customStyle="1" w:styleId="Tablea">
    <w:name w:val="Table(a)"/>
    <w:aliases w:val="ta"/>
    <w:basedOn w:val="OPCParaBase"/>
    <w:rsid w:val="00046E4A"/>
    <w:pPr>
      <w:spacing w:before="60" w:line="240" w:lineRule="auto"/>
      <w:ind w:left="284" w:hanging="284"/>
    </w:pPr>
    <w:rPr>
      <w:sz w:val="20"/>
    </w:rPr>
  </w:style>
  <w:style w:type="paragraph" w:customStyle="1" w:styleId="TableAA">
    <w:name w:val="Table(AA)"/>
    <w:aliases w:val="taaa"/>
    <w:basedOn w:val="OPCParaBase"/>
    <w:rsid w:val="00046E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6E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6E4A"/>
    <w:pPr>
      <w:spacing w:before="60" w:line="240" w:lineRule="atLeast"/>
    </w:pPr>
    <w:rPr>
      <w:sz w:val="20"/>
    </w:rPr>
  </w:style>
  <w:style w:type="paragraph" w:customStyle="1" w:styleId="TLPBoxTextnote">
    <w:name w:val="TLPBoxText(note"/>
    <w:aliases w:val="right)"/>
    <w:basedOn w:val="OPCParaBase"/>
    <w:rsid w:val="00046E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6E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6E4A"/>
    <w:pPr>
      <w:spacing w:before="122" w:line="198" w:lineRule="exact"/>
      <w:ind w:left="1985" w:hanging="851"/>
      <w:jc w:val="right"/>
    </w:pPr>
    <w:rPr>
      <w:sz w:val="18"/>
    </w:rPr>
  </w:style>
  <w:style w:type="paragraph" w:customStyle="1" w:styleId="TLPTableBullet">
    <w:name w:val="TLPTableBullet"/>
    <w:aliases w:val="ttb"/>
    <w:basedOn w:val="OPCParaBase"/>
    <w:rsid w:val="00046E4A"/>
    <w:pPr>
      <w:spacing w:line="240" w:lineRule="exact"/>
      <w:ind w:left="284" w:hanging="284"/>
    </w:pPr>
    <w:rPr>
      <w:sz w:val="20"/>
    </w:rPr>
  </w:style>
  <w:style w:type="paragraph" w:styleId="TOC1">
    <w:name w:val="toc 1"/>
    <w:basedOn w:val="Normal"/>
    <w:next w:val="Normal"/>
    <w:uiPriority w:val="39"/>
    <w:unhideWhenUsed/>
    <w:rsid w:val="00046E4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46E4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46E4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46E4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46E4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46E4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46E4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46E4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46E4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46E4A"/>
    <w:pPr>
      <w:keepLines/>
      <w:spacing w:before="240" w:after="120" w:line="240" w:lineRule="auto"/>
      <w:ind w:left="794"/>
    </w:pPr>
    <w:rPr>
      <w:b/>
      <w:kern w:val="28"/>
      <w:sz w:val="20"/>
    </w:rPr>
  </w:style>
  <w:style w:type="paragraph" w:customStyle="1" w:styleId="TofSectsHeading">
    <w:name w:val="TofSects(Heading)"/>
    <w:basedOn w:val="OPCParaBase"/>
    <w:rsid w:val="00046E4A"/>
    <w:pPr>
      <w:spacing w:before="240" w:after="120" w:line="240" w:lineRule="auto"/>
    </w:pPr>
    <w:rPr>
      <w:b/>
      <w:sz w:val="24"/>
    </w:rPr>
  </w:style>
  <w:style w:type="paragraph" w:customStyle="1" w:styleId="TofSectsSection">
    <w:name w:val="TofSects(Section)"/>
    <w:basedOn w:val="OPCParaBase"/>
    <w:rsid w:val="00046E4A"/>
    <w:pPr>
      <w:keepLines/>
      <w:spacing w:before="40" w:line="240" w:lineRule="auto"/>
      <w:ind w:left="1588" w:hanging="794"/>
    </w:pPr>
    <w:rPr>
      <w:kern w:val="28"/>
      <w:sz w:val="18"/>
    </w:rPr>
  </w:style>
  <w:style w:type="paragraph" w:customStyle="1" w:styleId="TofSectsSubdiv">
    <w:name w:val="TofSects(Subdiv)"/>
    <w:basedOn w:val="OPCParaBase"/>
    <w:rsid w:val="00046E4A"/>
    <w:pPr>
      <w:keepLines/>
      <w:spacing w:before="80" w:line="240" w:lineRule="auto"/>
      <w:ind w:left="1588" w:hanging="794"/>
    </w:pPr>
    <w:rPr>
      <w:kern w:val="28"/>
    </w:rPr>
  </w:style>
  <w:style w:type="paragraph" w:customStyle="1" w:styleId="WRStyle">
    <w:name w:val="WR Style"/>
    <w:aliases w:val="WR"/>
    <w:basedOn w:val="OPCParaBase"/>
    <w:rsid w:val="00046E4A"/>
    <w:pPr>
      <w:spacing w:before="240" w:line="240" w:lineRule="auto"/>
      <w:ind w:left="284" w:hanging="284"/>
    </w:pPr>
    <w:rPr>
      <w:b/>
      <w:i/>
      <w:kern w:val="28"/>
      <w:sz w:val="24"/>
    </w:rPr>
  </w:style>
  <w:style w:type="paragraph" w:customStyle="1" w:styleId="notepara">
    <w:name w:val="note(para)"/>
    <w:aliases w:val="na"/>
    <w:basedOn w:val="OPCParaBase"/>
    <w:rsid w:val="00046E4A"/>
    <w:pPr>
      <w:spacing w:before="40" w:line="198" w:lineRule="exact"/>
      <w:ind w:left="2354" w:hanging="369"/>
    </w:pPr>
    <w:rPr>
      <w:sz w:val="18"/>
    </w:rPr>
  </w:style>
  <w:style w:type="paragraph" w:styleId="Footer">
    <w:name w:val="footer"/>
    <w:link w:val="FooterChar"/>
    <w:rsid w:val="00046E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46E4A"/>
    <w:rPr>
      <w:rFonts w:eastAsia="Times New Roman" w:cs="Times New Roman"/>
      <w:sz w:val="22"/>
      <w:szCs w:val="24"/>
      <w:lang w:eastAsia="en-AU"/>
    </w:rPr>
  </w:style>
  <w:style w:type="character" w:styleId="LineNumber">
    <w:name w:val="line number"/>
    <w:basedOn w:val="OPCCharBase"/>
    <w:uiPriority w:val="99"/>
    <w:unhideWhenUsed/>
    <w:rsid w:val="00046E4A"/>
    <w:rPr>
      <w:sz w:val="16"/>
    </w:rPr>
  </w:style>
  <w:style w:type="table" w:customStyle="1" w:styleId="CFlag">
    <w:name w:val="CFlag"/>
    <w:basedOn w:val="TableNormal"/>
    <w:uiPriority w:val="99"/>
    <w:rsid w:val="00046E4A"/>
    <w:rPr>
      <w:rFonts w:eastAsia="Times New Roman" w:cs="Times New Roman"/>
      <w:lang w:eastAsia="en-AU"/>
    </w:rPr>
    <w:tblPr/>
  </w:style>
  <w:style w:type="paragraph" w:styleId="BalloonText">
    <w:name w:val="Balloon Text"/>
    <w:basedOn w:val="Normal"/>
    <w:link w:val="BalloonTextChar"/>
    <w:uiPriority w:val="99"/>
    <w:unhideWhenUsed/>
    <w:rsid w:val="00046E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6E4A"/>
    <w:rPr>
      <w:rFonts w:ascii="Tahoma" w:hAnsi="Tahoma" w:cs="Tahoma"/>
      <w:sz w:val="16"/>
      <w:szCs w:val="16"/>
    </w:rPr>
  </w:style>
  <w:style w:type="table" w:styleId="TableGrid">
    <w:name w:val="Table Grid"/>
    <w:basedOn w:val="TableNormal"/>
    <w:uiPriority w:val="59"/>
    <w:rsid w:val="0004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46E4A"/>
    <w:rPr>
      <w:b/>
      <w:sz w:val="28"/>
      <w:szCs w:val="32"/>
    </w:rPr>
  </w:style>
  <w:style w:type="paragraph" w:customStyle="1" w:styleId="LegislationMadeUnder">
    <w:name w:val="LegislationMadeUnder"/>
    <w:basedOn w:val="OPCParaBase"/>
    <w:next w:val="Normal"/>
    <w:rsid w:val="00046E4A"/>
    <w:rPr>
      <w:i/>
      <w:sz w:val="32"/>
      <w:szCs w:val="32"/>
    </w:rPr>
  </w:style>
  <w:style w:type="paragraph" w:customStyle="1" w:styleId="SignCoverPageEnd">
    <w:name w:val="SignCoverPageEnd"/>
    <w:basedOn w:val="OPCParaBase"/>
    <w:next w:val="Normal"/>
    <w:rsid w:val="00046E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6E4A"/>
    <w:pPr>
      <w:pBdr>
        <w:top w:val="single" w:sz="4" w:space="1" w:color="auto"/>
      </w:pBdr>
      <w:spacing w:before="360"/>
      <w:ind w:right="397"/>
      <w:jc w:val="both"/>
    </w:pPr>
  </w:style>
  <w:style w:type="paragraph" w:customStyle="1" w:styleId="NotesHeading1">
    <w:name w:val="NotesHeading 1"/>
    <w:basedOn w:val="OPCParaBase"/>
    <w:next w:val="Normal"/>
    <w:rsid w:val="00046E4A"/>
    <w:rPr>
      <w:b/>
      <w:sz w:val="28"/>
      <w:szCs w:val="28"/>
    </w:rPr>
  </w:style>
  <w:style w:type="paragraph" w:customStyle="1" w:styleId="NotesHeading2">
    <w:name w:val="NotesHeading 2"/>
    <w:basedOn w:val="OPCParaBase"/>
    <w:next w:val="Normal"/>
    <w:rsid w:val="00046E4A"/>
    <w:rPr>
      <w:b/>
      <w:sz w:val="28"/>
      <w:szCs w:val="28"/>
    </w:rPr>
  </w:style>
  <w:style w:type="paragraph" w:customStyle="1" w:styleId="CompiledActNo">
    <w:name w:val="CompiledActNo"/>
    <w:basedOn w:val="OPCParaBase"/>
    <w:next w:val="Normal"/>
    <w:rsid w:val="00046E4A"/>
    <w:rPr>
      <w:b/>
      <w:sz w:val="24"/>
      <w:szCs w:val="24"/>
    </w:rPr>
  </w:style>
  <w:style w:type="paragraph" w:customStyle="1" w:styleId="ENotesText">
    <w:name w:val="ENotesText"/>
    <w:aliases w:val="Ent"/>
    <w:basedOn w:val="OPCParaBase"/>
    <w:next w:val="Normal"/>
    <w:rsid w:val="00046E4A"/>
    <w:pPr>
      <w:spacing w:before="120"/>
    </w:pPr>
  </w:style>
  <w:style w:type="paragraph" w:customStyle="1" w:styleId="CompiledMadeUnder">
    <w:name w:val="CompiledMadeUnder"/>
    <w:basedOn w:val="OPCParaBase"/>
    <w:next w:val="Normal"/>
    <w:rsid w:val="00046E4A"/>
    <w:rPr>
      <w:i/>
      <w:sz w:val="24"/>
      <w:szCs w:val="24"/>
    </w:rPr>
  </w:style>
  <w:style w:type="paragraph" w:customStyle="1" w:styleId="Paragraphsub-sub-sub">
    <w:name w:val="Paragraph(sub-sub-sub)"/>
    <w:aliases w:val="aaaa"/>
    <w:basedOn w:val="OPCParaBase"/>
    <w:rsid w:val="00046E4A"/>
    <w:pPr>
      <w:tabs>
        <w:tab w:val="right" w:pos="3402"/>
      </w:tabs>
      <w:spacing w:before="40" w:line="240" w:lineRule="auto"/>
      <w:ind w:left="3402" w:hanging="3402"/>
    </w:pPr>
  </w:style>
  <w:style w:type="paragraph" w:customStyle="1" w:styleId="TableTextEndNotes">
    <w:name w:val="TableTextEndNotes"/>
    <w:aliases w:val="Tten"/>
    <w:basedOn w:val="Normal"/>
    <w:rsid w:val="00046E4A"/>
    <w:pPr>
      <w:spacing w:before="60" w:line="240" w:lineRule="auto"/>
    </w:pPr>
    <w:rPr>
      <w:rFonts w:cs="Arial"/>
      <w:sz w:val="20"/>
      <w:szCs w:val="22"/>
    </w:rPr>
  </w:style>
  <w:style w:type="paragraph" w:customStyle="1" w:styleId="NoteToSubpara">
    <w:name w:val="NoteToSubpara"/>
    <w:aliases w:val="nts"/>
    <w:basedOn w:val="OPCParaBase"/>
    <w:rsid w:val="00046E4A"/>
    <w:pPr>
      <w:spacing w:before="40" w:line="198" w:lineRule="exact"/>
      <w:ind w:left="2835" w:hanging="709"/>
    </w:pPr>
    <w:rPr>
      <w:sz w:val="18"/>
    </w:rPr>
  </w:style>
  <w:style w:type="paragraph" w:customStyle="1" w:styleId="ENoteTableHeading">
    <w:name w:val="ENoteTableHeading"/>
    <w:aliases w:val="enth"/>
    <w:basedOn w:val="OPCParaBase"/>
    <w:rsid w:val="00046E4A"/>
    <w:pPr>
      <w:keepNext/>
      <w:spacing w:before="60" w:line="240" w:lineRule="atLeast"/>
    </w:pPr>
    <w:rPr>
      <w:rFonts w:ascii="Arial" w:hAnsi="Arial"/>
      <w:b/>
      <w:sz w:val="16"/>
    </w:rPr>
  </w:style>
  <w:style w:type="paragraph" w:customStyle="1" w:styleId="ENoteTTi">
    <w:name w:val="ENoteTTi"/>
    <w:aliases w:val="entti"/>
    <w:basedOn w:val="OPCParaBase"/>
    <w:rsid w:val="00046E4A"/>
    <w:pPr>
      <w:keepNext/>
      <w:spacing w:before="60" w:line="240" w:lineRule="atLeast"/>
      <w:ind w:left="170"/>
    </w:pPr>
    <w:rPr>
      <w:sz w:val="16"/>
    </w:rPr>
  </w:style>
  <w:style w:type="paragraph" w:customStyle="1" w:styleId="ENotesHeading1">
    <w:name w:val="ENotesHeading 1"/>
    <w:aliases w:val="Enh1"/>
    <w:basedOn w:val="OPCParaBase"/>
    <w:next w:val="Normal"/>
    <w:rsid w:val="00046E4A"/>
    <w:pPr>
      <w:spacing w:before="120"/>
      <w:outlineLvl w:val="1"/>
    </w:pPr>
    <w:rPr>
      <w:b/>
      <w:sz w:val="28"/>
      <w:szCs w:val="28"/>
    </w:rPr>
  </w:style>
  <w:style w:type="paragraph" w:customStyle="1" w:styleId="ENotesHeading2">
    <w:name w:val="ENotesHeading 2"/>
    <w:aliases w:val="Enh2"/>
    <w:basedOn w:val="OPCParaBase"/>
    <w:next w:val="Normal"/>
    <w:rsid w:val="00046E4A"/>
    <w:pPr>
      <w:spacing w:before="120" w:after="120"/>
      <w:outlineLvl w:val="2"/>
    </w:pPr>
    <w:rPr>
      <w:b/>
      <w:sz w:val="24"/>
      <w:szCs w:val="28"/>
    </w:rPr>
  </w:style>
  <w:style w:type="paragraph" w:customStyle="1" w:styleId="ENoteTTIndentHeading">
    <w:name w:val="ENoteTTIndentHeading"/>
    <w:aliases w:val="enTTHi"/>
    <w:basedOn w:val="OPCParaBase"/>
    <w:rsid w:val="00046E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6E4A"/>
    <w:pPr>
      <w:spacing w:before="60" w:line="240" w:lineRule="atLeast"/>
    </w:pPr>
    <w:rPr>
      <w:sz w:val="16"/>
    </w:rPr>
  </w:style>
  <w:style w:type="paragraph" w:customStyle="1" w:styleId="MadeunderText">
    <w:name w:val="MadeunderText"/>
    <w:basedOn w:val="OPCParaBase"/>
    <w:next w:val="Normal"/>
    <w:rsid w:val="00046E4A"/>
    <w:pPr>
      <w:spacing w:before="240"/>
    </w:pPr>
    <w:rPr>
      <w:sz w:val="24"/>
      <w:szCs w:val="24"/>
    </w:rPr>
  </w:style>
  <w:style w:type="paragraph" w:customStyle="1" w:styleId="ENotesHeading3">
    <w:name w:val="ENotesHeading 3"/>
    <w:aliases w:val="Enh3"/>
    <w:basedOn w:val="OPCParaBase"/>
    <w:next w:val="Normal"/>
    <w:rsid w:val="00046E4A"/>
    <w:pPr>
      <w:keepNext/>
      <w:spacing w:before="120" w:line="240" w:lineRule="auto"/>
      <w:outlineLvl w:val="4"/>
    </w:pPr>
    <w:rPr>
      <w:b/>
      <w:szCs w:val="24"/>
    </w:rPr>
  </w:style>
  <w:style w:type="character" w:customStyle="1" w:styleId="CharSubPartTextCASA">
    <w:name w:val="CharSubPartText(CASA)"/>
    <w:basedOn w:val="OPCCharBase"/>
    <w:uiPriority w:val="1"/>
    <w:rsid w:val="00046E4A"/>
  </w:style>
  <w:style w:type="character" w:customStyle="1" w:styleId="CharSubPartNoCASA">
    <w:name w:val="CharSubPartNo(CASA)"/>
    <w:basedOn w:val="OPCCharBase"/>
    <w:uiPriority w:val="1"/>
    <w:rsid w:val="00046E4A"/>
  </w:style>
  <w:style w:type="paragraph" w:customStyle="1" w:styleId="ENoteTTIndentHeadingSub">
    <w:name w:val="ENoteTTIndentHeadingSub"/>
    <w:aliases w:val="enTTHis"/>
    <w:basedOn w:val="OPCParaBase"/>
    <w:rsid w:val="00046E4A"/>
    <w:pPr>
      <w:keepNext/>
      <w:spacing w:before="60" w:line="240" w:lineRule="atLeast"/>
      <w:ind w:left="340"/>
    </w:pPr>
    <w:rPr>
      <w:b/>
      <w:sz w:val="16"/>
    </w:rPr>
  </w:style>
  <w:style w:type="paragraph" w:customStyle="1" w:styleId="ENoteTTiSub">
    <w:name w:val="ENoteTTiSub"/>
    <w:aliases w:val="enttis"/>
    <w:basedOn w:val="OPCParaBase"/>
    <w:rsid w:val="00046E4A"/>
    <w:pPr>
      <w:keepNext/>
      <w:spacing w:before="60" w:line="240" w:lineRule="atLeast"/>
      <w:ind w:left="340"/>
    </w:pPr>
    <w:rPr>
      <w:sz w:val="16"/>
    </w:rPr>
  </w:style>
  <w:style w:type="paragraph" w:customStyle="1" w:styleId="SubDivisionMigration">
    <w:name w:val="SubDivisionMigration"/>
    <w:aliases w:val="sdm"/>
    <w:basedOn w:val="OPCParaBase"/>
    <w:rsid w:val="00046E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6E4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46E4A"/>
    <w:pPr>
      <w:spacing w:before="122" w:line="240" w:lineRule="auto"/>
      <w:ind w:left="1985" w:hanging="851"/>
    </w:pPr>
    <w:rPr>
      <w:sz w:val="18"/>
    </w:rPr>
  </w:style>
  <w:style w:type="paragraph" w:customStyle="1" w:styleId="FreeForm">
    <w:name w:val="FreeForm"/>
    <w:rsid w:val="00046E4A"/>
    <w:rPr>
      <w:rFonts w:ascii="Arial" w:hAnsi="Arial"/>
      <w:sz w:val="22"/>
    </w:rPr>
  </w:style>
  <w:style w:type="paragraph" w:customStyle="1" w:styleId="SOText">
    <w:name w:val="SO Text"/>
    <w:aliases w:val="sot"/>
    <w:link w:val="SOTextChar"/>
    <w:rsid w:val="00046E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46E4A"/>
    <w:rPr>
      <w:sz w:val="22"/>
    </w:rPr>
  </w:style>
  <w:style w:type="paragraph" w:customStyle="1" w:styleId="SOTextNote">
    <w:name w:val="SO TextNote"/>
    <w:aliases w:val="sont"/>
    <w:basedOn w:val="SOText"/>
    <w:qFormat/>
    <w:rsid w:val="00046E4A"/>
    <w:pPr>
      <w:spacing w:before="122" w:line="198" w:lineRule="exact"/>
      <w:ind w:left="1843" w:hanging="709"/>
    </w:pPr>
    <w:rPr>
      <w:sz w:val="18"/>
    </w:rPr>
  </w:style>
  <w:style w:type="paragraph" w:customStyle="1" w:styleId="SOPara">
    <w:name w:val="SO Para"/>
    <w:aliases w:val="soa"/>
    <w:basedOn w:val="SOText"/>
    <w:link w:val="SOParaChar"/>
    <w:qFormat/>
    <w:rsid w:val="00046E4A"/>
    <w:pPr>
      <w:tabs>
        <w:tab w:val="right" w:pos="1786"/>
      </w:tabs>
      <w:spacing w:before="40"/>
      <w:ind w:left="2070" w:hanging="936"/>
    </w:pPr>
  </w:style>
  <w:style w:type="character" w:customStyle="1" w:styleId="SOParaChar">
    <w:name w:val="SO Para Char"/>
    <w:aliases w:val="soa Char"/>
    <w:basedOn w:val="DefaultParagraphFont"/>
    <w:link w:val="SOPara"/>
    <w:rsid w:val="00046E4A"/>
    <w:rPr>
      <w:sz w:val="22"/>
    </w:rPr>
  </w:style>
  <w:style w:type="paragraph" w:customStyle="1" w:styleId="FileName">
    <w:name w:val="FileName"/>
    <w:basedOn w:val="Normal"/>
    <w:rsid w:val="00046E4A"/>
  </w:style>
  <w:style w:type="paragraph" w:customStyle="1" w:styleId="TableHeading">
    <w:name w:val="TableHeading"/>
    <w:aliases w:val="th"/>
    <w:basedOn w:val="OPCParaBase"/>
    <w:next w:val="Tabletext"/>
    <w:rsid w:val="00046E4A"/>
    <w:pPr>
      <w:keepNext/>
      <w:spacing w:before="60" w:line="240" w:lineRule="atLeast"/>
    </w:pPr>
    <w:rPr>
      <w:b/>
      <w:sz w:val="20"/>
    </w:rPr>
  </w:style>
  <w:style w:type="paragraph" w:customStyle="1" w:styleId="SOHeadBold">
    <w:name w:val="SO HeadBold"/>
    <w:aliases w:val="sohb"/>
    <w:basedOn w:val="SOText"/>
    <w:next w:val="SOText"/>
    <w:link w:val="SOHeadBoldChar"/>
    <w:qFormat/>
    <w:rsid w:val="00046E4A"/>
    <w:rPr>
      <w:b/>
    </w:rPr>
  </w:style>
  <w:style w:type="character" w:customStyle="1" w:styleId="SOHeadBoldChar">
    <w:name w:val="SO HeadBold Char"/>
    <w:aliases w:val="sohb Char"/>
    <w:basedOn w:val="DefaultParagraphFont"/>
    <w:link w:val="SOHeadBold"/>
    <w:rsid w:val="00046E4A"/>
    <w:rPr>
      <w:b/>
      <w:sz w:val="22"/>
    </w:rPr>
  </w:style>
  <w:style w:type="paragraph" w:customStyle="1" w:styleId="SOHeadItalic">
    <w:name w:val="SO HeadItalic"/>
    <w:aliases w:val="sohi"/>
    <w:basedOn w:val="SOText"/>
    <w:next w:val="SOText"/>
    <w:link w:val="SOHeadItalicChar"/>
    <w:qFormat/>
    <w:rsid w:val="00046E4A"/>
    <w:rPr>
      <w:i/>
    </w:rPr>
  </w:style>
  <w:style w:type="character" w:customStyle="1" w:styleId="SOHeadItalicChar">
    <w:name w:val="SO HeadItalic Char"/>
    <w:aliases w:val="sohi Char"/>
    <w:basedOn w:val="DefaultParagraphFont"/>
    <w:link w:val="SOHeadItalic"/>
    <w:rsid w:val="00046E4A"/>
    <w:rPr>
      <w:i/>
      <w:sz w:val="22"/>
    </w:rPr>
  </w:style>
  <w:style w:type="paragraph" w:customStyle="1" w:styleId="SOBullet">
    <w:name w:val="SO Bullet"/>
    <w:aliases w:val="sotb"/>
    <w:basedOn w:val="SOText"/>
    <w:link w:val="SOBulletChar"/>
    <w:qFormat/>
    <w:rsid w:val="00046E4A"/>
    <w:pPr>
      <w:ind w:left="1559" w:hanging="425"/>
    </w:pPr>
  </w:style>
  <w:style w:type="character" w:customStyle="1" w:styleId="SOBulletChar">
    <w:name w:val="SO Bullet Char"/>
    <w:aliases w:val="sotb Char"/>
    <w:basedOn w:val="DefaultParagraphFont"/>
    <w:link w:val="SOBullet"/>
    <w:rsid w:val="00046E4A"/>
    <w:rPr>
      <w:sz w:val="22"/>
    </w:rPr>
  </w:style>
  <w:style w:type="paragraph" w:customStyle="1" w:styleId="SOBulletNote">
    <w:name w:val="SO BulletNote"/>
    <w:aliases w:val="sonb"/>
    <w:basedOn w:val="SOTextNote"/>
    <w:link w:val="SOBulletNoteChar"/>
    <w:qFormat/>
    <w:rsid w:val="00046E4A"/>
    <w:pPr>
      <w:tabs>
        <w:tab w:val="left" w:pos="1560"/>
      </w:tabs>
      <w:ind w:left="2268" w:hanging="1134"/>
    </w:pPr>
  </w:style>
  <w:style w:type="character" w:customStyle="1" w:styleId="SOBulletNoteChar">
    <w:name w:val="SO BulletNote Char"/>
    <w:aliases w:val="sonb Char"/>
    <w:basedOn w:val="DefaultParagraphFont"/>
    <w:link w:val="SOBulletNote"/>
    <w:rsid w:val="00046E4A"/>
    <w:rPr>
      <w:sz w:val="18"/>
    </w:rPr>
  </w:style>
  <w:style w:type="paragraph" w:customStyle="1" w:styleId="SOText2">
    <w:name w:val="SO Text2"/>
    <w:aliases w:val="sot2"/>
    <w:basedOn w:val="Normal"/>
    <w:next w:val="SOText"/>
    <w:link w:val="SOText2Char"/>
    <w:rsid w:val="00046E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46E4A"/>
    <w:rPr>
      <w:sz w:val="22"/>
    </w:rPr>
  </w:style>
  <w:style w:type="paragraph" w:customStyle="1" w:styleId="SubPartCASA">
    <w:name w:val="SubPart(CASA)"/>
    <w:aliases w:val="csp"/>
    <w:basedOn w:val="OPCParaBase"/>
    <w:next w:val="ActHead3"/>
    <w:rsid w:val="00046E4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46E4A"/>
    <w:rPr>
      <w:rFonts w:eastAsia="Times New Roman" w:cs="Times New Roman"/>
      <w:sz w:val="22"/>
      <w:lang w:eastAsia="en-AU"/>
    </w:rPr>
  </w:style>
  <w:style w:type="character" w:customStyle="1" w:styleId="notetextChar">
    <w:name w:val="note(text) Char"/>
    <w:aliases w:val="n Char"/>
    <w:basedOn w:val="DefaultParagraphFont"/>
    <w:link w:val="notetext"/>
    <w:rsid w:val="00046E4A"/>
    <w:rPr>
      <w:rFonts w:eastAsia="Times New Roman" w:cs="Times New Roman"/>
      <w:sz w:val="18"/>
      <w:lang w:eastAsia="en-AU"/>
    </w:rPr>
  </w:style>
  <w:style w:type="character" w:customStyle="1" w:styleId="Heading1Char">
    <w:name w:val="Heading 1 Char"/>
    <w:basedOn w:val="DefaultParagraphFont"/>
    <w:link w:val="Heading1"/>
    <w:uiPriority w:val="9"/>
    <w:rsid w:val="00046E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6E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6E4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46E4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46E4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46E4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46E4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46E4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46E4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46E4A"/>
    <w:rPr>
      <w:rFonts w:ascii="Arial" w:hAnsi="Arial" w:cs="Arial" w:hint="default"/>
      <w:b/>
      <w:bCs/>
      <w:sz w:val="28"/>
      <w:szCs w:val="28"/>
    </w:rPr>
  </w:style>
  <w:style w:type="paragraph" w:styleId="Index1">
    <w:name w:val="index 1"/>
    <w:basedOn w:val="Normal"/>
    <w:next w:val="Normal"/>
    <w:autoRedefine/>
    <w:rsid w:val="00046E4A"/>
    <w:pPr>
      <w:ind w:left="240" w:hanging="240"/>
    </w:pPr>
  </w:style>
  <w:style w:type="paragraph" w:styleId="Index2">
    <w:name w:val="index 2"/>
    <w:basedOn w:val="Normal"/>
    <w:next w:val="Normal"/>
    <w:autoRedefine/>
    <w:rsid w:val="00046E4A"/>
    <w:pPr>
      <w:ind w:left="480" w:hanging="240"/>
    </w:pPr>
  </w:style>
  <w:style w:type="paragraph" w:styleId="Index3">
    <w:name w:val="index 3"/>
    <w:basedOn w:val="Normal"/>
    <w:next w:val="Normal"/>
    <w:autoRedefine/>
    <w:rsid w:val="00046E4A"/>
    <w:pPr>
      <w:ind w:left="720" w:hanging="240"/>
    </w:pPr>
  </w:style>
  <w:style w:type="paragraph" w:styleId="Index4">
    <w:name w:val="index 4"/>
    <w:basedOn w:val="Normal"/>
    <w:next w:val="Normal"/>
    <w:autoRedefine/>
    <w:rsid w:val="00046E4A"/>
    <w:pPr>
      <w:ind w:left="960" w:hanging="240"/>
    </w:pPr>
  </w:style>
  <w:style w:type="paragraph" w:styleId="Index5">
    <w:name w:val="index 5"/>
    <w:basedOn w:val="Normal"/>
    <w:next w:val="Normal"/>
    <w:autoRedefine/>
    <w:rsid w:val="00046E4A"/>
    <w:pPr>
      <w:ind w:left="1200" w:hanging="240"/>
    </w:pPr>
  </w:style>
  <w:style w:type="paragraph" w:styleId="Index6">
    <w:name w:val="index 6"/>
    <w:basedOn w:val="Normal"/>
    <w:next w:val="Normal"/>
    <w:autoRedefine/>
    <w:rsid w:val="00046E4A"/>
    <w:pPr>
      <w:ind w:left="1440" w:hanging="240"/>
    </w:pPr>
  </w:style>
  <w:style w:type="paragraph" w:styleId="Index7">
    <w:name w:val="index 7"/>
    <w:basedOn w:val="Normal"/>
    <w:next w:val="Normal"/>
    <w:autoRedefine/>
    <w:rsid w:val="00046E4A"/>
    <w:pPr>
      <w:ind w:left="1680" w:hanging="240"/>
    </w:pPr>
  </w:style>
  <w:style w:type="paragraph" w:styleId="Index8">
    <w:name w:val="index 8"/>
    <w:basedOn w:val="Normal"/>
    <w:next w:val="Normal"/>
    <w:autoRedefine/>
    <w:rsid w:val="00046E4A"/>
    <w:pPr>
      <w:ind w:left="1920" w:hanging="240"/>
    </w:pPr>
  </w:style>
  <w:style w:type="paragraph" w:styleId="Index9">
    <w:name w:val="index 9"/>
    <w:basedOn w:val="Normal"/>
    <w:next w:val="Normal"/>
    <w:autoRedefine/>
    <w:rsid w:val="00046E4A"/>
    <w:pPr>
      <w:ind w:left="2160" w:hanging="240"/>
    </w:pPr>
  </w:style>
  <w:style w:type="paragraph" w:styleId="NormalIndent">
    <w:name w:val="Normal Indent"/>
    <w:basedOn w:val="Normal"/>
    <w:rsid w:val="00046E4A"/>
    <w:pPr>
      <w:ind w:left="720"/>
    </w:pPr>
  </w:style>
  <w:style w:type="paragraph" w:styleId="FootnoteText">
    <w:name w:val="footnote text"/>
    <w:basedOn w:val="Normal"/>
    <w:link w:val="FootnoteTextChar"/>
    <w:rsid w:val="00046E4A"/>
    <w:rPr>
      <w:sz w:val="20"/>
    </w:rPr>
  </w:style>
  <w:style w:type="character" w:customStyle="1" w:styleId="FootnoteTextChar">
    <w:name w:val="Footnote Text Char"/>
    <w:basedOn w:val="DefaultParagraphFont"/>
    <w:link w:val="FootnoteText"/>
    <w:rsid w:val="00046E4A"/>
  </w:style>
  <w:style w:type="paragraph" w:styleId="CommentText">
    <w:name w:val="annotation text"/>
    <w:basedOn w:val="Normal"/>
    <w:link w:val="CommentTextChar"/>
    <w:rsid w:val="00046E4A"/>
    <w:rPr>
      <w:sz w:val="20"/>
    </w:rPr>
  </w:style>
  <w:style w:type="character" w:customStyle="1" w:styleId="CommentTextChar">
    <w:name w:val="Comment Text Char"/>
    <w:basedOn w:val="DefaultParagraphFont"/>
    <w:link w:val="CommentText"/>
    <w:rsid w:val="00046E4A"/>
  </w:style>
  <w:style w:type="paragraph" w:styleId="IndexHeading">
    <w:name w:val="index heading"/>
    <w:basedOn w:val="Normal"/>
    <w:next w:val="Index1"/>
    <w:rsid w:val="00046E4A"/>
    <w:rPr>
      <w:rFonts w:ascii="Arial" w:hAnsi="Arial" w:cs="Arial"/>
      <w:b/>
      <w:bCs/>
    </w:rPr>
  </w:style>
  <w:style w:type="paragraph" w:styleId="Caption">
    <w:name w:val="caption"/>
    <w:basedOn w:val="Normal"/>
    <w:next w:val="Normal"/>
    <w:qFormat/>
    <w:rsid w:val="00046E4A"/>
    <w:pPr>
      <w:spacing w:before="120" w:after="120"/>
    </w:pPr>
    <w:rPr>
      <w:b/>
      <w:bCs/>
      <w:sz w:val="20"/>
    </w:rPr>
  </w:style>
  <w:style w:type="paragraph" w:styleId="TableofFigures">
    <w:name w:val="table of figures"/>
    <w:basedOn w:val="Normal"/>
    <w:next w:val="Normal"/>
    <w:rsid w:val="00046E4A"/>
    <w:pPr>
      <w:ind w:left="480" w:hanging="480"/>
    </w:pPr>
  </w:style>
  <w:style w:type="paragraph" w:styleId="EnvelopeAddress">
    <w:name w:val="envelope address"/>
    <w:basedOn w:val="Normal"/>
    <w:rsid w:val="00046E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46E4A"/>
    <w:rPr>
      <w:rFonts w:ascii="Arial" w:hAnsi="Arial" w:cs="Arial"/>
      <w:sz w:val="20"/>
    </w:rPr>
  </w:style>
  <w:style w:type="character" w:styleId="FootnoteReference">
    <w:name w:val="footnote reference"/>
    <w:basedOn w:val="DefaultParagraphFont"/>
    <w:rsid w:val="00046E4A"/>
    <w:rPr>
      <w:rFonts w:ascii="Times New Roman" w:hAnsi="Times New Roman"/>
      <w:sz w:val="20"/>
      <w:vertAlign w:val="superscript"/>
    </w:rPr>
  </w:style>
  <w:style w:type="character" w:styleId="CommentReference">
    <w:name w:val="annotation reference"/>
    <w:basedOn w:val="DefaultParagraphFont"/>
    <w:rsid w:val="00046E4A"/>
    <w:rPr>
      <w:sz w:val="16"/>
      <w:szCs w:val="16"/>
    </w:rPr>
  </w:style>
  <w:style w:type="character" w:styleId="PageNumber">
    <w:name w:val="page number"/>
    <w:basedOn w:val="DefaultParagraphFont"/>
    <w:rsid w:val="00046E4A"/>
  </w:style>
  <w:style w:type="character" w:styleId="EndnoteReference">
    <w:name w:val="endnote reference"/>
    <w:basedOn w:val="DefaultParagraphFont"/>
    <w:rsid w:val="00046E4A"/>
    <w:rPr>
      <w:vertAlign w:val="superscript"/>
    </w:rPr>
  </w:style>
  <w:style w:type="paragraph" w:styleId="EndnoteText">
    <w:name w:val="endnote text"/>
    <w:basedOn w:val="Normal"/>
    <w:link w:val="EndnoteTextChar"/>
    <w:rsid w:val="00046E4A"/>
    <w:rPr>
      <w:sz w:val="20"/>
    </w:rPr>
  </w:style>
  <w:style w:type="character" w:customStyle="1" w:styleId="EndnoteTextChar">
    <w:name w:val="Endnote Text Char"/>
    <w:basedOn w:val="DefaultParagraphFont"/>
    <w:link w:val="EndnoteText"/>
    <w:rsid w:val="00046E4A"/>
  </w:style>
  <w:style w:type="paragraph" w:styleId="TableofAuthorities">
    <w:name w:val="table of authorities"/>
    <w:basedOn w:val="Normal"/>
    <w:next w:val="Normal"/>
    <w:rsid w:val="00046E4A"/>
    <w:pPr>
      <w:ind w:left="240" w:hanging="240"/>
    </w:pPr>
  </w:style>
  <w:style w:type="paragraph" w:styleId="MacroText">
    <w:name w:val="macro"/>
    <w:link w:val="MacroTextChar"/>
    <w:rsid w:val="00046E4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46E4A"/>
    <w:rPr>
      <w:rFonts w:ascii="Courier New" w:eastAsia="Times New Roman" w:hAnsi="Courier New" w:cs="Courier New"/>
      <w:lang w:eastAsia="en-AU"/>
    </w:rPr>
  </w:style>
  <w:style w:type="paragraph" w:styleId="TOAHeading">
    <w:name w:val="toa heading"/>
    <w:basedOn w:val="Normal"/>
    <w:next w:val="Normal"/>
    <w:rsid w:val="00046E4A"/>
    <w:pPr>
      <w:spacing w:before="120"/>
    </w:pPr>
    <w:rPr>
      <w:rFonts w:ascii="Arial" w:hAnsi="Arial" w:cs="Arial"/>
      <w:b/>
      <w:bCs/>
    </w:rPr>
  </w:style>
  <w:style w:type="paragraph" w:styleId="List">
    <w:name w:val="List"/>
    <w:basedOn w:val="Normal"/>
    <w:rsid w:val="00046E4A"/>
    <w:pPr>
      <w:ind w:left="283" w:hanging="283"/>
    </w:pPr>
  </w:style>
  <w:style w:type="paragraph" w:styleId="ListBullet">
    <w:name w:val="List Bullet"/>
    <w:basedOn w:val="Normal"/>
    <w:autoRedefine/>
    <w:rsid w:val="00046E4A"/>
    <w:pPr>
      <w:tabs>
        <w:tab w:val="num" w:pos="360"/>
      </w:tabs>
      <w:ind w:left="360" w:hanging="360"/>
    </w:pPr>
  </w:style>
  <w:style w:type="paragraph" w:styleId="ListNumber">
    <w:name w:val="List Number"/>
    <w:basedOn w:val="Normal"/>
    <w:rsid w:val="00046E4A"/>
    <w:pPr>
      <w:tabs>
        <w:tab w:val="num" w:pos="360"/>
      </w:tabs>
      <w:ind w:left="360" w:hanging="360"/>
    </w:pPr>
  </w:style>
  <w:style w:type="paragraph" w:styleId="List2">
    <w:name w:val="List 2"/>
    <w:basedOn w:val="Normal"/>
    <w:rsid w:val="00046E4A"/>
    <w:pPr>
      <w:ind w:left="566" w:hanging="283"/>
    </w:pPr>
  </w:style>
  <w:style w:type="paragraph" w:styleId="List3">
    <w:name w:val="List 3"/>
    <w:basedOn w:val="Normal"/>
    <w:rsid w:val="00046E4A"/>
    <w:pPr>
      <w:ind w:left="849" w:hanging="283"/>
    </w:pPr>
  </w:style>
  <w:style w:type="paragraph" w:styleId="List4">
    <w:name w:val="List 4"/>
    <w:basedOn w:val="Normal"/>
    <w:rsid w:val="00046E4A"/>
    <w:pPr>
      <w:ind w:left="1132" w:hanging="283"/>
    </w:pPr>
  </w:style>
  <w:style w:type="paragraph" w:styleId="List5">
    <w:name w:val="List 5"/>
    <w:basedOn w:val="Normal"/>
    <w:rsid w:val="00046E4A"/>
    <w:pPr>
      <w:ind w:left="1415" w:hanging="283"/>
    </w:pPr>
  </w:style>
  <w:style w:type="paragraph" w:styleId="ListBullet2">
    <w:name w:val="List Bullet 2"/>
    <w:basedOn w:val="Normal"/>
    <w:autoRedefine/>
    <w:rsid w:val="00046E4A"/>
    <w:pPr>
      <w:tabs>
        <w:tab w:val="num" w:pos="360"/>
      </w:tabs>
    </w:pPr>
  </w:style>
  <w:style w:type="paragraph" w:styleId="ListBullet3">
    <w:name w:val="List Bullet 3"/>
    <w:basedOn w:val="Normal"/>
    <w:autoRedefine/>
    <w:rsid w:val="00046E4A"/>
    <w:pPr>
      <w:tabs>
        <w:tab w:val="num" w:pos="926"/>
      </w:tabs>
      <w:ind w:left="926" w:hanging="360"/>
    </w:pPr>
  </w:style>
  <w:style w:type="paragraph" w:styleId="ListBullet4">
    <w:name w:val="List Bullet 4"/>
    <w:basedOn w:val="Normal"/>
    <w:autoRedefine/>
    <w:rsid w:val="00046E4A"/>
    <w:pPr>
      <w:tabs>
        <w:tab w:val="num" w:pos="1209"/>
      </w:tabs>
      <w:ind w:left="1209" w:hanging="360"/>
    </w:pPr>
  </w:style>
  <w:style w:type="paragraph" w:styleId="ListBullet5">
    <w:name w:val="List Bullet 5"/>
    <w:basedOn w:val="Normal"/>
    <w:autoRedefine/>
    <w:rsid w:val="00046E4A"/>
    <w:pPr>
      <w:tabs>
        <w:tab w:val="num" w:pos="1492"/>
      </w:tabs>
      <w:ind w:left="1492" w:hanging="360"/>
    </w:pPr>
  </w:style>
  <w:style w:type="paragraph" w:styleId="ListNumber2">
    <w:name w:val="List Number 2"/>
    <w:basedOn w:val="Normal"/>
    <w:rsid w:val="00046E4A"/>
    <w:pPr>
      <w:tabs>
        <w:tab w:val="num" w:pos="643"/>
      </w:tabs>
      <w:ind w:left="643" w:hanging="360"/>
    </w:pPr>
  </w:style>
  <w:style w:type="paragraph" w:styleId="ListNumber3">
    <w:name w:val="List Number 3"/>
    <w:basedOn w:val="Normal"/>
    <w:rsid w:val="00046E4A"/>
    <w:pPr>
      <w:tabs>
        <w:tab w:val="num" w:pos="926"/>
      </w:tabs>
      <w:ind w:left="926" w:hanging="360"/>
    </w:pPr>
  </w:style>
  <w:style w:type="paragraph" w:styleId="ListNumber4">
    <w:name w:val="List Number 4"/>
    <w:basedOn w:val="Normal"/>
    <w:rsid w:val="00046E4A"/>
    <w:pPr>
      <w:tabs>
        <w:tab w:val="num" w:pos="1209"/>
      </w:tabs>
      <w:ind w:left="1209" w:hanging="360"/>
    </w:pPr>
  </w:style>
  <w:style w:type="paragraph" w:styleId="ListNumber5">
    <w:name w:val="List Number 5"/>
    <w:basedOn w:val="Normal"/>
    <w:rsid w:val="00046E4A"/>
    <w:pPr>
      <w:tabs>
        <w:tab w:val="num" w:pos="1492"/>
      </w:tabs>
      <w:ind w:left="1492" w:hanging="360"/>
    </w:pPr>
  </w:style>
  <w:style w:type="paragraph" w:styleId="Title">
    <w:name w:val="Title"/>
    <w:basedOn w:val="Normal"/>
    <w:link w:val="TitleChar"/>
    <w:qFormat/>
    <w:rsid w:val="00046E4A"/>
    <w:pPr>
      <w:spacing w:before="240" w:after="60"/>
    </w:pPr>
    <w:rPr>
      <w:rFonts w:ascii="Arial" w:hAnsi="Arial" w:cs="Arial"/>
      <w:b/>
      <w:bCs/>
      <w:sz w:val="40"/>
      <w:szCs w:val="40"/>
    </w:rPr>
  </w:style>
  <w:style w:type="character" w:customStyle="1" w:styleId="TitleChar">
    <w:name w:val="Title Char"/>
    <w:basedOn w:val="DefaultParagraphFont"/>
    <w:link w:val="Title"/>
    <w:rsid w:val="00046E4A"/>
    <w:rPr>
      <w:rFonts w:ascii="Arial" w:hAnsi="Arial" w:cs="Arial"/>
      <w:b/>
      <w:bCs/>
      <w:sz w:val="40"/>
      <w:szCs w:val="40"/>
    </w:rPr>
  </w:style>
  <w:style w:type="paragraph" w:styleId="Closing">
    <w:name w:val="Closing"/>
    <w:basedOn w:val="Normal"/>
    <w:link w:val="ClosingChar"/>
    <w:rsid w:val="00046E4A"/>
    <w:pPr>
      <w:ind w:left="4252"/>
    </w:pPr>
  </w:style>
  <w:style w:type="character" w:customStyle="1" w:styleId="ClosingChar">
    <w:name w:val="Closing Char"/>
    <w:basedOn w:val="DefaultParagraphFont"/>
    <w:link w:val="Closing"/>
    <w:rsid w:val="00046E4A"/>
    <w:rPr>
      <w:sz w:val="22"/>
    </w:rPr>
  </w:style>
  <w:style w:type="paragraph" w:styleId="Signature">
    <w:name w:val="Signature"/>
    <w:basedOn w:val="Normal"/>
    <w:link w:val="SignatureChar"/>
    <w:rsid w:val="00046E4A"/>
    <w:pPr>
      <w:ind w:left="4252"/>
    </w:pPr>
  </w:style>
  <w:style w:type="character" w:customStyle="1" w:styleId="SignatureChar">
    <w:name w:val="Signature Char"/>
    <w:basedOn w:val="DefaultParagraphFont"/>
    <w:link w:val="Signature"/>
    <w:rsid w:val="00046E4A"/>
    <w:rPr>
      <w:sz w:val="22"/>
    </w:rPr>
  </w:style>
  <w:style w:type="paragraph" w:styleId="BodyText">
    <w:name w:val="Body Text"/>
    <w:basedOn w:val="Normal"/>
    <w:link w:val="BodyTextChar"/>
    <w:rsid w:val="00046E4A"/>
    <w:pPr>
      <w:spacing w:after="120"/>
    </w:pPr>
  </w:style>
  <w:style w:type="character" w:customStyle="1" w:styleId="BodyTextChar">
    <w:name w:val="Body Text Char"/>
    <w:basedOn w:val="DefaultParagraphFont"/>
    <w:link w:val="BodyText"/>
    <w:rsid w:val="00046E4A"/>
    <w:rPr>
      <w:sz w:val="22"/>
    </w:rPr>
  </w:style>
  <w:style w:type="paragraph" w:styleId="BodyTextIndent">
    <w:name w:val="Body Text Indent"/>
    <w:basedOn w:val="Normal"/>
    <w:link w:val="BodyTextIndentChar"/>
    <w:rsid w:val="00046E4A"/>
    <w:pPr>
      <w:spacing w:after="120"/>
      <w:ind w:left="283"/>
    </w:pPr>
  </w:style>
  <w:style w:type="character" w:customStyle="1" w:styleId="BodyTextIndentChar">
    <w:name w:val="Body Text Indent Char"/>
    <w:basedOn w:val="DefaultParagraphFont"/>
    <w:link w:val="BodyTextIndent"/>
    <w:rsid w:val="00046E4A"/>
    <w:rPr>
      <w:sz w:val="22"/>
    </w:rPr>
  </w:style>
  <w:style w:type="paragraph" w:styleId="ListContinue">
    <w:name w:val="List Continue"/>
    <w:basedOn w:val="Normal"/>
    <w:rsid w:val="00046E4A"/>
    <w:pPr>
      <w:spacing w:after="120"/>
      <w:ind w:left="283"/>
    </w:pPr>
  </w:style>
  <w:style w:type="paragraph" w:styleId="ListContinue2">
    <w:name w:val="List Continue 2"/>
    <w:basedOn w:val="Normal"/>
    <w:rsid w:val="00046E4A"/>
    <w:pPr>
      <w:spacing w:after="120"/>
      <w:ind w:left="566"/>
    </w:pPr>
  </w:style>
  <w:style w:type="paragraph" w:styleId="ListContinue3">
    <w:name w:val="List Continue 3"/>
    <w:basedOn w:val="Normal"/>
    <w:rsid w:val="00046E4A"/>
    <w:pPr>
      <w:spacing w:after="120"/>
      <w:ind w:left="849"/>
    </w:pPr>
  </w:style>
  <w:style w:type="paragraph" w:styleId="ListContinue4">
    <w:name w:val="List Continue 4"/>
    <w:basedOn w:val="Normal"/>
    <w:rsid w:val="00046E4A"/>
    <w:pPr>
      <w:spacing w:after="120"/>
      <w:ind w:left="1132"/>
    </w:pPr>
  </w:style>
  <w:style w:type="paragraph" w:styleId="ListContinue5">
    <w:name w:val="List Continue 5"/>
    <w:basedOn w:val="Normal"/>
    <w:rsid w:val="00046E4A"/>
    <w:pPr>
      <w:spacing w:after="120"/>
      <w:ind w:left="1415"/>
    </w:pPr>
  </w:style>
  <w:style w:type="paragraph" w:styleId="MessageHeader">
    <w:name w:val="Message Header"/>
    <w:basedOn w:val="Normal"/>
    <w:link w:val="MessageHeaderChar"/>
    <w:rsid w:val="00046E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46E4A"/>
    <w:rPr>
      <w:rFonts w:ascii="Arial" w:hAnsi="Arial" w:cs="Arial"/>
      <w:sz w:val="22"/>
      <w:shd w:val="pct20" w:color="auto" w:fill="auto"/>
    </w:rPr>
  </w:style>
  <w:style w:type="paragraph" w:styleId="Subtitle">
    <w:name w:val="Subtitle"/>
    <w:basedOn w:val="Normal"/>
    <w:link w:val="SubtitleChar"/>
    <w:qFormat/>
    <w:rsid w:val="00046E4A"/>
    <w:pPr>
      <w:spacing w:after="60"/>
      <w:jc w:val="center"/>
      <w:outlineLvl w:val="1"/>
    </w:pPr>
    <w:rPr>
      <w:rFonts w:ascii="Arial" w:hAnsi="Arial" w:cs="Arial"/>
    </w:rPr>
  </w:style>
  <w:style w:type="character" w:customStyle="1" w:styleId="SubtitleChar">
    <w:name w:val="Subtitle Char"/>
    <w:basedOn w:val="DefaultParagraphFont"/>
    <w:link w:val="Subtitle"/>
    <w:rsid w:val="00046E4A"/>
    <w:rPr>
      <w:rFonts w:ascii="Arial" w:hAnsi="Arial" w:cs="Arial"/>
      <w:sz w:val="22"/>
    </w:rPr>
  </w:style>
  <w:style w:type="paragraph" w:styleId="Salutation">
    <w:name w:val="Salutation"/>
    <w:basedOn w:val="Normal"/>
    <w:next w:val="Normal"/>
    <w:link w:val="SalutationChar"/>
    <w:rsid w:val="00046E4A"/>
  </w:style>
  <w:style w:type="character" w:customStyle="1" w:styleId="SalutationChar">
    <w:name w:val="Salutation Char"/>
    <w:basedOn w:val="DefaultParagraphFont"/>
    <w:link w:val="Salutation"/>
    <w:rsid w:val="00046E4A"/>
    <w:rPr>
      <w:sz w:val="22"/>
    </w:rPr>
  </w:style>
  <w:style w:type="paragraph" w:styleId="Date">
    <w:name w:val="Date"/>
    <w:basedOn w:val="Normal"/>
    <w:next w:val="Normal"/>
    <w:link w:val="DateChar"/>
    <w:rsid w:val="00046E4A"/>
  </w:style>
  <w:style w:type="character" w:customStyle="1" w:styleId="DateChar">
    <w:name w:val="Date Char"/>
    <w:basedOn w:val="DefaultParagraphFont"/>
    <w:link w:val="Date"/>
    <w:rsid w:val="00046E4A"/>
    <w:rPr>
      <w:sz w:val="22"/>
    </w:rPr>
  </w:style>
  <w:style w:type="paragraph" w:styleId="BodyTextFirstIndent">
    <w:name w:val="Body Text First Indent"/>
    <w:basedOn w:val="BodyText"/>
    <w:link w:val="BodyTextFirstIndentChar"/>
    <w:rsid w:val="00046E4A"/>
    <w:pPr>
      <w:ind w:firstLine="210"/>
    </w:pPr>
  </w:style>
  <w:style w:type="character" w:customStyle="1" w:styleId="BodyTextFirstIndentChar">
    <w:name w:val="Body Text First Indent Char"/>
    <w:basedOn w:val="BodyTextChar"/>
    <w:link w:val="BodyTextFirstIndent"/>
    <w:rsid w:val="00046E4A"/>
    <w:rPr>
      <w:sz w:val="22"/>
    </w:rPr>
  </w:style>
  <w:style w:type="paragraph" w:styleId="BodyTextFirstIndent2">
    <w:name w:val="Body Text First Indent 2"/>
    <w:basedOn w:val="BodyTextIndent"/>
    <w:link w:val="BodyTextFirstIndent2Char"/>
    <w:rsid w:val="00046E4A"/>
    <w:pPr>
      <w:ind w:firstLine="210"/>
    </w:pPr>
  </w:style>
  <w:style w:type="character" w:customStyle="1" w:styleId="BodyTextFirstIndent2Char">
    <w:name w:val="Body Text First Indent 2 Char"/>
    <w:basedOn w:val="BodyTextIndentChar"/>
    <w:link w:val="BodyTextFirstIndent2"/>
    <w:rsid w:val="00046E4A"/>
    <w:rPr>
      <w:sz w:val="22"/>
    </w:rPr>
  </w:style>
  <w:style w:type="paragraph" w:styleId="BodyText2">
    <w:name w:val="Body Text 2"/>
    <w:basedOn w:val="Normal"/>
    <w:link w:val="BodyText2Char"/>
    <w:rsid w:val="00046E4A"/>
    <w:pPr>
      <w:spacing w:after="120" w:line="480" w:lineRule="auto"/>
    </w:pPr>
  </w:style>
  <w:style w:type="character" w:customStyle="1" w:styleId="BodyText2Char">
    <w:name w:val="Body Text 2 Char"/>
    <w:basedOn w:val="DefaultParagraphFont"/>
    <w:link w:val="BodyText2"/>
    <w:rsid w:val="00046E4A"/>
    <w:rPr>
      <w:sz w:val="22"/>
    </w:rPr>
  </w:style>
  <w:style w:type="paragraph" w:styleId="BodyText3">
    <w:name w:val="Body Text 3"/>
    <w:basedOn w:val="Normal"/>
    <w:link w:val="BodyText3Char"/>
    <w:rsid w:val="00046E4A"/>
    <w:pPr>
      <w:spacing w:after="120"/>
    </w:pPr>
    <w:rPr>
      <w:sz w:val="16"/>
      <w:szCs w:val="16"/>
    </w:rPr>
  </w:style>
  <w:style w:type="character" w:customStyle="1" w:styleId="BodyText3Char">
    <w:name w:val="Body Text 3 Char"/>
    <w:basedOn w:val="DefaultParagraphFont"/>
    <w:link w:val="BodyText3"/>
    <w:rsid w:val="00046E4A"/>
    <w:rPr>
      <w:sz w:val="16"/>
      <w:szCs w:val="16"/>
    </w:rPr>
  </w:style>
  <w:style w:type="paragraph" w:styleId="BodyTextIndent2">
    <w:name w:val="Body Text Indent 2"/>
    <w:basedOn w:val="Normal"/>
    <w:link w:val="BodyTextIndent2Char"/>
    <w:rsid w:val="00046E4A"/>
    <w:pPr>
      <w:spacing w:after="120" w:line="480" w:lineRule="auto"/>
      <w:ind w:left="283"/>
    </w:pPr>
  </w:style>
  <w:style w:type="character" w:customStyle="1" w:styleId="BodyTextIndent2Char">
    <w:name w:val="Body Text Indent 2 Char"/>
    <w:basedOn w:val="DefaultParagraphFont"/>
    <w:link w:val="BodyTextIndent2"/>
    <w:rsid w:val="00046E4A"/>
    <w:rPr>
      <w:sz w:val="22"/>
    </w:rPr>
  </w:style>
  <w:style w:type="paragraph" w:styleId="BodyTextIndent3">
    <w:name w:val="Body Text Indent 3"/>
    <w:basedOn w:val="Normal"/>
    <w:link w:val="BodyTextIndent3Char"/>
    <w:rsid w:val="00046E4A"/>
    <w:pPr>
      <w:spacing w:after="120"/>
      <w:ind w:left="283"/>
    </w:pPr>
    <w:rPr>
      <w:sz w:val="16"/>
      <w:szCs w:val="16"/>
    </w:rPr>
  </w:style>
  <w:style w:type="character" w:customStyle="1" w:styleId="BodyTextIndent3Char">
    <w:name w:val="Body Text Indent 3 Char"/>
    <w:basedOn w:val="DefaultParagraphFont"/>
    <w:link w:val="BodyTextIndent3"/>
    <w:rsid w:val="00046E4A"/>
    <w:rPr>
      <w:sz w:val="16"/>
      <w:szCs w:val="16"/>
    </w:rPr>
  </w:style>
  <w:style w:type="paragraph" w:styleId="BlockText">
    <w:name w:val="Block Text"/>
    <w:basedOn w:val="Normal"/>
    <w:rsid w:val="00046E4A"/>
    <w:pPr>
      <w:spacing w:after="120"/>
      <w:ind w:left="1440" w:right="1440"/>
    </w:pPr>
  </w:style>
  <w:style w:type="character" w:styleId="Hyperlink">
    <w:name w:val="Hyperlink"/>
    <w:basedOn w:val="DefaultParagraphFont"/>
    <w:rsid w:val="00046E4A"/>
    <w:rPr>
      <w:color w:val="0000FF"/>
      <w:u w:val="single"/>
    </w:rPr>
  </w:style>
  <w:style w:type="character" w:styleId="FollowedHyperlink">
    <w:name w:val="FollowedHyperlink"/>
    <w:basedOn w:val="DefaultParagraphFont"/>
    <w:rsid w:val="00046E4A"/>
    <w:rPr>
      <w:color w:val="800080"/>
      <w:u w:val="single"/>
    </w:rPr>
  </w:style>
  <w:style w:type="character" w:styleId="Strong">
    <w:name w:val="Strong"/>
    <w:basedOn w:val="DefaultParagraphFont"/>
    <w:qFormat/>
    <w:rsid w:val="00046E4A"/>
    <w:rPr>
      <w:b/>
      <w:bCs/>
    </w:rPr>
  </w:style>
  <w:style w:type="character" w:styleId="Emphasis">
    <w:name w:val="Emphasis"/>
    <w:basedOn w:val="DefaultParagraphFont"/>
    <w:qFormat/>
    <w:rsid w:val="00046E4A"/>
    <w:rPr>
      <w:i/>
      <w:iCs/>
    </w:rPr>
  </w:style>
  <w:style w:type="paragraph" w:styleId="DocumentMap">
    <w:name w:val="Document Map"/>
    <w:basedOn w:val="Normal"/>
    <w:link w:val="DocumentMapChar"/>
    <w:rsid w:val="00046E4A"/>
    <w:pPr>
      <w:shd w:val="clear" w:color="auto" w:fill="000080"/>
    </w:pPr>
    <w:rPr>
      <w:rFonts w:ascii="Tahoma" w:hAnsi="Tahoma" w:cs="Tahoma"/>
    </w:rPr>
  </w:style>
  <w:style w:type="character" w:customStyle="1" w:styleId="DocumentMapChar">
    <w:name w:val="Document Map Char"/>
    <w:basedOn w:val="DefaultParagraphFont"/>
    <w:link w:val="DocumentMap"/>
    <w:rsid w:val="00046E4A"/>
    <w:rPr>
      <w:rFonts w:ascii="Tahoma" w:hAnsi="Tahoma" w:cs="Tahoma"/>
      <w:sz w:val="22"/>
      <w:shd w:val="clear" w:color="auto" w:fill="000080"/>
    </w:rPr>
  </w:style>
  <w:style w:type="paragraph" w:styleId="PlainText">
    <w:name w:val="Plain Text"/>
    <w:basedOn w:val="Normal"/>
    <w:link w:val="PlainTextChar"/>
    <w:rsid w:val="00046E4A"/>
    <w:rPr>
      <w:rFonts w:ascii="Courier New" w:hAnsi="Courier New" w:cs="Courier New"/>
      <w:sz w:val="20"/>
    </w:rPr>
  </w:style>
  <w:style w:type="character" w:customStyle="1" w:styleId="PlainTextChar">
    <w:name w:val="Plain Text Char"/>
    <w:basedOn w:val="DefaultParagraphFont"/>
    <w:link w:val="PlainText"/>
    <w:rsid w:val="00046E4A"/>
    <w:rPr>
      <w:rFonts w:ascii="Courier New" w:hAnsi="Courier New" w:cs="Courier New"/>
    </w:rPr>
  </w:style>
  <w:style w:type="paragraph" w:styleId="E-mailSignature">
    <w:name w:val="E-mail Signature"/>
    <w:basedOn w:val="Normal"/>
    <w:link w:val="E-mailSignatureChar"/>
    <w:rsid w:val="00046E4A"/>
  </w:style>
  <w:style w:type="character" w:customStyle="1" w:styleId="E-mailSignatureChar">
    <w:name w:val="E-mail Signature Char"/>
    <w:basedOn w:val="DefaultParagraphFont"/>
    <w:link w:val="E-mailSignature"/>
    <w:rsid w:val="00046E4A"/>
    <w:rPr>
      <w:sz w:val="22"/>
    </w:rPr>
  </w:style>
  <w:style w:type="paragraph" w:styleId="NormalWeb">
    <w:name w:val="Normal (Web)"/>
    <w:basedOn w:val="Normal"/>
    <w:rsid w:val="00046E4A"/>
  </w:style>
  <w:style w:type="character" w:styleId="HTMLAcronym">
    <w:name w:val="HTML Acronym"/>
    <w:basedOn w:val="DefaultParagraphFont"/>
    <w:rsid w:val="00046E4A"/>
  </w:style>
  <w:style w:type="paragraph" w:styleId="HTMLAddress">
    <w:name w:val="HTML Address"/>
    <w:basedOn w:val="Normal"/>
    <w:link w:val="HTMLAddressChar"/>
    <w:rsid w:val="00046E4A"/>
    <w:rPr>
      <w:i/>
      <w:iCs/>
    </w:rPr>
  </w:style>
  <w:style w:type="character" w:customStyle="1" w:styleId="HTMLAddressChar">
    <w:name w:val="HTML Address Char"/>
    <w:basedOn w:val="DefaultParagraphFont"/>
    <w:link w:val="HTMLAddress"/>
    <w:rsid w:val="00046E4A"/>
    <w:rPr>
      <w:i/>
      <w:iCs/>
      <w:sz w:val="22"/>
    </w:rPr>
  </w:style>
  <w:style w:type="character" w:styleId="HTMLCite">
    <w:name w:val="HTML Cite"/>
    <w:basedOn w:val="DefaultParagraphFont"/>
    <w:rsid w:val="00046E4A"/>
    <w:rPr>
      <w:i/>
      <w:iCs/>
    </w:rPr>
  </w:style>
  <w:style w:type="character" w:styleId="HTMLCode">
    <w:name w:val="HTML Code"/>
    <w:basedOn w:val="DefaultParagraphFont"/>
    <w:rsid w:val="00046E4A"/>
    <w:rPr>
      <w:rFonts w:ascii="Courier New" w:hAnsi="Courier New" w:cs="Courier New"/>
      <w:sz w:val="20"/>
      <w:szCs w:val="20"/>
    </w:rPr>
  </w:style>
  <w:style w:type="character" w:styleId="HTMLDefinition">
    <w:name w:val="HTML Definition"/>
    <w:basedOn w:val="DefaultParagraphFont"/>
    <w:rsid w:val="00046E4A"/>
    <w:rPr>
      <w:i/>
      <w:iCs/>
    </w:rPr>
  </w:style>
  <w:style w:type="character" w:styleId="HTMLKeyboard">
    <w:name w:val="HTML Keyboard"/>
    <w:basedOn w:val="DefaultParagraphFont"/>
    <w:rsid w:val="00046E4A"/>
    <w:rPr>
      <w:rFonts w:ascii="Courier New" w:hAnsi="Courier New" w:cs="Courier New"/>
      <w:sz w:val="20"/>
      <w:szCs w:val="20"/>
    </w:rPr>
  </w:style>
  <w:style w:type="paragraph" w:styleId="HTMLPreformatted">
    <w:name w:val="HTML Preformatted"/>
    <w:basedOn w:val="Normal"/>
    <w:link w:val="HTMLPreformattedChar"/>
    <w:rsid w:val="00046E4A"/>
    <w:rPr>
      <w:rFonts w:ascii="Courier New" w:hAnsi="Courier New" w:cs="Courier New"/>
      <w:sz w:val="20"/>
    </w:rPr>
  </w:style>
  <w:style w:type="character" w:customStyle="1" w:styleId="HTMLPreformattedChar">
    <w:name w:val="HTML Preformatted Char"/>
    <w:basedOn w:val="DefaultParagraphFont"/>
    <w:link w:val="HTMLPreformatted"/>
    <w:rsid w:val="00046E4A"/>
    <w:rPr>
      <w:rFonts w:ascii="Courier New" w:hAnsi="Courier New" w:cs="Courier New"/>
    </w:rPr>
  </w:style>
  <w:style w:type="character" w:styleId="HTMLSample">
    <w:name w:val="HTML Sample"/>
    <w:basedOn w:val="DefaultParagraphFont"/>
    <w:rsid w:val="00046E4A"/>
    <w:rPr>
      <w:rFonts w:ascii="Courier New" w:hAnsi="Courier New" w:cs="Courier New"/>
    </w:rPr>
  </w:style>
  <w:style w:type="character" w:styleId="HTMLTypewriter">
    <w:name w:val="HTML Typewriter"/>
    <w:basedOn w:val="DefaultParagraphFont"/>
    <w:rsid w:val="00046E4A"/>
    <w:rPr>
      <w:rFonts w:ascii="Courier New" w:hAnsi="Courier New" w:cs="Courier New"/>
      <w:sz w:val="20"/>
      <w:szCs w:val="20"/>
    </w:rPr>
  </w:style>
  <w:style w:type="character" w:styleId="HTMLVariable">
    <w:name w:val="HTML Variable"/>
    <w:basedOn w:val="DefaultParagraphFont"/>
    <w:rsid w:val="00046E4A"/>
    <w:rPr>
      <w:i/>
      <w:iCs/>
    </w:rPr>
  </w:style>
  <w:style w:type="paragraph" w:styleId="CommentSubject">
    <w:name w:val="annotation subject"/>
    <w:basedOn w:val="CommentText"/>
    <w:next w:val="CommentText"/>
    <w:link w:val="CommentSubjectChar"/>
    <w:rsid w:val="00046E4A"/>
    <w:rPr>
      <w:b/>
      <w:bCs/>
    </w:rPr>
  </w:style>
  <w:style w:type="character" w:customStyle="1" w:styleId="CommentSubjectChar">
    <w:name w:val="Comment Subject Char"/>
    <w:basedOn w:val="CommentTextChar"/>
    <w:link w:val="CommentSubject"/>
    <w:rsid w:val="00046E4A"/>
    <w:rPr>
      <w:b/>
      <w:bCs/>
    </w:rPr>
  </w:style>
  <w:style w:type="numbering" w:styleId="1ai">
    <w:name w:val="Outline List 1"/>
    <w:basedOn w:val="NoList"/>
    <w:rsid w:val="00046E4A"/>
    <w:pPr>
      <w:numPr>
        <w:numId w:val="14"/>
      </w:numPr>
    </w:pPr>
  </w:style>
  <w:style w:type="numbering" w:styleId="111111">
    <w:name w:val="Outline List 2"/>
    <w:basedOn w:val="NoList"/>
    <w:rsid w:val="00046E4A"/>
    <w:pPr>
      <w:numPr>
        <w:numId w:val="15"/>
      </w:numPr>
    </w:pPr>
  </w:style>
  <w:style w:type="numbering" w:styleId="ArticleSection">
    <w:name w:val="Outline List 3"/>
    <w:basedOn w:val="NoList"/>
    <w:rsid w:val="00046E4A"/>
    <w:pPr>
      <w:numPr>
        <w:numId w:val="17"/>
      </w:numPr>
    </w:pPr>
  </w:style>
  <w:style w:type="table" w:styleId="TableSimple1">
    <w:name w:val="Table Simple 1"/>
    <w:basedOn w:val="TableNormal"/>
    <w:rsid w:val="00046E4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6E4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6E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46E4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6E4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6E4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6E4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6E4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6E4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6E4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6E4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6E4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6E4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6E4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6E4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46E4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6E4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6E4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6E4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6E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6E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6E4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6E4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6E4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6E4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6E4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6E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6E4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6E4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6E4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6E4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46E4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6E4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6E4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46E4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6E4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46E4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6E4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6E4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46E4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6E4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6E4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46E4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46E4A"/>
    <w:rPr>
      <w:rFonts w:eastAsia="Times New Roman" w:cs="Times New Roman"/>
      <w:b/>
      <w:kern w:val="28"/>
      <w:sz w:val="24"/>
      <w:lang w:eastAsia="en-AU"/>
    </w:rPr>
  </w:style>
  <w:style w:type="paragraph" w:customStyle="1" w:styleId="ETAsubitem">
    <w:name w:val="ETA(subitem)"/>
    <w:basedOn w:val="OPCParaBase"/>
    <w:rsid w:val="00046E4A"/>
    <w:pPr>
      <w:tabs>
        <w:tab w:val="right" w:pos="340"/>
      </w:tabs>
      <w:spacing w:before="60" w:line="240" w:lineRule="auto"/>
      <w:ind w:left="454" w:hanging="454"/>
    </w:pPr>
    <w:rPr>
      <w:sz w:val="20"/>
    </w:rPr>
  </w:style>
  <w:style w:type="paragraph" w:customStyle="1" w:styleId="ETApara">
    <w:name w:val="ETA(para)"/>
    <w:basedOn w:val="OPCParaBase"/>
    <w:rsid w:val="00046E4A"/>
    <w:pPr>
      <w:tabs>
        <w:tab w:val="right" w:pos="754"/>
      </w:tabs>
      <w:spacing w:before="60" w:line="240" w:lineRule="auto"/>
      <w:ind w:left="828" w:hanging="828"/>
    </w:pPr>
    <w:rPr>
      <w:sz w:val="20"/>
    </w:rPr>
  </w:style>
  <w:style w:type="paragraph" w:customStyle="1" w:styleId="ETAsubpara">
    <w:name w:val="ETA(subpara)"/>
    <w:basedOn w:val="OPCParaBase"/>
    <w:rsid w:val="00046E4A"/>
    <w:pPr>
      <w:tabs>
        <w:tab w:val="right" w:pos="1083"/>
      </w:tabs>
      <w:spacing w:before="60" w:line="240" w:lineRule="auto"/>
      <w:ind w:left="1191" w:hanging="1191"/>
    </w:pPr>
    <w:rPr>
      <w:sz w:val="20"/>
    </w:rPr>
  </w:style>
  <w:style w:type="paragraph" w:customStyle="1" w:styleId="ETAsub-subpara">
    <w:name w:val="ETA(sub-subpara)"/>
    <w:basedOn w:val="OPCParaBase"/>
    <w:rsid w:val="00046E4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46E4A"/>
  </w:style>
  <w:style w:type="paragraph" w:styleId="Bibliography">
    <w:name w:val="Bibliography"/>
    <w:basedOn w:val="Normal"/>
    <w:next w:val="Normal"/>
    <w:uiPriority w:val="37"/>
    <w:semiHidden/>
    <w:unhideWhenUsed/>
    <w:rsid w:val="00046E4A"/>
  </w:style>
  <w:style w:type="character" w:styleId="BookTitle">
    <w:name w:val="Book Title"/>
    <w:basedOn w:val="DefaultParagraphFont"/>
    <w:uiPriority w:val="33"/>
    <w:qFormat/>
    <w:rsid w:val="00046E4A"/>
    <w:rPr>
      <w:b/>
      <w:bCs/>
      <w:i/>
      <w:iCs/>
      <w:spacing w:val="5"/>
    </w:rPr>
  </w:style>
  <w:style w:type="table" w:styleId="ColorfulGrid">
    <w:name w:val="Colorful Grid"/>
    <w:basedOn w:val="TableNormal"/>
    <w:uiPriority w:val="73"/>
    <w:semiHidden/>
    <w:unhideWhenUsed/>
    <w:rsid w:val="00046E4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6E4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46E4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46E4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46E4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46E4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46E4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46E4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6E4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46E4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46E4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46E4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46E4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46E4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46E4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6E4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6E4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6E4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46E4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6E4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6E4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46E4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6E4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46E4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46E4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46E4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46E4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46E4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46E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6E4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6E4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6E4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6E4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6E4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6E4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46E4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46E4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46E4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46E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46E4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46E4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46E4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46E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46E4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46E4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46E4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46E4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46E4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46E4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46E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6E4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46E4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46E4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46E4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46E4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46E4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46E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46E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46E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46E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46E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46E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46E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46E4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46E4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46E4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46E4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46E4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46E4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46E4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46E4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46E4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46E4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46E4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46E4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46E4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46E4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46E4A"/>
    <w:rPr>
      <w:color w:val="2B579A"/>
      <w:shd w:val="clear" w:color="auto" w:fill="E1DFDD"/>
    </w:rPr>
  </w:style>
  <w:style w:type="character" w:styleId="IntenseEmphasis">
    <w:name w:val="Intense Emphasis"/>
    <w:basedOn w:val="DefaultParagraphFont"/>
    <w:uiPriority w:val="21"/>
    <w:qFormat/>
    <w:rsid w:val="00046E4A"/>
    <w:rPr>
      <w:i/>
      <w:iCs/>
      <w:color w:val="4F81BD" w:themeColor="accent1"/>
    </w:rPr>
  </w:style>
  <w:style w:type="paragraph" w:styleId="IntenseQuote">
    <w:name w:val="Intense Quote"/>
    <w:basedOn w:val="Normal"/>
    <w:next w:val="Normal"/>
    <w:link w:val="IntenseQuoteChar"/>
    <w:uiPriority w:val="30"/>
    <w:qFormat/>
    <w:rsid w:val="00046E4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46E4A"/>
    <w:rPr>
      <w:i/>
      <w:iCs/>
      <w:color w:val="4F81BD" w:themeColor="accent1"/>
      <w:sz w:val="22"/>
    </w:rPr>
  </w:style>
  <w:style w:type="character" w:styleId="IntenseReference">
    <w:name w:val="Intense Reference"/>
    <w:basedOn w:val="DefaultParagraphFont"/>
    <w:uiPriority w:val="32"/>
    <w:qFormat/>
    <w:rsid w:val="00046E4A"/>
    <w:rPr>
      <w:b/>
      <w:bCs/>
      <w:smallCaps/>
      <w:color w:val="4F81BD" w:themeColor="accent1"/>
      <w:spacing w:val="5"/>
    </w:rPr>
  </w:style>
  <w:style w:type="table" w:styleId="LightGrid">
    <w:name w:val="Light Grid"/>
    <w:basedOn w:val="TableNormal"/>
    <w:uiPriority w:val="62"/>
    <w:semiHidden/>
    <w:unhideWhenUsed/>
    <w:rsid w:val="00046E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6E4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46E4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46E4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46E4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46E4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46E4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46E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6E4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46E4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46E4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46E4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46E4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46E4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46E4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6E4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46E4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46E4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46E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46E4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46E4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46E4A"/>
    <w:pPr>
      <w:ind w:left="720"/>
      <w:contextualSpacing/>
    </w:pPr>
  </w:style>
  <w:style w:type="table" w:styleId="ListTable1Light">
    <w:name w:val="List Table 1 Light"/>
    <w:basedOn w:val="TableNormal"/>
    <w:uiPriority w:val="46"/>
    <w:rsid w:val="00046E4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46E4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46E4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46E4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46E4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46E4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46E4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46E4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46E4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46E4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46E4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46E4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46E4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46E4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46E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46E4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46E4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46E4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46E4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46E4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46E4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46E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46E4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46E4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46E4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46E4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46E4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46E4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46E4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6E4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6E4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6E4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6E4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6E4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6E4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6E4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46E4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46E4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46E4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46E4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46E4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46E4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46E4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6E4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6E4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6E4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6E4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6E4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6E4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46E4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6E4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46E4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46E4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46E4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46E4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46E4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4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4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4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4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4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46E4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6E4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46E4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46E4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46E4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46E4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46E4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6E4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6E4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6E4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6E4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6E4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6E4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6E4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6E4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6E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46E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46E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46E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46E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46E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46E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46E4A"/>
    <w:rPr>
      <w:color w:val="2B579A"/>
      <w:shd w:val="clear" w:color="auto" w:fill="E1DFDD"/>
    </w:rPr>
  </w:style>
  <w:style w:type="paragraph" w:styleId="NoSpacing">
    <w:name w:val="No Spacing"/>
    <w:uiPriority w:val="1"/>
    <w:qFormat/>
    <w:rsid w:val="00046E4A"/>
    <w:rPr>
      <w:sz w:val="22"/>
    </w:rPr>
  </w:style>
  <w:style w:type="paragraph" w:styleId="NoteHeading">
    <w:name w:val="Note Heading"/>
    <w:basedOn w:val="Normal"/>
    <w:next w:val="Normal"/>
    <w:link w:val="NoteHeadingChar"/>
    <w:uiPriority w:val="99"/>
    <w:semiHidden/>
    <w:unhideWhenUsed/>
    <w:rsid w:val="00046E4A"/>
    <w:pPr>
      <w:spacing w:line="240" w:lineRule="auto"/>
    </w:pPr>
  </w:style>
  <w:style w:type="character" w:customStyle="1" w:styleId="NoteHeadingChar">
    <w:name w:val="Note Heading Char"/>
    <w:basedOn w:val="DefaultParagraphFont"/>
    <w:link w:val="NoteHeading"/>
    <w:uiPriority w:val="99"/>
    <w:semiHidden/>
    <w:rsid w:val="00046E4A"/>
    <w:rPr>
      <w:sz w:val="22"/>
    </w:rPr>
  </w:style>
  <w:style w:type="character" w:styleId="PlaceholderText">
    <w:name w:val="Placeholder Text"/>
    <w:basedOn w:val="DefaultParagraphFont"/>
    <w:uiPriority w:val="99"/>
    <w:semiHidden/>
    <w:rsid w:val="00046E4A"/>
    <w:rPr>
      <w:color w:val="808080"/>
    </w:rPr>
  </w:style>
  <w:style w:type="table" w:styleId="PlainTable1">
    <w:name w:val="Plain Table 1"/>
    <w:basedOn w:val="TableNormal"/>
    <w:uiPriority w:val="41"/>
    <w:rsid w:val="00046E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6E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46E4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6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6E4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46E4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6E4A"/>
    <w:rPr>
      <w:i/>
      <w:iCs/>
      <w:color w:val="404040" w:themeColor="text1" w:themeTint="BF"/>
      <w:sz w:val="22"/>
    </w:rPr>
  </w:style>
  <w:style w:type="character" w:styleId="SmartHyperlink">
    <w:name w:val="Smart Hyperlink"/>
    <w:basedOn w:val="DefaultParagraphFont"/>
    <w:uiPriority w:val="99"/>
    <w:semiHidden/>
    <w:unhideWhenUsed/>
    <w:rsid w:val="00046E4A"/>
    <w:rPr>
      <w:u w:val="dotted"/>
    </w:rPr>
  </w:style>
  <w:style w:type="character" w:styleId="SubtleEmphasis">
    <w:name w:val="Subtle Emphasis"/>
    <w:basedOn w:val="DefaultParagraphFont"/>
    <w:uiPriority w:val="19"/>
    <w:qFormat/>
    <w:rsid w:val="00046E4A"/>
    <w:rPr>
      <w:i/>
      <w:iCs/>
      <w:color w:val="404040" w:themeColor="text1" w:themeTint="BF"/>
    </w:rPr>
  </w:style>
  <w:style w:type="character" w:styleId="SubtleReference">
    <w:name w:val="Subtle Reference"/>
    <w:basedOn w:val="DefaultParagraphFont"/>
    <w:uiPriority w:val="31"/>
    <w:qFormat/>
    <w:rsid w:val="00046E4A"/>
    <w:rPr>
      <w:smallCaps/>
      <w:color w:val="5A5A5A" w:themeColor="text1" w:themeTint="A5"/>
    </w:rPr>
  </w:style>
  <w:style w:type="table" w:styleId="TableGridLight">
    <w:name w:val="Grid Table Light"/>
    <w:basedOn w:val="TableNormal"/>
    <w:uiPriority w:val="40"/>
    <w:rsid w:val="00046E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46E4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46E4A"/>
    <w:rPr>
      <w:color w:val="605E5C"/>
      <w:shd w:val="clear" w:color="auto" w:fill="E1DFDD"/>
    </w:rPr>
  </w:style>
  <w:style w:type="paragraph" w:customStyle="1" w:styleId="Specials">
    <w:name w:val="Special s"/>
    <w:basedOn w:val="ActHead5"/>
    <w:link w:val="SpecialsChar"/>
    <w:rsid w:val="000E513B"/>
    <w:pPr>
      <w:outlineLvl w:val="9"/>
    </w:pPr>
  </w:style>
  <w:style w:type="character" w:customStyle="1" w:styleId="SpecialsChar">
    <w:name w:val="Special s Char"/>
    <w:basedOn w:val="ActHead5Char"/>
    <w:link w:val="Specials"/>
    <w:rsid w:val="000E513B"/>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93A9DF5-1950-406A-AFEE-E3931BE59F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747647606F56479E0F6C70F4543318" ma:contentTypeVersion="" ma:contentTypeDescription="PDMS Document Site Content Type" ma:contentTypeScope="" ma:versionID="79ac74212b00d2ab469381a6b34dc7d9">
  <xsd:schema xmlns:xsd="http://www.w3.org/2001/XMLSchema" xmlns:xs="http://www.w3.org/2001/XMLSchema" xmlns:p="http://schemas.microsoft.com/office/2006/metadata/properties" xmlns:ns2="993A9DF5-1950-406A-AFEE-E3931BE59F9E" targetNamespace="http://schemas.microsoft.com/office/2006/metadata/properties" ma:root="true" ma:fieldsID="8f18679b09edc48281876f39528f1a02" ns2:_="">
    <xsd:import namespace="993A9DF5-1950-406A-AFEE-E3931BE59F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9DF5-1950-406A-AFEE-E3931BE59F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DE82-4373-4D11-B685-0103A2E9840D}">
  <ds:schemaRefs>
    <ds:schemaRef ds:uri="http://schemas.microsoft.com/sharepoint/v3/contenttype/forms"/>
  </ds:schemaRefs>
</ds:datastoreItem>
</file>

<file path=customXml/itemProps2.xml><?xml version="1.0" encoding="utf-8"?>
<ds:datastoreItem xmlns:ds="http://schemas.openxmlformats.org/officeDocument/2006/customXml" ds:itemID="{36C51501-7A1B-4664-B461-D5DB49BF2936}">
  <ds:schemaRef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993A9DF5-1950-406A-AFEE-E3931BE59F9E"/>
    <ds:schemaRef ds:uri="http://purl.org/dc/elements/1.1/"/>
  </ds:schemaRefs>
</ds:datastoreItem>
</file>

<file path=customXml/itemProps3.xml><?xml version="1.0" encoding="utf-8"?>
<ds:datastoreItem xmlns:ds="http://schemas.openxmlformats.org/officeDocument/2006/customXml" ds:itemID="{7C10906E-26B7-4D7D-91C1-49909FBB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9DF5-1950-406A-AFEE-E3931BE5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F1355-A816-413E-8A4F-1CB34213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19</Pages>
  <Words>4637</Words>
  <Characters>25875</Characters>
  <Application>Microsoft Office Word</Application>
  <DocSecurity>0</DocSecurity>
  <PresentationFormat/>
  <Lines>1035</Lines>
  <Paragraphs>782</Paragraphs>
  <ScaleCrop>false</ScaleCrop>
  <HeadingPairs>
    <vt:vector size="2" baseType="variant">
      <vt:variant>
        <vt:lpstr>Title</vt:lpstr>
      </vt:variant>
      <vt:variant>
        <vt:i4>1</vt:i4>
      </vt:variant>
    </vt:vector>
  </HeadingPairs>
  <TitlesOfParts>
    <vt:vector size="1" baseType="lpstr">
      <vt:lpstr>Administrative Review Tribunal Regulations 2024</vt:lpstr>
    </vt:vector>
  </TitlesOfParts>
  <Manager/>
  <Company/>
  <LinksUpToDate>false</LinksUpToDate>
  <CharactersWithSpaces>29730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2024-07-26T04:45:00Z</cp:lastPrinted>
  <dcterms:created xsi:type="dcterms:W3CDTF">2024-09-16T00:43:00Z</dcterms:created>
  <dcterms:modified xsi:type="dcterms:W3CDTF">2024-09-16T01:48:00Z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Administrative Review Tribunal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OPC66733</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ContentTypeId">
    <vt:lpwstr>0x010100266966F133664895A6EE3632470D45F5008A747647606F56479E0F6C70F4543318</vt:lpwstr>
  </property>
</Properties>
</file>