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F681" w14:textId="06C347BF" w:rsidR="00BF4130" w:rsidRPr="00A252C5" w:rsidRDefault="00BF4130" w:rsidP="00A252C5">
      <w:pPr>
        <w:jc w:val="center"/>
        <w:rPr>
          <w:b/>
          <w:iCs/>
          <w:u w:val="single"/>
        </w:rPr>
      </w:pPr>
      <w:r w:rsidRPr="00A252C5">
        <w:rPr>
          <w:b/>
          <w:iCs/>
          <w:u w:val="single"/>
        </w:rPr>
        <w:t>Explanatory Statement</w:t>
      </w:r>
    </w:p>
    <w:p w14:paraId="0784CED1" w14:textId="77777777" w:rsidR="00BF4130" w:rsidRPr="00A252C5" w:rsidRDefault="00BF4130" w:rsidP="00A252C5">
      <w:pPr>
        <w:jc w:val="center"/>
      </w:pPr>
    </w:p>
    <w:p w14:paraId="3EB511E9" w14:textId="6DD835BC" w:rsidR="00BF4130" w:rsidRPr="00A252C5" w:rsidRDefault="00BF4130" w:rsidP="00A252C5">
      <w:pPr>
        <w:jc w:val="center"/>
      </w:pPr>
      <w:r w:rsidRPr="00A252C5">
        <w:t>Issued by the Authority of the</w:t>
      </w:r>
      <w:r w:rsidR="00FD220D" w:rsidRPr="00A252C5">
        <w:t xml:space="preserve"> </w:t>
      </w:r>
      <w:r w:rsidRPr="00A252C5">
        <w:t>Minister for Foreign Affairs</w:t>
      </w:r>
    </w:p>
    <w:p w14:paraId="437CEB44" w14:textId="77777777" w:rsidR="00BF4130" w:rsidRPr="00A252C5" w:rsidRDefault="00BF4130" w:rsidP="00A252C5">
      <w:pPr>
        <w:jc w:val="center"/>
      </w:pPr>
    </w:p>
    <w:p w14:paraId="2A5A5E74" w14:textId="77777777" w:rsidR="00BF4130" w:rsidRPr="009D010B" w:rsidRDefault="00BF4130" w:rsidP="00A252C5">
      <w:pPr>
        <w:pStyle w:val="Heading1"/>
        <w:ind w:hanging="1133"/>
        <w:rPr>
          <w:rFonts w:ascii="Times New Roman" w:hAnsi="Times New Roman" w:cs="Times New Roman"/>
        </w:rPr>
      </w:pPr>
      <w:r w:rsidRPr="009D010B">
        <w:rPr>
          <w:rFonts w:ascii="Times New Roman" w:hAnsi="Times New Roman" w:cs="Times New Roman"/>
        </w:rPr>
        <w:t>Autonomous Sanctions Regulations 2011</w:t>
      </w:r>
    </w:p>
    <w:p w14:paraId="67E65E4E" w14:textId="77777777" w:rsidR="00BF4130" w:rsidRPr="009D010B" w:rsidRDefault="00BF4130" w:rsidP="00A252C5">
      <w:pPr>
        <w:ind w:left="1133" w:hanging="1157"/>
        <w:jc w:val="center"/>
        <w:rPr>
          <w:i/>
          <w:iCs/>
        </w:rPr>
      </w:pPr>
    </w:p>
    <w:p w14:paraId="23FCC082" w14:textId="21A5B9E1" w:rsidR="00D11980" w:rsidRPr="009D010B" w:rsidRDefault="00D11980" w:rsidP="00A252C5">
      <w:pPr>
        <w:jc w:val="center"/>
        <w:rPr>
          <w:i/>
          <w:iCs/>
        </w:rPr>
      </w:pPr>
      <w:bookmarkStart w:id="0" w:name="_Hlk143855910"/>
      <w:r w:rsidRPr="009D010B">
        <w:rPr>
          <w:i/>
          <w:iCs/>
        </w:rPr>
        <w:t xml:space="preserve">Autonomous Sanctions (Designated Persons and Entities and Declared Persons – </w:t>
      </w:r>
      <w:r w:rsidR="00B0685F">
        <w:rPr>
          <w:i/>
          <w:iCs/>
        </w:rPr>
        <w:t>Myanmar</w:t>
      </w:r>
      <w:r w:rsidRPr="009D010B">
        <w:rPr>
          <w:i/>
          <w:iCs/>
        </w:rPr>
        <w:t xml:space="preserve">) Amendment (No. </w:t>
      </w:r>
      <w:r w:rsidR="00F624E8">
        <w:rPr>
          <w:i/>
          <w:iCs/>
        </w:rPr>
        <w:t>2</w:t>
      </w:r>
      <w:r w:rsidRPr="009D010B">
        <w:rPr>
          <w:i/>
          <w:iCs/>
        </w:rPr>
        <w:t>) Instrument 202</w:t>
      </w:r>
      <w:r w:rsidR="00B0685F">
        <w:rPr>
          <w:i/>
          <w:iCs/>
        </w:rPr>
        <w:t>4</w:t>
      </w:r>
    </w:p>
    <w:bookmarkEnd w:id="0"/>
    <w:p w14:paraId="3A46B7FF" w14:textId="77777777" w:rsidR="00AD36A1" w:rsidRPr="00A252C5" w:rsidRDefault="00AD36A1" w:rsidP="00A252C5">
      <w:pPr>
        <w:jc w:val="center"/>
      </w:pPr>
    </w:p>
    <w:p w14:paraId="7D9F1AEC" w14:textId="229412B2" w:rsidR="002531DD" w:rsidRPr="009B096E" w:rsidRDefault="00B0685F" w:rsidP="002531DD">
      <w:pPr>
        <w:spacing w:before="120" w:after="120"/>
        <w:ind w:right="142"/>
        <w:rPr>
          <w:rFonts w:cstheme="minorHAnsi"/>
        </w:rPr>
      </w:pPr>
      <w:r w:rsidRPr="00F943AB">
        <w:rPr>
          <w:iCs/>
        </w:rPr>
        <w:t>Autonomous sanctions are measures not involving the use of armed force which</w:t>
      </w:r>
      <w:r>
        <w:rPr>
          <w:iCs/>
        </w:rPr>
        <w:t xml:space="preserve"> a government</w:t>
      </w:r>
      <w:r w:rsidRPr="00F943AB">
        <w:rPr>
          <w:iCs/>
        </w:rPr>
        <w:t xml:space="preserve"> imposes as a matter of foreign policy</w:t>
      </w:r>
      <w:r w:rsidRPr="007831C9">
        <w:rPr>
          <w:iCs/>
        </w:rPr>
        <w:t>—</w:t>
      </w:r>
      <w:r w:rsidRPr="00F943AB">
        <w:rPr>
          <w:iCs/>
        </w:rPr>
        <w:t>as opposed to an international obligation under a United Nations Security Council decision</w:t>
      </w:r>
      <w:r w:rsidRPr="007831C9">
        <w:rPr>
          <w:iCs/>
        </w:rPr>
        <w:t>—</w:t>
      </w:r>
      <w:r w:rsidRPr="00F943AB">
        <w:rPr>
          <w:iCs/>
        </w:rPr>
        <w:t xml:space="preserve">in </w:t>
      </w:r>
      <w:r>
        <w:rPr>
          <w:iCs/>
        </w:rPr>
        <w:t xml:space="preserve">response to </w:t>
      </w:r>
      <w:r w:rsidRPr="00F943AB">
        <w:rPr>
          <w:iCs/>
        </w:rPr>
        <w:t xml:space="preserve">situations of international concern. </w:t>
      </w:r>
      <w:r w:rsidRPr="00C70496">
        <w:rPr>
          <w:iCs/>
        </w:rPr>
        <w:t>Such situations include the grave repression of the human rights or democratic freedoms of a population by a government.</w:t>
      </w:r>
      <w:r w:rsidR="008F25F4">
        <w:rPr>
          <w:iCs/>
        </w:rPr>
        <w:t xml:space="preserve"> In the Myanmar context, </w:t>
      </w:r>
      <w:r w:rsidR="008F25F4" w:rsidRPr="008F25F4">
        <w:rPr>
          <w:iCs/>
        </w:rPr>
        <w:t xml:space="preserve">Australia’s sanctions </w:t>
      </w:r>
      <w:r w:rsidR="008F25F4">
        <w:rPr>
          <w:iCs/>
        </w:rPr>
        <w:t>framework</w:t>
      </w:r>
      <w:r w:rsidR="008F25F4" w:rsidRPr="008F25F4">
        <w:rPr>
          <w:iCs/>
        </w:rPr>
        <w:t xml:space="preserve"> remains an important mechanism </w:t>
      </w:r>
      <w:r w:rsidR="002531DD" w:rsidRPr="009B096E">
        <w:rPr>
          <w:rFonts w:cstheme="minorHAnsi"/>
        </w:rPr>
        <w:t xml:space="preserve">to </w:t>
      </w:r>
      <w:r w:rsidR="002531DD">
        <w:rPr>
          <w:rFonts w:cstheme="minorHAnsi"/>
        </w:rPr>
        <w:t xml:space="preserve">limit the Myanmar military regime’s access to funds that enable it to continue to commit atrocities against its own people. Sanctions also </w:t>
      </w:r>
      <w:r w:rsidR="002531DD" w:rsidRPr="009B096E">
        <w:rPr>
          <w:rFonts w:cstheme="minorHAnsi"/>
        </w:rPr>
        <w:t xml:space="preserve">demonstrate Australia’s condemnation </w:t>
      </w:r>
      <w:r w:rsidR="002A6789">
        <w:rPr>
          <w:rFonts w:cstheme="minorHAnsi"/>
        </w:rPr>
        <w:t>of the</w:t>
      </w:r>
      <w:r w:rsidR="002531DD" w:rsidRPr="009B096E">
        <w:rPr>
          <w:rFonts w:cstheme="minorHAnsi"/>
        </w:rPr>
        <w:t xml:space="preserve"> </w:t>
      </w:r>
      <w:r w:rsidR="002531DD">
        <w:rPr>
          <w:rFonts w:cstheme="minorHAnsi"/>
        </w:rPr>
        <w:t xml:space="preserve">military </w:t>
      </w:r>
      <w:r w:rsidR="002531DD" w:rsidRPr="009B096E">
        <w:rPr>
          <w:rFonts w:cstheme="minorHAnsi"/>
        </w:rPr>
        <w:t xml:space="preserve">regime’s </w:t>
      </w:r>
      <w:r w:rsidR="002531DD">
        <w:rPr>
          <w:rFonts w:cstheme="minorHAnsi"/>
        </w:rPr>
        <w:t>ongoing actions, including escalating violence</w:t>
      </w:r>
      <w:r w:rsidR="002A6789">
        <w:rPr>
          <w:rFonts w:cstheme="minorHAnsi"/>
        </w:rPr>
        <w:t xml:space="preserve"> and</w:t>
      </w:r>
      <w:r w:rsidR="002531DD">
        <w:rPr>
          <w:rFonts w:cstheme="minorHAnsi"/>
        </w:rPr>
        <w:t xml:space="preserve"> </w:t>
      </w:r>
      <w:r w:rsidR="002531DD" w:rsidRPr="009B096E">
        <w:rPr>
          <w:rFonts w:cstheme="minorHAnsi"/>
        </w:rPr>
        <w:t>repression of the people of Myanmar, and</w:t>
      </w:r>
      <w:r w:rsidR="00AE68DB">
        <w:rPr>
          <w:rFonts w:cstheme="minorHAnsi"/>
        </w:rPr>
        <w:t xml:space="preserve"> deep concern for</w:t>
      </w:r>
      <w:r w:rsidR="002531DD" w:rsidRPr="009B096E">
        <w:rPr>
          <w:rFonts w:cstheme="minorHAnsi"/>
        </w:rPr>
        <w:t xml:space="preserve"> the </w:t>
      </w:r>
      <w:r w:rsidR="00AE68DB">
        <w:rPr>
          <w:rFonts w:cstheme="minorHAnsi"/>
        </w:rPr>
        <w:t>worsening</w:t>
      </w:r>
      <w:r w:rsidR="002531DD" w:rsidRPr="009B096E">
        <w:rPr>
          <w:rFonts w:cstheme="minorHAnsi"/>
        </w:rPr>
        <w:t xml:space="preserve"> political, humanitarian and security situation.</w:t>
      </w:r>
      <w:r w:rsidR="002531DD">
        <w:rPr>
          <w:rFonts w:cstheme="minorHAnsi"/>
        </w:rPr>
        <w:t xml:space="preserve"> </w:t>
      </w:r>
    </w:p>
    <w:p w14:paraId="5C53E1E9" w14:textId="77777777" w:rsidR="004D32A5" w:rsidRPr="00A252C5" w:rsidRDefault="004D32A5" w:rsidP="00A252C5"/>
    <w:p w14:paraId="0ACA05AD" w14:textId="760FA8D7" w:rsidR="002A62D1" w:rsidRPr="00A252C5" w:rsidRDefault="00BF4130" w:rsidP="00A252C5">
      <w:r w:rsidRPr="00A252C5">
        <w:t xml:space="preserve">The </w:t>
      </w:r>
      <w:r w:rsidRPr="009D010B">
        <w:rPr>
          <w:i/>
        </w:rPr>
        <w:t>Autonomous Sanctions Regulations 2011</w:t>
      </w:r>
      <w:r w:rsidRPr="00A252C5">
        <w:t xml:space="preserve"> (</w:t>
      </w:r>
      <w:r w:rsidRPr="009D010B">
        <w:rPr>
          <w:b/>
          <w:bCs/>
        </w:rPr>
        <w:t>the Regulations</w:t>
      </w:r>
      <w:r w:rsidRPr="00A252C5">
        <w:t xml:space="preserve">) make provision </w:t>
      </w:r>
      <w:r w:rsidR="00C70B47" w:rsidRPr="00A252C5">
        <w:t>for</w:t>
      </w:r>
      <w:r w:rsidRPr="00A252C5">
        <w:t xml:space="preserve">, among other things, the proscription of persons or entities for autonomous sanctions, </w:t>
      </w:r>
      <w:r w:rsidR="00AA73E3" w:rsidRPr="00A252C5">
        <w:t xml:space="preserve">in relation to </w:t>
      </w:r>
      <w:r w:rsidR="00B0685F">
        <w:t>Myanmar</w:t>
      </w:r>
      <w:r w:rsidRPr="00A252C5">
        <w:t xml:space="preserve">. Regulation 6 </w:t>
      </w:r>
      <w:r w:rsidR="00AA73E3" w:rsidRPr="00A252C5">
        <w:t xml:space="preserve">of the Regulations </w:t>
      </w:r>
      <w:r w:rsidRPr="00A252C5">
        <w:t xml:space="preserve">enables the </w:t>
      </w:r>
      <w:r w:rsidR="00AD36A1" w:rsidRPr="00A252C5">
        <w:t>M</w:t>
      </w:r>
      <w:r w:rsidR="00FD220D" w:rsidRPr="00A252C5">
        <w:t>inister for Foreign Affairs</w:t>
      </w:r>
      <w:r w:rsidRPr="00A252C5">
        <w:t xml:space="preserve"> (</w:t>
      </w:r>
      <w:r w:rsidRPr="009D010B">
        <w:rPr>
          <w:b/>
          <w:bCs/>
        </w:rPr>
        <w:t>the Minister</w:t>
      </w:r>
      <w:r w:rsidRPr="00A252C5">
        <w:t xml:space="preserve">) to designate a person or entity for targeted financial sanctions and/or declare a person for the purposes of a travel ban, </w:t>
      </w:r>
      <w:r w:rsidR="006B4DD0" w:rsidRPr="00A252C5">
        <w:t>in a range of circumstances, including if</w:t>
      </w:r>
      <w:r w:rsidR="00EC52C3" w:rsidRPr="00A252C5">
        <w:t xml:space="preserve"> the Minister is satisfied </w:t>
      </w:r>
      <w:r w:rsidR="005A26D7" w:rsidRPr="00A252C5">
        <w:t>(</w:t>
      </w:r>
      <w:r w:rsidR="005A26D7" w:rsidRPr="00983AD6">
        <w:t>pursuant t</w:t>
      </w:r>
      <w:r w:rsidR="004A3680" w:rsidRPr="00983AD6">
        <w:t>o</w:t>
      </w:r>
      <w:r w:rsidR="00983AD6">
        <w:t xml:space="preserve"> paragraph (d) of</w:t>
      </w:r>
      <w:r w:rsidR="004A3680" w:rsidRPr="00983AD6">
        <w:t xml:space="preserve"> item </w:t>
      </w:r>
      <w:r w:rsidR="00B0685F" w:rsidRPr="00983AD6">
        <w:t>6</w:t>
      </w:r>
      <w:r w:rsidR="004A3680" w:rsidRPr="00983AD6">
        <w:t xml:space="preserve"> o</w:t>
      </w:r>
      <w:r w:rsidR="00853862" w:rsidRPr="00983AD6">
        <w:t xml:space="preserve">f </w:t>
      </w:r>
      <w:r w:rsidR="00367FDA" w:rsidRPr="00983AD6">
        <w:t>r</w:t>
      </w:r>
      <w:r w:rsidR="00853862" w:rsidRPr="00983AD6">
        <w:t>egulation 6</w:t>
      </w:r>
      <w:r w:rsidR="002A62D1" w:rsidRPr="00983AD6">
        <w:t xml:space="preserve">, </w:t>
      </w:r>
      <w:r w:rsidR="0013780C" w:rsidRPr="00983AD6">
        <w:t>‘</w:t>
      </w:r>
      <w:r w:rsidR="00B0685F" w:rsidRPr="00983AD6">
        <w:rPr>
          <w:b/>
          <w:bCs/>
        </w:rPr>
        <w:t>Myanmar</w:t>
      </w:r>
      <w:r w:rsidR="002A62D1" w:rsidRPr="00983AD6">
        <w:rPr>
          <w:b/>
          <w:bCs/>
        </w:rPr>
        <w:t xml:space="preserve"> criteria</w:t>
      </w:r>
      <w:r w:rsidR="0013780C" w:rsidRPr="00983AD6">
        <w:t>’</w:t>
      </w:r>
      <w:r w:rsidR="00853862" w:rsidRPr="00A252C5">
        <w:t xml:space="preserve">) </w:t>
      </w:r>
      <w:r w:rsidR="00EC52C3" w:rsidRPr="00A252C5">
        <w:t>that</w:t>
      </w:r>
      <w:r w:rsidR="00B0685F">
        <w:t xml:space="preserve"> the individual is</w:t>
      </w:r>
      <w:r w:rsidR="002A62D1" w:rsidRPr="00A252C5">
        <w:t>:</w:t>
      </w:r>
    </w:p>
    <w:p w14:paraId="336C3CB8" w14:textId="77777777" w:rsidR="00907494" w:rsidRPr="00A252C5" w:rsidRDefault="00907494" w:rsidP="00A252C5">
      <w:pPr>
        <w:pStyle w:val="ListParagraph"/>
        <w:widowControl w:val="0"/>
      </w:pPr>
      <w:r w:rsidRPr="00A252C5">
        <w:tab/>
      </w:r>
    </w:p>
    <w:p w14:paraId="3B8DAA1D" w14:textId="0D3037BA" w:rsidR="00B0685F" w:rsidRPr="00983AD6" w:rsidRDefault="00B0685F" w:rsidP="00B0685F">
      <w:pPr>
        <w:pStyle w:val="ListParagraph"/>
        <w:numPr>
          <w:ilvl w:val="0"/>
          <w:numId w:val="15"/>
        </w:numPr>
      </w:pPr>
      <w:r w:rsidRPr="00983AD6">
        <w:t>A current or former military officer of the rank of Brigadier‑General or higher.</w:t>
      </w:r>
    </w:p>
    <w:p w14:paraId="04B08218" w14:textId="1CF75630" w:rsidR="00907494" w:rsidRPr="00A252C5" w:rsidRDefault="00907494" w:rsidP="00A252C5"/>
    <w:p w14:paraId="6BC010F0" w14:textId="568D4582" w:rsidR="00BF4130" w:rsidRPr="00A252C5" w:rsidRDefault="00BF4130" w:rsidP="00A252C5">
      <w:r w:rsidRPr="00A252C5">
        <w:t>The purpose of a designation is to subject the designated person or entity to targeted financial sanctions. There are two types of targeted financial sanctions under the Regulations:</w:t>
      </w:r>
    </w:p>
    <w:p w14:paraId="4256B28F" w14:textId="77777777" w:rsidR="00BF4130" w:rsidRPr="00A252C5" w:rsidRDefault="00BF4130" w:rsidP="00A252C5"/>
    <w:p w14:paraId="130CFD08" w14:textId="77777777" w:rsidR="00BF4130" w:rsidRPr="00A252C5" w:rsidRDefault="00BF4130" w:rsidP="00A252C5">
      <w:pPr>
        <w:pStyle w:val="ListParagraph"/>
        <w:widowControl w:val="0"/>
        <w:numPr>
          <w:ilvl w:val="0"/>
          <w:numId w:val="2"/>
        </w:numPr>
      </w:pPr>
      <w:r w:rsidRPr="00A252C5">
        <w:t>the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7453D0A7" w14:textId="18F67F90" w:rsidR="00BF4130" w:rsidRPr="00A252C5" w:rsidRDefault="00BF4130" w:rsidP="00A252C5">
      <w:pPr>
        <w:pStyle w:val="ListParagraph"/>
        <w:widowControl w:val="0"/>
        <w:numPr>
          <w:ilvl w:val="0"/>
          <w:numId w:val="2"/>
        </w:numPr>
      </w:pPr>
      <w:r w:rsidRPr="00A252C5">
        <w:t xml:space="preserve">an asset owned or controlled by a designated person or entity is a </w:t>
      </w:r>
      <w:r w:rsidR="006A3B0F">
        <w:t>‘</w:t>
      </w:r>
      <w:r w:rsidRPr="00A252C5">
        <w:t>controlled asset</w:t>
      </w:r>
      <w:r w:rsidR="006A3B0F">
        <w:t>’</w:t>
      </w:r>
      <w:r w:rsidRPr="00A252C5">
        <w:t xml:space="preserve">, subject to the prohibition in regulation 15 (which </w:t>
      </w:r>
      <w:r w:rsidR="00E72C0D">
        <w:t>prohibits a</w:t>
      </w:r>
      <w:r w:rsidRPr="00A252C5">
        <w:t xml:space="preserve"> person</w:t>
      </w:r>
      <w:r w:rsidR="008173C5">
        <w:t xml:space="preserve"> who holds that asset</w:t>
      </w:r>
      <w:r w:rsidRPr="00A252C5">
        <w:t xml:space="preserve"> from either using or dealing with that asset, or allowing it to be used or dealt with, or facilitating the use of or dealing with it, other than as authorised by a permit granted under regulation 18).</w:t>
      </w:r>
    </w:p>
    <w:p w14:paraId="4E789213" w14:textId="77777777" w:rsidR="00BF4130" w:rsidRPr="00A252C5" w:rsidRDefault="00BF4130" w:rsidP="00A252C5"/>
    <w:p w14:paraId="0288C30A" w14:textId="77777777" w:rsidR="00BF4130" w:rsidRPr="00A252C5" w:rsidRDefault="00BF4130" w:rsidP="00A252C5">
      <w:r w:rsidRPr="00A252C5">
        <w:t>The purpose of a declaration is to prevent a person from travelling to, entering or remaining in Australia.</w:t>
      </w:r>
    </w:p>
    <w:p w14:paraId="7DC11C72" w14:textId="77777777" w:rsidR="00480A3B" w:rsidRPr="00A252C5" w:rsidRDefault="00480A3B" w:rsidP="00A252C5"/>
    <w:p w14:paraId="57A43286" w14:textId="2F23AF8D" w:rsidR="00A72C97" w:rsidRPr="00A252C5" w:rsidRDefault="00480A3B" w:rsidP="00A252C5">
      <w:pPr>
        <w:rPr>
          <w:i/>
        </w:rPr>
      </w:pPr>
      <w:r w:rsidRPr="00A252C5">
        <w:lastRenderedPageBreak/>
        <w:t xml:space="preserve">Designated and declared persons, and designated entities, in </w:t>
      </w:r>
      <w:r w:rsidR="00E50C89" w:rsidRPr="00A252C5">
        <w:t xml:space="preserve">relation to </w:t>
      </w:r>
      <w:r w:rsidR="00327F27">
        <w:t>Myanmar</w:t>
      </w:r>
      <w:r w:rsidRPr="00A252C5">
        <w:t xml:space="preserve"> are listed in the </w:t>
      </w:r>
      <w:r w:rsidR="00CD7F91" w:rsidRPr="009D010B">
        <w:rPr>
          <w:i/>
          <w:iCs/>
          <w:noProof/>
        </w:rPr>
        <w:t xml:space="preserve">Autonomous Sanctions (Designated Persons and Entities and Declared Persons – </w:t>
      </w:r>
      <w:r w:rsidR="00B0685F">
        <w:rPr>
          <w:i/>
          <w:iCs/>
          <w:noProof/>
        </w:rPr>
        <w:t>Myanmar</w:t>
      </w:r>
      <w:r w:rsidR="00CD7F91" w:rsidRPr="009D010B">
        <w:rPr>
          <w:i/>
          <w:iCs/>
          <w:noProof/>
        </w:rPr>
        <w:t>) List 201</w:t>
      </w:r>
      <w:r w:rsidR="00B0685F">
        <w:rPr>
          <w:i/>
          <w:iCs/>
          <w:noProof/>
        </w:rPr>
        <w:t>8</w:t>
      </w:r>
      <w:r w:rsidRPr="00A252C5">
        <w:rPr>
          <w:i/>
        </w:rPr>
        <w:t xml:space="preserve"> </w:t>
      </w:r>
      <w:r w:rsidRPr="00A252C5">
        <w:t>(</w:t>
      </w:r>
      <w:r w:rsidRPr="009D010B">
        <w:rPr>
          <w:b/>
          <w:bCs/>
        </w:rPr>
        <w:t>the 201</w:t>
      </w:r>
      <w:r w:rsidR="00B0685F">
        <w:rPr>
          <w:b/>
          <w:bCs/>
        </w:rPr>
        <w:t>8</w:t>
      </w:r>
      <w:r w:rsidRPr="009D010B">
        <w:rPr>
          <w:b/>
          <w:bCs/>
        </w:rPr>
        <w:t xml:space="preserve"> List</w:t>
      </w:r>
      <w:r w:rsidRPr="00A252C5">
        <w:t>)</w:t>
      </w:r>
      <w:r w:rsidRPr="00A252C5">
        <w:rPr>
          <w:i/>
        </w:rPr>
        <w:t>.</w:t>
      </w:r>
      <w:r w:rsidR="00A72C97" w:rsidRPr="00A252C5">
        <w:rPr>
          <w:i/>
        </w:rPr>
        <w:t xml:space="preserve">  </w:t>
      </w:r>
    </w:p>
    <w:p w14:paraId="4CFE23B3" w14:textId="77777777" w:rsidR="00A72C97" w:rsidRPr="00A252C5" w:rsidRDefault="00A72C97" w:rsidP="00A252C5">
      <w:pPr>
        <w:rPr>
          <w:i/>
        </w:rPr>
      </w:pPr>
    </w:p>
    <w:p w14:paraId="6B9B27A7" w14:textId="693CCB6F" w:rsidR="00D34904" w:rsidRPr="00A252C5" w:rsidRDefault="00D34904" w:rsidP="00A252C5">
      <w:r w:rsidRPr="00A252C5">
        <w:t xml:space="preserve">Under </w:t>
      </w:r>
      <w:proofErr w:type="spellStart"/>
      <w:r w:rsidRPr="00A252C5">
        <w:t>subregulations</w:t>
      </w:r>
      <w:proofErr w:type="spellEnd"/>
      <w:r w:rsidRPr="00A252C5">
        <w:t xml:space="preserve"> 9(1) and (2) of the Regulations, designations and declarations cease to have effect three years after the making of the most recent </w:t>
      </w:r>
      <w:r w:rsidR="00ED26A2">
        <w:t xml:space="preserve">designation or </w:t>
      </w:r>
      <w:r w:rsidRPr="00A252C5">
        <w:t xml:space="preserve">declaration, unless the Minister declares they are to continue </w:t>
      </w:r>
      <w:r w:rsidR="00E72C0D">
        <w:t xml:space="preserve">to have effect </w:t>
      </w:r>
      <w:r w:rsidRPr="00A252C5">
        <w:t>pursuant to subregulation 9(3) of the Regulations.</w:t>
      </w:r>
    </w:p>
    <w:p w14:paraId="51D22F0F" w14:textId="77777777" w:rsidR="00D34904" w:rsidRPr="00A252C5" w:rsidRDefault="00D34904" w:rsidP="00A252C5"/>
    <w:p w14:paraId="5752DB9D" w14:textId="15F80639" w:rsidR="00C53BC1" w:rsidRPr="00B270A5" w:rsidRDefault="00D34904" w:rsidP="00B270A5">
      <w:pPr>
        <w:rPr>
          <w:iCs/>
        </w:rPr>
      </w:pPr>
      <w:r w:rsidRPr="00A252C5">
        <w:rPr>
          <w:iCs/>
        </w:rPr>
        <w:t xml:space="preserve">The </w:t>
      </w:r>
      <w:r w:rsidRPr="009D010B">
        <w:rPr>
          <w:i/>
        </w:rPr>
        <w:t xml:space="preserve">Autonomous Sanctions (Designated Persons and Entities and Declared Persons – </w:t>
      </w:r>
      <w:r w:rsidR="00672808">
        <w:rPr>
          <w:i/>
        </w:rPr>
        <w:t>Myanmar</w:t>
      </w:r>
      <w:r w:rsidRPr="009D010B">
        <w:rPr>
          <w:i/>
        </w:rPr>
        <w:t xml:space="preserve">) Amendment (No. </w:t>
      </w:r>
      <w:r w:rsidR="006A3B0F">
        <w:rPr>
          <w:i/>
        </w:rPr>
        <w:t>2</w:t>
      </w:r>
      <w:r w:rsidRPr="009D010B">
        <w:rPr>
          <w:i/>
        </w:rPr>
        <w:t>) Instrument 202</w:t>
      </w:r>
      <w:r w:rsidR="00672808">
        <w:rPr>
          <w:i/>
        </w:rPr>
        <w:t>4</w:t>
      </w:r>
      <w:r w:rsidRPr="00A252C5">
        <w:rPr>
          <w:iCs/>
        </w:rPr>
        <w:t xml:space="preserve"> (</w:t>
      </w:r>
      <w:r w:rsidRPr="009D010B">
        <w:rPr>
          <w:b/>
          <w:bCs/>
          <w:iCs/>
        </w:rPr>
        <w:t>the 202</w:t>
      </w:r>
      <w:r w:rsidR="00672808">
        <w:rPr>
          <w:b/>
          <w:bCs/>
          <w:iCs/>
        </w:rPr>
        <w:t>4</w:t>
      </w:r>
      <w:r w:rsidRPr="009D010B">
        <w:rPr>
          <w:b/>
          <w:bCs/>
          <w:iCs/>
        </w:rPr>
        <w:t xml:space="preserve"> Instrument</w:t>
      </w:r>
      <w:r w:rsidRPr="00A252C5">
        <w:rPr>
          <w:iCs/>
        </w:rPr>
        <w:t xml:space="preserve">) </w:t>
      </w:r>
      <w:r w:rsidR="005622FD">
        <w:rPr>
          <w:iCs/>
        </w:rPr>
        <w:t xml:space="preserve">gives effect to the </w:t>
      </w:r>
      <w:r w:rsidR="00AD0D1C">
        <w:t>renewal of</w:t>
      </w:r>
      <w:r w:rsidR="00AD0D1C" w:rsidRPr="00672808">
        <w:rPr>
          <w:iCs/>
        </w:rPr>
        <w:t xml:space="preserve"> </w:t>
      </w:r>
      <w:r w:rsidRPr="00672808">
        <w:rPr>
          <w:iCs/>
        </w:rPr>
        <w:t>the designations and declarations (together referred to as ‘</w:t>
      </w:r>
      <w:r w:rsidRPr="00672808">
        <w:rPr>
          <w:b/>
          <w:bCs/>
          <w:iCs/>
        </w:rPr>
        <w:t>listings</w:t>
      </w:r>
      <w:r w:rsidRPr="00672808">
        <w:rPr>
          <w:iCs/>
        </w:rPr>
        <w:t xml:space="preserve">’) of </w:t>
      </w:r>
      <w:r w:rsidR="006A3B0F">
        <w:rPr>
          <w:iCs/>
        </w:rPr>
        <w:t>five</w:t>
      </w:r>
      <w:r w:rsidR="006A3B0F" w:rsidRPr="00672808">
        <w:rPr>
          <w:iCs/>
        </w:rPr>
        <w:t xml:space="preserve"> </w:t>
      </w:r>
      <w:r w:rsidRPr="00672808">
        <w:rPr>
          <w:iCs/>
        </w:rPr>
        <w:t xml:space="preserve">persons for targeted financial sanctions and travel bans under the </w:t>
      </w:r>
      <w:r w:rsidR="00672808">
        <w:rPr>
          <w:iCs/>
        </w:rPr>
        <w:t>Myanmar</w:t>
      </w:r>
      <w:r w:rsidRPr="00672808">
        <w:rPr>
          <w:iCs/>
        </w:rPr>
        <w:t xml:space="preserve"> criteria i</w:t>
      </w:r>
      <w:r w:rsidR="00330FFB" w:rsidRPr="00672808">
        <w:rPr>
          <w:iCs/>
        </w:rPr>
        <w:t>n accordance with</w:t>
      </w:r>
      <w:r w:rsidRPr="00672808">
        <w:rPr>
          <w:iCs/>
        </w:rPr>
        <w:t xml:space="preserve"> </w:t>
      </w:r>
      <w:r w:rsidRPr="00983AD6">
        <w:rPr>
          <w:iCs/>
        </w:rPr>
        <w:t xml:space="preserve">item </w:t>
      </w:r>
      <w:r w:rsidR="00672808" w:rsidRPr="00983AD6">
        <w:rPr>
          <w:iCs/>
        </w:rPr>
        <w:t>6</w:t>
      </w:r>
      <w:r w:rsidR="00D80BE4" w:rsidRPr="00983AD6">
        <w:rPr>
          <w:iCs/>
        </w:rPr>
        <w:t xml:space="preserve"> </w:t>
      </w:r>
      <w:r w:rsidRPr="00983AD6">
        <w:rPr>
          <w:iCs/>
        </w:rPr>
        <w:t>of</w:t>
      </w:r>
      <w:r w:rsidR="00330FFB" w:rsidRPr="00983AD6">
        <w:rPr>
          <w:iCs/>
        </w:rPr>
        <w:t xml:space="preserve"> regulation 6</w:t>
      </w:r>
      <w:r w:rsidR="00BA7388" w:rsidRPr="00983AD6">
        <w:rPr>
          <w:iCs/>
        </w:rPr>
        <w:t xml:space="preserve"> of the Regulations</w:t>
      </w:r>
      <w:r w:rsidR="002E37D4" w:rsidRPr="00672808">
        <w:rPr>
          <w:iCs/>
        </w:rPr>
        <w:t>.</w:t>
      </w:r>
      <w:r w:rsidR="00CD7F91" w:rsidRPr="00672808">
        <w:rPr>
          <w:iCs/>
        </w:rPr>
        <w:t xml:space="preserve"> T</w:t>
      </w:r>
      <w:r w:rsidR="00F315EF" w:rsidRPr="00672808">
        <w:rPr>
          <w:iCs/>
        </w:rPr>
        <w:t xml:space="preserve">he Minister </w:t>
      </w:r>
      <w:r w:rsidR="00C5294D" w:rsidRPr="00672808">
        <w:rPr>
          <w:iCs/>
        </w:rPr>
        <w:t xml:space="preserve">exercised </w:t>
      </w:r>
      <w:r w:rsidR="005622FD" w:rsidRPr="00672808">
        <w:rPr>
          <w:iCs/>
        </w:rPr>
        <w:t xml:space="preserve">their </w:t>
      </w:r>
      <w:r w:rsidR="00C5294D" w:rsidRPr="00672808">
        <w:rPr>
          <w:iCs/>
        </w:rPr>
        <w:t xml:space="preserve">discretion to make </w:t>
      </w:r>
      <w:r w:rsidR="00F315EF" w:rsidRPr="00672808">
        <w:rPr>
          <w:iCs/>
        </w:rPr>
        <w:t>the designations and declaration</w:t>
      </w:r>
      <w:r w:rsidR="00553AB8" w:rsidRPr="00672808">
        <w:rPr>
          <w:iCs/>
        </w:rPr>
        <w:t>s</w:t>
      </w:r>
      <w:r w:rsidR="00F315EF" w:rsidRPr="00672808">
        <w:rPr>
          <w:iCs/>
        </w:rPr>
        <w:t xml:space="preserve"> being satisfied </w:t>
      </w:r>
      <w:r w:rsidR="00F315EF" w:rsidRPr="00A252C5">
        <w:t>that</w:t>
      </w:r>
      <w:r w:rsidR="00F021D4" w:rsidRPr="00A252C5">
        <w:t xml:space="preserve"> </w:t>
      </w:r>
      <w:r w:rsidR="00F315EF" w:rsidRPr="00A252C5">
        <w:t>each of the persons</w:t>
      </w:r>
      <w:r w:rsidR="00F021D4" w:rsidRPr="00A252C5">
        <w:t xml:space="preserve"> </w:t>
      </w:r>
      <w:r w:rsidR="0013780C" w:rsidRPr="00A252C5">
        <w:t>meet</w:t>
      </w:r>
      <w:r w:rsidR="00854099">
        <w:t>s</w:t>
      </w:r>
      <w:r w:rsidR="0013780C" w:rsidRPr="00A252C5">
        <w:t xml:space="preserve"> the </w:t>
      </w:r>
      <w:r w:rsidR="00327F27">
        <w:t>Myanmar</w:t>
      </w:r>
      <w:r w:rsidR="0013780C" w:rsidRPr="00A252C5">
        <w:t xml:space="preserve"> criteria.</w:t>
      </w:r>
    </w:p>
    <w:p w14:paraId="38873FE2" w14:textId="77777777" w:rsidR="00907494" w:rsidRPr="00A252C5" w:rsidRDefault="00907494" w:rsidP="00A252C5">
      <w:pPr>
        <w:rPr>
          <w:iCs/>
        </w:rPr>
      </w:pPr>
    </w:p>
    <w:p w14:paraId="40D77BEA" w14:textId="10F1B59B" w:rsidR="00BF4130" w:rsidRPr="00A252C5" w:rsidRDefault="00BF4130" w:rsidP="00A252C5">
      <w:r w:rsidRPr="00A252C5">
        <w:t xml:space="preserve">Details of the </w:t>
      </w:r>
      <w:r w:rsidR="001A69EE" w:rsidRPr="00A252C5">
        <w:t>202</w:t>
      </w:r>
      <w:r w:rsidR="00672808">
        <w:t>4</w:t>
      </w:r>
      <w:r w:rsidR="001A69EE" w:rsidRPr="00A252C5">
        <w:t xml:space="preserve"> Instrument, </w:t>
      </w:r>
      <w:r w:rsidRPr="00A252C5">
        <w:t>which amend</w:t>
      </w:r>
      <w:r w:rsidR="00480C36" w:rsidRPr="00A252C5">
        <w:t>s</w:t>
      </w:r>
      <w:r w:rsidRPr="00A252C5">
        <w:t xml:space="preserve"> the 201</w:t>
      </w:r>
      <w:r w:rsidR="00672808">
        <w:t>8</w:t>
      </w:r>
      <w:r w:rsidRPr="00A252C5">
        <w:t xml:space="preserve"> List are set out at </w:t>
      </w:r>
      <w:r w:rsidRPr="00A252C5">
        <w:rPr>
          <w:b/>
        </w:rPr>
        <w:t>Attachment A</w:t>
      </w:r>
      <w:r w:rsidRPr="00A252C5">
        <w:t xml:space="preserve">. </w:t>
      </w:r>
    </w:p>
    <w:p w14:paraId="25B99F05" w14:textId="1349C293" w:rsidR="00BF4130" w:rsidRPr="00A252C5" w:rsidRDefault="00BF4130" w:rsidP="00A252C5">
      <w:pPr>
        <w:rPr>
          <w:i/>
        </w:rPr>
      </w:pPr>
    </w:p>
    <w:p w14:paraId="2415A070" w14:textId="01A3F0A8" w:rsidR="00237E6B" w:rsidRPr="00A252C5" w:rsidRDefault="00190084" w:rsidP="00A252C5">
      <w:pPr>
        <w:rPr>
          <w:shd w:val="clear" w:color="auto" w:fill="FFFFFF"/>
        </w:rPr>
      </w:pPr>
      <w:r w:rsidRPr="00A252C5">
        <w:t>The legal framework for the imposition of autonomous sanctions by Australia, of which the Regulations are part, was the subject of extensive consultation with governmental and non-governmental stakeholders</w:t>
      </w:r>
      <w:r w:rsidR="00DD2836" w:rsidRPr="00A252C5">
        <w:t xml:space="preserve"> when introduced</w:t>
      </w:r>
      <w:r w:rsidRPr="00A252C5">
        <w:t xml:space="preserve">. </w:t>
      </w:r>
      <w:r w:rsidR="004658D3" w:rsidRPr="00A252C5">
        <w:rPr>
          <w:shd w:val="clear" w:color="auto" w:fill="FFFFFF"/>
        </w:rPr>
        <w:t>The Department of Foreign Affairs and Trade undertook public consultation in relation to the listings contained in the 202</w:t>
      </w:r>
      <w:r w:rsidR="00672808">
        <w:rPr>
          <w:shd w:val="clear" w:color="auto" w:fill="FFFFFF"/>
        </w:rPr>
        <w:t>4</w:t>
      </w:r>
      <w:r w:rsidR="004658D3" w:rsidRPr="00A252C5">
        <w:rPr>
          <w:shd w:val="clear" w:color="auto" w:fill="FFFFFF"/>
        </w:rPr>
        <w:t xml:space="preserve"> Instrument through its website. </w:t>
      </w:r>
      <w:r w:rsidR="004658D3" w:rsidRPr="00AA29B5">
        <w:rPr>
          <w:shd w:val="clear" w:color="auto" w:fill="FFFFFF"/>
        </w:rPr>
        <w:t>No submissions were received in response to this public consultation.</w:t>
      </w:r>
    </w:p>
    <w:p w14:paraId="6FCCF6CB" w14:textId="77777777" w:rsidR="00F315EF" w:rsidRPr="00A252C5" w:rsidRDefault="00F315EF" w:rsidP="00A252C5"/>
    <w:p w14:paraId="539B9290" w14:textId="31A4248B" w:rsidR="00237E6B" w:rsidRPr="00A252C5" w:rsidRDefault="00AB4D15" w:rsidP="00A252C5">
      <w:r w:rsidRPr="00A252C5">
        <w:t>The 202</w:t>
      </w:r>
      <w:r w:rsidR="00672808">
        <w:t>4</w:t>
      </w:r>
      <w:r w:rsidRPr="00A252C5">
        <w:t xml:space="preserve"> Instrument is exempt from sunsetting under table item 10B of </w:t>
      </w:r>
      <w:r w:rsidRPr="00983AD6">
        <w:t>section</w:t>
      </w:r>
      <w:r w:rsidRPr="00A252C5">
        <w:t xml:space="preserve"> 12 of the </w:t>
      </w:r>
      <w:r w:rsidRPr="009D010B">
        <w:rPr>
          <w:i/>
          <w:iCs/>
        </w:rPr>
        <w:t>Legislation (Exemptions and Other Matters) Regulation 2015</w:t>
      </w:r>
      <w:r w:rsidRPr="00A252C5">
        <w:t xml:space="preserve"> on the basis that it is subject to a more stringent statutory review process tha</w:t>
      </w:r>
      <w:r w:rsidR="00A308A6" w:rsidRPr="00A252C5">
        <w:t>n</w:t>
      </w:r>
      <w:r w:rsidRPr="00A252C5">
        <w:t xml:space="preserve"> is set out in Part 4 of Chapter 3 of the </w:t>
      </w:r>
      <w:r w:rsidRPr="00A252C5">
        <w:rPr>
          <w:i/>
          <w:iCs/>
        </w:rPr>
        <w:t>Legislation Act 2003</w:t>
      </w:r>
      <w:r w:rsidRPr="00A252C5">
        <w:t>.</w:t>
      </w:r>
    </w:p>
    <w:p w14:paraId="4538C772" w14:textId="67FBDFEB" w:rsidR="00BF4130" w:rsidRPr="00A252C5" w:rsidRDefault="00BF4130" w:rsidP="00A252C5">
      <w:pPr>
        <w:autoSpaceDE w:val="0"/>
        <w:autoSpaceDN w:val="0"/>
        <w:adjustRightInd w:val="0"/>
      </w:pPr>
    </w:p>
    <w:p w14:paraId="5558DC0C" w14:textId="49112DAB" w:rsidR="00995F7B" w:rsidRPr="00A252C5" w:rsidRDefault="00995F7B" w:rsidP="00A252C5">
      <w:r w:rsidRPr="00A252C5">
        <w:rPr>
          <w:color w:val="000000"/>
          <w:shd w:val="clear" w:color="auto" w:fill="FFFFFF"/>
        </w:rPr>
        <w:t>The Office of Impact Analysis has advised that a Regulation Impact Statement is not required for listing instruments of this nature (OBPR22-02078).</w:t>
      </w:r>
    </w:p>
    <w:p w14:paraId="2E482919" w14:textId="77777777" w:rsidR="00BF4130" w:rsidRPr="00A252C5" w:rsidRDefault="00BF4130" w:rsidP="00A252C5">
      <w:r w:rsidRPr="00A252C5">
        <w:br w:type="page"/>
      </w:r>
    </w:p>
    <w:p w14:paraId="215D5EE7" w14:textId="77777777" w:rsidR="00BF4130" w:rsidRPr="00A252C5" w:rsidRDefault="00BF4130" w:rsidP="00A252C5">
      <w:pPr>
        <w:jc w:val="right"/>
        <w:rPr>
          <w:b/>
        </w:rPr>
      </w:pPr>
      <w:r w:rsidRPr="00A252C5">
        <w:rPr>
          <w:b/>
        </w:rPr>
        <w:lastRenderedPageBreak/>
        <w:t>Attachment A</w:t>
      </w:r>
    </w:p>
    <w:p w14:paraId="6390C230" w14:textId="77777777" w:rsidR="00F021D4" w:rsidRPr="00A252C5" w:rsidRDefault="00F021D4" w:rsidP="00A252C5">
      <w:pPr>
        <w:jc w:val="center"/>
      </w:pPr>
    </w:p>
    <w:p w14:paraId="064C2D45" w14:textId="2D106FAB" w:rsidR="00F021D4" w:rsidRPr="009D010B" w:rsidRDefault="00965E67" w:rsidP="00A252C5">
      <w:pPr>
        <w:jc w:val="center"/>
        <w:rPr>
          <w:i/>
          <w:iCs/>
        </w:rPr>
      </w:pPr>
      <w:r w:rsidRPr="009D010B">
        <w:rPr>
          <w:i/>
          <w:iCs/>
        </w:rPr>
        <w:t xml:space="preserve">Autonomous Sanctions (Designated Persons and Entities and Declared Persons – </w:t>
      </w:r>
      <w:r w:rsidR="00672808">
        <w:rPr>
          <w:i/>
          <w:iCs/>
        </w:rPr>
        <w:t>Myanmar</w:t>
      </w:r>
      <w:r w:rsidRPr="009D010B">
        <w:rPr>
          <w:i/>
          <w:iCs/>
        </w:rPr>
        <w:t xml:space="preserve">) Amendment (No. </w:t>
      </w:r>
      <w:r w:rsidR="006A3B0F">
        <w:rPr>
          <w:i/>
          <w:iCs/>
        </w:rPr>
        <w:t>2</w:t>
      </w:r>
      <w:r w:rsidRPr="009D010B">
        <w:rPr>
          <w:i/>
          <w:iCs/>
        </w:rPr>
        <w:t>) Instrument 202</w:t>
      </w:r>
      <w:r w:rsidR="00672808">
        <w:rPr>
          <w:i/>
          <w:iCs/>
        </w:rPr>
        <w:t>4</w:t>
      </w:r>
    </w:p>
    <w:p w14:paraId="0B7B5D45" w14:textId="77777777" w:rsidR="00BF4130" w:rsidRPr="00A252C5" w:rsidRDefault="00BF4130" w:rsidP="00A252C5">
      <w:pPr>
        <w:rPr>
          <w:i/>
          <w:iCs/>
        </w:rPr>
      </w:pPr>
    </w:p>
    <w:p w14:paraId="16B5C59C" w14:textId="77777777" w:rsidR="00BF4130" w:rsidRPr="00A252C5" w:rsidRDefault="00BF4130" w:rsidP="00A252C5">
      <w:pPr>
        <w:rPr>
          <w:iCs/>
          <w:u w:val="single"/>
        </w:rPr>
      </w:pPr>
      <w:r w:rsidRPr="00A252C5">
        <w:rPr>
          <w:iCs/>
          <w:u w:val="single"/>
        </w:rPr>
        <w:t>Section 1</w:t>
      </w:r>
    </w:p>
    <w:p w14:paraId="566AA539" w14:textId="6A98C876" w:rsidR="00BF4130" w:rsidRPr="00A252C5" w:rsidRDefault="00BF4130" w:rsidP="00A252C5">
      <w:r w:rsidRPr="00A252C5">
        <w:t xml:space="preserve">The title of the instrument is the </w:t>
      </w:r>
      <w:r w:rsidR="00CD1584" w:rsidRPr="009D010B">
        <w:rPr>
          <w:i/>
          <w:iCs/>
        </w:rPr>
        <w:t xml:space="preserve">Autonomous Sanctions (Designated Persons and Entities and Declared Persons – </w:t>
      </w:r>
      <w:r w:rsidR="00672808">
        <w:rPr>
          <w:i/>
          <w:iCs/>
        </w:rPr>
        <w:t>Myanmar</w:t>
      </w:r>
      <w:r w:rsidR="004658D3" w:rsidRPr="009D010B">
        <w:rPr>
          <w:i/>
          <w:iCs/>
        </w:rPr>
        <w:t>)</w:t>
      </w:r>
      <w:r w:rsidR="00CD1584" w:rsidRPr="009D010B">
        <w:rPr>
          <w:i/>
          <w:iCs/>
        </w:rPr>
        <w:t xml:space="preserve"> Amendment (No. </w:t>
      </w:r>
      <w:r w:rsidR="006A3B0F">
        <w:rPr>
          <w:i/>
          <w:iCs/>
        </w:rPr>
        <w:t>2</w:t>
      </w:r>
      <w:r w:rsidR="00CD1584" w:rsidRPr="009D010B">
        <w:rPr>
          <w:i/>
          <w:iCs/>
        </w:rPr>
        <w:t>) Instrument 202</w:t>
      </w:r>
      <w:r w:rsidR="00327F27">
        <w:rPr>
          <w:i/>
          <w:iCs/>
        </w:rPr>
        <w:t>4</w:t>
      </w:r>
      <w:r w:rsidR="00CD1584" w:rsidRPr="00A252C5">
        <w:t xml:space="preserve"> </w:t>
      </w:r>
      <w:r w:rsidR="003D6B16" w:rsidRPr="00A252C5">
        <w:t>(</w:t>
      </w:r>
      <w:r w:rsidR="003D6B16" w:rsidRPr="009D010B">
        <w:rPr>
          <w:b/>
          <w:bCs/>
        </w:rPr>
        <w:t>the 202</w:t>
      </w:r>
      <w:r w:rsidR="00672808">
        <w:rPr>
          <w:b/>
          <w:bCs/>
        </w:rPr>
        <w:t>4</w:t>
      </w:r>
      <w:r w:rsidR="003D6B16" w:rsidRPr="009D010B">
        <w:rPr>
          <w:b/>
          <w:bCs/>
        </w:rPr>
        <w:t xml:space="preserve"> Instrument</w:t>
      </w:r>
      <w:r w:rsidR="003D6B16" w:rsidRPr="00A252C5">
        <w:t>)</w:t>
      </w:r>
      <w:r w:rsidR="00190084" w:rsidRPr="00A252C5">
        <w:rPr>
          <w:i/>
          <w:iCs/>
        </w:rPr>
        <w:t>.</w:t>
      </w:r>
    </w:p>
    <w:p w14:paraId="54515459" w14:textId="77777777" w:rsidR="00BF4130" w:rsidRPr="00A252C5" w:rsidRDefault="00BF4130" w:rsidP="00A252C5"/>
    <w:p w14:paraId="4F1DAF9A" w14:textId="77777777" w:rsidR="00BF4130" w:rsidRPr="00A252C5" w:rsidRDefault="00BF4130" w:rsidP="00A252C5">
      <w:pPr>
        <w:rPr>
          <w:u w:val="single"/>
        </w:rPr>
      </w:pPr>
      <w:r w:rsidRPr="00A252C5">
        <w:rPr>
          <w:u w:val="single"/>
        </w:rPr>
        <w:t>Section 2</w:t>
      </w:r>
    </w:p>
    <w:p w14:paraId="64384417" w14:textId="58CE698E" w:rsidR="00BF4130" w:rsidRDefault="00672808" w:rsidP="00A252C5">
      <w:r w:rsidRPr="00672808">
        <w:t xml:space="preserve">The </w:t>
      </w:r>
      <w:r w:rsidR="00ED26A2">
        <w:t>2024 I</w:t>
      </w:r>
      <w:r w:rsidRPr="00672808">
        <w:t>nstrument commences the day after it is registered.</w:t>
      </w:r>
    </w:p>
    <w:p w14:paraId="17B2DFC7" w14:textId="77777777" w:rsidR="00672808" w:rsidRPr="00A252C5" w:rsidRDefault="00672808" w:rsidP="00A252C5"/>
    <w:p w14:paraId="5D990417" w14:textId="77777777" w:rsidR="00BF4130" w:rsidRPr="00A252C5" w:rsidRDefault="00BF4130" w:rsidP="00A252C5">
      <w:pPr>
        <w:rPr>
          <w:u w:val="single"/>
        </w:rPr>
      </w:pPr>
      <w:r w:rsidRPr="00A252C5">
        <w:rPr>
          <w:u w:val="single"/>
        </w:rPr>
        <w:t>Section 3</w:t>
      </w:r>
    </w:p>
    <w:p w14:paraId="523EC91C" w14:textId="39BD159B" w:rsidR="00BF4130" w:rsidRPr="00A252C5" w:rsidRDefault="00BF4130" w:rsidP="00A252C5">
      <w:pPr>
        <w:rPr>
          <w:i/>
          <w:iCs/>
        </w:rPr>
      </w:pPr>
      <w:r w:rsidRPr="00A252C5">
        <w:t>The</w:t>
      </w:r>
      <w:r w:rsidR="001E562F" w:rsidRPr="00A252C5">
        <w:t xml:space="preserve"> 202</w:t>
      </w:r>
      <w:r w:rsidR="00327F27">
        <w:t>4</w:t>
      </w:r>
      <w:r w:rsidR="001E562F" w:rsidRPr="00A252C5">
        <w:t xml:space="preserve"> Instrument is made under </w:t>
      </w:r>
      <w:r w:rsidR="00B270A5">
        <w:t xml:space="preserve">paragraphs </w:t>
      </w:r>
      <w:r w:rsidR="00B270A5" w:rsidRPr="00A252C5">
        <w:t>6</w:t>
      </w:r>
      <w:r w:rsidR="008A1FEE">
        <w:t>(a) and 6(b),</w:t>
      </w:r>
      <w:r w:rsidR="004658D3" w:rsidRPr="00A252C5">
        <w:t xml:space="preserve"> and</w:t>
      </w:r>
      <w:r w:rsidR="008A1FEE">
        <w:t xml:space="preserve"> </w:t>
      </w:r>
      <w:r w:rsidR="008A1FEE" w:rsidRPr="00983AD6">
        <w:t>sub</w:t>
      </w:r>
      <w:r w:rsidR="008A1FEE">
        <w:t>regulation</w:t>
      </w:r>
      <w:r w:rsidR="004658D3" w:rsidRPr="00A252C5">
        <w:t xml:space="preserve"> 9</w:t>
      </w:r>
      <w:r w:rsidR="008A1FEE">
        <w:t>(3)</w:t>
      </w:r>
      <w:r w:rsidR="001E562F" w:rsidRPr="00A252C5">
        <w:t xml:space="preserve"> </w:t>
      </w:r>
      <w:r w:rsidR="00101CE0" w:rsidRPr="00A252C5">
        <w:t>of</w:t>
      </w:r>
      <w:r w:rsidR="001E562F" w:rsidRPr="00A252C5">
        <w:t xml:space="preserve"> the </w:t>
      </w:r>
      <w:r w:rsidR="001E562F" w:rsidRPr="009D010B">
        <w:rPr>
          <w:i/>
          <w:iCs/>
        </w:rPr>
        <w:t>Autonomous Sanctions Regulations 2011</w:t>
      </w:r>
      <w:r w:rsidR="001E562F" w:rsidRPr="00A252C5">
        <w:rPr>
          <w:i/>
          <w:iCs/>
        </w:rPr>
        <w:t xml:space="preserve"> </w:t>
      </w:r>
      <w:r w:rsidR="001E562F" w:rsidRPr="00A252C5">
        <w:t>(</w:t>
      </w:r>
      <w:r w:rsidR="001E562F" w:rsidRPr="009D010B">
        <w:rPr>
          <w:b/>
          <w:bCs/>
        </w:rPr>
        <w:t>the Regulations</w:t>
      </w:r>
      <w:r w:rsidR="001E562F" w:rsidRPr="00A252C5">
        <w:t>)</w:t>
      </w:r>
      <w:r w:rsidR="001E562F" w:rsidRPr="00A252C5">
        <w:rPr>
          <w:i/>
          <w:iCs/>
        </w:rPr>
        <w:t>.</w:t>
      </w:r>
    </w:p>
    <w:p w14:paraId="431BA60C" w14:textId="16BDE9B6" w:rsidR="004658D3" w:rsidRPr="00A252C5" w:rsidRDefault="004658D3" w:rsidP="00A252C5">
      <w:pPr>
        <w:rPr>
          <w:i/>
          <w:iCs/>
        </w:rPr>
      </w:pPr>
    </w:p>
    <w:p w14:paraId="50CE0739" w14:textId="26B1E2E0" w:rsidR="004658D3" w:rsidRPr="00A252C5" w:rsidRDefault="004658D3" w:rsidP="00A252C5">
      <w:r w:rsidRPr="00A252C5">
        <w:t>Under subsection 33(3) of the </w:t>
      </w:r>
      <w:r w:rsidRPr="00A252C5">
        <w:rPr>
          <w:i/>
          <w:iCs/>
        </w:rPr>
        <w:t>Acts Interpretation Act 1901</w:t>
      </w:r>
      <w:r w:rsidRPr="00A252C5">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 Subsection 33(3) of the </w:t>
      </w:r>
      <w:r w:rsidRPr="00A252C5">
        <w:rPr>
          <w:i/>
          <w:iCs/>
        </w:rPr>
        <w:t>Acts Interpretation Act 1901</w:t>
      </w:r>
      <w:r w:rsidRPr="00A252C5">
        <w:t xml:space="preserve"> has been relied on, in conjunction with </w:t>
      </w:r>
      <w:r w:rsidR="00D92420">
        <w:t xml:space="preserve">regulation 6 </w:t>
      </w:r>
      <w:r w:rsidRPr="00A252C5">
        <w:t xml:space="preserve">of the Regulations, to </w:t>
      </w:r>
      <w:r w:rsidRPr="00A9216F">
        <w:t>update the information</w:t>
      </w:r>
      <w:r w:rsidRPr="00A252C5">
        <w:t xml:space="preserve"> of some of the designated and declared persons and designated entities in the </w:t>
      </w:r>
      <w:r w:rsidRPr="009D010B">
        <w:rPr>
          <w:i/>
          <w:iCs/>
          <w:noProof/>
        </w:rPr>
        <w:t xml:space="preserve">Autonomous Sanctions (Designated Persons and Entities and Declared Persons – </w:t>
      </w:r>
      <w:r w:rsidR="0060133F">
        <w:rPr>
          <w:i/>
          <w:iCs/>
          <w:noProof/>
        </w:rPr>
        <w:t>Myanmar</w:t>
      </w:r>
      <w:r w:rsidRPr="009D010B">
        <w:rPr>
          <w:i/>
          <w:iCs/>
          <w:noProof/>
        </w:rPr>
        <w:t>) List 201</w:t>
      </w:r>
      <w:r w:rsidR="0060133F">
        <w:rPr>
          <w:i/>
          <w:iCs/>
          <w:noProof/>
        </w:rPr>
        <w:t xml:space="preserve">8 </w:t>
      </w:r>
      <w:r w:rsidRPr="00A252C5">
        <w:t>(</w:t>
      </w:r>
      <w:r w:rsidRPr="009D010B">
        <w:rPr>
          <w:b/>
          <w:bCs/>
        </w:rPr>
        <w:t>the 201</w:t>
      </w:r>
      <w:r w:rsidR="0060133F">
        <w:rPr>
          <w:b/>
          <w:bCs/>
        </w:rPr>
        <w:t>8</w:t>
      </w:r>
      <w:r w:rsidRPr="009D010B">
        <w:rPr>
          <w:b/>
          <w:bCs/>
        </w:rPr>
        <w:t xml:space="preserve"> List</w:t>
      </w:r>
      <w:r w:rsidRPr="00A252C5">
        <w:t xml:space="preserve">). </w:t>
      </w:r>
    </w:p>
    <w:p w14:paraId="4DB62072" w14:textId="77777777" w:rsidR="00BF4130" w:rsidRPr="00A252C5" w:rsidRDefault="00BF4130" w:rsidP="00A252C5"/>
    <w:p w14:paraId="5F07971E" w14:textId="77777777" w:rsidR="00BF4130" w:rsidRPr="00A252C5" w:rsidRDefault="00BF4130" w:rsidP="00A252C5">
      <w:pPr>
        <w:rPr>
          <w:u w:val="single"/>
        </w:rPr>
      </w:pPr>
      <w:r w:rsidRPr="00A252C5">
        <w:rPr>
          <w:u w:val="single"/>
        </w:rPr>
        <w:t>Section 4</w:t>
      </w:r>
    </w:p>
    <w:p w14:paraId="5424203C" w14:textId="5615EEAE" w:rsidR="003508A6" w:rsidRPr="00A252C5" w:rsidRDefault="003508A6" w:rsidP="00A252C5">
      <w:r w:rsidRPr="00A252C5">
        <w:t>Each instrument that is specified in a Schedule to the 202</w:t>
      </w:r>
      <w:r w:rsidR="00327F27">
        <w:t>4</w:t>
      </w:r>
      <w:r w:rsidRPr="00A252C5">
        <w:t xml:space="preserve"> Instrument is amended or repealed as set out in the applicable items in the Schedule concerned, and any other item in a Schedule to the 202</w:t>
      </w:r>
      <w:r w:rsidR="00327F27">
        <w:t>4</w:t>
      </w:r>
      <w:r w:rsidRPr="00A252C5">
        <w:t xml:space="preserve"> Instrument has effect according to its terms.</w:t>
      </w:r>
    </w:p>
    <w:p w14:paraId="6057084E" w14:textId="77777777" w:rsidR="00750369" w:rsidRPr="00A252C5" w:rsidRDefault="00750369" w:rsidP="00750369">
      <w:pPr>
        <w:rPr>
          <w:i/>
        </w:rPr>
      </w:pPr>
    </w:p>
    <w:p w14:paraId="05E69060" w14:textId="09DCE721" w:rsidR="00750369" w:rsidRPr="00A252C5" w:rsidRDefault="00750369" w:rsidP="00750369">
      <w:pPr>
        <w:rPr>
          <w:u w:val="single"/>
        </w:rPr>
      </w:pPr>
      <w:r>
        <w:rPr>
          <w:u w:val="single"/>
        </w:rPr>
        <w:t>Schedule 1</w:t>
      </w:r>
      <w:r w:rsidR="001D0875">
        <w:rPr>
          <w:u w:val="single"/>
        </w:rPr>
        <w:t xml:space="preserve"> – Amendments</w:t>
      </w:r>
    </w:p>
    <w:p w14:paraId="464E3E94" w14:textId="77777777" w:rsidR="00EA53F3" w:rsidRPr="00A252C5" w:rsidRDefault="00EA53F3" w:rsidP="00A252C5">
      <w:pPr>
        <w:rPr>
          <w:i/>
        </w:rPr>
      </w:pPr>
    </w:p>
    <w:p w14:paraId="2C4CAE82" w14:textId="3F326650" w:rsidR="00BF4130" w:rsidRPr="00A252C5" w:rsidRDefault="003A4E7F" w:rsidP="00A252C5">
      <w:pPr>
        <w:rPr>
          <w:u w:val="single"/>
        </w:rPr>
      </w:pPr>
      <w:r w:rsidRPr="00A252C5">
        <w:rPr>
          <w:u w:val="single"/>
        </w:rPr>
        <w:t>Part 1 - Amendments</w:t>
      </w:r>
    </w:p>
    <w:p w14:paraId="469FC592" w14:textId="7A6B5218" w:rsidR="004658D3" w:rsidRPr="00A252C5" w:rsidRDefault="004658D3" w:rsidP="00A252C5">
      <w:pPr>
        <w:rPr>
          <w:u w:val="single"/>
        </w:rPr>
      </w:pPr>
    </w:p>
    <w:p w14:paraId="3C2B9C05" w14:textId="6323562D" w:rsidR="002F0816" w:rsidRPr="009D010B" w:rsidRDefault="00F021D4" w:rsidP="00A252C5">
      <w:pPr>
        <w:rPr>
          <w:i/>
          <w:iCs/>
        </w:rPr>
      </w:pPr>
      <w:r w:rsidRPr="009D010B">
        <w:rPr>
          <w:i/>
          <w:iCs/>
        </w:rPr>
        <w:t xml:space="preserve">Autonomous Sanctions (Designated Persons and Entities and Declared Persons – </w:t>
      </w:r>
      <w:r w:rsidR="0060133F">
        <w:rPr>
          <w:i/>
          <w:iCs/>
        </w:rPr>
        <w:t>Myanmar</w:t>
      </w:r>
      <w:r w:rsidRPr="009D010B">
        <w:rPr>
          <w:i/>
          <w:iCs/>
        </w:rPr>
        <w:t>) List 201</w:t>
      </w:r>
      <w:r w:rsidR="0060133F">
        <w:rPr>
          <w:i/>
          <w:iCs/>
        </w:rPr>
        <w:t>8</w:t>
      </w:r>
    </w:p>
    <w:p w14:paraId="5873265D" w14:textId="5493B61E" w:rsidR="004658D3" w:rsidRDefault="004658D3" w:rsidP="00A252C5"/>
    <w:p w14:paraId="46FA1300" w14:textId="0B3EB33A" w:rsidR="004658D3" w:rsidRPr="00A252C5" w:rsidRDefault="004658D3" w:rsidP="00A252C5">
      <w:pPr>
        <w:rPr>
          <w:u w:val="single"/>
        </w:rPr>
      </w:pPr>
      <w:r w:rsidRPr="00A252C5">
        <w:rPr>
          <w:u w:val="single"/>
        </w:rPr>
        <w:t xml:space="preserve">Item </w:t>
      </w:r>
      <w:r w:rsidR="0060133F">
        <w:rPr>
          <w:u w:val="single"/>
        </w:rPr>
        <w:t>1</w:t>
      </w:r>
    </w:p>
    <w:p w14:paraId="02B7B441" w14:textId="17C658E8" w:rsidR="004658D3" w:rsidRPr="00A252C5" w:rsidRDefault="004658D3" w:rsidP="00A252C5">
      <w:r w:rsidRPr="00A252C5">
        <w:t xml:space="preserve">Item </w:t>
      </w:r>
      <w:r w:rsidR="0060133F">
        <w:t>1</w:t>
      </w:r>
      <w:r w:rsidRPr="00A252C5">
        <w:t xml:space="preserve"> contains the Minister for Foreign Affairs’ (</w:t>
      </w:r>
      <w:r w:rsidRPr="009D010B">
        <w:rPr>
          <w:b/>
          <w:bCs/>
        </w:rPr>
        <w:t>the Minister</w:t>
      </w:r>
      <w:r w:rsidR="00854099">
        <w:t>’s</w:t>
      </w:r>
      <w:r w:rsidRPr="00A252C5">
        <w:t xml:space="preserve">) declaration under </w:t>
      </w:r>
      <w:proofErr w:type="spellStart"/>
      <w:r w:rsidRPr="00A252C5">
        <w:t>subregulation</w:t>
      </w:r>
      <w:proofErr w:type="spellEnd"/>
      <w:r w:rsidRPr="00A252C5">
        <w:t xml:space="preserve"> 9(3) of the Regulations that the designations and declarations of </w:t>
      </w:r>
      <w:r w:rsidR="006A3B0F">
        <w:t>five</w:t>
      </w:r>
      <w:r w:rsidR="006A3B0F" w:rsidRPr="00A252C5">
        <w:t xml:space="preserve"> </w:t>
      </w:r>
      <w:r w:rsidRPr="00A252C5">
        <w:t>persons under paragraphs 6(a) and 6(b) of the Regulations continue to have effect.</w:t>
      </w:r>
    </w:p>
    <w:p w14:paraId="41BE9229" w14:textId="77777777" w:rsidR="004658D3" w:rsidRPr="00A252C5" w:rsidRDefault="004658D3" w:rsidP="00A252C5"/>
    <w:p w14:paraId="55592812" w14:textId="2F763F62" w:rsidR="002F0816" w:rsidRPr="00A252C5" w:rsidRDefault="003B5529" w:rsidP="00034176">
      <w:pPr>
        <w:keepNext/>
        <w:rPr>
          <w:u w:val="single"/>
        </w:rPr>
      </w:pPr>
      <w:r w:rsidRPr="00A252C5">
        <w:rPr>
          <w:u w:val="single"/>
        </w:rPr>
        <w:t xml:space="preserve">Item </w:t>
      </w:r>
      <w:r w:rsidR="00327F27">
        <w:rPr>
          <w:u w:val="single"/>
        </w:rPr>
        <w:t>2</w:t>
      </w:r>
    </w:p>
    <w:p w14:paraId="26D3E8A2" w14:textId="15528240" w:rsidR="00101CE0" w:rsidRPr="00A252C5" w:rsidRDefault="00101CE0" w:rsidP="00A252C5">
      <w:r w:rsidRPr="00A252C5">
        <w:t xml:space="preserve">The persons listed in </w:t>
      </w:r>
      <w:r w:rsidR="00771FE2" w:rsidRPr="00A252C5">
        <w:t>item</w:t>
      </w:r>
      <w:r w:rsidR="00327F27">
        <w:t xml:space="preserve"> 2</w:t>
      </w:r>
      <w:r w:rsidR="00771FE2" w:rsidRPr="00A252C5">
        <w:t xml:space="preserve"> </w:t>
      </w:r>
      <w:r w:rsidRPr="00A252C5">
        <w:t xml:space="preserve">are designated by the Minister for targeted financial sanctions under paragraph 6(a) of the Regulations </w:t>
      </w:r>
      <w:r w:rsidRPr="00A252C5">
        <w:rPr>
          <w:shd w:val="clear" w:color="auto" w:fill="FFFFFF"/>
        </w:rPr>
        <w:t>and declared by the Minister for the purposes of a travel ban under paragraph 6(b) of the Regulations</w:t>
      </w:r>
      <w:r w:rsidR="004658D3" w:rsidRPr="00A252C5">
        <w:rPr>
          <w:shd w:val="clear" w:color="auto" w:fill="FFFFFF"/>
        </w:rPr>
        <w:t xml:space="preserve">. These listings are continued </w:t>
      </w:r>
      <w:r w:rsidR="008E7343">
        <w:rPr>
          <w:shd w:val="clear" w:color="auto" w:fill="FFFFFF"/>
        </w:rPr>
        <w:t xml:space="preserve">pursuant to </w:t>
      </w:r>
      <w:r w:rsidR="009D010B">
        <w:rPr>
          <w:shd w:val="clear" w:color="auto" w:fill="FFFFFF"/>
        </w:rPr>
        <w:t>sub</w:t>
      </w:r>
      <w:r w:rsidR="008E7343">
        <w:rPr>
          <w:shd w:val="clear" w:color="auto" w:fill="FFFFFF"/>
        </w:rPr>
        <w:t xml:space="preserve">regulation 9(3) of the Regulations </w:t>
      </w:r>
      <w:r w:rsidR="004658D3" w:rsidRPr="00A252C5">
        <w:rPr>
          <w:shd w:val="clear" w:color="auto" w:fill="FFFFFF"/>
        </w:rPr>
        <w:t xml:space="preserve">on the basis that each </w:t>
      </w:r>
      <w:r w:rsidR="004658D3" w:rsidRPr="00A252C5">
        <w:rPr>
          <w:shd w:val="clear" w:color="auto" w:fill="FFFFFF"/>
        </w:rPr>
        <w:lastRenderedPageBreak/>
        <w:t xml:space="preserve">person meets the criteria mentioned in item </w:t>
      </w:r>
      <w:r w:rsidR="0060133F">
        <w:rPr>
          <w:shd w:val="clear" w:color="auto" w:fill="FFFFFF"/>
        </w:rPr>
        <w:t>6</w:t>
      </w:r>
      <w:r w:rsidR="004658D3" w:rsidRPr="00A252C5">
        <w:rPr>
          <w:shd w:val="clear" w:color="auto" w:fill="FFFFFF"/>
        </w:rPr>
        <w:t xml:space="preserve"> of regulation 6 of the Regulations (</w:t>
      </w:r>
      <w:r w:rsidR="009D010B" w:rsidRPr="009D010B">
        <w:rPr>
          <w:b/>
          <w:bCs/>
          <w:shd w:val="clear" w:color="auto" w:fill="FFFFFF"/>
        </w:rPr>
        <w:t xml:space="preserve">the </w:t>
      </w:r>
      <w:r w:rsidR="0060133F">
        <w:rPr>
          <w:b/>
          <w:bCs/>
          <w:shd w:val="clear" w:color="auto" w:fill="FFFFFF"/>
        </w:rPr>
        <w:t>Myanmar</w:t>
      </w:r>
      <w:r w:rsidR="004658D3" w:rsidRPr="009D010B">
        <w:rPr>
          <w:b/>
          <w:bCs/>
          <w:shd w:val="clear" w:color="auto" w:fill="FFFFFF"/>
        </w:rPr>
        <w:t xml:space="preserve"> criteria</w:t>
      </w:r>
      <w:r w:rsidR="004658D3" w:rsidRPr="00A252C5">
        <w:rPr>
          <w:shd w:val="clear" w:color="auto" w:fill="FFFFFF"/>
        </w:rPr>
        <w:t>).</w:t>
      </w:r>
    </w:p>
    <w:p w14:paraId="4B4DE486" w14:textId="30800F9C" w:rsidR="00AD0DEA" w:rsidRPr="00A252C5" w:rsidRDefault="00AD0DEA" w:rsidP="00A252C5"/>
    <w:p w14:paraId="35D85544" w14:textId="678D5CA1" w:rsidR="00876D7A" w:rsidRPr="00A252C5" w:rsidRDefault="00876D7A" w:rsidP="00A252C5">
      <w:pPr>
        <w:sectPr w:rsidR="00876D7A" w:rsidRPr="00A252C5" w:rsidSect="00822E6F">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pPr>
    </w:p>
    <w:p w14:paraId="474BDDE8" w14:textId="77777777" w:rsidR="00DF0EDC" w:rsidRPr="00A252C5" w:rsidRDefault="00DF0EDC" w:rsidP="00A252C5">
      <w:pPr>
        <w:pStyle w:val="Title"/>
        <w:tabs>
          <w:tab w:val="left" w:pos="6120"/>
        </w:tabs>
        <w:spacing w:before="0"/>
        <w:jc w:val="center"/>
        <w:rPr>
          <w:rFonts w:ascii="Times New Roman" w:hAnsi="Times New Roman" w:cs="Times New Roman"/>
          <w:sz w:val="24"/>
          <w:szCs w:val="24"/>
        </w:rPr>
      </w:pPr>
      <w:r w:rsidRPr="00A252C5">
        <w:rPr>
          <w:rFonts w:ascii="Times New Roman" w:hAnsi="Times New Roman" w:cs="Times New Roman"/>
          <w:sz w:val="24"/>
          <w:szCs w:val="24"/>
        </w:rPr>
        <w:lastRenderedPageBreak/>
        <w:t>Statement of Compatibility with Human Rights</w:t>
      </w:r>
    </w:p>
    <w:p w14:paraId="448CDCB5" w14:textId="77777777" w:rsidR="00DF0EDC" w:rsidRPr="00A252C5" w:rsidRDefault="00DF0EDC" w:rsidP="00A252C5">
      <w:pPr>
        <w:spacing w:before="240"/>
        <w:jc w:val="center"/>
      </w:pPr>
      <w:r w:rsidRPr="00A252C5">
        <w:t xml:space="preserve">Prepared in accordance with Part 3 of the </w:t>
      </w:r>
      <w:r w:rsidRPr="00A252C5">
        <w:rPr>
          <w:i/>
        </w:rPr>
        <w:t>Human Rights (Parliamentary Scrutiny) Act 2011</w:t>
      </w:r>
    </w:p>
    <w:p w14:paraId="6AFBD3E8" w14:textId="77777777" w:rsidR="00DF0EDC" w:rsidRPr="00A252C5" w:rsidRDefault="00DF0EDC" w:rsidP="00A252C5">
      <w:pPr>
        <w:jc w:val="center"/>
        <w:rPr>
          <w:bCs/>
          <w:sz w:val="23"/>
          <w:szCs w:val="23"/>
        </w:rPr>
      </w:pPr>
    </w:p>
    <w:p w14:paraId="3B743A21" w14:textId="553DFE9B" w:rsidR="00046EA7" w:rsidRPr="009D010B" w:rsidRDefault="00142F55" w:rsidP="00A252C5">
      <w:pPr>
        <w:jc w:val="center"/>
        <w:rPr>
          <w:i/>
          <w:iCs/>
        </w:rPr>
      </w:pPr>
      <w:r w:rsidRPr="009D010B">
        <w:rPr>
          <w:i/>
          <w:iCs/>
        </w:rPr>
        <w:t xml:space="preserve">Autonomous Sanctions (Designated Persons and Entities and Declared Persons – </w:t>
      </w:r>
      <w:r w:rsidR="00327F27">
        <w:rPr>
          <w:i/>
          <w:iCs/>
        </w:rPr>
        <w:t>Myanmar</w:t>
      </w:r>
      <w:r w:rsidRPr="009D010B">
        <w:rPr>
          <w:i/>
          <w:iCs/>
        </w:rPr>
        <w:t xml:space="preserve">) Amendment (No. </w:t>
      </w:r>
      <w:r w:rsidR="006A3B0F">
        <w:rPr>
          <w:i/>
          <w:iCs/>
        </w:rPr>
        <w:t>2</w:t>
      </w:r>
      <w:r w:rsidRPr="009D010B">
        <w:rPr>
          <w:i/>
          <w:iCs/>
        </w:rPr>
        <w:t>) Instrument 202</w:t>
      </w:r>
      <w:r w:rsidR="00327F27">
        <w:rPr>
          <w:i/>
          <w:iCs/>
        </w:rPr>
        <w:t>4</w:t>
      </w:r>
    </w:p>
    <w:p w14:paraId="699B6B2B" w14:textId="77777777" w:rsidR="00DF0EDC" w:rsidRPr="00A252C5" w:rsidRDefault="00DF0EDC" w:rsidP="00A252C5"/>
    <w:p w14:paraId="50A1307D" w14:textId="62A3EC5B" w:rsidR="00DF0EDC" w:rsidRPr="00A252C5" w:rsidRDefault="00142F55" w:rsidP="00A252C5">
      <w:pPr>
        <w:rPr>
          <w:bCs/>
        </w:rPr>
      </w:pPr>
      <w:r w:rsidRPr="00A252C5">
        <w:rPr>
          <w:bCs/>
          <w:sz w:val="23"/>
          <w:szCs w:val="23"/>
        </w:rPr>
        <w:t xml:space="preserve">The </w:t>
      </w:r>
      <w:r w:rsidRPr="009D010B">
        <w:rPr>
          <w:bCs/>
          <w:i/>
          <w:iCs/>
          <w:sz w:val="23"/>
          <w:szCs w:val="23"/>
        </w:rPr>
        <w:t xml:space="preserve">Autonomous Sanctions (Designated Persons and Entities and Declared Persons – </w:t>
      </w:r>
      <w:r w:rsidR="00327F27">
        <w:rPr>
          <w:bCs/>
          <w:i/>
          <w:iCs/>
          <w:sz w:val="23"/>
          <w:szCs w:val="23"/>
        </w:rPr>
        <w:t>Myanmar</w:t>
      </w:r>
      <w:r w:rsidRPr="009D010B">
        <w:rPr>
          <w:bCs/>
          <w:i/>
          <w:iCs/>
          <w:sz w:val="23"/>
          <w:szCs w:val="23"/>
        </w:rPr>
        <w:t xml:space="preserve">) Amendment (No. </w:t>
      </w:r>
      <w:r w:rsidR="006A3B0F">
        <w:rPr>
          <w:bCs/>
          <w:i/>
          <w:iCs/>
          <w:sz w:val="23"/>
          <w:szCs w:val="23"/>
        </w:rPr>
        <w:t>2</w:t>
      </w:r>
      <w:r w:rsidRPr="009D010B">
        <w:rPr>
          <w:bCs/>
          <w:i/>
          <w:iCs/>
          <w:sz w:val="23"/>
          <w:szCs w:val="23"/>
        </w:rPr>
        <w:t>) Instrument 202</w:t>
      </w:r>
      <w:r w:rsidR="00327F27">
        <w:rPr>
          <w:bCs/>
          <w:i/>
          <w:iCs/>
          <w:sz w:val="23"/>
          <w:szCs w:val="23"/>
        </w:rPr>
        <w:t>4</w:t>
      </w:r>
      <w:r w:rsidRPr="00A252C5">
        <w:rPr>
          <w:bCs/>
          <w:sz w:val="23"/>
          <w:szCs w:val="23"/>
        </w:rPr>
        <w:t xml:space="preserve"> </w:t>
      </w:r>
      <w:r w:rsidR="008B71B1" w:rsidRPr="00A252C5">
        <w:rPr>
          <w:bCs/>
          <w:sz w:val="23"/>
          <w:szCs w:val="23"/>
        </w:rPr>
        <w:t>(</w:t>
      </w:r>
      <w:r w:rsidR="008B71B1" w:rsidRPr="009D010B">
        <w:rPr>
          <w:b/>
          <w:sz w:val="23"/>
          <w:szCs w:val="23"/>
        </w:rPr>
        <w:t>the 202</w:t>
      </w:r>
      <w:r w:rsidR="00327F27">
        <w:rPr>
          <w:b/>
          <w:sz w:val="23"/>
          <w:szCs w:val="23"/>
        </w:rPr>
        <w:t>4</w:t>
      </w:r>
      <w:r w:rsidR="008B71B1" w:rsidRPr="009D010B">
        <w:rPr>
          <w:b/>
          <w:sz w:val="23"/>
          <w:szCs w:val="23"/>
        </w:rPr>
        <w:t xml:space="preserve"> Instrument</w:t>
      </w:r>
      <w:r w:rsidR="00DF0EDC" w:rsidRPr="00A252C5">
        <w:rPr>
          <w:bCs/>
          <w:iCs/>
          <w:sz w:val="23"/>
          <w:szCs w:val="23"/>
        </w:rPr>
        <w:t>)</w:t>
      </w:r>
      <w:r w:rsidR="00DF0EDC" w:rsidRPr="00A252C5">
        <w:rPr>
          <w:bCs/>
          <w:i/>
          <w:iCs/>
          <w:sz w:val="23"/>
          <w:szCs w:val="23"/>
        </w:rPr>
        <w:t xml:space="preserve"> </w:t>
      </w:r>
      <w:r w:rsidR="00DF0EDC" w:rsidRPr="00A252C5">
        <w:rPr>
          <w:bCs/>
        </w:rPr>
        <w:t xml:space="preserve">is compatible with the human rights and freedoms recognised or declared in the international instruments listed in section 3 of the </w:t>
      </w:r>
      <w:r w:rsidR="00DF0EDC" w:rsidRPr="00A252C5">
        <w:rPr>
          <w:bCs/>
          <w:i/>
        </w:rPr>
        <w:t>Human Rights (Parliamentary Scrutiny) Act 2011.</w:t>
      </w:r>
      <w:r w:rsidR="00DF0EDC" w:rsidRPr="00A252C5">
        <w:rPr>
          <w:bCs/>
        </w:rPr>
        <w:t xml:space="preserve"> </w:t>
      </w:r>
    </w:p>
    <w:p w14:paraId="52CE1535" w14:textId="77777777" w:rsidR="00DF0EDC" w:rsidRPr="00A252C5" w:rsidRDefault="00DF0EDC" w:rsidP="00A252C5">
      <w:pPr>
        <w:rPr>
          <w:bCs/>
        </w:rPr>
      </w:pPr>
    </w:p>
    <w:p w14:paraId="0EC01392" w14:textId="20CE0329" w:rsidR="00E9390D" w:rsidRPr="00A252C5" w:rsidRDefault="00A87B40" w:rsidP="00A252C5">
      <w:pPr>
        <w:rPr>
          <w:lang w:val="en-GB"/>
        </w:rPr>
      </w:pPr>
      <w:r w:rsidRPr="00A252C5">
        <w:t>Australia’s autonomous sanctions framework</w:t>
      </w:r>
      <w:r w:rsidR="00DF0EDC" w:rsidRPr="00A252C5">
        <w:t xml:space="preserve"> impose</w:t>
      </w:r>
      <w:r w:rsidR="004D32A5" w:rsidRPr="00A252C5">
        <w:t>s</w:t>
      </w:r>
      <w:r w:rsidR="00DF0EDC" w:rsidRPr="00A252C5">
        <w:t xml:space="preserve"> highly targeted measures in response to situations of international </w:t>
      </w:r>
      <w:r w:rsidR="00E9390D" w:rsidRPr="00A252C5">
        <w:t xml:space="preserve">concern. </w:t>
      </w:r>
      <w:r w:rsidR="008F25F4" w:rsidRPr="008F25F4">
        <w:t xml:space="preserve">This includes the grave repression of human rights of a population by the government, such as </w:t>
      </w:r>
      <w:r w:rsidR="009C017A" w:rsidRPr="008F25F4">
        <w:t>the documented</w:t>
      </w:r>
      <w:r w:rsidR="008F25F4" w:rsidRPr="008F25F4">
        <w:t xml:space="preserve"> [UN Fact-Finding Mission on Myanmar Report September 2018] human rights abuses committed primarily by Myanmar’s military against ethnic minorities, including Rohingyas. </w:t>
      </w:r>
      <w:r w:rsidR="00E9390D" w:rsidRPr="00A252C5">
        <w:rPr>
          <w:lang w:val="en-GB"/>
        </w:rPr>
        <w:t xml:space="preserve">The Government considers that targeted financial sanctions and travel bans are an effective way to achieve its commitment to employing every strategy at </w:t>
      </w:r>
      <w:r w:rsidR="00854099">
        <w:rPr>
          <w:lang w:val="en-GB"/>
        </w:rPr>
        <w:t>Australia’s</w:t>
      </w:r>
      <w:r w:rsidR="00854099" w:rsidRPr="00A252C5">
        <w:rPr>
          <w:lang w:val="en-GB"/>
        </w:rPr>
        <w:t xml:space="preserve"> </w:t>
      </w:r>
      <w:r w:rsidR="00E9390D" w:rsidRPr="00A252C5">
        <w:rPr>
          <w:lang w:val="en-GB"/>
        </w:rPr>
        <w:t xml:space="preserve">disposal </w:t>
      </w:r>
      <w:r w:rsidR="00B517E3" w:rsidRPr="00A252C5">
        <w:rPr>
          <w:lang w:val="en-GB"/>
        </w:rPr>
        <w:t xml:space="preserve">towards upholding </w:t>
      </w:r>
      <w:r w:rsidR="00BF7753" w:rsidRPr="00A252C5">
        <w:rPr>
          <w:lang w:val="en-GB"/>
        </w:rPr>
        <w:t>human rights</w:t>
      </w:r>
      <w:r w:rsidR="00E9390D" w:rsidRPr="00A252C5">
        <w:rPr>
          <w:lang w:val="en-GB"/>
        </w:rPr>
        <w:t>, consistent with our values and with our interests.</w:t>
      </w:r>
    </w:p>
    <w:p w14:paraId="51C4000F" w14:textId="77777777" w:rsidR="00E9390D" w:rsidRPr="00A252C5" w:rsidRDefault="00E9390D" w:rsidP="00A252C5">
      <w:pPr>
        <w:rPr>
          <w:lang w:val="en-GB"/>
        </w:rPr>
      </w:pPr>
    </w:p>
    <w:p w14:paraId="4F565971" w14:textId="7B02FB36" w:rsidR="00C56FA7" w:rsidRPr="00A252C5" w:rsidRDefault="00C56FA7" w:rsidP="00A252C5">
      <w:pPr>
        <w:rPr>
          <w:lang w:val="en-GB"/>
        </w:rPr>
      </w:pPr>
      <w:r w:rsidRPr="00A252C5">
        <w:t xml:space="preserve">The autonomous sanctions designations and declarations made by </w:t>
      </w:r>
      <w:r w:rsidR="0007468C" w:rsidRPr="00A252C5">
        <w:t>the 202</w:t>
      </w:r>
      <w:r w:rsidR="00327F27">
        <w:t>4</w:t>
      </w:r>
      <w:r w:rsidR="0007468C" w:rsidRPr="00A252C5">
        <w:t xml:space="preserve"> Instrument</w:t>
      </w:r>
      <w:r w:rsidRPr="00A252C5">
        <w:t xml:space="preserve"> pursue legitimate objectives and ha</w:t>
      </w:r>
      <w:r w:rsidR="00EB10E2">
        <w:t>ve</w:t>
      </w:r>
      <w:r w:rsidRPr="00A252C5">
        <w:t xml:space="preserve"> appropriate safeguards in place to ensure that any limitation on human rights engaged by the imposition of sanctions is a reasonable, necessary and proportionate response to the situation of international concern, and do</w:t>
      </w:r>
      <w:r w:rsidR="00854099">
        <w:t>es</w:t>
      </w:r>
      <w:r w:rsidRPr="00A252C5">
        <w:t xml:space="preserve"> not affect particularly vulnerable groups. </w:t>
      </w:r>
      <w:r w:rsidRPr="00A252C5">
        <w:rPr>
          <w:lang w:val="en-GB"/>
        </w:rPr>
        <w:t>The Government keeps its sanctions frameworks under regular review, including in relation to whether more effective, less rights</w:t>
      </w:r>
      <w:r w:rsidR="00854099">
        <w:rPr>
          <w:lang w:val="en-GB"/>
        </w:rPr>
        <w:t>-</w:t>
      </w:r>
      <w:r w:rsidRPr="00A252C5">
        <w:rPr>
          <w:lang w:val="en-GB"/>
        </w:rPr>
        <w:t>restrictive means are available to achieve similar foreign policy objectives.</w:t>
      </w:r>
    </w:p>
    <w:p w14:paraId="3EB2119A" w14:textId="77777777" w:rsidR="00C56FA7" w:rsidRPr="00A252C5" w:rsidRDefault="00C56FA7" w:rsidP="00A252C5">
      <w:pPr>
        <w:rPr>
          <w:lang w:val="en-GB"/>
        </w:rPr>
      </w:pPr>
    </w:p>
    <w:p w14:paraId="3AADD9D5" w14:textId="3C6C373C" w:rsidR="00BF7753" w:rsidRPr="00A252C5" w:rsidRDefault="00C56FA7" w:rsidP="00A252C5">
      <w:r w:rsidRPr="00A252C5">
        <w:t xml:space="preserve">The </w:t>
      </w:r>
      <w:r w:rsidRPr="009D010B">
        <w:rPr>
          <w:i/>
          <w:iCs/>
        </w:rPr>
        <w:t>Autonomous Sanctions Regulations 2011</w:t>
      </w:r>
      <w:r w:rsidRPr="00A252C5">
        <w:t xml:space="preserve"> (</w:t>
      </w:r>
      <w:r w:rsidRPr="009D010B">
        <w:rPr>
          <w:b/>
          <w:bCs/>
        </w:rPr>
        <w:t>the Regulations</w:t>
      </w:r>
      <w:r w:rsidRPr="00A252C5">
        <w:t xml:space="preserve">) make provision for, among other things, the proscription of persons or entities for autonomous sanctions. The </w:t>
      </w:r>
      <w:r w:rsidR="0007468C" w:rsidRPr="00A252C5">
        <w:t>202</w:t>
      </w:r>
      <w:r w:rsidR="00327F27">
        <w:t>4</w:t>
      </w:r>
      <w:r w:rsidR="0007468C" w:rsidRPr="00A252C5">
        <w:t xml:space="preserve"> </w:t>
      </w:r>
      <w:r w:rsidRPr="00A252C5">
        <w:t xml:space="preserve">Instrument </w:t>
      </w:r>
      <w:r w:rsidR="003C3571">
        <w:t xml:space="preserve">continues, under </w:t>
      </w:r>
      <w:proofErr w:type="spellStart"/>
      <w:r w:rsidR="003C3571">
        <w:t>subregulation</w:t>
      </w:r>
      <w:proofErr w:type="spellEnd"/>
      <w:r w:rsidR="003C3571">
        <w:t xml:space="preserve"> 9(3) of the Regulations, designations and declarations </w:t>
      </w:r>
      <w:r w:rsidR="00DB3268">
        <w:t xml:space="preserve">first </w:t>
      </w:r>
      <w:r w:rsidR="003C3571">
        <w:t xml:space="preserve">made in relation to Myanmar in </w:t>
      </w:r>
      <w:r w:rsidR="00DB3268">
        <w:t xml:space="preserve">2018, and continued by the Minister in </w:t>
      </w:r>
      <w:r w:rsidR="003C3571">
        <w:t xml:space="preserve">2021. </w:t>
      </w:r>
      <w:r w:rsidRPr="00A252C5">
        <w:t xml:space="preserve">The </w:t>
      </w:r>
      <w:r w:rsidR="009B6B82" w:rsidRPr="00A252C5">
        <w:t>Minister for Foreign Affairs (</w:t>
      </w:r>
      <w:r w:rsidR="009B6B82" w:rsidRPr="009D010B">
        <w:rPr>
          <w:b/>
          <w:bCs/>
        </w:rPr>
        <w:t xml:space="preserve">the </w:t>
      </w:r>
      <w:r w:rsidRPr="009D010B">
        <w:rPr>
          <w:b/>
          <w:bCs/>
        </w:rPr>
        <w:t>Minister</w:t>
      </w:r>
      <w:r w:rsidR="009B6B82" w:rsidRPr="00A252C5">
        <w:t>)</w:t>
      </w:r>
      <w:r w:rsidRPr="00A252C5">
        <w:t xml:space="preserve"> made the </w:t>
      </w:r>
      <w:r w:rsidR="003C3571">
        <w:t>2024 Instrument</w:t>
      </w:r>
      <w:r w:rsidR="00637B97" w:rsidRPr="00A252C5">
        <w:t xml:space="preserve"> being satisfied </w:t>
      </w:r>
      <w:r w:rsidR="005002E9" w:rsidRPr="00A252C5">
        <w:t>(pursuant</w:t>
      </w:r>
      <w:r w:rsidR="009D010B">
        <w:t xml:space="preserve"> to</w:t>
      </w:r>
      <w:r w:rsidR="005002E9" w:rsidRPr="00A252C5">
        <w:t xml:space="preserve"> </w:t>
      </w:r>
      <w:r w:rsidR="00C86CA6">
        <w:t xml:space="preserve">paragraph (d) of </w:t>
      </w:r>
      <w:r w:rsidR="005002E9" w:rsidRPr="00C86CA6">
        <w:t xml:space="preserve">item </w:t>
      </w:r>
      <w:r w:rsidR="00327F27" w:rsidRPr="00C86CA6">
        <w:t>6</w:t>
      </w:r>
      <w:r w:rsidR="005002E9" w:rsidRPr="00C86CA6">
        <w:t xml:space="preserve"> of </w:t>
      </w:r>
      <w:r w:rsidR="00B76751" w:rsidRPr="00C86CA6">
        <w:t>r</w:t>
      </w:r>
      <w:r w:rsidR="005002E9" w:rsidRPr="00C86CA6">
        <w:t>egulation 6</w:t>
      </w:r>
      <w:r w:rsidR="005002E9" w:rsidRPr="00A252C5">
        <w:t>) that</w:t>
      </w:r>
      <w:r w:rsidR="00327F27">
        <w:t xml:space="preserve"> the individuals are</w:t>
      </w:r>
      <w:r w:rsidR="00D406A0" w:rsidRPr="00A252C5">
        <w:t>:</w:t>
      </w:r>
      <w:r w:rsidR="00046EA7" w:rsidRPr="00A252C5">
        <w:t xml:space="preserve"> </w:t>
      </w:r>
    </w:p>
    <w:p w14:paraId="3E4C1219" w14:textId="77777777" w:rsidR="00BF7753" w:rsidRPr="00A252C5" w:rsidRDefault="00BF7753" w:rsidP="00A252C5"/>
    <w:p w14:paraId="26A3DA1E" w14:textId="0162A8AA" w:rsidR="00327F27" w:rsidRPr="00C86CA6" w:rsidRDefault="00327F27" w:rsidP="00327F27">
      <w:pPr>
        <w:pStyle w:val="ListParagraph"/>
        <w:numPr>
          <w:ilvl w:val="0"/>
          <w:numId w:val="15"/>
        </w:numPr>
      </w:pPr>
      <w:r w:rsidRPr="00C86CA6">
        <w:t>current or former military officer</w:t>
      </w:r>
      <w:r w:rsidR="00C86CA6">
        <w:t>s</w:t>
      </w:r>
      <w:r w:rsidRPr="00C86CA6">
        <w:t xml:space="preserve"> of the rank of Brigadier‑General or higher.</w:t>
      </w:r>
    </w:p>
    <w:p w14:paraId="493B7953" w14:textId="1E917795" w:rsidR="00C56FA7" w:rsidRPr="00A252C5" w:rsidRDefault="00C56FA7" w:rsidP="00A252C5"/>
    <w:p w14:paraId="2147826F" w14:textId="7466089B" w:rsidR="00BA419F" w:rsidRPr="00A252C5" w:rsidRDefault="00C56FA7" w:rsidP="00A252C5">
      <w:r w:rsidRPr="00A252C5">
        <w:t>The human rights compatibility of the</w:t>
      </w:r>
      <w:r w:rsidR="00637B97" w:rsidRPr="00A252C5">
        <w:t xml:space="preserve"> 202</w:t>
      </w:r>
      <w:r w:rsidR="00327F27">
        <w:t>4</w:t>
      </w:r>
      <w:r w:rsidRPr="00A252C5">
        <w:t xml:space="preserve"> Instrument is addressed by reference to each of the human rights engaged below. </w:t>
      </w:r>
    </w:p>
    <w:p w14:paraId="2F760631" w14:textId="77777777" w:rsidR="00DF0EDC" w:rsidRPr="00A252C5" w:rsidRDefault="00DF0EDC" w:rsidP="00A252C5"/>
    <w:p w14:paraId="5DD84065" w14:textId="77777777" w:rsidR="00DF0EDC" w:rsidRPr="00A252C5" w:rsidRDefault="00DF0EDC" w:rsidP="00A252C5">
      <w:pPr>
        <w:keepNext/>
        <w:keepLines/>
      </w:pPr>
      <w:r w:rsidRPr="00A252C5">
        <w:rPr>
          <w:b/>
        </w:rPr>
        <w:lastRenderedPageBreak/>
        <w:t>Right to privacy</w:t>
      </w:r>
    </w:p>
    <w:p w14:paraId="4C2B3E2E" w14:textId="77777777" w:rsidR="00DF0EDC" w:rsidRPr="00A252C5" w:rsidRDefault="00DF0EDC" w:rsidP="00A252C5">
      <w:pPr>
        <w:keepNext/>
        <w:keepLines/>
      </w:pPr>
    </w:p>
    <w:p w14:paraId="31FD3C3C" w14:textId="77777777" w:rsidR="00DF0EDC" w:rsidRPr="00A252C5" w:rsidRDefault="00DF0EDC" w:rsidP="00A252C5">
      <w:pPr>
        <w:keepNext/>
        <w:keepLines/>
        <w:rPr>
          <w:u w:val="single"/>
        </w:rPr>
      </w:pPr>
      <w:r w:rsidRPr="00A252C5">
        <w:rPr>
          <w:u w:val="single"/>
        </w:rPr>
        <w:t xml:space="preserve">Right </w:t>
      </w:r>
    </w:p>
    <w:p w14:paraId="7B94EE21" w14:textId="599DDFC4" w:rsidR="0021755C" w:rsidRPr="00A252C5" w:rsidRDefault="0021755C" w:rsidP="00A252C5">
      <w:pPr>
        <w:keepNext/>
        <w:keepLines/>
      </w:pPr>
    </w:p>
    <w:p w14:paraId="5AFC9540" w14:textId="7775C1B3" w:rsidR="00DF0EDC" w:rsidRPr="00A252C5" w:rsidRDefault="00DF0EDC" w:rsidP="00A252C5">
      <w:pPr>
        <w:keepNext/>
        <w:keepLines/>
      </w:pPr>
      <w:r w:rsidRPr="00A252C5">
        <w:t>Article 17 of the International Covenant on Civil and Political Rights (</w:t>
      </w:r>
      <w:r w:rsidRPr="009D010B">
        <w:rPr>
          <w:b/>
          <w:bCs/>
        </w:rPr>
        <w:t>the ICCPR</w:t>
      </w:r>
      <w:r w:rsidRPr="00A252C5">
        <w:t>) prohibits unlawful or arbitrary interferences with a person's privacy, family, home and correspondence.</w:t>
      </w:r>
    </w:p>
    <w:p w14:paraId="26F68EB8" w14:textId="77777777" w:rsidR="00DF0EDC" w:rsidRPr="00A252C5" w:rsidRDefault="00DF0EDC" w:rsidP="00A252C5"/>
    <w:p w14:paraId="5BCDF3D8" w14:textId="77777777" w:rsidR="00DF0EDC" w:rsidRPr="00A252C5" w:rsidRDefault="00DF0EDC" w:rsidP="00A252C5">
      <w:r w:rsidRPr="00A252C5">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A252C5">
        <w:t>unproportionality</w:t>
      </w:r>
      <w:proofErr w:type="spellEnd"/>
      <w:r w:rsidRPr="00A252C5">
        <w:t>’.</w:t>
      </w:r>
      <w:r w:rsidRPr="00A252C5">
        <w:rPr>
          <w:rStyle w:val="FootnoteReference"/>
        </w:rPr>
        <w:footnoteReference w:id="2"/>
      </w:r>
    </w:p>
    <w:p w14:paraId="07109EDB" w14:textId="77777777" w:rsidR="00DF0EDC" w:rsidRPr="00A252C5" w:rsidRDefault="00DF0EDC" w:rsidP="00A252C5"/>
    <w:p w14:paraId="23AAF4ED" w14:textId="77777777" w:rsidR="00DF0EDC" w:rsidRPr="00A252C5" w:rsidRDefault="00DF0EDC" w:rsidP="00A252C5">
      <w:pPr>
        <w:rPr>
          <w:u w:val="single"/>
        </w:rPr>
      </w:pPr>
      <w:r w:rsidRPr="00A252C5">
        <w:rPr>
          <w:u w:val="single"/>
        </w:rPr>
        <w:t xml:space="preserve">Permissible limitations </w:t>
      </w:r>
    </w:p>
    <w:p w14:paraId="7082F8DE" w14:textId="77777777" w:rsidR="00DF0EDC" w:rsidRPr="00A252C5" w:rsidRDefault="00DF0EDC" w:rsidP="00A252C5"/>
    <w:p w14:paraId="6B925581" w14:textId="44658947" w:rsidR="00DF0EDC" w:rsidRPr="00A252C5" w:rsidRDefault="00DF0EDC" w:rsidP="00A252C5">
      <w:pPr>
        <w:rPr>
          <w:bCs/>
        </w:rPr>
      </w:pPr>
      <w:r w:rsidRPr="00A252C5">
        <w:rPr>
          <w:bCs/>
        </w:rPr>
        <w:t xml:space="preserve">The </w:t>
      </w:r>
      <w:r w:rsidR="004D32A5" w:rsidRPr="00A252C5">
        <w:rPr>
          <w:bCs/>
        </w:rPr>
        <w:t>202</w:t>
      </w:r>
      <w:r w:rsidR="00327F27">
        <w:rPr>
          <w:bCs/>
        </w:rPr>
        <w:t>4</w:t>
      </w:r>
      <w:r w:rsidR="004D32A5" w:rsidRPr="00A252C5">
        <w:rPr>
          <w:bCs/>
        </w:rPr>
        <w:t xml:space="preserve"> Instrument </w:t>
      </w:r>
      <w:r w:rsidRPr="00A252C5">
        <w:rPr>
          <w:bCs/>
        </w:rPr>
        <w:t xml:space="preserve">is not an unlawful interference with an individual’s right to privacy. Section 10 of the </w:t>
      </w:r>
      <w:r w:rsidRPr="00A252C5">
        <w:rPr>
          <w:bCs/>
          <w:i/>
        </w:rPr>
        <w:t>Autonomous Sanctions Act 2011</w:t>
      </w:r>
      <w:r w:rsidRPr="00A252C5">
        <w:rPr>
          <w:bCs/>
        </w:rPr>
        <w:t xml:space="preserve"> (</w:t>
      </w:r>
      <w:r w:rsidRPr="009D010B">
        <w:rPr>
          <w:b/>
        </w:rPr>
        <w:t>the Act</w:t>
      </w:r>
      <w:r w:rsidRPr="00A252C5">
        <w:rPr>
          <w:bCs/>
        </w:rPr>
        <w:t xml:space="preserve">) permits regulations relating to, among other things: ‘proscription of persons or entities (for specified purposes or more generally)’; and ‘restriction or prevention of uses of, dealings with, and making available of, assets’. The designations and declarations </w:t>
      </w:r>
      <w:r w:rsidR="00336297">
        <w:rPr>
          <w:bCs/>
        </w:rPr>
        <w:t>continued</w:t>
      </w:r>
      <w:r w:rsidR="00336297" w:rsidRPr="00A252C5">
        <w:rPr>
          <w:bCs/>
        </w:rPr>
        <w:t xml:space="preserve"> </w:t>
      </w:r>
      <w:r w:rsidRPr="00A252C5">
        <w:rPr>
          <w:bCs/>
        </w:rPr>
        <w:t xml:space="preserve">in the </w:t>
      </w:r>
      <w:r w:rsidR="00BB5C2D" w:rsidRPr="00A252C5">
        <w:rPr>
          <w:bCs/>
        </w:rPr>
        <w:t>202</w:t>
      </w:r>
      <w:r w:rsidR="00327F27">
        <w:rPr>
          <w:bCs/>
        </w:rPr>
        <w:t>4</w:t>
      </w:r>
      <w:r w:rsidR="00BB5C2D" w:rsidRPr="00A252C5">
        <w:rPr>
          <w:bCs/>
        </w:rPr>
        <w:t xml:space="preserve"> Instrument were made</w:t>
      </w:r>
      <w:r w:rsidRPr="00A252C5">
        <w:rPr>
          <w:bCs/>
        </w:rPr>
        <w:t xml:space="preserve"> </w:t>
      </w:r>
      <w:r w:rsidRPr="00EA2BCA">
        <w:rPr>
          <w:bCs/>
        </w:rPr>
        <w:t xml:space="preserve">pursuant to </w:t>
      </w:r>
      <w:r w:rsidR="008E2DAD">
        <w:rPr>
          <w:bCs/>
        </w:rPr>
        <w:t xml:space="preserve">regulation 6 of the Regulations, and continued under </w:t>
      </w:r>
      <w:r w:rsidR="00D00FEF" w:rsidRPr="00EA2BCA">
        <w:rPr>
          <w:bCs/>
        </w:rPr>
        <w:t>sub</w:t>
      </w:r>
      <w:r w:rsidR="00BB5C2D" w:rsidRPr="00EA2BCA">
        <w:rPr>
          <w:bCs/>
        </w:rPr>
        <w:t xml:space="preserve">regulation </w:t>
      </w:r>
      <w:r w:rsidR="00336297" w:rsidRPr="00EA2BCA">
        <w:rPr>
          <w:bCs/>
        </w:rPr>
        <w:t>9</w:t>
      </w:r>
      <w:r w:rsidR="00D00FEF" w:rsidRPr="00EA2BCA">
        <w:rPr>
          <w:bCs/>
        </w:rPr>
        <w:t>(3)</w:t>
      </w:r>
      <w:r w:rsidR="00336297" w:rsidRPr="00A252C5">
        <w:rPr>
          <w:bCs/>
        </w:rPr>
        <w:t xml:space="preserve"> </w:t>
      </w:r>
      <w:r w:rsidRPr="00A252C5">
        <w:rPr>
          <w:bCs/>
        </w:rPr>
        <w:t xml:space="preserve">of the Regulations, which provides that the Minister may, by legislative instrument, </w:t>
      </w:r>
      <w:r w:rsidR="002545B2">
        <w:rPr>
          <w:bCs/>
        </w:rPr>
        <w:t xml:space="preserve">continue in effect </w:t>
      </w:r>
      <w:r w:rsidR="00161580">
        <w:rPr>
          <w:bCs/>
        </w:rPr>
        <w:t xml:space="preserve">a person’s </w:t>
      </w:r>
      <w:r w:rsidR="002545B2" w:rsidRPr="00A252C5">
        <w:t>designat</w:t>
      </w:r>
      <w:r w:rsidR="002545B2">
        <w:t xml:space="preserve">ion </w:t>
      </w:r>
      <w:r w:rsidR="00356CEE" w:rsidRPr="00A252C5">
        <w:t xml:space="preserve">for targeted financial sanctions and/or </w:t>
      </w:r>
      <w:r w:rsidR="00161580">
        <w:t>a declaration</w:t>
      </w:r>
      <w:r w:rsidR="00356CEE" w:rsidRPr="00A252C5">
        <w:t xml:space="preserve"> for a travel ban</w:t>
      </w:r>
      <w:r w:rsidRPr="00A252C5">
        <w:rPr>
          <w:bCs/>
        </w:rPr>
        <w:t>.</w:t>
      </w:r>
    </w:p>
    <w:p w14:paraId="67E7359D" w14:textId="77777777" w:rsidR="00DF0EDC" w:rsidRPr="00A252C5" w:rsidRDefault="00DF0EDC" w:rsidP="00A252C5">
      <w:pPr>
        <w:rPr>
          <w:bCs/>
        </w:rPr>
      </w:pPr>
    </w:p>
    <w:p w14:paraId="2C00BCB3" w14:textId="7C465985" w:rsidR="00DF0EDC" w:rsidRPr="00A252C5" w:rsidRDefault="00DF0EDC" w:rsidP="00A252C5">
      <w:pPr>
        <w:rPr>
          <w:bCs/>
        </w:rPr>
      </w:pPr>
      <w:r w:rsidRPr="00A252C5">
        <w:rPr>
          <w:bCs/>
        </w:rPr>
        <w:t xml:space="preserve">The measures contained in the </w:t>
      </w:r>
      <w:r w:rsidR="00356CEE" w:rsidRPr="00A252C5">
        <w:rPr>
          <w:bCs/>
        </w:rPr>
        <w:t>202</w:t>
      </w:r>
      <w:r w:rsidR="00327F27">
        <w:rPr>
          <w:bCs/>
        </w:rPr>
        <w:t>4</w:t>
      </w:r>
      <w:r w:rsidR="00356CEE" w:rsidRPr="00A252C5">
        <w:rPr>
          <w:bCs/>
        </w:rPr>
        <w:t xml:space="preserve"> Instrument </w:t>
      </w:r>
      <w:r w:rsidRPr="00A252C5">
        <w:rPr>
          <w:bCs/>
        </w:rPr>
        <w:t xml:space="preserve">are not an arbitrary interference with an individual’s right to privacy. An interference with privacy will not be arbitrary where it is reasonable, necessary and proportionate in the individual circumstances. </w:t>
      </w:r>
    </w:p>
    <w:p w14:paraId="3353F1C0" w14:textId="77777777" w:rsidR="00DF0EDC" w:rsidRPr="00A252C5" w:rsidRDefault="00DF0EDC" w:rsidP="00A252C5">
      <w:pPr>
        <w:rPr>
          <w:bCs/>
        </w:rPr>
      </w:pPr>
    </w:p>
    <w:p w14:paraId="366E1A9B" w14:textId="03A33934" w:rsidR="00DF0EDC" w:rsidRPr="00A252C5" w:rsidRDefault="00DF0EDC" w:rsidP="00A252C5">
      <w:pPr>
        <w:rPr>
          <w:bCs/>
        </w:rPr>
      </w:pPr>
      <w:r w:rsidRPr="00A252C5">
        <w:rPr>
          <w:bCs/>
        </w:rPr>
        <w:t xml:space="preserve">In designating an individual under the Regulations for targeted financial sanctions and/or </w:t>
      </w:r>
      <w:r w:rsidR="00514F91" w:rsidRPr="00A252C5">
        <w:rPr>
          <w:bCs/>
        </w:rPr>
        <w:t xml:space="preserve">declaring an individual for a </w:t>
      </w:r>
      <w:r w:rsidRPr="00A252C5">
        <w:rPr>
          <w:bCs/>
        </w:rPr>
        <w:t>travel ban, the Minister uses predictable, publicly available criteria. These criteria are designed to capture only those persons the Minister is satisfied are involved in situations of international concern, as set out in regulation 6 of the Regulations.</w:t>
      </w:r>
    </w:p>
    <w:p w14:paraId="3613E1E3" w14:textId="77777777" w:rsidR="00DF0EDC" w:rsidRPr="00A252C5" w:rsidRDefault="00DF0EDC" w:rsidP="00A252C5">
      <w:pPr>
        <w:rPr>
          <w:bCs/>
        </w:rPr>
      </w:pPr>
    </w:p>
    <w:p w14:paraId="33CD8E6B" w14:textId="44E025AE" w:rsidR="00DF0EDC" w:rsidRPr="00A252C5" w:rsidRDefault="00DF0EDC" w:rsidP="00A252C5">
      <w:pPr>
        <w:rPr>
          <w:bCs/>
        </w:rPr>
      </w:pPr>
      <w:r w:rsidRPr="00A252C5">
        <w:rPr>
          <w:bCs/>
        </w:rPr>
        <w:t xml:space="preserve">Accordingly, targeted financial sanctions and travel bans imposed by the Minister through the </w:t>
      </w:r>
      <w:r w:rsidR="001D662B" w:rsidRPr="00A252C5">
        <w:rPr>
          <w:bCs/>
        </w:rPr>
        <w:t xml:space="preserve">designation and declaration of specific individuals </w:t>
      </w:r>
      <w:r w:rsidRPr="00A252C5">
        <w:rPr>
          <w:bCs/>
        </w:rPr>
        <w:t xml:space="preserve">under the Regulations are reasonable, necessary and proportionate to the individual circumstances the sanctions are seeking to address. </w:t>
      </w:r>
      <w:r w:rsidR="001D662B" w:rsidRPr="00A252C5">
        <w:rPr>
          <w:bCs/>
        </w:rPr>
        <w:t>A</w:t>
      </w:r>
      <w:r w:rsidRPr="00A252C5">
        <w:rPr>
          <w:bCs/>
        </w:rPr>
        <w:t xml:space="preserve">ny interference with the right to privacy created by the operation of the </w:t>
      </w:r>
      <w:r w:rsidR="001D662B" w:rsidRPr="00A252C5">
        <w:rPr>
          <w:bCs/>
        </w:rPr>
        <w:t>202</w:t>
      </w:r>
      <w:r w:rsidR="00327F27">
        <w:rPr>
          <w:bCs/>
        </w:rPr>
        <w:t>4</w:t>
      </w:r>
      <w:r w:rsidR="001D662B" w:rsidRPr="00A252C5">
        <w:rPr>
          <w:bCs/>
        </w:rPr>
        <w:t xml:space="preserve"> Instrument </w:t>
      </w:r>
      <w:r w:rsidRPr="00A252C5">
        <w:rPr>
          <w:bCs/>
        </w:rPr>
        <w:t>is not arbitrary or unlawful and</w:t>
      </w:r>
      <w:r w:rsidR="00C3173D" w:rsidRPr="00A252C5">
        <w:rPr>
          <w:bCs/>
        </w:rPr>
        <w:t xml:space="preserve"> </w:t>
      </w:r>
      <w:r w:rsidRPr="00A252C5">
        <w:rPr>
          <w:bCs/>
        </w:rPr>
        <w:t>is consistent with Australia’s obligations under Article 17 of the ICCPR.</w:t>
      </w:r>
    </w:p>
    <w:p w14:paraId="6FDD6740" w14:textId="77777777" w:rsidR="00DF0EDC" w:rsidRPr="00A252C5" w:rsidRDefault="00DF0EDC" w:rsidP="00A252C5"/>
    <w:p w14:paraId="71F7C87F" w14:textId="77777777" w:rsidR="00DF0EDC" w:rsidRPr="00A252C5" w:rsidRDefault="00DF0EDC" w:rsidP="00A252C5">
      <w:pPr>
        <w:keepNext/>
        <w:rPr>
          <w:b/>
        </w:rPr>
      </w:pPr>
      <w:r w:rsidRPr="00A252C5">
        <w:rPr>
          <w:b/>
        </w:rPr>
        <w:lastRenderedPageBreak/>
        <w:t xml:space="preserve">Right to respect for the family </w:t>
      </w:r>
    </w:p>
    <w:p w14:paraId="49D3A58D" w14:textId="77777777" w:rsidR="00DF0EDC" w:rsidRPr="00A252C5" w:rsidRDefault="00DF0EDC" w:rsidP="00A252C5">
      <w:pPr>
        <w:keepNext/>
        <w:rPr>
          <w:bCs/>
        </w:rPr>
      </w:pPr>
    </w:p>
    <w:p w14:paraId="28DCACF1" w14:textId="6154760E" w:rsidR="006D0ECC" w:rsidRPr="00A252C5" w:rsidRDefault="00DF0EDC" w:rsidP="00A252C5">
      <w:pPr>
        <w:keepNext/>
      </w:pPr>
      <w:r w:rsidRPr="00A252C5">
        <w:rPr>
          <w:u w:val="single"/>
        </w:rPr>
        <w:t>Right</w:t>
      </w:r>
    </w:p>
    <w:p w14:paraId="0041CFF5" w14:textId="77777777" w:rsidR="006D0ECC" w:rsidRPr="00A252C5" w:rsidRDefault="006D0ECC" w:rsidP="00A252C5">
      <w:pPr>
        <w:keepNext/>
      </w:pPr>
    </w:p>
    <w:p w14:paraId="528A8BCC" w14:textId="77777777" w:rsidR="00DF0EDC" w:rsidRPr="00A252C5" w:rsidRDefault="00DF0EDC" w:rsidP="00A252C5">
      <w:r w:rsidRPr="00A252C5">
        <w:t>The right to respect for the family is protected by Articles 17 and 23 of the ICCPR. It covers, among other things, the separation of family members under migration laws, and arbitrary or unlawful interferences with the family.</w:t>
      </w:r>
    </w:p>
    <w:p w14:paraId="2821F1FE" w14:textId="77777777" w:rsidR="00DF0EDC" w:rsidRPr="00A252C5" w:rsidRDefault="00DF0EDC" w:rsidP="00A252C5"/>
    <w:p w14:paraId="394D71CB" w14:textId="56656146" w:rsidR="00DF0EDC" w:rsidRPr="00A252C5" w:rsidRDefault="00DF0EDC" w:rsidP="00A252C5">
      <w:r w:rsidRPr="00A252C5">
        <w:t xml:space="preserve">Limitations on the right to respect for the family under Articles 17 and 23 of the ICCPR will not violate those </w:t>
      </w:r>
      <w:r w:rsidR="00C3173D" w:rsidRPr="00A252C5">
        <w:t>A</w:t>
      </w:r>
      <w:r w:rsidRPr="00A252C5">
        <w:t>rticles if the measures in question are lawful and non</w:t>
      </w:r>
      <w:r w:rsidRPr="00A252C5">
        <w:noBreakHyphen/>
        <w:t>arbitrary. An interference with respect for the family will be consistent with the ICCPR where it is necessary and proportionate, in accordance with the provisions, aims and objectives of the ICCPR, and is reasonable in the individual circumstances.</w:t>
      </w:r>
    </w:p>
    <w:p w14:paraId="2304996D" w14:textId="4D891FD9" w:rsidR="00855F41" w:rsidRPr="00A252C5" w:rsidRDefault="00855F41" w:rsidP="00A252C5"/>
    <w:p w14:paraId="5EB31D68" w14:textId="52501653" w:rsidR="00DF0EDC" w:rsidRPr="00A252C5" w:rsidRDefault="00DF0EDC" w:rsidP="00A252C5">
      <w:r w:rsidRPr="00A252C5">
        <w:rPr>
          <w:u w:val="single"/>
        </w:rPr>
        <w:t>Permissible limitations</w:t>
      </w:r>
    </w:p>
    <w:p w14:paraId="65755540" w14:textId="77777777" w:rsidR="006D0ECC" w:rsidRPr="00A252C5" w:rsidRDefault="006D0ECC" w:rsidP="00A252C5"/>
    <w:p w14:paraId="67093CEA" w14:textId="0A519805" w:rsidR="00DF0EDC" w:rsidRPr="00A252C5" w:rsidRDefault="00DF0EDC" w:rsidP="00A252C5">
      <w:r w:rsidRPr="00A252C5">
        <w:t xml:space="preserve">As set out above, the autonomous sanctions </w:t>
      </w:r>
      <w:r w:rsidR="00C3173D" w:rsidRPr="00A252C5">
        <w:t xml:space="preserve">framework </w:t>
      </w:r>
      <w:r w:rsidRPr="00A252C5">
        <w:t>is authorised by domestic law and is not unlawful.</w:t>
      </w:r>
    </w:p>
    <w:p w14:paraId="6872CC46" w14:textId="77777777" w:rsidR="00DF0EDC" w:rsidRPr="00A252C5" w:rsidRDefault="00DF0EDC" w:rsidP="00A252C5"/>
    <w:p w14:paraId="17138F85" w14:textId="10D33F9F" w:rsidR="00DF0EDC" w:rsidRPr="00A252C5" w:rsidRDefault="00DF0EDC" w:rsidP="00A252C5">
      <w:r w:rsidRPr="00A252C5">
        <w:t xml:space="preserve">As the listing criteria in </w:t>
      </w:r>
      <w:r w:rsidRPr="00C86CA6">
        <w:t>regulation 6</w:t>
      </w:r>
      <w:r w:rsidRPr="00A252C5">
        <w:t xml:space="preserve"> </w:t>
      </w:r>
      <w:r w:rsidR="00745FA0" w:rsidRPr="00A252C5">
        <w:t xml:space="preserve">of the Regulations </w:t>
      </w:r>
      <w:r w:rsidRPr="00A252C5">
        <w:t xml:space="preserve">are drafted by reference to specific foreign countries, it is highly unlikely, as a practical matter, that a person declared for a travel ban will hold an Australian visa, </w:t>
      </w:r>
      <w:r w:rsidR="00473861" w:rsidRPr="00A252C5">
        <w:t>usually reside</w:t>
      </w:r>
      <w:r w:rsidRPr="00A252C5">
        <w:t xml:space="preserve"> in Australia and have immediate family also in Australia.</w:t>
      </w:r>
    </w:p>
    <w:p w14:paraId="64759EFB" w14:textId="77777777" w:rsidR="00DF0EDC" w:rsidRPr="00A252C5" w:rsidRDefault="00DF0EDC" w:rsidP="00A252C5"/>
    <w:p w14:paraId="0F60EFD5" w14:textId="204EEC92" w:rsidR="00DF0EDC" w:rsidRPr="00A252C5" w:rsidRDefault="00DF0EDC" w:rsidP="00A252C5">
      <w:r w:rsidRPr="00A252C5">
        <w:t xml:space="preserve">The Department of Foreign Affairs and Trade consults relevant agencies as appropriate in advance of a designation and declaration of a person with known connections to Australia to </w:t>
      </w:r>
      <w:r w:rsidR="00771BF9" w:rsidRPr="00A252C5">
        <w:t xml:space="preserve">consider </w:t>
      </w:r>
      <w:r w:rsidRPr="00A252C5">
        <w:t xml:space="preserve">the possible impacts of the designation and declaration on any family members in Australia. </w:t>
      </w:r>
    </w:p>
    <w:p w14:paraId="14DD8065" w14:textId="77777777" w:rsidR="00DF0EDC" w:rsidRPr="00A252C5" w:rsidRDefault="00DF0EDC" w:rsidP="00A252C5"/>
    <w:p w14:paraId="10935725" w14:textId="1E8FD2F0" w:rsidR="00DF0EDC" w:rsidRPr="00A252C5" w:rsidRDefault="00DF0EDC" w:rsidP="00A252C5">
      <w:r w:rsidRPr="00A252C5">
        <w:t xml:space="preserve">To the extent that the travel bans imposed pursuant to the </w:t>
      </w:r>
      <w:r w:rsidR="00745FA0" w:rsidRPr="00A252C5">
        <w:t>202</w:t>
      </w:r>
      <w:r w:rsidR="00327F27">
        <w:t>4</w:t>
      </w:r>
      <w:r w:rsidR="00745FA0" w:rsidRPr="00A252C5">
        <w:t xml:space="preserve"> Instrument </w:t>
      </w:r>
      <w:r w:rsidRPr="00A252C5">
        <w:t xml:space="preserve">engage and limit the right to respect for the family in a particular case, the Regulations </w:t>
      </w:r>
      <w:r w:rsidR="00ED2C73" w:rsidRPr="00A252C5">
        <w:t xml:space="preserve">provide sufficient flexibility to treat different cases differently. Under the Regulations, </w:t>
      </w:r>
      <w:r w:rsidRPr="00A252C5">
        <w:t xml:space="preserve">the Minister </w:t>
      </w:r>
      <w:r w:rsidR="00ED2C73" w:rsidRPr="00A252C5">
        <w:t xml:space="preserve">may </w:t>
      </w:r>
      <w:r w:rsidRPr="00A252C5">
        <w:t>waive the operation of a travel ban on the grounds that either: (a)</w:t>
      </w:r>
      <w:r w:rsidR="00854099">
        <w:t xml:space="preserve"> </w:t>
      </w:r>
      <w:r w:rsidR="00854099" w:rsidRPr="00A252C5">
        <w:t>it would be</w:t>
      </w:r>
      <w:r w:rsidRPr="00A252C5">
        <w:t xml:space="preserve">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w:t>
      </w:r>
      <w:r w:rsidR="0032004B" w:rsidRPr="00A252C5">
        <w:t xml:space="preserve">relation to Article 17 above, </w:t>
      </w:r>
      <w:r w:rsidRPr="00A252C5">
        <w:t xml:space="preserve">such a separation would be </w:t>
      </w:r>
      <w:r w:rsidR="001530C6" w:rsidRPr="00A252C5">
        <w:t xml:space="preserve">reasonable, necessary, proportionate and </w:t>
      </w:r>
      <w:r w:rsidRPr="00A252C5">
        <w:t xml:space="preserve">justified in </w:t>
      </w:r>
      <w:r w:rsidR="001530C6" w:rsidRPr="00A252C5">
        <w:t>achieving the objective of the 202</w:t>
      </w:r>
      <w:r w:rsidR="00327F27">
        <w:t>4</w:t>
      </w:r>
      <w:r w:rsidR="001530C6" w:rsidRPr="00A252C5">
        <w:t xml:space="preserve"> Instrument</w:t>
      </w:r>
      <w:r w:rsidRPr="00A252C5">
        <w:t>.</w:t>
      </w:r>
    </w:p>
    <w:p w14:paraId="614F9D65" w14:textId="77777777" w:rsidR="00B5664E" w:rsidRPr="00A252C5" w:rsidRDefault="00B5664E" w:rsidP="00A252C5"/>
    <w:p w14:paraId="5202EE5A" w14:textId="4C82733E" w:rsidR="00FD5C80" w:rsidRPr="00A252C5" w:rsidRDefault="00DF0EDC" w:rsidP="00A252C5">
      <w:r w:rsidRPr="00A252C5">
        <w:t xml:space="preserve">Accordingly, any interference with the right to respect for the family created by the operation of the </w:t>
      </w:r>
      <w:r w:rsidR="001530C6" w:rsidRPr="00A252C5">
        <w:t>202</w:t>
      </w:r>
      <w:r w:rsidR="00327F27">
        <w:t>4</w:t>
      </w:r>
      <w:r w:rsidR="001530C6" w:rsidRPr="00A252C5">
        <w:t xml:space="preserve"> Instrument </w:t>
      </w:r>
      <w:r w:rsidRPr="00A252C5">
        <w:t xml:space="preserve">is not unlawful or arbitrary </w:t>
      </w:r>
      <w:r w:rsidR="001530C6" w:rsidRPr="00A252C5">
        <w:t>and is</w:t>
      </w:r>
      <w:r w:rsidRPr="00A252C5">
        <w:t xml:space="preserve"> consistent with Australia’s obligations under Articles 17 and 23 of the ICCPR</w:t>
      </w:r>
      <w:r w:rsidR="00A6095E" w:rsidRPr="00A252C5">
        <w:t>.</w:t>
      </w:r>
    </w:p>
    <w:p w14:paraId="2E756D55" w14:textId="77777777" w:rsidR="00FD5C80" w:rsidRPr="00A252C5" w:rsidRDefault="00FD5C80" w:rsidP="00A252C5">
      <w:pPr>
        <w:rPr>
          <w:b/>
        </w:rPr>
      </w:pPr>
    </w:p>
    <w:p w14:paraId="44CAB898" w14:textId="28294A11" w:rsidR="00FD5C80" w:rsidRPr="00A252C5" w:rsidRDefault="00FD5C80" w:rsidP="00361038">
      <w:pPr>
        <w:keepNext/>
        <w:rPr>
          <w:b/>
        </w:rPr>
      </w:pPr>
      <w:r w:rsidRPr="00A252C5">
        <w:rPr>
          <w:b/>
        </w:rPr>
        <w:lastRenderedPageBreak/>
        <w:t>R</w:t>
      </w:r>
      <w:r w:rsidR="00DF0EDC" w:rsidRPr="00A252C5">
        <w:rPr>
          <w:b/>
        </w:rPr>
        <w:t>ight to an adequate standard of living</w:t>
      </w:r>
      <w:r w:rsidRPr="00A252C5">
        <w:rPr>
          <w:b/>
        </w:rPr>
        <w:t xml:space="preserve"> </w:t>
      </w:r>
    </w:p>
    <w:p w14:paraId="4226A03D" w14:textId="77777777" w:rsidR="00FB47A2" w:rsidRPr="00A252C5" w:rsidRDefault="00FB47A2" w:rsidP="00361038">
      <w:pPr>
        <w:keepNext/>
        <w:rPr>
          <w:bCs/>
        </w:rPr>
      </w:pPr>
    </w:p>
    <w:p w14:paraId="0338127F" w14:textId="0469666E" w:rsidR="00FD5C80" w:rsidRPr="00A252C5" w:rsidRDefault="00DF0EDC" w:rsidP="00361038">
      <w:pPr>
        <w:keepNext/>
        <w:rPr>
          <w:u w:val="single"/>
        </w:rPr>
      </w:pPr>
      <w:r w:rsidRPr="00A252C5">
        <w:rPr>
          <w:u w:val="single"/>
        </w:rPr>
        <w:t xml:space="preserve">Right </w:t>
      </w:r>
    </w:p>
    <w:p w14:paraId="730DAF1C" w14:textId="77777777" w:rsidR="004233D1" w:rsidRPr="00A252C5" w:rsidRDefault="004233D1" w:rsidP="00361038">
      <w:pPr>
        <w:keepNext/>
      </w:pPr>
    </w:p>
    <w:p w14:paraId="297DCECD" w14:textId="5372B81A" w:rsidR="00DF0EDC" w:rsidRPr="00A252C5" w:rsidRDefault="00DF0EDC" w:rsidP="00361038">
      <w:pPr>
        <w:keepNext/>
      </w:pPr>
      <w:r w:rsidRPr="00A252C5">
        <w:t>The right to an adequate standard of living is contained in Article 11(1) of the International Covenant on Economic, Social and Cultural Rights (</w:t>
      </w:r>
      <w:r w:rsidRPr="009D010B">
        <w:rPr>
          <w:b/>
          <w:bCs/>
        </w:rPr>
        <w:t>ICESCR</w:t>
      </w:r>
      <w:r w:rsidRPr="00A252C5">
        <w:t>) and requires States to ensure the availability and accessibility of the resources that are essential to the realisation of the right: namely, food, water, and housing.</w:t>
      </w:r>
    </w:p>
    <w:p w14:paraId="5A7354AE" w14:textId="77777777" w:rsidR="00DF0EDC" w:rsidRPr="00A252C5" w:rsidRDefault="00DF0EDC" w:rsidP="00A252C5"/>
    <w:p w14:paraId="1584789F" w14:textId="77777777" w:rsidR="00DF0EDC" w:rsidRPr="00A252C5" w:rsidRDefault="00DF0EDC" w:rsidP="00A252C5">
      <w:r w:rsidRPr="00A252C5">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52975536" w14:textId="77777777" w:rsidR="00144DE4" w:rsidRPr="00A252C5" w:rsidRDefault="00144DE4" w:rsidP="00A252C5"/>
    <w:p w14:paraId="1DC2B00A" w14:textId="58D7319E" w:rsidR="00DF0EDC" w:rsidRPr="00A252C5" w:rsidRDefault="00DF0EDC" w:rsidP="00A252C5">
      <w:r w:rsidRPr="00A252C5">
        <w:rPr>
          <w:u w:val="single"/>
        </w:rPr>
        <w:t>Permissible limitations</w:t>
      </w:r>
      <w:r w:rsidRPr="00A252C5">
        <w:t xml:space="preserve"> </w:t>
      </w:r>
    </w:p>
    <w:p w14:paraId="50E83D55" w14:textId="77777777" w:rsidR="00DF0EDC" w:rsidRPr="00A252C5" w:rsidRDefault="00DF0EDC" w:rsidP="00A252C5"/>
    <w:p w14:paraId="7885CD94" w14:textId="6C40E464" w:rsidR="00DF0EDC" w:rsidRPr="00A252C5" w:rsidRDefault="00FB47A2" w:rsidP="00A252C5">
      <w:r w:rsidRPr="00A252C5">
        <w:t>Any</w:t>
      </w:r>
      <w:r w:rsidR="00DF0EDC" w:rsidRPr="00A252C5">
        <w:t xml:space="preserve"> limitation on the enjoyment of Article 11(1), to the extent that it occurs, is </w:t>
      </w:r>
      <w:r w:rsidR="001530C6" w:rsidRPr="00A252C5">
        <w:t>reasonable and necessary to achieve the objective of the 202</w:t>
      </w:r>
      <w:r w:rsidR="00327F27">
        <w:t>4</w:t>
      </w:r>
      <w:r w:rsidR="001530C6" w:rsidRPr="00A252C5">
        <w:t xml:space="preserve"> Instrument and is proportionate due to the targeted nature of the listings</w:t>
      </w:r>
      <w:r w:rsidR="00DF0EDC" w:rsidRPr="00A252C5">
        <w:t xml:space="preserve">. The Regulations </w:t>
      </w:r>
      <w:r w:rsidR="001530C6" w:rsidRPr="00A252C5">
        <w:t>also provide sufficient flexibility to treat different cases differently by allowing</w:t>
      </w:r>
      <w:r w:rsidR="00DF0EDC" w:rsidRPr="00A252C5">
        <w:t xml:space="preserve"> for any adverse impacts on family members as a consequence of targeted financial sanctions to be mitigated. The Regulations </w:t>
      </w:r>
      <w:r w:rsidR="001530C6" w:rsidRPr="00A252C5">
        <w:t>p</w:t>
      </w:r>
      <w:r w:rsidR="00DF0EDC" w:rsidRPr="00A252C5">
        <w:t xml:space="preserve">rovide for the payment of basic expenses (among others) in certain circumstances. The objective of </w:t>
      </w:r>
      <w:r w:rsidR="001530C6" w:rsidRPr="00A252C5">
        <w:t xml:space="preserve">the </w:t>
      </w:r>
      <w:r w:rsidR="00373F92" w:rsidRPr="00A252C5">
        <w:t>‘</w:t>
      </w:r>
      <w:r w:rsidR="00DF0EDC" w:rsidRPr="00A252C5">
        <w:t>basic expenses exemption</w:t>
      </w:r>
      <w:r w:rsidR="00373F92" w:rsidRPr="00A252C5">
        <w:t>’</w:t>
      </w:r>
      <w:r w:rsidR="00A6095E" w:rsidRPr="00A252C5">
        <w:t xml:space="preserve"> </w:t>
      </w:r>
      <w:r w:rsidR="00473861" w:rsidRPr="00A252C5">
        <w:t>in regulation 20</w:t>
      </w:r>
      <w:r w:rsidR="001530C6" w:rsidRPr="00A252C5">
        <w:t xml:space="preserve"> of the Regulations</w:t>
      </w:r>
      <w:r w:rsidR="00DF0EDC" w:rsidRPr="00A252C5">
        <w:t xml:space="preserve"> is, in part, to enable the Australian Government to administer the sanctions </w:t>
      </w:r>
      <w:r w:rsidR="001530C6" w:rsidRPr="00A252C5">
        <w:t xml:space="preserve">framework </w:t>
      </w:r>
      <w:r w:rsidR="00DF0EDC" w:rsidRPr="00A252C5">
        <w:t>in a manner compatible with relevant human rights standards.</w:t>
      </w:r>
    </w:p>
    <w:p w14:paraId="402C8F97" w14:textId="77777777" w:rsidR="00DF0EDC" w:rsidRPr="00A252C5" w:rsidRDefault="00DF0EDC" w:rsidP="00A252C5"/>
    <w:p w14:paraId="088D7232" w14:textId="20470E0F" w:rsidR="00DF0EDC" w:rsidRPr="00A252C5" w:rsidRDefault="00DF0EDC" w:rsidP="00A252C5">
      <w:r w:rsidRPr="00A252C5">
        <w:t>The permit process is a flexible and effective safeguard on any limitation to the enjoyment of Article 11(1).</w:t>
      </w:r>
    </w:p>
    <w:p w14:paraId="35628F94" w14:textId="77777777" w:rsidR="00DF0EDC" w:rsidRPr="00A252C5" w:rsidRDefault="00DF0EDC" w:rsidP="00A252C5"/>
    <w:p w14:paraId="212AE913" w14:textId="77777777" w:rsidR="00DF0EDC" w:rsidRPr="00A252C5" w:rsidRDefault="00DF0EDC" w:rsidP="00A252C5">
      <w:pPr>
        <w:rPr>
          <w:b/>
          <w:lang w:val="en-GB"/>
        </w:rPr>
      </w:pPr>
      <w:r w:rsidRPr="00A252C5">
        <w:rPr>
          <w:b/>
          <w:lang w:val="en-GB"/>
        </w:rPr>
        <w:t>Right to freedom of movement</w:t>
      </w:r>
    </w:p>
    <w:p w14:paraId="063C3C3F" w14:textId="77777777" w:rsidR="00DF0EDC" w:rsidRPr="00A252C5" w:rsidRDefault="00DF0EDC" w:rsidP="00A252C5">
      <w:pPr>
        <w:rPr>
          <w:bCs/>
          <w:lang w:val="en-GB"/>
        </w:rPr>
      </w:pPr>
    </w:p>
    <w:p w14:paraId="4FDFF528" w14:textId="77777777" w:rsidR="00DF0EDC" w:rsidRPr="00A252C5" w:rsidRDefault="00DF0EDC" w:rsidP="00A252C5">
      <w:pPr>
        <w:rPr>
          <w:lang w:val="en-GB"/>
        </w:rPr>
      </w:pPr>
      <w:r w:rsidRPr="00A252C5">
        <w:rPr>
          <w:u w:val="single"/>
          <w:lang w:val="en-GB"/>
        </w:rPr>
        <w:t>Right</w:t>
      </w:r>
    </w:p>
    <w:p w14:paraId="5DCCE92E" w14:textId="77777777" w:rsidR="00DF0EDC" w:rsidRPr="00A252C5" w:rsidRDefault="00DF0EDC" w:rsidP="00A252C5">
      <w:pPr>
        <w:rPr>
          <w:lang w:val="en-GB"/>
        </w:rPr>
      </w:pPr>
    </w:p>
    <w:p w14:paraId="191A67E6" w14:textId="77777777" w:rsidR="00DF0EDC" w:rsidRPr="00A252C5" w:rsidRDefault="00DF0EDC" w:rsidP="00A252C5">
      <w:pPr>
        <w:rPr>
          <w:lang w:val="en-GB"/>
        </w:rPr>
      </w:pPr>
      <w:r w:rsidRPr="00A252C5">
        <w:rPr>
          <w:lang w:val="en-GB"/>
        </w:rPr>
        <w:t xml:space="preserve">Article 12 of the ICCPR protects the right to freedom of movement, which includes a right to leave Australia, as well as the right to enter, remain, or return to one’s ‘own country’. </w:t>
      </w:r>
    </w:p>
    <w:p w14:paraId="2510A265" w14:textId="77777777" w:rsidR="00DF0EDC" w:rsidRPr="00A252C5" w:rsidRDefault="00DF0EDC" w:rsidP="00A252C5">
      <w:pPr>
        <w:rPr>
          <w:lang w:val="en-GB"/>
        </w:rPr>
      </w:pPr>
    </w:p>
    <w:p w14:paraId="0A32CD3E" w14:textId="77777777" w:rsidR="00DF0EDC" w:rsidRPr="00A252C5" w:rsidRDefault="00DF0EDC" w:rsidP="00A252C5">
      <w:pPr>
        <w:rPr>
          <w:lang w:val="en-GB"/>
        </w:rPr>
      </w:pPr>
      <w:r w:rsidRPr="00A252C5">
        <w:rPr>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59F8811D" w14:textId="77777777" w:rsidR="00DF0EDC" w:rsidRPr="00A252C5" w:rsidRDefault="00DF0EDC" w:rsidP="00A252C5">
      <w:pPr>
        <w:rPr>
          <w:lang w:val="en-GB"/>
        </w:rPr>
      </w:pPr>
    </w:p>
    <w:p w14:paraId="2D7E1B37" w14:textId="77777777" w:rsidR="00DF0EDC" w:rsidRPr="00A252C5" w:rsidRDefault="00DF0EDC" w:rsidP="00A252C5">
      <w:pPr>
        <w:rPr>
          <w:lang w:val="en-GB"/>
        </w:rPr>
      </w:pPr>
      <w:r w:rsidRPr="00A252C5">
        <w:rPr>
          <w:u w:val="single"/>
          <w:lang w:val="en-GB"/>
        </w:rPr>
        <w:t>Permissible limitations</w:t>
      </w:r>
    </w:p>
    <w:p w14:paraId="2B89E3F8" w14:textId="77777777" w:rsidR="00F93445" w:rsidRPr="00A252C5" w:rsidRDefault="00F93445" w:rsidP="00A252C5"/>
    <w:p w14:paraId="4133BA17" w14:textId="6D192D6A" w:rsidR="00473861" w:rsidRPr="00A252C5" w:rsidRDefault="00473861" w:rsidP="00A252C5">
      <w:r w:rsidRPr="00A252C5">
        <w:t xml:space="preserve">As the listing criteria in regulation 6 </w:t>
      </w:r>
      <w:r w:rsidR="001530C6" w:rsidRPr="00A252C5">
        <w:t xml:space="preserve">of the Regulations </w:t>
      </w:r>
      <w:r w:rsidRPr="00A252C5">
        <w:t xml:space="preserve">are drafted by reference to specific foreign countries, it is highly unlikely, as a practical matter, </w:t>
      </w:r>
      <w:r w:rsidR="00F93445" w:rsidRPr="00A252C5">
        <w:t xml:space="preserve">that a person declared for a travel ban would be an Australian citizen, or have spent such lengths of time in Australia, such that Australia could be considered their ‘own country’. </w:t>
      </w:r>
      <w:r w:rsidR="00F93445" w:rsidRPr="00A252C5">
        <w:lastRenderedPageBreak/>
        <w:t>Furthermore, travel bans</w:t>
      </w:r>
      <w:r w:rsidR="00854099">
        <w:t>—</w:t>
      </w:r>
      <w:r w:rsidR="00F93445" w:rsidRPr="00A252C5">
        <w:t>which are a power to refuse a visa and to cancel a visa</w:t>
      </w:r>
      <w:r w:rsidR="00854099">
        <w:t>—</w:t>
      </w:r>
      <w:r w:rsidR="00F93445" w:rsidRPr="00A252C5">
        <w:t>do not apply to Australian citizens.</w:t>
      </w:r>
    </w:p>
    <w:p w14:paraId="59E6D31D" w14:textId="77777777" w:rsidR="00DF0EDC" w:rsidRPr="00A252C5" w:rsidRDefault="00DF0EDC" w:rsidP="00A252C5">
      <w:pPr>
        <w:rPr>
          <w:lang w:val="en-GB"/>
        </w:rPr>
      </w:pPr>
    </w:p>
    <w:p w14:paraId="45187B20" w14:textId="1D207892" w:rsidR="001530C6" w:rsidRPr="00A252C5" w:rsidRDefault="00DF0EDC" w:rsidP="00A252C5">
      <w:pPr>
        <w:rPr>
          <w:lang w:val="en-GB"/>
        </w:rPr>
      </w:pPr>
      <w:r w:rsidRPr="00A252C5">
        <w:rPr>
          <w:lang w:val="en-GB"/>
        </w:rPr>
        <w:t xml:space="preserve">To the extent that Article 12(4) is engaged in an individual case, such that a person listed in </w:t>
      </w:r>
      <w:r w:rsidRPr="00A252C5">
        <w:t xml:space="preserve">the </w:t>
      </w:r>
      <w:r w:rsidR="001530C6" w:rsidRPr="00A252C5">
        <w:t>202</w:t>
      </w:r>
      <w:r w:rsidR="00327F27">
        <w:t>4</w:t>
      </w:r>
      <w:r w:rsidR="001530C6" w:rsidRPr="00A252C5">
        <w:t xml:space="preserve"> Instrument </w:t>
      </w:r>
      <w:r w:rsidRPr="00A252C5">
        <w:rPr>
          <w:lang w:val="en-GB"/>
        </w:rPr>
        <w:t xml:space="preserve">is prevented from entering Australia as their ‘own country’, the imposition of the travel ban would be justified. </w:t>
      </w:r>
    </w:p>
    <w:p w14:paraId="52FE2BC6" w14:textId="77777777" w:rsidR="001530C6" w:rsidRPr="00A252C5" w:rsidRDefault="001530C6" w:rsidP="00A252C5">
      <w:pPr>
        <w:rPr>
          <w:lang w:val="en-GB"/>
        </w:rPr>
      </w:pPr>
    </w:p>
    <w:p w14:paraId="26B83187" w14:textId="6F234BB8" w:rsidR="00361975" w:rsidRPr="00A252C5" w:rsidRDefault="00DF0EDC" w:rsidP="00A252C5">
      <w:pPr>
        <w:rPr>
          <w:lang w:val="en-GB"/>
        </w:rPr>
      </w:pPr>
      <w:r w:rsidRPr="00A252C5">
        <w:rPr>
          <w:lang w:val="en-GB"/>
        </w:rPr>
        <w:t>As set out above in relation to Article 17 of the ICCPR, travel bans are a reasonable</w:t>
      </w:r>
      <w:r w:rsidR="001530C6" w:rsidRPr="00A252C5">
        <w:rPr>
          <w:lang w:val="en-GB"/>
        </w:rPr>
        <w:t>, necessary</w:t>
      </w:r>
      <w:r w:rsidRPr="00A252C5">
        <w:rPr>
          <w:lang w:val="en-GB"/>
        </w:rPr>
        <w:t xml:space="preserve"> and proportionate means of achieving the legitimate objectives of Australia’s autonomous sanctions </w:t>
      </w:r>
      <w:r w:rsidR="001530C6" w:rsidRPr="00A252C5">
        <w:rPr>
          <w:lang w:val="en-GB"/>
        </w:rPr>
        <w:t>framework</w:t>
      </w:r>
      <w:r w:rsidRPr="00A252C5">
        <w:rPr>
          <w:lang w:val="en-GB"/>
        </w:rPr>
        <w:t xml:space="preserve">. Travel bans are reasonable because they are only imposed on persons who the Minister is satisfied </w:t>
      </w:r>
      <w:r w:rsidR="00774826" w:rsidRPr="00A252C5">
        <w:rPr>
          <w:lang w:val="en-GB"/>
        </w:rPr>
        <w:t>cont</w:t>
      </w:r>
      <w:r w:rsidR="004851B0" w:rsidRPr="00A252C5">
        <w:rPr>
          <w:lang w:val="en-GB"/>
        </w:rPr>
        <w:t xml:space="preserve">ribute </w:t>
      </w:r>
      <w:r w:rsidRPr="00A252C5">
        <w:rPr>
          <w:lang w:val="en-GB"/>
        </w:rPr>
        <w:t xml:space="preserve">to </w:t>
      </w:r>
      <w:r w:rsidR="004851B0" w:rsidRPr="00A252C5">
        <w:rPr>
          <w:lang w:val="en-GB"/>
        </w:rPr>
        <w:t xml:space="preserve">or have contributed to </w:t>
      </w:r>
      <w:r w:rsidRPr="00A252C5">
        <w:rPr>
          <w:lang w:val="en-GB"/>
        </w:rPr>
        <w:t xml:space="preserve">situations of international concern. </w:t>
      </w:r>
    </w:p>
    <w:p w14:paraId="293CC1DC" w14:textId="77777777" w:rsidR="00361975" w:rsidRPr="00A252C5" w:rsidRDefault="00361975" w:rsidP="00A252C5">
      <w:pPr>
        <w:rPr>
          <w:lang w:val="en-GB"/>
        </w:rPr>
      </w:pPr>
    </w:p>
    <w:p w14:paraId="10B7FC2D" w14:textId="133B54A0" w:rsidR="00DF0EDC" w:rsidRPr="00A252C5" w:rsidRDefault="00361975" w:rsidP="00A252C5">
      <w:pPr>
        <w:rPr>
          <w:lang w:val="en-GB"/>
        </w:rPr>
      </w:pPr>
      <w:r w:rsidRPr="00A252C5">
        <w:rPr>
          <w:lang w:val="en-GB"/>
        </w:rPr>
        <w:t>P</w:t>
      </w:r>
      <w:r w:rsidR="00190084" w:rsidRPr="00A252C5">
        <w:rPr>
          <w:lang w:val="en-GB"/>
        </w:rPr>
        <w:t>reventing a person who</w:t>
      </w:r>
      <w:r w:rsidRPr="00A252C5">
        <w:rPr>
          <w:lang w:val="en-GB"/>
        </w:rPr>
        <w:t>, for example,</w:t>
      </w:r>
      <w:r w:rsidR="00190084" w:rsidRPr="00A252C5">
        <w:rPr>
          <w:lang w:val="en-GB"/>
        </w:rPr>
        <w:t xml:space="preserve"> </w:t>
      </w:r>
      <w:r w:rsidR="00BF7753" w:rsidRPr="00A252C5">
        <w:t xml:space="preserve">is a </w:t>
      </w:r>
      <w:r w:rsidR="00327F27" w:rsidRPr="00327F27">
        <w:t>former military officer of the rank of Brigadier‑General or higher</w:t>
      </w:r>
      <w:r w:rsidR="00327F27">
        <w:t xml:space="preserve"> in Myanmar</w:t>
      </w:r>
      <w:r w:rsidR="00DF0EDC" w:rsidRPr="00A252C5">
        <w:rPr>
          <w:lang w:val="en-GB"/>
        </w:rPr>
        <w:t xml:space="preserve">, from travelling to, entering or remaining in Australia through operation of the </w:t>
      </w:r>
      <w:r w:rsidR="00342C55" w:rsidRPr="00A252C5">
        <w:rPr>
          <w:lang w:val="en-GB"/>
        </w:rPr>
        <w:t>202</w:t>
      </w:r>
      <w:r w:rsidR="00327F27">
        <w:rPr>
          <w:lang w:val="en-GB"/>
        </w:rPr>
        <w:t>4</w:t>
      </w:r>
      <w:r w:rsidR="00342C55" w:rsidRPr="00A252C5">
        <w:rPr>
          <w:lang w:val="en-GB"/>
        </w:rPr>
        <w:t xml:space="preserve"> Instrument</w:t>
      </w:r>
      <w:r w:rsidR="00DF0EDC" w:rsidRPr="00A252C5">
        <w:t xml:space="preserve">, </w:t>
      </w:r>
      <w:r w:rsidR="00DF0EDC" w:rsidRPr="00A252C5">
        <w:rPr>
          <w:lang w:val="en-GB"/>
        </w:rPr>
        <w:t xml:space="preserve">is a reasonable means to achieve the legitimate foreign policy objective of signalling Australia’s concerns </w:t>
      </w:r>
      <w:r w:rsidR="00190084" w:rsidRPr="00A252C5">
        <w:rPr>
          <w:lang w:val="en-GB"/>
        </w:rPr>
        <w:t xml:space="preserve">about the </w:t>
      </w:r>
      <w:r w:rsidR="00D34904" w:rsidRPr="00A252C5">
        <w:rPr>
          <w:lang w:val="en-GB"/>
        </w:rPr>
        <w:t>actions of the</w:t>
      </w:r>
      <w:r w:rsidR="008F25F4">
        <w:rPr>
          <w:lang w:val="en-GB"/>
        </w:rPr>
        <w:t xml:space="preserve"> Myanmar military committing serious human rights abuses against ethnic minorities, including Rohingyas</w:t>
      </w:r>
      <w:r w:rsidR="00530962">
        <w:rPr>
          <w:lang w:val="en-GB"/>
        </w:rPr>
        <w:t xml:space="preserve">. </w:t>
      </w:r>
      <w:r w:rsidR="00DF0EDC" w:rsidRPr="00A252C5">
        <w:rPr>
          <w:lang w:val="en-GB"/>
        </w:rPr>
        <w:t>Australia’s practice in this respect is consistent with that of other countries such as the U</w:t>
      </w:r>
      <w:r w:rsidR="00F748C3" w:rsidRPr="00A252C5">
        <w:rPr>
          <w:lang w:val="en-GB"/>
        </w:rPr>
        <w:t xml:space="preserve">nited </w:t>
      </w:r>
      <w:r w:rsidR="00DF0EDC" w:rsidRPr="00A252C5">
        <w:rPr>
          <w:lang w:val="en-GB"/>
        </w:rPr>
        <w:t>S</w:t>
      </w:r>
      <w:r w:rsidR="00F748C3" w:rsidRPr="00A252C5">
        <w:rPr>
          <w:lang w:val="en-GB"/>
        </w:rPr>
        <w:t>tates</w:t>
      </w:r>
      <w:r w:rsidR="00DF0EDC" w:rsidRPr="00A252C5">
        <w:rPr>
          <w:lang w:val="en-GB"/>
        </w:rPr>
        <w:t xml:space="preserve">, </w:t>
      </w:r>
      <w:r w:rsidR="00431138" w:rsidRPr="00A252C5">
        <w:rPr>
          <w:lang w:val="en-GB"/>
        </w:rPr>
        <w:t xml:space="preserve">Canada, New Zealand, </w:t>
      </w:r>
      <w:r w:rsidR="00DF0EDC" w:rsidRPr="00A252C5">
        <w:rPr>
          <w:lang w:val="en-GB"/>
        </w:rPr>
        <w:t>the E</w:t>
      </w:r>
      <w:r w:rsidR="00F748C3" w:rsidRPr="00A252C5">
        <w:rPr>
          <w:lang w:val="en-GB"/>
        </w:rPr>
        <w:t xml:space="preserve">uropean </w:t>
      </w:r>
      <w:r w:rsidR="00DF0EDC" w:rsidRPr="00A252C5">
        <w:rPr>
          <w:lang w:val="en-GB"/>
        </w:rPr>
        <w:t>U</w:t>
      </w:r>
      <w:r w:rsidR="00F748C3" w:rsidRPr="00A252C5">
        <w:rPr>
          <w:lang w:val="en-GB"/>
        </w:rPr>
        <w:t>nion</w:t>
      </w:r>
      <w:r w:rsidR="00DF0EDC" w:rsidRPr="00A252C5">
        <w:rPr>
          <w:lang w:val="en-GB"/>
        </w:rPr>
        <w:t>, and the U</w:t>
      </w:r>
      <w:r w:rsidR="00F748C3" w:rsidRPr="00A252C5">
        <w:rPr>
          <w:lang w:val="en-GB"/>
        </w:rPr>
        <w:t xml:space="preserve">nited </w:t>
      </w:r>
      <w:r w:rsidR="00DF0EDC" w:rsidRPr="00A252C5">
        <w:rPr>
          <w:lang w:val="en-GB"/>
        </w:rPr>
        <w:t>K</w:t>
      </w:r>
      <w:r w:rsidR="00F748C3" w:rsidRPr="00A252C5">
        <w:rPr>
          <w:lang w:val="en-GB"/>
        </w:rPr>
        <w:t>ingdom</w:t>
      </w:r>
      <w:r w:rsidR="00DF0EDC" w:rsidRPr="00A252C5">
        <w:rPr>
          <w:lang w:val="en-GB"/>
        </w:rPr>
        <w:t>.</w:t>
      </w:r>
    </w:p>
    <w:p w14:paraId="449D283A" w14:textId="77777777" w:rsidR="00C0011F" w:rsidRPr="00A252C5" w:rsidRDefault="00C0011F" w:rsidP="00A252C5">
      <w:pPr>
        <w:rPr>
          <w:strike/>
          <w:lang w:val="en-GB"/>
        </w:rPr>
      </w:pPr>
    </w:p>
    <w:p w14:paraId="02A32C10" w14:textId="7FED1074" w:rsidR="002F38D8" w:rsidRPr="00A252C5" w:rsidRDefault="002F38D8" w:rsidP="00A252C5">
      <w:pPr>
        <w:rPr>
          <w:lang w:val="en-GB"/>
        </w:rPr>
      </w:pPr>
      <w:r w:rsidRPr="00A252C5">
        <w:rPr>
          <w:lang w:val="en-GB"/>
        </w:rPr>
        <w:t>The Minister may also waive the operation of a declaration that was made for the purpose of preventing a person from travelling to, entering or remaining in Australia, on the grounds that it would be in the national interest, or on humanitarian grounds. This decision is subject to natural justice requirements, and may be judicially reviewed.</w:t>
      </w:r>
    </w:p>
    <w:p w14:paraId="55D16181" w14:textId="77777777" w:rsidR="002F38D8" w:rsidRPr="00A252C5" w:rsidRDefault="002F38D8" w:rsidP="00A252C5">
      <w:pPr>
        <w:rPr>
          <w:b/>
          <w:lang w:val="en-GB"/>
        </w:rPr>
      </w:pPr>
    </w:p>
    <w:p w14:paraId="663997C9" w14:textId="4D100EE7" w:rsidR="002F38D8" w:rsidRPr="00A252C5" w:rsidRDefault="002F38D8" w:rsidP="00A252C5">
      <w:pPr>
        <w:rPr>
          <w:b/>
          <w:lang w:val="en-GB"/>
        </w:rPr>
      </w:pPr>
      <w:r w:rsidRPr="00A252C5">
        <w:rPr>
          <w:b/>
          <w:lang w:val="en-GB"/>
        </w:rPr>
        <w:t>Non</w:t>
      </w:r>
      <w:r w:rsidR="002D22B2">
        <w:rPr>
          <w:b/>
          <w:lang w:val="en-GB"/>
        </w:rPr>
        <w:t>-</w:t>
      </w:r>
      <w:r w:rsidRPr="00A252C5">
        <w:rPr>
          <w:b/>
          <w:lang w:val="en-GB"/>
        </w:rPr>
        <w:t xml:space="preserve">refoulement </w:t>
      </w:r>
    </w:p>
    <w:p w14:paraId="7900CC52" w14:textId="53E5C0BC" w:rsidR="002F38D8" w:rsidRPr="00A252C5" w:rsidRDefault="002F38D8" w:rsidP="00A252C5">
      <w:pPr>
        <w:rPr>
          <w:lang w:val="en-GB"/>
        </w:rPr>
      </w:pPr>
    </w:p>
    <w:p w14:paraId="3B0CDCAF" w14:textId="06C31617" w:rsidR="00FC4C43" w:rsidRPr="00A252C5" w:rsidRDefault="00FC4C43" w:rsidP="00A252C5">
      <w:pPr>
        <w:rPr>
          <w:lang w:val="en-GB"/>
        </w:rPr>
      </w:pPr>
      <w:r w:rsidRPr="00A252C5">
        <w:rPr>
          <w:u w:val="single"/>
          <w:lang w:val="en-GB"/>
        </w:rPr>
        <w:t>Right</w:t>
      </w:r>
    </w:p>
    <w:p w14:paraId="02C95D50" w14:textId="77777777" w:rsidR="00FC4C43" w:rsidRPr="00A252C5" w:rsidRDefault="00FC4C43" w:rsidP="00A252C5">
      <w:pPr>
        <w:rPr>
          <w:lang w:val="en-GB"/>
        </w:rPr>
      </w:pPr>
    </w:p>
    <w:p w14:paraId="37A50675" w14:textId="0AC852D7" w:rsidR="002F38D8" w:rsidRPr="00A252C5" w:rsidRDefault="002F38D8" w:rsidP="00A252C5">
      <w:pPr>
        <w:rPr>
          <w:rFonts w:ascii="Calibri" w:eastAsiaTheme="minorHAnsi" w:hAnsi="Calibri" w:cs="Calibri"/>
          <w:sz w:val="22"/>
          <w:szCs w:val="22"/>
          <w:lang w:val="en-GB"/>
        </w:rPr>
      </w:pPr>
      <w:r w:rsidRPr="00A252C5">
        <w:rPr>
          <w:lang w:val="en-GB"/>
        </w:rPr>
        <w:t xml:space="preserve">The </w:t>
      </w:r>
      <w:r w:rsidR="00F00A21" w:rsidRPr="00A252C5">
        <w:rPr>
          <w:lang w:val="en-GB"/>
        </w:rPr>
        <w:t xml:space="preserve">obligations relating to the </w:t>
      </w:r>
      <w:r w:rsidRPr="00A252C5">
        <w:rPr>
          <w:lang w:val="en-GB"/>
        </w:rPr>
        <w:t xml:space="preserve">prohibition on torture and </w:t>
      </w:r>
      <w:r w:rsidR="00F748C3" w:rsidRPr="00A252C5">
        <w:rPr>
          <w:lang w:val="en-GB"/>
        </w:rPr>
        <w:t xml:space="preserve">other </w:t>
      </w:r>
      <w:r w:rsidRPr="00A252C5">
        <w:rPr>
          <w:lang w:val="en-GB"/>
        </w:rPr>
        <w:t>cruel, inhuman or degrading treatment or punishment</w:t>
      </w:r>
      <w:r w:rsidR="00F748C3" w:rsidRPr="00A252C5">
        <w:rPr>
          <w:lang w:val="en-GB"/>
        </w:rPr>
        <w:t xml:space="preserve"> under Article 3 of the Convention Against Torture and Other Cruel, Inhuman or Degrading Treatment or Punishment </w:t>
      </w:r>
      <w:r w:rsidR="00DE0064" w:rsidRPr="00A252C5">
        <w:rPr>
          <w:lang w:val="en-GB"/>
        </w:rPr>
        <w:t>(</w:t>
      </w:r>
      <w:r w:rsidR="00DE0064" w:rsidRPr="009D010B">
        <w:rPr>
          <w:b/>
          <w:bCs/>
          <w:lang w:val="en-GB"/>
        </w:rPr>
        <w:t>the CAT</w:t>
      </w:r>
      <w:r w:rsidR="00DE0064" w:rsidRPr="00A252C5">
        <w:rPr>
          <w:lang w:val="en-GB"/>
        </w:rPr>
        <w:t xml:space="preserve">) </w:t>
      </w:r>
      <w:r w:rsidR="005A4EB0" w:rsidRPr="00A252C5">
        <w:rPr>
          <w:lang w:val="en-GB"/>
        </w:rPr>
        <w:t>and</w:t>
      </w:r>
      <w:r w:rsidR="00F748C3" w:rsidRPr="00A252C5">
        <w:rPr>
          <w:lang w:val="en-GB"/>
        </w:rPr>
        <w:t xml:space="preserve"> Article 7 of the ICCPR</w:t>
      </w:r>
      <w:r w:rsidR="005A4EB0" w:rsidRPr="00A252C5">
        <w:rPr>
          <w:lang w:val="en-GB"/>
        </w:rPr>
        <w:t>, as well as Article 6 of the ICCPR on the right to life and prohibition on arbitrary deprivation of life</w:t>
      </w:r>
      <w:r w:rsidR="00DE0064" w:rsidRPr="00A252C5">
        <w:rPr>
          <w:lang w:val="en-GB"/>
        </w:rPr>
        <w:t>, are</w:t>
      </w:r>
      <w:r w:rsidR="005A4EB0" w:rsidRPr="00A252C5">
        <w:rPr>
          <w:lang w:val="en-GB"/>
        </w:rPr>
        <w:t xml:space="preserve"> engaged by the travel restrictions in the </w:t>
      </w:r>
      <w:r w:rsidR="009B6B82" w:rsidRPr="00A252C5">
        <w:rPr>
          <w:lang w:val="en-GB"/>
        </w:rPr>
        <w:t>202</w:t>
      </w:r>
      <w:r w:rsidR="00327F27">
        <w:rPr>
          <w:lang w:val="en-GB"/>
        </w:rPr>
        <w:t>4</w:t>
      </w:r>
      <w:r w:rsidR="009B6B82" w:rsidRPr="00A252C5">
        <w:rPr>
          <w:lang w:val="en-GB"/>
        </w:rPr>
        <w:t xml:space="preserve"> Instrument</w:t>
      </w:r>
      <w:r w:rsidRPr="00A252C5">
        <w:rPr>
          <w:lang w:val="en-GB"/>
        </w:rPr>
        <w:t xml:space="preserve">. </w:t>
      </w:r>
      <w:r w:rsidR="00DE0064" w:rsidRPr="00A252C5">
        <w:rPr>
          <w:lang w:val="en-GB"/>
        </w:rPr>
        <w:t>There is no permissible derogation from these implied or express non</w:t>
      </w:r>
      <w:r w:rsidR="002B40C6" w:rsidRPr="00A252C5">
        <w:rPr>
          <w:lang w:val="en-GB"/>
        </w:rPr>
        <w:noBreakHyphen/>
      </w:r>
      <w:r w:rsidR="00DE0064" w:rsidRPr="00A252C5">
        <w:rPr>
          <w:lang w:val="en-GB"/>
        </w:rPr>
        <w:t xml:space="preserve">refoulement obligations. </w:t>
      </w:r>
    </w:p>
    <w:p w14:paraId="5F519197" w14:textId="77777777" w:rsidR="00F401C8" w:rsidRPr="00A252C5" w:rsidRDefault="00F401C8" w:rsidP="00A252C5"/>
    <w:p w14:paraId="574B2A8A" w14:textId="77777777" w:rsidR="00F401C8" w:rsidRPr="00A252C5" w:rsidRDefault="00F401C8" w:rsidP="00A252C5">
      <w:r w:rsidRPr="00A252C5">
        <w:rPr>
          <w:u w:val="single"/>
        </w:rPr>
        <w:t>Permissible limitations</w:t>
      </w:r>
    </w:p>
    <w:p w14:paraId="7FD432B8" w14:textId="77777777" w:rsidR="00F401C8" w:rsidRPr="00A252C5" w:rsidRDefault="00F401C8" w:rsidP="00A252C5"/>
    <w:p w14:paraId="30E8C7BD" w14:textId="52E99555" w:rsidR="00F401C8" w:rsidRPr="00A252C5" w:rsidRDefault="002F38D8" w:rsidP="00A252C5">
      <w:pPr>
        <w:rPr>
          <w:lang w:val="en-GB"/>
        </w:rPr>
      </w:pPr>
      <w:r w:rsidRPr="00A252C5">
        <w:rPr>
          <w:lang w:val="en-GB"/>
        </w:rPr>
        <w:t xml:space="preserve">To the extent that </w:t>
      </w:r>
      <w:r w:rsidR="00DE0064" w:rsidRPr="00A252C5">
        <w:rPr>
          <w:lang w:val="en-GB"/>
        </w:rPr>
        <w:t xml:space="preserve">the </w:t>
      </w:r>
      <w:r w:rsidRPr="00A252C5">
        <w:rPr>
          <w:lang w:val="en-GB"/>
        </w:rPr>
        <w:t>travel ban</w:t>
      </w:r>
      <w:r w:rsidR="00DE0064" w:rsidRPr="00A252C5">
        <w:rPr>
          <w:lang w:val="en-GB"/>
        </w:rPr>
        <w:t xml:space="preserve">s imposed pursuant to the </w:t>
      </w:r>
      <w:r w:rsidR="009B6B82" w:rsidRPr="00A252C5">
        <w:rPr>
          <w:lang w:val="en-GB"/>
        </w:rPr>
        <w:t>202</w:t>
      </w:r>
      <w:r w:rsidR="00327F27">
        <w:rPr>
          <w:lang w:val="en-GB"/>
        </w:rPr>
        <w:t>4</w:t>
      </w:r>
      <w:r w:rsidR="009B6B82" w:rsidRPr="00A252C5">
        <w:rPr>
          <w:lang w:val="en-GB"/>
        </w:rPr>
        <w:t xml:space="preserve"> Instrument </w:t>
      </w:r>
      <w:r w:rsidR="00DE0064" w:rsidRPr="00A252C5">
        <w:rPr>
          <w:lang w:val="en-GB"/>
        </w:rPr>
        <w:t xml:space="preserve">engage Australia’s non-refoulement obligations, the Regulations allow the Minister to waive the operation of a travel ban on either: (a) </w:t>
      </w:r>
      <w:r w:rsidR="002D22B2" w:rsidRPr="00A252C5">
        <w:rPr>
          <w:lang w:val="en-GB"/>
        </w:rPr>
        <w:t xml:space="preserve">the grounds that it would be </w:t>
      </w:r>
      <w:r w:rsidR="00DE0064" w:rsidRPr="00A252C5">
        <w:rPr>
          <w:lang w:val="en-GB"/>
        </w:rPr>
        <w:t>in the national interest; or (b) humanitarian grounds.</w:t>
      </w:r>
      <w:r w:rsidRPr="00A252C5">
        <w:rPr>
          <w:lang w:val="en-GB"/>
        </w:rPr>
        <w:t xml:space="preserve"> </w:t>
      </w:r>
    </w:p>
    <w:p w14:paraId="3514C04F" w14:textId="77777777" w:rsidR="00F401C8" w:rsidRPr="00A252C5" w:rsidRDefault="00F401C8" w:rsidP="00A252C5">
      <w:pPr>
        <w:rPr>
          <w:lang w:val="en-GB"/>
        </w:rPr>
      </w:pPr>
    </w:p>
    <w:p w14:paraId="514BA5B5" w14:textId="7D796496" w:rsidR="002F38D8" w:rsidRPr="00A252C5" w:rsidRDefault="00F12455" w:rsidP="00A252C5">
      <w:r w:rsidRPr="00A252C5">
        <w:t xml:space="preserve">A travel ban may lead to the cancellation of a visa held by a non-citizen lawfully in </w:t>
      </w:r>
      <w:r w:rsidR="006E55EA" w:rsidRPr="00A252C5">
        <w:t>Australia, which</w:t>
      </w:r>
      <w:r w:rsidRPr="00A252C5">
        <w:t xml:space="preserve"> can lead to removal</w:t>
      </w:r>
      <w:r w:rsidR="00892566" w:rsidRPr="00A252C5">
        <w:t xml:space="preserve"> under </w:t>
      </w:r>
      <w:r w:rsidR="00830C0F" w:rsidRPr="00A252C5">
        <w:t>s</w:t>
      </w:r>
      <w:r w:rsidR="002B40C6" w:rsidRPr="00A252C5">
        <w:t xml:space="preserve">ection </w:t>
      </w:r>
      <w:r w:rsidR="00830C0F" w:rsidRPr="00A252C5">
        <w:t xml:space="preserve">198 of </w:t>
      </w:r>
      <w:r w:rsidR="00892566" w:rsidRPr="00A252C5">
        <w:t xml:space="preserve">the </w:t>
      </w:r>
      <w:r w:rsidR="00892566" w:rsidRPr="00A252C5">
        <w:rPr>
          <w:i/>
        </w:rPr>
        <w:t>Migration Act 1958</w:t>
      </w:r>
      <w:r w:rsidRPr="00A252C5">
        <w:t>.</w:t>
      </w:r>
      <w:r w:rsidRPr="00A252C5">
        <w:rPr>
          <w:lang w:val="en-GB"/>
        </w:rPr>
        <w:t xml:space="preserve"> </w:t>
      </w:r>
      <w:r w:rsidR="002F38D8" w:rsidRPr="00A252C5">
        <w:rPr>
          <w:lang w:val="en-GB"/>
        </w:rPr>
        <w:t>Australia will continue to meet its non</w:t>
      </w:r>
      <w:r w:rsidR="002B40C6" w:rsidRPr="00A252C5">
        <w:rPr>
          <w:lang w:val="en-GB"/>
        </w:rPr>
        <w:noBreakHyphen/>
      </w:r>
      <w:r w:rsidR="002F38D8" w:rsidRPr="00A252C5">
        <w:rPr>
          <w:lang w:val="en-GB"/>
        </w:rPr>
        <w:t xml:space="preserve">refoulement obligations through mechanisms </w:t>
      </w:r>
      <w:r w:rsidR="00CB5E8A" w:rsidRPr="00A252C5">
        <w:rPr>
          <w:lang w:val="en-GB"/>
        </w:rPr>
        <w:lastRenderedPageBreak/>
        <w:t xml:space="preserve">prior to the person becoming available for </w:t>
      </w:r>
      <w:r w:rsidR="002F38D8" w:rsidRPr="00A252C5">
        <w:rPr>
          <w:lang w:val="en-GB"/>
        </w:rPr>
        <w:t xml:space="preserve">removal </w:t>
      </w:r>
      <w:r w:rsidR="00DE0064" w:rsidRPr="00A252C5">
        <w:rPr>
          <w:lang w:val="en-GB"/>
        </w:rPr>
        <w:t>under</w:t>
      </w:r>
      <w:r w:rsidR="002F38D8" w:rsidRPr="00A252C5">
        <w:rPr>
          <w:lang w:val="en-GB"/>
        </w:rPr>
        <w:t xml:space="preserve"> the </w:t>
      </w:r>
      <w:r w:rsidR="002F38D8" w:rsidRPr="00A252C5">
        <w:rPr>
          <w:i/>
          <w:lang w:val="en-GB"/>
        </w:rPr>
        <w:t>Migration Act 1958</w:t>
      </w:r>
      <w:r w:rsidR="002F38D8" w:rsidRPr="00A252C5">
        <w:rPr>
          <w:lang w:val="en-GB"/>
        </w:rPr>
        <w:t>, including through the protection visa application process, and through the use of the Minister</w:t>
      </w:r>
      <w:r w:rsidR="00B7285E" w:rsidRPr="00A252C5">
        <w:rPr>
          <w:lang w:val="en-GB"/>
        </w:rPr>
        <w:t xml:space="preserve"> for Home Affair</w:t>
      </w:r>
      <w:r w:rsidR="002F38D8" w:rsidRPr="00A252C5">
        <w:rPr>
          <w:lang w:val="en-GB"/>
        </w:rPr>
        <w:t>s</w:t>
      </w:r>
      <w:r w:rsidR="00B7285E" w:rsidRPr="00A252C5">
        <w:rPr>
          <w:lang w:val="en-GB"/>
        </w:rPr>
        <w:t>’</w:t>
      </w:r>
      <w:r w:rsidR="002F38D8" w:rsidRPr="00A252C5">
        <w:rPr>
          <w:lang w:val="en-GB"/>
        </w:rPr>
        <w:t xml:space="preserve"> personal powers in the </w:t>
      </w:r>
      <w:r w:rsidR="002F38D8" w:rsidRPr="00A252C5">
        <w:rPr>
          <w:i/>
          <w:lang w:val="en-GB"/>
        </w:rPr>
        <w:t>Migration Act 1958</w:t>
      </w:r>
      <w:r w:rsidR="002F38D8" w:rsidRPr="00A252C5">
        <w:rPr>
          <w:lang w:val="en-GB"/>
        </w:rPr>
        <w:t>.</w:t>
      </w:r>
    </w:p>
    <w:p w14:paraId="1A521881" w14:textId="77777777" w:rsidR="00FC4C43" w:rsidRPr="00A252C5" w:rsidRDefault="00FC4C43" w:rsidP="00A252C5"/>
    <w:p w14:paraId="31362AFC" w14:textId="5F513892" w:rsidR="002F38D8" w:rsidRPr="00A252C5" w:rsidRDefault="002F38D8" w:rsidP="00A252C5">
      <w:r w:rsidRPr="00A252C5">
        <w:t xml:space="preserve">The </w:t>
      </w:r>
      <w:r w:rsidR="009B6B82" w:rsidRPr="00A252C5">
        <w:t>202</w:t>
      </w:r>
      <w:r w:rsidR="00327F27">
        <w:t>4</w:t>
      </w:r>
      <w:r w:rsidR="009B6B82" w:rsidRPr="00A252C5">
        <w:t xml:space="preserve"> Instrument </w:t>
      </w:r>
      <w:r w:rsidR="00A963E0" w:rsidRPr="00A252C5">
        <w:t>is</w:t>
      </w:r>
      <w:r w:rsidRPr="00A252C5">
        <w:t xml:space="preserve"> consistent with Australia’s international non-refoulement obligations as</w:t>
      </w:r>
      <w:r w:rsidR="00610AEB" w:rsidRPr="00A252C5">
        <w:t xml:space="preserve">, </w:t>
      </w:r>
      <w:r w:rsidR="00610AEB" w:rsidRPr="00A252C5">
        <w:rPr>
          <w:bCs/>
        </w:rPr>
        <w:t xml:space="preserve">together with the </w:t>
      </w:r>
      <w:r w:rsidR="009B6B82" w:rsidRPr="00A252C5">
        <w:rPr>
          <w:bCs/>
        </w:rPr>
        <w:t>Minister’s</w:t>
      </w:r>
      <w:r w:rsidR="00610AEB" w:rsidRPr="00A252C5">
        <w:rPr>
          <w:bCs/>
        </w:rPr>
        <w:t xml:space="preserve"> powers to revoke a </w:t>
      </w:r>
      <w:r w:rsidR="00F55B41" w:rsidRPr="00A252C5">
        <w:rPr>
          <w:bCs/>
        </w:rPr>
        <w:t>d</w:t>
      </w:r>
      <w:r w:rsidR="00610AEB" w:rsidRPr="00A252C5">
        <w:rPr>
          <w:bCs/>
        </w:rPr>
        <w:t>eclaration or waive its operation in an individual case,</w:t>
      </w:r>
      <w:r w:rsidRPr="00A252C5">
        <w:t xml:space="preserve"> non</w:t>
      </w:r>
      <w:r w:rsidR="002B40C6" w:rsidRPr="00A252C5">
        <w:noBreakHyphen/>
      </w:r>
      <w:r w:rsidRPr="00A252C5">
        <w:t xml:space="preserve">refoulement obligations are </w:t>
      </w:r>
      <w:r w:rsidR="00A963E0" w:rsidRPr="00A252C5">
        <w:t>considered prior to a person</w:t>
      </w:r>
      <w:r w:rsidR="00610AEB" w:rsidRPr="00A252C5">
        <w:t xml:space="preserve"> becoming available for</w:t>
      </w:r>
      <w:r w:rsidR="00A963E0" w:rsidRPr="00A252C5">
        <w:t xml:space="preserve"> </w:t>
      </w:r>
      <w:r w:rsidRPr="00A252C5">
        <w:t xml:space="preserve">removal under the </w:t>
      </w:r>
      <w:r w:rsidRPr="00A252C5">
        <w:rPr>
          <w:i/>
        </w:rPr>
        <w:t>Migration Act 1958</w:t>
      </w:r>
      <w:r w:rsidRPr="00A252C5">
        <w:t xml:space="preserve">. A person must not be removed from Australia to another country if there is a real risk that the person may </w:t>
      </w:r>
      <w:r w:rsidR="0080722A" w:rsidRPr="00A252C5">
        <w:t>be subjected to arbitrary deprivation of life, the death penalty, torture, cruel or inhuman treatment or punishment, or degrading treatment or punishment</w:t>
      </w:r>
      <w:r w:rsidRPr="00A252C5">
        <w:t>.</w:t>
      </w:r>
    </w:p>
    <w:p w14:paraId="1AE8AC63" w14:textId="43072E28" w:rsidR="002F38D8" w:rsidRPr="00A252C5" w:rsidRDefault="002F38D8" w:rsidP="00A252C5">
      <w:pPr>
        <w:rPr>
          <w:lang w:val="en-GB"/>
        </w:rPr>
      </w:pPr>
    </w:p>
    <w:p w14:paraId="25D0C1A9" w14:textId="467F617F" w:rsidR="002F38D8" w:rsidRPr="00A252C5" w:rsidRDefault="002F38D8" w:rsidP="00A252C5">
      <w:pPr>
        <w:keepNext/>
        <w:keepLines/>
        <w:rPr>
          <w:b/>
        </w:rPr>
      </w:pPr>
      <w:r w:rsidRPr="00A252C5">
        <w:rPr>
          <w:b/>
        </w:rPr>
        <w:t>Right to equality and non-discrimination</w:t>
      </w:r>
    </w:p>
    <w:p w14:paraId="1FCC3049" w14:textId="7B3884F3" w:rsidR="002F38D8" w:rsidRPr="00A252C5" w:rsidRDefault="002F38D8" w:rsidP="00A252C5">
      <w:pPr>
        <w:keepNext/>
        <w:keepLines/>
        <w:rPr>
          <w:bCs/>
        </w:rPr>
      </w:pPr>
    </w:p>
    <w:p w14:paraId="42516273" w14:textId="61868F5D" w:rsidR="002F38D8" w:rsidRPr="00A252C5" w:rsidRDefault="002F38D8" w:rsidP="00A252C5">
      <w:pPr>
        <w:keepNext/>
        <w:keepLines/>
      </w:pPr>
      <w:r w:rsidRPr="00A252C5">
        <w:rPr>
          <w:u w:val="single"/>
        </w:rPr>
        <w:t>Right</w:t>
      </w:r>
    </w:p>
    <w:p w14:paraId="54A2370D" w14:textId="77777777" w:rsidR="002F38D8" w:rsidRPr="00A252C5" w:rsidRDefault="002F38D8" w:rsidP="00A252C5"/>
    <w:p w14:paraId="6E26D293" w14:textId="77777777" w:rsidR="002F38D8" w:rsidRPr="00A252C5" w:rsidRDefault="002F38D8" w:rsidP="00A252C5">
      <w:r w:rsidRPr="00A252C5">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62693DF9" w14:textId="77777777" w:rsidR="002F38D8" w:rsidRPr="00A252C5" w:rsidRDefault="002F38D8" w:rsidP="00A252C5"/>
    <w:p w14:paraId="7A7B5AEF" w14:textId="331098A5" w:rsidR="002F38D8" w:rsidRPr="00A252C5" w:rsidRDefault="002F38D8" w:rsidP="00A252C5">
      <w:r w:rsidRPr="00A252C5">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1EBCC557" w14:textId="44FFF01E" w:rsidR="002F38D8" w:rsidRPr="00A252C5" w:rsidRDefault="002F38D8" w:rsidP="00A252C5"/>
    <w:p w14:paraId="3B3E0486" w14:textId="1EEE5E13" w:rsidR="006D0ECC" w:rsidRPr="00A252C5" w:rsidRDefault="002F38D8" w:rsidP="00A252C5">
      <w:r w:rsidRPr="00A252C5">
        <w:rPr>
          <w:u w:val="single"/>
        </w:rPr>
        <w:t>Permissible limitations</w:t>
      </w:r>
    </w:p>
    <w:p w14:paraId="695C8F16" w14:textId="77777777" w:rsidR="002F38D8" w:rsidRPr="00A252C5" w:rsidRDefault="002F38D8" w:rsidP="00A252C5"/>
    <w:p w14:paraId="1EEA4065" w14:textId="37B8230B" w:rsidR="002F38D8" w:rsidRPr="00A252C5" w:rsidRDefault="00FB47A2" w:rsidP="00A252C5">
      <w:r w:rsidRPr="00A252C5">
        <w:t>Any</w:t>
      </w:r>
      <w:r w:rsidR="002F38D8" w:rsidRPr="00A252C5">
        <w:t xml:space="preserve"> differential treatment of people as a consequence of the application of the </w:t>
      </w:r>
      <w:r w:rsidR="00DB1F0D" w:rsidRPr="00A252C5">
        <w:t>202</w:t>
      </w:r>
      <w:r w:rsidR="00327F27">
        <w:t>4</w:t>
      </w:r>
      <w:r w:rsidR="00DB1F0D" w:rsidRPr="00A252C5">
        <w:t xml:space="preserve"> Instrument </w:t>
      </w:r>
      <w:r w:rsidR="002F38D8" w:rsidRPr="00A252C5">
        <w:t xml:space="preserve">does not amount to discrimination pursuant to Article 26 of the ICCPR. </w:t>
      </w:r>
    </w:p>
    <w:p w14:paraId="1BB530C5" w14:textId="77777777" w:rsidR="002F38D8" w:rsidRPr="00A252C5" w:rsidRDefault="002F38D8" w:rsidP="00A252C5"/>
    <w:p w14:paraId="111CB363" w14:textId="77777777" w:rsidR="002F38D8" w:rsidRPr="00A252C5" w:rsidRDefault="002F38D8" w:rsidP="00A252C5">
      <w:r w:rsidRPr="00A252C5">
        <w:t xml:space="preserve">The criteria set out in </w:t>
      </w:r>
      <w:r w:rsidRPr="00C86CA6">
        <w:t>regulation 6 of the Regulations</w:t>
      </w:r>
      <w:r w:rsidRPr="00A252C5">
        <w:t xml:space="preserve"> are reasonable and objective. They are reasonable insofar as they list only those States and activities which the Government has specifically determined give rise to situations of international concern. They are objective, as they provide a clear, consistent and objectively-verifiable reference point by which the Minister is able to make a designation or declaration. The Regulations serve a legitimate objective, as discussed above. </w:t>
      </w:r>
    </w:p>
    <w:p w14:paraId="151A8AD3" w14:textId="77777777" w:rsidR="002F38D8" w:rsidRPr="00A252C5" w:rsidRDefault="002F38D8" w:rsidP="00A252C5"/>
    <w:p w14:paraId="023984D6" w14:textId="2A08DE58" w:rsidR="00FD5C80" w:rsidRPr="00A252C5" w:rsidRDefault="002F38D8" w:rsidP="00A252C5">
      <w:r w:rsidRPr="00A252C5">
        <w:t xml:space="preserve">To the extent that the measures result in a differential impact on persons from particular countries, this is both proportionate and justifiable. Country-specific sanctions will inevitably impact persons from certain countries more than others, as they are used as a tool of foreign </w:t>
      </w:r>
      <w:r w:rsidR="00CD0E91" w:rsidRPr="00A252C5">
        <w:t>policy</w:t>
      </w:r>
      <w:r w:rsidRPr="00A252C5">
        <w:t xml:space="preserve"> to facilitate the conduct of Australia’s international relations with particular countries. </w:t>
      </w:r>
      <w:r w:rsidR="00190084" w:rsidRPr="00A252C5">
        <w:t xml:space="preserve">In this case, the measures will predominately impact persons of </w:t>
      </w:r>
      <w:r w:rsidR="00327F27">
        <w:t>Myanmar</w:t>
      </w:r>
      <w:r w:rsidR="00BF7753" w:rsidRPr="00A252C5">
        <w:t xml:space="preserve"> </w:t>
      </w:r>
      <w:r w:rsidR="00190084" w:rsidRPr="00A252C5">
        <w:t xml:space="preserve">origin or nationality. </w:t>
      </w:r>
    </w:p>
    <w:p w14:paraId="53B74E0C" w14:textId="77777777" w:rsidR="00FD5C80" w:rsidRPr="00A252C5" w:rsidRDefault="00FD5C80" w:rsidP="00A252C5"/>
    <w:p w14:paraId="0D0C01EB" w14:textId="77777777" w:rsidR="00F401C8" w:rsidRPr="00A252C5" w:rsidRDefault="00FB47A2" w:rsidP="00A252C5">
      <w:r w:rsidRPr="00A252C5">
        <w:t>D</w:t>
      </w:r>
      <w:r w:rsidR="00DF0EDC" w:rsidRPr="00A252C5">
        <w:t xml:space="preserve">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 </w:t>
      </w:r>
    </w:p>
    <w:p w14:paraId="1F83009D" w14:textId="77777777" w:rsidR="00F401C8" w:rsidRPr="00A252C5" w:rsidRDefault="00F401C8" w:rsidP="00A252C5"/>
    <w:p w14:paraId="65C0CF03" w14:textId="5183B7CB" w:rsidR="00A0099A" w:rsidRDefault="00DF0EDC" w:rsidP="00A252C5">
      <w:r w:rsidRPr="00A252C5">
        <w:lastRenderedPageBreak/>
        <w:t xml:space="preserve">While these measures may impact individuals of certain nationalities and national origins more than others, </w:t>
      </w:r>
      <w:r w:rsidR="00FB47A2" w:rsidRPr="00A252C5">
        <w:t>there is no</w:t>
      </w:r>
      <w:r w:rsidRPr="00A252C5">
        <w:t xml:space="preserve"> information t</w:t>
      </w:r>
      <w:r w:rsidR="00FB47A2" w:rsidRPr="00A252C5">
        <w:t>o</w:t>
      </w:r>
      <w:r w:rsidR="00FC757A" w:rsidRPr="00A252C5">
        <w:t xml:space="preserve"> </w:t>
      </w:r>
      <w:r w:rsidRPr="00A252C5">
        <w:t xml:space="preserve">support the view that affected groups are vulnerable. Rather, the individuals designated in the </w:t>
      </w:r>
      <w:r w:rsidR="00B22CDA" w:rsidRPr="00A252C5">
        <w:t>202</w:t>
      </w:r>
      <w:r w:rsidR="00327F27">
        <w:t>4</w:t>
      </w:r>
      <w:r w:rsidR="00B22CDA" w:rsidRPr="00A252C5">
        <w:t xml:space="preserve"> Instrument </w:t>
      </w:r>
      <w:r w:rsidRPr="00A252C5">
        <w:t xml:space="preserve">are persons the Minister is satisfied are involved in activities that </w:t>
      </w:r>
      <w:r w:rsidR="00D321C9" w:rsidRPr="00A252C5">
        <w:t>contribute to or have contributed to</w:t>
      </w:r>
      <w:r w:rsidRPr="00A252C5">
        <w:t xml:space="preserve"> situations of international concern. Further, there are several safeguards, such as the availability of judicial review and regular review processes in place, to ensure that any limitation is proportionate to the objective being sought.</w:t>
      </w:r>
    </w:p>
    <w:sectPr w:rsidR="00A0099A" w:rsidSect="00A6095E">
      <w:footerReference w:type="default" r:id="rId18"/>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1BE2" w14:textId="77777777" w:rsidR="0067192F" w:rsidRDefault="0067192F" w:rsidP="00DF0EDC">
      <w:r>
        <w:separator/>
      </w:r>
    </w:p>
  </w:endnote>
  <w:endnote w:type="continuationSeparator" w:id="0">
    <w:p w14:paraId="49FD197D" w14:textId="77777777" w:rsidR="0067192F" w:rsidRDefault="0067192F" w:rsidP="00DF0EDC">
      <w:r>
        <w:continuationSeparator/>
      </w:r>
    </w:p>
  </w:endnote>
  <w:endnote w:type="continuationNotice" w:id="1">
    <w:p w14:paraId="402027D1" w14:textId="77777777" w:rsidR="0067192F" w:rsidRDefault="00671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E2A2" w14:textId="77777777" w:rsidR="00ED26A2" w:rsidRDefault="00ED2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840598"/>
      <w:docPartObj>
        <w:docPartGallery w:val="Page Numbers (Bottom of Page)"/>
        <w:docPartUnique/>
      </w:docPartObj>
    </w:sdtPr>
    <w:sdtEndPr>
      <w:rPr>
        <w:noProof/>
      </w:rPr>
    </w:sdtEndPr>
    <w:sdtContent>
      <w:p w14:paraId="0EA820BE" w14:textId="11F3703E" w:rsidR="00A6095E" w:rsidRDefault="00A6095E">
        <w:pPr>
          <w:pStyle w:val="Footer"/>
        </w:pPr>
        <w:r w:rsidRPr="008C540D">
          <w:rPr>
            <w:rFonts w:ascii="Times New Roman" w:hAnsi="Times New Roman"/>
            <w:i w:val="0"/>
            <w:sz w:val="24"/>
            <w:szCs w:val="24"/>
          </w:rPr>
          <w:fldChar w:fldCharType="begin"/>
        </w:r>
        <w:r w:rsidRPr="008C540D">
          <w:rPr>
            <w:rFonts w:ascii="Times New Roman" w:hAnsi="Times New Roman"/>
            <w:i w:val="0"/>
            <w:sz w:val="24"/>
            <w:szCs w:val="24"/>
          </w:rPr>
          <w:instrText xml:space="preserve"> PAGE   \* MERGEFORMAT </w:instrText>
        </w:r>
        <w:r w:rsidRPr="008C540D">
          <w:rPr>
            <w:rFonts w:ascii="Times New Roman" w:hAnsi="Times New Roman"/>
            <w:i w:val="0"/>
            <w:sz w:val="24"/>
            <w:szCs w:val="24"/>
          </w:rPr>
          <w:fldChar w:fldCharType="separate"/>
        </w:r>
        <w:r w:rsidR="00BD6229">
          <w:rPr>
            <w:rFonts w:ascii="Times New Roman" w:hAnsi="Times New Roman"/>
            <w:i w:val="0"/>
            <w:noProof/>
            <w:sz w:val="24"/>
            <w:szCs w:val="24"/>
          </w:rPr>
          <w:t>5</w:t>
        </w:r>
        <w:r w:rsidRPr="008C540D">
          <w:rPr>
            <w:rFonts w:ascii="Times New Roman" w:hAnsi="Times New Roman"/>
            <w:i w:val="0"/>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val="0"/>
      </w:rPr>
      <w:id w:val="-528331070"/>
      <w:docPartObj>
        <w:docPartGallery w:val="Page Numbers (Bottom of Page)"/>
        <w:docPartUnique/>
      </w:docPartObj>
    </w:sdtPr>
    <w:sdtEndPr>
      <w:rPr>
        <w:noProof/>
      </w:rPr>
    </w:sdtEndPr>
    <w:sdtContent>
      <w:p w14:paraId="77F3AB93" w14:textId="302862BD" w:rsidR="00A6095E" w:rsidRPr="008C540D" w:rsidRDefault="008C540D">
        <w:pPr>
          <w:pStyle w:val="Footer"/>
          <w:rPr>
            <w:i w:val="0"/>
          </w:rPr>
        </w:pPr>
        <w:r>
          <w:rPr>
            <w:i w:val="0"/>
          </w:rPr>
          <w:t xml:space="preserve">  </w:t>
        </w:r>
        <w:r w:rsidR="00FD19DE">
          <w:rPr>
            <w:rFonts w:ascii="Times New Roman" w:hAnsi="Times New Roman"/>
            <w:i w:val="0"/>
            <w:sz w:val="24"/>
            <w:szCs w:val="24"/>
          </w:rPr>
          <w:t>1</w:t>
        </w:r>
      </w:p>
    </w:sdtContent>
  </w:sdt>
  <w:p w14:paraId="150B0FB4" w14:textId="22C19812" w:rsidR="00DF0EDC" w:rsidRPr="00480E92" w:rsidRDefault="00DF0EDC">
    <w:pPr>
      <w:pStyle w:val="Footer"/>
      <w:rPr>
        <w:rFonts w:ascii="Times New Roman" w:hAnsi="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02016"/>
      <w:docPartObj>
        <w:docPartGallery w:val="Page Numbers (Bottom of Page)"/>
        <w:docPartUnique/>
      </w:docPartObj>
    </w:sdtPr>
    <w:sdtEndPr>
      <w:rPr>
        <w:rFonts w:ascii="Times New Roman" w:hAnsi="Times New Roman"/>
        <w:i w:val="0"/>
        <w:noProof/>
        <w:sz w:val="24"/>
        <w:szCs w:val="24"/>
      </w:rPr>
    </w:sdtEndPr>
    <w:sdtContent>
      <w:p w14:paraId="1093166F" w14:textId="3789857F" w:rsidR="00DF0EDC" w:rsidRPr="00FD19DE" w:rsidRDefault="00A6095E" w:rsidP="00FD19DE">
        <w:pPr>
          <w:pStyle w:val="Footer"/>
          <w:rPr>
            <w:rFonts w:ascii="Times New Roman" w:hAnsi="Times New Roman"/>
            <w:i w:val="0"/>
            <w:sz w:val="24"/>
            <w:szCs w:val="24"/>
          </w:rPr>
        </w:pPr>
        <w:r w:rsidRPr="00FD19DE">
          <w:rPr>
            <w:rFonts w:ascii="Times New Roman" w:hAnsi="Times New Roman"/>
            <w:i w:val="0"/>
            <w:sz w:val="24"/>
            <w:szCs w:val="24"/>
          </w:rPr>
          <w:fldChar w:fldCharType="begin"/>
        </w:r>
        <w:r w:rsidRPr="00FD19DE">
          <w:rPr>
            <w:rFonts w:ascii="Times New Roman" w:hAnsi="Times New Roman"/>
            <w:i w:val="0"/>
            <w:sz w:val="24"/>
            <w:szCs w:val="24"/>
          </w:rPr>
          <w:instrText xml:space="preserve"> PAGE   \* MERGEFORMAT </w:instrText>
        </w:r>
        <w:r w:rsidRPr="00FD19DE">
          <w:rPr>
            <w:rFonts w:ascii="Times New Roman" w:hAnsi="Times New Roman"/>
            <w:i w:val="0"/>
            <w:sz w:val="24"/>
            <w:szCs w:val="24"/>
          </w:rPr>
          <w:fldChar w:fldCharType="separate"/>
        </w:r>
        <w:r w:rsidR="00BD6229">
          <w:rPr>
            <w:rFonts w:ascii="Times New Roman" w:hAnsi="Times New Roman"/>
            <w:i w:val="0"/>
            <w:noProof/>
            <w:sz w:val="24"/>
            <w:szCs w:val="24"/>
          </w:rPr>
          <w:t>6</w:t>
        </w:r>
        <w:r w:rsidRPr="00FD19DE">
          <w:rPr>
            <w:rFonts w:ascii="Times New Roman" w:hAnsi="Times New Roman"/>
            <w:i w:val="0"/>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84B3" w14:textId="77777777" w:rsidR="0067192F" w:rsidRDefault="0067192F" w:rsidP="00DF0EDC">
      <w:r>
        <w:separator/>
      </w:r>
    </w:p>
  </w:footnote>
  <w:footnote w:type="continuationSeparator" w:id="0">
    <w:p w14:paraId="4FD55147" w14:textId="77777777" w:rsidR="0067192F" w:rsidRDefault="0067192F" w:rsidP="00DF0EDC">
      <w:r>
        <w:continuationSeparator/>
      </w:r>
    </w:p>
  </w:footnote>
  <w:footnote w:type="continuationNotice" w:id="1">
    <w:p w14:paraId="085D07D9" w14:textId="77777777" w:rsidR="0067192F" w:rsidRDefault="0067192F"/>
  </w:footnote>
  <w:footnote w:id="2">
    <w:p w14:paraId="48D2BD0A" w14:textId="77777777" w:rsidR="00DF0EDC" w:rsidRDefault="00DF0EDC" w:rsidP="00DF0EDC">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2799" w14:textId="77777777" w:rsidR="00ED26A2" w:rsidRDefault="00ED2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FD27" w14:textId="27BCC08A" w:rsidR="00DF0EDC" w:rsidRPr="00F30A0C" w:rsidRDefault="00DF0EDC" w:rsidP="00822E6F">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2763" w14:textId="0E180E57" w:rsidR="00A6095E" w:rsidRDefault="00A6095E">
    <w:pPr>
      <w:pStyle w:val="Header"/>
      <w:jc w:val="center"/>
    </w:pPr>
  </w:p>
  <w:p w14:paraId="31E868C1" w14:textId="77777777" w:rsidR="00A6095E" w:rsidRDefault="00A60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696"/>
    <w:multiLevelType w:val="hybridMultilevel"/>
    <w:tmpl w:val="537C1B2C"/>
    <w:lvl w:ilvl="0" w:tplc="A3C09BDC">
      <w:start w:val="4"/>
      <w:numFmt w:val="bullet"/>
      <w:lvlText w:val="-"/>
      <w:lvlJc w:val="left"/>
      <w:pPr>
        <w:ind w:left="780" w:hanging="360"/>
      </w:pPr>
      <w:rPr>
        <w:rFonts w:ascii="Times" w:eastAsia="Times New Roman" w:hAnsi="Times" w:cs="Time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ED7769C"/>
    <w:multiLevelType w:val="hybridMultilevel"/>
    <w:tmpl w:val="5E487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9360F64">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72435"/>
    <w:multiLevelType w:val="hybridMultilevel"/>
    <w:tmpl w:val="6C9AAD96"/>
    <w:lvl w:ilvl="0" w:tplc="274AA04A">
      <w:start w:val="1"/>
      <w:numFmt w:val="bullet"/>
      <w:lvlText w:val=""/>
      <w:lvlJc w:val="left"/>
      <w:pPr>
        <w:ind w:left="720" w:hanging="360"/>
      </w:pPr>
      <w:rPr>
        <w:rFonts w:ascii="Symbol" w:hAnsi="Symbol" w:hint="default"/>
      </w:rPr>
    </w:lvl>
    <w:lvl w:ilvl="1" w:tplc="A44C8A6E" w:tentative="1">
      <w:start w:val="1"/>
      <w:numFmt w:val="bullet"/>
      <w:lvlText w:val="o"/>
      <w:lvlJc w:val="left"/>
      <w:pPr>
        <w:ind w:left="1440" w:hanging="360"/>
      </w:pPr>
      <w:rPr>
        <w:rFonts w:ascii="Courier New" w:hAnsi="Courier New" w:cs="Courier New" w:hint="default"/>
      </w:rPr>
    </w:lvl>
    <w:lvl w:ilvl="2" w:tplc="3C064168" w:tentative="1">
      <w:start w:val="1"/>
      <w:numFmt w:val="bullet"/>
      <w:lvlText w:val=""/>
      <w:lvlJc w:val="left"/>
      <w:pPr>
        <w:ind w:left="2160" w:hanging="360"/>
      </w:pPr>
      <w:rPr>
        <w:rFonts w:ascii="Wingdings" w:hAnsi="Wingdings" w:hint="default"/>
      </w:rPr>
    </w:lvl>
    <w:lvl w:ilvl="3" w:tplc="88943E92" w:tentative="1">
      <w:start w:val="1"/>
      <w:numFmt w:val="bullet"/>
      <w:lvlText w:val=""/>
      <w:lvlJc w:val="left"/>
      <w:pPr>
        <w:ind w:left="2880" w:hanging="360"/>
      </w:pPr>
      <w:rPr>
        <w:rFonts w:ascii="Symbol" w:hAnsi="Symbol" w:hint="default"/>
      </w:rPr>
    </w:lvl>
    <w:lvl w:ilvl="4" w:tplc="ED44DF78" w:tentative="1">
      <w:start w:val="1"/>
      <w:numFmt w:val="bullet"/>
      <w:lvlText w:val="o"/>
      <w:lvlJc w:val="left"/>
      <w:pPr>
        <w:ind w:left="3600" w:hanging="360"/>
      </w:pPr>
      <w:rPr>
        <w:rFonts w:ascii="Courier New" w:hAnsi="Courier New" w:cs="Courier New" w:hint="default"/>
      </w:rPr>
    </w:lvl>
    <w:lvl w:ilvl="5" w:tplc="BD1429BC" w:tentative="1">
      <w:start w:val="1"/>
      <w:numFmt w:val="bullet"/>
      <w:lvlText w:val=""/>
      <w:lvlJc w:val="left"/>
      <w:pPr>
        <w:ind w:left="4320" w:hanging="360"/>
      </w:pPr>
      <w:rPr>
        <w:rFonts w:ascii="Wingdings" w:hAnsi="Wingdings" w:hint="default"/>
      </w:rPr>
    </w:lvl>
    <w:lvl w:ilvl="6" w:tplc="919CB81C" w:tentative="1">
      <w:start w:val="1"/>
      <w:numFmt w:val="bullet"/>
      <w:lvlText w:val=""/>
      <w:lvlJc w:val="left"/>
      <w:pPr>
        <w:ind w:left="5040" w:hanging="360"/>
      </w:pPr>
      <w:rPr>
        <w:rFonts w:ascii="Symbol" w:hAnsi="Symbol" w:hint="default"/>
      </w:rPr>
    </w:lvl>
    <w:lvl w:ilvl="7" w:tplc="BE2E6C50" w:tentative="1">
      <w:start w:val="1"/>
      <w:numFmt w:val="bullet"/>
      <w:lvlText w:val="o"/>
      <w:lvlJc w:val="left"/>
      <w:pPr>
        <w:ind w:left="5760" w:hanging="360"/>
      </w:pPr>
      <w:rPr>
        <w:rFonts w:ascii="Courier New" w:hAnsi="Courier New" w:cs="Courier New" w:hint="default"/>
      </w:rPr>
    </w:lvl>
    <w:lvl w:ilvl="8" w:tplc="DA7AF7C4" w:tentative="1">
      <w:start w:val="1"/>
      <w:numFmt w:val="bullet"/>
      <w:lvlText w:val=""/>
      <w:lvlJc w:val="left"/>
      <w:pPr>
        <w:ind w:left="6480" w:hanging="360"/>
      </w:pPr>
      <w:rPr>
        <w:rFonts w:ascii="Wingdings" w:hAnsi="Wingdings" w:hint="default"/>
      </w:rPr>
    </w:lvl>
  </w:abstractNum>
  <w:abstractNum w:abstractNumId="3" w15:restartNumberingAfterBreak="0">
    <w:nsid w:val="13E331F2"/>
    <w:multiLevelType w:val="hybridMultilevel"/>
    <w:tmpl w:val="AB264A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F1564DD"/>
    <w:multiLevelType w:val="hybridMultilevel"/>
    <w:tmpl w:val="6AE08BF2"/>
    <w:lvl w:ilvl="0" w:tplc="0C09000F">
      <w:start w:val="1"/>
      <w:numFmt w:val="decimal"/>
      <w:lvlText w:val="%1."/>
      <w:lvlJc w:val="left"/>
      <w:pPr>
        <w:ind w:left="720" w:hanging="360"/>
      </w:pPr>
      <w:rPr>
        <w:rFonts w:hint="default"/>
      </w:rPr>
    </w:lvl>
    <w:lvl w:ilvl="1" w:tplc="0C090001">
      <w:start w:val="1"/>
      <w:numFmt w:val="bullet"/>
      <w:lvlText w:val=""/>
      <w:lvlJc w:val="left"/>
      <w:pPr>
        <w:ind w:left="927"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6" w15:restartNumberingAfterBreak="0">
    <w:nsid w:val="55AA1D77"/>
    <w:multiLevelType w:val="hybridMultilevel"/>
    <w:tmpl w:val="0AB2C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C23A8A"/>
    <w:multiLevelType w:val="hybridMultilevel"/>
    <w:tmpl w:val="A6F453F6"/>
    <w:lvl w:ilvl="0" w:tplc="7A14B75A">
      <w:start w:val="8"/>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070C8C"/>
    <w:multiLevelType w:val="hybridMultilevel"/>
    <w:tmpl w:val="C4F4635C"/>
    <w:lvl w:ilvl="0" w:tplc="8288134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5E7DD6"/>
    <w:multiLevelType w:val="hybridMultilevel"/>
    <w:tmpl w:val="DC261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F47F72"/>
    <w:multiLevelType w:val="hybridMultilevel"/>
    <w:tmpl w:val="8BAA75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A9360F64">
      <w:numFmt w:val="bullet"/>
      <w:lvlText w:val="-"/>
      <w:lvlJc w:val="left"/>
      <w:pPr>
        <w:ind w:left="3600" w:hanging="360"/>
      </w:pPr>
      <w:rPr>
        <w:rFonts w:ascii="Times New Roman" w:eastAsia="Times New Roman" w:hAnsi="Times New Roman" w:cs="Times New Roman"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D104B20"/>
    <w:multiLevelType w:val="hybridMultilevel"/>
    <w:tmpl w:val="22DEDF8E"/>
    <w:lvl w:ilvl="0" w:tplc="EC2AC4E2">
      <w:numFmt w:val="bullet"/>
      <w:lvlText w:val="-"/>
      <w:lvlJc w:val="left"/>
      <w:pPr>
        <w:ind w:left="1035" w:hanging="6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353F42"/>
    <w:multiLevelType w:val="hybridMultilevel"/>
    <w:tmpl w:val="B47230C6"/>
    <w:lvl w:ilvl="0" w:tplc="A3C09BDC">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727E5A"/>
    <w:multiLevelType w:val="hybridMultilevel"/>
    <w:tmpl w:val="2C74BF7E"/>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4"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18848284">
    <w:abstractNumId w:val="12"/>
  </w:num>
  <w:num w:numId="2" w16cid:durableId="1794638102">
    <w:abstractNumId w:val="5"/>
  </w:num>
  <w:num w:numId="3" w16cid:durableId="2000959581">
    <w:abstractNumId w:val="2"/>
  </w:num>
  <w:num w:numId="4" w16cid:durableId="157617592">
    <w:abstractNumId w:val="4"/>
  </w:num>
  <w:num w:numId="5" w16cid:durableId="50664633">
    <w:abstractNumId w:val="8"/>
  </w:num>
  <w:num w:numId="6" w16cid:durableId="1741514184">
    <w:abstractNumId w:val="3"/>
  </w:num>
  <w:num w:numId="7" w16cid:durableId="774128953">
    <w:abstractNumId w:val="14"/>
  </w:num>
  <w:num w:numId="8" w16cid:durableId="2140951037">
    <w:abstractNumId w:val="0"/>
  </w:num>
  <w:num w:numId="9" w16cid:durableId="1929654335">
    <w:abstractNumId w:val="7"/>
  </w:num>
  <w:num w:numId="10" w16cid:durableId="1556894709">
    <w:abstractNumId w:val="1"/>
  </w:num>
  <w:num w:numId="11" w16cid:durableId="1726949867">
    <w:abstractNumId w:val="11"/>
  </w:num>
  <w:num w:numId="12" w16cid:durableId="1375547437">
    <w:abstractNumId w:val="10"/>
  </w:num>
  <w:num w:numId="13" w16cid:durableId="2129616382">
    <w:abstractNumId w:val="6"/>
  </w:num>
  <w:num w:numId="14" w16cid:durableId="1731461955">
    <w:abstractNumId w:val="13"/>
  </w:num>
  <w:num w:numId="15" w16cid:durableId="1636058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DC"/>
    <w:rsid w:val="00004D7E"/>
    <w:rsid w:val="00007C50"/>
    <w:rsid w:val="000200E2"/>
    <w:rsid w:val="00022511"/>
    <w:rsid w:val="0002491D"/>
    <w:rsid w:val="00031D3F"/>
    <w:rsid w:val="00034176"/>
    <w:rsid w:val="00042748"/>
    <w:rsid w:val="00046EA7"/>
    <w:rsid w:val="00052D17"/>
    <w:rsid w:val="00060786"/>
    <w:rsid w:val="00060F33"/>
    <w:rsid w:val="00063377"/>
    <w:rsid w:val="00067C80"/>
    <w:rsid w:val="00071CC5"/>
    <w:rsid w:val="0007468C"/>
    <w:rsid w:val="00076F78"/>
    <w:rsid w:val="00080887"/>
    <w:rsid w:val="00081C77"/>
    <w:rsid w:val="000824D6"/>
    <w:rsid w:val="000A09E9"/>
    <w:rsid w:val="000A300F"/>
    <w:rsid w:val="000B5875"/>
    <w:rsid w:val="000B6383"/>
    <w:rsid w:val="000C3765"/>
    <w:rsid w:val="000C3BDE"/>
    <w:rsid w:val="000D3369"/>
    <w:rsid w:val="000E4B23"/>
    <w:rsid w:val="000E4D87"/>
    <w:rsid w:val="000E6095"/>
    <w:rsid w:val="000F23A3"/>
    <w:rsid w:val="000F44E9"/>
    <w:rsid w:val="00101CE0"/>
    <w:rsid w:val="00106CD8"/>
    <w:rsid w:val="00107D48"/>
    <w:rsid w:val="00111A73"/>
    <w:rsid w:val="00112438"/>
    <w:rsid w:val="0012344A"/>
    <w:rsid w:val="00126A5C"/>
    <w:rsid w:val="00132C99"/>
    <w:rsid w:val="0013780C"/>
    <w:rsid w:val="001405B4"/>
    <w:rsid w:val="00142F55"/>
    <w:rsid w:val="0014411E"/>
    <w:rsid w:val="00144DE4"/>
    <w:rsid w:val="001526AF"/>
    <w:rsid w:val="001530C6"/>
    <w:rsid w:val="00154EE9"/>
    <w:rsid w:val="00161580"/>
    <w:rsid w:val="001627EF"/>
    <w:rsid w:val="00163FFC"/>
    <w:rsid w:val="0016433D"/>
    <w:rsid w:val="001655BB"/>
    <w:rsid w:val="001724FD"/>
    <w:rsid w:val="0017427F"/>
    <w:rsid w:val="00176077"/>
    <w:rsid w:val="0017664D"/>
    <w:rsid w:val="00176851"/>
    <w:rsid w:val="00176DFD"/>
    <w:rsid w:val="00190084"/>
    <w:rsid w:val="00190CAD"/>
    <w:rsid w:val="00194359"/>
    <w:rsid w:val="0019598E"/>
    <w:rsid w:val="0019758E"/>
    <w:rsid w:val="001A69EE"/>
    <w:rsid w:val="001A7240"/>
    <w:rsid w:val="001B6518"/>
    <w:rsid w:val="001C14FF"/>
    <w:rsid w:val="001C2DA1"/>
    <w:rsid w:val="001C5BA3"/>
    <w:rsid w:val="001D0875"/>
    <w:rsid w:val="001D662B"/>
    <w:rsid w:val="001D6EC9"/>
    <w:rsid w:val="001E016F"/>
    <w:rsid w:val="001E02DC"/>
    <w:rsid w:val="001E28D1"/>
    <w:rsid w:val="001E3C0A"/>
    <w:rsid w:val="001E55D1"/>
    <w:rsid w:val="001E562F"/>
    <w:rsid w:val="001F20E8"/>
    <w:rsid w:val="00207225"/>
    <w:rsid w:val="00213B1A"/>
    <w:rsid w:val="00214BB8"/>
    <w:rsid w:val="0021755C"/>
    <w:rsid w:val="002261EF"/>
    <w:rsid w:val="00231B25"/>
    <w:rsid w:val="00232F69"/>
    <w:rsid w:val="00237E6B"/>
    <w:rsid w:val="00245B02"/>
    <w:rsid w:val="00247696"/>
    <w:rsid w:val="002531DD"/>
    <w:rsid w:val="00253456"/>
    <w:rsid w:val="002545B2"/>
    <w:rsid w:val="0025539A"/>
    <w:rsid w:val="00260956"/>
    <w:rsid w:val="002637D7"/>
    <w:rsid w:val="00267F51"/>
    <w:rsid w:val="002714F5"/>
    <w:rsid w:val="00272D5E"/>
    <w:rsid w:val="002762A1"/>
    <w:rsid w:val="00277C5C"/>
    <w:rsid w:val="00285E75"/>
    <w:rsid w:val="00296313"/>
    <w:rsid w:val="00296B04"/>
    <w:rsid w:val="002A0441"/>
    <w:rsid w:val="002A62D1"/>
    <w:rsid w:val="002A6789"/>
    <w:rsid w:val="002B21F0"/>
    <w:rsid w:val="002B3392"/>
    <w:rsid w:val="002B40C6"/>
    <w:rsid w:val="002C501D"/>
    <w:rsid w:val="002D22B2"/>
    <w:rsid w:val="002D33BC"/>
    <w:rsid w:val="002D4A5E"/>
    <w:rsid w:val="002D73AC"/>
    <w:rsid w:val="002E301C"/>
    <w:rsid w:val="002E37D4"/>
    <w:rsid w:val="002F0816"/>
    <w:rsid w:val="002F38D8"/>
    <w:rsid w:val="002F5850"/>
    <w:rsid w:val="0030256F"/>
    <w:rsid w:val="0032004B"/>
    <w:rsid w:val="003235F4"/>
    <w:rsid w:val="003273EA"/>
    <w:rsid w:val="00327F27"/>
    <w:rsid w:val="00330695"/>
    <w:rsid w:val="00330FFB"/>
    <w:rsid w:val="003333E7"/>
    <w:rsid w:val="00334299"/>
    <w:rsid w:val="00335A67"/>
    <w:rsid w:val="00336297"/>
    <w:rsid w:val="00336AEC"/>
    <w:rsid w:val="003419DD"/>
    <w:rsid w:val="00342014"/>
    <w:rsid w:val="00342C55"/>
    <w:rsid w:val="003508A6"/>
    <w:rsid w:val="003519B2"/>
    <w:rsid w:val="00353981"/>
    <w:rsid w:val="00355B68"/>
    <w:rsid w:val="00356CEE"/>
    <w:rsid w:val="00360B5B"/>
    <w:rsid w:val="00361038"/>
    <w:rsid w:val="00361975"/>
    <w:rsid w:val="00367277"/>
    <w:rsid w:val="00367FDA"/>
    <w:rsid w:val="00373F92"/>
    <w:rsid w:val="003870D8"/>
    <w:rsid w:val="0038715E"/>
    <w:rsid w:val="00387CCA"/>
    <w:rsid w:val="00396E57"/>
    <w:rsid w:val="003A3696"/>
    <w:rsid w:val="003A4237"/>
    <w:rsid w:val="003A4E7F"/>
    <w:rsid w:val="003B40A1"/>
    <w:rsid w:val="003B5529"/>
    <w:rsid w:val="003C3571"/>
    <w:rsid w:val="003C76C4"/>
    <w:rsid w:val="003D1DB3"/>
    <w:rsid w:val="003D2E01"/>
    <w:rsid w:val="003D6B16"/>
    <w:rsid w:val="003E06D0"/>
    <w:rsid w:val="003E0C92"/>
    <w:rsid w:val="003E0F33"/>
    <w:rsid w:val="003E11EB"/>
    <w:rsid w:val="003E2E04"/>
    <w:rsid w:val="003E4200"/>
    <w:rsid w:val="003E7C66"/>
    <w:rsid w:val="003F04A1"/>
    <w:rsid w:val="003F46DD"/>
    <w:rsid w:val="00400E2D"/>
    <w:rsid w:val="00416DDE"/>
    <w:rsid w:val="00420FB3"/>
    <w:rsid w:val="004233D1"/>
    <w:rsid w:val="00423A67"/>
    <w:rsid w:val="00430977"/>
    <w:rsid w:val="00431138"/>
    <w:rsid w:val="00434AFF"/>
    <w:rsid w:val="004356A3"/>
    <w:rsid w:val="00440B0B"/>
    <w:rsid w:val="004517DC"/>
    <w:rsid w:val="00456B9A"/>
    <w:rsid w:val="00456E08"/>
    <w:rsid w:val="004608DC"/>
    <w:rsid w:val="004658D3"/>
    <w:rsid w:val="00467FE8"/>
    <w:rsid w:val="004728D1"/>
    <w:rsid w:val="0047373F"/>
    <w:rsid w:val="00473861"/>
    <w:rsid w:val="00480A3B"/>
    <w:rsid w:val="00480C36"/>
    <w:rsid w:val="004814B8"/>
    <w:rsid w:val="00484195"/>
    <w:rsid w:val="004851B0"/>
    <w:rsid w:val="00486A80"/>
    <w:rsid w:val="00496B5D"/>
    <w:rsid w:val="004A291B"/>
    <w:rsid w:val="004A3680"/>
    <w:rsid w:val="004B0228"/>
    <w:rsid w:val="004B05D4"/>
    <w:rsid w:val="004B2AA6"/>
    <w:rsid w:val="004B4FEA"/>
    <w:rsid w:val="004B5F73"/>
    <w:rsid w:val="004C20DE"/>
    <w:rsid w:val="004C2AB8"/>
    <w:rsid w:val="004C34BF"/>
    <w:rsid w:val="004C6BEC"/>
    <w:rsid w:val="004D2901"/>
    <w:rsid w:val="004D32A5"/>
    <w:rsid w:val="004D4132"/>
    <w:rsid w:val="004D60CC"/>
    <w:rsid w:val="004D6776"/>
    <w:rsid w:val="004D6C4D"/>
    <w:rsid w:val="004E4D25"/>
    <w:rsid w:val="004E536D"/>
    <w:rsid w:val="004F6981"/>
    <w:rsid w:val="005002E9"/>
    <w:rsid w:val="00500F81"/>
    <w:rsid w:val="005051D0"/>
    <w:rsid w:val="00505957"/>
    <w:rsid w:val="00510601"/>
    <w:rsid w:val="005124CB"/>
    <w:rsid w:val="00514F91"/>
    <w:rsid w:val="005227DA"/>
    <w:rsid w:val="00523802"/>
    <w:rsid w:val="00525C4A"/>
    <w:rsid w:val="00530962"/>
    <w:rsid w:val="00531DF0"/>
    <w:rsid w:val="00531E45"/>
    <w:rsid w:val="005340F4"/>
    <w:rsid w:val="0053673A"/>
    <w:rsid w:val="00540D17"/>
    <w:rsid w:val="00540E82"/>
    <w:rsid w:val="00541F61"/>
    <w:rsid w:val="0055037D"/>
    <w:rsid w:val="00553AB8"/>
    <w:rsid w:val="00555FF1"/>
    <w:rsid w:val="00556EC7"/>
    <w:rsid w:val="005574B0"/>
    <w:rsid w:val="0056108D"/>
    <w:rsid w:val="005622FD"/>
    <w:rsid w:val="00567EBC"/>
    <w:rsid w:val="0057255A"/>
    <w:rsid w:val="00572AF7"/>
    <w:rsid w:val="0057486C"/>
    <w:rsid w:val="00591F4D"/>
    <w:rsid w:val="005945B0"/>
    <w:rsid w:val="005A22B7"/>
    <w:rsid w:val="005A26D7"/>
    <w:rsid w:val="005A4EB0"/>
    <w:rsid w:val="005A71A0"/>
    <w:rsid w:val="005B11CF"/>
    <w:rsid w:val="005C2F53"/>
    <w:rsid w:val="005C64DC"/>
    <w:rsid w:val="005D3475"/>
    <w:rsid w:val="005D467E"/>
    <w:rsid w:val="005D4970"/>
    <w:rsid w:val="005F2987"/>
    <w:rsid w:val="005F2FAA"/>
    <w:rsid w:val="005F317F"/>
    <w:rsid w:val="005F4381"/>
    <w:rsid w:val="005F5111"/>
    <w:rsid w:val="005F6FDE"/>
    <w:rsid w:val="0060133F"/>
    <w:rsid w:val="00603238"/>
    <w:rsid w:val="00610AEB"/>
    <w:rsid w:val="00610D25"/>
    <w:rsid w:val="006132E4"/>
    <w:rsid w:val="00614315"/>
    <w:rsid w:val="0062468C"/>
    <w:rsid w:val="00626633"/>
    <w:rsid w:val="00634781"/>
    <w:rsid w:val="00637B97"/>
    <w:rsid w:val="00637CB8"/>
    <w:rsid w:val="006449EE"/>
    <w:rsid w:val="00647899"/>
    <w:rsid w:val="00651FA9"/>
    <w:rsid w:val="006533AA"/>
    <w:rsid w:val="00664BA2"/>
    <w:rsid w:val="0067192F"/>
    <w:rsid w:val="00671E4A"/>
    <w:rsid w:val="00672808"/>
    <w:rsid w:val="0067361E"/>
    <w:rsid w:val="0068728E"/>
    <w:rsid w:val="006907BB"/>
    <w:rsid w:val="0069774A"/>
    <w:rsid w:val="006A3B0F"/>
    <w:rsid w:val="006A3BFE"/>
    <w:rsid w:val="006B2F2B"/>
    <w:rsid w:val="006B4DD0"/>
    <w:rsid w:val="006C417B"/>
    <w:rsid w:val="006D0ECC"/>
    <w:rsid w:val="006D3FF7"/>
    <w:rsid w:val="006D5609"/>
    <w:rsid w:val="006D651B"/>
    <w:rsid w:val="006E55EA"/>
    <w:rsid w:val="006F3BA9"/>
    <w:rsid w:val="00702E23"/>
    <w:rsid w:val="007036B8"/>
    <w:rsid w:val="0070624B"/>
    <w:rsid w:val="00713C93"/>
    <w:rsid w:val="00715096"/>
    <w:rsid w:val="00716198"/>
    <w:rsid w:val="00727EC8"/>
    <w:rsid w:val="00744C38"/>
    <w:rsid w:val="00745FA0"/>
    <w:rsid w:val="007502C9"/>
    <w:rsid w:val="00750369"/>
    <w:rsid w:val="00752159"/>
    <w:rsid w:val="00756788"/>
    <w:rsid w:val="00761976"/>
    <w:rsid w:val="00761D63"/>
    <w:rsid w:val="00771BF9"/>
    <w:rsid w:val="00771FE2"/>
    <w:rsid w:val="00772337"/>
    <w:rsid w:val="007725A9"/>
    <w:rsid w:val="00774826"/>
    <w:rsid w:val="00777F4C"/>
    <w:rsid w:val="00781BDC"/>
    <w:rsid w:val="00782A2A"/>
    <w:rsid w:val="00783E6F"/>
    <w:rsid w:val="007843C0"/>
    <w:rsid w:val="0078649B"/>
    <w:rsid w:val="00786E87"/>
    <w:rsid w:val="00791167"/>
    <w:rsid w:val="007956BF"/>
    <w:rsid w:val="007B4FCA"/>
    <w:rsid w:val="007D1E27"/>
    <w:rsid w:val="007D2866"/>
    <w:rsid w:val="007E5B16"/>
    <w:rsid w:val="007E652C"/>
    <w:rsid w:val="007F2664"/>
    <w:rsid w:val="007F2F45"/>
    <w:rsid w:val="007F5CE4"/>
    <w:rsid w:val="007F7BC5"/>
    <w:rsid w:val="007F7BDB"/>
    <w:rsid w:val="00802AC9"/>
    <w:rsid w:val="00804787"/>
    <w:rsid w:val="0080722A"/>
    <w:rsid w:val="00810EB6"/>
    <w:rsid w:val="00815595"/>
    <w:rsid w:val="00815FD5"/>
    <w:rsid w:val="008173C5"/>
    <w:rsid w:val="00820D34"/>
    <w:rsid w:val="00830C0F"/>
    <w:rsid w:val="0084014B"/>
    <w:rsid w:val="00840D79"/>
    <w:rsid w:val="008503DE"/>
    <w:rsid w:val="00853862"/>
    <w:rsid w:val="00854099"/>
    <w:rsid w:val="00855F26"/>
    <w:rsid w:val="00855F41"/>
    <w:rsid w:val="008572F5"/>
    <w:rsid w:val="00863BFC"/>
    <w:rsid w:val="008647F6"/>
    <w:rsid w:val="00870708"/>
    <w:rsid w:val="00870D82"/>
    <w:rsid w:val="008757C7"/>
    <w:rsid w:val="00876D7A"/>
    <w:rsid w:val="0088036B"/>
    <w:rsid w:val="00881C36"/>
    <w:rsid w:val="00886E37"/>
    <w:rsid w:val="00892566"/>
    <w:rsid w:val="008A0632"/>
    <w:rsid w:val="008A1FEE"/>
    <w:rsid w:val="008B71B1"/>
    <w:rsid w:val="008B7A72"/>
    <w:rsid w:val="008C540D"/>
    <w:rsid w:val="008D337A"/>
    <w:rsid w:val="008E10B6"/>
    <w:rsid w:val="008E2DAD"/>
    <w:rsid w:val="008E5476"/>
    <w:rsid w:val="008E7343"/>
    <w:rsid w:val="008F25F4"/>
    <w:rsid w:val="008F2ED0"/>
    <w:rsid w:val="008F4D3D"/>
    <w:rsid w:val="008F64D5"/>
    <w:rsid w:val="00900095"/>
    <w:rsid w:val="009007BE"/>
    <w:rsid w:val="00902BAD"/>
    <w:rsid w:val="00907494"/>
    <w:rsid w:val="0091585B"/>
    <w:rsid w:val="00915AB6"/>
    <w:rsid w:val="009212BC"/>
    <w:rsid w:val="009261CC"/>
    <w:rsid w:val="00931ECA"/>
    <w:rsid w:val="009329B3"/>
    <w:rsid w:val="00934BDA"/>
    <w:rsid w:val="00942128"/>
    <w:rsid w:val="009459B3"/>
    <w:rsid w:val="00951501"/>
    <w:rsid w:val="00951837"/>
    <w:rsid w:val="00957CD0"/>
    <w:rsid w:val="00963123"/>
    <w:rsid w:val="00965E67"/>
    <w:rsid w:val="0096755C"/>
    <w:rsid w:val="009778F2"/>
    <w:rsid w:val="00982C79"/>
    <w:rsid w:val="00983AD6"/>
    <w:rsid w:val="00995F7B"/>
    <w:rsid w:val="009A4351"/>
    <w:rsid w:val="009B6139"/>
    <w:rsid w:val="009B6B82"/>
    <w:rsid w:val="009C017A"/>
    <w:rsid w:val="009C70B3"/>
    <w:rsid w:val="009D010B"/>
    <w:rsid w:val="009D2DAC"/>
    <w:rsid w:val="009D3EE8"/>
    <w:rsid w:val="009E25DF"/>
    <w:rsid w:val="009E4687"/>
    <w:rsid w:val="009E7569"/>
    <w:rsid w:val="00A0099A"/>
    <w:rsid w:val="00A04E37"/>
    <w:rsid w:val="00A074C1"/>
    <w:rsid w:val="00A15013"/>
    <w:rsid w:val="00A200B4"/>
    <w:rsid w:val="00A21B66"/>
    <w:rsid w:val="00A23338"/>
    <w:rsid w:val="00A252C5"/>
    <w:rsid w:val="00A25374"/>
    <w:rsid w:val="00A26CA0"/>
    <w:rsid w:val="00A308A6"/>
    <w:rsid w:val="00A37E97"/>
    <w:rsid w:val="00A449D7"/>
    <w:rsid w:val="00A44CEF"/>
    <w:rsid w:val="00A46C00"/>
    <w:rsid w:val="00A535D3"/>
    <w:rsid w:val="00A6095E"/>
    <w:rsid w:val="00A614DC"/>
    <w:rsid w:val="00A64A3C"/>
    <w:rsid w:val="00A72C97"/>
    <w:rsid w:val="00A734E7"/>
    <w:rsid w:val="00A87B40"/>
    <w:rsid w:val="00A90531"/>
    <w:rsid w:val="00A9216F"/>
    <w:rsid w:val="00A93EEA"/>
    <w:rsid w:val="00A963E0"/>
    <w:rsid w:val="00AA29B5"/>
    <w:rsid w:val="00AA2E42"/>
    <w:rsid w:val="00AA73E3"/>
    <w:rsid w:val="00AB1DE8"/>
    <w:rsid w:val="00AB4D15"/>
    <w:rsid w:val="00AB6A86"/>
    <w:rsid w:val="00AB7A50"/>
    <w:rsid w:val="00AC2344"/>
    <w:rsid w:val="00AD0D1C"/>
    <w:rsid w:val="00AD0DEA"/>
    <w:rsid w:val="00AD0F85"/>
    <w:rsid w:val="00AD36A1"/>
    <w:rsid w:val="00AE0E80"/>
    <w:rsid w:val="00AE1214"/>
    <w:rsid w:val="00AE22A4"/>
    <w:rsid w:val="00AE3046"/>
    <w:rsid w:val="00AE68DB"/>
    <w:rsid w:val="00AF14CB"/>
    <w:rsid w:val="00AF1A3D"/>
    <w:rsid w:val="00AF220D"/>
    <w:rsid w:val="00AF2333"/>
    <w:rsid w:val="00AF35E3"/>
    <w:rsid w:val="00AF59DC"/>
    <w:rsid w:val="00AF5BE6"/>
    <w:rsid w:val="00B05DD5"/>
    <w:rsid w:val="00B0685F"/>
    <w:rsid w:val="00B17107"/>
    <w:rsid w:val="00B22CDA"/>
    <w:rsid w:val="00B252FA"/>
    <w:rsid w:val="00B270A5"/>
    <w:rsid w:val="00B34D41"/>
    <w:rsid w:val="00B40F97"/>
    <w:rsid w:val="00B4294B"/>
    <w:rsid w:val="00B452E7"/>
    <w:rsid w:val="00B517E3"/>
    <w:rsid w:val="00B54E77"/>
    <w:rsid w:val="00B5664E"/>
    <w:rsid w:val="00B617CD"/>
    <w:rsid w:val="00B61839"/>
    <w:rsid w:val="00B65250"/>
    <w:rsid w:val="00B67EE7"/>
    <w:rsid w:val="00B7285E"/>
    <w:rsid w:val="00B73F69"/>
    <w:rsid w:val="00B76751"/>
    <w:rsid w:val="00B80741"/>
    <w:rsid w:val="00B81625"/>
    <w:rsid w:val="00B8590B"/>
    <w:rsid w:val="00B90B16"/>
    <w:rsid w:val="00B90F91"/>
    <w:rsid w:val="00B934C9"/>
    <w:rsid w:val="00B93A15"/>
    <w:rsid w:val="00B9554E"/>
    <w:rsid w:val="00BA2E9A"/>
    <w:rsid w:val="00BA40F9"/>
    <w:rsid w:val="00BA419F"/>
    <w:rsid w:val="00BA7388"/>
    <w:rsid w:val="00BB343F"/>
    <w:rsid w:val="00BB5C2D"/>
    <w:rsid w:val="00BC025D"/>
    <w:rsid w:val="00BD6229"/>
    <w:rsid w:val="00BE5953"/>
    <w:rsid w:val="00BF38EA"/>
    <w:rsid w:val="00BF4130"/>
    <w:rsid w:val="00BF7753"/>
    <w:rsid w:val="00C0011F"/>
    <w:rsid w:val="00C00E07"/>
    <w:rsid w:val="00C01806"/>
    <w:rsid w:val="00C042C2"/>
    <w:rsid w:val="00C11AA8"/>
    <w:rsid w:val="00C208AF"/>
    <w:rsid w:val="00C2240F"/>
    <w:rsid w:val="00C23CBC"/>
    <w:rsid w:val="00C3173D"/>
    <w:rsid w:val="00C34766"/>
    <w:rsid w:val="00C46B78"/>
    <w:rsid w:val="00C50A42"/>
    <w:rsid w:val="00C5294D"/>
    <w:rsid w:val="00C53BC1"/>
    <w:rsid w:val="00C549D9"/>
    <w:rsid w:val="00C56FA7"/>
    <w:rsid w:val="00C57D46"/>
    <w:rsid w:val="00C62415"/>
    <w:rsid w:val="00C62672"/>
    <w:rsid w:val="00C63A69"/>
    <w:rsid w:val="00C70B47"/>
    <w:rsid w:val="00C75DFF"/>
    <w:rsid w:val="00C86CA6"/>
    <w:rsid w:val="00C86CBB"/>
    <w:rsid w:val="00C952B6"/>
    <w:rsid w:val="00C953D7"/>
    <w:rsid w:val="00C9767D"/>
    <w:rsid w:val="00CA1EF6"/>
    <w:rsid w:val="00CA693B"/>
    <w:rsid w:val="00CA6A58"/>
    <w:rsid w:val="00CB0224"/>
    <w:rsid w:val="00CB3BB5"/>
    <w:rsid w:val="00CB4D20"/>
    <w:rsid w:val="00CB5E8A"/>
    <w:rsid w:val="00CB7039"/>
    <w:rsid w:val="00CC0012"/>
    <w:rsid w:val="00CC5307"/>
    <w:rsid w:val="00CD0E91"/>
    <w:rsid w:val="00CD10D5"/>
    <w:rsid w:val="00CD1584"/>
    <w:rsid w:val="00CD6F8C"/>
    <w:rsid w:val="00CD7F91"/>
    <w:rsid w:val="00CE2934"/>
    <w:rsid w:val="00CE65A3"/>
    <w:rsid w:val="00CF2DA0"/>
    <w:rsid w:val="00CF7A81"/>
    <w:rsid w:val="00D00FEF"/>
    <w:rsid w:val="00D0272C"/>
    <w:rsid w:val="00D02A6B"/>
    <w:rsid w:val="00D033E2"/>
    <w:rsid w:val="00D11980"/>
    <w:rsid w:val="00D11ED3"/>
    <w:rsid w:val="00D1505A"/>
    <w:rsid w:val="00D25091"/>
    <w:rsid w:val="00D321C9"/>
    <w:rsid w:val="00D33D41"/>
    <w:rsid w:val="00D34904"/>
    <w:rsid w:val="00D37131"/>
    <w:rsid w:val="00D406A0"/>
    <w:rsid w:val="00D40A1D"/>
    <w:rsid w:val="00D41C18"/>
    <w:rsid w:val="00D41F23"/>
    <w:rsid w:val="00D5000B"/>
    <w:rsid w:val="00D521EA"/>
    <w:rsid w:val="00D527EF"/>
    <w:rsid w:val="00D52863"/>
    <w:rsid w:val="00D5340E"/>
    <w:rsid w:val="00D651AC"/>
    <w:rsid w:val="00D700C9"/>
    <w:rsid w:val="00D76728"/>
    <w:rsid w:val="00D80BE4"/>
    <w:rsid w:val="00D85593"/>
    <w:rsid w:val="00D87824"/>
    <w:rsid w:val="00D92420"/>
    <w:rsid w:val="00D947C6"/>
    <w:rsid w:val="00DA52B1"/>
    <w:rsid w:val="00DA7B8E"/>
    <w:rsid w:val="00DB1F0D"/>
    <w:rsid w:val="00DB3268"/>
    <w:rsid w:val="00DB6D15"/>
    <w:rsid w:val="00DC46E4"/>
    <w:rsid w:val="00DD029F"/>
    <w:rsid w:val="00DD2836"/>
    <w:rsid w:val="00DE0064"/>
    <w:rsid w:val="00DE5CA0"/>
    <w:rsid w:val="00DE758C"/>
    <w:rsid w:val="00DF0330"/>
    <w:rsid w:val="00DF0EDC"/>
    <w:rsid w:val="00DF6C2F"/>
    <w:rsid w:val="00DF7040"/>
    <w:rsid w:val="00E013D9"/>
    <w:rsid w:val="00E05FC3"/>
    <w:rsid w:val="00E063AD"/>
    <w:rsid w:val="00E075A5"/>
    <w:rsid w:val="00E1561C"/>
    <w:rsid w:val="00E230DA"/>
    <w:rsid w:val="00E3019F"/>
    <w:rsid w:val="00E354FD"/>
    <w:rsid w:val="00E35701"/>
    <w:rsid w:val="00E37A53"/>
    <w:rsid w:val="00E400D3"/>
    <w:rsid w:val="00E418DB"/>
    <w:rsid w:val="00E50C89"/>
    <w:rsid w:val="00E5161F"/>
    <w:rsid w:val="00E601A0"/>
    <w:rsid w:val="00E60C9A"/>
    <w:rsid w:val="00E610B5"/>
    <w:rsid w:val="00E634F5"/>
    <w:rsid w:val="00E65BD8"/>
    <w:rsid w:val="00E7181E"/>
    <w:rsid w:val="00E72C0D"/>
    <w:rsid w:val="00E81516"/>
    <w:rsid w:val="00E86286"/>
    <w:rsid w:val="00E86D67"/>
    <w:rsid w:val="00E9390D"/>
    <w:rsid w:val="00EA2BCA"/>
    <w:rsid w:val="00EA53F3"/>
    <w:rsid w:val="00EB10E2"/>
    <w:rsid w:val="00EB4683"/>
    <w:rsid w:val="00EB6786"/>
    <w:rsid w:val="00EC498F"/>
    <w:rsid w:val="00EC52C3"/>
    <w:rsid w:val="00ED12B0"/>
    <w:rsid w:val="00ED16D0"/>
    <w:rsid w:val="00ED26A2"/>
    <w:rsid w:val="00ED2C73"/>
    <w:rsid w:val="00ED39CF"/>
    <w:rsid w:val="00F00181"/>
    <w:rsid w:val="00F00A21"/>
    <w:rsid w:val="00F021D4"/>
    <w:rsid w:val="00F03C21"/>
    <w:rsid w:val="00F12455"/>
    <w:rsid w:val="00F24F1A"/>
    <w:rsid w:val="00F315EF"/>
    <w:rsid w:val="00F401C8"/>
    <w:rsid w:val="00F42271"/>
    <w:rsid w:val="00F44DFE"/>
    <w:rsid w:val="00F5026F"/>
    <w:rsid w:val="00F51724"/>
    <w:rsid w:val="00F55B41"/>
    <w:rsid w:val="00F57166"/>
    <w:rsid w:val="00F61C04"/>
    <w:rsid w:val="00F624E8"/>
    <w:rsid w:val="00F637E5"/>
    <w:rsid w:val="00F637EA"/>
    <w:rsid w:val="00F641E7"/>
    <w:rsid w:val="00F731F4"/>
    <w:rsid w:val="00F738A7"/>
    <w:rsid w:val="00F748C3"/>
    <w:rsid w:val="00F74DCB"/>
    <w:rsid w:val="00F855B6"/>
    <w:rsid w:val="00F93445"/>
    <w:rsid w:val="00F94522"/>
    <w:rsid w:val="00FA572C"/>
    <w:rsid w:val="00FA7EDB"/>
    <w:rsid w:val="00FB18D7"/>
    <w:rsid w:val="00FB3236"/>
    <w:rsid w:val="00FB33D1"/>
    <w:rsid w:val="00FB3986"/>
    <w:rsid w:val="00FB472A"/>
    <w:rsid w:val="00FB47A2"/>
    <w:rsid w:val="00FC2DD7"/>
    <w:rsid w:val="00FC4A98"/>
    <w:rsid w:val="00FC4C43"/>
    <w:rsid w:val="00FC4DD4"/>
    <w:rsid w:val="00FC7494"/>
    <w:rsid w:val="00FC757A"/>
    <w:rsid w:val="00FD19DE"/>
    <w:rsid w:val="00FD220D"/>
    <w:rsid w:val="00FD53F5"/>
    <w:rsid w:val="00FD5C80"/>
    <w:rsid w:val="00FE165E"/>
    <w:rsid w:val="00FE52A9"/>
    <w:rsid w:val="00FE7ED8"/>
    <w:rsid w:val="00FF2C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A319F"/>
  <w15:chartTrackingRefBased/>
  <w15:docId w15:val="{4DC52A07-37DB-487E-913E-B7EBF57E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1D4"/>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BF4130"/>
    <w:pPr>
      <w:keepNext/>
      <w:ind w:left="1133" w:hanging="1157"/>
      <w:jc w:val="center"/>
      <w:outlineLvl w:val="0"/>
    </w:pPr>
    <w:rPr>
      <w:rFonts w:ascii="Times" w:hAnsi="Times" w:cs="Times"/>
      <w:i/>
      <w:iCs/>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0EDC"/>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DF0EDC"/>
    <w:rPr>
      <w:rFonts w:ascii="Arial" w:eastAsia="Times New Roman" w:hAnsi="Arial" w:cs="Times New Roman"/>
      <w:i/>
      <w:sz w:val="18"/>
      <w:szCs w:val="18"/>
      <w:lang w:eastAsia="en-AU"/>
    </w:rPr>
  </w:style>
  <w:style w:type="character" w:styleId="Emphasis">
    <w:name w:val="Emphasis"/>
    <w:basedOn w:val="DefaultParagraphFont"/>
    <w:uiPriority w:val="20"/>
    <w:qFormat/>
    <w:rsid w:val="00DF0EDC"/>
    <w:rPr>
      <w:i/>
      <w:iCs/>
    </w:rPr>
  </w:style>
  <w:style w:type="paragraph" w:styleId="Header">
    <w:name w:val="header"/>
    <w:basedOn w:val="Normal"/>
    <w:link w:val="HeaderChar"/>
    <w:uiPriority w:val="99"/>
    <w:rsid w:val="00DF0EDC"/>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DF0EDC"/>
    <w:rPr>
      <w:rFonts w:ascii="Arial" w:eastAsia="Times New Roman" w:hAnsi="Arial" w:cs="Times New Roman"/>
      <w:sz w:val="16"/>
      <w:szCs w:val="24"/>
      <w:lang w:eastAsia="en-AU"/>
    </w:rPr>
  </w:style>
  <w:style w:type="character" w:styleId="Hyperlink">
    <w:name w:val="Hyperlink"/>
    <w:basedOn w:val="DefaultParagraphFont"/>
    <w:uiPriority w:val="99"/>
    <w:rsid w:val="00DF0EDC"/>
    <w:rPr>
      <w:color w:val="0000FF"/>
      <w:u w:val="single"/>
    </w:rPr>
  </w:style>
  <w:style w:type="paragraph" w:styleId="Title">
    <w:name w:val="Title"/>
    <w:basedOn w:val="Normal"/>
    <w:next w:val="Normal"/>
    <w:link w:val="TitleChar"/>
    <w:qFormat/>
    <w:rsid w:val="00DF0EDC"/>
    <w:pPr>
      <w:spacing w:before="480"/>
    </w:pPr>
    <w:rPr>
      <w:rFonts w:ascii="Arial" w:hAnsi="Arial" w:cs="Arial"/>
      <w:b/>
      <w:bCs/>
      <w:sz w:val="40"/>
      <w:szCs w:val="40"/>
    </w:rPr>
  </w:style>
  <w:style w:type="character" w:customStyle="1" w:styleId="TitleChar">
    <w:name w:val="Title Char"/>
    <w:basedOn w:val="DefaultParagraphFont"/>
    <w:link w:val="Title"/>
    <w:rsid w:val="00DF0EDC"/>
    <w:rPr>
      <w:rFonts w:ascii="Arial" w:eastAsia="Times New Roman" w:hAnsi="Arial" w:cs="Arial"/>
      <w:b/>
      <w:bCs/>
      <w:sz w:val="40"/>
      <w:szCs w:val="40"/>
      <w:lang w:eastAsia="en-AU"/>
    </w:rPr>
  </w:style>
  <w:style w:type="character" w:styleId="CommentReference">
    <w:name w:val="annotation reference"/>
    <w:basedOn w:val="DefaultParagraphFont"/>
    <w:uiPriority w:val="99"/>
    <w:rsid w:val="00DF0EDC"/>
    <w:rPr>
      <w:sz w:val="16"/>
      <w:szCs w:val="16"/>
    </w:rPr>
  </w:style>
  <w:style w:type="paragraph" w:styleId="CommentText">
    <w:name w:val="annotation text"/>
    <w:basedOn w:val="Normal"/>
    <w:link w:val="CommentTextChar"/>
    <w:uiPriority w:val="99"/>
    <w:rsid w:val="00DF0EDC"/>
    <w:rPr>
      <w:sz w:val="20"/>
      <w:szCs w:val="20"/>
    </w:rPr>
  </w:style>
  <w:style w:type="character" w:customStyle="1" w:styleId="CommentTextChar">
    <w:name w:val="Comment Text Char"/>
    <w:basedOn w:val="DefaultParagraphFont"/>
    <w:link w:val="CommentText"/>
    <w:uiPriority w:val="99"/>
    <w:rsid w:val="00DF0ED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DF0EDC"/>
    <w:rPr>
      <w:rFonts w:ascii="Times New Roman" w:hAnsi="Times New Roman"/>
      <w:sz w:val="20"/>
      <w:vertAlign w:val="superscript"/>
    </w:rPr>
  </w:style>
  <w:style w:type="paragraph" w:styleId="FootnoteText">
    <w:name w:val="footnote text"/>
    <w:basedOn w:val="Normal"/>
    <w:link w:val="FootnoteTextChar"/>
    <w:rsid w:val="00DF0EDC"/>
    <w:rPr>
      <w:sz w:val="20"/>
      <w:szCs w:val="20"/>
    </w:rPr>
  </w:style>
  <w:style w:type="character" w:customStyle="1" w:styleId="FootnoteTextChar">
    <w:name w:val="Footnote Text Char"/>
    <w:basedOn w:val="DefaultParagraphFont"/>
    <w:link w:val="FootnoteText"/>
    <w:rsid w:val="00DF0EDC"/>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DF0EDC"/>
    <w:pPr>
      <w:ind w:left="720"/>
      <w:contextualSpacing/>
    </w:pPr>
  </w:style>
  <w:style w:type="paragraph" w:styleId="BalloonText">
    <w:name w:val="Balloon Text"/>
    <w:basedOn w:val="Normal"/>
    <w:link w:val="BalloonTextChar"/>
    <w:uiPriority w:val="99"/>
    <w:semiHidden/>
    <w:unhideWhenUsed/>
    <w:rsid w:val="00DF0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EDC"/>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2F38D8"/>
    <w:rPr>
      <w:b/>
      <w:bCs/>
    </w:rPr>
  </w:style>
  <w:style w:type="character" w:customStyle="1" w:styleId="CommentSubjectChar">
    <w:name w:val="Comment Subject Char"/>
    <w:basedOn w:val="CommentTextChar"/>
    <w:link w:val="CommentSubject"/>
    <w:uiPriority w:val="99"/>
    <w:semiHidden/>
    <w:rsid w:val="002F38D8"/>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rsid w:val="00BF4130"/>
    <w:rPr>
      <w:rFonts w:ascii="Times" w:eastAsia="Times New Roman" w:hAnsi="Times" w:cs="Times"/>
      <w:i/>
      <w:iCs/>
      <w:color w:val="000000"/>
      <w:sz w:val="24"/>
      <w:szCs w:val="24"/>
      <w:lang w:eastAsia="zh-CN"/>
    </w:rPr>
  </w:style>
  <w:style w:type="paragraph" w:styleId="Revision">
    <w:name w:val="Revision"/>
    <w:hidden/>
    <w:uiPriority w:val="99"/>
    <w:semiHidden/>
    <w:rsid w:val="00C11AA8"/>
    <w:pPr>
      <w:spacing w:after="0"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400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64834">
      <w:bodyDiv w:val="1"/>
      <w:marLeft w:val="0"/>
      <w:marRight w:val="0"/>
      <w:marTop w:val="0"/>
      <w:marBottom w:val="0"/>
      <w:divBdr>
        <w:top w:val="none" w:sz="0" w:space="0" w:color="auto"/>
        <w:left w:val="none" w:sz="0" w:space="0" w:color="auto"/>
        <w:bottom w:val="none" w:sz="0" w:space="0" w:color="auto"/>
        <w:right w:val="none" w:sz="0" w:space="0" w:color="auto"/>
      </w:divBdr>
    </w:div>
    <w:div w:id="99799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DA9922C-BEB2-4909-9984-A7338EE5FB41" xsi:nil="true"/>
  </documentManagement>
</p:properties>
</file>

<file path=customXml/item3.xml>��< ? x m l   v e r s i o n = " 1 . 0 "   e n c o d i n g = " u t f - 1 6 " ? > < p r o p e r t i e s   x m l n s = " h t t p : / / w w w . i m a n a g e . c o m / w o r k / x m l s c h e m a " >  
     < d o c u m e n t i d > D o c u m e n t s ! 5 2 2 8 6 4 7 1 . 1 < / d o c u m e n t i d >  
     < s e n d e r i d > C R O C K G < / s e n d e r i d >  
     < s e n d e r e m a i l > G E O R G I A . C R O C K E R @ A G S . G O V . A U < / s e n d e r e m a i l >  
     < l a s t m o d i f i e d > 2 0 2 4 - 0 8 - 1 2 T 1 7 : 0 7 : 0 0 . 0 0 0 0 0 0 0 + 1 0 : 0 0 < / l a s t m o d i f i e d >  
     < d a t a b a s e > D o c u m e n t s < / d a t a b a s e >  
 < / 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0DF019CBFD6C148BEA2CCB018DA3B24" ma:contentTypeVersion="" ma:contentTypeDescription="PDMS Document Site Content Type" ma:contentTypeScope="" ma:versionID="e25fc10b23faf1c2cf31bddad56d0665">
  <xsd:schema xmlns:xsd="http://www.w3.org/2001/XMLSchema" xmlns:xs="http://www.w3.org/2001/XMLSchema" xmlns:p="http://schemas.microsoft.com/office/2006/metadata/properties" xmlns:ns2="FDA9922C-BEB2-4909-9984-A7338EE5FB41" targetNamespace="http://schemas.microsoft.com/office/2006/metadata/properties" ma:root="true" ma:fieldsID="0e3da1293625a29d821a065f6451e364" ns2:_="">
    <xsd:import namespace="FDA9922C-BEB2-4909-9984-A7338EE5FB4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9922C-BEB2-4909-9984-A7338EE5FB4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5FF98-A8F8-43FD-8568-FC7E1A3EDF4E}">
  <ds:schemaRefs>
    <ds:schemaRef ds:uri="http://schemas.microsoft.com/sharepoint/v3/contenttype/forms"/>
  </ds:schemaRefs>
</ds:datastoreItem>
</file>

<file path=customXml/itemProps2.xml><?xml version="1.0" encoding="utf-8"?>
<ds:datastoreItem xmlns:ds="http://schemas.openxmlformats.org/officeDocument/2006/customXml" ds:itemID="{15025256-1E97-49D9-BCA5-043F3AD5CFD6}">
  <ds:schemaRefs>
    <ds:schemaRef ds:uri="http://schemas.microsoft.com/office/2006/metadata/properties"/>
    <ds:schemaRef ds:uri="ECE61BB8-F2A4-44DE-9623-2068A0C5B85B"/>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FDA9922C-BEB2-4909-9984-A7338EE5FB41"/>
  </ds:schemaRefs>
</ds:datastoreItem>
</file>

<file path=customXml/itemProps3.xml><?xml version="1.0" encoding="utf-8"?>
<ds:datastoreItem xmlns:ds="http://schemas.openxmlformats.org/officeDocument/2006/customXml" ds:itemID="{94EE7854-A817-442D-9A53-39D0CD9DDDE3}">
  <ds:schemaRefs>
    <ds:schemaRef ds:uri="http://www.imanage.com/work/xmlschema"/>
  </ds:schemaRefs>
</ds:datastoreItem>
</file>

<file path=customXml/itemProps4.xml><?xml version="1.0" encoding="utf-8"?>
<ds:datastoreItem xmlns:ds="http://schemas.openxmlformats.org/officeDocument/2006/customXml" ds:itemID="{5CEF355D-E702-4FDA-B834-2C0A2DF6D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9922C-BEB2-4909-9984-A7338EE5F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22F28C-80FC-4AE8-A362-649CA356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3574</Words>
  <Characters>19902</Characters>
  <Application>Microsoft Office Word</Application>
  <DocSecurity>0</DocSecurity>
  <Lines>426</Lines>
  <Paragraphs>98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Munro</dc:creator>
  <cp:keywords>[SEC=OFFICIAL]</cp:keywords>
  <dc:description/>
  <cp:lastModifiedBy>Wood, Thomas</cp:lastModifiedBy>
  <cp:revision>2</cp:revision>
  <cp:lastPrinted>2024-08-08T23:56:00Z</cp:lastPrinted>
  <dcterms:created xsi:type="dcterms:W3CDTF">2024-09-18T05:49:00Z</dcterms:created>
  <dcterms:modified xsi:type="dcterms:W3CDTF">2024-09-18T05:49:00Z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9989e1bd-540e-40b3-b06d-cd7b38134324</vt:lpwstr>
  </property>
  <property fmtid="{D5CDD505-2E9C-101B-9397-08002B2CF9AE}" pid="3" name="SEC">
    <vt:lpwstr>OFFICIAL</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D127C69928BC4229A6FA703FACDA05CC</vt:lpwstr>
  </property>
  <property fmtid="{D5CDD505-2E9C-101B-9397-08002B2CF9AE}" pid="12" name="PM_ProtectiveMarkingValue_Footer">
    <vt:lpwstr>OFFICIAL</vt:lpwstr>
  </property>
  <property fmtid="{D5CDD505-2E9C-101B-9397-08002B2CF9AE}" pid="13" name="PM_Originator_Hash_SHA1">
    <vt:lpwstr>977C74B0C54AEB310A8763076508A2B211E71E7B</vt:lpwstr>
  </property>
  <property fmtid="{D5CDD505-2E9C-101B-9397-08002B2CF9AE}" pid="14" name="PM_OriginationTimeStamp">
    <vt:lpwstr>2023-06-21T05:22:28Z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C6BC34A3BD71038440B6391945297EAA</vt:lpwstr>
  </property>
  <property fmtid="{D5CDD505-2E9C-101B-9397-08002B2CF9AE}" pid="25" name="PM_Hash_Salt">
    <vt:lpwstr>5A75DE1F238B3A47AC75F1D1B6F8D97E</vt:lpwstr>
  </property>
  <property fmtid="{D5CDD505-2E9C-101B-9397-08002B2CF9AE}" pid="26" name="PM_Hash_SHA1">
    <vt:lpwstr>134525C037CFBDDF9823C354A94710DB4A9480C4</vt:lpwstr>
  </property>
  <property fmtid="{D5CDD505-2E9C-101B-9397-08002B2CF9AE}" pid="27" name="PM_OriginatorUserAccountName_SHA256">
    <vt:lpwstr>1B530802C88623C292693AB3DF171E800E645EEBC17266FF155D28EC3C0C2155</vt:lpwstr>
  </property>
  <property fmtid="{D5CDD505-2E9C-101B-9397-08002B2CF9AE}" pid="28" name="PM_OriginatorDomainName_SHA256">
    <vt:lpwstr>6F3591835F3B2A8A025B00B5BA6418010DA3A17C9C26EA9C049FFD28039489A2</vt:lpwstr>
  </property>
  <property fmtid="{D5CDD505-2E9C-101B-9397-08002B2CF9AE}" pid="29" name="PM_MinimumSecurityClassification">
    <vt:lpwstr>OFFICIAL</vt:lpwstr>
  </property>
  <property fmtid="{D5CDD505-2E9C-101B-9397-08002B2CF9AE}" pid="30" name="ContentTypeId">
    <vt:lpwstr>0x010100266966F133664895A6EE3632470D45F50090DF019CBFD6C148BEA2CCB018DA3B24</vt:lpwstr>
  </property>
  <property fmtid="{D5CDD505-2E9C-101B-9397-08002B2CF9AE}" pid="31" name="PM_SecurityClassification_Prev">
    <vt:lpwstr>OFFICIAL</vt:lpwstr>
  </property>
  <property fmtid="{D5CDD505-2E9C-101B-9397-08002B2CF9AE}" pid="32" name="PM_Qualifier_Prev">
    <vt:lpwstr/>
  </property>
  <property fmtid="{D5CDD505-2E9C-101B-9397-08002B2CF9AE}" pid="33" name="MediaServiceImageTags">
    <vt:lpwstr/>
  </property>
  <property fmtid="{D5CDD505-2E9C-101B-9397-08002B2CF9AE}" pid="34" name="PMHMAC">
    <vt:lpwstr>v=2022.1;a=SHA256;h=CEDEB207E109F485E9B4F4C90E73FD0BE1444210610B1F0345003ADB565609DC</vt:lpwstr>
  </property>
  <property fmtid="{D5CDD505-2E9C-101B-9397-08002B2CF9AE}" pid="35" name="checkforsharepointfields">
    <vt:lpwstr>True</vt:lpwstr>
  </property>
  <property fmtid="{D5CDD505-2E9C-101B-9397-08002B2CF9AE}" pid="36" name="Template Filename">
    <vt:lpwstr/>
  </property>
  <property fmtid="{D5CDD505-2E9C-101B-9397-08002B2CF9AE}" pid="37" name="ObjectiveRef">
    <vt:lpwstr>Removed</vt:lpwstr>
  </property>
  <property fmtid="{D5CDD505-2E9C-101B-9397-08002B2CF9AE}" pid="38" name="iManageRef">
    <vt:lpwstr>Updated</vt:lpwstr>
  </property>
  <property fmtid="{D5CDD505-2E9C-101B-9397-08002B2CF9AE}" pid="39" name="LeadingLawyers">
    <vt:lpwstr>Removed</vt:lpwstr>
  </property>
</Properties>
</file>