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6AC6B5" w14:textId="77777777" w:rsidR="00AF07E6" w:rsidRPr="00797C3D" w:rsidRDefault="00AF07E6" w:rsidP="00AF07E6">
      <w:pPr>
        <w:pStyle w:val="ESTitleHeader"/>
        <w:rPr>
          <w:b/>
          <w:sz w:val="24"/>
        </w:rPr>
      </w:pPr>
      <w:bookmarkStart w:id="0" w:name="_GoBack"/>
      <w:bookmarkEnd w:id="0"/>
      <w:r w:rsidRPr="00797C3D">
        <w:rPr>
          <w:b/>
          <w:sz w:val="24"/>
        </w:rPr>
        <w:t>EXPLANATORY STATEMENT</w:t>
      </w:r>
    </w:p>
    <w:p w14:paraId="5C55DDA0" w14:textId="77777777" w:rsidR="00AF07E6" w:rsidRPr="0098393C" w:rsidRDefault="00AF07E6" w:rsidP="00AF07E6">
      <w:pPr>
        <w:pStyle w:val="ESTitleDecisionMaker"/>
        <w:rPr>
          <w:sz w:val="24"/>
        </w:rPr>
      </w:pPr>
      <w:r w:rsidRPr="0098393C">
        <w:rPr>
          <w:sz w:val="24"/>
        </w:rPr>
        <w:t>Issued by authority of the Minister for Immigration, Citizenship and Multicultural Affairs</w:t>
      </w:r>
    </w:p>
    <w:p w14:paraId="65243517" w14:textId="77777777" w:rsidR="00AF07E6" w:rsidRPr="0098393C" w:rsidRDefault="00AF07E6" w:rsidP="00AF07E6">
      <w:pPr>
        <w:pStyle w:val="ESTitleEnablingLegislation"/>
        <w:rPr>
          <w:sz w:val="24"/>
        </w:rPr>
      </w:pPr>
      <w:r w:rsidRPr="0098393C">
        <w:rPr>
          <w:sz w:val="24"/>
        </w:rPr>
        <w:t>Migration Act 1958</w:t>
      </w:r>
    </w:p>
    <w:p w14:paraId="391597C3" w14:textId="2D83FA0D" w:rsidR="00AF07E6" w:rsidRPr="0098393C" w:rsidRDefault="00AF07E6" w:rsidP="00797C3D">
      <w:pPr>
        <w:pStyle w:val="ESTitleInstrumentName"/>
        <w:spacing w:before="240" w:after="240"/>
        <w:rPr>
          <w:sz w:val="24"/>
        </w:rPr>
      </w:pPr>
      <w:r w:rsidRPr="0098393C">
        <w:rPr>
          <w:sz w:val="24"/>
        </w:rPr>
        <w:t>Migration (</w:t>
      </w:r>
      <w:r w:rsidR="0015339F">
        <w:rPr>
          <w:sz w:val="24"/>
        </w:rPr>
        <w:t xml:space="preserve">LIN 21/056: </w:t>
      </w:r>
      <w:r w:rsidR="00797C3D">
        <w:rPr>
          <w:sz w:val="24"/>
        </w:rPr>
        <w:t>Arrangements for Visitor (Class FA) visa applications</w:t>
      </w:r>
      <w:r w:rsidR="00E54086">
        <w:rPr>
          <w:sz w:val="24"/>
        </w:rPr>
        <w:t>)</w:t>
      </w:r>
      <w:r w:rsidRPr="0098393C">
        <w:rPr>
          <w:sz w:val="24"/>
        </w:rPr>
        <w:t xml:space="preserve"> </w:t>
      </w:r>
      <w:r w:rsidR="00797C3D">
        <w:rPr>
          <w:sz w:val="24"/>
        </w:rPr>
        <w:t xml:space="preserve">Amendment </w:t>
      </w:r>
      <w:r w:rsidR="000B7D8D">
        <w:rPr>
          <w:sz w:val="24"/>
        </w:rPr>
        <w:br/>
      </w:r>
      <w:r w:rsidR="0015339F">
        <w:rPr>
          <w:sz w:val="24"/>
        </w:rPr>
        <w:t xml:space="preserve">(LIN 24/068) </w:t>
      </w:r>
      <w:r w:rsidRPr="0098393C">
        <w:rPr>
          <w:sz w:val="24"/>
        </w:rPr>
        <w:t>Instrument 2024</w:t>
      </w:r>
    </w:p>
    <w:p w14:paraId="0C6BD69B" w14:textId="46D6D9C7" w:rsidR="00AF07E6" w:rsidRDefault="00AF07E6" w:rsidP="00CC17E3">
      <w:pPr>
        <w:pStyle w:val="ESPara"/>
        <w:numPr>
          <w:ilvl w:val="0"/>
          <w:numId w:val="2"/>
        </w:numPr>
        <w:rPr>
          <w:sz w:val="24"/>
        </w:rPr>
      </w:pPr>
      <w:r w:rsidRPr="0098393C">
        <w:rPr>
          <w:sz w:val="24"/>
        </w:rPr>
        <w:t xml:space="preserve">The instrument </w:t>
      </w:r>
      <w:r w:rsidR="00CC17E3" w:rsidRPr="008E6F07">
        <w:rPr>
          <w:i/>
          <w:sz w:val="24"/>
        </w:rPr>
        <w:t>Migration (</w:t>
      </w:r>
      <w:r w:rsidR="0015339F">
        <w:rPr>
          <w:i/>
          <w:sz w:val="24"/>
        </w:rPr>
        <w:t xml:space="preserve">LIN 21/056: </w:t>
      </w:r>
      <w:r w:rsidR="00797C3D">
        <w:rPr>
          <w:i/>
          <w:sz w:val="24"/>
        </w:rPr>
        <w:t>Arrangements for Visi</w:t>
      </w:r>
      <w:r w:rsidR="0015339F">
        <w:rPr>
          <w:i/>
          <w:sz w:val="24"/>
        </w:rPr>
        <w:t>tor (Class FA) visa applications</w:t>
      </w:r>
      <w:r w:rsidR="00CC17E3" w:rsidRPr="008E6F07">
        <w:rPr>
          <w:i/>
          <w:sz w:val="24"/>
        </w:rPr>
        <w:t xml:space="preserve">) </w:t>
      </w:r>
      <w:r w:rsidR="00797C3D">
        <w:rPr>
          <w:i/>
          <w:sz w:val="24"/>
        </w:rPr>
        <w:t xml:space="preserve">Amendment </w:t>
      </w:r>
      <w:r w:rsidR="0015339F">
        <w:rPr>
          <w:i/>
          <w:sz w:val="24"/>
        </w:rPr>
        <w:t xml:space="preserve">(LIN 24/068) </w:t>
      </w:r>
      <w:r w:rsidR="00CC17E3" w:rsidRPr="008E6F07">
        <w:rPr>
          <w:i/>
          <w:sz w:val="24"/>
        </w:rPr>
        <w:t>Instrument 2024</w:t>
      </w:r>
      <w:r w:rsidRPr="0098393C">
        <w:rPr>
          <w:sz w:val="24"/>
        </w:rPr>
        <w:t xml:space="preserve"> </w:t>
      </w:r>
      <w:r w:rsidR="00797C3D">
        <w:rPr>
          <w:sz w:val="24"/>
        </w:rPr>
        <w:t>is made under subregulation 2.07(5) and item 3 of the table in subitem 1236(6) of Schedule 1 to</w:t>
      </w:r>
      <w:r w:rsidRPr="0098393C">
        <w:rPr>
          <w:sz w:val="24"/>
        </w:rPr>
        <w:t xml:space="preserve"> </w:t>
      </w:r>
      <w:r w:rsidR="00484092">
        <w:rPr>
          <w:sz w:val="24"/>
        </w:rPr>
        <w:t xml:space="preserve">the </w:t>
      </w:r>
      <w:r w:rsidRPr="0098393C">
        <w:rPr>
          <w:i/>
          <w:sz w:val="24"/>
        </w:rPr>
        <w:t>Migration Regulations 1994</w:t>
      </w:r>
      <w:r w:rsidRPr="0098393C">
        <w:rPr>
          <w:sz w:val="24"/>
        </w:rPr>
        <w:t xml:space="preserve"> (Migration Regulations). </w:t>
      </w:r>
    </w:p>
    <w:p w14:paraId="030D0B96" w14:textId="2F480739" w:rsidR="0089414F" w:rsidRPr="0098393C" w:rsidRDefault="0089414F" w:rsidP="0089414F">
      <w:pPr>
        <w:pStyle w:val="ESPara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The instrument amends </w:t>
      </w:r>
      <w:r w:rsidRPr="0089414F">
        <w:rPr>
          <w:i/>
          <w:sz w:val="24"/>
        </w:rPr>
        <w:t>Migration (Arrangements for Visitor (Class FA) visa applications) Instrument (LIN 21/056) 2021</w:t>
      </w:r>
      <w:r>
        <w:rPr>
          <w:sz w:val="24"/>
        </w:rPr>
        <w:t xml:space="preserve"> (LIN 21/056) in accordance with subsection 33(3) of the </w:t>
      </w:r>
      <w:r>
        <w:rPr>
          <w:i/>
          <w:sz w:val="24"/>
        </w:rPr>
        <w:t>Acts Interpretation Act 1901</w:t>
      </w:r>
      <w:r>
        <w:rPr>
          <w:sz w:val="24"/>
        </w:rPr>
        <w:t xml:space="preserve">. That subsection provides that a power to make a legislative instrument includes a power to amend or repeal that instrument in the same manner, and subject to the same conditions, as the power to make the instrument. </w:t>
      </w:r>
    </w:p>
    <w:p w14:paraId="2014A5B8" w14:textId="27C14033" w:rsidR="00AF07E6" w:rsidRPr="00CC17E3" w:rsidRDefault="00AF07E6">
      <w:pPr>
        <w:pStyle w:val="ESPara"/>
        <w:numPr>
          <w:ilvl w:val="0"/>
          <w:numId w:val="2"/>
        </w:numPr>
        <w:rPr>
          <w:sz w:val="24"/>
        </w:rPr>
      </w:pPr>
      <w:r w:rsidRPr="00CC17E3">
        <w:rPr>
          <w:sz w:val="24"/>
        </w:rPr>
        <w:t xml:space="preserve">The instrument commences </w:t>
      </w:r>
      <w:r w:rsidR="00797C3D">
        <w:rPr>
          <w:sz w:val="24"/>
        </w:rPr>
        <w:t>on 2</w:t>
      </w:r>
      <w:r w:rsidR="00B0453E">
        <w:rPr>
          <w:sz w:val="24"/>
        </w:rPr>
        <w:t>4</w:t>
      </w:r>
      <w:r w:rsidR="00797C3D">
        <w:rPr>
          <w:sz w:val="24"/>
        </w:rPr>
        <w:t xml:space="preserve"> September 2024</w:t>
      </w:r>
      <w:r w:rsidR="00712379" w:rsidRPr="00CC17E3">
        <w:rPr>
          <w:sz w:val="24"/>
        </w:rPr>
        <w:t>.</w:t>
      </w:r>
      <w:r w:rsidR="00CC17E3" w:rsidRPr="00CC17E3">
        <w:rPr>
          <w:sz w:val="24"/>
        </w:rPr>
        <w:t xml:space="preserve"> </w:t>
      </w:r>
      <w:r w:rsidRPr="00CC17E3">
        <w:rPr>
          <w:sz w:val="24"/>
        </w:rPr>
        <w:t xml:space="preserve">The instrument is a legislative instrument for the </w:t>
      </w:r>
      <w:r w:rsidRPr="00CC17E3">
        <w:rPr>
          <w:i/>
          <w:sz w:val="24"/>
        </w:rPr>
        <w:t>Legislation Act 2003</w:t>
      </w:r>
      <w:r w:rsidRPr="00CC17E3">
        <w:rPr>
          <w:sz w:val="24"/>
        </w:rPr>
        <w:t xml:space="preserve"> (the Legislation Act).  </w:t>
      </w:r>
    </w:p>
    <w:p w14:paraId="53263A2A" w14:textId="77777777" w:rsidR="00AF07E6" w:rsidRPr="0015081F" w:rsidRDefault="00AF07E6" w:rsidP="00AF07E6">
      <w:pPr>
        <w:pStyle w:val="ESHeading"/>
        <w:rPr>
          <w:sz w:val="24"/>
        </w:rPr>
      </w:pPr>
      <w:r w:rsidRPr="0015081F">
        <w:rPr>
          <w:sz w:val="24"/>
        </w:rPr>
        <w:t>Purpose</w:t>
      </w:r>
    </w:p>
    <w:p w14:paraId="57AFBF1F" w14:textId="00B8456F" w:rsidR="001C0426" w:rsidRDefault="00797C3D" w:rsidP="00AF07E6">
      <w:pPr>
        <w:pStyle w:val="ESPara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Subregulation 2.07(5) of the Migration Regulations provides </w:t>
      </w:r>
      <w:r w:rsidR="001C0426">
        <w:rPr>
          <w:sz w:val="24"/>
        </w:rPr>
        <w:t xml:space="preserve">that, if an item of Schedule 1 prescribes criteria or requirements by reference to a legislative instrument made under this subregulation, the Minister may specify any of the following matters by legislative instrument:  </w:t>
      </w:r>
    </w:p>
    <w:p w14:paraId="6BC5BC4B" w14:textId="77777777" w:rsidR="001C0426" w:rsidRDefault="001C0426" w:rsidP="001C0426">
      <w:pPr>
        <w:pStyle w:val="ESPara"/>
        <w:numPr>
          <w:ilvl w:val="0"/>
          <w:numId w:val="22"/>
        </w:numPr>
        <w:rPr>
          <w:sz w:val="24"/>
        </w:rPr>
      </w:pPr>
      <w:r>
        <w:rPr>
          <w:sz w:val="24"/>
        </w:rPr>
        <w:t xml:space="preserve">an approved form for making an application for a visa of a specified class; </w:t>
      </w:r>
    </w:p>
    <w:p w14:paraId="69D05D0E" w14:textId="77777777" w:rsidR="001C0426" w:rsidRDefault="001C0426" w:rsidP="001C0426">
      <w:pPr>
        <w:pStyle w:val="ESPara"/>
        <w:numPr>
          <w:ilvl w:val="0"/>
          <w:numId w:val="22"/>
        </w:numPr>
        <w:rPr>
          <w:sz w:val="24"/>
        </w:rPr>
      </w:pPr>
      <w:r w:rsidRPr="001C0426">
        <w:rPr>
          <w:sz w:val="24"/>
        </w:rPr>
        <w:t xml:space="preserve">the way in which an application for a visa of a specified class must be made; </w:t>
      </w:r>
    </w:p>
    <w:p w14:paraId="7345DA6D" w14:textId="77777777" w:rsidR="001C0426" w:rsidRDefault="001C0426" w:rsidP="001C0426">
      <w:pPr>
        <w:pStyle w:val="ESPara"/>
        <w:numPr>
          <w:ilvl w:val="0"/>
          <w:numId w:val="22"/>
        </w:numPr>
        <w:rPr>
          <w:sz w:val="24"/>
        </w:rPr>
      </w:pPr>
      <w:r w:rsidRPr="001C0426">
        <w:rPr>
          <w:sz w:val="24"/>
        </w:rPr>
        <w:t xml:space="preserve">the place at which an application for a visa of a specified class must be made; </w:t>
      </w:r>
    </w:p>
    <w:p w14:paraId="6FCBCC5F" w14:textId="7EF2B682" w:rsidR="001C0426" w:rsidRPr="001C0426" w:rsidRDefault="001C0426" w:rsidP="001C0426">
      <w:pPr>
        <w:pStyle w:val="ESPara"/>
        <w:numPr>
          <w:ilvl w:val="0"/>
          <w:numId w:val="22"/>
        </w:numPr>
        <w:rPr>
          <w:sz w:val="24"/>
        </w:rPr>
      </w:pPr>
      <w:r w:rsidRPr="001C0426">
        <w:rPr>
          <w:sz w:val="24"/>
        </w:rPr>
        <w:t>any other matter.</w:t>
      </w:r>
    </w:p>
    <w:p w14:paraId="17FC62DE" w14:textId="4194AA09" w:rsidR="00181701" w:rsidRPr="00067254" w:rsidRDefault="001C0426" w:rsidP="001C0426">
      <w:pPr>
        <w:pStyle w:val="ESPara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Item 3 of the table in subitem 1236(6) of Schedule 1 to the Migration Regulations provides that an applicant seeking to satisfy the primary criteria for a Subclass 600 (Visitor) visa in the Approved Destination </w:t>
      </w:r>
      <w:r w:rsidR="00EA5061">
        <w:rPr>
          <w:sz w:val="24"/>
        </w:rPr>
        <w:t xml:space="preserve">Status (ADS) </w:t>
      </w:r>
      <w:r>
        <w:rPr>
          <w:sz w:val="24"/>
        </w:rPr>
        <w:t xml:space="preserve">stream must be intending to travel to Australia as a member of a travel agent specified by the Minister in writing for this item. </w:t>
      </w:r>
      <w:r w:rsidR="00A30331">
        <w:t xml:space="preserve"> </w:t>
      </w:r>
    </w:p>
    <w:p w14:paraId="7F4BE12D" w14:textId="4A0594B3" w:rsidR="00067254" w:rsidRDefault="00793DB3" w:rsidP="001C0426">
      <w:pPr>
        <w:pStyle w:val="ESPara"/>
        <w:numPr>
          <w:ilvl w:val="0"/>
          <w:numId w:val="2"/>
        </w:numPr>
        <w:rPr>
          <w:sz w:val="24"/>
        </w:rPr>
      </w:pPr>
      <w:r>
        <w:rPr>
          <w:sz w:val="24"/>
        </w:rPr>
        <w:t>T</w:t>
      </w:r>
      <w:r w:rsidR="00067254">
        <w:rPr>
          <w:sz w:val="24"/>
        </w:rPr>
        <w:t>his instrument provides an updated table of ADS-approve</w:t>
      </w:r>
      <w:r>
        <w:rPr>
          <w:sz w:val="24"/>
        </w:rPr>
        <w:t>d travel agents in China.  The</w:t>
      </w:r>
      <w:r w:rsidR="00067254">
        <w:rPr>
          <w:sz w:val="24"/>
        </w:rPr>
        <w:t xml:space="preserve"> travel agents </w:t>
      </w:r>
      <w:r>
        <w:rPr>
          <w:sz w:val="24"/>
        </w:rPr>
        <w:t xml:space="preserve">listed in the table </w:t>
      </w:r>
      <w:r w:rsidR="00067254">
        <w:rPr>
          <w:sz w:val="24"/>
        </w:rPr>
        <w:t>are authorised under the A</w:t>
      </w:r>
      <w:r>
        <w:rPr>
          <w:sz w:val="24"/>
        </w:rPr>
        <w:t xml:space="preserve">DS stream to organise tours to </w:t>
      </w:r>
      <w:r w:rsidR="00067254">
        <w:rPr>
          <w:sz w:val="24"/>
        </w:rPr>
        <w:t>Australia for eligible citizens from the</w:t>
      </w:r>
      <w:r w:rsidR="00866A19">
        <w:rPr>
          <w:sz w:val="24"/>
        </w:rPr>
        <w:t xml:space="preserve"> People’s</w:t>
      </w:r>
      <w:r w:rsidR="00067254">
        <w:rPr>
          <w:sz w:val="24"/>
        </w:rPr>
        <w:t xml:space="preserve"> Republic of China.</w:t>
      </w:r>
    </w:p>
    <w:p w14:paraId="6B4BDA89" w14:textId="04D8DA21" w:rsidR="00067254" w:rsidRDefault="00067254" w:rsidP="00067254">
      <w:pPr>
        <w:pStyle w:val="ESPara"/>
        <w:numPr>
          <w:ilvl w:val="0"/>
          <w:numId w:val="0"/>
        </w:numPr>
        <w:ind w:left="360"/>
        <w:rPr>
          <w:sz w:val="24"/>
        </w:rPr>
      </w:pPr>
    </w:p>
    <w:p w14:paraId="0E34DCDD" w14:textId="77777777" w:rsidR="00793DB3" w:rsidRPr="00660062" w:rsidRDefault="00793DB3" w:rsidP="00067254">
      <w:pPr>
        <w:pStyle w:val="ESPara"/>
        <w:numPr>
          <w:ilvl w:val="0"/>
          <w:numId w:val="0"/>
        </w:numPr>
        <w:ind w:left="360"/>
        <w:rPr>
          <w:sz w:val="24"/>
        </w:rPr>
      </w:pPr>
    </w:p>
    <w:p w14:paraId="040DC7D3" w14:textId="77777777" w:rsidR="00660062" w:rsidRPr="00660062" w:rsidRDefault="00660062" w:rsidP="00660062">
      <w:pPr>
        <w:pStyle w:val="ESPara"/>
        <w:numPr>
          <w:ilvl w:val="0"/>
          <w:numId w:val="0"/>
        </w:numPr>
        <w:ind w:left="567" w:hanging="567"/>
        <w:rPr>
          <w:b/>
          <w:bCs/>
          <w:i/>
          <w:iCs/>
          <w:sz w:val="24"/>
        </w:rPr>
      </w:pPr>
      <w:r w:rsidRPr="00660062">
        <w:rPr>
          <w:b/>
          <w:bCs/>
          <w:i/>
          <w:iCs/>
          <w:sz w:val="24"/>
        </w:rPr>
        <w:lastRenderedPageBreak/>
        <w:t>Consultation</w:t>
      </w:r>
    </w:p>
    <w:p w14:paraId="08AB4F7A" w14:textId="557DE5A6" w:rsidR="00EA5061" w:rsidRPr="00C27150" w:rsidRDefault="00EA5061" w:rsidP="004513D0">
      <w:pPr>
        <w:pStyle w:val="ESPara"/>
        <w:numPr>
          <w:ilvl w:val="0"/>
          <w:numId w:val="2"/>
        </w:numPr>
        <w:rPr>
          <w:sz w:val="28"/>
        </w:rPr>
      </w:pPr>
      <w:r w:rsidRPr="00C27150">
        <w:rPr>
          <w:color w:val="000000"/>
          <w:sz w:val="24"/>
        </w:rPr>
        <w:t xml:space="preserve">Consultation was undertaken with key government stakeholders, including Austrade, the Department of Foreign Affairs and Trade, Tourism Australia and the Australian Consulate-General of Guangzhou. </w:t>
      </w:r>
    </w:p>
    <w:p w14:paraId="12AE90E3" w14:textId="6FBB2E07" w:rsidR="00660062" w:rsidRPr="00660062" w:rsidRDefault="00660062" w:rsidP="004513D0">
      <w:pPr>
        <w:pStyle w:val="ESPara"/>
        <w:numPr>
          <w:ilvl w:val="0"/>
          <w:numId w:val="2"/>
        </w:numPr>
        <w:rPr>
          <w:sz w:val="24"/>
        </w:rPr>
      </w:pPr>
      <w:r w:rsidRPr="00660062">
        <w:rPr>
          <w:sz w:val="24"/>
        </w:rPr>
        <w:t xml:space="preserve">The Office of Impact Analysis (OIA) </w:t>
      </w:r>
      <w:r w:rsidR="00EA5061">
        <w:rPr>
          <w:sz w:val="24"/>
        </w:rPr>
        <w:t xml:space="preserve">was consulted and </w:t>
      </w:r>
      <w:r w:rsidRPr="00660062">
        <w:rPr>
          <w:sz w:val="24"/>
        </w:rPr>
        <w:t xml:space="preserve">considered that the measures in this instrument </w:t>
      </w:r>
      <w:r w:rsidR="004513D0">
        <w:rPr>
          <w:sz w:val="24"/>
        </w:rPr>
        <w:t>were</w:t>
      </w:r>
      <w:r w:rsidRPr="00660062">
        <w:rPr>
          <w:sz w:val="24"/>
        </w:rPr>
        <w:t xml:space="preserve"> unlikely to have more than a minor impact and therefore an Impact Analysis </w:t>
      </w:r>
      <w:r w:rsidR="00C50F8B">
        <w:rPr>
          <w:sz w:val="24"/>
        </w:rPr>
        <w:t>wa</w:t>
      </w:r>
      <w:r w:rsidRPr="00660062">
        <w:rPr>
          <w:sz w:val="24"/>
        </w:rPr>
        <w:t>s not required.</w:t>
      </w:r>
      <w:r w:rsidR="00E5528E" w:rsidRPr="007B07C5">
        <w:rPr>
          <w:sz w:val="24"/>
        </w:rPr>
        <w:t xml:space="preserve"> </w:t>
      </w:r>
      <w:r w:rsidRPr="00660062">
        <w:rPr>
          <w:sz w:val="24"/>
        </w:rPr>
        <w:t xml:space="preserve">The OIA reference number is </w:t>
      </w:r>
      <w:r w:rsidR="00D94821" w:rsidRPr="007B07C5">
        <w:rPr>
          <w:sz w:val="24"/>
        </w:rPr>
        <w:t>OIA24-07984</w:t>
      </w:r>
      <w:r w:rsidRPr="00660062">
        <w:rPr>
          <w:sz w:val="24"/>
        </w:rPr>
        <w:t>.</w:t>
      </w:r>
    </w:p>
    <w:p w14:paraId="4DF91A26" w14:textId="77777777" w:rsidR="00660062" w:rsidRPr="00660062" w:rsidRDefault="00660062" w:rsidP="00660062">
      <w:pPr>
        <w:pStyle w:val="ESPara"/>
        <w:numPr>
          <w:ilvl w:val="0"/>
          <w:numId w:val="0"/>
        </w:numPr>
        <w:ind w:left="567" w:hanging="567"/>
        <w:rPr>
          <w:b/>
          <w:bCs/>
          <w:i/>
          <w:iCs/>
          <w:sz w:val="24"/>
        </w:rPr>
      </w:pPr>
      <w:r w:rsidRPr="00660062">
        <w:rPr>
          <w:b/>
          <w:bCs/>
          <w:i/>
          <w:iCs/>
          <w:sz w:val="24"/>
        </w:rPr>
        <w:t>Details of the instrument</w:t>
      </w:r>
    </w:p>
    <w:p w14:paraId="48208C0B" w14:textId="376377ED" w:rsidR="00660062" w:rsidRDefault="00660062" w:rsidP="004513D0">
      <w:pPr>
        <w:pStyle w:val="ESPara"/>
        <w:numPr>
          <w:ilvl w:val="0"/>
          <w:numId w:val="2"/>
        </w:numPr>
        <w:rPr>
          <w:sz w:val="24"/>
        </w:rPr>
      </w:pPr>
      <w:r w:rsidRPr="00660062">
        <w:rPr>
          <w:sz w:val="24"/>
        </w:rPr>
        <w:t>Section 1 of the instrument provides that the name of the instrument is the </w:t>
      </w:r>
      <w:r w:rsidR="0015339F" w:rsidRPr="008E6F07">
        <w:rPr>
          <w:i/>
          <w:sz w:val="24"/>
        </w:rPr>
        <w:t xml:space="preserve">Migration </w:t>
      </w:r>
      <w:r w:rsidR="000B7D8D">
        <w:rPr>
          <w:i/>
          <w:sz w:val="24"/>
        </w:rPr>
        <w:br/>
      </w:r>
      <w:r w:rsidR="0015339F" w:rsidRPr="008E6F07">
        <w:rPr>
          <w:i/>
          <w:sz w:val="24"/>
        </w:rPr>
        <w:t>(</w:t>
      </w:r>
      <w:r w:rsidR="0015339F">
        <w:rPr>
          <w:i/>
          <w:sz w:val="24"/>
        </w:rPr>
        <w:t>LIN 21/056: Arrangements for Visitor (Class FA) visa applications</w:t>
      </w:r>
      <w:r w:rsidR="0015339F" w:rsidRPr="008E6F07">
        <w:rPr>
          <w:i/>
          <w:sz w:val="24"/>
        </w:rPr>
        <w:t xml:space="preserve">) </w:t>
      </w:r>
      <w:r w:rsidR="0015339F">
        <w:rPr>
          <w:i/>
          <w:sz w:val="24"/>
        </w:rPr>
        <w:t xml:space="preserve">Amendment (LIN 24/068) </w:t>
      </w:r>
      <w:r w:rsidR="0015339F" w:rsidRPr="008E6F07">
        <w:rPr>
          <w:i/>
          <w:sz w:val="24"/>
        </w:rPr>
        <w:t>Instrument 2024</w:t>
      </w:r>
      <w:r w:rsidRPr="00660062">
        <w:rPr>
          <w:sz w:val="24"/>
        </w:rPr>
        <w:t>.</w:t>
      </w:r>
    </w:p>
    <w:p w14:paraId="37DE3987" w14:textId="1261AC6D" w:rsidR="00660062" w:rsidRPr="00660062" w:rsidRDefault="00660062" w:rsidP="004513D0">
      <w:pPr>
        <w:pStyle w:val="ESPara"/>
        <w:numPr>
          <w:ilvl w:val="0"/>
          <w:numId w:val="2"/>
        </w:numPr>
        <w:rPr>
          <w:sz w:val="24"/>
        </w:rPr>
      </w:pPr>
      <w:r w:rsidRPr="00660062">
        <w:rPr>
          <w:sz w:val="24"/>
        </w:rPr>
        <w:t>Section 2 of the instrument provides that the instrument commences on 2</w:t>
      </w:r>
      <w:r>
        <w:rPr>
          <w:sz w:val="24"/>
        </w:rPr>
        <w:t>4</w:t>
      </w:r>
      <w:r w:rsidRPr="00660062">
        <w:rPr>
          <w:sz w:val="24"/>
        </w:rPr>
        <w:t xml:space="preserve"> September 202</w:t>
      </w:r>
      <w:r>
        <w:rPr>
          <w:sz w:val="24"/>
        </w:rPr>
        <w:t>4</w:t>
      </w:r>
      <w:r w:rsidRPr="00660062">
        <w:rPr>
          <w:sz w:val="24"/>
        </w:rPr>
        <w:t>.</w:t>
      </w:r>
    </w:p>
    <w:p w14:paraId="6351CC94" w14:textId="2088458B" w:rsidR="00660062" w:rsidRPr="00660062" w:rsidRDefault="00660062" w:rsidP="004513D0">
      <w:pPr>
        <w:pStyle w:val="ESPara"/>
        <w:numPr>
          <w:ilvl w:val="0"/>
          <w:numId w:val="2"/>
        </w:numPr>
        <w:rPr>
          <w:sz w:val="24"/>
        </w:rPr>
      </w:pPr>
      <w:r w:rsidRPr="00660062">
        <w:rPr>
          <w:sz w:val="24"/>
        </w:rPr>
        <w:t>Section 3 of the instrument provides that the instrument is made under subregulation 2.07(5) of the Migration Regulations and item 3 of the table in subitem 1236(6) of Schedule 1 to the Migration Regulations.</w:t>
      </w:r>
    </w:p>
    <w:p w14:paraId="5422301E" w14:textId="0CFC5E90" w:rsidR="00660062" w:rsidRPr="00660062" w:rsidRDefault="00660062" w:rsidP="004513D0">
      <w:pPr>
        <w:pStyle w:val="ESPara"/>
        <w:numPr>
          <w:ilvl w:val="0"/>
          <w:numId w:val="2"/>
        </w:numPr>
        <w:rPr>
          <w:sz w:val="24"/>
        </w:rPr>
      </w:pPr>
      <w:r w:rsidRPr="00660062">
        <w:rPr>
          <w:sz w:val="24"/>
        </w:rPr>
        <w:t>Section 4 of the instrument provides that each instrument mentioned in Schedule 1 to the instrument is amended as set out in the applicable item in the Schedule.</w:t>
      </w:r>
    </w:p>
    <w:p w14:paraId="3E9CCD62" w14:textId="60162B86" w:rsidR="00660062" w:rsidRPr="00660062" w:rsidRDefault="00660062" w:rsidP="004513D0">
      <w:pPr>
        <w:pStyle w:val="ESPara"/>
        <w:numPr>
          <w:ilvl w:val="0"/>
          <w:numId w:val="2"/>
        </w:numPr>
        <w:rPr>
          <w:sz w:val="24"/>
        </w:rPr>
      </w:pPr>
      <w:r w:rsidRPr="00660062">
        <w:rPr>
          <w:sz w:val="24"/>
        </w:rPr>
        <w:t xml:space="preserve">Item 1 of Schedule 1 to the instrument amends Schedule 1 to LIN 21/056 by </w:t>
      </w:r>
      <w:r w:rsidR="00067254">
        <w:rPr>
          <w:sz w:val="24"/>
        </w:rPr>
        <w:t>substituting a new table of ADS-</w:t>
      </w:r>
      <w:r w:rsidRPr="00660062">
        <w:rPr>
          <w:sz w:val="24"/>
        </w:rPr>
        <w:t>approved travel agents in China for the purpose of item 3 of the table in subitem 1236(6) of Schedule 1 to the Migration Regulations.</w:t>
      </w:r>
    </w:p>
    <w:p w14:paraId="20800451" w14:textId="6ACB332C" w:rsidR="00660062" w:rsidRPr="00660062" w:rsidRDefault="00660062" w:rsidP="00660062">
      <w:pPr>
        <w:pStyle w:val="ESPara"/>
        <w:numPr>
          <w:ilvl w:val="0"/>
          <w:numId w:val="0"/>
        </w:numPr>
        <w:ind w:left="567" w:hanging="567"/>
        <w:rPr>
          <w:b/>
          <w:bCs/>
          <w:i/>
          <w:iCs/>
          <w:sz w:val="24"/>
        </w:rPr>
      </w:pPr>
      <w:r w:rsidRPr="00660062">
        <w:rPr>
          <w:b/>
          <w:bCs/>
          <w:i/>
          <w:iCs/>
          <w:sz w:val="24"/>
        </w:rPr>
        <w:t>Parliamentary scrutiny</w:t>
      </w:r>
    </w:p>
    <w:p w14:paraId="6A32577D" w14:textId="2D072114" w:rsidR="00660062" w:rsidRPr="00660062" w:rsidRDefault="00660062" w:rsidP="008D1521">
      <w:pPr>
        <w:pStyle w:val="ESPara"/>
        <w:numPr>
          <w:ilvl w:val="0"/>
          <w:numId w:val="2"/>
        </w:numPr>
        <w:rPr>
          <w:sz w:val="24"/>
        </w:rPr>
      </w:pPr>
      <w:r w:rsidRPr="00660062">
        <w:rPr>
          <w:sz w:val="24"/>
        </w:rPr>
        <w:t>The instrument is exempt from disallowance under section 42 of the Legislation Act. This is because a legislative instrument made under Part 2 of, or Schedule 1 to the Migration Regulations is exempt from disallowance under subitem 20(b) of the table in section 10 of the </w:t>
      </w:r>
      <w:r w:rsidRPr="00660062">
        <w:rPr>
          <w:i/>
          <w:iCs/>
          <w:sz w:val="24"/>
        </w:rPr>
        <w:t>Legislation (Exemptions and Other Matters) Regulation 2015</w:t>
      </w:r>
      <w:r w:rsidRPr="00660062">
        <w:rPr>
          <w:sz w:val="24"/>
        </w:rPr>
        <w:t>.</w:t>
      </w:r>
    </w:p>
    <w:p w14:paraId="28533BDD" w14:textId="536F2967" w:rsidR="00660062" w:rsidRPr="00660062" w:rsidRDefault="00660062" w:rsidP="008D1521">
      <w:pPr>
        <w:pStyle w:val="ESPara"/>
        <w:numPr>
          <w:ilvl w:val="0"/>
          <w:numId w:val="2"/>
        </w:numPr>
        <w:rPr>
          <w:sz w:val="24"/>
        </w:rPr>
      </w:pPr>
      <w:r w:rsidRPr="00660062">
        <w:rPr>
          <w:sz w:val="24"/>
        </w:rPr>
        <w:t>As the instrument is exempt from disallowance, a Statement of Compatibility with Human Rights is not required.</w:t>
      </w:r>
    </w:p>
    <w:p w14:paraId="1C2C64E1" w14:textId="5703708F" w:rsidR="00660062" w:rsidRPr="00660062" w:rsidRDefault="00660062" w:rsidP="008D1521">
      <w:pPr>
        <w:pStyle w:val="ESPara"/>
        <w:numPr>
          <w:ilvl w:val="0"/>
          <w:numId w:val="2"/>
        </w:numPr>
        <w:rPr>
          <w:sz w:val="24"/>
        </w:rPr>
      </w:pPr>
      <w:r w:rsidRPr="00660062">
        <w:rPr>
          <w:sz w:val="24"/>
        </w:rPr>
        <w:t>The instrument is made by a delegate of the Minister, in accordance with the following provisions of the Migration Regulations:</w:t>
      </w:r>
    </w:p>
    <w:p w14:paraId="6E26CC2D" w14:textId="77777777" w:rsidR="00660062" w:rsidRPr="00660062" w:rsidRDefault="00660062" w:rsidP="00660062">
      <w:pPr>
        <w:pStyle w:val="ESPara"/>
        <w:numPr>
          <w:ilvl w:val="0"/>
          <w:numId w:val="24"/>
        </w:numPr>
        <w:rPr>
          <w:sz w:val="24"/>
        </w:rPr>
      </w:pPr>
      <w:r w:rsidRPr="00660062">
        <w:rPr>
          <w:sz w:val="24"/>
        </w:rPr>
        <w:t>subregulation 2.07(5); and</w:t>
      </w:r>
    </w:p>
    <w:p w14:paraId="1D3409FA" w14:textId="7C959B2A" w:rsidR="00660062" w:rsidRPr="00660062" w:rsidRDefault="00660062" w:rsidP="00660062">
      <w:pPr>
        <w:pStyle w:val="ESPara"/>
        <w:numPr>
          <w:ilvl w:val="0"/>
          <w:numId w:val="24"/>
        </w:numPr>
        <w:rPr>
          <w:sz w:val="24"/>
        </w:rPr>
      </w:pPr>
      <w:r w:rsidRPr="00660062">
        <w:rPr>
          <w:sz w:val="24"/>
        </w:rPr>
        <w:t>item 3 of the table in subitem 1236(6).</w:t>
      </w:r>
    </w:p>
    <w:sectPr w:rsidR="00660062" w:rsidRPr="00660062" w:rsidSect="008558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276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45821B" w14:textId="77777777" w:rsidR="00BC7C1D" w:rsidRDefault="00BC7C1D" w:rsidP="00980B54">
      <w:pPr>
        <w:spacing w:after="0" w:line="240" w:lineRule="auto"/>
      </w:pPr>
      <w:r>
        <w:separator/>
      </w:r>
    </w:p>
  </w:endnote>
  <w:endnote w:type="continuationSeparator" w:id="0">
    <w:p w14:paraId="679D336D" w14:textId="77777777" w:rsidR="00BC7C1D" w:rsidRDefault="00BC7C1D" w:rsidP="00980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A4F927" w14:textId="7F047EBE" w:rsidR="00787A7E" w:rsidRDefault="00B0453E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6A7F35B5" wp14:editId="5CE3E00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1160"/>
              <wp:effectExtent l="0" t="0" r="635" b="0"/>
              <wp:wrapNone/>
              <wp:docPr id="1159066619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00FDFC" w14:textId="6F1C6B42" w:rsidR="00B0453E" w:rsidRPr="00B0453E" w:rsidRDefault="00B0453E" w:rsidP="00B0453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B0453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7F35B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" style="position:absolute;margin-left:0;margin-top:0;width:43.45pt;height:30.8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" filled="f" stroked="f">
              <v:textbox style="mso-fit-shape-to-text:t" inset="0,0,0,15pt">
                <w:txbxContent>
                  <w:p w14:paraId="0600FDFC" w14:textId="6F1C6B42" w:rsidR="00B0453E" w:rsidRPr="00B0453E" w:rsidRDefault="00B0453E" w:rsidP="00B0453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B0453E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0A279C" w14:textId="0519A15F" w:rsidR="004B5E74" w:rsidRDefault="005B4A04">
    <w:pPr>
      <w:pStyle w:val="Footer"/>
      <w:jc w:val="right"/>
    </w:pPr>
    <w:sdt>
      <w:sdtPr>
        <w:id w:val="20514850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2640FB">
          <w:fldChar w:fldCharType="begin"/>
        </w:r>
        <w:r w:rsidR="002640FB">
          <w:instrText xml:space="preserve"> PAGE   \* MERGEFORMAT </w:instrText>
        </w:r>
        <w:r w:rsidR="002640FB">
          <w:fldChar w:fldCharType="separate"/>
        </w:r>
        <w:r>
          <w:rPr>
            <w:noProof/>
          </w:rPr>
          <w:t>2</w:t>
        </w:r>
        <w:r w:rsidR="002640FB">
          <w:rPr>
            <w:noProof/>
          </w:rPr>
          <w:fldChar w:fldCharType="end"/>
        </w:r>
      </w:sdtContent>
    </w:sdt>
  </w:p>
  <w:p w14:paraId="289E490A" w14:textId="43F01D15" w:rsidR="004B5E74" w:rsidRPr="008E6F07" w:rsidRDefault="004B5E74" w:rsidP="00855852">
    <w:pPr>
      <w:pStyle w:val="Footer"/>
      <w:jc w:val="center"/>
      <w:rPr>
        <w:i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700A9B" w14:textId="77777777" w:rsidR="005B4A04" w:rsidRDefault="005B4A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64D567" w14:textId="77777777" w:rsidR="00BC7C1D" w:rsidRDefault="00BC7C1D" w:rsidP="00980B54">
      <w:pPr>
        <w:spacing w:after="0" w:line="240" w:lineRule="auto"/>
      </w:pPr>
      <w:r>
        <w:separator/>
      </w:r>
    </w:p>
  </w:footnote>
  <w:footnote w:type="continuationSeparator" w:id="0">
    <w:p w14:paraId="465BC947" w14:textId="77777777" w:rsidR="00BC7C1D" w:rsidRDefault="00BC7C1D" w:rsidP="00980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4D31E0" w14:textId="473F5528" w:rsidR="00787A7E" w:rsidRDefault="00B0453E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3B2AA28" wp14:editId="5137C2E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610803739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46794C" w14:textId="6FA81659" w:rsidR="00B0453E" w:rsidRPr="00B0453E" w:rsidRDefault="00B0453E" w:rsidP="00B0453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B0453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B2AA2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0.8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" filled="f" stroked="f">
              <v:textbox style="mso-fit-shape-to-text:t" inset="0,15pt,0,0">
                <w:txbxContent>
                  <w:p w14:paraId="0946794C" w14:textId="6FA81659" w:rsidR="00B0453E" w:rsidRPr="00B0453E" w:rsidRDefault="00B0453E" w:rsidP="00B0453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B0453E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DF842F" w14:textId="77777777" w:rsidR="005B4A04" w:rsidRDefault="005B4A0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56D921" w14:textId="77777777" w:rsidR="005B4A04" w:rsidRDefault="005B4A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9043D"/>
    <w:multiLevelType w:val="hybridMultilevel"/>
    <w:tmpl w:val="F72E22D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6A4E11"/>
    <w:multiLevelType w:val="hybridMultilevel"/>
    <w:tmpl w:val="E0BAC83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22125B"/>
    <w:multiLevelType w:val="hybridMultilevel"/>
    <w:tmpl w:val="A88A65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DE1CE6"/>
    <w:multiLevelType w:val="hybridMultilevel"/>
    <w:tmpl w:val="BE30C9D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E15567"/>
    <w:multiLevelType w:val="hybridMultilevel"/>
    <w:tmpl w:val="1F1A96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3447BA"/>
    <w:multiLevelType w:val="hybridMultilevel"/>
    <w:tmpl w:val="FDE4D93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EDB4A3E"/>
    <w:multiLevelType w:val="hybridMultilevel"/>
    <w:tmpl w:val="E12A99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FB023C"/>
    <w:multiLevelType w:val="multilevel"/>
    <w:tmpl w:val="EF96FEA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AC78DF"/>
    <w:multiLevelType w:val="hybridMultilevel"/>
    <w:tmpl w:val="E034C034"/>
    <w:lvl w:ilvl="0" w:tplc="1F42999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503012E"/>
    <w:multiLevelType w:val="hybridMultilevel"/>
    <w:tmpl w:val="062633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CA1C6D"/>
    <w:multiLevelType w:val="hybridMultilevel"/>
    <w:tmpl w:val="E034C034"/>
    <w:lvl w:ilvl="0" w:tplc="1F42999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80C722E"/>
    <w:multiLevelType w:val="hybridMultilevel"/>
    <w:tmpl w:val="1C7AFD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E532A9"/>
    <w:multiLevelType w:val="hybridMultilevel"/>
    <w:tmpl w:val="16DE8FA2"/>
    <w:lvl w:ilvl="0" w:tplc="C80632DA">
      <w:start w:val="1"/>
      <w:numFmt w:val="decimal"/>
      <w:pStyle w:val="ESSubparaHeader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ABC2DF26">
      <w:start w:val="1"/>
      <w:numFmt w:val="bullet"/>
      <w:pStyle w:val="ESSubparaLis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CF1747"/>
    <w:multiLevelType w:val="hybridMultilevel"/>
    <w:tmpl w:val="570A9FC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0EB28B8"/>
    <w:multiLevelType w:val="hybridMultilevel"/>
    <w:tmpl w:val="92122426"/>
    <w:lvl w:ilvl="0" w:tplc="FFDE8488">
      <w:start w:val="1"/>
      <w:numFmt w:val="lowerRoman"/>
      <w:lvlText w:val="(%1)"/>
      <w:lvlJc w:val="righ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B900C6F"/>
    <w:multiLevelType w:val="hybridMultilevel"/>
    <w:tmpl w:val="5EF2C8C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E13CB6"/>
    <w:multiLevelType w:val="hybridMultilevel"/>
    <w:tmpl w:val="A4FC0862"/>
    <w:lvl w:ilvl="0" w:tplc="1F42999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AB93ABC"/>
    <w:multiLevelType w:val="hybridMultilevel"/>
    <w:tmpl w:val="FAC2B1C0"/>
    <w:lvl w:ilvl="0" w:tplc="1F42999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F631F82"/>
    <w:multiLevelType w:val="hybridMultilevel"/>
    <w:tmpl w:val="CDEEB1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383CE4"/>
    <w:multiLevelType w:val="hybridMultilevel"/>
    <w:tmpl w:val="57E0A0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4521D7"/>
    <w:multiLevelType w:val="hybridMultilevel"/>
    <w:tmpl w:val="F34095B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74811E6"/>
    <w:multiLevelType w:val="multilevel"/>
    <w:tmpl w:val="B53AF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C4438B9"/>
    <w:multiLevelType w:val="hybridMultilevel"/>
    <w:tmpl w:val="85CC673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39976E1"/>
    <w:multiLevelType w:val="hybridMultilevel"/>
    <w:tmpl w:val="BF825B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F44859"/>
    <w:multiLevelType w:val="hybridMultilevel"/>
    <w:tmpl w:val="6E38C73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6A7A27"/>
    <w:multiLevelType w:val="hybridMultilevel"/>
    <w:tmpl w:val="EB3879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23"/>
  </w:num>
  <w:num w:numId="5">
    <w:abstractNumId w:val="18"/>
  </w:num>
  <w:num w:numId="6">
    <w:abstractNumId w:val="9"/>
  </w:num>
  <w:num w:numId="7">
    <w:abstractNumId w:val="22"/>
  </w:num>
  <w:num w:numId="8">
    <w:abstractNumId w:val="2"/>
  </w:num>
  <w:num w:numId="9">
    <w:abstractNumId w:val="6"/>
  </w:num>
  <w:num w:numId="10">
    <w:abstractNumId w:val="19"/>
  </w:num>
  <w:num w:numId="11">
    <w:abstractNumId w:val="25"/>
  </w:num>
  <w:num w:numId="12">
    <w:abstractNumId w:val="11"/>
  </w:num>
  <w:num w:numId="13">
    <w:abstractNumId w:val="4"/>
  </w:num>
  <w:num w:numId="14">
    <w:abstractNumId w:val="20"/>
  </w:num>
  <w:num w:numId="15">
    <w:abstractNumId w:val="8"/>
  </w:num>
  <w:num w:numId="16">
    <w:abstractNumId w:val="10"/>
  </w:num>
  <w:num w:numId="17">
    <w:abstractNumId w:val="14"/>
  </w:num>
  <w:num w:numId="18">
    <w:abstractNumId w:val="13"/>
  </w:num>
  <w:num w:numId="19">
    <w:abstractNumId w:val="3"/>
  </w:num>
  <w:num w:numId="20">
    <w:abstractNumId w:val="5"/>
  </w:num>
  <w:num w:numId="21">
    <w:abstractNumId w:val="16"/>
  </w:num>
  <w:num w:numId="22">
    <w:abstractNumId w:val="17"/>
  </w:num>
  <w:num w:numId="23">
    <w:abstractNumId w:val="21"/>
  </w:num>
  <w:num w:numId="24">
    <w:abstractNumId w:val="7"/>
  </w:num>
  <w:num w:numId="25">
    <w:abstractNumId w:val="24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7E6"/>
    <w:rsid w:val="00023E55"/>
    <w:rsid w:val="00047CFB"/>
    <w:rsid w:val="00053CFB"/>
    <w:rsid w:val="00067254"/>
    <w:rsid w:val="0007064E"/>
    <w:rsid w:val="000B7D8D"/>
    <w:rsid w:val="000D3ED5"/>
    <w:rsid w:val="000D5B38"/>
    <w:rsid w:val="000F09D4"/>
    <w:rsid w:val="000F0B72"/>
    <w:rsid w:val="00135DFB"/>
    <w:rsid w:val="0013753A"/>
    <w:rsid w:val="0015081F"/>
    <w:rsid w:val="0015339F"/>
    <w:rsid w:val="00167359"/>
    <w:rsid w:val="0017657F"/>
    <w:rsid w:val="00181701"/>
    <w:rsid w:val="00183C80"/>
    <w:rsid w:val="001B4955"/>
    <w:rsid w:val="001C0426"/>
    <w:rsid w:val="001F21D4"/>
    <w:rsid w:val="00202282"/>
    <w:rsid w:val="0021345A"/>
    <w:rsid w:val="00215059"/>
    <w:rsid w:val="00234D13"/>
    <w:rsid w:val="00250361"/>
    <w:rsid w:val="0025730C"/>
    <w:rsid w:val="002640FB"/>
    <w:rsid w:val="002951DC"/>
    <w:rsid w:val="002A3154"/>
    <w:rsid w:val="002C3C95"/>
    <w:rsid w:val="002C3DA6"/>
    <w:rsid w:val="00313D74"/>
    <w:rsid w:val="003208C7"/>
    <w:rsid w:val="0032551B"/>
    <w:rsid w:val="003256F5"/>
    <w:rsid w:val="003454F7"/>
    <w:rsid w:val="00347331"/>
    <w:rsid w:val="0035228A"/>
    <w:rsid w:val="00365CE1"/>
    <w:rsid w:val="003924DF"/>
    <w:rsid w:val="003D22DF"/>
    <w:rsid w:val="003F6368"/>
    <w:rsid w:val="00400E0E"/>
    <w:rsid w:val="004022AE"/>
    <w:rsid w:val="004024E2"/>
    <w:rsid w:val="00413D1A"/>
    <w:rsid w:val="0042036B"/>
    <w:rsid w:val="00444846"/>
    <w:rsid w:val="004513D0"/>
    <w:rsid w:val="004629FF"/>
    <w:rsid w:val="004754FA"/>
    <w:rsid w:val="00476531"/>
    <w:rsid w:val="00480B20"/>
    <w:rsid w:val="00484092"/>
    <w:rsid w:val="00492463"/>
    <w:rsid w:val="004A2049"/>
    <w:rsid w:val="004B3FC6"/>
    <w:rsid w:val="004B5E74"/>
    <w:rsid w:val="004B7A23"/>
    <w:rsid w:val="004C5A69"/>
    <w:rsid w:val="004D0DB1"/>
    <w:rsid w:val="004F0ED5"/>
    <w:rsid w:val="004F6D2D"/>
    <w:rsid w:val="00504B07"/>
    <w:rsid w:val="005277A1"/>
    <w:rsid w:val="005359DA"/>
    <w:rsid w:val="00550C01"/>
    <w:rsid w:val="00556CB8"/>
    <w:rsid w:val="0056240A"/>
    <w:rsid w:val="005703FE"/>
    <w:rsid w:val="00573770"/>
    <w:rsid w:val="00583FB6"/>
    <w:rsid w:val="005B4A04"/>
    <w:rsid w:val="005C5D2F"/>
    <w:rsid w:val="005D677B"/>
    <w:rsid w:val="005D6C94"/>
    <w:rsid w:val="005E0F73"/>
    <w:rsid w:val="005E55FE"/>
    <w:rsid w:val="005F2605"/>
    <w:rsid w:val="00601598"/>
    <w:rsid w:val="00621CD1"/>
    <w:rsid w:val="00637B2E"/>
    <w:rsid w:val="00660062"/>
    <w:rsid w:val="00665576"/>
    <w:rsid w:val="00667372"/>
    <w:rsid w:val="00674194"/>
    <w:rsid w:val="006760EB"/>
    <w:rsid w:val="0069795D"/>
    <w:rsid w:val="006A2BF1"/>
    <w:rsid w:val="006C7C9E"/>
    <w:rsid w:val="006D1A0E"/>
    <w:rsid w:val="00702FE3"/>
    <w:rsid w:val="00712379"/>
    <w:rsid w:val="00787A7E"/>
    <w:rsid w:val="007907F6"/>
    <w:rsid w:val="00793DB3"/>
    <w:rsid w:val="00797C3D"/>
    <w:rsid w:val="007A6F9E"/>
    <w:rsid w:val="007B07C5"/>
    <w:rsid w:val="007B253E"/>
    <w:rsid w:val="007B3233"/>
    <w:rsid w:val="007D0D88"/>
    <w:rsid w:val="007E197F"/>
    <w:rsid w:val="007E6F43"/>
    <w:rsid w:val="00822D3E"/>
    <w:rsid w:val="00827DCC"/>
    <w:rsid w:val="00857D51"/>
    <w:rsid w:val="0086251D"/>
    <w:rsid w:val="00863B33"/>
    <w:rsid w:val="00866A19"/>
    <w:rsid w:val="00867539"/>
    <w:rsid w:val="00885036"/>
    <w:rsid w:val="00890864"/>
    <w:rsid w:val="0089204B"/>
    <w:rsid w:val="0089414F"/>
    <w:rsid w:val="00895828"/>
    <w:rsid w:val="008A3AAB"/>
    <w:rsid w:val="008B1D81"/>
    <w:rsid w:val="008B22F2"/>
    <w:rsid w:val="008B320E"/>
    <w:rsid w:val="008B41EF"/>
    <w:rsid w:val="008D1521"/>
    <w:rsid w:val="008D7EA2"/>
    <w:rsid w:val="008E6F07"/>
    <w:rsid w:val="008F2B6B"/>
    <w:rsid w:val="00911817"/>
    <w:rsid w:val="00923ECD"/>
    <w:rsid w:val="00923F47"/>
    <w:rsid w:val="0093129C"/>
    <w:rsid w:val="00946005"/>
    <w:rsid w:val="00966D0B"/>
    <w:rsid w:val="00980B54"/>
    <w:rsid w:val="0098393C"/>
    <w:rsid w:val="0098451A"/>
    <w:rsid w:val="00996F08"/>
    <w:rsid w:val="009B233C"/>
    <w:rsid w:val="009F0CCB"/>
    <w:rsid w:val="00A12040"/>
    <w:rsid w:val="00A30331"/>
    <w:rsid w:val="00A416AB"/>
    <w:rsid w:val="00A41DCC"/>
    <w:rsid w:val="00A425CC"/>
    <w:rsid w:val="00A42BDD"/>
    <w:rsid w:val="00A44E91"/>
    <w:rsid w:val="00A53FAE"/>
    <w:rsid w:val="00A54FB8"/>
    <w:rsid w:val="00A6369F"/>
    <w:rsid w:val="00A6386E"/>
    <w:rsid w:val="00A93507"/>
    <w:rsid w:val="00AA0CB4"/>
    <w:rsid w:val="00AA765F"/>
    <w:rsid w:val="00AB68BD"/>
    <w:rsid w:val="00AC074C"/>
    <w:rsid w:val="00AD1CA3"/>
    <w:rsid w:val="00AE693C"/>
    <w:rsid w:val="00AF07E6"/>
    <w:rsid w:val="00B0112B"/>
    <w:rsid w:val="00B0453E"/>
    <w:rsid w:val="00B157A2"/>
    <w:rsid w:val="00B160A6"/>
    <w:rsid w:val="00B503A0"/>
    <w:rsid w:val="00B600E1"/>
    <w:rsid w:val="00B605BA"/>
    <w:rsid w:val="00BA4304"/>
    <w:rsid w:val="00BC7C1D"/>
    <w:rsid w:val="00BE1BE3"/>
    <w:rsid w:val="00BF07C8"/>
    <w:rsid w:val="00C15252"/>
    <w:rsid w:val="00C20944"/>
    <w:rsid w:val="00C2270D"/>
    <w:rsid w:val="00C263C7"/>
    <w:rsid w:val="00C27150"/>
    <w:rsid w:val="00C27D1D"/>
    <w:rsid w:val="00C5095F"/>
    <w:rsid w:val="00C50F8B"/>
    <w:rsid w:val="00C57127"/>
    <w:rsid w:val="00C735B4"/>
    <w:rsid w:val="00CA4406"/>
    <w:rsid w:val="00CA4F8D"/>
    <w:rsid w:val="00CA7125"/>
    <w:rsid w:val="00CC17E3"/>
    <w:rsid w:val="00D35107"/>
    <w:rsid w:val="00D511A6"/>
    <w:rsid w:val="00D550AD"/>
    <w:rsid w:val="00D71D88"/>
    <w:rsid w:val="00D7597D"/>
    <w:rsid w:val="00D929E4"/>
    <w:rsid w:val="00D94821"/>
    <w:rsid w:val="00DA21B3"/>
    <w:rsid w:val="00DD2272"/>
    <w:rsid w:val="00DE0FB0"/>
    <w:rsid w:val="00DE64F2"/>
    <w:rsid w:val="00E00E15"/>
    <w:rsid w:val="00E01C97"/>
    <w:rsid w:val="00E01DA0"/>
    <w:rsid w:val="00E3746E"/>
    <w:rsid w:val="00E37F8E"/>
    <w:rsid w:val="00E52D50"/>
    <w:rsid w:val="00E54086"/>
    <w:rsid w:val="00E5528E"/>
    <w:rsid w:val="00E873E4"/>
    <w:rsid w:val="00E91EA9"/>
    <w:rsid w:val="00EA5061"/>
    <w:rsid w:val="00EF4075"/>
    <w:rsid w:val="00F01D3F"/>
    <w:rsid w:val="00F8159D"/>
    <w:rsid w:val="00FA125E"/>
    <w:rsid w:val="00FA70E0"/>
    <w:rsid w:val="00FB05C3"/>
    <w:rsid w:val="00FB3B22"/>
    <w:rsid w:val="00FB5941"/>
    <w:rsid w:val="00FB6C1A"/>
    <w:rsid w:val="00FC2363"/>
    <w:rsid w:val="00FE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1F91050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7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SHeading">
    <w:name w:val="ES_Heading"/>
    <w:basedOn w:val="ListParagraph"/>
    <w:link w:val="ESHeadingChar"/>
    <w:qFormat/>
    <w:rsid w:val="00AF07E6"/>
    <w:pPr>
      <w:keepNext/>
      <w:spacing w:before="240" w:after="240" w:line="276" w:lineRule="auto"/>
      <w:ind w:left="0"/>
      <w:contextualSpacing w:val="0"/>
    </w:pPr>
    <w:rPr>
      <w:rFonts w:ascii="Times New Roman" w:hAnsi="Times New Roman" w:cs="Times New Roman"/>
      <w:b/>
      <w:i/>
    </w:rPr>
  </w:style>
  <w:style w:type="paragraph" w:customStyle="1" w:styleId="ESAttAttName">
    <w:name w:val="ESAtt_AttName"/>
    <w:basedOn w:val="Normal"/>
    <w:link w:val="ESAttAttNameChar"/>
    <w:qFormat/>
    <w:rsid w:val="00AF07E6"/>
    <w:pPr>
      <w:spacing w:before="240" w:after="240" w:line="276" w:lineRule="auto"/>
      <w:jc w:val="right"/>
    </w:pPr>
    <w:rPr>
      <w:rFonts w:ascii="Times New Roman" w:hAnsi="Times New Roman" w:cs="Times New Roman"/>
      <w:b/>
      <w:u w:val="single"/>
    </w:rPr>
  </w:style>
  <w:style w:type="character" w:customStyle="1" w:styleId="ESHeadingChar">
    <w:name w:val="ES_Heading Char"/>
    <w:basedOn w:val="DefaultParagraphFont"/>
    <w:link w:val="ESHeading"/>
    <w:rsid w:val="00AF07E6"/>
    <w:rPr>
      <w:rFonts w:ascii="Times New Roman" w:hAnsi="Times New Roman" w:cs="Times New Roman"/>
      <w:b/>
      <w:i/>
    </w:rPr>
  </w:style>
  <w:style w:type="paragraph" w:customStyle="1" w:styleId="ESAttHeading">
    <w:name w:val="ESAtt_Heading"/>
    <w:basedOn w:val="Normal"/>
    <w:link w:val="ESAttHeadingChar"/>
    <w:qFormat/>
    <w:rsid w:val="00AF07E6"/>
    <w:pPr>
      <w:keepNext/>
      <w:spacing w:before="240" w:after="240" w:line="276" w:lineRule="auto"/>
    </w:pPr>
    <w:rPr>
      <w:rFonts w:ascii="Times New Roman" w:hAnsi="Times New Roman" w:cs="Times New Roman"/>
      <w:b/>
    </w:rPr>
  </w:style>
  <w:style w:type="character" w:customStyle="1" w:styleId="ESAttAttNameChar">
    <w:name w:val="ESAtt_AttName Char"/>
    <w:basedOn w:val="DefaultParagraphFont"/>
    <w:link w:val="ESAttAttName"/>
    <w:rsid w:val="00AF07E6"/>
    <w:rPr>
      <w:rFonts w:ascii="Times New Roman" w:hAnsi="Times New Roman" w:cs="Times New Roman"/>
      <w:b/>
      <w:u w:val="single"/>
    </w:rPr>
  </w:style>
  <w:style w:type="paragraph" w:customStyle="1" w:styleId="ESAttNormal">
    <w:name w:val="ESAtt_Normal"/>
    <w:basedOn w:val="Normal"/>
    <w:link w:val="ESAttNormalChar"/>
    <w:qFormat/>
    <w:rsid w:val="00AF07E6"/>
    <w:pPr>
      <w:spacing w:before="240" w:after="240" w:line="276" w:lineRule="auto"/>
    </w:pPr>
    <w:rPr>
      <w:rFonts w:ascii="Times New Roman" w:hAnsi="Times New Roman" w:cs="Times New Roman"/>
    </w:rPr>
  </w:style>
  <w:style w:type="character" w:customStyle="1" w:styleId="ESAttHeadingChar">
    <w:name w:val="ESAtt_Heading Char"/>
    <w:basedOn w:val="DefaultParagraphFont"/>
    <w:link w:val="ESAttHeading"/>
    <w:rsid w:val="00AF07E6"/>
    <w:rPr>
      <w:rFonts w:ascii="Times New Roman" w:hAnsi="Times New Roman" w:cs="Times New Roman"/>
      <w:b/>
    </w:rPr>
  </w:style>
  <w:style w:type="character" w:customStyle="1" w:styleId="ESAttNormalChar">
    <w:name w:val="ESAtt_Normal Char"/>
    <w:basedOn w:val="DefaultParagraphFont"/>
    <w:link w:val="ESAttNormal"/>
    <w:rsid w:val="00AF07E6"/>
    <w:rPr>
      <w:rFonts w:ascii="Times New Roman" w:hAnsi="Times New Roman" w:cs="Times New Roman"/>
    </w:rPr>
  </w:style>
  <w:style w:type="paragraph" w:customStyle="1" w:styleId="ESTitleInstrumentName">
    <w:name w:val="ESTitle_InstrumentName"/>
    <w:basedOn w:val="Normal"/>
    <w:link w:val="ESTitleInstrumentNameChar"/>
    <w:qFormat/>
    <w:rsid w:val="00AF07E6"/>
    <w:pPr>
      <w:spacing w:before="360" w:after="600" w:line="276" w:lineRule="auto"/>
      <w:jc w:val="center"/>
    </w:pPr>
    <w:rPr>
      <w:rFonts w:ascii="Times New Roman" w:hAnsi="Times New Roman" w:cs="Times New Roman"/>
      <w:b/>
      <w:i/>
    </w:rPr>
  </w:style>
  <w:style w:type="paragraph" w:customStyle="1" w:styleId="ESTitleEnablingLegislation">
    <w:name w:val="ESTitle_EnablingLegislation"/>
    <w:basedOn w:val="Normal"/>
    <w:link w:val="ESTitleEnablingLegislationChar"/>
    <w:qFormat/>
    <w:rsid w:val="00AF07E6"/>
    <w:pPr>
      <w:spacing w:line="276" w:lineRule="auto"/>
      <w:jc w:val="center"/>
    </w:pPr>
    <w:rPr>
      <w:rFonts w:ascii="Times New Roman" w:hAnsi="Times New Roman" w:cs="Times New Roman"/>
      <w:i/>
    </w:rPr>
  </w:style>
  <w:style w:type="character" w:customStyle="1" w:styleId="ESTitleInstrumentNameChar">
    <w:name w:val="ESTitle_InstrumentName Char"/>
    <w:basedOn w:val="DefaultParagraphFont"/>
    <w:link w:val="ESTitleInstrumentName"/>
    <w:rsid w:val="00AF07E6"/>
    <w:rPr>
      <w:rFonts w:ascii="Times New Roman" w:hAnsi="Times New Roman" w:cs="Times New Roman"/>
      <w:b/>
      <w:i/>
    </w:rPr>
  </w:style>
  <w:style w:type="paragraph" w:customStyle="1" w:styleId="ESTitleDecisionMaker">
    <w:name w:val="ESTitle_DecisionMaker"/>
    <w:basedOn w:val="Normal"/>
    <w:link w:val="ESTitleDecisionMakerChar"/>
    <w:qFormat/>
    <w:rsid w:val="00AF07E6"/>
    <w:pPr>
      <w:spacing w:line="276" w:lineRule="auto"/>
      <w:jc w:val="center"/>
    </w:pPr>
    <w:rPr>
      <w:rFonts w:ascii="Times New Roman" w:hAnsi="Times New Roman" w:cs="Times New Roman"/>
    </w:rPr>
  </w:style>
  <w:style w:type="character" w:customStyle="1" w:styleId="ESTitleEnablingLegislationChar">
    <w:name w:val="ESTitle_EnablingLegislation Char"/>
    <w:basedOn w:val="DefaultParagraphFont"/>
    <w:link w:val="ESTitleEnablingLegislation"/>
    <w:rsid w:val="00AF07E6"/>
    <w:rPr>
      <w:rFonts w:ascii="Times New Roman" w:hAnsi="Times New Roman" w:cs="Times New Roman"/>
      <w:i/>
    </w:rPr>
  </w:style>
  <w:style w:type="paragraph" w:customStyle="1" w:styleId="ESTitleHeader">
    <w:name w:val="ESTitle_Header"/>
    <w:basedOn w:val="Normal"/>
    <w:link w:val="ESTitleHeaderChar"/>
    <w:qFormat/>
    <w:rsid w:val="00AF07E6"/>
    <w:pPr>
      <w:spacing w:line="276" w:lineRule="auto"/>
      <w:jc w:val="center"/>
    </w:pPr>
    <w:rPr>
      <w:rFonts w:ascii="Times New Roman" w:hAnsi="Times New Roman" w:cs="Times New Roman"/>
      <w:u w:val="single"/>
    </w:rPr>
  </w:style>
  <w:style w:type="character" w:customStyle="1" w:styleId="ESTitleDecisionMakerChar">
    <w:name w:val="ESTitle_DecisionMaker Char"/>
    <w:basedOn w:val="DefaultParagraphFont"/>
    <w:link w:val="ESTitleDecisionMaker"/>
    <w:rsid w:val="00AF07E6"/>
    <w:rPr>
      <w:rFonts w:ascii="Times New Roman" w:hAnsi="Times New Roman" w:cs="Times New Roman"/>
    </w:rPr>
  </w:style>
  <w:style w:type="paragraph" w:customStyle="1" w:styleId="ESSubparaHeader">
    <w:name w:val="ES_SubparaHeader"/>
    <w:basedOn w:val="ListParagraph"/>
    <w:next w:val="ESSubparaList"/>
    <w:qFormat/>
    <w:rsid w:val="00AF07E6"/>
    <w:pPr>
      <w:keepNext/>
      <w:numPr>
        <w:numId w:val="1"/>
      </w:numPr>
      <w:spacing w:before="240" w:after="240" w:line="276" w:lineRule="auto"/>
      <w:ind w:left="567" w:hanging="567"/>
      <w:contextualSpacing w:val="0"/>
    </w:pPr>
    <w:rPr>
      <w:rFonts w:ascii="Times New Roman" w:hAnsi="Times New Roman" w:cs="Times New Roman"/>
    </w:rPr>
  </w:style>
  <w:style w:type="character" w:customStyle="1" w:styleId="ESTitleHeaderChar">
    <w:name w:val="ESTitle_Header Char"/>
    <w:basedOn w:val="DefaultParagraphFont"/>
    <w:link w:val="ESTitleHeader"/>
    <w:rsid w:val="00AF07E6"/>
    <w:rPr>
      <w:rFonts w:ascii="Times New Roman" w:hAnsi="Times New Roman" w:cs="Times New Roman"/>
      <w:u w:val="single"/>
    </w:rPr>
  </w:style>
  <w:style w:type="paragraph" w:customStyle="1" w:styleId="ESSubparaList">
    <w:name w:val="ES_SubparaList"/>
    <w:basedOn w:val="ListParagraph"/>
    <w:qFormat/>
    <w:rsid w:val="00AF07E6"/>
    <w:pPr>
      <w:numPr>
        <w:ilvl w:val="1"/>
        <w:numId w:val="1"/>
      </w:numPr>
      <w:spacing w:before="240" w:after="240" w:line="276" w:lineRule="auto"/>
      <w:ind w:left="1276" w:hanging="425"/>
      <w:contextualSpacing w:val="0"/>
    </w:pPr>
    <w:rPr>
      <w:rFonts w:ascii="Times New Roman" w:hAnsi="Times New Roman" w:cs="Times New Roman"/>
    </w:rPr>
  </w:style>
  <w:style w:type="paragraph" w:customStyle="1" w:styleId="ESPara">
    <w:name w:val="ES_Para"/>
    <w:basedOn w:val="ESSubparaHeader"/>
    <w:link w:val="ESParaChar"/>
    <w:qFormat/>
    <w:rsid w:val="00AF07E6"/>
    <w:pPr>
      <w:keepNext w:val="0"/>
    </w:pPr>
  </w:style>
  <w:style w:type="character" w:customStyle="1" w:styleId="ESParaChar">
    <w:name w:val="ES_Para Char"/>
    <w:basedOn w:val="DefaultParagraphFont"/>
    <w:link w:val="ESPara"/>
    <w:rsid w:val="00AF07E6"/>
    <w:rPr>
      <w:rFonts w:ascii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AF07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07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07E6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F07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07E6"/>
  </w:style>
  <w:style w:type="paragraph" w:styleId="Footer">
    <w:name w:val="footer"/>
    <w:basedOn w:val="Normal"/>
    <w:link w:val="FooterChar"/>
    <w:uiPriority w:val="99"/>
    <w:unhideWhenUsed/>
    <w:rsid w:val="00AF07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07E6"/>
  </w:style>
  <w:style w:type="paragraph" w:customStyle="1" w:styleId="paragraph">
    <w:name w:val="paragraph"/>
    <w:aliases w:val="a"/>
    <w:basedOn w:val="Normal"/>
    <w:rsid w:val="00AF07E6"/>
    <w:pPr>
      <w:tabs>
        <w:tab w:val="right" w:pos="1531"/>
      </w:tabs>
      <w:spacing w:before="40" w:after="0" w:line="240" w:lineRule="auto"/>
      <w:ind w:left="1644" w:hanging="1644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paragraphsub">
    <w:name w:val="paragraph(sub)"/>
    <w:aliases w:val="aa"/>
    <w:basedOn w:val="Normal"/>
    <w:rsid w:val="00AF07E6"/>
    <w:pPr>
      <w:tabs>
        <w:tab w:val="right" w:pos="1985"/>
      </w:tabs>
      <w:spacing w:before="40" w:after="0" w:line="240" w:lineRule="auto"/>
      <w:ind w:left="2098" w:hanging="2098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ListParagraph">
    <w:name w:val="List Paragraph"/>
    <w:basedOn w:val="Normal"/>
    <w:link w:val="ListParagraphChar"/>
    <w:uiPriority w:val="34"/>
    <w:qFormat/>
    <w:rsid w:val="00AF07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0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7E6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07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07E6"/>
    <w:rPr>
      <w:b/>
      <w:bCs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A765F"/>
  </w:style>
  <w:style w:type="paragraph" w:styleId="Revision">
    <w:name w:val="Revision"/>
    <w:hidden/>
    <w:uiPriority w:val="99"/>
    <w:semiHidden/>
    <w:rsid w:val="004B5E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2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2024-09-20T00:59:00Z</dcterms:created>
  <dcterms:modified xsi:type="dcterms:W3CDTF">2024-09-20T00:59:00Z</dcterms:modified>
</cp:coreProperties>
</file>