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90795" w14:textId="77777777" w:rsidR="00684F42" w:rsidRPr="00F354F1" w:rsidRDefault="00684F42" w:rsidP="00684F42">
      <w:pPr>
        <w:spacing w:before="0" w:after="0"/>
        <w:jc w:val="center"/>
        <w:rPr>
          <w:b/>
          <w:sz w:val="22"/>
          <w:szCs w:val="22"/>
          <w:u w:val="single"/>
          <w:lang w:val="en-AU"/>
        </w:rPr>
      </w:pPr>
      <w:r w:rsidRPr="00F354F1">
        <w:rPr>
          <w:b/>
          <w:sz w:val="22"/>
          <w:szCs w:val="22"/>
          <w:u w:val="single"/>
          <w:lang w:val="en-AU"/>
        </w:rPr>
        <w:t>EXPLANATORY STATEMENT</w:t>
      </w:r>
    </w:p>
    <w:p w14:paraId="31549CA6" w14:textId="77777777" w:rsidR="00684F42" w:rsidRPr="00F354F1" w:rsidRDefault="00684F42" w:rsidP="00684F42">
      <w:pPr>
        <w:spacing w:before="0" w:after="0"/>
        <w:jc w:val="center"/>
        <w:rPr>
          <w:i/>
          <w:sz w:val="22"/>
          <w:szCs w:val="22"/>
          <w:lang w:val="en-AU"/>
        </w:rPr>
      </w:pPr>
    </w:p>
    <w:p w14:paraId="160A5028" w14:textId="77777777" w:rsidR="00684F42" w:rsidRPr="00F354F1" w:rsidRDefault="00684F42" w:rsidP="00684F42">
      <w:pPr>
        <w:spacing w:before="0" w:after="0"/>
        <w:jc w:val="center"/>
        <w:rPr>
          <w:i/>
          <w:sz w:val="22"/>
          <w:szCs w:val="22"/>
          <w:lang w:val="en-AU"/>
        </w:rPr>
      </w:pPr>
      <w:r w:rsidRPr="00F354F1">
        <w:rPr>
          <w:i/>
          <w:sz w:val="22"/>
          <w:szCs w:val="22"/>
          <w:lang w:val="en-AU"/>
        </w:rPr>
        <w:t>Therapeutic Goods Act 1989</w:t>
      </w:r>
    </w:p>
    <w:p w14:paraId="24B1C113" w14:textId="77777777" w:rsidR="00684F42" w:rsidRPr="00F354F1" w:rsidRDefault="00684F42" w:rsidP="00684F42">
      <w:pPr>
        <w:spacing w:before="0" w:after="0"/>
        <w:jc w:val="center"/>
        <w:rPr>
          <w:i/>
          <w:sz w:val="22"/>
          <w:szCs w:val="22"/>
          <w:lang w:val="en-AU"/>
        </w:rPr>
      </w:pPr>
    </w:p>
    <w:p w14:paraId="5248AA04" w14:textId="7A969FCF" w:rsidR="00684F42" w:rsidRPr="00F354F1" w:rsidRDefault="00684F42" w:rsidP="00684F42">
      <w:pPr>
        <w:spacing w:before="0" w:after="0"/>
        <w:jc w:val="center"/>
        <w:rPr>
          <w:sz w:val="22"/>
          <w:szCs w:val="22"/>
          <w:lang w:val="en-AU"/>
        </w:rPr>
      </w:pPr>
      <w:bookmarkStart w:id="0" w:name="_Hlk88734622"/>
      <w:r w:rsidRPr="00F354F1">
        <w:rPr>
          <w:i/>
          <w:sz w:val="22"/>
          <w:szCs w:val="22"/>
          <w:lang w:val="en-AU"/>
        </w:rPr>
        <w:t>Therapeutic Goods (Standard for Export Only Medicine</w:t>
      </w:r>
      <w:r w:rsidR="00A2561F">
        <w:rPr>
          <w:i/>
          <w:sz w:val="22"/>
          <w:szCs w:val="22"/>
          <w:lang w:val="en-AU"/>
        </w:rPr>
        <w:t>s</w:t>
      </w:r>
      <w:r w:rsidRPr="00F354F1">
        <w:rPr>
          <w:i/>
          <w:sz w:val="22"/>
          <w:szCs w:val="22"/>
          <w:lang w:val="en-AU"/>
        </w:rPr>
        <w:t>) (TGO 11</w:t>
      </w:r>
      <w:r w:rsidR="00833DD3">
        <w:rPr>
          <w:i/>
          <w:sz w:val="22"/>
          <w:szCs w:val="22"/>
          <w:lang w:val="en-AU"/>
        </w:rPr>
        <w:t>4</w:t>
      </w:r>
      <w:r w:rsidRPr="00F354F1">
        <w:rPr>
          <w:i/>
          <w:sz w:val="22"/>
          <w:szCs w:val="22"/>
          <w:lang w:val="en-AU"/>
        </w:rPr>
        <w:t>) Order 2024</w:t>
      </w:r>
    </w:p>
    <w:bookmarkEnd w:id="0"/>
    <w:p w14:paraId="48AF2ED0" w14:textId="77777777" w:rsidR="00684F42" w:rsidRPr="00F354F1" w:rsidRDefault="00684F42" w:rsidP="00684F42">
      <w:pPr>
        <w:spacing w:before="0" w:after="0"/>
        <w:rPr>
          <w:sz w:val="22"/>
          <w:szCs w:val="22"/>
          <w:lang w:val="en-AU"/>
        </w:rPr>
      </w:pPr>
    </w:p>
    <w:p w14:paraId="03A3AB25" w14:textId="26E9C7D3" w:rsidR="00684F42" w:rsidRPr="00F354F1" w:rsidRDefault="00684F42" w:rsidP="00684F42">
      <w:pPr>
        <w:spacing w:before="0" w:after="0"/>
        <w:rPr>
          <w:sz w:val="22"/>
          <w:szCs w:val="22"/>
          <w:lang w:val="en-AU"/>
        </w:rPr>
      </w:pPr>
      <w:r w:rsidRPr="00F354F1">
        <w:rPr>
          <w:sz w:val="22"/>
          <w:szCs w:val="22"/>
          <w:lang w:val="en-AU"/>
        </w:rPr>
        <w:t xml:space="preserve">The </w:t>
      </w:r>
      <w:r w:rsidRPr="00F354F1">
        <w:rPr>
          <w:i/>
          <w:sz w:val="22"/>
          <w:szCs w:val="22"/>
          <w:lang w:val="en-AU"/>
        </w:rPr>
        <w:t>Therapeutic Goods Act 1989</w:t>
      </w:r>
      <w:r w:rsidRPr="00F354F1">
        <w:rPr>
          <w:sz w:val="22"/>
          <w:szCs w:val="22"/>
          <w:lang w:val="en-AU"/>
        </w:rPr>
        <w:t xml:space="preserve"> (“the Act”) provides for the establishment and maintenance of a national system of controls for the quality, safety, efficacy </w:t>
      </w:r>
      <w:r w:rsidR="00A2561F">
        <w:rPr>
          <w:sz w:val="22"/>
          <w:szCs w:val="22"/>
          <w:lang w:val="en-AU"/>
        </w:rPr>
        <w:t xml:space="preserve">or performance, </w:t>
      </w:r>
      <w:r w:rsidRPr="00F354F1">
        <w:rPr>
          <w:sz w:val="22"/>
          <w:szCs w:val="22"/>
          <w:lang w:val="en-AU"/>
        </w:rPr>
        <w:t>and timely availability of therapeutic goods that are used in, or exported from, Australia. The Act is administered by the Therapeutic Goods Administration (“the TGA”) within the Australian Government Department of Health</w:t>
      </w:r>
      <w:r w:rsidR="00574499">
        <w:rPr>
          <w:sz w:val="22"/>
          <w:szCs w:val="22"/>
          <w:lang w:val="en-AU"/>
        </w:rPr>
        <w:t xml:space="preserve"> and Aged Care</w:t>
      </w:r>
      <w:r w:rsidRPr="00F354F1">
        <w:rPr>
          <w:sz w:val="22"/>
          <w:szCs w:val="22"/>
          <w:lang w:val="en-AU"/>
        </w:rPr>
        <w:t>.</w:t>
      </w:r>
    </w:p>
    <w:p w14:paraId="38E96C27" w14:textId="77777777" w:rsidR="00684F42" w:rsidRPr="00F354F1" w:rsidRDefault="00684F42" w:rsidP="00684F42">
      <w:pPr>
        <w:spacing w:before="0" w:after="0"/>
        <w:rPr>
          <w:sz w:val="22"/>
          <w:szCs w:val="22"/>
          <w:lang w:val="en-AU"/>
        </w:rPr>
      </w:pPr>
    </w:p>
    <w:p w14:paraId="6DE6F978" w14:textId="02BD466B" w:rsidR="00684F42" w:rsidRPr="00F354F1" w:rsidRDefault="00684F42" w:rsidP="00684F42">
      <w:pPr>
        <w:spacing w:before="0" w:after="0"/>
        <w:rPr>
          <w:sz w:val="22"/>
          <w:szCs w:val="22"/>
          <w:lang w:val="en-AU"/>
        </w:rPr>
      </w:pPr>
      <w:bookmarkStart w:id="1" w:name="_Hlk95988838"/>
      <w:r w:rsidRPr="00F354F1">
        <w:rPr>
          <w:sz w:val="22"/>
          <w:szCs w:val="22"/>
          <w:lang w:val="en-AU"/>
        </w:rPr>
        <w:t>Subsection 10(1) of the Act provides that the Minister may, by legislative instrument, make an order determining that matters specified in the order constitute a standard for therapeutic goods or a class of therapeutic goods identified in the order.</w:t>
      </w:r>
      <w:r w:rsidR="00DF2288">
        <w:rPr>
          <w:sz w:val="22"/>
          <w:szCs w:val="22"/>
          <w:lang w:val="en-AU"/>
        </w:rPr>
        <w:t xml:space="preserve"> Subsection 10(2) provides that an order establishing a standard for therapeutic goods may be specified by reference to the quality of the goods, or the procedures to be carried out in the manufacture of the good, among other things. Relevantly</w:t>
      </w:r>
      <w:r w:rsidRPr="00F354F1">
        <w:rPr>
          <w:sz w:val="22"/>
          <w:szCs w:val="22"/>
          <w:lang w:val="en-AU"/>
        </w:rPr>
        <w:t xml:space="preserve"> </w:t>
      </w:r>
      <w:r w:rsidR="009A1DC0">
        <w:rPr>
          <w:sz w:val="22"/>
          <w:szCs w:val="22"/>
          <w:lang w:val="en-AU"/>
        </w:rPr>
        <w:t>sub</w:t>
      </w:r>
      <w:r w:rsidR="00DF2288">
        <w:rPr>
          <w:sz w:val="22"/>
          <w:szCs w:val="22"/>
          <w:lang w:val="en-AU"/>
        </w:rPr>
        <w:t>paragraph</w:t>
      </w:r>
      <w:r w:rsidR="0056514B">
        <w:rPr>
          <w:sz w:val="22"/>
          <w:szCs w:val="22"/>
          <w:lang w:val="en-AU"/>
        </w:rPr>
        <w:t>s</w:t>
      </w:r>
      <w:r w:rsidRPr="00F354F1">
        <w:rPr>
          <w:sz w:val="22"/>
          <w:szCs w:val="22"/>
          <w:lang w:val="en-AU"/>
        </w:rPr>
        <w:t xml:space="preserve"> 10(2)</w:t>
      </w:r>
      <w:r w:rsidR="009A1DC0">
        <w:rPr>
          <w:sz w:val="22"/>
          <w:szCs w:val="22"/>
          <w:lang w:val="en-AU"/>
        </w:rPr>
        <w:t>(a)</w:t>
      </w:r>
      <w:r w:rsidR="00DF2288">
        <w:rPr>
          <w:sz w:val="22"/>
          <w:szCs w:val="22"/>
          <w:lang w:val="en-AU"/>
        </w:rPr>
        <w:t>(iv)</w:t>
      </w:r>
      <w:r w:rsidRPr="00F354F1">
        <w:rPr>
          <w:sz w:val="22"/>
          <w:szCs w:val="22"/>
          <w:lang w:val="en-AU"/>
        </w:rPr>
        <w:t xml:space="preserve"> </w:t>
      </w:r>
      <w:r w:rsidR="0056514B">
        <w:rPr>
          <w:sz w:val="22"/>
          <w:szCs w:val="22"/>
          <w:lang w:val="en-AU"/>
        </w:rPr>
        <w:t xml:space="preserve">and (v) </w:t>
      </w:r>
      <w:r w:rsidRPr="00F354F1">
        <w:rPr>
          <w:sz w:val="22"/>
          <w:szCs w:val="22"/>
          <w:lang w:val="en-AU"/>
        </w:rPr>
        <w:t xml:space="preserve">provide that an order establishing a standard for therapeutic goods may be specified by reference </w:t>
      </w:r>
      <w:r w:rsidR="001F1220">
        <w:rPr>
          <w:sz w:val="22"/>
          <w:szCs w:val="22"/>
          <w:lang w:val="en-AU"/>
        </w:rPr>
        <w:t xml:space="preserve">to </w:t>
      </w:r>
      <w:r w:rsidRPr="00F354F1">
        <w:rPr>
          <w:sz w:val="22"/>
          <w:szCs w:val="22"/>
          <w:lang w:val="en-AU"/>
        </w:rPr>
        <w:t>a monograph in the British Pharmacopoeia</w:t>
      </w:r>
      <w:r w:rsidR="00574499">
        <w:rPr>
          <w:sz w:val="22"/>
          <w:szCs w:val="22"/>
          <w:lang w:val="en-AU"/>
        </w:rPr>
        <w:t xml:space="preserve">, the </w:t>
      </w:r>
      <w:r w:rsidRPr="00F354F1">
        <w:rPr>
          <w:sz w:val="22"/>
          <w:szCs w:val="22"/>
          <w:lang w:val="en-AU"/>
        </w:rPr>
        <w:t>European Pharmacopoeia</w:t>
      </w:r>
      <w:r w:rsidR="00574499">
        <w:rPr>
          <w:sz w:val="22"/>
          <w:szCs w:val="22"/>
          <w:lang w:val="en-AU"/>
        </w:rPr>
        <w:t xml:space="preserve">, </w:t>
      </w:r>
      <w:r w:rsidR="0056514B">
        <w:rPr>
          <w:sz w:val="22"/>
          <w:szCs w:val="22"/>
          <w:lang w:val="en-AU"/>
        </w:rPr>
        <w:t xml:space="preserve">or </w:t>
      </w:r>
      <w:r w:rsidR="00574499">
        <w:rPr>
          <w:sz w:val="22"/>
          <w:szCs w:val="22"/>
          <w:lang w:val="en-AU"/>
        </w:rPr>
        <w:t>the United States Pharmacopoeia-National Formular</w:t>
      </w:r>
      <w:r w:rsidR="001F1220">
        <w:rPr>
          <w:sz w:val="22"/>
          <w:szCs w:val="22"/>
          <w:lang w:val="en-AU"/>
        </w:rPr>
        <w:t>y</w:t>
      </w:r>
      <w:r w:rsidR="0056514B">
        <w:rPr>
          <w:sz w:val="22"/>
          <w:szCs w:val="22"/>
          <w:lang w:val="en-AU"/>
        </w:rPr>
        <w:t>, or a monograph in another publication approved by the Minister for the purposes of subsection 10(2)</w:t>
      </w:r>
      <w:r w:rsidR="00FF74C3">
        <w:rPr>
          <w:sz w:val="22"/>
          <w:szCs w:val="22"/>
          <w:lang w:val="en-AU"/>
        </w:rPr>
        <w:t xml:space="preserve">. </w:t>
      </w:r>
      <w:r w:rsidRPr="00F354F1">
        <w:rPr>
          <w:sz w:val="22"/>
          <w:szCs w:val="22"/>
          <w:lang w:val="en-AU"/>
        </w:rPr>
        <w:t>Under subsection 10(3A) of the Act, the Minister may vary or revoke an order made under subsection 10(1) by legislative instrument.</w:t>
      </w:r>
    </w:p>
    <w:p w14:paraId="50FD609C" w14:textId="77777777" w:rsidR="00684F42" w:rsidRPr="00F354F1" w:rsidRDefault="00684F42" w:rsidP="00684F42">
      <w:pPr>
        <w:spacing w:before="0" w:after="0"/>
        <w:rPr>
          <w:sz w:val="22"/>
          <w:szCs w:val="22"/>
          <w:lang w:val="en-AU"/>
        </w:rPr>
      </w:pPr>
    </w:p>
    <w:p w14:paraId="23702FCB" w14:textId="77777777" w:rsidR="00684F42" w:rsidRPr="00F354F1" w:rsidRDefault="00684F42" w:rsidP="00684F42">
      <w:pPr>
        <w:spacing w:before="0" w:after="0"/>
        <w:rPr>
          <w:sz w:val="22"/>
          <w:szCs w:val="22"/>
          <w:lang w:val="en-AU"/>
        </w:rPr>
      </w:pPr>
      <w:r w:rsidRPr="00F354F1">
        <w:rPr>
          <w:sz w:val="22"/>
          <w:szCs w:val="22"/>
          <w:lang w:val="en-AU"/>
        </w:rPr>
        <w:t xml:space="preserve">Importantly, a person who imports, </w:t>
      </w:r>
      <w:proofErr w:type="gramStart"/>
      <w:r w:rsidRPr="00F354F1">
        <w:rPr>
          <w:sz w:val="22"/>
          <w:szCs w:val="22"/>
          <w:lang w:val="en-AU"/>
        </w:rPr>
        <w:t>exports</w:t>
      </w:r>
      <w:proofErr w:type="gramEnd"/>
      <w:r w:rsidRPr="00F354F1">
        <w:rPr>
          <w:sz w:val="22"/>
          <w:szCs w:val="22"/>
          <w:lang w:val="en-AU"/>
        </w:rPr>
        <w:t xml:space="preserve"> or supplies therapeutic goods that do not conform to an applicable standard may be subject to offence and civil penalty provisions in sections 14 and 14A of the Act. The Secretary may, however, give consent in writing in relation to the importation, exportation or supply of therapeutic goods that do not conform to an applicable standard, in accordance with those sections.</w:t>
      </w:r>
    </w:p>
    <w:p w14:paraId="21E64089" w14:textId="77777777" w:rsidR="00684F42" w:rsidRPr="00F354F1" w:rsidRDefault="00684F42" w:rsidP="00684F42">
      <w:pPr>
        <w:spacing w:before="0" w:after="0"/>
        <w:rPr>
          <w:sz w:val="22"/>
          <w:szCs w:val="22"/>
          <w:lang w:val="en-AU"/>
        </w:rPr>
      </w:pPr>
    </w:p>
    <w:p w14:paraId="22E51240" w14:textId="24ED797E" w:rsidR="00684F42" w:rsidRPr="00F354F1" w:rsidRDefault="00684F42" w:rsidP="00684F42">
      <w:pPr>
        <w:spacing w:before="0" w:after="0"/>
        <w:rPr>
          <w:sz w:val="22"/>
          <w:szCs w:val="22"/>
          <w:lang w:val="en-AU"/>
        </w:rPr>
      </w:pPr>
      <w:r w:rsidRPr="00F354F1">
        <w:rPr>
          <w:sz w:val="22"/>
          <w:szCs w:val="22"/>
          <w:lang w:val="en-AU"/>
        </w:rPr>
        <w:t xml:space="preserve">The </w:t>
      </w:r>
      <w:r w:rsidRPr="00F354F1">
        <w:rPr>
          <w:i/>
          <w:iCs/>
          <w:sz w:val="22"/>
          <w:szCs w:val="22"/>
          <w:lang w:val="en-AU"/>
        </w:rPr>
        <w:t>Therapeutic Goods (Standard for Export Only Medicine</w:t>
      </w:r>
      <w:r w:rsidR="0056514B">
        <w:rPr>
          <w:i/>
          <w:iCs/>
          <w:sz w:val="22"/>
          <w:szCs w:val="22"/>
          <w:lang w:val="en-AU"/>
        </w:rPr>
        <w:t>s</w:t>
      </w:r>
      <w:r w:rsidRPr="00F354F1">
        <w:rPr>
          <w:i/>
          <w:iCs/>
          <w:sz w:val="22"/>
          <w:szCs w:val="22"/>
          <w:lang w:val="en-AU"/>
        </w:rPr>
        <w:t>) (TGO 11</w:t>
      </w:r>
      <w:r w:rsidR="00574499">
        <w:rPr>
          <w:i/>
          <w:iCs/>
          <w:sz w:val="22"/>
          <w:szCs w:val="22"/>
          <w:lang w:val="en-AU"/>
        </w:rPr>
        <w:t>4</w:t>
      </w:r>
      <w:r w:rsidRPr="00F354F1">
        <w:rPr>
          <w:i/>
          <w:iCs/>
          <w:sz w:val="22"/>
          <w:szCs w:val="22"/>
          <w:lang w:val="en-AU"/>
        </w:rPr>
        <w:t xml:space="preserve">) Order 2024 </w:t>
      </w:r>
      <w:r w:rsidRPr="00F354F1">
        <w:rPr>
          <w:sz w:val="22"/>
          <w:szCs w:val="22"/>
          <w:lang w:val="en-AU"/>
        </w:rPr>
        <w:t>(“the Order”) is made under section 10 of the Act for the purpose of establishing a ministerial standard for export only medicine</w:t>
      </w:r>
      <w:r w:rsidR="001B7910">
        <w:rPr>
          <w:sz w:val="22"/>
          <w:szCs w:val="22"/>
          <w:lang w:val="en-AU"/>
        </w:rPr>
        <w:t xml:space="preserve">. </w:t>
      </w:r>
      <w:r w:rsidR="00233970">
        <w:rPr>
          <w:sz w:val="22"/>
          <w:szCs w:val="22"/>
          <w:lang w:val="en-AU"/>
        </w:rPr>
        <w:t>In particular, t</w:t>
      </w:r>
      <w:r w:rsidR="001B7910">
        <w:rPr>
          <w:sz w:val="22"/>
          <w:szCs w:val="22"/>
          <w:lang w:val="en-AU"/>
        </w:rPr>
        <w:t>he Order specifies requirements</w:t>
      </w:r>
      <w:r w:rsidRPr="00F354F1">
        <w:rPr>
          <w:sz w:val="22"/>
          <w:szCs w:val="22"/>
          <w:lang w:val="en-AU"/>
        </w:rPr>
        <w:t xml:space="preserve"> by reference to the </w:t>
      </w:r>
      <w:r w:rsidR="001F1220">
        <w:rPr>
          <w:sz w:val="22"/>
          <w:szCs w:val="22"/>
          <w:lang w:val="en-AU"/>
        </w:rPr>
        <w:t>individual</w:t>
      </w:r>
      <w:r w:rsidR="001B7910">
        <w:rPr>
          <w:sz w:val="22"/>
          <w:szCs w:val="22"/>
          <w:lang w:val="en-AU"/>
        </w:rPr>
        <w:t>,</w:t>
      </w:r>
      <w:r w:rsidRPr="00F354F1">
        <w:rPr>
          <w:sz w:val="22"/>
          <w:szCs w:val="22"/>
          <w:lang w:val="en-AU"/>
        </w:rPr>
        <w:t xml:space="preserve"> </w:t>
      </w:r>
      <w:r w:rsidR="001B7910">
        <w:rPr>
          <w:sz w:val="22"/>
          <w:szCs w:val="22"/>
          <w:lang w:val="en-AU"/>
        </w:rPr>
        <w:t>specific and general</w:t>
      </w:r>
      <w:r w:rsidRPr="00F354F1">
        <w:rPr>
          <w:sz w:val="22"/>
          <w:szCs w:val="22"/>
          <w:lang w:val="en-AU"/>
        </w:rPr>
        <w:t xml:space="preserve"> monographs </w:t>
      </w:r>
      <w:r w:rsidR="00233970">
        <w:rPr>
          <w:sz w:val="22"/>
          <w:szCs w:val="22"/>
          <w:lang w:val="en-AU"/>
        </w:rPr>
        <w:t>applicable to</w:t>
      </w:r>
      <w:r w:rsidR="00233970" w:rsidRPr="00F354F1">
        <w:rPr>
          <w:sz w:val="22"/>
          <w:szCs w:val="22"/>
          <w:lang w:val="en-AU"/>
        </w:rPr>
        <w:t xml:space="preserve"> </w:t>
      </w:r>
      <w:r w:rsidRPr="00F354F1">
        <w:rPr>
          <w:sz w:val="22"/>
          <w:szCs w:val="22"/>
          <w:lang w:val="en-AU"/>
        </w:rPr>
        <w:t xml:space="preserve">the </w:t>
      </w:r>
      <w:r w:rsidR="00233970">
        <w:rPr>
          <w:sz w:val="22"/>
          <w:szCs w:val="22"/>
          <w:lang w:val="en-AU"/>
        </w:rPr>
        <w:t>export only medicine</w:t>
      </w:r>
      <w:r w:rsidR="00233970" w:rsidRPr="00F354F1">
        <w:rPr>
          <w:sz w:val="22"/>
          <w:szCs w:val="22"/>
          <w:lang w:val="en-AU"/>
        </w:rPr>
        <w:t xml:space="preserve"> </w:t>
      </w:r>
      <w:r w:rsidRPr="00F354F1">
        <w:rPr>
          <w:sz w:val="22"/>
          <w:szCs w:val="22"/>
          <w:lang w:val="en-AU"/>
        </w:rPr>
        <w:t xml:space="preserve">in the British Pharmacopoeia, </w:t>
      </w:r>
      <w:r w:rsidR="00607C0B">
        <w:rPr>
          <w:sz w:val="22"/>
          <w:szCs w:val="22"/>
          <w:lang w:val="en-AU"/>
        </w:rPr>
        <w:t xml:space="preserve">the </w:t>
      </w:r>
      <w:r w:rsidRPr="00F354F1">
        <w:rPr>
          <w:sz w:val="22"/>
          <w:szCs w:val="22"/>
          <w:lang w:val="en-AU"/>
        </w:rPr>
        <w:t>European Pharmacopoeia,</w:t>
      </w:r>
      <w:r w:rsidR="00FF74C3">
        <w:rPr>
          <w:sz w:val="22"/>
          <w:szCs w:val="22"/>
          <w:lang w:val="en-AU"/>
        </w:rPr>
        <w:t xml:space="preserve"> </w:t>
      </w:r>
      <w:r w:rsidR="00607C0B">
        <w:rPr>
          <w:sz w:val="22"/>
          <w:szCs w:val="22"/>
          <w:lang w:val="en-AU"/>
        </w:rPr>
        <w:t xml:space="preserve">the </w:t>
      </w:r>
      <w:r w:rsidR="00FF74C3" w:rsidRPr="00F354F1">
        <w:rPr>
          <w:sz w:val="22"/>
          <w:szCs w:val="22"/>
          <w:lang w:val="en-AU"/>
        </w:rPr>
        <w:t>Japanese Pharmacopoeia</w:t>
      </w:r>
      <w:r w:rsidR="00FF74C3">
        <w:rPr>
          <w:sz w:val="22"/>
          <w:szCs w:val="22"/>
          <w:lang w:val="en-AU"/>
        </w:rPr>
        <w:t>, or</w:t>
      </w:r>
      <w:r w:rsidRPr="00F354F1">
        <w:rPr>
          <w:sz w:val="22"/>
          <w:szCs w:val="22"/>
          <w:lang w:val="en-AU"/>
        </w:rPr>
        <w:t xml:space="preserve"> </w:t>
      </w:r>
      <w:r w:rsidR="00607C0B">
        <w:rPr>
          <w:sz w:val="22"/>
          <w:szCs w:val="22"/>
          <w:lang w:val="en-AU"/>
        </w:rPr>
        <w:t xml:space="preserve">the </w:t>
      </w:r>
      <w:r w:rsidR="00FF74C3">
        <w:rPr>
          <w:sz w:val="22"/>
          <w:szCs w:val="22"/>
          <w:lang w:val="en-AU"/>
        </w:rPr>
        <w:t>United States Pharmacopoeia-National Formulary</w:t>
      </w:r>
      <w:r w:rsidRPr="00F354F1">
        <w:rPr>
          <w:sz w:val="22"/>
          <w:szCs w:val="22"/>
          <w:lang w:val="en-AU"/>
        </w:rPr>
        <w:t>.</w:t>
      </w:r>
      <w:r w:rsidR="00FF74C3">
        <w:rPr>
          <w:sz w:val="22"/>
          <w:szCs w:val="22"/>
          <w:lang w:val="en-AU"/>
        </w:rPr>
        <w:t xml:space="preserve"> </w:t>
      </w:r>
      <w:r w:rsidRPr="00F354F1">
        <w:rPr>
          <w:sz w:val="22"/>
          <w:szCs w:val="22"/>
          <w:lang w:val="en-AU"/>
        </w:rPr>
        <w:t xml:space="preserve">The Order repeals and replaces the </w:t>
      </w:r>
      <w:r w:rsidRPr="00B010A7">
        <w:rPr>
          <w:i/>
          <w:iCs/>
          <w:sz w:val="22"/>
          <w:szCs w:val="22"/>
          <w:lang w:val="en-AU"/>
        </w:rPr>
        <w:t>Therapeutic Goods Order No. 70C – Standard for Export Only Medicine</w:t>
      </w:r>
      <w:r w:rsidR="005D12F8">
        <w:rPr>
          <w:sz w:val="22"/>
          <w:szCs w:val="22"/>
          <w:lang w:val="en-AU"/>
        </w:rPr>
        <w:t xml:space="preserve"> (“the former Order”)</w:t>
      </w:r>
      <w:r w:rsidRPr="00F354F1">
        <w:rPr>
          <w:sz w:val="22"/>
          <w:szCs w:val="22"/>
          <w:lang w:val="en-AU"/>
        </w:rPr>
        <w:t xml:space="preserve">, which would </w:t>
      </w:r>
      <w:proofErr w:type="gramStart"/>
      <w:r w:rsidRPr="00F354F1">
        <w:rPr>
          <w:sz w:val="22"/>
          <w:szCs w:val="22"/>
          <w:lang w:val="en-AU"/>
        </w:rPr>
        <w:t>otherwise</w:t>
      </w:r>
      <w:proofErr w:type="gramEnd"/>
      <w:r w:rsidRPr="00F354F1">
        <w:rPr>
          <w:sz w:val="22"/>
          <w:szCs w:val="22"/>
          <w:lang w:val="en-AU"/>
        </w:rPr>
        <w:t xml:space="preserve"> sunset on 1</w:t>
      </w:r>
      <w:r w:rsidR="00233970">
        <w:rPr>
          <w:sz w:val="22"/>
          <w:szCs w:val="22"/>
          <w:lang w:val="en-AU"/>
        </w:rPr>
        <w:t> </w:t>
      </w:r>
      <w:r w:rsidRPr="00F354F1">
        <w:rPr>
          <w:sz w:val="22"/>
          <w:szCs w:val="22"/>
          <w:lang w:val="en-AU"/>
        </w:rPr>
        <w:t>October</w:t>
      </w:r>
      <w:r w:rsidR="00233970">
        <w:rPr>
          <w:sz w:val="22"/>
          <w:szCs w:val="22"/>
          <w:lang w:val="en-AU"/>
        </w:rPr>
        <w:t> </w:t>
      </w:r>
      <w:r w:rsidRPr="00F354F1">
        <w:rPr>
          <w:sz w:val="22"/>
          <w:szCs w:val="22"/>
          <w:lang w:val="en-AU"/>
        </w:rPr>
        <w:t xml:space="preserve">2024. </w:t>
      </w:r>
    </w:p>
    <w:p w14:paraId="42B611BF" w14:textId="77777777" w:rsidR="00684F42" w:rsidRPr="00F354F1" w:rsidRDefault="00684F42" w:rsidP="00684F42">
      <w:pPr>
        <w:spacing w:before="0" w:after="0"/>
        <w:rPr>
          <w:sz w:val="22"/>
          <w:szCs w:val="22"/>
          <w:lang w:val="en-AU"/>
        </w:rPr>
      </w:pPr>
    </w:p>
    <w:p w14:paraId="5DD39571" w14:textId="77777777" w:rsidR="00684F42" w:rsidRPr="00F354F1" w:rsidRDefault="00684F42" w:rsidP="00684F42">
      <w:pPr>
        <w:spacing w:before="0" w:after="0"/>
        <w:rPr>
          <w:b/>
          <w:bCs/>
          <w:sz w:val="22"/>
          <w:szCs w:val="22"/>
          <w:lang w:val="en-AU"/>
        </w:rPr>
      </w:pPr>
      <w:r w:rsidRPr="00F354F1">
        <w:rPr>
          <w:b/>
          <w:bCs/>
          <w:sz w:val="22"/>
          <w:szCs w:val="22"/>
          <w:lang w:val="en-AU"/>
        </w:rPr>
        <w:t>Background</w:t>
      </w:r>
    </w:p>
    <w:p w14:paraId="1918EDB7" w14:textId="77777777" w:rsidR="00684F42" w:rsidRPr="00F354F1" w:rsidRDefault="00684F42" w:rsidP="00684F42">
      <w:pPr>
        <w:spacing w:before="0" w:after="0"/>
        <w:rPr>
          <w:b/>
          <w:bCs/>
          <w:sz w:val="22"/>
          <w:szCs w:val="22"/>
          <w:lang w:val="en-AU"/>
        </w:rPr>
      </w:pPr>
    </w:p>
    <w:p w14:paraId="59F76B99" w14:textId="1F5C27C1" w:rsidR="000A3F96" w:rsidRPr="00F354F1" w:rsidRDefault="00684F42" w:rsidP="00684F42">
      <w:pPr>
        <w:spacing w:before="0" w:after="0"/>
        <w:rPr>
          <w:sz w:val="22"/>
          <w:szCs w:val="22"/>
          <w:lang w:val="en-AU"/>
        </w:rPr>
      </w:pPr>
      <w:r w:rsidRPr="00F354F1">
        <w:rPr>
          <w:sz w:val="22"/>
          <w:szCs w:val="22"/>
          <w:lang w:val="en-AU"/>
        </w:rPr>
        <w:t xml:space="preserve">The Australian Government is responsible for regulating the quality, safety and efficacy </w:t>
      </w:r>
      <w:r w:rsidR="00233970">
        <w:rPr>
          <w:sz w:val="22"/>
          <w:szCs w:val="22"/>
          <w:lang w:val="en-AU"/>
        </w:rPr>
        <w:t xml:space="preserve">or performance </w:t>
      </w:r>
      <w:r w:rsidRPr="00F354F1">
        <w:rPr>
          <w:sz w:val="22"/>
          <w:szCs w:val="22"/>
          <w:lang w:val="en-AU"/>
        </w:rPr>
        <w:t xml:space="preserve">of therapeutic goods. This is achieved in part by specifying ministerial standards under section 10 of the Act by reference to a range of matters, including </w:t>
      </w:r>
      <w:r w:rsidRPr="00F354F1">
        <w:rPr>
          <w:sz w:val="22"/>
          <w:szCs w:val="22"/>
          <w:lang w:val="en-AU" w:eastAsia="en-AU"/>
        </w:rPr>
        <w:t>the manufacture of therapeutic goods, and</w:t>
      </w:r>
      <w:r w:rsidRPr="00F354F1">
        <w:rPr>
          <w:lang w:val="en-AU" w:eastAsia="en-AU"/>
        </w:rPr>
        <w:t xml:space="preserve"> </w:t>
      </w:r>
      <w:r w:rsidRPr="00F354F1">
        <w:rPr>
          <w:sz w:val="22"/>
          <w:szCs w:val="22"/>
          <w:lang w:val="en-AU"/>
        </w:rPr>
        <w:t>by otherwise applying default standards that are constituted by statements in international pharmacopoeias defined in subsection 3(1) of the Act,</w:t>
      </w:r>
      <w:r w:rsidRPr="00F354F1">
        <w:rPr>
          <w:lang w:val="en-AU" w:eastAsia="en-AU"/>
        </w:rPr>
        <w:t xml:space="preserve"> </w:t>
      </w:r>
      <w:r w:rsidRPr="00F354F1">
        <w:rPr>
          <w:sz w:val="22"/>
          <w:szCs w:val="22"/>
          <w:lang w:val="en-AU" w:eastAsia="en-AU"/>
        </w:rPr>
        <w:t>being the</w:t>
      </w:r>
      <w:r w:rsidRPr="00F354F1">
        <w:rPr>
          <w:lang w:val="en-AU" w:eastAsia="en-AU"/>
        </w:rPr>
        <w:t xml:space="preserve"> </w:t>
      </w:r>
      <w:r w:rsidRPr="00F354F1">
        <w:rPr>
          <w:sz w:val="22"/>
          <w:szCs w:val="22"/>
          <w:lang w:val="en-AU"/>
        </w:rPr>
        <w:t>British Pharmacopoeia</w:t>
      </w:r>
      <w:r w:rsidRPr="00F354F1">
        <w:rPr>
          <w:lang w:val="en-AU" w:eastAsia="en-AU"/>
        </w:rPr>
        <w:t xml:space="preserve">, </w:t>
      </w:r>
      <w:r w:rsidRPr="00F354F1">
        <w:rPr>
          <w:sz w:val="22"/>
          <w:szCs w:val="22"/>
          <w:lang w:val="en-AU"/>
        </w:rPr>
        <w:t>European Pharmacopoeia</w:t>
      </w:r>
      <w:r w:rsidRPr="00F354F1">
        <w:rPr>
          <w:lang w:val="en-AU" w:eastAsia="en-AU"/>
        </w:rPr>
        <w:t xml:space="preserve"> and </w:t>
      </w:r>
      <w:r w:rsidRPr="00F354F1">
        <w:rPr>
          <w:sz w:val="22"/>
          <w:szCs w:val="22"/>
          <w:lang w:val="en-AU"/>
        </w:rPr>
        <w:t>United States Pharmacopeia-National Formulary</w:t>
      </w:r>
      <w:r w:rsidR="006A111D">
        <w:rPr>
          <w:sz w:val="22"/>
          <w:szCs w:val="22"/>
          <w:lang w:val="en-AU"/>
        </w:rPr>
        <w:t>.</w:t>
      </w:r>
    </w:p>
    <w:p w14:paraId="5C349D50" w14:textId="77777777" w:rsidR="00684F42" w:rsidRPr="00F354F1" w:rsidRDefault="00684F42" w:rsidP="00684F42">
      <w:pPr>
        <w:spacing w:before="0" w:after="0"/>
        <w:rPr>
          <w:sz w:val="22"/>
          <w:szCs w:val="22"/>
          <w:lang w:val="en-AU"/>
        </w:rPr>
      </w:pPr>
    </w:p>
    <w:p w14:paraId="7251F7B3" w14:textId="275F6DB9" w:rsidR="005D12F8" w:rsidRDefault="00684F42" w:rsidP="00684F42">
      <w:pPr>
        <w:spacing w:before="0" w:after="0"/>
        <w:rPr>
          <w:sz w:val="22"/>
          <w:szCs w:val="22"/>
          <w:lang w:val="en-AU"/>
        </w:rPr>
      </w:pPr>
      <w:r w:rsidRPr="00F354F1">
        <w:rPr>
          <w:sz w:val="22"/>
          <w:szCs w:val="22"/>
          <w:lang w:val="en-AU"/>
        </w:rPr>
        <w:t xml:space="preserve">The </w:t>
      </w:r>
      <w:r w:rsidR="005D12F8">
        <w:rPr>
          <w:sz w:val="22"/>
          <w:szCs w:val="22"/>
          <w:lang w:val="en-AU"/>
        </w:rPr>
        <w:t>f</w:t>
      </w:r>
      <w:r w:rsidRPr="00F354F1">
        <w:rPr>
          <w:sz w:val="22"/>
          <w:szCs w:val="22"/>
          <w:lang w:val="en-AU"/>
        </w:rPr>
        <w:t xml:space="preserve">ormer Order is </w:t>
      </w:r>
      <w:r w:rsidR="005D12F8">
        <w:rPr>
          <w:sz w:val="22"/>
          <w:szCs w:val="22"/>
          <w:lang w:val="en-AU"/>
        </w:rPr>
        <w:t>made under section 10 of the Act and</w:t>
      </w:r>
      <w:r w:rsidR="005D12F8" w:rsidRPr="00F354F1">
        <w:rPr>
          <w:sz w:val="22"/>
          <w:szCs w:val="22"/>
          <w:lang w:val="en-AU"/>
        </w:rPr>
        <w:t xml:space="preserve"> </w:t>
      </w:r>
      <w:r w:rsidRPr="00F354F1">
        <w:rPr>
          <w:sz w:val="22"/>
          <w:szCs w:val="22"/>
          <w:lang w:val="en-AU"/>
        </w:rPr>
        <w:t xml:space="preserve">specifies </w:t>
      </w:r>
      <w:r w:rsidR="005D12F8">
        <w:rPr>
          <w:sz w:val="22"/>
          <w:szCs w:val="22"/>
          <w:lang w:val="en-AU"/>
        </w:rPr>
        <w:t>minimum requirements that export only medicines must comply with. Export only medicines are medicines that are imported into, or manufactured in, Australia solely for export</w:t>
      </w:r>
      <w:r w:rsidR="006937DE">
        <w:rPr>
          <w:sz w:val="22"/>
          <w:szCs w:val="22"/>
          <w:lang w:val="en-AU"/>
        </w:rPr>
        <w:t>.</w:t>
      </w:r>
    </w:p>
    <w:p w14:paraId="194E002E" w14:textId="77777777" w:rsidR="005D12F8" w:rsidRDefault="005D12F8" w:rsidP="00684F42">
      <w:pPr>
        <w:spacing w:before="0" w:after="0"/>
        <w:rPr>
          <w:sz w:val="22"/>
          <w:szCs w:val="22"/>
          <w:lang w:val="en-AU"/>
        </w:rPr>
      </w:pPr>
    </w:p>
    <w:p w14:paraId="4272F9C9" w14:textId="332D472F" w:rsidR="006A111D" w:rsidRDefault="006937DE" w:rsidP="00684F42">
      <w:pPr>
        <w:spacing w:before="0" w:after="0"/>
        <w:rPr>
          <w:sz w:val="22"/>
          <w:szCs w:val="22"/>
          <w:lang w:val="en-AU"/>
        </w:rPr>
      </w:pPr>
      <w:r>
        <w:rPr>
          <w:sz w:val="22"/>
          <w:szCs w:val="22"/>
          <w:lang w:val="en-AU"/>
        </w:rPr>
        <w:t>The former Order provides that</w:t>
      </w:r>
      <w:r w:rsidR="005D12F8" w:rsidRPr="00F354F1">
        <w:rPr>
          <w:sz w:val="22"/>
          <w:szCs w:val="22"/>
          <w:lang w:val="en-AU"/>
        </w:rPr>
        <w:t xml:space="preserve"> </w:t>
      </w:r>
      <w:r w:rsidR="006A111D">
        <w:rPr>
          <w:sz w:val="22"/>
          <w:szCs w:val="22"/>
          <w:lang w:val="en-AU"/>
        </w:rPr>
        <w:t>export only medicines must comply with any of the British Pharmacopoeia, European Pharmacopoeia, United-States Pharmacopoeia</w:t>
      </w:r>
      <w:r w:rsidR="00BC7604">
        <w:rPr>
          <w:sz w:val="22"/>
          <w:szCs w:val="22"/>
          <w:lang w:val="en-AU"/>
        </w:rPr>
        <w:t xml:space="preserve"> (“the default standards”)</w:t>
      </w:r>
      <w:r w:rsidR="006A111D">
        <w:rPr>
          <w:sz w:val="22"/>
          <w:szCs w:val="22"/>
          <w:lang w:val="en-AU"/>
        </w:rPr>
        <w:t>, or the</w:t>
      </w:r>
      <w:r w:rsidR="00BC7604">
        <w:rPr>
          <w:sz w:val="22"/>
          <w:szCs w:val="22"/>
          <w:lang w:val="en-AU"/>
        </w:rPr>
        <w:t xml:space="preserve"> </w:t>
      </w:r>
      <w:r w:rsidR="001F1220">
        <w:rPr>
          <w:sz w:val="22"/>
          <w:szCs w:val="22"/>
          <w:lang w:val="en-AU"/>
        </w:rPr>
        <w:t>16th edition of the Japanese Pharmacopoeia.</w:t>
      </w:r>
      <w:r w:rsidR="00241C61">
        <w:rPr>
          <w:sz w:val="22"/>
          <w:szCs w:val="22"/>
          <w:lang w:val="en-AU"/>
        </w:rPr>
        <w:t xml:space="preserve"> Additionally, the Former Order specifies tha</w:t>
      </w:r>
      <w:r w:rsidR="00AB3F66">
        <w:rPr>
          <w:sz w:val="22"/>
          <w:szCs w:val="22"/>
          <w:lang w:val="en-AU"/>
        </w:rPr>
        <w:t xml:space="preserve">t where a </w:t>
      </w:r>
      <w:r w:rsidR="00AB3F66">
        <w:rPr>
          <w:sz w:val="22"/>
          <w:szCs w:val="22"/>
          <w:lang w:val="en-AU"/>
        </w:rPr>
        <w:lastRenderedPageBreak/>
        <w:t>medicine is regulated other than as a medicine in the country to which it is to be exported, it must also meet the regulatory requirements of that country for such products.</w:t>
      </w:r>
      <w:r>
        <w:rPr>
          <w:sz w:val="22"/>
          <w:szCs w:val="22"/>
          <w:lang w:val="en-AU"/>
        </w:rPr>
        <w:t xml:space="preserve"> Also, specifically in relation to compliance with the Japanese Pharmacopoeia, the exporter of an export only medicine that is regulated as a medicine in the country to which it is to be exported must also hold evidence that a relevant authority of the country to which the medicine is to be exported has confirmed its willingness to accept medicine which complies with the former Order or confirmed that it would have no objection to accepting such medicine.</w:t>
      </w:r>
    </w:p>
    <w:p w14:paraId="76303AFF" w14:textId="77777777" w:rsidR="00DF2288" w:rsidRDefault="00DF2288" w:rsidP="00684F42">
      <w:pPr>
        <w:spacing w:before="0" w:after="0"/>
        <w:rPr>
          <w:sz w:val="22"/>
          <w:szCs w:val="22"/>
          <w:lang w:val="en-AU"/>
        </w:rPr>
      </w:pPr>
    </w:p>
    <w:p w14:paraId="711CDE99" w14:textId="46DF82B1" w:rsidR="006937DE" w:rsidRPr="00B010A7" w:rsidRDefault="006937DE" w:rsidP="00684F42">
      <w:pPr>
        <w:spacing w:before="0" w:after="0"/>
        <w:rPr>
          <w:b/>
          <w:bCs/>
          <w:sz w:val="22"/>
          <w:szCs w:val="22"/>
          <w:lang w:val="en-AU"/>
        </w:rPr>
      </w:pPr>
      <w:r w:rsidRPr="00B010A7">
        <w:rPr>
          <w:b/>
          <w:bCs/>
          <w:sz w:val="22"/>
          <w:szCs w:val="22"/>
          <w:lang w:val="en-AU"/>
        </w:rPr>
        <w:t>Purpose</w:t>
      </w:r>
    </w:p>
    <w:p w14:paraId="4955C5F8" w14:textId="77777777" w:rsidR="006937DE" w:rsidRDefault="006937DE" w:rsidP="00684F42">
      <w:pPr>
        <w:spacing w:before="0" w:after="0"/>
        <w:rPr>
          <w:sz w:val="22"/>
          <w:szCs w:val="22"/>
          <w:lang w:val="en-AU"/>
        </w:rPr>
      </w:pPr>
    </w:p>
    <w:p w14:paraId="6762E441" w14:textId="696D1C00" w:rsidR="006937DE" w:rsidRDefault="00BC7604" w:rsidP="00684F42">
      <w:pPr>
        <w:spacing w:before="0" w:after="0"/>
        <w:rPr>
          <w:sz w:val="22"/>
          <w:szCs w:val="22"/>
          <w:lang w:val="en-AU"/>
        </w:rPr>
      </w:pPr>
      <w:r>
        <w:rPr>
          <w:sz w:val="22"/>
          <w:szCs w:val="22"/>
          <w:lang w:val="en-AU"/>
        </w:rPr>
        <w:t xml:space="preserve">The former Order is due to sunset on 1 October 2024. The Order replaces the former Order and makes </w:t>
      </w:r>
      <w:proofErr w:type="gramStart"/>
      <w:r>
        <w:rPr>
          <w:sz w:val="22"/>
          <w:szCs w:val="22"/>
          <w:lang w:val="en-AU"/>
        </w:rPr>
        <w:t>a number of</w:t>
      </w:r>
      <w:proofErr w:type="gramEnd"/>
      <w:r>
        <w:rPr>
          <w:sz w:val="22"/>
          <w:szCs w:val="22"/>
          <w:lang w:val="en-AU"/>
        </w:rPr>
        <w:t xml:space="preserve"> changes to update the instrument, however without substantively changing the effect of the instrument.</w:t>
      </w:r>
      <w:r w:rsidR="006E034C">
        <w:rPr>
          <w:sz w:val="22"/>
          <w:szCs w:val="22"/>
          <w:lang w:val="en-AU"/>
        </w:rPr>
        <w:t xml:space="preserve"> The purpose of the Order is to establish a standard for export only medicines to support the continued application of </w:t>
      </w:r>
      <w:r w:rsidR="00B63D80">
        <w:rPr>
          <w:sz w:val="22"/>
          <w:szCs w:val="22"/>
          <w:lang w:val="en-AU"/>
        </w:rPr>
        <w:t xml:space="preserve">appropriate </w:t>
      </w:r>
      <w:r w:rsidR="006E034C">
        <w:rPr>
          <w:sz w:val="22"/>
          <w:szCs w:val="22"/>
          <w:lang w:val="en-AU"/>
        </w:rPr>
        <w:t xml:space="preserve">standards to such medicines, given the former Order is due to sunset. </w:t>
      </w:r>
    </w:p>
    <w:p w14:paraId="25564844" w14:textId="77777777" w:rsidR="00BC7604" w:rsidRDefault="00BC7604" w:rsidP="00684F42">
      <w:pPr>
        <w:spacing w:before="0" w:after="0"/>
        <w:rPr>
          <w:sz w:val="22"/>
          <w:szCs w:val="22"/>
          <w:lang w:val="en-AU"/>
        </w:rPr>
      </w:pPr>
    </w:p>
    <w:p w14:paraId="14E2A5E4" w14:textId="402C1CEE" w:rsidR="00BC7604" w:rsidRDefault="00BC7604" w:rsidP="00684F42">
      <w:pPr>
        <w:spacing w:before="0" w:after="0"/>
        <w:rPr>
          <w:sz w:val="22"/>
          <w:szCs w:val="22"/>
          <w:lang w:val="en-AU"/>
        </w:rPr>
      </w:pPr>
      <w:r>
        <w:rPr>
          <w:sz w:val="22"/>
          <w:szCs w:val="22"/>
          <w:lang w:val="en-AU"/>
        </w:rPr>
        <w:t>The Order provide</w:t>
      </w:r>
      <w:r w:rsidR="00B63D80">
        <w:rPr>
          <w:sz w:val="22"/>
          <w:szCs w:val="22"/>
          <w:lang w:val="en-AU"/>
        </w:rPr>
        <w:t>s</w:t>
      </w:r>
      <w:r>
        <w:rPr>
          <w:sz w:val="22"/>
          <w:szCs w:val="22"/>
          <w:lang w:val="en-AU"/>
        </w:rPr>
        <w:t xml:space="preserve"> that an export only medicine must comply with </w:t>
      </w:r>
      <w:r w:rsidR="00E553D9">
        <w:rPr>
          <w:sz w:val="22"/>
          <w:szCs w:val="22"/>
          <w:lang w:val="en-AU"/>
        </w:rPr>
        <w:t xml:space="preserve">the requirements specified in the applicable individual, specific and general monographs in at least one of </w:t>
      </w:r>
      <w:r>
        <w:rPr>
          <w:sz w:val="22"/>
          <w:szCs w:val="22"/>
          <w:lang w:val="en-AU"/>
        </w:rPr>
        <w:t>the British Pharmacopoeia, European Pharmacopoeia, United-States Pharmacopoeia, or Japanese Pharmacopoeia</w:t>
      </w:r>
      <w:r w:rsidR="00E553D9">
        <w:rPr>
          <w:sz w:val="22"/>
          <w:szCs w:val="22"/>
          <w:lang w:val="en-AU"/>
        </w:rPr>
        <w:t>, as interpreted in accordance with the General Notices section of the relevant pharmacopoeia</w:t>
      </w:r>
      <w:r>
        <w:rPr>
          <w:sz w:val="22"/>
          <w:szCs w:val="22"/>
          <w:lang w:val="en-AU"/>
        </w:rPr>
        <w:t>. This provides an option for an export only medicine to comply with the</w:t>
      </w:r>
      <w:r w:rsidR="00B63D80">
        <w:rPr>
          <w:sz w:val="22"/>
          <w:szCs w:val="22"/>
          <w:lang w:val="en-AU"/>
        </w:rPr>
        <w:t xml:space="preserve"> current</w:t>
      </w:r>
      <w:r>
        <w:rPr>
          <w:sz w:val="22"/>
          <w:szCs w:val="22"/>
          <w:lang w:val="en-AU"/>
        </w:rPr>
        <w:t xml:space="preserve"> Japanese Pharmacopoeia instead of one of the default standards. This requirement</w:t>
      </w:r>
      <w:r w:rsidR="00E553D9">
        <w:rPr>
          <w:sz w:val="22"/>
          <w:szCs w:val="22"/>
          <w:lang w:val="en-AU"/>
        </w:rPr>
        <w:t xml:space="preserve"> to comply with either the default standards or the Japanese Pharmacopoeia</w:t>
      </w:r>
      <w:r>
        <w:rPr>
          <w:sz w:val="22"/>
          <w:szCs w:val="22"/>
          <w:lang w:val="en-AU"/>
        </w:rPr>
        <w:t xml:space="preserve">, being inconsistent with the requirement in the Act for </w:t>
      </w:r>
      <w:r w:rsidR="00E553D9">
        <w:rPr>
          <w:sz w:val="22"/>
          <w:szCs w:val="22"/>
          <w:lang w:val="en-AU"/>
        </w:rPr>
        <w:t>compliance</w:t>
      </w:r>
      <w:r>
        <w:rPr>
          <w:sz w:val="22"/>
          <w:szCs w:val="22"/>
          <w:lang w:val="en-AU"/>
        </w:rPr>
        <w:t xml:space="preserve"> with the default standards, </w:t>
      </w:r>
      <w:r w:rsidR="00E553D9">
        <w:rPr>
          <w:sz w:val="22"/>
          <w:szCs w:val="22"/>
          <w:lang w:val="en-AU"/>
        </w:rPr>
        <w:t>applies to the exclusion of the requirement in the Act to comply with the default standards (section 13(2) of the Act refers). Therefore, if an export only medicine complies with the Japanese Pharmacopoeia, it does not also need to comply with the default standards under the Act.</w:t>
      </w:r>
    </w:p>
    <w:p w14:paraId="645D87D9" w14:textId="77777777" w:rsidR="006937DE" w:rsidRDefault="006937DE" w:rsidP="00684F42">
      <w:pPr>
        <w:spacing w:before="0" w:after="0"/>
        <w:rPr>
          <w:sz w:val="22"/>
          <w:szCs w:val="22"/>
          <w:lang w:val="en-AU"/>
        </w:rPr>
      </w:pPr>
    </w:p>
    <w:p w14:paraId="46BA9A2A" w14:textId="2068EF8C" w:rsidR="00E553D9" w:rsidRDefault="00C96BFA" w:rsidP="00C96BFA">
      <w:pPr>
        <w:spacing w:before="0" w:after="0"/>
        <w:rPr>
          <w:sz w:val="22"/>
          <w:szCs w:val="22"/>
          <w:lang w:val="en-AU" w:eastAsia="en-AU"/>
        </w:rPr>
      </w:pPr>
      <w:r>
        <w:rPr>
          <w:sz w:val="22"/>
          <w:szCs w:val="22"/>
          <w:lang w:val="en-AU" w:eastAsia="en-AU"/>
        </w:rPr>
        <w:t xml:space="preserve">The </w:t>
      </w:r>
      <w:r w:rsidR="00E553D9">
        <w:rPr>
          <w:sz w:val="22"/>
          <w:szCs w:val="22"/>
          <w:lang w:val="en-AU" w:eastAsia="en-AU"/>
        </w:rPr>
        <w:t>f</w:t>
      </w:r>
      <w:r>
        <w:rPr>
          <w:sz w:val="22"/>
          <w:szCs w:val="22"/>
          <w:lang w:val="en-AU" w:eastAsia="en-AU"/>
        </w:rPr>
        <w:t>ormer Order incorporated the Japanese Pharmacopoeia by reference to the 16</w:t>
      </w:r>
      <w:r w:rsidRPr="00C96BFA">
        <w:rPr>
          <w:sz w:val="22"/>
          <w:szCs w:val="22"/>
          <w:vertAlign w:val="superscript"/>
          <w:lang w:val="en-AU" w:eastAsia="en-AU"/>
        </w:rPr>
        <w:t>th</w:t>
      </w:r>
      <w:r>
        <w:rPr>
          <w:sz w:val="22"/>
          <w:szCs w:val="22"/>
          <w:lang w:val="en-AU" w:eastAsia="en-AU"/>
        </w:rPr>
        <w:t xml:space="preserve"> edition of the pharmacopoeia, which has since been updated. The Order</w:t>
      </w:r>
      <w:r w:rsidR="00E553D9">
        <w:rPr>
          <w:sz w:val="22"/>
          <w:szCs w:val="22"/>
          <w:lang w:val="en-AU" w:eastAsia="en-AU"/>
        </w:rPr>
        <w:t>, however,</w:t>
      </w:r>
      <w:r>
        <w:rPr>
          <w:sz w:val="22"/>
          <w:szCs w:val="22"/>
          <w:lang w:val="en-AU" w:eastAsia="en-AU"/>
        </w:rPr>
        <w:t xml:space="preserve"> incorporate</w:t>
      </w:r>
      <w:r w:rsidR="00E553D9">
        <w:rPr>
          <w:sz w:val="22"/>
          <w:szCs w:val="22"/>
          <w:lang w:val="en-AU" w:eastAsia="en-AU"/>
        </w:rPr>
        <w:t>s</w:t>
      </w:r>
      <w:r>
        <w:rPr>
          <w:sz w:val="22"/>
          <w:szCs w:val="22"/>
          <w:lang w:val="en-AU" w:eastAsia="en-AU"/>
        </w:rPr>
        <w:t xml:space="preserve"> the Japanese Pharmacopoeia as in force from time to time</w:t>
      </w:r>
      <w:r w:rsidR="00E553D9">
        <w:rPr>
          <w:sz w:val="22"/>
          <w:szCs w:val="22"/>
          <w:lang w:val="en-AU" w:eastAsia="en-AU"/>
        </w:rPr>
        <w:t xml:space="preserve">, in accordance with section 10(4) of the Act, so the Order remains up-to-date and does not require industry to comply with outdated requirements. </w:t>
      </w:r>
    </w:p>
    <w:p w14:paraId="416FD23B" w14:textId="77777777" w:rsidR="00E553D9" w:rsidRDefault="00E553D9" w:rsidP="00C96BFA">
      <w:pPr>
        <w:spacing w:before="0" w:after="0"/>
        <w:rPr>
          <w:sz w:val="22"/>
          <w:szCs w:val="22"/>
          <w:lang w:val="en-AU" w:eastAsia="en-AU"/>
        </w:rPr>
      </w:pPr>
    </w:p>
    <w:p w14:paraId="060BC6D1" w14:textId="379427EB" w:rsidR="00E553D9" w:rsidRDefault="00E553D9" w:rsidP="00C96BFA">
      <w:pPr>
        <w:spacing w:before="0" w:after="0"/>
        <w:rPr>
          <w:sz w:val="22"/>
          <w:szCs w:val="22"/>
          <w:lang w:val="en-AU" w:eastAsia="en-AU"/>
        </w:rPr>
      </w:pPr>
      <w:r>
        <w:rPr>
          <w:sz w:val="22"/>
          <w:szCs w:val="22"/>
          <w:lang w:val="en-AU" w:eastAsia="en-AU"/>
        </w:rPr>
        <w:t xml:space="preserve">The Order also contains a specific requirement for export only medicines that are not regulated </w:t>
      </w:r>
      <w:r w:rsidR="006E034C">
        <w:rPr>
          <w:sz w:val="22"/>
          <w:szCs w:val="22"/>
          <w:lang w:val="en-AU" w:eastAsia="en-AU"/>
        </w:rPr>
        <w:t xml:space="preserve">as a medicine in the country to which the medicine is to be exported. Such export only medicines must meet the regulatory requirements of the country to which they are to be exported. This is the same requirement that is in the former Order. </w:t>
      </w:r>
    </w:p>
    <w:p w14:paraId="42EAC9B3" w14:textId="77777777" w:rsidR="00E553D9" w:rsidRDefault="00E553D9" w:rsidP="00C96BFA">
      <w:pPr>
        <w:spacing w:before="0" w:after="0"/>
        <w:rPr>
          <w:sz w:val="22"/>
          <w:szCs w:val="22"/>
          <w:lang w:val="en-AU" w:eastAsia="en-AU"/>
        </w:rPr>
      </w:pPr>
    </w:p>
    <w:p w14:paraId="7C309187" w14:textId="77777777" w:rsidR="00E553D9" w:rsidRDefault="00E553D9" w:rsidP="00C96BFA">
      <w:pPr>
        <w:spacing w:before="0" w:after="0"/>
        <w:rPr>
          <w:sz w:val="22"/>
          <w:szCs w:val="22"/>
          <w:lang w:val="en-AU"/>
        </w:rPr>
      </w:pPr>
      <w:r>
        <w:rPr>
          <w:sz w:val="22"/>
          <w:szCs w:val="22"/>
          <w:lang w:val="en-AU" w:eastAsia="en-AU"/>
        </w:rPr>
        <w:t xml:space="preserve">The Order does not include the requirement that the exporter </w:t>
      </w:r>
      <w:r>
        <w:rPr>
          <w:sz w:val="22"/>
          <w:szCs w:val="22"/>
          <w:lang w:val="en-AU"/>
        </w:rPr>
        <w:t xml:space="preserve">hold evidence that a relevant authority of the country to which the medicine is to be exported has confirmed its willingness to accept medicine which complies with the former Order or confirmed that it would have no objection to accepting such medicine, as this requirement is a duplicate of a similar requirement in section 26 of the Act under which export only medicines are listed in the Australia Register of Therapeutic Goods. </w:t>
      </w:r>
    </w:p>
    <w:bookmarkEnd w:id="1"/>
    <w:p w14:paraId="02D40482" w14:textId="77777777" w:rsidR="00684F42" w:rsidRPr="00F354F1" w:rsidRDefault="00684F42" w:rsidP="00684F42">
      <w:pPr>
        <w:spacing w:before="0" w:after="0"/>
        <w:rPr>
          <w:sz w:val="22"/>
          <w:szCs w:val="22"/>
          <w:lang w:val="en-AU"/>
        </w:rPr>
      </w:pPr>
    </w:p>
    <w:p w14:paraId="1ABDA541" w14:textId="77777777" w:rsidR="00684F42" w:rsidRPr="00F354F1" w:rsidRDefault="00684F42" w:rsidP="00684F42">
      <w:pPr>
        <w:keepNext/>
        <w:autoSpaceDE w:val="0"/>
        <w:autoSpaceDN w:val="0"/>
        <w:adjustRightInd w:val="0"/>
        <w:spacing w:before="0" w:after="0"/>
        <w:rPr>
          <w:sz w:val="22"/>
          <w:szCs w:val="22"/>
          <w:lang w:val="en-AU" w:eastAsia="en-AU"/>
        </w:rPr>
      </w:pPr>
      <w:r w:rsidRPr="00F354F1">
        <w:rPr>
          <w:b/>
          <w:bCs/>
          <w:sz w:val="22"/>
          <w:szCs w:val="22"/>
          <w:lang w:val="en-AU" w:eastAsia="en-AU"/>
        </w:rPr>
        <w:t>Incorporation by reference</w:t>
      </w:r>
    </w:p>
    <w:p w14:paraId="787977A9" w14:textId="77777777" w:rsidR="00684F42" w:rsidRDefault="00684F42" w:rsidP="00684F42">
      <w:pPr>
        <w:keepNext/>
        <w:autoSpaceDE w:val="0"/>
        <w:autoSpaceDN w:val="0"/>
        <w:adjustRightInd w:val="0"/>
        <w:spacing w:before="0" w:after="0"/>
        <w:rPr>
          <w:sz w:val="22"/>
          <w:szCs w:val="22"/>
          <w:lang w:val="en-AU" w:eastAsia="en-AU"/>
        </w:rPr>
      </w:pPr>
    </w:p>
    <w:p w14:paraId="5A1C80C3" w14:textId="7B199461" w:rsidR="00EA0F78" w:rsidRDefault="00EA0F78" w:rsidP="00684F42">
      <w:pPr>
        <w:keepNext/>
        <w:autoSpaceDE w:val="0"/>
        <w:autoSpaceDN w:val="0"/>
        <w:adjustRightInd w:val="0"/>
        <w:spacing w:before="0" w:after="0"/>
        <w:rPr>
          <w:sz w:val="22"/>
          <w:szCs w:val="22"/>
          <w:lang w:val="en-AU" w:eastAsia="en-AU"/>
        </w:rPr>
      </w:pPr>
      <w:r>
        <w:rPr>
          <w:sz w:val="22"/>
          <w:szCs w:val="22"/>
          <w:lang w:val="en-AU" w:eastAsia="en-AU"/>
        </w:rPr>
        <w:t xml:space="preserve">Subsection 10(4) of the Act relevantly provides that, despite subsection 14(2) </w:t>
      </w:r>
      <w:r w:rsidRPr="00F354F1">
        <w:rPr>
          <w:sz w:val="22"/>
          <w:szCs w:val="22"/>
          <w:lang w:val="en-AU" w:eastAsia="en-AU"/>
        </w:rPr>
        <w:t xml:space="preserve">of the </w:t>
      </w:r>
      <w:r w:rsidRPr="00F354F1">
        <w:rPr>
          <w:i/>
          <w:iCs/>
          <w:sz w:val="22"/>
          <w:szCs w:val="22"/>
          <w:lang w:val="en-AU" w:eastAsia="en-AU"/>
        </w:rPr>
        <w:t>Legislation Act 2003</w:t>
      </w:r>
      <w:r w:rsidRPr="00F354F1">
        <w:rPr>
          <w:sz w:val="22"/>
          <w:szCs w:val="22"/>
          <w:lang w:val="en-AU" w:eastAsia="en-AU"/>
        </w:rPr>
        <w:t xml:space="preserve"> (“the Legislation Act”)</w:t>
      </w:r>
      <w:r>
        <w:rPr>
          <w:sz w:val="22"/>
          <w:szCs w:val="22"/>
          <w:lang w:val="en-AU" w:eastAsia="en-AU"/>
        </w:rPr>
        <w:t>, an order (or a variation of an order) under this provision may make provision in relation to a matter by applying, adopting or incorporation, with or without modification, any matter contained in an instrument or other writing as in force or existing from time to time.</w:t>
      </w:r>
    </w:p>
    <w:p w14:paraId="11630C80" w14:textId="77777777" w:rsidR="00EA0F78" w:rsidRDefault="00EA0F78" w:rsidP="00684F42">
      <w:pPr>
        <w:keepNext/>
        <w:autoSpaceDE w:val="0"/>
        <w:autoSpaceDN w:val="0"/>
        <w:adjustRightInd w:val="0"/>
        <w:spacing w:before="0" w:after="0"/>
        <w:rPr>
          <w:sz w:val="22"/>
          <w:szCs w:val="22"/>
          <w:lang w:val="en-AU" w:eastAsia="en-AU"/>
        </w:rPr>
      </w:pPr>
    </w:p>
    <w:p w14:paraId="73C64B53" w14:textId="2D03F2E3" w:rsidR="00EA0F78" w:rsidRDefault="00EA0F78" w:rsidP="00684F42">
      <w:pPr>
        <w:keepNext/>
        <w:autoSpaceDE w:val="0"/>
        <w:autoSpaceDN w:val="0"/>
        <w:adjustRightInd w:val="0"/>
        <w:spacing w:before="0" w:after="0"/>
        <w:rPr>
          <w:sz w:val="22"/>
          <w:szCs w:val="22"/>
          <w:lang w:val="en-AU" w:eastAsia="en-AU"/>
        </w:rPr>
      </w:pPr>
      <w:r>
        <w:rPr>
          <w:sz w:val="22"/>
          <w:szCs w:val="22"/>
          <w:lang w:val="en-AU" w:eastAsia="en-AU"/>
        </w:rPr>
        <w:t xml:space="preserve">The Order incorporates by reference the </w:t>
      </w:r>
      <w:r w:rsidR="00684F42" w:rsidRPr="00B92CA6">
        <w:rPr>
          <w:sz w:val="22"/>
          <w:szCs w:val="22"/>
          <w:lang w:val="en-AU" w:eastAsia="en-AU"/>
        </w:rPr>
        <w:t>British Pharmacopoeia</w:t>
      </w:r>
      <w:r w:rsidR="00B92CA6" w:rsidRPr="00B92CA6">
        <w:rPr>
          <w:sz w:val="22"/>
          <w:szCs w:val="22"/>
          <w:lang w:val="en-AU" w:eastAsia="en-AU"/>
        </w:rPr>
        <w:t>,</w:t>
      </w:r>
      <w:r w:rsidR="00D74BD2">
        <w:rPr>
          <w:sz w:val="22"/>
          <w:szCs w:val="22"/>
          <w:lang w:val="en-AU" w:eastAsia="en-AU"/>
        </w:rPr>
        <w:t xml:space="preserve"> the</w:t>
      </w:r>
      <w:r w:rsidR="00B92CA6" w:rsidRPr="00B92CA6">
        <w:rPr>
          <w:sz w:val="22"/>
          <w:szCs w:val="22"/>
          <w:lang w:val="en-AU" w:eastAsia="en-AU"/>
        </w:rPr>
        <w:t xml:space="preserve"> European Pharmacopoeia</w:t>
      </w:r>
      <w:r w:rsidR="00B92CA6">
        <w:rPr>
          <w:sz w:val="22"/>
          <w:szCs w:val="22"/>
          <w:lang w:val="en-AU" w:eastAsia="en-AU"/>
        </w:rPr>
        <w:t xml:space="preserve">, </w:t>
      </w:r>
      <w:r w:rsidR="00D74BD2">
        <w:rPr>
          <w:sz w:val="22"/>
          <w:szCs w:val="22"/>
          <w:lang w:val="en-AU" w:eastAsia="en-AU"/>
        </w:rPr>
        <w:t xml:space="preserve">the </w:t>
      </w:r>
      <w:r w:rsidR="0014405B">
        <w:rPr>
          <w:sz w:val="22"/>
          <w:szCs w:val="22"/>
          <w:lang w:val="en-AU" w:eastAsia="en-AU"/>
        </w:rPr>
        <w:t xml:space="preserve">Japanese </w:t>
      </w:r>
      <w:r>
        <w:rPr>
          <w:sz w:val="22"/>
          <w:szCs w:val="22"/>
          <w:lang w:val="en-AU" w:eastAsia="en-AU"/>
        </w:rPr>
        <w:t>Pharmacopoeia</w:t>
      </w:r>
      <w:r w:rsidR="0014405B">
        <w:rPr>
          <w:sz w:val="22"/>
          <w:szCs w:val="22"/>
          <w:lang w:val="en-AU" w:eastAsia="en-AU"/>
        </w:rPr>
        <w:t>, and</w:t>
      </w:r>
      <w:r w:rsidR="00D74BD2">
        <w:rPr>
          <w:sz w:val="22"/>
          <w:szCs w:val="22"/>
          <w:lang w:val="en-AU" w:eastAsia="en-AU"/>
        </w:rPr>
        <w:t xml:space="preserve"> the</w:t>
      </w:r>
      <w:r w:rsidR="0014405B">
        <w:rPr>
          <w:sz w:val="22"/>
          <w:szCs w:val="22"/>
          <w:lang w:val="en-AU" w:eastAsia="en-AU"/>
        </w:rPr>
        <w:t xml:space="preserve"> </w:t>
      </w:r>
      <w:r w:rsidR="00B92CA6">
        <w:rPr>
          <w:sz w:val="22"/>
          <w:szCs w:val="22"/>
          <w:lang w:val="en-AU" w:eastAsia="en-AU"/>
        </w:rPr>
        <w:t>United States Pharmacopoeia-National Formulary</w:t>
      </w:r>
      <w:r>
        <w:rPr>
          <w:sz w:val="22"/>
          <w:szCs w:val="22"/>
          <w:lang w:val="en-AU" w:eastAsia="en-AU"/>
        </w:rPr>
        <w:t>.</w:t>
      </w:r>
    </w:p>
    <w:p w14:paraId="78BDA22F" w14:textId="77777777" w:rsidR="00EA0F78" w:rsidRDefault="00EA0F78" w:rsidP="00684F42">
      <w:pPr>
        <w:keepNext/>
        <w:autoSpaceDE w:val="0"/>
        <w:autoSpaceDN w:val="0"/>
        <w:adjustRightInd w:val="0"/>
        <w:spacing w:before="0" w:after="0"/>
        <w:rPr>
          <w:sz w:val="22"/>
          <w:szCs w:val="22"/>
          <w:lang w:val="en-AU" w:eastAsia="en-AU"/>
        </w:rPr>
      </w:pPr>
    </w:p>
    <w:p w14:paraId="68340E0E" w14:textId="4A870A49" w:rsidR="00EA0F78" w:rsidRDefault="00EA0F78" w:rsidP="00684F42">
      <w:pPr>
        <w:keepNext/>
        <w:autoSpaceDE w:val="0"/>
        <w:autoSpaceDN w:val="0"/>
        <w:adjustRightInd w:val="0"/>
        <w:spacing w:before="0" w:after="0"/>
        <w:rPr>
          <w:sz w:val="22"/>
          <w:szCs w:val="22"/>
          <w:lang w:val="en-AU" w:eastAsia="en-AU"/>
        </w:rPr>
      </w:pPr>
      <w:r>
        <w:rPr>
          <w:sz w:val="22"/>
          <w:szCs w:val="22"/>
          <w:lang w:val="en-AU" w:eastAsia="en-AU"/>
        </w:rPr>
        <w:t xml:space="preserve">The </w:t>
      </w:r>
      <w:r w:rsidRPr="00B92CA6">
        <w:rPr>
          <w:sz w:val="22"/>
          <w:szCs w:val="22"/>
          <w:lang w:val="en-AU" w:eastAsia="en-AU"/>
        </w:rPr>
        <w:t>British Pharmacopoeia,</w:t>
      </w:r>
      <w:r w:rsidR="00D74BD2">
        <w:rPr>
          <w:sz w:val="22"/>
          <w:szCs w:val="22"/>
          <w:lang w:val="en-AU" w:eastAsia="en-AU"/>
        </w:rPr>
        <w:t xml:space="preserve"> the</w:t>
      </w:r>
      <w:r w:rsidRPr="00B92CA6">
        <w:rPr>
          <w:sz w:val="22"/>
          <w:szCs w:val="22"/>
          <w:lang w:val="en-AU" w:eastAsia="en-AU"/>
        </w:rPr>
        <w:t xml:space="preserve"> European Pharmacopoeia</w:t>
      </w:r>
      <w:r>
        <w:rPr>
          <w:sz w:val="22"/>
          <w:szCs w:val="22"/>
          <w:lang w:val="en-AU" w:eastAsia="en-AU"/>
        </w:rPr>
        <w:t xml:space="preserve"> and </w:t>
      </w:r>
      <w:r w:rsidR="00D74BD2">
        <w:rPr>
          <w:sz w:val="22"/>
          <w:szCs w:val="22"/>
          <w:lang w:val="en-AU" w:eastAsia="en-AU"/>
        </w:rPr>
        <w:t xml:space="preserve">the </w:t>
      </w:r>
      <w:r>
        <w:rPr>
          <w:sz w:val="22"/>
          <w:szCs w:val="22"/>
          <w:lang w:val="en-AU" w:eastAsia="en-AU"/>
        </w:rPr>
        <w:t xml:space="preserve">United States Pharmacopoeia-National Formulary are default standards for the purpose of the Act. </w:t>
      </w:r>
      <w:r w:rsidR="00684F42" w:rsidRPr="00F354F1">
        <w:rPr>
          <w:sz w:val="22"/>
          <w:szCs w:val="22"/>
          <w:lang w:val="en-AU" w:eastAsia="en-AU"/>
        </w:rPr>
        <w:t xml:space="preserve">The note in section 4 of the Order </w:t>
      </w:r>
      <w:r w:rsidR="00684F42" w:rsidRPr="00F354F1">
        <w:rPr>
          <w:sz w:val="22"/>
          <w:szCs w:val="22"/>
          <w:lang w:val="en-AU" w:eastAsia="en-AU"/>
        </w:rPr>
        <w:lastRenderedPageBreak/>
        <w:t xml:space="preserve">makes it clear that each pharmacopoeia is </w:t>
      </w:r>
      <w:r w:rsidR="00531936">
        <w:rPr>
          <w:sz w:val="22"/>
          <w:szCs w:val="22"/>
          <w:lang w:val="en-AU" w:eastAsia="en-AU"/>
        </w:rPr>
        <w:t xml:space="preserve">incorporated </w:t>
      </w:r>
      <w:r w:rsidR="00684F42" w:rsidRPr="00F354F1">
        <w:rPr>
          <w:sz w:val="22"/>
          <w:szCs w:val="22"/>
          <w:lang w:val="en-AU" w:eastAsia="en-AU"/>
        </w:rPr>
        <w:t>as defined in subsection 3(1) of the Act</w:t>
      </w:r>
      <w:r w:rsidR="00531936">
        <w:rPr>
          <w:sz w:val="22"/>
          <w:szCs w:val="22"/>
          <w:lang w:val="en-AU" w:eastAsia="en-AU"/>
        </w:rPr>
        <w:t>, which is effectively as in force or existing from time to time</w:t>
      </w:r>
      <w:r w:rsidR="00684F42" w:rsidRPr="00F354F1">
        <w:rPr>
          <w:sz w:val="22"/>
          <w:szCs w:val="22"/>
          <w:lang w:val="en-AU" w:eastAsia="en-AU"/>
        </w:rPr>
        <w:t>.</w:t>
      </w:r>
      <w:r w:rsidR="00561C85">
        <w:rPr>
          <w:sz w:val="22"/>
          <w:szCs w:val="22"/>
          <w:lang w:val="en-AU" w:eastAsia="en-AU"/>
        </w:rPr>
        <w:t xml:space="preserve"> </w:t>
      </w:r>
      <w:r w:rsidR="001A043B">
        <w:rPr>
          <w:sz w:val="22"/>
          <w:szCs w:val="22"/>
          <w:lang w:val="en-AU" w:eastAsia="en-AU"/>
        </w:rPr>
        <w:t xml:space="preserve">The </w:t>
      </w:r>
      <w:r w:rsidR="00DF2288">
        <w:rPr>
          <w:sz w:val="22"/>
          <w:szCs w:val="22"/>
          <w:lang w:val="en-AU" w:eastAsia="en-AU"/>
        </w:rPr>
        <w:t xml:space="preserve">definition of </w:t>
      </w:r>
      <w:r w:rsidR="001A043B">
        <w:rPr>
          <w:sz w:val="22"/>
          <w:szCs w:val="22"/>
          <w:lang w:val="en-AU" w:eastAsia="en-AU"/>
        </w:rPr>
        <w:t xml:space="preserve">Japanese Pharmacopoeia </w:t>
      </w:r>
      <w:r w:rsidR="00DF2288">
        <w:rPr>
          <w:sz w:val="22"/>
          <w:szCs w:val="22"/>
          <w:lang w:val="en-AU" w:eastAsia="en-AU"/>
        </w:rPr>
        <w:t xml:space="preserve">in section 4 of the Order makes it clear that it </w:t>
      </w:r>
      <w:r w:rsidR="001A043B">
        <w:rPr>
          <w:sz w:val="22"/>
          <w:szCs w:val="22"/>
          <w:lang w:val="en-AU" w:eastAsia="en-AU"/>
        </w:rPr>
        <w:t xml:space="preserve">is </w:t>
      </w:r>
      <w:r w:rsidR="00531936">
        <w:rPr>
          <w:sz w:val="22"/>
          <w:szCs w:val="22"/>
          <w:lang w:val="en-AU" w:eastAsia="en-AU"/>
        </w:rPr>
        <w:t xml:space="preserve">also </w:t>
      </w:r>
      <w:r w:rsidR="001A043B">
        <w:rPr>
          <w:sz w:val="22"/>
          <w:szCs w:val="22"/>
          <w:lang w:val="en-AU" w:eastAsia="en-AU"/>
        </w:rPr>
        <w:t>incorporated as in force from time to time</w:t>
      </w:r>
      <w:r w:rsidR="00DF2288">
        <w:rPr>
          <w:sz w:val="22"/>
          <w:szCs w:val="22"/>
          <w:lang w:val="en-AU" w:eastAsia="en-AU"/>
        </w:rPr>
        <w:t xml:space="preserve">. </w:t>
      </w:r>
    </w:p>
    <w:p w14:paraId="3BC80B7B" w14:textId="77777777" w:rsidR="00B92CA6" w:rsidRDefault="00B92CA6" w:rsidP="00684F42">
      <w:pPr>
        <w:keepNext/>
        <w:autoSpaceDE w:val="0"/>
        <w:autoSpaceDN w:val="0"/>
        <w:adjustRightInd w:val="0"/>
        <w:spacing w:before="0" w:after="0"/>
        <w:rPr>
          <w:sz w:val="22"/>
          <w:szCs w:val="22"/>
          <w:lang w:val="en-AU" w:eastAsia="en-AU"/>
        </w:rPr>
      </w:pPr>
    </w:p>
    <w:p w14:paraId="66F08AC6" w14:textId="4E24C32C" w:rsidR="00684F42" w:rsidRPr="00B92CA6" w:rsidRDefault="00684F42" w:rsidP="00B92CA6">
      <w:pPr>
        <w:keepNext/>
        <w:autoSpaceDE w:val="0"/>
        <w:autoSpaceDN w:val="0"/>
        <w:adjustRightInd w:val="0"/>
        <w:spacing w:before="0" w:after="0"/>
        <w:rPr>
          <w:sz w:val="22"/>
          <w:szCs w:val="22"/>
          <w:lang w:val="en-AU" w:eastAsia="en-AU"/>
        </w:rPr>
      </w:pPr>
      <w:r w:rsidRPr="00F354F1">
        <w:rPr>
          <w:sz w:val="22"/>
          <w:szCs w:val="22"/>
          <w:lang w:val="en-AU" w:eastAsia="en-AU"/>
        </w:rPr>
        <w:t>These pharmacopoeias</w:t>
      </w:r>
      <w:r w:rsidR="00531936">
        <w:rPr>
          <w:sz w:val="22"/>
          <w:szCs w:val="22"/>
          <w:lang w:val="en-AU" w:eastAsia="en-AU"/>
        </w:rPr>
        <w:t xml:space="preserve"> </w:t>
      </w:r>
      <w:r w:rsidRPr="00F354F1">
        <w:rPr>
          <w:sz w:val="22"/>
          <w:szCs w:val="22"/>
          <w:lang w:val="en-AU" w:eastAsia="en-AU"/>
        </w:rPr>
        <w:t xml:space="preserve">may be accessed </w:t>
      </w:r>
      <w:r w:rsidRPr="00DF2288">
        <w:rPr>
          <w:sz w:val="22"/>
          <w:szCs w:val="22"/>
          <w:lang w:val="en-AU" w:eastAsia="en-AU"/>
        </w:rPr>
        <w:t>fro</w:t>
      </w:r>
      <w:r w:rsidR="00B92CA6" w:rsidRPr="00DF2288">
        <w:rPr>
          <w:sz w:val="22"/>
          <w:szCs w:val="22"/>
          <w:lang w:val="en-AU" w:eastAsia="en-AU"/>
        </w:rPr>
        <w:t>m</w:t>
      </w:r>
      <w:r w:rsidRPr="00DF2288">
        <w:rPr>
          <w:sz w:val="22"/>
          <w:szCs w:val="22"/>
          <w:lang w:val="en-AU" w:eastAsia="en-AU"/>
        </w:rPr>
        <w:t xml:space="preserve"> </w:t>
      </w:r>
      <w:r w:rsidR="00C001B2" w:rsidRPr="00DF2288">
        <w:rPr>
          <w:sz w:val="22"/>
          <w:szCs w:val="22"/>
          <w:lang w:val="en-AU" w:eastAsia="en-AU"/>
        </w:rPr>
        <w:t xml:space="preserve">www.pharmacopoeia.com/, </w:t>
      </w:r>
      <w:r w:rsidRPr="00DF2288">
        <w:rPr>
          <w:sz w:val="22"/>
          <w:szCs w:val="22"/>
          <w:lang w:val="en-AU" w:eastAsia="en-AU"/>
        </w:rPr>
        <w:t>pheur.edqm.eu/home</w:t>
      </w:r>
      <w:r w:rsidR="00C001B2" w:rsidRPr="00DF2288">
        <w:rPr>
          <w:sz w:val="22"/>
          <w:szCs w:val="22"/>
          <w:lang w:val="en-AU" w:eastAsia="en-AU"/>
        </w:rPr>
        <w:t>,</w:t>
      </w:r>
      <w:r w:rsidR="00DF2288" w:rsidRPr="00DF2288">
        <w:rPr>
          <w:sz w:val="22"/>
          <w:szCs w:val="22"/>
          <w:lang w:val="en-AU" w:eastAsia="en-AU"/>
        </w:rPr>
        <w:t xml:space="preserve"> www.pmda.go.jp/english/</w:t>
      </w:r>
      <w:r w:rsidR="00C001B2" w:rsidRPr="00DF2288">
        <w:rPr>
          <w:sz w:val="22"/>
          <w:szCs w:val="22"/>
          <w:lang w:val="en-AU" w:eastAsia="en-AU"/>
        </w:rPr>
        <w:t xml:space="preserve"> and </w:t>
      </w:r>
      <w:r w:rsidR="00C001B2" w:rsidRPr="00DF2288">
        <w:rPr>
          <w:color w:val="000000"/>
          <w:sz w:val="22"/>
          <w:szCs w:val="22"/>
        </w:rPr>
        <w:t>www.uspnf.com/</w:t>
      </w:r>
      <w:r w:rsidRPr="00DF2288">
        <w:rPr>
          <w:sz w:val="22"/>
          <w:szCs w:val="22"/>
          <w:lang w:val="en-AU" w:eastAsia="en-AU"/>
        </w:rPr>
        <w:t>.</w:t>
      </w:r>
    </w:p>
    <w:p w14:paraId="3508BBDA" w14:textId="77777777" w:rsidR="00684F42" w:rsidRPr="00F354F1" w:rsidRDefault="00684F42" w:rsidP="00684F42">
      <w:pPr>
        <w:autoSpaceDE w:val="0"/>
        <w:autoSpaceDN w:val="0"/>
        <w:adjustRightInd w:val="0"/>
        <w:spacing w:before="0" w:after="0"/>
        <w:rPr>
          <w:sz w:val="22"/>
          <w:szCs w:val="22"/>
          <w:lang w:val="en-AU" w:eastAsia="en-AU"/>
        </w:rPr>
      </w:pPr>
    </w:p>
    <w:p w14:paraId="2B1B5F95" w14:textId="7AE2246E" w:rsidR="00684F42" w:rsidRPr="00F354F1" w:rsidRDefault="00531936" w:rsidP="00684F42">
      <w:pPr>
        <w:autoSpaceDE w:val="0"/>
        <w:autoSpaceDN w:val="0"/>
        <w:adjustRightInd w:val="0"/>
        <w:spacing w:before="0" w:after="0"/>
        <w:rPr>
          <w:sz w:val="22"/>
          <w:szCs w:val="22"/>
          <w:lang w:val="en-AU" w:eastAsia="en-AU"/>
        </w:rPr>
      </w:pPr>
      <w:r>
        <w:rPr>
          <w:sz w:val="22"/>
          <w:szCs w:val="22"/>
          <w:lang w:val="en-AU" w:eastAsia="en-AU"/>
        </w:rPr>
        <w:t xml:space="preserve">The Japanese Pharmacopoeia is available for free. </w:t>
      </w:r>
      <w:r w:rsidR="00684F42" w:rsidRPr="00F354F1">
        <w:rPr>
          <w:sz w:val="22"/>
          <w:szCs w:val="22"/>
          <w:lang w:val="en-AU" w:eastAsia="en-AU"/>
        </w:rPr>
        <w:t>While unfortunately the</w:t>
      </w:r>
      <w:r w:rsidR="00DF2288">
        <w:rPr>
          <w:sz w:val="22"/>
          <w:szCs w:val="22"/>
          <w:lang w:val="en-AU" w:eastAsia="en-AU"/>
        </w:rPr>
        <w:t xml:space="preserve"> </w:t>
      </w:r>
      <w:r w:rsidR="00DF2288" w:rsidRPr="00B92CA6">
        <w:rPr>
          <w:sz w:val="22"/>
          <w:szCs w:val="22"/>
          <w:lang w:val="en-AU" w:eastAsia="en-AU"/>
        </w:rPr>
        <w:t>British Pharmacopoeia, European Pharmacopoeia</w:t>
      </w:r>
      <w:r w:rsidR="00DF2288">
        <w:rPr>
          <w:sz w:val="22"/>
          <w:szCs w:val="22"/>
          <w:lang w:val="en-AU" w:eastAsia="en-AU"/>
        </w:rPr>
        <w:t xml:space="preserve"> and United States Pharmacopoeia-National Formulary </w:t>
      </w:r>
      <w:r w:rsidR="00684F42" w:rsidRPr="00F354F1">
        <w:rPr>
          <w:sz w:val="22"/>
          <w:szCs w:val="22"/>
          <w:lang w:val="en-AU" w:eastAsia="en-AU"/>
        </w:rPr>
        <w:t xml:space="preserve">are not available for free, it is anticipated that the </w:t>
      </w:r>
      <w:proofErr w:type="gramStart"/>
      <w:r w:rsidR="00684F42" w:rsidRPr="00F354F1">
        <w:rPr>
          <w:sz w:val="22"/>
          <w:szCs w:val="22"/>
          <w:lang w:val="en-AU" w:eastAsia="en-AU"/>
        </w:rPr>
        <w:t>persons</w:t>
      </w:r>
      <w:proofErr w:type="gramEnd"/>
      <w:r w:rsidR="00684F42" w:rsidRPr="00F354F1">
        <w:rPr>
          <w:sz w:val="22"/>
          <w:szCs w:val="22"/>
          <w:lang w:val="en-AU" w:eastAsia="en-AU"/>
        </w:rPr>
        <w:t xml:space="preserve"> most affected by their adoption in this Order (sponsors of </w:t>
      </w:r>
      <w:r w:rsidR="00D74BD2">
        <w:rPr>
          <w:sz w:val="22"/>
          <w:szCs w:val="22"/>
          <w:lang w:val="en-AU" w:eastAsia="en-AU"/>
        </w:rPr>
        <w:t>export only medicines</w:t>
      </w:r>
      <w:r w:rsidR="00684F42" w:rsidRPr="00F354F1">
        <w:rPr>
          <w:sz w:val="22"/>
          <w:szCs w:val="22"/>
          <w:lang w:val="en-AU" w:eastAsia="en-AU"/>
        </w:rPr>
        <w:t xml:space="preserve">), would be in possession of these documents in order to manufacture the medicine or ingredients. As important international benchmarks for the safety and quality of </w:t>
      </w:r>
      <w:r w:rsidR="00D74BD2">
        <w:rPr>
          <w:sz w:val="22"/>
          <w:szCs w:val="22"/>
          <w:lang w:val="en-AU" w:eastAsia="en-AU"/>
        </w:rPr>
        <w:t>export only medicines</w:t>
      </w:r>
      <w:r w:rsidR="00684F42" w:rsidRPr="00F354F1">
        <w:rPr>
          <w:sz w:val="22"/>
          <w:szCs w:val="22"/>
          <w:lang w:val="en-AU" w:eastAsia="en-AU"/>
        </w:rPr>
        <w:t>, it would be infeasible from a regulatory perspective to not adopt such benchmarks on the basis that the publications are not available for free.</w:t>
      </w:r>
    </w:p>
    <w:p w14:paraId="542E923F" w14:textId="77777777" w:rsidR="00684F42" w:rsidRPr="00F354F1" w:rsidRDefault="00684F42" w:rsidP="00684F42">
      <w:pPr>
        <w:autoSpaceDE w:val="0"/>
        <w:autoSpaceDN w:val="0"/>
        <w:adjustRightInd w:val="0"/>
        <w:spacing w:before="0" w:after="0"/>
        <w:rPr>
          <w:sz w:val="22"/>
          <w:szCs w:val="22"/>
          <w:lang w:val="en-AU" w:eastAsia="en-AU"/>
        </w:rPr>
      </w:pPr>
    </w:p>
    <w:p w14:paraId="19AD60CB" w14:textId="53B1B4E7" w:rsidR="00684F42" w:rsidRPr="00F354F1" w:rsidRDefault="00684F42" w:rsidP="00684F42">
      <w:pPr>
        <w:autoSpaceDE w:val="0"/>
        <w:autoSpaceDN w:val="0"/>
        <w:adjustRightInd w:val="0"/>
        <w:spacing w:before="0" w:after="0"/>
        <w:rPr>
          <w:sz w:val="22"/>
          <w:szCs w:val="22"/>
          <w:lang w:val="en-AU" w:eastAsia="en-AU"/>
        </w:rPr>
      </w:pPr>
      <w:r w:rsidRPr="00C001B2">
        <w:rPr>
          <w:sz w:val="22"/>
          <w:szCs w:val="22"/>
          <w:lang w:val="en-AU" w:eastAsia="en-AU"/>
        </w:rPr>
        <w:t xml:space="preserve">However, by prior written arrangement with the TGA, members of the public may request to view the pharmacopoeias without charge at the TGA office in </w:t>
      </w:r>
      <w:r w:rsidR="00B72873" w:rsidRPr="00C001B2">
        <w:rPr>
          <w:sz w:val="22"/>
          <w:szCs w:val="22"/>
          <w:lang w:val="en-AU" w:eastAsia="en-AU"/>
        </w:rPr>
        <w:t>Fairbairn</w:t>
      </w:r>
      <w:r w:rsidRPr="00C001B2">
        <w:rPr>
          <w:sz w:val="22"/>
          <w:szCs w:val="22"/>
          <w:lang w:val="en-AU" w:eastAsia="en-AU"/>
        </w:rPr>
        <w:t>, ACT.</w:t>
      </w:r>
    </w:p>
    <w:p w14:paraId="2B67006C" w14:textId="77777777" w:rsidR="00684F42" w:rsidRPr="00F354F1" w:rsidRDefault="00684F42" w:rsidP="00684F42">
      <w:pPr>
        <w:autoSpaceDE w:val="0"/>
        <w:autoSpaceDN w:val="0"/>
        <w:adjustRightInd w:val="0"/>
        <w:spacing w:before="0" w:after="0"/>
        <w:rPr>
          <w:sz w:val="22"/>
          <w:szCs w:val="22"/>
          <w:lang w:val="en-AU" w:eastAsia="en-AU"/>
        </w:rPr>
      </w:pPr>
    </w:p>
    <w:p w14:paraId="2987FD50" w14:textId="77777777" w:rsidR="00684F42" w:rsidRPr="00F354F1" w:rsidRDefault="00684F42" w:rsidP="00684F42">
      <w:pPr>
        <w:autoSpaceDE w:val="0"/>
        <w:autoSpaceDN w:val="0"/>
        <w:adjustRightInd w:val="0"/>
        <w:spacing w:before="0" w:after="0"/>
        <w:rPr>
          <w:sz w:val="22"/>
          <w:szCs w:val="22"/>
          <w:lang w:val="en-AU" w:eastAsia="en-AU"/>
        </w:rPr>
      </w:pPr>
      <w:r w:rsidRPr="00F354F1">
        <w:rPr>
          <w:sz w:val="22"/>
          <w:szCs w:val="22"/>
          <w:lang w:val="en-AU" w:eastAsia="en-AU"/>
        </w:rPr>
        <w:t>It should also be noted that the National Library’s Trove online system (www.trove.nla.gov.au) allows users to identify libraries in Australia that are open to the public where editions (in most cases, earlier editions) of the pharmacopoeias may be viewed (for example, the University of Tasmania or the University of Western Australia in relation to the British Pharmacopoeia). Members of the public may also approach any library that participates in inter-library loans with those university libraries to request an inter-library loan, or to obtain a photocopy of a particular part of a monograph for personal study or research (but not for commercial purposes). Fees apply in relation to the making of such a request. Enquiries should be made with local libraries, state libraries or the National Library.</w:t>
      </w:r>
    </w:p>
    <w:p w14:paraId="610DA3E0" w14:textId="77777777" w:rsidR="00684F42" w:rsidRPr="00F354F1" w:rsidRDefault="00684F42" w:rsidP="00684F42">
      <w:pPr>
        <w:autoSpaceDE w:val="0"/>
        <w:autoSpaceDN w:val="0"/>
        <w:adjustRightInd w:val="0"/>
        <w:spacing w:before="0" w:after="0"/>
        <w:rPr>
          <w:sz w:val="22"/>
          <w:szCs w:val="22"/>
          <w:lang w:val="en-AU" w:eastAsia="en-AU"/>
        </w:rPr>
      </w:pPr>
    </w:p>
    <w:p w14:paraId="6354C2F5" w14:textId="77777777" w:rsidR="00684F42" w:rsidRPr="00F354F1" w:rsidRDefault="00684F42" w:rsidP="00684F42">
      <w:pPr>
        <w:autoSpaceDE w:val="0"/>
        <w:autoSpaceDN w:val="0"/>
        <w:adjustRightInd w:val="0"/>
        <w:spacing w:before="0" w:after="0"/>
        <w:rPr>
          <w:b/>
          <w:sz w:val="22"/>
          <w:szCs w:val="22"/>
          <w:lang w:val="en-AU" w:eastAsia="en-AU"/>
        </w:rPr>
      </w:pPr>
      <w:r w:rsidRPr="00F354F1">
        <w:rPr>
          <w:b/>
          <w:sz w:val="22"/>
          <w:szCs w:val="22"/>
          <w:lang w:val="en-AU" w:eastAsia="en-AU"/>
        </w:rPr>
        <w:t>Consultation</w:t>
      </w:r>
    </w:p>
    <w:p w14:paraId="45C81123" w14:textId="77777777" w:rsidR="00684F42" w:rsidRPr="003F3F09" w:rsidRDefault="00684F42" w:rsidP="00684F42">
      <w:pPr>
        <w:autoSpaceDE w:val="0"/>
        <w:autoSpaceDN w:val="0"/>
        <w:adjustRightInd w:val="0"/>
        <w:spacing w:before="0" w:after="0"/>
        <w:rPr>
          <w:sz w:val="22"/>
          <w:szCs w:val="22"/>
          <w:lang w:val="en-AU" w:eastAsia="en-AU"/>
        </w:rPr>
      </w:pPr>
    </w:p>
    <w:p w14:paraId="6DE211FF" w14:textId="56705212" w:rsidR="00DF2288" w:rsidRDefault="001E4E10" w:rsidP="00684F42">
      <w:pPr>
        <w:autoSpaceDE w:val="0"/>
        <w:autoSpaceDN w:val="0"/>
        <w:adjustRightInd w:val="0"/>
        <w:spacing w:before="0" w:after="0"/>
        <w:rPr>
          <w:bCs/>
          <w:sz w:val="22"/>
          <w:szCs w:val="22"/>
          <w:lang w:val="en-AU" w:eastAsia="en-AU"/>
        </w:rPr>
      </w:pPr>
      <w:r w:rsidRPr="003F3F09">
        <w:rPr>
          <w:sz w:val="22"/>
          <w:szCs w:val="22"/>
          <w:lang w:val="en-AU" w:eastAsia="en-AU"/>
        </w:rPr>
        <w:t>The</w:t>
      </w:r>
      <w:r w:rsidRPr="001E4E10">
        <w:rPr>
          <w:color w:val="000000"/>
          <w:sz w:val="22"/>
          <w:szCs w:val="22"/>
          <w:shd w:val="clear" w:color="auto" w:fill="FFFFFF"/>
          <w:lang w:val="en-AU"/>
        </w:rPr>
        <w:t xml:space="preserve"> Office of Information Analysis advised that the TGA </w:t>
      </w:r>
      <w:proofErr w:type="gramStart"/>
      <w:r w:rsidRPr="001E4E10">
        <w:rPr>
          <w:color w:val="000000"/>
          <w:sz w:val="22"/>
          <w:szCs w:val="22"/>
          <w:shd w:val="clear" w:color="auto" w:fill="FFFFFF"/>
          <w:lang w:val="en-AU"/>
        </w:rPr>
        <w:t>is able to</w:t>
      </w:r>
      <w:proofErr w:type="gramEnd"/>
      <w:r w:rsidRPr="001E4E10">
        <w:rPr>
          <w:color w:val="000000"/>
          <w:sz w:val="22"/>
          <w:szCs w:val="22"/>
          <w:shd w:val="clear" w:color="auto" w:fill="FFFFFF"/>
          <w:lang w:val="en-AU"/>
        </w:rPr>
        <w:t xml:space="preserve"> self-assess and certify that the former Order is operating efficiently and effectively with minor amendment in lieu of an Impact Analysis (OIA24-07033). The certification letter will be published on the Office of Impact Analysis website</w:t>
      </w:r>
      <w:r w:rsidR="001F4E98" w:rsidRPr="00B010A7">
        <w:rPr>
          <w:bCs/>
          <w:sz w:val="22"/>
          <w:szCs w:val="22"/>
          <w:lang w:val="en-AU" w:eastAsia="en-AU"/>
        </w:rPr>
        <w:t>.</w:t>
      </w:r>
    </w:p>
    <w:p w14:paraId="4E294748" w14:textId="77777777" w:rsidR="00684F42" w:rsidRPr="00F354F1" w:rsidRDefault="00684F42" w:rsidP="00684F42">
      <w:pPr>
        <w:autoSpaceDE w:val="0"/>
        <w:autoSpaceDN w:val="0"/>
        <w:adjustRightInd w:val="0"/>
        <w:spacing w:before="0" w:after="0"/>
        <w:rPr>
          <w:color w:val="000000"/>
          <w:sz w:val="22"/>
          <w:szCs w:val="22"/>
          <w:shd w:val="clear" w:color="auto" w:fill="FFFFFF"/>
          <w:lang w:val="en-AU"/>
        </w:rPr>
      </w:pPr>
    </w:p>
    <w:p w14:paraId="20A082DA" w14:textId="21D8723E" w:rsidR="00684F42" w:rsidRPr="00F354F1" w:rsidRDefault="00684F42" w:rsidP="00684F42">
      <w:pPr>
        <w:autoSpaceDE w:val="0"/>
        <w:autoSpaceDN w:val="0"/>
        <w:adjustRightInd w:val="0"/>
        <w:spacing w:before="0" w:after="0"/>
        <w:rPr>
          <w:color w:val="000000"/>
          <w:sz w:val="22"/>
          <w:szCs w:val="22"/>
          <w:shd w:val="clear" w:color="auto" w:fill="FFFFFF"/>
          <w:lang w:val="en-AU"/>
        </w:rPr>
      </w:pPr>
      <w:r w:rsidRPr="00F354F1">
        <w:rPr>
          <w:color w:val="000000"/>
          <w:sz w:val="22"/>
          <w:szCs w:val="22"/>
          <w:shd w:val="clear" w:color="auto" w:fill="FFFFFF"/>
          <w:lang w:val="en-AU"/>
        </w:rPr>
        <w:t xml:space="preserve">Between </w:t>
      </w:r>
      <w:r w:rsidR="00C63214" w:rsidRPr="00F354F1">
        <w:rPr>
          <w:color w:val="000000"/>
          <w:sz w:val="22"/>
          <w:szCs w:val="22"/>
          <w:shd w:val="clear" w:color="auto" w:fill="FFFFFF"/>
          <w:lang w:val="en-AU"/>
        </w:rPr>
        <w:t>15</w:t>
      </w:r>
      <w:r w:rsidRPr="00F354F1">
        <w:rPr>
          <w:color w:val="000000"/>
          <w:sz w:val="22"/>
          <w:szCs w:val="22"/>
          <w:shd w:val="clear" w:color="auto" w:fill="FFFFFF"/>
          <w:lang w:val="en-AU"/>
        </w:rPr>
        <w:t xml:space="preserve"> </w:t>
      </w:r>
      <w:r w:rsidR="00C63214" w:rsidRPr="00F354F1">
        <w:rPr>
          <w:color w:val="000000"/>
          <w:sz w:val="22"/>
          <w:szCs w:val="22"/>
          <w:shd w:val="clear" w:color="auto" w:fill="FFFFFF"/>
          <w:lang w:val="en-AU"/>
        </w:rPr>
        <w:t>July</w:t>
      </w:r>
      <w:r w:rsidRPr="00F354F1">
        <w:rPr>
          <w:color w:val="000000"/>
          <w:sz w:val="22"/>
          <w:szCs w:val="22"/>
          <w:shd w:val="clear" w:color="auto" w:fill="FFFFFF"/>
          <w:lang w:val="en-AU"/>
        </w:rPr>
        <w:t xml:space="preserve"> and </w:t>
      </w:r>
      <w:r w:rsidR="00C63214" w:rsidRPr="00F354F1">
        <w:rPr>
          <w:color w:val="000000"/>
          <w:sz w:val="22"/>
          <w:szCs w:val="22"/>
          <w:shd w:val="clear" w:color="auto" w:fill="FFFFFF"/>
          <w:lang w:val="en-AU"/>
        </w:rPr>
        <w:t>26</w:t>
      </w:r>
      <w:r w:rsidRPr="00F354F1">
        <w:rPr>
          <w:color w:val="000000"/>
          <w:sz w:val="22"/>
          <w:szCs w:val="22"/>
          <w:shd w:val="clear" w:color="auto" w:fill="FFFFFF"/>
          <w:lang w:val="en-AU"/>
        </w:rPr>
        <w:t xml:space="preserve"> </w:t>
      </w:r>
      <w:r w:rsidR="00C63214" w:rsidRPr="00F354F1">
        <w:rPr>
          <w:color w:val="000000"/>
          <w:sz w:val="22"/>
          <w:szCs w:val="22"/>
          <w:shd w:val="clear" w:color="auto" w:fill="FFFFFF"/>
          <w:lang w:val="en-AU"/>
        </w:rPr>
        <w:t>August</w:t>
      </w:r>
      <w:r w:rsidRPr="00F354F1">
        <w:rPr>
          <w:color w:val="000000"/>
          <w:sz w:val="22"/>
          <w:szCs w:val="22"/>
          <w:shd w:val="clear" w:color="auto" w:fill="FFFFFF"/>
          <w:lang w:val="en-AU"/>
        </w:rPr>
        <w:t xml:space="preserve"> 202</w:t>
      </w:r>
      <w:r w:rsidR="00C63214" w:rsidRPr="00F354F1">
        <w:rPr>
          <w:color w:val="000000"/>
          <w:sz w:val="22"/>
          <w:szCs w:val="22"/>
          <w:shd w:val="clear" w:color="auto" w:fill="FFFFFF"/>
          <w:lang w:val="en-AU"/>
        </w:rPr>
        <w:t>4</w:t>
      </w:r>
      <w:r w:rsidRPr="00F354F1">
        <w:rPr>
          <w:color w:val="000000"/>
          <w:sz w:val="22"/>
          <w:szCs w:val="22"/>
          <w:shd w:val="clear" w:color="auto" w:fill="FFFFFF"/>
          <w:lang w:val="en-AU"/>
        </w:rPr>
        <w:t xml:space="preserve">, the TGA undertook </w:t>
      </w:r>
      <w:r w:rsidR="00C63214" w:rsidRPr="00F354F1">
        <w:rPr>
          <w:color w:val="000000"/>
          <w:sz w:val="22"/>
          <w:szCs w:val="22"/>
          <w:shd w:val="clear" w:color="auto" w:fill="FFFFFF"/>
          <w:lang w:val="en-AU"/>
        </w:rPr>
        <w:t>a public</w:t>
      </w:r>
      <w:r w:rsidRPr="00F354F1">
        <w:rPr>
          <w:color w:val="000000"/>
          <w:sz w:val="22"/>
          <w:szCs w:val="22"/>
          <w:shd w:val="clear" w:color="auto" w:fill="FFFFFF"/>
          <w:lang w:val="en-AU"/>
        </w:rPr>
        <w:t xml:space="preserve"> consultation</w:t>
      </w:r>
      <w:r w:rsidR="00C63214" w:rsidRPr="00F354F1">
        <w:rPr>
          <w:color w:val="000000"/>
          <w:sz w:val="22"/>
          <w:szCs w:val="22"/>
          <w:shd w:val="clear" w:color="auto" w:fill="FFFFFF"/>
          <w:lang w:val="en-AU"/>
        </w:rPr>
        <w:t xml:space="preserve"> on the proposal to replace the sunsetting Former Order</w:t>
      </w:r>
      <w:r w:rsidRPr="00F354F1">
        <w:rPr>
          <w:color w:val="000000"/>
          <w:sz w:val="22"/>
          <w:szCs w:val="22"/>
          <w:shd w:val="clear" w:color="auto" w:fill="FFFFFF"/>
          <w:lang w:val="en-AU"/>
        </w:rPr>
        <w:t xml:space="preserve">. The TGA only received </w:t>
      </w:r>
      <w:r w:rsidR="006A111D">
        <w:rPr>
          <w:color w:val="000000"/>
          <w:sz w:val="22"/>
          <w:szCs w:val="22"/>
          <w:shd w:val="clear" w:color="auto" w:fill="FFFFFF"/>
          <w:lang w:val="en-AU"/>
        </w:rPr>
        <w:t>4</w:t>
      </w:r>
      <w:r w:rsidRPr="00F354F1">
        <w:rPr>
          <w:color w:val="000000"/>
          <w:sz w:val="22"/>
          <w:szCs w:val="22"/>
          <w:shd w:val="clear" w:color="auto" w:fill="FFFFFF"/>
          <w:lang w:val="en-AU"/>
        </w:rPr>
        <w:t xml:space="preserve"> responses (</w:t>
      </w:r>
      <w:r w:rsidR="004D3488">
        <w:rPr>
          <w:color w:val="000000"/>
          <w:sz w:val="22"/>
          <w:szCs w:val="22"/>
          <w:shd w:val="clear" w:color="auto" w:fill="FFFFFF"/>
          <w:lang w:val="en-AU"/>
        </w:rPr>
        <w:t>three</w:t>
      </w:r>
      <w:r w:rsidR="004D3488" w:rsidRPr="00F354F1">
        <w:rPr>
          <w:color w:val="000000"/>
          <w:sz w:val="22"/>
          <w:szCs w:val="22"/>
          <w:shd w:val="clear" w:color="auto" w:fill="FFFFFF"/>
          <w:lang w:val="en-AU"/>
        </w:rPr>
        <w:t xml:space="preserve"> </w:t>
      </w:r>
      <w:r w:rsidRPr="00F354F1">
        <w:rPr>
          <w:color w:val="000000"/>
          <w:sz w:val="22"/>
          <w:szCs w:val="22"/>
          <w:shd w:val="clear" w:color="auto" w:fill="FFFFFF"/>
          <w:lang w:val="en-AU"/>
        </w:rPr>
        <w:t>from peak bod</w:t>
      </w:r>
      <w:r w:rsidR="004D3488">
        <w:rPr>
          <w:color w:val="000000"/>
          <w:sz w:val="22"/>
          <w:szCs w:val="22"/>
          <w:shd w:val="clear" w:color="auto" w:fill="FFFFFF"/>
          <w:lang w:val="en-AU"/>
        </w:rPr>
        <w:t xml:space="preserve">ies, and one </w:t>
      </w:r>
      <w:r w:rsidR="00BB1B33">
        <w:rPr>
          <w:color w:val="000000"/>
          <w:sz w:val="22"/>
          <w:szCs w:val="22"/>
          <w:shd w:val="clear" w:color="auto" w:fill="FFFFFF"/>
          <w:lang w:val="en-AU"/>
        </w:rPr>
        <w:t>from</w:t>
      </w:r>
      <w:r w:rsidR="00263E8A">
        <w:rPr>
          <w:color w:val="000000"/>
          <w:sz w:val="22"/>
          <w:szCs w:val="22"/>
          <w:shd w:val="clear" w:color="auto" w:fill="FFFFFF"/>
          <w:lang w:val="en-AU"/>
        </w:rPr>
        <w:t xml:space="preserve"> a manufacturer</w:t>
      </w:r>
      <w:r w:rsidRPr="00F354F1">
        <w:rPr>
          <w:color w:val="000000"/>
          <w:sz w:val="22"/>
          <w:szCs w:val="22"/>
          <w:shd w:val="clear" w:color="auto" w:fill="FFFFFF"/>
          <w:lang w:val="en-AU"/>
        </w:rPr>
        <w:t xml:space="preserve">), </w:t>
      </w:r>
      <w:r w:rsidR="006A111D">
        <w:rPr>
          <w:color w:val="000000"/>
          <w:sz w:val="22"/>
          <w:szCs w:val="22"/>
          <w:shd w:val="clear" w:color="auto" w:fill="FFFFFF"/>
          <w:lang w:val="en-AU"/>
        </w:rPr>
        <w:t>all</w:t>
      </w:r>
      <w:r w:rsidRPr="00F354F1">
        <w:rPr>
          <w:color w:val="000000"/>
          <w:sz w:val="22"/>
          <w:szCs w:val="22"/>
          <w:shd w:val="clear" w:color="auto" w:fill="FFFFFF"/>
          <w:lang w:val="en-AU"/>
        </w:rPr>
        <w:t xml:space="preserve"> of which stated their support for the making of the Order in the same terms as the </w:t>
      </w:r>
      <w:r w:rsidR="00531936">
        <w:rPr>
          <w:color w:val="000000"/>
          <w:sz w:val="22"/>
          <w:szCs w:val="22"/>
          <w:shd w:val="clear" w:color="auto" w:fill="FFFFFF"/>
          <w:lang w:val="en-AU"/>
        </w:rPr>
        <w:t>f</w:t>
      </w:r>
      <w:r w:rsidRPr="00F354F1">
        <w:rPr>
          <w:color w:val="000000"/>
          <w:sz w:val="22"/>
          <w:szCs w:val="22"/>
          <w:shd w:val="clear" w:color="auto" w:fill="FFFFFF"/>
          <w:lang w:val="en-AU"/>
        </w:rPr>
        <w:t>ormer Order.</w:t>
      </w:r>
    </w:p>
    <w:p w14:paraId="48C8BC09" w14:textId="77777777" w:rsidR="00684F42" w:rsidRPr="00F354F1" w:rsidRDefault="00684F42" w:rsidP="00684F42">
      <w:pPr>
        <w:autoSpaceDE w:val="0"/>
        <w:autoSpaceDN w:val="0"/>
        <w:adjustRightInd w:val="0"/>
        <w:spacing w:before="0" w:after="0"/>
        <w:rPr>
          <w:rFonts w:eastAsiaTheme="minorHAnsi"/>
          <w:strike/>
          <w:color w:val="000000"/>
          <w:sz w:val="22"/>
          <w:szCs w:val="22"/>
          <w:lang w:val="en-AU"/>
        </w:rPr>
      </w:pPr>
    </w:p>
    <w:p w14:paraId="57E2931D" w14:textId="77777777" w:rsidR="00684F42" w:rsidRPr="00F354F1" w:rsidRDefault="00684F42" w:rsidP="00684F42">
      <w:pPr>
        <w:autoSpaceDE w:val="0"/>
        <w:autoSpaceDN w:val="0"/>
        <w:adjustRightInd w:val="0"/>
        <w:spacing w:before="0" w:after="0"/>
        <w:rPr>
          <w:sz w:val="22"/>
          <w:szCs w:val="22"/>
          <w:lang w:val="en-AU" w:eastAsia="en-AU"/>
        </w:rPr>
      </w:pPr>
      <w:r w:rsidRPr="00F354F1">
        <w:rPr>
          <w:sz w:val="22"/>
          <w:szCs w:val="22"/>
          <w:lang w:val="en-AU" w:eastAsia="en-AU"/>
        </w:rPr>
        <w:t xml:space="preserve">Details of the Order are set out in </w:t>
      </w:r>
      <w:r w:rsidRPr="00F354F1">
        <w:rPr>
          <w:b/>
          <w:sz w:val="22"/>
          <w:szCs w:val="22"/>
          <w:lang w:val="en-AU" w:eastAsia="en-AU"/>
        </w:rPr>
        <w:t>Attachment A</w:t>
      </w:r>
      <w:r w:rsidRPr="00F354F1">
        <w:rPr>
          <w:sz w:val="22"/>
          <w:szCs w:val="22"/>
          <w:lang w:val="en-AU" w:eastAsia="en-AU"/>
        </w:rPr>
        <w:t>.</w:t>
      </w:r>
    </w:p>
    <w:p w14:paraId="2A32A451" w14:textId="77777777" w:rsidR="00684F42" w:rsidRPr="00F354F1" w:rsidRDefault="00684F42" w:rsidP="00684F42">
      <w:pPr>
        <w:autoSpaceDE w:val="0"/>
        <w:autoSpaceDN w:val="0"/>
        <w:adjustRightInd w:val="0"/>
        <w:spacing w:before="0" w:after="0"/>
        <w:rPr>
          <w:sz w:val="22"/>
          <w:szCs w:val="22"/>
          <w:lang w:val="en-AU" w:eastAsia="en-AU"/>
        </w:rPr>
      </w:pPr>
    </w:p>
    <w:p w14:paraId="73D676AA" w14:textId="77777777" w:rsidR="00684F42" w:rsidRPr="00F354F1" w:rsidRDefault="00684F42" w:rsidP="00684F42">
      <w:pPr>
        <w:autoSpaceDE w:val="0"/>
        <w:autoSpaceDN w:val="0"/>
        <w:adjustRightInd w:val="0"/>
        <w:spacing w:before="0" w:after="0"/>
        <w:rPr>
          <w:sz w:val="22"/>
          <w:szCs w:val="22"/>
          <w:lang w:val="en-AU" w:eastAsia="en-AU"/>
        </w:rPr>
      </w:pPr>
      <w:r w:rsidRPr="00F354F1">
        <w:rPr>
          <w:sz w:val="22"/>
          <w:szCs w:val="22"/>
          <w:lang w:val="en-AU" w:eastAsia="en-AU"/>
        </w:rPr>
        <w:t xml:space="preserve">The Order is compatible with the human rights and freedoms recognised or declared under section 3 of the </w:t>
      </w:r>
      <w:r w:rsidRPr="00F354F1">
        <w:rPr>
          <w:i/>
          <w:sz w:val="22"/>
          <w:szCs w:val="22"/>
          <w:lang w:val="en-AU" w:eastAsia="en-AU"/>
        </w:rPr>
        <w:t>Human Rights (Parliamentary Scrutiny) Act 2011</w:t>
      </w:r>
      <w:r w:rsidRPr="00F354F1">
        <w:rPr>
          <w:sz w:val="22"/>
          <w:szCs w:val="22"/>
          <w:lang w:val="en-AU" w:eastAsia="en-AU"/>
        </w:rPr>
        <w:t xml:space="preserve">. A full statement of compatibility is set out in </w:t>
      </w:r>
      <w:r w:rsidRPr="00F354F1">
        <w:rPr>
          <w:b/>
          <w:sz w:val="22"/>
          <w:szCs w:val="22"/>
          <w:lang w:val="en-AU" w:eastAsia="en-AU"/>
        </w:rPr>
        <w:t>Attachment B</w:t>
      </w:r>
      <w:r w:rsidRPr="00F354F1">
        <w:rPr>
          <w:sz w:val="22"/>
          <w:szCs w:val="22"/>
          <w:lang w:val="en-AU" w:eastAsia="en-AU"/>
        </w:rPr>
        <w:t>.</w:t>
      </w:r>
    </w:p>
    <w:p w14:paraId="05933D4A" w14:textId="77777777" w:rsidR="00684F42" w:rsidRPr="00F354F1" w:rsidRDefault="00684F42" w:rsidP="00684F42">
      <w:pPr>
        <w:autoSpaceDE w:val="0"/>
        <w:autoSpaceDN w:val="0"/>
        <w:adjustRightInd w:val="0"/>
        <w:spacing w:before="0" w:after="0"/>
        <w:rPr>
          <w:sz w:val="22"/>
          <w:szCs w:val="22"/>
          <w:lang w:val="en-AU" w:eastAsia="en-AU"/>
        </w:rPr>
      </w:pPr>
    </w:p>
    <w:p w14:paraId="7CA2F827" w14:textId="5259F8A6" w:rsidR="00684F42" w:rsidRPr="00F354F1" w:rsidRDefault="00684F42" w:rsidP="00684F42">
      <w:pPr>
        <w:autoSpaceDE w:val="0"/>
        <w:autoSpaceDN w:val="0"/>
        <w:adjustRightInd w:val="0"/>
        <w:spacing w:before="0" w:after="0"/>
        <w:rPr>
          <w:sz w:val="22"/>
          <w:szCs w:val="22"/>
          <w:lang w:val="en-AU" w:eastAsia="en-AU"/>
        </w:rPr>
      </w:pPr>
      <w:r w:rsidRPr="00F354F1">
        <w:rPr>
          <w:sz w:val="22"/>
          <w:szCs w:val="22"/>
          <w:lang w:val="en-AU" w:eastAsia="en-AU"/>
        </w:rPr>
        <w:t>The Order is a disallowable legislative instrument for the purposes of the Legislation Act</w:t>
      </w:r>
      <w:r w:rsidRPr="00F354F1">
        <w:rPr>
          <w:i/>
          <w:sz w:val="22"/>
          <w:szCs w:val="22"/>
          <w:lang w:val="en-AU" w:eastAsia="en-AU"/>
        </w:rPr>
        <w:t xml:space="preserve"> </w:t>
      </w:r>
      <w:r w:rsidRPr="00F354F1">
        <w:rPr>
          <w:iCs/>
          <w:sz w:val="22"/>
          <w:szCs w:val="22"/>
          <w:lang w:val="en-AU" w:eastAsia="en-AU"/>
        </w:rPr>
        <w:t>and commences on 3</w:t>
      </w:r>
      <w:r w:rsidR="00F354F1">
        <w:rPr>
          <w:iCs/>
          <w:sz w:val="22"/>
          <w:szCs w:val="22"/>
          <w:lang w:val="en-AU" w:eastAsia="en-AU"/>
        </w:rPr>
        <w:t>0</w:t>
      </w:r>
      <w:r w:rsidRPr="00F354F1">
        <w:rPr>
          <w:iCs/>
          <w:sz w:val="22"/>
          <w:szCs w:val="22"/>
          <w:lang w:val="en-AU" w:eastAsia="en-AU"/>
        </w:rPr>
        <w:t xml:space="preserve"> </w:t>
      </w:r>
      <w:r w:rsidR="00F354F1">
        <w:rPr>
          <w:iCs/>
          <w:sz w:val="22"/>
          <w:szCs w:val="22"/>
          <w:lang w:val="en-AU" w:eastAsia="en-AU"/>
        </w:rPr>
        <w:t>September</w:t>
      </w:r>
      <w:r w:rsidRPr="00F354F1">
        <w:rPr>
          <w:iCs/>
          <w:sz w:val="22"/>
          <w:szCs w:val="22"/>
          <w:lang w:val="en-AU" w:eastAsia="en-AU"/>
        </w:rPr>
        <w:t xml:space="preserve"> 202</w:t>
      </w:r>
      <w:r w:rsidR="00F354F1">
        <w:rPr>
          <w:iCs/>
          <w:sz w:val="22"/>
          <w:szCs w:val="22"/>
          <w:lang w:val="en-AU" w:eastAsia="en-AU"/>
        </w:rPr>
        <w:t>4</w:t>
      </w:r>
      <w:r w:rsidRPr="00F354F1">
        <w:rPr>
          <w:sz w:val="22"/>
          <w:szCs w:val="22"/>
          <w:lang w:val="en-AU" w:eastAsia="en-AU"/>
        </w:rPr>
        <w:t>.</w:t>
      </w:r>
    </w:p>
    <w:p w14:paraId="1316D9D2" w14:textId="77777777" w:rsidR="00684F42" w:rsidRPr="00F354F1" w:rsidRDefault="00684F42" w:rsidP="00684F42">
      <w:pPr>
        <w:spacing w:before="0" w:after="160" w:line="259" w:lineRule="auto"/>
        <w:rPr>
          <w:sz w:val="22"/>
          <w:szCs w:val="22"/>
          <w:lang w:val="en-AU" w:eastAsia="en-AU"/>
        </w:rPr>
      </w:pPr>
      <w:r w:rsidRPr="00F354F1">
        <w:rPr>
          <w:sz w:val="22"/>
          <w:szCs w:val="22"/>
          <w:lang w:val="en-AU" w:eastAsia="en-AU"/>
        </w:rPr>
        <w:br w:type="page"/>
      </w:r>
    </w:p>
    <w:p w14:paraId="6EAF0542" w14:textId="77777777" w:rsidR="00684F42" w:rsidRPr="00F354F1" w:rsidRDefault="00684F42" w:rsidP="00684F42">
      <w:pPr>
        <w:spacing w:before="0" w:after="0"/>
        <w:jc w:val="right"/>
        <w:rPr>
          <w:b/>
          <w:bCs/>
          <w:sz w:val="22"/>
          <w:szCs w:val="22"/>
          <w:lang w:val="en-AU" w:eastAsia="en-AU"/>
        </w:rPr>
      </w:pPr>
      <w:r w:rsidRPr="00F354F1">
        <w:rPr>
          <w:b/>
          <w:bCs/>
          <w:sz w:val="22"/>
          <w:szCs w:val="22"/>
          <w:lang w:val="en-AU" w:eastAsia="en-AU"/>
        </w:rPr>
        <w:lastRenderedPageBreak/>
        <w:t>Attachment A</w:t>
      </w:r>
    </w:p>
    <w:p w14:paraId="4B69A91D" w14:textId="77777777" w:rsidR="00684F42" w:rsidRPr="00F354F1" w:rsidRDefault="00684F42" w:rsidP="00684F42">
      <w:pPr>
        <w:spacing w:before="0" w:after="0"/>
        <w:rPr>
          <w:b/>
          <w:bCs/>
          <w:sz w:val="22"/>
          <w:szCs w:val="22"/>
          <w:lang w:val="en-AU" w:eastAsia="en-AU"/>
        </w:rPr>
      </w:pPr>
      <w:bookmarkStart w:id="2" w:name="_Toc199566624"/>
    </w:p>
    <w:p w14:paraId="2F89AC5B" w14:textId="46021101" w:rsidR="00684F42" w:rsidRPr="00F354F1" w:rsidRDefault="00684F42" w:rsidP="00684F42">
      <w:pPr>
        <w:spacing w:before="0" w:after="0"/>
        <w:rPr>
          <w:b/>
          <w:bCs/>
          <w:i/>
          <w:sz w:val="22"/>
          <w:szCs w:val="22"/>
          <w:lang w:val="en-AU" w:eastAsia="en-AU"/>
        </w:rPr>
      </w:pPr>
      <w:r w:rsidRPr="00F354F1">
        <w:rPr>
          <w:b/>
          <w:bCs/>
          <w:sz w:val="22"/>
          <w:szCs w:val="22"/>
          <w:lang w:val="en-AU" w:eastAsia="en-AU"/>
        </w:rPr>
        <w:t>Details of</w:t>
      </w:r>
      <w:r w:rsidRPr="00F354F1">
        <w:rPr>
          <w:b/>
          <w:sz w:val="22"/>
          <w:szCs w:val="22"/>
          <w:lang w:val="en-AU" w:eastAsia="en-AU"/>
        </w:rPr>
        <w:t> </w:t>
      </w:r>
      <w:bookmarkEnd w:id="2"/>
      <w:r w:rsidRPr="00F354F1">
        <w:rPr>
          <w:b/>
          <w:sz w:val="22"/>
          <w:szCs w:val="22"/>
          <w:lang w:val="en-AU" w:eastAsia="en-AU"/>
        </w:rPr>
        <w:t>the</w:t>
      </w:r>
      <w:r w:rsidRPr="00F354F1">
        <w:rPr>
          <w:sz w:val="22"/>
          <w:szCs w:val="22"/>
          <w:lang w:val="en-AU" w:eastAsia="en-AU"/>
        </w:rPr>
        <w:t xml:space="preserve"> </w:t>
      </w:r>
      <w:r w:rsidRPr="00F354F1">
        <w:rPr>
          <w:b/>
          <w:bCs/>
          <w:i/>
          <w:sz w:val="22"/>
          <w:szCs w:val="22"/>
          <w:lang w:val="en-AU" w:eastAsia="en-AU"/>
        </w:rPr>
        <w:t xml:space="preserve">Therapeutic Goods (Standard for </w:t>
      </w:r>
      <w:r w:rsidR="00D74BD2">
        <w:rPr>
          <w:b/>
          <w:bCs/>
          <w:i/>
          <w:sz w:val="22"/>
          <w:szCs w:val="22"/>
          <w:lang w:val="en-AU" w:eastAsia="en-AU"/>
        </w:rPr>
        <w:t xml:space="preserve">Export </w:t>
      </w:r>
      <w:r w:rsidR="00447FAA">
        <w:rPr>
          <w:b/>
          <w:bCs/>
          <w:i/>
          <w:sz w:val="22"/>
          <w:szCs w:val="22"/>
          <w:lang w:val="en-AU" w:eastAsia="en-AU"/>
        </w:rPr>
        <w:t>O</w:t>
      </w:r>
      <w:r w:rsidR="00D74BD2">
        <w:rPr>
          <w:b/>
          <w:bCs/>
          <w:i/>
          <w:sz w:val="22"/>
          <w:szCs w:val="22"/>
          <w:lang w:val="en-AU" w:eastAsia="en-AU"/>
        </w:rPr>
        <w:t>nly Medicines</w:t>
      </w:r>
      <w:r w:rsidRPr="00F354F1">
        <w:rPr>
          <w:b/>
          <w:bCs/>
          <w:i/>
          <w:sz w:val="22"/>
          <w:szCs w:val="22"/>
          <w:lang w:val="en-AU" w:eastAsia="en-AU"/>
        </w:rPr>
        <w:t>) (TGO 11</w:t>
      </w:r>
      <w:r w:rsidR="00D74BD2">
        <w:rPr>
          <w:b/>
          <w:bCs/>
          <w:i/>
          <w:sz w:val="22"/>
          <w:szCs w:val="22"/>
          <w:lang w:val="en-AU" w:eastAsia="en-AU"/>
        </w:rPr>
        <w:t>4</w:t>
      </w:r>
      <w:r w:rsidRPr="00F354F1">
        <w:rPr>
          <w:b/>
          <w:bCs/>
          <w:i/>
          <w:sz w:val="22"/>
          <w:szCs w:val="22"/>
          <w:lang w:val="en-AU" w:eastAsia="en-AU"/>
        </w:rPr>
        <w:t>) Order 202</w:t>
      </w:r>
      <w:r w:rsidR="00D74BD2">
        <w:rPr>
          <w:b/>
          <w:bCs/>
          <w:i/>
          <w:sz w:val="22"/>
          <w:szCs w:val="22"/>
          <w:lang w:val="en-AU" w:eastAsia="en-AU"/>
        </w:rPr>
        <w:t>4</w:t>
      </w:r>
    </w:p>
    <w:p w14:paraId="4FA5EB56" w14:textId="77777777" w:rsidR="00684F42" w:rsidRPr="00F354F1" w:rsidRDefault="00684F42" w:rsidP="00684F42">
      <w:pPr>
        <w:spacing w:before="0" w:after="0"/>
        <w:rPr>
          <w:sz w:val="22"/>
          <w:szCs w:val="22"/>
          <w:lang w:val="en-AU" w:eastAsia="en-AU"/>
        </w:rPr>
      </w:pPr>
    </w:p>
    <w:p w14:paraId="2B4218A3" w14:textId="77777777" w:rsidR="00684F42" w:rsidRPr="00F354F1" w:rsidRDefault="00684F42" w:rsidP="00684F42">
      <w:pPr>
        <w:spacing w:before="0" w:after="0"/>
        <w:rPr>
          <w:b/>
          <w:bCs/>
          <w:sz w:val="22"/>
          <w:szCs w:val="22"/>
          <w:lang w:val="en-AU" w:eastAsia="en-AU"/>
        </w:rPr>
      </w:pPr>
      <w:r w:rsidRPr="00F354F1">
        <w:rPr>
          <w:b/>
          <w:bCs/>
          <w:sz w:val="22"/>
          <w:szCs w:val="22"/>
          <w:lang w:val="en-AU" w:eastAsia="en-AU"/>
        </w:rPr>
        <w:t>Section 1 – Name</w:t>
      </w:r>
    </w:p>
    <w:p w14:paraId="21B7E940" w14:textId="77777777" w:rsidR="00684F42" w:rsidRPr="00F354F1" w:rsidRDefault="00684F42" w:rsidP="00684F42">
      <w:pPr>
        <w:spacing w:before="0" w:after="0"/>
        <w:rPr>
          <w:sz w:val="22"/>
          <w:szCs w:val="22"/>
          <w:lang w:val="en-AU" w:eastAsia="en-AU"/>
        </w:rPr>
      </w:pPr>
    </w:p>
    <w:p w14:paraId="277C1365" w14:textId="58005E69" w:rsidR="00684F42" w:rsidRPr="00F354F1" w:rsidRDefault="00684F42" w:rsidP="00684F42">
      <w:pPr>
        <w:spacing w:before="0" w:after="0"/>
        <w:rPr>
          <w:i/>
          <w:sz w:val="22"/>
          <w:szCs w:val="22"/>
          <w:lang w:val="en-AU" w:eastAsia="en-AU"/>
        </w:rPr>
      </w:pPr>
      <w:r w:rsidRPr="00F354F1">
        <w:rPr>
          <w:sz w:val="22"/>
          <w:szCs w:val="22"/>
          <w:lang w:val="en-AU" w:eastAsia="en-AU"/>
        </w:rPr>
        <w:t xml:space="preserve">This section provides that the name of the instrument is the </w:t>
      </w:r>
      <w:r w:rsidRPr="00F354F1">
        <w:rPr>
          <w:i/>
          <w:sz w:val="22"/>
          <w:szCs w:val="22"/>
          <w:lang w:val="en-AU" w:eastAsia="en-AU"/>
        </w:rPr>
        <w:t xml:space="preserve">Therapeutic Goods (Standard for </w:t>
      </w:r>
      <w:r w:rsidR="00CF1F65" w:rsidRPr="00F354F1">
        <w:rPr>
          <w:i/>
          <w:sz w:val="22"/>
          <w:szCs w:val="22"/>
          <w:lang w:val="en-AU" w:eastAsia="en-AU"/>
        </w:rPr>
        <w:t>Export Only Medicines</w:t>
      </w:r>
      <w:r w:rsidRPr="00F354F1">
        <w:rPr>
          <w:i/>
          <w:sz w:val="22"/>
          <w:szCs w:val="22"/>
          <w:lang w:val="en-AU" w:eastAsia="en-AU"/>
        </w:rPr>
        <w:t>) (TGO 11</w:t>
      </w:r>
      <w:r w:rsidR="00D82195">
        <w:rPr>
          <w:i/>
          <w:sz w:val="22"/>
          <w:szCs w:val="22"/>
          <w:lang w:val="en-AU" w:eastAsia="en-AU"/>
        </w:rPr>
        <w:t>4</w:t>
      </w:r>
      <w:r w:rsidRPr="00F354F1">
        <w:rPr>
          <w:i/>
          <w:sz w:val="22"/>
          <w:szCs w:val="22"/>
          <w:lang w:val="en-AU" w:eastAsia="en-AU"/>
        </w:rPr>
        <w:t>) Order 202</w:t>
      </w:r>
      <w:r w:rsidR="00CF1F65" w:rsidRPr="00F354F1">
        <w:rPr>
          <w:i/>
          <w:sz w:val="22"/>
          <w:szCs w:val="22"/>
          <w:lang w:val="en-AU" w:eastAsia="en-AU"/>
        </w:rPr>
        <w:t>4</w:t>
      </w:r>
      <w:r w:rsidRPr="00F354F1">
        <w:rPr>
          <w:iCs/>
          <w:sz w:val="22"/>
          <w:szCs w:val="22"/>
          <w:lang w:val="en-AU" w:eastAsia="en-AU"/>
        </w:rPr>
        <w:t xml:space="preserve"> (“the Order”), and that the </w:t>
      </w:r>
      <w:r w:rsidR="00D82195">
        <w:rPr>
          <w:iCs/>
          <w:sz w:val="22"/>
          <w:szCs w:val="22"/>
          <w:lang w:val="en-AU" w:eastAsia="en-AU"/>
        </w:rPr>
        <w:t>O</w:t>
      </w:r>
      <w:r w:rsidRPr="00F354F1">
        <w:rPr>
          <w:iCs/>
          <w:sz w:val="22"/>
          <w:szCs w:val="22"/>
          <w:lang w:val="en-AU" w:eastAsia="en-AU"/>
        </w:rPr>
        <w:t>rder may also be cited as TGO</w:t>
      </w:r>
      <w:r w:rsidR="001F4E98">
        <w:rPr>
          <w:iCs/>
          <w:sz w:val="22"/>
          <w:szCs w:val="22"/>
          <w:lang w:val="en-AU" w:eastAsia="en-AU"/>
        </w:rPr>
        <w:t> </w:t>
      </w:r>
      <w:r w:rsidRPr="00F354F1">
        <w:rPr>
          <w:iCs/>
          <w:sz w:val="22"/>
          <w:szCs w:val="22"/>
          <w:lang w:val="en-AU" w:eastAsia="en-AU"/>
        </w:rPr>
        <w:t>11</w:t>
      </w:r>
      <w:r w:rsidR="00D82195">
        <w:rPr>
          <w:iCs/>
          <w:sz w:val="22"/>
          <w:szCs w:val="22"/>
          <w:lang w:val="en-AU" w:eastAsia="en-AU"/>
        </w:rPr>
        <w:t>4</w:t>
      </w:r>
      <w:r w:rsidRPr="00F354F1">
        <w:rPr>
          <w:iCs/>
          <w:sz w:val="22"/>
          <w:szCs w:val="22"/>
          <w:lang w:val="en-AU" w:eastAsia="en-AU"/>
        </w:rPr>
        <w:t>.</w:t>
      </w:r>
    </w:p>
    <w:p w14:paraId="5E00C6AE" w14:textId="77777777" w:rsidR="00684F42" w:rsidRPr="00F354F1" w:rsidRDefault="00684F42" w:rsidP="00684F42">
      <w:pPr>
        <w:spacing w:before="0" w:after="0"/>
        <w:rPr>
          <w:sz w:val="22"/>
          <w:szCs w:val="22"/>
          <w:lang w:val="en-AU" w:eastAsia="en-AU"/>
        </w:rPr>
      </w:pPr>
    </w:p>
    <w:p w14:paraId="5ED2FBDE" w14:textId="77777777" w:rsidR="00684F42" w:rsidRPr="00F354F1" w:rsidRDefault="00684F42" w:rsidP="00684F42">
      <w:pPr>
        <w:spacing w:before="0" w:after="0"/>
        <w:rPr>
          <w:b/>
          <w:bCs/>
          <w:sz w:val="22"/>
          <w:szCs w:val="22"/>
          <w:lang w:val="en-AU" w:eastAsia="en-AU"/>
        </w:rPr>
      </w:pPr>
      <w:r w:rsidRPr="00F354F1">
        <w:rPr>
          <w:b/>
          <w:bCs/>
          <w:sz w:val="22"/>
          <w:szCs w:val="22"/>
          <w:lang w:val="en-AU" w:eastAsia="en-AU"/>
        </w:rPr>
        <w:t>Section 2 – Commencement</w:t>
      </w:r>
    </w:p>
    <w:p w14:paraId="5F155AC0" w14:textId="77777777" w:rsidR="00684F42" w:rsidRPr="00F354F1" w:rsidRDefault="00684F42" w:rsidP="00684F42">
      <w:pPr>
        <w:spacing w:before="0" w:after="0"/>
        <w:rPr>
          <w:sz w:val="22"/>
          <w:szCs w:val="22"/>
          <w:lang w:val="en-AU" w:eastAsia="en-AU"/>
        </w:rPr>
      </w:pPr>
    </w:p>
    <w:p w14:paraId="51474F31" w14:textId="58C18BB6" w:rsidR="00684F42" w:rsidRPr="00F354F1" w:rsidRDefault="00684F42" w:rsidP="00684F42">
      <w:pPr>
        <w:spacing w:before="0" w:after="0"/>
        <w:rPr>
          <w:sz w:val="22"/>
          <w:szCs w:val="22"/>
          <w:lang w:val="en-AU" w:eastAsia="en-AU"/>
        </w:rPr>
      </w:pPr>
      <w:r w:rsidRPr="00F354F1">
        <w:rPr>
          <w:sz w:val="22"/>
          <w:szCs w:val="22"/>
          <w:lang w:val="en-AU" w:eastAsia="en-AU"/>
        </w:rPr>
        <w:t>This section provides that the Order commences on 3</w:t>
      </w:r>
      <w:r w:rsidR="00CF1F65" w:rsidRPr="00F354F1">
        <w:rPr>
          <w:sz w:val="22"/>
          <w:szCs w:val="22"/>
          <w:lang w:val="en-AU" w:eastAsia="en-AU"/>
        </w:rPr>
        <w:t>0</w:t>
      </w:r>
      <w:r w:rsidRPr="00F354F1">
        <w:rPr>
          <w:sz w:val="22"/>
          <w:szCs w:val="22"/>
          <w:lang w:val="en-AU" w:eastAsia="en-AU"/>
        </w:rPr>
        <w:t xml:space="preserve"> </w:t>
      </w:r>
      <w:r w:rsidR="00CF1F65" w:rsidRPr="00F354F1">
        <w:rPr>
          <w:sz w:val="22"/>
          <w:szCs w:val="22"/>
          <w:lang w:val="en-AU" w:eastAsia="en-AU"/>
        </w:rPr>
        <w:t>September</w:t>
      </w:r>
      <w:r w:rsidRPr="00F354F1">
        <w:rPr>
          <w:sz w:val="22"/>
          <w:szCs w:val="22"/>
          <w:lang w:val="en-AU" w:eastAsia="en-AU"/>
        </w:rPr>
        <w:t xml:space="preserve"> 202</w:t>
      </w:r>
      <w:r w:rsidR="00CF1F65" w:rsidRPr="00F354F1">
        <w:rPr>
          <w:sz w:val="22"/>
          <w:szCs w:val="22"/>
          <w:lang w:val="en-AU" w:eastAsia="en-AU"/>
        </w:rPr>
        <w:t>4</w:t>
      </w:r>
      <w:r w:rsidRPr="00F354F1">
        <w:rPr>
          <w:sz w:val="22"/>
          <w:szCs w:val="22"/>
          <w:lang w:val="en-AU" w:eastAsia="en-AU"/>
        </w:rPr>
        <w:t>.</w:t>
      </w:r>
    </w:p>
    <w:p w14:paraId="37B5E3AB" w14:textId="77777777" w:rsidR="00684F42" w:rsidRPr="00F354F1" w:rsidRDefault="00684F42" w:rsidP="00684F42">
      <w:pPr>
        <w:spacing w:before="0" w:after="0"/>
        <w:rPr>
          <w:sz w:val="22"/>
          <w:szCs w:val="22"/>
          <w:lang w:val="en-AU" w:eastAsia="en-AU"/>
        </w:rPr>
      </w:pPr>
    </w:p>
    <w:p w14:paraId="57EBDAEE" w14:textId="77777777" w:rsidR="00684F42" w:rsidRPr="00F354F1" w:rsidRDefault="00684F42" w:rsidP="00684F42">
      <w:pPr>
        <w:spacing w:before="0" w:after="0"/>
        <w:rPr>
          <w:b/>
          <w:bCs/>
          <w:sz w:val="22"/>
          <w:szCs w:val="22"/>
          <w:lang w:val="en-AU" w:eastAsia="en-AU"/>
        </w:rPr>
      </w:pPr>
      <w:r w:rsidRPr="00F354F1">
        <w:rPr>
          <w:b/>
          <w:bCs/>
          <w:sz w:val="22"/>
          <w:szCs w:val="22"/>
          <w:lang w:val="en-AU" w:eastAsia="en-AU"/>
        </w:rPr>
        <w:t>Section 3 – Authority</w:t>
      </w:r>
    </w:p>
    <w:p w14:paraId="0E3AC510" w14:textId="77777777" w:rsidR="00684F42" w:rsidRPr="00F354F1" w:rsidRDefault="00684F42" w:rsidP="00684F42">
      <w:pPr>
        <w:spacing w:before="0" w:after="0"/>
        <w:rPr>
          <w:sz w:val="22"/>
          <w:szCs w:val="22"/>
          <w:lang w:val="en-AU" w:eastAsia="en-AU"/>
        </w:rPr>
      </w:pPr>
    </w:p>
    <w:p w14:paraId="7FA6C02A" w14:textId="77777777" w:rsidR="00684F42" w:rsidRPr="00F354F1" w:rsidRDefault="00684F42" w:rsidP="00684F42">
      <w:pPr>
        <w:spacing w:before="0" w:after="0"/>
        <w:rPr>
          <w:sz w:val="22"/>
          <w:szCs w:val="22"/>
          <w:lang w:val="en-AU" w:eastAsia="en-AU"/>
        </w:rPr>
      </w:pPr>
      <w:r w:rsidRPr="00F354F1">
        <w:rPr>
          <w:sz w:val="22"/>
          <w:szCs w:val="22"/>
          <w:lang w:val="en-AU" w:eastAsia="en-AU"/>
        </w:rPr>
        <w:t xml:space="preserve">This section provides that the legislative authority for making the Order is section 10 of the </w:t>
      </w:r>
      <w:r w:rsidRPr="00F354F1">
        <w:rPr>
          <w:i/>
          <w:sz w:val="22"/>
          <w:szCs w:val="22"/>
          <w:lang w:val="en-AU" w:eastAsia="en-AU"/>
        </w:rPr>
        <w:t>Therapeutic Goods Act 1989</w:t>
      </w:r>
      <w:r w:rsidRPr="00F354F1">
        <w:rPr>
          <w:sz w:val="22"/>
          <w:szCs w:val="22"/>
          <w:lang w:val="en-AU" w:eastAsia="en-AU"/>
        </w:rPr>
        <w:t xml:space="preserve"> (“the Act”).</w:t>
      </w:r>
    </w:p>
    <w:p w14:paraId="3B2704CB" w14:textId="77777777" w:rsidR="00684F42" w:rsidRPr="00F354F1" w:rsidRDefault="00684F42" w:rsidP="00684F42">
      <w:pPr>
        <w:spacing w:before="0" w:after="0"/>
        <w:rPr>
          <w:sz w:val="22"/>
          <w:szCs w:val="22"/>
          <w:lang w:val="en-AU" w:eastAsia="en-AU"/>
        </w:rPr>
      </w:pPr>
    </w:p>
    <w:p w14:paraId="62EFAB32" w14:textId="77777777" w:rsidR="00684F42" w:rsidRPr="00F354F1" w:rsidRDefault="00684F42" w:rsidP="00684F42">
      <w:pPr>
        <w:spacing w:before="0" w:after="0"/>
        <w:rPr>
          <w:sz w:val="22"/>
          <w:szCs w:val="22"/>
          <w:lang w:val="en-AU" w:eastAsia="en-AU"/>
        </w:rPr>
      </w:pPr>
      <w:r w:rsidRPr="00F354F1">
        <w:rPr>
          <w:sz w:val="22"/>
          <w:szCs w:val="22"/>
          <w:lang w:val="en-AU"/>
        </w:rPr>
        <w:t>Subsection 10(1) of the Act provides that the Minister may, by legislative instrument, make an order determining that matters specified in the order constitute a standard for therapeutic goods or a class of therapeutic goods identified in the order. Under subsection 10(3A) of the Act, the Minister may vary or revoke an order made under subsection 10(1) by legislative instrument.</w:t>
      </w:r>
    </w:p>
    <w:p w14:paraId="1F8799FF" w14:textId="77777777" w:rsidR="00684F42" w:rsidRPr="00F354F1" w:rsidRDefault="00684F42" w:rsidP="00684F42">
      <w:pPr>
        <w:spacing w:before="0" w:after="0"/>
        <w:rPr>
          <w:sz w:val="22"/>
          <w:szCs w:val="22"/>
          <w:lang w:val="en-AU" w:eastAsia="en-AU"/>
        </w:rPr>
      </w:pPr>
    </w:p>
    <w:p w14:paraId="302B96A4" w14:textId="77777777" w:rsidR="00684F42" w:rsidRPr="00F354F1" w:rsidRDefault="00684F42" w:rsidP="00684F42">
      <w:pPr>
        <w:spacing w:before="0" w:after="0"/>
        <w:rPr>
          <w:b/>
          <w:bCs/>
          <w:sz w:val="22"/>
          <w:szCs w:val="22"/>
          <w:lang w:val="en-AU" w:eastAsia="en-AU"/>
        </w:rPr>
      </w:pPr>
      <w:r w:rsidRPr="00F354F1">
        <w:rPr>
          <w:b/>
          <w:bCs/>
          <w:sz w:val="22"/>
          <w:szCs w:val="22"/>
          <w:lang w:val="en-AU" w:eastAsia="en-AU"/>
        </w:rPr>
        <w:t>Section 4 – Definitions</w:t>
      </w:r>
    </w:p>
    <w:p w14:paraId="133EE49A" w14:textId="77777777" w:rsidR="00684F42" w:rsidRPr="00F354F1" w:rsidRDefault="00684F42" w:rsidP="00684F42">
      <w:pPr>
        <w:spacing w:before="0" w:after="0"/>
        <w:rPr>
          <w:b/>
          <w:bCs/>
          <w:sz w:val="22"/>
          <w:szCs w:val="22"/>
          <w:lang w:val="en-AU" w:eastAsia="en-AU"/>
        </w:rPr>
      </w:pPr>
    </w:p>
    <w:p w14:paraId="6ED4A54F" w14:textId="258F8890" w:rsidR="00684F42" w:rsidRPr="00F354F1" w:rsidRDefault="00684F42" w:rsidP="00684F42">
      <w:pPr>
        <w:spacing w:before="0" w:after="0"/>
        <w:rPr>
          <w:sz w:val="22"/>
          <w:szCs w:val="22"/>
          <w:lang w:val="en-AU"/>
        </w:rPr>
      </w:pPr>
      <w:r w:rsidRPr="00F354F1">
        <w:rPr>
          <w:sz w:val="22"/>
          <w:szCs w:val="22"/>
          <w:lang w:val="en-AU" w:eastAsia="en-AU"/>
        </w:rPr>
        <w:t>This section provides the definitions of key terms used in the Order, being ‘Act’ and ‘</w:t>
      </w:r>
      <w:r w:rsidR="00D82195">
        <w:rPr>
          <w:sz w:val="22"/>
          <w:szCs w:val="22"/>
          <w:lang w:val="en-AU" w:eastAsia="en-AU"/>
        </w:rPr>
        <w:t>Japanese Pharmacopoeia’</w:t>
      </w:r>
      <w:r w:rsidRPr="00F354F1">
        <w:rPr>
          <w:sz w:val="22"/>
          <w:szCs w:val="22"/>
          <w:lang w:val="en-AU" w:eastAsia="en-AU"/>
        </w:rPr>
        <w:t xml:space="preserve">. </w:t>
      </w:r>
      <w:r w:rsidRPr="00F354F1">
        <w:rPr>
          <w:sz w:val="22"/>
          <w:szCs w:val="22"/>
          <w:lang w:val="en-AU"/>
        </w:rPr>
        <w:t xml:space="preserve">This section also notes that some expressions used in the Order, including ‘British Pharmacopoeia’, </w:t>
      </w:r>
      <w:r w:rsidR="004E05A1">
        <w:rPr>
          <w:sz w:val="22"/>
          <w:szCs w:val="22"/>
          <w:lang w:val="en-AU"/>
        </w:rPr>
        <w:t>‘</w:t>
      </w:r>
      <w:r w:rsidRPr="00F354F1">
        <w:rPr>
          <w:sz w:val="22"/>
          <w:szCs w:val="22"/>
          <w:lang w:val="en-AU"/>
        </w:rPr>
        <w:t>European Pharmacopoeia’,</w:t>
      </w:r>
      <w:r w:rsidR="004E05A1">
        <w:rPr>
          <w:sz w:val="22"/>
          <w:szCs w:val="22"/>
          <w:lang w:val="en-AU"/>
        </w:rPr>
        <w:t xml:space="preserve"> </w:t>
      </w:r>
      <w:r w:rsidRPr="00F354F1">
        <w:rPr>
          <w:sz w:val="22"/>
          <w:szCs w:val="22"/>
          <w:lang w:val="en-AU"/>
        </w:rPr>
        <w:t>‘export only medicine’</w:t>
      </w:r>
      <w:r w:rsidR="00D82195">
        <w:rPr>
          <w:sz w:val="22"/>
          <w:szCs w:val="22"/>
          <w:lang w:val="en-AU"/>
        </w:rPr>
        <w:t>,</w:t>
      </w:r>
      <w:r w:rsidRPr="00F354F1">
        <w:rPr>
          <w:sz w:val="22"/>
          <w:szCs w:val="22"/>
          <w:lang w:val="en-AU"/>
        </w:rPr>
        <w:t xml:space="preserve"> ‘standard’</w:t>
      </w:r>
      <w:r w:rsidR="00D82195">
        <w:rPr>
          <w:sz w:val="22"/>
          <w:szCs w:val="22"/>
          <w:lang w:val="en-AU"/>
        </w:rPr>
        <w:t xml:space="preserve"> and ‘United States Pharmacopoeia-National Formulary’</w:t>
      </w:r>
      <w:r w:rsidRPr="00F354F1">
        <w:rPr>
          <w:sz w:val="22"/>
          <w:szCs w:val="22"/>
          <w:lang w:val="en-AU"/>
        </w:rPr>
        <w:t>, have the same meaning as in the Act.</w:t>
      </w:r>
    </w:p>
    <w:p w14:paraId="6ED6BED5" w14:textId="77777777" w:rsidR="00684F42" w:rsidRPr="00F354F1" w:rsidRDefault="00684F42" w:rsidP="00684F42">
      <w:pPr>
        <w:spacing w:before="0" w:after="0"/>
        <w:rPr>
          <w:sz w:val="22"/>
          <w:szCs w:val="22"/>
          <w:lang w:val="en-AU" w:eastAsia="en-AU"/>
        </w:rPr>
      </w:pPr>
    </w:p>
    <w:p w14:paraId="3F63EA63" w14:textId="77777777" w:rsidR="00684F42" w:rsidRPr="00F354F1" w:rsidRDefault="00684F42" w:rsidP="00684F42">
      <w:pPr>
        <w:spacing w:before="0" w:after="0"/>
        <w:rPr>
          <w:b/>
          <w:bCs/>
          <w:sz w:val="22"/>
          <w:szCs w:val="22"/>
          <w:lang w:val="en-AU" w:eastAsia="en-AU"/>
        </w:rPr>
      </w:pPr>
      <w:r w:rsidRPr="00F354F1">
        <w:rPr>
          <w:b/>
          <w:bCs/>
          <w:sz w:val="22"/>
          <w:szCs w:val="22"/>
          <w:lang w:val="en-AU" w:eastAsia="en-AU"/>
        </w:rPr>
        <w:t>Section 5 – Standard</w:t>
      </w:r>
    </w:p>
    <w:p w14:paraId="7723BF4A" w14:textId="77777777" w:rsidR="00684F42" w:rsidRPr="00F354F1" w:rsidRDefault="00684F42" w:rsidP="00684F42">
      <w:pPr>
        <w:spacing w:before="0" w:after="0"/>
        <w:rPr>
          <w:b/>
          <w:bCs/>
          <w:sz w:val="22"/>
          <w:szCs w:val="22"/>
          <w:lang w:val="en-AU" w:eastAsia="en-AU"/>
        </w:rPr>
      </w:pPr>
    </w:p>
    <w:p w14:paraId="316E663B" w14:textId="4F61E4AF" w:rsidR="00684F42" w:rsidRPr="00F354F1" w:rsidRDefault="00684F42" w:rsidP="00684F42">
      <w:pPr>
        <w:spacing w:before="0" w:after="0"/>
        <w:rPr>
          <w:sz w:val="22"/>
          <w:szCs w:val="22"/>
          <w:lang w:val="en-AU" w:eastAsia="en-AU"/>
        </w:rPr>
      </w:pPr>
      <w:r w:rsidRPr="00F354F1">
        <w:rPr>
          <w:sz w:val="22"/>
          <w:szCs w:val="22"/>
          <w:lang w:val="en-AU" w:eastAsia="en-AU"/>
        </w:rPr>
        <w:t xml:space="preserve">This section provides that matters specified in the Order constitute a standard for </w:t>
      </w:r>
      <w:r w:rsidR="00D82195">
        <w:rPr>
          <w:sz w:val="22"/>
          <w:szCs w:val="22"/>
          <w:lang w:val="en-AU" w:eastAsia="en-AU"/>
        </w:rPr>
        <w:t>export only medicines</w:t>
      </w:r>
      <w:r w:rsidRPr="00F354F1">
        <w:rPr>
          <w:sz w:val="22"/>
          <w:szCs w:val="22"/>
          <w:lang w:val="en-AU" w:eastAsia="en-AU"/>
        </w:rPr>
        <w:t>.</w:t>
      </w:r>
    </w:p>
    <w:p w14:paraId="7354B215" w14:textId="77777777" w:rsidR="00684F42" w:rsidRPr="00F354F1" w:rsidRDefault="00684F42" w:rsidP="00684F42">
      <w:pPr>
        <w:spacing w:before="0" w:after="0"/>
        <w:rPr>
          <w:sz w:val="22"/>
          <w:szCs w:val="22"/>
          <w:lang w:val="en-AU" w:eastAsia="en-AU"/>
        </w:rPr>
      </w:pPr>
    </w:p>
    <w:p w14:paraId="1340C8DE" w14:textId="77777777" w:rsidR="00684F42" w:rsidRPr="00F354F1" w:rsidRDefault="00684F42" w:rsidP="00684F42">
      <w:pPr>
        <w:spacing w:before="0" w:after="0"/>
        <w:rPr>
          <w:b/>
          <w:bCs/>
          <w:sz w:val="22"/>
          <w:szCs w:val="22"/>
          <w:lang w:val="en-AU" w:eastAsia="en-AU"/>
        </w:rPr>
      </w:pPr>
      <w:r w:rsidRPr="00F354F1">
        <w:rPr>
          <w:b/>
          <w:bCs/>
          <w:sz w:val="22"/>
          <w:szCs w:val="22"/>
          <w:lang w:val="en-AU" w:eastAsia="en-AU"/>
        </w:rPr>
        <w:t>Section 6 – Application</w:t>
      </w:r>
    </w:p>
    <w:p w14:paraId="37669C3B" w14:textId="77777777" w:rsidR="00684F42" w:rsidRPr="00F354F1" w:rsidRDefault="00684F42" w:rsidP="00684F42">
      <w:pPr>
        <w:spacing w:before="0" w:after="0"/>
        <w:rPr>
          <w:sz w:val="22"/>
          <w:szCs w:val="22"/>
          <w:lang w:val="en-AU" w:eastAsia="en-AU"/>
        </w:rPr>
      </w:pPr>
    </w:p>
    <w:p w14:paraId="76844405" w14:textId="3CFD8C1D" w:rsidR="00684F42" w:rsidRPr="00F354F1" w:rsidRDefault="00684F42" w:rsidP="00684F42">
      <w:pPr>
        <w:spacing w:before="0" w:after="0"/>
        <w:rPr>
          <w:sz w:val="22"/>
          <w:szCs w:val="22"/>
          <w:lang w:val="en-AU" w:eastAsia="en-AU"/>
        </w:rPr>
      </w:pPr>
      <w:r w:rsidRPr="00F354F1">
        <w:rPr>
          <w:sz w:val="22"/>
          <w:szCs w:val="22"/>
          <w:lang w:val="en-AU" w:eastAsia="en-AU"/>
        </w:rPr>
        <w:t xml:space="preserve">This section provides that the Order applies to </w:t>
      </w:r>
      <w:r w:rsidR="00D82195">
        <w:rPr>
          <w:sz w:val="22"/>
          <w:szCs w:val="22"/>
          <w:lang w:val="en-AU" w:eastAsia="en-AU"/>
        </w:rPr>
        <w:t>export only medicines. This section also confirms that the Order applies in addition to any other instrument made under section 10 of the Act that applies to export only medicines.</w:t>
      </w:r>
    </w:p>
    <w:p w14:paraId="4B3263AF" w14:textId="77777777" w:rsidR="00684F42" w:rsidRPr="00F354F1" w:rsidRDefault="00684F42" w:rsidP="00684F42">
      <w:pPr>
        <w:spacing w:before="0" w:after="0"/>
        <w:rPr>
          <w:sz w:val="22"/>
          <w:szCs w:val="22"/>
          <w:lang w:val="en-AU" w:eastAsia="en-AU"/>
        </w:rPr>
      </w:pPr>
    </w:p>
    <w:p w14:paraId="672711C1" w14:textId="77777777" w:rsidR="00684F42" w:rsidRPr="00F354F1" w:rsidRDefault="00684F42" w:rsidP="00684F42">
      <w:pPr>
        <w:spacing w:before="0" w:after="0"/>
        <w:rPr>
          <w:b/>
          <w:bCs/>
          <w:sz w:val="22"/>
          <w:szCs w:val="22"/>
          <w:lang w:val="en-AU" w:eastAsia="en-AU"/>
        </w:rPr>
      </w:pPr>
      <w:r w:rsidRPr="00F354F1">
        <w:rPr>
          <w:b/>
          <w:bCs/>
          <w:sz w:val="22"/>
          <w:szCs w:val="22"/>
          <w:lang w:val="en-AU" w:eastAsia="en-AU"/>
        </w:rPr>
        <w:t>Section 7 – Requirements</w:t>
      </w:r>
    </w:p>
    <w:p w14:paraId="60E10981" w14:textId="77777777" w:rsidR="00684F42" w:rsidRPr="00F354F1" w:rsidRDefault="00684F42" w:rsidP="00684F42">
      <w:pPr>
        <w:spacing w:before="0" w:after="0"/>
        <w:rPr>
          <w:sz w:val="22"/>
          <w:szCs w:val="22"/>
          <w:lang w:val="en-AU" w:eastAsia="en-AU"/>
        </w:rPr>
      </w:pPr>
    </w:p>
    <w:p w14:paraId="3DDEFC0D" w14:textId="2AB1DD6A" w:rsidR="00BC365F" w:rsidRDefault="00BC365F" w:rsidP="0084288D">
      <w:pPr>
        <w:spacing w:before="0" w:after="0"/>
        <w:rPr>
          <w:sz w:val="22"/>
          <w:szCs w:val="22"/>
          <w:lang w:val="en-AU" w:eastAsia="en-AU"/>
        </w:rPr>
      </w:pPr>
      <w:r>
        <w:rPr>
          <w:sz w:val="22"/>
          <w:szCs w:val="22"/>
          <w:lang w:val="en-AU" w:eastAsia="en-AU"/>
        </w:rPr>
        <w:t xml:space="preserve">This section provides that </w:t>
      </w:r>
      <w:r w:rsidR="00BE2C93">
        <w:rPr>
          <w:sz w:val="22"/>
          <w:szCs w:val="22"/>
          <w:lang w:val="en-AU" w:eastAsia="en-AU"/>
        </w:rPr>
        <w:t>the requirements for an</w:t>
      </w:r>
      <w:r>
        <w:rPr>
          <w:sz w:val="22"/>
          <w:szCs w:val="22"/>
          <w:lang w:val="en-AU" w:eastAsia="en-AU"/>
        </w:rPr>
        <w:t xml:space="preserve"> export only medicine </w:t>
      </w:r>
      <w:r w:rsidR="00BE2C93">
        <w:rPr>
          <w:sz w:val="22"/>
          <w:szCs w:val="22"/>
          <w:lang w:val="en-AU" w:eastAsia="en-AU"/>
        </w:rPr>
        <w:t>are</w:t>
      </w:r>
      <w:r>
        <w:rPr>
          <w:sz w:val="22"/>
          <w:szCs w:val="22"/>
          <w:lang w:val="en-AU" w:eastAsia="en-AU"/>
        </w:rPr>
        <w:t xml:space="preserve">: </w:t>
      </w:r>
    </w:p>
    <w:p w14:paraId="6B07B867" w14:textId="4648DF60" w:rsidR="0084288D" w:rsidRDefault="00BE2C93" w:rsidP="0084288D">
      <w:pPr>
        <w:pStyle w:val="ListParagraph"/>
        <w:numPr>
          <w:ilvl w:val="0"/>
          <w:numId w:val="4"/>
        </w:numPr>
        <w:spacing w:before="0" w:after="0"/>
        <w:rPr>
          <w:sz w:val="22"/>
          <w:szCs w:val="22"/>
          <w:lang w:val="en-AU" w:eastAsia="en-AU"/>
        </w:rPr>
      </w:pPr>
      <w:r>
        <w:rPr>
          <w:sz w:val="22"/>
          <w:szCs w:val="22"/>
          <w:lang w:val="en-AU" w:eastAsia="en-AU"/>
        </w:rPr>
        <w:t xml:space="preserve">the </w:t>
      </w:r>
      <w:r w:rsidR="0084288D">
        <w:rPr>
          <w:sz w:val="22"/>
          <w:szCs w:val="22"/>
          <w:lang w:val="en-AU" w:eastAsia="en-AU"/>
        </w:rPr>
        <w:t>requirements</w:t>
      </w:r>
      <w:r>
        <w:rPr>
          <w:sz w:val="22"/>
          <w:szCs w:val="22"/>
          <w:lang w:val="en-AU" w:eastAsia="en-AU"/>
        </w:rPr>
        <w:t xml:space="preserve"> that are </w:t>
      </w:r>
      <w:r w:rsidR="00B01689">
        <w:rPr>
          <w:sz w:val="22"/>
          <w:szCs w:val="22"/>
          <w:lang w:val="en-AU" w:eastAsia="en-AU"/>
        </w:rPr>
        <w:t xml:space="preserve">specified </w:t>
      </w:r>
      <w:r>
        <w:rPr>
          <w:sz w:val="22"/>
          <w:szCs w:val="22"/>
          <w:lang w:val="en-AU" w:eastAsia="en-AU"/>
        </w:rPr>
        <w:t>in individual</w:t>
      </w:r>
      <w:r w:rsidR="00B01689">
        <w:rPr>
          <w:sz w:val="22"/>
          <w:szCs w:val="22"/>
          <w:lang w:val="en-AU" w:eastAsia="en-AU"/>
        </w:rPr>
        <w:t>, specific</w:t>
      </w:r>
      <w:r>
        <w:rPr>
          <w:sz w:val="22"/>
          <w:szCs w:val="22"/>
          <w:lang w:val="en-AU" w:eastAsia="en-AU"/>
        </w:rPr>
        <w:t xml:space="preserve"> </w:t>
      </w:r>
      <w:r w:rsidR="00B01689">
        <w:rPr>
          <w:sz w:val="22"/>
          <w:szCs w:val="22"/>
          <w:lang w:val="en-AU" w:eastAsia="en-AU"/>
        </w:rPr>
        <w:t xml:space="preserve">and </w:t>
      </w:r>
      <w:r>
        <w:rPr>
          <w:sz w:val="22"/>
          <w:szCs w:val="22"/>
          <w:lang w:val="en-AU" w:eastAsia="en-AU"/>
        </w:rPr>
        <w:t>general monograph</w:t>
      </w:r>
      <w:r w:rsidR="00B01689">
        <w:rPr>
          <w:sz w:val="22"/>
          <w:szCs w:val="22"/>
          <w:lang w:val="en-AU" w:eastAsia="en-AU"/>
        </w:rPr>
        <w:t>s</w:t>
      </w:r>
      <w:r>
        <w:rPr>
          <w:sz w:val="22"/>
          <w:szCs w:val="22"/>
          <w:lang w:val="en-AU" w:eastAsia="en-AU"/>
        </w:rPr>
        <w:t xml:space="preserve"> applicable to </w:t>
      </w:r>
      <w:r w:rsidR="00B01689">
        <w:rPr>
          <w:sz w:val="22"/>
          <w:szCs w:val="22"/>
          <w:lang w:val="en-AU" w:eastAsia="en-AU"/>
        </w:rPr>
        <w:t xml:space="preserve">the </w:t>
      </w:r>
      <w:r>
        <w:rPr>
          <w:sz w:val="22"/>
          <w:szCs w:val="22"/>
          <w:lang w:val="en-AU" w:eastAsia="en-AU"/>
        </w:rPr>
        <w:t>export only medicine</w:t>
      </w:r>
      <w:r w:rsidR="0084288D">
        <w:rPr>
          <w:sz w:val="22"/>
          <w:szCs w:val="22"/>
          <w:lang w:val="en-AU" w:eastAsia="en-AU"/>
        </w:rPr>
        <w:t>, i</w:t>
      </w:r>
      <w:r>
        <w:rPr>
          <w:sz w:val="22"/>
          <w:szCs w:val="22"/>
          <w:lang w:val="en-AU" w:eastAsia="en-AU"/>
        </w:rPr>
        <w:t>n at least one of either</w:t>
      </w:r>
      <w:r w:rsidR="0084288D">
        <w:rPr>
          <w:sz w:val="22"/>
          <w:szCs w:val="22"/>
          <w:lang w:val="en-AU" w:eastAsia="en-AU"/>
        </w:rPr>
        <w:t xml:space="preserve"> </w:t>
      </w:r>
      <w:r w:rsidR="00B01689">
        <w:rPr>
          <w:sz w:val="22"/>
          <w:szCs w:val="22"/>
          <w:lang w:val="en-AU" w:eastAsia="en-AU"/>
        </w:rPr>
        <w:t xml:space="preserve">the </w:t>
      </w:r>
      <w:r w:rsidR="0084288D">
        <w:rPr>
          <w:sz w:val="22"/>
          <w:szCs w:val="22"/>
          <w:lang w:val="en-AU" w:eastAsia="en-AU"/>
        </w:rPr>
        <w:t>British Pharmacopoeia, the European Pharmacopoeia, the Japanese Pharmacopoeia, or the United States Pharmacopoeia-National Formulary</w:t>
      </w:r>
      <w:r>
        <w:rPr>
          <w:sz w:val="22"/>
          <w:szCs w:val="22"/>
          <w:lang w:val="en-AU" w:eastAsia="en-AU"/>
        </w:rPr>
        <w:t>, as interpreted in accordance with the General Notices section of the relevant pharmacopoeia</w:t>
      </w:r>
      <w:r w:rsidR="0084288D">
        <w:rPr>
          <w:sz w:val="22"/>
          <w:szCs w:val="22"/>
          <w:lang w:val="en-AU" w:eastAsia="en-AU"/>
        </w:rPr>
        <w:t>; and</w:t>
      </w:r>
    </w:p>
    <w:p w14:paraId="2AA7F38B" w14:textId="3667250E" w:rsidR="00684F42" w:rsidRDefault="00BE2C93" w:rsidP="00684F42">
      <w:pPr>
        <w:pStyle w:val="ListParagraph"/>
        <w:numPr>
          <w:ilvl w:val="0"/>
          <w:numId w:val="4"/>
        </w:numPr>
        <w:spacing w:before="0" w:after="0"/>
        <w:rPr>
          <w:sz w:val="22"/>
          <w:szCs w:val="22"/>
          <w:lang w:val="en-AU" w:eastAsia="en-AU"/>
        </w:rPr>
      </w:pPr>
      <w:r w:rsidRPr="00BE2C93">
        <w:rPr>
          <w:sz w:val="22"/>
          <w:szCs w:val="22"/>
          <w:lang w:val="en-AU" w:eastAsia="en-AU"/>
        </w:rPr>
        <w:t>where the export only medicine is not regulated as a medicine in the country to which it is to be exported</w:t>
      </w:r>
      <w:r w:rsidR="00B01689">
        <w:rPr>
          <w:sz w:val="22"/>
          <w:szCs w:val="22"/>
          <w:lang w:val="en-AU" w:eastAsia="en-AU"/>
        </w:rPr>
        <w:t>,</w:t>
      </w:r>
      <w:r w:rsidRPr="00BE2C93">
        <w:rPr>
          <w:sz w:val="22"/>
          <w:szCs w:val="22"/>
          <w:lang w:val="en-AU" w:eastAsia="en-AU"/>
        </w:rPr>
        <w:t xml:space="preserve"> it must meet the regulatory requirements of the country to which it is to be exported.</w:t>
      </w:r>
    </w:p>
    <w:p w14:paraId="4B8B586B" w14:textId="77777777" w:rsidR="00B01689" w:rsidRDefault="00B01689" w:rsidP="00B01689">
      <w:pPr>
        <w:spacing w:before="0" w:after="0"/>
        <w:rPr>
          <w:sz w:val="22"/>
          <w:szCs w:val="22"/>
          <w:lang w:val="en-AU" w:eastAsia="en-AU"/>
        </w:rPr>
      </w:pPr>
    </w:p>
    <w:p w14:paraId="43FBCD1A" w14:textId="446CDAC1" w:rsidR="00B01689" w:rsidRDefault="00B01689" w:rsidP="00B01689">
      <w:pPr>
        <w:spacing w:before="0" w:after="0"/>
        <w:rPr>
          <w:sz w:val="22"/>
          <w:szCs w:val="22"/>
          <w:lang w:val="en-AU" w:eastAsia="en-AU"/>
        </w:rPr>
      </w:pPr>
      <w:r>
        <w:rPr>
          <w:sz w:val="22"/>
          <w:szCs w:val="22"/>
          <w:lang w:val="en-AU" w:eastAsia="en-AU"/>
        </w:rPr>
        <w:lastRenderedPageBreak/>
        <w:t xml:space="preserve">The first requirement gives sponsors the option to comply with either one of the default standards or the Japanese Pharmacopoeia. Export only medicines must comply with all the monographs that are applicable to the goods, whether they are individual, </w:t>
      </w:r>
      <w:proofErr w:type="gramStart"/>
      <w:r>
        <w:rPr>
          <w:sz w:val="22"/>
          <w:szCs w:val="22"/>
          <w:lang w:val="en-AU" w:eastAsia="en-AU"/>
        </w:rPr>
        <w:t>specific</w:t>
      </w:r>
      <w:proofErr w:type="gramEnd"/>
      <w:r>
        <w:rPr>
          <w:sz w:val="22"/>
          <w:szCs w:val="22"/>
          <w:lang w:val="en-AU" w:eastAsia="en-AU"/>
        </w:rPr>
        <w:t xml:space="preserve"> or general monographs. However, the goods only need to comply with the applicable monographs in one of the </w:t>
      </w:r>
      <w:proofErr w:type="gramStart"/>
      <w:r>
        <w:rPr>
          <w:sz w:val="22"/>
          <w:szCs w:val="22"/>
          <w:lang w:val="en-AU" w:eastAsia="en-AU"/>
        </w:rPr>
        <w:t>pharmacopoeia</w:t>
      </w:r>
      <w:proofErr w:type="gramEnd"/>
      <w:r>
        <w:rPr>
          <w:sz w:val="22"/>
          <w:szCs w:val="22"/>
          <w:lang w:val="en-AU" w:eastAsia="en-AU"/>
        </w:rPr>
        <w:t xml:space="preserve">, not all of the pharmacopoeia.  </w:t>
      </w:r>
    </w:p>
    <w:p w14:paraId="29C4488C" w14:textId="77777777" w:rsidR="00B01689" w:rsidRDefault="00B01689" w:rsidP="00B01689">
      <w:pPr>
        <w:spacing w:before="0" w:after="0"/>
        <w:rPr>
          <w:sz w:val="22"/>
          <w:szCs w:val="22"/>
          <w:lang w:val="en-AU" w:eastAsia="en-AU"/>
        </w:rPr>
      </w:pPr>
    </w:p>
    <w:p w14:paraId="67C4A304" w14:textId="5A46D7B9" w:rsidR="00B01689" w:rsidRDefault="00B01689" w:rsidP="00B01689">
      <w:pPr>
        <w:spacing w:before="0" w:after="0"/>
        <w:rPr>
          <w:sz w:val="22"/>
          <w:szCs w:val="22"/>
          <w:lang w:val="en-AU" w:eastAsia="en-AU"/>
        </w:rPr>
      </w:pPr>
      <w:r>
        <w:rPr>
          <w:sz w:val="22"/>
          <w:szCs w:val="22"/>
          <w:lang w:val="en-AU" w:eastAsia="en-AU"/>
        </w:rPr>
        <w:t>The second requirement, where the goods are not a medicine in the country to which it is to be exported (“the receiving country”), is that the goods must meet the regulatory requirements of the receiving country. For example, if the goods are considered a food in the receiving country, not a medicine, the goods must meet the applicable requirements for the regulation of food in that country. In addition, if import requirements apply to the goods, the goods must meet those requirements.</w:t>
      </w:r>
    </w:p>
    <w:p w14:paraId="1E81FD2E" w14:textId="77777777" w:rsidR="00B01689" w:rsidRPr="00B010A7" w:rsidRDefault="00B01689" w:rsidP="00B010A7">
      <w:pPr>
        <w:spacing w:before="0" w:after="0"/>
        <w:rPr>
          <w:sz w:val="22"/>
          <w:szCs w:val="22"/>
          <w:lang w:val="en-AU" w:eastAsia="en-AU"/>
        </w:rPr>
      </w:pPr>
    </w:p>
    <w:p w14:paraId="0836E767" w14:textId="77777777" w:rsidR="00684F42" w:rsidRPr="00F354F1" w:rsidRDefault="00684F42" w:rsidP="00BE2C93">
      <w:pPr>
        <w:keepNext/>
        <w:spacing w:before="0" w:after="0"/>
        <w:rPr>
          <w:b/>
          <w:bCs/>
          <w:sz w:val="22"/>
          <w:szCs w:val="22"/>
          <w:lang w:val="en-AU" w:eastAsia="en-AU"/>
        </w:rPr>
      </w:pPr>
      <w:r w:rsidRPr="00F354F1">
        <w:rPr>
          <w:b/>
          <w:bCs/>
          <w:sz w:val="22"/>
          <w:szCs w:val="22"/>
          <w:lang w:val="en-AU" w:eastAsia="en-AU"/>
        </w:rPr>
        <w:t>Section 8 – Repeals</w:t>
      </w:r>
    </w:p>
    <w:p w14:paraId="3D580DF8" w14:textId="77777777" w:rsidR="00684F42" w:rsidRPr="00F354F1" w:rsidRDefault="00684F42" w:rsidP="00BE2C93">
      <w:pPr>
        <w:keepNext/>
        <w:spacing w:before="0" w:after="0"/>
        <w:rPr>
          <w:b/>
          <w:bCs/>
          <w:sz w:val="22"/>
          <w:szCs w:val="22"/>
          <w:lang w:val="en-AU" w:eastAsia="en-AU"/>
        </w:rPr>
      </w:pPr>
    </w:p>
    <w:p w14:paraId="761CBBBB" w14:textId="31FCDE5A" w:rsidR="00684F42" w:rsidRPr="00F354F1" w:rsidRDefault="00684F42" w:rsidP="00BE2C93">
      <w:pPr>
        <w:keepNext/>
        <w:spacing w:before="0" w:after="0"/>
        <w:rPr>
          <w:sz w:val="22"/>
          <w:szCs w:val="22"/>
          <w:lang w:val="en-AU" w:eastAsia="en-AU"/>
        </w:rPr>
      </w:pPr>
      <w:r w:rsidRPr="00F354F1">
        <w:rPr>
          <w:sz w:val="22"/>
          <w:szCs w:val="22"/>
          <w:lang w:val="en-AU" w:eastAsia="en-AU"/>
        </w:rPr>
        <w:t xml:space="preserve">This section provides that each instrument in Schedule </w:t>
      </w:r>
      <w:r w:rsidR="009F31B9">
        <w:rPr>
          <w:sz w:val="22"/>
          <w:szCs w:val="22"/>
          <w:lang w:val="en-AU" w:eastAsia="en-AU"/>
        </w:rPr>
        <w:t>1</w:t>
      </w:r>
      <w:r w:rsidRPr="00F354F1">
        <w:rPr>
          <w:sz w:val="22"/>
          <w:szCs w:val="22"/>
          <w:lang w:val="en-AU" w:eastAsia="en-AU"/>
        </w:rPr>
        <w:t xml:space="preserve"> to the Order is repealed as set out in the applicable items in that Schedule.</w:t>
      </w:r>
    </w:p>
    <w:p w14:paraId="475AF091" w14:textId="77777777" w:rsidR="00684F42" w:rsidRDefault="00684F42" w:rsidP="00684F42">
      <w:pPr>
        <w:spacing w:before="0" w:after="0"/>
        <w:rPr>
          <w:sz w:val="22"/>
          <w:szCs w:val="22"/>
          <w:lang w:val="en-AU" w:eastAsia="en-AU"/>
        </w:rPr>
      </w:pPr>
    </w:p>
    <w:p w14:paraId="06CBB96E" w14:textId="1653CBFD" w:rsidR="00684F42" w:rsidRPr="00F354F1" w:rsidRDefault="00684F42" w:rsidP="00684F42">
      <w:pPr>
        <w:spacing w:before="0" w:after="0"/>
        <w:rPr>
          <w:b/>
          <w:bCs/>
          <w:sz w:val="22"/>
          <w:szCs w:val="22"/>
          <w:lang w:val="en-AU" w:eastAsia="en-AU"/>
        </w:rPr>
      </w:pPr>
      <w:r w:rsidRPr="00F354F1">
        <w:rPr>
          <w:b/>
          <w:bCs/>
          <w:sz w:val="22"/>
          <w:szCs w:val="22"/>
          <w:lang w:val="en-AU" w:eastAsia="en-AU"/>
        </w:rPr>
        <w:t xml:space="preserve">Schedule </w:t>
      </w:r>
      <w:r w:rsidR="0084288D">
        <w:rPr>
          <w:b/>
          <w:bCs/>
          <w:sz w:val="22"/>
          <w:szCs w:val="22"/>
          <w:lang w:val="en-AU" w:eastAsia="en-AU"/>
        </w:rPr>
        <w:t>1</w:t>
      </w:r>
      <w:r w:rsidRPr="00F354F1">
        <w:rPr>
          <w:b/>
          <w:bCs/>
          <w:sz w:val="22"/>
          <w:szCs w:val="22"/>
          <w:lang w:val="en-AU" w:eastAsia="en-AU"/>
        </w:rPr>
        <w:t xml:space="preserve"> – Repeals</w:t>
      </w:r>
    </w:p>
    <w:p w14:paraId="509560C4" w14:textId="77777777" w:rsidR="00684F42" w:rsidRPr="00F354F1" w:rsidRDefault="00684F42" w:rsidP="00684F42">
      <w:pPr>
        <w:spacing w:before="0" w:after="0"/>
        <w:rPr>
          <w:b/>
          <w:bCs/>
          <w:sz w:val="22"/>
          <w:szCs w:val="22"/>
          <w:lang w:val="en-AU" w:eastAsia="en-AU"/>
        </w:rPr>
      </w:pPr>
    </w:p>
    <w:p w14:paraId="0DAE14B3" w14:textId="4F29DB7F" w:rsidR="00684F42" w:rsidRPr="00F354F1" w:rsidRDefault="00684F42" w:rsidP="00684F42">
      <w:pPr>
        <w:spacing w:before="0" w:after="0"/>
        <w:rPr>
          <w:sz w:val="22"/>
          <w:szCs w:val="22"/>
          <w:lang w:val="en-AU" w:eastAsia="en-AU"/>
        </w:rPr>
      </w:pPr>
      <w:r w:rsidRPr="00F354F1">
        <w:rPr>
          <w:sz w:val="22"/>
          <w:szCs w:val="22"/>
          <w:lang w:val="en-AU" w:eastAsia="en-AU"/>
        </w:rPr>
        <w:t xml:space="preserve">This Schedule provides that the </w:t>
      </w:r>
      <w:bookmarkStart w:id="3" w:name="_Toc69480135"/>
      <w:r w:rsidRPr="00B010A7">
        <w:rPr>
          <w:bCs/>
          <w:i/>
          <w:iCs/>
          <w:sz w:val="22"/>
          <w:szCs w:val="22"/>
          <w:lang w:val="en-AU" w:eastAsia="en-AU"/>
        </w:rPr>
        <w:t xml:space="preserve">Therapeutic Goods Order No. </w:t>
      </w:r>
      <w:r w:rsidR="00E1258E" w:rsidRPr="00B010A7">
        <w:rPr>
          <w:bCs/>
          <w:i/>
          <w:iCs/>
          <w:sz w:val="22"/>
          <w:szCs w:val="22"/>
          <w:lang w:val="en-AU" w:eastAsia="en-AU"/>
        </w:rPr>
        <w:t xml:space="preserve">70C </w:t>
      </w:r>
      <w:r w:rsidR="0026466D" w:rsidRPr="00B010A7">
        <w:rPr>
          <w:bCs/>
          <w:i/>
          <w:iCs/>
          <w:sz w:val="22"/>
          <w:szCs w:val="22"/>
          <w:lang w:val="en-AU" w:eastAsia="en-AU"/>
        </w:rPr>
        <w:softHyphen/>
        <w:t xml:space="preserve"> </w:t>
      </w:r>
      <w:r w:rsidRPr="00B010A7">
        <w:rPr>
          <w:bCs/>
          <w:i/>
          <w:iCs/>
          <w:sz w:val="22"/>
          <w:szCs w:val="22"/>
          <w:lang w:val="en-AU" w:eastAsia="en-AU"/>
        </w:rPr>
        <w:t>Standard</w:t>
      </w:r>
      <w:r w:rsidR="00E1258E" w:rsidRPr="00B010A7">
        <w:rPr>
          <w:bCs/>
          <w:i/>
          <w:iCs/>
          <w:sz w:val="22"/>
          <w:szCs w:val="22"/>
          <w:lang w:val="en-AU" w:eastAsia="en-AU"/>
        </w:rPr>
        <w:t>s</w:t>
      </w:r>
      <w:r w:rsidRPr="00B010A7">
        <w:rPr>
          <w:bCs/>
          <w:i/>
          <w:iCs/>
          <w:sz w:val="22"/>
          <w:szCs w:val="22"/>
          <w:lang w:val="en-AU" w:eastAsia="en-AU"/>
        </w:rPr>
        <w:t xml:space="preserve"> for</w:t>
      </w:r>
      <w:r w:rsidR="00E1258E" w:rsidRPr="00B010A7">
        <w:rPr>
          <w:bCs/>
          <w:i/>
          <w:iCs/>
          <w:sz w:val="22"/>
          <w:szCs w:val="22"/>
          <w:lang w:val="en-AU" w:eastAsia="en-AU"/>
        </w:rPr>
        <w:t xml:space="preserve"> Export Only Medicine</w:t>
      </w:r>
      <w:bookmarkEnd w:id="3"/>
      <w:r w:rsidR="0026466D" w:rsidRPr="00B010A7">
        <w:rPr>
          <w:bCs/>
          <w:i/>
          <w:iCs/>
          <w:sz w:val="22"/>
          <w:szCs w:val="22"/>
          <w:lang w:val="en-AU" w:eastAsia="en-AU"/>
        </w:rPr>
        <w:t xml:space="preserve"> </w:t>
      </w:r>
      <w:r w:rsidR="0026466D">
        <w:rPr>
          <w:bCs/>
          <w:sz w:val="22"/>
          <w:szCs w:val="22"/>
          <w:lang w:val="en-AU" w:eastAsia="en-AU"/>
        </w:rPr>
        <w:t>is repealed</w:t>
      </w:r>
      <w:r w:rsidRPr="00F354F1">
        <w:rPr>
          <w:sz w:val="22"/>
          <w:szCs w:val="22"/>
          <w:lang w:val="en-AU" w:eastAsia="en-AU"/>
        </w:rPr>
        <w:t>.</w:t>
      </w:r>
      <w:r w:rsidR="00B01689">
        <w:rPr>
          <w:sz w:val="22"/>
          <w:szCs w:val="22"/>
          <w:lang w:val="en-AU" w:eastAsia="en-AU"/>
        </w:rPr>
        <w:t xml:space="preserve"> This instrument was, otherwise, due to sunset on 1 October 2024.</w:t>
      </w:r>
      <w:r w:rsidRPr="00F354F1">
        <w:rPr>
          <w:sz w:val="22"/>
          <w:szCs w:val="22"/>
          <w:lang w:val="en-AU" w:eastAsia="en-AU"/>
        </w:rPr>
        <w:br w:type="page"/>
      </w:r>
    </w:p>
    <w:p w14:paraId="6A5CD42B" w14:textId="77777777" w:rsidR="00684F42" w:rsidRPr="00F354F1" w:rsidRDefault="00684F42" w:rsidP="00684F42">
      <w:pPr>
        <w:spacing w:before="0" w:after="0"/>
        <w:jc w:val="right"/>
        <w:rPr>
          <w:b/>
          <w:lang w:val="en-AU"/>
        </w:rPr>
      </w:pPr>
      <w:r w:rsidRPr="00F354F1">
        <w:rPr>
          <w:b/>
          <w:lang w:val="en-AU"/>
        </w:rPr>
        <w:lastRenderedPageBreak/>
        <w:t>Attachment B</w:t>
      </w:r>
    </w:p>
    <w:p w14:paraId="064457DB" w14:textId="77777777" w:rsidR="00684F42" w:rsidRPr="00F354F1" w:rsidRDefault="00684F42" w:rsidP="00684F42">
      <w:pPr>
        <w:spacing w:before="0" w:after="0"/>
        <w:jc w:val="center"/>
        <w:rPr>
          <w:b/>
          <w:lang w:val="en-AU"/>
        </w:rPr>
      </w:pPr>
    </w:p>
    <w:p w14:paraId="06EB250F" w14:textId="77777777" w:rsidR="00684F42" w:rsidRPr="00F354F1" w:rsidRDefault="00684F42" w:rsidP="00684F42">
      <w:pPr>
        <w:spacing w:before="0" w:after="0"/>
        <w:jc w:val="center"/>
        <w:rPr>
          <w:b/>
          <w:lang w:val="en-AU"/>
        </w:rPr>
      </w:pPr>
      <w:r w:rsidRPr="00F354F1">
        <w:rPr>
          <w:b/>
          <w:lang w:val="en-AU"/>
        </w:rPr>
        <w:t>Statement of Compatibility with Human Rights</w:t>
      </w:r>
    </w:p>
    <w:p w14:paraId="05F96248" w14:textId="77777777" w:rsidR="00684F42" w:rsidRPr="00F354F1" w:rsidRDefault="00684F42" w:rsidP="00684F42">
      <w:pPr>
        <w:spacing w:before="0" w:after="0"/>
        <w:rPr>
          <w:sz w:val="22"/>
          <w:szCs w:val="22"/>
          <w:lang w:val="en-AU"/>
        </w:rPr>
      </w:pPr>
    </w:p>
    <w:p w14:paraId="4B3C0F9D" w14:textId="77777777" w:rsidR="00684F42" w:rsidRPr="00F354F1" w:rsidRDefault="00684F42" w:rsidP="00684F42">
      <w:pPr>
        <w:spacing w:before="0" w:after="0"/>
        <w:jc w:val="center"/>
        <w:rPr>
          <w:sz w:val="22"/>
          <w:szCs w:val="22"/>
          <w:lang w:val="en-AU"/>
        </w:rPr>
      </w:pPr>
      <w:r w:rsidRPr="00F354F1">
        <w:rPr>
          <w:sz w:val="22"/>
          <w:szCs w:val="22"/>
          <w:lang w:val="en-AU"/>
        </w:rPr>
        <w:t xml:space="preserve">Prepared in accordance with Part 3 of the </w:t>
      </w:r>
      <w:r w:rsidRPr="00F354F1">
        <w:rPr>
          <w:i/>
          <w:sz w:val="22"/>
          <w:szCs w:val="22"/>
          <w:lang w:val="en-AU"/>
        </w:rPr>
        <w:t>Human Rights (Parliamentary Scrutiny) Act 2011</w:t>
      </w:r>
    </w:p>
    <w:p w14:paraId="5A2FE15C" w14:textId="77777777" w:rsidR="00684F42" w:rsidRPr="00F354F1" w:rsidRDefault="00684F42" w:rsidP="00684F42">
      <w:pPr>
        <w:spacing w:before="0" w:after="0"/>
        <w:jc w:val="center"/>
        <w:rPr>
          <w:b/>
          <w:sz w:val="22"/>
          <w:szCs w:val="22"/>
          <w:lang w:val="en-AU"/>
        </w:rPr>
      </w:pPr>
    </w:p>
    <w:p w14:paraId="79E572C4" w14:textId="6F3AE50F" w:rsidR="00684F42" w:rsidRPr="00F354F1" w:rsidRDefault="00684F42" w:rsidP="00684F42">
      <w:pPr>
        <w:spacing w:before="0" w:after="0"/>
        <w:jc w:val="center"/>
        <w:rPr>
          <w:b/>
          <w:bCs/>
          <w:i/>
          <w:sz w:val="22"/>
          <w:szCs w:val="22"/>
          <w:lang w:val="en-AU" w:eastAsia="en-AU"/>
        </w:rPr>
      </w:pPr>
      <w:r w:rsidRPr="00F354F1">
        <w:rPr>
          <w:b/>
          <w:bCs/>
          <w:i/>
          <w:sz w:val="22"/>
          <w:szCs w:val="22"/>
          <w:lang w:val="en-AU" w:eastAsia="en-AU"/>
        </w:rPr>
        <w:t xml:space="preserve">Therapeutic Goods (Standard for </w:t>
      </w:r>
      <w:r w:rsidR="006E5EE6">
        <w:rPr>
          <w:b/>
          <w:bCs/>
          <w:i/>
          <w:sz w:val="22"/>
          <w:szCs w:val="22"/>
          <w:lang w:val="en-AU" w:eastAsia="en-AU"/>
        </w:rPr>
        <w:t xml:space="preserve">Export </w:t>
      </w:r>
      <w:r w:rsidR="00447FAA">
        <w:rPr>
          <w:b/>
          <w:bCs/>
          <w:i/>
          <w:sz w:val="22"/>
          <w:szCs w:val="22"/>
          <w:lang w:val="en-AU" w:eastAsia="en-AU"/>
        </w:rPr>
        <w:t>O</w:t>
      </w:r>
      <w:r w:rsidR="006E5EE6">
        <w:rPr>
          <w:b/>
          <w:bCs/>
          <w:i/>
          <w:sz w:val="22"/>
          <w:szCs w:val="22"/>
          <w:lang w:val="en-AU" w:eastAsia="en-AU"/>
        </w:rPr>
        <w:t>nly Medicines</w:t>
      </w:r>
      <w:r w:rsidRPr="00F354F1">
        <w:rPr>
          <w:b/>
          <w:bCs/>
          <w:i/>
          <w:sz w:val="22"/>
          <w:szCs w:val="22"/>
          <w:lang w:val="en-AU" w:eastAsia="en-AU"/>
        </w:rPr>
        <w:t>) (TGO 11</w:t>
      </w:r>
      <w:r w:rsidR="006E5EE6">
        <w:rPr>
          <w:b/>
          <w:bCs/>
          <w:i/>
          <w:sz w:val="22"/>
          <w:szCs w:val="22"/>
          <w:lang w:val="en-AU" w:eastAsia="en-AU"/>
        </w:rPr>
        <w:t>4</w:t>
      </w:r>
      <w:r w:rsidRPr="00F354F1">
        <w:rPr>
          <w:b/>
          <w:bCs/>
          <w:i/>
          <w:sz w:val="22"/>
          <w:szCs w:val="22"/>
          <w:lang w:val="en-AU" w:eastAsia="en-AU"/>
        </w:rPr>
        <w:t>) Order 202</w:t>
      </w:r>
      <w:r w:rsidR="006E5EE6">
        <w:rPr>
          <w:b/>
          <w:bCs/>
          <w:i/>
          <w:sz w:val="22"/>
          <w:szCs w:val="22"/>
          <w:lang w:val="en-AU" w:eastAsia="en-AU"/>
        </w:rPr>
        <w:t>4</w:t>
      </w:r>
    </w:p>
    <w:p w14:paraId="7270BC11" w14:textId="77777777" w:rsidR="00684F42" w:rsidRPr="00F354F1" w:rsidRDefault="00684F42" w:rsidP="00684F42">
      <w:pPr>
        <w:spacing w:before="0" w:after="0"/>
        <w:rPr>
          <w:sz w:val="22"/>
          <w:szCs w:val="22"/>
          <w:lang w:val="en-AU"/>
        </w:rPr>
      </w:pPr>
    </w:p>
    <w:p w14:paraId="69EBC38C" w14:textId="77777777" w:rsidR="00684F42" w:rsidRPr="00F354F1" w:rsidRDefault="00684F42" w:rsidP="00684F42">
      <w:pPr>
        <w:spacing w:before="0" w:after="0"/>
        <w:rPr>
          <w:b/>
          <w:sz w:val="22"/>
          <w:szCs w:val="22"/>
          <w:lang w:val="en-AU"/>
        </w:rPr>
      </w:pPr>
      <w:r w:rsidRPr="00F354F1">
        <w:rPr>
          <w:sz w:val="22"/>
          <w:szCs w:val="22"/>
          <w:lang w:val="en-AU"/>
        </w:rPr>
        <w:t>This disallowable legislative instrument</w:t>
      </w:r>
      <w:r w:rsidRPr="00F354F1">
        <w:rPr>
          <w:i/>
          <w:sz w:val="22"/>
          <w:szCs w:val="22"/>
          <w:lang w:val="en-AU"/>
        </w:rPr>
        <w:t xml:space="preserve"> </w:t>
      </w:r>
      <w:r w:rsidRPr="00F354F1">
        <w:rPr>
          <w:sz w:val="22"/>
          <w:szCs w:val="22"/>
          <w:lang w:val="en-AU"/>
        </w:rPr>
        <w:t xml:space="preserve">is compatible with the human rights and freedoms recognised or declared in the international instruments listed in section 3 of the </w:t>
      </w:r>
      <w:r w:rsidRPr="00F354F1">
        <w:rPr>
          <w:i/>
          <w:sz w:val="22"/>
          <w:szCs w:val="22"/>
          <w:lang w:val="en-AU"/>
        </w:rPr>
        <w:t>Human Rights (Parliamentary Scrutiny) Act 2011</w:t>
      </w:r>
      <w:r w:rsidRPr="00F354F1">
        <w:rPr>
          <w:sz w:val="22"/>
          <w:szCs w:val="22"/>
          <w:lang w:val="en-AU"/>
        </w:rPr>
        <w:t>.</w:t>
      </w:r>
    </w:p>
    <w:p w14:paraId="14B9B6F1" w14:textId="77777777" w:rsidR="00684F42" w:rsidRPr="00F354F1" w:rsidRDefault="00684F42" w:rsidP="00684F42">
      <w:pPr>
        <w:spacing w:before="0" w:after="0"/>
        <w:rPr>
          <w:sz w:val="22"/>
          <w:szCs w:val="22"/>
          <w:lang w:val="en-AU"/>
        </w:rPr>
      </w:pPr>
    </w:p>
    <w:p w14:paraId="33ABF04D" w14:textId="77777777" w:rsidR="00684F42" w:rsidRPr="00F354F1" w:rsidRDefault="00684F42" w:rsidP="00684F42">
      <w:pPr>
        <w:spacing w:before="0" w:after="0"/>
        <w:rPr>
          <w:b/>
          <w:sz w:val="22"/>
          <w:szCs w:val="22"/>
          <w:lang w:val="en-AU"/>
        </w:rPr>
      </w:pPr>
      <w:r w:rsidRPr="00F354F1">
        <w:rPr>
          <w:b/>
          <w:sz w:val="22"/>
          <w:szCs w:val="22"/>
          <w:lang w:val="en-AU"/>
        </w:rPr>
        <w:t>Overview of legislative instrument</w:t>
      </w:r>
    </w:p>
    <w:p w14:paraId="662E8F04" w14:textId="77777777" w:rsidR="00684F42" w:rsidRPr="00F354F1" w:rsidRDefault="00684F42" w:rsidP="00684F42">
      <w:pPr>
        <w:autoSpaceDE w:val="0"/>
        <w:autoSpaceDN w:val="0"/>
        <w:adjustRightInd w:val="0"/>
        <w:spacing w:before="0" w:after="0"/>
        <w:rPr>
          <w:rFonts w:eastAsiaTheme="minorHAnsi"/>
          <w:color w:val="000000"/>
          <w:sz w:val="22"/>
          <w:szCs w:val="22"/>
          <w:lang w:val="en-AU"/>
        </w:rPr>
      </w:pPr>
    </w:p>
    <w:p w14:paraId="0B01C8A9" w14:textId="77777777" w:rsidR="00447FAA" w:rsidRPr="00F354F1" w:rsidRDefault="00447FAA" w:rsidP="00447FAA">
      <w:pPr>
        <w:spacing w:before="0" w:after="0"/>
        <w:rPr>
          <w:sz w:val="22"/>
          <w:szCs w:val="22"/>
          <w:lang w:val="en-AU"/>
        </w:rPr>
      </w:pPr>
      <w:r w:rsidRPr="00F354F1">
        <w:rPr>
          <w:sz w:val="22"/>
          <w:szCs w:val="22"/>
          <w:lang w:val="en-AU"/>
        </w:rPr>
        <w:t>Subsection 10(1) of the Act provides that the Minister may, by legislative instrument, make an order determining that matters specified in the order constitute a standard for therapeutic goods or a class of therapeutic goods identified in the order.</w:t>
      </w:r>
      <w:r>
        <w:rPr>
          <w:sz w:val="22"/>
          <w:szCs w:val="22"/>
          <w:lang w:val="en-AU"/>
        </w:rPr>
        <w:t xml:space="preserve"> Subsection 10(2) provides that an order establishing a standard for therapeutic goods may be specified by reference to the quality of the goods, or the procedures to be carried out in the manufacture of the good, among other things. Relevantly</w:t>
      </w:r>
      <w:r w:rsidRPr="00F354F1">
        <w:rPr>
          <w:sz w:val="22"/>
          <w:szCs w:val="22"/>
          <w:lang w:val="en-AU"/>
        </w:rPr>
        <w:t xml:space="preserve"> </w:t>
      </w:r>
      <w:r>
        <w:rPr>
          <w:sz w:val="22"/>
          <w:szCs w:val="22"/>
          <w:lang w:val="en-AU"/>
        </w:rPr>
        <w:t>subparagraphs</w:t>
      </w:r>
      <w:r w:rsidRPr="00F354F1">
        <w:rPr>
          <w:sz w:val="22"/>
          <w:szCs w:val="22"/>
          <w:lang w:val="en-AU"/>
        </w:rPr>
        <w:t xml:space="preserve"> 10(2)</w:t>
      </w:r>
      <w:r>
        <w:rPr>
          <w:sz w:val="22"/>
          <w:szCs w:val="22"/>
          <w:lang w:val="en-AU"/>
        </w:rPr>
        <w:t>(a)(iv)</w:t>
      </w:r>
      <w:r w:rsidRPr="00F354F1">
        <w:rPr>
          <w:sz w:val="22"/>
          <w:szCs w:val="22"/>
          <w:lang w:val="en-AU"/>
        </w:rPr>
        <w:t xml:space="preserve"> </w:t>
      </w:r>
      <w:r>
        <w:rPr>
          <w:sz w:val="22"/>
          <w:szCs w:val="22"/>
          <w:lang w:val="en-AU"/>
        </w:rPr>
        <w:t xml:space="preserve">and (v) </w:t>
      </w:r>
      <w:r w:rsidRPr="00F354F1">
        <w:rPr>
          <w:sz w:val="22"/>
          <w:szCs w:val="22"/>
          <w:lang w:val="en-AU"/>
        </w:rPr>
        <w:t xml:space="preserve">provide that an order establishing a standard for therapeutic goods may be specified by reference </w:t>
      </w:r>
      <w:r>
        <w:rPr>
          <w:sz w:val="22"/>
          <w:szCs w:val="22"/>
          <w:lang w:val="en-AU"/>
        </w:rPr>
        <w:t xml:space="preserve">to </w:t>
      </w:r>
      <w:r w:rsidRPr="00F354F1">
        <w:rPr>
          <w:sz w:val="22"/>
          <w:szCs w:val="22"/>
          <w:lang w:val="en-AU"/>
        </w:rPr>
        <w:t>a monograph in the British Pharmacopoeia</w:t>
      </w:r>
      <w:r>
        <w:rPr>
          <w:sz w:val="22"/>
          <w:szCs w:val="22"/>
          <w:lang w:val="en-AU"/>
        </w:rPr>
        <w:t xml:space="preserve">, the </w:t>
      </w:r>
      <w:r w:rsidRPr="00F354F1">
        <w:rPr>
          <w:sz w:val="22"/>
          <w:szCs w:val="22"/>
          <w:lang w:val="en-AU"/>
        </w:rPr>
        <w:t>European Pharmacopoeia</w:t>
      </w:r>
      <w:r>
        <w:rPr>
          <w:sz w:val="22"/>
          <w:szCs w:val="22"/>
          <w:lang w:val="en-AU"/>
        </w:rPr>
        <w:t xml:space="preserve">, or the United States Pharmacopoeia-National Formulary, or a monograph in another publication approved by the Minister for the purposes of subsection 10(2). </w:t>
      </w:r>
      <w:r w:rsidRPr="00F354F1">
        <w:rPr>
          <w:sz w:val="22"/>
          <w:szCs w:val="22"/>
          <w:lang w:val="en-AU"/>
        </w:rPr>
        <w:t>Under subsection 10(3A) of the Act, the Minister may vary or revoke an order made under subsection 10(1) by legislative instrument.</w:t>
      </w:r>
    </w:p>
    <w:p w14:paraId="5E7BA44E" w14:textId="77777777" w:rsidR="00447FAA" w:rsidRPr="00F354F1" w:rsidRDefault="00447FAA" w:rsidP="00447FAA">
      <w:pPr>
        <w:spacing w:before="0" w:after="0"/>
        <w:rPr>
          <w:sz w:val="22"/>
          <w:szCs w:val="22"/>
          <w:lang w:val="en-AU"/>
        </w:rPr>
      </w:pPr>
    </w:p>
    <w:p w14:paraId="485B24EB" w14:textId="77777777" w:rsidR="00447FAA" w:rsidRPr="00F354F1" w:rsidRDefault="00447FAA" w:rsidP="00447FAA">
      <w:pPr>
        <w:spacing w:before="0" w:after="0"/>
        <w:rPr>
          <w:sz w:val="22"/>
          <w:szCs w:val="22"/>
          <w:lang w:val="en-AU"/>
        </w:rPr>
      </w:pPr>
      <w:r w:rsidRPr="00F354F1">
        <w:rPr>
          <w:sz w:val="22"/>
          <w:szCs w:val="22"/>
          <w:lang w:val="en-AU"/>
        </w:rPr>
        <w:t xml:space="preserve">Importantly, a person who imports, </w:t>
      </w:r>
      <w:proofErr w:type="gramStart"/>
      <w:r w:rsidRPr="00F354F1">
        <w:rPr>
          <w:sz w:val="22"/>
          <w:szCs w:val="22"/>
          <w:lang w:val="en-AU"/>
        </w:rPr>
        <w:t>exports</w:t>
      </w:r>
      <w:proofErr w:type="gramEnd"/>
      <w:r w:rsidRPr="00F354F1">
        <w:rPr>
          <w:sz w:val="22"/>
          <w:szCs w:val="22"/>
          <w:lang w:val="en-AU"/>
        </w:rPr>
        <w:t xml:space="preserve"> or supplies therapeutic goods that do not conform to an applicable standard may be subject to offence and civil penalty provisions in sections 14 and 14A of the Act. The Secretary may, however, give consent in writing in relation to the importation, exportation or supply of therapeutic goods that do not conform to an applicable standard, in accordance with those sections.</w:t>
      </w:r>
    </w:p>
    <w:p w14:paraId="6BA42A61" w14:textId="77777777" w:rsidR="00447FAA" w:rsidRPr="00F354F1" w:rsidRDefault="00447FAA" w:rsidP="00447FAA">
      <w:pPr>
        <w:spacing w:before="0" w:after="0"/>
        <w:rPr>
          <w:sz w:val="22"/>
          <w:szCs w:val="22"/>
          <w:lang w:val="en-AU"/>
        </w:rPr>
      </w:pPr>
    </w:p>
    <w:p w14:paraId="13FAB15E" w14:textId="77777777" w:rsidR="00447FAA" w:rsidRPr="00F354F1" w:rsidRDefault="00447FAA" w:rsidP="00447FAA">
      <w:pPr>
        <w:spacing w:before="0" w:after="0"/>
        <w:rPr>
          <w:sz w:val="22"/>
          <w:szCs w:val="22"/>
          <w:lang w:val="en-AU"/>
        </w:rPr>
      </w:pPr>
      <w:r w:rsidRPr="00F354F1">
        <w:rPr>
          <w:sz w:val="22"/>
          <w:szCs w:val="22"/>
          <w:lang w:val="en-AU"/>
        </w:rPr>
        <w:t xml:space="preserve">The </w:t>
      </w:r>
      <w:r w:rsidRPr="00F354F1">
        <w:rPr>
          <w:i/>
          <w:iCs/>
          <w:sz w:val="22"/>
          <w:szCs w:val="22"/>
          <w:lang w:val="en-AU"/>
        </w:rPr>
        <w:t>Therapeutic Goods (Standard for Export Only Medicine</w:t>
      </w:r>
      <w:r>
        <w:rPr>
          <w:i/>
          <w:iCs/>
          <w:sz w:val="22"/>
          <w:szCs w:val="22"/>
          <w:lang w:val="en-AU"/>
        </w:rPr>
        <w:t>s</w:t>
      </w:r>
      <w:r w:rsidRPr="00F354F1">
        <w:rPr>
          <w:i/>
          <w:iCs/>
          <w:sz w:val="22"/>
          <w:szCs w:val="22"/>
          <w:lang w:val="en-AU"/>
        </w:rPr>
        <w:t>) (TGO 11</w:t>
      </w:r>
      <w:r>
        <w:rPr>
          <w:i/>
          <w:iCs/>
          <w:sz w:val="22"/>
          <w:szCs w:val="22"/>
          <w:lang w:val="en-AU"/>
        </w:rPr>
        <w:t>4</w:t>
      </w:r>
      <w:r w:rsidRPr="00F354F1">
        <w:rPr>
          <w:i/>
          <w:iCs/>
          <w:sz w:val="22"/>
          <w:szCs w:val="22"/>
          <w:lang w:val="en-AU"/>
        </w:rPr>
        <w:t xml:space="preserve">) Order 2024 </w:t>
      </w:r>
      <w:r w:rsidRPr="00F354F1">
        <w:rPr>
          <w:sz w:val="22"/>
          <w:szCs w:val="22"/>
          <w:lang w:val="en-AU"/>
        </w:rPr>
        <w:t>(“the Order”) is made under section 10 of the Act for the purpose of establishing a ministerial standard for export only medicine</w:t>
      </w:r>
      <w:r>
        <w:rPr>
          <w:sz w:val="22"/>
          <w:szCs w:val="22"/>
          <w:lang w:val="en-AU"/>
        </w:rPr>
        <w:t>. In particular, the Order specifies requirements</w:t>
      </w:r>
      <w:r w:rsidRPr="00F354F1">
        <w:rPr>
          <w:sz w:val="22"/>
          <w:szCs w:val="22"/>
          <w:lang w:val="en-AU"/>
        </w:rPr>
        <w:t xml:space="preserve"> by reference to the </w:t>
      </w:r>
      <w:r>
        <w:rPr>
          <w:sz w:val="22"/>
          <w:szCs w:val="22"/>
          <w:lang w:val="en-AU"/>
        </w:rPr>
        <w:t>individual,</w:t>
      </w:r>
      <w:r w:rsidRPr="00F354F1">
        <w:rPr>
          <w:sz w:val="22"/>
          <w:szCs w:val="22"/>
          <w:lang w:val="en-AU"/>
        </w:rPr>
        <w:t xml:space="preserve"> </w:t>
      </w:r>
      <w:r>
        <w:rPr>
          <w:sz w:val="22"/>
          <w:szCs w:val="22"/>
          <w:lang w:val="en-AU"/>
        </w:rPr>
        <w:t>specific and general</w:t>
      </w:r>
      <w:r w:rsidRPr="00F354F1">
        <w:rPr>
          <w:sz w:val="22"/>
          <w:szCs w:val="22"/>
          <w:lang w:val="en-AU"/>
        </w:rPr>
        <w:t xml:space="preserve"> monographs </w:t>
      </w:r>
      <w:r>
        <w:rPr>
          <w:sz w:val="22"/>
          <w:szCs w:val="22"/>
          <w:lang w:val="en-AU"/>
        </w:rPr>
        <w:t>applicable to</w:t>
      </w:r>
      <w:r w:rsidRPr="00F354F1">
        <w:rPr>
          <w:sz w:val="22"/>
          <w:szCs w:val="22"/>
          <w:lang w:val="en-AU"/>
        </w:rPr>
        <w:t xml:space="preserve"> the </w:t>
      </w:r>
      <w:r>
        <w:rPr>
          <w:sz w:val="22"/>
          <w:szCs w:val="22"/>
          <w:lang w:val="en-AU"/>
        </w:rPr>
        <w:t>export only medicine</w:t>
      </w:r>
      <w:r w:rsidRPr="00F354F1">
        <w:rPr>
          <w:sz w:val="22"/>
          <w:szCs w:val="22"/>
          <w:lang w:val="en-AU"/>
        </w:rPr>
        <w:t xml:space="preserve"> in the British Pharmacopoeia, </w:t>
      </w:r>
      <w:r>
        <w:rPr>
          <w:sz w:val="22"/>
          <w:szCs w:val="22"/>
          <w:lang w:val="en-AU"/>
        </w:rPr>
        <w:t xml:space="preserve">the </w:t>
      </w:r>
      <w:r w:rsidRPr="00F354F1">
        <w:rPr>
          <w:sz w:val="22"/>
          <w:szCs w:val="22"/>
          <w:lang w:val="en-AU"/>
        </w:rPr>
        <w:t>European Pharmacopoeia,</w:t>
      </w:r>
      <w:r>
        <w:rPr>
          <w:sz w:val="22"/>
          <w:szCs w:val="22"/>
          <w:lang w:val="en-AU"/>
        </w:rPr>
        <w:t xml:space="preserve"> the </w:t>
      </w:r>
      <w:r w:rsidRPr="00F354F1">
        <w:rPr>
          <w:sz w:val="22"/>
          <w:szCs w:val="22"/>
          <w:lang w:val="en-AU"/>
        </w:rPr>
        <w:t>Japanese Pharmacopoeia</w:t>
      </w:r>
      <w:r>
        <w:rPr>
          <w:sz w:val="22"/>
          <w:szCs w:val="22"/>
          <w:lang w:val="en-AU"/>
        </w:rPr>
        <w:t>, or</w:t>
      </w:r>
      <w:r w:rsidRPr="00F354F1">
        <w:rPr>
          <w:sz w:val="22"/>
          <w:szCs w:val="22"/>
          <w:lang w:val="en-AU"/>
        </w:rPr>
        <w:t xml:space="preserve"> </w:t>
      </w:r>
      <w:r>
        <w:rPr>
          <w:sz w:val="22"/>
          <w:szCs w:val="22"/>
          <w:lang w:val="en-AU"/>
        </w:rPr>
        <w:t>the United States Pharmacopoeia-National Formulary</w:t>
      </w:r>
      <w:r w:rsidRPr="00F354F1">
        <w:rPr>
          <w:sz w:val="22"/>
          <w:szCs w:val="22"/>
          <w:lang w:val="en-AU"/>
        </w:rPr>
        <w:t>.</w:t>
      </w:r>
      <w:r>
        <w:rPr>
          <w:sz w:val="22"/>
          <w:szCs w:val="22"/>
          <w:lang w:val="en-AU"/>
        </w:rPr>
        <w:t xml:space="preserve"> </w:t>
      </w:r>
      <w:r w:rsidRPr="00F354F1">
        <w:rPr>
          <w:sz w:val="22"/>
          <w:szCs w:val="22"/>
          <w:lang w:val="en-AU"/>
        </w:rPr>
        <w:t xml:space="preserve">The Order repeals and replaces the </w:t>
      </w:r>
      <w:r w:rsidRPr="00086507">
        <w:rPr>
          <w:i/>
          <w:iCs/>
          <w:sz w:val="22"/>
          <w:szCs w:val="22"/>
          <w:lang w:val="en-AU"/>
        </w:rPr>
        <w:t>Therapeutic Goods Order No. 70C – Standard for Export Only Medicine</w:t>
      </w:r>
      <w:r>
        <w:rPr>
          <w:sz w:val="22"/>
          <w:szCs w:val="22"/>
          <w:lang w:val="en-AU"/>
        </w:rPr>
        <w:t xml:space="preserve"> (“the former Order”)</w:t>
      </w:r>
      <w:r w:rsidRPr="00F354F1">
        <w:rPr>
          <w:sz w:val="22"/>
          <w:szCs w:val="22"/>
          <w:lang w:val="en-AU"/>
        </w:rPr>
        <w:t xml:space="preserve">, which would </w:t>
      </w:r>
      <w:proofErr w:type="gramStart"/>
      <w:r w:rsidRPr="00F354F1">
        <w:rPr>
          <w:sz w:val="22"/>
          <w:szCs w:val="22"/>
          <w:lang w:val="en-AU"/>
        </w:rPr>
        <w:t>otherwise</w:t>
      </w:r>
      <w:proofErr w:type="gramEnd"/>
      <w:r w:rsidRPr="00F354F1">
        <w:rPr>
          <w:sz w:val="22"/>
          <w:szCs w:val="22"/>
          <w:lang w:val="en-AU"/>
        </w:rPr>
        <w:t xml:space="preserve"> sunset on 1</w:t>
      </w:r>
      <w:r>
        <w:rPr>
          <w:sz w:val="22"/>
          <w:szCs w:val="22"/>
          <w:lang w:val="en-AU"/>
        </w:rPr>
        <w:t> </w:t>
      </w:r>
      <w:r w:rsidRPr="00F354F1">
        <w:rPr>
          <w:sz w:val="22"/>
          <w:szCs w:val="22"/>
          <w:lang w:val="en-AU"/>
        </w:rPr>
        <w:t>October</w:t>
      </w:r>
      <w:r>
        <w:rPr>
          <w:sz w:val="22"/>
          <w:szCs w:val="22"/>
          <w:lang w:val="en-AU"/>
        </w:rPr>
        <w:t> </w:t>
      </w:r>
      <w:r w:rsidRPr="00F354F1">
        <w:rPr>
          <w:sz w:val="22"/>
          <w:szCs w:val="22"/>
          <w:lang w:val="en-AU"/>
        </w:rPr>
        <w:t xml:space="preserve">2024. </w:t>
      </w:r>
    </w:p>
    <w:p w14:paraId="13732CCE" w14:textId="77777777" w:rsidR="00447FAA" w:rsidRPr="00F354F1" w:rsidRDefault="00447FAA" w:rsidP="00447FAA">
      <w:pPr>
        <w:spacing w:before="0" w:after="0"/>
        <w:rPr>
          <w:sz w:val="22"/>
          <w:szCs w:val="22"/>
          <w:lang w:val="en-AU"/>
        </w:rPr>
      </w:pPr>
    </w:p>
    <w:p w14:paraId="448AA384" w14:textId="77777777" w:rsidR="00447FAA" w:rsidRPr="00B010A7" w:rsidRDefault="00447FAA" w:rsidP="00447FAA">
      <w:pPr>
        <w:spacing w:before="0" w:after="0"/>
        <w:rPr>
          <w:b/>
          <w:bCs/>
          <w:i/>
          <w:iCs/>
          <w:sz w:val="22"/>
          <w:szCs w:val="22"/>
          <w:lang w:val="en-AU"/>
        </w:rPr>
      </w:pPr>
      <w:r w:rsidRPr="00B010A7">
        <w:rPr>
          <w:b/>
          <w:bCs/>
          <w:i/>
          <w:iCs/>
          <w:sz w:val="22"/>
          <w:szCs w:val="22"/>
          <w:lang w:val="en-AU"/>
        </w:rPr>
        <w:t>Background</w:t>
      </w:r>
    </w:p>
    <w:p w14:paraId="15AFE023" w14:textId="77777777" w:rsidR="00447FAA" w:rsidRPr="00F354F1" w:rsidRDefault="00447FAA" w:rsidP="00447FAA">
      <w:pPr>
        <w:spacing w:before="0" w:after="0"/>
        <w:rPr>
          <w:b/>
          <w:bCs/>
          <w:sz w:val="22"/>
          <w:szCs w:val="22"/>
          <w:lang w:val="en-AU"/>
        </w:rPr>
      </w:pPr>
    </w:p>
    <w:p w14:paraId="173668BF" w14:textId="77777777" w:rsidR="00447FAA" w:rsidRPr="00F354F1" w:rsidRDefault="00447FAA" w:rsidP="00447FAA">
      <w:pPr>
        <w:spacing w:before="0" w:after="0"/>
        <w:rPr>
          <w:sz w:val="22"/>
          <w:szCs w:val="22"/>
          <w:lang w:val="en-AU"/>
        </w:rPr>
      </w:pPr>
      <w:r w:rsidRPr="00F354F1">
        <w:rPr>
          <w:sz w:val="22"/>
          <w:szCs w:val="22"/>
          <w:lang w:val="en-AU"/>
        </w:rPr>
        <w:t xml:space="preserve">The Australian Government is responsible for regulating the quality, safety and efficacy </w:t>
      </w:r>
      <w:r>
        <w:rPr>
          <w:sz w:val="22"/>
          <w:szCs w:val="22"/>
          <w:lang w:val="en-AU"/>
        </w:rPr>
        <w:t xml:space="preserve">or performance </w:t>
      </w:r>
      <w:r w:rsidRPr="00F354F1">
        <w:rPr>
          <w:sz w:val="22"/>
          <w:szCs w:val="22"/>
          <w:lang w:val="en-AU"/>
        </w:rPr>
        <w:t xml:space="preserve">of therapeutic goods. This is achieved in part by specifying ministerial standards under section 10 of the Act by reference to a range of matters, including </w:t>
      </w:r>
      <w:r w:rsidRPr="00F354F1">
        <w:rPr>
          <w:sz w:val="22"/>
          <w:szCs w:val="22"/>
          <w:lang w:val="en-AU" w:eastAsia="en-AU"/>
        </w:rPr>
        <w:t>the manufacture of therapeutic goods, and</w:t>
      </w:r>
      <w:r w:rsidRPr="00F354F1">
        <w:rPr>
          <w:lang w:val="en-AU" w:eastAsia="en-AU"/>
        </w:rPr>
        <w:t xml:space="preserve"> </w:t>
      </w:r>
      <w:r w:rsidRPr="00F354F1">
        <w:rPr>
          <w:sz w:val="22"/>
          <w:szCs w:val="22"/>
          <w:lang w:val="en-AU"/>
        </w:rPr>
        <w:t>by otherwise applying default standards that are constituted by statements in international pharmacopoeias defined in subsection 3(1) of the Act,</w:t>
      </w:r>
      <w:r w:rsidRPr="00F354F1">
        <w:rPr>
          <w:lang w:val="en-AU" w:eastAsia="en-AU"/>
        </w:rPr>
        <w:t xml:space="preserve"> </w:t>
      </w:r>
      <w:r w:rsidRPr="00F354F1">
        <w:rPr>
          <w:sz w:val="22"/>
          <w:szCs w:val="22"/>
          <w:lang w:val="en-AU" w:eastAsia="en-AU"/>
        </w:rPr>
        <w:t>being the</w:t>
      </w:r>
      <w:r w:rsidRPr="00F354F1">
        <w:rPr>
          <w:lang w:val="en-AU" w:eastAsia="en-AU"/>
        </w:rPr>
        <w:t xml:space="preserve"> </w:t>
      </w:r>
      <w:r w:rsidRPr="00F354F1">
        <w:rPr>
          <w:sz w:val="22"/>
          <w:szCs w:val="22"/>
          <w:lang w:val="en-AU"/>
        </w:rPr>
        <w:t>British Pharmacopoeia</w:t>
      </w:r>
      <w:r w:rsidRPr="00F354F1">
        <w:rPr>
          <w:lang w:val="en-AU" w:eastAsia="en-AU"/>
        </w:rPr>
        <w:t xml:space="preserve">, </w:t>
      </w:r>
      <w:r w:rsidRPr="00F354F1">
        <w:rPr>
          <w:sz w:val="22"/>
          <w:szCs w:val="22"/>
          <w:lang w:val="en-AU"/>
        </w:rPr>
        <w:t>European Pharmacopoeia</w:t>
      </w:r>
      <w:r w:rsidRPr="00F354F1">
        <w:rPr>
          <w:lang w:val="en-AU" w:eastAsia="en-AU"/>
        </w:rPr>
        <w:t xml:space="preserve"> and </w:t>
      </w:r>
      <w:r w:rsidRPr="00F354F1">
        <w:rPr>
          <w:sz w:val="22"/>
          <w:szCs w:val="22"/>
          <w:lang w:val="en-AU"/>
        </w:rPr>
        <w:t>United States Pharmacopeia-National Formulary</w:t>
      </w:r>
      <w:r>
        <w:rPr>
          <w:sz w:val="22"/>
          <w:szCs w:val="22"/>
          <w:lang w:val="en-AU"/>
        </w:rPr>
        <w:t>.</w:t>
      </w:r>
    </w:p>
    <w:p w14:paraId="1D5D2C8C" w14:textId="77777777" w:rsidR="00447FAA" w:rsidRPr="00F354F1" w:rsidRDefault="00447FAA" w:rsidP="00447FAA">
      <w:pPr>
        <w:spacing w:before="0" w:after="0"/>
        <w:rPr>
          <w:sz w:val="22"/>
          <w:szCs w:val="22"/>
          <w:lang w:val="en-AU"/>
        </w:rPr>
      </w:pPr>
    </w:p>
    <w:p w14:paraId="1A82C370" w14:textId="77777777" w:rsidR="00447FAA" w:rsidRDefault="00447FAA" w:rsidP="00447FAA">
      <w:pPr>
        <w:spacing w:before="0" w:after="0"/>
        <w:rPr>
          <w:sz w:val="22"/>
          <w:szCs w:val="22"/>
          <w:lang w:val="en-AU"/>
        </w:rPr>
      </w:pPr>
      <w:r w:rsidRPr="00F354F1">
        <w:rPr>
          <w:sz w:val="22"/>
          <w:szCs w:val="22"/>
          <w:lang w:val="en-AU"/>
        </w:rPr>
        <w:t xml:space="preserve">The </w:t>
      </w:r>
      <w:r>
        <w:rPr>
          <w:sz w:val="22"/>
          <w:szCs w:val="22"/>
          <w:lang w:val="en-AU"/>
        </w:rPr>
        <w:t>f</w:t>
      </w:r>
      <w:r w:rsidRPr="00F354F1">
        <w:rPr>
          <w:sz w:val="22"/>
          <w:szCs w:val="22"/>
          <w:lang w:val="en-AU"/>
        </w:rPr>
        <w:t xml:space="preserve">ormer Order is </w:t>
      </w:r>
      <w:r>
        <w:rPr>
          <w:sz w:val="22"/>
          <w:szCs w:val="22"/>
          <w:lang w:val="en-AU"/>
        </w:rPr>
        <w:t>made under section 10 of the Act and</w:t>
      </w:r>
      <w:r w:rsidRPr="00F354F1">
        <w:rPr>
          <w:sz w:val="22"/>
          <w:szCs w:val="22"/>
          <w:lang w:val="en-AU"/>
        </w:rPr>
        <w:t xml:space="preserve"> specifies </w:t>
      </w:r>
      <w:r>
        <w:rPr>
          <w:sz w:val="22"/>
          <w:szCs w:val="22"/>
          <w:lang w:val="en-AU"/>
        </w:rPr>
        <w:t>minimum requirements that export only medicines must comply with. Export only medicines are medicines that are imported into, or manufactured in, Australia solely for export.</w:t>
      </w:r>
    </w:p>
    <w:p w14:paraId="25906B98" w14:textId="77777777" w:rsidR="00447FAA" w:rsidRDefault="00447FAA" w:rsidP="00447FAA">
      <w:pPr>
        <w:spacing w:before="0" w:after="0"/>
        <w:rPr>
          <w:sz w:val="22"/>
          <w:szCs w:val="22"/>
          <w:lang w:val="en-AU"/>
        </w:rPr>
      </w:pPr>
    </w:p>
    <w:p w14:paraId="307C59C5" w14:textId="77777777" w:rsidR="00447FAA" w:rsidRDefault="00447FAA" w:rsidP="00447FAA">
      <w:pPr>
        <w:spacing w:before="0" w:after="0"/>
        <w:rPr>
          <w:sz w:val="22"/>
          <w:szCs w:val="22"/>
          <w:lang w:val="en-AU"/>
        </w:rPr>
      </w:pPr>
      <w:r>
        <w:rPr>
          <w:sz w:val="22"/>
          <w:szCs w:val="22"/>
          <w:lang w:val="en-AU"/>
        </w:rPr>
        <w:lastRenderedPageBreak/>
        <w:t>The former Order provides that</w:t>
      </w:r>
      <w:r w:rsidRPr="00F354F1">
        <w:rPr>
          <w:sz w:val="22"/>
          <w:szCs w:val="22"/>
          <w:lang w:val="en-AU"/>
        </w:rPr>
        <w:t xml:space="preserve"> </w:t>
      </w:r>
      <w:r>
        <w:rPr>
          <w:sz w:val="22"/>
          <w:szCs w:val="22"/>
          <w:lang w:val="en-AU"/>
        </w:rPr>
        <w:t>export only medicines must comply with any of the British Pharmacopoeia, European Pharmacopoeia, United-States Pharmacopoeia (“the default standards”), or the 16th edition of the Japanese Pharmacopoeia. Additionally, the Former Order specifies that where a medicine is regulated other than as a medicine in the country to which it is to be exported, it must also meet the regulatory requirements of that country for such products. Also, specifically in relation to compliance with the Japanese Pharmacopoeia, the exporter of an export only medicine that is regulated as a medicine in the country to which it is to be exported must also hold evidence that a relevant authority of the country to which the medicine is to be exported has confirmed its willingness to accept medicine which complies with the former Order or confirmed that it would have no objection to accepting such medicine.</w:t>
      </w:r>
    </w:p>
    <w:p w14:paraId="2D8CB335" w14:textId="77777777" w:rsidR="00447FAA" w:rsidRDefault="00447FAA" w:rsidP="00447FAA">
      <w:pPr>
        <w:spacing w:before="0" w:after="0"/>
        <w:rPr>
          <w:sz w:val="22"/>
          <w:szCs w:val="22"/>
          <w:lang w:val="en-AU"/>
        </w:rPr>
      </w:pPr>
    </w:p>
    <w:p w14:paraId="09C3CD87" w14:textId="77777777" w:rsidR="00447FAA" w:rsidRPr="00B010A7" w:rsidRDefault="00447FAA" w:rsidP="00447FAA">
      <w:pPr>
        <w:spacing w:before="0" w:after="0"/>
        <w:rPr>
          <w:b/>
          <w:bCs/>
          <w:i/>
          <w:iCs/>
          <w:sz w:val="22"/>
          <w:szCs w:val="22"/>
          <w:lang w:val="en-AU"/>
        </w:rPr>
      </w:pPr>
      <w:r w:rsidRPr="00B010A7">
        <w:rPr>
          <w:b/>
          <w:bCs/>
          <w:i/>
          <w:iCs/>
          <w:sz w:val="22"/>
          <w:szCs w:val="22"/>
          <w:lang w:val="en-AU"/>
        </w:rPr>
        <w:t>Purpose</w:t>
      </w:r>
    </w:p>
    <w:p w14:paraId="37B05C48" w14:textId="77777777" w:rsidR="00447FAA" w:rsidRDefault="00447FAA" w:rsidP="00447FAA">
      <w:pPr>
        <w:spacing w:before="0" w:after="0"/>
        <w:rPr>
          <w:sz w:val="22"/>
          <w:szCs w:val="22"/>
          <w:lang w:val="en-AU"/>
        </w:rPr>
      </w:pPr>
    </w:p>
    <w:p w14:paraId="03D0FE64" w14:textId="77777777" w:rsidR="00447FAA" w:rsidRDefault="00447FAA" w:rsidP="00447FAA">
      <w:pPr>
        <w:spacing w:before="0" w:after="0"/>
        <w:rPr>
          <w:sz w:val="22"/>
          <w:szCs w:val="22"/>
          <w:lang w:val="en-AU"/>
        </w:rPr>
      </w:pPr>
      <w:r>
        <w:rPr>
          <w:sz w:val="22"/>
          <w:szCs w:val="22"/>
          <w:lang w:val="en-AU"/>
        </w:rPr>
        <w:t xml:space="preserve">The former Order is due to sunset on 1 October 2024. The Order replaces the former Order and makes </w:t>
      </w:r>
      <w:proofErr w:type="gramStart"/>
      <w:r>
        <w:rPr>
          <w:sz w:val="22"/>
          <w:szCs w:val="22"/>
          <w:lang w:val="en-AU"/>
        </w:rPr>
        <w:t>a number of</w:t>
      </w:r>
      <w:proofErr w:type="gramEnd"/>
      <w:r>
        <w:rPr>
          <w:sz w:val="22"/>
          <w:szCs w:val="22"/>
          <w:lang w:val="en-AU"/>
        </w:rPr>
        <w:t xml:space="preserve"> changes to update the instrument, however without substantively changing the effect of the instrument. The purpose of the Order is to establish a standard for export only medicines to support the continued application of minimum standards to such medicines, given the former Order is due to sunset. </w:t>
      </w:r>
    </w:p>
    <w:p w14:paraId="03BBF9B4" w14:textId="77777777" w:rsidR="00447FAA" w:rsidRDefault="00447FAA" w:rsidP="00447FAA">
      <w:pPr>
        <w:spacing w:before="0" w:after="0"/>
        <w:rPr>
          <w:sz w:val="22"/>
          <w:szCs w:val="22"/>
          <w:lang w:val="en-AU"/>
        </w:rPr>
      </w:pPr>
    </w:p>
    <w:p w14:paraId="5D672AC8" w14:textId="77777777" w:rsidR="00447FAA" w:rsidRDefault="00447FAA" w:rsidP="00447FAA">
      <w:pPr>
        <w:spacing w:before="0" w:after="0"/>
        <w:rPr>
          <w:sz w:val="22"/>
          <w:szCs w:val="22"/>
          <w:lang w:val="en-AU"/>
        </w:rPr>
      </w:pPr>
      <w:r>
        <w:rPr>
          <w:sz w:val="22"/>
          <w:szCs w:val="22"/>
          <w:lang w:val="en-AU"/>
        </w:rPr>
        <w:t>The Order provide that an export only medicine must comply with the requirements specified in the applicable individual, specific and general monographs in at least one of the British Pharmacopoeia, European Pharmacopoeia, United-States Pharmacopoeia, or Japanese Pharmacopoeia, as interpreted in accordance with the General Notices section of the relevant pharmacopoeia. This effectively provides an option for an export only medicine to comply with the Japanese Pharmacopoeia instead of one of the default standards. This requirement to comply with either the default standards or the Japanese Pharmacopoeia, being inconsistent with the requirement in the Act for compliance with the default standards, applies to the exclusion of the requirement in the Act to comply with the default standards (section 13(2) of the Act refers). Therefore, if an export only medicine complies with the Japanese Pharmacopoeia, it does not also need to comply with the default standards under the Act.</w:t>
      </w:r>
    </w:p>
    <w:p w14:paraId="59E123EE" w14:textId="77777777" w:rsidR="00447FAA" w:rsidRDefault="00447FAA" w:rsidP="00447FAA">
      <w:pPr>
        <w:spacing w:before="0" w:after="0"/>
        <w:rPr>
          <w:sz w:val="22"/>
          <w:szCs w:val="22"/>
          <w:lang w:val="en-AU"/>
        </w:rPr>
      </w:pPr>
    </w:p>
    <w:p w14:paraId="2D2C432B" w14:textId="77777777" w:rsidR="00447FAA" w:rsidRDefault="00447FAA" w:rsidP="00447FAA">
      <w:pPr>
        <w:spacing w:before="0" w:after="0"/>
        <w:rPr>
          <w:sz w:val="22"/>
          <w:szCs w:val="22"/>
          <w:lang w:val="en-AU" w:eastAsia="en-AU"/>
        </w:rPr>
      </w:pPr>
      <w:r>
        <w:rPr>
          <w:sz w:val="22"/>
          <w:szCs w:val="22"/>
          <w:lang w:val="en-AU" w:eastAsia="en-AU"/>
        </w:rPr>
        <w:t>The former Order incorporated the Japanese Pharmacopoeia by reference to the 16</w:t>
      </w:r>
      <w:r w:rsidRPr="00C96BFA">
        <w:rPr>
          <w:sz w:val="22"/>
          <w:szCs w:val="22"/>
          <w:vertAlign w:val="superscript"/>
          <w:lang w:val="en-AU" w:eastAsia="en-AU"/>
        </w:rPr>
        <w:t>th</w:t>
      </w:r>
      <w:r>
        <w:rPr>
          <w:sz w:val="22"/>
          <w:szCs w:val="22"/>
          <w:lang w:val="en-AU" w:eastAsia="en-AU"/>
        </w:rPr>
        <w:t xml:space="preserve"> edition of the pharmacopoeia, which has since been updated. The Order, however, incorporates the Japanese Pharmacopoeia as in force from time to time, in accordance with section 10(4) of the Act, so the Order remains up-to-date and does not require industry to comply with outdated requirements. </w:t>
      </w:r>
    </w:p>
    <w:p w14:paraId="16199D11" w14:textId="77777777" w:rsidR="00447FAA" w:rsidRDefault="00447FAA" w:rsidP="00447FAA">
      <w:pPr>
        <w:spacing w:before="0" w:after="0"/>
        <w:rPr>
          <w:sz w:val="22"/>
          <w:szCs w:val="22"/>
          <w:lang w:val="en-AU" w:eastAsia="en-AU"/>
        </w:rPr>
      </w:pPr>
    </w:p>
    <w:p w14:paraId="6FAB63D9" w14:textId="77777777" w:rsidR="00447FAA" w:rsidRDefault="00447FAA" w:rsidP="00447FAA">
      <w:pPr>
        <w:spacing w:before="0" w:after="0"/>
        <w:rPr>
          <w:sz w:val="22"/>
          <w:szCs w:val="22"/>
          <w:lang w:val="en-AU" w:eastAsia="en-AU"/>
        </w:rPr>
      </w:pPr>
      <w:r>
        <w:rPr>
          <w:sz w:val="22"/>
          <w:szCs w:val="22"/>
          <w:lang w:val="en-AU" w:eastAsia="en-AU"/>
        </w:rPr>
        <w:t xml:space="preserve">The Order also contains a specific requirement for export only medicines that are not regulated as a medicine in the country to which the medicine is to be exported. Such export only medicines must meet the regulatory requirements of the country to which they are to be exported. This is the same requirement that is in the former Order. </w:t>
      </w:r>
    </w:p>
    <w:p w14:paraId="1D227166" w14:textId="77777777" w:rsidR="00447FAA" w:rsidRDefault="00447FAA" w:rsidP="00447FAA">
      <w:pPr>
        <w:spacing w:before="0" w:after="0"/>
        <w:rPr>
          <w:sz w:val="22"/>
          <w:szCs w:val="22"/>
          <w:lang w:val="en-AU" w:eastAsia="en-AU"/>
        </w:rPr>
      </w:pPr>
    </w:p>
    <w:p w14:paraId="4D650961" w14:textId="77777777" w:rsidR="00447FAA" w:rsidRDefault="00447FAA" w:rsidP="00447FAA">
      <w:pPr>
        <w:spacing w:before="0" w:after="0"/>
        <w:rPr>
          <w:sz w:val="22"/>
          <w:szCs w:val="22"/>
          <w:lang w:val="en-AU"/>
        </w:rPr>
      </w:pPr>
      <w:r>
        <w:rPr>
          <w:sz w:val="22"/>
          <w:szCs w:val="22"/>
          <w:lang w:val="en-AU" w:eastAsia="en-AU"/>
        </w:rPr>
        <w:t xml:space="preserve">The Order does not include the requirement that the exporter </w:t>
      </w:r>
      <w:r>
        <w:rPr>
          <w:sz w:val="22"/>
          <w:szCs w:val="22"/>
          <w:lang w:val="en-AU"/>
        </w:rPr>
        <w:t xml:space="preserve">hold evidence that a relevant authority of the country to which the medicine is to be exported has confirmed its willingness to accept medicine which complies with the former Order or confirmed that it would have no objection to accepting such medicine, as this requirement is a duplicate of a similar requirement in section 26 of the Act under which export only medicines are listed in the Australia Register of Therapeutic Goods. </w:t>
      </w:r>
    </w:p>
    <w:p w14:paraId="3825B856" w14:textId="77777777" w:rsidR="00447FAA" w:rsidRDefault="00447FAA" w:rsidP="00447FAA">
      <w:pPr>
        <w:spacing w:before="0" w:after="0"/>
        <w:rPr>
          <w:sz w:val="22"/>
          <w:szCs w:val="22"/>
          <w:lang w:val="en-AU"/>
        </w:rPr>
      </w:pPr>
    </w:p>
    <w:p w14:paraId="239784A5" w14:textId="77777777" w:rsidR="00646704" w:rsidRPr="00F354F1" w:rsidRDefault="00646704" w:rsidP="00684F42">
      <w:pPr>
        <w:spacing w:before="0" w:after="0"/>
        <w:rPr>
          <w:rFonts w:eastAsiaTheme="minorHAnsi"/>
          <w:sz w:val="22"/>
          <w:szCs w:val="22"/>
          <w:lang w:val="en-AU"/>
        </w:rPr>
      </w:pPr>
    </w:p>
    <w:p w14:paraId="515CD9C8" w14:textId="77777777" w:rsidR="00684F42" w:rsidRPr="00F354F1" w:rsidRDefault="00684F42" w:rsidP="00684F42">
      <w:pPr>
        <w:spacing w:before="0" w:after="0"/>
        <w:rPr>
          <w:b/>
          <w:sz w:val="22"/>
          <w:szCs w:val="22"/>
          <w:lang w:val="en-AU"/>
        </w:rPr>
      </w:pPr>
      <w:r w:rsidRPr="00F354F1">
        <w:rPr>
          <w:b/>
          <w:sz w:val="22"/>
          <w:szCs w:val="22"/>
          <w:lang w:val="en-AU"/>
        </w:rPr>
        <w:t>Human rights implications</w:t>
      </w:r>
    </w:p>
    <w:p w14:paraId="721BB189" w14:textId="77777777" w:rsidR="00684F42" w:rsidRPr="00F354F1" w:rsidRDefault="00684F42" w:rsidP="00684F42">
      <w:pPr>
        <w:spacing w:before="0" w:after="0"/>
        <w:rPr>
          <w:sz w:val="22"/>
          <w:szCs w:val="22"/>
          <w:lang w:val="en-AU"/>
        </w:rPr>
      </w:pPr>
    </w:p>
    <w:p w14:paraId="2B76BEF2" w14:textId="77777777" w:rsidR="00684F42" w:rsidRPr="00F354F1" w:rsidRDefault="00684F42" w:rsidP="00684F42">
      <w:pPr>
        <w:spacing w:before="0" w:after="0"/>
        <w:rPr>
          <w:sz w:val="22"/>
          <w:szCs w:val="22"/>
          <w:lang w:val="en-AU"/>
        </w:rPr>
      </w:pPr>
      <w:r w:rsidRPr="00F354F1">
        <w:rPr>
          <w:sz w:val="22"/>
          <w:szCs w:val="22"/>
          <w:lang w:val="en-AU"/>
        </w:rPr>
        <w:t xml:space="preserve">The </w:t>
      </w:r>
      <w:r w:rsidRPr="00F354F1">
        <w:rPr>
          <w:rFonts w:eastAsiaTheme="minorHAnsi"/>
          <w:color w:val="000000"/>
          <w:sz w:val="22"/>
          <w:szCs w:val="22"/>
          <w:lang w:val="en-AU"/>
        </w:rPr>
        <w:t xml:space="preserve">instrument </w:t>
      </w:r>
      <w:r w:rsidRPr="00F354F1">
        <w:rPr>
          <w:sz w:val="22"/>
          <w:szCs w:val="22"/>
          <w:lang w:val="en-AU"/>
        </w:rPr>
        <w:t>engages the right to health in Article 12 of the International Covenant on Economic, Social and Cultural Rights (“the ICESCR”). Article 12 of the ICESCR promotes the right of all individuals to enjoy the highest attainable standards of physical and mental health.</w:t>
      </w:r>
    </w:p>
    <w:p w14:paraId="05880C3B" w14:textId="77777777" w:rsidR="00684F42" w:rsidRPr="00F354F1" w:rsidRDefault="00684F42" w:rsidP="00684F42">
      <w:pPr>
        <w:spacing w:before="0" w:after="0"/>
        <w:rPr>
          <w:sz w:val="22"/>
          <w:szCs w:val="22"/>
          <w:lang w:val="en-AU"/>
        </w:rPr>
      </w:pPr>
    </w:p>
    <w:p w14:paraId="4F49DD65" w14:textId="77777777" w:rsidR="00684F42" w:rsidRPr="00F354F1" w:rsidRDefault="00684F42" w:rsidP="00684F42">
      <w:pPr>
        <w:spacing w:before="0" w:after="0"/>
        <w:rPr>
          <w:sz w:val="22"/>
          <w:szCs w:val="22"/>
          <w:lang w:val="en-AU"/>
        </w:rPr>
      </w:pPr>
      <w:r w:rsidRPr="00F354F1">
        <w:rPr>
          <w:sz w:val="22"/>
          <w:szCs w:val="22"/>
          <w:lang w:val="en-AU"/>
        </w:rPr>
        <w:t xml:space="preserve">In </w:t>
      </w:r>
      <w:r w:rsidRPr="00F354F1">
        <w:rPr>
          <w:i/>
          <w:sz w:val="22"/>
          <w:szCs w:val="22"/>
          <w:lang w:val="en-AU"/>
        </w:rPr>
        <w:t xml:space="preserve">General Comment No.14: The Right to the Highest Attainable Standard of Health (Art.12) </w:t>
      </w:r>
      <w:r w:rsidRPr="00F354F1">
        <w:rPr>
          <w:sz w:val="22"/>
          <w:szCs w:val="22"/>
          <w:lang w:val="en-AU"/>
        </w:rPr>
        <w:t xml:space="preserve">(2000), the United Nations Committee on Economic, Social and Cultural Rights states that health is a </w:t>
      </w:r>
      <w:r w:rsidRPr="00F354F1">
        <w:rPr>
          <w:sz w:val="22"/>
          <w:szCs w:val="22"/>
          <w:lang w:val="en-AU"/>
        </w:rPr>
        <w:lastRenderedPageBreak/>
        <w:t>‘fundamental human right indispensable for the exercise of other human rights’, and that the right to health is not be understood as the right to be healthy, but includes the right to a system of health protection which provides equal opportunity for people to enjoy the highest attainable level of health.</w:t>
      </w:r>
    </w:p>
    <w:p w14:paraId="5FBF3ABD" w14:textId="77777777" w:rsidR="00684F42" w:rsidRPr="00F354F1" w:rsidRDefault="00684F42" w:rsidP="00684F42">
      <w:pPr>
        <w:spacing w:before="0" w:after="0"/>
        <w:rPr>
          <w:sz w:val="22"/>
          <w:szCs w:val="22"/>
          <w:lang w:val="en-AU"/>
        </w:rPr>
      </w:pPr>
    </w:p>
    <w:p w14:paraId="0EEF7D51" w14:textId="3E72E590" w:rsidR="00447FAA" w:rsidRDefault="00684F42" w:rsidP="00684F42">
      <w:pPr>
        <w:spacing w:before="0" w:after="0"/>
        <w:rPr>
          <w:sz w:val="22"/>
          <w:szCs w:val="22"/>
          <w:lang w:val="en-AU"/>
        </w:rPr>
      </w:pPr>
      <w:r w:rsidRPr="00F354F1">
        <w:rPr>
          <w:sz w:val="22"/>
          <w:szCs w:val="22"/>
          <w:lang w:val="en-AU"/>
        </w:rPr>
        <w:t xml:space="preserve">The instrument takes positive steps to promote the right to health by ensuring the safety, </w:t>
      </w:r>
      <w:proofErr w:type="gramStart"/>
      <w:r w:rsidRPr="00F354F1">
        <w:rPr>
          <w:sz w:val="22"/>
          <w:szCs w:val="22"/>
          <w:lang w:val="en-AU"/>
        </w:rPr>
        <w:t>quality</w:t>
      </w:r>
      <w:proofErr w:type="gramEnd"/>
      <w:r w:rsidRPr="00F354F1">
        <w:rPr>
          <w:sz w:val="22"/>
          <w:szCs w:val="22"/>
          <w:lang w:val="en-AU"/>
        </w:rPr>
        <w:t xml:space="preserve"> and efficacy of </w:t>
      </w:r>
      <w:r w:rsidR="00646704">
        <w:rPr>
          <w:sz w:val="22"/>
          <w:szCs w:val="22"/>
          <w:lang w:val="en-AU"/>
        </w:rPr>
        <w:t>export only medicines</w:t>
      </w:r>
      <w:r w:rsidR="00447FAA">
        <w:rPr>
          <w:sz w:val="22"/>
          <w:szCs w:val="22"/>
          <w:lang w:val="en-AU"/>
        </w:rPr>
        <w:t>. The Order does this</w:t>
      </w:r>
      <w:r w:rsidR="00646704">
        <w:rPr>
          <w:sz w:val="22"/>
          <w:szCs w:val="22"/>
          <w:lang w:val="en-AU"/>
        </w:rPr>
        <w:t xml:space="preserve"> by continuing to require </w:t>
      </w:r>
      <w:r w:rsidR="00447FAA">
        <w:rPr>
          <w:sz w:val="22"/>
          <w:szCs w:val="22"/>
          <w:lang w:val="en-AU"/>
        </w:rPr>
        <w:t xml:space="preserve">that </w:t>
      </w:r>
      <w:r w:rsidR="00646704">
        <w:rPr>
          <w:sz w:val="22"/>
          <w:szCs w:val="22"/>
          <w:lang w:val="en-AU"/>
        </w:rPr>
        <w:t xml:space="preserve">these medicines meet the requirements </w:t>
      </w:r>
      <w:r w:rsidR="00447FAA">
        <w:rPr>
          <w:sz w:val="22"/>
          <w:szCs w:val="22"/>
          <w:lang w:val="en-AU"/>
        </w:rPr>
        <w:t>in one of the</w:t>
      </w:r>
      <w:r w:rsidR="006855D9">
        <w:rPr>
          <w:sz w:val="22"/>
          <w:szCs w:val="22"/>
          <w:lang w:val="en-AU"/>
        </w:rPr>
        <w:t xml:space="preserve"> specified </w:t>
      </w:r>
      <w:proofErr w:type="gramStart"/>
      <w:r w:rsidR="006855D9">
        <w:rPr>
          <w:sz w:val="22"/>
          <w:szCs w:val="22"/>
          <w:lang w:val="en-AU"/>
        </w:rPr>
        <w:t>pharmacopoeia</w:t>
      </w:r>
      <w:proofErr w:type="gramEnd"/>
      <w:r w:rsidR="006855D9">
        <w:rPr>
          <w:sz w:val="22"/>
          <w:szCs w:val="22"/>
          <w:lang w:val="en-AU"/>
        </w:rPr>
        <w:t xml:space="preserve">, being the British Pharmacopoeia, </w:t>
      </w:r>
      <w:r w:rsidR="006E5EE6">
        <w:rPr>
          <w:sz w:val="22"/>
          <w:szCs w:val="22"/>
          <w:lang w:val="en-AU"/>
        </w:rPr>
        <w:t xml:space="preserve">the </w:t>
      </w:r>
      <w:r w:rsidR="006855D9">
        <w:rPr>
          <w:sz w:val="22"/>
          <w:szCs w:val="22"/>
          <w:lang w:val="en-AU"/>
        </w:rPr>
        <w:t xml:space="preserve">European Pharmacopoeia, </w:t>
      </w:r>
      <w:r w:rsidR="006E5EE6">
        <w:rPr>
          <w:sz w:val="22"/>
          <w:szCs w:val="22"/>
          <w:lang w:val="en-AU"/>
        </w:rPr>
        <w:t xml:space="preserve">the </w:t>
      </w:r>
      <w:r w:rsidR="006855D9">
        <w:rPr>
          <w:sz w:val="22"/>
          <w:szCs w:val="22"/>
          <w:lang w:val="en-AU"/>
        </w:rPr>
        <w:t xml:space="preserve">Japanese Pharmacopoeia, </w:t>
      </w:r>
      <w:r w:rsidR="00447FAA">
        <w:rPr>
          <w:sz w:val="22"/>
          <w:szCs w:val="22"/>
          <w:lang w:val="en-AU"/>
        </w:rPr>
        <w:t xml:space="preserve">or </w:t>
      </w:r>
      <w:r w:rsidR="006855D9">
        <w:rPr>
          <w:sz w:val="22"/>
          <w:szCs w:val="22"/>
          <w:lang w:val="en-AU"/>
        </w:rPr>
        <w:t xml:space="preserve">the United States Pharmacopoeia-National Formulary. These documents are comprehensive compilations of information about the preparation of medicines and characterisation of their ingredients. </w:t>
      </w:r>
    </w:p>
    <w:p w14:paraId="44D146C3" w14:textId="77777777" w:rsidR="00447FAA" w:rsidRDefault="00447FAA" w:rsidP="00684F42">
      <w:pPr>
        <w:spacing w:before="0" w:after="0"/>
        <w:rPr>
          <w:sz w:val="22"/>
          <w:szCs w:val="22"/>
          <w:lang w:val="en-AU"/>
        </w:rPr>
      </w:pPr>
    </w:p>
    <w:p w14:paraId="463D56B3" w14:textId="0451CF19" w:rsidR="00684F42" w:rsidRPr="00F354F1" w:rsidRDefault="00447FAA" w:rsidP="00684F42">
      <w:pPr>
        <w:spacing w:before="0" w:after="0"/>
        <w:rPr>
          <w:sz w:val="22"/>
          <w:szCs w:val="22"/>
          <w:lang w:val="en-AU"/>
        </w:rPr>
      </w:pPr>
      <w:r>
        <w:rPr>
          <w:sz w:val="22"/>
          <w:szCs w:val="22"/>
          <w:lang w:val="en-AU"/>
        </w:rPr>
        <w:t xml:space="preserve">The application of a minimum standard for export only medicines is important to ensure that export only medicines meet minimum benchmarks, particularly as such medicines are listed in the Australian Register of Therapeutic Goods and do not undergo a full pre-market assessment for quality, </w:t>
      </w:r>
      <w:proofErr w:type="gramStart"/>
      <w:r>
        <w:rPr>
          <w:sz w:val="22"/>
          <w:szCs w:val="22"/>
          <w:lang w:val="en-AU"/>
        </w:rPr>
        <w:t>safety</w:t>
      </w:r>
      <w:proofErr w:type="gramEnd"/>
      <w:r>
        <w:rPr>
          <w:sz w:val="22"/>
          <w:szCs w:val="22"/>
          <w:lang w:val="en-AU"/>
        </w:rPr>
        <w:t xml:space="preserve"> and efficacy. </w:t>
      </w:r>
    </w:p>
    <w:p w14:paraId="3A33FC66" w14:textId="77777777" w:rsidR="00684F42" w:rsidRPr="00F354F1" w:rsidRDefault="00684F42" w:rsidP="00684F42">
      <w:pPr>
        <w:spacing w:before="0" w:after="0"/>
        <w:rPr>
          <w:b/>
          <w:sz w:val="22"/>
          <w:szCs w:val="22"/>
          <w:lang w:val="en-AU"/>
        </w:rPr>
      </w:pPr>
    </w:p>
    <w:p w14:paraId="7766BA0E" w14:textId="77777777" w:rsidR="00684F42" w:rsidRPr="00F354F1" w:rsidRDefault="00684F42" w:rsidP="00684F42">
      <w:pPr>
        <w:keepNext/>
        <w:spacing w:before="0" w:after="0"/>
        <w:rPr>
          <w:b/>
          <w:sz w:val="22"/>
          <w:szCs w:val="22"/>
          <w:lang w:val="en-AU"/>
        </w:rPr>
      </w:pPr>
      <w:r w:rsidRPr="00F354F1">
        <w:rPr>
          <w:b/>
          <w:sz w:val="22"/>
          <w:szCs w:val="22"/>
          <w:lang w:val="en-AU"/>
        </w:rPr>
        <w:t>Conclusion</w:t>
      </w:r>
    </w:p>
    <w:p w14:paraId="3AFCA598" w14:textId="77777777" w:rsidR="00684F42" w:rsidRPr="00F354F1" w:rsidRDefault="00684F42" w:rsidP="00684F42">
      <w:pPr>
        <w:keepNext/>
        <w:spacing w:before="0" w:after="0"/>
        <w:rPr>
          <w:sz w:val="22"/>
          <w:szCs w:val="22"/>
          <w:lang w:val="en-AU"/>
        </w:rPr>
      </w:pPr>
    </w:p>
    <w:p w14:paraId="09699176" w14:textId="77777777" w:rsidR="00684F42" w:rsidRPr="00F354F1" w:rsidRDefault="00684F42" w:rsidP="00684F42">
      <w:pPr>
        <w:keepNext/>
        <w:spacing w:before="0" w:after="0"/>
        <w:rPr>
          <w:sz w:val="22"/>
          <w:szCs w:val="22"/>
          <w:lang w:val="en-AU"/>
        </w:rPr>
      </w:pPr>
      <w:r w:rsidRPr="00F354F1">
        <w:rPr>
          <w:sz w:val="22"/>
          <w:szCs w:val="22"/>
          <w:lang w:val="en-AU"/>
        </w:rPr>
        <w:t>The order</w:t>
      </w:r>
      <w:r w:rsidRPr="00F354F1">
        <w:rPr>
          <w:rFonts w:eastAsiaTheme="minorHAnsi"/>
          <w:color w:val="000000"/>
          <w:sz w:val="22"/>
          <w:szCs w:val="22"/>
          <w:lang w:val="en-AU"/>
        </w:rPr>
        <w:t xml:space="preserve"> </w:t>
      </w:r>
      <w:r w:rsidRPr="00F354F1">
        <w:rPr>
          <w:sz w:val="22"/>
          <w:szCs w:val="22"/>
          <w:lang w:val="en-AU"/>
        </w:rPr>
        <w:t>is compatible with human rights because it maintains and supports the right to health in Article 12 of the ICESCR and otherwise does not raise any other human rights issues.</w:t>
      </w:r>
    </w:p>
    <w:p w14:paraId="556A9545" w14:textId="77777777" w:rsidR="00280050" w:rsidRPr="00F354F1" w:rsidRDefault="00280050">
      <w:pPr>
        <w:rPr>
          <w:lang w:val="en-AU"/>
        </w:rPr>
      </w:pPr>
    </w:p>
    <w:sectPr w:rsidR="00280050" w:rsidRPr="00F354F1" w:rsidSect="00684F4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CB86C" w14:textId="77777777" w:rsidR="00986312" w:rsidRDefault="00986312">
      <w:pPr>
        <w:spacing w:before="0" w:after="0"/>
      </w:pPr>
      <w:r>
        <w:separator/>
      </w:r>
    </w:p>
  </w:endnote>
  <w:endnote w:type="continuationSeparator" w:id="0">
    <w:p w14:paraId="00868CF0" w14:textId="77777777" w:rsidR="00986312" w:rsidRDefault="0098631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258160"/>
      <w:docPartObj>
        <w:docPartGallery w:val="Page Numbers (Bottom of Page)"/>
        <w:docPartUnique/>
      </w:docPartObj>
    </w:sdtPr>
    <w:sdtEndPr>
      <w:rPr>
        <w:rFonts w:eastAsiaTheme="minorHAnsi"/>
        <w:noProof/>
        <w:sz w:val="22"/>
        <w:szCs w:val="22"/>
        <w:lang w:val="en-AU"/>
      </w:rPr>
    </w:sdtEndPr>
    <w:sdtContent>
      <w:p w14:paraId="31FE1C28" w14:textId="77777777" w:rsidR="00CF1F65" w:rsidRPr="00D46D62" w:rsidRDefault="00CF1F65">
        <w:pPr>
          <w:pStyle w:val="Footer"/>
          <w:jc w:val="right"/>
          <w:rPr>
            <w:rFonts w:eastAsiaTheme="minorHAnsi"/>
            <w:noProof/>
            <w:sz w:val="22"/>
            <w:szCs w:val="22"/>
            <w:lang w:val="en-AU"/>
          </w:rPr>
        </w:pPr>
        <w:r w:rsidRPr="00D46D62">
          <w:rPr>
            <w:rFonts w:eastAsiaTheme="minorHAnsi"/>
            <w:noProof/>
            <w:sz w:val="22"/>
            <w:szCs w:val="22"/>
            <w:lang w:val="en-AU"/>
          </w:rPr>
          <w:fldChar w:fldCharType="begin"/>
        </w:r>
        <w:r w:rsidRPr="00D46D62">
          <w:rPr>
            <w:rFonts w:eastAsiaTheme="minorHAnsi"/>
            <w:noProof/>
            <w:sz w:val="22"/>
            <w:szCs w:val="22"/>
            <w:lang w:val="en-AU"/>
          </w:rPr>
          <w:instrText xml:space="preserve"> PAGE   \* MERGEFORMAT </w:instrText>
        </w:r>
        <w:r w:rsidRPr="00D46D62">
          <w:rPr>
            <w:rFonts w:eastAsiaTheme="minorHAnsi"/>
            <w:noProof/>
            <w:sz w:val="22"/>
            <w:szCs w:val="22"/>
            <w:lang w:val="en-AU"/>
          </w:rPr>
          <w:fldChar w:fldCharType="separate"/>
        </w:r>
        <w:r w:rsidRPr="00D46D62">
          <w:rPr>
            <w:rFonts w:eastAsiaTheme="minorHAnsi"/>
            <w:noProof/>
            <w:sz w:val="22"/>
            <w:szCs w:val="22"/>
            <w:lang w:val="en-AU"/>
          </w:rPr>
          <w:t>2</w:t>
        </w:r>
        <w:r w:rsidRPr="00D46D62">
          <w:rPr>
            <w:rFonts w:eastAsiaTheme="minorHAnsi"/>
            <w:noProof/>
            <w:sz w:val="22"/>
            <w:szCs w:val="22"/>
            <w:lang w:val="en-AU"/>
          </w:rPr>
          <w:fldChar w:fldCharType="end"/>
        </w:r>
      </w:p>
    </w:sdtContent>
  </w:sdt>
  <w:p w14:paraId="7C8AFE86" w14:textId="77777777" w:rsidR="00CF1F65" w:rsidRDefault="00CF1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95E95" w14:textId="77777777" w:rsidR="00986312" w:rsidRDefault="00986312">
      <w:pPr>
        <w:spacing w:before="0" w:after="0"/>
      </w:pPr>
      <w:r>
        <w:separator/>
      </w:r>
    </w:p>
  </w:footnote>
  <w:footnote w:type="continuationSeparator" w:id="0">
    <w:p w14:paraId="2ABC20E8" w14:textId="77777777" w:rsidR="00986312" w:rsidRDefault="0098631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0F3B"/>
    <w:multiLevelType w:val="hybridMultilevel"/>
    <w:tmpl w:val="37042076"/>
    <w:lvl w:ilvl="0" w:tplc="027A61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4C1DE0"/>
    <w:multiLevelType w:val="hybridMultilevel"/>
    <w:tmpl w:val="7E6C8350"/>
    <w:lvl w:ilvl="0" w:tplc="FB4A07F2">
      <w:start w:val="1"/>
      <w:numFmt w:val="bullet"/>
      <w:lvlText w:val=""/>
      <w:lvlJc w:val="left"/>
      <w:pPr>
        <w:ind w:left="1020" w:hanging="360"/>
      </w:pPr>
      <w:rPr>
        <w:rFonts w:ascii="Symbol" w:hAnsi="Symbol"/>
      </w:rPr>
    </w:lvl>
    <w:lvl w:ilvl="1" w:tplc="40EAB208">
      <w:start w:val="1"/>
      <w:numFmt w:val="bullet"/>
      <w:lvlText w:val=""/>
      <w:lvlJc w:val="left"/>
      <w:pPr>
        <w:ind w:left="1020" w:hanging="360"/>
      </w:pPr>
      <w:rPr>
        <w:rFonts w:ascii="Symbol" w:hAnsi="Symbol"/>
      </w:rPr>
    </w:lvl>
    <w:lvl w:ilvl="2" w:tplc="8190FE4A">
      <w:start w:val="1"/>
      <w:numFmt w:val="bullet"/>
      <w:lvlText w:val=""/>
      <w:lvlJc w:val="left"/>
      <w:pPr>
        <w:ind w:left="1020" w:hanging="360"/>
      </w:pPr>
      <w:rPr>
        <w:rFonts w:ascii="Symbol" w:hAnsi="Symbol"/>
      </w:rPr>
    </w:lvl>
    <w:lvl w:ilvl="3" w:tplc="20D0399E">
      <w:start w:val="1"/>
      <w:numFmt w:val="bullet"/>
      <w:lvlText w:val=""/>
      <w:lvlJc w:val="left"/>
      <w:pPr>
        <w:ind w:left="1020" w:hanging="360"/>
      </w:pPr>
      <w:rPr>
        <w:rFonts w:ascii="Symbol" w:hAnsi="Symbol"/>
      </w:rPr>
    </w:lvl>
    <w:lvl w:ilvl="4" w:tplc="EF9A6F82">
      <w:start w:val="1"/>
      <w:numFmt w:val="bullet"/>
      <w:lvlText w:val=""/>
      <w:lvlJc w:val="left"/>
      <w:pPr>
        <w:ind w:left="1020" w:hanging="360"/>
      </w:pPr>
      <w:rPr>
        <w:rFonts w:ascii="Symbol" w:hAnsi="Symbol"/>
      </w:rPr>
    </w:lvl>
    <w:lvl w:ilvl="5" w:tplc="6510B122">
      <w:start w:val="1"/>
      <w:numFmt w:val="bullet"/>
      <w:lvlText w:val=""/>
      <w:lvlJc w:val="left"/>
      <w:pPr>
        <w:ind w:left="1020" w:hanging="360"/>
      </w:pPr>
      <w:rPr>
        <w:rFonts w:ascii="Symbol" w:hAnsi="Symbol"/>
      </w:rPr>
    </w:lvl>
    <w:lvl w:ilvl="6" w:tplc="01D21460">
      <w:start w:val="1"/>
      <w:numFmt w:val="bullet"/>
      <w:lvlText w:val=""/>
      <w:lvlJc w:val="left"/>
      <w:pPr>
        <w:ind w:left="1020" w:hanging="360"/>
      </w:pPr>
      <w:rPr>
        <w:rFonts w:ascii="Symbol" w:hAnsi="Symbol"/>
      </w:rPr>
    </w:lvl>
    <w:lvl w:ilvl="7" w:tplc="123A7C52">
      <w:start w:val="1"/>
      <w:numFmt w:val="bullet"/>
      <w:lvlText w:val=""/>
      <w:lvlJc w:val="left"/>
      <w:pPr>
        <w:ind w:left="1020" w:hanging="360"/>
      </w:pPr>
      <w:rPr>
        <w:rFonts w:ascii="Symbol" w:hAnsi="Symbol"/>
      </w:rPr>
    </w:lvl>
    <w:lvl w:ilvl="8" w:tplc="C72EB052">
      <w:start w:val="1"/>
      <w:numFmt w:val="bullet"/>
      <w:lvlText w:val=""/>
      <w:lvlJc w:val="left"/>
      <w:pPr>
        <w:ind w:left="1020" w:hanging="360"/>
      </w:pPr>
      <w:rPr>
        <w:rFonts w:ascii="Symbol" w:hAnsi="Symbol"/>
      </w:rPr>
    </w:lvl>
  </w:abstractNum>
  <w:abstractNum w:abstractNumId="2" w15:restartNumberingAfterBreak="0">
    <w:nsid w:val="11CE2F86"/>
    <w:multiLevelType w:val="hybridMultilevel"/>
    <w:tmpl w:val="C6F43514"/>
    <w:lvl w:ilvl="0" w:tplc="34306B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E73902"/>
    <w:multiLevelType w:val="hybridMultilevel"/>
    <w:tmpl w:val="691A69D6"/>
    <w:lvl w:ilvl="0" w:tplc="BB9605B8">
      <w:start w:val="1"/>
      <w:numFmt w:val="bullet"/>
      <w:lvlText w:val=""/>
      <w:lvlJc w:val="left"/>
      <w:pPr>
        <w:ind w:left="1020" w:hanging="360"/>
      </w:pPr>
      <w:rPr>
        <w:rFonts w:ascii="Symbol" w:hAnsi="Symbol"/>
      </w:rPr>
    </w:lvl>
    <w:lvl w:ilvl="1" w:tplc="C0F65200">
      <w:start w:val="1"/>
      <w:numFmt w:val="bullet"/>
      <w:lvlText w:val=""/>
      <w:lvlJc w:val="left"/>
      <w:pPr>
        <w:ind w:left="1020" w:hanging="360"/>
      </w:pPr>
      <w:rPr>
        <w:rFonts w:ascii="Symbol" w:hAnsi="Symbol"/>
      </w:rPr>
    </w:lvl>
    <w:lvl w:ilvl="2" w:tplc="1E784B6E">
      <w:start w:val="1"/>
      <w:numFmt w:val="bullet"/>
      <w:lvlText w:val=""/>
      <w:lvlJc w:val="left"/>
      <w:pPr>
        <w:ind w:left="1020" w:hanging="360"/>
      </w:pPr>
      <w:rPr>
        <w:rFonts w:ascii="Symbol" w:hAnsi="Symbol"/>
      </w:rPr>
    </w:lvl>
    <w:lvl w:ilvl="3" w:tplc="47C4A326">
      <w:start w:val="1"/>
      <w:numFmt w:val="bullet"/>
      <w:lvlText w:val=""/>
      <w:lvlJc w:val="left"/>
      <w:pPr>
        <w:ind w:left="1020" w:hanging="360"/>
      </w:pPr>
      <w:rPr>
        <w:rFonts w:ascii="Symbol" w:hAnsi="Symbol"/>
      </w:rPr>
    </w:lvl>
    <w:lvl w:ilvl="4" w:tplc="89644BEE">
      <w:start w:val="1"/>
      <w:numFmt w:val="bullet"/>
      <w:lvlText w:val=""/>
      <w:lvlJc w:val="left"/>
      <w:pPr>
        <w:ind w:left="1020" w:hanging="360"/>
      </w:pPr>
      <w:rPr>
        <w:rFonts w:ascii="Symbol" w:hAnsi="Symbol"/>
      </w:rPr>
    </w:lvl>
    <w:lvl w:ilvl="5" w:tplc="4784F6FA">
      <w:start w:val="1"/>
      <w:numFmt w:val="bullet"/>
      <w:lvlText w:val=""/>
      <w:lvlJc w:val="left"/>
      <w:pPr>
        <w:ind w:left="1020" w:hanging="360"/>
      </w:pPr>
      <w:rPr>
        <w:rFonts w:ascii="Symbol" w:hAnsi="Symbol"/>
      </w:rPr>
    </w:lvl>
    <w:lvl w:ilvl="6" w:tplc="8E76DB1C">
      <w:start w:val="1"/>
      <w:numFmt w:val="bullet"/>
      <w:lvlText w:val=""/>
      <w:lvlJc w:val="left"/>
      <w:pPr>
        <w:ind w:left="1020" w:hanging="360"/>
      </w:pPr>
      <w:rPr>
        <w:rFonts w:ascii="Symbol" w:hAnsi="Symbol"/>
      </w:rPr>
    </w:lvl>
    <w:lvl w:ilvl="7" w:tplc="69C628B0">
      <w:start w:val="1"/>
      <w:numFmt w:val="bullet"/>
      <w:lvlText w:val=""/>
      <w:lvlJc w:val="left"/>
      <w:pPr>
        <w:ind w:left="1020" w:hanging="360"/>
      </w:pPr>
      <w:rPr>
        <w:rFonts w:ascii="Symbol" w:hAnsi="Symbol"/>
      </w:rPr>
    </w:lvl>
    <w:lvl w:ilvl="8" w:tplc="5AF25E40">
      <w:start w:val="1"/>
      <w:numFmt w:val="bullet"/>
      <w:lvlText w:val=""/>
      <w:lvlJc w:val="left"/>
      <w:pPr>
        <w:ind w:left="1020" w:hanging="360"/>
      </w:pPr>
      <w:rPr>
        <w:rFonts w:ascii="Symbol" w:hAnsi="Symbol"/>
      </w:rPr>
    </w:lvl>
  </w:abstractNum>
  <w:abstractNum w:abstractNumId="4" w15:restartNumberingAfterBreak="0">
    <w:nsid w:val="275C3BF8"/>
    <w:multiLevelType w:val="hybridMultilevel"/>
    <w:tmpl w:val="D55A9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C162FF"/>
    <w:multiLevelType w:val="hybridMultilevel"/>
    <w:tmpl w:val="47A64060"/>
    <w:lvl w:ilvl="0" w:tplc="FB522334">
      <w:start w:val="1"/>
      <w:numFmt w:val="bullet"/>
      <w:lvlText w:val=""/>
      <w:lvlJc w:val="left"/>
      <w:pPr>
        <w:ind w:left="1020" w:hanging="360"/>
      </w:pPr>
      <w:rPr>
        <w:rFonts w:ascii="Symbol" w:hAnsi="Symbol"/>
      </w:rPr>
    </w:lvl>
    <w:lvl w:ilvl="1" w:tplc="DFF20112">
      <w:start w:val="1"/>
      <w:numFmt w:val="bullet"/>
      <w:lvlText w:val=""/>
      <w:lvlJc w:val="left"/>
      <w:pPr>
        <w:ind w:left="1020" w:hanging="360"/>
      </w:pPr>
      <w:rPr>
        <w:rFonts w:ascii="Symbol" w:hAnsi="Symbol"/>
      </w:rPr>
    </w:lvl>
    <w:lvl w:ilvl="2" w:tplc="647E95BA">
      <w:start w:val="1"/>
      <w:numFmt w:val="bullet"/>
      <w:lvlText w:val=""/>
      <w:lvlJc w:val="left"/>
      <w:pPr>
        <w:ind w:left="1020" w:hanging="360"/>
      </w:pPr>
      <w:rPr>
        <w:rFonts w:ascii="Symbol" w:hAnsi="Symbol"/>
      </w:rPr>
    </w:lvl>
    <w:lvl w:ilvl="3" w:tplc="6D968DE8">
      <w:start w:val="1"/>
      <w:numFmt w:val="bullet"/>
      <w:lvlText w:val=""/>
      <w:lvlJc w:val="left"/>
      <w:pPr>
        <w:ind w:left="1020" w:hanging="360"/>
      </w:pPr>
      <w:rPr>
        <w:rFonts w:ascii="Symbol" w:hAnsi="Symbol"/>
      </w:rPr>
    </w:lvl>
    <w:lvl w:ilvl="4" w:tplc="891EE9B4">
      <w:start w:val="1"/>
      <w:numFmt w:val="bullet"/>
      <w:lvlText w:val=""/>
      <w:lvlJc w:val="left"/>
      <w:pPr>
        <w:ind w:left="1020" w:hanging="360"/>
      </w:pPr>
      <w:rPr>
        <w:rFonts w:ascii="Symbol" w:hAnsi="Symbol"/>
      </w:rPr>
    </w:lvl>
    <w:lvl w:ilvl="5" w:tplc="2350F840">
      <w:start w:val="1"/>
      <w:numFmt w:val="bullet"/>
      <w:lvlText w:val=""/>
      <w:lvlJc w:val="left"/>
      <w:pPr>
        <w:ind w:left="1020" w:hanging="360"/>
      </w:pPr>
      <w:rPr>
        <w:rFonts w:ascii="Symbol" w:hAnsi="Symbol"/>
      </w:rPr>
    </w:lvl>
    <w:lvl w:ilvl="6" w:tplc="56DA3962">
      <w:start w:val="1"/>
      <w:numFmt w:val="bullet"/>
      <w:lvlText w:val=""/>
      <w:lvlJc w:val="left"/>
      <w:pPr>
        <w:ind w:left="1020" w:hanging="360"/>
      </w:pPr>
      <w:rPr>
        <w:rFonts w:ascii="Symbol" w:hAnsi="Symbol"/>
      </w:rPr>
    </w:lvl>
    <w:lvl w:ilvl="7" w:tplc="CBE0F282">
      <w:start w:val="1"/>
      <w:numFmt w:val="bullet"/>
      <w:lvlText w:val=""/>
      <w:lvlJc w:val="left"/>
      <w:pPr>
        <w:ind w:left="1020" w:hanging="360"/>
      </w:pPr>
      <w:rPr>
        <w:rFonts w:ascii="Symbol" w:hAnsi="Symbol"/>
      </w:rPr>
    </w:lvl>
    <w:lvl w:ilvl="8" w:tplc="063226F8">
      <w:start w:val="1"/>
      <w:numFmt w:val="bullet"/>
      <w:lvlText w:val=""/>
      <w:lvlJc w:val="left"/>
      <w:pPr>
        <w:ind w:left="1020" w:hanging="360"/>
      </w:pPr>
      <w:rPr>
        <w:rFonts w:ascii="Symbol" w:hAnsi="Symbol"/>
      </w:rPr>
    </w:lvl>
  </w:abstractNum>
  <w:abstractNum w:abstractNumId="6" w15:restartNumberingAfterBreak="0">
    <w:nsid w:val="59B11E31"/>
    <w:multiLevelType w:val="hybridMultilevel"/>
    <w:tmpl w:val="ED3E00FA"/>
    <w:lvl w:ilvl="0" w:tplc="DB24A752">
      <w:start w:val="1"/>
      <w:numFmt w:val="bullet"/>
      <w:lvlText w:val=""/>
      <w:lvlJc w:val="left"/>
      <w:pPr>
        <w:ind w:left="1020" w:hanging="360"/>
      </w:pPr>
      <w:rPr>
        <w:rFonts w:ascii="Symbol" w:hAnsi="Symbol"/>
      </w:rPr>
    </w:lvl>
    <w:lvl w:ilvl="1" w:tplc="A2843F88">
      <w:start w:val="1"/>
      <w:numFmt w:val="bullet"/>
      <w:lvlText w:val=""/>
      <w:lvlJc w:val="left"/>
      <w:pPr>
        <w:ind w:left="1020" w:hanging="360"/>
      </w:pPr>
      <w:rPr>
        <w:rFonts w:ascii="Symbol" w:hAnsi="Symbol"/>
      </w:rPr>
    </w:lvl>
    <w:lvl w:ilvl="2" w:tplc="CE7C2A86">
      <w:start w:val="1"/>
      <w:numFmt w:val="bullet"/>
      <w:lvlText w:val=""/>
      <w:lvlJc w:val="left"/>
      <w:pPr>
        <w:ind w:left="1020" w:hanging="360"/>
      </w:pPr>
      <w:rPr>
        <w:rFonts w:ascii="Symbol" w:hAnsi="Symbol"/>
      </w:rPr>
    </w:lvl>
    <w:lvl w:ilvl="3" w:tplc="CA104760">
      <w:start w:val="1"/>
      <w:numFmt w:val="bullet"/>
      <w:lvlText w:val=""/>
      <w:lvlJc w:val="left"/>
      <w:pPr>
        <w:ind w:left="1020" w:hanging="360"/>
      </w:pPr>
      <w:rPr>
        <w:rFonts w:ascii="Symbol" w:hAnsi="Symbol"/>
      </w:rPr>
    </w:lvl>
    <w:lvl w:ilvl="4" w:tplc="B0ECBB4A">
      <w:start w:val="1"/>
      <w:numFmt w:val="bullet"/>
      <w:lvlText w:val=""/>
      <w:lvlJc w:val="left"/>
      <w:pPr>
        <w:ind w:left="1020" w:hanging="360"/>
      </w:pPr>
      <w:rPr>
        <w:rFonts w:ascii="Symbol" w:hAnsi="Symbol"/>
      </w:rPr>
    </w:lvl>
    <w:lvl w:ilvl="5" w:tplc="B1EE77F6">
      <w:start w:val="1"/>
      <w:numFmt w:val="bullet"/>
      <w:lvlText w:val=""/>
      <w:lvlJc w:val="left"/>
      <w:pPr>
        <w:ind w:left="1020" w:hanging="360"/>
      </w:pPr>
      <w:rPr>
        <w:rFonts w:ascii="Symbol" w:hAnsi="Symbol"/>
      </w:rPr>
    </w:lvl>
    <w:lvl w:ilvl="6" w:tplc="8EBEAFA4">
      <w:start w:val="1"/>
      <w:numFmt w:val="bullet"/>
      <w:lvlText w:val=""/>
      <w:lvlJc w:val="left"/>
      <w:pPr>
        <w:ind w:left="1020" w:hanging="360"/>
      </w:pPr>
      <w:rPr>
        <w:rFonts w:ascii="Symbol" w:hAnsi="Symbol"/>
      </w:rPr>
    </w:lvl>
    <w:lvl w:ilvl="7" w:tplc="CC28C476">
      <w:start w:val="1"/>
      <w:numFmt w:val="bullet"/>
      <w:lvlText w:val=""/>
      <w:lvlJc w:val="left"/>
      <w:pPr>
        <w:ind w:left="1020" w:hanging="360"/>
      </w:pPr>
      <w:rPr>
        <w:rFonts w:ascii="Symbol" w:hAnsi="Symbol"/>
      </w:rPr>
    </w:lvl>
    <w:lvl w:ilvl="8" w:tplc="8E5834E8">
      <w:start w:val="1"/>
      <w:numFmt w:val="bullet"/>
      <w:lvlText w:val=""/>
      <w:lvlJc w:val="left"/>
      <w:pPr>
        <w:ind w:left="1020" w:hanging="360"/>
      </w:pPr>
      <w:rPr>
        <w:rFonts w:ascii="Symbol" w:hAnsi="Symbol"/>
      </w:rPr>
    </w:lvl>
  </w:abstractNum>
  <w:num w:numId="1" w16cid:durableId="1546335257">
    <w:abstractNumId w:val="4"/>
  </w:num>
  <w:num w:numId="2" w16cid:durableId="1531189097">
    <w:abstractNumId w:val="1"/>
  </w:num>
  <w:num w:numId="3" w16cid:durableId="697200703">
    <w:abstractNumId w:val="3"/>
  </w:num>
  <w:num w:numId="4" w16cid:durableId="743726433">
    <w:abstractNumId w:val="2"/>
  </w:num>
  <w:num w:numId="5" w16cid:durableId="1720006882">
    <w:abstractNumId w:val="0"/>
  </w:num>
  <w:num w:numId="6" w16cid:durableId="742991001">
    <w:abstractNumId w:val="5"/>
  </w:num>
  <w:num w:numId="7" w16cid:durableId="273376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F42"/>
    <w:rsid w:val="0001014C"/>
    <w:rsid w:val="000A3F96"/>
    <w:rsid w:val="00103998"/>
    <w:rsid w:val="0014405B"/>
    <w:rsid w:val="001A043B"/>
    <w:rsid w:val="001B7910"/>
    <w:rsid w:val="001E4E10"/>
    <w:rsid w:val="001F1220"/>
    <w:rsid w:val="001F4E98"/>
    <w:rsid w:val="002127C0"/>
    <w:rsid w:val="00233970"/>
    <w:rsid w:val="00241C61"/>
    <w:rsid w:val="00263E8A"/>
    <w:rsid w:val="0026466D"/>
    <w:rsid w:val="00280050"/>
    <w:rsid w:val="002A6C27"/>
    <w:rsid w:val="002D11D7"/>
    <w:rsid w:val="003A3CDF"/>
    <w:rsid w:val="003F3F09"/>
    <w:rsid w:val="00400A1B"/>
    <w:rsid w:val="004252A6"/>
    <w:rsid w:val="00447FAA"/>
    <w:rsid w:val="004D3488"/>
    <w:rsid w:val="004E05A1"/>
    <w:rsid w:val="00531936"/>
    <w:rsid w:val="00557152"/>
    <w:rsid w:val="00561C85"/>
    <w:rsid w:val="0056514B"/>
    <w:rsid w:val="00574499"/>
    <w:rsid w:val="005A22C6"/>
    <w:rsid w:val="005A4985"/>
    <w:rsid w:val="005D12F8"/>
    <w:rsid w:val="00607C0B"/>
    <w:rsid w:val="00644641"/>
    <w:rsid w:val="00646704"/>
    <w:rsid w:val="00684F42"/>
    <w:rsid w:val="006855D9"/>
    <w:rsid w:val="006937DE"/>
    <w:rsid w:val="006A111D"/>
    <w:rsid w:val="006A7458"/>
    <w:rsid w:val="006E034C"/>
    <w:rsid w:val="006E5EE6"/>
    <w:rsid w:val="00833DD3"/>
    <w:rsid w:val="0084288D"/>
    <w:rsid w:val="008809F3"/>
    <w:rsid w:val="0091048F"/>
    <w:rsid w:val="00986312"/>
    <w:rsid w:val="009A1DC0"/>
    <w:rsid w:val="009C5573"/>
    <w:rsid w:val="009F31B9"/>
    <w:rsid w:val="009F7B6F"/>
    <w:rsid w:val="00A2561F"/>
    <w:rsid w:val="00A813EA"/>
    <w:rsid w:val="00AB3F66"/>
    <w:rsid w:val="00AF2EEE"/>
    <w:rsid w:val="00B010A7"/>
    <w:rsid w:val="00B01689"/>
    <w:rsid w:val="00B1562D"/>
    <w:rsid w:val="00B63D80"/>
    <w:rsid w:val="00B72873"/>
    <w:rsid w:val="00B92CA6"/>
    <w:rsid w:val="00BB1B33"/>
    <w:rsid w:val="00BC365F"/>
    <w:rsid w:val="00BC7604"/>
    <w:rsid w:val="00BE2C93"/>
    <w:rsid w:val="00C001B2"/>
    <w:rsid w:val="00C63214"/>
    <w:rsid w:val="00C96BFA"/>
    <w:rsid w:val="00CA0234"/>
    <w:rsid w:val="00CC389E"/>
    <w:rsid w:val="00CD07B2"/>
    <w:rsid w:val="00CF1F65"/>
    <w:rsid w:val="00D74BD2"/>
    <w:rsid w:val="00D82195"/>
    <w:rsid w:val="00DF2288"/>
    <w:rsid w:val="00E1258E"/>
    <w:rsid w:val="00E553D9"/>
    <w:rsid w:val="00EA0F78"/>
    <w:rsid w:val="00EE2A93"/>
    <w:rsid w:val="00F00398"/>
    <w:rsid w:val="00F14D6C"/>
    <w:rsid w:val="00F354F1"/>
    <w:rsid w:val="00F56885"/>
    <w:rsid w:val="00FF74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B2527"/>
  <w15:chartTrackingRefBased/>
  <w15:docId w15:val="{1F16AE46-F7BC-469C-BC39-F2752E40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F42"/>
    <w:pPr>
      <w:spacing w:before="180" w:after="120" w:line="240" w:lineRule="auto"/>
    </w:pPr>
    <w:rPr>
      <w:rFonts w:eastAsia="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F42"/>
    <w:pPr>
      <w:ind w:left="720"/>
      <w:contextualSpacing/>
    </w:pPr>
  </w:style>
  <w:style w:type="paragraph" w:styleId="Footer">
    <w:name w:val="footer"/>
    <w:basedOn w:val="Normal"/>
    <w:link w:val="FooterChar"/>
    <w:uiPriority w:val="99"/>
    <w:unhideWhenUsed/>
    <w:rsid w:val="00684F42"/>
    <w:pPr>
      <w:tabs>
        <w:tab w:val="center" w:pos="4513"/>
        <w:tab w:val="right" w:pos="9026"/>
      </w:tabs>
      <w:spacing w:before="0" w:after="0"/>
    </w:pPr>
  </w:style>
  <w:style w:type="character" w:customStyle="1" w:styleId="FooterChar">
    <w:name w:val="Footer Char"/>
    <w:basedOn w:val="DefaultParagraphFont"/>
    <w:link w:val="Footer"/>
    <w:uiPriority w:val="99"/>
    <w:rsid w:val="00684F42"/>
    <w:rPr>
      <w:rFonts w:eastAsia="Times New Roman"/>
      <w:kern w:val="0"/>
      <w:lang w:val="en-US"/>
      <w14:ligatures w14:val="none"/>
    </w:rPr>
  </w:style>
  <w:style w:type="character" w:styleId="CommentReference">
    <w:name w:val="annotation reference"/>
    <w:basedOn w:val="DefaultParagraphFont"/>
    <w:uiPriority w:val="99"/>
    <w:semiHidden/>
    <w:unhideWhenUsed/>
    <w:rsid w:val="00C63214"/>
    <w:rPr>
      <w:sz w:val="16"/>
      <w:szCs w:val="16"/>
    </w:rPr>
  </w:style>
  <w:style w:type="paragraph" w:styleId="CommentText">
    <w:name w:val="annotation text"/>
    <w:basedOn w:val="Normal"/>
    <w:link w:val="CommentTextChar"/>
    <w:uiPriority w:val="99"/>
    <w:unhideWhenUsed/>
    <w:rsid w:val="00C63214"/>
    <w:rPr>
      <w:sz w:val="20"/>
      <w:szCs w:val="20"/>
    </w:rPr>
  </w:style>
  <w:style w:type="character" w:customStyle="1" w:styleId="CommentTextChar">
    <w:name w:val="Comment Text Char"/>
    <w:basedOn w:val="DefaultParagraphFont"/>
    <w:link w:val="CommentText"/>
    <w:uiPriority w:val="99"/>
    <w:rsid w:val="00C63214"/>
    <w:rPr>
      <w:rFonts w:eastAsia="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63214"/>
    <w:rPr>
      <w:b/>
      <w:bCs/>
    </w:rPr>
  </w:style>
  <w:style w:type="character" w:customStyle="1" w:styleId="CommentSubjectChar">
    <w:name w:val="Comment Subject Char"/>
    <w:basedOn w:val="CommentTextChar"/>
    <w:link w:val="CommentSubject"/>
    <w:uiPriority w:val="99"/>
    <w:semiHidden/>
    <w:rsid w:val="00C63214"/>
    <w:rPr>
      <w:rFonts w:eastAsia="Times New Roman"/>
      <w:b/>
      <w:bCs/>
      <w:kern w:val="0"/>
      <w:sz w:val="20"/>
      <w:szCs w:val="20"/>
      <w:lang w:val="en-US"/>
      <w14:ligatures w14:val="none"/>
    </w:rPr>
  </w:style>
  <w:style w:type="character" w:styleId="Hyperlink">
    <w:name w:val="Hyperlink"/>
    <w:basedOn w:val="DefaultParagraphFont"/>
    <w:uiPriority w:val="99"/>
    <w:unhideWhenUsed/>
    <w:rsid w:val="00C001B2"/>
    <w:rPr>
      <w:color w:val="0563C1" w:themeColor="hyperlink"/>
      <w:u w:val="single"/>
    </w:rPr>
  </w:style>
  <w:style w:type="character" w:styleId="UnresolvedMention">
    <w:name w:val="Unresolved Mention"/>
    <w:basedOn w:val="DefaultParagraphFont"/>
    <w:uiPriority w:val="99"/>
    <w:semiHidden/>
    <w:unhideWhenUsed/>
    <w:rsid w:val="00C001B2"/>
    <w:rPr>
      <w:color w:val="605E5C"/>
      <w:shd w:val="clear" w:color="auto" w:fill="E1DFDD"/>
    </w:rPr>
  </w:style>
  <w:style w:type="paragraph" w:styleId="Revision">
    <w:name w:val="Revision"/>
    <w:hidden/>
    <w:uiPriority w:val="99"/>
    <w:semiHidden/>
    <w:rsid w:val="00A2561F"/>
    <w:pPr>
      <w:spacing w:after="0" w:line="240" w:lineRule="auto"/>
    </w:pPr>
    <w:rPr>
      <w:rFonts w:eastAsia="Times New Roman"/>
      <w:kern w:val="0"/>
      <w:lang w:val="en-US"/>
      <w14:ligatures w14:val="none"/>
    </w:rPr>
  </w:style>
  <w:style w:type="character" w:customStyle="1" w:styleId="ui-provider">
    <w:name w:val="ui-provider"/>
    <w:basedOn w:val="DefaultParagraphFont"/>
    <w:rsid w:val="001E4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3487</Words>
  <Characters>19882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Bridget</dc:creator>
  <cp:keywords/>
  <dc:description/>
  <cp:lastModifiedBy>WHITE, Bridget</cp:lastModifiedBy>
  <cp:revision>4</cp:revision>
  <dcterms:created xsi:type="dcterms:W3CDTF">2024-09-20T06:48:00Z</dcterms:created>
  <dcterms:modified xsi:type="dcterms:W3CDTF">2024-09-20T06:56:00Z</dcterms:modified>
</cp:coreProperties>
</file>