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6C683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35C98CD" wp14:editId="22B2A24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A5294" w14:textId="77777777" w:rsidR="00715914" w:rsidRPr="00E500D4" w:rsidRDefault="00715914" w:rsidP="00715914">
      <w:pPr>
        <w:rPr>
          <w:sz w:val="19"/>
        </w:rPr>
      </w:pPr>
    </w:p>
    <w:p w14:paraId="760EBA13" w14:textId="3FF96197" w:rsidR="00554826" w:rsidRPr="00E500D4" w:rsidRDefault="00BD231F" w:rsidP="00554826">
      <w:pPr>
        <w:pStyle w:val="ShortT"/>
      </w:pPr>
      <w:r>
        <w:t>Therapeutic Goods</w:t>
      </w:r>
      <w:r w:rsidR="00554826" w:rsidRPr="00DA182D">
        <w:t xml:space="preserve"> </w:t>
      </w:r>
      <w:r w:rsidR="00554826">
        <w:t>(</w:t>
      </w:r>
      <w:r>
        <w:t>Standard for Export Only Medicine</w:t>
      </w:r>
      <w:r w:rsidR="00254482">
        <w:t>s</w:t>
      </w:r>
      <w:r w:rsidR="00554826">
        <w:t>)</w:t>
      </w:r>
      <w:r>
        <w:t xml:space="preserve"> (TGO 11</w:t>
      </w:r>
      <w:r w:rsidR="00254482">
        <w:t>4</w:t>
      </w:r>
      <w:r>
        <w:t>)</w:t>
      </w:r>
      <w:r w:rsidR="00345949">
        <w:t xml:space="preserve"> Order</w:t>
      </w:r>
      <w:r w:rsidR="00554826">
        <w:t xml:space="preserve"> </w:t>
      </w:r>
      <w:r w:rsidR="00245830">
        <w:t>2024</w:t>
      </w:r>
    </w:p>
    <w:p w14:paraId="2E056197" w14:textId="482279A0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457C91">
        <w:rPr>
          <w:szCs w:val="22"/>
        </w:rPr>
        <w:t>Nicholas Henderson</w:t>
      </w:r>
      <w:r w:rsidRPr="00DA182D">
        <w:rPr>
          <w:szCs w:val="22"/>
        </w:rPr>
        <w:t xml:space="preserve">, </w:t>
      </w:r>
      <w:r w:rsidR="00245830">
        <w:rPr>
          <w:szCs w:val="22"/>
        </w:rPr>
        <w:t xml:space="preserve">as delegate </w:t>
      </w:r>
      <w:r w:rsidR="00254482">
        <w:rPr>
          <w:szCs w:val="22"/>
        </w:rPr>
        <w:t xml:space="preserve">of </w:t>
      </w:r>
      <w:r w:rsidR="00245830">
        <w:rPr>
          <w:szCs w:val="22"/>
        </w:rPr>
        <w:t>the Minister for Health</w:t>
      </w:r>
      <w:r w:rsidR="00254482">
        <w:rPr>
          <w:szCs w:val="22"/>
        </w:rPr>
        <w:t xml:space="preserve"> and Aged Care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D02577">
        <w:rPr>
          <w:szCs w:val="22"/>
        </w:rPr>
        <w:t>o</w:t>
      </w:r>
      <w:r w:rsidR="00904B1F">
        <w:rPr>
          <w:szCs w:val="22"/>
        </w:rPr>
        <w:t>rder.</w:t>
      </w:r>
    </w:p>
    <w:p w14:paraId="1F7DACE8" w14:textId="0DDCAE30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CB6BC9">
        <w:rPr>
          <w:szCs w:val="22"/>
        </w:rPr>
        <w:t xml:space="preserve"> </w:t>
      </w:r>
      <w:r w:rsidR="00E64A17">
        <w:rPr>
          <w:szCs w:val="22"/>
        </w:rPr>
        <w:t>25</w:t>
      </w:r>
      <w:r w:rsidR="00CB6BC9">
        <w:rPr>
          <w:szCs w:val="22"/>
        </w:rPr>
        <w:t xml:space="preserve"> </w:t>
      </w:r>
      <w:r w:rsidR="00254482">
        <w:rPr>
          <w:szCs w:val="22"/>
        </w:rPr>
        <w:t>September 2024</w:t>
      </w:r>
    </w:p>
    <w:p w14:paraId="335F0BF6" w14:textId="1A7B1998" w:rsidR="00554826" w:rsidRDefault="00457C91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Nicholas Henderson</w:t>
      </w:r>
    </w:p>
    <w:p w14:paraId="605AA160" w14:textId="1B21A32E" w:rsidR="00554826" w:rsidRDefault="00457C91" w:rsidP="00554826">
      <w:pPr>
        <w:pStyle w:val="SignCoverPageEnd"/>
        <w:ind w:right="91"/>
        <w:rPr>
          <w:sz w:val="22"/>
        </w:rPr>
      </w:pPr>
      <w:r>
        <w:rPr>
          <w:sz w:val="22"/>
        </w:rPr>
        <w:t>First Assistant</w:t>
      </w:r>
      <w:r w:rsidR="00904B1F">
        <w:rPr>
          <w:sz w:val="22"/>
        </w:rPr>
        <w:t xml:space="preserve"> Secretary</w:t>
      </w:r>
      <w:r>
        <w:rPr>
          <w:sz w:val="22"/>
        </w:rPr>
        <w:br/>
        <w:t>Medicines Regulation Division</w:t>
      </w:r>
      <w:r w:rsidR="00904B1F">
        <w:rPr>
          <w:sz w:val="22"/>
        </w:rPr>
        <w:br/>
        <w:t>Health Products Regulation Group</w:t>
      </w:r>
      <w:r w:rsidR="00904B1F">
        <w:rPr>
          <w:sz w:val="22"/>
        </w:rPr>
        <w:br/>
        <w:t>Department of Health and Aged Care</w:t>
      </w:r>
    </w:p>
    <w:p w14:paraId="54BE2076" w14:textId="286EDD36" w:rsidR="00904B1F" w:rsidRPr="00904B1F" w:rsidRDefault="00904B1F" w:rsidP="00904B1F">
      <w:pPr>
        <w:rPr>
          <w:lang w:eastAsia="en-AU"/>
        </w:rPr>
      </w:pPr>
    </w:p>
    <w:p w14:paraId="0FEDC4E2" w14:textId="77777777" w:rsidR="00554826" w:rsidRDefault="00554826" w:rsidP="00554826"/>
    <w:p w14:paraId="2FA6BFE2" w14:textId="77777777" w:rsidR="00554826" w:rsidRPr="00ED79B6" w:rsidRDefault="00554826" w:rsidP="00554826"/>
    <w:p w14:paraId="2B1C1A45" w14:textId="77777777" w:rsidR="00F6696E" w:rsidRDefault="00F6696E" w:rsidP="00F6696E"/>
    <w:p w14:paraId="70288262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D1EE814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4CA90E7" w14:textId="298181E0" w:rsidR="00C3705C" w:rsidRDefault="00B418C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C3705C">
        <w:rPr>
          <w:noProof/>
        </w:rPr>
        <w:t>1  Name</w:t>
      </w:r>
      <w:r w:rsidR="00C3705C">
        <w:rPr>
          <w:noProof/>
        </w:rPr>
        <w:tab/>
      </w:r>
      <w:r w:rsidR="00C3705C">
        <w:rPr>
          <w:noProof/>
        </w:rPr>
        <w:fldChar w:fldCharType="begin"/>
      </w:r>
      <w:r w:rsidR="00C3705C">
        <w:rPr>
          <w:noProof/>
        </w:rPr>
        <w:instrText xml:space="preserve"> PAGEREF _Toc177739239 \h </w:instrText>
      </w:r>
      <w:r w:rsidR="00C3705C">
        <w:rPr>
          <w:noProof/>
        </w:rPr>
      </w:r>
      <w:r w:rsidR="00C3705C">
        <w:rPr>
          <w:noProof/>
        </w:rPr>
        <w:fldChar w:fldCharType="separate"/>
      </w:r>
      <w:r w:rsidR="00C3705C">
        <w:rPr>
          <w:noProof/>
        </w:rPr>
        <w:t>1</w:t>
      </w:r>
      <w:r w:rsidR="00C3705C">
        <w:rPr>
          <w:noProof/>
        </w:rPr>
        <w:fldChar w:fldCharType="end"/>
      </w:r>
    </w:p>
    <w:p w14:paraId="0A25B554" w14:textId="52E5F82A" w:rsidR="00C3705C" w:rsidRDefault="00C3705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_Toc177739240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3AA0EF6" w14:textId="5DF23701" w:rsidR="00C3705C" w:rsidRDefault="00C3705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_Toc177739241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E0CDD18" w14:textId="640F3E27" w:rsidR="00C3705C" w:rsidRDefault="00C3705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_Toc177739242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E8AA083" w14:textId="1EC6D676" w:rsidR="00C3705C" w:rsidRDefault="00C3705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5  Standard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_Toc177739243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73C7D4F" w14:textId="1F01A2EF" w:rsidR="00C3705C" w:rsidRDefault="00C3705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6 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_Toc177739244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6A0109E" w14:textId="794A600C" w:rsidR="00C3705C" w:rsidRDefault="00C3705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7 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_Toc177739245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5AA8431" w14:textId="0AFEAB37" w:rsidR="00C3705C" w:rsidRDefault="00C3705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8  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_Toc177739246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99E4350" w14:textId="2BDB3477" w:rsidR="00C3705C" w:rsidRDefault="00C3705C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_Toc177739247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789231D" w14:textId="2783688A" w:rsidR="00C3705C" w:rsidRDefault="00C3705C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Therapeutic Goods Order No. 70C – Standards for Export Only Medicine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_Toc177739248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C504378" w14:textId="2314DB37" w:rsidR="00F6696E" w:rsidRDefault="00B418CB" w:rsidP="00F6696E">
      <w:pPr>
        <w:outlineLvl w:val="0"/>
      </w:pPr>
      <w:r>
        <w:fldChar w:fldCharType="end"/>
      </w:r>
    </w:p>
    <w:p w14:paraId="7E39094A" w14:textId="77777777" w:rsidR="00F6696E" w:rsidRPr="00A802BC" w:rsidRDefault="00F6696E" w:rsidP="00F6696E">
      <w:pPr>
        <w:outlineLvl w:val="0"/>
        <w:rPr>
          <w:sz w:val="20"/>
        </w:rPr>
      </w:pPr>
    </w:p>
    <w:p w14:paraId="6D264CA6" w14:textId="77777777" w:rsidR="00F6696E" w:rsidRDefault="00F6696E" w:rsidP="00F6696E">
      <w:pPr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1576461" w14:textId="77777777" w:rsidR="00554826" w:rsidRPr="00554826" w:rsidRDefault="00554826" w:rsidP="00554826">
      <w:pPr>
        <w:pStyle w:val="ActHead5"/>
      </w:pPr>
      <w:bookmarkStart w:id="0" w:name="_Toc177739239"/>
      <w:proofErr w:type="gramStart"/>
      <w:r w:rsidRPr="00554826">
        <w:lastRenderedPageBreak/>
        <w:t>1  Name</w:t>
      </w:r>
      <w:bookmarkEnd w:id="0"/>
      <w:proofErr w:type="gramEnd"/>
    </w:p>
    <w:p w14:paraId="40B2C29E" w14:textId="2EF804EC" w:rsidR="00554826" w:rsidRDefault="00554826" w:rsidP="00554826">
      <w:pPr>
        <w:pStyle w:val="subsection"/>
      </w:pPr>
      <w:r w:rsidRPr="009C2562">
        <w:tab/>
      </w:r>
      <w:r w:rsidR="008F720A" w:rsidRPr="003E2B17">
        <w:t>(1)</w:t>
      </w:r>
      <w:r w:rsidR="008F720A" w:rsidRPr="003E2B17">
        <w:tab/>
      </w:r>
      <w:r w:rsidRPr="009C2562"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904B1F">
        <w:rPr>
          <w:i/>
        </w:rPr>
        <w:t>Therapeutic Goods (Standard for Export Only Medicine</w:t>
      </w:r>
      <w:r w:rsidR="00254482">
        <w:rPr>
          <w:i/>
        </w:rPr>
        <w:t>s</w:t>
      </w:r>
      <w:r w:rsidR="00904B1F">
        <w:rPr>
          <w:i/>
        </w:rPr>
        <w:t>) (TGO 11</w:t>
      </w:r>
      <w:r w:rsidR="00254482">
        <w:rPr>
          <w:i/>
        </w:rPr>
        <w:t>4</w:t>
      </w:r>
      <w:r w:rsidR="00904B1F">
        <w:rPr>
          <w:i/>
        </w:rPr>
        <w:t>)</w:t>
      </w:r>
      <w:r w:rsidR="00345949">
        <w:rPr>
          <w:i/>
        </w:rPr>
        <w:t xml:space="preserve"> Order</w:t>
      </w:r>
      <w:r w:rsidR="00904B1F">
        <w:rPr>
          <w:i/>
        </w:rPr>
        <w:t xml:space="preserve"> 2024</w:t>
      </w:r>
      <w:r w:rsidRPr="009C2562">
        <w:t>.</w:t>
      </w:r>
    </w:p>
    <w:p w14:paraId="3D9BF621" w14:textId="7BE1A893" w:rsidR="008F720A" w:rsidRDefault="008F720A" w:rsidP="00554826">
      <w:pPr>
        <w:pStyle w:val="subsection"/>
      </w:pPr>
      <w:r w:rsidRPr="009C2562">
        <w:tab/>
      </w:r>
      <w:r w:rsidRPr="003E2B17">
        <w:t>(</w:t>
      </w:r>
      <w:r>
        <w:t>2</w:t>
      </w:r>
      <w:r w:rsidRPr="003E2B17">
        <w:t>)</w:t>
      </w:r>
      <w:r w:rsidRPr="003E2B17">
        <w:tab/>
      </w:r>
      <w:r w:rsidRPr="009C2562">
        <w:t>T</w:t>
      </w:r>
      <w:r>
        <w:t>his instrument may also be cited as TGO 11</w:t>
      </w:r>
      <w:r w:rsidR="00254482">
        <w:t>4</w:t>
      </w:r>
      <w:r>
        <w:t>.</w:t>
      </w:r>
    </w:p>
    <w:p w14:paraId="24E0F819" w14:textId="77777777" w:rsidR="00554826" w:rsidRPr="00554826" w:rsidRDefault="00554826" w:rsidP="00554826">
      <w:pPr>
        <w:pStyle w:val="ActHead5"/>
      </w:pPr>
      <w:bookmarkStart w:id="2" w:name="_Toc177739240"/>
      <w:proofErr w:type="gramStart"/>
      <w:r w:rsidRPr="00554826">
        <w:t>2  Commencement</w:t>
      </w:r>
      <w:bookmarkEnd w:id="2"/>
      <w:proofErr w:type="gramEnd"/>
    </w:p>
    <w:p w14:paraId="1E55C673" w14:textId="1F53A45B" w:rsidR="00A91F8A" w:rsidRPr="003E2B17" w:rsidRDefault="009A0E7F" w:rsidP="00A91F8A">
      <w:pPr>
        <w:pStyle w:val="subsection"/>
      </w:pPr>
      <w:r>
        <w:tab/>
      </w:r>
      <w:r w:rsidR="00A91F8A" w:rsidRPr="003E2B17">
        <w:t>(1)</w:t>
      </w:r>
      <w:r w:rsidR="00A91F8A" w:rsidRPr="003E2B1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BAAF095" w14:textId="77777777" w:rsidR="00A91F8A" w:rsidRPr="003E2B17" w:rsidRDefault="00A91F8A" w:rsidP="00A91F8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91F8A" w:rsidRPr="003E2B17" w14:paraId="6FCAF9B3" w14:textId="77777777" w:rsidTr="003653E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7DC76EB" w14:textId="77777777" w:rsidR="00A91F8A" w:rsidRPr="003E2B17" w:rsidRDefault="00A91F8A" w:rsidP="003653E0">
            <w:pPr>
              <w:pStyle w:val="TableHeading"/>
            </w:pPr>
            <w:r w:rsidRPr="003E2B17">
              <w:t>Commencement information</w:t>
            </w:r>
          </w:p>
        </w:tc>
      </w:tr>
      <w:tr w:rsidR="00A91F8A" w:rsidRPr="003E2B17" w14:paraId="1982EF3A" w14:textId="77777777" w:rsidTr="003653E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8DA2A2F" w14:textId="77777777" w:rsidR="00A91F8A" w:rsidRPr="003E2B17" w:rsidRDefault="00A91F8A" w:rsidP="003653E0">
            <w:pPr>
              <w:pStyle w:val="TableHeading"/>
            </w:pPr>
            <w:r w:rsidRPr="003E2B1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91251D" w14:textId="77777777" w:rsidR="00A91F8A" w:rsidRPr="003E2B17" w:rsidRDefault="00A91F8A" w:rsidP="003653E0">
            <w:pPr>
              <w:pStyle w:val="TableHeading"/>
            </w:pPr>
            <w:r w:rsidRPr="003E2B1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F49B3C9" w14:textId="77777777" w:rsidR="00A91F8A" w:rsidRPr="003E2B17" w:rsidRDefault="00A91F8A" w:rsidP="003653E0">
            <w:pPr>
              <w:pStyle w:val="TableHeading"/>
            </w:pPr>
            <w:r w:rsidRPr="003E2B17">
              <w:t>Column 3</w:t>
            </w:r>
          </w:p>
        </w:tc>
      </w:tr>
      <w:tr w:rsidR="00A91F8A" w:rsidRPr="003E2B17" w14:paraId="733DF163" w14:textId="77777777" w:rsidTr="003653E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F20494E" w14:textId="77777777" w:rsidR="00A91F8A" w:rsidRPr="003E2B17" w:rsidRDefault="00A91F8A" w:rsidP="003653E0">
            <w:pPr>
              <w:pStyle w:val="TableHeading"/>
            </w:pPr>
            <w:r w:rsidRPr="003E2B1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A908E2" w14:textId="77777777" w:rsidR="00A91F8A" w:rsidRPr="003E2B17" w:rsidRDefault="00A91F8A" w:rsidP="003653E0">
            <w:pPr>
              <w:pStyle w:val="TableHeading"/>
            </w:pPr>
            <w:r w:rsidRPr="003E2B1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C68DE3" w14:textId="77777777" w:rsidR="00A91F8A" w:rsidRPr="003E2B17" w:rsidRDefault="00A91F8A" w:rsidP="003653E0">
            <w:pPr>
              <w:pStyle w:val="TableHeading"/>
            </w:pPr>
            <w:r w:rsidRPr="003E2B17">
              <w:t>Date/Details</w:t>
            </w:r>
          </w:p>
        </w:tc>
      </w:tr>
      <w:tr w:rsidR="00A91F8A" w:rsidRPr="003E2B17" w14:paraId="783C06AA" w14:textId="77777777" w:rsidTr="003653E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A625E73" w14:textId="77777777" w:rsidR="00A91F8A" w:rsidRPr="003E2B17" w:rsidRDefault="00A91F8A" w:rsidP="003653E0">
            <w:pPr>
              <w:pStyle w:val="Tabletext"/>
              <w:rPr>
                <w:i/>
              </w:rPr>
            </w:pPr>
            <w:r w:rsidRPr="003E2B17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ACE2271" w14:textId="5DC85DEE" w:rsidR="00A91F8A" w:rsidRPr="003E2B17" w:rsidRDefault="00A91F8A" w:rsidP="003653E0">
            <w:pPr>
              <w:pStyle w:val="Tabletext"/>
            </w:pPr>
            <w:r w:rsidRPr="003E2B17">
              <w:t>3</w:t>
            </w:r>
            <w:r>
              <w:t>0</w:t>
            </w:r>
            <w:r w:rsidRPr="003E2B17">
              <w:t xml:space="preserve"> </w:t>
            </w:r>
            <w:r>
              <w:t>September</w:t>
            </w:r>
            <w:r w:rsidRPr="003E2B17">
              <w:t xml:space="preserve"> 202</w:t>
            </w:r>
            <w:r>
              <w:t>4</w:t>
            </w:r>
            <w:r w:rsidRPr="003E2B17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0C1985" w14:textId="2B5C701C" w:rsidR="00A91F8A" w:rsidRPr="003E2B17" w:rsidRDefault="00A91F8A" w:rsidP="003653E0">
            <w:pPr>
              <w:pStyle w:val="Tabletext"/>
            </w:pPr>
            <w:r>
              <w:t>30</w:t>
            </w:r>
            <w:r w:rsidRPr="003E2B17">
              <w:t xml:space="preserve"> </w:t>
            </w:r>
            <w:r>
              <w:t>September</w:t>
            </w:r>
            <w:r w:rsidRPr="003E2B17">
              <w:t xml:space="preserve"> 202</w:t>
            </w:r>
            <w:r>
              <w:t>4</w:t>
            </w:r>
          </w:p>
        </w:tc>
      </w:tr>
    </w:tbl>
    <w:p w14:paraId="31D891A2" w14:textId="77777777" w:rsidR="00A91F8A" w:rsidRPr="003E2B17" w:rsidRDefault="00A91F8A" w:rsidP="00A91F8A">
      <w:pPr>
        <w:pStyle w:val="notetext"/>
      </w:pPr>
      <w:r w:rsidRPr="003E2B17">
        <w:rPr>
          <w:snapToGrid w:val="0"/>
          <w:lang w:eastAsia="en-US"/>
        </w:rPr>
        <w:t>Note:</w:t>
      </w:r>
      <w:r w:rsidRPr="003E2B17">
        <w:rPr>
          <w:snapToGrid w:val="0"/>
          <w:lang w:eastAsia="en-US"/>
        </w:rPr>
        <w:tab/>
        <w:t>This table relates only to the provisions of this instrument</w:t>
      </w:r>
      <w:r w:rsidRPr="003E2B17">
        <w:t xml:space="preserve"> </w:t>
      </w:r>
      <w:r w:rsidRPr="003E2B17">
        <w:rPr>
          <w:snapToGrid w:val="0"/>
          <w:lang w:eastAsia="en-US"/>
        </w:rPr>
        <w:t>as originally made. It will not be amended to deal with any later amendments of this instrument.</w:t>
      </w:r>
    </w:p>
    <w:p w14:paraId="5C57C0A7" w14:textId="77777777" w:rsidR="00A91F8A" w:rsidRPr="003E2B17" w:rsidRDefault="00A91F8A" w:rsidP="00A91F8A">
      <w:pPr>
        <w:pStyle w:val="subsection"/>
      </w:pPr>
      <w:r w:rsidRPr="003E2B17">
        <w:tab/>
        <w:t>(2)</w:t>
      </w:r>
      <w:r w:rsidRPr="003E2B1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85D181B" w14:textId="77777777" w:rsidR="00554826" w:rsidRPr="00554826" w:rsidRDefault="00554826" w:rsidP="00554826">
      <w:pPr>
        <w:pStyle w:val="ActHead5"/>
      </w:pPr>
      <w:bookmarkStart w:id="3" w:name="_Toc177739241"/>
      <w:proofErr w:type="gramStart"/>
      <w:r w:rsidRPr="00554826">
        <w:t>3  Authority</w:t>
      </w:r>
      <w:bookmarkEnd w:id="3"/>
      <w:proofErr w:type="gramEnd"/>
    </w:p>
    <w:p w14:paraId="2672B10E" w14:textId="122D697E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904B1F">
        <w:t xml:space="preserve">section 10 of the </w:t>
      </w:r>
      <w:r w:rsidR="00904B1F">
        <w:rPr>
          <w:i/>
          <w:iCs/>
        </w:rPr>
        <w:t>Therapeutic Goods Act 1989</w:t>
      </w:r>
      <w:r w:rsidRPr="009C2562">
        <w:t>.</w:t>
      </w:r>
    </w:p>
    <w:p w14:paraId="18FF39A2" w14:textId="77777777" w:rsidR="00554826" w:rsidRPr="00554826" w:rsidRDefault="00554826" w:rsidP="00554826">
      <w:pPr>
        <w:pStyle w:val="ActHead5"/>
      </w:pPr>
      <w:bookmarkStart w:id="4" w:name="_Toc177739242"/>
      <w:proofErr w:type="gramStart"/>
      <w:r w:rsidRPr="00554826">
        <w:t>4  Definitions</w:t>
      </w:r>
      <w:bookmarkEnd w:id="4"/>
      <w:proofErr w:type="gramEnd"/>
    </w:p>
    <w:p w14:paraId="1252C3A3" w14:textId="56318CF0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</w:r>
      <w:proofErr w:type="gramStart"/>
      <w:r w:rsidRPr="009C2562">
        <w:t>A number of</w:t>
      </w:r>
      <w:proofErr w:type="gramEnd"/>
      <w:r w:rsidRPr="009C2562">
        <w:t xml:space="preserve"> expressions used in this instrument are defined in </w:t>
      </w:r>
      <w:r w:rsidR="00291E95">
        <w:t>subsection 3(1)</w:t>
      </w:r>
      <w:r>
        <w:t xml:space="preserve"> of the Act</w:t>
      </w:r>
      <w:r w:rsidRPr="009C2562">
        <w:t>, including the following:</w:t>
      </w:r>
    </w:p>
    <w:p w14:paraId="3BDD0A79" w14:textId="22A5A8CB" w:rsidR="00DE0547" w:rsidRPr="009C2562" w:rsidRDefault="00A32F67" w:rsidP="0094204A">
      <w:pPr>
        <w:pStyle w:val="notepara"/>
      </w:pPr>
      <w:r>
        <w:t>(a)</w:t>
      </w:r>
      <w:r>
        <w:tab/>
      </w:r>
      <w:r w:rsidR="00DE0547">
        <w:t xml:space="preserve">British </w:t>
      </w:r>
      <w:proofErr w:type="gramStart"/>
      <w:r w:rsidR="00DE0547">
        <w:t>Pharmacopoeia</w:t>
      </w:r>
      <w:r w:rsidR="00554826" w:rsidRPr="009C2562">
        <w:t>;</w:t>
      </w:r>
      <w:proofErr w:type="gramEnd"/>
    </w:p>
    <w:p w14:paraId="10A0C0F8" w14:textId="21B66BC0" w:rsidR="00DE0547" w:rsidRDefault="00554826" w:rsidP="00554826">
      <w:pPr>
        <w:pStyle w:val="notepara"/>
      </w:pPr>
      <w:r w:rsidRPr="009C2562">
        <w:t>(b)</w:t>
      </w:r>
      <w:r w:rsidRPr="009C2562">
        <w:tab/>
      </w:r>
      <w:r w:rsidR="00DE0547">
        <w:t xml:space="preserve">European </w:t>
      </w:r>
      <w:proofErr w:type="gramStart"/>
      <w:r w:rsidR="00DE0547">
        <w:t>Pharmacopoeia</w:t>
      </w:r>
      <w:r w:rsidR="00D02577">
        <w:t>;</w:t>
      </w:r>
      <w:proofErr w:type="gramEnd"/>
    </w:p>
    <w:p w14:paraId="72518D49" w14:textId="13213D0B" w:rsidR="00DE0547" w:rsidRDefault="00DE0547" w:rsidP="00554826">
      <w:pPr>
        <w:pStyle w:val="notepara"/>
      </w:pPr>
      <w:r>
        <w:t>(c)</w:t>
      </w:r>
      <w:r>
        <w:tab/>
        <w:t xml:space="preserve">export only </w:t>
      </w:r>
      <w:proofErr w:type="gramStart"/>
      <w:r>
        <w:t>medicine;</w:t>
      </w:r>
      <w:proofErr w:type="gramEnd"/>
    </w:p>
    <w:p w14:paraId="4A25F47D" w14:textId="42A4F6FB" w:rsidR="004733D6" w:rsidRDefault="004733D6" w:rsidP="00554826">
      <w:pPr>
        <w:pStyle w:val="notepara"/>
      </w:pPr>
      <w:r>
        <w:t>(d)</w:t>
      </w:r>
      <w:r>
        <w:tab/>
      </w:r>
      <w:proofErr w:type="gramStart"/>
      <w:r>
        <w:t>standard</w:t>
      </w:r>
      <w:r w:rsidR="00D02577">
        <w:t>;</w:t>
      </w:r>
      <w:proofErr w:type="gramEnd"/>
    </w:p>
    <w:p w14:paraId="74675232" w14:textId="7C7BEA28" w:rsidR="00554826" w:rsidRPr="009C2562" w:rsidRDefault="00DE0547" w:rsidP="00554826">
      <w:pPr>
        <w:pStyle w:val="notepara"/>
      </w:pPr>
      <w:r>
        <w:t>(</w:t>
      </w:r>
      <w:r w:rsidR="004733D6">
        <w:t>e</w:t>
      </w:r>
      <w:r>
        <w:t>)</w:t>
      </w:r>
      <w:r>
        <w:tab/>
        <w:t>United States Pharmacopoeia</w:t>
      </w:r>
      <w:r w:rsidR="0038693C">
        <w:t>-National Formulary</w:t>
      </w:r>
      <w:r w:rsidR="00554826">
        <w:t>.</w:t>
      </w:r>
    </w:p>
    <w:p w14:paraId="3AC92F31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53243B59" w14:textId="0941A0D0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291E95">
        <w:rPr>
          <w:i/>
        </w:rPr>
        <w:t>Therapeutic Goods Act 1989</w:t>
      </w:r>
      <w:r>
        <w:t>.</w:t>
      </w:r>
    </w:p>
    <w:p w14:paraId="643C3B32" w14:textId="42E4EDC0" w:rsidR="00554826" w:rsidRDefault="0038693C" w:rsidP="00554826">
      <w:pPr>
        <w:pStyle w:val="Definition"/>
      </w:pPr>
      <w:r>
        <w:rPr>
          <w:b/>
          <w:i/>
        </w:rPr>
        <w:t>Japanese Pharmacopoeia</w:t>
      </w:r>
      <w:r w:rsidR="00554826">
        <w:rPr>
          <w:b/>
          <w:i/>
        </w:rPr>
        <w:t xml:space="preserve"> </w:t>
      </w:r>
      <w:r w:rsidR="00554826" w:rsidRPr="009C2562">
        <w:t>means</w:t>
      </w:r>
      <w:r>
        <w:t xml:space="preserve"> the English edition of the publication of that name, </w:t>
      </w:r>
      <w:r w:rsidRPr="0094204A">
        <w:t>published by the Japanese Pharmaceuticals</w:t>
      </w:r>
      <w:r>
        <w:t xml:space="preserve"> and Medical Devices Agency or any replacement body</w:t>
      </w:r>
      <w:r w:rsidR="00B15FF5">
        <w:t>, as in force or existing from time to time</w:t>
      </w:r>
      <w:r>
        <w:t>.</w:t>
      </w:r>
    </w:p>
    <w:p w14:paraId="75B7D9A8" w14:textId="5E7ACE34" w:rsidR="00554826" w:rsidRPr="00554826" w:rsidRDefault="00554826" w:rsidP="00554826">
      <w:pPr>
        <w:pStyle w:val="ActHead5"/>
      </w:pPr>
      <w:bookmarkStart w:id="5" w:name="_Toc454781205"/>
      <w:bookmarkStart w:id="6" w:name="_Toc177739243"/>
      <w:proofErr w:type="gramStart"/>
      <w:r w:rsidRPr="00554826">
        <w:t>5  S</w:t>
      </w:r>
      <w:bookmarkEnd w:id="5"/>
      <w:r w:rsidR="00104029">
        <w:t>tandard</w:t>
      </w:r>
      <w:bookmarkEnd w:id="6"/>
      <w:proofErr w:type="gramEnd"/>
    </w:p>
    <w:p w14:paraId="292602D6" w14:textId="148AFC7B" w:rsidR="00554826" w:rsidRDefault="00554826" w:rsidP="00554826">
      <w:pPr>
        <w:pStyle w:val="subsection"/>
      </w:pPr>
      <w:r w:rsidRPr="006065DA">
        <w:tab/>
      </w:r>
      <w:r w:rsidRPr="006065DA">
        <w:tab/>
      </w:r>
      <w:r w:rsidR="00104029">
        <w:t>The matters specified in this instrument constitute a standard for</w:t>
      </w:r>
      <w:r w:rsidR="00DE0547">
        <w:t xml:space="preserve"> export only medicines</w:t>
      </w:r>
      <w:r w:rsidRPr="006065DA">
        <w:t>.</w:t>
      </w:r>
    </w:p>
    <w:p w14:paraId="4E13052F" w14:textId="6158099A" w:rsidR="00DE0547" w:rsidRPr="00554826" w:rsidRDefault="00A91F8A" w:rsidP="00DE0547">
      <w:pPr>
        <w:pStyle w:val="ActHead5"/>
      </w:pPr>
      <w:bookmarkStart w:id="7" w:name="_Toc177739244"/>
      <w:proofErr w:type="gramStart"/>
      <w:r>
        <w:lastRenderedPageBreak/>
        <w:t>6</w:t>
      </w:r>
      <w:r w:rsidR="00DE0547" w:rsidRPr="00554826">
        <w:t xml:space="preserve">  </w:t>
      </w:r>
      <w:r w:rsidR="00DE0547">
        <w:t>Application</w:t>
      </w:r>
      <w:bookmarkEnd w:id="7"/>
      <w:proofErr w:type="gramEnd"/>
    </w:p>
    <w:p w14:paraId="6FB29524" w14:textId="4C687E73" w:rsidR="00DE0547" w:rsidRDefault="00112810" w:rsidP="00112810">
      <w:pPr>
        <w:pStyle w:val="subsection"/>
      </w:pPr>
      <w:r w:rsidRPr="00112810">
        <w:tab/>
        <w:t>(</w:t>
      </w:r>
      <w:r>
        <w:t>1)</w:t>
      </w:r>
      <w:r>
        <w:tab/>
      </w:r>
      <w:r w:rsidR="00DE0547">
        <w:t>This instrument applies to export only medicines</w:t>
      </w:r>
      <w:r w:rsidR="00DE0547" w:rsidRPr="006065DA">
        <w:t>.</w:t>
      </w:r>
    </w:p>
    <w:p w14:paraId="12D44ED0" w14:textId="62BF53B7" w:rsidR="00112810" w:rsidRDefault="00112810" w:rsidP="00112810">
      <w:pPr>
        <w:pStyle w:val="subsection"/>
      </w:pPr>
      <w:r>
        <w:tab/>
        <w:t>(2)</w:t>
      </w:r>
      <w:r>
        <w:tab/>
        <w:t xml:space="preserve">For the avoidance of doubt, </w:t>
      </w:r>
      <w:r w:rsidR="006C3F55">
        <w:t xml:space="preserve">and subject to section 13 of the Act, </w:t>
      </w:r>
      <w:r>
        <w:t>this instrument applies in addition to any other instrument</w:t>
      </w:r>
      <w:r w:rsidR="00457C91">
        <w:t>s</w:t>
      </w:r>
      <w:r>
        <w:t xml:space="preserve"> </w:t>
      </w:r>
      <w:r w:rsidR="006C3F55">
        <w:t xml:space="preserve">made </w:t>
      </w:r>
      <w:r>
        <w:t>under section 10 of the Act that appl</w:t>
      </w:r>
      <w:r w:rsidR="00457C91">
        <w:t>y</w:t>
      </w:r>
      <w:r>
        <w:t xml:space="preserve"> to export only medicines.</w:t>
      </w:r>
    </w:p>
    <w:p w14:paraId="56000244" w14:textId="77777777" w:rsidR="003A0FD5" w:rsidRPr="00554826" w:rsidRDefault="003A0FD5" w:rsidP="003A0FD5">
      <w:pPr>
        <w:pStyle w:val="ActHead5"/>
      </w:pPr>
      <w:bookmarkStart w:id="8" w:name="_Toc177739245"/>
      <w:proofErr w:type="gramStart"/>
      <w:r>
        <w:t>7</w:t>
      </w:r>
      <w:r w:rsidRPr="00554826">
        <w:t xml:space="preserve">  </w:t>
      </w:r>
      <w:r>
        <w:t>Requirements</w:t>
      </w:r>
      <w:bookmarkEnd w:id="8"/>
      <w:proofErr w:type="gramEnd"/>
    </w:p>
    <w:p w14:paraId="6FF74960" w14:textId="77777777" w:rsidR="00457C91" w:rsidRPr="00457C91" w:rsidRDefault="003A0FD5" w:rsidP="003A0FD5">
      <w:pPr>
        <w:pStyle w:val="subsection"/>
      </w:pPr>
      <w:r w:rsidRPr="0038693C">
        <w:tab/>
      </w:r>
      <w:r w:rsidR="00E76C9E">
        <w:tab/>
      </w:r>
      <w:r w:rsidR="00457C91" w:rsidRPr="00457C91">
        <w:t>An export only medicine must:</w:t>
      </w:r>
    </w:p>
    <w:p w14:paraId="5801A0B8" w14:textId="73726A17" w:rsidR="00457C91" w:rsidRPr="00457C91" w:rsidRDefault="00457C91" w:rsidP="002A75CF">
      <w:pPr>
        <w:pStyle w:val="paragraph"/>
      </w:pPr>
      <w:r w:rsidRPr="00457C91">
        <w:tab/>
        <w:t>(a)</w:t>
      </w:r>
      <w:r w:rsidRPr="00457C91">
        <w:tab/>
        <w:t>comply with the requirements specified in the applicable individual, specific and general monographs</w:t>
      </w:r>
      <w:r w:rsidR="002A75CF">
        <w:t xml:space="preserve"> in at least one of the following </w:t>
      </w:r>
      <w:proofErr w:type="gramStart"/>
      <w:r w:rsidR="002A75CF">
        <w:t>pharmacopoeia</w:t>
      </w:r>
      <w:proofErr w:type="gramEnd"/>
      <w:r w:rsidRPr="00457C91">
        <w:t>, as interpreted in accordance with the General Notices section of the relevant pharmacopoeia</w:t>
      </w:r>
      <w:r w:rsidR="002A75CF">
        <w:t>:</w:t>
      </w:r>
    </w:p>
    <w:p w14:paraId="517FA81B" w14:textId="2A72F250" w:rsidR="00457C91" w:rsidRPr="00457C91" w:rsidRDefault="00457C91" w:rsidP="002A75CF">
      <w:pPr>
        <w:pStyle w:val="paragraphsub"/>
      </w:pPr>
      <w:r w:rsidRPr="002A75CF">
        <w:tab/>
      </w:r>
      <w:r w:rsidRPr="00457C91">
        <w:t>(</w:t>
      </w:r>
      <w:proofErr w:type="spellStart"/>
      <w:r w:rsidRPr="00457C91">
        <w:t>i</w:t>
      </w:r>
      <w:proofErr w:type="spellEnd"/>
      <w:r w:rsidRPr="00457C91">
        <w:t>)</w:t>
      </w:r>
      <w:r w:rsidRPr="00457C91">
        <w:tab/>
        <w:t xml:space="preserve">the British </w:t>
      </w:r>
      <w:proofErr w:type="gramStart"/>
      <w:r w:rsidRPr="00457C91">
        <w:t>Pharmacopoeia;</w:t>
      </w:r>
      <w:proofErr w:type="gramEnd"/>
    </w:p>
    <w:p w14:paraId="2960F7EA" w14:textId="068BD0E2" w:rsidR="00457C91" w:rsidRPr="00457C91" w:rsidRDefault="00457C91" w:rsidP="002A75CF">
      <w:pPr>
        <w:pStyle w:val="paragraphsub"/>
      </w:pPr>
      <w:r w:rsidRPr="002A75CF">
        <w:tab/>
      </w:r>
      <w:r w:rsidRPr="00457C91">
        <w:t>(ii)</w:t>
      </w:r>
      <w:r w:rsidRPr="00457C91">
        <w:tab/>
        <w:t xml:space="preserve">the European </w:t>
      </w:r>
      <w:proofErr w:type="gramStart"/>
      <w:r w:rsidRPr="00457C91">
        <w:t>Pharmacopoeia;</w:t>
      </w:r>
      <w:proofErr w:type="gramEnd"/>
    </w:p>
    <w:p w14:paraId="08139943" w14:textId="4C952A27" w:rsidR="00457C91" w:rsidRPr="00457C91" w:rsidRDefault="00457C91" w:rsidP="002A75CF">
      <w:pPr>
        <w:pStyle w:val="paragraphsub"/>
      </w:pPr>
      <w:r w:rsidRPr="002A75CF">
        <w:tab/>
      </w:r>
      <w:r w:rsidRPr="00457C91">
        <w:t>(iii)</w:t>
      </w:r>
      <w:r w:rsidRPr="00457C91">
        <w:tab/>
        <w:t xml:space="preserve">the Japanese </w:t>
      </w:r>
      <w:proofErr w:type="gramStart"/>
      <w:r w:rsidRPr="00457C91">
        <w:t>Pharmacopoeia;</w:t>
      </w:r>
      <w:proofErr w:type="gramEnd"/>
    </w:p>
    <w:p w14:paraId="7D4FC0C5" w14:textId="208E2879" w:rsidR="00457C91" w:rsidRPr="00457C91" w:rsidRDefault="00457C91" w:rsidP="002A75CF">
      <w:pPr>
        <w:pStyle w:val="paragraphsub"/>
      </w:pPr>
      <w:r w:rsidRPr="002A75CF">
        <w:tab/>
      </w:r>
      <w:r w:rsidRPr="00457C91">
        <w:t>(iv)</w:t>
      </w:r>
      <w:r w:rsidRPr="00457C91">
        <w:tab/>
        <w:t>the United States Pharmacopoeia-National Formulary; and</w:t>
      </w:r>
    </w:p>
    <w:p w14:paraId="0C9F4B06" w14:textId="5C67A0F7" w:rsidR="00C95670" w:rsidRDefault="00457C91" w:rsidP="002A75CF">
      <w:pPr>
        <w:pStyle w:val="paragraph"/>
      </w:pPr>
      <w:r w:rsidRPr="00457C91">
        <w:tab/>
        <w:t>(b)</w:t>
      </w:r>
      <w:r w:rsidRPr="00457C91">
        <w:tab/>
        <w:t>where the</w:t>
      </w:r>
      <w:r w:rsidRPr="002A75CF">
        <w:t xml:space="preserve"> export only medicine is not regulated as a medicine in the country to which it is to be exported</w:t>
      </w:r>
      <w:r w:rsidRPr="00457C91">
        <w:t>—meet the regulatory requirements of the country to which it is to be exported.</w:t>
      </w:r>
    </w:p>
    <w:p w14:paraId="40277D4C" w14:textId="7C848B46" w:rsidR="00104029" w:rsidRPr="00554826" w:rsidRDefault="00370B93" w:rsidP="00104029">
      <w:pPr>
        <w:pStyle w:val="ActHead5"/>
      </w:pPr>
      <w:bookmarkStart w:id="9" w:name="_Toc177739246"/>
      <w:proofErr w:type="gramStart"/>
      <w:r>
        <w:t>8</w:t>
      </w:r>
      <w:r w:rsidR="00104029" w:rsidRPr="00554826">
        <w:t xml:space="preserve">  </w:t>
      </w:r>
      <w:r w:rsidR="00540505">
        <w:t>Repeal</w:t>
      </w:r>
      <w:r w:rsidR="0005103E">
        <w:t>s</w:t>
      </w:r>
      <w:bookmarkEnd w:id="9"/>
      <w:proofErr w:type="gramEnd"/>
    </w:p>
    <w:p w14:paraId="3FE5F132" w14:textId="2687268D" w:rsidR="00104029" w:rsidRPr="00104029" w:rsidRDefault="00104029" w:rsidP="00104029">
      <w:pPr>
        <w:pStyle w:val="subsection"/>
      </w:pPr>
      <w:r w:rsidRPr="006065DA">
        <w:tab/>
      </w:r>
      <w:r w:rsidRPr="006065DA">
        <w:tab/>
        <w:t>Each instrument that is specified in Schedule</w:t>
      </w:r>
      <w:r w:rsidR="00E76C9E">
        <w:t xml:space="preserve"> </w:t>
      </w:r>
      <w:r w:rsidR="00457C91">
        <w:t>1</w:t>
      </w:r>
      <w:r w:rsidRPr="006065DA">
        <w:t xml:space="preserve"> is repealed as set out in the applicable items in </w:t>
      </w:r>
      <w:r w:rsidR="00226357">
        <w:t>that</w:t>
      </w:r>
      <w:r w:rsidR="00226357" w:rsidRPr="006065DA">
        <w:t xml:space="preserve"> </w:t>
      </w:r>
      <w:r w:rsidRPr="006065DA">
        <w:t>Schedule</w:t>
      </w:r>
      <w:r w:rsidR="00226357">
        <w:t>.</w:t>
      </w:r>
    </w:p>
    <w:p w14:paraId="61E214DF" w14:textId="77777777" w:rsidR="00943A7D" w:rsidRDefault="00943A7D">
      <w:pPr>
        <w:spacing w:line="240" w:lineRule="auto"/>
      </w:pPr>
      <w:r>
        <w:br w:type="page"/>
      </w:r>
    </w:p>
    <w:p w14:paraId="3C0D90E0" w14:textId="6F85DB38" w:rsidR="00457C91" w:rsidRPr="00457C91" w:rsidRDefault="004E1307" w:rsidP="00457C91">
      <w:pPr>
        <w:pStyle w:val="ActHead6"/>
      </w:pPr>
      <w:bookmarkStart w:id="10" w:name="_Toc177739247"/>
      <w:r>
        <w:lastRenderedPageBreak/>
        <w:t xml:space="preserve">Schedule </w:t>
      </w:r>
      <w:r w:rsidR="00457C91">
        <w:t>1</w:t>
      </w:r>
      <w:r w:rsidR="00D6537E" w:rsidRPr="004E1307">
        <w:t>—Repeals</w:t>
      </w:r>
      <w:bookmarkEnd w:id="10"/>
    </w:p>
    <w:p w14:paraId="46FA3A24" w14:textId="6B5231F1" w:rsidR="00D6537E" w:rsidRPr="00D6537E" w:rsidRDefault="00291E95" w:rsidP="00D6537E">
      <w:pPr>
        <w:pStyle w:val="ActHead9"/>
      </w:pPr>
      <w:bookmarkStart w:id="11" w:name="_Toc177739248"/>
      <w:r>
        <w:t>Therapeutic Goods Order No. 70C – Standards for Export Only Medicine</w:t>
      </w:r>
      <w:bookmarkEnd w:id="11"/>
    </w:p>
    <w:p w14:paraId="08954B3A" w14:textId="77777777"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14:paraId="093C24B3" w14:textId="17ABC8A5" w:rsidR="00554826" w:rsidRPr="00554826" w:rsidRDefault="00D6537E" w:rsidP="0094204A">
      <w:pPr>
        <w:pStyle w:val="Item"/>
      </w:pPr>
      <w:r>
        <w:t>Repeal the instrument</w:t>
      </w:r>
      <w:r w:rsidR="00226357">
        <w:t>.</w:t>
      </w:r>
    </w:p>
    <w:p w14:paraId="61952FEE" w14:textId="5F375885" w:rsidR="00A75FE9" w:rsidRDefault="00A75FE9" w:rsidP="00554826">
      <w:pPr>
        <w:pStyle w:val="BodyPara"/>
        <w:numPr>
          <w:ilvl w:val="0"/>
          <w:numId w:val="0"/>
        </w:numPr>
        <w:ind w:left="720"/>
      </w:pPr>
    </w:p>
    <w:sectPr w:rsidR="00A75FE9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D671D" w14:textId="77777777" w:rsidR="005E11D7" w:rsidRDefault="005E11D7" w:rsidP="00715914">
      <w:pPr>
        <w:spacing w:line="240" w:lineRule="auto"/>
      </w:pPr>
      <w:r>
        <w:separator/>
      </w:r>
    </w:p>
  </w:endnote>
  <w:endnote w:type="continuationSeparator" w:id="0">
    <w:p w14:paraId="7B16C751" w14:textId="77777777" w:rsidR="005E11D7" w:rsidRDefault="005E11D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0847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37392F6F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C75CA4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39D90C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D231F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E485030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77C4A73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DD81AE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4E4F8288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877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73E1ACE0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87B59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4F57BF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D231F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E6233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DE5995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3B1FA8C" w14:textId="77777777" w:rsidR="0072147A" w:rsidRDefault="0072147A" w:rsidP="00A369E3">
          <w:pPr>
            <w:rPr>
              <w:sz w:val="18"/>
            </w:rPr>
          </w:pPr>
        </w:p>
      </w:tc>
    </w:tr>
  </w:tbl>
  <w:p w14:paraId="7C3949B7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9114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76759217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F08C0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38A143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8F7484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77267A8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30E20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121ADC5B" w14:textId="77777777" w:rsidTr="00A87A58">
      <w:tc>
        <w:tcPr>
          <w:tcW w:w="365" w:type="pct"/>
        </w:tcPr>
        <w:p w14:paraId="7EA188E2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60D4D34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D231F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7577B1E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0F85AA94" w14:textId="77777777" w:rsidTr="00A87A58">
      <w:tc>
        <w:tcPr>
          <w:tcW w:w="5000" w:type="pct"/>
          <w:gridSpan w:val="3"/>
        </w:tcPr>
        <w:p w14:paraId="2B845A37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15EDA4E5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D9825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0C35B07C" w14:textId="77777777" w:rsidTr="00A87A58">
      <w:tc>
        <w:tcPr>
          <w:tcW w:w="947" w:type="pct"/>
        </w:tcPr>
        <w:p w14:paraId="2802C046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C970896" w14:textId="5EC70260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B6BC9">
            <w:rPr>
              <w:i/>
              <w:noProof/>
              <w:sz w:val="18"/>
            </w:rPr>
            <w:t>Therapeutic Goods (Standard for Export Only Medicines) (TGO 114) Order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9311D17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22062CB5" w14:textId="77777777" w:rsidTr="00A87A58">
      <w:tc>
        <w:tcPr>
          <w:tcW w:w="5000" w:type="pct"/>
          <w:gridSpan w:val="3"/>
        </w:tcPr>
        <w:p w14:paraId="02C03036" w14:textId="77777777" w:rsidR="00F6696E" w:rsidRDefault="00F6696E" w:rsidP="000850AC">
          <w:pPr>
            <w:rPr>
              <w:sz w:val="18"/>
            </w:rPr>
          </w:pPr>
        </w:p>
      </w:tc>
    </w:tr>
  </w:tbl>
  <w:p w14:paraId="61EDF239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C4EB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5C0D88EB" w14:textId="77777777" w:rsidTr="00A87A58">
      <w:tc>
        <w:tcPr>
          <w:tcW w:w="365" w:type="pct"/>
        </w:tcPr>
        <w:p w14:paraId="05654C55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A2E0E01" w14:textId="1A18FD72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B6BC9">
            <w:rPr>
              <w:i/>
              <w:noProof/>
              <w:sz w:val="18"/>
            </w:rPr>
            <w:t>Therapeutic Goods (Standard for Export Only Medicines) (TGO 114) Order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3DC0DE2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599A63FA" w14:textId="77777777" w:rsidTr="00A87A58">
      <w:tc>
        <w:tcPr>
          <w:tcW w:w="5000" w:type="pct"/>
          <w:gridSpan w:val="3"/>
        </w:tcPr>
        <w:p w14:paraId="0E4A75EB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12FA6316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F98C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1B84C403" w14:textId="77777777" w:rsidTr="00A87A58">
      <w:tc>
        <w:tcPr>
          <w:tcW w:w="947" w:type="pct"/>
        </w:tcPr>
        <w:p w14:paraId="7072541C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D11B7DF" w14:textId="5867D712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B6BC9">
            <w:rPr>
              <w:i/>
              <w:noProof/>
              <w:sz w:val="18"/>
            </w:rPr>
            <w:t>Therapeutic Goods (Standard for Export Only Medicines) (TGO 114) Order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BC7D009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3E4E608C" w14:textId="77777777" w:rsidTr="00A87A58">
      <w:tc>
        <w:tcPr>
          <w:tcW w:w="5000" w:type="pct"/>
          <w:gridSpan w:val="3"/>
        </w:tcPr>
        <w:p w14:paraId="4F60594B" w14:textId="77777777" w:rsidR="008C2EAC" w:rsidRDefault="008C2EAC" w:rsidP="000850AC">
          <w:pPr>
            <w:rPr>
              <w:sz w:val="18"/>
            </w:rPr>
          </w:pPr>
        </w:p>
      </w:tc>
    </w:tr>
  </w:tbl>
  <w:p w14:paraId="5FDAAD94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F5168" w14:textId="77777777" w:rsidR="005E11D7" w:rsidRDefault="005E11D7" w:rsidP="00715914">
      <w:pPr>
        <w:spacing w:line="240" w:lineRule="auto"/>
      </w:pPr>
      <w:r>
        <w:separator/>
      </w:r>
    </w:p>
  </w:footnote>
  <w:footnote w:type="continuationSeparator" w:id="0">
    <w:p w14:paraId="1C4C8D3E" w14:textId="77777777" w:rsidR="005E11D7" w:rsidRDefault="005E11D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5A298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E2073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184A8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D07E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746F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55E6" w14:textId="77777777" w:rsidR="004E1307" w:rsidRDefault="004E1307" w:rsidP="00715914">
    <w:pPr>
      <w:rPr>
        <w:sz w:val="20"/>
      </w:rPr>
    </w:pPr>
  </w:p>
  <w:p w14:paraId="06F4426F" w14:textId="77777777" w:rsidR="004E1307" w:rsidRDefault="004E1307" w:rsidP="00715914">
    <w:pPr>
      <w:rPr>
        <w:sz w:val="20"/>
      </w:rPr>
    </w:pPr>
  </w:p>
  <w:p w14:paraId="63A542B0" w14:textId="77777777" w:rsidR="004E1307" w:rsidRPr="007A1328" w:rsidRDefault="004E1307" w:rsidP="00715914">
    <w:pPr>
      <w:rPr>
        <w:sz w:val="20"/>
      </w:rPr>
    </w:pPr>
  </w:p>
  <w:p w14:paraId="55FC33C7" w14:textId="77777777" w:rsidR="004E1307" w:rsidRPr="007A1328" w:rsidRDefault="004E1307" w:rsidP="00715914">
    <w:pPr>
      <w:rPr>
        <w:b/>
        <w:sz w:val="24"/>
      </w:rPr>
    </w:pPr>
  </w:p>
  <w:p w14:paraId="475B2AF7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2B67E" w14:textId="77777777" w:rsidR="004E1307" w:rsidRPr="007A1328" w:rsidRDefault="004E1307" w:rsidP="00715914">
    <w:pPr>
      <w:jc w:val="right"/>
      <w:rPr>
        <w:sz w:val="20"/>
      </w:rPr>
    </w:pPr>
  </w:p>
  <w:p w14:paraId="506FA529" w14:textId="77777777" w:rsidR="004E1307" w:rsidRPr="007A1328" w:rsidRDefault="004E1307" w:rsidP="00715914">
    <w:pPr>
      <w:jc w:val="right"/>
      <w:rPr>
        <w:sz w:val="20"/>
      </w:rPr>
    </w:pPr>
  </w:p>
  <w:p w14:paraId="6620083C" w14:textId="77777777" w:rsidR="004E1307" w:rsidRPr="007A1328" w:rsidRDefault="004E1307" w:rsidP="00715914">
    <w:pPr>
      <w:jc w:val="right"/>
      <w:rPr>
        <w:sz w:val="20"/>
      </w:rPr>
    </w:pPr>
  </w:p>
  <w:p w14:paraId="75E8C6AD" w14:textId="77777777" w:rsidR="004E1307" w:rsidRPr="007A1328" w:rsidRDefault="004E1307" w:rsidP="00715914">
    <w:pPr>
      <w:jc w:val="right"/>
      <w:rPr>
        <w:b/>
        <w:sz w:val="24"/>
      </w:rPr>
    </w:pPr>
  </w:p>
  <w:p w14:paraId="7E1AD5BA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72DA4"/>
    <w:multiLevelType w:val="hybridMultilevel"/>
    <w:tmpl w:val="A0766674"/>
    <w:lvl w:ilvl="0" w:tplc="2CBA458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1A312D0"/>
    <w:multiLevelType w:val="hybridMultilevel"/>
    <w:tmpl w:val="1884EAC0"/>
    <w:lvl w:ilvl="0" w:tplc="81D07E0C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271E742D"/>
    <w:multiLevelType w:val="hybridMultilevel"/>
    <w:tmpl w:val="E51CF2C2"/>
    <w:lvl w:ilvl="0" w:tplc="2A3462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F5F0D"/>
    <w:multiLevelType w:val="hybridMultilevel"/>
    <w:tmpl w:val="A39633E2"/>
    <w:lvl w:ilvl="0" w:tplc="95EC02E6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305C6539"/>
    <w:multiLevelType w:val="hybridMultilevel"/>
    <w:tmpl w:val="983A84D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30846B8"/>
    <w:multiLevelType w:val="hybridMultilevel"/>
    <w:tmpl w:val="7A5CC1BC"/>
    <w:lvl w:ilvl="0" w:tplc="D646C30E">
      <w:start w:val="1"/>
      <w:numFmt w:val="decimal"/>
      <w:lvlText w:val="%1)"/>
      <w:lvlJc w:val="left"/>
      <w:pPr>
        <w:ind w:left="1020" w:hanging="360"/>
      </w:pPr>
    </w:lvl>
    <w:lvl w:ilvl="1" w:tplc="A970D8C0">
      <w:start w:val="1"/>
      <w:numFmt w:val="decimal"/>
      <w:lvlText w:val="%2)"/>
      <w:lvlJc w:val="left"/>
      <w:pPr>
        <w:ind w:left="1020" w:hanging="360"/>
      </w:pPr>
    </w:lvl>
    <w:lvl w:ilvl="2" w:tplc="FAE4BEDE">
      <w:start w:val="1"/>
      <w:numFmt w:val="decimal"/>
      <w:lvlText w:val="%3)"/>
      <w:lvlJc w:val="left"/>
      <w:pPr>
        <w:ind w:left="1020" w:hanging="360"/>
      </w:pPr>
    </w:lvl>
    <w:lvl w:ilvl="3" w:tplc="C4BA877E">
      <w:start w:val="1"/>
      <w:numFmt w:val="decimal"/>
      <w:lvlText w:val="%4)"/>
      <w:lvlJc w:val="left"/>
      <w:pPr>
        <w:ind w:left="1020" w:hanging="360"/>
      </w:pPr>
    </w:lvl>
    <w:lvl w:ilvl="4" w:tplc="4FE6945C">
      <w:start w:val="1"/>
      <w:numFmt w:val="decimal"/>
      <w:lvlText w:val="%5)"/>
      <w:lvlJc w:val="left"/>
      <w:pPr>
        <w:ind w:left="1020" w:hanging="360"/>
      </w:pPr>
    </w:lvl>
    <w:lvl w:ilvl="5" w:tplc="3990C7F0">
      <w:start w:val="1"/>
      <w:numFmt w:val="decimal"/>
      <w:lvlText w:val="%6)"/>
      <w:lvlJc w:val="left"/>
      <w:pPr>
        <w:ind w:left="1020" w:hanging="360"/>
      </w:pPr>
    </w:lvl>
    <w:lvl w:ilvl="6" w:tplc="F840675C">
      <w:start w:val="1"/>
      <w:numFmt w:val="decimal"/>
      <w:lvlText w:val="%7)"/>
      <w:lvlJc w:val="left"/>
      <w:pPr>
        <w:ind w:left="1020" w:hanging="360"/>
      </w:pPr>
    </w:lvl>
    <w:lvl w:ilvl="7" w:tplc="BFBE87C0">
      <w:start w:val="1"/>
      <w:numFmt w:val="decimal"/>
      <w:lvlText w:val="%8)"/>
      <w:lvlJc w:val="left"/>
      <w:pPr>
        <w:ind w:left="1020" w:hanging="360"/>
      </w:pPr>
    </w:lvl>
    <w:lvl w:ilvl="8" w:tplc="44FAC12E">
      <w:start w:val="1"/>
      <w:numFmt w:val="decimal"/>
      <w:lvlText w:val="%9)"/>
      <w:lvlJc w:val="left"/>
      <w:pPr>
        <w:ind w:left="1020" w:hanging="360"/>
      </w:pPr>
    </w:lvl>
  </w:abstractNum>
  <w:abstractNum w:abstractNumId="19" w15:restartNumberingAfterBreak="0">
    <w:nsid w:val="44133F5E"/>
    <w:multiLevelType w:val="hybridMultilevel"/>
    <w:tmpl w:val="97F63A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13441"/>
    <w:multiLevelType w:val="hybridMultilevel"/>
    <w:tmpl w:val="445A9D14"/>
    <w:lvl w:ilvl="0" w:tplc="C60E91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C2F5A"/>
    <w:multiLevelType w:val="hybridMultilevel"/>
    <w:tmpl w:val="983A84D4"/>
    <w:lvl w:ilvl="0" w:tplc="2A3462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748939">
    <w:abstractNumId w:val="9"/>
  </w:num>
  <w:num w:numId="2" w16cid:durableId="365839763">
    <w:abstractNumId w:val="7"/>
  </w:num>
  <w:num w:numId="3" w16cid:durableId="1582789095">
    <w:abstractNumId w:val="6"/>
  </w:num>
  <w:num w:numId="4" w16cid:durableId="983315310">
    <w:abstractNumId w:val="5"/>
  </w:num>
  <w:num w:numId="5" w16cid:durableId="1662269618">
    <w:abstractNumId w:val="4"/>
  </w:num>
  <w:num w:numId="6" w16cid:durableId="1571505375">
    <w:abstractNumId w:val="8"/>
  </w:num>
  <w:num w:numId="7" w16cid:durableId="1244947086">
    <w:abstractNumId w:val="3"/>
  </w:num>
  <w:num w:numId="8" w16cid:durableId="892548363">
    <w:abstractNumId w:val="2"/>
  </w:num>
  <w:num w:numId="9" w16cid:durableId="82262929">
    <w:abstractNumId w:val="1"/>
  </w:num>
  <w:num w:numId="10" w16cid:durableId="355693858">
    <w:abstractNumId w:val="0"/>
  </w:num>
  <w:num w:numId="11" w16cid:durableId="273557765">
    <w:abstractNumId w:val="17"/>
  </w:num>
  <w:num w:numId="12" w16cid:durableId="918099215">
    <w:abstractNumId w:val="10"/>
  </w:num>
  <w:num w:numId="13" w16cid:durableId="234823560">
    <w:abstractNumId w:val="12"/>
  </w:num>
  <w:num w:numId="14" w16cid:durableId="1385568035">
    <w:abstractNumId w:val="13"/>
  </w:num>
  <w:num w:numId="15" w16cid:durableId="327489526">
    <w:abstractNumId w:val="20"/>
  </w:num>
  <w:num w:numId="16" w16cid:durableId="118494667">
    <w:abstractNumId w:val="19"/>
  </w:num>
  <w:num w:numId="17" w16cid:durableId="1930042580">
    <w:abstractNumId w:val="21"/>
  </w:num>
  <w:num w:numId="18" w16cid:durableId="23600635">
    <w:abstractNumId w:val="16"/>
  </w:num>
  <w:num w:numId="19" w16cid:durableId="1476484248">
    <w:abstractNumId w:val="14"/>
  </w:num>
  <w:num w:numId="20" w16cid:durableId="1323199168">
    <w:abstractNumId w:val="11"/>
  </w:num>
  <w:num w:numId="21" w16cid:durableId="1164933571">
    <w:abstractNumId w:val="18"/>
  </w:num>
  <w:num w:numId="22" w16cid:durableId="5044400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1F"/>
    <w:rsid w:val="00004174"/>
    <w:rsid w:val="00004470"/>
    <w:rsid w:val="000136AF"/>
    <w:rsid w:val="000258B1"/>
    <w:rsid w:val="00040A89"/>
    <w:rsid w:val="000437C1"/>
    <w:rsid w:val="0004455A"/>
    <w:rsid w:val="0005103E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0991"/>
    <w:rsid w:val="00104029"/>
    <w:rsid w:val="0010745C"/>
    <w:rsid w:val="00112810"/>
    <w:rsid w:val="0011604C"/>
    <w:rsid w:val="00132CEB"/>
    <w:rsid w:val="0013343A"/>
    <w:rsid w:val="001339B0"/>
    <w:rsid w:val="00135963"/>
    <w:rsid w:val="00142B62"/>
    <w:rsid w:val="001441B7"/>
    <w:rsid w:val="001516CB"/>
    <w:rsid w:val="00152336"/>
    <w:rsid w:val="00157B8B"/>
    <w:rsid w:val="00166C2F"/>
    <w:rsid w:val="001809D7"/>
    <w:rsid w:val="00192618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1EBB"/>
    <w:rsid w:val="00206C4D"/>
    <w:rsid w:val="00215AF1"/>
    <w:rsid w:val="00226357"/>
    <w:rsid w:val="002321E8"/>
    <w:rsid w:val="00232984"/>
    <w:rsid w:val="0024010F"/>
    <w:rsid w:val="00240749"/>
    <w:rsid w:val="00243018"/>
    <w:rsid w:val="00245830"/>
    <w:rsid w:val="00254482"/>
    <w:rsid w:val="002564A4"/>
    <w:rsid w:val="0026736C"/>
    <w:rsid w:val="00281308"/>
    <w:rsid w:val="00284719"/>
    <w:rsid w:val="00291E95"/>
    <w:rsid w:val="00297ECB"/>
    <w:rsid w:val="002A75CF"/>
    <w:rsid w:val="002A7BCF"/>
    <w:rsid w:val="002C2307"/>
    <w:rsid w:val="002C3FD1"/>
    <w:rsid w:val="002D043A"/>
    <w:rsid w:val="002D266B"/>
    <w:rsid w:val="002D6224"/>
    <w:rsid w:val="002F0C22"/>
    <w:rsid w:val="00304F8B"/>
    <w:rsid w:val="00335BC6"/>
    <w:rsid w:val="003415D3"/>
    <w:rsid w:val="00344338"/>
    <w:rsid w:val="00344701"/>
    <w:rsid w:val="00345949"/>
    <w:rsid w:val="00352B0F"/>
    <w:rsid w:val="00360459"/>
    <w:rsid w:val="00370B93"/>
    <w:rsid w:val="0038049F"/>
    <w:rsid w:val="0038693C"/>
    <w:rsid w:val="003A0FD5"/>
    <w:rsid w:val="003C6231"/>
    <w:rsid w:val="003D0BFE"/>
    <w:rsid w:val="003D5700"/>
    <w:rsid w:val="003E341B"/>
    <w:rsid w:val="003E4D00"/>
    <w:rsid w:val="004002B2"/>
    <w:rsid w:val="004116CD"/>
    <w:rsid w:val="00417EB9"/>
    <w:rsid w:val="00424CA9"/>
    <w:rsid w:val="004255B2"/>
    <w:rsid w:val="004276DF"/>
    <w:rsid w:val="00431E9B"/>
    <w:rsid w:val="004379E3"/>
    <w:rsid w:val="0044015E"/>
    <w:rsid w:val="0044291A"/>
    <w:rsid w:val="00457C91"/>
    <w:rsid w:val="00467661"/>
    <w:rsid w:val="00472DBE"/>
    <w:rsid w:val="004733D6"/>
    <w:rsid w:val="00474A19"/>
    <w:rsid w:val="00477830"/>
    <w:rsid w:val="00487764"/>
    <w:rsid w:val="00496F97"/>
    <w:rsid w:val="004A70AE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40505"/>
    <w:rsid w:val="00551E13"/>
    <w:rsid w:val="00554826"/>
    <w:rsid w:val="00562877"/>
    <w:rsid w:val="00584811"/>
    <w:rsid w:val="00584BEF"/>
    <w:rsid w:val="00585784"/>
    <w:rsid w:val="00593AA6"/>
    <w:rsid w:val="00594161"/>
    <w:rsid w:val="00594749"/>
    <w:rsid w:val="005A17F3"/>
    <w:rsid w:val="005A65D5"/>
    <w:rsid w:val="005B4067"/>
    <w:rsid w:val="005C3F41"/>
    <w:rsid w:val="005C61E7"/>
    <w:rsid w:val="005D1D92"/>
    <w:rsid w:val="005D2D09"/>
    <w:rsid w:val="005E11D7"/>
    <w:rsid w:val="005E4ACD"/>
    <w:rsid w:val="00600219"/>
    <w:rsid w:val="00601CF1"/>
    <w:rsid w:val="00604F2A"/>
    <w:rsid w:val="006133FF"/>
    <w:rsid w:val="00620076"/>
    <w:rsid w:val="00627E0A"/>
    <w:rsid w:val="0065488B"/>
    <w:rsid w:val="00670EA1"/>
    <w:rsid w:val="00672C0D"/>
    <w:rsid w:val="00677CC2"/>
    <w:rsid w:val="00680748"/>
    <w:rsid w:val="0068744B"/>
    <w:rsid w:val="006905DE"/>
    <w:rsid w:val="0069207B"/>
    <w:rsid w:val="006A154F"/>
    <w:rsid w:val="006A437B"/>
    <w:rsid w:val="006B5789"/>
    <w:rsid w:val="006C30C5"/>
    <w:rsid w:val="006C3F55"/>
    <w:rsid w:val="006C7F8C"/>
    <w:rsid w:val="006E2E1C"/>
    <w:rsid w:val="006E6246"/>
    <w:rsid w:val="006E69C2"/>
    <w:rsid w:val="006E6DCC"/>
    <w:rsid w:val="006F1982"/>
    <w:rsid w:val="006F318F"/>
    <w:rsid w:val="0070017E"/>
    <w:rsid w:val="00700B2C"/>
    <w:rsid w:val="007050A2"/>
    <w:rsid w:val="007077DD"/>
    <w:rsid w:val="007100C9"/>
    <w:rsid w:val="00713084"/>
    <w:rsid w:val="00714F20"/>
    <w:rsid w:val="0071590F"/>
    <w:rsid w:val="00715914"/>
    <w:rsid w:val="0072147A"/>
    <w:rsid w:val="00723791"/>
    <w:rsid w:val="00731E00"/>
    <w:rsid w:val="007438C3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C5AC7"/>
    <w:rsid w:val="007D7911"/>
    <w:rsid w:val="007E163D"/>
    <w:rsid w:val="007E667A"/>
    <w:rsid w:val="007F28C9"/>
    <w:rsid w:val="007F51B2"/>
    <w:rsid w:val="008040DD"/>
    <w:rsid w:val="00804E9D"/>
    <w:rsid w:val="008117E9"/>
    <w:rsid w:val="00824498"/>
    <w:rsid w:val="00826BD1"/>
    <w:rsid w:val="008374C4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D6B87"/>
    <w:rsid w:val="008E0027"/>
    <w:rsid w:val="008E6067"/>
    <w:rsid w:val="008F54E7"/>
    <w:rsid w:val="008F720A"/>
    <w:rsid w:val="00902B6D"/>
    <w:rsid w:val="00903422"/>
    <w:rsid w:val="00904B1F"/>
    <w:rsid w:val="00906CC7"/>
    <w:rsid w:val="009106CC"/>
    <w:rsid w:val="00910B59"/>
    <w:rsid w:val="009254C3"/>
    <w:rsid w:val="00932377"/>
    <w:rsid w:val="00941236"/>
    <w:rsid w:val="0094204A"/>
    <w:rsid w:val="00943A7D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A0E7F"/>
    <w:rsid w:val="009C2082"/>
    <w:rsid w:val="009C3413"/>
    <w:rsid w:val="009D089E"/>
    <w:rsid w:val="009F3C0F"/>
    <w:rsid w:val="00A0441E"/>
    <w:rsid w:val="00A12128"/>
    <w:rsid w:val="00A22C98"/>
    <w:rsid w:val="00A231E2"/>
    <w:rsid w:val="00A26CEA"/>
    <w:rsid w:val="00A32F67"/>
    <w:rsid w:val="00A369E3"/>
    <w:rsid w:val="00A57600"/>
    <w:rsid w:val="00A64912"/>
    <w:rsid w:val="00A70A74"/>
    <w:rsid w:val="00A75FE9"/>
    <w:rsid w:val="00A8719D"/>
    <w:rsid w:val="00A91F8A"/>
    <w:rsid w:val="00AB0C8F"/>
    <w:rsid w:val="00AD53CC"/>
    <w:rsid w:val="00AD5641"/>
    <w:rsid w:val="00AF06CF"/>
    <w:rsid w:val="00B07CDB"/>
    <w:rsid w:val="00B11171"/>
    <w:rsid w:val="00B15FF5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21D1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658C"/>
    <w:rsid w:val="00BC76AC"/>
    <w:rsid w:val="00BD0ECB"/>
    <w:rsid w:val="00BD231F"/>
    <w:rsid w:val="00BE2155"/>
    <w:rsid w:val="00BE719A"/>
    <w:rsid w:val="00BE720A"/>
    <w:rsid w:val="00BF0D73"/>
    <w:rsid w:val="00BF2465"/>
    <w:rsid w:val="00C16619"/>
    <w:rsid w:val="00C25E7F"/>
    <w:rsid w:val="00C267F3"/>
    <w:rsid w:val="00C2746F"/>
    <w:rsid w:val="00C323D6"/>
    <w:rsid w:val="00C324A0"/>
    <w:rsid w:val="00C3705C"/>
    <w:rsid w:val="00C42BF8"/>
    <w:rsid w:val="00C50043"/>
    <w:rsid w:val="00C7573B"/>
    <w:rsid w:val="00C95670"/>
    <w:rsid w:val="00C97A54"/>
    <w:rsid w:val="00CA5B23"/>
    <w:rsid w:val="00CB602E"/>
    <w:rsid w:val="00CB6179"/>
    <w:rsid w:val="00CB6BC9"/>
    <w:rsid w:val="00CB7E90"/>
    <w:rsid w:val="00CC1D72"/>
    <w:rsid w:val="00CC540B"/>
    <w:rsid w:val="00CC74E0"/>
    <w:rsid w:val="00CE051D"/>
    <w:rsid w:val="00CE1335"/>
    <w:rsid w:val="00CE493D"/>
    <w:rsid w:val="00CF02E3"/>
    <w:rsid w:val="00CF07FA"/>
    <w:rsid w:val="00CF0BB2"/>
    <w:rsid w:val="00CF3EE8"/>
    <w:rsid w:val="00D02577"/>
    <w:rsid w:val="00D13441"/>
    <w:rsid w:val="00D150E7"/>
    <w:rsid w:val="00D52DC2"/>
    <w:rsid w:val="00D53BCC"/>
    <w:rsid w:val="00D54263"/>
    <w:rsid w:val="00D54C9E"/>
    <w:rsid w:val="00D6537E"/>
    <w:rsid w:val="00D70325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0547"/>
    <w:rsid w:val="00DE107C"/>
    <w:rsid w:val="00DF2388"/>
    <w:rsid w:val="00E05704"/>
    <w:rsid w:val="00E151D2"/>
    <w:rsid w:val="00E338EF"/>
    <w:rsid w:val="00E46EC4"/>
    <w:rsid w:val="00E544BB"/>
    <w:rsid w:val="00E64A17"/>
    <w:rsid w:val="00E74DC7"/>
    <w:rsid w:val="00E76C9E"/>
    <w:rsid w:val="00E8075A"/>
    <w:rsid w:val="00E940D8"/>
    <w:rsid w:val="00E94D5E"/>
    <w:rsid w:val="00EA381D"/>
    <w:rsid w:val="00EA5491"/>
    <w:rsid w:val="00EA7100"/>
    <w:rsid w:val="00EA7F9F"/>
    <w:rsid w:val="00EB1274"/>
    <w:rsid w:val="00ED2BB6"/>
    <w:rsid w:val="00ED34E1"/>
    <w:rsid w:val="00ED3B8D"/>
    <w:rsid w:val="00EE5E36"/>
    <w:rsid w:val="00EF177B"/>
    <w:rsid w:val="00EF2E3A"/>
    <w:rsid w:val="00EF31FA"/>
    <w:rsid w:val="00F02C7C"/>
    <w:rsid w:val="00F072A7"/>
    <w:rsid w:val="00F078DC"/>
    <w:rsid w:val="00F30727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A2599"/>
    <w:rsid w:val="00FA4E33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5EDDB"/>
  <w15:docId w15:val="{BD3C71A2-4F2F-4F87-B8BB-47ED52BB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BD23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231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3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31F"/>
    <w:rPr>
      <w:b/>
      <w:bCs/>
    </w:rPr>
  </w:style>
  <w:style w:type="character" w:styleId="Hyperlink">
    <w:name w:val="Hyperlink"/>
    <w:basedOn w:val="DefaultParagraphFont"/>
    <w:uiPriority w:val="99"/>
    <w:unhideWhenUsed/>
    <w:rsid w:val="003869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9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5949"/>
    <w:pPr>
      <w:ind w:left="720"/>
      <w:contextualSpacing/>
    </w:pPr>
  </w:style>
  <w:style w:type="paragraph" w:styleId="Revision">
    <w:name w:val="Revision"/>
    <w:hidden/>
    <w:uiPriority w:val="99"/>
    <w:semiHidden/>
    <w:rsid w:val="0025448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HBRID\Downloads\template_-_principal_instrument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 (3).dotx</Template>
  <TotalTime>14315</TotalTime>
  <Pages>7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WHITE, Bridget</dc:creator>
  <cp:lastModifiedBy>WHITE, Bridget</cp:lastModifiedBy>
  <cp:revision>35</cp:revision>
  <dcterms:created xsi:type="dcterms:W3CDTF">2024-08-05T04:59:00Z</dcterms:created>
  <dcterms:modified xsi:type="dcterms:W3CDTF">2024-09-25T03:36:00Z</dcterms:modified>
</cp:coreProperties>
</file>