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440A3" w14:textId="6C5E7500" w:rsidR="005D1ABF" w:rsidRPr="002247CC" w:rsidRDefault="002247CC" w:rsidP="002247CC">
      <w:pPr>
        <w:jc w:val="center"/>
        <w:rPr>
          <w:rFonts w:cs="Times New Roman"/>
          <w:b/>
          <w:bCs/>
          <w:caps/>
          <w:szCs w:val="24"/>
          <w:u w:val="single"/>
        </w:rPr>
      </w:pPr>
      <w:r w:rsidRPr="00C74E3F">
        <w:rPr>
          <w:b/>
          <w:bCs/>
        </w:rPr>
        <w:t>EXPLANATORY STATEMENT</w:t>
      </w:r>
    </w:p>
    <w:p w14:paraId="5D2085B4" w14:textId="32A60E66" w:rsidR="002B1DB3" w:rsidRPr="005F5227" w:rsidRDefault="002B1DB3" w:rsidP="005D1ABF">
      <w:pPr>
        <w:jc w:val="center"/>
        <w:rPr>
          <w:rFonts w:cs="Times New Roman"/>
          <w:szCs w:val="24"/>
          <w:u w:val="single"/>
        </w:rPr>
      </w:pPr>
      <w:r w:rsidRPr="00327A2C">
        <w:rPr>
          <w:rFonts w:cs="Times New Roman"/>
          <w:szCs w:val="24"/>
          <w:u w:val="single"/>
        </w:rPr>
        <w:t>Issued by the</w:t>
      </w:r>
      <w:r w:rsidR="00E67631">
        <w:rPr>
          <w:rFonts w:cs="Times New Roman"/>
          <w:szCs w:val="24"/>
          <w:u w:val="single"/>
        </w:rPr>
        <w:t xml:space="preserve"> Authority of the</w:t>
      </w:r>
      <w:r w:rsidRPr="00327A2C">
        <w:rPr>
          <w:rFonts w:cs="Times New Roman"/>
          <w:szCs w:val="24"/>
          <w:u w:val="single"/>
        </w:rPr>
        <w:t xml:space="preserve"> </w:t>
      </w:r>
      <w:r w:rsidR="00860CC9">
        <w:rPr>
          <w:rFonts w:cs="Times New Roman"/>
          <w:szCs w:val="24"/>
          <w:u w:val="single"/>
        </w:rPr>
        <w:t>Minister for</w:t>
      </w:r>
      <w:r w:rsidR="008401E3" w:rsidRPr="005F5227">
        <w:rPr>
          <w:rFonts w:cs="Times New Roman"/>
          <w:szCs w:val="24"/>
          <w:u w:val="single"/>
        </w:rPr>
        <w:t xml:space="preserve"> Agriculture, </w:t>
      </w:r>
      <w:r w:rsidR="00D8368A" w:rsidRPr="005F5227">
        <w:rPr>
          <w:rFonts w:cs="Times New Roman"/>
          <w:szCs w:val="24"/>
          <w:u w:val="single"/>
        </w:rPr>
        <w:t xml:space="preserve">Fisheries and </w:t>
      </w:r>
      <w:r w:rsidR="008401E3" w:rsidRPr="005F5227">
        <w:rPr>
          <w:rFonts w:cs="Times New Roman"/>
          <w:szCs w:val="24"/>
          <w:u w:val="single"/>
        </w:rPr>
        <w:t>Forestry</w:t>
      </w:r>
    </w:p>
    <w:p w14:paraId="40927AD6" w14:textId="5A043C38" w:rsidR="002B1DB3" w:rsidRPr="00327A2C" w:rsidRDefault="00461B20" w:rsidP="005D1ABF">
      <w:pPr>
        <w:jc w:val="center"/>
        <w:rPr>
          <w:rFonts w:cs="Times New Roman"/>
          <w:snapToGrid w:val="0"/>
          <w:szCs w:val="24"/>
        </w:rPr>
      </w:pPr>
      <w:r w:rsidRPr="005F5227">
        <w:rPr>
          <w:rFonts w:cs="Times New Roman"/>
          <w:i/>
          <w:snapToGrid w:val="0"/>
          <w:szCs w:val="24"/>
          <w:u w:val="single"/>
        </w:rPr>
        <w:t>Farm Household Support Act 2014</w:t>
      </w:r>
    </w:p>
    <w:p w14:paraId="7FAA0E7B" w14:textId="6406A4E1" w:rsidR="002B1DB3" w:rsidRPr="005F5227" w:rsidRDefault="00461B20" w:rsidP="005D1ABF">
      <w:pPr>
        <w:jc w:val="center"/>
        <w:rPr>
          <w:rFonts w:cs="Times New Roman"/>
          <w:i/>
          <w:szCs w:val="24"/>
        </w:rPr>
      </w:pPr>
      <w:r w:rsidRPr="005F5227">
        <w:rPr>
          <w:rFonts w:cs="Times New Roman"/>
          <w:i/>
          <w:szCs w:val="24"/>
          <w:u w:val="single"/>
        </w:rPr>
        <w:t xml:space="preserve">Farm Household Support </w:t>
      </w:r>
      <w:r w:rsidR="00860CC9">
        <w:rPr>
          <w:rFonts w:cs="Times New Roman"/>
          <w:i/>
          <w:szCs w:val="24"/>
          <w:u w:val="single"/>
        </w:rPr>
        <w:t>Minister’s</w:t>
      </w:r>
      <w:r w:rsidR="00920B18" w:rsidRPr="005F5227">
        <w:rPr>
          <w:rFonts w:cs="Times New Roman"/>
          <w:i/>
          <w:szCs w:val="24"/>
          <w:u w:val="single"/>
        </w:rPr>
        <w:t xml:space="preserve"> Rule</w:t>
      </w:r>
      <w:r w:rsidR="00D8368A">
        <w:rPr>
          <w:rFonts w:cs="Times New Roman"/>
          <w:i/>
          <w:szCs w:val="24"/>
          <w:u w:val="single"/>
        </w:rPr>
        <w:t>s</w:t>
      </w:r>
      <w:r w:rsidR="00920B18" w:rsidRPr="005F5227">
        <w:rPr>
          <w:rFonts w:cs="Times New Roman"/>
          <w:i/>
          <w:szCs w:val="24"/>
          <w:u w:val="single"/>
        </w:rPr>
        <w:t xml:space="preserve"> 2024</w:t>
      </w:r>
    </w:p>
    <w:p w14:paraId="39FA90A6" w14:textId="77777777" w:rsidR="001C09FB" w:rsidRPr="00327A2C" w:rsidRDefault="001C09FB" w:rsidP="005D1ABF">
      <w:pPr>
        <w:jc w:val="center"/>
        <w:rPr>
          <w:rFonts w:cs="Times New Roman"/>
          <w:i/>
          <w:szCs w:val="24"/>
        </w:rPr>
      </w:pPr>
    </w:p>
    <w:p w14:paraId="60C95BDE" w14:textId="4E60D6DE" w:rsidR="002B1DB3" w:rsidRPr="007524D9" w:rsidRDefault="002B1DB3" w:rsidP="00DB5300">
      <w:pPr>
        <w:rPr>
          <w:bCs/>
        </w:rPr>
      </w:pPr>
      <w:r w:rsidRPr="00DB5300">
        <w:rPr>
          <w:b/>
          <w:bCs/>
        </w:rPr>
        <w:t xml:space="preserve">Legislative </w:t>
      </w:r>
      <w:r w:rsidR="000B4516" w:rsidRPr="00DB5300">
        <w:rPr>
          <w:b/>
          <w:bCs/>
        </w:rPr>
        <w:t>a</w:t>
      </w:r>
      <w:r w:rsidRPr="00DB5300">
        <w:rPr>
          <w:b/>
          <w:bCs/>
        </w:rPr>
        <w:t>uthority</w:t>
      </w:r>
    </w:p>
    <w:p w14:paraId="0FE16728" w14:textId="56711F41" w:rsidR="00D1795D" w:rsidRDefault="00284893" w:rsidP="00B25E08">
      <w:pPr>
        <w:pStyle w:val="ListParagraph"/>
        <w:numPr>
          <w:ilvl w:val="0"/>
          <w:numId w:val="96"/>
        </w:numPr>
      </w:pPr>
      <w:r>
        <w:t xml:space="preserve">This instrument is </w:t>
      </w:r>
      <w:r w:rsidR="00836F6F" w:rsidRPr="005F5227">
        <w:t xml:space="preserve">made under </w:t>
      </w:r>
      <w:r w:rsidR="00245E33" w:rsidRPr="005F5227">
        <w:t>sub</w:t>
      </w:r>
      <w:r w:rsidR="00836F6F" w:rsidRPr="005F5227">
        <w:t>section 106</w:t>
      </w:r>
      <w:r w:rsidR="00245E33" w:rsidRPr="005F5227">
        <w:t>(</w:t>
      </w:r>
      <w:r w:rsidR="00D1795D">
        <w:t>1</w:t>
      </w:r>
      <w:r w:rsidR="00245E33" w:rsidRPr="005F5227">
        <w:t xml:space="preserve">) of the </w:t>
      </w:r>
      <w:r w:rsidR="00245E33" w:rsidRPr="00B25E08">
        <w:rPr>
          <w:i/>
        </w:rPr>
        <w:t xml:space="preserve">Farm Household Support Act 2014 </w:t>
      </w:r>
      <w:r w:rsidR="00245E33" w:rsidRPr="00FD3505">
        <w:t xml:space="preserve">(the </w:t>
      </w:r>
      <w:r w:rsidR="00245E33" w:rsidRPr="00B25E08">
        <w:rPr>
          <w:b/>
        </w:rPr>
        <w:t>Act</w:t>
      </w:r>
      <w:r w:rsidR="00245E33" w:rsidRPr="00FD3505">
        <w:t>)</w:t>
      </w:r>
      <w:r w:rsidR="00225A6A" w:rsidRPr="00FD3505">
        <w:t xml:space="preserve">, which authorises the </w:t>
      </w:r>
      <w:r w:rsidR="00D1795D">
        <w:t xml:space="preserve">Minister for </w:t>
      </w:r>
      <w:r w:rsidR="00225A6A" w:rsidRPr="00FD3505">
        <w:t xml:space="preserve">Agriculture, Fisheries and Forestry </w:t>
      </w:r>
      <w:r w:rsidR="00540D4E">
        <w:t>to</w:t>
      </w:r>
      <w:r w:rsidR="00225A6A" w:rsidRPr="00FD3505">
        <w:t xml:space="preserve"> make</w:t>
      </w:r>
      <w:r w:rsidR="009124A8" w:rsidRPr="00FD3505">
        <w:t>,</w:t>
      </w:r>
      <w:r w:rsidR="00225A6A" w:rsidRPr="00FD3505">
        <w:t xml:space="preserve"> by legislative instrument</w:t>
      </w:r>
      <w:r w:rsidR="009124A8" w:rsidRPr="00FD3505">
        <w:t>,</w:t>
      </w:r>
      <w:r w:rsidR="00225A6A" w:rsidRPr="00FD3505">
        <w:t xml:space="preserve"> </w:t>
      </w:r>
      <w:r w:rsidR="007B145C">
        <w:t>Minister’s</w:t>
      </w:r>
      <w:r w:rsidR="002064CE">
        <w:t xml:space="preserve"> </w:t>
      </w:r>
      <w:r w:rsidR="009124A8" w:rsidRPr="00FD3505">
        <w:t xml:space="preserve">rules </w:t>
      </w:r>
      <w:r w:rsidR="00662A7A">
        <w:t xml:space="preserve">prescribing matters </w:t>
      </w:r>
      <w:r w:rsidR="009124A8" w:rsidRPr="00FD3505">
        <w:t>that</w:t>
      </w:r>
      <w:r w:rsidR="00225A6A" w:rsidRPr="00FD3505">
        <w:t xml:space="preserve"> are required or </w:t>
      </w:r>
      <w:r w:rsidR="00225A6A" w:rsidRPr="000B4516">
        <w:t>permitted</w:t>
      </w:r>
      <w:r w:rsidR="00225A6A" w:rsidRPr="00FD3505">
        <w:t xml:space="preserve"> by the Act to be prescribed</w:t>
      </w:r>
      <w:r w:rsidR="00D1795D">
        <w:t xml:space="preserve"> by Minister’s rules.</w:t>
      </w:r>
    </w:p>
    <w:p w14:paraId="2B8BE3CD" w14:textId="77777777" w:rsidR="002B1DB3" w:rsidRPr="007524D9" w:rsidRDefault="002B1DB3" w:rsidP="00DB5300">
      <w:pPr>
        <w:rPr>
          <w:bCs/>
        </w:rPr>
      </w:pPr>
      <w:r w:rsidRPr="00DB5300">
        <w:rPr>
          <w:b/>
          <w:bCs/>
        </w:rPr>
        <w:t>Background</w:t>
      </w:r>
    </w:p>
    <w:p w14:paraId="358506CD" w14:textId="3A4C1A5F" w:rsidR="00F9400B" w:rsidRPr="00F9400B" w:rsidRDefault="00F9400B" w:rsidP="00B25E08">
      <w:pPr>
        <w:pStyle w:val="ListParagraph"/>
        <w:numPr>
          <w:ilvl w:val="0"/>
          <w:numId w:val="96"/>
        </w:numPr>
      </w:pPr>
      <w:r w:rsidRPr="00F9400B">
        <w:t xml:space="preserve">The </w:t>
      </w:r>
      <w:r w:rsidR="002064CE">
        <w:t xml:space="preserve">object of the Act </w:t>
      </w:r>
      <w:r w:rsidR="00FE5674">
        <w:t xml:space="preserve">is to </w:t>
      </w:r>
      <w:r w:rsidR="002064CE">
        <w:t xml:space="preserve">improve the financial situation of farmers and their partners who need financial assistance, including through the provision of </w:t>
      </w:r>
      <w:r w:rsidR="00D3409B">
        <w:t>f</w:t>
      </w:r>
      <w:r w:rsidR="00D3409B" w:rsidRPr="00F9400B">
        <w:t xml:space="preserve">arm </w:t>
      </w:r>
      <w:r w:rsidR="00D3409B">
        <w:t>h</w:t>
      </w:r>
      <w:r w:rsidR="00D3409B" w:rsidRPr="00F9400B">
        <w:t xml:space="preserve">ousehold </w:t>
      </w:r>
      <w:r w:rsidR="00D3409B">
        <w:t>a</w:t>
      </w:r>
      <w:r w:rsidR="00D3409B" w:rsidRPr="00F9400B">
        <w:t xml:space="preserve">llowance </w:t>
      </w:r>
      <w:r w:rsidRPr="00F9400B">
        <w:t>(</w:t>
      </w:r>
      <w:r w:rsidRPr="00B25E08">
        <w:rPr>
          <w:b/>
        </w:rPr>
        <w:t>FHA</w:t>
      </w:r>
      <w:r w:rsidRPr="00F9400B">
        <w:t>)</w:t>
      </w:r>
      <w:r w:rsidR="008D0E40">
        <w:t xml:space="preserve"> </w:t>
      </w:r>
      <w:r w:rsidR="004E022A">
        <w:t xml:space="preserve">and other </w:t>
      </w:r>
      <w:r w:rsidR="00037804">
        <w:t>payments</w:t>
      </w:r>
      <w:r w:rsidR="008D0E40">
        <w:t xml:space="preserve">. </w:t>
      </w:r>
      <w:r w:rsidRPr="00F9400B">
        <w:t xml:space="preserve">The </w:t>
      </w:r>
      <w:r>
        <w:t xml:space="preserve">main features of </w:t>
      </w:r>
      <w:r w:rsidR="001C16BF">
        <w:t>th</w:t>
      </w:r>
      <w:r w:rsidR="001B1CD9">
        <w:t>e</w:t>
      </w:r>
      <w:r w:rsidR="001C16BF">
        <w:t xml:space="preserve"> </w:t>
      </w:r>
      <w:r w:rsidR="00FE5674">
        <w:t xml:space="preserve">FHA </w:t>
      </w:r>
      <w:r w:rsidR="001C16BF">
        <w:t>program</w:t>
      </w:r>
      <w:r w:rsidR="001B1CD9">
        <w:t xml:space="preserve"> relevant to </w:t>
      </w:r>
      <w:r w:rsidR="00EF76BC">
        <w:t>this instrument</w:t>
      </w:r>
      <w:r w:rsidR="001B1CD9">
        <w:t xml:space="preserve"> include</w:t>
      </w:r>
      <w:r w:rsidR="002247CC">
        <w:t>:</w:t>
      </w:r>
    </w:p>
    <w:p w14:paraId="26B20C26" w14:textId="573376EA" w:rsidR="00F9400B" w:rsidRPr="00CC1F5B" w:rsidRDefault="00F9400B" w:rsidP="00DB5300">
      <w:pPr>
        <w:pStyle w:val="ListParagraph"/>
        <w:numPr>
          <w:ilvl w:val="0"/>
          <w:numId w:val="74"/>
        </w:numPr>
      </w:pPr>
      <w:r w:rsidRPr="00CC1F5B">
        <w:t xml:space="preserve">up to </w:t>
      </w:r>
      <w:r w:rsidR="00484EF9" w:rsidRPr="00CC1F5B">
        <w:t xml:space="preserve">four </w:t>
      </w:r>
      <w:r w:rsidRPr="00CC1F5B">
        <w:t>cumulative years</w:t>
      </w:r>
      <w:r w:rsidR="00B145CE" w:rsidRPr="00CC1F5B">
        <w:t xml:space="preserve"> of FHA payable</w:t>
      </w:r>
      <w:r w:rsidRPr="00CC1F5B">
        <w:t xml:space="preserve"> </w:t>
      </w:r>
      <w:r w:rsidR="00CD07C5" w:rsidRPr="00CC1F5B">
        <w:t xml:space="preserve">in a 10-year </w:t>
      </w:r>
      <w:r w:rsidR="00CD07C5" w:rsidRPr="00D0069E">
        <w:t xml:space="preserve">period </w:t>
      </w:r>
      <w:r w:rsidR="006C73FF" w:rsidRPr="00D0069E">
        <w:t>for</w:t>
      </w:r>
      <w:r w:rsidR="002064CE" w:rsidRPr="00D0069E">
        <w:t xml:space="preserve"> </w:t>
      </w:r>
      <w:r w:rsidRPr="00D0069E">
        <w:t>farmers</w:t>
      </w:r>
      <w:r w:rsidRPr="00CC1F5B">
        <w:t xml:space="preserve"> and their partners. </w:t>
      </w:r>
      <w:r w:rsidR="005213E9" w:rsidRPr="00CC1F5B">
        <w:t>These</w:t>
      </w:r>
      <w:r w:rsidRPr="00CC1F5B">
        <w:t xml:space="preserve"> payment</w:t>
      </w:r>
      <w:r w:rsidR="005213E9" w:rsidRPr="00CC1F5B">
        <w:t>s</w:t>
      </w:r>
      <w:r w:rsidRPr="00CC1F5B">
        <w:t xml:space="preserve"> generally align with social security </w:t>
      </w:r>
      <w:r w:rsidR="005213E9" w:rsidRPr="00CC1F5B">
        <w:t>payments</w:t>
      </w:r>
      <w:r w:rsidRPr="00CC1F5B">
        <w:t xml:space="preserve">, to ensure equitable treatment of farmers and their partners when compared with mainstream </w:t>
      </w:r>
      <w:r w:rsidR="005213E9" w:rsidRPr="00CC1F5B">
        <w:t>social security payments</w:t>
      </w:r>
      <w:r w:rsidR="00334E6B" w:rsidRPr="00CC1F5B">
        <w:t>; and</w:t>
      </w:r>
    </w:p>
    <w:p w14:paraId="1788E181" w14:textId="48B82680" w:rsidR="00F9400B" w:rsidRPr="00F9400B" w:rsidRDefault="00334E6B" w:rsidP="00DB5300">
      <w:pPr>
        <w:pStyle w:val="ListParagraph"/>
        <w:numPr>
          <w:ilvl w:val="0"/>
          <w:numId w:val="74"/>
        </w:numPr>
      </w:pPr>
      <w:r>
        <w:t>c</w:t>
      </w:r>
      <w:r w:rsidR="002C3366">
        <w:t xml:space="preserve">laimants </w:t>
      </w:r>
      <w:r w:rsidR="00F9400B">
        <w:t xml:space="preserve">must </w:t>
      </w:r>
      <w:r w:rsidR="00F9400B" w:rsidRPr="00F9400B">
        <w:t>meet a means test</w:t>
      </w:r>
      <w:r w:rsidR="005213E9">
        <w:t xml:space="preserve"> (</w:t>
      </w:r>
      <w:r w:rsidR="00F9400B" w:rsidRPr="00F9400B">
        <w:t>an assets and</w:t>
      </w:r>
      <w:r w:rsidR="00037804">
        <w:t xml:space="preserve"> an</w:t>
      </w:r>
      <w:r w:rsidR="00F9400B" w:rsidRPr="00F9400B">
        <w:t xml:space="preserve"> income test</w:t>
      </w:r>
      <w:r w:rsidR="005213E9">
        <w:t>)</w:t>
      </w:r>
      <w:r w:rsidR="00B5134E">
        <w:t>, residency requirements and other eligibility criteria</w:t>
      </w:r>
      <w:r w:rsidR="00F9400B" w:rsidRPr="00F9400B">
        <w:t xml:space="preserve"> to qualify for payment</w:t>
      </w:r>
      <w:r w:rsidR="000648B1">
        <w:t>; and</w:t>
      </w:r>
    </w:p>
    <w:p w14:paraId="1DE45365" w14:textId="215337D8" w:rsidR="00F9400B" w:rsidRPr="00826CAE" w:rsidRDefault="00334E6B" w:rsidP="00DB5300">
      <w:pPr>
        <w:pStyle w:val="ListParagraph"/>
        <w:numPr>
          <w:ilvl w:val="0"/>
          <w:numId w:val="74"/>
        </w:numPr>
      </w:pPr>
      <w:r>
        <w:t>c</w:t>
      </w:r>
      <w:r w:rsidR="009E0F9C">
        <w:t>laimants</w:t>
      </w:r>
      <w:r w:rsidR="009E0F9C" w:rsidRPr="00F9400B">
        <w:t xml:space="preserve"> </w:t>
      </w:r>
      <w:r w:rsidR="00F9400B">
        <w:t>must</w:t>
      </w:r>
      <w:r w:rsidR="005213E9">
        <w:t>, if required,</w:t>
      </w:r>
      <w:r w:rsidR="00F9400B">
        <w:t xml:space="preserve"> </w:t>
      </w:r>
      <w:proofErr w:type="gramStart"/>
      <w:r w:rsidR="00F9400B" w:rsidRPr="00F9400B">
        <w:t>enter into</w:t>
      </w:r>
      <w:proofErr w:type="gramEnd"/>
      <w:r w:rsidR="00F9400B" w:rsidRPr="00F9400B">
        <w:t xml:space="preserve"> and comply with a financial improvement agreement (</w:t>
      </w:r>
      <w:r w:rsidR="00F9400B" w:rsidRPr="00F14708">
        <w:rPr>
          <w:b/>
        </w:rPr>
        <w:t>FIA</w:t>
      </w:r>
      <w:r w:rsidR="00F9400B" w:rsidRPr="00F9400B">
        <w:t xml:space="preserve">). </w:t>
      </w:r>
      <w:r w:rsidR="00F9400B" w:rsidRPr="00826CAE">
        <w:t>A</w:t>
      </w:r>
      <w:r w:rsidR="00FE5674">
        <w:t>n</w:t>
      </w:r>
      <w:r w:rsidR="00F9400B" w:rsidRPr="00826CAE">
        <w:t xml:space="preserve"> FIA requires the </w:t>
      </w:r>
      <w:r w:rsidR="00FF6969">
        <w:t>claimant</w:t>
      </w:r>
      <w:r w:rsidR="00FF6969" w:rsidRPr="00826CAE">
        <w:t xml:space="preserve"> </w:t>
      </w:r>
      <w:r w:rsidR="00F9400B" w:rsidRPr="00826CAE">
        <w:t xml:space="preserve">to undertake </w:t>
      </w:r>
      <w:r w:rsidR="005213E9" w:rsidRPr="00826CAE">
        <w:t>specified</w:t>
      </w:r>
      <w:r w:rsidR="00F9400B" w:rsidRPr="00826CAE">
        <w:t xml:space="preserve"> activities</w:t>
      </w:r>
      <w:r w:rsidR="008D0E40" w:rsidRPr="00826CAE">
        <w:t>,</w:t>
      </w:r>
      <w:r w:rsidR="00F9400B" w:rsidRPr="00826CAE">
        <w:t xml:space="preserve"> such as education, training </w:t>
      </w:r>
      <w:r w:rsidR="008D0E40" w:rsidRPr="00826CAE">
        <w:t>and</w:t>
      </w:r>
      <w:r w:rsidR="00F9400B" w:rsidRPr="00826CAE">
        <w:t xml:space="preserve"> off-farm employment, designed to improve </w:t>
      </w:r>
      <w:bookmarkStart w:id="0" w:name="_Hlk169257115"/>
      <w:r w:rsidR="00F9400B" w:rsidRPr="00826CAE">
        <w:t>capacity for self-reliance</w:t>
      </w:r>
      <w:bookmarkEnd w:id="0"/>
      <w:r w:rsidR="005213E9" w:rsidRPr="00826CAE">
        <w:t xml:space="preserve">. The specification of activities </w:t>
      </w:r>
      <w:proofErr w:type="gramStart"/>
      <w:r w:rsidR="00F9400B" w:rsidRPr="00826CAE">
        <w:t>takes into account</w:t>
      </w:r>
      <w:proofErr w:type="gramEnd"/>
      <w:r w:rsidR="00F9400B" w:rsidRPr="00826CAE">
        <w:t xml:space="preserve"> the </w:t>
      </w:r>
      <w:r w:rsidR="00621F13">
        <w:t>individual</w:t>
      </w:r>
      <w:r w:rsidR="00621F13" w:rsidRPr="00F9400B">
        <w:t xml:space="preserve"> </w:t>
      </w:r>
      <w:r w:rsidR="00F9400B" w:rsidRPr="00826CAE">
        <w:t xml:space="preserve">circumstances of </w:t>
      </w:r>
      <w:r w:rsidR="005213E9" w:rsidRPr="00826CAE">
        <w:t xml:space="preserve">the </w:t>
      </w:r>
      <w:r w:rsidR="00307246">
        <w:t>claimant</w:t>
      </w:r>
      <w:r>
        <w:t>; and</w:t>
      </w:r>
    </w:p>
    <w:p w14:paraId="5B5FF945" w14:textId="18F04AAA" w:rsidR="00F9400B" w:rsidRPr="00826CAE" w:rsidRDefault="00334E6B" w:rsidP="00DB5300">
      <w:pPr>
        <w:pStyle w:val="ListParagraph"/>
        <w:numPr>
          <w:ilvl w:val="0"/>
          <w:numId w:val="74"/>
        </w:numPr>
      </w:pPr>
      <w:r>
        <w:t>a</w:t>
      </w:r>
      <w:r w:rsidR="00D66EBA" w:rsidRPr="00826CAE">
        <w:t xml:space="preserve"> </w:t>
      </w:r>
      <w:r w:rsidR="00F9400B" w:rsidRPr="00826CAE">
        <w:t>farm financial assessment must be conducted</w:t>
      </w:r>
      <w:r w:rsidR="005213E9" w:rsidRPr="00826CAE">
        <w:t xml:space="preserve"> to </w:t>
      </w:r>
      <w:r w:rsidR="00F9400B" w:rsidRPr="00826CAE">
        <w:t>evaluate option</w:t>
      </w:r>
      <w:r w:rsidR="00165BDD" w:rsidRPr="00826CAE">
        <w:t>s</w:t>
      </w:r>
      <w:r w:rsidR="00F9400B" w:rsidRPr="00826CAE">
        <w:t xml:space="preserve"> to improve the </w:t>
      </w:r>
      <w:r w:rsidR="005213E9" w:rsidRPr="00826CAE">
        <w:t>claimant’s</w:t>
      </w:r>
      <w:r w:rsidR="00F9400B" w:rsidRPr="00826CAE">
        <w:t xml:space="preserve"> financial situation and to inform the development of the FIA</w:t>
      </w:r>
      <w:r w:rsidR="000648B1">
        <w:t>; and</w:t>
      </w:r>
    </w:p>
    <w:p w14:paraId="0BEAB305" w14:textId="5486BCE3" w:rsidR="00F9400B" w:rsidRDefault="00334E6B" w:rsidP="00DB5300">
      <w:pPr>
        <w:pStyle w:val="ListParagraph"/>
        <w:numPr>
          <w:ilvl w:val="0"/>
          <w:numId w:val="74"/>
        </w:numPr>
      </w:pPr>
      <w:r>
        <w:t>a</w:t>
      </w:r>
      <w:r w:rsidR="00D66EBA" w:rsidRPr="00826CAE">
        <w:t xml:space="preserve"> </w:t>
      </w:r>
      <w:r w:rsidR="00F9400B" w:rsidRPr="00826CAE">
        <w:t xml:space="preserve">farm financial assessment supplement and an activity supplement </w:t>
      </w:r>
      <w:r w:rsidR="005C22AE" w:rsidRPr="00826CAE">
        <w:t xml:space="preserve">are available to fund, </w:t>
      </w:r>
      <w:r w:rsidR="00F9400B" w:rsidRPr="00826CAE">
        <w:t>wholly</w:t>
      </w:r>
      <w:r w:rsidR="005C22AE" w:rsidRPr="00826CAE">
        <w:t xml:space="preserve"> or partly, the </w:t>
      </w:r>
      <w:r w:rsidR="00F9400B" w:rsidRPr="00826CAE">
        <w:t xml:space="preserve">farm financial assessment and </w:t>
      </w:r>
      <w:r w:rsidR="008D0E40" w:rsidRPr="00826CAE">
        <w:t>the</w:t>
      </w:r>
      <w:r w:rsidR="00F9400B" w:rsidRPr="00826CAE">
        <w:t xml:space="preserve"> activities</w:t>
      </w:r>
      <w:r w:rsidR="008D0E40" w:rsidRPr="00826CAE">
        <w:t xml:space="preserve"> required by </w:t>
      </w:r>
      <w:r w:rsidR="007D7C85" w:rsidRPr="005E2F70">
        <w:t>an FIA</w:t>
      </w:r>
      <w:r w:rsidR="000648B1">
        <w:t>; and</w:t>
      </w:r>
    </w:p>
    <w:p w14:paraId="342DBB28" w14:textId="7470CC43" w:rsidR="000648B1" w:rsidRDefault="000648B1" w:rsidP="00DB5300">
      <w:pPr>
        <w:pStyle w:val="ListParagraph"/>
        <w:numPr>
          <w:ilvl w:val="0"/>
          <w:numId w:val="74"/>
        </w:numPr>
      </w:pPr>
      <w:r w:rsidRPr="000648B1">
        <w:t>the claimant has access to ancillary benefits such as a health care card, telephone allowance, remote area allowance, energy supplement, pharmaceutical allowance and rent assistance, subject to meeting certain requirements.</w:t>
      </w:r>
      <w:r w:rsidR="00CF35A4">
        <w:t xml:space="preserve"> They are</w:t>
      </w:r>
      <w:r w:rsidR="00CF35A4" w:rsidRPr="00CF35A4">
        <w:t xml:space="preserve"> </w:t>
      </w:r>
      <w:r w:rsidR="00CF35A4" w:rsidRPr="002A64CA">
        <w:t>also automatically issued a Health Care Card that gives access to cheaper Pharmaceutical Benefits Scheme (PBS) prescriptions and access to the lower thresholds of the Extended Medicare Safety Net and the PBS Safety Net.</w:t>
      </w:r>
    </w:p>
    <w:p w14:paraId="29C721F3" w14:textId="24B85891" w:rsidR="00540D4E" w:rsidRPr="007524D9" w:rsidRDefault="00540D4E" w:rsidP="0024371F">
      <w:pPr>
        <w:rPr>
          <w:bCs/>
        </w:rPr>
      </w:pPr>
      <w:r w:rsidRPr="0024371F">
        <w:rPr>
          <w:b/>
          <w:bCs/>
        </w:rPr>
        <w:t>Purpose</w:t>
      </w:r>
    </w:p>
    <w:p w14:paraId="0F47B992" w14:textId="41969A0C" w:rsidR="00154788" w:rsidRDefault="00EF76BC" w:rsidP="00B25E08">
      <w:pPr>
        <w:pStyle w:val="ListParagraph"/>
        <w:numPr>
          <w:ilvl w:val="0"/>
          <w:numId w:val="96"/>
        </w:numPr>
      </w:pPr>
      <w:r>
        <w:t xml:space="preserve">The </w:t>
      </w:r>
      <w:r w:rsidRPr="00B25E08">
        <w:rPr>
          <w:i/>
          <w:iCs/>
        </w:rPr>
        <w:t>Farm Household Support Minister’s Rule 2014</w:t>
      </w:r>
      <w:r>
        <w:t xml:space="preserve"> (the </w:t>
      </w:r>
      <w:r w:rsidRPr="00B25E08">
        <w:rPr>
          <w:b/>
        </w:rPr>
        <w:t xml:space="preserve">2014 Minister’s </w:t>
      </w:r>
      <w:r w:rsidR="004E5708" w:rsidRPr="00B25E08">
        <w:rPr>
          <w:b/>
        </w:rPr>
        <w:t>R</w:t>
      </w:r>
      <w:r w:rsidRPr="00B25E08">
        <w:rPr>
          <w:b/>
        </w:rPr>
        <w:t>ule</w:t>
      </w:r>
      <w:r>
        <w:t xml:space="preserve">) is due to sunset on 1 October 2024. In accordance with regular sunsetting practice, the Rule </w:t>
      </w:r>
      <w:r w:rsidR="00743747">
        <w:t xml:space="preserve">has been </w:t>
      </w:r>
      <w:r>
        <w:t xml:space="preserve">reviewed by the </w:t>
      </w:r>
      <w:r w:rsidRPr="00FD3505">
        <w:t xml:space="preserve">Department of Agriculture, Fisheries and Forestry </w:t>
      </w:r>
      <w:r>
        <w:t>(</w:t>
      </w:r>
      <w:r w:rsidRPr="00B25E08">
        <w:rPr>
          <w:b/>
        </w:rPr>
        <w:t>Department</w:t>
      </w:r>
      <w:r>
        <w:t>)</w:t>
      </w:r>
      <w:r w:rsidR="00EE57CE">
        <w:t>.</w:t>
      </w:r>
    </w:p>
    <w:p w14:paraId="7880D356" w14:textId="44F5771E" w:rsidR="00EF76BC" w:rsidRDefault="004D7009" w:rsidP="00B25E08">
      <w:pPr>
        <w:pStyle w:val="ListParagraph"/>
        <w:numPr>
          <w:ilvl w:val="0"/>
          <w:numId w:val="96"/>
        </w:numPr>
      </w:pPr>
      <w:r>
        <w:lastRenderedPageBreak/>
        <w:t xml:space="preserve">The </w:t>
      </w:r>
      <w:r w:rsidRPr="00B25E08">
        <w:rPr>
          <w:i/>
          <w:iCs/>
        </w:rPr>
        <w:t>Farm Household Support Minister’s Rules 2024</w:t>
      </w:r>
      <w:r>
        <w:t xml:space="preserve"> (the </w:t>
      </w:r>
      <w:r w:rsidRPr="00B25E08">
        <w:rPr>
          <w:b/>
        </w:rPr>
        <w:t>Rules</w:t>
      </w:r>
      <w:r>
        <w:t>)</w:t>
      </w:r>
      <w:r w:rsidR="00EF76BC">
        <w:t>:</w:t>
      </w:r>
    </w:p>
    <w:p w14:paraId="3AA1D3C5" w14:textId="0844342B" w:rsidR="00EF76BC" w:rsidRDefault="00EF76BC" w:rsidP="006B7E7A">
      <w:pPr>
        <w:pStyle w:val="ListParagraph"/>
        <w:numPr>
          <w:ilvl w:val="0"/>
          <w:numId w:val="75"/>
        </w:numPr>
      </w:pPr>
      <w:r>
        <w:t xml:space="preserve">repeal the 2014 Minister’s </w:t>
      </w:r>
      <w:r w:rsidR="00712093">
        <w:t>Rule</w:t>
      </w:r>
      <w:r>
        <w:t>; and</w:t>
      </w:r>
    </w:p>
    <w:p w14:paraId="5A2E1190" w14:textId="6CC73200" w:rsidR="00EF76BC" w:rsidRDefault="00EF76BC" w:rsidP="006B7E7A">
      <w:pPr>
        <w:pStyle w:val="ListParagraph"/>
        <w:numPr>
          <w:ilvl w:val="0"/>
          <w:numId w:val="75"/>
        </w:numPr>
      </w:pPr>
      <w:r>
        <w:t xml:space="preserve">remake </w:t>
      </w:r>
      <w:r w:rsidR="004D7009">
        <w:t xml:space="preserve">two </w:t>
      </w:r>
      <w:r>
        <w:t>measures in the 2014 Minister’s Rule</w:t>
      </w:r>
      <w:r w:rsidR="004D7009">
        <w:t xml:space="preserve"> to</w:t>
      </w:r>
      <w:r>
        <w:t>:</w:t>
      </w:r>
    </w:p>
    <w:p w14:paraId="2475ABFA" w14:textId="640C78E1" w:rsidR="00EF76BC" w:rsidRDefault="004D7009" w:rsidP="00CF35A4">
      <w:pPr>
        <w:pStyle w:val="ListParagraph"/>
        <w:numPr>
          <w:ilvl w:val="1"/>
          <w:numId w:val="76"/>
        </w:numPr>
        <w:ind w:left="1276"/>
      </w:pPr>
      <w:r>
        <w:t xml:space="preserve">prescribe </w:t>
      </w:r>
      <w:r w:rsidR="00EF76BC">
        <w:t xml:space="preserve">the </w:t>
      </w:r>
      <w:r w:rsidR="00EF76BC" w:rsidRPr="00DC5CB4">
        <w:t>maximum</w:t>
      </w:r>
      <w:r w:rsidR="00EF76BC">
        <w:t xml:space="preserve"> amount of activity supplement (paragraph</w:t>
      </w:r>
      <w:r w:rsidR="003E39A5">
        <w:t> </w:t>
      </w:r>
      <w:r w:rsidR="00EF76BC">
        <w:t>82(1)(a) of the Act); and</w:t>
      </w:r>
    </w:p>
    <w:p w14:paraId="5153592E" w14:textId="4600A819" w:rsidR="00EF76BC" w:rsidRDefault="004D7009" w:rsidP="00CF35A4">
      <w:pPr>
        <w:pStyle w:val="ListParagraph"/>
        <w:numPr>
          <w:ilvl w:val="1"/>
          <w:numId w:val="76"/>
        </w:numPr>
        <w:ind w:left="1276"/>
      </w:pPr>
      <w:r>
        <w:t>prescribe the</w:t>
      </w:r>
      <w:r w:rsidR="00EF76BC">
        <w:t xml:space="preserve"> maximum amount of farm financial assessment supplement (paragraph 89(a) of the Act); and</w:t>
      </w:r>
    </w:p>
    <w:p w14:paraId="6B14D829" w14:textId="5E9704C4" w:rsidR="00EF76BC" w:rsidRDefault="00552DB7" w:rsidP="006B7E7A">
      <w:pPr>
        <w:pStyle w:val="ListParagraph"/>
        <w:numPr>
          <w:ilvl w:val="0"/>
          <w:numId w:val="75"/>
        </w:numPr>
      </w:pPr>
      <w:r w:rsidRPr="00A80FEB">
        <w:t xml:space="preserve">remake, in a modified way, </w:t>
      </w:r>
      <w:r w:rsidR="001A615F" w:rsidRPr="00A80FEB">
        <w:t xml:space="preserve">the </w:t>
      </w:r>
      <w:r w:rsidRPr="00A80FEB">
        <w:t xml:space="preserve">provisions in </w:t>
      </w:r>
      <w:r w:rsidR="008870AC" w:rsidRPr="00A80FEB">
        <w:t xml:space="preserve">the </w:t>
      </w:r>
      <w:r w:rsidR="005175E0" w:rsidRPr="00A80FEB">
        <w:t xml:space="preserve">2014 Minister’s Rule that </w:t>
      </w:r>
      <w:r w:rsidR="00EF76BC" w:rsidRPr="00A80FEB">
        <w:t xml:space="preserve">support the operation of the Act </w:t>
      </w:r>
      <w:r w:rsidR="008F15EB" w:rsidRPr="00A80FEB">
        <w:t xml:space="preserve">in respect of </w:t>
      </w:r>
      <w:r w:rsidR="00EF76BC" w:rsidRPr="00A80FEB">
        <w:t xml:space="preserve">the income test and </w:t>
      </w:r>
      <w:r w:rsidR="00920FAA">
        <w:t xml:space="preserve">working out </w:t>
      </w:r>
      <w:r w:rsidR="00EF76BC" w:rsidRPr="00A80FEB">
        <w:t xml:space="preserve">the rate of </w:t>
      </w:r>
      <w:r w:rsidR="0082332F" w:rsidRPr="00A80FEB">
        <w:t>FHA</w:t>
      </w:r>
      <w:r w:rsidR="00EF76BC" w:rsidRPr="00A80FEB">
        <w:t xml:space="preserve"> for a person</w:t>
      </w:r>
      <w:r w:rsidR="00EB60DA">
        <w:t xml:space="preserve">. </w:t>
      </w:r>
      <w:r w:rsidR="00A21133">
        <w:t>The Rules</w:t>
      </w:r>
      <w:r w:rsidR="002A273E" w:rsidRPr="00A80FEB">
        <w:t xml:space="preserve"> </w:t>
      </w:r>
      <w:r w:rsidR="00EB60DA">
        <w:t>clarif</w:t>
      </w:r>
      <w:r w:rsidR="00A21133">
        <w:t>y</w:t>
      </w:r>
      <w:r w:rsidR="00EF76BC" w:rsidRPr="00A80FEB">
        <w:t xml:space="preserve"> the way</w:t>
      </w:r>
      <w:r w:rsidR="00A21133">
        <w:t xml:space="preserve"> in which</w:t>
      </w:r>
      <w:r w:rsidR="00EF76BC" w:rsidRPr="00A80FEB">
        <w:t>, in specified circumstances, the person’s ordinary income for a tax year (calculated under Part</w:t>
      </w:r>
      <w:r w:rsidR="00D17FE4" w:rsidRPr="00A80FEB">
        <w:t> </w:t>
      </w:r>
      <w:r w:rsidR="00EF76BC" w:rsidRPr="00A80FEB">
        <w:t xml:space="preserve">3.10 of the </w:t>
      </w:r>
      <w:r w:rsidR="00EF76BC" w:rsidRPr="00292496">
        <w:rPr>
          <w:i/>
          <w:iCs/>
        </w:rPr>
        <w:t>Social Security Act</w:t>
      </w:r>
      <w:r w:rsidR="00865AF1" w:rsidRPr="00292496">
        <w:rPr>
          <w:i/>
          <w:iCs/>
        </w:rPr>
        <w:t xml:space="preserve"> 199</w:t>
      </w:r>
      <w:r w:rsidR="00764DF7" w:rsidRPr="00292496">
        <w:rPr>
          <w:i/>
          <w:iCs/>
        </w:rPr>
        <w:t>1</w:t>
      </w:r>
      <w:r w:rsidR="00EF76BC" w:rsidRPr="00A80FEB">
        <w:t xml:space="preserve"> (</w:t>
      </w:r>
      <w:r w:rsidR="0024009C" w:rsidRPr="00A80FEB">
        <w:t xml:space="preserve">the </w:t>
      </w:r>
      <w:r w:rsidR="002A1702" w:rsidRPr="00292496">
        <w:rPr>
          <w:b/>
        </w:rPr>
        <w:t>Social Security Act</w:t>
      </w:r>
      <w:r w:rsidR="00EF76BC" w:rsidRPr="00A80FEB">
        <w:t xml:space="preserve">)) is to be reduced </w:t>
      </w:r>
      <w:r w:rsidR="00B94DF2" w:rsidRPr="00A80FEB">
        <w:t xml:space="preserve">by reference </w:t>
      </w:r>
      <w:r w:rsidR="00B94DF2" w:rsidRPr="003D3119">
        <w:t xml:space="preserve">to </w:t>
      </w:r>
      <w:r w:rsidR="00A81749" w:rsidRPr="00A9107C">
        <w:t xml:space="preserve">overall operating </w:t>
      </w:r>
      <w:r w:rsidR="00B94DF2" w:rsidRPr="00A9107C">
        <w:t xml:space="preserve">loss </w:t>
      </w:r>
      <w:r w:rsidR="00A81749" w:rsidRPr="00A9107C">
        <w:t xml:space="preserve">of the farm enterprise </w:t>
      </w:r>
      <w:r w:rsidR="00BF709D" w:rsidRPr="00A9107C">
        <w:t xml:space="preserve">and </w:t>
      </w:r>
      <w:r w:rsidR="00B94DF2" w:rsidRPr="00A9107C">
        <w:t>related businesses</w:t>
      </w:r>
      <w:r w:rsidR="00B94DF2" w:rsidRPr="00A80FEB">
        <w:t xml:space="preserve"> </w:t>
      </w:r>
      <w:r w:rsidR="00EF76BC" w:rsidRPr="00A80FEB">
        <w:t>(section 67 of the Act).</w:t>
      </w:r>
    </w:p>
    <w:p w14:paraId="756094A0" w14:textId="77777777" w:rsidR="00B25E08" w:rsidRPr="00A80FEB" w:rsidRDefault="00B25E08" w:rsidP="00B25E08">
      <w:pPr>
        <w:pStyle w:val="ListParagraph"/>
      </w:pPr>
    </w:p>
    <w:p w14:paraId="48F91AC2" w14:textId="77777777" w:rsidR="00B25E08" w:rsidRDefault="004476E0" w:rsidP="00B25E08">
      <w:pPr>
        <w:pStyle w:val="ListParagraph"/>
        <w:numPr>
          <w:ilvl w:val="0"/>
          <w:numId w:val="96"/>
        </w:numPr>
        <w:rPr>
          <w:rFonts w:cs="Times New Roman"/>
        </w:rPr>
      </w:pPr>
      <w:r w:rsidRPr="00B25E08">
        <w:rPr>
          <w:rFonts w:cs="Times New Roman"/>
        </w:rPr>
        <w:t>By its nature, the agricultural industry is subject to many volatilities and events that</w:t>
      </w:r>
      <w:r w:rsidR="00DC5966" w:rsidRPr="00B25E08">
        <w:rPr>
          <w:rFonts w:cs="Times New Roman"/>
        </w:rPr>
        <w:t xml:space="preserve"> have a particularly challenging impact on the industry</w:t>
      </w:r>
      <w:r w:rsidRPr="00B25E08">
        <w:rPr>
          <w:rFonts w:cs="Times New Roman"/>
        </w:rPr>
        <w:t>. These unique complexities require that FHA be regulated in a way that is appropriately targeted to commercial farmers and their partners and their financial assistance needs. The use of delegated legislation in this context enables the</w:t>
      </w:r>
      <w:r w:rsidR="00DC5966" w:rsidRPr="00B25E08">
        <w:rPr>
          <w:rFonts w:cs="Times New Roman"/>
        </w:rPr>
        <w:t xml:space="preserve"> government to</w:t>
      </w:r>
      <w:r w:rsidRPr="00B25E08">
        <w:rPr>
          <w:rFonts w:cs="Times New Roman"/>
        </w:rPr>
        <w:t xml:space="preserve"> </w:t>
      </w:r>
      <w:r w:rsidR="00231AC7" w:rsidRPr="00B25E08">
        <w:rPr>
          <w:rFonts w:cs="Times New Roman"/>
        </w:rPr>
        <w:t>address</w:t>
      </w:r>
      <w:r w:rsidRPr="00B25E08">
        <w:rPr>
          <w:rFonts w:cs="Times New Roman"/>
        </w:rPr>
        <w:t xml:space="preserve"> changing and uncertain circumstances in the sector</w:t>
      </w:r>
      <w:r w:rsidR="00DC5966" w:rsidRPr="00B25E08">
        <w:rPr>
          <w:rFonts w:cs="Times New Roman"/>
        </w:rPr>
        <w:t xml:space="preserve"> </w:t>
      </w:r>
      <w:r w:rsidR="00231AC7" w:rsidRPr="00B25E08">
        <w:rPr>
          <w:rFonts w:cs="Times New Roman"/>
        </w:rPr>
        <w:t>in a timely way</w:t>
      </w:r>
      <w:r w:rsidRPr="00B25E08">
        <w:rPr>
          <w:rFonts w:cs="Times New Roman"/>
        </w:rPr>
        <w:t>, as well as ensuring that the administration of payments and the assessment of claims can be processed</w:t>
      </w:r>
      <w:r w:rsidR="00803760" w:rsidRPr="00B25E08">
        <w:rPr>
          <w:rFonts w:cs="Times New Roman"/>
        </w:rPr>
        <w:t xml:space="preserve"> to meet the needs of FHA recipients</w:t>
      </w:r>
      <w:r w:rsidR="006E7F6B" w:rsidRPr="00B25E08">
        <w:rPr>
          <w:rFonts w:cs="Times New Roman"/>
        </w:rPr>
        <w:t>.</w:t>
      </w:r>
    </w:p>
    <w:p w14:paraId="3D31BCE4" w14:textId="77777777" w:rsidR="00B25E08" w:rsidRDefault="00B25E08" w:rsidP="00B25E08">
      <w:pPr>
        <w:pStyle w:val="ListParagraph"/>
        <w:ind w:left="360"/>
        <w:rPr>
          <w:rFonts w:cs="Times New Roman"/>
        </w:rPr>
      </w:pPr>
    </w:p>
    <w:p w14:paraId="1719AB1B" w14:textId="7C52E196" w:rsidR="00DE6610" w:rsidRPr="00B25E08" w:rsidRDefault="00DE6610" w:rsidP="00B25E08">
      <w:pPr>
        <w:pStyle w:val="ListParagraph"/>
        <w:numPr>
          <w:ilvl w:val="0"/>
          <w:numId w:val="96"/>
        </w:numPr>
        <w:rPr>
          <w:rFonts w:cs="Times New Roman"/>
        </w:rPr>
      </w:pPr>
      <w:r w:rsidRPr="00B25E08">
        <w:rPr>
          <w:rFonts w:cs="Times New Roman"/>
        </w:rPr>
        <w:t>The Rules provide detail around core concepts contained in the primary legislation</w:t>
      </w:r>
      <w:r w:rsidR="00671425" w:rsidRPr="00B25E08">
        <w:rPr>
          <w:rFonts w:cs="Times New Roman"/>
        </w:rPr>
        <w:t>.</w:t>
      </w:r>
      <w:r w:rsidRPr="00B25E08">
        <w:rPr>
          <w:rFonts w:cs="Times New Roman"/>
        </w:rPr>
        <w:t xml:space="preserve">    </w:t>
      </w:r>
      <w:r w:rsidR="00671425" w:rsidRPr="00B25E08">
        <w:rPr>
          <w:rFonts w:cs="Times New Roman"/>
        </w:rPr>
        <w:t xml:space="preserve">This is necessary to </w:t>
      </w:r>
      <w:r w:rsidRPr="00B25E08">
        <w:rPr>
          <w:rFonts w:cs="Times New Roman"/>
        </w:rPr>
        <w:t>ensure greater clarity and ease of interpretation of concepts dealt with in the primary legislation</w:t>
      </w:r>
      <w:r w:rsidR="00671425" w:rsidRPr="00B25E08">
        <w:rPr>
          <w:rFonts w:cs="Times New Roman"/>
        </w:rPr>
        <w:t xml:space="preserve"> and</w:t>
      </w:r>
      <w:r w:rsidRPr="00B25E08">
        <w:rPr>
          <w:rFonts w:cs="Times New Roman"/>
        </w:rPr>
        <w:t xml:space="preserve"> facilitate appropriate administrative flexibility to support the FHA scheme</w:t>
      </w:r>
      <w:r w:rsidR="00671425" w:rsidRPr="00B25E08">
        <w:rPr>
          <w:rFonts w:cs="Times New Roman"/>
        </w:rPr>
        <w:t xml:space="preserve"> and</w:t>
      </w:r>
      <w:r w:rsidRPr="00B25E08">
        <w:rPr>
          <w:rStyle w:val="ui-provider"/>
          <w:rFonts w:cs="Times New Roman"/>
        </w:rPr>
        <w:t xml:space="preserve"> accommodate </w:t>
      </w:r>
      <w:r w:rsidR="00671425" w:rsidRPr="00B25E08">
        <w:rPr>
          <w:rStyle w:val="ui-provider"/>
          <w:rFonts w:cs="Times New Roman"/>
        </w:rPr>
        <w:t xml:space="preserve">the </w:t>
      </w:r>
      <w:r w:rsidRPr="00B25E08">
        <w:rPr>
          <w:rStyle w:val="ui-provider"/>
          <w:rFonts w:cs="Times New Roman"/>
        </w:rPr>
        <w:t>different commercial and legal structures and business models</w:t>
      </w:r>
      <w:r w:rsidR="00671425" w:rsidRPr="00B25E08">
        <w:rPr>
          <w:rStyle w:val="ui-provider"/>
          <w:rFonts w:cs="Times New Roman"/>
        </w:rPr>
        <w:t xml:space="preserve"> used by FHA recipients</w:t>
      </w:r>
      <w:r w:rsidRPr="00B25E08">
        <w:rPr>
          <w:rStyle w:val="ui-provider"/>
          <w:rFonts w:cs="Times New Roman"/>
        </w:rPr>
        <w:t xml:space="preserve">. </w:t>
      </w:r>
    </w:p>
    <w:p w14:paraId="6FB76332" w14:textId="06991DEE" w:rsidR="00F167EC" w:rsidRPr="007524D9" w:rsidRDefault="00F167EC" w:rsidP="006B7E7A">
      <w:pPr>
        <w:rPr>
          <w:bCs/>
        </w:rPr>
      </w:pPr>
      <w:r w:rsidRPr="006B7E7A">
        <w:rPr>
          <w:b/>
          <w:bCs/>
        </w:rPr>
        <w:t xml:space="preserve">Details of the </w:t>
      </w:r>
      <w:r w:rsidR="00DF6AE9" w:rsidRPr="006B7E7A">
        <w:rPr>
          <w:b/>
          <w:bCs/>
        </w:rPr>
        <w:t>Instrument</w:t>
      </w:r>
    </w:p>
    <w:p w14:paraId="4DF80AF7" w14:textId="60A6EF0D" w:rsidR="002B1DB3" w:rsidRPr="00E76AB5" w:rsidRDefault="00F167EC" w:rsidP="00B25E08">
      <w:pPr>
        <w:pStyle w:val="ListParagraph"/>
        <w:numPr>
          <w:ilvl w:val="0"/>
          <w:numId w:val="96"/>
        </w:numPr>
      </w:pPr>
      <w:r>
        <w:t xml:space="preserve">Details of </w:t>
      </w:r>
      <w:r w:rsidRPr="008A183A">
        <w:t>the</w:t>
      </w:r>
      <w:r>
        <w:t xml:space="preserve"> provisions of </w:t>
      </w:r>
      <w:r w:rsidR="004618D2">
        <w:t>the Rules</w:t>
      </w:r>
      <w:r w:rsidR="00284893">
        <w:t xml:space="preserve"> </w:t>
      </w:r>
      <w:r>
        <w:t xml:space="preserve">are at </w:t>
      </w:r>
      <w:r w:rsidR="00F4147E" w:rsidRPr="00B25E08">
        <w:rPr>
          <w:u w:val="single"/>
        </w:rPr>
        <w:fldChar w:fldCharType="begin"/>
      </w:r>
      <w:r w:rsidR="00F4147E" w:rsidRPr="00B25E08">
        <w:rPr>
          <w:u w:val="single"/>
        </w:rPr>
        <w:instrText xml:space="preserve"> REF _Ref160722171 \r \h  \* MERGEFORMAT </w:instrText>
      </w:r>
      <w:r w:rsidR="00F4147E" w:rsidRPr="00B25E08">
        <w:rPr>
          <w:u w:val="single"/>
        </w:rPr>
      </w:r>
      <w:r w:rsidR="00F4147E" w:rsidRPr="00B25E08">
        <w:rPr>
          <w:u w:val="single"/>
        </w:rPr>
        <w:fldChar w:fldCharType="separate"/>
      </w:r>
      <w:r w:rsidR="00BA5C35" w:rsidRPr="00B25E08">
        <w:rPr>
          <w:u w:val="single"/>
        </w:rPr>
        <w:t>Attachment A</w:t>
      </w:r>
      <w:r w:rsidR="00F4147E" w:rsidRPr="00B25E08">
        <w:rPr>
          <w:u w:val="single"/>
        </w:rPr>
        <w:fldChar w:fldCharType="end"/>
      </w:r>
      <w:r>
        <w:t>.</w:t>
      </w:r>
    </w:p>
    <w:p w14:paraId="3FC9771A" w14:textId="0FC6DBE7" w:rsidR="002B1DB3" w:rsidRPr="007524D9" w:rsidRDefault="002B1DB3" w:rsidP="006B7E7A">
      <w:pPr>
        <w:rPr>
          <w:bCs/>
        </w:rPr>
      </w:pPr>
      <w:r w:rsidRPr="00140759">
        <w:rPr>
          <w:b/>
          <w:bCs/>
        </w:rPr>
        <w:t xml:space="preserve">Impact and </w:t>
      </w:r>
      <w:r w:rsidR="008D0E40" w:rsidRPr="00140759">
        <w:rPr>
          <w:b/>
          <w:bCs/>
        </w:rPr>
        <w:t>e</w:t>
      </w:r>
      <w:r w:rsidRPr="00140759">
        <w:rPr>
          <w:b/>
          <w:bCs/>
        </w:rPr>
        <w:t>ffect</w:t>
      </w:r>
    </w:p>
    <w:p w14:paraId="1D0A58AC" w14:textId="097EEB86" w:rsidR="00A92477" w:rsidRPr="00A92477" w:rsidRDefault="00A92477" w:rsidP="00B25E08">
      <w:pPr>
        <w:pStyle w:val="ListParagraph"/>
        <w:numPr>
          <w:ilvl w:val="0"/>
          <w:numId w:val="96"/>
        </w:numPr>
      </w:pPr>
      <w:r w:rsidRPr="00502436">
        <w:t>The</w:t>
      </w:r>
      <w:r w:rsidR="00E324A0" w:rsidRPr="00502436">
        <w:t xml:space="preserve"> impact and effect of</w:t>
      </w:r>
      <w:r w:rsidR="00E324A0">
        <w:t xml:space="preserve"> the key</w:t>
      </w:r>
      <w:r>
        <w:t xml:space="preserve"> measures contained in the instrument</w:t>
      </w:r>
      <w:r w:rsidR="00E324A0">
        <w:t xml:space="preserve"> are addressed in turn below.</w:t>
      </w:r>
    </w:p>
    <w:p w14:paraId="609B8299" w14:textId="77777777" w:rsidR="00A62298" w:rsidRPr="007524D9" w:rsidRDefault="00A62298" w:rsidP="006B7E7A">
      <w:pPr>
        <w:rPr>
          <w:rFonts w:ascii="Arial" w:hAnsi="Arial"/>
        </w:rPr>
      </w:pPr>
      <w:r w:rsidRPr="006B7E7A">
        <w:rPr>
          <w:u w:val="single"/>
        </w:rPr>
        <w:t>Activity supplement and farm financial assessment supplement</w:t>
      </w:r>
    </w:p>
    <w:p w14:paraId="6657F9C1" w14:textId="6CB84B7E" w:rsidR="00706350" w:rsidRPr="00B25E08" w:rsidRDefault="00C213A2" w:rsidP="00B25E08">
      <w:pPr>
        <w:pStyle w:val="ListParagraph"/>
        <w:numPr>
          <w:ilvl w:val="0"/>
          <w:numId w:val="96"/>
        </w:numPr>
        <w:rPr>
          <w:rFonts w:ascii="Arial" w:hAnsi="Arial"/>
        </w:rPr>
      </w:pPr>
      <w:r>
        <w:t>The</w:t>
      </w:r>
      <w:r w:rsidR="00AE653B">
        <w:t xml:space="preserve"> Rules</w:t>
      </w:r>
      <w:r w:rsidR="00DF6AE9">
        <w:t xml:space="preserve"> will</w:t>
      </w:r>
      <w:r w:rsidR="004631BC" w:rsidRPr="004631BC">
        <w:t xml:space="preserve"> </w:t>
      </w:r>
      <w:r w:rsidR="001568EF">
        <w:t>maintain the settings of the 2014 Minister’s Rule</w:t>
      </w:r>
      <w:r w:rsidR="00EB46CD">
        <w:t xml:space="preserve"> in respect of</w:t>
      </w:r>
      <w:r w:rsidR="001568EF">
        <w:t xml:space="preserve"> maximum amounts of activity </w:t>
      </w:r>
      <w:r w:rsidR="001568EF" w:rsidRPr="008A183A">
        <w:t>supplement</w:t>
      </w:r>
      <w:r w:rsidR="001568EF">
        <w:t xml:space="preserve"> and farm financial assessment supplement</w:t>
      </w:r>
      <w:r w:rsidR="006F0FE3">
        <w:t>.</w:t>
      </w:r>
      <w:r w:rsidR="002A2C4D">
        <w:t xml:space="preserve"> </w:t>
      </w:r>
      <w:r w:rsidR="00472890">
        <w:t xml:space="preserve">Accordingly, the </w:t>
      </w:r>
      <w:r w:rsidR="002A2C4D">
        <w:t>impact and effect of these measures are unchanged.</w:t>
      </w:r>
    </w:p>
    <w:p w14:paraId="54E9F6D0" w14:textId="606E9D08" w:rsidR="00A62298" w:rsidRPr="007524D9" w:rsidRDefault="00A62298" w:rsidP="006B7E7A">
      <w:r w:rsidRPr="006B7E7A">
        <w:rPr>
          <w:u w:val="single"/>
        </w:rPr>
        <w:t xml:space="preserve">Reduction of ordinary income by reference to </w:t>
      </w:r>
      <w:r w:rsidR="00B21173">
        <w:rPr>
          <w:u w:val="single"/>
        </w:rPr>
        <w:t>the overall operating</w:t>
      </w:r>
      <w:r w:rsidR="00DC4DAB">
        <w:rPr>
          <w:u w:val="single"/>
        </w:rPr>
        <w:t xml:space="preserve"> </w:t>
      </w:r>
      <w:r w:rsidRPr="006B7E7A">
        <w:rPr>
          <w:u w:val="single"/>
        </w:rPr>
        <w:t>loss</w:t>
      </w:r>
      <w:r w:rsidR="00B21173">
        <w:rPr>
          <w:u w:val="single"/>
        </w:rPr>
        <w:t xml:space="preserve"> of a farm enterprise and related business</w:t>
      </w:r>
    </w:p>
    <w:p w14:paraId="2C4FDBA1" w14:textId="069B61E5" w:rsidR="00A62298" w:rsidRPr="00DB6D6F" w:rsidRDefault="00A62298" w:rsidP="00B25E08">
      <w:pPr>
        <w:pStyle w:val="ListParagraph"/>
        <w:numPr>
          <w:ilvl w:val="0"/>
          <w:numId w:val="96"/>
        </w:numPr>
      </w:pPr>
      <w:r w:rsidRPr="00DB6D6F">
        <w:t>Part 2</w:t>
      </w:r>
      <w:r w:rsidR="008870AC">
        <w:t xml:space="preserve"> of</w:t>
      </w:r>
      <w:r w:rsidRPr="00DB6D6F">
        <w:t xml:space="preserve"> Division 8 of the Act sets out the process for calculating the rate of FHA. That process uses, with modifications, the processes</w:t>
      </w:r>
      <w:r w:rsidR="008870AC">
        <w:t xml:space="preserve"> prescribed by</w:t>
      </w:r>
      <w:r w:rsidRPr="00DB6D6F">
        <w:t xml:space="preserve"> the</w:t>
      </w:r>
      <w:r>
        <w:t xml:space="preserve"> Social Security Act</w:t>
      </w:r>
      <w:r w:rsidRPr="00DB6D6F">
        <w:t>, including an income test. The income test is based on working out the ordinary income, for a tax year, of the claimant for</w:t>
      </w:r>
      <w:r w:rsidR="008870AC">
        <w:t>,</w:t>
      </w:r>
      <w:r w:rsidRPr="00DB6D6F">
        <w:t xml:space="preserve"> or recipient of</w:t>
      </w:r>
      <w:r w:rsidR="008870AC">
        <w:t>,</w:t>
      </w:r>
      <w:r w:rsidRPr="00DB6D6F">
        <w:t xml:space="preserve"> FHA under Part 3.10 of the </w:t>
      </w:r>
      <w:r>
        <w:t>Social Security Act</w:t>
      </w:r>
      <w:r w:rsidRPr="00DB6D6F">
        <w:t>. There is also an assets test.</w:t>
      </w:r>
    </w:p>
    <w:p w14:paraId="195C694F" w14:textId="446CDA89" w:rsidR="00A62298" w:rsidRDefault="00A62298" w:rsidP="00B25E08">
      <w:pPr>
        <w:pStyle w:val="ListParagraph"/>
        <w:numPr>
          <w:ilvl w:val="0"/>
          <w:numId w:val="96"/>
        </w:numPr>
      </w:pPr>
      <w:r>
        <w:lastRenderedPageBreak/>
        <w:t>Section 67 of the Act provides</w:t>
      </w:r>
      <w:r w:rsidR="00F773D2">
        <w:t xml:space="preserve"> that</w:t>
      </w:r>
      <w:r w:rsidR="009874C4">
        <w:t xml:space="preserve">, for </w:t>
      </w:r>
      <w:r w:rsidRPr="00A24F17">
        <w:t>the purpose of working out the rate of farm household allowance for a person, the person’s ordinary income for a tax year, worked out under Part 3.10 of the Social Security Act, is to be reduced in accordance with Minister’s rules made for the purposes of this section.</w:t>
      </w:r>
    </w:p>
    <w:p w14:paraId="54FDC05A" w14:textId="77777777" w:rsidR="00B25E08" w:rsidRPr="00A24F17" w:rsidRDefault="00B25E08" w:rsidP="00B25E08">
      <w:pPr>
        <w:pStyle w:val="ListParagraph"/>
        <w:ind w:left="360"/>
      </w:pPr>
    </w:p>
    <w:p w14:paraId="3B09B3D1" w14:textId="77777777" w:rsidR="00B25E08" w:rsidRDefault="00A62298" w:rsidP="00537033">
      <w:pPr>
        <w:pStyle w:val="ListParagraph"/>
        <w:numPr>
          <w:ilvl w:val="0"/>
          <w:numId w:val="96"/>
        </w:numPr>
      </w:pPr>
      <w:r>
        <w:t xml:space="preserve">Under the Social Security Act, amounts </w:t>
      </w:r>
      <w:r w:rsidR="00C35E4F">
        <w:t xml:space="preserve">defined </w:t>
      </w:r>
      <w:r>
        <w:t xml:space="preserve">as income from a range of sources count towards the ordinary income of the claimant. However, </w:t>
      </w:r>
      <w:r w:rsidR="004D4AFC">
        <w:t xml:space="preserve">a </w:t>
      </w:r>
      <w:r w:rsidRPr="00B25E08">
        <w:rPr>
          <w:u w:val="single"/>
        </w:rPr>
        <w:t>loss</w:t>
      </w:r>
      <w:r>
        <w:t xml:space="preserve"> from the relevant farm enterprise do</w:t>
      </w:r>
      <w:r w:rsidR="009106C2">
        <w:t>es</w:t>
      </w:r>
      <w:r w:rsidR="00325FF2">
        <w:t xml:space="preserve"> </w:t>
      </w:r>
      <w:r>
        <w:t>not go to</w:t>
      </w:r>
      <w:r w:rsidR="007C51B7">
        <w:t>ward</w:t>
      </w:r>
      <w:r>
        <w:t xml:space="preserve"> reducing the ordinary income, nor </w:t>
      </w:r>
      <w:r w:rsidR="002A2C4D">
        <w:t>do</w:t>
      </w:r>
      <w:r w:rsidR="00495A83">
        <w:t>es</w:t>
      </w:r>
      <w:r>
        <w:t xml:space="preserve"> </w:t>
      </w:r>
      <w:r w:rsidR="00495A83">
        <w:t>a loss</w:t>
      </w:r>
      <w:r>
        <w:t xml:space="preserve"> from businesses related to the farm enterprise. </w:t>
      </w:r>
    </w:p>
    <w:p w14:paraId="7E44329D" w14:textId="77777777" w:rsidR="00B25E08" w:rsidRDefault="00B25E08" w:rsidP="00B25E08">
      <w:pPr>
        <w:pStyle w:val="ListParagraph"/>
      </w:pPr>
    </w:p>
    <w:p w14:paraId="19DDE504" w14:textId="77777777" w:rsidR="00B25E08" w:rsidRDefault="002F0387" w:rsidP="00537033">
      <w:pPr>
        <w:pStyle w:val="ListParagraph"/>
        <w:numPr>
          <w:ilvl w:val="0"/>
          <w:numId w:val="96"/>
        </w:numPr>
      </w:pPr>
      <w:r>
        <w:t>Consistent with existing government policy</w:t>
      </w:r>
      <w:r w:rsidR="001C6903">
        <w:t xml:space="preserve"> and</w:t>
      </w:r>
      <w:r w:rsidR="009B246C">
        <w:t xml:space="preserve"> reflecting</w:t>
      </w:r>
      <w:r w:rsidR="001C6903">
        <w:t xml:space="preserve"> the recommendations of a 2018 independent review</w:t>
      </w:r>
      <w:r>
        <w:t xml:space="preserve">, </w:t>
      </w:r>
      <w:r w:rsidR="00495A83">
        <w:t>a loss</w:t>
      </w:r>
      <w:r w:rsidR="00A62298">
        <w:t xml:space="preserve"> in the farm enterprise, </w:t>
      </w:r>
      <w:r w:rsidR="00A62298" w:rsidRPr="00B25E08">
        <w:rPr>
          <w:u w:val="single"/>
        </w:rPr>
        <w:t>and</w:t>
      </w:r>
      <w:r w:rsidR="00A62298">
        <w:t xml:space="preserve"> in other “related” businesses, </w:t>
      </w:r>
      <w:r w:rsidR="00C35E4F">
        <w:t xml:space="preserve">can </w:t>
      </w:r>
      <w:r w:rsidR="00A62298">
        <w:t xml:space="preserve">be offset against the claimant’s ordinary income for a tax year, </w:t>
      </w:r>
      <w:r w:rsidR="00F53F19">
        <w:t xml:space="preserve">while maintaining the specified limits </w:t>
      </w:r>
      <w:r w:rsidR="007E0BEA">
        <w:t xml:space="preserve">of </w:t>
      </w:r>
      <w:r w:rsidR="00F53F19">
        <w:t>the maximum amount of the reduction prescribed by the 2014 Minister’s Rule</w:t>
      </w:r>
      <w:r w:rsidR="00A62298" w:rsidRPr="00403C02">
        <w:t>.</w:t>
      </w:r>
      <w:r w:rsidR="001C7C13" w:rsidRPr="001C7C13">
        <w:t xml:space="preserve"> </w:t>
      </w:r>
      <w:r w:rsidR="005540BE">
        <w:t xml:space="preserve">To </w:t>
      </w:r>
      <w:r w:rsidR="006600AE">
        <w:t xml:space="preserve">further </w:t>
      </w:r>
      <w:r>
        <w:t>support</w:t>
      </w:r>
      <w:r w:rsidR="005540BE">
        <w:t xml:space="preserve"> this policy objective</w:t>
      </w:r>
      <w:r w:rsidR="00DD2A2C">
        <w:t>, t</w:t>
      </w:r>
      <w:r w:rsidR="005540BE">
        <w:t>he Rules</w:t>
      </w:r>
      <w:r w:rsidR="00A8267A">
        <w:t xml:space="preserve"> </w:t>
      </w:r>
      <w:r w:rsidR="00470C2C">
        <w:t>clarif</w:t>
      </w:r>
      <w:r w:rsidR="005540BE">
        <w:t>y</w:t>
      </w:r>
      <w:r w:rsidR="00470C2C">
        <w:t xml:space="preserve"> the definition of a “related business</w:t>
      </w:r>
      <w:r w:rsidR="00FB553D">
        <w:t>”</w:t>
      </w:r>
      <w:r w:rsidR="000007C8">
        <w:t xml:space="preserve"> by setting out</w:t>
      </w:r>
      <w:r w:rsidR="00801D98">
        <w:t xml:space="preserve"> three cumulative </w:t>
      </w:r>
      <w:r w:rsidR="00EB69C6">
        <w:t>tests for whether a business is ‘related’ to a farm enterprise</w:t>
      </w:r>
      <w:r>
        <w:t xml:space="preserve">. This will ensure that the relationship between farm enterprises and related businesses is clear </w:t>
      </w:r>
      <w:r w:rsidR="006600AE">
        <w:t xml:space="preserve">for the </w:t>
      </w:r>
      <w:r>
        <w:t>purposes of applying the offset</w:t>
      </w:r>
      <w:r w:rsidR="00EB69C6">
        <w:t>.</w:t>
      </w:r>
    </w:p>
    <w:p w14:paraId="70A799E0" w14:textId="77777777" w:rsidR="00B25E08" w:rsidRDefault="00B25E08" w:rsidP="00B25E08">
      <w:pPr>
        <w:pStyle w:val="ListParagraph"/>
      </w:pPr>
    </w:p>
    <w:p w14:paraId="3AB465CC" w14:textId="77777777" w:rsidR="00B25E08" w:rsidRDefault="009B32B6" w:rsidP="00537033">
      <w:pPr>
        <w:pStyle w:val="ListParagraph"/>
        <w:numPr>
          <w:ilvl w:val="0"/>
          <w:numId w:val="96"/>
        </w:numPr>
      </w:pPr>
      <w:r>
        <w:t>Part 2 provides a detailed method for working out the amount of the reduction of a person’s ordinary income</w:t>
      </w:r>
      <w:r w:rsidRPr="005745FA">
        <w:t xml:space="preserve"> </w:t>
      </w:r>
      <w:r>
        <w:t xml:space="preserve">by reference to losses in related businesses, while maintaining the maximum amount of the overall operating loss to reduce ordinary income prescribed by the 2014 Minister’s Rule. </w:t>
      </w:r>
      <w:r w:rsidR="00412205">
        <w:t xml:space="preserve"> The</w:t>
      </w:r>
      <w:r>
        <w:t xml:space="preserve"> Rules</w:t>
      </w:r>
      <w:r w:rsidR="00412205">
        <w:t xml:space="preserve"> clarify the application of the income test to give greater assurance that it will achieve the policy objectives of the FHA arrangements.</w:t>
      </w:r>
    </w:p>
    <w:p w14:paraId="35B20F9D" w14:textId="77777777" w:rsidR="00B25E08" w:rsidRDefault="00B25E08" w:rsidP="00B25E08">
      <w:pPr>
        <w:pStyle w:val="ListParagraph"/>
      </w:pPr>
    </w:p>
    <w:p w14:paraId="2BBB31C2" w14:textId="77777777" w:rsidR="00B25E08" w:rsidRDefault="006C5A9E" w:rsidP="00537033">
      <w:pPr>
        <w:pStyle w:val="ListParagraph"/>
        <w:numPr>
          <w:ilvl w:val="0"/>
          <w:numId w:val="96"/>
        </w:numPr>
      </w:pPr>
      <w:r>
        <w:t>T</w:t>
      </w:r>
      <w:r w:rsidRPr="003B6A46">
        <w:t xml:space="preserve">he </w:t>
      </w:r>
      <w:r w:rsidR="00F353C2">
        <w:t xml:space="preserve">Rules </w:t>
      </w:r>
      <w:r w:rsidRPr="003B6A46">
        <w:t>do not distinguish between the various ways in w</w:t>
      </w:r>
      <w:r w:rsidRPr="00BD2640">
        <w:t>hich commercial enterprises can be structured.</w:t>
      </w:r>
      <w:r w:rsidR="00A724B8">
        <w:t xml:space="preserve"> </w:t>
      </w:r>
      <w:r w:rsidR="006600AE">
        <w:t>T</w:t>
      </w:r>
      <w:r w:rsidR="00F353C2" w:rsidRPr="009B32B6">
        <w:t xml:space="preserve">he </w:t>
      </w:r>
      <w:r w:rsidR="00DE40C2" w:rsidRPr="009B32B6">
        <w:t>policy</w:t>
      </w:r>
      <w:r w:rsidR="00A62298" w:rsidRPr="009B32B6">
        <w:t xml:space="preserve"> intention</w:t>
      </w:r>
      <w:r w:rsidR="00185A52" w:rsidRPr="009B32B6">
        <w:t xml:space="preserve">, which is </w:t>
      </w:r>
      <w:r w:rsidR="00584C2A" w:rsidRPr="009B32B6">
        <w:t xml:space="preserve">reflected in the </w:t>
      </w:r>
      <w:r w:rsidR="00946BC9" w:rsidRPr="009B32B6">
        <w:t>Rules,</w:t>
      </w:r>
      <w:r w:rsidR="00A62298" w:rsidRPr="009B32B6">
        <w:t xml:space="preserve"> is </w:t>
      </w:r>
      <w:r w:rsidR="00DE40C2" w:rsidRPr="009B32B6">
        <w:t>that</w:t>
      </w:r>
      <w:r w:rsidR="00232A6A" w:rsidRPr="009B32B6">
        <w:t xml:space="preserve"> access to </w:t>
      </w:r>
      <w:r w:rsidR="00A81749" w:rsidRPr="009B32B6">
        <w:t xml:space="preserve">the overall </w:t>
      </w:r>
      <w:r w:rsidR="00631663" w:rsidRPr="009B32B6">
        <w:t xml:space="preserve">operating </w:t>
      </w:r>
      <w:r w:rsidR="00232A6A" w:rsidRPr="009B32B6">
        <w:t>loss</w:t>
      </w:r>
      <w:r w:rsidR="00D04150" w:rsidRPr="009B32B6">
        <w:t>, for income test purposes,</w:t>
      </w:r>
      <w:r w:rsidR="00232A6A" w:rsidRPr="009B32B6">
        <w:t xml:space="preserve"> </w:t>
      </w:r>
      <w:r w:rsidR="00D04150" w:rsidRPr="009B32B6">
        <w:t>should not depend on t</w:t>
      </w:r>
      <w:r w:rsidR="00232A6A" w:rsidRPr="009B32B6">
        <w:t>he legal or commercial structure of the farm enterprise or the related business.</w:t>
      </w:r>
      <w:r w:rsidR="008A247C" w:rsidRPr="009B32B6">
        <w:t xml:space="preserve"> The business’ loss </w:t>
      </w:r>
      <w:r w:rsidR="00EA0611" w:rsidRPr="009B32B6">
        <w:t>(although not directly incurred by the farmer</w:t>
      </w:r>
      <w:r w:rsidR="00A81749" w:rsidRPr="009B32B6">
        <w:t xml:space="preserve"> or their partner</w:t>
      </w:r>
      <w:r w:rsidR="004E5484" w:rsidRPr="009B32B6">
        <w:t>)</w:t>
      </w:r>
      <w:r w:rsidR="00EA0611" w:rsidRPr="009B32B6">
        <w:t xml:space="preserve">, </w:t>
      </w:r>
      <w:r w:rsidR="003C1E86" w:rsidRPr="009B32B6">
        <w:t xml:space="preserve">should be </w:t>
      </w:r>
      <w:proofErr w:type="gramStart"/>
      <w:r w:rsidR="003C1E86" w:rsidRPr="009B32B6">
        <w:t>taken into account</w:t>
      </w:r>
      <w:proofErr w:type="gramEnd"/>
      <w:r w:rsidR="003C1E86" w:rsidRPr="009B32B6">
        <w:t xml:space="preserve"> (within limits) to reduce </w:t>
      </w:r>
      <w:r w:rsidR="00A81749" w:rsidRPr="009B32B6">
        <w:t xml:space="preserve">their </w:t>
      </w:r>
      <w:r w:rsidR="003C1E86" w:rsidRPr="009B32B6">
        <w:t>ordinary income for FHA income test purposes</w:t>
      </w:r>
      <w:r w:rsidR="000F5C55" w:rsidRPr="009B32B6">
        <w:t xml:space="preserve">, irrespective of the </w:t>
      </w:r>
      <w:r w:rsidR="008870AC" w:rsidRPr="009B32B6">
        <w:t xml:space="preserve">legal or </w:t>
      </w:r>
      <w:r w:rsidR="000F5C55" w:rsidRPr="009B32B6">
        <w:t>commercial structure of the</w:t>
      </w:r>
      <w:r w:rsidR="008870AC" w:rsidRPr="009B32B6">
        <w:t xml:space="preserve"> farm enterprise or</w:t>
      </w:r>
      <w:r w:rsidR="000F5C55" w:rsidRPr="009B32B6">
        <w:t xml:space="preserve"> </w:t>
      </w:r>
      <w:r w:rsidR="00A81749" w:rsidRPr="009B32B6">
        <w:t xml:space="preserve">related </w:t>
      </w:r>
      <w:r w:rsidR="000F5C55" w:rsidRPr="009B32B6">
        <w:t>business</w:t>
      </w:r>
      <w:r w:rsidR="003C1E86" w:rsidRPr="009B32B6">
        <w:t>.</w:t>
      </w:r>
      <w:r w:rsidR="00B25E08">
        <w:t xml:space="preserve"> </w:t>
      </w:r>
    </w:p>
    <w:p w14:paraId="4770B86B" w14:textId="77777777" w:rsidR="00B25E08" w:rsidRDefault="00B25E08" w:rsidP="00B25E08">
      <w:pPr>
        <w:pStyle w:val="ListParagraph"/>
      </w:pPr>
    </w:p>
    <w:p w14:paraId="3D94B3DF" w14:textId="422F4D74" w:rsidR="006F17B8" w:rsidRPr="006375DE" w:rsidRDefault="008043FD" w:rsidP="00537033">
      <w:pPr>
        <w:pStyle w:val="ListParagraph"/>
        <w:numPr>
          <w:ilvl w:val="0"/>
          <w:numId w:val="96"/>
        </w:numPr>
      </w:pPr>
      <w:r w:rsidRPr="00D17FE4">
        <w:t>The Office of Best Practice Regulation was consulted in relation to the 2014 Minister’s Rule</w:t>
      </w:r>
      <w:r>
        <w:t xml:space="preserve">. It </w:t>
      </w:r>
      <w:r w:rsidRPr="00D17FE4">
        <w:t>considered that the Rule had minor impacts and that, therefore</w:t>
      </w:r>
      <w:r w:rsidRPr="00AB7E06">
        <w:t>,</w:t>
      </w:r>
      <w:r w:rsidRPr="00D17FE4">
        <w:t xml:space="preserve"> a Regulation Impact Statement was not required (OBPR Reference Number: 16411). The Office of Impact Analysis (</w:t>
      </w:r>
      <w:r w:rsidRPr="00B25E08">
        <w:rPr>
          <w:b/>
        </w:rPr>
        <w:t>OIA</w:t>
      </w:r>
      <w:r w:rsidRPr="00D17FE4">
        <w:t xml:space="preserve">) was consulted on the </w:t>
      </w:r>
      <w:r w:rsidR="007E0BEA">
        <w:t>Rules</w:t>
      </w:r>
      <w:r>
        <w:t xml:space="preserve">. It </w:t>
      </w:r>
      <w:r w:rsidRPr="00D17FE4">
        <w:t>confirmed</w:t>
      </w:r>
      <w:r>
        <w:t xml:space="preserve"> that a</w:t>
      </w:r>
      <w:r w:rsidR="00F353C2">
        <w:t>n</w:t>
      </w:r>
      <w:r>
        <w:t xml:space="preserve"> </w:t>
      </w:r>
      <w:r w:rsidR="00F353C2">
        <w:t>I</w:t>
      </w:r>
      <w:r w:rsidRPr="009205FF">
        <w:t xml:space="preserve">mpact </w:t>
      </w:r>
      <w:r w:rsidR="00F353C2">
        <w:t>A</w:t>
      </w:r>
      <w:r w:rsidRPr="009205FF">
        <w:t xml:space="preserve">nalysis is not required </w:t>
      </w:r>
      <w:r>
        <w:t>(</w:t>
      </w:r>
      <w:r w:rsidRPr="009205FF">
        <w:t>Reference OIA24-07668</w:t>
      </w:r>
      <w:r>
        <w:t>)</w:t>
      </w:r>
      <w:r w:rsidRPr="00CB67A3">
        <w:t>.</w:t>
      </w:r>
    </w:p>
    <w:p w14:paraId="446A2232" w14:textId="47345459" w:rsidR="002B1DB3" w:rsidRPr="007524D9" w:rsidRDefault="002B1DB3" w:rsidP="00537033">
      <w:pPr>
        <w:rPr>
          <w:bCs/>
        </w:rPr>
      </w:pPr>
      <w:r w:rsidRPr="00D11782">
        <w:rPr>
          <w:b/>
          <w:bCs/>
        </w:rPr>
        <w:t>Consultation</w:t>
      </w:r>
    </w:p>
    <w:p w14:paraId="365B054D" w14:textId="6AE0BF40" w:rsidR="00C261CC" w:rsidRDefault="00C261CC" w:rsidP="00B25E08">
      <w:pPr>
        <w:pStyle w:val="ListParagraph"/>
        <w:numPr>
          <w:ilvl w:val="0"/>
          <w:numId w:val="96"/>
        </w:numPr>
      </w:pPr>
      <w:r>
        <w:t xml:space="preserve">Following the 2008-09 national review of drought policy, in 2010, the Australian Government, in partnership with the Western Australian Government, conducted a </w:t>
      </w:r>
      <w:r w:rsidR="00A724B8">
        <w:t>two-year</w:t>
      </w:r>
      <w:r>
        <w:t xml:space="preserve"> pilot of drought reform measures in regions of Western Australia. The pilot was reviewed in 2011 by an independent panel, which reported strong support for an income support payment for farm families in hardship, based on demonstrated individual need. FHA was developed in response to this national review and the Western Australian pilot review.</w:t>
      </w:r>
      <w:r w:rsidRPr="00E87B5F">
        <w:t xml:space="preserve"> </w:t>
      </w:r>
      <w:r>
        <w:t>The Department consulted industry stakeholders and Australian Government agencies in developing the policy supporting FHA.</w:t>
      </w:r>
    </w:p>
    <w:p w14:paraId="061A7DF0" w14:textId="77777777" w:rsidR="00B25E08" w:rsidRDefault="00B25E08" w:rsidP="00B25E08">
      <w:pPr>
        <w:pStyle w:val="ListParagraph"/>
        <w:ind w:left="360"/>
      </w:pPr>
    </w:p>
    <w:p w14:paraId="1B2BFE1B" w14:textId="77777777" w:rsidR="00B25E08" w:rsidRDefault="008F0A46" w:rsidP="00537033">
      <w:pPr>
        <w:pStyle w:val="ListParagraph"/>
        <w:numPr>
          <w:ilvl w:val="0"/>
          <w:numId w:val="96"/>
        </w:numPr>
      </w:pPr>
      <w:r>
        <w:lastRenderedPageBreak/>
        <w:t xml:space="preserve">The initial policy settings for the FHA legislation were </w:t>
      </w:r>
      <w:r w:rsidR="00C261CC">
        <w:t xml:space="preserve">informed by </w:t>
      </w:r>
      <w:r w:rsidR="00F3215C">
        <w:t xml:space="preserve">the reviews referenced </w:t>
      </w:r>
      <w:r w:rsidR="00B57D64">
        <w:t>above and</w:t>
      </w:r>
      <w:r w:rsidR="00C261CC">
        <w:t xml:space="preserve"> </w:t>
      </w:r>
      <w:r>
        <w:t xml:space="preserve">developed with significant input from the </w:t>
      </w:r>
      <w:r w:rsidRPr="003C3B82">
        <w:t>Department</w:t>
      </w:r>
      <w:r>
        <w:t>s</w:t>
      </w:r>
      <w:r w:rsidRPr="003C3B82">
        <w:t xml:space="preserve"> </w:t>
      </w:r>
      <w:proofErr w:type="gramStart"/>
      <w:r w:rsidRPr="003C3B82">
        <w:t>of</w:t>
      </w:r>
      <w:r>
        <w:t>:</w:t>
      </w:r>
      <w:proofErr w:type="gramEnd"/>
      <w:r w:rsidRPr="003C3B82">
        <w:t xml:space="preserve"> </w:t>
      </w:r>
      <w:r>
        <w:t xml:space="preserve">the </w:t>
      </w:r>
      <w:r w:rsidRPr="003C3B82">
        <w:t>Prime Minister and Cabinet</w:t>
      </w:r>
      <w:r>
        <w:t>;</w:t>
      </w:r>
      <w:r w:rsidRPr="003C3B82">
        <w:t xml:space="preserve"> </w:t>
      </w:r>
      <w:r>
        <w:t xml:space="preserve">the </w:t>
      </w:r>
      <w:r w:rsidRPr="003C3B82">
        <w:t>Treasury</w:t>
      </w:r>
      <w:r>
        <w:t>; Finance;</w:t>
      </w:r>
      <w:r w:rsidRPr="003C3B82">
        <w:t xml:space="preserve"> </w:t>
      </w:r>
      <w:r>
        <w:t xml:space="preserve">the Attorney-General; Foreign Affairs and Trade; </w:t>
      </w:r>
      <w:r w:rsidRPr="003C3B82">
        <w:t>Social Security, as well as other social policy agencies of the Australian Government</w:t>
      </w:r>
      <w:r>
        <w:t xml:space="preserve">. Industry peak bodies, including the National Farmers’ Federation, and State and Territory government agriculture departments were also consulted. </w:t>
      </w:r>
    </w:p>
    <w:p w14:paraId="01C0238F" w14:textId="77777777" w:rsidR="00B25E08" w:rsidRDefault="00B25E08" w:rsidP="00B25E08">
      <w:pPr>
        <w:pStyle w:val="ListParagraph"/>
      </w:pPr>
    </w:p>
    <w:p w14:paraId="3C8AFDB6" w14:textId="77777777" w:rsidR="00B25E08" w:rsidRDefault="00A247BE" w:rsidP="00537033">
      <w:pPr>
        <w:pStyle w:val="ListParagraph"/>
        <w:numPr>
          <w:ilvl w:val="0"/>
          <w:numId w:val="96"/>
        </w:numPr>
      </w:pPr>
      <w:r w:rsidRPr="00A24F17">
        <w:t>Broader industry consultation was not undertaken</w:t>
      </w:r>
      <w:r>
        <w:t xml:space="preserve"> on</w:t>
      </w:r>
      <w:r w:rsidRPr="00A24F17">
        <w:t xml:space="preserve"> </w:t>
      </w:r>
      <w:r w:rsidRPr="00345001">
        <w:t>the 2014 Minister’s Rule</w:t>
      </w:r>
      <w:r w:rsidR="00C614DB">
        <w:t xml:space="preserve"> as it reflects the majo</w:t>
      </w:r>
      <w:r w:rsidR="00055E35">
        <w:t xml:space="preserve">r policy settings </w:t>
      </w:r>
      <w:r w:rsidR="004A2748">
        <w:t>that were subject to detailed consultation with industry stakeholders.</w:t>
      </w:r>
    </w:p>
    <w:p w14:paraId="3B340FDA" w14:textId="77777777" w:rsidR="00B25E08" w:rsidRDefault="00B25E08" w:rsidP="00B25E08">
      <w:pPr>
        <w:pStyle w:val="ListParagraph"/>
      </w:pPr>
    </w:p>
    <w:p w14:paraId="68AE8CB4" w14:textId="77777777" w:rsidR="00B25E08" w:rsidRDefault="0005418D" w:rsidP="00537033">
      <w:pPr>
        <w:pStyle w:val="ListParagraph"/>
        <w:numPr>
          <w:ilvl w:val="0"/>
          <w:numId w:val="96"/>
        </w:numPr>
      </w:pPr>
      <w:r w:rsidRPr="006F74D8">
        <w:t>In 2018, the FHA program</w:t>
      </w:r>
      <w:r>
        <w:t xml:space="preserve"> was </w:t>
      </w:r>
      <w:r w:rsidR="00717B39">
        <w:t xml:space="preserve">comprehensively and </w:t>
      </w:r>
      <w:r>
        <w:t>independently</w:t>
      </w:r>
      <w:r w:rsidRPr="006F74D8">
        <w:t xml:space="preserve"> review</w:t>
      </w:r>
      <w:r>
        <w:t>ed</w:t>
      </w:r>
      <w:r w:rsidRPr="006F74D8">
        <w:t xml:space="preserve"> by a farmer-led </w:t>
      </w:r>
      <w:proofErr w:type="gramStart"/>
      <w:r w:rsidRPr="006F74D8">
        <w:t xml:space="preserve">panel, </w:t>
      </w:r>
      <w:r w:rsidR="00B43AA5">
        <w:t>and</w:t>
      </w:r>
      <w:proofErr w:type="gramEnd"/>
      <w:r w:rsidR="00B43AA5">
        <w:t xml:space="preserve"> </w:t>
      </w:r>
      <w:r w:rsidRPr="006F74D8">
        <w:t xml:space="preserve">included significant public consultation. </w:t>
      </w:r>
      <w:r w:rsidR="004618D2">
        <w:t>The</w:t>
      </w:r>
      <w:r w:rsidR="00E944FF">
        <w:t xml:space="preserve"> </w:t>
      </w:r>
      <w:r w:rsidR="00E944FF" w:rsidRPr="00FE05B3">
        <w:t xml:space="preserve">review </w:t>
      </w:r>
      <w:r w:rsidR="004618D2">
        <w:t>identified</w:t>
      </w:r>
      <w:r w:rsidR="000306FF">
        <w:t xml:space="preserve"> </w:t>
      </w:r>
      <w:r w:rsidR="00025BE5">
        <w:t>issues</w:t>
      </w:r>
      <w:r w:rsidR="00E709E1" w:rsidRPr="00FE05B3">
        <w:t xml:space="preserve"> </w:t>
      </w:r>
      <w:r w:rsidR="00E944FF" w:rsidRPr="00FE05B3">
        <w:t>with how agistment and contracting income is treated for FHA</w:t>
      </w:r>
      <w:r w:rsidR="00285468">
        <w:t xml:space="preserve"> purposes</w:t>
      </w:r>
      <w:r w:rsidR="006D27E6">
        <w:t xml:space="preserve">, </w:t>
      </w:r>
      <w:r w:rsidR="00707A26">
        <w:t xml:space="preserve">potentially </w:t>
      </w:r>
      <w:r w:rsidR="006D27E6">
        <w:t>creating a disincentive for generating cash flow.</w:t>
      </w:r>
      <w:r w:rsidR="00E944FF">
        <w:t xml:space="preserve"> </w:t>
      </w:r>
      <w:r w:rsidR="00742567">
        <w:t>The review’s</w:t>
      </w:r>
      <w:r w:rsidR="00024078">
        <w:t xml:space="preserve"> </w:t>
      </w:r>
      <w:r w:rsidR="00742567">
        <w:t xml:space="preserve">recommendations were implemented </w:t>
      </w:r>
      <w:r w:rsidR="00F67139">
        <w:t>in 2019</w:t>
      </w:r>
      <w:r w:rsidR="00B75AF8">
        <w:t xml:space="preserve"> </w:t>
      </w:r>
      <w:r w:rsidR="00742567">
        <w:t xml:space="preserve">through amendments to the Act and to the 2014 Minister’s Rule. These amendments </w:t>
      </w:r>
      <w:r w:rsidR="009745F6">
        <w:t xml:space="preserve">included the concept of a </w:t>
      </w:r>
      <w:proofErr w:type="gramStart"/>
      <w:r w:rsidR="009745F6">
        <w:t>directly-related</w:t>
      </w:r>
      <w:proofErr w:type="gramEnd"/>
      <w:r w:rsidR="009745F6">
        <w:t xml:space="preserve"> business (such as agistment or contracting), </w:t>
      </w:r>
      <w:r w:rsidR="00B75AF8" w:rsidRPr="009745F6">
        <w:t>s</w:t>
      </w:r>
      <w:r w:rsidR="00B75AF8">
        <w:t xml:space="preserve">implified </w:t>
      </w:r>
      <w:r w:rsidR="00742567">
        <w:t xml:space="preserve">and broadened the scope of the </w:t>
      </w:r>
      <w:r w:rsidR="00FA1BD9">
        <w:t xml:space="preserve">income </w:t>
      </w:r>
      <w:r w:rsidR="00742567">
        <w:t>offset</w:t>
      </w:r>
      <w:r w:rsidR="00FA1BD9">
        <w:t xml:space="preserve"> provisions</w:t>
      </w:r>
      <w:r w:rsidR="009745F6">
        <w:t>,</w:t>
      </w:r>
      <w:r w:rsidR="00742567">
        <w:t xml:space="preserve"> and increased its upper limit.</w:t>
      </w:r>
    </w:p>
    <w:p w14:paraId="0B58B9B9" w14:textId="77777777" w:rsidR="00B25E08" w:rsidRDefault="00B25E08" w:rsidP="00B25E08">
      <w:pPr>
        <w:pStyle w:val="ListParagraph"/>
      </w:pPr>
    </w:p>
    <w:p w14:paraId="39963430" w14:textId="77777777" w:rsidR="00B25E08" w:rsidRDefault="005E7D7A" w:rsidP="00537033">
      <w:pPr>
        <w:pStyle w:val="ListParagraph"/>
        <w:numPr>
          <w:ilvl w:val="0"/>
          <w:numId w:val="96"/>
        </w:numPr>
      </w:pPr>
      <w:r>
        <w:t>The Rules</w:t>
      </w:r>
      <w:r w:rsidR="00F67139">
        <w:t xml:space="preserve"> </w:t>
      </w:r>
      <w:r w:rsidR="00AB47C5">
        <w:t xml:space="preserve">further </w:t>
      </w:r>
      <w:r>
        <w:t xml:space="preserve">clarify </w:t>
      </w:r>
      <w:r w:rsidR="00AB47C5">
        <w:t xml:space="preserve">the operation of </w:t>
      </w:r>
      <w:r w:rsidR="00744649">
        <w:t xml:space="preserve">the income offset </w:t>
      </w:r>
      <w:r w:rsidR="00AB47C5">
        <w:t>provision</w:t>
      </w:r>
      <w:r w:rsidR="008C43BA">
        <w:t>s</w:t>
      </w:r>
      <w:r w:rsidR="00AB47C5">
        <w:t>, while maintaining the current limit</w:t>
      </w:r>
      <w:r w:rsidR="008C43BA">
        <w:t xml:space="preserve"> on </w:t>
      </w:r>
      <w:r w:rsidR="00DF2C2D">
        <w:t>using the overall operating loss to reduce ordinary income</w:t>
      </w:r>
      <w:r w:rsidR="00AB47C5">
        <w:t>. Th</w:t>
      </w:r>
      <w:r w:rsidR="008E7BCF">
        <w:t xml:space="preserve">e revisions to the </w:t>
      </w:r>
      <w:r w:rsidR="001F793E">
        <w:t xml:space="preserve">Rules </w:t>
      </w:r>
      <w:r w:rsidR="00AB47C5">
        <w:t>do not</w:t>
      </w:r>
      <w:r w:rsidR="00F10834">
        <w:t xml:space="preserve"> depart from</w:t>
      </w:r>
      <w:r w:rsidR="00AB47C5">
        <w:t xml:space="preserve"> the </w:t>
      </w:r>
      <w:r w:rsidR="00227B4A">
        <w:t>p</w:t>
      </w:r>
      <w:r w:rsidR="00AB47C5">
        <w:t>olicy settings</w:t>
      </w:r>
      <w:r w:rsidR="00CA42DF">
        <w:t xml:space="preserve"> which have been</w:t>
      </w:r>
      <w:r w:rsidR="001B0D1E">
        <w:t xml:space="preserve"> in place since 16</w:t>
      </w:r>
      <w:r w:rsidR="008C43BA">
        <w:t> </w:t>
      </w:r>
      <w:r w:rsidR="001B0D1E">
        <w:t>December 2019</w:t>
      </w:r>
      <w:r w:rsidR="00AB47C5">
        <w:t>.</w:t>
      </w:r>
    </w:p>
    <w:p w14:paraId="525CEE87" w14:textId="77777777" w:rsidR="00B25E08" w:rsidRDefault="00B25E08" w:rsidP="00B25E08">
      <w:pPr>
        <w:pStyle w:val="ListParagraph"/>
      </w:pPr>
    </w:p>
    <w:p w14:paraId="5A7B2FE5" w14:textId="1B6AF52D" w:rsidR="00B25E08" w:rsidRDefault="001C6903" w:rsidP="00537033">
      <w:pPr>
        <w:pStyle w:val="ListParagraph"/>
        <w:numPr>
          <w:ilvl w:val="0"/>
          <w:numId w:val="96"/>
        </w:numPr>
      </w:pPr>
      <w:r>
        <w:t>T</w:t>
      </w:r>
      <w:r w:rsidR="00C614DB" w:rsidRPr="00367B32">
        <w:t xml:space="preserve">he </w:t>
      </w:r>
      <w:r w:rsidR="00833AEF">
        <w:t xml:space="preserve">Rules </w:t>
      </w:r>
      <w:r w:rsidR="00642034">
        <w:t xml:space="preserve">reflect policy settings </w:t>
      </w:r>
      <w:r w:rsidR="0021593E">
        <w:t xml:space="preserve">which </w:t>
      </w:r>
      <w:r w:rsidR="00737D32">
        <w:t xml:space="preserve">were implemented as part of the </w:t>
      </w:r>
      <w:r w:rsidR="00737D32" w:rsidRPr="00737D32">
        <w:t>response to</w:t>
      </w:r>
      <w:r w:rsidR="00701854" w:rsidRPr="00737D32">
        <w:t xml:space="preserve"> the</w:t>
      </w:r>
      <w:r w:rsidR="00833AEF">
        <w:t xml:space="preserve"> extensive</w:t>
      </w:r>
      <w:r w:rsidR="00701854" w:rsidRPr="00737D32">
        <w:t xml:space="preserve"> 2018 review of the FHA program</w:t>
      </w:r>
      <w:r>
        <w:t xml:space="preserve"> </w:t>
      </w:r>
      <w:r w:rsidR="00833AEF">
        <w:t>and will enable the scheme to continue to operate in line with existing arrangements</w:t>
      </w:r>
      <w:r w:rsidR="007E0BEA">
        <w:t xml:space="preserve"> and expectations</w:t>
      </w:r>
      <w:r w:rsidR="00833AEF">
        <w:t>. As such</w:t>
      </w:r>
      <w:r w:rsidR="00C614DB" w:rsidRPr="00737D32">
        <w:t>, the consultation for the remaking</w:t>
      </w:r>
      <w:r w:rsidR="00E64763" w:rsidRPr="00737D32">
        <w:t xml:space="preserve"> of the</w:t>
      </w:r>
      <w:r w:rsidR="00E64763">
        <w:t xml:space="preserve"> instrument</w:t>
      </w:r>
      <w:r w:rsidR="00C614DB" w:rsidRPr="00367B32">
        <w:t xml:space="preserve"> has been limited to Services Australia</w:t>
      </w:r>
      <w:r w:rsidR="00833AEF">
        <w:t xml:space="preserve"> and</w:t>
      </w:r>
      <w:r w:rsidR="00C614DB" w:rsidRPr="00367B32">
        <w:t xml:space="preserve"> </w:t>
      </w:r>
      <w:r w:rsidR="00737D32">
        <w:t>the Department of Social Services</w:t>
      </w:r>
      <w:r w:rsidR="007E0BEA">
        <w:t>.</w:t>
      </w:r>
      <w:r w:rsidR="00833AEF">
        <w:t xml:space="preserve"> </w:t>
      </w:r>
      <w:r w:rsidR="00737D32">
        <w:t xml:space="preserve"> </w:t>
      </w:r>
    </w:p>
    <w:p w14:paraId="42E93FD4" w14:textId="77777777" w:rsidR="00B25E08" w:rsidRDefault="00B25E08" w:rsidP="00B25E08">
      <w:pPr>
        <w:pStyle w:val="ListParagraph"/>
      </w:pPr>
    </w:p>
    <w:p w14:paraId="56DFB69E" w14:textId="77777777" w:rsidR="00B25E08" w:rsidRDefault="00E76AB5" w:rsidP="00537033">
      <w:pPr>
        <w:pStyle w:val="ListParagraph"/>
        <w:numPr>
          <w:ilvl w:val="0"/>
          <w:numId w:val="96"/>
        </w:numPr>
      </w:pPr>
      <w:r w:rsidRPr="00E76AB5">
        <w:t xml:space="preserve">The </w:t>
      </w:r>
      <w:r w:rsidR="003D6497">
        <w:t>Rules are</w:t>
      </w:r>
      <w:r w:rsidR="003A4A56">
        <w:t xml:space="preserve"> </w:t>
      </w:r>
      <w:r w:rsidR="003A3A60" w:rsidRPr="005F5227">
        <w:t>compatible</w:t>
      </w:r>
      <w:r w:rsidRPr="005F5227">
        <w:t xml:space="preserve"> with the human rights and freedoms recognised or declared </w:t>
      </w:r>
      <w:r w:rsidR="00A06012">
        <w:t xml:space="preserve">in the international instruments listed </w:t>
      </w:r>
      <w:r w:rsidRPr="005F5227">
        <w:t xml:space="preserve">under section 3 of the </w:t>
      </w:r>
      <w:r w:rsidRPr="00B25E08">
        <w:rPr>
          <w:i/>
        </w:rPr>
        <w:t>Human Rights (Parliamentary Scrutiny) Act 2011.</w:t>
      </w:r>
      <w:r w:rsidRPr="00F167EC">
        <w:t xml:space="preserve"> A full statement of compatibility is set out in </w:t>
      </w:r>
      <w:r w:rsidR="00F4147E" w:rsidRPr="00B25E08">
        <w:rPr>
          <w:u w:val="single"/>
        </w:rPr>
        <w:fldChar w:fldCharType="begin"/>
      </w:r>
      <w:r w:rsidR="00F4147E" w:rsidRPr="00B25E08">
        <w:rPr>
          <w:u w:val="single"/>
        </w:rPr>
        <w:instrText xml:space="preserve"> REF _Ref160722206 \r \h  \* MERGEFORMAT </w:instrText>
      </w:r>
      <w:r w:rsidR="00F4147E" w:rsidRPr="00B25E08">
        <w:rPr>
          <w:u w:val="single"/>
        </w:rPr>
      </w:r>
      <w:r w:rsidR="00F4147E" w:rsidRPr="00B25E08">
        <w:rPr>
          <w:u w:val="single"/>
        </w:rPr>
        <w:fldChar w:fldCharType="separate"/>
      </w:r>
      <w:r w:rsidR="00BA5C35" w:rsidRPr="00B25E08">
        <w:rPr>
          <w:u w:val="single"/>
        </w:rPr>
        <w:t>Attachment B</w:t>
      </w:r>
      <w:r w:rsidR="00F4147E" w:rsidRPr="00B25E08">
        <w:rPr>
          <w:u w:val="single"/>
        </w:rPr>
        <w:fldChar w:fldCharType="end"/>
      </w:r>
      <w:r w:rsidRPr="00F167EC">
        <w:t>.</w:t>
      </w:r>
    </w:p>
    <w:p w14:paraId="5F6D9ECB" w14:textId="77777777" w:rsidR="00B25E08" w:rsidRDefault="00B25E08" w:rsidP="00B25E08">
      <w:pPr>
        <w:pStyle w:val="ListParagraph"/>
      </w:pPr>
    </w:p>
    <w:p w14:paraId="704D1FBD" w14:textId="30287706" w:rsidR="00203AAB" w:rsidRPr="00E76AB5" w:rsidRDefault="00B25E08" w:rsidP="00537033">
      <w:pPr>
        <w:pStyle w:val="ListParagraph"/>
        <w:numPr>
          <w:ilvl w:val="0"/>
          <w:numId w:val="96"/>
        </w:numPr>
      </w:pPr>
      <w:r>
        <w:t>T</w:t>
      </w:r>
      <w:r w:rsidR="00203AAB" w:rsidRPr="00E76AB5">
        <w:t xml:space="preserve">he </w:t>
      </w:r>
      <w:r w:rsidR="003D6497" w:rsidRPr="00B25E08">
        <w:rPr>
          <w:iCs/>
        </w:rPr>
        <w:t>Rules are</w:t>
      </w:r>
      <w:r w:rsidR="00D45E13" w:rsidRPr="00E76AB5">
        <w:t xml:space="preserve"> </w:t>
      </w:r>
      <w:r w:rsidR="00203AAB" w:rsidRPr="00E76AB5">
        <w:t xml:space="preserve">a legislative instrument for the purposes of the </w:t>
      </w:r>
      <w:r w:rsidR="000645AB" w:rsidRPr="00B25E08">
        <w:rPr>
          <w:i/>
        </w:rPr>
        <w:t xml:space="preserve">Legislation </w:t>
      </w:r>
      <w:r w:rsidR="00203AAB" w:rsidRPr="00B25E08">
        <w:rPr>
          <w:i/>
        </w:rPr>
        <w:t>Act 2003</w:t>
      </w:r>
      <w:r w:rsidR="00203AAB" w:rsidRPr="00E76AB5">
        <w:t>.</w:t>
      </w:r>
    </w:p>
    <w:p w14:paraId="5474A301" w14:textId="2CDA1332" w:rsidR="002B1DB3" w:rsidRPr="005213E9" w:rsidRDefault="002B1DB3" w:rsidP="00BA603E">
      <w:pPr>
        <w:pStyle w:val="Heading1"/>
        <w:numPr>
          <w:ilvl w:val="0"/>
          <w:numId w:val="30"/>
        </w:numPr>
      </w:pPr>
      <w:bookmarkStart w:id="1" w:name="_Ref160722171"/>
    </w:p>
    <w:bookmarkEnd w:id="1"/>
    <w:p w14:paraId="68F19272" w14:textId="79074C28" w:rsidR="002B1DB3" w:rsidRPr="00B068DC" w:rsidRDefault="002B1DB3" w:rsidP="00631BE7">
      <w:pPr>
        <w:rPr>
          <w:bCs/>
          <w:u w:val="single"/>
        </w:rPr>
      </w:pPr>
      <w:r w:rsidRPr="00631BE7">
        <w:rPr>
          <w:b/>
          <w:bCs/>
          <w:u w:val="single"/>
        </w:rPr>
        <w:t xml:space="preserve">Details of the </w:t>
      </w:r>
      <w:r w:rsidR="002F68F7" w:rsidRPr="00B068DC">
        <w:rPr>
          <w:b/>
          <w:bCs/>
          <w:i/>
          <w:iCs/>
          <w:u w:val="single"/>
        </w:rPr>
        <w:t xml:space="preserve">Farm Household Support </w:t>
      </w:r>
      <w:r w:rsidR="00865AF1" w:rsidRPr="00B068DC">
        <w:rPr>
          <w:b/>
          <w:bCs/>
          <w:i/>
          <w:iCs/>
          <w:u w:val="single"/>
        </w:rPr>
        <w:t>Minister’s</w:t>
      </w:r>
      <w:r w:rsidR="002F68F7" w:rsidRPr="00B068DC">
        <w:rPr>
          <w:b/>
          <w:bCs/>
          <w:i/>
          <w:iCs/>
          <w:u w:val="single"/>
        </w:rPr>
        <w:t xml:space="preserve"> Rule</w:t>
      </w:r>
      <w:r w:rsidR="00640FED" w:rsidRPr="00B068DC">
        <w:rPr>
          <w:b/>
          <w:bCs/>
          <w:i/>
          <w:iCs/>
          <w:u w:val="single"/>
        </w:rPr>
        <w:t>s</w:t>
      </w:r>
      <w:r w:rsidR="002F68F7" w:rsidRPr="00B068DC">
        <w:rPr>
          <w:b/>
          <w:bCs/>
          <w:i/>
          <w:iCs/>
          <w:u w:val="single"/>
        </w:rPr>
        <w:t xml:space="preserve"> 2024</w:t>
      </w:r>
    </w:p>
    <w:p w14:paraId="6B9A700B" w14:textId="77777777" w:rsidR="009C3909" w:rsidRPr="007524D9" w:rsidRDefault="009C3909" w:rsidP="00631BE7">
      <w:pPr>
        <w:rPr>
          <w:bCs/>
        </w:rPr>
      </w:pPr>
      <w:r w:rsidRPr="00B068DC">
        <w:rPr>
          <w:b/>
          <w:bCs/>
        </w:rPr>
        <w:t>Part 1 — Preliminary</w:t>
      </w:r>
    </w:p>
    <w:p w14:paraId="13CED9D0" w14:textId="754920F6" w:rsidR="002B1DB3" w:rsidRPr="00B068DC" w:rsidRDefault="00DF3F6E" w:rsidP="00631BE7">
      <w:pPr>
        <w:rPr>
          <w:u w:val="single"/>
        </w:rPr>
      </w:pPr>
      <w:r w:rsidRPr="00B068DC">
        <w:rPr>
          <w:u w:val="single"/>
        </w:rPr>
        <w:t>Section 1</w:t>
      </w:r>
      <w:r w:rsidR="00532E79" w:rsidRPr="00B068DC">
        <w:rPr>
          <w:u w:val="single"/>
        </w:rPr>
        <w:t>—</w:t>
      </w:r>
      <w:r w:rsidRPr="00B068DC">
        <w:rPr>
          <w:u w:val="single"/>
        </w:rPr>
        <w:t>Name</w:t>
      </w:r>
    </w:p>
    <w:p w14:paraId="295C424C" w14:textId="3094152E" w:rsidR="002B1DB3" w:rsidRPr="00BA603E" w:rsidRDefault="00D022ED" w:rsidP="005E2EB5">
      <w:pPr>
        <w:pStyle w:val="ListParagraph"/>
        <w:numPr>
          <w:ilvl w:val="0"/>
          <w:numId w:val="96"/>
        </w:numPr>
      </w:pPr>
      <w:r w:rsidRPr="00BA603E">
        <w:t>The</w:t>
      </w:r>
      <w:r w:rsidR="00DF3F6E" w:rsidRPr="00BA603E">
        <w:t xml:space="preserve"> name of the </w:t>
      </w:r>
      <w:r w:rsidR="00F15BA5">
        <w:t>instrument</w:t>
      </w:r>
      <w:r w:rsidR="00F15BA5" w:rsidRPr="00BA603E">
        <w:t xml:space="preserve"> </w:t>
      </w:r>
      <w:r w:rsidR="00DF3F6E" w:rsidRPr="00BA603E">
        <w:t>is</w:t>
      </w:r>
      <w:r w:rsidR="00DC2C98">
        <w:t xml:space="preserve"> the</w:t>
      </w:r>
      <w:r w:rsidR="00DF3F6E" w:rsidRPr="00BA603E">
        <w:t xml:space="preserve"> </w:t>
      </w:r>
      <w:r w:rsidR="001F13A3" w:rsidRPr="005E2EB5">
        <w:rPr>
          <w:i/>
          <w:iCs/>
        </w:rPr>
        <w:t xml:space="preserve">Farm Household Support </w:t>
      </w:r>
      <w:r w:rsidR="00865AF1" w:rsidRPr="005E2EB5">
        <w:rPr>
          <w:i/>
          <w:iCs/>
        </w:rPr>
        <w:t>Minister’s</w:t>
      </w:r>
      <w:r w:rsidR="001F13A3" w:rsidRPr="005E2EB5">
        <w:rPr>
          <w:i/>
          <w:iCs/>
        </w:rPr>
        <w:t xml:space="preserve"> Rule</w:t>
      </w:r>
      <w:r w:rsidR="00E32490" w:rsidRPr="005E2EB5">
        <w:rPr>
          <w:i/>
          <w:iCs/>
        </w:rPr>
        <w:t>s</w:t>
      </w:r>
      <w:r w:rsidR="001F13A3" w:rsidRPr="005E2EB5">
        <w:rPr>
          <w:i/>
          <w:iCs/>
        </w:rPr>
        <w:t xml:space="preserve"> 2024</w:t>
      </w:r>
      <w:r w:rsidR="002B1DB3" w:rsidRPr="00BA603E">
        <w:t>.</w:t>
      </w:r>
    </w:p>
    <w:p w14:paraId="5B86A91A" w14:textId="4346B599" w:rsidR="002B1DB3" w:rsidRPr="001048B2" w:rsidRDefault="002B1DB3" w:rsidP="00631BE7">
      <w:pPr>
        <w:rPr>
          <w:b/>
          <w:u w:val="single"/>
        </w:rPr>
      </w:pPr>
      <w:r w:rsidRPr="001048B2">
        <w:rPr>
          <w:u w:val="single"/>
        </w:rPr>
        <w:t>Section 2</w:t>
      </w:r>
      <w:r w:rsidR="00532E79" w:rsidRPr="001048B2">
        <w:rPr>
          <w:u w:val="single"/>
        </w:rPr>
        <w:t>—</w:t>
      </w:r>
      <w:r w:rsidRPr="001048B2">
        <w:rPr>
          <w:u w:val="single"/>
        </w:rPr>
        <w:t>Commencement</w:t>
      </w:r>
    </w:p>
    <w:p w14:paraId="4E0653A9" w14:textId="0047E24A" w:rsidR="002B1DB3" w:rsidRPr="001048B2" w:rsidRDefault="00D022ED" w:rsidP="005E2EB5">
      <w:pPr>
        <w:pStyle w:val="ListParagraph"/>
        <w:numPr>
          <w:ilvl w:val="0"/>
          <w:numId w:val="96"/>
        </w:numPr>
      </w:pPr>
      <w:r w:rsidRPr="001048B2">
        <w:t>Th</w:t>
      </w:r>
      <w:r w:rsidR="004C4626" w:rsidRPr="001048B2">
        <w:t xml:space="preserve">e </w:t>
      </w:r>
      <w:r w:rsidR="00F15BA5" w:rsidRPr="001048B2">
        <w:t xml:space="preserve">instrument </w:t>
      </w:r>
      <w:r w:rsidR="00DF3F6E" w:rsidRPr="001048B2">
        <w:t>commence</w:t>
      </w:r>
      <w:r w:rsidR="00F15BA5" w:rsidRPr="001048B2">
        <w:t>s</w:t>
      </w:r>
      <w:r w:rsidR="00DF3F6E" w:rsidRPr="001048B2">
        <w:t xml:space="preserve"> </w:t>
      </w:r>
      <w:r w:rsidR="00F15BA5" w:rsidRPr="001048B2">
        <w:t xml:space="preserve">on the day after </w:t>
      </w:r>
      <w:r w:rsidR="008B283A" w:rsidRPr="001048B2">
        <w:t>it is</w:t>
      </w:r>
      <w:r w:rsidR="00F15BA5" w:rsidRPr="001048B2">
        <w:t xml:space="preserve"> registered</w:t>
      </w:r>
      <w:r w:rsidR="00113C59" w:rsidRPr="001048B2">
        <w:t>.</w:t>
      </w:r>
    </w:p>
    <w:p w14:paraId="7FA39F29" w14:textId="4D36BA94" w:rsidR="002B1DB3" w:rsidRPr="00B068DC" w:rsidRDefault="002B1DB3" w:rsidP="00631BE7">
      <w:pPr>
        <w:rPr>
          <w:u w:val="single"/>
        </w:rPr>
      </w:pPr>
      <w:r w:rsidRPr="00B068DC">
        <w:rPr>
          <w:u w:val="single"/>
        </w:rPr>
        <w:t>Section 3</w:t>
      </w:r>
      <w:r w:rsidR="00532E79" w:rsidRPr="00B068DC">
        <w:rPr>
          <w:u w:val="single"/>
        </w:rPr>
        <w:t>—</w:t>
      </w:r>
      <w:r w:rsidR="00DF3F6E" w:rsidRPr="00B068DC">
        <w:rPr>
          <w:u w:val="single"/>
        </w:rPr>
        <w:t>Authority</w:t>
      </w:r>
    </w:p>
    <w:p w14:paraId="6E12F0C1" w14:textId="4C4F8F1A" w:rsidR="002B1DB3" w:rsidRPr="005D1ABF" w:rsidRDefault="00D022ED" w:rsidP="005E2EB5">
      <w:pPr>
        <w:pStyle w:val="ListParagraph"/>
        <w:numPr>
          <w:ilvl w:val="0"/>
          <w:numId w:val="96"/>
        </w:numPr>
      </w:pPr>
      <w:r>
        <w:t>Th</w:t>
      </w:r>
      <w:r w:rsidR="004C4626">
        <w:t>e</w:t>
      </w:r>
      <w:r w:rsidR="00865AF1">
        <w:t xml:space="preserve"> </w:t>
      </w:r>
      <w:r w:rsidR="00F15BA5">
        <w:t>instrument is</w:t>
      </w:r>
      <w:r w:rsidR="00865AF1">
        <w:t xml:space="preserve"> </w:t>
      </w:r>
      <w:r w:rsidR="00DF3F6E" w:rsidRPr="009C5BE2">
        <w:t>made</w:t>
      </w:r>
      <w:r w:rsidR="00DF3F6E" w:rsidRPr="005D1ABF">
        <w:t xml:space="preserve"> under the </w:t>
      </w:r>
      <w:r w:rsidR="00D20511" w:rsidRPr="005E2EB5">
        <w:rPr>
          <w:i/>
          <w:iCs/>
        </w:rPr>
        <w:t>Farm Household Support Act 2014</w:t>
      </w:r>
      <w:r w:rsidR="002B1DB3" w:rsidRPr="005D1ABF">
        <w:t>.</w:t>
      </w:r>
    </w:p>
    <w:p w14:paraId="2805DCCC" w14:textId="24944326" w:rsidR="00DF3F6E" w:rsidRPr="00B068DC" w:rsidRDefault="00DF3F6E" w:rsidP="00631BE7">
      <w:pPr>
        <w:rPr>
          <w:u w:val="single"/>
        </w:rPr>
      </w:pPr>
      <w:r w:rsidRPr="00B068DC">
        <w:rPr>
          <w:u w:val="single"/>
        </w:rPr>
        <w:t>Section 4</w:t>
      </w:r>
      <w:r w:rsidR="00532E79" w:rsidRPr="00B068DC">
        <w:rPr>
          <w:u w:val="single"/>
        </w:rPr>
        <w:t>—</w:t>
      </w:r>
      <w:r w:rsidR="00B90098" w:rsidRPr="00B068DC">
        <w:rPr>
          <w:u w:val="single"/>
        </w:rPr>
        <w:t>Schedules</w:t>
      </w:r>
    </w:p>
    <w:p w14:paraId="55336FE6" w14:textId="06FA6425" w:rsidR="00E37E7B" w:rsidRDefault="00A919EC" w:rsidP="005E2EB5">
      <w:pPr>
        <w:pStyle w:val="ListParagraph"/>
        <w:numPr>
          <w:ilvl w:val="0"/>
          <w:numId w:val="96"/>
        </w:numPr>
      </w:pPr>
      <w:r w:rsidRPr="00A724B8">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1FCAABA9" w14:textId="0C59342E" w:rsidR="002B1DB3" w:rsidRPr="00B068DC" w:rsidRDefault="00D659A1" w:rsidP="00631BE7">
      <w:pPr>
        <w:rPr>
          <w:u w:val="single"/>
        </w:rPr>
      </w:pPr>
      <w:r w:rsidRPr="00B068DC">
        <w:rPr>
          <w:u w:val="single"/>
        </w:rPr>
        <w:t>Section 5</w:t>
      </w:r>
      <w:r w:rsidR="00532E79" w:rsidRPr="00B068DC">
        <w:rPr>
          <w:u w:val="single"/>
        </w:rPr>
        <w:t>—</w:t>
      </w:r>
      <w:r w:rsidR="00BA273C" w:rsidRPr="00B068DC">
        <w:rPr>
          <w:u w:val="single"/>
        </w:rPr>
        <w:t>Definitions</w:t>
      </w:r>
    </w:p>
    <w:p w14:paraId="2AE5EC04" w14:textId="6DBBB344" w:rsidR="001F105E" w:rsidRDefault="00865AF1" w:rsidP="005E2EB5">
      <w:pPr>
        <w:pStyle w:val="ListParagraph"/>
        <w:numPr>
          <w:ilvl w:val="0"/>
          <w:numId w:val="96"/>
        </w:numPr>
      </w:pPr>
      <w:r w:rsidRPr="00A24F17">
        <w:t>Subsection 5(1)</w:t>
      </w:r>
      <w:r w:rsidR="00361575" w:rsidRPr="00361575">
        <w:t xml:space="preserve"> </w:t>
      </w:r>
      <w:r w:rsidR="00361575">
        <w:t>defines</w:t>
      </w:r>
      <w:r w:rsidR="001F105E">
        <w:t xml:space="preserve"> terms used in the instrument as follows:</w:t>
      </w:r>
    </w:p>
    <w:p w14:paraId="68199369" w14:textId="4CFB51E6" w:rsidR="000D6866" w:rsidRDefault="00361575" w:rsidP="00631BE7">
      <w:pPr>
        <w:ind w:left="720"/>
      </w:pPr>
      <w:r w:rsidRPr="00A24F17">
        <w:rPr>
          <w:b/>
          <w:i/>
          <w:iCs/>
        </w:rPr>
        <w:t>Act</w:t>
      </w:r>
      <w:r w:rsidR="003A4A56">
        <w:t xml:space="preserve"> </w:t>
      </w:r>
      <w:r w:rsidR="00C47C52">
        <w:t xml:space="preserve">means </w:t>
      </w:r>
      <w:r w:rsidRPr="00361575">
        <w:t xml:space="preserve">the </w:t>
      </w:r>
      <w:r w:rsidRPr="00A24F17">
        <w:rPr>
          <w:i/>
          <w:iCs/>
        </w:rPr>
        <w:t>Farm Household Support Act 2014</w:t>
      </w:r>
      <w:r w:rsidRPr="00361575">
        <w:t>.</w:t>
      </w:r>
    </w:p>
    <w:p w14:paraId="748A9EC4" w14:textId="7477C301" w:rsidR="00C47C52" w:rsidRDefault="00A81749" w:rsidP="00631BE7">
      <w:pPr>
        <w:ind w:left="720"/>
      </w:pPr>
      <w:r w:rsidRPr="00C87195">
        <w:rPr>
          <w:b/>
          <w:i/>
          <w:iCs/>
        </w:rPr>
        <w:t xml:space="preserve">overall </w:t>
      </w:r>
      <w:r w:rsidR="005A753E" w:rsidRPr="00C87195">
        <w:rPr>
          <w:b/>
          <w:i/>
          <w:iCs/>
        </w:rPr>
        <w:t>o</w:t>
      </w:r>
      <w:r w:rsidR="00C47C52" w:rsidRPr="00C87195">
        <w:rPr>
          <w:b/>
          <w:i/>
          <w:iCs/>
        </w:rPr>
        <w:t>perating loss</w:t>
      </w:r>
      <w:r w:rsidR="0042091F">
        <w:t xml:space="preserve"> </w:t>
      </w:r>
      <w:r w:rsidR="007217B0">
        <w:t>is explained by reference to subsection 7(1)</w:t>
      </w:r>
      <w:r w:rsidR="00711AE3">
        <w:t>.</w:t>
      </w:r>
    </w:p>
    <w:p w14:paraId="4C133E76" w14:textId="350A7EC0" w:rsidR="00FC0ABA" w:rsidRDefault="005A753E" w:rsidP="00631BE7">
      <w:pPr>
        <w:ind w:left="720"/>
      </w:pPr>
      <w:r w:rsidRPr="00C87195">
        <w:rPr>
          <w:b/>
          <w:i/>
          <w:iCs/>
        </w:rPr>
        <w:t>related business</w:t>
      </w:r>
      <w:r w:rsidR="003C7959">
        <w:t xml:space="preserve"> – has the meaning given by</w:t>
      </w:r>
      <w:r>
        <w:t xml:space="preserve"> subsection 5(2)</w:t>
      </w:r>
    </w:p>
    <w:p w14:paraId="7DAF02E1" w14:textId="57962165" w:rsidR="00E807E8" w:rsidRDefault="008616F6" w:rsidP="005E2EB5">
      <w:pPr>
        <w:pStyle w:val="ListParagraph"/>
        <w:numPr>
          <w:ilvl w:val="0"/>
          <w:numId w:val="96"/>
        </w:numPr>
      </w:pPr>
      <w:r w:rsidRPr="00020538">
        <w:t>Subsection 5(2)</w:t>
      </w:r>
      <w:r w:rsidRPr="009034D2">
        <w:t xml:space="preserve"> defines</w:t>
      </w:r>
      <w:r>
        <w:t xml:space="preserve"> </w:t>
      </w:r>
      <w:r w:rsidRPr="005E2EB5">
        <w:rPr>
          <w:b/>
          <w:i/>
          <w:iCs/>
        </w:rPr>
        <w:t>related business</w:t>
      </w:r>
      <w:r w:rsidRPr="00A24F17">
        <w:t xml:space="preserve"> of a farm enterprise</w:t>
      </w:r>
      <w:r w:rsidRPr="008616F6">
        <w:t xml:space="preserve">. </w:t>
      </w:r>
      <w:r>
        <w:t xml:space="preserve">It sets out </w:t>
      </w:r>
      <w:r w:rsidR="002200D1">
        <w:t xml:space="preserve">three </w:t>
      </w:r>
      <w:r>
        <w:t xml:space="preserve">cumulative tests for whether a business is </w:t>
      </w:r>
      <w:r w:rsidRPr="005E2EB5">
        <w:rPr>
          <w:b/>
          <w:i/>
          <w:iCs/>
        </w:rPr>
        <w:t>related</w:t>
      </w:r>
      <w:r>
        <w:t xml:space="preserve"> to a farm enterprise</w:t>
      </w:r>
      <w:r w:rsidR="00E807E8">
        <w:t>.</w:t>
      </w:r>
    </w:p>
    <w:p w14:paraId="4831BAB8" w14:textId="77777777" w:rsidR="005E2EB5" w:rsidRDefault="005E2EB5" w:rsidP="005E2EB5">
      <w:pPr>
        <w:pStyle w:val="ListParagraph"/>
        <w:ind w:left="360"/>
      </w:pPr>
    </w:p>
    <w:p w14:paraId="67EDCEEA" w14:textId="52B02D5F" w:rsidR="008616F6" w:rsidRDefault="00E807E8" w:rsidP="005E2EB5">
      <w:pPr>
        <w:pStyle w:val="ListParagraph"/>
        <w:numPr>
          <w:ilvl w:val="0"/>
          <w:numId w:val="96"/>
        </w:numPr>
      </w:pPr>
      <w:r>
        <w:t>A business is a related business</w:t>
      </w:r>
      <w:r w:rsidR="00F94377">
        <w:t xml:space="preserve"> of a farm enterprise if:</w:t>
      </w:r>
    </w:p>
    <w:p w14:paraId="69469B50" w14:textId="06FA9E8A" w:rsidR="005A753E" w:rsidRPr="005122F6" w:rsidRDefault="005A753E" w:rsidP="00631BE7">
      <w:pPr>
        <w:pStyle w:val="ListParagraph"/>
        <w:numPr>
          <w:ilvl w:val="0"/>
          <w:numId w:val="77"/>
        </w:numPr>
      </w:pPr>
      <w:r w:rsidRPr="005122F6">
        <w:t xml:space="preserve">the business </w:t>
      </w:r>
      <w:r>
        <w:t xml:space="preserve">is carried on principally for the purpose of providing goods or services </w:t>
      </w:r>
      <w:r w:rsidR="00142775">
        <w:t>within any of</w:t>
      </w:r>
      <w:r w:rsidRPr="005122F6">
        <w:t xml:space="preserve"> the agricultural, horticultural, pastoral, apicultural or aquacultural industries; and</w:t>
      </w:r>
    </w:p>
    <w:p w14:paraId="3586B31E" w14:textId="77777777" w:rsidR="005A753E" w:rsidRDefault="008616F6" w:rsidP="00631BE7">
      <w:pPr>
        <w:pStyle w:val="ListParagraph"/>
        <w:numPr>
          <w:ilvl w:val="0"/>
          <w:numId w:val="77"/>
        </w:numPr>
      </w:pPr>
      <w:r>
        <w:t xml:space="preserve">the </w:t>
      </w:r>
      <w:r w:rsidR="005A753E">
        <w:t>business is carried on, or is effectively controlled, by a person who is either:</w:t>
      </w:r>
    </w:p>
    <w:p w14:paraId="6F0F1F2C" w14:textId="13BF3F60" w:rsidR="005A753E" w:rsidRDefault="005A753E" w:rsidP="00631BE7">
      <w:pPr>
        <w:pStyle w:val="ListParagraph"/>
        <w:numPr>
          <w:ilvl w:val="1"/>
          <w:numId w:val="80"/>
        </w:numPr>
      </w:pPr>
      <w:r>
        <w:t>a farmer in relation to the farm enterprise; or</w:t>
      </w:r>
    </w:p>
    <w:p w14:paraId="60730D65" w14:textId="3A41986E" w:rsidR="00EF6ECB" w:rsidRDefault="005A753E" w:rsidP="00EF6ECB">
      <w:pPr>
        <w:pStyle w:val="ListParagraph"/>
        <w:numPr>
          <w:ilvl w:val="1"/>
          <w:numId w:val="80"/>
        </w:numPr>
      </w:pPr>
      <w:r>
        <w:t>their partner</w:t>
      </w:r>
      <w:r w:rsidR="008616F6">
        <w:t>; and</w:t>
      </w:r>
    </w:p>
    <w:p w14:paraId="5C65D15D" w14:textId="2CB8852E" w:rsidR="008616F6" w:rsidRDefault="008616F6" w:rsidP="00631BE7">
      <w:pPr>
        <w:pStyle w:val="ListParagraph"/>
        <w:numPr>
          <w:ilvl w:val="0"/>
          <w:numId w:val="77"/>
        </w:numPr>
      </w:pPr>
      <w:r>
        <w:t>any of the following appl</w:t>
      </w:r>
      <w:r w:rsidR="0022558F">
        <w:t>ies</w:t>
      </w:r>
      <w:r>
        <w:t>:</w:t>
      </w:r>
    </w:p>
    <w:p w14:paraId="491DCDB4" w14:textId="3DD9FC12" w:rsidR="008616F6" w:rsidRDefault="008616F6" w:rsidP="00631BE7">
      <w:pPr>
        <w:pStyle w:val="ListParagraph"/>
        <w:numPr>
          <w:ilvl w:val="1"/>
          <w:numId w:val="83"/>
        </w:numPr>
      </w:pPr>
      <w:r>
        <w:t>the business provide</w:t>
      </w:r>
      <w:r w:rsidR="00FC0ABA">
        <w:t>s</w:t>
      </w:r>
      <w:r>
        <w:t xml:space="preserve"> goods or services to the farm enterprise, or </w:t>
      </w:r>
      <w:proofErr w:type="gramStart"/>
      <w:r>
        <w:t>vice versa;</w:t>
      </w:r>
      <w:proofErr w:type="gramEnd"/>
    </w:p>
    <w:p w14:paraId="176941F8" w14:textId="1064DFBF" w:rsidR="008616F6" w:rsidRDefault="008616F6" w:rsidP="00631BE7">
      <w:pPr>
        <w:pStyle w:val="ListParagraph"/>
        <w:numPr>
          <w:ilvl w:val="1"/>
          <w:numId w:val="83"/>
        </w:numPr>
      </w:pPr>
      <w:r>
        <w:t xml:space="preserve">the business </w:t>
      </w:r>
      <w:r w:rsidR="00FC0ABA">
        <w:t>uses</w:t>
      </w:r>
      <w:r>
        <w:t xml:space="preserve"> farm assets of the farm enterprise in </w:t>
      </w:r>
      <w:r w:rsidR="00FC0ABA">
        <w:t>the</w:t>
      </w:r>
      <w:r w:rsidR="00F8624D">
        <w:t xml:space="preserve"> </w:t>
      </w:r>
      <w:r>
        <w:t>conduct</w:t>
      </w:r>
      <w:r w:rsidR="00FC0ABA">
        <w:t xml:space="preserve"> of the </w:t>
      </w:r>
      <w:proofErr w:type="gramStart"/>
      <w:r w:rsidR="00FC0ABA">
        <w:t>business</w:t>
      </w:r>
      <w:r>
        <w:t>;</w:t>
      </w:r>
      <w:proofErr w:type="gramEnd"/>
    </w:p>
    <w:p w14:paraId="3C1476D3" w14:textId="11A1EEF7" w:rsidR="008616F6" w:rsidRPr="008C17FD" w:rsidRDefault="008616F6" w:rsidP="00631BE7">
      <w:pPr>
        <w:pStyle w:val="ListParagraph"/>
        <w:numPr>
          <w:ilvl w:val="1"/>
          <w:numId w:val="83"/>
        </w:numPr>
      </w:pPr>
      <w:r>
        <w:t>the business acquire</w:t>
      </w:r>
      <w:r w:rsidR="00FC0ABA">
        <w:t>s</w:t>
      </w:r>
      <w:r>
        <w:t xml:space="preserve"> products of the farm enterprise </w:t>
      </w:r>
      <w:r w:rsidRPr="008C17FD">
        <w:t xml:space="preserve">for </w:t>
      </w:r>
      <w:r w:rsidR="00BD278E" w:rsidRPr="008C17FD">
        <w:t xml:space="preserve">sale, </w:t>
      </w:r>
      <w:r w:rsidR="00142775" w:rsidRPr="008C17FD">
        <w:t>use in manufacture</w:t>
      </w:r>
      <w:r w:rsidR="00142775">
        <w:t>,</w:t>
      </w:r>
      <w:r w:rsidR="00142775" w:rsidRPr="008C17FD">
        <w:t xml:space="preserve"> </w:t>
      </w:r>
      <w:r w:rsidRPr="008C17FD">
        <w:t>distribution</w:t>
      </w:r>
      <w:r w:rsidR="00142775">
        <w:t xml:space="preserve"> or</w:t>
      </w:r>
      <w:r w:rsidRPr="008C17FD">
        <w:t xml:space="preserve"> processing or</w:t>
      </w:r>
      <w:r w:rsidR="008C43BA" w:rsidRPr="008C17FD">
        <w:t xml:space="preserve"> vice versa.</w:t>
      </w:r>
    </w:p>
    <w:p w14:paraId="23AEC3BB" w14:textId="2CF23B60" w:rsidR="004A1F86" w:rsidRDefault="004A1F86" w:rsidP="005E2EB5">
      <w:pPr>
        <w:pStyle w:val="ListParagraph"/>
        <w:numPr>
          <w:ilvl w:val="0"/>
          <w:numId w:val="96"/>
        </w:numPr>
      </w:pPr>
      <w:r>
        <w:lastRenderedPageBreak/>
        <w:t>For</w:t>
      </w:r>
      <w:r w:rsidR="002142B5">
        <w:t xml:space="preserve"> the purposes of </w:t>
      </w:r>
      <w:r>
        <w:t xml:space="preserve">paragraph 5(2)(b), a person </w:t>
      </w:r>
      <w:r w:rsidRPr="004A1F86">
        <w:t>is effectively in control of a business if the</w:t>
      </w:r>
      <w:r>
        <w:t xml:space="preserve">y </w:t>
      </w:r>
      <w:r w:rsidRPr="004A1F86">
        <w:t xml:space="preserve">(whether alone or together with one or more other persons) </w:t>
      </w:r>
      <w:r w:rsidR="000D6866">
        <w:t>are</w:t>
      </w:r>
      <w:r w:rsidRPr="004A1F86">
        <w:t xml:space="preserve"> </w:t>
      </w:r>
      <w:proofErr w:type="gramStart"/>
      <w:r w:rsidRPr="004A1F86">
        <w:t>in a position</w:t>
      </w:r>
      <w:proofErr w:type="gramEnd"/>
      <w:r w:rsidRPr="004A1F86">
        <w:t xml:space="preserve"> to determine the outcome of decisions about the financial and operating policies of the business.</w:t>
      </w:r>
    </w:p>
    <w:p w14:paraId="7EE17A91" w14:textId="77777777" w:rsidR="005E2EB5" w:rsidRDefault="005E2EB5" w:rsidP="005E2EB5">
      <w:pPr>
        <w:pStyle w:val="ListParagraph"/>
        <w:ind w:left="360"/>
      </w:pPr>
    </w:p>
    <w:p w14:paraId="20F7DD1D" w14:textId="7E9A37F4" w:rsidR="00736AF9" w:rsidRDefault="00304E51" w:rsidP="005E2EB5">
      <w:pPr>
        <w:pStyle w:val="ListParagraph"/>
        <w:numPr>
          <w:ilvl w:val="0"/>
          <w:numId w:val="96"/>
        </w:numPr>
      </w:pPr>
      <w:r>
        <w:t>The</w:t>
      </w:r>
      <w:r w:rsidR="00736AF9">
        <w:t xml:space="preserve"> definition</w:t>
      </w:r>
      <w:r w:rsidR="00EB4298">
        <w:t xml:space="preserve"> of </w:t>
      </w:r>
      <w:r w:rsidR="00EB4298" w:rsidRPr="005E2EB5">
        <w:rPr>
          <w:i/>
          <w:iCs/>
        </w:rPr>
        <w:t>related business</w:t>
      </w:r>
      <w:r w:rsidR="00747DBE">
        <w:t xml:space="preserve"> operates</w:t>
      </w:r>
      <w:r w:rsidR="000B1676">
        <w:t>, by way of illustration</w:t>
      </w:r>
      <w:r w:rsidR="007F78D5">
        <w:t>,</w:t>
      </w:r>
      <w:r w:rsidR="000B1676">
        <w:t xml:space="preserve"> </w:t>
      </w:r>
      <w:r w:rsidR="00747DBE">
        <w:t>as follows</w:t>
      </w:r>
      <w:r w:rsidR="002A2C4D">
        <w:t>:</w:t>
      </w:r>
    </w:p>
    <w:p w14:paraId="7E51CE18" w14:textId="0447B8F4" w:rsidR="00736AF9" w:rsidRDefault="00A644C0" w:rsidP="006A7E85">
      <w:pPr>
        <w:pStyle w:val="ListParagraph"/>
        <w:numPr>
          <w:ilvl w:val="0"/>
          <w:numId w:val="84"/>
        </w:numPr>
      </w:pPr>
      <w:r>
        <w:t xml:space="preserve">A </w:t>
      </w:r>
      <w:r w:rsidR="001F7304">
        <w:t xml:space="preserve">farmer uses </w:t>
      </w:r>
      <w:r w:rsidR="00A05BBA">
        <w:t xml:space="preserve">a </w:t>
      </w:r>
      <w:r w:rsidR="00C11022">
        <w:t xml:space="preserve">truck </w:t>
      </w:r>
      <w:r w:rsidR="00A05BBA">
        <w:t xml:space="preserve">on the farm enterprise </w:t>
      </w:r>
      <w:proofErr w:type="gramStart"/>
      <w:r w:rsidR="001F7304">
        <w:t>and also</w:t>
      </w:r>
      <w:proofErr w:type="gramEnd"/>
      <w:r w:rsidR="001F7304">
        <w:t xml:space="preserve"> </w:t>
      </w:r>
      <w:r w:rsidR="00A05BBA">
        <w:t>use</w:t>
      </w:r>
      <w:r w:rsidR="001F7304">
        <w:t>s</w:t>
      </w:r>
      <w:r w:rsidR="00A05BBA">
        <w:t xml:space="preserve"> </w:t>
      </w:r>
      <w:r>
        <w:t xml:space="preserve">it </w:t>
      </w:r>
      <w:r w:rsidR="001F7304">
        <w:t xml:space="preserve">to make deliveries </w:t>
      </w:r>
      <w:r w:rsidR="00106786">
        <w:t xml:space="preserve">for a newsagency business the farmer carries on. The newsagency business </w:t>
      </w:r>
      <w:r w:rsidR="00106786" w:rsidRPr="00EF6ECB">
        <w:rPr>
          <w:i/>
          <w:iCs/>
        </w:rPr>
        <w:t>is not</w:t>
      </w:r>
      <w:r w:rsidR="00106786">
        <w:t xml:space="preserve"> a related business</w:t>
      </w:r>
      <w:r w:rsidR="007069BD" w:rsidRPr="007069BD">
        <w:t xml:space="preserve"> </w:t>
      </w:r>
      <w:r w:rsidR="007069BD">
        <w:t>of the farm enterprise</w:t>
      </w:r>
      <w:r w:rsidR="00106786">
        <w:t>.</w:t>
      </w:r>
    </w:p>
    <w:p w14:paraId="7CF89146" w14:textId="65755614" w:rsidR="00785813" w:rsidRDefault="003305AB" w:rsidP="006A7E85">
      <w:pPr>
        <w:pStyle w:val="ListParagraph"/>
        <w:numPr>
          <w:ilvl w:val="0"/>
          <w:numId w:val="84"/>
        </w:numPr>
      </w:pPr>
      <w:r>
        <w:t>A</w:t>
      </w:r>
      <w:r w:rsidR="00295338">
        <w:t xml:space="preserve"> beef producer also carries on a butcher</w:t>
      </w:r>
      <w:r w:rsidR="006634B8">
        <w:t>’s shop in town, which sells (among other things) beef produced o</w:t>
      </w:r>
      <w:r w:rsidR="008D29C1">
        <w:t>n</w:t>
      </w:r>
      <w:r w:rsidR="006634B8">
        <w:t xml:space="preserve"> the farm. The </w:t>
      </w:r>
      <w:r w:rsidR="007069BD">
        <w:t xml:space="preserve">butchery business </w:t>
      </w:r>
      <w:r w:rsidR="007069BD" w:rsidRPr="00EF6ECB">
        <w:rPr>
          <w:i/>
          <w:iCs/>
        </w:rPr>
        <w:t>is</w:t>
      </w:r>
      <w:r w:rsidR="007069BD">
        <w:t xml:space="preserve"> a related business of the farm enterprise.</w:t>
      </w:r>
    </w:p>
    <w:p w14:paraId="5C721A80" w14:textId="77777777" w:rsidR="005E2EB5" w:rsidRDefault="005E2EB5" w:rsidP="005E2EB5">
      <w:pPr>
        <w:pStyle w:val="ListParagraph"/>
      </w:pPr>
    </w:p>
    <w:p w14:paraId="587BFF62" w14:textId="55B79924" w:rsidR="006F3EFE" w:rsidRDefault="00515DAD" w:rsidP="005E2EB5">
      <w:pPr>
        <w:pStyle w:val="ListParagraph"/>
        <w:numPr>
          <w:ilvl w:val="0"/>
          <w:numId w:val="96"/>
        </w:numPr>
      </w:pPr>
      <w:r>
        <w:t>A</w:t>
      </w:r>
      <w:r w:rsidR="00C6337B">
        <w:t xml:space="preserve"> note to section 5 provides that </w:t>
      </w:r>
      <w:proofErr w:type="gramStart"/>
      <w:r w:rsidR="00C6337B">
        <w:t>a</w:t>
      </w:r>
      <w:r w:rsidR="0045345A">
        <w:t xml:space="preserve"> number of</w:t>
      </w:r>
      <w:proofErr w:type="gramEnd"/>
      <w:r w:rsidR="0045345A">
        <w:t xml:space="preserve"> other expressions relevant to the </w:t>
      </w:r>
      <w:r w:rsidR="005C7B33">
        <w:t xml:space="preserve">instrument </w:t>
      </w:r>
      <w:r w:rsidR="0045345A">
        <w:t>are defined in the Act</w:t>
      </w:r>
      <w:r w:rsidR="008F14AC">
        <w:t>, including</w:t>
      </w:r>
      <w:r w:rsidR="006F3EFE">
        <w:t>:</w:t>
      </w:r>
    </w:p>
    <w:p w14:paraId="32050410" w14:textId="05F895D8" w:rsidR="008F14AC" w:rsidRDefault="008F14AC" w:rsidP="006A7E85">
      <w:pPr>
        <w:pStyle w:val="ListParagraph"/>
        <w:numPr>
          <w:ilvl w:val="0"/>
          <w:numId w:val="85"/>
        </w:numPr>
      </w:pPr>
      <w:r w:rsidRPr="00EF6ECB">
        <w:rPr>
          <w:b/>
          <w:i/>
          <w:iCs/>
        </w:rPr>
        <w:t>farm asset</w:t>
      </w:r>
      <w:r>
        <w:t>—</w:t>
      </w:r>
      <w:r w:rsidR="007556C0">
        <w:t xml:space="preserve">which has the meaning given by </w:t>
      </w:r>
      <w:r>
        <w:t xml:space="preserve">subsections 35(1) and (2) of the </w:t>
      </w:r>
      <w:proofErr w:type="gramStart"/>
      <w:r>
        <w:t>Act;</w:t>
      </w:r>
      <w:proofErr w:type="gramEnd"/>
    </w:p>
    <w:p w14:paraId="05799635" w14:textId="18C357FB" w:rsidR="008F14AC" w:rsidRDefault="008F14AC" w:rsidP="006A7E85">
      <w:pPr>
        <w:pStyle w:val="ListParagraph"/>
        <w:numPr>
          <w:ilvl w:val="0"/>
          <w:numId w:val="85"/>
        </w:numPr>
      </w:pPr>
      <w:r w:rsidRPr="00EF6ECB">
        <w:rPr>
          <w:b/>
          <w:i/>
          <w:iCs/>
        </w:rPr>
        <w:t>farm enterprise</w:t>
      </w:r>
      <w:r>
        <w:t>—</w:t>
      </w:r>
      <w:r w:rsidR="008E4A7D">
        <w:t xml:space="preserve">means </w:t>
      </w:r>
      <w:r w:rsidRPr="0064241C">
        <w:t xml:space="preserve">an enterprise carried on within any of the agricultural, horticultural, pastoral, apicultural or aquacultural </w:t>
      </w:r>
      <w:proofErr w:type="gramStart"/>
      <w:r w:rsidRPr="0064241C">
        <w:t>industries</w:t>
      </w:r>
      <w:r w:rsidR="00E63CF5">
        <w:t>;</w:t>
      </w:r>
      <w:proofErr w:type="gramEnd"/>
    </w:p>
    <w:p w14:paraId="2484322B" w14:textId="6EB6397B" w:rsidR="008F14AC" w:rsidRDefault="008F14AC" w:rsidP="006A7E85">
      <w:pPr>
        <w:pStyle w:val="ListParagraph"/>
        <w:numPr>
          <w:ilvl w:val="0"/>
          <w:numId w:val="85"/>
        </w:numPr>
      </w:pPr>
      <w:r w:rsidRPr="006A7E85">
        <w:rPr>
          <w:b/>
          <w:i/>
          <w:iCs/>
        </w:rPr>
        <w:t>Social Security Act</w:t>
      </w:r>
      <w:r>
        <w:t>—</w:t>
      </w:r>
      <w:r w:rsidR="00D36381">
        <w:t xml:space="preserve">means </w:t>
      </w:r>
      <w:r w:rsidRPr="0064241C">
        <w:t>the </w:t>
      </w:r>
      <w:r w:rsidRPr="006A7E85">
        <w:rPr>
          <w:i/>
          <w:iCs/>
        </w:rPr>
        <w:t>Social Security Act 1991</w:t>
      </w:r>
      <w:r>
        <w:t>.</w:t>
      </w:r>
    </w:p>
    <w:p w14:paraId="0045EB73" w14:textId="7C374F4D" w:rsidR="009C3909" w:rsidRPr="007524D9" w:rsidRDefault="009C3909" w:rsidP="006A7E85">
      <w:pPr>
        <w:rPr>
          <w:bCs/>
        </w:rPr>
      </w:pPr>
      <w:bookmarkStart w:id="2" w:name="_Ref161242059"/>
      <w:r w:rsidRPr="006A7E85">
        <w:rPr>
          <w:b/>
          <w:bCs/>
        </w:rPr>
        <w:t>Part 2—</w:t>
      </w:r>
      <w:bookmarkStart w:id="3" w:name="_Hlk169256551"/>
      <w:r w:rsidR="00DB6D6F" w:rsidRPr="006A7E85">
        <w:rPr>
          <w:b/>
          <w:bCs/>
        </w:rPr>
        <w:t>Rate of farm household allowance—allowable deductions from ordinary income</w:t>
      </w:r>
      <w:bookmarkEnd w:id="3"/>
    </w:p>
    <w:p w14:paraId="3489E00C" w14:textId="77777777" w:rsidR="00B27A59" w:rsidRPr="00AF2C2A" w:rsidRDefault="00B27A59" w:rsidP="006A7E85">
      <w:pPr>
        <w:rPr>
          <w:b/>
          <w:u w:val="single"/>
        </w:rPr>
      </w:pPr>
      <w:bookmarkStart w:id="4" w:name="_Hlk173491037"/>
      <w:bookmarkEnd w:id="2"/>
      <w:r w:rsidRPr="00AF2C2A">
        <w:rPr>
          <w:u w:val="single"/>
        </w:rPr>
        <w:t>Section 6—Purpose of this Part</w:t>
      </w:r>
    </w:p>
    <w:bookmarkEnd w:id="4"/>
    <w:p w14:paraId="02EF4920" w14:textId="4EDD0122" w:rsidR="00DB6D6F" w:rsidRDefault="00DB6D6F" w:rsidP="005E2EB5">
      <w:pPr>
        <w:pStyle w:val="ListParagraph"/>
        <w:numPr>
          <w:ilvl w:val="0"/>
          <w:numId w:val="96"/>
        </w:numPr>
      </w:pPr>
      <w:r w:rsidRPr="00A24F17">
        <w:t>Section 6</w:t>
      </w:r>
      <w:r w:rsidR="000C486F">
        <w:t xml:space="preserve"> </w:t>
      </w:r>
      <w:r w:rsidR="00CB0230">
        <w:t>specifies</w:t>
      </w:r>
      <w:r w:rsidR="001755F6">
        <w:t xml:space="preserve"> that Part 2</w:t>
      </w:r>
      <w:r>
        <w:t xml:space="preserve"> </w:t>
      </w:r>
      <w:r w:rsidR="00CB0230">
        <w:t>of the instrument</w:t>
      </w:r>
      <w:r>
        <w:t xml:space="preserve"> </w:t>
      </w:r>
      <w:r w:rsidR="00CB0230">
        <w:t xml:space="preserve">sets </w:t>
      </w:r>
      <w:r>
        <w:t>out</w:t>
      </w:r>
      <w:r w:rsidR="00CB0230">
        <w:t xml:space="preserve">, for the </w:t>
      </w:r>
      <w:r w:rsidR="00F91356">
        <w:t>purposes</w:t>
      </w:r>
      <w:r w:rsidR="00CB0230">
        <w:t xml:space="preserve"> of section 6</w:t>
      </w:r>
      <w:r w:rsidR="00F91356">
        <w:t xml:space="preserve">7 of the Act, </w:t>
      </w:r>
      <w:r>
        <w:t xml:space="preserve">the way a person’s ordinary income for a tax year is to be reduced for the purposes of </w:t>
      </w:r>
      <w:bookmarkStart w:id="5" w:name="_Hlk173494711"/>
      <w:r>
        <w:t xml:space="preserve">working out the rate of </w:t>
      </w:r>
      <w:r w:rsidR="00140021">
        <w:t xml:space="preserve">the farm </w:t>
      </w:r>
      <w:r w:rsidR="009A39F0">
        <w:t>household allowance for the person</w:t>
      </w:r>
      <w:r w:rsidR="00140021">
        <w:t xml:space="preserve"> for the tax year.</w:t>
      </w:r>
      <w:bookmarkEnd w:id="5"/>
    </w:p>
    <w:p w14:paraId="2A9F1D95" w14:textId="6E1204CC" w:rsidR="00FD3505" w:rsidRPr="006A7E85" w:rsidRDefault="00FD3505" w:rsidP="006A7E85">
      <w:pPr>
        <w:rPr>
          <w:u w:val="single"/>
        </w:rPr>
      </w:pPr>
      <w:bookmarkStart w:id="6" w:name="_Ref161242068"/>
      <w:r w:rsidRPr="00AF2C2A">
        <w:rPr>
          <w:u w:val="single"/>
        </w:rPr>
        <w:t xml:space="preserve">Section </w:t>
      </w:r>
      <w:r w:rsidR="00AD26A4" w:rsidRPr="00AF2C2A">
        <w:rPr>
          <w:u w:val="single"/>
        </w:rPr>
        <w:t>7</w:t>
      </w:r>
      <w:r w:rsidRPr="00AF2C2A">
        <w:rPr>
          <w:u w:val="single"/>
        </w:rPr>
        <w:t>—</w:t>
      </w:r>
      <w:bookmarkEnd w:id="6"/>
      <w:r w:rsidR="00EB4298" w:rsidRPr="00AF2C2A">
        <w:rPr>
          <w:u w:val="single"/>
        </w:rPr>
        <w:t xml:space="preserve"> </w:t>
      </w:r>
      <w:r w:rsidR="00377DA2">
        <w:rPr>
          <w:u w:val="single"/>
        </w:rPr>
        <w:t>Overall o</w:t>
      </w:r>
      <w:r w:rsidR="00EB4298" w:rsidRPr="00AF2C2A">
        <w:rPr>
          <w:u w:val="single"/>
        </w:rPr>
        <w:t>perating loss to be used to reduce ordinary income</w:t>
      </w:r>
    </w:p>
    <w:p w14:paraId="33FD079B" w14:textId="27015E30" w:rsidR="00CA20B5" w:rsidRDefault="00F91356" w:rsidP="005E2EB5">
      <w:pPr>
        <w:pStyle w:val="ListParagraph"/>
        <w:numPr>
          <w:ilvl w:val="0"/>
          <w:numId w:val="96"/>
        </w:numPr>
      </w:pPr>
      <w:r>
        <w:t>S</w:t>
      </w:r>
      <w:r w:rsidR="00131A07">
        <w:t xml:space="preserve">ection 7 </w:t>
      </w:r>
      <w:r w:rsidR="00FB057A">
        <w:t>set</w:t>
      </w:r>
      <w:r>
        <w:t>s</w:t>
      </w:r>
      <w:r w:rsidR="00FB057A">
        <w:t xml:space="preserve"> out how </w:t>
      </w:r>
      <w:r w:rsidR="00D02409">
        <w:t xml:space="preserve">to </w:t>
      </w:r>
      <w:r w:rsidR="00060252">
        <w:t>calculate</w:t>
      </w:r>
      <w:r w:rsidR="00D02409">
        <w:t xml:space="preserve"> the operating </w:t>
      </w:r>
      <w:r w:rsidR="00FB057A">
        <w:t>loss (</w:t>
      </w:r>
      <w:r w:rsidR="00231955">
        <w:t>of</w:t>
      </w:r>
      <w:r w:rsidR="00FB057A">
        <w:t xml:space="preserve"> the farm enterprise and related businesses) </w:t>
      </w:r>
      <w:r w:rsidR="00795979">
        <w:t>for a tax year.</w:t>
      </w:r>
      <w:r w:rsidR="00CA20B5">
        <w:t xml:space="preserve"> </w:t>
      </w:r>
      <w:r w:rsidR="00950040">
        <w:t xml:space="preserve">Subsection 7(1) </w:t>
      </w:r>
      <w:r w:rsidR="009249F4">
        <w:t>provides that, subject to section</w:t>
      </w:r>
      <w:r w:rsidR="00D02409">
        <w:t xml:space="preserve"> 8,</w:t>
      </w:r>
      <w:r w:rsidR="004F3691">
        <w:t xml:space="preserve"> a person’s ordinary income for a tax year </w:t>
      </w:r>
      <w:r w:rsidR="00DA4262">
        <w:t xml:space="preserve">is to be reduced by the amount of </w:t>
      </w:r>
      <w:r w:rsidR="00DA4262" w:rsidRPr="008E0103">
        <w:t xml:space="preserve">the </w:t>
      </w:r>
      <w:r w:rsidR="00510999" w:rsidRPr="008E0103">
        <w:t xml:space="preserve">overall </w:t>
      </w:r>
      <w:r w:rsidR="00DA4262" w:rsidRPr="008E0103">
        <w:t>operating</w:t>
      </w:r>
      <w:r w:rsidR="00DA4262">
        <w:t xml:space="preserve"> loss from a farm enterprise or related business of the farm enterprise for the tax year. </w:t>
      </w:r>
    </w:p>
    <w:p w14:paraId="19326879" w14:textId="77777777" w:rsidR="005E2EB5" w:rsidRDefault="005E2EB5" w:rsidP="005E2EB5">
      <w:pPr>
        <w:pStyle w:val="ListParagraph"/>
        <w:ind w:left="360"/>
      </w:pPr>
    </w:p>
    <w:p w14:paraId="217FCF0E" w14:textId="08D9AC8D" w:rsidR="0018713B" w:rsidRDefault="00D02409" w:rsidP="005E2EB5">
      <w:pPr>
        <w:pStyle w:val="ListParagraph"/>
        <w:numPr>
          <w:ilvl w:val="0"/>
          <w:numId w:val="96"/>
        </w:numPr>
      </w:pPr>
      <w:r>
        <w:t xml:space="preserve">Subsection 7(2) sets out a method statement </w:t>
      </w:r>
      <w:r w:rsidR="00CB754F">
        <w:t>outlining</w:t>
      </w:r>
      <w:r w:rsidR="00F42432" w:rsidRPr="00F42432">
        <w:t xml:space="preserve"> the steps to be taken to work out whether </w:t>
      </w:r>
      <w:r w:rsidR="0018713B">
        <w:t xml:space="preserve">there is an amount of </w:t>
      </w:r>
      <w:r w:rsidR="00510999">
        <w:t xml:space="preserve">the </w:t>
      </w:r>
      <w:r w:rsidR="00510999" w:rsidRPr="00510999">
        <w:t>overall</w:t>
      </w:r>
      <w:r w:rsidR="00510999">
        <w:t xml:space="preserve"> </w:t>
      </w:r>
      <w:r w:rsidR="0018713B">
        <w:t xml:space="preserve">operating loss that can reduce a person’s </w:t>
      </w:r>
      <w:r w:rsidR="00F42432" w:rsidRPr="00F42432">
        <w:t>ordinary income for a tax year for FHA income test purposes</w:t>
      </w:r>
      <w:r>
        <w:t xml:space="preserve">. </w:t>
      </w:r>
    </w:p>
    <w:p w14:paraId="52880BF9" w14:textId="77777777" w:rsidR="005E2EB5" w:rsidRDefault="005E2EB5" w:rsidP="005E2EB5">
      <w:pPr>
        <w:pStyle w:val="ListParagraph"/>
      </w:pPr>
    </w:p>
    <w:p w14:paraId="653F1E6D" w14:textId="305457EC" w:rsidR="0018713B" w:rsidRDefault="0018713B" w:rsidP="005E2EB5">
      <w:pPr>
        <w:pStyle w:val="ListParagraph"/>
        <w:numPr>
          <w:ilvl w:val="0"/>
          <w:numId w:val="96"/>
        </w:numPr>
      </w:pPr>
      <w:r>
        <w:t>The steps are:</w:t>
      </w:r>
    </w:p>
    <w:p w14:paraId="0EBAB4ED" w14:textId="0B4208F8" w:rsidR="0018713B" w:rsidRDefault="00125A31" w:rsidP="00AF2C2A">
      <w:pPr>
        <w:pStyle w:val="ListParagraph"/>
        <w:numPr>
          <w:ilvl w:val="0"/>
          <w:numId w:val="86"/>
        </w:numPr>
      </w:pPr>
      <w:r w:rsidRPr="00EF6ECB">
        <w:rPr>
          <w:i/>
          <w:iCs/>
        </w:rPr>
        <w:t>S</w:t>
      </w:r>
      <w:r w:rsidR="0018713B" w:rsidRPr="00EF6ECB">
        <w:rPr>
          <w:i/>
          <w:iCs/>
        </w:rPr>
        <w:t>tep 1:</w:t>
      </w:r>
      <w:r w:rsidR="0018713B">
        <w:t xml:space="preserve"> Identify for the person the farm enterprise</w:t>
      </w:r>
      <w:r w:rsidR="001672BD">
        <w:t xml:space="preserve">, in respect of which they have </w:t>
      </w:r>
      <w:r w:rsidR="00231955">
        <w:t>claimed</w:t>
      </w:r>
      <w:r w:rsidR="001672BD">
        <w:t xml:space="preserve"> FHA,</w:t>
      </w:r>
      <w:r w:rsidR="0018713B">
        <w:t xml:space="preserve"> and each related business of the farm enterprise. </w:t>
      </w:r>
    </w:p>
    <w:p w14:paraId="4B4DB013" w14:textId="77777777" w:rsidR="00412144" w:rsidRDefault="00412144" w:rsidP="00412144">
      <w:pPr>
        <w:pStyle w:val="ListParagraph"/>
      </w:pPr>
    </w:p>
    <w:p w14:paraId="1ECD9168" w14:textId="7B0FC6DF" w:rsidR="003F361D" w:rsidRDefault="00125A31" w:rsidP="00AF2C2A">
      <w:pPr>
        <w:pStyle w:val="ListParagraph"/>
        <w:numPr>
          <w:ilvl w:val="0"/>
          <w:numId w:val="86"/>
        </w:numPr>
      </w:pPr>
      <w:r w:rsidRPr="00EF6ECB">
        <w:rPr>
          <w:i/>
          <w:iCs/>
        </w:rPr>
        <w:t>S</w:t>
      </w:r>
      <w:r w:rsidR="0018713B" w:rsidRPr="00EF6ECB">
        <w:rPr>
          <w:i/>
          <w:iCs/>
        </w:rPr>
        <w:t>tep 2</w:t>
      </w:r>
      <w:r w:rsidR="0018713B">
        <w:t xml:space="preserve">: </w:t>
      </w:r>
      <w:r w:rsidR="00510999">
        <w:t>Work out</w:t>
      </w:r>
      <w:r w:rsidR="00231955">
        <w:t xml:space="preserve"> for the tax year</w:t>
      </w:r>
      <w:r w:rsidR="00510999">
        <w:t xml:space="preserve"> </w:t>
      </w:r>
      <w:r w:rsidR="0018713B">
        <w:t>the revenue of the farm enterprise and each related business of the farm enterprise.</w:t>
      </w:r>
    </w:p>
    <w:p w14:paraId="05780098" w14:textId="5266DAA4" w:rsidR="003F361D" w:rsidRPr="00125A31" w:rsidRDefault="00231955" w:rsidP="00AF5B81">
      <w:pPr>
        <w:ind w:left="720"/>
      </w:pPr>
      <w:r>
        <w:t>Paragraph (a) of this</w:t>
      </w:r>
      <w:r w:rsidR="003F361D" w:rsidRPr="00AF5B81">
        <w:t xml:space="preserve"> step </w:t>
      </w:r>
      <w:r>
        <w:t>clarifies that if the farm enterprise or related business is carried on by more than one entity, assume that only one entity is carrying on the farm enterprise or related business</w:t>
      </w:r>
      <w:r w:rsidR="003F361D" w:rsidRPr="00AF5B81">
        <w:t>.</w:t>
      </w:r>
      <w:r w:rsidR="003F361D" w:rsidRPr="00125A31">
        <w:t xml:space="preserve"> </w:t>
      </w:r>
    </w:p>
    <w:p w14:paraId="2DF69FEC" w14:textId="4FC82608" w:rsidR="00304BFD" w:rsidRDefault="00304BFD" w:rsidP="00FA1BD9">
      <w:pPr>
        <w:ind w:left="720"/>
      </w:pPr>
      <w:r>
        <w:lastRenderedPageBreak/>
        <w:t>Paragraph (b) of this step provides that if the farm enterprise or related business is carried on by a company or trust, the revenue of the farm enterprise or related business is the company’s or trust’s gross ordinary income from the farm enterprise or related business worked out under section 1208 of the Social Security Act without any reductions</w:t>
      </w:r>
      <w:r w:rsidR="00A775EB">
        <w:t>.</w:t>
      </w:r>
    </w:p>
    <w:p w14:paraId="2A71A9B8" w14:textId="0D01909B" w:rsidR="003F5048" w:rsidRDefault="003F5048" w:rsidP="00FA1BD9">
      <w:pPr>
        <w:ind w:left="720"/>
      </w:pPr>
      <w:r>
        <w:t>Paragraph (c) of this step</w:t>
      </w:r>
      <w:r w:rsidR="00EB3F2F">
        <w:t xml:space="preserve"> provides that if the farm enterprise </w:t>
      </w:r>
      <w:r w:rsidR="00683A8C">
        <w:t>or related business is carried on by an entity other than a trust or a company,</w:t>
      </w:r>
      <w:r w:rsidR="009D0B74">
        <w:t xml:space="preserve"> the revenue of the farm enterprise or related business is the entity’s gross ordinary income from the farm enterprise or related business</w:t>
      </w:r>
      <w:r w:rsidR="00941951">
        <w:t xml:space="preserve"> worked out under Part 3.10 of the Social Security Act without any reductions</w:t>
      </w:r>
      <w:r w:rsidR="005F0C14">
        <w:t>.</w:t>
      </w:r>
    </w:p>
    <w:p w14:paraId="330F306C" w14:textId="65C29C22" w:rsidR="005F0C14" w:rsidRDefault="005F0C14" w:rsidP="00FA1BD9">
      <w:pPr>
        <w:ind w:left="720"/>
      </w:pPr>
      <w:r>
        <w:t xml:space="preserve">Paragraph (d) </w:t>
      </w:r>
      <w:r w:rsidR="00A403E1">
        <w:t xml:space="preserve">of this step </w:t>
      </w:r>
      <w:r w:rsidR="006833B0">
        <w:t>clarifies</w:t>
      </w:r>
      <w:r w:rsidR="00794BEA">
        <w:t xml:space="preserve"> that if the farm enterprise or related business is carried on by a partnership,</w:t>
      </w:r>
      <w:r w:rsidR="006833B0">
        <w:t xml:space="preserve"> the partnership is to be treated as a person for the purposes of applying paragraph (c).</w:t>
      </w:r>
    </w:p>
    <w:p w14:paraId="239D1E12" w14:textId="2DA4C8D3" w:rsidR="008A76C5" w:rsidRPr="00125A31" w:rsidRDefault="00BD23DE" w:rsidP="00FA1BD9">
      <w:pPr>
        <w:ind w:left="720"/>
        <w:rPr>
          <w:rFonts w:cs="Times New Roman"/>
          <w:bCs/>
          <w:szCs w:val="22"/>
        </w:rPr>
      </w:pPr>
      <w:r w:rsidRPr="00AF5B81">
        <w:t>The</w:t>
      </w:r>
      <w:r w:rsidR="00D90F2B">
        <w:t>se</w:t>
      </w:r>
      <w:r w:rsidRPr="00AF5B81">
        <w:t xml:space="preserve"> </w:t>
      </w:r>
      <w:r w:rsidR="00D90F2B">
        <w:t>provisions ensure</w:t>
      </w:r>
      <w:r w:rsidRPr="00AF5B81">
        <w:t xml:space="preserve"> that all the</w:t>
      </w:r>
      <w:r w:rsidR="001672BD" w:rsidRPr="00AF5B81">
        <w:t xml:space="preserve"> revenue of the </w:t>
      </w:r>
      <w:r w:rsidRPr="00AF5B81">
        <w:t xml:space="preserve">farm enterprise and any related </w:t>
      </w:r>
      <w:r w:rsidR="001672BD" w:rsidRPr="00AF5B81">
        <w:t xml:space="preserve">business must be </w:t>
      </w:r>
      <w:r w:rsidR="00125A31" w:rsidRPr="00125A31">
        <w:t>considered,</w:t>
      </w:r>
      <w:r w:rsidRPr="000413F2">
        <w:t xml:space="preserve"> and the calculations occur before any</w:t>
      </w:r>
      <w:r w:rsidR="001C009A">
        <w:t xml:space="preserve"> overall operating</w:t>
      </w:r>
      <w:r w:rsidRPr="000413F2">
        <w:t xml:space="preserve"> loss is apportioned or otherwise attributed to the FHA recipient</w:t>
      </w:r>
      <w:r w:rsidR="001672BD" w:rsidRPr="000413F2">
        <w:t>.</w:t>
      </w:r>
    </w:p>
    <w:p w14:paraId="54EA4E6D" w14:textId="22EE26EF" w:rsidR="00510999" w:rsidRPr="0017034E" w:rsidRDefault="00125A31" w:rsidP="000413F2">
      <w:pPr>
        <w:pStyle w:val="ListParagraph"/>
        <w:numPr>
          <w:ilvl w:val="0"/>
          <w:numId w:val="86"/>
        </w:numPr>
      </w:pPr>
      <w:r w:rsidRPr="0017034E">
        <w:rPr>
          <w:i/>
          <w:iCs/>
        </w:rPr>
        <w:t>S</w:t>
      </w:r>
      <w:r w:rsidR="0018713B" w:rsidRPr="0017034E">
        <w:rPr>
          <w:i/>
          <w:iCs/>
        </w:rPr>
        <w:t>tep 3</w:t>
      </w:r>
      <w:r w:rsidR="0018713B" w:rsidRPr="0017034E">
        <w:t xml:space="preserve">: </w:t>
      </w:r>
      <w:r w:rsidR="00510999" w:rsidRPr="0017034E">
        <w:t>Sum the amounts worked out under Step 2.</w:t>
      </w:r>
    </w:p>
    <w:p w14:paraId="6E55AF9E" w14:textId="255875F8" w:rsidR="00412144" w:rsidRDefault="00510999" w:rsidP="00FA1BD9">
      <w:pPr>
        <w:pStyle w:val="ListParagraph"/>
        <w:numPr>
          <w:ilvl w:val="0"/>
          <w:numId w:val="86"/>
        </w:numPr>
        <w:ind w:left="714" w:hanging="357"/>
        <w:contextualSpacing w:val="0"/>
      </w:pPr>
      <w:r w:rsidRPr="00510999">
        <w:rPr>
          <w:i/>
          <w:iCs/>
        </w:rPr>
        <w:t>Step 4</w:t>
      </w:r>
      <w:r w:rsidRPr="00510999">
        <w:t>:</w:t>
      </w:r>
      <w:r>
        <w:t xml:space="preserve"> </w:t>
      </w:r>
      <w:r w:rsidR="00412144">
        <w:t xml:space="preserve">Work out </w:t>
      </w:r>
      <w:r w:rsidR="00BC1EF6">
        <w:t xml:space="preserve">for the tax year </w:t>
      </w:r>
      <w:r w:rsidR="00412144">
        <w:t>the outgoings of the farm enterprise and each related business of the farm enterprise</w:t>
      </w:r>
      <w:r w:rsidR="00FA1BD9">
        <w:t>.</w:t>
      </w:r>
    </w:p>
    <w:p w14:paraId="098D36CB" w14:textId="25B9116F" w:rsidR="00800113" w:rsidRDefault="003F361D" w:rsidP="00FA1BD9">
      <w:pPr>
        <w:pStyle w:val="ListParagraph"/>
        <w:contextualSpacing w:val="0"/>
      </w:pPr>
      <w:r w:rsidRPr="000413F2">
        <w:t xml:space="preserve">This step </w:t>
      </w:r>
      <w:r w:rsidR="007A1D29" w:rsidRPr="000413F2">
        <w:t>explains</w:t>
      </w:r>
      <w:r w:rsidRPr="000413F2">
        <w:t xml:space="preserve"> how to work out </w:t>
      </w:r>
      <w:r w:rsidR="00683D1B">
        <w:t xml:space="preserve">the </w:t>
      </w:r>
      <w:r w:rsidRPr="000413F2">
        <w:t xml:space="preserve">outgoings of the farm enterprise or related business if they are carried on by a company or a trust, or any other </w:t>
      </w:r>
      <w:r w:rsidR="00661F18">
        <w:t>entity (including a partnership)</w:t>
      </w:r>
      <w:r w:rsidRPr="000413F2">
        <w:t>.</w:t>
      </w:r>
    </w:p>
    <w:p w14:paraId="42C5ABF0" w14:textId="77777777" w:rsidR="008D5E6C" w:rsidRDefault="00800113" w:rsidP="00FA1BD9">
      <w:pPr>
        <w:pStyle w:val="ListParagraph"/>
        <w:contextualSpacing w:val="0"/>
      </w:pPr>
      <w:r>
        <w:t>Paragraph (a) of step 4 provides that for the purposes of this step, if the farm enterprise or related business is carried on by more than one entity, assume</w:t>
      </w:r>
      <w:r w:rsidR="008D5E6C">
        <w:t xml:space="preserve"> that only one entity is carrying on the farm enterprise or related business. </w:t>
      </w:r>
    </w:p>
    <w:p w14:paraId="55252DBE" w14:textId="77777777" w:rsidR="007928EF" w:rsidRDefault="008D5E6C" w:rsidP="00FA1BD9">
      <w:pPr>
        <w:pStyle w:val="ListParagraph"/>
        <w:contextualSpacing w:val="0"/>
      </w:pPr>
      <w:r>
        <w:t>Paragraph (b) of step 4 provides that for the purposes of this step,</w:t>
      </w:r>
      <w:r w:rsidR="008A0484">
        <w:t xml:space="preserve"> if the farm enterprise or related business is carried on by a company or trust, the outgoings of the farm enterprise or related business are the reductions that can be made</w:t>
      </w:r>
      <w:r w:rsidR="00B02D63">
        <w:t xml:space="preserve"> under section 1208A or 1208B of the Social Security Act from the company’s or trust’s gross ordinary income</w:t>
      </w:r>
      <w:r w:rsidR="007928EF">
        <w:t xml:space="preserve"> from the farm enterprise or related business.</w:t>
      </w:r>
    </w:p>
    <w:p w14:paraId="198F9CF0" w14:textId="6657A155" w:rsidR="003F361D" w:rsidRPr="00125A31" w:rsidRDefault="007928EF" w:rsidP="00FA1BD9">
      <w:pPr>
        <w:pStyle w:val="ListParagraph"/>
        <w:contextualSpacing w:val="0"/>
      </w:pPr>
      <w:r>
        <w:t xml:space="preserve">Paragraph (c) of step 4 provides that for the purposes of this step, if the farm enterprise or related business is carried on by an </w:t>
      </w:r>
      <w:r w:rsidR="003056A5">
        <w:t>entity other than a trust or company</w:t>
      </w:r>
      <w:r w:rsidR="00655B80">
        <w:t xml:space="preserve">, the outgoings of the </w:t>
      </w:r>
      <w:r w:rsidR="008121C7">
        <w:t>farm enterprise or related business are the reductions that can be made under Division 1A of Part 3.10 of the Social Security Act from the entity’s gross ordinary inc</w:t>
      </w:r>
      <w:r w:rsidR="002562A3">
        <w:t>ome from the farm enterprise or related business</w:t>
      </w:r>
      <w:r w:rsidR="007E0BEA">
        <w:t>.</w:t>
      </w:r>
      <w:r w:rsidR="003F361D" w:rsidRPr="00125A31">
        <w:t xml:space="preserve"> </w:t>
      </w:r>
    </w:p>
    <w:p w14:paraId="7A446B29" w14:textId="7092CB0A" w:rsidR="001672BD" w:rsidRDefault="00BD23DE" w:rsidP="000413F2">
      <w:pPr>
        <w:ind w:left="720"/>
      </w:pPr>
      <w:r w:rsidRPr="000413F2">
        <w:t xml:space="preserve">The </w:t>
      </w:r>
      <w:r w:rsidR="00036AF0">
        <w:t>purpose of step 4 of the method statement</w:t>
      </w:r>
      <w:r w:rsidRPr="000413F2">
        <w:t xml:space="preserve"> is</w:t>
      </w:r>
      <w:r w:rsidR="00036AF0">
        <w:t xml:space="preserve"> to ensure</w:t>
      </w:r>
      <w:r w:rsidRPr="000413F2">
        <w:t xml:space="preserve"> that the total outgoings of the farm enterprise and any related business </w:t>
      </w:r>
      <w:r w:rsidR="00177F80">
        <w:t>are calculated</w:t>
      </w:r>
      <w:r w:rsidRPr="000413F2">
        <w:t xml:space="preserve"> before any loss is apportioned or otherwise attributed to the FHA recipient.</w:t>
      </w:r>
    </w:p>
    <w:p w14:paraId="7F302F2C" w14:textId="20D3311B" w:rsidR="00510999" w:rsidRPr="00510999" w:rsidRDefault="00510999" w:rsidP="00510999">
      <w:pPr>
        <w:pStyle w:val="ListParagraph"/>
        <w:numPr>
          <w:ilvl w:val="0"/>
          <w:numId w:val="86"/>
        </w:numPr>
      </w:pPr>
      <w:r>
        <w:t xml:space="preserve">Step 5: </w:t>
      </w:r>
      <w:r w:rsidRPr="00510999">
        <w:t xml:space="preserve">Sum the </w:t>
      </w:r>
      <w:r w:rsidR="00BC1EF6">
        <w:t>amounts</w:t>
      </w:r>
      <w:r w:rsidRPr="00510999">
        <w:t xml:space="preserve"> </w:t>
      </w:r>
      <w:r w:rsidR="00412144">
        <w:t>worked out under Step 4</w:t>
      </w:r>
      <w:r w:rsidRPr="00510999">
        <w:t xml:space="preserve">. </w:t>
      </w:r>
    </w:p>
    <w:p w14:paraId="356BE29D" w14:textId="0D9DFC27" w:rsidR="00805A2E" w:rsidRDefault="00805A2E" w:rsidP="000413F2">
      <w:r>
        <w:lastRenderedPageBreak/>
        <w:t>The remaining steps involve</w:t>
      </w:r>
      <w:r w:rsidR="00AE345F">
        <w:t xml:space="preserve"> calculations which draw upon </w:t>
      </w:r>
      <w:r w:rsidR="00807244">
        <w:t>determinations made in the preceding steps.</w:t>
      </w:r>
    </w:p>
    <w:p w14:paraId="18F778E8" w14:textId="1CE80DB9" w:rsidR="0018713B" w:rsidRDefault="00125A31" w:rsidP="000413F2">
      <w:pPr>
        <w:pStyle w:val="ListParagraph"/>
        <w:numPr>
          <w:ilvl w:val="0"/>
          <w:numId w:val="86"/>
        </w:numPr>
      </w:pPr>
      <w:r w:rsidRPr="00EF6ECB">
        <w:rPr>
          <w:i/>
          <w:iCs/>
        </w:rPr>
        <w:t>S</w:t>
      </w:r>
      <w:r w:rsidR="0018713B" w:rsidRPr="00EF6ECB">
        <w:rPr>
          <w:i/>
          <w:iCs/>
        </w:rPr>
        <w:t xml:space="preserve">tep </w:t>
      </w:r>
      <w:r w:rsidR="00412144">
        <w:rPr>
          <w:i/>
          <w:iCs/>
        </w:rPr>
        <w:t>6</w:t>
      </w:r>
      <w:r w:rsidR="0018713B">
        <w:t xml:space="preserve">: Subtract the amount worked out under </w:t>
      </w:r>
      <w:r w:rsidR="00412144">
        <w:t>S</w:t>
      </w:r>
      <w:r w:rsidR="0018713B">
        <w:t xml:space="preserve">tep </w:t>
      </w:r>
      <w:r w:rsidR="00412144">
        <w:t>5</w:t>
      </w:r>
      <w:r w:rsidR="0018713B">
        <w:t xml:space="preserve"> from the amount worked out under step </w:t>
      </w:r>
      <w:r w:rsidR="00412144">
        <w:t>3</w:t>
      </w:r>
      <w:r w:rsidR="0018713B">
        <w:t>.</w:t>
      </w:r>
      <w:r w:rsidR="000333D0">
        <w:br/>
      </w:r>
    </w:p>
    <w:p w14:paraId="5B6B5055" w14:textId="0D85729E" w:rsidR="005F090B" w:rsidRDefault="0018713B" w:rsidP="000413F2">
      <w:pPr>
        <w:pStyle w:val="ListParagraph"/>
        <w:numPr>
          <w:ilvl w:val="0"/>
          <w:numId w:val="86"/>
        </w:numPr>
      </w:pPr>
      <w:r w:rsidRPr="00EF6ECB">
        <w:rPr>
          <w:i/>
          <w:iCs/>
        </w:rPr>
        <w:t xml:space="preserve">Step </w:t>
      </w:r>
      <w:r w:rsidR="00412144">
        <w:rPr>
          <w:i/>
          <w:iCs/>
        </w:rPr>
        <w:t>7</w:t>
      </w:r>
      <w:r w:rsidRPr="0018713B">
        <w:t>:</w:t>
      </w:r>
      <w:r>
        <w:t xml:space="preserve"> I</w:t>
      </w:r>
      <w:r w:rsidRPr="0018713B">
        <w:t xml:space="preserve">f the amount </w:t>
      </w:r>
      <w:r>
        <w:t xml:space="preserve">worked out at </w:t>
      </w:r>
      <w:r w:rsidR="00412144">
        <w:t>S</w:t>
      </w:r>
      <w:r>
        <w:t xml:space="preserve">tep </w:t>
      </w:r>
      <w:r w:rsidR="00412144">
        <w:t>6</w:t>
      </w:r>
      <w:r>
        <w:t xml:space="preserve"> </w:t>
      </w:r>
      <w:r w:rsidRPr="0018713B">
        <w:t xml:space="preserve">is </w:t>
      </w:r>
      <w:r w:rsidR="000844EA">
        <w:t>zero</w:t>
      </w:r>
      <w:r w:rsidRPr="0018713B">
        <w:t xml:space="preserve"> or more, </w:t>
      </w:r>
      <w:r>
        <w:t>there is no</w:t>
      </w:r>
      <w:r w:rsidR="00412144">
        <w:t xml:space="preserve"> overall</w:t>
      </w:r>
      <w:r>
        <w:t xml:space="preserve"> operating loss for </w:t>
      </w:r>
      <w:r w:rsidR="003355E4">
        <w:t>the</w:t>
      </w:r>
      <w:r>
        <w:t xml:space="preserve"> tax year. </w:t>
      </w:r>
    </w:p>
    <w:p w14:paraId="7A0F1337" w14:textId="77777777" w:rsidR="00412144" w:rsidRDefault="00412144" w:rsidP="00412144">
      <w:pPr>
        <w:pStyle w:val="ListParagraph"/>
      </w:pPr>
    </w:p>
    <w:p w14:paraId="0F821811" w14:textId="734C5CAC" w:rsidR="0018713B" w:rsidRDefault="005F090B" w:rsidP="000413F2">
      <w:pPr>
        <w:pStyle w:val="ListParagraph"/>
        <w:numPr>
          <w:ilvl w:val="0"/>
          <w:numId w:val="86"/>
        </w:numPr>
      </w:pPr>
      <w:r w:rsidRPr="00EF6ECB">
        <w:rPr>
          <w:i/>
          <w:iCs/>
        </w:rPr>
        <w:t xml:space="preserve">Step </w:t>
      </w:r>
      <w:r w:rsidR="00412144">
        <w:rPr>
          <w:i/>
          <w:iCs/>
        </w:rPr>
        <w:t>8</w:t>
      </w:r>
      <w:r w:rsidRPr="005F090B">
        <w:t>:</w:t>
      </w:r>
      <w:r>
        <w:t xml:space="preserve"> </w:t>
      </w:r>
      <w:r w:rsidRPr="005F090B">
        <w:t xml:space="preserve">If the amount worked out at step </w:t>
      </w:r>
      <w:r w:rsidR="00412144">
        <w:t>6</w:t>
      </w:r>
      <w:r w:rsidRPr="005F090B">
        <w:t xml:space="preserve"> is a negative amount, the amount (ignoring that the amount is a negative number) is the </w:t>
      </w:r>
      <w:r w:rsidR="00412144">
        <w:t xml:space="preserve">overall </w:t>
      </w:r>
      <w:r w:rsidRPr="005F090B">
        <w:t xml:space="preserve">operating loss for </w:t>
      </w:r>
      <w:r w:rsidR="003355E4">
        <w:t>the</w:t>
      </w:r>
      <w:r w:rsidRPr="005F090B">
        <w:t xml:space="preserve"> tax year.</w:t>
      </w:r>
    </w:p>
    <w:p w14:paraId="3C3EF6A7" w14:textId="2E6801AF" w:rsidR="005F090B" w:rsidRPr="007524D9" w:rsidRDefault="00BC6DCE" w:rsidP="000413F2">
      <w:bookmarkStart w:id="7" w:name="_Hlk173492598"/>
      <w:r w:rsidRPr="000413F2">
        <w:rPr>
          <w:u w:val="single"/>
        </w:rPr>
        <w:t>The following e</w:t>
      </w:r>
      <w:r w:rsidR="005F090B" w:rsidRPr="000413F2">
        <w:rPr>
          <w:u w:val="single"/>
        </w:rPr>
        <w:t xml:space="preserve">xamples </w:t>
      </w:r>
      <w:r w:rsidRPr="000413F2">
        <w:rPr>
          <w:u w:val="single"/>
        </w:rPr>
        <w:t xml:space="preserve">are included to </w:t>
      </w:r>
      <w:r w:rsidR="00D35C9F" w:rsidRPr="000413F2">
        <w:rPr>
          <w:u w:val="single"/>
        </w:rPr>
        <w:t xml:space="preserve">illustrate how </w:t>
      </w:r>
      <w:r w:rsidRPr="000413F2">
        <w:rPr>
          <w:u w:val="single"/>
        </w:rPr>
        <w:t xml:space="preserve">the </w:t>
      </w:r>
      <w:r w:rsidR="007F18C3" w:rsidRPr="000413F2">
        <w:rPr>
          <w:u w:val="single"/>
        </w:rPr>
        <w:t>method statement in section 7</w:t>
      </w:r>
      <w:r w:rsidR="00D35C9F" w:rsidRPr="000413F2">
        <w:rPr>
          <w:u w:val="single"/>
        </w:rPr>
        <w:t xml:space="preserve"> applies </w:t>
      </w:r>
      <w:r w:rsidR="0084476E" w:rsidRPr="000413F2">
        <w:rPr>
          <w:u w:val="single"/>
        </w:rPr>
        <w:t>in different factual</w:t>
      </w:r>
      <w:r w:rsidR="00BF10F5" w:rsidRPr="000413F2">
        <w:rPr>
          <w:u w:val="single"/>
        </w:rPr>
        <w:t xml:space="preserve"> scenarios.</w:t>
      </w:r>
    </w:p>
    <w:bookmarkEnd w:id="7"/>
    <w:p w14:paraId="599DEBA9" w14:textId="77E55E3C" w:rsidR="008470F5" w:rsidRDefault="005F090B" w:rsidP="00615144">
      <w:pPr>
        <w:pStyle w:val="ListParagraph"/>
        <w:numPr>
          <w:ilvl w:val="0"/>
          <w:numId w:val="96"/>
        </w:numPr>
        <w:spacing w:after="240"/>
      </w:pPr>
      <w:r w:rsidRPr="00615144">
        <w:rPr>
          <w:i/>
          <w:iCs/>
        </w:rPr>
        <w:t>Example 1</w:t>
      </w:r>
      <w:r w:rsidRPr="005F090B">
        <w:t>:</w:t>
      </w:r>
      <w:r w:rsidRPr="004D2873">
        <w:t xml:space="preserve"> </w:t>
      </w:r>
      <w:r w:rsidR="008470F5">
        <w:t xml:space="preserve">A person carries on a farm enterprise and one related business in </w:t>
      </w:r>
      <w:r w:rsidR="00FA0669">
        <w:t>the</w:t>
      </w:r>
      <w:r w:rsidR="008470F5">
        <w:t xml:space="preserve"> tax year. The performance of the farm enterprise and the related business is:</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410"/>
        <w:gridCol w:w="2219"/>
        <w:gridCol w:w="2221"/>
        <w:gridCol w:w="2221"/>
      </w:tblGrid>
      <w:tr w:rsidR="008470F5" w:rsidRPr="00144881" w14:paraId="40E0A3EC" w14:textId="77777777" w:rsidTr="000413F2">
        <w:trPr>
          <w:trHeight w:val="335"/>
        </w:trPr>
        <w:tc>
          <w:tcPr>
            <w:tcW w:w="1329" w:type="pct"/>
          </w:tcPr>
          <w:p w14:paraId="1A66A09E" w14:textId="77777777" w:rsidR="008470F5" w:rsidRPr="009F11B4" w:rsidRDefault="008470F5" w:rsidP="000413F2">
            <w:pPr>
              <w:spacing w:before="0"/>
              <w:rPr>
                <w:lang w:eastAsia="en-AU"/>
              </w:rPr>
            </w:pPr>
          </w:p>
        </w:tc>
        <w:tc>
          <w:tcPr>
            <w:tcW w:w="1223" w:type="pct"/>
          </w:tcPr>
          <w:p w14:paraId="6E2C884A" w14:textId="77777777" w:rsidR="008470F5" w:rsidRPr="009F11B4" w:rsidRDefault="008470F5" w:rsidP="000413F2">
            <w:pPr>
              <w:spacing w:before="0"/>
              <w:rPr>
                <w:b/>
                <w:lang w:eastAsia="en-AU"/>
              </w:rPr>
            </w:pPr>
            <w:r w:rsidRPr="009F11B4">
              <w:rPr>
                <w:b/>
                <w:lang w:eastAsia="en-AU"/>
              </w:rPr>
              <w:t>Revenue</w:t>
            </w:r>
          </w:p>
        </w:tc>
        <w:tc>
          <w:tcPr>
            <w:tcW w:w="1224" w:type="pct"/>
          </w:tcPr>
          <w:p w14:paraId="3D75763E" w14:textId="77777777" w:rsidR="008470F5" w:rsidRPr="009F11B4" w:rsidRDefault="008470F5" w:rsidP="000413F2">
            <w:pPr>
              <w:spacing w:before="0"/>
              <w:rPr>
                <w:b/>
                <w:lang w:eastAsia="en-AU"/>
              </w:rPr>
            </w:pPr>
            <w:r w:rsidRPr="009F11B4">
              <w:rPr>
                <w:b/>
                <w:lang w:eastAsia="en-AU"/>
              </w:rPr>
              <w:t>Outgoings</w:t>
            </w:r>
          </w:p>
        </w:tc>
        <w:tc>
          <w:tcPr>
            <w:tcW w:w="1224" w:type="pct"/>
          </w:tcPr>
          <w:p w14:paraId="5E460FFF" w14:textId="77777777" w:rsidR="008470F5" w:rsidRPr="009F11B4" w:rsidRDefault="008470F5" w:rsidP="000413F2">
            <w:pPr>
              <w:spacing w:before="0"/>
              <w:rPr>
                <w:b/>
                <w:lang w:eastAsia="en-AU"/>
              </w:rPr>
            </w:pPr>
            <w:r w:rsidRPr="009F11B4">
              <w:rPr>
                <w:b/>
                <w:lang w:eastAsia="en-AU"/>
              </w:rPr>
              <w:t>Total</w:t>
            </w:r>
          </w:p>
        </w:tc>
      </w:tr>
      <w:tr w:rsidR="008470F5" w:rsidRPr="00144881" w14:paraId="19A66F71" w14:textId="77777777" w:rsidTr="000413F2">
        <w:tc>
          <w:tcPr>
            <w:tcW w:w="1329" w:type="pct"/>
          </w:tcPr>
          <w:p w14:paraId="04FD58FF" w14:textId="77777777" w:rsidR="008470F5" w:rsidRPr="009F11B4" w:rsidRDefault="008470F5" w:rsidP="0024371F">
            <w:pPr>
              <w:spacing w:before="0"/>
              <w:rPr>
                <w:lang w:eastAsia="en-AU"/>
              </w:rPr>
            </w:pPr>
            <w:r w:rsidRPr="009F11B4">
              <w:rPr>
                <w:lang w:eastAsia="en-AU"/>
              </w:rPr>
              <w:t>Farm enterprise</w:t>
            </w:r>
          </w:p>
        </w:tc>
        <w:tc>
          <w:tcPr>
            <w:tcW w:w="1223" w:type="pct"/>
          </w:tcPr>
          <w:p w14:paraId="064BF453" w14:textId="1E24FB0D" w:rsidR="008470F5" w:rsidRPr="009F11B4" w:rsidRDefault="008470F5" w:rsidP="0024371F">
            <w:pPr>
              <w:spacing w:before="0"/>
              <w:rPr>
                <w:lang w:eastAsia="en-AU"/>
              </w:rPr>
            </w:pPr>
            <w:r w:rsidRPr="009F11B4">
              <w:rPr>
                <w:lang w:eastAsia="en-AU"/>
              </w:rPr>
              <w:t>$200,000</w:t>
            </w:r>
          </w:p>
        </w:tc>
        <w:tc>
          <w:tcPr>
            <w:tcW w:w="1224" w:type="pct"/>
          </w:tcPr>
          <w:p w14:paraId="2AE8C4C8" w14:textId="64B3E028" w:rsidR="008470F5" w:rsidRPr="009F11B4" w:rsidRDefault="008470F5" w:rsidP="0024371F">
            <w:pPr>
              <w:spacing w:before="0"/>
              <w:rPr>
                <w:lang w:eastAsia="en-AU"/>
              </w:rPr>
            </w:pPr>
            <w:r w:rsidRPr="009F11B4">
              <w:t>−</w:t>
            </w:r>
            <w:r w:rsidRPr="009F11B4">
              <w:rPr>
                <w:lang w:eastAsia="en-AU"/>
              </w:rPr>
              <w:t>$2</w:t>
            </w:r>
            <w:r>
              <w:rPr>
                <w:lang w:eastAsia="en-AU"/>
              </w:rPr>
              <w:t>5</w:t>
            </w:r>
            <w:r w:rsidRPr="009F11B4">
              <w:rPr>
                <w:lang w:eastAsia="en-AU"/>
              </w:rPr>
              <w:t>0,000</w:t>
            </w:r>
          </w:p>
        </w:tc>
        <w:tc>
          <w:tcPr>
            <w:tcW w:w="1224" w:type="pct"/>
          </w:tcPr>
          <w:p w14:paraId="3ED20213" w14:textId="502921A8" w:rsidR="008470F5" w:rsidRPr="009F11B4" w:rsidRDefault="008470F5" w:rsidP="0024371F">
            <w:pPr>
              <w:spacing w:before="0"/>
              <w:rPr>
                <w:lang w:eastAsia="en-AU"/>
              </w:rPr>
            </w:pPr>
            <w:r w:rsidRPr="009F11B4">
              <w:t>−</w:t>
            </w:r>
            <w:r w:rsidRPr="009F11B4">
              <w:rPr>
                <w:lang w:eastAsia="en-AU"/>
              </w:rPr>
              <w:t>$</w:t>
            </w:r>
            <w:r>
              <w:rPr>
                <w:lang w:eastAsia="en-AU"/>
              </w:rPr>
              <w:t>5</w:t>
            </w:r>
            <w:r w:rsidRPr="009F11B4">
              <w:rPr>
                <w:lang w:eastAsia="en-AU"/>
              </w:rPr>
              <w:t>0,000</w:t>
            </w:r>
          </w:p>
        </w:tc>
      </w:tr>
      <w:tr w:rsidR="008470F5" w:rsidRPr="00144881" w14:paraId="29CF9189" w14:textId="77777777" w:rsidTr="000413F2">
        <w:tc>
          <w:tcPr>
            <w:tcW w:w="1329" w:type="pct"/>
          </w:tcPr>
          <w:p w14:paraId="210E020B" w14:textId="77777777" w:rsidR="008470F5" w:rsidRPr="009F11B4" w:rsidRDefault="008470F5" w:rsidP="000413F2">
            <w:pPr>
              <w:spacing w:before="0"/>
              <w:rPr>
                <w:lang w:eastAsia="en-AU"/>
              </w:rPr>
            </w:pPr>
            <w:r w:rsidRPr="009F11B4">
              <w:rPr>
                <w:lang w:eastAsia="en-AU"/>
              </w:rPr>
              <w:t xml:space="preserve">Related business </w:t>
            </w:r>
          </w:p>
        </w:tc>
        <w:tc>
          <w:tcPr>
            <w:tcW w:w="1223" w:type="pct"/>
          </w:tcPr>
          <w:p w14:paraId="3171181E" w14:textId="5A5F2BC0" w:rsidR="008470F5" w:rsidRPr="009F11B4" w:rsidRDefault="008470F5" w:rsidP="00197B16">
            <w:pPr>
              <w:spacing w:before="0"/>
              <w:rPr>
                <w:lang w:eastAsia="en-AU"/>
              </w:rPr>
            </w:pPr>
            <w:r w:rsidRPr="009F11B4">
              <w:rPr>
                <w:lang w:eastAsia="en-AU"/>
              </w:rPr>
              <w:t>$230,000</w:t>
            </w:r>
          </w:p>
        </w:tc>
        <w:tc>
          <w:tcPr>
            <w:tcW w:w="1224" w:type="pct"/>
          </w:tcPr>
          <w:p w14:paraId="5AB7129C" w14:textId="2B0762EC" w:rsidR="008470F5" w:rsidRPr="009F11B4" w:rsidRDefault="008470F5" w:rsidP="00197B16">
            <w:pPr>
              <w:spacing w:before="0"/>
              <w:rPr>
                <w:lang w:eastAsia="en-AU"/>
              </w:rPr>
            </w:pPr>
            <w:r w:rsidRPr="009F11B4">
              <w:t>−</w:t>
            </w:r>
            <w:r w:rsidRPr="009F11B4">
              <w:rPr>
                <w:lang w:eastAsia="en-AU"/>
              </w:rPr>
              <w:t>$270,000</w:t>
            </w:r>
          </w:p>
        </w:tc>
        <w:tc>
          <w:tcPr>
            <w:tcW w:w="1224" w:type="pct"/>
          </w:tcPr>
          <w:p w14:paraId="3C51D119" w14:textId="7ADE7363" w:rsidR="008470F5" w:rsidRPr="009F11B4" w:rsidRDefault="008470F5" w:rsidP="00197B16">
            <w:pPr>
              <w:spacing w:before="0"/>
              <w:rPr>
                <w:lang w:eastAsia="en-AU"/>
              </w:rPr>
            </w:pPr>
            <w:r w:rsidRPr="009F11B4">
              <w:t>−</w:t>
            </w:r>
            <w:r w:rsidRPr="009F11B4">
              <w:rPr>
                <w:lang w:eastAsia="en-AU"/>
              </w:rPr>
              <w:t>$40,000</w:t>
            </w:r>
          </w:p>
        </w:tc>
      </w:tr>
      <w:tr w:rsidR="008470F5" w:rsidRPr="00144881" w14:paraId="4126C2FD" w14:textId="77777777" w:rsidTr="000413F2">
        <w:tc>
          <w:tcPr>
            <w:tcW w:w="1329" w:type="pct"/>
          </w:tcPr>
          <w:p w14:paraId="1B0F0C5D" w14:textId="77777777" w:rsidR="008470F5" w:rsidRPr="009F11B4" w:rsidRDefault="008470F5" w:rsidP="0024371F">
            <w:pPr>
              <w:spacing w:before="0"/>
              <w:rPr>
                <w:lang w:eastAsia="en-AU"/>
              </w:rPr>
            </w:pPr>
            <w:r w:rsidRPr="009F11B4">
              <w:rPr>
                <w:lang w:eastAsia="en-AU"/>
              </w:rPr>
              <w:t xml:space="preserve">Total </w:t>
            </w:r>
          </w:p>
        </w:tc>
        <w:tc>
          <w:tcPr>
            <w:tcW w:w="1223" w:type="pct"/>
          </w:tcPr>
          <w:p w14:paraId="2B5A0C3A" w14:textId="28B5657C" w:rsidR="008470F5" w:rsidRPr="009F11B4" w:rsidRDefault="008470F5" w:rsidP="00197B16">
            <w:pPr>
              <w:spacing w:before="0"/>
              <w:rPr>
                <w:lang w:eastAsia="en-AU"/>
              </w:rPr>
            </w:pPr>
            <w:r w:rsidRPr="009F11B4">
              <w:rPr>
                <w:lang w:eastAsia="en-AU"/>
              </w:rPr>
              <w:t>$430,000</w:t>
            </w:r>
          </w:p>
        </w:tc>
        <w:tc>
          <w:tcPr>
            <w:tcW w:w="1224" w:type="pct"/>
          </w:tcPr>
          <w:p w14:paraId="3893C8A4" w14:textId="509EDD56" w:rsidR="008470F5" w:rsidRPr="009F11B4" w:rsidRDefault="008470F5" w:rsidP="00197B16">
            <w:pPr>
              <w:spacing w:before="0"/>
              <w:rPr>
                <w:lang w:eastAsia="en-AU"/>
              </w:rPr>
            </w:pPr>
            <w:r w:rsidRPr="009F11B4">
              <w:t>−</w:t>
            </w:r>
            <w:r w:rsidRPr="009F11B4">
              <w:rPr>
                <w:lang w:eastAsia="en-AU"/>
              </w:rPr>
              <w:t>$5</w:t>
            </w:r>
            <w:r>
              <w:rPr>
                <w:lang w:eastAsia="en-AU"/>
              </w:rPr>
              <w:t>2</w:t>
            </w:r>
            <w:r w:rsidRPr="009F11B4">
              <w:rPr>
                <w:lang w:eastAsia="en-AU"/>
              </w:rPr>
              <w:t>0,000</w:t>
            </w:r>
          </w:p>
        </w:tc>
        <w:tc>
          <w:tcPr>
            <w:tcW w:w="1224" w:type="pct"/>
          </w:tcPr>
          <w:p w14:paraId="1884FE91" w14:textId="34A2B792" w:rsidR="008470F5" w:rsidRPr="009F11B4" w:rsidRDefault="008470F5" w:rsidP="00197B16">
            <w:pPr>
              <w:spacing w:before="0"/>
              <w:rPr>
                <w:b/>
                <w:lang w:eastAsia="en-AU"/>
              </w:rPr>
            </w:pPr>
            <w:r w:rsidRPr="009F11B4">
              <w:t>−</w:t>
            </w:r>
            <w:r w:rsidRPr="009F11B4">
              <w:rPr>
                <w:b/>
                <w:lang w:eastAsia="en-AU"/>
              </w:rPr>
              <w:t>$</w:t>
            </w:r>
            <w:r>
              <w:rPr>
                <w:b/>
                <w:lang w:eastAsia="en-AU"/>
              </w:rPr>
              <w:t>90</w:t>
            </w:r>
            <w:r w:rsidRPr="009F11B4">
              <w:rPr>
                <w:b/>
                <w:lang w:eastAsia="en-AU"/>
              </w:rPr>
              <w:t>,000</w:t>
            </w:r>
          </w:p>
        </w:tc>
      </w:tr>
    </w:tbl>
    <w:p w14:paraId="0713343D" w14:textId="758FF4CD" w:rsidR="008470F5" w:rsidRDefault="008470F5" w:rsidP="00D86F6A">
      <w:pPr>
        <w:pStyle w:val="ListParagraph"/>
        <w:numPr>
          <w:ilvl w:val="0"/>
          <w:numId w:val="96"/>
        </w:numPr>
        <w:rPr>
          <w:lang w:eastAsia="en-AU"/>
        </w:rPr>
      </w:pPr>
      <w:r>
        <w:rPr>
          <w:lang w:eastAsia="en-AU"/>
        </w:rPr>
        <w:t xml:space="preserve">In this example, the </w:t>
      </w:r>
      <w:r w:rsidR="00412144" w:rsidRPr="003B6A46">
        <w:rPr>
          <w:lang w:eastAsia="en-AU"/>
        </w:rPr>
        <w:t xml:space="preserve">overall </w:t>
      </w:r>
      <w:r w:rsidRPr="003B6A46">
        <w:rPr>
          <w:lang w:eastAsia="en-AU"/>
        </w:rPr>
        <w:t>o</w:t>
      </w:r>
      <w:r>
        <w:rPr>
          <w:lang w:eastAsia="en-AU"/>
        </w:rPr>
        <w:t>perating loss is $90,000. The person’s ordinary income for a tax year may be reduced by this amount.</w:t>
      </w:r>
    </w:p>
    <w:p w14:paraId="1BCF78F0" w14:textId="77777777" w:rsidR="00D86F6A" w:rsidRDefault="00D86F6A" w:rsidP="00D86F6A">
      <w:pPr>
        <w:pStyle w:val="ListParagraph"/>
        <w:ind w:left="360"/>
        <w:rPr>
          <w:lang w:eastAsia="en-AU"/>
        </w:rPr>
      </w:pPr>
    </w:p>
    <w:p w14:paraId="568935D0" w14:textId="16649B43" w:rsidR="005F090B" w:rsidRDefault="008470F5" w:rsidP="00D86F6A">
      <w:pPr>
        <w:pStyle w:val="ListParagraph"/>
        <w:numPr>
          <w:ilvl w:val="0"/>
          <w:numId w:val="96"/>
        </w:numPr>
        <w:spacing w:after="240"/>
        <w:rPr>
          <w:lang w:eastAsia="en-AU"/>
        </w:rPr>
      </w:pPr>
      <w:r w:rsidRPr="00D86F6A">
        <w:rPr>
          <w:i/>
          <w:iCs/>
        </w:rPr>
        <w:t>Example 2:</w:t>
      </w:r>
      <w:r>
        <w:t xml:space="preserve"> </w:t>
      </w:r>
      <w:r w:rsidR="005F090B" w:rsidRPr="004D2873">
        <w:t>A</w:t>
      </w:r>
      <w:r w:rsidR="005F090B">
        <w:t xml:space="preserve"> person carries on a farm enterprise and </w:t>
      </w:r>
      <w:r w:rsidR="003355E4">
        <w:t>2</w:t>
      </w:r>
      <w:r w:rsidR="005F090B">
        <w:t xml:space="preserve"> related businesses in </w:t>
      </w:r>
      <w:r w:rsidR="00FA0669">
        <w:t>the</w:t>
      </w:r>
      <w:r w:rsidR="005F090B">
        <w:t xml:space="preserve"> tax year. The performance of the farm enterprise and the </w:t>
      </w:r>
      <w:r>
        <w:t xml:space="preserve">related </w:t>
      </w:r>
      <w:r w:rsidR="005F090B">
        <w:t xml:space="preserve">businesses </w:t>
      </w:r>
      <w:r>
        <w:t>are</w:t>
      </w:r>
      <w:r w:rsidR="005F090B">
        <w:t>:</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615"/>
        <w:gridCol w:w="2152"/>
        <w:gridCol w:w="2152"/>
        <w:gridCol w:w="2152"/>
      </w:tblGrid>
      <w:tr w:rsidR="005F090B" w:rsidRPr="00144881" w14:paraId="7457FA35" w14:textId="77777777" w:rsidTr="00197B16">
        <w:tc>
          <w:tcPr>
            <w:tcW w:w="1442" w:type="pct"/>
          </w:tcPr>
          <w:p w14:paraId="68E261E6" w14:textId="77777777" w:rsidR="005F090B" w:rsidRPr="00144881" w:rsidRDefault="005F090B" w:rsidP="00197B16">
            <w:pPr>
              <w:spacing w:before="0"/>
              <w:rPr>
                <w:lang w:eastAsia="en-AU"/>
              </w:rPr>
            </w:pPr>
          </w:p>
        </w:tc>
        <w:tc>
          <w:tcPr>
            <w:tcW w:w="1186" w:type="pct"/>
          </w:tcPr>
          <w:p w14:paraId="4FD29FA0" w14:textId="77777777" w:rsidR="005F090B" w:rsidRPr="008105F1" w:rsidRDefault="005F090B" w:rsidP="00197B16">
            <w:pPr>
              <w:spacing w:before="0"/>
              <w:rPr>
                <w:b/>
                <w:lang w:eastAsia="en-AU"/>
              </w:rPr>
            </w:pPr>
            <w:r w:rsidRPr="008105F1">
              <w:rPr>
                <w:b/>
                <w:lang w:eastAsia="en-AU"/>
              </w:rPr>
              <w:t>Revenue</w:t>
            </w:r>
          </w:p>
        </w:tc>
        <w:tc>
          <w:tcPr>
            <w:tcW w:w="1186" w:type="pct"/>
          </w:tcPr>
          <w:p w14:paraId="5E42AC9E" w14:textId="77777777" w:rsidR="005F090B" w:rsidRPr="008105F1" w:rsidRDefault="005F090B" w:rsidP="00197B16">
            <w:pPr>
              <w:spacing w:before="0"/>
              <w:rPr>
                <w:b/>
                <w:lang w:eastAsia="en-AU"/>
              </w:rPr>
            </w:pPr>
            <w:r w:rsidRPr="008105F1">
              <w:rPr>
                <w:b/>
                <w:lang w:eastAsia="en-AU"/>
              </w:rPr>
              <w:t>Outgoings</w:t>
            </w:r>
          </w:p>
        </w:tc>
        <w:tc>
          <w:tcPr>
            <w:tcW w:w="1186" w:type="pct"/>
          </w:tcPr>
          <w:p w14:paraId="3EE50E07" w14:textId="77777777" w:rsidR="005F090B" w:rsidRPr="008105F1" w:rsidRDefault="005F090B" w:rsidP="00197B16">
            <w:pPr>
              <w:spacing w:before="0"/>
              <w:rPr>
                <w:b/>
                <w:lang w:eastAsia="en-AU"/>
              </w:rPr>
            </w:pPr>
            <w:r w:rsidRPr="008105F1">
              <w:rPr>
                <w:b/>
                <w:lang w:eastAsia="en-AU"/>
              </w:rPr>
              <w:t>Total</w:t>
            </w:r>
          </w:p>
        </w:tc>
      </w:tr>
      <w:tr w:rsidR="005F090B" w14:paraId="5AC1B989" w14:textId="77777777" w:rsidTr="00197B16">
        <w:tc>
          <w:tcPr>
            <w:tcW w:w="1442" w:type="pct"/>
          </w:tcPr>
          <w:p w14:paraId="6E26B105" w14:textId="77777777" w:rsidR="005F090B" w:rsidRPr="00144881" w:rsidRDefault="005F090B" w:rsidP="00197B16">
            <w:pPr>
              <w:spacing w:before="0"/>
              <w:rPr>
                <w:lang w:eastAsia="en-AU"/>
              </w:rPr>
            </w:pPr>
            <w:r w:rsidRPr="00144881">
              <w:rPr>
                <w:lang w:eastAsia="en-AU"/>
              </w:rPr>
              <w:t>Farm enterprise</w:t>
            </w:r>
          </w:p>
        </w:tc>
        <w:tc>
          <w:tcPr>
            <w:tcW w:w="1186" w:type="pct"/>
          </w:tcPr>
          <w:p w14:paraId="5D621110" w14:textId="37B04A04" w:rsidR="005F090B" w:rsidRPr="00144881" w:rsidRDefault="005F090B" w:rsidP="00197B16">
            <w:pPr>
              <w:spacing w:before="0"/>
              <w:rPr>
                <w:lang w:eastAsia="en-AU"/>
              </w:rPr>
            </w:pPr>
            <w:r w:rsidRPr="00144881">
              <w:rPr>
                <w:lang w:eastAsia="en-AU"/>
              </w:rPr>
              <w:t>$80,000</w:t>
            </w:r>
          </w:p>
        </w:tc>
        <w:tc>
          <w:tcPr>
            <w:tcW w:w="1186" w:type="pct"/>
          </w:tcPr>
          <w:p w14:paraId="16358395" w14:textId="4D8715C5" w:rsidR="005F090B" w:rsidRPr="00144881" w:rsidRDefault="005F090B" w:rsidP="00197B16">
            <w:pPr>
              <w:spacing w:before="0"/>
              <w:rPr>
                <w:lang w:eastAsia="en-AU"/>
              </w:rPr>
            </w:pPr>
            <w:r w:rsidRPr="00144881">
              <w:rPr>
                <w:lang w:eastAsia="en-AU"/>
              </w:rPr>
              <w:t>−$90,000</w:t>
            </w:r>
          </w:p>
        </w:tc>
        <w:tc>
          <w:tcPr>
            <w:tcW w:w="1186" w:type="pct"/>
          </w:tcPr>
          <w:p w14:paraId="1E05ACC5" w14:textId="2614F98C" w:rsidR="005F090B" w:rsidRPr="00144881" w:rsidRDefault="005F090B" w:rsidP="00197B16">
            <w:pPr>
              <w:spacing w:before="0"/>
              <w:rPr>
                <w:lang w:eastAsia="en-AU"/>
              </w:rPr>
            </w:pPr>
            <w:r w:rsidRPr="00144881">
              <w:t>−</w:t>
            </w:r>
            <w:r w:rsidRPr="00144881">
              <w:rPr>
                <w:lang w:eastAsia="en-AU"/>
              </w:rPr>
              <w:t>$10,000</w:t>
            </w:r>
          </w:p>
        </w:tc>
      </w:tr>
      <w:tr w:rsidR="005F090B" w14:paraId="741652A6" w14:textId="77777777" w:rsidTr="00197B16">
        <w:tc>
          <w:tcPr>
            <w:tcW w:w="1442" w:type="pct"/>
          </w:tcPr>
          <w:p w14:paraId="54F7B0E8" w14:textId="77777777" w:rsidR="005F090B" w:rsidRPr="00144881" w:rsidRDefault="005F090B" w:rsidP="00197B16">
            <w:pPr>
              <w:spacing w:before="0"/>
              <w:rPr>
                <w:lang w:eastAsia="en-AU"/>
              </w:rPr>
            </w:pPr>
            <w:r w:rsidRPr="00144881">
              <w:rPr>
                <w:lang w:eastAsia="en-AU"/>
              </w:rPr>
              <w:t>Related business 1</w:t>
            </w:r>
          </w:p>
        </w:tc>
        <w:tc>
          <w:tcPr>
            <w:tcW w:w="1186" w:type="pct"/>
          </w:tcPr>
          <w:p w14:paraId="3D4AA2F3" w14:textId="6AFF3CCF" w:rsidR="005F090B" w:rsidRPr="00144881" w:rsidRDefault="005F090B" w:rsidP="00197B16">
            <w:pPr>
              <w:spacing w:before="0"/>
              <w:rPr>
                <w:lang w:eastAsia="en-AU"/>
              </w:rPr>
            </w:pPr>
            <w:r w:rsidRPr="00144881">
              <w:rPr>
                <w:lang w:eastAsia="en-AU"/>
              </w:rPr>
              <w:t>$100,000</w:t>
            </w:r>
          </w:p>
        </w:tc>
        <w:tc>
          <w:tcPr>
            <w:tcW w:w="1186" w:type="pct"/>
          </w:tcPr>
          <w:p w14:paraId="735A28FA" w14:textId="0E5C60DF" w:rsidR="005F090B" w:rsidRPr="00144881" w:rsidRDefault="005F090B" w:rsidP="00197B16">
            <w:pPr>
              <w:spacing w:before="0"/>
              <w:rPr>
                <w:lang w:eastAsia="en-AU"/>
              </w:rPr>
            </w:pPr>
            <w:r w:rsidRPr="00144881">
              <w:rPr>
                <w:lang w:eastAsia="en-AU"/>
              </w:rPr>
              <w:t>−$60,000</w:t>
            </w:r>
          </w:p>
        </w:tc>
        <w:tc>
          <w:tcPr>
            <w:tcW w:w="1186" w:type="pct"/>
          </w:tcPr>
          <w:p w14:paraId="64E303D1" w14:textId="343A0C2C" w:rsidR="005F090B" w:rsidRPr="00144881" w:rsidRDefault="005F090B" w:rsidP="00197B16">
            <w:pPr>
              <w:spacing w:before="0"/>
              <w:rPr>
                <w:lang w:eastAsia="en-AU"/>
              </w:rPr>
            </w:pPr>
            <w:r w:rsidRPr="00144881">
              <w:rPr>
                <w:lang w:eastAsia="en-AU"/>
              </w:rPr>
              <w:t>$40,000</w:t>
            </w:r>
          </w:p>
        </w:tc>
      </w:tr>
      <w:tr w:rsidR="005F090B" w14:paraId="4F7FBD1A" w14:textId="77777777" w:rsidTr="00197B16">
        <w:tc>
          <w:tcPr>
            <w:tcW w:w="1442" w:type="pct"/>
          </w:tcPr>
          <w:p w14:paraId="176D8F76" w14:textId="77777777" w:rsidR="005F090B" w:rsidRPr="00144881" w:rsidRDefault="005F090B" w:rsidP="00197B16">
            <w:pPr>
              <w:spacing w:before="0"/>
              <w:rPr>
                <w:lang w:eastAsia="en-AU"/>
              </w:rPr>
            </w:pPr>
            <w:r w:rsidRPr="00144881">
              <w:rPr>
                <w:lang w:eastAsia="en-AU"/>
              </w:rPr>
              <w:t>Related business 2</w:t>
            </w:r>
          </w:p>
        </w:tc>
        <w:tc>
          <w:tcPr>
            <w:tcW w:w="1186" w:type="pct"/>
          </w:tcPr>
          <w:p w14:paraId="61255DBC" w14:textId="77933F10" w:rsidR="005F090B" w:rsidRPr="00144881" w:rsidRDefault="005F090B" w:rsidP="00197B16">
            <w:pPr>
              <w:spacing w:before="0"/>
              <w:rPr>
                <w:lang w:eastAsia="en-AU"/>
              </w:rPr>
            </w:pPr>
            <w:r w:rsidRPr="00144881">
              <w:rPr>
                <w:lang w:eastAsia="en-AU"/>
              </w:rPr>
              <w:t>$30,000</w:t>
            </w:r>
          </w:p>
        </w:tc>
        <w:tc>
          <w:tcPr>
            <w:tcW w:w="1186" w:type="pct"/>
          </w:tcPr>
          <w:p w14:paraId="7189D427" w14:textId="0994F0AE" w:rsidR="005F090B" w:rsidRPr="00144881" w:rsidRDefault="005F090B" w:rsidP="00197B16">
            <w:pPr>
              <w:spacing w:before="0"/>
              <w:rPr>
                <w:lang w:eastAsia="en-AU"/>
              </w:rPr>
            </w:pPr>
            <w:r w:rsidRPr="00144881">
              <w:rPr>
                <w:lang w:eastAsia="en-AU"/>
              </w:rPr>
              <w:t>−$40,000</w:t>
            </w:r>
          </w:p>
        </w:tc>
        <w:tc>
          <w:tcPr>
            <w:tcW w:w="1186" w:type="pct"/>
          </w:tcPr>
          <w:p w14:paraId="4F9CDAB9" w14:textId="6201765F" w:rsidR="005F090B" w:rsidRPr="00144881" w:rsidRDefault="005F090B" w:rsidP="00197B16">
            <w:pPr>
              <w:spacing w:before="0"/>
              <w:rPr>
                <w:lang w:eastAsia="en-AU"/>
              </w:rPr>
            </w:pPr>
            <w:r w:rsidRPr="00144881">
              <w:t>−</w:t>
            </w:r>
            <w:r w:rsidRPr="00144881">
              <w:rPr>
                <w:lang w:eastAsia="en-AU"/>
              </w:rPr>
              <w:t>$10,000</w:t>
            </w:r>
          </w:p>
        </w:tc>
      </w:tr>
      <w:tr w:rsidR="005F090B" w14:paraId="3970E6EC" w14:textId="77777777" w:rsidTr="00197B16">
        <w:tc>
          <w:tcPr>
            <w:tcW w:w="1442" w:type="pct"/>
          </w:tcPr>
          <w:p w14:paraId="72867CBD" w14:textId="191F6B87" w:rsidR="005F090B" w:rsidRPr="00144881" w:rsidRDefault="005F090B" w:rsidP="00197B16">
            <w:pPr>
              <w:spacing w:before="0"/>
              <w:rPr>
                <w:lang w:eastAsia="en-AU"/>
              </w:rPr>
            </w:pPr>
            <w:r w:rsidRPr="00144881">
              <w:rPr>
                <w:lang w:eastAsia="en-AU"/>
              </w:rPr>
              <w:t>Total</w:t>
            </w:r>
            <w:r>
              <w:rPr>
                <w:lang w:eastAsia="en-AU"/>
              </w:rPr>
              <w:t>s</w:t>
            </w:r>
          </w:p>
        </w:tc>
        <w:tc>
          <w:tcPr>
            <w:tcW w:w="1186" w:type="pct"/>
          </w:tcPr>
          <w:p w14:paraId="2C6C46E3" w14:textId="5B6583F9" w:rsidR="005F090B" w:rsidRPr="00144881" w:rsidRDefault="005F090B" w:rsidP="00197B16">
            <w:pPr>
              <w:spacing w:before="0"/>
              <w:rPr>
                <w:lang w:eastAsia="en-AU"/>
              </w:rPr>
            </w:pPr>
            <w:r w:rsidRPr="00144881">
              <w:rPr>
                <w:lang w:eastAsia="en-AU"/>
              </w:rPr>
              <w:t>$210,000</w:t>
            </w:r>
          </w:p>
        </w:tc>
        <w:tc>
          <w:tcPr>
            <w:tcW w:w="1186" w:type="pct"/>
          </w:tcPr>
          <w:p w14:paraId="50E83F6A" w14:textId="3B661927" w:rsidR="005F090B" w:rsidRPr="00144881" w:rsidRDefault="005F090B" w:rsidP="00197B16">
            <w:pPr>
              <w:spacing w:before="0"/>
              <w:rPr>
                <w:lang w:eastAsia="en-AU"/>
              </w:rPr>
            </w:pPr>
            <w:r w:rsidRPr="00144881">
              <w:rPr>
                <w:lang w:eastAsia="en-AU"/>
              </w:rPr>
              <w:t>−$</w:t>
            </w:r>
            <w:r>
              <w:rPr>
                <w:lang w:eastAsia="en-AU"/>
              </w:rPr>
              <w:t>190</w:t>
            </w:r>
            <w:r w:rsidRPr="00144881">
              <w:rPr>
                <w:lang w:eastAsia="en-AU"/>
              </w:rPr>
              <w:t>,000</w:t>
            </w:r>
          </w:p>
        </w:tc>
        <w:tc>
          <w:tcPr>
            <w:tcW w:w="1186" w:type="pct"/>
          </w:tcPr>
          <w:p w14:paraId="78D5B440" w14:textId="17E13FA2" w:rsidR="005F090B" w:rsidRPr="00E77B4E" w:rsidRDefault="005F090B" w:rsidP="00197B16">
            <w:pPr>
              <w:spacing w:before="0"/>
              <w:rPr>
                <w:b/>
                <w:lang w:eastAsia="en-AU"/>
              </w:rPr>
            </w:pPr>
            <w:r w:rsidRPr="00E77B4E">
              <w:rPr>
                <w:b/>
                <w:lang w:eastAsia="en-AU"/>
              </w:rPr>
              <w:t>$20,000</w:t>
            </w:r>
          </w:p>
        </w:tc>
      </w:tr>
    </w:tbl>
    <w:p w14:paraId="791F655D" w14:textId="77777777" w:rsidR="00D86F6A" w:rsidRDefault="005F090B" w:rsidP="00197B16">
      <w:pPr>
        <w:pStyle w:val="ListParagraph"/>
        <w:numPr>
          <w:ilvl w:val="0"/>
          <w:numId w:val="96"/>
        </w:numPr>
        <w:rPr>
          <w:lang w:eastAsia="en-AU"/>
        </w:rPr>
      </w:pPr>
      <w:r>
        <w:rPr>
          <w:lang w:eastAsia="en-AU"/>
        </w:rPr>
        <w:t xml:space="preserve">In this example, there is no </w:t>
      </w:r>
      <w:r w:rsidR="00412144">
        <w:rPr>
          <w:lang w:eastAsia="en-AU"/>
        </w:rPr>
        <w:t xml:space="preserve">overall </w:t>
      </w:r>
      <w:r>
        <w:rPr>
          <w:lang w:eastAsia="en-AU"/>
        </w:rPr>
        <w:t xml:space="preserve">operating loss for a tax year, as the amount worked out at Step </w:t>
      </w:r>
      <w:r w:rsidR="00412144">
        <w:rPr>
          <w:lang w:eastAsia="en-AU"/>
        </w:rPr>
        <w:t>6</w:t>
      </w:r>
      <w:r>
        <w:rPr>
          <w:lang w:eastAsia="en-AU"/>
        </w:rPr>
        <w:t xml:space="preserve"> ($20,000) is greater than </w:t>
      </w:r>
      <w:r w:rsidR="00BA5BD9">
        <w:rPr>
          <w:lang w:eastAsia="en-AU"/>
        </w:rPr>
        <w:t>zero</w:t>
      </w:r>
      <w:r>
        <w:rPr>
          <w:lang w:eastAsia="en-AU"/>
        </w:rPr>
        <w:t xml:space="preserve">. The person’s ordinary income for a tax year is </w:t>
      </w:r>
      <w:r w:rsidRPr="00D86F6A">
        <w:rPr>
          <w:b/>
          <w:lang w:eastAsia="en-AU"/>
        </w:rPr>
        <w:t>not</w:t>
      </w:r>
      <w:r>
        <w:rPr>
          <w:lang w:eastAsia="en-AU"/>
        </w:rPr>
        <w:t xml:space="preserve"> to be reduced</w:t>
      </w:r>
      <w:r w:rsidR="00A441F3">
        <w:rPr>
          <w:lang w:eastAsia="en-AU"/>
        </w:rPr>
        <w:t xml:space="preserve"> as there</w:t>
      </w:r>
      <w:r w:rsidR="00F174A7">
        <w:rPr>
          <w:lang w:eastAsia="en-AU"/>
        </w:rPr>
        <w:t xml:space="preserve"> is no</w:t>
      </w:r>
      <w:r w:rsidR="008F1F99">
        <w:rPr>
          <w:lang w:eastAsia="en-AU"/>
        </w:rPr>
        <w:t xml:space="preserve"> overall operating loss against which to offset the person’s ordinary income.</w:t>
      </w:r>
    </w:p>
    <w:p w14:paraId="132338E3" w14:textId="77777777" w:rsidR="00D86F6A" w:rsidRDefault="00D86F6A" w:rsidP="00D86F6A">
      <w:pPr>
        <w:pStyle w:val="ListParagraph"/>
        <w:ind w:left="360"/>
        <w:rPr>
          <w:lang w:eastAsia="en-AU"/>
        </w:rPr>
      </w:pPr>
    </w:p>
    <w:p w14:paraId="533C41B7" w14:textId="4480900E" w:rsidR="00FB28CB" w:rsidRDefault="00FB28CB" w:rsidP="00197B16">
      <w:pPr>
        <w:pStyle w:val="ListParagraph"/>
        <w:numPr>
          <w:ilvl w:val="0"/>
          <w:numId w:val="96"/>
        </w:numPr>
        <w:rPr>
          <w:lang w:eastAsia="en-AU"/>
        </w:rPr>
      </w:pPr>
      <w:r w:rsidRPr="005F1BED">
        <w:t>A person’s ordinary income, and the revenue and loss of the farm enterprise and related business</w:t>
      </w:r>
      <w:r w:rsidR="006E37DA">
        <w:t>,</w:t>
      </w:r>
      <w:r w:rsidRPr="005F1BED">
        <w:t xml:space="preserve"> may fluctuate </w:t>
      </w:r>
      <w:r>
        <w:t>during a financial year, and beyond</w:t>
      </w:r>
      <w:r w:rsidRPr="005F1BED">
        <w:t xml:space="preserve">. Under the </w:t>
      </w:r>
      <w:r w:rsidRPr="00D86F6A">
        <w:rPr>
          <w:i/>
          <w:iCs/>
        </w:rPr>
        <w:t xml:space="preserve">Social Security </w:t>
      </w:r>
      <w:r w:rsidR="00FA0669" w:rsidRPr="00D86F6A">
        <w:rPr>
          <w:i/>
          <w:iCs/>
        </w:rPr>
        <w:t xml:space="preserve">(Administration) </w:t>
      </w:r>
      <w:r w:rsidRPr="00D86F6A">
        <w:rPr>
          <w:i/>
          <w:iCs/>
        </w:rPr>
        <w:t>Act</w:t>
      </w:r>
      <w:r w:rsidR="00FA0669" w:rsidRPr="00D86F6A">
        <w:rPr>
          <w:i/>
          <w:iCs/>
        </w:rPr>
        <w:t xml:space="preserve"> 1999</w:t>
      </w:r>
      <w:r w:rsidRPr="005F1BED">
        <w:t>, recipients</w:t>
      </w:r>
      <w:r>
        <w:t xml:space="preserve"> of FHA</w:t>
      </w:r>
      <w:r w:rsidRPr="005F1BED">
        <w:t xml:space="preserve"> must report changes in their financial and other circumstances, which may lead to a reassessment of their qualification for FHA, or of the amount of FHA payable. For example, a wheat farmer might provide an estimate of </w:t>
      </w:r>
      <w:r w:rsidRPr="00033263">
        <w:t xml:space="preserve">business income at the beginning of a tax year and update it after harvesting the crop. The method statement in section 7 is applied each time a </w:t>
      </w:r>
      <w:bookmarkStart w:id="8" w:name="_Hlk173494595"/>
      <w:r w:rsidR="003355E4">
        <w:t>person</w:t>
      </w:r>
      <w:r w:rsidRPr="00033263">
        <w:t>’s qualification for FHA is determined, or the amount payable is assessed.</w:t>
      </w:r>
      <w:bookmarkEnd w:id="8"/>
    </w:p>
    <w:p w14:paraId="2DBBB93C" w14:textId="77777777" w:rsidR="00135689" w:rsidRDefault="00135689" w:rsidP="00197B16">
      <w:pPr>
        <w:rPr>
          <w:u w:val="single"/>
        </w:rPr>
      </w:pPr>
    </w:p>
    <w:p w14:paraId="2ED5E38B" w14:textId="7FCB1A45" w:rsidR="009F11B4" w:rsidRPr="003B6A46" w:rsidRDefault="009F11B4" w:rsidP="00197B16">
      <w:pPr>
        <w:rPr>
          <w:u w:val="single"/>
        </w:rPr>
      </w:pPr>
      <w:r w:rsidRPr="00197B16">
        <w:rPr>
          <w:u w:val="single"/>
        </w:rPr>
        <w:lastRenderedPageBreak/>
        <w:t xml:space="preserve">Section 8— Limits on </w:t>
      </w:r>
      <w:r w:rsidRPr="003B6A46">
        <w:rPr>
          <w:u w:val="single"/>
        </w:rPr>
        <w:t xml:space="preserve">using </w:t>
      </w:r>
      <w:r w:rsidR="00BF0598" w:rsidRPr="003B6A46">
        <w:rPr>
          <w:u w:val="single"/>
        </w:rPr>
        <w:t xml:space="preserve">the </w:t>
      </w:r>
      <w:r w:rsidR="00412144" w:rsidRPr="003B6A46">
        <w:rPr>
          <w:u w:val="single"/>
        </w:rPr>
        <w:t xml:space="preserve">overall </w:t>
      </w:r>
      <w:r w:rsidRPr="003B6A46">
        <w:rPr>
          <w:u w:val="single"/>
        </w:rPr>
        <w:t>operating loss to reduce ordinary income</w:t>
      </w:r>
    </w:p>
    <w:p w14:paraId="0BB0A254" w14:textId="77777777" w:rsidR="00D86F6A" w:rsidRDefault="009F11B4" w:rsidP="00197B16">
      <w:pPr>
        <w:pStyle w:val="ListParagraph"/>
        <w:numPr>
          <w:ilvl w:val="0"/>
          <w:numId w:val="96"/>
        </w:numPr>
        <w:rPr>
          <w:lang w:eastAsia="en-AU"/>
        </w:rPr>
      </w:pPr>
      <w:r w:rsidRPr="003B6A46">
        <w:rPr>
          <w:lang w:eastAsia="en-AU"/>
        </w:rPr>
        <w:t xml:space="preserve">Section 8 </w:t>
      </w:r>
      <w:r w:rsidR="008A76C5" w:rsidRPr="003B6A46">
        <w:rPr>
          <w:lang w:eastAsia="en-AU"/>
        </w:rPr>
        <w:t>fixes</w:t>
      </w:r>
      <w:r w:rsidRPr="003B6A46">
        <w:rPr>
          <w:lang w:eastAsia="en-AU"/>
        </w:rPr>
        <w:t xml:space="preserve"> the limit on using </w:t>
      </w:r>
      <w:r w:rsidR="00BF0598" w:rsidRPr="003B6A46">
        <w:rPr>
          <w:lang w:eastAsia="en-AU"/>
        </w:rPr>
        <w:t xml:space="preserve">the </w:t>
      </w:r>
      <w:r w:rsidR="00412144" w:rsidRPr="003B6A46">
        <w:rPr>
          <w:lang w:eastAsia="en-AU"/>
        </w:rPr>
        <w:t xml:space="preserve">overall </w:t>
      </w:r>
      <w:r w:rsidRPr="003B6A46">
        <w:rPr>
          <w:lang w:eastAsia="en-AU"/>
        </w:rPr>
        <w:t xml:space="preserve">operating loss to reduce a person’s ordinary income for a tax year. The section maintains the </w:t>
      </w:r>
      <w:r w:rsidR="00FB28CB" w:rsidRPr="003B6A46">
        <w:rPr>
          <w:lang w:eastAsia="en-AU"/>
        </w:rPr>
        <w:t xml:space="preserve">limit on </w:t>
      </w:r>
      <w:r w:rsidR="004D4AFC">
        <w:rPr>
          <w:lang w:eastAsia="en-AU"/>
        </w:rPr>
        <w:t xml:space="preserve">the </w:t>
      </w:r>
      <w:r w:rsidR="00FB28CB" w:rsidRPr="003B6A46">
        <w:rPr>
          <w:lang w:eastAsia="en-AU"/>
        </w:rPr>
        <w:t>available loss</w:t>
      </w:r>
      <w:r w:rsidR="00A63CC5" w:rsidRPr="003B6A46">
        <w:rPr>
          <w:lang w:eastAsia="en-AU"/>
        </w:rPr>
        <w:t xml:space="preserve"> which currently</w:t>
      </w:r>
      <w:r w:rsidR="00896DB8" w:rsidRPr="003B6A46">
        <w:rPr>
          <w:lang w:eastAsia="en-AU"/>
        </w:rPr>
        <w:t xml:space="preserve"> applies</w:t>
      </w:r>
      <w:r w:rsidR="00FB28CB" w:rsidRPr="003B6A46">
        <w:rPr>
          <w:lang w:eastAsia="en-AU"/>
        </w:rPr>
        <w:t xml:space="preserve"> in section 7A of the </w:t>
      </w:r>
      <w:r w:rsidRPr="003B6A46">
        <w:rPr>
          <w:lang w:eastAsia="en-AU"/>
        </w:rPr>
        <w:t>2014 Minister’s Rule.</w:t>
      </w:r>
    </w:p>
    <w:p w14:paraId="2548728E" w14:textId="77777777" w:rsidR="00D86F6A" w:rsidRDefault="00D86F6A" w:rsidP="00D86F6A">
      <w:pPr>
        <w:pStyle w:val="ListParagraph"/>
        <w:ind w:left="360"/>
        <w:rPr>
          <w:lang w:eastAsia="en-AU"/>
        </w:rPr>
      </w:pPr>
    </w:p>
    <w:p w14:paraId="71A5C606" w14:textId="60392796" w:rsidR="0075000D" w:rsidRDefault="00D170AD" w:rsidP="00197B16">
      <w:pPr>
        <w:pStyle w:val="ListParagraph"/>
        <w:numPr>
          <w:ilvl w:val="0"/>
          <w:numId w:val="96"/>
        </w:numPr>
        <w:rPr>
          <w:lang w:eastAsia="en-AU"/>
        </w:rPr>
      </w:pPr>
      <w:r w:rsidRPr="003B6A46">
        <w:t xml:space="preserve">Subsection 8(1) </w:t>
      </w:r>
      <w:r w:rsidR="004D55F5">
        <w:t>provides</w:t>
      </w:r>
      <w:r w:rsidRPr="003B6A46">
        <w:t xml:space="preserve"> that the amount of </w:t>
      </w:r>
      <w:r w:rsidR="0075000D" w:rsidRPr="003B6A46">
        <w:t xml:space="preserve">the overall </w:t>
      </w:r>
      <w:r w:rsidRPr="003B6A46">
        <w:t>operating</w:t>
      </w:r>
      <w:r>
        <w:t xml:space="preserve"> loss that can be used to reduce the ordinary income of a person, and the person’s partner (if they are partnered and their partner also claims FHA), for a tax year must not exceed </w:t>
      </w:r>
      <w:r w:rsidR="0075000D">
        <w:t xml:space="preserve">the </w:t>
      </w:r>
      <w:r w:rsidR="000844EA">
        <w:t xml:space="preserve">least </w:t>
      </w:r>
      <w:r w:rsidR="0075000D">
        <w:t xml:space="preserve">of </w:t>
      </w:r>
      <w:r w:rsidR="00AB6BAC">
        <w:t>the following</w:t>
      </w:r>
      <w:r w:rsidR="0075000D">
        <w:t>:</w:t>
      </w:r>
    </w:p>
    <w:p w14:paraId="71B38368" w14:textId="2CC68FB1" w:rsidR="0075000D" w:rsidRDefault="0075000D" w:rsidP="0075000D">
      <w:pPr>
        <w:pStyle w:val="ListParagraph"/>
        <w:numPr>
          <w:ilvl w:val="0"/>
          <w:numId w:val="95"/>
        </w:numPr>
      </w:pPr>
      <w:r>
        <w:t>the overall operating loss,</w:t>
      </w:r>
    </w:p>
    <w:p w14:paraId="668CB6F1" w14:textId="2DB15BBE" w:rsidR="0075000D" w:rsidRDefault="0075000D" w:rsidP="0075000D">
      <w:pPr>
        <w:pStyle w:val="ListParagraph"/>
        <w:numPr>
          <w:ilvl w:val="0"/>
          <w:numId w:val="95"/>
        </w:numPr>
      </w:pPr>
      <w:r>
        <w:t xml:space="preserve">the </w:t>
      </w:r>
      <w:r w:rsidR="000844EA">
        <w:t xml:space="preserve">person’s share of the </w:t>
      </w:r>
      <w:r>
        <w:t xml:space="preserve">overall operating loss, </w:t>
      </w:r>
      <w:r w:rsidR="000844EA">
        <w:t>if an adjustment under subsection (4) was made in relation to the operating loss</w:t>
      </w:r>
      <w:r>
        <w:t xml:space="preserve">, </w:t>
      </w:r>
    </w:p>
    <w:p w14:paraId="00172CD1" w14:textId="77777777" w:rsidR="0075000D" w:rsidRDefault="00D170AD" w:rsidP="0075000D">
      <w:pPr>
        <w:pStyle w:val="ListParagraph"/>
        <w:numPr>
          <w:ilvl w:val="0"/>
          <w:numId w:val="95"/>
        </w:numPr>
      </w:pPr>
      <w:r>
        <w:t xml:space="preserve">$100,000. </w:t>
      </w:r>
    </w:p>
    <w:p w14:paraId="4C498ECF" w14:textId="77777777" w:rsidR="00D86F6A" w:rsidRDefault="00D86F6A" w:rsidP="00D86F6A">
      <w:pPr>
        <w:pStyle w:val="ListParagraph"/>
      </w:pPr>
    </w:p>
    <w:p w14:paraId="3EF1AB56" w14:textId="77777777" w:rsidR="00D86F6A" w:rsidRDefault="00B850FF" w:rsidP="00592F15">
      <w:pPr>
        <w:pStyle w:val="ListParagraph"/>
        <w:numPr>
          <w:ilvl w:val="0"/>
          <w:numId w:val="96"/>
        </w:numPr>
      </w:pPr>
      <w:r w:rsidRPr="00472F27">
        <w:t xml:space="preserve">Subsection 8(2) </w:t>
      </w:r>
      <w:r w:rsidR="009A276A">
        <w:t>provides</w:t>
      </w:r>
      <w:r w:rsidRPr="00472F27">
        <w:t xml:space="preserve"> that neither the person’s </w:t>
      </w:r>
      <w:r w:rsidR="003355E4" w:rsidRPr="00472F27">
        <w:t>n</w:t>
      </w:r>
      <w:r w:rsidRPr="00472F27">
        <w:t>or their partner’s ordinary income</w:t>
      </w:r>
      <w:r w:rsidR="009A276A">
        <w:t xml:space="preserve"> for a tax year</w:t>
      </w:r>
      <w:r w:rsidRPr="00472F27">
        <w:t xml:space="preserve"> may be reduced</w:t>
      </w:r>
      <w:r w:rsidR="0075000D" w:rsidRPr="00472F27">
        <w:t xml:space="preserve"> </w:t>
      </w:r>
      <w:r w:rsidRPr="00472F27">
        <w:t xml:space="preserve">below </w:t>
      </w:r>
      <w:r w:rsidR="000844EA">
        <w:t>zero</w:t>
      </w:r>
      <w:r w:rsidR="0075000D" w:rsidRPr="00472F27">
        <w:t>.</w:t>
      </w:r>
    </w:p>
    <w:p w14:paraId="2E28C953" w14:textId="77777777" w:rsidR="00D86F6A" w:rsidRDefault="00D86F6A" w:rsidP="00D86F6A">
      <w:pPr>
        <w:pStyle w:val="ListParagraph"/>
        <w:ind w:left="360"/>
      </w:pPr>
    </w:p>
    <w:p w14:paraId="0DB7076A" w14:textId="77777777" w:rsidR="00D86F6A" w:rsidRDefault="0075000D" w:rsidP="00592F15">
      <w:pPr>
        <w:pStyle w:val="ListParagraph"/>
        <w:numPr>
          <w:ilvl w:val="0"/>
          <w:numId w:val="96"/>
        </w:numPr>
      </w:pPr>
      <w:r w:rsidRPr="003B6A46">
        <w:t xml:space="preserve">Subsection 8(3) </w:t>
      </w:r>
      <w:r w:rsidR="00DF68DD" w:rsidRPr="003B6A46">
        <w:t>p</w:t>
      </w:r>
      <w:r w:rsidR="003E3579" w:rsidRPr="003B6A46">
        <w:t>rovide</w:t>
      </w:r>
      <w:r w:rsidR="00DF68DD" w:rsidRPr="003B6A46">
        <w:t xml:space="preserve">s that </w:t>
      </w:r>
      <w:r w:rsidR="00542196" w:rsidRPr="003B6A46">
        <w:t xml:space="preserve">an amount of the overall operating loss that is used by a person, and their partner (if </w:t>
      </w:r>
      <w:r w:rsidR="00BF0598" w:rsidRPr="003B6A46">
        <w:t>any</w:t>
      </w:r>
      <w:r w:rsidR="00542196" w:rsidRPr="003B6A46">
        <w:t>), for a tax year must not be used by another person to reduce that person’s ordinary income</w:t>
      </w:r>
      <w:r w:rsidR="00081132">
        <w:t xml:space="preserve"> for the tax year</w:t>
      </w:r>
      <w:r w:rsidR="00542196" w:rsidRPr="003B6A46">
        <w:t xml:space="preserve">. This </w:t>
      </w:r>
      <w:r w:rsidR="00BF0598" w:rsidRPr="003B6A46">
        <w:t xml:space="preserve">avoids double-counting and </w:t>
      </w:r>
      <w:r w:rsidR="00542196" w:rsidRPr="003B6A46">
        <w:t xml:space="preserve">ensures that </w:t>
      </w:r>
      <w:r w:rsidR="00BF0598" w:rsidRPr="003B6A46">
        <w:t xml:space="preserve">where more than one person (and their partner if they are partnered) could use the overall operating loss, </w:t>
      </w:r>
      <w:r w:rsidR="00542196" w:rsidRPr="003B6A46">
        <w:t xml:space="preserve">the overall operating loss amount </w:t>
      </w:r>
      <w:r w:rsidR="00F75F23" w:rsidRPr="003B6A46">
        <w:t>is only</w:t>
      </w:r>
      <w:r w:rsidR="00BF0598" w:rsidRPr="003B6A46">
        <w:t xml:space="preserve"> </w:t>
      </w:r>
      <w:r w:rsidR="00542196" w:rsidRPr="003B6A46">
        <w:t xml:space="preserve">used once. </w:t>
      </w:r>
    </w:p>
    <w:p w14:paraId="41A41838" w14:textId="77777777" w:rsidR="00D86F6A" w:rsidRDefault="00D86F6A" w:rsidP="00D86F6A">
      <w:pPr>
        <w:pStyle w:val="ListParagraph"/>
      </w:pPr>
    </w:p>
    <w:p w14:paraId="174F6CF1" w14:textId="77777777" w:rsidR="00D86F6A" w:rsidRDefault="0099783D" w:rsidP="00592F15">
      <w:pPr>
        <w:pStyle w:val="ListParagraph"/>
        <w:numPr>
          <w:ilvl w:val="0"/>
          <w:numId w:val="96"/>
        </w:numPr>
      </w:pPr>
      <w:r w:rsidRPr="003B6A46">
        <w:t xml:space="preserve">Subsection 8(4) </w:t>
      </w:r>
      <w:r w:rsidR="00D41A68">
        <w:t>prescribes</w:t>
      </w:r>
      <w:r w:rsidRPr="003B6A46">
        <w:t xml:space="preserve"> how the overall operating loss amount is adjusted, if there is more than one person</w:t>
      </w:r>
      <w:r w:rsidR="00F47479">
        <w:t xml:space="preserve"> (other than the partner of the person)</w:t>
      </w:r>
      <w:r w:rsidRPr="003B6A46">
        <w:t>, whose entitlement for FHA is assessed in respect of the same farm enterprise. In these circumstances, the overall operating loss amount will be adjusted based on the agreement between the persons,</w:t>
      </w:r>
      <w:r w:rsidR="00C444C8">
        <w:t xml:space="preserve"> and as</w:t>
      </w:r>
      <w:r w:rsidRPr="003B6A46">
        <w:t xml:space="preserve"> notified to the Secretary. </w:t>
      </w:r>
      <w:r w:rsidR="000B1C5B" w:rsidRPr="003B6A46">
        <w:t>The persons can agree to adjust their respective proportions of the overall operating loss – these do not have to be equally split.</w:t>
      </w:r>
    </w:p>
    <w:p w14:paraId="5D132813" w14:textId="77777777" w:rsidR="00D86F6A" w:rsidRDefault="00D86F6A" w:rsidP="00D86F6A">
      <w:pPr>
        <w:pStyle w:val="ListParagraph"/>
      </w:pPr>
    </w:p>
    <w:p w14:paraId="31EBC34E" w14:textId="77777777" w:rsidR="00D86F6A" w:rsidRDefault="001609FF" w:rsidP="00592F15">
      <w:pPr>
        <w:pStyle w:val="ListParagraph"/>
        <w:numPr>
          <w:ilvl w:val="0"/>
          <w:numId w:val="96"/>
        </w:numPr>
      </w:pPr>
      <w:r w:rsidRPr="003B6A46">
        <w:t xml:space="preserve">Subsection 8(5) provides that where an amount of the overall operating loss has been adjusted in accordance with subsection 8(4), </w:t>
      </w:r>
      <w:r w:rsidR="00F33BF5">
        <w:t>each</w:t>
      </w:r>
      <w:r w:rsidRPr="003B6A46">
        <w:t xml:space="preserve"> person may only use their share of the overall operating loss. This avoids double-counting and ensures that the overall operating loss limits in subsection 8(1) are maintained.</w:t>
      </w:r>
    </w:p>
    <w:p w14:paraId="3CB0514A" w14:textId="77777777" w:rsidR="00D86F6A" w:rsidRDefault="00D86F6A" w:rsidP="00D86F6A">
      <w:pPr>
        <w:pStyle w:val="ListParagraph"/>
      </w:pPr>
    </w:p>
    <w:p w14:paraId="0C0A066E" w14:textId="739839BB" w:rsidR="001609FF" w:rsidRDefault="00C041A2" w:rsidP="00592F15">
      <w:pPr>
        <w:pStyle w:val="ListParagraph"/>
        <w:numPr>
          <w:ilvl w:val="0"/>
          <w:numId w:val="96"/>
        </w:numPr>
      </w:pPr>
      <w:r>
        <w:t>Family-run farms often have more than one household that operates the farm enterprise. In such cases, if more than one household (person and their partner, if any) has accessed FHA, and if the overall operat</w:t>
      </w:r>
      <w:r w:rsidR="007A5134">
        <w:t>ing</w:t>
      </w:r>
      <w:r>
        <w:t xml:space="preserve"> loss of the farm enterprise exceeds $200,000, each person and their partner (if they are partnered) are able to access their portion of the overall operating loss up to a maximum of $100,000 per household to offset their ordinary income.</w:t>
      </w:r>
    </w:p>
    <w:p w14:paraId="349FC879" w14:textId="37B19E9E" w:rsidR="006B1665" w:rsidRPr="00197B16" w:rsidRDefault="00FE2771" w:rsidP="00537033">
      <w:r w:rsidRPr="00197B16">
        <w:rPr>
          <w:u w:val="single"/>
        </w:rPr>
        <w:t>The following examples are included to illustrate how</w:t>
      </w:r>
      <w:r w:rsidR="00377DA2">
        <w:rPr>
          <w:u w:val="single"/>
        </w:rPr>
        <w:t xml:space="preserve"> the overall</w:t>
      </w:r>
      <w:r w:rsidRPr="00197B16">
        <w:rPr>
          <w:u w:val="single"/>
        </w:rPr>
        <w:t xml:space="preserve"> operating loss </w:t>
      </w:r>
      <w:r w:rsidR="005B3D6B" w:rsidRPr="00197B16">
        <w:rPr>
          <w:u w:val="single"/>
        </w:rPr>
        <w:t xml:space="preserve">can be </w:t>
      </w:r>
      <w:r w:rsidR="00C7582C" w:rsidRPr="00197B16">
        <w:rPr>
          <w:u w:val="single"/>
        </w:rPr>
        <w:t>u</w:t>
      </w:r>
      <w:r w:rsidR="005B3D6B" w:rsidRPr="00197B16">
        <w:rPr>
          <w:u w:val="single"/>
        </w:rPr>
        <w:t>sed to reduce ordinary income</w:t>
      </w:r>
      <w:r w:rsidRPr="00197B16">
        <w:rPr>
          <w:u w:val="single"/>
        </w:rPr>
        <w:t xml:space="preserve"> </w:t>
      </w:r>
      <w:r w:rsidR="00C7582C" w:rsidRPr="00197B16">
        <w:rPr>
          <w:u w:val="single"/>
        </w:rPr>
        <w:t>in</w:t>
      </w:r>
      <w:r w:rsidR="0084476E" w:rsidRPr="00197B16">
        <w:rPr>
          <w:u w:val="single"/>
        </w:rPr>
        <w:t xml:space="preserve"> different</w:t>
      </w:r>
      <w:r w:rsidRPr="00197B16">
        <w:rPr>
          <w:u w:val="single"/>
        </w:rPr>
        <w:t xml:space="preserve"> </w:t>
      </w:r>
      <w:r w:rsidR="001D2D6A" w:rsidRPr="00197B16">
        <w:rPr>
          <w:u w:val="single"/>
        </w:rPr>
        <w:t>factual</w:t>
      </w:r>
      <w:r w:rsidRPr="00197B16">
        <w:rPr>
          <w:u w:val="single"/>
        </w:rPr>
        <w:t xml:space="preserve"> scenarios.</w:t>
      </w:r>
    </w:p>
    <w:p w14:paraId="6A9DFC95" w14:textId="6DEFCE68" w:rsidR="007D651E" w:rsidRDefault="006B1665" w:rsidP="00D86F6A">
      <w:pPr>
        <w:pStyle w:val="ListParagraph"/>
        <w:numPr>
          <w:ilvl w:val="0"/>
          <w:numId w:val="96"/>
        </w:numPr>
        <w:spacing w:after="240"/>
      </w:pPr>
      <w:r w:rsidRPr="00D86F6A">
        <w:rPr>
          <w:i/>
          <w:iCs/>
        </w:rPr>
        <w:t>Example 1</w:t>
      </w:r>
      <w:r w:rsidRPr="00197B16">
        <w:t>: A person carries on a farm enterprise and one related business in a tax year and that person</w:t>
      </w:r>
      <w:r w:rsidRPr="00D86F6A">
        <w:rPr>
          <w:u w:val="single"/>
        </w:rPr>
        <w:t xml:space="preserve"> and </w:t>
      </w:r>
      <w:r w:rsidRPr="00197B16">
        <w:t xml:space="preserve">the person’s partner, are both qualified for FHA. The performance of the farm enterprise and the </w:t>
      </w:r>
      <w:r w:rsidR="00FA0669" w:rsidRPr="00197B16">
        <w:t xml:space="preserve">related </w:t>
      </w:r>
      <w:r w:rsidRPr="00197B16">
        <w:t>business is:</w:t>
      </w:r>
    </w:p>
    <w:p w14:paraId="044DC85C" w14:textId="77777777" w:rsidR="004F0DAE" w:rsidRDefault="004F0DAE" w:rsidP="00537033">
      <w:pPr>
        <w:spacing w:after="240"/>
      </w:pPr>
    </w:p>
    <w:p w14:paraId="6829DAA3" w14:textId="77777777" w:rsidR="004F0DAE" w:rsidRPr="00197B16" w:rsidRDefault="004F0DAE" w:rsidP="00537033">
      <w:pPr>
        <w:spacing w:after="240"/>
      </w:pP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615"/>
        <w:gridCol w:w="2152"/>
        <w:gridCol w:w="2152"/>
        <w:gridCol w:w="2152"/>
      </w:tblGrid>
      <w:tr w:rsidR="006B1665" w:rsidRPr="00197B16" w14:paraId="0425D9E2" w14:textId="524F535C" w:rsidTr="00537033">
        <w:tc>
          <w:tcPr>
            <w:tcW w:w="1442" w:type="pct"/>
          </w:tcPr>
          <w:p w14:paraId="5FE5053B" w14:textId="3A31A496" w:rsidR="006B1665" w:rsidRPr="00197B16" w:rsidRDefault="006B1665" w:rsidP="00537033">
            <w:pPr>
              <w:spacing w:before="0"/>
              <w:rPr>
                <w:lang w:eastAsia="en-AU"/>
              </w:rPr>
            </w:pPr>
          </w:p>
        </w:tc>
        <w:tc>
          <w:tcPr>
            <w:tcW w:w="1186" w:type="pct"/>
          </w:tcPr>
          <w:p w14:paraId="70069AFF" w14:textId="693E0D7F" w:rsidR="006B1665" w:rsidRPr="00197B16" w:rsidRDefault="006B1665" w:rsidP="00537033">
            <w:pPr>
              <w:spacing w:before="0"/>
              <w:rPr>
                <w:b/>
                <w:lang w:eastAsia="en-AU"/>
              </w:rPr>
            </w:pPr>
            <w:r w:rsidRPr="00197B16">
              <w:rPr>
                <w:b/>
                <w:lang w:eastAsia="en-AU"/>
              </w:rPr>
              <w:t>Revenue</w:t>
            </w:r>
          </w:p>
        </w:tc>
        <w:tc>
          <w:tcPr>
            <w:tcW w:w="1186" w:type="pct"/>
          </w:tcPr>
          <w:p w14:paraId="48751E6C" w14:textId="58301B74" w:rsidR="006B1665" w:rsidRPr="00197B16" w:rsidRDefault="006B1665" w:rsidP="00537033">
            <w:pPr>
              <w:spacing w:before="0"/>
              <w:rPr>
                <w:b/>
                <w:lang w:eastAsia="en-AU"/>
              </w:rPr>
            </w:pPr>
            <w:r w:rsidRPr="00197B16">
              <w:rPr>
                <w:b/>
                <w:lang w:eastAsia="en-AU"/>
              </w:rPr>
              <w:t>Outgoings</w:t>
            </w:r>
          </w:p>
        </w:tc>
        <w:tc>
          <w:tcPr>
            <w:tcW w:w="1186" w:type="pct"/>
          </w:tcPr>
          <w:p w14:paraId="501D03C1" w14:textId="59D4C325" w:rsidR="006B1665" w:rsidRPr="00197B16" w:rsidRDefault="006B1665" w:rsidP="00537033">
            <w:pPr>
              <w:spacing w:before="0"/>
              <w:rPr>
                <w:b/>
                <w:lang w:eastAsia="en-AU"/>
              </w:rPr>
            </w:pPr>
            <w:r w:rsidRPr="00197B16">
              <w:rPr>
                <w:b/>
                <w:lang w:eastAsia="en-AU"/>
              </w:rPr>
              <w:t>Total</w:t>
            </w:r>
          </w:p>
        </w:tc>
      </w:tr>
      <w:tr w:rsidR="006B1665" w:rsidRPr="00197B16" w14:paraId="0C24073B" w14:textId="62471DA1" w:rsidTr="00537033">
        <w:tc>
          <w:tcPr>
            <w:tcW w:w="1442" w:type="pct"/>
          </w:tcPr>
          <w:p w14:paraId="3B24739E" w14:textId="5FFA2775" w:rsidR="006B1665" w:rsidRPr="00197B16" w:rsidRDefault="006B1665" w:rsidP="00537033">
            <w:pPr>
              <w:spacing w:before="0"/>
              <w:rPr>
                <w:lang w:eastAsia="en-AU"/>
              </w:rPr>
            </w:pPr>
            <w:r w:rsidRPr="00197B16">
              <w:rPr>
                <w:lang w:eastAsia="en-AU"/>
              </w:rPr>
              <w:t>Farm enterprise</w:t>
            </w:r>
          </w:p>
        </w:tc>
        <w:tc>
          <w:tcPr>
            <w:tcW w:w="1186" w:type="pct"/>
          </w:tcPr>
          <w:p w14:paraId="007436F0" w14:textId="08E663A2" w:rsidR="006B1665" w:rsidRPr="00197B16" w:rsidRDefault="006B1665" w:rsidP="00537033">
            <w:pPr>
              <w:spacing w:before="0"/>
              <w:rPr>
                <w:lang w:eastAsia="en-AU"/>
              </w:rPr>
            </w:pPr>
            <w:r w:rsidRPr="00197B16">
              <w:rPr>
                <w:lang w:eastAsia="en-AU"/>
              </w:rPr>
              <w:t>$500,000</w:t>
            </w:r>
          </w:p>
        </w:tc>
        <w:tc>
          <w:tcPr>
            <w:tcW w:w="1186" w:type="pct"/>
          </w:tcPr>
          <w:p w14:paraId="056C540E" w14:textId="4BCB1391" w:rsidR="006B1665" w:rsidRPr="00197B16" w:rsidRDefault="006B1665" w:rsidP="00537033">
            <w:pPr>
              <w:spacing w:before="0"/>
              <w:rPr>
                <w:lang w:eastAsia="en-AU"/>
              </w:rPr>
            </w:pPr>
            <w:r w:rsidRPr="00197B16">
              <w:rPr>
                <w:lang w:eastAsia="en-AU"/>
              </w:rPr>
              <w:t>−$550,000</w:t>
            </w:r>
          </w:p>
        </w:tc>
        <w:tc>
          <w:tcPr>
            <w:tcW w:w="1186" w:type="pct"/>
          </w:tcPr>
          <w:p w14:paraId="27E15FC6" w14:textId="398C9BF0" w:rsidR="006B1665" w:rsidRPr="00197B16" w:rsidRDefault="006B1665" w:rsidP="00537033">
            <w:pPr>
              <w:spacing w:before="0"/>
              <w:rPr>
                <w:lang w:eastAsia="en-AU"/>
              </w:rPr>
            </w:pPr>
            <w:r w:rsidRPr="00197B16">
              <w:rPr>
                <w:lang w:eastAsia="en-AU"/>
              </w:rPr>
              <w:t>−$50,000</w:t>
            </w:r>
          </w:p>
        </w:tc>
      </w:tr>
      <w:tr w:rsidR="006B1665" w:rsidRPr="00197B16" w14:paraId="113D17B0" w14:textId="71EED69C" w:rsidTr="00537033">
        <w:tc>
          <w:tcPr>
            <w:tcW w:w="1442" w:type="pct"/>
          </w:tcPr>
          <w:p w14:paraId="5D3623E2" w14:textId="22D14D40" w:rsidR="006B1665" w:rsidRPr="00197B16" w:rsidRDefault="006B1665" w:rsidP="00537033">
            <w:pPr>
              <w:spacing w:before="0"/>
              <w:rPr>
                <w:lang w:eastAsia="en-AU"/>
              </w:rPr>
            </w:pPr>
            <w:r w:rsidRPr="00197B16">
              <w:rPr>
                <w:lang w:eastAsia="en-AU"/>
              </w:rPr>
              <w:t>Related business 1</w:t>
            </w:r>
          </w:p>
        </w:tc>
        <w:tc>
          <w:tcPr>
            <w:tcW w:w="1186" w:type="pct"/>
          </w:tcPr>
          <w:p w14:paraId="010B7534" w14:textId="1D325971" w:rsidR="006B1665" w:rsidRPr="00197B16" w:rsidRDefault="006B1665" w:rsidP="00537033">
            <w:pPr>
              <w:spacing w:before="0"/>
              <w:rPr>
                <w:lang w:eastAsia="en-AU"/>
              </w:rPr>
            </w:pPr>
            <w:r w:rsidRPr="00197B16">
              <w:rPr>
                <w:lang w:eastAsia="en-AU"/>
              </w:rPr>
              <w:t>$130,000</w:t>
            </w:r>
          </w:p>
        </w:tc>
        <w:tc>
          <w:tcPr>
            <w:tcW w:w="1186" w:type="pct"/>
          </w:tcPr>
          <w:p w14:paraId="2F9BEA76" w14:textId="62821164" w:rsidR="006B1665" w:rsidRPr="00197B16" w:rsidRDefault="006B1665" w:rsidP="00537033">
            <w:pPr>
              <w:spacing w:before="0"/>
              <w:rPr>
                <w:lang w:eastAsia="en-AU"/>
              </w:rPr>
            </w:pPr>
            <w:r w:rsidRPr="00197B16">
              <w:rPr>
                <w:lang w:eastAsia="en-AU"/>
              </w:rPr>
              <w:t>−$255,000</w:t>
            </w:r>
          </w:p>
        </w:tc>
        <w:tc>
          <w:tcPr>
            <w:tcW w:w="1186" w:type="pct"/>
          </w:tcPr>
          <w:p w14:paraId="0B7E8EE8" w14:textId="6B247D7B" w:rsidR="006B1665" w:rsidRPr="00197B16" w:rsidRDefault="006B1665" w:rsidP="00537033">
            <w:pPr>
              <w:spacing w:before="0"/>
              <w:rPr>
                <w:lang w:eastAsia="en-AU"/>
              </w:rPr>
            </w:pPr>
            <w:r w:rsidRPr="00197B16">
              <w:rPr>
                <w:lang w:eastAsia="en-AU"/>
              </w:rPr>
              <w:t>−$125,000</w:t>
            </w:r>
          </w:p>
        </w:tc>
      </w:tr>
      <w:tr w:rsidR="006B1665" w:rsidRPr="00197B16" w14:paraId="74E8FFA7" w14:textId="7D7C5DB4" w:rsidTr="00537033">
        <w:tc>
          <w:tcPr>
            <w:tcW w:w="1442" w:type="pct"/>
          </w:tcPr>
          <w:p w14:paraId="6FC27C03" w14:textId="43B64FB6" w:rsidR="006B1665" w:rsidRPr="00197B16" w:rsidRDefault="006B1665" w:rsidP="00537033">
            <w:pPr>
              <w:spacing w:before="0"/>
              <w:rPr>
                <w:lang w:eastAsia="en-AU"/>
              </w:rPr>
            </w:pPr>
            <w:r w:rsidRPr="00197B16">
              <w:rPr>
                <w:lang w:eastAsia="en-AU"/>
              </w:rPr>
              <w:t>Totals</w:t>
            </w:r>
          </w:p>
        </w:tc>
        <w:tc>
          <w:tcPr>
            <w:tcW w:w="1186" w:type="pct"/>
          </w:tcPr>
          <w:p w14:paraId="131C62B6" w14:textId="5008966C" w:rsidR="006B1665" w:rsidRPr="00197B16" w:rsidRDefault="006B1665" w:rsidP="00537033">
            <w:pPr>
              <w:spacing w:before="0"/>
              <w:rPr>
                <w:lang w:eastAsia="en-AU"/>
              </w:rPr>
            </w:pPr>
            <w:r w:rsidRPr="00197B16">
              <w:rPr>
                <w:lang w:eastAsia="en-AU"/>
              </w:rPr>
              <w:t>$630,000</w:t>
            </w:r>
          </w:p>
        </w:tc>
        <w:tc>
          <w:tcPr>
            <w:tcW w:w="1186" w:type="pct"/>
          </w:tcPr>
          <w:p w14:paraId="4303934B" w14:textId="68CFD0AB" w:rsidR="006B1665" w:rsidRPr="00197B16" w:rsidRDefault="006B1665" w:rsidP="00537033">
            <w:pPr>
              <w:spacing w:before="0"/>
              <w:rPr>
                <w:lang w:eastAsia="en-AU"/>
              </w:rPr>
            </w:pPr>
            <w:r w:rsidRPr="00197B16">
              <w:rPr>
                <w:lang w:eastAsia="en-AU"/>
              </w:rPr>
              <w:t>−$805,000</w:t>
            </w:r>
          </w:p>
        </w:tc>
        <w:tc>
          <w:tcPr>
            <w:tcW w:w="1186" w:type="pct"/>
          </w:tcPr>
          <w:p w14:paraId="7B368068" w14:textId="10468C2D" w:rsidR="006B1665" w:rsidRPr="00197B16" w:rsidRDefault="006B1665" w:rsidP="00537033">
            <w:pPr>
              <w:spacing w:before="0"/>
              <w:rPr>
                <w:b/>
                <w:lang w:eastAsia="en-AU"/>
              </w:rPr>
            </w:pPr>
            <w:r w:rsidRPr="00197B16">
              <w:rPr>
                <w:b/>
                <w:lang w:eastAsia="en-AU"/>
              </w:rPr>
              <w:t>−$175,000</w:t>
            </w:r>
          </w:p>
        </w:tc>
      </w:tr>
    </w:tbl>
    <w:p w14:paraId="0E435256" w14:textId="77777777" w:rsidR="00D86F6A" w:rsidRDefault="006B1665" w:rsidP="00D86F6A">
      <w:pPr>
        <w:pStyle w:val="ListParagraph"/>
        <w:numPr>
          <w:ilvl w:val="0"/>
          <w:numId w:val="96"/>
        </w:numPr>
      </w:pPr>
      <w:r w:rsidRPr="00197B16">
        <w:t>In this example, the</w:t>
      </w:r>
      <w:r w:rsidR="00377DA2">
        <w:t xml:space="preserve"> overall</w:t>
      </w:r>
      <w:r w:rsidRPr="00197B16">
        <w:t xml:space="preserve"> operating loss is $175,000. As this is more than the maximum limit of the </w:t>
      </w:r>
      <w:r w:rsidR="00C041A2">
        <w:t xml:space="preserve">overall </w:t>
      </w:r>
      <w:r w:rsidRPr="00197B16">
        <w:t>operating loss ($100,000), the person and their partner</w:t>
      </w:r>
      <w:r w:rsidR="00C041A2">
        <w:t xml:space="preserve"> </w:t>
      </w:r>
      <w:r w:rsidR="00C041A2" w:rsidRPr="003B6A46">
        <w:t>jointly</w:t>
      </w:r>
      <w:r w:rsidRPr="003B6A46">
        <w:t xml:space="preserve"> can only use up to a total of $100,000 to reduce their ordinary incomes for a tax year. </w:t>
      </w:r>
      <w:r w:rsidR="00C041A2" w:rsidRPr="003B6A46">
        <w:t>They must agree on how the $100,000 will be shared between them.</w:t>
      </w:r>
    </w:p>
    <w:p w14:paraId="529EF5B7" w14:textId="77777777" w:rsidR="00D86F6A" w:rsidRPr="00D86F6A" w:rsidRDefault="00D86F6A" w:rsidP="00D86F6A">
      <w:pPr>
        <w:pStyle w:val="ListParagraph"/>
        <w:ind w:left="360"/>
      </w:pPr>
    </w:p>
    <w:p w14:paraId="73C6723B" w14:textId="47BA56C1" w:rsidR="00297CA8" w:rsidRPr="003B6A46" w:rsidRDefault="00297CA8" w:rsidP="00D86F6A">
      <w:pPr>
        <w:pStyle w:val="ListParagraph"/>
        <w:numPr>
          <w:ilvl w:val="0"/>
          <w:numId w:val="96"/>
        </w:numPr>
      </w:pPr>
      <w:r w:rsidRPr="00D86F6A">
        <w:rPr>
          <w:i/>
          <w:iCs/>
        </w:rPr>
        <w:t>Example 2</w:t>
      </w:r>
      <w:r w:rsidRPr="003B6A46">
        <w:t>: A person carries on a farm enterprise and one related business with their partner and another person. The person, their partner and the other person are all in receipt of FHA. The performance of the farm enterprise and the business is:</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615"/>
        <w:gridCol w:w="2152"/>
        <w:gridCol w:w="2152"/>
        <w:gridCol w:w="2152"/>
      </w:tblGrid>
      <w:tr w:rsidR="00297CA8" w:rsidRPr="003B6A46" w14:paraId="276E57AB" w14:textId="22A4823A" w:rsidTr="00537033">
        <w:tc>
          <w:tcPr>
            <w:tcW w:w="1442" w:type="pct"/>
          </w:tcPr>
          <w:p w14:paraId="1F1943AA" w14:textId="18332355" w:rsidR="00297CA8" w:rsidRPr="003B6A46" w:rsidRDefault="00297CA8" w:rsidP="00537033">
            <w:pPr>
              <w:spacing w:before="0"/>
              <w:rPr>
                <w:lang w:eastAsia="en-AU"/>
              </w:rPr>
            </w:pPr>
          </w:p>
        </w:tc>
        <w:tc>
          <w:tcPr>
            <w:tcW w:w="1186" w:type="pct"/>
          </w:tcPr>
          <w:p w14:paraId="274586C8" w14:textId="1B6AF7E7" w:rsidR="00297CA8" w:rsidRPr="003B6A46" w:rsidRDefault="00297CA8" w:rsidP="00537033">
            <w:pPr>
              <w:spacing w:before="0"/>
              <w:rPr>
                <w:b/>
                <w:lang w:eastAsia="en-AU"/>
              </w:rPr>
            </w:pPr>
            <w:r w:rsidRPr="003B6A46">
              <w:rPr>
                <w:b/>
                <w:lang w:eastAsia="en-AU"/>
              </w:rPr>
              <w:t>Revenue</w:t>
            </w:r>
          </w:p>
        </w:tc>
        <w:tc>
          <w:tcPr>
            <w:tcW w:w="1186" w:type="pct"/>
          </w:tcPr>
          <w:p w14:paraId="31507F13" w14:textId="491F5692" w:rsidR="00297CA8" w:rsidRPr="003B6A46" w:rsidRDefault="00297CA8" w:rsidP="00537033">
            <w:pPr>
              <w:spacing w:before="0"/>
              <w:rPr>
                <w:b/>
                <w:lang w:eastAsia="en-AU"/>
              </w:rPr>
            </w:pPr>
            <w:r w:rsidRPr="003B6A46">
              <w:rPr>
                <w:b/>
                <w:lang w:eastAsia="en-AU"/>
              </w:rPr>
              <w:t>Outgoings</w:t>
            </w:r>
          </w:p>
        </w:tc>
        <w:tc>
          <w:tcPr>
            <w:tcW w:w="1186" w:type="pct"/>
          </w:tcPr>
          <w:p w14:paraId="7827BC43" w14:textId="555B1795" w:rsidR="00297CA8" w:rsidRPr="003B6A46" w:rsidRDefault="00297CA8" w:rsidP="00537033">
            <w:pPr>
              <w:spacing w:before="0"/>
              <w:rPr>
                <w:b/>
                <w:lang w:eastAsia="en-AU"/>
              </w:rPr>
            </w:pPr>
            <w:r w:rsidRPr="003B6A46">
              <w:rPr>
                <w:b/>
                <w:lang w:eastAsia="en-AU"/>
              </w:rPr>
              <w:t>Total</w:t>
            </w:r>
          </w:p>
        </w:tc>
      </w:tr>
      <w:tr w:rsidR="00297CA8" w:rsidRPr="003B6A46" w14:paraId="4EC9D069" w14:textId="03E0E58D" w:rsidTr="00537033">
        <w:tc>
          <w:tcPr>
            <w:tcW w:w="1442" w:type="pct"/>
          </w:tcPr>
          <w:p w14:paraId="4F260261" w14:textId="4669F56F" w:rsidR="00297CA8" w:rsidRPr="003B6A46" w:rsidRDefault="00297CA8" w:rsidP="00537033">
            <w:pPr>
              <w:spacing w:before="0"/>
              <w:rPr>
                <w:lang w:eastAsia="en-AU"/>
              </w:rPr>
            </w:pPr>
            <w:r w:rsidRPr="003B6A46">
              <w:rPr>
                <w:lang w:eastAsia="en-AU"/>
              </w:rPr>
              <w:t>Farm enterprise</w:t>
            </w:r>
          </w:p>
        </w:tc>
        <w:tc>
          <w:tcPr>
            <w:tcW w:w="1186" w:type="pct"/>
          </w:tcPr>
          <w:p w14:paraId="0036131E" w14:textId="40BA5A90" w:rsidR="00297CA8" w:rsidRPr="003B6A46" w:rsidRDefault="00297CA8" w:rsidP="00537033">
            <w:pPr>
              <w:spacing w:before="0"/>
              <w:rPr>
                <w:lang w:eastAsia="en-AU"/>
              </w:rPr>
            </w:pPr>
            <w:r w:rsidRPr="003B6A46">
              <w:rPr>
                <w:lang w:eastAsia="en-AU"/>
              </w:rPr>
              <w:t>$800,000</w:t>
            </w:r>
          </w:p>
        </w:tc>
        <w:tc>
          <w:tcPr>
            <w:tcW w:w="1186" w:type="pct"/>
          </w:tcPr>
          <w:p w14:paraId="35880B24" w14:textId="22B630FA" w:rsidR="00297CA8" w:rsidRPr="003B6A46" w:rsidRDefault="00297CA8" w:rsidP="00537033">
            <w:pPr>
              <w:spacing w:before="0"/>
              <w:rPr>
                <w:lang w:eastAsia="en-AU"/>
              </w:rPr>
            </w:pPr>
            <w:r w:rsidRPr="003B6A46">
              <w:rPr>
                <w:lang w:eastAsia="en-AU"/>
              </w:rPr>
              <w:t>−$1,090,000</w:t>
            </w:r>
          </w:p>
        </w:tc>
        <w:tc>
          <w:tcPr>
            <w:tcW w:w="1186" w:type="pct"/>
          </w:tcPr>
          <w:p w14:paraId="3F20221F" w14:textId="13B4384F" w:rsidR="00297CA8" w:rsidRPr="003B6A46" w:rsidRDefault="00297CA8" w:rsidP="00537033">
            <w:pPr>
              <w:spacing w:before="0"/>
              <w:rPr>
                <w:lang w:eastAsia="en-AU"/>
              </w:rPr>
            </w:pPr>
            <w:r w:rsidRPr="003B6A46">
              <w:rPr>
                <w:lang w:eastAsia="en-AU"/>
              </w:rPr>
              <w:t>−$290,000</w:t>
            </w:r>
          </w:p>
        </w:tc>
      </w:tr>
      <w:tr w:rsidR="00297CA8" w:rsidRPr="003B6A46" w14:paraId="64FEB8ED" w14:textId="3DDC880A" w:rsidTr="00537033">
        <w:tc>
          <w:tcPr>
            <w:tcW w:w="1442" w:type="pct"/>
          </w:tcPr>
          <w:p w14:paraId="2F4D1B1F" w14:textId="35C5E79B" w:rsidR="00297CA8" w:rsidRPr="003B6A46" w:rsidRDefault="00297CA8" w:rsidP="00537033">
            <w:pPr>
              <w:spacing w:before="0"/>
              <w:rPr>
                <w:lang w:eastAsia="en-AU"/>
              </w:rPr>
            </w:pPr>
            <w:r w:rsidRPr="003B6A46">
              <w:rPr>
                <w:lang w:eastAsia="en-AU"/>
              </w:rPr>
              <w:t>Related business 1</w:t>
            </w:r>
          </w:p>
        </w:tc>
        <w:tc>
          <w:tcPr>
            <w:tcW w:w="1186" w:type="pct"/>
          </w:tcPr>
          <w:p w14:paraId="3C1638F9" w14:textId="00EC16DF" w:rsidR="00297CA8" w:rsidRPr="003B6A46" w:rsidRDefault="00297CA8" w:rsidP="00537033">
            <w:pPr>
              <w:spacing w:before="0"/>
              <w:rPr>
                <w:lang w:eastAsia="en-AU"/>
              </w:rPr>
            </w:pPr>
            <w:r w:rsidRPr="003B6A46">
              <w:rPr>
                <w:lang w:eastAsia="en-AU"/>
              </w:rPr>
              <w:t>$250,000</w:t>
            </w:r>
          </w:p>
        </w:tc>
        <w:tc>
          <w:tcPr>
            <w:tcW w:w="1186" w:type="pct"/>
          </w:tcPr>
          <w:p w14:paraId="3B947196" w14:textId="7574A002" w:rsidR="00297CA8" w:rsidRPr="003B6A46" w:rsidRDefault="00297CA8" w:rsidP="00537033">
            <w:pPr>
              <w:spacing w:before="0"/>
              <w:rPr>
                <w:lang w:eastAsia="en-AU"/>
              </w:rPr>
            </w:pPr>
            <w:r w:rsidRPr="003B6A46">
              <w:rPr>
                <w:lang w:eastAsia="en-AU"/>
              </w:rPr>
              <w:t>−$210,000</w:t>
            </w:r>
          </w:p>
        </w:tc>
        <w:tc>
          <w:tcPr>
            <w:tcW w:w="1186" w:type="pct"/>
          </w:tcPr>
          <w:p w14:paraId="48D66C1F" w14:textId="6264534C" w:rsidR="00297CA8" w:rsidRPr="003B6A46" w:rsidRDefault="00297CA8" w:rsidP="00537033">
            <w:pPr>
              <w:spacing w:before="0"/>
              <w:rPr>
                <w:lang w:eastAsia="en-AU"/>
              </w:rPr>
            </w:pPr>
            <w:r w:rsidRPr="003B6A46">
              <w:rPr>
                <w:lang w:eastAsia="en-AU"/>
              </w:rPr>
              <w:t>$40,000</w:t>
            </w:r>
          </w:p>
        </w:tc>
      </w:tr>
      <w:tr w:rsidR="00297CA8" w:rsidRPr="003B6A46" w14:paraId="00ACAFCB" w14:textId="464F7869" w:rsidTr="00537033">
        <w:tc>
          <w:tcPr>
            <w:tcW w:w="1442" w:type="pct"/>
          </w:tcPr>
          <w:p w14:paraId="1B0949DF" w14:textId="79DB60EC" w:rsidR="00297CA8" w:rsidRPr="003B6A46" w:rsidRDefault="00297CA8" w:rsidP="00537033">
            <w:pPr>
              <w:spacing w:before="0"/>
              <w:rPr>
                <w:lang w:eastAsia="en-AU"/>
              </w:rPr>
            </w:pPr>
            <w:r w:rsidRPr="003B6A46">
              <w:rPr>
                <w:lang w:eastAsia="en-AU"/>
              </w:rPr>
              <w:t xml:space="preserve">Totals </w:t>
            </w:r>
          </w:p>
        </w:tc>
        <w:tc>
          <w:tcPr>
            <w:tcW w:w="1186" w:type="pct"/>
          </w:tcPr>
          <w:p w14:paraId="4E63A775" w14:textId="5E613216" w:rsidR="00297CA8" w:rsidRPr="003B6A46" w:rsidRDefault="00297CA8" w:rsidP="00537033">
            <w:pPr>
              <w:spacing w:before="0"/>
              <w:rPr>
                <w:lang w:eastAsia="en-AU"/>
              </w:rPr>
            </w:pPr>
            <w:r w:rsidRPr="003B6A46">
              <w:rPr>
                <w:lang w:eastAsia="en-AU"/>
              </w:rPr>
              <w:t>$1,050,000</w:t>
            </w:r>
          </w:p>
        </w:tc>
        <w:tc>
          <w:tcPr>
            <w:tcW w:w="1186" w:type="pct"/>
          </w:tcPr>
          <w:p w14:paraId="601C1D3A" w14:textId="4EF3AD5F" w:rsidR="00297CA8" w:rsidRPr="003B6A46" w:rsidRDefault="00297CA8" w:rsidP="00537033">
            <w:pPr>
              <w:spacing w:before="0"/>
              <w:rPr>
                <w:lang w:eastAsia="en-AU"/>
              </w:rPr>
            </w:pPr>
            <w:r w:rsidRPr="003B6A46">
              <w:rPr>
                <w:lang w:eastAsia="en-AU"/>
              </w:rPr>
              <w:t>−$1,300,000</w:t>
            </w:r>
          </w:p>
        </w:tc>
        <w:tc>
          <w:tcPr>
            <w:tcW w:w="1186" w:type="pct"/>
          </w:tcPr>
          <w:p w14:paraId="319A1F3A" w14:textId="08B94317" w:rsidR="00297CA8" w:rsidRPr="003B6A46" w:rsidRDefault="00297CA8" w:rsidP="00537033">
            <w:pPr>
              <w:spacing w:before="0"/>
              <w:rPr>
                <w:b/>
                <w:lang w:eastAsia="en-AU"/>
              </w:rPr>
            </w:pPr>
            <w:r w:rsidRPr="003B6A46">
              <w:rPr>
                <w:b/>
                <w:lang w:eastAsia="en-AU"/>
              </w:rPr>
              <w:t>−$250,000</w:t>
            </w:r>
          </w:p>
        </w:tc>
      </w:tr>
    </w:tbl>
    <w:p w14:paraId="53194068" w14:textId="77777777" w:rsidR="00D86F6A" w:rsidRDefault="00297CA8" w:rsidP="00D86F6A">
      <w:pPr>
        <w:pStyle w:val="ListParagraph"/>
        <w:numPr>
          <w:ilvl w:val="0"/>
          <w:numId w:val="96"/>
        </w:numPr>
        <w:rPr>
          <w:lang w:eastAsia="en-AU"/>
        </w:rPr>
      </w:pPr>
      <w:r w:rsidRPr="003B6A46">
        <w:t xml:space="preserve">In this example, the operating loss is $250,000. The person and their partner are </w:t>
      </w:r>
      <w:r w:rsidR="00B26115" w:rsidRPr="003B6A46">
        <w:t xml:space="preserve">jointly </w:t>
      </w:r>
      <w:r w:rsidRPr="003B6A46">
        <w:t>entitled to use up to a total of $100,000 and the other person is also entitled to use up to</w:t>
      </w:r>
      <w:r w:rsidRPr="00197B16">
        <w:t xml:space="preserve"> $100,000 in </w:t>
      </w:r>
      <w:r w:rsidR="00C041A2">
        <w:t xml:space="preserve">the overall </w:t>
      </w:r>
      <w:r w:rsidRPr="00197B16">
        <w:t>operating loss to reduce their ordinary incomes for a tax year.</w:t>
      </w:r>
    </w:p>
    <w:p w14:paraId="52451E91" w14:textId="77777777" w:rsidR="00D86F6A" w:rsidRPr="00D86F6A" w:rsidRDefault="00D86F6A" w:rsidP="00D86F6A">
      <w:pPr>
        <w:pStyle w:val="ListParagraph"/>
        <w:ind w:left="360"/>
        <w:rPr>
          <w:lang w:eastAsia="en-AU"/>
        </w:rPr>
      </w:pPr>
    </w:p>
    <w:p w14:paraId="5ED1F47A" w14:textId="0AC8BE9C" w:rsidR="00297CA8" w:rsidRPr="00197B16" w:rsidRDefault="00297CA8" w:rsidP="00D86F6A">
      <w:pPr>
        <w:pStyle w:val="ListParagraph"/>
        <w:numPr>
          <w:ilvl w:val="0"/>
          <w:numId w:val="96"/>
        </w:numPr>
        <w:rPr>
          <w:lang w:eastAsia="en-AU"/>
        </w:rPr>
      </w:pPr>
      <w:r w:rsidRPr="00D86F6A">
        <w:rPr>
          <w:i/>
          <w:iCs/>
        </w:rPr>
        <w:t>Example 3:</w:t>
      </w:r>
      <w:r w:rsidRPr="00197B16">
        <w:t xml:space="preserve"> A person carries on a farm enterprise with their partner and another person. The person, their partner and the other person are all in receipt of FHA. The performance of the farm enterprise is:</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615"/>
        <w:gridCol w:w="2152"/>
        <w:gridCol w:w="2152"/>
        <w:gridCol w:w="2152"/>
      </w:tblGrid>
      <w:tr w:rsidR="00297CA8" w:rsidRPr="00197B16" w14:paraId="0F65CA44" w14:textId="03F7A756" w:rsidTr="00197B16">
        <w:tc>
          <w:tcPr>
            <w:tcW w:w="1442" w:type="pct"/>
          </w:tcPr>
          <w:p w14:paraId="379CCB41" w14:textId="38B6EBBD" w:rsidR="00297CA8" w:rsidRPr="00197B16" w:rsidRDefault="00297CA8" w:rsidP="00197B16">
            <w:pPr>
              <w:spacing w:before="0"/>
              <w:rPr>
                <w:lang w:eastAsia="en-AU"/>
              </w:rPr>
            </w:pPr>
          </w:p>
        </w:tc>
        <w:tc>
          <w:tcPr>
            <w:tcW w:w="1186" w:type="pct"/>
          </w:tcPr>
          <w:p w14:paraId="152E5BC6" w14:textId="7DB79F4C" w:rsidR="00297CA8" w:rsidRPr="00197B16" w:rsidRDefault="00297CA8" w:rsidP="00197B16">
            <w:pPr>
              <w:spacing w:before="0"/>
              <w:rPr>
                <w:b/>
                <w:lang w:eastAsia="en-AU"/>
              </w:rPr>
            </w:pPr>
            <w:r w:rsidRPr="00197B16">
              <w:rPr>
                <w:b/>
                <w:lang w:eastAsia="en-AU"/>
              </w:rPr>
              <w:t>Revenue</w:t>
            </w:r>
          </w:p>
        </w:tc>
        <w:tc>
          <w:tcPr>
            <w:tcW w:w="1186" w:type="pct"/>
          </w:tcPr>
          <w:p w14:paraId="2E8388A2" w14:textId="78D5A4E5" w:rsidR="00297CA8" w:rsidRPr="00197B16" w:rsidRDefault="00297CA8" w:rsidP="00197B16">
            <w:pPr>
              <w:spacing w:before="0"/>
              <w:rPr>
                <w:b/>
                <w:lang w:eastAsia="en-AU"/>
              </w:rPr>
            </w:pPr>
            <w:r w:rsidRPr="00197B16">
              <w:rPr>
                <w:b/>
                <w:lang w:eastAsia="en-AU"/>
              </w:rPr>
              <w:t>Outgoings</w:t>
            </w:r>
          </w:p>
        </w:tc>
        <w:tc>
          <w:tcPr>
            <w:tcW w:w="1186" w:type="pct"/>
          </w:tcPr>
          <w:p w14:paraId="071D7031" w14:textId="758ED7BF" w:rsidR="00297CA8" w:rsidRPr="00197B16" w:rsidRDefault="00297CA8" w:rsidP="00197B16">
            <w:pPr>
              <w:spacing w:before="0"/>
              <w:rPr>
                <w:b/>
                <w:lang w:eastAsia="en-AU"/>
              </w:rPr>
            </w:pPr>
            <w:r w:rsidRPr="00197B16">
              <w:rPr>
                <w:b/>
                <w:lang w:eastAsia="en-AU"/>
              </w:rPr>
              <w:t>Total</w:t>
            </w:r>
          </w:p>
        </w:tc>
      </w:tr>
      <w:tr w:rsidR="00297CA8" w:rsidRPr="00197B16" w14:paraId="3538BF06" w14:textId="585D0D89" w:rsidTr="00197B16">
        <w:tc>
          <w:tcPr>
            <w:tcW w:w="1442" w:type="pct"/>
          </w:tcPr>
          <w:p w14:paraId="4F0D4A99" w14:textId="4D15FA46" w:rsidR="00297CA8" w:rsidRPr="00197B16" w:rsidRDefault="00297CA8" w:rsidP="00197B16">
            <w:pPr>
              <w:spacing w:before="0"/>
              <w:rPr>
                <w:lang w:eastAsia="en-AU"/>
              </w:rPr>
            </w:pPr>
            <w:r w:rsidRPr="00197B16">
              <w:rPr>
                <w:lang w:eastAsia="en-AU"/>
              </w:rPr>
              <w:t>Farm enterprise</w:t>
            </w:r>
          </w:p>
        </w:tc>
        <w:tc>
          <w:tcPr>
            <w:tcW w:w="1186" w:type="pct"/>
          </w:tcPr>
          <w:p w14:paraId="4BF3BCC1" w14:textId="1C098F1D" w:rsidR="00297CA8" w:rsidRPr="00197B16" w:rsidRDefault="00297CA8" w:rsidP="00197B16">
            <w:pPr>
              <w:spacing w:before="0"/>
              <w:rPr>
                <w:lang w:eastAsia="en-AU"/>
              </w:rPr>
            </w:pPr>
            <w:r w:rsidRPr="00197B16">
              <w:rPr>
                <w:lang w:eastAsia="en-AU"/>
              </w:rPr>
              <w:t>$750,000</w:t>
            </w:r>
          </w:p>
        </w:tc>
        <w:tc>
          <w:tcPr>
            <w:tcW w:w="1186" w:type="pct"/>
          </w:tcPr>
          <w:p w14:paraId="609D048A" w14:textId="01B00E64" w:rsidR="00297CA8" w:rsidRPr="00197B16" w:rsidRDefault="00297CA8" w:rsidP="00197B16">
            <w:pPr>
              <w:spacing w:before="0"/>
              <w:rPr>
                <w:lang w:eastAsia="en-AU"/>
              </w:rPr>
            </w:pPr>
            <w:r w:rsidRPr="00197B16">
              <w:rPr>
                <w:lang w:eastAsia="en-AU"/>
              </w:rPr>
              <w:t>−$890,000</w:t>
            </w:r>
          </w:p>
        </w:tc>
        <w:tc>
          <w:tcPr>
            <w:tcW w:w="1186" w:type="pct"/>
          </w:tcPr>
          <w:p w14:paraId="02C40677" w14:textId="54B5AA8F" w:rsidR="00297CA8" w:rsidRPr="00197B16" w:rsidRDefault="00297CA8" w:rsidP="00197B16">
            <w:pPr>
              <w:spacing w:before="0"/>
              <w:rPr>
                <w:b/>
                <w:lang w:eastAsia="en-AU"/>
              </w:rPr>
            </w:pPr>
            <w:r w:rsidRPr="00197B16">
              <w:rPr>
                <w:b/>
                <w:lang w:eastAsia="en-AU"/>
              </w:rPr>
              <w:t>−$140,000</w:t>
            </w:r>
          </w:p>
        </w:tc>
      </w:tr>
    </w:tbl>
    <w:p w14:paraId="11B91884" w14:textId="61EE7DAA" w:rsidR="006B1665" w:rsidRDefault="00297CA8" w:rsidP="00D86F6A">
      <w:pPr>
        <w:pStyle w:val="ListParagraph"/>
        <w:numPr>
          <w:ilvl w:val="0"/>
          <w:numId w:val="96"/>
        </w:numPr>
      </w:pPr>
      <w:r w:rsidRPr="00197B16">
        <w:t>In this example, the operating loss is $1</w:t>
      </w:r>
      <w:r w:rsidR="00FE679F" w:rsidRPr="00197B16">
        <w:t>40</w:t>
      </w:r>
      <w:r w:rsidRPr="00197B16">
        <w:t>,000. There is insufficient loss for the person, their partner</w:t>
      </w:r>
      <w:r w:rsidRPr="003B6A46">
        <w:t xml:space="preserve">, </w:t>
      </w:r>
      <w:r w:rsidR="006A734A" w:rsidRPr="00D86F6A">
        <w:rPr>
          <w:rFonts w:eastAsia="Times New Roman"/>
        </w:rPr>
        <w:t xml:space="preserve">(jointly up to the $100,000 cap) </w:t>
      </w:r>
      <w:r w:rsidRPr="003B6A46">
        <w:t xml:space="preserve">and </w:t>
      </w:r>
      <w:r w:rsidRPr="00197B16">
        <w:t xml:space="preserve">the other person to use </w:t>
      </w:r>
      <w:r w:rsidR="00273EF8" w:rsidRPr="00197B16">
        <w:t>to the full</w:t>
      </w:r>
      <w:r w:rsidRPr="00197B16">
        <w:t xml:space="preserve"> $100,000 in </w:t>
      </w:r>
      <w:r w:rsidR="00377DA2">
        <w:t xml:space="preserve">overall </w:t>
      </w:r>
      <w:r w:rsidRPr="00197B16">
        <w:t xml:space="preserve">operating loss to reduce their ordinary incomes for a tax year. </w:t>
      </w:r>
      <w:r w:rsidR="00FE679F" w:rsidRPr="00197B16">
        <w:t xml:space="preserve">They </w:t>
      </w:r>
      <w:r w:rsidR="00C041A2">
        <w:t>must</w:t>
      </w:r>
      <w:r w:rsidR="00FE679F" w:rsidRPr="00197B16">
        <w:t xml:space="preserve"> agree </w:t>
      </w:r>
      <w:r w:rsidR="0033352A" w:rsidRPr="00197B16">
        <w:t xml:space="preserve">upon </w:t>
      </w:r>
      <w:r w:rsidR="00FE679F" w:rsidRPr="00197B16">
        <w:t xml:space="preserve">how to use the loss, </w:t>
      </w:r>
      <w:r w:rsidR="00273EF8" w:rsidRPr="00197B16">
        <w:t>such as, for example</w:t>
      </w:r>
      <w:r w:rsidR="00B26115">
        <w:t>, in equal shares</w:t>
      </w:r>
      <w:r w:rsidR="00273EF8" w:rsidRPr="00197B16">
        <w:t>,</w:t>
      </w:r>
      <w:r w:rsidR="00C041A2">
        <w:t xml:space="preserve"> or another proportions.</w:t>
      </w:r>
      <w:r w:rsidR="00273EF8" w:rsidRPr="00197B16">
        <w:t xml:space="preserve"> </w:t>
      </w:r>
      <w:r w:rsidR="00FE679F" w:rsidRPr="00197B16">
        <w:t xml:space="preserve">One scenario may be that only one person has off-farm income, and by agreement, that </w:t>
      </w:r>
      <w:r w:rsidR="0091547B" w:rsidRPr="00197B16">
        <w:t>person</w:t>
      </w:r>
      <w:r w:rsidR="00FE679F" w:rsidRPr="00197B16">
        <w:t xml:space="preserve"> is able to access the $100,000 allowable</w:t>
      </w:r>
      <w:r w:rsidR="0091547B" w:rsidRPr="00197B16">
        <w:t xml:space="preserve"> limit</w:t>
      </w:r>
      <w:r w:rsidR="00C041A2">
        <w:t xml:space="preserve"> available to them</w:t>
      </w:r>
      <w:r w:rsidR="00FE679F" w:rsidRPr="00197B16">
        <w:t>.</w:t>
      </w:r>
    </w:p>
    <w:p w14:paraId="55FD2443" w14:textId="34376C1B" w:rsidR="0022445A" w:rsidRPr="007524D9" w:rsidRDefault="00932118" w:rsidP="00176155">
      <w:pPr>
        <w:rPr>
          <w:bCs/>
        </w:rPr>
      </w:pPr>
      <w:r w:rsidRPr="008E0103">
        <w:rPr>
          <w:b/>
          <w:bCs/>
        </w:rPr>
        <w:t>Part 3</w:t>
      </w:r>
      <w:r w:rsidR="0022445A" w:rsidRPr="008E0103">
        <w:rPr>
          <w:b/>
          <w:bCs/>
        </w:rPr>
        <w:t>—</w:t>
      </w:r>
      <w:r w:rsidRPr="008E0103">
        <w:rPr>
          <w:b/>
          <w:bCs/>
        </w:rPr>
        <w:t>Activity supplement</w:t>
      </w:r>
    </w:p>
    <w:p w14:paraId="2B217429" w14:textId="75A5694A" w:rsidR="004D33AE" w:rsidRPr="00176155" w:rsidRDefault="00237BCF" w:rsidP="00176155">
      <w:pPr>
        <w:rPr>
          <w:u w:val="single"/>
        </w:rPr>
      </w:pPr>
      <w:r w:rsidRPr="00176155">
        <w:rPr>
          <w:u w:val="single"/>
        </w:rPr>
        <w:t xml:space="preserve">Section </w:t>
      </w:r>
      <w:r w:rsidR="00EF3493" w:rsidRPr="00176155">
        <w:rPr>
          <w:u w:val="single"/>
        </w:rPr>
        <w:t>9</w:t>
      </w:r>
      <w:r w:rsidRPr="00176155">
        <w:rPr>
          <w:u w:val="single"/>
        </w:rPr>
        <w:t>—</w:t>
      </w:r>
      <w:r w:rsidR="00932118" w:rsidRPr="00176155">
        <w:rPr>
          <w:u w:val="single"/>
        </w:rPr>
        <w:t>Maximum amount of activity supplement</w:t>
      </w:r>
    </w:p>
    <w:p w14:paraId="226D6779" w14:textId="07D76955" w:rsidR="0095416B" w:rsidRDefault="001A021C" w:rsidP="00D86F6A">
      <w:pPr>
        <w:pStyle w:val="ListParagraph"/>
        <w:numPr>
          <w:ilvl w:val="0"/>
          <w:numId w:val="96"/>
        </w:numPr>
      </w:pPr>
      <w:r>
        <w:t>This section</w:t>
      </w:r>
      <w:r w:rsidR="00FE013E">
        <w:t xml:space="preserve"> </w:t>
      </w:r>
      <w:r w:rsidR="00EF3493">
        <w:t xml:space="preserve">replicates </w:t>
      </w:r>
      <w:r w:rsidR="000C6C9F">
        <w:t>section 8 of the 2014 Minister’s Rules</w:t>
      </w:r>
      <w:r w:rsidR="0094448D">
        <w:t>.</w:t>
      </w:r>
      <w:r w:rsidR="00245A89">
        <w:t xml:space="preserve"> </w:t>
      </w:r>
      <w:r w:rsidR="00FE013E">
        <w:t xml:space="preserve">It fixes $10,000 </w:t>
      </w:r>
      <w:r w:rsidR="00E21C5D">
        <w:t>for th</w:t>
      </w:r>
      <w:r w:rsidR="00D86F6A">
        <w:t xml:space="preserve">e </w:t>
      </w:r>
      <w:r w:rsidR="00E21C5D">
        <w:t>purposes of paragraph 8</w:t>
      </w:r>
      <w:r w:rsidR="00747F98">
        <w:t>2(1)</w:t>
      </w:r>
      <w:r w:rsidR="00E21C5D">
        <w:t xml:space="preserve">(a) of the Act </w:t>
      </w:r>
      <w:r w:rsidR="00FE013E">
        <w:t>as the maximum</w:t>
      </w:r>
      <w:r w:rsidR="005A3304">
        <w:t xml:space="preserve"> amount of</w:t>
      </w:r>
      <w:r w:rsidR="00FE013E">
        <w:t xml:space="preserve"> activity supplement available to an FHA recipient to support</w:t>
      </w:r>
      <w:r w:rsidR="00353FC5">
        <w:t xml:space="preserve"> the</w:t>
      </w:r>
      <w:r w:rsidR="001E6A94">
        <w:t xml:space="preserve"> recipient </w:t>
      </w:r>
      <w:r w:rsidR="00353FC5">
        <w:t xml:space="preserve">completing activities </w:t>
      </w:r>
      <w:r w:rsidR="001E6A94">
        <w:t xml:space="preserve">agreed </w:t>
      </w:r>
      <w:r w:rsidR="00353FC5">
        <w:t xml:space="preserve">in the </w:t>
      </w:r>
      <w:r w:rsidR="001E6A94">
        <w:t>FIA</w:t>
      </w:r>
      <w:r w:rsidR="006B5ACC">
        <w:t>.</w:t>
      </w:r>
    </w:p>
    <w:p w14:paraId="1EB49CBB" w14:textId="5C0F1B05" w:rsidR="00FE013E" w:rsidRPr="007524D9" w:rsidRDefault="00FE013E" w:rsidP="00176155">
      <w:pPr>
        <w:rPr>
          <w:bCs/>
        </w:rPr>
      </w:pPr>
      <w:r w:rsidRPr="00176155">
        <w:rPr>
          <w:b/>
          <w:bCs/>
        </w:rPr>
        <w:t>Part 4—Farm financial assessment</w:t>
      </w:r>
      <w:r w:rsidR="00076D34">
        <w:rPr>
          <w:b/>
          <w:bCs/>
        </w:rPr>
        <w:t xml:space="preserve"> supplement</w:t>
      </w:r>
    </w:p>
    <w:p w14:paraId="6A9E86C9" w14:textId="29651A06" w:rsidR="00237BCF" w:rsidRPr="00176155" w:rsidRDefault="00120F19" w:rsidP="00176155">
      <w:pPr>
        <w:rPr>
          <w:u w:val="single"/>
        </w:rPr>
      </w:pPr>
      <w:r w:rsidRPr="00176155">
        <w:rPr>
          <w:u w:val="single"/>
        </w:rPr>
        <w:t xml:space="preserve">Section </w:t>
      </w:r>
      <w:r w:rsidR="00EF3493" w:rsidRPr="00176155">
        <w:rPr>
          <w:u w:val="single"/>
        </w:rPr>
        <w:t>10</w:t>
      </w:r>
      <w:r w:rsidRPr="00176155">
        <w:rPr>
          <w:u w:val="single"/>
        </w:rPr>
        <w:t>—</w:t>
      </w:r>
      <w:r w:rsidR="00FE013E" w:rsidRPr="00176155">
        <w:rPr>
          <w:u w:val="single"/>
        </w:rPr>
        <w:t>Maximum amount of farm financial assessment supplement</w:t>
      </w:r>
    </w:p>
    <w:p w14:paraId="79B8567B" w14:textId="119A946F" w:rsidR="003B6A46" w:rsidRDefault="0082753D" w:rsidP="00D86F6A">
      <w:pPr>
        <w:pStyle w:val="ListParagraph"/>
        <w:numPr>
          <w:ilvl w:val="0"/>
          <w:numId w:val="96"/>
        </w:numPr>
      </w:pPr>
      <w:r>
        <w:lastRenderedPageBreak/>
        <w:t>This section</w:t>
      </w:r>
      <w:r w:rsidR="00FE013E">
        <w:t xml:space="preserve"> </w:t>
      </w:r>
      <w:r w:rsidR="00274B32">
        <w:t>replicates</w:t>
      </w:r>
      <w:r w:rsidR="00F66C7E">
        <w:t xml:space="preserve"> </w:t>
      </w:r>
      <w:r w:rsidR="00FE013E">
        <w:t xml:space="preserve">section 9 of the 2014 Minister’s </w:t>
      </w:r>
      <w:r w:rsidR="00CF555D">
        <w:t>R</w:t>
      </w:r>
      <w:r w:rsidR="00FE013E">
        <w:t>ules</w:t>
      </w:r>
      <w:r w:rsidR="00DC77E7">
        <w:t xml:space="preserve">. </w:t>
      </w:r>
      <w:r w:rsidR="00FE013E">
        <w:t xml:space="preserve">It fixes $1,500 </w:t>
      </w:r>
      <w:r w:rsidR="00105B58">
        <w:t xml:space="preserve">for the purposes of paragraph 89(a) of the Act </w:t>
      </w:r>
      <w:r w:rsidR="00FE013E">
        <w:t>as the maximum amount of farm financial assessment supplement available to an FHA recipient to support</w:t>
      </w:r>
      <w:r w:rsidR="006B5ACC">
        <w:t xml:space="preserve"> professional assessment of the farm enterprise.</w:t>
      </w:r>
    </w:p>
    <w:p w14:paraId="7D396400" w14:textId="356C4C43" w:rsidR="007664E6" w:rsidRPr="007524D9" w:rsidRDefault="007664E6" w:rsidP="00176155">
      <w:pPr>
        <w:rPr>
          <w:bCs/>
        </w:rPr>
      </w:pPr>
      <w:r w:rsidRPr="00176155">
        <w:rPr>
          <w:b/>
          <w:bCs/>
        </w:rPr>
        <w:t>Part 5— Application, saving and transitional provision</w:t>
      </w:r>
    </w:p>
    <w:p w14:paraId="1DBE56D4" w14:textId="093B73D3" w:rsidR="007664E6" w:rsidRPr="00176155" w:rsidRDefault="007664E6" w:rsidP="007664E6">
      <w:pPr>
        <w:pStyle w:val="Heading2"/>
        <w:rPr>
          <w:rFonts w:cstheme="minorBidi"/>
          <w:b w:val="0"/>
          <w:szCs w:val="20"/>
          <w:u w:val="single"/>
        </w:rPr>
      </w:pPr>
      <w:r w:rsidRPr="00176155">
        <w:rPr>
          <w:rFonts w:cstheme="minorBidi"/>
          <w:b w:val="0"/>
          <w:szCs w:val="20"/>
          <w:u w:val="single"/>
        </w:rPr>
        <w:t>Section 11— Application provision relating to the commencement of this instrument</w:t>
      </w:r>
    </w:p>
    <w:p w14:paraId="139291E5" w14:textId="1835DB13" w:rsidR="007664E6" w:rsidRPr="00E77B4E" w:rsidRDefault="0082753D" w:rsidP="00D86F6A">
      <w:pPr>
        <w:pStyle w:val="ListParagraph"/>
        <w:numPr>
          <w:ilvl w:val="0"/>
          <w:numId w:val="96"/>
        </w:numPr>
      </w:pPr>
      <w:r>
        <w:t>This section</w:t>
      </w:r>
      <w:r w:rsidR="007664E6" w:rsidRPr="00E77B4E">
        <w:t xml:space="preserve"> provides </w:t>
      </w:r>
      <w:r w:rsidR="006329CE">
        <w:t>that</w:t>
      </w:r>
      <w:r w:rsidR="007664E6" w:rsidRPr="00E77B4E">
        <w:t xml:space="preserve"> Part 2 of these Rules (which relate to determining allowable deductions from ordinary income for the purposes of determining a person’s qualification for FHA or working out their rate of payment) applies</w:t>
      </w:r>
      <w:r w:rsidR="00C5084F">
        <w:t xml:space="preserve"> for the purpose of working out</w:t>
      </w:r>
      <w:r w:rsidR="007664E6" w:rsidRPr="00E77B4E">
        <w:t xml:space="preserve"> </w:t>
      </w:r>
      <w:r w:rsidR="00590AE4">
        <w:t>the rate of</w:t>
      </w:r>
      <w:r w:rsidR="006329CE">
        <w:t xml:space="preserve"> FHA</w:t>
      </w:r>
      <w:r w:rsidR="00590AE4">
        <w:t xml:space="preserve"> for a person</w:t>
      </w:r>
      <w:r w:rsidR="007664E6" w:rsidRPr="00E77B4E">
        <w:t xml:space="preserve"> on or after </w:t>
      </w:r>
      <w:r w:rsidR="00770837">
        <w:t xml:space="preserve">the </w:t>
      </w:r>
      <w:r w:rsidR="007664E6" w:rsidRPr="00E77B4E">
        <w:t xml:space="preserve">commencement of </w:t>
      </w:r>
      <w:r w:rsidR="00770837">
        <w:t>this section</w:t>
      </w:r>
      <w:r w:rsidR="00274B32">
        <w:t>. However, as the policy is unchanged,</w:t>
      </w:r>
      <w:r w:rsidR="00F331E6">
        <w:t xml:space="preserve"> FHA</w:t>
      </w:r>
      <w:r w:rsidR="00274B32">
        <w:t xml:space="preserve"> entitlements will not be assessed differently before and after</w:t>
      </w:r>
      <w:r w:rsidR="004F7675">
        <w:t xml:space="preserve"> </w:t>
      </w:r>
      <w:r w:rsidR="00F331E6">
        <w:t>commencement</w:t>
      </w:r>
      <w:r w:rsidR="00274B32">
        <w:t>. This means no one will be disadvantaged.</w:t>
      </w:r>
    </w:p>
    <w:p w14:paraId="6BB7411E" w14:textId="14501818" w:rsidR="006375DE" w:rsidRPr="0026496A" w:rsidRDefault="00FF3732" w:rsidP="006375DE">
      <w:pPr>
        <w:pStyle w:val="NormalWeb"/>
        <w:rPr>
          <w:rFonts w:ascii="Arial" w:hAnsi="Arial" w:cs="Arial"/>
          <w:b/>
          <w:bCs/>
          <w:i/>
          <w:iCs/>
          <w:sz w:val="20"/>
        </w:rPr>
      </w:pPr>
      <w:r w:rsidRPr="0026496A">
        <w:rPr>
          <w:b/>
          <w:bCs/>
        </w:rPr>
        <w:t>Schedule 1 – Repeals</w:t>
      </w:r>
    </w:p>
    <w:p w14:paraId="52C57E0B" w14:textId="7FCA90B2" w:rsidR="006375DE" w:rsidRPr="0026496A" w:rsidRDefault="006375DE" w:rsidP="006375DE">
      <w:pPr>
        <w:pStyle w:val="NormalWeb"/>
        <w:spacing w:after="0" w:afterAutospacing="0"/>
        <w:rPr>
          <w:rFonts w:eastAsiaTheme="minorEastAsia" w:cstheme="minorBidi"/>
          <w:i/>
          <w:iCs/>
          <w:szCs w:val="20"/>
          <w:lang w:eastAsia="en-US"/>
        </w:rPr>
      </w:pPr>
      <w:r w:rsidRPr="0026496A">
        <w:rPr>
          <w:rFonts w:eastAsiaTheme="minorEastAsia" w:cstheme="minorBidi"/>
          <w:i/>
          <w:iCs/>
          <w:szCs w:val="20"/>
          <w:lang w:eastAsia="en-US"/>
        </w:rPr>
        <w:t>Farm Household Support Minister’s Rule 2014</w:t>
      </w:r>
    </w:p>
    <w:p w14:paraId="7BF47A95" w14:textId="058CA294" w:rsidR="00FF3732" w:rsidRPr="00F924A8" w:rsidRDefault="006375DE" w:rsidP="00F924A8">
      <w:pPr>
        <w:pStyle w:val="NormalWeb"/>
        <w:numPr>
          <w:ilvl w:val="0"/>
          <w:numId w:val="96"/>
        </w:numPr>
        <w:spacing w:after="0" w:afterAutospacing="0"/>
        <w:rPr>
          <w:rFonts w:eastAsiaTheme="minorEastAsia" w:cstheme="minorBidi"/>
          <w:szCs w:val="20"/>
          <w:lang w:eastAsia="en-US"/>
        </w:rPr>
      </w:pPr>
      <w:r w:rsidRPr="0026496A">
        <w:rPr>
          <w:rFonts w:eastAsiaTheme="minorEastAsia" w:cstheme="minorBidi"/>
          <w:lang w:eastAsia="en-US"/>
        </w:rPr>
        <w:t>Item 1</w:t>
      </w:r>
      <w:r w:rsidRPr="0026496A">
        <w:rPr>
          <w:rFonts w:eastAsiaTheme="minorEastAsia" w:cstheme="minorBidi"/>
          <w:szCs w:val="20"/>
          <w:lang w:eastAsia="en-US"/>
        </w:rPr>
        <w:t xml:space="preserve"> </w:t>
      </w:r>
      <w:r w:rsidRPr="0026496A">
        <w:rPr>
          <w:rFonts w:eastAsiaTheme="minorEastAsia" w:cstheme="minorBidi"/>
          <w:lang w:eastAsia="en-US"/>
        </w:rPr>
        <w:t>– The whole of the instrument</w:t>
      </w:r>
      <w:r w:rsidR="00F924A8">
        <w:rPr>
          <w:rFonts w:eastAsiaTheme="minorEastAsia" w:cstheme="minorBidi"/>
          <w:szCs w:val="20"/>
          <w:lang w:eastAsia="en-US"/>
        </w:rPr>
        <w:t xml:space="preserve">. </w:t>
      </w:r>
      <w:r w:rsidRPr="00F924A8">
        <w:rPr>
          <w:rFonts w:eastAsiaTheme="minorEastAsia" w:cstheme="minorBidi"/>
          <w:szCs w:val="20"/>
          <w:lang w:eastAsia="en-US"/>
        </w:rPr>
        <w:t>This item repeals the instrument in full</w:t>
      </w:r>
      <w:r w:rsidR="00592F15" w:rsidRPr="00F924A8">
        <w:rPr>
          <w:rFonts w:eastAsiaTheme="minorEastAsia" w:cstheme="minorBidi"/>
          <w:szCs w:val="20"/>
          <w:lang w:eastAsia="en-US"/>
        </w:rPr>
        <w:t xml:space="preserve">. </w:t>
      </w:r>
    </w:p>
    <w:p w14:paraId="4D1565DD" w14:textId="314BC2B7" w:rsidR="008E398B" w:rsidRPr="00FF3732" w:rsidRDefault="008E398B" w:rsidP="00AD62B2">
      <w:pPr>
        <w:pStyle w:val="Heading1"/>
        <w:sectPr w:rsidR="008E398B" w:rsidRPr="00FF3732" w:rsidSect="00A376F0">
          <w:headerReference w:type="even" r:id="rId11"/>
          <w:footerReference w:type="even" r:id="rId12"/>
          <w:footerReference w:type="default" r:id="rId13"/>
          <w:headerReference w:type="first" r:id="rId14"/>
          <w:footerReference w:type="first" r:id="rId15"/>
          <w:pgSz w:w="11907" w:h="16840" w:code="9"/>
          <w:pgMar w:top="1418" w:right="1418" w:bottom="1418" w:left="1418" w:header="284" w:footer="788" w:gutter="0"/>
          <w:pgNumType w:start="1"/>
          <w:cols w:space="720"/>
          <w:docGrid w:linePitch="360"/>
        </w:sectPr>
      </w:pPr>
    </w:p>
    <w:p w14:paraId="7B8D207D" w14:textId="77777777" w:rsidR="00BA603E" w:rsidRPr="00BA603E" w:rsidRDefault="00BA603E" w:rsidP="00BA603E">
      <w:pPr>
        <w:pStyle w:val="Heading1"/>
      </w:pPr>
      <w:bookmarkStart w:id="9" w:name="_Ref160722206"/>
    </w:p>
    <w:p w14:paraId="76E33D49" w14:textId="289BC97A" w:rsidR="002B1DB3" w:rsidRPr="00BA603E" w:rsidRDefault="002B1DB3" w:rsidP="00BA603E">
      <w:pPr>
        <w:jc w:val="center"/>
        <w:rPr>
          <w:rFonts w:cs="Times New Roman"/>
          <w:b/>
          <w:caps/>
          <w:szCs w:val="24"/>
          <w:u w:val="single"/>
        </w:rPr>
      </w:pPr>
      <w:bookmarkStart w:id="10" w:name="_Hlk165474250"/>
      <w:bookmarkEnd w:id="9"/>
      <w:r w:rsidRPr="00BA603E">
        <w:rPr>
          <w:rFonts w:cs="Times New Roman"/>
          <w:b/>
          <w:caps/>
          <w:szCs w:val="24"/>
          <w:u w:val="single"/>
        </w:rPr>
        <w:t>Statement of Compatibility with Human Rights</w:t>
      </w:r>
    </w:p>
    <w:bookmarkEnd w:id="10"/>
    <w:p w14:paraId="4F9F8E96" w14:textId="77777777" w:rsidR="00A55450" w:rsidRPr="005D1ABF" w:rsidRDefault="00A55450" w:rsidP="00A55450">
      <w:pPr>
        <w:jc w:val="center"/>
        <w:rPr>
          <w:rFonts w:cs="Times New Roman"/>
          <w:szCs w:val="24"/>
        </w:rPr>
      </w:pPr>
      <w:r w:rsidRPr="005D1ABF">
        <w:rPr>
          <w:rFonts w:cs="Times New Roman"/>
          <w:i/>
          <w:szCs w:val="24"/>
        </w:rPr>
        <w:t>Prepared in accordance with Part 3 of the Human Rights (Parliamentary Scrutiny) Act 2011</w:t>
      </w:r>
    </w:p>
    <w:p w14:paraId="372DF4BF" w14:textId="6EE58295" w:rsidR="00A55450" w:rsidRPr="005F5227" w:rsidRDefault="00A55450" w:rsidP="00A55450">
      <w:pPr>
        <w:jc w:val="center"/>
        <w:rPr>
          <w:rFonts w:cs="Times New Roman"/>
          <w:i/>
          <w:szCs w:val="24"/>
        </w:rPr>
      </w:pPr>
      <w:r w:rsidRPr="005F5227">
        <w:rPr>
          <w:rFonts w:cs="Times New Roman"/>
          <w:i/>
          <w:szCs w:val="24"/>
          <w:u w:val="single"/>
        </w:rPr>
        <w:t xml:space="preserve">Farm Household Support </w:t>
      </w:r>
      <w:r w:rsidR="00FE013E">
        <w:rPr>
          <w:rFonts w:cs="Times New Roman"/>
          <w:i/>
          <w:szCs w:val="24"/>
          <w:u w:val="single"/>
        </w:rPr>
        <w:t>Minister’s</w:t>
      </w:r>
      <w:r w:rsidRPr="005F5227">
        <w:rPr>
          <w:rFonts w:cs="Times New Roman"/>
          <w:i/>
          <w:szCs w:val="24"/>
          <w:u w:val="single"/>
        </w:rPr>
        <w:t xml:space="preserve"> Rule</w:t>
      </w:r>
      <w:r w:rsidR="00F34141">
        <w:rPr>
          <w:rFonts w:cs="Times New Roman"/>
          <w:i/>
          <w:szCs w:val="24"/>
          <w:u w:val="single"/>
        </w:rPr>
        <w:t>s</w:t>
      </w:r>
      <w:r w:rsidRPr="005F5227">
        <w:rPr>
          <w:rFonts w:cs="Times New Roman"/>
          <w:i/>
          <w:szCs w:val="24"/>
          <w:u w:val="single"/>
        </w:rPr>
        <w:t xml:space="preserve"> 2024</w:t>
      </w:r>
    </w:p>
    <w:p w14:paraId="79131E92" w14:textId="13B7CEF6" w:rsidR="00A55450" w:rsidRPr="005D1ABF" w:rsidRDefault="00A55450" w:rsidP="00A55450">
      <w:r w:rsidRPr="005D1ABF">
        <w:t xml:space="preserve">This </w:t>
      </w:r>
      <w:r>
        <w:t xml:space="preserve">legislative instrument </w:t>
      </w:r>
      <w:r w:rsidRPr="005D1ABF">
        <w:t xml:space="preserve">is compatible with the human rights and freedoms recognised or declared in the international instruments listed in section 3 of the </w:t>
      </w:r>
      <w:r w:rsidRPr="00F214B7">
        <w:rPr>
          <w:i/>
        </w:rPr>
        <w:t>Human Rights (Parliamentary Scrutiny) Act 2011</w:t>
      </w:r>
      <w:r>
        <w:t xml:space="preserve"> and advances certain of those rights.</w:t>
      </w:r>
    </w:p>
    <w:p w14:paraId="6D88C969" w14:textId="1C415619" w:rsidR="00A55450" w:rsidRPr="007524D9" w:rsidRDefault="00DA3A4B" w:rsidP="00176155">
      <w:pPr>
        <w:rPr>
          <w:bCs/>
        </w:rPr>
      </w:pPr>
      <w:r w:rsidRPr="00176155">
        <w:rPr>
          <w:b/>
          <w:bCs/>
        </w:rPr>
        <w:t>Bac</w:t>
      </w:r>
      <w:r w:rsidR="009909F3" w:rsidRPr="00176155">
        <w:rPr>
          <w:b/>
          <w:bCs/>
        </w:rPr>
        <w:t>k</w:t>
      </w:r>
      <w:r w:rsidRPr="00176155">
        <w:rPr>
          <w:b/>
          <w:bCs/>
        </w:rPr>
        <w:t>grou</w:t>
      </w:r>
      <w:r w:rsidR="009909F3" w:rsidRPr="00176155">
        <w:rPr>
          <w:b/>
          <w:bCs/>
        </w:rPr>
        <w:t>nd</w:t>
      </w:r>
    </w:p>
    <w:p w14:paraId="33A3C372" w14:textId="074683DF" w:rsidR="00A55450" w:rsidRDefault="00A55450" w:rsidP="00176155">
      <w:r>
        <w:t xml:space="preserve">The </w:t>
      </w:r>
      <w:r w:rsidRPr="00055030">
        <w:rPr>
          <w:i/>
        </w:rPr>
        <w:t>Farm Household Support Act 2014</w:t>
      </w:r>
      <w:r>
        <w:t xml:space="preserve"> (the </w:t>
      </w:r>
      <w:r w:rsidRPr="00055030">
        <w:rPr>
          <w:b/>
          <w:snapToGrid w:val="0"/>
        </w:rPr>
        <w:t>Act</w:t>
      </w:r>
      <w:r>
        <w:t>) provides for farm</w:t>
      </w:r>
      <w:r w:rsidR="000248B7">
        <w:t xml:space="preserve"> </w:t>
      </w:r>
      <w:r>
        <w:t>house</w:t>
      </w:r>
      <w:r w:rsidR="000248B7">
        <w:t>hold</w:t>
      </w:r>
      <w:r>
        <w:t xml:space="preserve"> allowance (</w:t>
      </w:r>
      <w:r w:rsidRPr="00055030">
        <w:rPr>
          <w:b/>
        </w:rPr>
        <w:t>FHA</w:t>
      </w:r>
      <w:r>
        <w:t xml:space="preserve">), </w:t>
      </w:r>
      <w:r w:rsidRPr="00F9400B">
        <w:t xml:space="preserve">an income support payment for </w:t>
      </w:r>
      <w:r w:rsidR="00552C66">
        <w:t xml:space="preserve">certain </w:t>
      </w:r>
      <w:r w:rsidR="00552C66" w:rsidRPr="00F9400B">
        <w:t xml:space="preserve">farmers and their partners who </w:t>
      </w:r>
      <w:r w:rsidR="00552C66">
        <w:t>need financial assistance</w:t>
      </w:r>
      <w:r w:rsidR="00552C66" w:rsidRPr="00DE43FF">
        <w:t>.</w:t>
      </w:r>
      <w:r w:rsidR="00552C66" w:rsidRPr="002A4B89">
        <w:t xml:space="preserve"> </w:t>
      </w:r>
      <w:r w:rsidR="00552C66">
        <w:t xml:space="preserve">The </w:t>
      </w:r>
      <w:r w:rsidR="00552C66">
        <w:rPr>
          <w:snapToGrid w:val="0"/>
        </w:rPr>
        <w:t>Act</w:t>
      </w:r>
      <w:r w:rsidR="00552C66">
        <w:t xml:space="preserve"> commenced on 1 July 2014.</w:t>
      </w:r>
    </w:p>
    <w:p w14:paraId="2C8DC176" w14:textId="71CCC43F" w:rsidR="00A55450" w:rsidRDefault="00A55450" w:rsidP="00176155">
      <w:r w:rsidRPr="00ED3E55">
        <w:t>FHA is aligned</w:t>
      </w:r>
      <w:r>
        <w:t>,</w:t>
      </w:r>
      <w:r w:rsidRPr="00ED3E55">
        <w:t xml:space="preserve"> where possible</w:t>
      </w:r>
      <w:r>
        <w:t>,</w:t>
      </w:r>
      <w:r w:rsidRPr="00ED3E55">
        <w:t xml:space="preserve"> with social security payments under soci</w:t>
      </w:r>
      <w:r>
        <w:t>al security law (</w:t>
      </w:r>
      <w:r w:rsidRPr="00ED3E55">
        <w:t xml:space="preserve">the </w:t>
      </w:r>
      <w:r w:rsidRPr="00ED3E55">
        <w:rPr>
          <w:i/>
        </w:rPr>
        <w:t>Social Security Act 1991</w:t>
      </w:r>
      <w:r w:rsidRPr="00ED3E55">
        <w:t xml:space="preserve"> </w:t>
      </w:r>
      <w:r w:rsidR="00515600">
        <w:t>(</w:t>
      </w:r>
      <w:r w:rsidR="00515600">
        <w:rPr>
          <w:b/>
        </w:rPr>
        <w:t>Social Security Act</w:t>
      </w:r>
      <w:r w:rsidR="00515600">
        <w:t xml:space="preserve">) </w:t>
      </w:r>
      <w:r w:rsidRPr="00ED3E55">
        <w:t xml:space="preserve">and the </w:t>
      </w:r>
      <w:r w:rsidRPr="00ED3E55">
        <w:rPr>
          <w:i/>
        </w:rPr>
        <w:t>Social Security (Administration) Act 1999</w:t>
      </w:r>
      <w:r w:rsidRPr="00ED3E55">
        <w:t>)</w:t>
      </w:r>
      <w:r w:rsidR="005D22D1">
        <w:t>)</w:t>
      </w:r>
      <w:r w:rsidR="00CF01BD">
        <w:t>,</w:t>
      </w:r>
      <w:r>
        <w:t xml:space="preserve"> </w:t>
      </w:r>
      <w:r w:rsidR="00AB426F">
        <w:t xml:space="preserve">and the </w:t>
      </w:r>
      <w:r w:rsidR="00AB426F" w:rsidRPr="00AB426F">
        <w:rPr>
          <w:i/>
          <w:iCs/>
        </w:rPr>
        <w:t>Social Security (International Agreements) Act 1999</w:t>
      </w:r>
      <w:r w:rsidR="00AB426F">
        <w:t xml:space="preserve">, </w:t>
      </w:r>
      <w:r w:rsidRPr="0033635C">
        <w:t>to achieve parity between recipients of the two kinds of social security payments.</w:t>
      </w:r>
    </w:p>
    <w:p w14:paraId="6D70668C" w14:textId="1DE85439" w:rsidR="00CC04FD" w:rsidRDefault="00A55450" w:rsidP="00176155">
      <w:r w:rsidRPr="002C1C02">
        <w:t xml:space="preserve">The </w:t>
      </w:r>
      <w:r w:rsidRPr="002C1C02">
        <w:rPr>
          <w:i/>
          <w:iCs/>
        </w:rPr>
        <w:t xml:space="preserve">Farm Household Support </w:t>
      </w:r>
      <w:r w:rsidR="005E78B7" w:rsidRPr="002C1C02">
        <w:rPr>
          <w:i/>
          <w:iCs/>
        </w:rPr>
        <w:t xml:space="preserve">Minister’s </w:t>
      </w:r>
      <w:r w:rsidRPr="002C1C02">
        <w:rPr>
          <w:i/>
          <w:iCs/>
        </w:rPr>
        <w:t>Rule 2014</w:t>
      </w:r>
      <w:r w:rsidRPr="002C1C02">
        <w:t xml:space="preserve"> (the </w:t>
      </w:r>
      <w:r w:rsidRPr="002C1C02">
        <w:rPr>
          <w:b/>
        </w:rPr>
        <w:t xml:space="preserve">2014 </w:t>
      </w:r>
      <w:r w:rsidR="00CF4335" w:rsidRPr="002C1C02">
        <w:rPr>
          <w:b/>
        </w:rPr>
        <w:t xml:space="preserve">Minister’s </w:t>
      </w:r>
      <w:r w:rsidR="00A925DE" w:rsidRPr="002C1C02">
        <w:rPr>
          <w:b/>
        </w:rPr>
        <w:t>R</w:t>
      </w:r>
      <w:r w:rsidRPr="002C1C02">
        <w:rPr>
          <w:b/>
        </w:rPr>
        <w:t>ule</w:t>
      </w:r>
      <w:r w:rsidRPr="002C1C02">
        <w:t xml:space="preserve">) sunsets on 1 October 2024. </w:t>
      </w:r>
      <w:r w:rsidR="00AF3504">
        <w:t>The Farm</w:t>
      </w:r>
      <w:r w:rsidR="007A7422">
        <w:t xml:space="preserve"> </w:t>
      </w:r>
      <w:r w:rsidR="00A872E8">
        <w:t>Household</w:t>
      </w:r>
      <w:r w:rsidR="007A7422">
        <w:t xml:space="preserve"> Minister’s Rules 2024 (the</w:t>
      </w:r>
      <w:r w:rsidR="007A7422" w:rsidRPr="00AD62B2">
        <w:rPr>
          <w:b/>
          <w:bCs/>
        </w:rPr>
        <w:t xml:space="preserve"> </w:t>
      </w:r>
      <w:r w:rsidR="007A7422" w:rsidRPr="00176155">
        <w:rPr>
          <w:b/>
          <w:bCs/>
        </w:rPr>
        <w:t>Rules</w:t>
      </w:r>
      <w:r w:rsidR="007A7422">
        <w:t>)</w:t>
      </w:r>
      <w:r w:rsidR="00D460E0">
        <w:t>:</w:t>
      </w:r>
    </w:p>
    <w:p w14:paraId="66C8B6C5" w14:textId="5A44D817" w:rsidR="00CC04FD" w:rsidRDefault="00CC04FD" w:rsidP="00176155">
      <w:pPr>
        <w:pStyle w:val="ListParagraph"/>
        <w:numPr>
          <w:ilvl w:val="0"/>
          <w:numId w:val="92"/>
        </w:numPr>
      </w:pPr>
      <w:r>
        <w:t>repeal the 2014 Minister’s Rule; and</w:t>
      </w:r>
    </w:p>
    <w:p w14:paraId="3D18868C" w14:textId="3699C62A" w:rsidR="00CC04FD" w:rsidRDefault="00CC04FD" w:rsidP="00176155">
      <w:pPr>
        <w:pStyle w:val="ListParagraph"/>
        <w:numPr>
          <w:ilvl w:val="0"/>
          <w:numId w:val="92"/>
        </w:numPr>
      </w:pPr>
      <w:r>
        <w:t xml:space="preserve">remake </w:t>
      </w:r>
      <w:r w:rsidR="00D460E0">
        <w:t xml:space="preserve">two </w:t>
      </w:r>
      <w:r>
        <w:t>measures in the 2014 Minister’s Rule</w:t>
      </w:r>
      <w:r w:rsidR="00C70D76">
        <w:t xml:space="preserve"> to</w:t>
      </w:r>
      <w:r>
        <w:t>:</w:t>
      </w:r>
    </w:p>
    <w:p w14:paraId="70EE80AC" w14:textId="4454101A" w:rsidR="00CC04FD" w:rsidRDefault="00C70D76" w:rsidP="00176155">
      <w:pPr>
        <w:pStyle w:val="ListParagraph"/>
        <w:numPr>
          <w:ilvl w:val="1"/>
          <w:numId w:val="93"/>
        </w:numPr>
      </w:pPr>
      <w:r>
        <w:t>prescribe</w:t>
      </w:r>
      <w:r w:rsidR="00CC04FD">
        <w:t xml:space="preserve"> the </w:t>
      </w:r>
      <w:r w:rsidR="00CC04FD" w:rsidRPr="00DC5CB4">
        <w:t>maximum</w:t>
      </w:r>
      <w:r w:rsidR="00CC04FD">
        <w:t xml:space="preserve"> amount of activity supplement (paragraph 82(1)(a) of the Act); and</w:t>
      </w:r>
    </w:p>
    <w:p w14:paraId="78B72771" w14:textId="3949FCDC" w:rsidR="00CC04FD" w:rsidRDefault="00C70D76" w:rsidP="00176155">
      <w:pPr>
        <w:pStyle w:val="ListParagraph"/>
        <w:numPr>
          <w:ilvl w:val="1"/>
          <w:numId w:val="93"/>
        </w:numPr>
      </w:pPr>
      <w:r>
        <w:t>prescribe</w:t>
      </w:r>
      <w:r w:rsidR="00CC04FD">
        <w:t xml:space="preserve"> the maximum amount of farm financial assessment supplement (paragraph 89(a) of the Act); and</w:t>
      </w:r>
    </w:p>
    <w:p w14:paraId="3DF7FE6F" w14:textId="1FC282E1" w:rsidR="00E73CD7" w:rsidRDefault="00E73CD7" w:rsidP="00176155">
      <w:pPr>
        <w:pStyle w:val="ListParagraph"/>
        <w:numPr>
          <w:ilvl w:val="0"/>
          <w:numId w:val="92"/>
        </w:numPr>
      </w:pPr>
      <w:r>
        <w:t xml:space="preserve">remake, in a modified way, the provisions in </w:t>
      </w:r>
      <w:r w:rsidR="00B20F1E">
        <w:t xml:space="preserve">the </w:t>
      </w:r>
      <w:r>
        <w:t xml:space="preserve">2014 Minister’s Rule that support the operation of the Act in respect of the income test and working out the rate of FHA for a person by clarifying the way in which, in specified circumstances, the person’s ordinary income for a tax year (calculated under Part 3.10 of the </w:t>
      </w:r>
      <w:r w:rsidRPr="00367B32">
        <w:t>Social Security Act</w:t>
      </w:r>
      <w:r>
        <w:t xml:space="preserve">) is to be reduced by reference to </w:t>
      </w:r>
      <w:r w:rsidR="00C041A2">
        <w:t xml:space="preserve">the overall operating </w:t>
      </w:r>
      <w:r>
        <w:t xml:space="preserve">loss </w:t>
      </w:r>
      <w:r w:rsidR="00C041A2">
        <w:t xml:space="preserve">from a farm enterprise </w:t>
      </w:r>
      <w:r>
        <w:t xml:space="preserve">and </w:t>
      </w:r>
      <w:r w:rsidR="00C041A2">
        <w:t xml:space="preserve"> any</w:t>
      </w:r>
      <w:r>
        <w:t xml:space="preserve"> related business (section 67 of the Act).</w:t>
      </w:r>
    </w:p>
    <w:p w14:paraId="313BD846" w14:textId="40003DB8" w:rsidR="009575C3" w:rsidRPr="007524D9" w:rsidRDefault="00A55450" w:rsidP="00176155">
      <w:pPr>
        <w:rPr>
          <w:bCs/>
        </w:rPr>
      </w:pPr>
      <w:r w:rsidRPr="00176155">
        <w:rPr>
          <w:b/>
          <w:bCs/>
        </w:rPr>
        <w:t>Human rights implications</w:t>
      </w:r>
    </w:p>
    <w:p w14:paraId="46DAD83E" w14:textId="1B2A43F8" w:rsidR="00A55450" w:rsidRDefault="00570B47" w:rsidP="00176155">
      <w:r>
        <w:t>The relevant</w:t>
      </w:r>
      <w:r w:rsidRPr="00993F3E">
        <w:t xml:space="preserve"> </w:t>
      </w:r>
      <w:r w:rsidR="00A55450" w:rsidRPr="00993F3E">
        <w:t xml:space="preserve">aspects of the </w:t>
      </w:r>
      <w:r w:rsidR="00A55450">
        <w:rPr>
          <w:snapToGrid w:val="0"/>
        </w:rPr>
        <w:t>Act</w:t>
      </w:r>
      <w:r w:rsidR="00A55450">
        <w:t xml:space="preserve"> </w:t>
      </w:r>
      <w:r w:rsidR="00A55450" w:rsidRPr="00993F3E">
        <w:t xml:space="preserve">were assessed </w:t>
      </w:r>
      <w:r w:rsidR="00A55450">
        <w:t>as</w:t>
      </w:r>
      <w:r w:rsidR="00A55450" w:rsidRPr="00993F3E">
        <w:t xml:space="preserve"> engag</w:t>
      </w:r>
      <w:r w:rsidR="00A55450">
        <w:t>ing</w:t>
      </w:r>
      <w:r w:rsidR="00A55450" w:rsidRPr="00993F3E">
        <w:t xml:space="preserve"> human rights and freedoms recognised or declared in the international instruments listed in section 3 of the </w:t>
      </w:r>
      <w:r w:rsidR="00A55450" w:rsidRPr="00ED5DC1">
        <w:rPr>
          <w:i/>
        </w:rPr>
        <w:t>Human Rights (Parliamentary Scrutiny) Act 2011</w:t>
      </w:r>
      <w:r w:rsidR="00A55450">
        <w:rPr>
          <w:iCs/>
        </w:rPr>
        <w:t xml:space="preserve">, as set out in the Explanatory Memorandum to the Bill for </w:t>
      </w:r>
      <w:r w:rsidR="004821EE">
        <w:rPr>
          <w:iCs/>
        </w:rPr>
        <w:t xml:space="preserve">the </w:t>
      </w:r>
      <w:r w:rsidR="00A55450">
        <w:rPr>
          <w:iCs/>
        </w:rPr>
        <w:t>Act</w:t>
      </w:r>
      <w:r w:rsidR="00A55450" w:rsidRPr="00993F3E">
        <w:t xml:space="preserve">. </w:t>
      </w:r>
      <w:r w:rsidR="00A55450">
        <w:t>That assessment concluded that the Act, and the FHA arrangements overall, were consistent with, and promoted, the human rights engaged, and that any purported limitations on those rights were reasonable, necessary, proportionate and objectively based.</w:t>
      </w:r>
    </w:p>
    <w:p w14:paraId="54A69BFD" w14:textId="28233DDC" w:rsidR="00A55450" w:rsidRPr="002C1C02" w:rsidRDefault="00A55450" w:rsidP="00176155">
      <w:r w:rsidRPr="002C1C02">
        <w:t xml:space="preserve">To the extent that the </w:t>
      </w:r>
      <w:r w:rsidR="00A522F2" w:rsidRPr="002C1C02">
        <w:t>Rules</w:t>
      </w:r>
      <w:r w:rsidRPr="002C1C02">
        <w:t xml:space="preserve"> remake provisions </w:t>
      </w:r>
      <w:r w:rsidR="001D5485">
        <w:t>of</w:t>
      </w:r>
      <w:r w:rsidRPr="002C1C02">
        <w:t xml:space="preserve"> the 2014</w:t>
      </w:r>
      <w:r w:rsidR="00A522F2" w:rsidRPr="002C1C02">
        <w:t xml:space="preserve"> </w:t>
      </w:r>
      <w:r w:rsidR="00A47F53" w:rsidRPr="002C1C02">
        <w:t xml:space="preserve">Minister’s </w:t>
      </w:r>
      <w:r w:rsidR="00A522F2" w:rsidRPr="002C1C02">
        <w:t>R</w:t>
      </w:r>
      <w:r w:rsidRPr="002C1C02">
        <w:t xml:space="preserve">ule in </w:t>
      </w:r>
      <w:r w:rsidR="00FC5E1B">
        <w:t>its</w:t>
      </w:r>
      <w:r w:rsidRPr="002C1C02">
        <w:t xml:space="preserve"> current formulation, those provisions are assessed as compatible with human rights</w:t>
      </w:r>
      <w:r w:rsidR="004960B3">
        <w:t>,</w:t>
      </w:r>
      <w:r w:rsidR="004960B3" w:rsidRPr="004960B3">
        <w:t xml:space="preserve"> </w:t>
      </w:r>
      <w:r w:rsidR="004960B3">
        <w:t>noting also that</w:t>
      </w:r>
      <w:r w:rsidR="004960B3" w:rsidRPr="00351D21">
        <w:t xml:space="preserve"> </w:t>
      </w:r>
      <w:r w:rsidR="004960B3" w:rsidRPr="00351D21">
        <w:lastRenderedPageBreak/>
        <w:t xml:space="preserve">the Parliamentary Joint Committee on Human Rights </w:t>
      </w:r>
      <w:r w:rsidR="0006564A">
        <w:t>did</w:t>
      </w:r>
      <w:r w:rsidR="0006564A" w:rsidRPr="00351D21">
        <w:t xml:space="preserve"> </w:t>
      </w:r>
      <w:r w:rsidR="004960B3" w:rsidRPr="00351D21">
        <w:t xml:space="preserve">not to raise any human rights concerns (see </w:t>
      </w:r>
      <w:r w:rsidR="004960B3" w:rsidRPr="00351D21">
        <w:rPr>
          <w:i/>
          <w:iCs/>
        </w:rPr>
        <w:t>Ninth Report of the 44th Parliament</w:t>
      </w:r>
      <w:r w:rsidR="004960B3" w:rsidRPr="00351D21">
        <w:t xml:space="preserve"> [July 2014] at page 176).</w:t>
      </w:r>
    </w:p>
    <w:p w14:paraId="16BB0E1B" w14:textId="3AC1DFFB" w:rsidR="00A55450" w:rsidRDefault="00A55450" w:rsidP="00176155">
      <w:r>
        <w:t xml:space="preserve">The </w:t>
      </w:r>
      <w:r w:rsidR="00467EE6">
        <w:t xml:space="preserve">changes to the </w:t>
      </w:r>
      <w:r w:rsidR="00A0457F">
        <w:t>2014 Minister’s Rules in respect of the</w:t>
      </w:r>
      <w:r w:rsidR="00A0457F" w:rsidRPr="00A0457F">
        <w:t xml:space="preserve"> way, in specified circumstances, </w:t>
      </w:r>
      <w:r w:rsidR="00A0457F">
        <w:t>a</w:t>
      </w:r>
      <w:r w:rsidR="00A0457F" w:rsidRPr="00A0457F">
        <w:t xml:space="preserve"> person’s ordinary income for a tax year is to be reduced by reference to </w:t>
      </w:r>
      <w:r w:rsidR="004D4AFC">
        <w:t xml:space="preserve">a </w:t>
      </w:r>
      <w:r w:rsidR="00A0457F" w:rsidRPr="00A0457F">
        <w:t xml:space="preserve">loss in </w:t>
      </w:r>
      <w:r w:rsidR="00C8753F">
        <w:t xml:space="preserve">the farm enterprise and </w:t>
      </w:r>
      <w:r w:rsidR="00A0457F" w:rsidRPr="00A0457F">
        <w:t xml:space="preserve">related business </w:t>
      </w:r>
      <w:r>
        <w:t>engage, and potentially promote, the following human rights:</w:t>
      </w:r>
    </w:p>
    <w:p w14:paraId="2118E971" w14:textId="31C5D1E8" w:rsidR="00A55450" w:rsidRPr="005E0198" w:rsidRDefault="00A55450" w:rsidP="00176155">
      <w:pPr>
        <w:pStyle w:val="ListParagraph"/>
        <w:numPr>
          <w:ilvl w:val="0"/>
          <w:numId w:val="94"/>
        </w:numPr>
      </w:pPr>
      <w:r>
        <w:t xml:space="preserve">the </w:t>
      </w:r>
      <w:r w:rsidRPr="005E0198">
        <w:t>right to an adequate standard of living, including food, water, and housing</w:t>
      </w:r>
      <w:r>
        <w:t>—</w:t>
      </w:r>
      <w:r w:rsidR="00CF01BD" w:rsidRPr="00BA5C77">
        <w:t>Article</w:t>
      </w:r>
      <w:r w:rsidR="00CF01BD" w:rsidRPr="005E0198">
        <w:t xml:space="preserve"> 11(1)</w:t>
      </w:r>
      <w:r w:rsidR="00CF01BD">
        <w:t xml:space="preserve"> of the </w:t>
      </w:r>
      <w:r w:rsidRPr="001A5140">
        <w:rPr>
          <w:i/>
          <w:iCs/>
        </w:rPr>
        <w:t>International Covenant on Economic, Social and Cultural Rights</w:t>
      </w:r>
      <w:r w:rsidRPr="00360F5B">
        <w:t xml:space="preserve"> (</w:t>
      </w:r>
      <w:r w:rsidRPr="001A5140">
        <w:rPr>
          <w:b/>
        </w:rPr>
        <w:t>ICESCR</w:t>
      </w:r>
      <w:proofErr w:type="gramStart"/>
      <w:r w:rsidRPr="00360F5B">
        <w:t>)</w:t>
      </w:r>
      <w:r>
        <w:t>;</w:t>
      </w:r>
      <w:proofErr w:type="gramEnd"/>
    </w:p>
    <w:p w14:paraId="53C06067" w14:textId="574D5D9B" w:rsidR="00A55450" w:rsidRDefault="00A55450" w:rsidP="00176155">
      <w:pPr>
        <w:pStyle w:val="ListParagraph"/>
        <w:numPr>
          <w:ilvl w:val="0"/>
          <w:numId w:val="94"/>
        </w:numPr>
      </w:pPr>
      <w:r>
        <w:t xml:space="preserve">the </w:t>
      </w:r>
      <w:r w:rsidRPr="005E0198">
        <w:t>right to work</w:t>
      </w:r>
      <w:r>
        <w:t>,</w:t>
      </w:r>
      <w:r w:rsidRPr="005E0198">
        <w:t xml:space="preserve"> and rights</w:t>
      </w:r>
      <w:r>
        <w:t xml:space="preserve"> at</w:t>
      </w:r>
      <w:r w:rsidRPr="005E0198">
        <w:t xml:space="preserve"> work</w:t>
      </w:r>
      <w:r>
        <w:t>—A</w:t>
      </w:r>
      <w:r w:rsidRPr="005E0198">
        <w:t>rticle</w:t>
      </w:r>
      <w:r w:rsidR="00CF01BD">
        <w:t>s</w:t>
      </w:r>
      <w:r w:rsidRPr="005E0198">
        <w:t xml:space="preserve"> 6(1)</w:t>
      </w:r>
      <w:r>
        <w:t>, 6(2) and 7(1)</w:t>
      </w:r>
      <w:r w:rsidR="00CF01BD">
        <w:t xml:space="preserve"> of the</w:t>
      </w:r>
      <w:r w:rsidR="00CF01BD" w:rsidRPr="00CF01BD">
        <w:t xml:space="preserve"> </w:t>
      </w:r>
      <w:proofErr w:type="gramStart"/>
      <w:r w:rsidR="00CF01BD" w:rsidRPr="005E0198">
        <w:t>ICESCR</w:t>
      </w:r>
      <w:r w:rsidR="00CF01BD">
        <w:t>;</w:t>
      </w:r>
      <w:proofErr w:type="gramEnd"/>
    </w:p>
    <w:p w14:paraId="163F2CC8" w14:textId="5ED7891D" w:rsidR="00A55450" w:rsidRPr="00307E35" w:rsidRDefault="00A55450" w:rsidP="00176155">
      <w:pPr>
        <w:pStyle w:val="ListParagraph"/>
        <w:numPr>
          <w:ilvl w:val="0"/>
          <w:numId w:val="94"/>
        </w:numPr>
      </w:pPr>
      <w:r w:rsidRPr="00307E35">
        <w:t>the right to respect for the family—</w:t>
      </w:r>
      <w:r w:rsidR="00CF01BD" w:rsidRPr="00307E35">
        <w:t>Article 23</w:t>
      </w:r>
      <w:r w:rsidR="003B3B3F" w:rsidRPr="00307E35">
        <w:t xml:space="preserve"> </w:t>
      </w:r>
      <w:r w:rsidR="00CF01BD" w:rsidRPr="00307E35">
        <w:t xml:space="preserve">of the </w:t>
      </w:r>
      <w:r w:rsidRPr="001A5140">
        <w:rPr>
          <w:i/>
          <w:iCs/>
        </w:rPr>
        <w:t>International Covenant on Civil and Political Rights</w:t>
      </w:r>
      <w:r w:rsidRPr="00307E35">
        <w:t xml:space="preserve"> (</w:t>
      </w:r>
      <w:r w:rsidRPr="001A5140">
        <w:rPr>
          <w:b/>
        </w:rPr>
        <w:t>ICCPR</w:t>
      </w:r>
      <w:proofErr w:type="gramStart"/>
      <w:r w:rsidRPr="00307E35">
        <w:t>);</w:t>
      </w:r>
      <w:proofErr w:type="gramEnd"/>
    </w:p>
    <w:p w14:paraId="400D1C8E" w14:textId="6C0550FF" w:rsidR="00A55450" w:rsidRPr="00307E35" w:rsidRDefault="00A55450" w:rsidP="00176155">
      <w:pPr>
        <w:pStyle w:val="ListParagraph"/>
        <w:numPr>
          <w:ilvl w:val="0"/>
          <w:numId w:val="94"/>
        </w:numPr>
      </w:pPr>
      <w:r w:rsidRPr="00307E35">
        <w:t>the right to social security—</w:t>
      </w:r>
      <w:r w:rsidR="00CF01BD" w:rsidRPr="00307E35">
        <w:t xml:space="preserve">Article 9 of the </w:t>
      </w:r>
      <w:r w:rsidRPr="00307E35">
        <w:t>ICESCR</w:t>
      </w:r>
      <w:r w:rsidR="00A0457F" w:rsidRPr="00307E35">
        <w:t>.</w:t>
      </w:r>
    </w:p>
    <w:p w14:paraId="644615EC" w14:textId="77777777" w:rsidR="00A55450" w:rsidRPr="007524D9" w:rsidRDefault="00A55450" w:rsidP="00176155">
      <w:pPr>
        <w:rPr>
          <w:bCs/>
        </w:rPr>
      </w:pPr>
      <w:r w:rsidRPr="00176155">
        <w:rPr>
          <w:b/>
          <w:bCs/>
        </w:rPr>
        <w:t>The right to an adequate standard of living</w:t>
      </w:r>
    </w:p>
    <w:p w14:paraId="6FC3E7B5" w14:textId="77777777" w:rsidR="00A55450" w:rsidRPr="00592F15" w:rsidRDefault="00A55450" w:rsidP="00592F15">
      <w:r w:rsidRPr="00592F15">
        <w:t>Article 11(1) of the ICESCR recognises the right to an adequate standard of living, including food, water, and housing.</w:t>
      </w:r>
    </w:p>
    <w:p w14:paraId="427CFB2D" w14:textId="14676BF3" w:rsidR="00DC68D0" w:rsidRDefault="00A71816" w:rsidP="00592F15">
      <w:r w:rsidRPr="00592F15">
        <w:t xml:space="preserve">Part 2 </w:t>
      </w:r>
      <w:r w:rsidR="00EA221A" w:rsidRPr="00592F15">
        <w:t xml:space="preserve">of the Rules </w:t>
      </w:r>
      <w:r w:rsidR="00E55800" w:rsidRPr="00592F15">
        <w:t>(Rate of</w:t>
      </w:r>
      <w:r w:rsidR="00E55800" w:rsidRPr="00E55800">
        <w:t xml:space="preserve"> farm household allowance—allowable deductions from ordinary income</w:t>
      </w:r>
      <w:r w:rsidR="00E55800">
        <w:t>)</w:t>
      </w:r>
      <w:r w:rsidR="00E55800" w:rsidRPr="00E55800">
        <w:t xml:space="preserve"> </w:t>
      </w:r>
      <w:r w:rsidR="00A55450" w:rsidRPr="00467EE6">
        <w:t>engage</w:t>
      </w:r>
      <w:r w:rsidR="00CE3E13">
        <w:t>s</w:t>
      </w:r>
      <w:r w:rsidR="00A55450" w:rsidRPr="003732F3">
        <w:t xml:space="preserve"> and advance</w:t>
      </w:r>
      <w:r w:rsidR="00CE3E13">
        <w:t>s</w:t>
      </w:r>
      <w:r w:rsidR="00A55450" w:rsidRPr="003732F3">
        <w:t xml:space="preserve"> the right to an adequate standard of living</w:t>
      </w:r>
      <w:r w:rsidR="00C6284D">
        <w:t xml:space="preserve">. It recognises that </w:t>
      </w:r>
      <w:r w:rsidR="004D4AFC">
        <w:t xml:space="preserve">a </w:t>
      </w:r>
      <w:r w:rsidR="00C6284D">
        <w:t>business loss (including</w:t>
      </w:r>
      <w:r w:rsidR="00DB02A2">
        <w:t xml:space="preserve"> those</w:t>
      </w:r>
      <w:r w:rsidR="00C6284D">
        <w:t xml:space="preserve"> from farm-related businesses) </w:t>
      </w:r>
      <w:r w:rsidR="00687FC7">
        <w:t>affect</w:t>
      </w:r>
      <w:r w:rsidR="00076D34">
        <w:t>s</w:t>
      </w:r>
      <w:r w:rsidR="00687FC7">
        <w:t xml:space="preserve"> FHA recipients’ standard of living, and </w:t>
      </w:r>
      <w:r w:rsidR="000A0785">
        <w:t xml:space="preserve">expressly provides for </w:t>
      </w:r>
      <w:r w:rsidR="00E833EB">
        <w:t>the overall operating</w:t>
      </w:r>
      <w:r w:rsidR="006F7C91">
        <w:t xml:space="preserve"> loss </w:t>
      </w:r>
      <w:r w:rsidR="000A0785">
        <w:t xml:space="preserve">to be </w:t>
      </w:r>
      <w:proofErr w:type="gramStart"/>
      <w:r w:rsidR="000A0785">
        <w:t>taken into account</w:t>
      </w:r>
      <w:proofErr w:type="gramEnd"/>
      <w:r w:rsidR="000A0785">
        <w:t xml:space="preserve"> in </w:t>
      </w:r>
      <w:r w:rsidR="00DC68D0">
        <w:t>determining access to, and the amount of, FHA for farmers and their partners.</w:t>
      </w:r>
      <w:r w:rsidR="00277A09" w:rsidRPr="00277A09">
        <w:t xml:space="preserve"> </w:t>
      </w:r>
      <w:r w:rsidR="00277A09">
        <w:t>The effect of this</w:t>
      </w:r>
      <w:r w:rsidR="00FC652B">
        <w:t xml:space="preserve"> provision</w:t>
      </w:r>
      <w:r w:rsidR="00277A09">
        <w:t xml:space="preserve"> is to ensure that a person’s rate of payment accurately reflects the money available to that person for their self-support. This setting recognises that </w:t>
      </w:r>
      <w:r w:rsidR="009C7518">
        <w:t xml:space="preserve">farming </w:t>
      </w:r>
      <w:r w:rsidR="0082252E">
        <w:t>enterprises</w:t>
      </w:r>
      <w:r w:rsidR="009C7518">
        <w:t xml:space="preserve"> experience many volatilities and </w:t>
      </w:r>
      <w:r w:rsidR="00277A09">
        <w:t>farmers experiencing financial hardship often rely on off-farm income to support the farm enterprise</w:t>
      </w:r>
      <w:r w:rsidR="008D3BBC">
        <w:t>. The right</w:t>
      </w:r>
      <w:r w:rsidR="005A01FB">
        <w:t xml:space="preserve"> to an adequate standard of living</w:t>
      </w:r>
      <w:r w:rsidR="008D3BBC">
        <w:t xml:space="preserve"> is also argu</w:t>
      </w:r>
      <w:r w:rsidR="00962CF0">
        <w:t>ably</w:t>
      </w:r>
      <w:r w:rsidR="0012079F">
        <w:t xml:space="preserve"> promoted</w:t>
      </w:r>
      <w:r w:rsidR="00CE163E">
        <w:t xml:space="preserve">, </w:t>
      </w:r>
      <w:r w:rsidR="00FB6B94">
        <w:t xml:space="preserve">by enabling </w:t>
      </w:r>
      <w:r w:rsidR="008A7F73">
        <w:t>people to engage in paid employment as well as</w:t>
      </w:r>
      <w:r w:rsidR="0087290A">
        <w:t xml:space="preserve"> running the farm </w:t>
      </w:r>
      <w:r w:rsidR="0082252E">
        <w:t>enterprise</w:t>
      </w:r>
      <w:r w:rsidR="0012079F">
        <w:t>, which</w:t>
      </w:r>
      <w:r w:rsidR="00A079BF">
        <w:t>,</w:t>
      </w:r>
      <w:r w:rsidR="0012079F">
        <w:t xml:space="preserve"> in turn</w:t>
      </w:r>
      <w:r w:rsidR="00A079BF">
        <w:t>,</w:t>
      </w:r>
      <w:r w:rsidR="0012079F">
        <w:t xml:space="preserve"> supports</w:t>
      </w:r>
      <w:r w:rsidR="00A079BF">
        <w:t xml:space="preserve"> </w:t>
      </w:r>
      <w:r w:rsidR="00A10CDD">
        <w:t>activities which improve wellbeing outcomes.</w:t>
      </w:r>
    </w:p>
    <w:p w14:paraId="17C01AC2" w14:textId="5EA5054B" w:rsidR="00070870" w:rsidRDefault="00B82F00" w:rsidP="00176155">
      <w:r>
        <w:t xml:space="preserve">The </w:t>
      </w:r>
      <w:r w:rsidR="007F7995">
        <w:t>Rules</w:t>
      </w:r>
      <w:r w:rsidR="006D2225">
        <w:t xml:space="preserve"> </w:t>
      </w:r>
      <w:r w:rsidR="008A208E">
        <w:t>insert</w:t>
      </w:r>
      <w:r w:rsidR="00B730A8">
        <w:t xml:space="preserve"> </w:t>
      </w:r>
      <w:r w:rsidR="004F2E8E">
        <w:t>the same</w:t>
      </w:r>
      <w:r w:rsidR="00680C75">
        <w:t xml:space="preserve"> </w:t>
      </w:r>
      <w:r w:rsidR="0088487A" w:rsidRPr="008E0103">
        <w:t>limits</w:t>
      </w:r>
      <w:r w:rsidR="00680C75" w:rsidRPr="008E0103">
        <w:t xml:space="preserve"> </w:t>
      </w:r>
      <w:r w:rsidR="004F2E8E" w:rsidRPr="008E0103">
        <w:t>for</w:t>
      </w:r>
      <w:r w:rsidR="0093505B">
        <w:t xml:space="preserve"> </w:t>
      </w:r>
      <w:r w:rsidR="004D4AFC">
        <w:t xml:space="preserve">the </w:t>
      </w:r>
      <w:r w:rsidR="0093505B">
        <w:t>available loss that applied under</w:t>
      </w:r>
      <w:r>
        <w:t xml:space="preserve"> the 2014 Minister’s </w:t>
      </w:r>
      <w:r w:rsidR="00C846CB">
        <w:t>Rule</w:t>
      </w:r>
      <w:r w:rsidR="004F2E8E">
        <w:t>.</w:t>
      </w:r>
      <w:r w:rsidR="001A5140">
        <w:t xml:space="preserve"> </w:t>
      </w:r>
      <w:r w:rsidR="00C846CB">
        <w:t>This is</w:t>
      </w:r>
      <w:r w:rsidR="009852DA">
        <w:t xml:space="preserve"> a</w:t>
      </w:r>
      <w:r w:rsidR="00C846CB">
        <w:t xml:space="preserve"> </w:t>
      </w:r>
      <w:r w:rsidR="00A55450">
        <w:t>reasonable and proportionate</w:t>
      </w:r>
      <w:r w:rsidR="003539ED">
        <w:t xml:space="preserve"> approach having regard to the </w:t>
      </w:r>
      <w:r w:rsidR="00280668">
        <w:t xml:space="preserve">broader </w:t>
      </w:r>
      <w:r w:rsidR="003539ED">
        <w:t>policy objective</w:t>
      </w:r>
      <w:r w:rsidR="00A55450">
        <w:t xml:space="preserve"> as </w:t>
      </w:r>
      <w:r w:rsidR="00C846CB">
        <w:t xml:space="preserve">it </w:t>
      </w:r>
      <w:r w:rsidR="00A55450">
        <w:t>support</w:t>
      </w:r>
      <w:r w:rsidR="00C846CB">
        <w:t>s</w:t>
      </w:r>
      <w:r w:rsidR="00A55450">
        <w:t xml:space="preserve"> and underpin</w:t>
      </w:r>
      <w:r w:rsidR="00C846CB">
        <w:t>s</w:t>
      </w:r>
      <w:r w:rsidR="00A55450" w:rsidRPr="00D67C09">
        <w:t xml:space="preserve"> the legitimate purpose of the Act</w:t>
      </w:r>
      <w:r w:rsidR="00C846CB">
        <w:t xml:space="preserve"> and </w:t>
      </w:r>
      <w:r w:rsidR="00070870">
        <w:t>assists in ensuring that the FHA arrangements continue to be sustainable</w:t>
      </w:r>
      <w:r w:rsidR="005B2D37">
        <w:t xml:space="preserve"> </w:t>
      </w:r>
      <w:r w:rsidR="002A3CD2">
        <w:t xml:space="preserve">and can respond to </w:t>
      </w:r>
      <w:r w:rsidR="00DB302C">
        <w:t xml:space="preserve">the </w:t>
      </w:r>
      <w:r w:rsidR="002A3CD2">
        <w:t>collective</w:t>
      </w:r>
      <w:r w:rsidR="004F65F9">
        <w:t xml:space="preserve"> financia</w:t>
      </w:r>
      <w:r w:rsidR="00DB302C">
        <w:t>l needs of</w:t>
      </w:r>
      <w:r w:rsidR="0036497B">
        <w:t xml:space="preserve"> farmers and their partners</w:t>
      </w:r>
      <w:r w:rsidR="002A3CD2">
        <w:t xml:space="preserve"> who access the scheme.</w:t>
      </w:r>
    </w:p>
    <w:p w14:paraId="0A253440" w14:textId="77777777" w:rsidR="00A55450" w:rsidRPr="007524D9" w:rsidRDefault="00A55450" w:rsidP="00176155">
      <w:pPr>
        <w:rPr>
          <w:bCs/>
        </w:rPr>
      </w:pPr>
      <w:r w:rsidRPr="00176155">
        <w:rPr>
          <w:b/>
          <w:bCs/>
        </w:rPr>
        <w:t>The right to work and rights at work</w:t>
      </w:r>
    </w:p>
    <w:p w14:paraId="18A578E0" w14:textId="1E034A29" w:rsidR="00744586" w:rsidRDefault="00A55450" w:rsidP="00176155">
      <w:r w:rsidRPr="00CA427E">
        <w:t>Article 6</w:t>
      </w:r>
      <w:r>
        <w:t>(1)</w:t>
      </w:r>
      <w:r w:rsidRPr="00CA427E">
        <w:t xml:space="preserve"> of the ICESCR recognises “</w:t>
      </w:r>
      <w:r w:rsidRPr="00C64B8C">
        <w:t>the right to work, which includes the right of everyone to the opportunity to gain his living by work which he freely chooses or accepts</w:t>
      </w:r>
      <w:r>
        <w:t>…”.</w:t>
      </w:r>
    </w:p>
    <w:p w14:paraId="50523432" w14:textId="1406AE78" w:rsidR="00A55450" w:rsidRDefault="00A55450" w:rsidP="00176155">
      <w:r w:rsidRPr="00A15710">
        <w:rPr>
          <w:shd w:val="clear" w:color="auto" w:fill="FFFFFF"/>
        </w:rPr>
        <w:t xml:space="preserve">Article 6(2) </w:t>
      </w:r>
      <w:r w:rsidR="005559E1">
        <w:rPr>
          <w:shd w:val="clear" w:color="auto" w:fill="FFFFFF"/>
        </w:rPr>
        <w:t xml:space="preserve">of the ICESCR </w:t>
      </w:r>
      <w:r w:rsidRPr="00A15710">
        <w:rPr>
          <w:shd w:val="clear" w:color="auto" w:fill="FFFFFF"/>
        </w:rPr>
        <w:t>sets out the steps to be taken by State</w:t>
      </w:r>
      <w:r w:rsidR="009F1584">
        <w:rPr>
          <w:shd w:val="clear" w:color="auto" w:fill="FFFFFF"/>
        </w:rPr>
        <w:t>s</w:t>
      </w:r>
      <w:r w:rsidRPr="00A15710">
        <w:rPr>
          <w:shd w:val="clear" w:color="auto" w:fill="FFFFFF"/>
        </w:rPr>
        <w:t xml:space="preserve"> Parties to achieve full realisation of that right, including providing technical and vocational guidance and training programs, policies, and techniques to achieve steady economic, </w:t>
      </w:r>
      <w:r w:rsidRPr="00D21D93">
        <w:rPr>
          <w:shd w:val="clear" w:color="auto" w:fill="FFFFFF"/>
        </w:rPr>
        <w:t>social,</w:t>
      </w:r>
      <w:r w:rsidRPr="00A15710">
        <w:rPr>
          <w:shd w:val="clear" w:color="auto" w:fill="FFFFFF"/>
        </w:rPr>
        <w:t xml:space="preserve"> and cultural development and full and productive employment.</w:t>
      </w:r>
    </w:p>
    <w:p w14:paraId="47FB2BFB" w14:textId="5BF92671" w:rsidR="00812CDD" w:rsidRDefault="004060E9" w:rsidP="00176155">
      <w:r>
        <w:t xml:space="preserve">The </w:t>
      </w:r>
      <w:r w:rsidR="008425CA">
        <w:t xml:space="preserve">Act provides for the payment of activity supplement to </w:t>
      </w:r>
      <w:r w:rsidR="001E6E40">
        <w:t xml:space="preserve">support </w:t>
      </w:r>
      <w:r w:rsidR="008425CA">
        <w:t xml:space="preserve">farmers </w:t>
      </w:r>
      <w:r w:rsidR="0019228C">
        <w:t xml:space="preserve">undertaking activities to improve </w:t>
      </w:r>
      <w:r w:rsidR="009C7518" w:rsidRPr="009C7518">
        <w:t>the skills and expertise that the farmer recipient can draw on to continue to work the farm enterprise</w:t>
      </w:r>
      <w:r w:rsidR="009C7518" w:rsidRPr="0019228C">
        <w:t xml:space="preserve"> </w:t>
      </w:r>
      <w:r w:rsidR="009C7518">
        <w:t xml:space="preserve">and their </w:t>
      </w:r>
      <w:r w:rsidR="0019228C" w:rsidRPr="0019228C">
        <w:t>capacity for self-reliance</w:t>
      </w:r>
      <w:r w:rsidR="005263BB">
        <w:t>.</w:t>
      </w:r>
    </w:p>
    <w:p w14:paraId="287C006A" w14:textId="437D7229" w:rsidR="008E0103" w:rsidRDefault="000A7A4C" w:rsidP="00105F92">
      <w:pPr>
        <w:rPr>
          <w:rFonts w:eastAsia="Times New Roman"/>
          <w:color w:val="000000"/>
          <w:sz w:val="14"/>
          <w:szCs w:val="14"/>
          <w:lang w:eastAsia="en-AU"/>
        </w:rPr>
      </w:pPr>
      <w:r>
        <w:lastRenderedPageBreak/>
        <w:t>Section 9 of the</w:t>
      </w:r>
      <w:r w:rsidR="004102A4">
        <w:t xml:space="preserve"> </w:t>
      </w:r>
      <w:r w:rsidR="0082711C">
        <w:t>Rules</w:t>
      </w:r>
      <w:r w:rsidR="008A002E">
        <w:t xml:space="preserve"> sets the maximum amount of </w:t>
      </w:r>
      <w:r w:rsidR="00B87383">
        <w:t xml:space="preserve">the </w:t>
      </w:r>
      <w:r w:rsidR="008A002E">
        <w:t>activity supplemen</w:t>
      </w:r>
      <w:r w:rsidR="00D05342">
        <w:t>t. This</w:t>
      </w:r>
      <w:r w:rsidR="003F61E9">
        <w:t xml:space="preserve"> constitutes an additional amount of support</w:t>
      </w:r>
      <w:r w:rsidR="00B87383">
        <w:t>, not available in other</w:t>
      </w:r>
      <w:r w:rsidR="003F61E9">
        <w:t xml:space="preserve"> </w:t>
      </w:r>
      <w:r w:rsidR="005D5BA6">
        <w:t xml:space="preserve">mainstream </w:t>
      </w:r>
      <w:r w:rsidR="00F932EF">
        <w:t xml:space="preserve">social security programs. The activity supplement </w:t>
      </w:r>
      <w:r w:rsidR="004102A4">
        <w:t xml:space="preserve">promotes </w:t>
      </w:r>
      <w:r w:rsidR="00F932EF">
        <w:t>the right to work as it</w:t>
      </w:r>
      <w:r w:rsidR="003571B2">
        <w:t xml:space="preserve"> </w:t>
      </w:r>
      <w:r w:rsidR="00890601" w:rsidRPr="00890601">
        <w:t xml:space="preserve">supports the commercial </w:t>
      </w:r>
      <w:r w:rsidR="00B87383">
        <w:t>self-reliance</w:t>
      </w:r>
      <w:r w:rsidR="00890601" w:rsidRPr="00890601">
        <w:t xml:space="preserve"> of the farm enterprise, </w:t>
      </w:r>
      <w:r w:rsidR="00942161">
        <w:t>by building</w:t>
      </w:r>
      <w:r w:rsidR="00AE4F8C">
        <w:t xml:space="preserve"> and consolidating the</w:t>
      </w:r>
      <w:r w:rsidR="00890601" w:rsidRPr="00890601">
        <w:t xml:space="preserve"> skills and expertise that the farmer </w:t>
      </w:r>
      <w:r w:rsidR="00B87383">
        <w:t>or their partner</w:t>
      </w:r>
      <w:r w:rsidR="00890601" w:rsidRPr="00890601">
        <w:t xml:space="preserve"> can draw </w:t>
      </w:r>
      <w:r w:rsidR="00AE4F8C">
        <w:t>up</w:t>
      </w:r>
      <w:r w:rsidR="00890601" w:rsidRPr="00890601">
        <w:t>on to continue to work the farm enterprise</w:t>
      </w:r>
      <w:r w:rsidR="00B87383">
        <w:t>, or transition to an alternative career</w:t>
      </w:r>
      <w:r w:rsidR="00890601" w:rsidRPr="00890601">
        <w:t xml:space="preserve">. The </w:t>
      </w:r>
      <w:r w:rsidR="00B87383">
        <w:t xml:space="preserve">activity supplement funding </w:t>
      </w:r>
      <w:r w:rsidR="00890601" w:rsidRPr="00890601">
        <w:t>encompass</w:t>
      </w:r>
      <w:r w:rsidR="00B87383">
        <w:t>ing a range of</w:t>
      </w:r>
      <w:r w:rsidR="00890601" w:rsidRPr="00890601">
        <w:t xml:space="preserve"> technical and vocational</w:t>
      </w:r>
      <w:r w:rsidR="00B87383">
        <w:t xml:space="preserve"> professional advice and</w:t>
      </w:r>
      <w:r w:rsidR="00890601" w:rsidRPr="00890601">
        <w:t xml:space="preserve"> </w:t>
      </w:r>
      <w:r w:rsidR="00B25195" w:rsidRPr="00890601">
        <w:t>training,</w:t>
      </w:r>
      <w:r w:rsidR="00890601" w:rsidRPr="00890601">
        <w:t xml:space="preserve"> </w:t>
      </w:r>
      <w:r w:rsidR="00B87383">
        <w:t xml:space="preserve">or study </w:t>
      </w:r>
      <w:r w:rsidR="00890601" w:rsidRPr="00890601">
        <w:t xml:space="preserve">indirectly engages and promotes FHA recipients’ right and access to work by supporting their skills </w:t>
      </w:r>
      <w:r w:rsidR="00B87383">
        <w:t>development</w:t>
      </w:r>
      <w:r w:rsidR="00890601" w:rsidRPr="00890601">
        <w:t>. This has the potential to increase access to work. This is consistent with, and advances the requirements of, article 7(2) of the ICESCR, which requires States Parties to take steps to ensure “…technical and vocational guidance and training programmes, policies and techniques to achieve steady economic, social and cultural development and full and productive employment”.</w:t>
      </w:r>
    </w:p>
    <w:p w14:paraId="67F62417" w14:textId="4AE75A32" w:rsidR="00A55450" w:rsidRPr="007524D9" w:rsidRDefault="00A55450" w:rsidP="00105F92">
      <w:pPr>
        <w:rPr>
          <w:rFonts w:eastAsiaTheme="minorHAnsi"/>
          <w:bCs/>
        </w:rPr>
      </w:pPr>
      <w:r w:rsidRPr="008E0103">
        <w:rPr>
          <w:rFonts w:eastAsiaTheme="minorHAnsi"/>
          <w:b/>
          <w:bCs/>
        </w:rPr>
        <w:t>Right to respect for family</w:t>
      </w:r>
    </w:p>
    <w:p w14:paraId="6BE3F821" w14:textId="77777777" w:rsidR="0027514F" w:rsidRDefault="00A55450" w:rsidP="00105F92">
      <w:pPr>
        <w:rPr>
          <w:rFonts w:eastAsia="Times New Roman"/>
          <w:lang w:eastAsia="en-AU"/>
        </w:rPr>
      </w:pPr>
      <w:r w:rsidRPr="00B7621F">
        <w:rPr>
          <w:rFonts w:eastAsia="Times New Roman"/>
          <w:lang w:eastAsia="en-AU"/>
        </w:rPr>
        <w:t xml:space="preserve">Article 23 of the ICCPR recognises that </w:t>
      </w:r>
      <w:r w:rsidR="00C37A57" w:rsidRPr="00B7621F">
        <w:rPr>
          <w:rFonts w:eastAsia="Times New Roman"/>
          <w:lang w:eastAsia="en-AU"/>
        </w:rPr>
        <w:t>“</w:t>
      </w:r>
      <w:r w:rsidRPr="00B7621F">
        <w:rPr>
          <w:rFonts w:eastAsia="Times New Roman"/>
          <w:lang w:eastAsia="en-AU"/>
        </w:rPr>
        <w:t>the family is the natural and fundamental group unit of society and is entitled to protection by society and the State</w:t>
      </w:r>
      <w:r w:rsidR="00C37A57" w:rsidRPr="00B7621F">
        <w:rPr>
          <w:rFonts w:eastAsia="Times New Roman"/>
          <w:lang w:eastAsia="en-AU"/>
        </w:rPr>
        <w:t>”</w:t>
      </w:r>
      <w:r w:rsidRPr="00B7621F">
        <w:rPr>
          <w:rFonts w:eastAsia="Times New Roman"/>
          <w:lang w:eastAsia="en-AU"/>
        </w:rPr>
        <w:t xml:space="preserve">. States </w:t>
      </w:r>
      <w:r w:rsidR="00C37A57" w:rsidRPr="00B7621F">
        <w:rPr>
          <w:rFonts w:eastAsia="Times New Roman"/>
          <w:lang w:eastAsia="en-AU"/>
        </w:rPr>
        <w:t xml:space="preserve">Parties </w:t>
      </w:r>
      <w:r w:rsidR="00897700" w:rsidRPr="00B7621F">
        <w:rPr>
          <w:rFonts w:eastAsia="Times New Roman"/>
          <w:lang w:eastAsia="en-AU"/>
        </w:rPr>
        <w:t>must</w:t>
      </w:r>
      <w:r w:rsidRPr="00B7621F">
        <w:rPr>
          <w:rFonts w:eastAsia="Times New Roman"/>
          <w:lang w:eastAsia="en-AU"/>
        </w:rPr>
        <w:t xml:space="preserve"> provide the widest possible protection and assistance to the family, particularly while it is responsible for the care and education of dependent children.</w:t>
      </w:r>
      <w:r w:rsidR="00B7621F" w:rsidRPr="00B7621F">
        <w:rPr>
          <w:rFonts w:eastAsia="Times New Roman"/>
          <w:lang w:eastAsia="en-AU"/>
        </w:rPr>
        <w:t xml:space="preserve"> </w:t>
      </w:r>
    </w:p>
    <w:p w14:paraId="111B2475" w14:textId="3E916C1B" w:rsidR="00A55450" w:rsidRPr="00B7621F" w:rsidRDefault="00BF6196" w:rsidP="00105F92">
      <w:pPr>
        <w:rPr>
          <w:rFonts w:eastAsia="Times New Roman"/>
          <w:lang w:eastAsia="en-AU"/>
        </w:rPr>
      </w:pPr>
      <w:r w:rsidRPr="00B7621F">
        <w:rPr>
          <w:rFonts w:eastAsia="Times New Roman"/>
          <w:lang w:eastAsia="en-AU"/>
        </w:rPr>
        <w:t>Part</w:t>
      </w:r>
      <w:r w:rsidR="00B7621F">
        <w:rPr>
          <w:rFonts w:eastAsia="Times New Roman"/>
          <w:lang w:eastAsia="en-AU"/>
        </w:rPr>
        <w:t> </w:t>
      </w:r>
      <w:r w:rsidRPr="00B7621F">
        <w:rPr>
          <w:rFonts w:eastAsia="Times New Roman"/>
          <w:lang w:eastAsia="en-AU"/>
        </w:rPr>
        <w:t>2</w:t>
      </w:r>
      <w:r w:rsidR="00A55450" w:rsidRPr="00B7621F">
        <w:rPr>
          <w:rFonts w:eastAsia="Times New Roman"/>
          <w:lang w:eastAsia="en-AU"/>
        </w:rPr>
        <w:t xml:space="preserve"> </w:t>
      </w:r>
      <w:r w:rsidR="00273408">
        <w:rPr>
          <w:rFonts w:eastAsia="Times New Roman"/>
          <w:lang w:eastAsia="en-AU"/>
        </w:rPr>
        <w:t xml:space="preserve">of the Rules </w:t>
      </w:r>
      <w:r w:rsidR="00A55450" w:rsidRPr="00B7621F">
        <w:rPr>
          <w:rFonts w:eastAsia="Times New Roman"/>
          <w:lang w:eastAsia="en-AU"/>
        </w:rPr>
        <w:t>engage</w:t>
      </w:r>
      <w:r w:rsidRPr="00B7621F">
        <w:rPr>
          <w:rFonts w:eastAsia="Times New Roman"/>
          <w:lang w:eastAsia="en-AU"/>
        </w:rPr>
        <w:t>s</w:t>
      </w:r>
      <w:r w:rsidR="00A55450" w:rsidRPr="00B7621F">
        <w:rPr>
          <w:rFonts w:eastAsia="Times New Roman"/>
          <w:lang w:eastAsia="en-AU"/>
        </w:rPr>
        <w:t xml:space="preserve"> and promote</w:t>
      </w:r>
      <w:r w:rsidRPr="00B7621F">
        <w:rPr>
          <w:rFonts w:eastAsia="Times New Roman"/>
          <w:lang w:eastAsia="en-AU"/>
        </w:rPr>
        <w:t>s</w:t>
      </w:r>
      <w:r w:rsidR="00A55450" w:rsidRPr="00B7621F">
        <w:rPr>
          <w:rFonts w:eastAsia="Times New Roman"/>
          <w:lang w:eastAsia="en-AU"/>
        </w:rPr>
        <w:t xml:space="preserve"> this right </w:t>
      </w:r>
      <w:r w:rsidR="005263BB" w:rsidRPr="00B7621F">
        <w:rPr>
          <w:rFonts w:eastAsia="Times New Roman"/>
          <w:lang w:eastAsia="en-AU"/>
        </w:rPr>
        <w:t xml:space="preserve">by </w:t>
      </w:r>
      <w:r w:rsidRPr="00B7621F">
        <w:rPr>
          <w:rFonts w:eastAsia="Times New Roman"/>
          <w:lang w:eastAsia="en-AU"/>
        </w:rPr>
        <w:t>providing a structured process for</w:t>
      </w:r>
      <w:r w:rsidRPr="00BF6196">
        <w:t xml:space="preserve"> </w:t>
      </w:r>
      <w:r w:rsidRPr="00B7621F">
        <w:rPr>
          <w:rFonts w:eastAsia="Times New Roman"/>
          <w:lang w:eastAsia="en-AU"/>
        </w:rPr>
        <w:t xml:space="preserve">taking </w:t>
      </w:r>
      <w:r w:rsidR="004D4AFC">
        <w:rPr>
          <w:rFonts w:eastAsia="Times New Roman"/>
          <w:lang w:eastAsia="en-AU"/>
        </w:rPr>
        <w:t xml:space="preserve">a </w:t>
      </w:r>
      <w:r w:rsidRPr="00B7621F">
        <w:rPr>
          <w:rFonts w:eastAsia="Times New Roman"/>
          <w:lang w:eastAsia="en-AU"/>
        </w:rPr>
        <w:t xml:space="preserve">farm loss, and </w:t>
      </w:r>
      <w:r w:rsidR="004D4AFC">
        <w:rPr>
          <w:rFonts w:eastAsia="Times New Roman"/>
          <w:lang w:eastAsia="en-AU"/>
        </w:rPr>
        <w:t xml:space="preserve">a </w:t>
      </w:r>
      <w:r w:rsidRPr="00B7621F">
        <w:rPr>
          <w:rFonts w:eastAsia="Times New Roman"/>
          <w:lang w:eastAsia="en-AU"/>
        </w:rPr>
        <w:t>loss from related businesses, into account in determining access to, and the amount of, FHA for farmers and their partners</w:t>
      </w:r>
      <w:r w:rsidR="008B7FDA">
        <w:rPr>
          <w:rFonts w:eastAsia="Times New Roman"/>
          <w:lang w:eastAsia="en-AU"/>
        </w:rPr>
        <w:t xml:space="preserve"> in a way that is most beneficial for their family situation</w:t>
      </w:r>
      <w:r w:rsidR="00A55450" w:rsidRPr="00B7621F">
        <w:rPr>
          <w:rFonts w:eastAsia="Times New Roman"/>
          <w:lang w:eastAsia="en-AU"/>
        </w:rPr>
        <w:t>.</w:t>
      </w:r>
    </w:p>
    <w:p w14:paraId="44105DDE" w14:textId="77777777" w:rsidR="00A55450" w:rsidRPr="007524D9" w:rsidRDefault="00A55450" w:rsidP="00105F92">
      <w:pPr>
        <w:rPr>
          <w:bCs/>
        </w:rPr>
      </w:pPr>
      <w:r w:rsidRPr="00105F92">
        <w:rPr>
          <w:b/>
          <w:bCs/>
        </w:rPr>
        <w:t>Right to social security</w:t>
      </w:r>
    </w:p>
    <w:p w14:paraId="42EDF31A" w14:textId="00D6603F" w:rsidR="00A55450" w:rsidRDefault="00A55450" w:rsidP="00105F92">
      <w:r>
        <w:t xml:space="preserve">Article 9 of the ICESCR recognises </w:t>
      </w:r>
      <w:r w:rsidR="004E050D">
        <w:t>“</w:t>
      </w:r>
      <w:r>
        <w:t>the right of everyone to social security</w:t>
      </w:r>
      <w:r w:rsidR="004E050D">
        <w:t>”</w:t>
      </w:r>
      <w:r>
        <w:t xml:space="preserve">. </w:t>
      </w:r>
      <w:r w:rsidRPr="00A5505D">
        <w:t>The right to social security encompasses the right to access and maintain benefits to secure protection from, among other things, lack of work-related income.</w:t>
      </w:r>
      <w:r w:rsidRPr="00A15710">
        <w:t xml:space="preserve"> The U</w:t>
      </w:r>
      <w:r w:rsidR="00AD67D1">
        <w:t xml:space="preserve">nited </w:t>
      </w:r>
      <w:r w:rsidRPr="00A15710">
        <w:t>N</w:t>
      </w:r>
      <w:r w:rsidR="00AD67D1">
        <w:t>ations</w:t>
      </w:r>
      <w:r w:rsidRPr="00A15710">
        <w:t xml:space="preserve"> Committee</w:t>
      </w:r>
      <w:r w:rsidR="00397690">
        <w:t xml:space="preserve"> on Economic, </w:t>
      </w:r>
      <w:r w:rsidR="00566354">
        <w:t>S</w:t>
      </w:r>
      <w:r w:rsidR="00397690">
        <w:t>ocial and Cultural Rights</w:t>
      </w:r>
      <w:r w:rsidRPr="00A15710">
        <w:t xml:space="preserve"> has stated that social security schemes should be sustainable</w:t>
      </w:r>
      <w:r w:rsidR="00FB0026">
        <w:t xml:space="preserve">, </w:t>
      </w:r>
      <w:r w:rsidRPr="00A15710">
        <w:t>to ensure that the right can be realised for present and future generations.</w:t>
      </w:r>
    </w:p>
    <w:p w14:paraId="3D940409" w14:textId="04A75C38" w:rsidR="00A55450" w:rsidRDefault="00A55450" w:rsidP="00105F92">
      <w:r>
        <w:t xml:space="preserve">The availability of FHA through the Act </w:t>
      </w:r>
      <w:r w:rsidR="003E73B9">
        <w:t>and the matters specified in the</w:t>
      </w:r>
      <w:r w:rsidR="007358BD">
        <w:t xml:space="preserve"> </w:t>
      </w:r>
      <w:r w:rsidR="003E73B9">
        <w:t xml:space="preserve">Rules </w:t>
      </w:r>
      <w:r>
        <w:t>engage and promote that right.</w:t>
      </w:r>
    </w:p>
    <w:p w14:paraId="45688B79" w14:textId="4F0524FD" w:rsidR="00200224" w:rsidRDefault="00BF709D" w:rsidP="00105F92">
      <w:r>
        <w:t xml:space="preserve">The </w:t>
      </w:r>
      <w:r w:rsidR="00EF115C">
        <w:t>Rules</w:t>
      </w:r>
      <w:r w:rsidR="005704BF">
        <w:t xml:space="preserve"> </w:t>
      </w:r>
      <w:r w:rsidR="00A55450" w:rsidRPr="00D21D93">
        <w:t>r</w:t>
      </w:r>
      <w:r w:rsidR="00A55450" w:rsidRPr="009C44C3">
        <w:t>efine</w:t>
      </w:r>
      <w:r w:rsidR="006D569D">
        <w:t xml:space="preserve"> and </w:t>
      </w:r>
      <w:r w:rsidR="00EF115C">
        <w:t>clarify</w:t>
      </w:r>
      <w:r w:rsidR="006D569D">
        <w:t xml:space="preserve"> the </w:t>
      </w:r>
      <w:r>
        <w:t xml:space="preserve">way in which </w:t>
      </w:r>
      <w:r w:rsidR="004D4AFC">
        <w:t xml:space="preserve">a </w:t>
      </w:r>
      <w:r>
        <w:t>f</w:t>
      </w:r>
      <w:r w:rsidRPr="00BF709D">
        <w:t>arm loss</w:t>
      </w:r>
      <w:r w:rsidR="004D4AFC">
        <w:t xml:space="preserve"> </w:t>
      </w:r>
      <w:r w:rsidRPr="00BF709D">
        <w:t xml:space="preserve">and </w:t>
      </w:r>
      <w:r w:rsidR="004D4AFC">
        <w:t xml:space="preserve">a </w:t>
      </w:r>
      <w:r w:rsidRPr="00BF709D">
        <w:t>loss in related businesses</w:t>
      </w:r>
      <w:r>
        <w:t xml:space="preserve"> are </w:t>
      </w:r>
      <w:proofErr w:type="gramStart"/>
      <w:r w:rsidR="006D569D">
        <w:t>taken into account</w:t>
      </w:r>
      <w:proofErr w:type="gramEnd"/>
      <w:r w:rsidR="006D569D">
        <w:t xml:space="preserve"> in determining access to, and the amount of, FHA for farmers and their partners</w:t>
      </w:r>
      <w:r w:rsidR="009C0D05">
        <w:t xml:space="preserve">. These provisions </w:t>
      </w:r>
      <w:r w:rsidR="00A55450" w:rsidRPr="009C44C3">
        <w:t>ensure that targeted fiscal support is provided on an equitable basis to farmers and their partners</w:t>
      </w:r>
      <w:r w:rsidR="00570501">
        <w:t xml:space="preserve"> and will </w:t>
      </w:r>
      <w:r w:rsidR="00A55450" w:rsidRPr="009C44C3">
        <w:t xml:space="preserve">bolster the integrity and efficacy of the program and its continued sustainability. </w:t>
      </w:r>
    </w:p>
    <w:p w14:paraId="58219692" w14:textId="4992B736" w:rsidR="00BE3C83" w:rsidRDefault="00BE3C83" w:rsidP="00105F92">
      <w:pPr>
        <w:rPr>
          <w:color w:val="000000"/>
        </w:rPr>
      </w:pPr>
      <w:r>
        <w:rPr>
          <w:color w:val="000000"/>
        </w:rPr>
        <w:t>To the extent that any measures in th</w:t>
      </w:r>
      <w:r w:rsidR="00CD3192">
        <w:rPr>
          <w:color w:val="000000"/>
        </w:rPr>
        <w:t>e Rules</w:t>
      </w:r>
      <w:r>
        <w:rPr>
          <w:color w:val="000000"/>
        </w:rPr>
        <w:t xml:space="preserve"> could be regarded as limiting the right to social security, any limitation is reasonable, necessary, and proportionate to achieving the objective of the FHA program as the measures generally support the integrity and efficacy of the FHA program and its continued sustainability.</w:t>
      </w:r>
    </w:p>
    <w:p w14:paraId="6F9B0F32" w14:textId="77777777" w:rsidR="00A55450" w:rsidRPr="007524D9" w:rsidRDefault="00A55450" w:rsidP="00105F92">
      <w:pPr>
        <w:rPr>
          <w:bCs/>
        </w:rPr>
      </w:pPr>
      <w:r w:rsidRPr="00105F92">
        <w:rPr>
          <w:b/>
          <w:bCs/>
        </w:rPr>
        <w:t>Conclusion</w:t>
      </w:r>
    </w:p>
    <w:p w14:paraId="2AA2D86B" w14:textId="2AE4FB73" w:rsidR="00A55450" w:rsidRPr="00014458" w:rsidRDefault="00A55450" w:rsidP="00105F92">
      <w:r>
        <w:t xml:space="preserve">The </w:t>
      </w:r>
      <w:r w:rsidR="005704BF">
        <w:t>instrument is</w:t>
      </w:r>
      <w:r w:rsidRPr="00014458">
        <w:t xml:space="preserve"> compatible with the human rights and freedoms recognised or declared in the international instruments listed in section 3 of the </w:t>
      </w:r>
      <w:r w:rsidRPr="00014458">
        <w:rPr>
          <w:i/>
          <w:iCs/>
        </w:rPr>
        <w:t xml:space="preserve">Human Rights (Parliamentary Scrutiny) </w:t>
      </w:r>
      <w:r w:rsidRPr="00014458">
        <w:rPr>
          <w:i/>
          <w:iCs/>
        </w:rPr>
        <w:lastRenderedPageBreak/>
        <w:t>Act 2011</w:t>
      </w:r>
      <w:r w:rsidRPr="00014458">
        <w:t xml:space="preserve"> as </w:t>
      </w:r>
      <w:r w:rsidR="00434DAB">
        <w:t>they</w:t>
      </w:r>
      <w:r w:rsidR="00434DAB" w:rsidRPr="00014458">
        <w:t xml:space="preserve"> </w:t>
      </w:r>
      <w:r w:rsidRPr="00014458">
        <w:t xml:space="preserve">promote the protection of the human rights that </w:t>
      </w:r>
      <w:r w:rsidR="00434DAB">
        <w:t>they</w:t>
      </w:r>
      <w:r w:rsidR="00434DAB" w:rsidRPr="00014458">
        <w:t xml:space="preserve"> </w:t>
      </w:r>
      <w:r w:rsidRPr="00014458">
        <w:t>engage.</w:t>
      </w:r>
      <w:r w:rsidRPr="005E0198">
        <w:rPr>
          <w:color w:val="333333"/>
          <w:shd w:val="clear" w:color="auto" w:fill="FFFFFF"/>
        </w:rPr>
        <w:t xml:space="preserve"> To the extent that </w:t>
      </w:r>
      <w:r w:rsidR="005704BF">
        <w:rPr>
          <w:color w:val="333333"/>
          <w:shd w:val="clear" w:color="auto" w:fill="FFFFFF"/>
        </w:rPr>
        <w:t>it</w:t>
      </w:r>
      <w:r w:rsidRPr="005E0198">
        <w:rPr>
          <w:color w:val="333333"/>
          <w:shd w:val="clear" w:color="auto" w:fill="FFFFFF"/>
        </w:rPr>
        <w:t xml:space="preserve"> may limit human rights, those limitations are reasonable, necessary, and proportionate.</w:t>
      </w:r>
    </w:p>
    <w:p w14:paraId="44554009" w14:textId="77777777" w:rsidR="00A55450" w:rsidRDefault="00A55450" w:rsidP="00A55450"/>
    <w:p w14:paraId="62AFE2B2" w14:textId="3502EF77" w:rsidR="00A55450" w:rsidRPr="00105F92" w:rsidRDefault="00475BD2" w:rsidP="00105F92">
      <w:pPr>
        <w:spacing w:before="0"/>
        <w:jc w:val="center"/>
        <w:rPr>
          <w:color w:val="000000"/>
        </w:rPr>
      </w:pPr>
      <w:r w:rsidRPr="00105F92">
        <w:rPr>
          <w:rFonts w:cs="Times New Roman"/>
          <w:b/>
          <w:bCs/>
          <w:szCs w:val="24"/>
        </w:rPr>
        <w:t xml:space="preserve">The Hon. </w:t>
      </w:r>
      <w:r w:rsidR="00F34141" w:rsidRPr="00105F92">
        <w:rPr>
          <w:rFonts w:cs="Times New Roman"/>
          <w:b/>
          <w:bCs/>
          <w:szCs w:val="24"/>
        </w:rPr>
        <w:t>Julie Collins</w:t>
      </w:r>
      <w:r w:rsidRPr="00105F92">
        <w:rPr>
          <w:rFonts w:cs="Times New Roman"/>
          <w:b/>
          <w:bCs/>
          <w:szCs w:val="24"/>
        </w:rPr>
        <w:t xml:space="preserve"> MP</w:t>
      </w:r>
    </w:p>
    <w:p w14:paraId="5D37CCD4" w14:textId="1B5442BC" w:rsidR="00377374" w:rsidRPr="00A32EAF" w:rsidRDefault="00475BD2" w:rsidP="00A32EAF">
      <w:pPr>
        <w:spacing w:before="0"/>
        <w:jc w:val="center"/>
        <w:rPr>
          <w:color w:val="000000"/>
        </w:rPr>
      </w:pPr>
      <w:r w:rsidRPr="00105F92">
        <w:rPr>
          <w:rFonts w:eastAsia="Times New Roman" w:cs="Times New Roman"/>
          <w:color w:val="000000"/>
          <w:szCs w:val="24"/>
          <w:lang w:eastAsia="en-AU"/>
        </w:rPr>
        <w:t>Minister for Agriculture, Fisheries and Forestry</w:t>
      </w:r>
    </w:p>
    <w:sectPr w:rsidR="00377374" w:rsidRPr="00A32EAF" w:rsidSect="00993BA7">
      <w:headerReference w:type="even" r:id="rId16"/>
      <w:headerReference w:type="default" r:id="rId17"/>
      <w:footerReference w:type="even" r:id="rId18"/>
      <w:footerReference w:type="default" r:id="rId19"/>
      <w:headerReference w:type="first" r:id="rId20"/>
      <w:footerReference w:type="first" r:id="rId21"/>
      <w:pgSz w:w="11907" w:h="16840" w:code="9"/>
      <w:pgMar w:top="1418" w:right="1418" w:bottom="1418" w:left="1418" w:header="284" w:footer="788" w:gutter="0"/>
      <w:pgNumType w:start="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30446" w14:textId="77777777" w:rsidR="00CA56A3" w:rsidRDefault="00CA56A3" w:rsidP="00151C54">
      <w:r>
        <w:separator/>
      </w:r>
    </w:p>
  </w:endnote>
  <w:endnote w:type="continuationSeparator" w:id="0">
    <w:p w14:paraId="4E7A6A61" w14:textId="77777777" w:rsidR="00CA56A3" w:rsidRDefault="00CA56A3" w:rsidP="00151C54">
      <w:r>
        <w:continuationSeparator/>
      </w:r>
    </w:p>
  </w:endnote>
  <w:endnote w:type="continuationNotice" w:id="1">
    <w:p w14:paraId="1C8F19D9" w14:textId="77777777" w:rsidR="00CA56A3" w:rsidRDefault="00CA56A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01698" w14:textId="75B2D0B8" w:rsidR="007524D9" w:rsidRDefault="007524D9">
    <w:pPr>
      <w:pStyle w:val="Footer"/>
    </w:pPr>
    <w:r>
      <mc:AlternateContent>
        <mc:Choice Requires="wps">
          <w:drawing>
            <wp:anchor distT="0" distB="0" distL="0" distR="0" simplePos="0" relativeHeight="251673600" behindDoc="0" locked="0" layoutInCell="1" allowOverlap="1" wp14:anchorId="67FE260B" wp14:editId="6CC423B3">
              <wp:simplePos x="635" y="635"/>
              <wp:positionH relativeFrom="page">
                <wp:align>center</wp:align>
              </wp:positionH>
              <wp:positionV relativeFrom="page">
                <wp:align>bottom</wp:align>
              </wp:positionV>
              <wp:extent cx="551815" cy="528955"/>
              <wp:effectExtent l="0" t="0" r="635" b="0"/>
              <wp:wrapNone/>
              <wp:docPr id="145282385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28955"/>
                      </a:xfrm>
                      <a:prstGeom prst="rect">
                        <a:avLst/>
                      </a:prstGeom>
                      <a:noFill/>
                      <a:ln>
                        <a:noFill/>
                      </a:ln>
                    </wps:spPr>
                    <wps:txbx>
                      <w:txbxContent>
                        <w:p w14:paraId="4E9C3CD6" w14:textId="5AD6B675" w:rsidR="007524D9" w:rsidRPr="007524D9" w:rsidRDefault="007524D9" w:rsidP="007524D9">
                          <w:pPr>
                            <w:rPr>
                              <w:rFonts w:ascii="Calibri" w:eastAsia="Calibri" w:hAnsi="Calibri" w:cs="Calibri"/>
                              <w:noProof/>
                              <w:color w:val="FF0000"/>
                              <w:szCs w:val="24"/>
                            </w:rPr>
                          </w:pPr>
                          <w:r w:rsidRPr="007524D9">
                            <w:rPr>
                              <w:rFonts w:ascii="Calibri" w:eastAsia="Calibri" w:hAnsi="Calibri"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FE260B" id="_x0000_t202" coordsize="21600,21600" o:spt="202" path="m,l,21600r21600,l21600,xe">
              <v:stroke joinstyle="miter"/>
              <v:path gradientshapeok="t" o:connecttype="rect"/>
            </v:shapetype>
            <v:shape id="Text Box 8" o:spid="_x0000_s1027" type="#_x0000_t202" alt="OFFICIAL" style="position:absolute;left:0;text-align:left;margin-left:0;margin-top:0;width:43.45pt;height:41.6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" filled="f" stroked="f">
              <v:textbox style="mso-fit-shape-to-text:t" inset="0,0,0,15pt">
                <w:txbxContent>
                  <w:p w14:paraId="4E9C3CD6" w14:textId="5AD6B675" w:rsidR="007524D9" w:rsidRPr="007524D9" w:rsidRDefault="007524D9" w:rsidP="007524D9">
                    <w:pPr>
                      <w:rPr>
                        <w:rFonts w:ascii="Calibri" w:eastAsia="Calibri" w:hAnsi="Calibri" w:cs="Calibri"/>
                        <w:noProof/>
                        <w:color w:val="FF0000"/>
                        <w:szCs w:val="24"/>
                      </w:rPr>
                    </w:pPr>
                    <w:r w:rsidRPr="007524D9">
                      <w:rPr>
                        <w:rFonts w:ascii="Calibri" w:eastAsia="Calibri" w:hAnsi="Calibri" w:cs="Calibri"/>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D52E7" w14:textId="3566EFAC" w:rsidR="006334BC" w:rsidRDefault="00A03A70" w:rsidP="008928B8">
    <w:pPr>
      <w:pStyle w:val="Footer"/>
      <w:jc w:val="right"/>
    </w:pPr>
    <w:sdt>
      <w:sdtPr>
        <w:rPr>
          <w:noProof w:val="0"/>
        </w:rPr>
        <w:id w:val="1262412121"/>
        <w:docPartObj>
          <w:docPartGallery w:val="Page Numbers (Bottom of Page)"/>
          <w:docPartUnique/>
        </w:docPartObj>
      </w:sdtPr>
      <w:sdtEndPr>
        <w:rPr>
          <w:noProof/>
        </w:rPr>
      </w:sdtEndPr>
      <w:sdtContent>
        <w:r w:rsidR="006334BC">
          <w:rPr>
            <w:noProof w:val="0"/>
          </w:rPr>
          <w:fldChar w:fldCharType="begin"/>
        </w:r>
        <w:r w:rsidR="006334BC">
          <w:instrText xml:space="preserve"> PAGE   \* MERGEFORMAT </w:instrText>
        </w:r>
        <w:r w:rsidR="006334BC">
          <w:rPr>
            <w:noProof w:val="0"/>
          </w:rPr>
          <w:fldChar w:fldCharType="separate"/>
        </w:r>
        <w:r w:rsidR="006334BC">
          <w:t>2</w:t>
        </w:r>
        <w:r w:rsidR="006334BC">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BCD66" w14:textId="7070357C" w:rsidR="007524D9" w:rsidRDefault="007524D9">
    <w:pPr>
      <w:pStyle w:val="Footer"/>
    </w:pPr>
    <w:r>
      <mc:AlternateContent>
        <mc:Choice Requires="wps">
          <w:drawing>
            <wp:anchor distT="0" distB="0" distL="0" distR="0" simplePos="0" relativeHeight="251665408" behindDoc="0" locked="0" layoutInCell="1" allowOverlap="1" wp14:anchorId="1BC0CADD" wp14:editId="1D78DEA1">
              <wp:simplePos x="635" y="635"/>
              <wp:positionH relativeFrom="page">
                <wp:align>center</wp:align>
              </wp:positionH>
              <wp:positionV relativeFrom="page">
                <wp:align>bottom</wp:align>
              </wp:positionV>
              <wp:extent cx="551815" cy="528955"/>
              <wp:effectExtent l="0" t="0" r="635" b="0"/>
              <wp:wrapNone/>
              <wp:docPr id="153207638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28955"/>
                      </a:xfrm>
                      <a:prstGeom prst="rect">
                        <a:avLst/>
                      </a:prstGeom>
                      <a:noFill/>
                      <a:ln>
                        <a:noFill/>
                      </a:ln>
                    </wps:spPr>
                    <wps:txbx>
                      <w:txbxContent>
                        <w:p w14:paraId="180A35EC" w14:textId="5AC36910" w:rsidR="007524D9" w:rsidRPr="007524D9" w:rsidRDefault="007524D9" w:rsidP="007524D9">
                          <w:pPr>
                            <w:rPr>
                              <w:rFonts w:ascii="Calibri" w:eastAsia="Calibri" w:hAnsi="Calibri" w:cs="Calibri"/>
                              <w:noProof/>
                              <w:color w:val="FF0000"/>
                              <w:szCs w:val="24"/>
                            </w:rPr>
                          </w:pPr>
                          <w:r w:rsidRPr="007524D9">
                            <w:rPr>
                              <w:rFonts w:ascii="Calibri" w:eastAsia="Calibri" w:hAnsi="Calibri"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C0CADD" id="_x0000_t202" coordsize="21600,21600" o:spt="202" path="m,l,21600r21600,l21600,xe">
              <v:stroke joinstyle="miter"/>
              <v:path gradientshapeok="t" o:connecttype="rect"/>
            </v:shapetype>
            <v:shape id="Text Box 7" o:spid="_x0000_s1029" type="#_x0000_t202" alt="OFFICIAL" style="position:absolute;left:0;text-align:left;margin-left:0;margin-top:0;width:43.45pt;height:41.6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" filled="f" stroked="f">
              <v:textbox style="mso-fit-shape-to-text:t" inset="0,0,0,15pt">
                <w:txbxContent>
                  <w:p w14:paraId="180A35EC" w14:textId="5AC36910" w:rsidR="007524D9" w:rsidRPr="007524D9" w:rsidRDefault="007524D9" w:rsidP="007524D9">
                    <w:pPr>
                      <w:rPr>
                        <w:rFonts w:ascii="Calibri" w:eastAsia="Calibri" w:hAnsi="Calibri" w:cs="Calibri"/>
                        <w:noProof/>
                        <w:color w:val="FF0000"/>
                        <w:szCs w:val="24"/>
                      </w:rPr>
                    </w:pPr>
                    <w:r w:rsidRPr="007524D9">
                      <w:rPr>
                        <w:rFonts w:ascii="Calibri" w:eastAsia="Calibri" w:hAnsi="Calibri" w:cs="Calibri"/>
                        <w:noProof/>
                        <w:color w:val="FF0000"/>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16EEC" w14:textId="4EE03691" w:rsidR="007524D9" w:rsidRDefault="007524D9">
    <w:pPr>
      <w:pStyle w:val="Footer"/>
    </w:pPr>
    <w:r>
      <mc:AlternateContent>
        <mc:Choice Requires="wps">
          <w:drawing>
            <wp:anchor distT="0" distB="0" distL="0" distR="0" simplePos="0" relativeHeight="251668480" behindDoc="0" locked="0" layoutInCell="1" allowOverlap="1" wp14:anchorId="0A9A3AD6" wp14:editId="6D78E6A8">
              <wp:simplePos x="635" y="635"/>
              <wp:positionH relativeFrom="page">
                <wp:align>center</wp:align>
              </wp:positionH>
              <wp:positionV relativeFrom="page">
                <wp:align>bottom</wp:align>
              </wp:positionV>
              <wp:extent cx="551815" cy="528955"/>
              <wp:effectExtent l="0" t="0" r="635" b="0"/>
              <wp:wrapNone/>
              <wp:docPr id="43392139"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28955"/>
                      </a:xfrm>
                      <a:prstGeom prst="rect">
                        <a:avLst/>
                      </a:prstGeom>
                      <a:noFill/>
                      <a:ln>
                        <a:noFill/>
                      </a:ln>
                    </wps:spPr>
                    <wps:txbx>
                      <w:txbxContent>
                        <w:p w14:paraId="438A1EAF" w14:textId="24C80A6D" w:rsidR="007524D9" w:rsidRPr="007524D9" w:rsidRDefault="007524D9" w:rsidP="007524D9">
                          <w:pPr>
                            <w:rPr>
                              <w:rFonts w:ascii="Calibri" w:eastAsia="Calibri" w:hAnsi="Calibri" w:cs="Calibri"/>
                              <w:noProof/>
                              <w:color w:val="FF0000"/>
                              <w:szCs w:val="24"/>
                            </w:rPr>
                          </w:pPr>
                          <w:r w:rsidRPr="007524D9">
                            <w:rPr>
                              <w:rFonts w:ascii="Calibri" w:eastAsia="Calibri" w:hAnsi="Calibri"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9A3AD6" id="_x0000_t202" coordsize="21600,21600" o:spt="202" path="m,l,21600r21600,l21600,xe">
              <v:stroke joinstyle="miter"/>
              <v:path gradientshapeok="t" o:connecttype="rect"/>
            </v:shapetype>
            <v:shape id="Text Box 11" o:spid="_x0000_s1032" type="#_x0000_t202" alt="OFFICIAL" style="position:absolute;left:0;text-align:left;margin-left:0;margin-top:0;width:43.45pt;height:41.6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" filled="f" stroked="f">
              <v:textbox style="mso-fit-shape-to-text:t" inset="0,0,0,15pt">
                <w:txbxContent>
                  <w:p w14:paraId="438A1EAF" w14:textId="24C80A6D" w:rsidR="007524D9" w:rsidRPr="007524D9" w:rsidRDefault="007524D9" w:rsidP="007524D9">
                    <w:pPr>
                      <w:rPr>
                        <w:rFonts w:ascii="Calibri" w:eastAsia="Calibri" w:hAnsi="Calibri" w:cs="Calibri"/>
                        <w:noProof/>
                        <w:color w:val="FF0000"/>
                        <w:szCs w:val="24"/>
                      </w:rPr>
                    </w:pPr>
                    <w:r w:rsidRPr="007524D9">
                      <w:rPr>
                        <w:rFonts w:ascii="Calibri" w:eastAsia="Calibri" w:hAnsi="Calibri" w:cs="Calibri"/>
                        <w:noProof/>
                        <w:color w:val="FF0000"/>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B89D2" w14:textId="7079D445" w:rsidR="003E65CC" w:rsidRPr="009C4DBF" w:rsidRDefault="007524D9" w:rsidP="009C4DBF">
    <w:pPr>
      <w:pStyle w:val="Footer"/>
    </w:pPr>
    <w:r>
      <mc:AlternateContent>
        <mc:Choice Requires="wps">
          <w:drawing>
            <wp:anchor distT="0" distB="0" distL="0" distR="0" simplePos="0" relativeHeight="251669504" behindDoc="0" locked="0" layoutInCell="1" allowOverlap="1" wp14:anchorId="0CD13D3A" wp14:editId="75846842">
              <wp:simplePos x="0" y="0"/>
              <wp:positionH relativeFrom="margin">
                <wp:align>center</wp:align>
              </wp:positionH>
              <wp:positionV relativeFrom="page">
                <wp:align>bottom</wp:align>
              </wp:positionV>
              <wp:extent cx="551815" cy="528955"/>
              <wp:effectExtent l="0" t="0" r="635" b="0"/>
              <wp:wrapNone/>
              <wp:docPr id="1398251648"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28955"/>
                      </a:xfrm>
                      <a:prstGeom prst="rect">
                        <a:avLst/>
                      </a:prstGeom>
                      <a:noFill/>
                      <a:ln>
                        <a:noFill/>
                      </a:ln>
                    </wps:spPr>
                    <wps:txbx>
                      <w:txbxContent>
                        <w:p w14:paraId="4D741E6B" w14:textId="6781BCC5" w:rsidR="007524D9" w:rsidRPr="007524D9" w:rsidRDefault="007524D9" w:rsidP="007524D9">
                          <w:pPr>
                            <w:rPr>
                              <w:rFonts w:ascii="Calibri" w:eastAsia="Calibri" w:hAnsi="Calibri" w:cs="Calibri"/>
                              <w:noProof/>
                              <w:color w:val="FF0000"/>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D13D3A" id="_x0000_t202" coordsize="21600,21600" o:spt="202" path="m,l,21600r21600,l21600,xe">
              <v:stroke joinstyle="miter"/>
              <v:path gradientshapeok="t" o:connecttype="rect"/>
            </v:shapetype>
            <v:shape id="Text Box 12" o:spid="_x0000_s1033" type="#_x0000_t202" alt="OFFICIAL" style="position:absolute;left:0;text-align:left;margin-left:0;margin-top:0;width:43.45pt;height:41.65pt;z-index:251669504;visibility:visible;mso-wrap-style:none;mso-wrap-distance-left:0;mso-wrap-distance-top:0;mso-wrap-distance-right:0;mso-wrap-distance-bottom:0;mso-position-horizontal:center;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" filled="f" stroked="f">
              <v:textbox style="mso-fit-shape-to-text:t" inset="0,0,0,15pt">
                <w:txbxContent>
                  <w:p w14:paraId="4D741E6B" w14:textId="6781BCC5" w:rsidR="007524D9" w:rsidRPr="007524D9" w:rsidRDefault="007524D9" w:rsidP="007524D9">
                    <w:pPr>
                      <w:rPr>
                        <w:rFonts w:ascii="Calibri" w:eastAsia="Calibri" w:hAnsi="Calibri" w:cs="Calibri"/>
                        <w:noProof/>
                        <w:color w:val="FF0000"/>
                        <w:szCs w:val="24"/>
                      </w:rPr>
                    </w:pPr>
                  </w:p>
                </w:txbxContent>
              </v:textbox>
              <w10:wrap anchorx="margin"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77BCC" w14:textId="25A4B408" w:rsidR="003C478A" w:rsidRDefault="007524D9">
    <w:pPr>
      <w:pStyle w:val="Footer"/>
    </w:pPr>
    <w:r>
      <mc:AlternateContent>
        <mc:Choice Requires="wps">
          <w:drawing>
            <wp:anchor distT="0" distB="0" distL="0" distR="0" simplePos="0" relativeHeight="251667456" behindDoc="0" locked="0" layoutInCell="1" allowOverlap="1" wp14:anchorId="3A9B5792" wp14:editId="1B57725E">
              <wp:simplePos x="0" y="0"/>
              <wp:positionH relativeFrom="page">
                <wp:posOffset>3505200</wp:posOffset>
              </wp:positionH>
              <wp:positionV relativeFrom="page">
                <wp:posOffset>10163175</wp:posOffset>
              </wp:positionV>
              <wp:extent cx="619125" cy="528955"/>
              <wp:effectExtent l="0" t="0" r="9525" b="0"/>
              <wp:wrapNone/>
              <wp:docPr id="1610391619"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19125" cy="528955"/>
                      </a:xfrm>
                      <a:prstGeom prst="rect">
                        <a:avLst/>
                      </a:prstGeom>
                      <a:noFill/>
                      <a:ln>
                        <a:noFill/>
                      </a:ln>
                    </wps:spPr>
                    <wps:txbx>
                      <w:txbxContent>
                        <w:p w14:paraId="788F6346" w14:textId="41FF31B6" w:rsidR="007524D9" w:rsidRPr="007524D9" w:rsidRDefault="007524D9" w:rsidP="007524D9">
                          <w:pPr>
                            <w:rPr>
                              <w:rFonts w:ascii="Calibri" w:eastAsia="Calibri" w:hAnsi="Calibri" w:cs="Calibri"/>
                              <w:noProof/>
                              <w:color w:val="FF0000"/>
                              <w:szCs w:val="24"/>
                            </w:rPr>
                          </w:pPr>
                        </w:p>
                      </w:txbxContent>
                    </wps:txbx>
                    <wps:bodyPr rot="0" spcFirstLastPara="0" vertOverflow="overflow" horzOverflow="overflow" vert="horz" wrap="square" lIns="0" tIns="0" rIns="0" bIns="190500" numCol="1" spcCol="0" rtlCol="0" fromWordArt="0" anchor="b" anchorCtr="0" forceAA="0" compatLnSpc="1">
                      <a:prstTxWarp prst="textNoShape">
                        <a:avLst/>
                      </a:prstTxWarp>
                      <a:spAutoFit/>
                    </wps:bodyPr>
                  </wps:wsp>
                </a:graphicData>
              </a:graphic>
              <wp14:sizeRelH relativeFrom="margin">
                <wp14:pctWidth>0</wp14:pctWidth>
              </wp14:sizeRelH>
            </wp:anchor>
          </w:drawing>
        </mc:Choice>
        <mc:Fallback>
          <w:pict>
            <v:shapetype w14:anchorId="3A9B5792" id="_x0000_t202" coordsize="21600,21600" o:spt="202" path="m,l,21600r21600,l21600,xe">
              <v:stroke joinstyle="miter"/>
              <v:path gradientshapeok="t" o:connecttype="rect"/>
            </v:shapetype>
            <v:shape id="Text Box 10" o:spid="_x0000_s1035" type="#_x0000_t202" alt="OFFICIAL" style="position:absolute;left:0;text-align:left;margin-left:276pt;margin-top:800.25pt;width:48.75pt;height:41.65pt;z-index:25166745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" filled="f" stroked="f">
              <v:textbox style="mso-fit-shape-to-text:t" inset="0,0,0,15pt">
                <w:txbxContent>
                  <w:p w14:paraId="788F6346" w14:textId="41FF31B6" w:rsidR="007524D9" w:rsidRPr="007524D9" w:rsidRDefault="007524D9" w:rsidP="007524D9">
                    <w:pPr>
                      <w:rPr>
                        <w:rFonts w:ascii="Calibri" w:eastAsia="Calibri" w:hAnsi="Calibri" w:cs="Calibri"/>
                        <w:noProof/>
                        <w:color w:val="FF0000"/>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4B6B2" w14:textId="77777777" w:rsidR="00CA56A3" w:rsidRDefault="00CA56A3" w:rsidP="00151C54">
      <w:r>
        <w:separator/>
      </w:r>
    </w:p>
  </w:footnote>
  <w:footnote w:type="continuationSeparator" w:id="0">
    <w:p w14:paraId="298DEF79" w14:textId="77777777" w:rsidR="00CA56A3" w:rsidRDefault="00CA56A3" w:rsidP="00151C54">
      <w:r>
        <w:continuationSeparator/>
      </w:r>
    </w:p>
  </w:footnote>
  <w:footnote w:type="continuationNotice" w:id="1">
    <w:p w14:paraId="45118DA4" w14:textId="77777777" w:rsidR="00CA56A3" w:rsidRDefault="00CA56A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BED5A" w14:textId="04EFCBC6" w:rsidR="007524D9" w:rsidRDefault="007524D9">
    <w:pPr>
      <w:pStyle w:val="Header"/>
    </w:pPr>
    <w:r>
      <w:rPr>
        <w:noProof/>
      </w:rPr>
      <mc:AlternateContent>
        <mc:Choice Requires="wps">
          <w:drawing>
            <wp:anchor distT="0" distB="0" distL="0" distR="0" simplePos="0" relativeHeight="251657216" behindDoc="0" locked="0" layoutInCell="1" allowOverlap="1" wp14:anchorId="7E690C7E" wp14:editId="58F3C921">
              <wp:simplePos x="635" y="635"/>
              <wp:positionH relativeFrom="page">
                <wp:align>center</wp:align>
              </wp:positionH>
              <wp:positionV relativeFrom="page">
                <wp:align>top</wp:align>
              </wp:positionV>
              <wp:extent cx="551815" cy="528955"/>
              <wp:effectExtent l="0" t="0" r="635" b="4445"/>
              <wp:wrapNone/>
              <wp:docPr id="124345247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28955"/>
                      </a:xfrm>
                      <a:prstGeom prst="rect">
                        <a:avLst/>
                      </a:prstGeom>
                      <a:noFill/>
                      <a:ln>
                        <a:noFill/>
                      </a:ln>
                    </wps:spPr>
                    <wps:txbx>
                      <w:txbxContent>
                        <w:p w14:paraId="4978130A" w14:textId="1E7F5275" w:rsidR="007524D9" w:rsidRPr="007524D9" w:rsidRDefault="007524D9" w:rsidP="007524D9">
                          <w:pPr>
                            <w:rPr>
                              <w:rFonts w:ascii="Calibri" w:eastAsia="Calibri" w:hAnsi="Calibri" w:cs="Calibri"/>
                              <w:noProof/>
                              <w:color w:val="FF0000"/>
                              <w:szCs w:val="24"/>
                            </w:rPr>
                          </w:pPr>
                          <w:r w:rsidRPr="007524D9">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690C7E" id="_x0000_t202" coordsize="21600,21600" o:spt="202" path="m,l,21600r21600,l21600,xe">
              <v:stroke joinstyle="miter"/>
              <v:path gradientshapeok="t" o:connecttype="rect"/>
            </v:shapetype>
            <v:shape id="Text Box 2" o:spid="_x0000_s1026" type="#_x0000_t202" alt="OFFICIAL" style="position:absolute;margin-left:0;margin-top:0;width:43.45pt;height:41.6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" filled="f" stroked="f">
              <v:textbox style="mso-fit-shape-to-text:t" inset="0,15pt,0,0">
                <w:txbxContent>
                  <w:p w14:paraId="4978130A" w14:textId="1E7F5275" w:rsidR="007524D9" w:rsidRPr="007524D9" w:rsidRDefault="007524D9" w:rsidP="007524D9">
                    <w:pPr>
                      <w:rPr>
                        <w:rFonts w:ascii="Calibri" w:eastAsia="Calibri" w:hAnsi="Calibri" w:cs="Calibri"/>
                        <w:noProof/>
                        <w:color w:val="FF0000"/>
                        <w:szCs w:val="24"/>
                      </w:rPr>
                    </w:pPr>
                    <w:r w:rsidRPr="007524D9">
                      <w:rPr>
                        <w:rFonts w:ascii="Calibri" w:eastAsia="Calibri" w:hAnsi="Calibri"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251A2" w14:textId="1E0B7C37" w:rsidR="007524D9" w:rsidRDefault="007524D9">
    <w:pPr>
      <w:pStyle w:val="Header"/>
    </w:pPr>
    <w:r>
      <w:rPr>
        <w:noProof/>
      </w:rPr>
      <mc:AlternateContent>
        <mc:Choice Requires="wps">
          <w:drawing>
            <wp:anchor distT="0" distB="0" distL="0" distR="0" simplePos="0" relativeHeight="251649024" behindDoc="0" locked="0" layoutInCell="1" allowOverlap="1" wp14:anchorId="39A91D60" wp14:editId="47736B71">
              <wp:simplePos x="901065" y="180975"/>
              <wp:positionH relativeFrom="page">
                <wp:align>center</wp:align>
              </wp:positionH>
              <wp:positionV relativeFrom="page">
                <wp:align>top</wp:align>
              </wp:positionV>
              <wp:extent cx="551815" cy="528955"/>
              <wp:effectExtent l="0" t="0" r="635" b="4445"/>
              <wp:wrapNone/>
              <wp:docPr id="136726871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28955"/>
                      </a:xfrm>
                      <a:prstGeom prst="rect">
                        <a:avLst/>
                      </a:prstGeom>
                      <a:noFill/>
                      <a:ln>
                        <a:noFill/>
                      </a:ln>
                    </wps:spPr>
                    <wps:txbx>
                      <w:txbxContent>
                        <w:p w14:paraId="5CEA0D43" w14:textId="1A0BB16A" w:rsidR="007524D9" w:rsidRPr="007524D9" w:rsidRDefault="007524D9" w:rsidP="007524D9">
                          <w:pPr>
                            <w:rPr>
                              <w:rFonts w:ascii="Calibri" w:eastAsia="Calibri" w:hAnsi="Calibri" w:cs="Calibri"/>
                              <w:noProof/>
                              <w:color w:val="FF0000"/>
                              <w:szCs w:val="24"/>
                            </w:rPr>
                          </w:pPr>
                          <w:r w:rsidRPr="007524D9">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A91D60" id="_x0000_t202" coordsize="21600,21600" o:spt="202" path="m,l,21600r21600,l21600,xe">
              <v:stroke joinstyle="miter"/>
              <v:path gradientshapeok="t" o:connecttype="rect"/>
            </v:shapetype>
            <v:shape id="Text Box 1" o:spid="_x0000_s1028" type="#_x0000_t202" alt="OFFICIAL" style="position:absolute;margin-left:0;margin-top:0;width:43.45pt;height:41.65pt;z-index:2516490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" filled="f" stroked="f">
              <v:textbox style="mso-fit-shape-to-text:t" inset="0,15pt,0,0">
                <w:txbxContent>
                  <w:p w14:paraId="5CEA0D43" w14:textId="1A0BB16A" w:rsidR="007524D9" w:rsidRPr="007524D9" w:rsidRDefault="007524D9" w:rsidP="007524D9">
                    <w:pPr>
                      <w:rPr>
                        <w:rFonts w:ascii="Calibri" w:eastAsia="Calibri" w:hAnsi="Calibri" w:cs="Calibri"/>
                        <w:noProof/>
                        <w:color w:val="FF0000"/>
                        <w:szCs w:val="24"/>
                      </w:rPr>
                    </w:pPr>
                    <w:r w:rsidRPr="007524D9">
                      <w:rPr>
                        <w:rFonts w:ascii="Calibri" w:eastAsia="Calibri" w:hAnsi="Calibri" w:cs="Calibri"/>
                        <w:noProof/>
                        <w:color w:val="FF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6C905" w14:textId="4794C74B" w:rsidR="007524D9" w:rsidRDefault="007524D9">
    <w:pPr>
      <w:pStyle w:val="Header"/>
    </w:pPr>
    <w:r>
      <w:rPr>
        <w:noProof/>
      </w:rPr>
      <mc:AlternateContent>
        <mc:Choice Requires="wps">
          <w:drawing>
            <wp:anchor distT="0" distB="0" distL="0" distR="0" simplePos="0" relativeHeight="251662336" behindDoc="0" locked="0" layoutInCell="1" allowOverlap="1" wp14:anchorId="31AE55B9" wp14:editId="3C539D64">
              <wp:simplePos x="635" y="635"/>
              <wp:positionH relativeFrom="page">
                <wp:align>center</wp:align>
              </wp:positionH>
              <wp:positionV relativeFrom="page">
                <wp:align>top</wp:align>
              </wp:positionV>
              <wp:extent cx="551815" cy="528955"/>
              <wp:effectExtent l="0" t="0" r="635" b="4445"/>
              <wp:wrapNone/>
              <wp:docPr id="380251053"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28955"/>
                      </a:xfrm>
                      <a:prstGeom prst="rect">
                        <a:avLst/>
                      </a:prstGeom>
                      <a:noFill/>
                      <a:ln>
                        <a:noFill/>
                      </a:ln>
                    </wps:spPr>
                    <wps:txbx>
                      <w:txbxContent>
                        <w:p w14:paraId="4B28A493" w14:textId="713E6CC6" w:rsidR="007524D9" w:rsidRPr="007524D9" w:rsidRDefault="007524D9" w:rsidP="007524D9">
                          <w:pPr>
                            <w:rPr>
                              <w:rFonts w:ascii="Calibri" w:eastAsia="Calibri" w:hAnsi="Calibri" w:cs="Calibri"/>
                              <w:noProof/>
                              <w:color w:val="FF0000"/>
                              <w:szCs w:val="24"/>
                            </w:rPr>
                          </w:pPr>
                          <w:r w:rsidRPr="007524D9">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AE55B9" id="_x0000_t202" coordsize="21600,21600" o:spt="202" path="m,l,21600r21600,l21600,xe">
              <v:stroke joinstyle="miter"/>
              <v:path gradientshapeok="t" o:connecttype="rect"/>
            </v:shapetype>
            <v:shape id="Text Box 5" o:spid="_x0000_s1030" type="#_x0000_t202" alt="OFFICIAL" style="position:absolute;margin-left:0;margin-top:0;width:43.45pt;height:41.6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" filled="f" stroked="f">
              <v:textbox style="mso-fit-shape-to-text:t" inset="0,15pt,0,0">
                <w:txbxContent>
                  <w:p w14:paraId="4B28A493" w14:textId="713E6CC6" w:rsidR="007524D9" w:rsidRPr="007524D9" w:rsidRDefault="007524D9" w:rsidP="007524D9">
                    <w:pPr>
                      <w:rPr>
                        <w:rFonts w:ascii="Calibri" w:eastAsia="Calibri" w:hAnsi="Calibri" w:cs="Calibri"/>
                        <w:noProof/>
                        <w:color w:val="FF0000"/>
                        <w:szCs w:val="24"/>
                      </w:rPr>
                    </w:pPr>
                    <w:r w:rsidRPr="007524D9">
                      <w:rPr>
                        <w:rFonts w:ascii="Calibri" w:eastAsia="Calibri" w:hAnsi="Calibri" w:cs="Calibri"/>
                        <w:noProof/>
                        <w:color w:val="FF0000"/>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B081A" w14:textId="7CBCCC99" w:rsidR="007524D9" w:rsidRDefault="007524D9">
    <w:pPr>
      <w:pStyle w:val="Header"/>
    </w:pPr>
    <w:r>
      <w:rPr>
        <w:noProof/>
      </w:rPr>
      <mc:AlternateContent>
        <mc:Choice Requires="wps">
          <w:drawing>
            <wp:anchor distT="0" distB="0" distL="0" distR="0" simplePos="0" relativeHeight="251663360" behindDoc="0" locked="0" layoutInCell="1" allowOverlap="1" wp14:anchorId="720206A2" wp14:editId="5AE7314B">
              <wp:simplePos x="900332" y="182880"/>
              <wp:positionH relativeFrom="page">
                <wp:align>center</wp:align>
              </wp:positionH>
              <wp:positionV relativeFrom="page">
                <wp:align>top</wp:align>
              </wp:positionV>
              <wp:extent cx="551815" cy="528955"/>
              <wp:effectExtent l="0" t="0" r="635" b="4445"/>
              <wp:wrapNone/>
              <wp:docPr id="208214267"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28955"/>
                      </a:xfrm>
                      <a:prstGeom prst="rect">
                        <a:avLst/>
                      </a:prstGeom>
                      <a:noFill/>
                      <a:ln>
                        <a:noFill/>
                      </a:ln>
                    </wps:spPr>
                    <wps:txbx>
                      <w:txbxContent>
                        <w:p w14:paraId="084B95C6" w14:textId="2E16F1A5" w:rsidR="007524D9" w:rsidRPr="007524D9" w:rsidRDefault="007524D9" w:rsidP="007524D9">
                          <w:pPr>
                            <w:rPr>
                              <w:rFonts w:ascii="Calibri" w:eastAsia="Calibri" w:hAnsi="Calibri" w:cs="Calibri"/>
                              <w:noProof/>
                              <w:color w:val="FF0000"/>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0206A2" id="_x0000_t202" coordsize="21600,21600" o:spt="202" path="m,l,21600r21600,l21600,xe">
              <v:stroke joinstyle="miter"/>
              <v:path gradientshapeok="t" o:connecttype="rect"/>
            </v:shapetype>
            <v:shape id="Text Box 6" o:spid="_x0000_s1031" type="#_x0000_t202" alt="OFFICIAL" style="position:absolute;margin-left:0;margin-top:0;width:43.45pt;height:41.6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" filled="f" stroked="f">
              <v:textbox style="mso-fit-shape-to-text:t" inset="0,15pt,0,0">
                <w:txbxContent>
                  <w:p w14:paraId="084B95C6" w14:textId="2E16F1A5" w:rsidR="007524D9" w:rsidRPr="007524D9" w:rsidRDefault="007524D9" w:rsidP="007524D9">
                    <w:pPr>
                      <w:rPr>
                        <w:rFonts w:ascii="Calibri" w:eastAsia="Calibri" w:hAnsi="Calibri" w:cs="Calibri"/>
                        <w:noProof/>
                        <w:color w:val="FF0000"/>
                        <w:szCs w:val="24"/>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4536A" w14:textId="0AA449F2" w:rsidR="007524D9" w:rsidRDefault="007524D9">
    <w:pPr>
      <w:pStyle w:val="Header"/>
    </w:pPr>
    <w:r>
      <w:rPr>
        <w:noProof/>
      </w:rPr>
      <mc:AlternateContent>
        <mc:Choice Requires="wps">
          <w:drawing>
            <wp:anchor distT="0" distB="0" distL="0" distR="0" simplePos="0" relativeHeight="251661312" behindDoc="0" locked="0" layoutInCell="1" allowOverlap="1" wp14:anchorId="5BB56F0E" wp14:editId="67632D61">
              <wp:simplePos x="901065" y="180975"/>
              <wp:positionH relativeFrom="page">
                <wp:align>center</wp:align>
              </wp:positionH>
              <wp:positionV relativeFrom="page">
                <wp:align>top</wp:align>
              </wp:positionV>
              <wp:extent cx="551815" cy="528955"/>
              <wp:effectExtent l="0" t="0" r="635" b="4445"/>
              <wp:wrapNone/>
              <wp:docPr id="1055865003"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28955"/>
                      </a:xfrm>
                      <a:prstGeom prst="rect">
                        <a:avLst/>
                      </a:prstGeom>
                      <a:noFill/>
                      <a:ln>
                        <a:noFill/>
                      </a:ln>
                    </wps:spPr>
                    <wps:txbx>
                      <w:txbxContent>
                        <w:p w14:paraId="05EA20B6" w14:textId="52E10400" w:rsidR="007524D9" w:rsidRPr="007524D9" w:rsidRDefault="007524D9" w:rsidP="007524D9">
                          <w:pPr>
                            <w:rPr>
                              <w:rFonts w:ascii="Calibri" w:eastAsia="Calibri" w:hAnsi="Calibri" w:cs="Calibri"/>
                              <w:noProof/>
                              <w:color w:val="FF0000"/>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B56F0E" id="_x0000_t202" coordsize="21600,21600" o:spt="202" path="m,l,21600r21600,l21600,xe">
              <v:stroke joinstyle="miter"/>
              <v:path gradientshapeok="t" o:connecttype="rect"/>
            </v:shapetype>
            <v:shape id="Text Box 4" o:spid="_x0000_s1034" type="#_x0000_t202" alt="OFFICIAL" style="position:absolute;margin-left:0;margin-top:0;width:43.45pt;height:41.6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" filled="f" stroked="f">
              <v:textbox style="mso-fit-shape-to-text:t" inset="0,15pt,0,0">
                <w:txbxContent>
                  <w:p w14:paraId="05EA20B6" w14:textId="52E10400" w:rsidR="007524D9" w:rsidRPr="007524D9" w:rsidRDefault="007524D9" w:rsidP="007524D9">
                    <w:pPr>
                      <w:rPr>
                        <w:rFonts w:ascii="Calibri" w:eastAsia="Calibri" w:hAnsi="Calibri" w:cs="Calibri"/>
                        <w:noProof/>
                        <w:color w:val="FF0000"/>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713"/>
    <w:multiLevelType w:val="hybridMultilevel"/>
    <w:tmpl w:val="3F2E3BD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F42C8C"/>
    <w:multiLevelType w:val="hybridMultilevel"/>
    <w:tmpl w:val="6CBAAF6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D74775"/>
    <w:multiLevelType w:val="hybridMultilevel"/>
    <w:tmpl w:val="2298A6C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4053AF6"/>
    <w:multiLevelType w:val="hybridMultilevel"/>
    <w:tmpl w:val="E3B09124"/>
    <w:lvl w:ilvl="0" w:tplc="0C090003">
      <w:start w:val="1"/>
      <w:numFmt w:val="bullet"/>
      <w:lvlText w:val="o"/>
      <w:lvlJc w:val="left"/>
      <w:pPr>
        <w:ind w:left="1440" w:hanging="360"/>
      </w:pPr>
      <w:rPr>
        <w:rFonts w:ascii="Courier New" w:hAnsi="Courier New" w:cs="Courier New" w:hint="default"/>
      </w:rPr>
    </w:lvl>
    <w:lvl w:ilvl="1" w:tplc="AFDC4198">
      <w:numFmt w:val="bullet"/>
      <w:lvlText w:val="•"/>
      <w:lvlJc w:val="left"/>
      <w:pPr>
        <w:ind w:left="2160" w:hanging="360"/>
      </w:pPr>
      <w:rPr>
        <w:rFonts w:ascii="Times New Roman" w:eastAsiaTheme="minorEastAsia" w:hAnsi="Times New Roman" w:cs="Times New Roman"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4B81239"/>
    <w:multiLevelType w:val="hybridMultilevel"/>
    <w:tmpl w:val="B004406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284BAA"/>
    <w:multiLevelType w:val="hybridMultilevel"/>
    <w:tmpl w:val="090C8AD8"/>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1FC5091E"/>
    <w:multiLevelType w:val="hybridMultilevel"/>
    <w:tmpl w:val="EDD22D82"/>
    <w:lvl w:ilvl="0" w:tplc="6388DAF0">
      <w:start w:val="1"/>
      <w:numFmt w:val="decimal"/>
      <w:lvlText w:val="%1."/>
      <w:lvlJc w:val="left"/>
      <w:pPr>
        <w:ind w:left="360" w:hanging="360"/>
      </w:pPr>
      <w:rPr>
        <w:rFonts w:ascii="Times New Roman" w:hAnsi="Times New Roman" w:cs="Times New Roman" w:hint="default"/>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37447087"/>
    <w:multiLevelType w:val="hybridMultilevel"/>
    <w:tmpl w:val="C2386494"/>
    <w:lvl w:ilvl="0" w:tplc="11C28D1C">
      <w:start w:val="1"/>
      <w:numFmt w:val="bulle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6" w15:restartNumberingAfterBreak="0">
    <w:nsid w:val="3A88210A"/>
    <w:multiLevelType w:val="hybridMultilevel"/>
    <w:tmpl w:val="528658D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C6664EA"/>
    <w:multiLevelType w:val="hybridMultilevel"/>
    <w:tmpl w:val="6DF6E8C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F0845B0"/>
    <w:multiLevelType w:val="hybridMultilevel"/>
    <w:tmpl w:val="ECA86A74"/>
    <w:lvl w:ilvl="0" w:tplc="4736549C">
      <w:start w:val="1"/>
      <w:numFmt w:val="lowerLetter"/>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9" w15:restartNumberingAfterBreak="0">
    <w:nsid w:val="40FE09EF"/>
    <w:multiLevelType w:val="hybridMultilevel"/>
    <w:tmpl w:val="ABEC1FC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2" w15:restartNumberingAfterBreak="0">
    <w:nsid w:val="44996DB6"/>
    <w:multiLevelType w:val="hybridMultilevel"/>
    <w:tmpl w:val="5472F95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5453958"/>
    <w:multiLevelType w:val="hybridMultilevel"/>
    <w:tmpl w:val="005AD840"/>
    <w:lvl w:ilvl="0" w:tplc="FFFFFFFF">
      <w:start w:val="1"/>
      <w:numFmt w:val="lowerLetter"/>
      <w:lvlText w:val="%1)"/>
      <w:lvlJc w:val="left"/>
      <w:pPr>
        <w:ind w:left="720" w:hanging="360"/>
      </w:pPr>
    </w:lvl>
    <w:lvl w:ilvl="1" w:tplc="0C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69D3640"/>
    <w:multiLevelType w:val="multilevel"/>
    <w:tmpl w:val="F086C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51F14FAD"/>
    <w:multiLevelType w:val="hybridMultilevel"/>
    <w:tmpl w:val="EA08CEE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3407629"/>
    <w:multiLevelType w:val="hybridMultilevel"/>
    <w:tmpl w:val="9ADC963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35F29A9"/>
    <w:multiLevelType w:val="hybridMultilevel"/>
    <w:tmpl w:val="87506EE2"/>
    <w:lvl w:ilvl="0" w:tplc="FFFFFFFF">
      <w:start w:val="1"/>
      <w:numFmt w:val="lowerLetter"/>
      <w:lvlText w:val="%1)"/>
      <w:lvlJc w:val="left"/>
      <w:pPr>
        <w:ind w:left="720" w:hanging="360"/>
      </w:pPr>
    </w:lvl>
    <w:lvl w:ilvl="1" w:tplc="0C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9A440F6"/>
    <w:multiLevelType w:val="hybridMultilevel"/>
    <w:tmpl w:val="C4A6B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EC7461"/>
    <w:multiLevelType w:val="hybridMultilevel"/>
    <w:tmpl w:val="ECCCF33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ECC7D08"/>
    <w:multiLevelType w:val="hybridMultilevel"/>
    <w:tmpl w:val="137CD6EC"/>
    <w:lvl w:ilvl="0" w:tplc="A4586E0A">
      <w:numFmt w:val="bullet"/>
      <w:lvlText w:val=""/>
      <w:lvlJc w:val="left"/>
      <w:pPr>
        <w:ind w:left="1080" w:hanging="360"/>
      </w:pPr>
      <w:rPr>
        <w:rFonts w:ascii="Symbol" w:eastAsia="Calibri" w:hAnsi="Symbol"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4" w15:restartNumberingAfterBreak="0">
    <w:nsid w:val="604C212A"/>
    <w:multiLevelType w:val="hybridMultilevel"/>
    <w:tmpl w:val="EC60B08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1776EA1"/>
    <w:multiLevelType w:val="hybridMultilevel"/>
    <w:tmpl w:val="592A05B6"/>
    <w:lvl w:ilvl="0" w:tplc="FFFFFFFF">
      <w:start w:val="1"/>
      <w:numFmt w:val="lowerLetter"/>
      <w:lvlText w:val="%1)"/>
      <w:lvlJc w:val="left"/>
      <w:pPr>
        <w:ind w:left="720" w:hanging="360"/>
      </w:pPr>
    </w:lvl>
    <w:lvl w:ilvl="1" w:tplc="0C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37" w15:restartNumberingAfterBreak="0">
    <w:nsid w:val="63AE47BA"/>
    <w:multiLevelType w:val="hybridMultilevel"/>
    <w:tmpl w:val="C4684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4044553"/>
    <w:multiLevelType w:val="multilevel"/>
    <w:tmpl w:val="4E5EF378"/>
    <w:lvl w:ilvl="0">
      <w:start w:val="1"/>
      <w:numFmt w:val="upperLetter"/>
      <w:pStyle w:val="Heading1"/>
      <w:suff w:val="nothing"/>
      <w:lvlText w:val="Attachment %1"/>
      <w:lvlJc w:val="right"/>
      <w:pPr>
        <w:ind w:left="8931" w:firstLine="0"/>
      </w:pPr>
      <w:rPr>
        <w:rFonts w:hint="default"/>
      </w:rPr>
    </w:lvl>
    <w:lvl w:ilvl="1">
      <w:start w:val="1"/>
      <w:numFmt w:val="none"/>
      <w:lvlRestart w:val="0"/>
      <w:pStyle w:val="Heading2"/>
      <w:suff w:val="nothing"/>
      <w:lvlText w:val=""/>
      <w:lvlJc w:val="left"/>
      <w:pPr>
        <w:ind w:left="0" w:firstLine="0"/>
      </w:pPr>
      <w:rPr>
        <w:rFonts w:ascii="Times New Roman" w:hAnsi="Times New Roman" w:hint="default"/>
        <w:b w:val="0"/>
        <w:i w:val="0"/>
        <w:caps w:val="0"/>
        <w:strike w:val="0"/>
        <w:dstrike w:val="0"/>
        <w:vanish w:val="0"/>
        <w:sz w:val="22"/>
        <w:u w:val="single"/>
        <w:vertAlign w:val="baseline"/>
      </w:rPr>
    </w:lvl>
    <w:lvl w:ilvl="2">
      <w:start w:val="1"/>
      <w:numFmt w:val="none"/>
      <w:lvlRestart w:val="0"/>
      <w:lvlText w:val=""/>
      <w:lvlJc w:val="left"/>
      <w:pPr>
        <w:tabs>
          <w:tab w:val="num" w:pos="567"/>
        </w:tabs>
        <w:ind w:left="567" w:hanging="567"/>
      </w:pPr>
      <w:rPr>
        <w:rFonts w:hint="default"/>
        <w:b w:val="0"/>
        <w:i w:val="0"/>
        <w:caps w:val="0"/>
        <w:strike w:val="0"/>
        <w:dstrike w:val="0"/>
        <w:vanish w:val="0"/>
        <w:sz w:val="22"/>
        <w:u w:val="single"/>
        <w:vertAlign w:val="baseline"/>
      </w:rPr>
    </w:lvl>
    <w:lvl w:ilvl="3">
      <w:start w:val="1"/>
      <w:numFmt w:val="decimal"/>
      <w:lvlRestart w:val="0"/>
      <w:pStyle w:val="Heading4"/>
      <w:lvlText w:val="%4."/>
      <w:lvlJc w:val="left"/>
      <w:pPr>
        <w:tabs>
          <w:tab w:val="num" w:pos="5529"/>
        </w:tabs>
        <w:ind w:left="5529" w:hanging="567"/>
      </w:pPr>
      <w:rPr>
        <w:rFonts w:ascii="Times New Roman" w:hAnsi="Times New Roman" w:hint="default"/>
        <w:b w:val="0"/>
        <w:i w:val="0"/>
        <w:caps w:val="0"/>
        <w:strike w:val="0"/>
        <w:dstrike w:val="0"/>
        <w:vanish w:val="0"/>
        <w:sz w:val="22"/>
        <w:vertAlign w:val="baseline"/>
      </w:rPr>
    </w:lvl>
    <w:lvl w:ilvl="4">
      <w:start w:val="1"/>
      <w:numFmt w:val="lowerLetter"/>
      <w:pStyle w:val="Heading5"/>
      <w:lvlText w:val="(%5)"/>
      <w:lvlJc w:val="left"/>
      <w:pPr>
        <w:tabs>
          <w:tab w:val="num" w:pos="5954"/>
        </w:tabs>
        <w:ind w:left="5954" w:hanging="567"/>
      </w:pPr>
      <w:rPr>
        <w:rFonts w:ascii="Times New Roman" w:hAnsi="Times New Roman" w:hint="default"/>
        <w:b w:val="0"/>
        <w:i w:val="0"/>
        <w:caps w:val="0"/>
        <w:strike w:val="0"/>
        <w:dstrike w:val="0"/>
        <w:vanish w:val="0"/>
        <w:sz w:val="22"/>
        <w:vertAlign w:val="baseline"/>
      </w:rPr>
    </w:lvl>
    <w:lvl w:ilvl="5">
      <w:start w:val="1"/>
      <w:numFmt w:val="lowerRoman"/>
      <w:pStyle w:val="Heading6"/>
      <w:lvlText w:val="(%6)"/>
      <w:lvlJc w:val="left"/>
      <w:pPr>
        <w:ind w:left="7307" w:hanging="360"/>
      </w:pPr>
      <w:rPr>
        <w:rFonts w:hint="default"/>
      </w:rPr>
    </w:lvl>
    <w:lvl w:ilvl="6">
      <w:start w:val="1"/>
      <w:numFmt w:val="upperLetter"/>
      <w:pStyle w:val="Heading7"/>
      <w:lvlText w:val="%7"/>
      <w:lvlJc w:val="left"/>
      <w:pPr>
        <w:ind w:left="2268" w:hanging="567"/>
      </w:pPr>
      <w:rPr>
        <w:rFonts w:ascii="Times New Roman" w:hAnsi="Times New Roman" w:hint="default"/>
        <w:b w:val="0"/>
        <w:i w:val="0"/>
        <w:caps w:val="0"/>
        <w:strike w:val="0"/>
        <w:dstrike w:val="0"/>
        <w:vanish w:val="0"/>
        <w:sz w:val="24"/>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5577442"/>
    <w:multiLevelType w:val="hybridMultilevel"/>
    <w:tmpl w:val="C9EC064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99C4D70"/>
    <w:multiLevelType w:val="hybridMultilevel"/>
    <w:tmpl w:val="241CA24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D760612"/>
    <w:multiLevelType w:val="hybridMultilevel"/>
    <w:tmpl w:val="20EE9A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FFD0534"/>
    <w:multiLevelType w:val="multilevel"/>
    <w:tmpl w:val="99B2EA82"/>
    <w:lvl w:ilvl="0">
      <w:start w:val="1"/>
      <w:numFmt w:val="none"/>
      <w:lvlText w:val=""/>
      <w:lvlJc w:val="left"/>
      <w:pPr>
        <w:ind w:left="567" w:firstLine="0"/>
      </w:pPr>
      <w:rPr>
        <w:rFonts w:ascii="Times New Roman" w:hAnsi="Times New Roman" w:hint="default"/>
        <w:b w:val="0"/>
        <w:i w:val="0"/>
        <w:caps w:val="0"/>
        <w:strike w:val="0"/>
        <w:dstrike w:val="0"/>
        <w:vanish w:val="0"/>
        <w:sz w:val="22"/>
        <w:vertAlign w:val="baseline"/>
      </w:rPr>
    </w:lvl>
    <w:lvl w:ilvl="1">
      <w:start w:val="1"/>
      <w:numFmt w:val="none"/>
      <w:lvlRestart w:val="0"/>
      <w:lvlText w:val=""/>
      <w:lvlJc w:val="left"/>
      <w:pPr>
        <w:ind w:left="567" w:hanging="567"/>
      </w:pPr>
      <w:rPr>
        <w:rFonts w:ascii="Times New Roman" w:hAnsi="Times New Roman" w:hint="default"/>
        <w:b w:val="0"/>
        <w:i w:val="0"/>
        <w:sz w:val="22"/>
      </w:rPr>
    </w:lvl>
    <w:lvl w:ilvl="2">
      <w:start w:val="1"/>
      <w:numFmt w:val="decimal"/>
      <w:lvlRestart w:val="0"/>
      <w:lvlText w:val="%3%1"/>
      <w:lvlJc w:val="left"/>
      <w:pPr>
        <w:tabs>
          <w:tab w:val="num" w:pos="1134"/>
        </w:tabs>
        <w:ind w:left="1134" w:hanging="567"/>
      </w:pPr>
      <w:rPr>
        <w:rFonts w:ascii="Times New Roman" w:hAnsi="Times New Roman" w:hint="default"/>
        <w:b w:val="0"/>
        <w:i w:val="0"/>
        <w:caps w:val="0"/>
        <w:strike w:val="0"/>
        <w:dstrike w:val="0"/>
        <w:vanish w:val="0"/>
        <w:sz w:val="22"/>
        <w:vertAlign w:val="baseline"/>
      </w:rPr>
    </w:lvl>
    <w:lvl w:ilvl="3">
      <w:start w:val="1"/>
      <w:numFmt w:val="lowerLetter"/>
      <w:lvlText w:val="(%4)"/>
      <w:lvlJc w:val="left"/>
      <w:pPr>
        <w:tabs>
          <w:tab w:val="num" w:pos="1134"/>
        </w:tabs>
        <w:ind w:left="1135" w:hanging="568"/>
      </w:pPr>
      <w:rPr>
        <w:rFonts w:ascii="Times New Roman" w:hAnsi="Times New Roman" w:hint="default"/>
        <w:b w:val="0"/>
        <w:i w:val="0"/>
        <w:caps w:val="0"/>
        <w:strike w:val="0"/>
        <w:dstrike w:val="0"/>
        <w:vanish w:val="0"/>
        <w:sz w:val="22"/>
        <w:vertAlign w:val="baseline"/>
      </w:rPr>
    </w:lvl>
    <w:lvl w:ilvl="4">
      <w:start w:val="1"/>
      <w:numFmt w:val="lowerRoman"/>
      <w:pStyle w:val="NumberLevel5"/>
      <w:lvlText w:val="(%5)"/>
      <w:lvlJc w:val="left"/>
      <w:pPr>
        <w:tabs>
          <w:tab w:val="num" w:pos="1701"/>
        </w:tabs>
        <w:ind w:left="1701" w:hanging="567"/>
      </w:pPr>
      <w:rPr>
        <w:rFonts w:ascii="Times New Roman" w:hAnsi="Times New Roman" w:cs="Arial" w:hint="default"/>
        <w:b w:val="0"/>
        <w:i w:val="0"/>
        <w:caps w:val="0"/>
        <w:strike w:val="0"/>
        <w:dstrike w:val="0"/>
        <w:vanish w:val="0"/>
        <w:color w:val="auto"/>
        <w:sz w:val="22"/>
        <w:vertAlign w:val="baseline"/>
      </w:rPr>
    </w:lvl>
    <w:lvl w:ilvl="5">
      <w:start w:val="1"/>
      <w:numFmt w:val="bullet"/>
      <w:pStyle w:val="NumberLevel6"/>
      <w:lvlText w:val=""/>
      <w:lvlJc w:val="left"/>
      <w:pPr>
        <w:ind w:left="1494" w:hanging="360"/>
      </w:pPr>
      <w:rPr>
        <w:rFonts w:ascii="Symbol" w:hAnsi="Symbol" w:hint="default"/>
      </w:rPr>
    </w:lvl>
    <w:lvl w:ilvl="6">
      <w:start w:val="1"/>
      <w:numFmt w:val="bullet"/>
      <w:pStyle w:val="NumberLevel7"/>
      <w:lvlText w:val="o"/>
      <w:lvlJc w:val="left"/>
      <w:pPr>
        <w:ind w:left="1920" w:hanging="360"/>
      </w:pPr>
      <w:rPr>
        <w:rFonts w:ascii="Courier New" w:hAnsi="Courier New" w:cs="Courier New" w:hint="default"/>
      </w:rPr>
    </w:lvl>
    <w:lvl w:ilvl="7">
      <w:start w:val="1"/>
      <w:numFmt w:val="bullet"/>
      <w:pStyle w:val="NumberLevel8"/>
      <w:lvlText w:val="–"/>
      <w:lvlJc w:val="left"/>
      <w:pPr>
        <w:tabs>
          <w:tab w:val="num" w:pos="3119"/>
        </w:tabs>
        <w:ind w:left="2410" w:hanging="425"/>
      </w:pPr>
      <w:rPr>
        <w:rFonts w:hint="default"/>
        <w:b w:val="0"/>
        <w:i w:val="0"/>
      </w:rPr>
    </w:lvl>
    <w:lvl w:ilvl="8">
      <w:start w:val="1"/>
      <w:numFmt w:val="bullet"/>
      <w:pStyle w:val="NumberLevel9"/>
      <w:lvlText w:val="–"/>
      <w:lvlJc w:val="left"/>
      <w:pPr>
        <w:tabs>
          <w:tab w:val="num" w:pos="3544"/>
        </w:tabs>
        <w:ind w:left="2835" w:hanging="425"/>
      </w:pPr>
      <w:rPr>
        <w:rFonts w:hint="default"/>
        <w:b w:val="0"/>
        <w:i w:val="0"/>
      </w:rPr>
    </w:lvl>
  </w:abstractNum>
  <w:abstractNum w:abstractNumId="44" w15:restartNumberingAfterBreak="0">
    <w:nsid w:val="75D54DB1"/>
    <w:multiLevelType w:val="hybridMultilevel"/>
    <w:tmpl w:val="79FA114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6707FC7"/>
    <w:multiLevelType w:val="hybridMultilevel"/>
    <w:tmpl w:val="771E2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9341B25"/>
    <w:multiLevelType w:val="hybridMultilevel"/>
    <w:tmpl w:val="29C61CA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BA949B2"/>
    <w:multiLevelType w:val="hybridMultilevel"/>
    <w:tmpl w:val="FDA431E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D3F1D48"/>
    <w:multiLevelType w:val="hybridMultilevel"/>
    <w:tmpl w:val="4A2C0292"/>
    <w:lvl w:ilvl="0" w:tplc="FFFFFFFF">
      <w:start w:val="1"/>
      <w:numFmt w:val="lowerLetter"/>
      <w:lvlText w:val="%1)"/>
      <w:lvlJc w:val="left"/>
      <w:pPr>
        <w:ind w:left="720" w:hanging="360"/>
      </w:pPr>
    </w:lvl>
    <w:lvl w:ilvl="1" w:tplc="0C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D8D6D60"/>
    <w:multiLevelType w:val="hybridMultilevel"/>
    <w:tmpl w:val="96D63F0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E363599"/>
    <w:multiLevelType w:val="singleLevel"/>
    <w:tmpl w:val="5BF64B10"/>
    <w:lvl w:ilvl="0">
      <w:start w:val="1"/>
      <w:numFmt w:val="bullet"/>
      <w:lvlText w:val=""/>
      <w:lvlJc w:val="left"/>
      <w:pPr>
        <w:tabs>
          <w:tab w:val="num" w:pos="360"/>
        </w:tabs>
        <w:ind w:left="360" w:hanging="360"/>
      </w:pPr>
      <w:rPr>
        <w:rFonts w:ascii="Symbol" w:hAnsi="Symbol" w:hint="default"/>
      </w:rPr>
    </w:lvl>
  </w:abstractNum>
  <w:num w:numId="1" w16cid:durableId="497579797">
    <w:abstractNumId w:val="15"/>
  </w:num>
  <w:num w:numId="2" w16cid:durableId="51856233">
    <w:abstractNumId w:val="51"/>
  </w:num>
  <w:num w:numId="3" w16cid:durableId="164979041">
    <w:abstractNumId w:val="21"/>
  </w:num>
  <w:num w:numId="4" w16cid:durableId="1696030007">
    <w:abstractNumId w:val="6"/>
  </w:num>
  <w:num w:numId="5" w16cid:durableId="1596130440">
    <w:abstractNumId w:val="3"/>
  </w:num>
  <w:num w:numId="6" w16cid:durableId="1184630260">
    <w:abstractNumId w:val="14"/>
  </w:num>
  <w:num w:numId="7" w16cid:durableId="2041933559">
    <w:abstractNumId w:val="4"/>
  </w:num>
  <w:num w:numId="8" w16cid:durableId="784276465">
    <w:abstractNumId w:val="10"/>
  </w:num>
  <w:num w:numId="9" w16cid:durableId="1219899465">
    <w:abstractNumId w:val="13"/>
  </w:num>
  <w:num w:numId="10" w16cid:durableId="2030066208">
    <w:abstractNumId w:val="27"/>
  </w:num>
  <w:num w:numId="11" w16cid:durableId="1513371342">
    <w:abstractNumId w:val="40"/>
  </w:num>
  <w:num w:numId="12" w16cid:durableId="1442339629">
    <w:abstractNumId w:val="18"/>
  </w:num>
  <w:num w:numId="13" w16cid:durableId="476148322">
    <w:abstractNumId w:val="18"/>
    <w:lvlOverride w:ilvl="0">
      <w:startOverride w:val="1"/>
    </w:lvlOverride>
  </w:num>
  <w:num w:numId="14" w16cid:durableId="1584796923">
    <w:abstractNumId w:val="1"/>
  </w:num>
  <w:num w:numId="15" w16cid:durableId="155154958">
    <w:abstractNumId w:val="26"/>
  </w:num>
  <w:num w:numId="16" w16cid:durableId="677006157">
    <w:abstractNumId w:val="48"/>
  </w:num>
  <w:num w:numId="17" w16cid:durableId="248543903">
    <w:abstractNumId w:val="25"/>
  </w:num>
  <w:num w:numId="18" w16cid:durableId="15085815">
    <w:abstractNumId w:val="20"/>
  </w:num>
  <w:num w:numId="19" w16cid:durableId="846792410">
    <w:abstractNumId w:val="8"/>
  </w:num>
  <w:num w:numId="20" w16cid:durableId="856888636">
    <w:abstractNumId w:val="5"/>
  </w:num>
  <w:num w:numId="21" w16cid:durableId="10465623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1292808">
    <w:abstractNumId w:val="31"/>
  </w:num>
  <w:num w:numId="23" w16cid:durableId="486820524">
    <w:abstractNumId w:val="45"/>
  </w:num>
  <w:num w:numId="24" w16cid:durableId="1513450288">
    <w:abstractNumId w:val="37"/>
  </w:num>
  <w:num w:numId="25" w16cid:durableId="1207328466">
    <w:abstractNumId w:val="38"/>
  </w:num>
  <w:num w:numId="26" w16cid:durableId="928540373">
    <w:abstractNumId w:val="38"/>
  </w:num>
  <w:num w:numId="27" w16cid:durableId="104504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01872147">
    <w:abstractNumId w:val="43"/>
  </w:num>
  <w:num w:numId="29" w16cid:durableId="17676515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30609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993775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87043224">
    <w:abstractNumId w:val="38"/>
  </w:num>
  <w:num w:numId="33" w16cid:durableId="1546600968">
    <w:abstractNumId w:val="38"/>
    <w:lvlOverride w:ilvl="0">
      <w:startOverride w:val="2"/>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00992421">
    <w:abstractNumId w:val="38"/>
  </w:num>
  <w:num w:numId="35" w16cid:durableId="1683891823">
    <w:abstractNumId w:val="38"/>
  </w:num>
  <w:num w:numId="36" w16cid:durableId="1844776237">
    <w:abstractNumId w:val="38"/>
  </w:num>
  <w:num w:numId="37" w16cid:durableId="706292674">
    <w:abstractNumId w:val="38"/>
  </w:num>
  <w:num w:numId="38" w16cid:durableId="915745308">
    <w:abstractNumId w:val="33"/>
  </w:num>
  <w:num w:numId="39" w16cid:durableId="1431196027">
    <w:abstractNumId w:val="38"/>
  </w:num>
  <w:num w:numId="40" w16cid:durableId="424308265">
    <w:abstractNumId w:val="38"/>
  </w:num>
  <w:num w:numId="41" w16cid:durableId="335034038">
    <w:abstractNumId w:val="38"/>
  </w:num>
  <w:num w:numId="42" w16cid:durableId="2106000499">
    <w:abstractNumId w:val="38"/>
  </w:num>
  <w:num w:numId="43" w16cid:durableId="1454593282">
    <w:abstractNumId w:val="38"/>
  </w:num>
  <w:num w:numId="44" w16cid:durableId="748694478">
    <w:abstractNumId w:val="38"/>
  </w:num>
  <w:num w:numId="45" w16cid:durableId="1011643955">
    <w:abstractNumId w:val="38"/>
  </w:num>
  <w:num w:numId="46" w16cid:durableId="2086494582">
    <w:abstractNumId w:val="38"/>
  </w:num>
  <w:num w:numId="47" w16cid:durableId="22823991">
    <w:abstractNumId w:val="38"/>
  </w:num>
  <w:num w:numId="48" w16cid:durableId="212229880">
    <w:abstractNumId w:val="38"/>
  </w:num>
  <w:num w:numId="49" w16cid:durableId="1358193567">
    <w:abstractNumId w:val="24"/>
  </w:num>
  <w:num w:numId="50" w16cid:durableId="1071005156">
    <w:abstractNumId w:val="38"/>
  </w:num>
  <w:num w:numId="51" w16cid:durableId="2094471072">
    <w:abstractNumId w:val="38"/>
  </w:num>
  <w:num w:numId="52" w16cid:durableId="699819975">
    <w:abstractNumId w:val="38"/>
  </w:num>
  <w:num w:numId="53" w16cid:durableId="1947226076">
    <w:abstractNumId w:val="38"/>
  </w:num>
  <w:num w:numId="54" w16cid:durableId="807748205">
    <w:abstractNumId w:val="11"/>
  </w:num>
  <w:num w:numId="55" w16cid:durableId="923074948">
    <w:abstractNumId w:val="38"/>
  </w:num>
  <w:num w:numId="56" w16cid:durableId="1697341305">
    <w:abstractNumId w:val="38"/>
  </w:num>
  <w:num w:numId="57" w16cid:durableId="1217281840">
    <w:abstractNumId w:val="38"/>
  </w:num>
  <w:num w:numId="58" w16cid:durableId="658702681">
    <w:abstractNumId w:val="38"/>
  </w:num>
  <w:num w:numId="59" w16cid:durableId="20115254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41931140">
    <w:abstractNumId w:val="38"/>
  </w:num>
  <w:num w:numId="61" w16cid:durableId="852302881">
    <w:abstractNumId w:val="38"/>
  </w:num>
  <w:num w:numId="62" w16cid:durableId="1690721739">
    <w:abstractNumId w:val="38"/>
  </w:num>
  <w:num w:numId="63" w16cid:durableId="74282795">
    <w:abstractNumId w:val="38"/>
  </w:num>
  <w:num w:numId="64" w16cid:durableId="1875338026">
    <w:abstractNumId w:val="38"/>
  </w:num>
  <w:num w:numId="65" w16cid:durableId="977540175">
    <w:abstractNumId w:val="38"/>
  </w:num>
  <w:num w:numId="66" w16cid:durableId="811101019">
    <w:abstractNumId w:val="38"/>
  </w:num>
  <w:num w:numId="67" w16cid:durableId="1345546334">
    <w:abstractNumId w:val="38"/>
  </w:num>
  <w:num w:numId="68" w16cid:durableId="1052539879">
    <w:abstractNumId w:val="38"/>
  </w:num>
  <w:num w:numId="69" w16cid:durableId="275908798">
    <w:abstractNumId w:val="38"/>
  </w:num>
  <w:num w:numId="70" w16cid:durableId="392627243">
    <w:abstractNumId w:val="38"/>
  </w:num>
  <w:num w:numId="71" w16cid:durableId="243033452">
    <w:abstractNumId w:val="38"/>
  </w:num>
  <w:num w:numId="72" w16cid:durableId="227766086">
    <w:abstractNumId w:val="7"/>
  </w:num>
  <w:num w:numId="73" w16cid:durableId="1423064720">
    <w:abstractNumId w:val="32"/>
  </w:num>
  <w:num w:numId="74" w16cid:durableId="1019548421">
    <w:abstractNumId w:val="34"/>
  </w:num>
  <w:num w:numId="75" w16cid:durableId="1471557873">
    <w:abstractNumId w:val="16"/>
  </w:num>
  <w:num w:numId="76" w16cid:durableId="1453749136">
    <w:abstractNumId w:val="35"/>
  </w:num>
  <w:num w:numId="77" w16cid:durableId="421880987">
    <w:abstractNumId w:val="29"/>
  </w:num>
  <w:num w:numId="78" w16cid:durableId="1951810922">
    <w:abstractNumId w:val="17"/>
  </w:num>
  <w:num w:numId="79" w16cid:durableId="857295">
    <w:abstractNumId w:val="0"/>
  </w:num>
  <w:num w:numId="80" w16cid:durableId="712534366">
    <w:abstractNumId w:val="23"/>
  </w:num>
  <w:num w:numId="81" w16cid:durableId="1448161555">
    <w:abstractNumId w:val="44"/>
  </w:num>
  <w:num w:numId="82" w16cid:durableId="1139617177">
    <w:abstractNumId w:val="46"/>
  </w:num>
  <w:num w:numId="83" w16cid:durableId="156653794">
    <w:abstractNumId w:val="49"/>
  </w:num>
  <w:num w:numId="84" w16cid:durableId="1190559651">
    <w:abstractNumId w:val="28"/>
  </w:num>
  <w:num w:numId="85" w16cid:durableId="1047144555">
    <w:abstractNumId w:val="19"/>
  </w:num>
  <w:num w:numId="86" w16cid:durableId="1329869849">
    <w:abstractNumId w:val="42"/>
  </w:num>
  <w:num w:numId="87" w16cid:durableId="852261489">
    <w:abstractNumId w:val="2"/>
  </w:num>
  <w:num w:numId="88" w16cid:durableId="1144079425">
    <w:abstractNumId w:val="22"/>
  </w:num>
  <w:num w:numId="89" w16cid:durableId="2143617494">
    <w:abstractNumId w:val="9"/>
  </w:num>
  <w:num w:numId="90" w16cid:durableId="25642965">
    <w:abstractNumId w:val="47"/>
  </w:num>
  <w:num w:numId="91" w16cid:durableId="672295708">
    <w:abstractNumId w:val="38"/>
  </w:num>
  <w:num w:numId="92" w16cid:durableId="1407267982">
    <w:abstractNumId w:val="41"/>
  </w:num>
  <w:num w:numId="93" w16cid:durableId="1622030561">
    <w:abstractNumId w:val="30"/>
  </w:num>
  <w:num w:numId="94" w16cid:durableId="1122923273">
    <w:abstractNumId w:val="50"/>
  </w:num>
  <w:num w:numId="95" w16cid:durableId="1995450799">
    <w:abstractNumId w:val="39"/>
  </w:num>
  <w:num w:numId="96" w16cid:durableId="814180819">
    <w:abstractNumId w:val="12"/>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1"/>
  <w:activeWritingStyle w:appName="MSWord" w:lang="en-AU" w:vendorID="64" w:dllVersion="6" w:nlCheck="1" w:checkStyle="1"/>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14"/>
    <w:rsid w:val="00000131"/>
    <w:rsid w:val="0000064E"/>
    <w:rsid w:val="000007C8"/>
    <w:rsid w:val="0000100B"/>
    <w:rsid w:val="0000450E"/>
    <w:rsid w:val="0000523F"/>
    <w:rsid w:val="000052F6"/>
    <w:rsid w:val="00007DEF"/>
    <w:rsid w:val="00010DF4"/>
    <w:rsid w:val="000123B0"/>
    <w:rsid w:val="00013064"/>
    <w:rsid w:val="000139E9"/>
    <w:rsid w:val="000173CE"/>
    <w:rsid w:val="00017E43"/>
    <w:rsid w:val="0002027F"/>
    <w:rsid w:val="00020F87"/>
    <w:rsid w:val="000223C5"/>
    <w:rsid w:val="000226C8"/>
    <w:rsid w:val="00024078"/>
    <w:rsid w:val="00024898"/>
    <w:rsid w:val="000248B7"/>
    <w:rsid w:val="00025BE5"/>
    <w:rsid w:val="000273B8"/>
    <w:rsid w:val="000306FF"/>
    <w:rsid w:val="00031550"/>
    <w:rsid w:val="0003235D"/>
    <w:rsid w:val="00033263"/>
    <w:rsid w:val="000333D0"/>
    <w:rsid w:val="00033F00"/>
    <w:rsid w:val="00034AA0"/>
    <w:rsid w:val="00034D5E"/>
    <w:rsid w:val="00035636"/>
    <w:rsid w:val="00035BDD"/>
    <w:rsid w:val="00035E83"/>
    <w:rsid w:val="000361E5"/>
    <w:rsid w:val="00036AF0"/>
    <w:rsid w:val="00036E83"/>
    <w:rsid w:val="00037804"/>
    <w:rsid w:val="0004105C"/>
    <w:rsid w:val="000413F2"/>
    <w:rsid w:val="00041777"/>
    <w:rsid w:val="0004223B"/>
    <w:rsid w:val="00042473"/>
    <w:rsid w:val="0004266C"/>
    <w:rsid w:val="000451B0"/>
    <w:rsid w:val="000464E1"/>
    <w:rsid w:val="00046A39"/>
    <w:rsid w:val="00046FE6"/>
    <w:rsid w:val="000503F4"/>
    <w:rsid w:val="00053133"/>
    <w:rsid w:val="00053146"/>
    <w:rsid w:val="0005418D"/>
    <w:rsid w:val="00055030"/>
    <w:rsid w:val="00055E35"/>
    <w:rsid w:val="000568AE"/>
    <w:rsid w:val="00060252"/>
    <w:rsid w:val="00062717"/>
    <w:rsid w:val="00062920"/>
    <w:rsid w:val="000629B8"/>
    <w:rsid w:val="000645AB"/>
    <w:rsid w:val="000648B1"/>
    <w:rsid w:val="0006564A"/>
    <w:rsid w:val="000678D0"/>
    <w:rsid w:val="00070870"/>
    <w:rsid w:val="00074BEA"/>
    <w:rsid w:val="00074FB3"/>
    <w:rsid w:val="0007598D"/>
    <w:rsid w:val="00076997"/>
    <w:rsid w:val="00076D34"/>
    <w:rsid w:val="00077456"/>
    <w:rsid w:val="00080464"/>
    <w:rsid w:val="00080D61"/>
    <w:rsid w:val="00081132"/>
    <w:rsid w:val="000818B4"/>
    <w:rsid w:val="00081F3F"/>
    <w:rsid w:val="000833E0"/>
    <w:rsid w:val="00083A75"/>
    <w:rsid w:val="00083E07"/>
    <w:rsid w:val="000844EA"/>
    <w:rsid w:val="00084DFF"/>
    <w:rsid w:val="00085F10"/>
    <w:rsid w:val="000868B6"/>
    <w:rsid w:val="00092F2C"/>
    <w:rsid w:val="000955B9"/>
    <w:rsid w:val="00095D1C"/>
    <w:rsid w:val="000962BA"/>
    <w:rsid w:val="0009681E"/>
    <w:rsid w:val="00097180"/>
    <w:rsid w:val="000971FC"/>
    <w:rsid w:val="000976DB"/>
    <w:rsid w:val="00097871"/>
    <w:rsid w:val="000A0785"/>
    <w:rsid w:val="000A144F"/>
    <w:rsid w:val="000A174F"/>
    <w:rsid w:val="000A4FAB"/>
    <w:rsid w:val="000A52A2"/>
    <w:rsid w:val="000A565F"/>
    <w:rsid w:val="000A5F2C"/>
    <w:rsid w:val="000A65F6"/>
    <w:rsid w:val="000A7A4C"/>
    <w:rsid w:val="000A7FAC"/>
    <w:rsid w:val="000B0883"/>
    <w:rsid w:val="000B0E76"/>
    <w:rsid w:val="000B129E"/>
    <w:rsid w:val="000B1676"/>
    <w:rsid w:val="000B1C5B"/>
    <w:rsid w:val="000B2BE9"/>
    <w:rsid w:val="000B3A57"/>
    <w:rsid w:val="000B3E68"/>
    <w:rsid w:val="000B4516"/>
    <w:rsid w:val="000B54FA"/>
    <w:rsid w:val="000C0565"/>
    <w:rsid w:val="000C178D"/>
    <w:rsid w:val="000C3693"/>
    <w:rsid w:val="000C486F"/>
    <w:rsid w:val="000C51E2"/>
    <w:rsid w:val="000C51E6"/>
    <w:rsid w:val="000C557E"/>
    <w:rsid w:val="000C6C8C"/>
    <w:rsid w:val="000C6C9F"/>
    <w:rsid w:val="000C7532"/>
    <w:rsid w:val="000D07B5"/>
    <w:rsid w:val="000D0F92"/>
    <w:rsid w:val="000D2D94"/>
    <w:rsid w:val="000D3EF3"/>
    <w:rsid w:val="000D4FB3"/>
    <w:rsid w:val="000D6866"/>
    <w:rsid w:val="000D6963"/>
    <w:rsid w:val="000D78D6"/>
    <w:rsid w:val="000E112B"/>
    <w:rsid w:val="000E2676"/>
    <w:rsid w:val="000E2F68"/>
    <w:rsid w:val="000E326B"/>
    <w:rsid w:val="000E34CB"/>
    <w:rsid w:val="000E46B0"/>
    <w:rsid w:val="000E4F9B"/>
    <w:rsid w:val="000E7895"/>
    <w:rsid w:val="000F08F2"/>
    <w:rsid w:val="000F0EEA"/>
    <w:rsid w:val="000F1830"/>
    <w:rsid w:val="000F31CD"/>
    <w:rsid w:val="000F44B0"/>
    <w:rsid w:val="000F4FAF"/>
    <w:rsid w:val="000F5C55"/>
    <w:rsid w:val="00100AE0"/>
    <w:rsid w:val="001011AE"/>
    <w:rsid w:val="00102163"/>
    <w:rsid w:val="0010458B"/>
    <w:rsid w:val="001048B2"/>
    <w:rsid w:val="00105763"/>
    <w:rsid w:val="00105868"/>
    <w:rsid w:val="00105B58"/>
    <w:rsid w:val="00105F92"/>
    <w:rsid w:val="00106786"/>
    <w:rsid w:val="001068D7"/>
    <w:rsid w:val="00110319"/>
    <w:rsid w:val="00110547"/>
    <w:rsid w:val="00110CFE"/>
    <w:rsid w:val="001125D9"/>
    <w:rsid w:val="00112EDD"/>
    <w:rsid w:val="001130AA"/>
    <w:rsid w:val="00113C4E"/>
    <w:rsid w:val="00113C59"/>
    <w:rsid w:val="00114648"/>
    <w:rsid w:val="00115C61"/>
    <w:rsid w:val="0011725D"/>
    <w:rsid w:val="00117CE7"/>
    <w:rsid w:val="00120335"/>
    <w:rsid w:val="0012062A"/>
    <w:rsid w:val="0012079F"/>
    <w:rsid w:val="00120F19"/>
    <w:rsid w:val="00121F55"/>
    <w:rsid w:val="00122389"/>
    <w:rsid w:val="00122721"/>
    <w:rsid w:val="00122CCD"/>
    <w:rsid w:val="0012483F"/>
    <w:rsid w:val="001249B9"/>
    <w:rsid w:val="00125A31"/>
    <w:rsid w:val="00126436"/>
    <w:rsid w:val="00127498"/>
    <w:rsid w:val="0012775E"/>
    <w:rsid w:val="00131A07"/>
    <w:rsid w:val="00134E83"/>
    <w:rsid w:val="00135689"/>
    <w:rsid w:val="00135AB7"/>
    <w:rsid w:val="001372D1"/>
    <w:rsid w:val="00140021"/>
    <w:rsid w:val="00140682"/>
    <w:rsid w:val="00140759"/>
    <w:rsid w:val="00141C14"/>
    <w:rsid w:val="00142775"/>
    <w:rsid w:val="00142F90"/>
    <w:rsid w:val="001452FC"/>
    <w:rsid w:val="00145357"/>
    <w:rsid w:val="00145A58"/>
    <w:rsid w:val="00146977"/>
    <w:rsid w:val="00146ACF"/>
    <w:rsid w:val="0015053F"/>
    <w:rsid w:val="00150EEF"/>
    <w:rsid w:val="00151C54"/>
    <w:rsid w:val="00151E10"/>
    <w:rsid w:val="00151FF6"/>
    <w:rsid w:val="00153032"/>
    <w:rsid w:val="00154371"/>
    <w:rsid w:val="00154788"/>
    <w:rsid w:val="00155159"/>
    <w:rsid w:val="001555FD"/>
    <w:rsid w:val="001568EF"/>
    <w:rsid w:val="0015735C"/>
    <w:rsid w:val="001578B8"/>
    <w:rsid w:val="00157C18"/>
    <w:rsid w:val="001609FF"/>
    <w:rsid w:val="00161CE2"/>
    <w:rsid w:val="00162E3B"/>
    <w:rsid w:val="001639B1"/>
    <w:rsid w:val="00165BDD"/>
    <w:rsid w:val="001669D6"/>
    <w:rsid w:val="00166F1F"/>
    <w:rsid w:val="00167228"/>
    <w:rsid w:val="001672BD"/>
    <w:rsid w:val="001700BB"/>
    <w:rsid w:val="0017034E"/>
    <w:rsid w:val="00172F94"/>
    <w:rsid w:val="001731B7"/>
    <w:rsid w:val="001741AC"/>
    <w:rsid w:val="00174372"/>
    <w:rsid w:val="00174471"/>
    <w:rsid w:val="001746B7"/>
    <w:rsid w:val="001750AE"/>
    <w:rsid w:val="00175486"/>
    <w:rsid w:val="001755F6"/>
    <w:rsid w:val="00175BD8"/>
    <w:rsid w:val="00176155"/>
    <w:rsid w:val="0017637F"/>
    <w:rsid w:val="00177F80"/>
    <w:rsid w:val="00180688"/>
    <w:rsid w:val="00180DEF"/>
    <w:rsid w:val="00181202"/>
    <w:rsid w:val="001813AC"/>
    <w:rsid w:val="0018228A"/>
    <w:rsid w:val="00182896"/>
    <w:rsid w:val="00182A8A"/>
    <w:rsid w:val="00183DB6"/>
    <w:rsid w:val="00185A52"/>
    <w:rsid w:val="00185AA8"/>
    <w:rsid w:val="0018713B"/>
    <w:rsid w:val="0019064A"/>
    <w:rsid w:val="00190CD0"/>
    <w:rsid w:val="00191631"/>
    <w:rsid w:val="00191994"/>
    <w:rsid w:val="0019228C"/>
    <w:rsid w:val="0019347A"/>
    <w:rsid w:val="00193702"/>
    <w:rsid w:val="00196213"/>
    <w:rsid w:val="00196FA3"/>
    <w:rsid w:val="00197B16"/>
    <w:rsid w:val="00197E23"/>
    <w:rsid w:val="00197F52"/>
    <w:rsid w:val="001A021C"/>
    <w:rsid w:val="001A1770"/>
    <w:rsid w:val="001A4031"/>
    <w:rsid w:val="001A4208"/>
    <w:rsid w:val="001A5140"/>
    <w:rsid w:val="001A5CE3"/>
    <w:rsid w:val="001A615F"/>
    <w:rsid w:val="001B0AC4"/>
    <w:rsid w:val="001B0D1E"/>
    <w:rsid w:val="001B1CD9"/>
    <w:rsid w:val="001B2CE1"/>
    <w:rsid w:val="001B3BFB"/>
    <w:rsid w:val="001B3D81"/>
    <w:rsid w:val="001B50AA"/>
    <w:rsid w:val="001B6342"/>
    <w:rsid w:val="001B63BC"/>
    <w:rsid w:val="001C009A"/>
    <w:rsid w:val="001C09FB"/>
    <w:rsid w:val="001C1639"/>
    <w:rsid w:val="001C16BF"/>
    <w:rsid w:val="001C61F2"/>
    <w:rsid w:val="001C6903"/>
    <w:rsid w:val="001C7C13"/>
    <w:rsid w:val="001D006D"/>
    <w:rsid w:val="001D0641"/>
    <w:rsid w:val="001D2D6A"/>
    <w:rsid w:val="001D475C"/>
    <w:rsid w:val="001D515C"/>
    <w:rsid w:val="001D5485"/>
    <w:rsid w:val="001D617B"/>
    <w:rsid w:val="001E00F0"/>
    <w:rsid w:val="001E0765"/>
    <w:rsid w:val="001E1A14"/>
    <w:rsid w:val="001E2B26"/>
    <w:rsid w:val="001E646C"/>
    <w:rsid w:val="001E6727"/>
    <w:rsid w:val="001E6A94"/>
    <w:rsid w:val="001E6E40"/>
    <w:rsid w:val="001E70A1"/>
    <w:rsid w:val="001E7692"/>
    <w:rsid w:val="001F105E"/>
    <w:rsid w:val="001F13A3"/>
    <w:rsid w:val="001F19D3"/>
    <w:rsid w:val="001F47AF"/>
    <w:rsid w:val="001F4CF2"/>
    <w:rsid w:val="001F5A48"/>
    <w:rsid w:val="001F7304"/>
    <w:rsid w:val="001F78AA"/>
    <w:rsid w:val="001F793E"/>
    <w:rsid w:val="00200224"/>
    <w:rsid w:val="002016E6"/>
    <w:rsid w:val="00202708"/>
    <w:rsid w:val="00203AAB"/>
    <w:rsid w:val="002046C8"/>
    <w:rsid w:val="002064CE"/>
    <w:rsid w:val="00210CFD"/>
    <w:rsid w:val="002128AC"/>
    <w:rsid w:val="00212B89"/>
    <w:rsid w:val="0021390A"/>
    <w:rsid w:val="002142B5"/>
    <w:rsid w:val="0021593E"/>
    <w:rsid w:val="002162D2"/>
    <w:rsid w:val="00217432"/>
    <w:rsid w:val="00217C53"/>
    <w:rsid w:val="002200D1"/>
    <w:rsid w:val="002213FF"/>
    <w:rsid w:val="00221FF9"/>
    <w:rsid w:val="00222FD5"/>
    <w:rsid w:val="00223174"/>
    <w:rsid w:val="0022445A"/>
    <w:rsid w:val="002247CC"/>
    <w:rsid w:val="00224D28"/>
    <w:rsid w:val="0022558F"/>
    <w:rsid w:val="00225A6A"/>
    <w:rsid w:val="0022680D"/>
    <w:rsid w:val="002275DA"/>
    <w:rsid w:val="00227B4A"/>
    <w:rsid w:val="00227C2A"/>
    <w:rsid w:val="00227D28"/>
    <w:rsid w:val="0023102F"/>
    <w:rsid w:val="002318BA"/>
    <w:rsid w:val="00231955"/>
    <w:rsid w:val="00231AC7"/>
    <w:rsid w:val="00232A6A"/>
    <w:rsid w:val="00234AD8"/>
    <w:rsid w:val="00235269"/>
    <w:rsid w:val="00236E5A"/>
    <w:rsid w:val="002372E6"/>
    <w:rsid w:val="00237BCF"/>
    <w:rsid w:val="0024009C"/>
    <w:rsid w:val="00242E00"/>
    <w:rsid w:val="0024371F"/>
    <w:rsid w:val="002440C7"/>
    <w:rsid w:val="00244186"/>
    <w:rsid w:val="00245A89"/>
    <w:rsid w:val="00245E33"/>
    <w:rsid w:val="0024698C"/>
    <w:rsid w:val="00247D6E"/>
    <w:rsid w:val="00250005"/>
    <w:rsid w:val="002529EA"/>
    <w:rsid w:val="002534A5"/>
    <w:rsid w:val="00253665"/>
    <w:rsid w:val="002548DB"/>
    <w:rsid w:val="00255198"/>
    <w:rsid w:val="002562A3"/>
    <w:rsid w:val="00260641"/>
    <w:rsid w:val="00261985"/>
    <w:rsid w:val="0026496A"/>
    <w:rsid w:val="00267379"/>
    <w:rsid w:val="002675B0"/>
    <w:rsid w:val="00271C2E"/>
    <w:rsid w:val="00273408"/>
    <w:rsid w:val="0027358D"/>
    <w:rsid w:val="002737B5"/>
    <w:rsid w:val="00273917"/>
    <w:rsid w:val="00273C11"/>
    <w:rsid w:val="00273EF8"/>
    <w:rsid w:val="00274A62"/>
    <w:rsid w:val="00274B32"/>
    <w:rsid w:val="00274BFF"/>
    <w:rsid w:val="0027514F"/>
    <w:rsid w:val="00275A4E"/>
    <w:rsid w:val="00275D97"/>
    <w:rsid w:val="00276389"/>
    <w:rsid w:val="002771FE"/>
    <w:rsid w:val="00277A09"/>
    <w:rsid w:val="00280668"/>
    <w:rsid w:val="002837F1"/>
    <w:rsid w:val="002845C8"/>
    <w:rsid w:val="00284811"/>
    <w:rsid w:val="00284893"/>
    <w:rsid w:val="00285468"/>
    <w:rsid w:val="002915DC"/>
    <w:rsid w:val="00292496"/>
    <w:rsid w:val="0029374A"/>
    <w:rsid w:val="00295338"/>
    <w:rsid w:val="0029538D"/>
    <w:rsid w:val="0029727D"/>
    <w:rsid w:val="00297C92"/>
    <w:rsid w:val="00297CA8"/>
    <w:rsid w:val="002A0C3B"/>
    <w:rsid w:val="002A1702"/>
    <w:rsid w:val="002A273E"/>
    <w:rsid w:val="002A2C4D"/>
    <w:rsid w:val="002A37D6"/>
    <w:rsid w:val="002A3CD2"/>
    <w:rsid w:val="002A4C29"/>
    <w:rsid w:val="002A500B"/>
    <w:rsid w:val="002A5270"/>
    <w:rsid w:val="002A56CB"/>
    <w:rsid w:val="002A64CA"/>
    <w:rsid w:val="002A73BB"/>
    <w:rsid w:val="002B0FCB"/>
    <w:rsid w:val="002B1BC3"/>
    <w:rsid w:val="002B1DB3"/>
    <w:rsid w:val="002B2941"/>
    <w:rsid w:val="002B2B54"/>
    <w:rsid w:val="002B2C16"/>
    <w:rsid w:val="002B2C6A"/>
    <w:rsid w:val="002B3960"/>
    <w:rsid w:val="002B414B"/>
    <w:rsid w:val="002B58A6"/>
    <w:rsid w:val="002B5CCC"/>
    <w:rsid w:val="002B6E83"/>
    <w:rsid w:val="002C07B4"/>
    <w:rsid w:val="002C177A"/>
    <w:rsid w:val="002C1C02"/>
    <w:rsid w:val="002C28C6"/>
    <w:rsid w:val="002C3366"/>
    <w:rsid w:val="002C50B7"/>
    <w:rsid w:val="002C7033"/>
    <w:rsid w:val="002C7410"/>
    <w:rsid w:val="002D02CF"/>
    <w:rsid w:val="002D0EED"/>
    <w:rsid w:val="002D2972"/>
    <w:rsid w:val="002D338B"/>
    <w:rsid w:val="002D3CD9"/>
    <w:rsid w:val="002D3CE5"/>
    <w:rsid w:val="002D410D"/>
    <w:rsid w:val="002D41BA"/>
    <w:rsid w:val="002D6515"/>
    <w:rsid w:val="002D7EA3"/>
    <w:rsid w:val="002E05ED"/>
    <w:rsid w:val="002E1D88"/>
    <w:rsid w:val="002E3B57"/>
    <w:rsid w:val="002E692C"/>
    <w:rsid w:val="002F0387"/>
    <w:rsid w:val="002F1B0C"/>
    <w:rsid w:val="002F2F4C"/>
    <w:rsid w:val="002F3FCE"/>
    <w:rsid w:val="002F4E06"/>
    <w:rsid w:val="002F560A"/>
    <w:rsid w:val="002F654D"/>
    <w:rsid w:val="002F68F7"/>
    <w:rsid w:val="002F73CF"/>
    <w:rsid w:val="002F744B"/>
    <w:rsid w:val="00300232"/>
    <w:rsid w:val="003015AF"/>
    <w:rsid w:val="00301A22"/>
    <w:rsid w:val="0030293D"/>
    <w:rsid w:val="003036A6"/>
    <w:rsid w:val="00304BFD"/>
    <w:rsid w:val="00304E51"/>
    <w:rsid w:val="003056A5"/>
    <w:rsid w:val="00306212"/>
    <w:rsid w:val="003064B1"/>
    <w:rsid w:val="00307246"/>
    <w:rsid w:val="00307E35"/>
    <w:rsid w:val="00311BD3"/>
    <w:rsid w:val="00313180"/>
    <w:rsid w:val="003133CA"/>
    <w:rsid w:val="00315D2C"/>
    <w:rsid w:val="0031690C"/>
    <w:rsid w:val="00320243"/>
    <w:rsid w:val="00320892"/>
    <w:rsid w:val="003228F6"/>
    <w:rsid w:val="003235AC"/>
    <w:rsid w:val="0032367B"/>
    <w:rsid w:val="0032397E"/>
    <w:rsid w:val="00325FF2"/>
    <w:rsid w:val="003260B5"/>
    <w:rsid w:val="00326308"/>
    <w:rsid w:val="00326C4F"/>
    <w:rsid w:val="00327833"/>
    <w:rsid w:val="00327A2C"/>
    <w:rsid w:val="003305AB"/>
    <w:rsid w:val="00330851"/>
    <w:rsid w:val="00330AE1"/>
    <w:rsid w:val="0033193C"/>
    <w:rsid w:val="00331EA4"/>
    <w:rsid w:val="0033352A"/>
    <w:rsid w:val="00334E6B"/>
    <w:rsid w:val="00335165"/>
    <w:rsid w:val="003352CC"/>
    <w:rsid w:val="003355E4"/>
    <w:rsid w:val="003376BA"/>
    <w:rsid w:val="003404BF"/>
    <w:rsid w:val="00344459"/>
    <w:rsid w:val="00345001"/>
    <w:rsid w:val="003456E5"/>
    <w:rsid w:val="0034613E"/>
    <w:rsid w:val="00352ED9"/>
    <w:rsid w:val="003539ED"/>
    <w:rsid w:val="00353C48"/>
    <w:rsid w:val="00353FC5"/>
    <w:rsid w:val="0035608A"/>
    <w:rsid w:val="003562EE"/>
    <w:rsid w:val="003564AB"/>
    <w:rsid w:val="003571B2"/>
    <w:rsid w:val="00357896"/>
    <w:rsid w:val="00357C39"/>
    <w:rsid w:val="003609B5"/>
    <w:rsid w:val="003609DB"/>
    <w:rsid w:val="00361575"/>
    <w:rsid w:val="00361DE0"/>
    <w:rsid w:val="0036309D"/>
    <w:rsid w:val="003635B3"/>
    <w:rsid w:val="0036497B"/>
    <w:rsid w:val="00366D8C"/>
    <w:rsid w:val="00366F70"/>
    <w:rsid w:val="003676FC"/>
    <w:rsid w:val="00367B32"/>
    <w:rsid w:val="00370094"/>
    <w:rsid w:val="0037083E"/>
    <w:rsid w:val="003710C0"/>
    <w:rsid w:val="00371EBC"/>
    <w:rsid w:val="0037257A"/>
    <w:rsid w:val="00372C24"/>
    <w:rsid w:val="00373FE5"/>
    <w:rsid w:val="003741B1"/>
    <w:rsid w:val="00374806"/>
    <w:rsid w:val="00377374"/>
    <w:rsid w:val="00377DA2"/>
    <w:rsid w:val="00377E6D"/>
    <w:rsid w:val="00380157"/>
    <w:rsid w:val="00380916"/>
    <w:rsid w:val="0038256A"/>
    <w:rsid w:val="00383383"/>
    <w:rsid w:val="003848C3"/>
    <w:rsid w:val="00385EF0"/>
    <w:rsid w:val="003869BF"/>
    <w:rsid w:val="00387861"/>
    <w:rsid w:val="00387B76"/>
    <w:rsid w:val="00390CCA"/>
    <w:rsid w:val="0039127F"/>
    <w:rsid w:val="00392E67"/>
    <w:rsid w:val="003931D0"/>
    <w:rsid w:val="00393D04"/>
    <w:rsid w:val="003943C9"/>
    <w:rsid w:val="003961B0"/>
    <w:rsid w:val="0039752E"/>
    <w:rsid w:val="00397690"/>
    <w:rsid w:val="003A0023"/>
    <w:rsid w:val="003A0603"/>
    <w:rsid w:val="003A0B92"/>
    <w:rsid w:val="003A2479"/>
    <w:rsid w:val="003A2E2C"/>
    <w:rsid w:val="003A2FA0"/>
    <w:rsid w:val="003A3A60"/>
    <w:rsid w:val="003A4351"/>
    <w:rsid w:val="003A4879"/>
    <w:rsid w:val="003A4A56"/>
    <w:rsid w:val="003A4E05"/>
    <w:rsid w:val="003A4F4D"/>
    <w:rsid w:val="003A5546"/>
    <w:rsid w:val="003A6F96"/>
    <w:rsid w:val="003B3B3F"/>
    <w:rsid w:val="003B4AFA"/>
    <w:rsid w:val="003B5874"/>
    <w:rsid w:val="003B6A46"/>
    <w:rsid w:val="003C00DA"/>
    <w:rsid w:val="003C0E61"/>
    <w:rsid w:val="003C1E86"/>
    <w:rsid w:val="003C26FA"/>
    <w:rsid w:val="003C3B82"/>
    <w:rsid w:val="003C478A"/>
    <w:rsid w:val="003C4A84"/>
    <w:rsid w:val="003C55E0"/>
    <w:rsid w:val="003C5E7E"/>
    <w:rsid w:val="003C6BEB"/>
    <w:rsid w:val="003C7959"/>
    <w:rsid w:val="003D0C57"/>
    <w:rsid w:val="003D1A3F"/>
    <w:rsid w:val="003D2483"/>
    <w:rsid w:val="003D2786"/>
    <w:rsid w:val="003D3119"/>
    <w:rsid w:val="003D4837"/>
    <w:rsid w:val="003D52B4"/>
    <w:rsid w:val="003D583B"/>
    <w:rsid w:val="003D5ED0"/>
    <w:rsid w:val="003D6343"/>
    <w:rsid w:val="003D6497"/>
    <w:rsid w:val="003D6D6F"/>
    <w:rsid w:val="003E02B4"/>
    <w:rsid w:val="003E0658"/>
    <w:rsid w:val="003E0906"/>
    <w:rsid w:val="003E1A87"/>
    <w:rsid w:val="003E3579"/>
    <w:rsid w:val="003E39A5"/>
    <w:rsid w:val="003E4994"/>
    <w:rsid w:val="003E5CA0"/>
    <w:rsid w:val="003E65CC"/>
    <w:rsid w:val="003E6916"/>
    <w:rsid w:val="003E6FE9"/>
    <w:rsid w:val="003E73B9"/>
    <w:rsid w:val="003E7743"/>
    <w:rsid w:val="003F0E45"/>
    <w:rsid w:val="003F2214"/>
    <w:rsid w:val="003F2B62"/>
    <w:rsid w:val="003F361D"/>
    <w:rsid w:val="003F5048"/>
    <w:rsid w:val="003F55BD"/>
    <w:rsid w:val="003F61E9"/>
    <w:rsid w:val="003F6742"/>
    <w:rsid w:val="003F68D7"/>
    <w:rsid w:val="004012C5"/>
    <w:rsid w:val="0040157B"/>
    <w:rsid w:val="00402F72"/>
    <w:rsid w:val="00403854"/>
    <w:rsid w:val="004038F9"/>
    <w:rsid w:val="00403C02"/>
    <w:rsid w:val="004058A8"/>
    <w:rsid w:val="00405F5B"/>
    <w:rsid w:val="00406050"/>
    <w:rsid w:val="004060E9"/>
    <w:rsid w:val="00406304"/>
    <w:rsid w:val="0040710F"/>
    <w:rsid w:val="004102A4"/>
    <w:rsid w:val="004103BA"/>
    <w:rsid w:val="0041169B"/>
    <w:rsid w:val="004120D8"/>
    <w:rsid w:val="00412144"/>
    <w:rsid w:val="00412205"/>
    <w:rsid w:val="00413B16"/>
    <w:rsid w:val="00416490"/>
    <w:rsid w:val="004169EF"/>
    <w:rsid w:val="00417598"/>
    <w:rsid w:val="00417C0A"/>
    <w:rsid w:val="00417E6B"/>
    <w:rsid w:val="0042091F"/>
    <w:rsid w:val="00422112"/>
    <w:rsid w:val="004223EC"/>
    <w:rsid w:val="00422FF9"/>
    <w:rsid w:val="00427A81"/>
    <w:rsid w:val="00430AC5"/>
    <w:rsid w:val="00432A6F"/>
    <w:rsid w:val="00433728"/>
    <w:rsid w:val="00434705"/>
    <w:rsid w:val="00434DAB"/>
    <w:rsid w:val="00434DCF"/>
    <w:rsid w:val="0044080D"/>
    <w:rsid w:val="00441CE0"/>
    <w:rsid w:val="00442785"/>
    <w:rsid w:val="00443F91"/>
    <w:rsid w:val="00444A44"/>
    <w:rsid w:val="004451E1"/>
    <w:rsid w:val="00445690"/>
    <w:rsid w:val="00445C24"/>
    <w:rsid w:val="0044601E"/>
    <w:rsid w:val="0044693A"/>
    <w:rsid w:val="0044718F"/>
    <w:rsid w:val="004476E0"/>
    <w:rsid w:val="00450580"/>
    <w:rsid w:val="0045345A"/>
    <w:rsid w:val="00455438"/>
    <w:rsid w:val="00456125"/>
    <w:rsid w:val="004565E0"/>
    <w:rsid w:val="00456AA7"/>
    <w:rsid w:val="004607C8"/>
    <w:rsid w:val="00461420"/>
    <w:rsid w:val="004618D2"/>
    <w:rsid w:val="00461B20"/>
    <w:rsid w:val="0046228B"/>
    <w:rsid w:val="00462A64"/>
    <w:rsid w:val="00462FD0"/>
    <w:rsid w:val="004631BC"/>
    <w:rsid w:val="00464949"/>
    <w:rsid w:val="0046541C"/>
    <w:rsid w:val="00466844"/>
    <w:rsid w:val="00467EE6"/>
    <w:rsid w:val="00470AE8"/>
    <w:rsid w:val="00470C2C"/>
    <w:rsid w:val="0047287D"/>
    <w:rsid w:val="00472890"/>
    <w:rsid w:val="00472F27"/>
    <w:rsid w:val="00475BD2"/>
    <w:rsid w:val="0047707F"/>
    <w:rsid w:val="00477541"/>
    <w:rsid w:val="00477A42"/>
    <w:rsid w:val="00477FAC"/>
    <w:rsid w:val="00481839"/>
    <w:rsid w:val="004821EE"/>
    <w:rsid w:val="00482D74"/>
    <w:rsid w:val="00483CF0"/>
    <w:rsid w:val="00484EF9"/>
    <w:rsid w:val="00485C1E"/>
    <w:rsid w:val="00492424"/>
    <w:rsid w:val="00492FF3"/>
    <w:rsid w:val="004938A0"/>
    <w:rsid w:val="00495A83"/>
    <w:rsid w:val="00495E74"/>
    <w:rsid w:val="004960B3"/>
    <w:rsid w:val="00496F27"/>
    <w:rsid w:val="00497F3D"/>
    <w:rsid w:val="004A1978"/>
    <w:rsid w:val="004A1F86"/>
    <w:rsid w:val="004A23CA"/>
    <w:rsid w:val="004A25CB"/>
    <w:rsid w:val="004A2748"/>
    <w:rsid w:val="004A2C23"/>
    <w:rsid w:val="004A3A20"/>
    <w:rsid w:val="004A3D29"/>
    <w:rsid w:val="004A3D9E"/>
    <w:rsid w:val="004A65CF"/>
    <w:rsid w:val="004B0DD7"/>
    <w:rsid w:val="004B14D6"/>
    <w:rsid w:val="004B2063"/>
    <w:rsid w:val="004B2657"/>
    <w:rsid w:val="004B2BD7"/>
    <w:rsid w:val="004B7A29"/>
    <w:rsid w:val="004C0CED"/>
    <w:rsid w:val="004C116C"/>
    <w:rsid w:val="004C15F5"/>
    <w:rsid w:val="004C276E"/>
    <w:rsid w:val="004C3CA1"/>
    <w:rsid w:val="004C3E2D"/>
    <w:rsid w:val="004C4626"/>
    <w:rsid w:val="004C4CBD"/>
    <w:rsid w:val="004C5892"/>
    <w:rsid w:val="004C6304"/>
    <w:rsid w:val="004C668D"/>
    <w:rsid w:val="004C6B9C"/>
    <w:rsid w:val="004D0ACB"/>
    <w:rsid w:val="004D257B"/>
    <w:rsid w:val="004D2873"/>
    <w:rsid w:val="004D301E"/>
    <w:rsid w:val="004D33AE"/>
    <w:rsid w:val="004D4AFC"/>
    <w:rsid w:val="004D5320"/>
    <w:rsid w:val="004D55D0"/>
    <w:rsid w:val="004D55F5"/>
    <w:rsid w:val="004D56C9"/>
    <w:rsid w:val="004D7009"/>
    <w:rsid w:val="004E022A"/>
    <w:rsid w:val="004E050D"/>
    <w:rsid w:val="004E1BC5"/>
    <w:rsid w:val="004E1E01"/>
    <w:rsid w:val="004E5484"/>
    <w:rsid w:val="004E5708"/>
    <w:rsid w:val="004E5E21"/>
    <w:rsid w:val="004E6468"/>
    <w:rsid w:val="004E7FDC"/>
    <w:rsid w:val="004F0115"/>
    <w:rsid w:val="004F07AB"/>
    <w:rsid w:val="004F0DAE"/>
    <w:rsid w:val="004F2E8E"/>
    <w:rsid w:val="004F3691"/>
    <w:rsid w:val="004F573E"/>
    <w:rsid w:val="004F65F9"/>
    <w:rsid w:val="004F7675"/>
    <w:rsid w:val="005008EF"/>
    <w:rsid w:val="00502436"/>
    <w:rsid w:val="0050279C"/>
    <w:rsid w:val="00503141"/>
    <w:rsid w:val="00503989"/>
    <w:rsid w:val="005051E8"/>
    <w:rsid w:val="00505665"/>
    <w:rsid w:val="00506158"/>
    <w:rsid w:val="00507397"/>
    <w:rsid w:val="00507A10"/>
    <w:rsid w:val="00507A6C"/>
    <w:rsid w:val="00510999"/>
    <w:rsid w:val="00510B49"/>
    <w:rsid w:val="005122F6"/>
    <w:rsid w:val="00512401"/>
    <w:rsid w:val="00512942"/>
    <w:rsid w:val="005130CB"/>
    <w:rsid w:val="00515600"/>
    <w:rsid w:val="00515DAD"/>
    <w:rsid w:val="005175E0"/>
    <w:rsid w:val="00520801"/>
    <w:rsid w:val="005209E9"/>
    <w:rsid w:val="00520CCE"/>
    <w:rsid w:val="005210D8"/>
    <w:rsid w:val="00521355"/>
    <w:rsid w:val="005213E9"/>
    <w:rsid w:val="00524522"/>
    <w:rsid w:val="005247F2"/>
    <w:rsid w:val="005263BB"/>
    <w:rsid w:val="005277A4"/>
    <w:rsid w:val="00527884"/>
    <w:rsid w:val="005278C6"/>
    <w:rsid w:val="005279CA"/>
    <w:rsid w:val="00531A0C"/>
    <w:rsid w:val="00531D90"/>
    <w:rsid w:val="00532E79"/>
    <w:rsid w:val="005353A3"/>
    <w:rsid w:val="00535512"/>
    <w:rsid w:val="005356FD"/>
    <w:rsid w:val="00537033"/>
    <w:rsid w:val="00537E32"/>
    <w:rsid w:val="00540D4E"/>
    <w:rsid w:val="00542083"/>
    <w:rsid w:val="00542196"/>
    <w:rsid w:val="00542D65"/>
    <w:rsid w:val="00543389"/>
    <w:rsid w:val="00543544"/>
    <w:rsid w:val="00543F39"/>
    <w:rsid w:val="00546401"/>
    <w:rsid w:val="00547846"/>
    <w:rsid w:val="005505AB"/>
    <w:rsid w:val="0055060B"/>
    <w:rsid w:val="00551933"/>
    <w:rsid w:val="00551F98"/>
    <w:rsid w:val="005520CE"/>
    <w:rsid w:val="00552213"/>
    <w:rsid w:val="0055278C"/>
    <w:rsid w:val="00552B49"/>
    <w:rsid w:val="00552B7C"/>
    <w:rsid w:val="00552C66"/>
    <w:rsid w:val="00552DB7"/>
    <w:rsid w:val="00553524"/>
    <w:rsid w:val="005540BE"/>
    <w:rsid w:val="0055466E"/>
    <w:rsid w:val="005559E1"/>
    <w:rsid w:val="005560F6"/>
    <w:rsid w:val="005576ED"/>
    <w:rsid w:val="0056135E"/>
    <w:rsid w:val="00565321"/>
    <w:rsid w:val="00566354"/>
    <w:rsid w:val="005664BC"/>
    <w:rsid w:val="00567435"/>
    <w:rsid w:val="005678BC"/>
    <w:rsid w:val="005704BF"/>
    <w:rsid w:val="00570501"/>
    <w:rsid w:val="00570B47"/>
    <w:rsid w:val="005710B2"/>
    <w:rsid w:val="0057213A"/>
    <w:rsid w:val="00572C90"/>
    <w:rsid w:val="005745FA"/>
    <w:rsid w:val="005762D8"/>
    <w:rsid w:val="005768FA"/>
    <w:rsid w:val="005805F0"/>
    <w:rsid w:val="0058069D"/>
    <w:rsid w:val="00582558"/>
    <w:rsid w:val="00582E28"/>
    <w:rsid w:val="00583BCA"/>
    <w:rsid w:val="00584C2A"/>
    <w:rsid w:val="00587069"/>
    <w:rsid w:val="00587EB9"/>
    <w:rsid w:val="005902E8"/>
    <w:rsid w:val="00590AE4"/>
    <w:rsid w:val="005922E8"/>
    <w:rsid w:val="00592F15"/>
    <w:rsid w:val="005944F7"/>
    <w:rsid w:val="00594E4E"/>
    <w:rsid w:val="00595F28"/>
    <w:rsid w:val="00597207"/>
    <w:rsid w:val="005A01FB"/>
    <w:rsid w:val="005A0AB8"/>
    <w:rsid w:val="005A1D86"/>
    <w:rsid w:val="005A3304"/>
    <w:rsid w:val="005A342F"/>
    <w:rsid w:val="005A4169"/>
    <w:rsid w:val="005A5A83"/>
    <w:rsid w:val="005A648D"/>
    <w:rsid w:val="005A753E"/>
    <w:rsid w:val="005B0205"/>
    <w:rsid w:val="005B07B5"/>
    <w:rsid w:val="005B07D3"/>
    <w:rsid w:val="005B0E1C"/>
    <w:rsid w:val="005B1414"/>
    <w:rsid w:val="005B257A"/>
    <w:rsid w:val="005B25D7"/>
    <w:rsid w:val="005B2D37"/>
    <w:rsid w:val="005B3D6B"/>
    <w:rsid w:val="005B6B55"/>
    <w:rsid w:val="005B7015"/>
    <w:rsid w:val="005B759C"/>
    <w:rsid w:val="005C0642"/>
    <w:rsid w:val="005C1AC3"/>
    <w:rsid w:val="005C22AE"/>
    <w:rsid w:val="005C3927"/>
    <w:rsid w:val="005C463A"/>
    <w:rsid w:val="005C488C"/>
    <w:rsid w:val="005C5368"/>
    <w:rsid w:val="005C5882"/>
    <w:rsid w:val="005C62CB"/>
    <w:rsid w:val="005C6B76"/>
    <w:rsid w:val="005C7337"/>
    <w:rsid w:val="005C7B33"/>
    <w:rsid w:val="005D0758"/>
    <w:rsid w:val="005D1ABF"/>
    <w:rsid w:val="005D22D1"/>
    <w:rsid w:val="005D441F"/>
    <w:rsid w:val="005D4711"/>
    <w:rsid w:val="005D53EF"/>
    <w:rsid w:val="005D5992"/>
    <w:rsid w:val="005D5BA6"/>
    <w:rsid w:val="005D7D8A"/>
    <w:rsid w:val="005D7EBF"/>
    <w:rsid w:val="005E10F7"/>
    <w:rsid w:val="005E2EB5"/>
    <w:rsid w:val="005E2F70"/>
    <w:rsid w:val="005E2F73"/>
    <w:rsid w:val="005E3D4B"/>
    <w:rsid w:val="005E47FF"/>
    <w:rsid w:val="005E4D9C"/>
    <w:rsid w:val="005E5A05"/>
    <w:rsid w:val="005E5B59"/>
    <w:rsid w:val="005E6536"/>
    <w:rsid w:val="005E78B7"/>
    <w:rsid w:val="005E7B42"/>
    <w:rsid w:val="005E7D7A"/>
    <w:rsid w:val="005F090B"/>
    <w:rsid w:val="005F0954"/>
    <w:rsid w:val="005F09E0"/>
    <w:rsid w:val="005F0C14"/>
    <w:rsid w:val="005F128F"/>
    <w:rsid w:val="005F1BED"/>
    <w:rsid w:val="005F2C92"/>
    <w:rsid w:val="005F5227"/>
    <w:rsid w:val="005F66F2"/>
    <w:rsid w:val="0060055A"/>
    <w:rsid w:val="006012F4"/>
    <w:rsid w:val="006014AF"/>
    <w:rsid w:val="006022C4"/>
    <w:rsid w:val="006043E0"/>
    <w:rsid w:val="00604DCC"/>
    <w:rsid w:val="00606A52"/>
    <w:rsid w:val="006072CD"/>
    <w:rsid w:val="006101D0"/>
    <w:rsid w:val="006105E7"/>
    <w:rsid w:val="00610AA1"/>
    <w:rsid w:val="00612099"/>
    <w:rsid w:val="0061214D"/>
    <w:rsid w:val="00615144"/>
    <w:rsid w:val="00615A35"/>
    <w:rsid w:val="00615A57"/>
    <w:rsid w:val="006161F0"/>
    <w:rsid w:val="006168F9"/>
    <w:rsid w:val="00617A4E"/>
    <w:rsid w:val="006219C5"/>
    <w:rsid w:val="00621F13"/>
    <w:rsid w:val="00622EE0"/>
    <w:rsid w:val="0062318B"/>
    <w:rsid w:val="00623D3E"/>
    <w:rsid w:val="00624835"/>
    <w:rsid w:val="00624A75"/>
    <w:rsid w:val="00625C0B"/>
    <w:rsid w:val="00626883"/>
    <w:rsid w:val="00626A5B"/>
    <w:rsid w:val="0063058B"/>
    <w:rsid w:val="00631654"/>
    <w:rsid w:val="00631663"/>
    <w:rsid w:val="00631BE7"/>
    <w:rsid w:val="006327A2"/>
    <w:rsid w:val="006327D8"/>
    <w:rsid w:val="006329CE"/>
    <w:rsid w:val="00633222"/>
    <w:rsid w:val="00633472"/>
    <w:rsid w:val="006334BC"/>
    <w:rsid w:val="00633FAB"/>
    <w:rsid w:val="0063410B"/>
    <w:rsid w:val="006368EB"/>
    <w:rsid w:val="00636FE6"/>
    <w:rsid w:val="00637161"/>
    <w:rsid w:val="006375DE"/>
    <w:rsid w:val="006400BC"/>
    <w:rsid w:val="006401FA"/>
    <w:rsid w:val="00640C27"/>
    <w:rsid w:val="00640FED"/>
    <w:rsid w:val="00642034"/>
    <w:rsid w:val="00642311"/>
    <w:rsid w:val="006438AE"/>
    <w:rsid w:val="006466CE"/>
    <w:rsid w:val="0064772B"/>
    <w:rsid w:val="00647C1D"/>
    <w:rsid w:val="00650566"/>
    <w:rsid w:val="00651CF9"/>
    <w:rsid w:val="00651E89"/>
    <w:rsid w:val="00652426"/>
    <w:rsid w:val="00653577"/>
    <w:rsid w:val="00653C86"/>
    <w:rsid w:val="006553D3"/>
    <w:rsid w:val="00655B80"/>
    <w:rsid w:val="006600AE"/>
    <w:rsid w:val="00661F18"/>
    <w:rsid w:val="00662376"/>
    <w:rsid w:val="00662A7A"/>
    <w:rsid w:val="006634B8"/>
    <w:rsid w:val="00663F5D"/>
    <w:rsid w:val="00665BC7"/>
    <w:rsid w:val="00671425"/>
    <w:rsid w:val="00671D64"/>
    <w:rsid w:val="00672A4C"/>
    <w:rsid w:val="0067585C"/>
    <w:rsid w:val="00675CFA"/>
    <w:rsid w:val="00676459"/>
    <w:rsid w:val="006765A5"/>
    <w:rsid w:val="00680C75"/>
    <w:rsid w:val="00681482"/>
    <w:rsid w:val="00681FEE"/>
    <w:rsid w:val="00682B97"/>
    <w:rsid w:val="006833B0"/>
    <w:rsid w:val="00683A8C"/>
    <w:rsid w:val="00683D1B"/>
    <w:rsid w:val="00685A36"/>
    <w:rsid w:val="00685BB6"/>
    <w:rsid w:val="00687FC7"/>
    <w:rsid w:val="00690055"/>
    <w:rsid w:val="006915FA"/>
    <w:rsid w:val="00692728"/>
    <w:rsid w:val="0069373F"/>
    <w:rsid w:val="006973BF"/>
    <w:rsid w:val="006A253A"/>
    <w:rsid w:val="006A2570"/>
    <w:rsid w:val="006A2BC9"/>
    <w:rsid w:val="006A320D"/>
    <w:rsid w:val="006A3385"/>
    <w:rsid w:val="006A3CAD"/>
    <w:rsid w:val="006A3EE5"/>
    <w:rsid w:val="006A4A26"/>
    <w:rsid w:val="006A70D9"/>
    <w:rsid w:val="006A734A"/>
    <w:rsid w:val="006A7E85"/>
    <w:rsid w:val="006B067D"/>
    <w:rsid w:val="006B1665"/>
    <w:rsid w:val="006B1E56"/>
    <w:rsid w:val="006B3494"/>
    <w:rsid w:val="006B3A74"/>
    <w:rsid w:val="006B5ACC"/>
    <w:rsid w:val="006B5E08"/>
    <w:rsid w:val="006B5EAE"/>
    <w:rsid w:val="006B645B"/>
    <w:rsid w:val="006B7E7A"/>
    <w:rsid w:val="006C22AD"/>
    <w:rsid w:val="006C2BBB"/>
    <w:rsid w:val="006C2F63"/>
    <w:rsid w:val="006C34EE"/>
    <w:rsid w:val="006C51DF"/>
    <w:rsid w:val="006C5A9E"/>
    <w:rsid w:val="006C61ED"/>
    <w:rsid w:val="006C73FF"/>
    <w:rsid w:val="006C792F"/>
    <w:rsid w:val="006D2225"/>
    <w:rsid w:val="006D27E6"/>
    <w:rsid w:val="006D3631"/>
    <w:rsid w:val="006D507A"/>
    <w:rsid w:val="006D569D"/>
    <w:rsid w:val="006E1802"/>
    <w:rsid w:val="006E2890"/>
    <w:rsid w:val="006E3207"/>
    <w:rsid w:val="006E37DA"/>
    <w:rsid w:val="006E3F12"/>
    <w:rsid w:val="006E6178"/>
    <w:rsid w:val="006E7F6B"/>
    <w:rsid w:val="006F0F23"/>
    <w:rsid w:val="006F0F40"/>
    <w:rsid w:val="006F0FE3"/>
    <w:rsid w:val="006F1025"/>
    <w:rsid w:val="006F17B8"/>
    <w:rsid w:val="006F3EFE"/>
    <w:rsid w:val="006F4507"/>
    <w:rsid w:val="006F4E79"/>
    <w:rsid w:val="006F52CF"/>
    <w:rsid w:val="006F5F22"/>
    <w:rsid w:val="006F655A"/>
    <w:rsid w:val="006F74D8"/>
    <w:rsid w:val="006F7C91"/>
    <w:rsid w:val="007000B4"/>
    <w:rsid w:val="00700668"/>
    <w:rsid w:val="007008D0"/>
    <w:rsid w:val="00700F28"/>
    <w:rsid w:val="00700F91"/>
    <w:rsid w:val="007013DF"/>
    <w:rsid w:val="00701497"/>
    <w:rsid w:val="00701854"/>
    <w:rsid w:val="00702B09"/>
    <w:rsid w:val="00702B41"/>
    <w:rsid w:val="00702E77"/>
    <w:rsid w:val="00706350"/>
    <w:rsid w:val="007069BD"/>
    <w:rsid w:val="007071E1"/>
    <w:rsid w:val="00707A26"/>
    <w:rsid w:val="00711AE3"/>
    <w:rsid w:val="00712093"/>
    <w:rsid w:val="00712DBC"/>
    <w:rsid w:val="00713FBB"/>
    <w:rsid w:val="00714E83"/>
    <w:rsid w:val="0071785D"/>
    <w:rsid w:val="00717B39"/>
    <w:rsid w:val="00717BF6"/>
    <w:rsid w:val="0072043E"/>
    <w:rsid w:val="007208C8"/>
    <w:rsid w:val="00720AEC"/>
    <w:rsid w:val="007217B0"/>
    <w:rsid w:val="00722FE6"/>
    <w:rsid w:val="007233D6"/>
    <w:rsid w:val="007244E2"/>
    <w:rsid w:val="00725DC1"/>
    <w:rsid w:val="0072701A"/>
    <w:rsid w:val="00730455"/>
    <w:rsid w:val="007318AD"/>
    <w:rsid w:val="00733052"/>
    <w:rsid w:val="00734907"/>
    <w:rsid w:val="00734BCB"/>
    <w:rsid w:val="007358BD"/>
    <w:rsid w:val="00736AF9"/>
    <w:rsid w:val="00736B83"/>
    <w:rsid w:val="0073765A"/>
    <w:rsid w:val="00737C5F"/>
    <w:rsid w:val="00737D32"/>
    <w:rsid w:val="00741735"/>
    <w:rsid w:val="00741CFA"/>
    <w:rsid w:val="00742567"/>
    <w:rsid w:val="00742837"/>
    <w:rsid w:val="007433EC"/>
    <w:rsid w:val="00743747"/>
    <w:rsid w:val="00743B11"/>
    <w:rsid w:val="00744586"/>
    <w:rsid w:val="00744649"/>
    <w:rsid w:val="00744BC2"/>
    <w:rsid w:val="0074505C"/>
    <w:rsid w:val="00745B7C"/>
    <w:rsid w:val="00745BFD"/>
    <w:rsid w:val="0074682B"/>
    <w:rsid w:val="00747DBE"/>
    <w:rsid w:val="00747F98"/>
    <w:rsid w:val="0075000D"/>
    <w:rsid w:val="007504E7"/>
    <w:rsid w:val="00750837"/>
    <w:rsid w:val="007524D9"/>
    <w:rsid w:val="007530E3"/>
    <w:rsid w:val="00753295"/>
    <w:rsid w:val="00753C0E"/>
    <w:rsid w:val="007543DD"/>
    <w:rsid w:val="007554CC"/>
    <w:rsid w:val="007556C0"/>
    <w:rsid w:val="007566DE"/>
    <w:rsid w:val="00762283"/>
    <w:rsid w:val="0076403B"/>
    <w:rsid w:val="0076408D"/>
    <w:rsid w:val="00764DF2"/>
    <w:rsid w:val="00764DF7"/>
    <w:rsid w:val="007664E6"/>
    <w:rsid w:val="00767639"/>
    <w:rsid w:val="00767D95"/>
    <w:rsid w:val="00770837"/>
    <w:rsid w:val="007723E9"/>
    <w:rsid w:val="00773136"/>
    <w:rsid w:val="00774AA6"/>
    <w:rsid w:val="007818F3"/>
    <w:rsid w:val="00781E33"/>
    <w:rsid w:val="007833F2"/>
    <w:rsid w:val="00784976"/>
    <w:rsid w:val="00784A51"/>
    <w:rsid w:val="00785813"/>
    <w:rsid w:val="007860B0"/>
    <w:rsid w:val="00787FB5"/>
    <w:rsid w:val="007902D0"/>
    <w:rsid w:val="007906DC"/>
    <w:rsid w:val="00791C7D"/>
    <w:rsid w:val="007928EF"/>
    <w:rsid w:val="00792C82"/>
    <w:rsid w:val="00793124"/>
    <w:rsid w:val="00794BEA"/>
    <w:rsid w:val="00794F9C"/>
    <w:rsid w:val="00794FDD"/>
    <w:rsid w:val="00795979"/>
    <w:rsid w:val="007959E1"/>
    <w:rsid w:val="00795FD5"/>
    <w:rsid w:val="007A11A4"/>
    <w:rsid w:val="007A1D29"/>
    <w:rsid w:val="007A5134"/>
    <w:rsid w:val="007A58B7"/>
    <w:rsid w:val="007A7422"/>
    <w:rsid w:val="007A7540"/>
    <w:rsid w:val="007A78C8"/>
    <w:rsid w:val="007B052D"/>
    <w:rsid w:val="007B145C"/>
    <w:rsid w:val="007B274F"/>
    <w:rsid w:val="007B3C0B"/>
    <w:rsid w:val="007B3C56"/>
    <w:rsid w:val="007B60A2"/>
    <w:rsid w:val="007B64FB"/>
    <w:rsid w:val="007B7471"/>
    <w:rsid w:val="007C0068"/>
    <w:rsid w:val="007C06CE"/>
    <w:rsid w:val="007C091B"/>
    <w:rsid w:val="007C1509"/>
    <w:rsid w:val="007C2BCD"/>
    <w:rsid w:val="007C45D8"/>
    <w:rsid w:val="007C51B7"/>
    <w:rsid w:val="007C59B9"/>
    <w:rsid w:val="007C6901"/>
    <w:rsid w:val="007C7BA6"/>
    <w:rsid w:val="007D0E8A"/>
    <w:rsid w:val="007D18A6"/>
    <w:rsid w:val="007D1ACB"/>
    <w:rsid w:val="007D2702"/>
    <w:rsid w:val="007D4EFA"/>
    <w:rsid w:val="007D5C74"/>
    <w:rsid w:val="007D651E"/>
    <w:rsid w:val="007D7C85"/>
    <w:rsid w:val="007E05EE"/>
    <w:rsid w:val="007E0BEA"/>
    <w:rsid w:val="007E0EC7"/>
    <w:rsid w:val="007E1D1B"/>
    <w:rsid w:val="007E2D9F"/>
    <w:rsid w:val="007E3065"/>
    <w:rsid w:val="007E3989"/>
    <w:rsid w:val="007E3EC4"/>
    <w:rsid w:val="007E40AA"/>
    <w:rsid w:val="007E60A1"/>
    <w:rsid w:val="007F18C3"/>
    <w:rsid w:val="007F1989"/>
    <w:rsid w:val="007F21BF"/>
    <w:rsid w:val="007F299A"/>
    <w:rsid w:val="007F414A"/>
    <w:rsid w:val="007F573A"/>
    <w:rsid w:val="007F5812"/>
    <w:rsid w:val="007F78D5"/>
    <w:rsid w:val="007F7995"/>
    <w:rsid w:val="007F7E24"/>
    <w:rsid w:val="00800113"/>
    <w:rsid w:val="00801D98"/>
    <w:rsid w:val="0080228A"/>
    <w:rsid w:val="008025E3"/>
    <w:rsid w:val="00803760"/>
    <w:rsid w:val="00803BC0"/>
    <w:rsid w:val="008043FD"/>
    <w:rsid w:val="00804D67"/>
    <w:rsid w:val="00805653"/>
    <w:rsid w:val="00805732"/>
    <w:rsid w:val="00805A2E"/>
    <w:rsid w:val="00806296"/>
    <w:rsid w:val="008063BB"/>
    <w:rsid w:val="00806904"/>
    <w:rsid w:val="00807244"/>
    <w:rsid w:val="0080773C"/>
    <w:rsid w:val="008105F1"/>
    <w:rsid w:val="00810B7A"/>
    <w:rsid w:val="00810E5D"/>
    <w:rsid w:val="008121C7"/>
    <w:rsid w:val="00812B48"/>
    <w:rsid w:val="00812BEE"/>
    <w:rsid w:val="00812CDD"/>
    <w:rsid w:val="00812E69"/>
    <w:rsid w:val="00813B12"/>
    <w:rsid w:val="008146FF"/>
    <w:rsid w:val="0081560E"/>
    <w:rsid w:val="0082012E"/>
    <w:rsid w:val="00820DE9"/>
    <w:rsid w:val="00820FAE"/>
    <w:rsid w:val="008224BE"/>
    <w:rsid w:val="0082252E"/>
    <w:rsid w:val="0082332F"/>
    <w:rsid w:val="008254B9"/>
    <w:rsid w:val="0082572E"/>
    <w:rsid w:val="0082683C"/>
    <w:rsid w:val="00826CAE"/>
    <w:rsid w:val="0082711C"/>
    <w:rsid w:val="0082753D"/>
    <w:rsid w:val="00827F5E"/>
    <w:rsid w:val="008300B9"/>
    <w:rsid w:val="00833AEF"/>
    <w:rsid w:val="00834C29"/>
    <w:rsid w:val="00836F6F"/>
    <w:rsid w:val="008401E3"/>
    <w:rsid w:val="00841053"/>
    <w:rsid w:val="0084132E"/>
    <w:rsid w:val="008425CA"/>
    <w:rsid w:val="0084476E"/>
    <w:rsid w:val="00844BA9"/>
    <w:rsid w:val="00845433"/>
    <w:rsid w:val="008455DD"/>
    <w:rsid w:val="008455ED"/>
    <w:rsid w:val="0084615C"/>
    <w:rsid w:val="008470F5"/>
    <w:rsid w:val="008473E2"/>
    <w:rsid w:val="00850204"/>
    <w:rsid w:val="00850A20"/>
    <w:rsid w:val="0085100D"/>
    <w:rsid w:val="008515F7"/>
    <w:rsid w:val="008525CD"/>
    <w:rsid w:val="008543BD"/>
    <w:rsid w:val="00855A94"/>
    <w:rsid w:val="00855EF3"/>
    <w:rsid w:val="008560EA"/>
    <w:rsid w:val="00857151"/>
    <w:rsid w:val="00857D1A"/>
    <w:rsid w:val="00860CC9"/>
    <w:rsid w:val="00860F0A"/>
    <w:rsid w:val="00861278"/>
    <w:rsid w:val="008616F6"/>
    <w:rsid w:val="0086271F"/>
    <w:rsid w:val="0086559C"/>
    <w:rsid w:val="00865AF1"/>
    <w:rsid w:val="00866BDD"/>
    <w:rsid w:val="00870516"/>
    <w:rsid w:val="0087053C"/>
    <w:rsid w:val="0087290A"/>
    <w:rsid w:val="00872EA0"/>
    <w:rsid w:val="00875586"/>
    <w:rsid w:val="0087601D"/>
    <w:rsid w:val="0087608E"/>
    <w:rsid w:val="00876DFB"/>
    <w:rsid w:val="008775F6"/>
    <w:rsid w:val="008779FF"/>
    <w:rsid w:val="00877C5B"/>
    <w:rsid w:val="0088293D"/>
    <w:rsid w:val="00882AA6"/>
    <w:rsid w:val="00883FE3"/>
    <w:rsid w:val="00884592"/>
    <w:rsid w:val="0088487A"/>
    <w:rsid w:val="00884E18"/>
    <w:rsid w:val="00886D38"/>
    <w:rsid w:val="008870AC"/>
    <w:rsid w:val="0088771F"/>
    <w:rsid w:val="00890601"/>
    <w:rsid w:val="00890E9E"/>
    <w:rsid w:val="008928B8"/>
    <w:rsid w:val="008939D5"/>
    <w:rsid w:val="008946FC"/>
    <w:rsid w:val="00896DB8"/>
    <w:rsid w:val="00896EBE"/>
    <w:rsid w:val="00897700"/>
    <w:rsid w:val="0089780D"/>
    <w:rsid w:val="008A002E"/>
    <w:rsid w:val="008A0484"/>
    <w:rsid w:val="008A183A"/>
    <w:rsid w:val="008A208E"/>
    <w:rsid w:val="008A247C"/>
    <w:rsid w:val="008A2E24"/>
    <w:rsid w:val="008A625C"/>
    <w:rsid w:val="008A76C5"/>
    <w:rsid w:val="008A7F73"/>
    <w:rsid w:val="008B0454"/>
    <w:rsid w:val="008B2801"/>
    <w:rsid w:val="008B283A"/>
    <w:rsid w:val="008B370D"/>
    <w:rsid w:val="008B468E"/>
    <w:rsid w:val="008B55BF"/>
    <w:rsid w:val="008B6D36"/>
    <w:rsid w:val="008B73F3"/>
    <w:rsid w:val="008B75F6"/>
    <w:rsid w:val="008B7CE3"/>
    <w:rsid w:val="008B7FDA"/>
    <w:rsid w:val="008C17FD"/>
    <w:rsid w:val="008C1C7B"/>
    <w:rsid w:val="008C1F49"/>
    <w:rsid w:val="008C3F1D"/>
    <w:rsid w:val="008C43BA"/>
    <w:rsid w:val="008C4A51"/>
    <w:rsid w:val="008C6480"/>
    <w:rsid w:val="008D0E40"/>
    <w:rsid w:val="008D29C1"/>
    <w:rsid w:val="008D29F0"/>
    <w:rsid w:val="008D30E4"/>
    <w:rsid w:val="008D3BBC"/>
    <w:rsid w:val="008D4378"/>
    <w:rsid w:val="008D49E8"/>
    <w:rsid w:val="008D4B31"/>
    <w:rsid w:val="008D596D"/>
    <w:rsid w:val="008D5C13"/>
    <w:rsid w:val="008D5E6C"/>
    <w:rsid w:val="008D6D92"/>
    <w:rsid w:val="008E0103"/>
    <w:rsid w:val="008E398B"/>
    <w:rsid w:val="008E4A7D"/>
    <w:rsid w:val="008E6D33"/>
    <w:rsid w:val="008E7452"/>
    <w:rsid w:val="008E7BCF"/>
    <w:rsid w:val="008F0638"/>
    <w:rsid w:val="008F0A46"/>
    <w:rsid w:val="008F14AC"/>
    <w:rsid w:val="008F15EB"/>
    <w:rsid w:val="008F1F99"/>
    <w:rsid w:val="008F33A0"/>
    <w:rsid w:val="008F3D3B"/>
    <w:rsid w:val="008F4636"/>
    <w:rsid w:val="008F570C"/>
    <w:rsid w:val="008F7DA1"/>
    <w:rsid w:val="00900ED4"/>
    <w:rsid w:val="009019DC"/>
    <w:rsid w:val="009025B3"/>
    <w:rsid w:val="009034D2"/>
    <w:rsid w:val="0090377B"/>
    <w:rsid w:val="00904114"/>
    <w:rsid w:val="0090636E"/>
    <w:rsid w:val="009106C2"/>
    <w:rsid w:val="00910E88"/>
    <w:rsid w:val="009124A8"/>
    <w:rsid w:val="0091395A"/>
    <w:rsid w:val="009152CA"/>
    <w:rsid w:val="0091547B"/>
    <w:rsid w:val="0091617C"/>
    <w:rsid w:val="00917CB0"/>
    <w:rsid w:val="009204E2"/>
    <w:rsid w:val="009205FF"/>
    <w:rsid w:val="00920B18"/>
    <w:rsid w:val="00920D18"/>
    <w:rsid w:val="00920FAA"/>
    <w:rsid w:val="00922C40"/>
    <w:rsid w:val="00923C15"/>
    <w:rsid w:val="009249F4"/>
    <w:rsid w:val="009251A2"/>
    <w:rsid w:val="00926A52"/>
    <w:rsid w:val="00927FBD"/>
    <w:rsid w:val="0093112F"/>
    <w:rsid w:val="0093113C"/>
    <w:rsid w:val="00932118"/>
    <w:rsid w:val="00932CE5"/>
    <w:rsid w:val="0093505B"/>
    <w:rsid w:val="00935391"/>
    <w:rsid w:val="009356B7"/>
    <w:rsid w:val="009363E1"/>
    <w:rsid w:val="0094013D"/>
    <w:rsid w:val="00940A29"/>
    <w:rsid w:val="00941951"/>
    <w:rsid w:val="00942161"/>
    <w:rsid w:val="00943D59"/>
    <w:rsid w:val="00943E1B"/>
    <w:rsid w:val="0094448D"/>
    <w:rsid w:val="00946BC9"/>
    <w:rsid w:val="00946D16"/>
    <w:rsid w:val="0094789E"/>
    <w:rsid w:val="00950040"/>
    <w:rsid w:val="00950EF7"/>
    <w:rsid w:val="009517D7"/>
    <w:rsid w:val="00952A1C"/>
    <w:rsid w:val="0095416B"/>
    <w:rsid w:val="009551C0"/>
    <w:rsid w:val="0095584C"/>
    <w:rsid w:val="009575C3"/>
    <w:rsid w:val="00957ED1"/>
    <w:rsid w:val="00960CE1"/>
    <w:rsid w:val="00961FB9"/>
    <w:rsid w:val="0096239A"/>
    <w:rsid w:val="00962CF0"/>
    <w:rsid w:val="00963559"/>
    <w:rsid w:val="009642DF"/>
    <w:rsid w:val="00965F26"/>
    <w:rsid w:val="00971C6B"/>
    <w:rsid w:val="00973468"/>
    <w:rsid w:val="009745F6"/>
    <w:rsid w:val="009755EB"/>
    <w:rsid w:val="009756CE"/>
    <w:rsid w:val="00975830"/>
    <w:rsid w:val="009802B6"/>
    <w:rsid w:val="009812E5"/>
    <w:rsid w:val="00981DF0"/>
    <w:rsid w:val="00981E6C"/>
    <w:rsid w:val="00982493"/>
    <w:rsid w:val="00983222"/>
    <w:rsid w:val="009852DA"/>
    <w:rsid w:val="00986F96"/>
    <w:rsid w:val="009874C4"/>
    <w:rsid w:val="00987D29"/>
    <w:rsid w:val="009908D6"/>
    <w:rsid w:val="009909BE"/>
    <w:rsid w:val="009909F3"/>
    <w:rsid w:val="00990DDD"/>
    <w:rsid w:val="00992814"/>
    <w:rsid w:val="00992A60"/>
    <w:rsid w:val="00992D49"/>
    <w:rsid w:val="0099309F"/>
    <w:rsid w:val="00993BA7"/>
    <w:rsid w:val="00995793"/>
    <w:rsid w:val="00995877"/>
    <w:rsid w:val="00995D93"/>
    <w:rsid w:val="00997358"/>
    <w:rsid w:val="0099748B"/>
    <w:rsid w:val="0099783D"/>
    <w:rsid w:val="009A11A2"/>
    <w:rsid w:val="009A276A"/>
    <w:rsid w:val="009A2F1E"/>
    <w:rsid w:val="009A38F6"/>
    <w:rsid w:val="009A39F0"/>
    <w:rsid w:val="009A4920"/>
    <w:rsid w:val="009A7DA3"/>
    <w:rsid w:val="009B246C"/>
    <w:rsid w:val="009B25C1"/>
    <w:rsid w:val="009B32B6"/>
    <w:rsid w:val="009B3BDE"/>
    <w:rsid w:val="009B5456"/>
    <w:rsid w:val="009B7E64"/>
    <w:rsid w:val="009C0A2D"/>
    <w:rsid w:val="009C0D05"/>
    <w:rsid w:val="009C110A"/>
    <w:rsid w:val="009C16DF"/>
    <w:rsid w:val="009C2461"/>
    <w:rsid w:val="009C2A38"/>
    <w:rsid w:val="009C3909"/>
    <w:rsid w:val="009C492B"/>
    <w:rsid w:val="009C4B01"/>
    <w:rsid w:val="009C4DBF"/>
    <w:rsid w:val="009C5BE2"/>
    <w:rsid w:val="009C7518"/>
    <w:rsid w:val="009D0B74"/>
    <w:rsid w:val="009D1BAD"/>
    <w:rsid w:val="009D27B5"/>
    <w:rsid w:val="009D4B11"/>
    <w:rsid w:val="009D6311"/>
    <w:rsid w:val="009D72E0"/>
    <w:rsid w:val="009E0F9C"/>
    <w:rsid w:val="009E1B78"/>
    <w:rsid w:val="009E2905"/>
    <w:rsid w:val="009E4910"/>
    <w:rsid w:val="009E61C5"/>
    <w:rsid w:val="009E7413"/>
    <w:rsid w:val="009E74C7"/>
    <w:rsid w:val="009E7ECD"/>
    <w:rsid w:val="009F011D"/>
    <w:rsid w:val="009F08D9"/>
    <w:rsid w:val="009F11B4"/>
    <w:rsid w:val="009F1584"/>
    <w:rsid w:val="009F2E89"/>
    <w:rsid w:val="009F492D"/>
    <w:rsid w:val="00A01782"/>
    <w:rsid w:val="00A02BAA"/>
    <w:rsid w:val="00A03A70"/>
    <w:rsid w:val="00A03D7D"/>
    <w:rsid w:val="00A04459"/>
    <w:rsid w:val="00A0457F"/>
    <w:rsid w:val="00A05BBA"/>
    <w:rsid w:val="00A06012"/>
    <w:rsid w:val="00A076D4"/>
    <w:rsid w:val="00A079BF"/>
    <w:rsid w:val="00A079F8"/>
    <w:rsid w:val="00A101A5"/>
    <w:rsid w:val="00A10CDD"/>
    <w:rsid w:val="00A129AD"/>
    <w:rsid w:val="00A13582"/>
    <w:rsid w:val="00A13D7D"/>
    <w:rsid w:val="00A13DED"/>
    <w:rsid w:val="00A14B63"/>
    <w:rsid w:val="00A14D26"/>
    <w:rsid w:val="00A17951"/>
    <w:rsid w:val="00A21133"/>
    <w:rsid w:val="00A212B4"/>
    <w:rsid w:val="00A21A9F"/>
    <w:rsid w:val="00A247BE"/>
    <w:rsid w:val="00A24F17"/>
    <w:rsid w:val="00A25D3C"/>
    <w:rsid w:val="00A2725D"/>
    <w:rsid w:val="00A3097F"/>
    <w:rsid w:val="00A309C6"/>
    <w:rsid w:val="00A32EAF"/>
    <w:rsid w:val="00A33FD1"/>
    <w:rsid w:val="00A340FE"/>
    <w:rsid w:val="00A342C4"/>
    <w:rsid w:val="00A351C1"/>
    <w:rsid w:val="00A376F0"/>
    <w:rsid w:val="00A37FDF"/>
    <w:rsid w:val="00A4002A"/>
    <w:rsid w:val="00A403E1"/>
    <w:rsid w:val="00A411AF"/>
    <w:rsid w:val="00A426C7"/>
    <w:rsid w:val="00A441F3"/>
    <w:rsid w:val="00A45588"/>
    <w:rsid w:val="00A46C29"/>
    <w:rsid w:val="00A46E53"/>
    <w:rsid w:val="00A47F53"/>
    <w:rsid w:val="00A522F2"/>
    <w:rsid w:val="00A54AFC"/>
    <w:rsid w:val="00A55154"/>
    <w:rsid w:val="00A55450"/>
    <w:rsid w:val="00A5570B"/>
    <w:rsid w:val="00A56BCF"/>
    <w:rsid w:val="00A56F81"/>
    <w:rsid w:val="00A5783A"/>
    <w:rsid w:val="00A6124E"/>
    <w:rsid w:val="00A62298"/>
    <w:rsid w:val="00A627E0"/>
    <w:rsid w:val="00A629BA"/>
    <w:rsid w:val="00A62A7B"/>
    <w:rsid w:val="00A63CC5"/>
    <w:rsid w:val="00A644C0"/>
    <w:rsid w:val="00A64944"/>
    <w:rsid w:val="00A71816"/>
    <w:rsid w:val="00A724B8"/>
    <w:rsid w:val="00A73019"/>
    <w:rsid w:val="00A73868"/>
    <w:rsid w:val="00A73F58"/>
    <w:rsid w:val="00A76D5A"/>
    <w:rsid w:val="00A775EB"/>
    <w:rsid w:val="00A776C8"/>
    <w:rsid w:val="00A806A9"/>
    <w:rsid w:val="00A80FEB"/>
    <w:rsid w:val="00A811B2"/>
    <w:rsid w:val="00A81749"/>
    <w:rsid w:val="00A821BA"/>
    <w:rsid w:val="00A8267A"/>
    <w:rsid w:val="00A826AC"/>
    <w:rsid w:val="00A828C5"/>
    <w:rsid w:val="00A8343E"/>
    <w:rsid w:val="00A85D40"/>
    <w:rsid w:val="00A86876"/>
    <w:rsid w:val="00A87060"/>
    <w:rsid w:val="00A872E8"/>
    <w:rsid w:val="00A876CE"/>
    <w:rsid w:val="00A90230"/>
    <w:rsid w:val="00A90D63"/>
    <w:rsid w:val="00A9107C"/>
    <w:rsid w:val="00A919EC"/>
    <w:rsid w:val="00A92477"/>
    <w:rsid w:val="00A925DE"/>
    <w:rsid w:val="00A92EDB"/>
    <w:rsid w:val="00A932B7"/>
    <w:rsid w:val="00A979A2"/>
    <w:rsid w:val="00AA08E6"/>
    <w:rsid w:val="00AA2252"/>
    <w:rsid w:val="00AA5FA4"/>
    <w:rsid w:val="00AA665C"/>
    <w:rsid w:val="00AA706D"/>
    <w:rsid w:val="00AB056F"/>
    <w:rsid w:val="00AB21B6"/>
    <w:rsid w:val="00AB426F"/>
    <w:rsid w:val="00AB468F"/>
    <w:rsid w:val="00AB47C5"/>
    <w:rsid w:val="00AB5A7C"/>
    <w:rsid w:val="00AB5CD2"/>
    <w:rsid w:val="00AB69B2"/>
    <w:rsid w:val="00AB6BAC"/>
    <w:rsid w:val="00AB7F21"/>
    <w:rsid w:val="00AC7DB0"/>
    <w:rsid w:val="00AD26A4"/>
    <w:rsid w:val="00AD33F3"/>
    <w:rsid w:val="00AD3E4B"/>
    <w:rsid w:val="00AD42FD"/>
    <w:rsid w:val="00AD4432"/>
    <w:rsid w:val="00AD62B2"/>
    <w:rsid w:val="00AD67D1"/>
    <w:rsid w:val="00AD6BE9"/>
    <w:rsid w:val="00AD7B60"/>
    <w:rsid w:val="00AE0100"/>
    <w:rsid w:val="00AE1593"/>
    <w:rsid w:val="00AE345F"/>
    <w:rsid w:val="00AE4F8C"/>
    <w:rsid w:val="00AE54B7"/>
    <w:rsid w:val="00AE62F5"/>
    <w:rsid w:val="00AE653B"/>
    <w:rsid w:val="00AE6B30"/>
    <w:rsid w:val="00AF2C2A"/>
    <w:rsid w:val="00AF3504"/>
    <w:rsid w:val="00AF3BE3"/>
    <w:rsid w:val="00AF41B2"/>
    <w:rsid w:val="00AF5B81"/>
    <w:rsid w:val="00AF620D"/>
    <w:rsid w:val="00AF703B"/>
    <w:rsid w:val="00B02D63"/>
    <w:rsid w:val="00B030B7"/>
    <w:rsid w:val="00B034B3"/>
    <w:rsid w:val="00B040B3"/>
    <w:rsid w:val="00B04DE7"/>
    <w:rsid w:val="00B068DC"/>
    <w:rsid w:val="00B06986"/>
    <w:rsid w:val="00B077BD"/>
    <w:rsid w:val="00B11677"/>
    <w:rsid w:val="00B145CE"/>
    <w:rsid w:val="00B15F0B"/>
    <w:rsid w:val="00B20435"/>
    <w:rsid w:val="00B20EBE"/>
    <w:rsid w:val="00B20F1E"/>
    <w:rsid w:val="00B21173"/>
    <w:rsid w:val="00B2223B"/>
    <w:rsid w:val="00B23153"/>
    <w:rsid w:val="00B234FF"/>
    <w:rsid w:val="00B25195"/>
    <w:rsid w:val="00B25E08"/>
    <w:rsid w:val="00B26115"/>
    <w:rsid w:val="00B26C7F"/>
    <w:rsid w:val="00B27A59"/>
    <w:rsid w:val="00B3632E"/>
    <w:rsid w:val="00B37AB7"/>
    <w:rsid w:val="00B43AA5"/>
    <w:rsid w:val="00B43EB5"/>
    <w:rsid w:val="00B44876"/>
    <w:rsid w:val="00B44B1B"/>
    <w:rsid w:val="00B44C98"/>
    <w:rsid w:val="00B452D1"/>
    <w:rsid w:val="00B467B0"/>
    <w:rsid w:val="00B46C7B"/>
    <w:rsid w:val="00B47A71"/>
    <w:rsid w:val="00B5134E"/>
    <w:rsid w:val="00B52693"/>
    <w:rsid w:val="00B55073"/>
    <w:rsid w:val="00B57420"/>
    <w:rsid w:val="00B57443"/>
    <w:rsid w:val="00B57D64"/>
    <w:rsid w:val="00B61119"/>
    <w:rsid w:val="00B61EB6"/>
    <w:rsid w:val="00B624B0"/>
    <w:rsid w:val="00B6421E"/>
    <w:rsid w:val="00B64B4B"/>
    <w:rsid w:val="00B65C14"/>
    <w:rsid w:val="00B66A40"/>
    <w:rsid w:val="00B66DFF"/>
    <w:rsid w:val="00B67B49"/>
    <w:rsid w:val="00B67DD9"/>
    <w:rsid w:val="00B70AA0"/>
    <w:rsid w:val="00B730A8"/>
    <w:rsid w:val="00B73978"/>
    <w:rsid w:val="00B73FFF"/>
    <w:rsid w:val="00B75AF8"/>
    <w:rsid w:val="00B7620D"/>
    <w:rsid w:val="00B7621F"/>
    <w:rsid w:val="00B77422"/>
    <w:rsid w:val="00B7757B"/>
    <w:rsid w:val="00B777A6"/>
    <w:rsid w:val="00B809D5"/>
    <w:rsid w:val="00B80A1E"/>
    <w:rsid w:val="00B81402"/>
    <w:rsid w:val="00B82F00"/>
    <w:rsid w:val="00B8386E"/>
    <w:rsid w:val="00B84054"/>
    <w:rsid w:val="00B8495F"/>
    <w:rsid w:val="00B850FF"/>
    <w:rsid w:val="00B8574D"/>
    <w:rsid w:val="00B87383"/>
    <w:rsid w:val="00B87A26"/>
    <w:rsid w:val="00B87BC3"/>
    <w:rsid w:val="00B90098"/>
    <w:rsid w:val="00B90709"/>
    <w:rsid w:val="00B92D8B"/>
    <w:rsid w:val="00B92F8C"/>
    <w:rsid w:val="00B93038"/>
    <w:rsid w:val="00B94651"/>
    <w:rsid w:val="00B94DF2"/>
    <w:rsid w:val="00B9593D"/>
    <w:rsid w:val="00B95A9F"/>
    <w:rsid w:val="00B96134"/>
    <w:rsid w:val="00B976D1"/>
    <w:rsid w:val="00BA0B39"/>
    <w:rsid w:val="00BA273C"/>
    <w:rsid w:val="00BA3545"/>
    <w:rsid w:val="00BA4774"/>
    <w:rsid w:val="00BA558A"/>
    <w:rsid w:val="00BA5BD9"/>
    <w:rsid w:val="00BA5C35"/>
    <w:rsid w:val="00BA5C77"/>
    <w:rsid w:val="00BA603E"/>
    <w:rsid w:val="00BB4743"/>
    <w:rsid w:val="00BB4AD3"/>
    <w:rsid w:val="00BB4CD3"/>
    <w:rsid w:val="00BB7041"/>
    <w:rsid w:val="00BC0747"/>
    <w:rsid w:val="00BC0856"/>
    <w:rsid w:val="00BC10F0"/>
    <w:rsid w:val="00BC12A9"/>
    <w:rsid w:val="00BC1EF6"/>
    <w:rsid w:val="00BC4430"/>
    <w:rsid w:val="00BC588A"/>
    <w:rsid w:val="00BC6B2F"/>
    <w:rsid w:val="00BC6B49"/>
    <w:rsid w:val="00BC6DCE"/>
    <w:rsid w:val="00BC774E"/>
    <w:rsid w:val="00BC78AA"/>
    <w:rsid w:val="00BD0C4A"/>
    <w:rsid w:val="00BD19E7"/>
    <w:rsid w:val="00BD23DE"/>
    <w:rsid w:val="00BD2640"/>
    <w:rsid w:val="00BD278E"/>
    <w:rsid w:val="00BD2C8F"/>
    <w:rsid w:val="00BD34E3"/>
    <w:rsid w:val="00BD3594"/>
    <w:rsid w:val="00BD449E"/>
    <w:rsid w:val="00BD564B"/>
    <w:rsid w:val="00BD6724"/>
    <w:rsid w:val="00BE15DE"/>
    <w:rsid w:val="00BE1B85"/>
    <w:rsid w:val="00BE2186"/>
    <w:rsid w:val="00BE3C83"/>
    <w:rsid w:val="00BE464F"/>
    <w:rsid w:val="00BE4690"/>
    <w:rsid w:val="00BE6861"/>
    <w:rsid w:val="00BE729B"/>
    <w:rsid w:val="00BE764F"/>
    <w:rsid w:val="00BF0598"/>
    <w:rsid w:val="00BF10F5"/>
    <w:rsid w:val="00BF28A9"/>
    <w:rsid w:val="00BF4749"/>
    <w:rsid w:val="00BF6196"/>
    <w:rsid w:val="00BF6A38"/>
    <w:rsid w:val="00BF709D"/>
    <w:rsid w:val="00C0126B"/>
    <w:rsid w:val="00C01A80"/>
    <w:rsid w:val="00C041A2"/>
    <w:rsid w:val="00C04F7F"/>
    <w:rsid w:val="00C051D6"/>
    <w:rsid w:val="00C0668B"/>
    <w:rsid w:val="00C06F49"/>
    <w:rsid w:val="00C07E66"/>
    <w:rsid w:val="00C11022"/>
    <w:rsid w:val="00C142FA"/>
    <w:rsid w:val="00C154F5"/>
    <w:rsid w:val="00C213A2"/>
    <w:rsid w:val="00C22962"/>
    <w:rsid w:val="00C24D48"/>
    <w:rsid w:val="00C25AE4"/>
    <w:rsid w:val="00C261CC"/>
    <w:rsid w:val="00C31AD1"/>
    <w:rsid w:val="00C32367"/>
    <w:rsid w:val="00C3309D"/>
    <w:rsid w:val="00C3382F"/>
    <w:rsid w:val="00C34D30"/>
    <w:rsid w:val="00C34E99"/>
    <w:rsid w:val="00C35E4F"/>
    <w:rsid w:val="00C36697"/>
    <w:rsid w:val="00C36CC7"/>
    <w:rsid w:val="00C36D1C"/>
    <w:rsid w:val="00C37A57"/>
    <w:rsid w:val="00C40684"/>
    <w:rsid w:val="00C413D6"/>
    <w:rsid w:val="00C41D43"/>
    <w:rsid w:val="00C42C9E"/>
    <w:rsid w:val="00C43EEA"/>
    <w:rsid w:val="00C444C8"/>
    <w:rsid w:val="00C4623B"/>
    <w:rsid w:val="00C463C2"/>
    <w:rsid w:val="00C47B54"/>
    <w:rsid w:val="00C47C52"/>
    <w:rsid w:val="00C47F0E"/>
    <w:rsid w:val="00C5084F"/>
    <w:rsid w:val="00C5204F"/>
    <w:rsid w:val="00C52CC5"/>
    <w:rsid w:val="00C54205"/>
    <w:rsid w:val="00C55BA8"/>
    <w:rsid w:val="00C55E80"/>
    <w:rsid w:val="00C56270"/>
    <w:rsid w:val="00C5726D"/>
    <w:rsid w:val="00C57334"/>
    <w:rsid w:val="00C57A8C"/>
    <w:rsid w:val="00C614DB"/>
    <w:rsid w:val="00C6284D"/>
    <w:rsid w:val="00C6337B"/>
    <w:rsid w:val="00C64CCD"/>
    <w:rsid w:val="00C6752F"/>
    <w:rsid w:val="00C67611"/>
    <w:rsid w:val="00C67648"/>
    <w:rsid w:val="00C70A5B"/>
    <w:rsid w:val="00C70D76"/>
    <w:rsid w:val="00C70E8F"/>
    <w:rsid w:val="00C73D81"/>
    <w:rsid w:val="00C7582C"/>
    <w:rsid w:val="00C75FA0"/>
    <w:rsid w:val="00C764E3"/>
    <w:rsid w:val="00C77348"/>
    <w:rsid w:val="00C802AB"/>
    <w:rsid w:val="00C81402"/>
    <w:rsid w:val="00C81588"/>
    <w:rsid w:val="00C81F93"/>
    <w:rsid w:val="00C829C3"/>
    <w:rsid w:val="00C83447"/>
    <w:rsid w:val="00C83525"/>
    <w:rsid w:val="00C83AEF"/>
    <w:rsid w:val="00C846CB"/>
    <w:rsid w:val="00C8629F"/>
    <w:rsid w:val="00C87195"/>
    <w:rsid w:val="00C8753F"/>
    <w:rsid w:val="00C916C9"/>
    <w:rsid w:val="00C919ED"/>
    <w:rsid w:val="00C920FC"/>
    <w:rsid w:val="00C93508"/>
    <w:rsid w:val="00C935F4"/>
    <w:rsid w:val="00C9474A"/>
    <w:rsid w:val="00C94774"/>
    <w:rsid w:val="00C95061"/>
    <w:rsid w:val="00C964BE"/>
    <w:rsid w:val="00C97F59"/>
    <w:rsid w:val="00CA0171"/>
    <w:rsid w:val="00CA20B5"/>
    <w:rsid w:val="00CA22F6"/>
    <w:rsid w:val="00CA42DF"/>
    <w:rsid w:val="00CA56A3"/>
    <w:rsid w:val="00CA6274"/>
    <w:rsid w:val="00CA6F6B"/>
    <w:rsid w:val="00CA7579"/>
    <w:rsid w:val="00CB0230"/>
    <w:rsid w:val="00CB26E2"/>
    <w:rsid w:val="00CB2CEE"/>
    <w:rsid w:val="00CB35BD"/>
    <w:rsid w:val="00CB3FDC"/>
    <w:rsid w:val="00CB484E"/>
    <w:rsid w:val="00CB5929"/>
    <w:rsid w:val="00CB67A3"/>
    <w:rsid w:val="00CB754F"/>
    <w:rsid w:val="00CB78BF"/>
    <w:rsid w:val="00CB7FC1"/>
    <w:rsid w:val="00CC023D"/>
    <w:rsid w:val="00CC04FD"/>
    <w:rsid w:val="00CC1F5B"/>
    <w:rsid w:val="00CC47BB"/>
    <w:rsid w:val="00CC65EF"/>
    <w:rsid w:val="00CC744F"/>
    <w:rsid w:val="00CD07C5"/>
    <w:rsid w:val="00CD16F9"/>
    <w:rsid w:val="00CD2584"/>
    <w:rsid w:val="00CD3192"/>
    <w:rsid w:val="00CD4BD9"/>
    <w:rsid w:val="00CD7150"/>
    <w:rsid w:val="00CE1195"/>
    <w:rsid w:val="00CE163E"/>
    <w:rsid w:val="00CE185E"/>
    <w:rsid w:val="00CE2F3A"/>
    <w:rsid w:val="00CE307A"/>
    <w:rsid w:val="00CE3108"/>
    <w:rsid w:val="00CE3911"/>
    <w:rsid w:val="00CE3E13"/>
    <w:rsid w:val="00CE4622"/>
    <w:rsid w:val="00CE57CD"/>
    <w:rsid w:val="00CE5A70"/>
    <w:rsid w:val="00CE63F0"/>
    <w:rsid w:val="00CE6A04"/>
    <w:rsid w:val="00CE6D63"/>
    <w:rsid w:val="00CE72E2"/>
    <w:rsid w:val="00CE73AE"/>
    <w:rsid w:val="00CF01BD"/>
    <w:rsid w:val="00CF1146"/>
    <w:rsid w:val="00CF1A85"/>
    <w:rsid w:val="00CF1E27"/>
    <w:rsid w:val="00CF2006"/>
    <w:rsid w:val="00CF25EA"/>
    <w:rsid w:val="00CF2880"/>
    <w:rsid w:val="00CF2B33"/>
    <w:rsid w:val="00CF35A4"/>
    <w:rsid w:val="00CF405C"/>
    <w:rsid w:val="00CF4335"/>
    <w:rsid w:val="00CF555D"/>
    <w:rsid w:val="00CF7161"/>
    <w:rsid w:val="00CF7250"/>
    <w:rsid w:val="00CF7F04"/>
    <w:rsid w:val="00D0050B"/>
    <w:rsid w:val="00D0069E"/>
    <w:rsid w:val="00D00B11"/>
    <w:rsid w:val="00D00E92"/>
    <w:rsid w:val="00D013F9"/>
    <w:rsid w:val="00D022ED"/>
    <w:rsid w:val="00D02409"/>
    <w:rsid w:val="00D02F9E"/>
    <w:rsid w:val="00D03AAE"/>
    <w:rsid w:val="00D04150"/>
    <w:rsid w:val="00D044F4"/>
    <w:rsid w:val="00D05342"/>
    <w:rsid w:val="00D0550D"/>
    <w:rsid w:val="00D05C25"/>
    <w:rsid w:val="00D076DD"/>
    <w:rsid w:val="00D07837"/>
    <w:rsid w:val="00D11782"/>
    <w:rsid w:val="00D121A6"/>
    <w:rsid w:val="00D122B9"/>
    <w:rsid w:val="00D15AB2"/>
    <w:rsid w:val="00D15EB6"/>
    <w:rsid w:val="00D170AD"/>
    <w:rsid w:val="00D172C0"/>
    <w:rsid w:val="00D1795D"/>
    <w:rsid w:val="00D17FE4"/>
    <w:rsid w:val="00D20511"/>
    <w:rsid w:val="00D225F9"/>
    <w:rsid w:val="00D22F92"/>
    <w:rsid w:val="00D23CB1"/>
    <w:rsid w:val="00D24C14"/>
    <w:rsid w:val="00D24E36"/>
    <w:rsid w:val="00D252BA"/>
    <w:rsid w:val="00D277D4"/>
    <w:rsid w:val="00D279D1"/>
    <w:rsid w:val="00D3030D"/>
    <w:rsid w:val="00D30BB3"/>
    <w:rsid w:val="00D31AC8"/>
    <w:rsid w:val="00D32714"/>
    <w:rsid w:val="00D3409B"/>
    <w:rsid w:val="00D343A9"/>
    <w:rsid w:val="00D35878"/>
    <w:rsid w:val="00D35C9F"/>
    <w:rsid w:val="00D35EBE"/>
    <w:rsid w:val="00D36381"/>
    <w:rsid w:val="00D400FB"/>
    <w:rsid w:val="00D41A68"/>
    <w:rsid w:val="00D42605"/>
    <w:rsid w:val="00D428BD"/>
    <w:rsid w:val="00D42ABC"/>
    <w:rsid w:val="00D4444F"/>
    <w:rsid w:val="00D45E13"/>
    <w:rsid w:val="00D460E0"/>
    <w:rsid w:val="00D465E5"/>
    <w:rsid w:val="00D507DA"/>
    <w:rsid w:val="00D557BA"/>
    <w:rsid w:val="00D55EFD"/>
    <w:rsid w:val="00D60022"/>
    <w:rsid w:val="00D60E7F"/>
    <w:rsid w:val="00D63981"/>
    <w:rsid w:val="00D65982"/>
    <w:rsid w:val="00D659A1"/>
    <w:rsid w:val="00D66BDA"/>
    <w:rsid w:val="00D66EBA"/>
    <w:rsid w:val="00D66F83"/>
    <w:rsid w:val="00D67088"/>
    <w:rsid w:val="00D70F10"/>
    <w:rsid w:val="00D72962"/>
    <w:rsid w:val="00D731EB"/>
    <w:rsid w:val="00D732CE"/>
    <w:rsid w:val="00D74A79"/>
    <w:rsid w:val="00D815D8"/>
    <w:rsid w:val="00D82FD2"/>
    <w:rsid w:val="00D8368A"/>
    <w:rsid w:val="00D84118"/>
    <w:rsid w:val="00D84EC7"/>
    <w:rsid w:val="00D86F6A"/>
    <w:rsid w:val="00D90F2B"/>
    <w:rsid w:val="00D91279"/>
    <w:rsid w:val="00D91F0A"/>
    <w:rsid w:val="00D92E53"/>
    <w:rsid w:val="00D93E42"/>
    <w:rsid w:val="00D95017"/>
    <w:rsid w:val="00D95C13"/>
    <w:rsid w:val="00D960E5"/>
    <w:rsid w:val="00D978DC"/>
    <w:rsid w:val="00D97AFA"/>
    <w:rsid w:val="00DA2671"/>
    <w:rsid w:val="00DA32BD"/>
    <w:rsid w:val="00DA3A4B"/>
    <w:rsid w:val="00DA4262"/>
    <w:rsid w:val="00DA60C7"/>
    <w:rsid w:val="00DA65DF"/>
    <w:rsid w:val="00DA6802"/>
    <w:rsid w:val="00DA6A36"/>
    <w:rsid w:val="00DB02A2"/>
    <w:rsid w:val="00DB1F08"/>
    <w:rsid w:val="00DB2ACE"/>
    <w:rsid w:val="00DB302C"/>
    <w:rsid w:val="00DB5300"/>
    <w:rsid w:val="00DB64A2"/>
    <w:rsid w:val="00DB6D6F"/>
    <w:rsid w:val="00DC014A"/>
    <w:rsid w:val="00DC1BB8"/>
    <w:rsid w:val="00DC2C98"/>
    <w:rsid w:val="00DC40FA"/>
    <w:rsid w:val="00DC4934"/>
    <w:rsid w:val="00DC4CA9"/>
    <w:rsid w:val="00DC4DAB"/>
    <w:rsid w:val="00DC5966"/>
    <w:rsid w:val="00DC5CB4"/>
    <w:rsid w:val="00DC5D84"/>
    <w:rsid w:val="00DC68D0"/>
    <w:rsid w:val="00DC73F6"/>
    <w:rsid w:val="00DC77E7"/>
    <w:rsid w:val="00DC7D3E"/>
    <w:rsid w:val="00DD0EF1"/>
    <w:rsid w:val="00DD2882"/>
    <w:rsid w:val="00DD2A2C"/>
    <w:rsid w:val="00DD2C31"/>
    <w:rsid w:val="00DD34EF"/>
    <w:rsid w:val="00DD41E3"/>
    <w:rsid w:val="00DD480C"/>
    <w:rsid w:val="00DD5DB6"/>
    <w:rsid w:val="00DD64E2"/>
    <w:rsid w:val="00DE06FA"/>
    <w:rsid w:val="00DE07B6"/>
    <w:rsid w:val="00DE0F1E"/>
    <w:rsid w:val="00DE101A"/>
    <w:rsid w:val="00DE13F4"/>
    <w:rsid w:val="00DE2764"/>
    <w:rsid w:val="00DE40C2"/>
    <w:rsid w:val="00DE4403"/>
    <w:rsid w:val="00DE443A"/>
    <w:rsid w:val="00DE50EC"/>
    <w:rsid w:val="00DE6525"/>
    <w:rsid w:val="00DE6610"/>
    <w:rsid w:val="00DE6B9D"/>
    <w:rsid w:val="00DF158C"/>
    <w:rsid w:val="00DF2C2D"/>
    <w:rsid w:val="00DF3924"/>
    <w:rsid w:val="00DF3F6E"/>
    <w:rsid w:val="00DF58B2"/>
    <w:rsid w:val="00DF6501"/>
    <w:rsid w:val="00DF68DD"/>
    <w:rsid w:val="00DF6AE9"/>
    <w:rsid w:val="00DF7B30"/>
    <w:rsid w:val="00E00817"/>
    <w:rsid w:val="00E020D3"/>
    <w:rsid w:val="00E02CD6"/>
    <w:rsid w:val="00E05144"/>
    <w:rsid w:val="00E06641"/>
    <w:rsid w:val="00E06C65"/>
    <w:rsid w:val="00E11D23"/>
    <w:rsid w:val="00E12769"/>
    <w:rsid w:val="00E14B41"/>
    <w:rsid w:val="00E16F9F"/>
    <w:rsid w:val="00E17A7C"/>
    <w:rsid w:val="00E20492"/>
    <w:rsid w:val="00E21445"/>
    <w:rsid w:val="00E21C5D"/>
    <w:rsid w:val="00E21C6C"/>
    <w:rsid w:val="00E22021"/>
    <w:rsid w:val="00E22160"/>
    <w:rsid w:val="00E24923"/>
    <w:rsid w:val="00E2685F"/>
    <w:rsid w:val="00E3109F"/>
    <w:rsid w:val="00E32490"/>
    <w:rsid w:val="00E324A0"/>
    <w:rsid w:val="00E32FB4"/>
    <w:rsid w:val="00E33BFC"/>
    <w:rsid w:val="00E34112"/>
    <w:rsid w:val="00E34976"/>
    <w:rsid w:val="00E35CEF"/>
    <w:rsid w:val="00E37E7B"/>
    <w:rsid w:val="00E41F8E"/>
    <w:rsid w:val="00E4218D"/>
    <w:rsid w:val="00E429F5"/>
    <w:rsid w:val="00E43800"/>
    <w:rsid w:val="00E44470"/>
    <w:rsid w:val="00E44B41"/>
    <w:rsid w:val="00E450B6"/>
    <w:rsid w:val="00E46503"/>
    <w:rsid w:val="00E47B03"/>
    <w:rsid w:val="00E510A0"/>
    <w:rsid w:val="00E52A81"/>
    <w:rsid w:val="00E53A83"/>
    <w:rsid w:val="00E547D6"/>
    <w:rsid w:val="00E54C7B"/>
    <w:rsid w:val="00E552D3"/>
    <w:rsid w:val="00E555F7"/>
    <w:rsid w:val="00E55800"/>
    <w:rsid w:val="00E56C61"/>
    <w:rsid w:val="00E57143"/>
    <w:rsid w:val="00E578FD"/>
    <w:rsid w:val="00E57D7B"/>
    <w:rsid w:val="00E60413"/>
    <w:rsid w:val="00E6136D"/>
    <w:rsid w:val="00E619E3"/>
    <w:rsid w:val="00E62259"/>
    <w:rsid w:val="00E623A4"/>
    <w:rsid w:val="00E62B31"/>
    <w:rsid w:val="00E63A95"/>
    <w:rsid w:val="00E63B4D"/>
    <w:rsid w:val="00E63CF5"/>
    <w:rsid w:val="00E64763"/>
    <w:rsid w:val="00E65C4E"/>
    <w:rsid w:val="00E67631"/>
    <w:rsid w:val="00E70274"/>
    <w:rsid w:val="00E709E1"/>
    <w:rsid w:val="00E718C8"/>
    <w:rsid w:val="00E71B57"/>
    <w:rsid w:val="00E71CF1"/>
    <w:rsid w:val="00E73747"/>
    <w:rsid w:val="00E73CD7"/>
    <w:rsid w:val="00E75068"/>
    <w:rsid w:val="00E7626E"/>
    <w:rsid w:val="00E76495"/>
    <w:rsid w:val="00E76A82"/>
    <w:rsid w:val="00E76AB5"/>
    <w:rsid w:val="00E77425"/>
    <w:rsid w:val="00E77A3F"/>
    <w:rsid w:val="00E77B4E"/>
    <w:rsid w:val="00E807E8"/>
    <w:rsid w:val="00E8099D"/>
    <w:rsid w:val="00E80C0D"/>
    <w:rsid w:val="00E82CCF"/>
    <w:rsid w:val="00E83186"/>
    <w:rsid w:val="00E833EB"/>
    <w:rsid w:val="00E8432D"/>
    <w:rsid w:val="00E85ED0"/>
    <w:rsid w:val="00E863EE"/>
    <w:rsid w:val="00E871E9"/>
    <w:rsid w:val="00E872CE"/>
    <w:rsid w:val="00E87666"/>
    <w:rsid w:val="00E87B5F"/>
    <w:rsid w:val="00E90083"/>
    <w:rsid w:val="00E90450"/>
    <w:rsid w:val="00E9109A"/>
    <w:rsid w:val="00E922D3"/>
    <w:rsid w:val="00E93F33"/>
    <w:rsid w:val="00E94323"/>
    <w:rsid w:val="00E944FF"/>
    <w:rsid w:val="00E9532F"/>
    <w:rsid w:val="00E9557A"/>
    <w:rsid w:val="00E9571B"/>
    <w:rsid w:val="00EA0611"/>
    <w:rsid w:val="00EA0846"/>
    <w:rsid w:val="00EA1615"/>
    <w:rsid w:val="00EA221A"/>
    <w:rsid w:val="00EA6821"/>
    <w:rsid w:val="00EA6F8C"/>
    <w:rsid w:val="00EA7474"/>
    <w:rsid w:val="00EA77A3"/>
    <w:rsid w:val="00EA7B30"/>
    <w:rsid w:val="00EB0F98"/>
    <w:rsid w:val="00EB26B5"/>
    <w:rsid w:val="00EB318A"/>
    <w:rsid w:val="00EB3DE1"/>
    <w:rsid w:val="00EB3F2F"/>
    <w:rsid w:val="00EB4298"/>
    <w:rsid w:val="00EB42C9"/>
    <w:rsid w:val="00EB46CD"/>
    <w:rsid w:val="00EB60DA"/>
    <w:rsid w:val="00EB69C6"/>
    <w:rsid w:val="00EC077F"/>
    <w:rsid w:val="00EC0D92"/>
    <w:rsid w:val="00EC0FAD"/>
    <w:rsid w:val="00EC3946"/>
    <w:rsid w:val="00EC48EF"/>
    <w:rsid w:val="00EC4AD6"/>
    <w:rsid w:val="00EC743B"/>
    <w:rsid w:val="00EC7DC7"/>
    <w:rsid w:val="00ED26DB"/>
    <w:rsid w:val="00ED3BE0"/>
    <w:rsid w:val="00ED425C"/>
    <w:rsid w:val="00ED4561"/>
    <w:rsid w:val="00ED59E1"/>
    <w:rsid w:val="00ED7C82"/>
    <w:rsid w:val="00ED7EBD"/>
    <w:rsid w:val="00EE0A3F"/>
    <w:rsid w:val="00EE0B16"/>
    <w:rsid w:val="00EE13DC"/>
    <w:rsid w:val="00EE142E"/>
    <w:rsid w:val="00EE209B"/>
    <w:rsid w:val="00EE27C9"/>
    <w:rsid w:val="00EE2F75"/>
    <w:rsid w:val="00EE2FA4"/>
    <w:rsid w:val="00EE3E3E"/>
    <w:rsid w:val="00EE4CB3"/>
    <w:rsid w:val="00EE57CE"/>
    <w:rsid w:val="00EE64A4"/>
    <w:rsid w:val="00EE66BB"/>
    <w:rsid w:val="00EE776D"/>
    <w:rsid w:val="00EE7773"/>
    <w:rsid w:val="00EF05D1"/>
    <w:rsid w:val="00EF06BB"/>
    <w:rsid w:val="00EF115C"/>
    <w:rsid w:val="00EF2578"/>
    <w:rsid w:val="00EF32C0"/>
    <w:rsid w:val="00EF3493"/>
    <w:rsid w:val="00EF47D4"/>
    <w:rsid w:val="00EF6ECB"/>
    <w:rsid w:val="00EF76BC"/>
    <w:rsid w:val="00F05E2A"/>
    <w:rsid w:val="00F06753"/>
    <w:rsid w:val="00F0688B"/>
    <w:rsid w:val="00F10834"/>
    <w:rsid w:val="00F118C0"/>
    <w:rsid w:val="00F11BB3"/>
    <w:rsid w:val="00F12172"/>
    <w:rsid w:val="00F12365"/>
    <w:rsid w:val="00F14708"/>
    <w:rsid w:val="00F14DC0"/>
    <w:rsid w:val="00F15BA5"/>
    <w:rsid w:val="00F167EC"/>
    <w:rsid w:val="00F16A51"/>
    <w:rsid w:val="00F174A7"/>
    <w:rsid w:val="00F1780B"/>
    <w:rsid w:val="00F214B7"/>
    <w:rsid w:val="00F221E0"/>
    <w:rsid w:val="00F24074"/>
    <w:rsid w:val="00F24BE9"/>
    <w:rsid w:val="00F24D98"/>
    <w:rsid w:val="00F265C7"/>
    <w:rsid w:val="00F26F59"/>
    <w:rsid w:val="00F2739B"/>
    <w:rsid w:val="00F2771D"/>
    <w:rsid w:val="00F27C67"/>
    <w:rsid w:val="00F31BDF"/>
    <w:rsid w:val="00F3215C"/>
    <w:rsid w:val="00F321AB"/>
    <w:rsid w:val="00F331E6"/>
    <w:rsid w:val="00F33BF5"/>
    <w:rsid w:val="00F34141"/>
    <w:rsid w:val="00F342AA"/>
    <w:rsid w:val="00F34B09"/>
    <w:rsid w:val="00F34D1E"/>
    <w:rsid w:val="00F353C2"/>
    <w:rsid w:val="00F35A17"/>
    <w:rsid w:val="00F36ED9"/>
    <w:rsid w:val="00F37018"/>
    <w:rsid w:val="00F4147E"/>
    <w:rsid w:val="00F42432"/>
    <w:rsid w:val="00F43427"/>
    <w:rsid w:val="00F45A29"/>
    <w:rsid w:val="00F46873"/>
    <w:rsid w:val="00F47479"/>
    <w:rsid w:val="00F47EDD"/>
    <w:rsid w:val="00F51195"/>
    <w:rsid w:val="00F5161A"/>
    <w:rsid w:val="00F5361F"/>
    <w:rsid w:val="00F53624"/>
    <w:rsid w:val="00F539B8"/>
    <w:rsid w:val="00F53F19"/>
    <w:rsid w:val="00F54D79"/>
    <w:rsid w:val="00F56643"/>
    <w:rsid w:val="00F609CD"/>
    <w:rsid w:val="00F60AA0"/>
    <w:rsid w:val="00F64CC1"/>
    <w:rsid w:val="00F65408"/>
    <w:rsid w:val="00F65EB0"/>
    <w:rsid w:val="00F66C7E"/>
    <w:rsid w:val="00F67139"/>
    <w:rsid w:val="00F71A25"/>
    <w:rsid w:val="00F75F23"/>
    <w:rsid w:val="00F773D2"/>
    <w:rsid w:val="00F77CD8"/>
    <w:rsid w:val="00F81EBA"/>
    <w:rsid w:val="00F82497"/>
    <w:rsid w:val="00F837B1"/>
    <w:rsid w:val="00F85550"/>
    <w:rsid w:val="00F85830"/>
    <w:rsid w:val="00F8624D"/>
    <w:rsid w:val="00F87EA2"/>
    <w:rsid w:val="00F9021F"/>
    <w:rsid w:val="00F91356"/>
    <w:rsid w:val="00F922A9"/>
    <w:rsid w:val="00F924A8"/>
    <w:rsid w:val="00F932EF"/>
    <w:rsid w:val="00F938D6"/>
    <w:rsid w:val="00F93B84"/>
    <w:rsid w:val="00F9400B"/>
    <w:rsid w:val="00F94377"/>
    <w:rsid w:val="00F95723"/>
    <w:rsid w:val="00F96512"/>
    <w:rsid w:val="00F97FB3"/>
    <w:rsid w:val="00FA037F"/>
    <w:rsid w:val="00FA0669"/>
    <w:rsid w:val="00FA1BD9"/>
    <w:rsid w:val="00FA26FF"/>
    <w:rsid w:val="00FA2D4F"/>
    <w:rsid w:val="00FA3DBF"/>
    <w:rsid w:val="00FA4F24"/>
    <w:rsid w:val="00FA65D3"/>
    <w:rsid w:val="00FB0026"/>
    <w:rsid w:val="00FB057A"/>
    <w:rsid w:val="00FB16A0"/>
    <w:rsid w:val="00FB25F7"/>
    <w:rsid w:val="00FB28CB"/>
    <w:rsid w:val="00FB495E"/>
    <w:rsid w:val="00FB4B41"/>
    <w:rsid w:val="00FB553D"/>
    <w:rsid w:val="00FB5D04"/>
    <w:rsid w:val="00FB6B94"/>
    <w:rsid w:val="00FB7443"/>
    <w:rsid w:val="00FC04E6"/>
    <w:rsid w:val="00FC0ABA"/>
    <w:rsid w:val="00FC0DB7"/>
    <w:rsid w:val="00FC2718"/>
    <w:rsid w:val="00FC2FAC"/>
    <w:rsid w:val="00FC4DD0"/>
    <w:rsid w:val="00FC524D"/>
    <w:rsid w:val="00FC5E1B"/>
    <w:rsid w:val="00FC631D"/>
    <w:rsid w:val="00FC652B"/>
    <w:rsid w:val="00FC65AE"/>
    <w:rsid w:val="00FC693B"/>
    <w:rsid w:val="00FC6BFC"/>
    <w:rsid w:val="00FD3505"/>
    <w:rsid w:val="00FD451E"/>
    <w:rsid w:val="00FD49EE"/>
    <w:rsid w:val="00FD5AA0"/>
    <w:rsid w:val="00FD6636"/>
    <w:rsid w:val="00FE013E"/>
    <w:rsid w:val="00FE0590"/>
    <w:rsid w:val="00FE0C20"/>
    <w:rsid w:val="00FE2249"/>
    <w:rsid w:val="00FE2471"/>
    <w:rsid w:val="00FE2771"/>
    <w:rsid w:val="00FE27FB"/>
    <w:rsid w:val="00FE44FF"/>
    <w:rsid w:val="00FE45EE"/>
    <w:rsid w:val="00FE4AB9"/>
    <w:rsid w:val="00FE4C40"/>
    <w:rsid w:val="00FE4D40"/>
    <w:rsid w:val="00FE4F49"/>
    <w:rsid w:val="00FE5674"/>
    <w:rsid w:val="00FE6208"/>
    <w:rsid w:val="00FE679F"/>
    <w:rsid w:val="00FE6B65"/>
    <w:rsid w:val="00FF0799"/>
    <w:rsid w:val="00FF2539"/>
    <w:rsid w:val="00FF3732"/>
    <w:rsid w:val="00FF4597"/>
    <w:rsid w:val="00FF65E0"/>
    <w:rsid w:val="00FF69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486F3C"/>
  <w15:docId w15:val="{E06BC120-1C71-4A2B-A421-A38DDEC03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B4516"/>
    <w:pPr>
      <w:spacing w:before="240" w:after="0" w:line="240" w:lineRule="auto"/>
    </w:pPr>
    <w:rPr>
      <w:rFonts w:ascii="Times New Roman" w:hAnsi="Times New Roman"/>
      <w:sz w:val="24"/>
    </w:rPr>
  </w:style>
  <w:style w:type="paragraph" w:styleId="Heading1">
    <w:name w:val="heading 1"/>
    <w:basedOn w:val="Normal"/>
    <w:next w:val="Normal"/>
    <w:link w:val="Heading1Char"/>
    <w:qFormat/>
    <w:rsid w:val="00A079F8"/>
    <w:pPr>
      <w:keepNext/>
      <w:pageBreakBefore/>
      <w:numPr>
        <w:numId w:val="26"/>
      </w:numPr>
      <w:tabs>
        <w:tab w:val="left" w:pos="1701"/>
        <w:tab w:val="right" w:pos="9072"/>
      </w:tabs>
      <w:jc w:val="right"/>
      <w:outlineLvl w:val="0"/>
    </w:pPr>
    <w:rPr>
      <w:rFonts w:cs="Times New Roman"/>
      <w:b/>
      <w:sz w:val="28"/>
      <w:szCs w:val="28"/>
    </w:rPr>
  </w:style>
  <w:style w:type="paragraph" w:styleId="Heading2">
    <w:name w:val="heading 2"/>
    <w:basedOn w:val="Heading1"/>
    <w:next w:val="Heading3"/>
    <w:link w:val="Heading2Char"/>
    <w:unhideWhenUsed/>
    <w:qFormat/>
    <w:rsid w:val="009C5BE2"/>
    <w:pPr>
      <w:pageBreakBefore w:val="0"/>
      <w:numPr>
        <w:ilvl w:val="1"/>
      </w:numPr>
      <w:jc w:val="left"/>
      <w:outlineLvl w:val="1"/>
    </w:pPr>
    <w:rPr>
      <w:sz w:val="24"/>
      <w:szCs w:val="24"/>
    </w:rPr>
  </w:style>
  <w:style w:type="paragraph" w:styleId="Heading3">
    <w:name w:val="heading 3"/>
    <w:basedOn w:val="Heading2"/>
    <w:link w:val="Heading3Char"/>
    <w:qFormat/>
    <w:rsid w:val="00162E3B"/>
    <w:pPr>
      <w:outlineLvl w:val="2"/>
    </w:pPr>
    <w:rPr>
      <w:b w:val="0"/>
      <w:bCs/>
      <w:szCs w:val="22"/>
      <w:u w:val="single"/>
    </w:rPr>
  </w:style>
  <w:style w:type="paragraph" w:styleId="Heading4">
    <w:name w:val="heading 4"/>
    <w:basedOn w:val="Heading3"/>
    <w:link w:val="Heading4Char"/>
    <w:qFormat/>
    <w:rsid w:val="00055030"/>
    <w:pPr>
      <w:keepNext w:val="0"/>
      <w:numPr>
        <w:ilvl w:val="3"/>
      </w:numPr>
      <w:tabs>
        <w:tab w:val="clear" w:pos="5529"/>
        <w:tab w:val="num" w:pos="567"/>
      </w:tabs>
      <w:spacing w:before="120"/>
      <w:ind w:left="567"/>
      <w:outlineLvl w:val="3"/>
    </w:pPr>
    <w:rPr>
      <w:u w:val="none"/>
    </w:rPr>
  </w:style>
  <w:style w:type="paragraph" w:styleId="Heading5">
    <w:name w:val="heading 5"/>
    <w:basedOn w:val="Heading4"/>
    <w:link w:val="Heading5Char"/>
    <w:uiPriority w:val="9"/>
    <w:unhideWhenUsed/>
    <w:qFormat/>
    <w:rsid w:val="00055030"/>
    <w:pPr>
      <w:numPr>
        <w:ilvl w:val="4"/>
      </w:numPr>
      <w:ind w:left="1134"/>
      <w:outlineLvl w:val="4"/>
    </w:pPr>
  </w:style>
  <w:style w:type="paragraph" w:styleId="Heading6">
    <w:name w:val="heading 6"/>
    <w:basedOn w:val="Normal"/>
    <w:link w:val="Heading6Char"/>
    <w:uiPriority w:val="9"/>
    <w:unhideWhenUsed/>
    <w:qFormat/>
    <w:rsid w:val="00055030"/>
    <w:pPr>
      <w:numPr>
        <w:ilvl w:val="5"/>
        <w:numId w:val="26"/>
      </w:numPr>
      <w:spacing w:before="120"/>
      <w:ind w:left="2160"/>
      <w:outlineLvl w:val="5"/>
    </w:pPr>
    <w:rPr>
      <w:rFonts w:eastAsiaTheme="majorEastAsia" w:cstheme="majorBidi"/>
      <w:iCs/>
      <w:szCs w:val="24"/>
    </w:rPr>
  </w:style>
  <w:style w:type="paragraph" w:styleId="Heading7">
    <w:name w:val="heading 7"/>
    <w:basedOn w:val="Normal"/>
    <w:next w:val="Normal"/>
    <w:link w:val="Heading7Char"/>
    <w:uiPriority w:val="9"/>
    <w:unhideWhenUsed/>
    <w:qFormat/>
    <w:rsid w:val="00055030"/>
    <w:pPr>
      <w:keepNext/>
      <w:keepLines/>
      <w:numPr>
        <w:ilvl w:val="6"/>
        <w:numId w:val="26"/>
      </w:numPr>
      <w:spacing w:before="120"/>
      <w:outlineLvl w:val="6"/>
    </w:pPr>
    <w:rPr>
      <w:rFonts w:eastAsiaTheme="majorEastAsia" w:cs="Times New Roman"/>
      <w:szCs w:val="24"/>
    </w:rPr>
  </w:style>
  <w:style w:type="paragraph" w:styleId="Heading8">
    <w:name w:val="heading 8"/>
    <w:basedOn w:val="Normal"/>
    <w:next w:val="Normal"/>
    <w:link w:val="Heading8Char"/>
    <w:uiPriority w:val="9"/>
    <w:semiHidden/>
    <w:unhideWhenUsed/>
    <w:qFormat/>
    <w:rsid w:val="0082572E"/>
    <w:pPr>
      <w:keepNext/>
      <w:keepLines/>
      <w:spacing w:before="4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79F8"/>
    <w:pPr>
      <w:tabs>
        <w:tab w:val="center" w:pos="4320"/>
        <w:tab w:val="right" w:pos="8640"/>
      </w:tabs>
    </w:pPr>
    <w:rPr>
      <w:sz w:val="19"/>
    </w:rPr>
  </w:style>
  <w:style w:type="character" w:customStyle="1" w:styleId="HeaderChar">
    <w:name w:val="Header Char"/>
    <w:basedOn w:val="DefaultParagraphFont"/>
    <w:link w:val="Header"/>
    <w:uiPriority w:val="99"/>
    <w:rsid w:val="000C3693"/>
    <w:rPr>
      <w:rFonts w:ascii="Times New Roman" w:hAnsi="Times New Roman"/>
      <w:sz w:val="19"/>
    </w:rPr>
  </w:style>
  <w:style w:type="paragraph" w:styleId="Footer">
    <w:name w:val="footer"/>
    <w:basedOn w:val="Normal"/>
    <w:link w:val="FooterChar"/>
    <w:uiPriority w:val="99"/>
    <w:rsid w:val="009C4DBF"/>
    <w:pPr>
      <w:tabs>
        <w:tab w:val="center" w:pos="4320"/>
        <w:tab w:val="right" w:pos="8640"/>
      </w:tabs>
      <w:jc w:val="center"/>
    </w:pPr>
    <w:rPr>
      <w:noProof/>
      <w:sz w:val="19"/>
    </w:rPr>
  </w:style>
  <w:style w:type="character" w:customStyle="1" w:styleId="FooterChar">
    <w:name w:val="Footer Char"/>
    <w:basedOn w:val="DefaultParagraphFont"/>
    <w:link w:val="Footer"/>
    <w:uiPriority w:val="99"/>
    <w:rsid w:val="009C4DBF"/>
    <w:rPr>
      <w:rFonts w:ascii="Times New Roman" w:hAnsi="Times New Roman"/>
      <w:noProof/>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nhideWhenUsed/>
    <w:rsid w:val="00BB7041"/>
    <w:rPr>
      <w:sz w:val="16"/>
      <w:szCs w:val="16"/>
    </w:rPr>
  </w:style>
  <w:style w:type="paragraph" w:styleId="CommentText">
    <w:name w:val="annotation text"/>
    <w:basedOn w:val="Normal"/>
    <w:link w:val="CommentTextChar"/>
    <w:unhideWhenUsed/>
    <w:rsid w:val="00BB7041"/>
  </w:style>
  <w:style w:type="character" w:customStyle="1" w:styleId="CommentTextChar">
    <w:name w:val="Comment Text Char"/>
    <w:basedOn w:val="DefaultParagraphFont"/>
    <w:link w:val="CommentText"/>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styleId="Title">
    <w:name w:val="Title"/>
    <w:basedOn w:val="Normal"/>
    <w:next w:val="Normal"/>
    <w:link w:val="TitleChar"/>
    <w:uiPriority w:val="10"/>
    <w:qFormat/>
    <w:rsid w:val="0082572E"/>
    <w:pPr>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rsid w:val="009C5BE2"/>
    <w:rPr>
      <w:rFonts w:ascii="Times New Roman" w:hAnsi="Times New Roman" w:cs="Times New Roman"/>
      <w:b/>
      <w:sz w:val="28"/>
      <w:szCs w:val="28"/>
    </w:rPr>
  </w:style>
  <w:style w:type="character" w:customStyle="1" w:styleId="Heading2Char">
    <w:name w:val="Heading 2 Char"/>
    <w:basedOn w:val="DefaultParagraphFont"/>
    <w:link w:val="Heading2"/>
    <w:rsid w:val="009C5BE2"/>
    <w:rPr>
      <w:rFonts w:ascii="Times New Roman" w:hAnsi="Times New Roman" w:cs="Times New Roman"/>
      <w:b/>
      <w:sz w:val="24"/>
      <w:szCs w:val="24"/>
    </w:rPr>
  </w:style>
  <w:style w:type="character" w:customStyle="1" w:styleId="Heading3Char">
    <w:name w:val="Heading 3 Char"/>
    <w:basedOn w:val="DefaultParagraphFont"/>
    <w:link w:val="Heading3"/>
    <w:rsid w:val="00162E3B"/>
    <w:rPr>
      <w:rFonts w:ascii="Times New Roman" w:hAnsi="Times New Roman" w:cs="Times New Roman"/>
      <w:bCs/>
      <w:sz w:val="24"/>
      <w:szCs w:val="22"/>
      <w:u w:val="single"/>
    </w:rPr>
  </w:style>
  <w:style w:type="character" w:customStyle="1" w:styleId="Heading4Char">
    <w:name w:val="Heading 4 Char"/>
    <w:basedOn w:val="DefaultParagraphFont"/>
    <w:link w:val="Heading4"/>
    <w:rsid w:val="00055030"/>
    <w:rPr>
      <w:rFonts w:ascii="Times New Roman" w:hAnsi="Times New Roman" w:cs="Times New Roman"/>
      <w:bCs/>
      <w:sz w:val="24"/>
      <w:szCs w:val="22"/>
    </w:rPr>
  </w:style>
  <w:style w:type="character" w:customStyle="1" w:styleId="Heading5Char">
    <w:name w:val="Heading 5 Char"/>
    <w:basedOn w:val="DefaultParagraphFont"/>
    <w:link w:val="Heading5"/>
    <w:uiPriority w:val="9"/>
    <w:rsid w:val="00055030"/>
    <w:rPr>
      <w:rFonts w:ascii="Times New Roman" w:hAnsi="Times New Roman" w:cs="Times New Roman"/>
      <w:bCs/>
      <w:sz w:val="24"/>
      <w:szCs w:val="22"/>
    </w:rPr>
  </w:style>
  <w:style w:type="character" w:customStyle="1" w:styleId="Heading6Char">
    <w:name w:val="Heading 6 Char"/>
    <w:basedOn w:val="DefaultParagraphFont"/>
    <w:link w:val="Heading6"/>
    <w:uiPriority w:val="9"/>
    <w:rsid w:val="00055030"/>
    <w:rPr>
      <w:rFonts w:ascii="Times New Roman" w:eastAsiaTheme="majorEastAsia" w:hAnsi="Times New Roman" w:cstheme="majorBidi"/>
      <w:iCs/>
      <w:sz w:val="24"/>
      <w:szCs w:val="24"/>
    </w:rPr>
  </w:style>
  <w:style w:type="character" w:customStyle="1" w:styleId="Heading7Char">
    <w:name w:val="Heading 7 Char"/>
    <w:basedOn w:val="DefaultParagraphFont"/>
    <w:link w:val="Heading7"/>
    <w:uiPriority w:val="9"/>
    <w:rsid w:val="00055030"/>
    <w:rPr>
      <w:rFonts w:ascii="Times New Roman" w:eastAsiaTheme="majorEastAsia" w:hAnsi="Times New Roman" w:cs="Times New Roman"/>
      <w:sz w:val="24"/>
      <w:szCs w:val="24"/>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character" w:styleId="SubtleEmphasis">
    <w:name w:val="Subtle Emphasis"/>
    <w:basedOn w:val="DefaultParagraphFont"/>
    <w:uiPriority w:val="19"/>
    <w:qFormat/>
    <w:rsid w:val="0082572E"/>
    <w:rPr>
      <w:i/>
      <w:iCs/>
      <w:color w:val="404040" w:themeColor="text1" w:themeTint="BF"/>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character" w:styleId="FollowedHyperlink">
    <w:name w:val="FollowedHyperlink"/>
    <w:basedOn w:val="DefaultParagraphFont"/>
    <w:uiPriority w:val="99"/>
    <w:semiHidden/>
    <w:unhideWhenUsed/>
    <w:rsid w:val="00E552D3"/>
    <w:rPr>
      <w:color w:val="800080" w:themeColor="followedHyperlink"/>
      <w:u w:val="single"/>
    </w:rPr>
  </w:style>
  <w:style w:type="paragraph" w:customStyle="1" w:styleId="NumberLevel5">
    <w:name w:val="Number Level 5"/>
    <w:aliases w:val="N5"/>
    <w:basedOn w:val="Normal"/>
    <w:uiPriority w:val="1"/>
    <w:semiHidden/>
    <w:rsid w:val="00A076D4"/>
    <w:pPr>
      <w:numPr>
        <w:ilvl w:val="4"/>
        <w:numId w:val="28"/>
      </w:numPr>
      <w:spacing w:before="0" w:after="140" w:line="280" w:lineRule="atLeast"/>
    </w:pPr>
    <w:rPr>
      <w:rFonts w:ascii="Arial" w:eastAsia="Times New Roman" w:hAnsi="Arial" w:cs="Arial"/>
      <w:sz w:val="22"/>
      <w:szCs w:val="22"/>
      <w:lang w:eastAsia="en-AU"/>
    </w:rPr>
  </w:style>
  <w:style w:type="paragraph" w:customStyle="1" w:styleId="NumberLevel6">
    <w:name w:val="Number Level 6"/>
    <w:basedOn w:val="NumberLevel5"/>
    <w:uiPriority w:val="1"/>
    <w:semiHidden/>
    <w:rsid w:val="00A076D4"/>
    <w:pPr>
      <w:numPr>
        <w:ilvl w:val="5"/>
      </w:numPr>
    </w:pPr>
  </w:style>
  <w:style w:type="paragraph" w:customStyle="1" w:styleId="NumberLevel7">
    <w:name w:val="Number Level 7"/>
    <w:basedOn w:val="NumberLevel6"/>
    <w:uiPriority w:val="1"/>
    <w:semiHidden/>
    <w:rsid w:val="00A076D4"/>
    <w:pPr>
      <w:numPr>
        <w:ilvl w:val="6"/>
      </w:numPr>
    </w:pPr>
  </w:style>
  <w:style w:type="paragraph" w:customStyle="1" w:styleId="NumberLevel8">
    <w:name w:val="Number Level 8"/>
    <w:basedOn w:val="NumberLevel7"/>
    <w:uiPriority w:val="1"/>
    <w:semiHidden/>
    <w:rsid w:val="00A076D4"/>
    <w:pPr>
      <w:numPr>
        <w:ilvl w:val="7"/>
      </w:numPr>
    </w:pPr>
  </w:style>
  <w:style w:type="paragraph" w:customStyle="1" w:styleId="NumberLevel9">
    <w:name w:val="Number Level 9"/>
    <w:basedOn w:val="NumberLevel8"/>
    <w:uiPriority w:val="1"/>
    <w:semiHidden/>
    <w:rsid w:val="00A076D4"/>
    <w:pPr>
      <w:numPr>
        <w:ilvl w:val="8"/>
      </w:numPr>
      <w:tabs>
        <w:tab w:val="clear" w:pos="3544"/>
        <w:tab w:val="num" w:pos="360"/>
      </w:tabs>
      <w:ind w:left="2410"/>
    </w:pPr>
  </w:style>
  <w:style w:type="paragraph" w:customStyle="1" w:styleId="Attachment">
    <w:name w:val="Attachment"/>
    <w:basedOn w:val="Heading1"/>
    <w:next w:val="Heading1"/>
    <w:rsid w:val="005213E9"/>
  </w:style>
  <w:style w:type="paragraph" w:customStyle="1" w:styleId="ActHead2">
    <w:name w:val="ActHead 2"/>
    <w:aliases w:val="p"/>
    <w:basedOn w:val="Normal"/>
    <w:next w:val="Normal"/>
    <w:qFormat/>
    <w:rsid w:val="00FF65E0"/>
    <w:pPr>
      <w:keepNext/>
      <w:keepLines/>
      <w:spacing w:before="280"/>
      <w:ind w:left="1134" w:hanging="1134"/>
      <w:outlineLvl w:val="1"/>
    </w:pPr>
    <w:rPr>
      <w:rFonts w:eastAsia="Times New Roman" w:cs="Times New Roman"/>
      <w:b/>
      <w:kern w:val="28"/>
      <w:sz w:val="32"/>
      <w:lang w:eastAsia="en-AU"/>
    </w:rPr>
  </w:style>
  <w:style w:type="paragraph" w:customStyle="1" w:styleId="ActHead5">
    <w:name w:val="ActHead 5"/>
    <w:aliases w:val="s"/>
    <w:basedOn w:val="Normal"/>
    <w:next w:val="Normal"/>
    <w:link w:val="ActHead5Char"/>
    <w:qFormat/>
    <w:rsid w:val="00FF65E0"/>
    <w:pPr>
      <w:keepNext/>
      <w:keepLines/>
      <w:spacing w:before="280"/>
      <w:ind w:left="1134" w:hanging="1134"/>
      <w:outlineLvl w:val="4"/>
    </w:pPr>
    <w:rPr>
      <w:rFonts w:eastAsia="Times New Roman" w:cs="Times New Roman"/>
      <w:b/>
      <w:kern w:val="28"/>
      <w:lang w:eastAsia="en-AU"/>
    </w:rPr>
  </w:style>
  <w:style w:type="character" w:customStyle="1" w:styleId="CharPartNo">
    <w:name w:val="CharPartNo"/>
    <w:basedOn w:val="DefaultParagraphFont"/>
    <w:uiPriority w:val="1"/>
    <w:qFormat/>
    <w:rsid w:val="00FF65E0"/>
  </w:style>
  <w:style w:type="character" w:customStyle="1" w:styleId="CharPartText">
    <w:name w:val="CharPartText"/>
    <w:basedOn w:val="DefaultParagraphFont"/>
    <w:uiPriority w:val="1"/>
    <w:qFormat/>
    <w:rsid w:val="00FF65E0"/>
  </w:style>
  <w:style w:type="character" w:customStyle="1" w:styleId="ActHead5Char">
    <w:name w:val="ActHead 5 Char"/>
    <w:aliases w:val="s Char"/>
    <w:link w:val="ActHead5"/>
    <w:rsid w:val="00FF65E0"/>
    <w:rPr>
      <w:rFonts w:ascii="Times New Roman" w:eastAsia="Times New Roman" w:hAnsi="Times New Roman" w:cs="Times New Roman"/>
      <w:b/>
      <w:kern w:val="28"/>
      <w:sz w:val="24"/>
      <w:lang w:eastAsia="en-AU"/>
    </w:rPr>
  </w:style>
  <w:style w:type="paragraph" w:customStyle="1" w:styleId="paragraphsub">
    <w:name w:val="paragraph(sub)"/>
    <w:aliases w:val="aa"/>
    <w:basedOn w:val="Normal"/>
    <w:rsid w:val="007E05EE"/>
    <w:pPr>
      <w:tabs>
        <w:tab w:val="right" w:pos="1985"/>
      </w:tabs>
      <w:spacing w:before="40"/>
      <w:ind w:left="2098" w:hanging="2098"/>
    </w:pPr>
    <w:rPr>
      <w:rFonts w:eastAsia="Times New Roman" w:cs="Times New Roman"/>
      <w:sz w:val="22"/>
      <w:lang w:eastAsia="en-AU"/>
    </w:rPr>
  </w:style>
  <w:style w:type="paragraph" w:customStyle="1" w:styleId="paragraph">
    <w:name w:val="paragraph"/>
    <w:aliases w:val="a"/>
    <w:basedOn w:val="Normal"/>
    <w:rsid w:val="007E05EE"/>
    <w:pPr>
      <w:tabs>
        <w:tab w:val="right" w:pos="1531"/>
      </w:tabs>
      <w:spacing w:before="40"/>
      <w:ind w:left="1644" w:hanging="1644"/>
    </w:pPr>
    <w:rPr>
      <w:rFonts w:eastAsia="Times New Roman" w:cs="Times New Roman"/>
      <w:sz w:val="22"/>
      <w:lang w:eastAsia="en-AU"/>
    </w:rPr>
  </w:style>
  <w:style w:type="paragraph" w:styleId="NormalWeb">
    <w:name w:val="Normal (Web)"/>
    <w:basedOn w:val="Normal"/>
    <w:uiPriority w:val="99"/>
    <w:unhideWhenUsed/>
    <w:rsid w:val="00A55450"/>
    <w:pPr>
      <w:spacing w:before="100" w:beforeAutospacing="1" w:after="100" w:afterAutospacing="1"/>
    </w:pPr>
    <w:rPr>
      <w:rFonts w:eastAsia="Times New Roman" w:cs="Times New Roman"/>
      <w:szCs w:val="24"/>
      <w:lang w:eastAsia="en-AU"/>
    </w:rPr>
  </w:style>
  <w:style w:type="character" w:customStyle="1" w:styleId="CharDivText">
    <w:name w:val="CharDivText"/>
    <w:basedOn w:val="DefaultParagraphFont"/>
    <w:qFormat/>
    <w:rsid w:val="00A55450"/>
  </w:style>
  <w:style w:type="character" w:styleId="UnresolvedMention">
    <w:name w:val="Unresolved Mention"/>
    <w:basedOn w:val="DefaultParagraphFont"/>
    <w:uiPriority w:val="99"/>
    <w:semiHidden/>
    <w:unhideWhenUsed/>
    <w:rsid w:val="007F5812"/>
    <w:rPr>
      <w:color w:val="605E5C"/>
      <w:shd w:val="clear" w:color="auto" w:fill="E1DFDD"/>
    </w:rPr>
  </w:style>
  <w:style w:type="character" w:customStyle="1" w:styleId="cf01">
    <w:name w:val="cf01"/>
    <w:basedOn w:val="DefaultParagraphFont"/>
    <w:rsid w:val="00C614DB"/>
    <w:rPr>
      <w:rFonts w:ascii="Segoe UI" w:hAnsi="Segoe UI" w:cs="Segoe UI" w:hint="default"/>
      <w:sz w:val="18"/>
      <w:szCs w:val="18"/>
    </w:rPr>
  </w:style>
  <w:style w:type="character" w:customStyle="1" w:styleId="cf11">
    <w:name w:val="cf11"/>
    <w:basedOn w:val="DefaultParagraphFont"/>
    <w:rsid w:val="00C614DB"/>
    <w:rPr>
      <w:rFonts w:ascii="Segoe UI" w:hAnsi="Segoe UI" w:cs="Segoe UI" w:hint="default"/>
      <w:b/>
      <w:bCs/>
      <w:sz w:val="18"/>
      <w:szCs w:val="18"/>
    </w:rPr>
  </w:style>
  <w:style w:type="character" w:customStyle="1" w:styleId="ui-provider">
    <w:name w:val="ui-provider"/>
    <w:basedOn w:val="DefaultParagraphFont"/>
    <w:rsid w:val="00520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257832">
      <w:bodyDiv w:val="1"/>
      <w:marLeft w:val="0"/>
      <w:marRight w:val="0"/>
      <w:marTop w:val="0"/>
      <w:marBottom w:val="0"/>
      <w:divBdr>
        <w:top w:val="none" w:sz="0" w:space="0" w:color="auto"/>
        <w:left w:val="none" w:sz="0" w:space="0" w:color="auto"/>
        <w:bottom w:val="none" w:sz="0" w:space="0" w:color="auto"/>
        <w:right w:val="none" w:sz="0" w:space="0" w:color="auto"/>
      </w:divBdr>
    </w:div>
    <w:div w:id="820774555">
      <w:bodyDiv w:val="1"/>
      <w:marLeft w:val="0"/>
      <w:marRight w:val="0"/>
      <w:marTop w:val="0"/>
      <w:marBottom w:val="0"/>
      <w:divBdr>
        <w:top w:val="none" w:sz="0" w:space="0" w:color="auto"/>
        <w:left w:val="none" w:sz="0" w:space="0" w:color="auto"/>
        <w:bottom w:val="none" w:sz="0" w:space="0" w:color="auto"/>
        <w:right w:val="none" w:sz="0" w:space="0" w:color="auto"/>
      </w:divBdr>
    </w:div>
    <w:div w:id="981273943">
      <w:bodyDiv w:val="1"/>
      <w:marLeft w:val="0"/>
      <w:marRight w:val="0"/>
      <w:marTop w:val="0"/>
      <w:marBottom w:val="0"/>
      <w:divBdr>
        <w:top w:val="none" w:sz="0" w:space="0" w:color="auto"/>
        <w:left w:val="none" w:sz="0" w:space="0" w:color="auto"/>
        <w:bottom w:val="none" w:sz="0" w:space="0" w:color="auto"/>
        <w:right w:val="none" w:sz="0" w:space="0" w:color="auto"/>
      </w:divBdr>
    </w:div>
    <w:div w:id="1517698353">
      <w:bodyDiv w:val="1"/>
      <w:marLeft w:val="0"/>
      <w:marRight w:val="0"/>
      <w:marTop w:val="0"/>
      <w:marBottom w:val="0"/>
      <w:divBdr>
        <w:top w:val="none" w:sz="0" w:space="0" w:color="auto"/>
        <w:left w:val="none" w:sz="0" w:space="0" w:color="auto"/>
        <w:bottom w:val="none" w:sz="0" w:space="0" w:color="auto"/>
        <w:right w:val="none" w:sz="0" w:space="0" w:color="auto"/>
      </w:divBdr>
    </w:div>
    <w:div w:id="1605578772">
      <w:bodyDiv w:val="1"/>
      <w:marLeft w:val="0"/>
      <w:marRight w:val="0"/>
      <w:marTop w:val="0"/>
      <w:marBottom w:val="0"/>
      <w:divBdr>
        <w:top w:val="none" w:sz="0" w:space="0" w:color="auto"/>
        <w:left w:val="none" w:sz="0" w:space="0" w:color="auto"/>
        <w:bottom w:val="none" w:sz="0" w:space="0" w:color="auto"/>
        <w:right w:val="none" w:sz="0" w:space="0" w:color="auto"/>
      </w:divBdr>
    </w:div>
    <w:div w:id="1622689607">
      <w:bodyDiv w:val="1"/>
      <w:marLeft w:val="0"/>
      <w:marRight w:val="0"/>
      <w:marTop w:val="0"/>
      <w:marBottom w:val="0"/>
      <w:divBdr>
        <w:top w:val="none" w:sz="0" w:space="0" w:color="auto"/>
        <w:left w:val="none" w:sz="0" w:space="0" w:color="auto"/>
        <w:bottom w:val="none" w:sz="0" w:space="0" w:color="auto"/>
        <w:right w:val="none" w:sz="0" w:space="0" w:color="auto"/>
      </w:divBdr>
    </w:div>
    <w:div w:id="1780222439">
      <w:bodyDiv w:val="1"/>
      <w:marLeft w:val="0"/>
      <w:marRight w:val="0"/>
      <w:marTop w:val="0"/>
      <w:marBottom w:val="0"/>
      <w:divBdr>
        <w:top w:val="none" w:sz="0" w:space="0" w:color="auto"/>
        <w:left w:val="none" w:sz="0" w:space="0" w:color="auto"/>
        <w:bottom w:val="none" w:sz="0" w:space="0" w:color="auto"/>
        <w:right w:val="none" w:sz="0" w:space="0" w:color="auto"/>
      </w:divBdr>
    </w:div>
    <w:div w:id="1795908779">
      <w:bodyDiv w:val="1"/>
      <w:marLeft w:val="0"/>
      <w:marRight w:val="0"/>
      <w:marTop w:val="0"/>
      <w:marBottom w:val="0"/>
      <w:divBdr>
        <w:top w:val="none" w:sz="0" w:space="0" w:color="auto"/>
        <w:left w:val="none" w:sz="0" w:space="0" w:color="auto"/>
        <w:bottom w:val="none" w:sz="0" w:space="0" w:color="auto"/>
        <w:right w:val="none" w:sz="0" w:space="0" w:color="auto"/>
      </w:divBdr>
    </w:div>
    <w:div w:id="1988394635">
      <w:bodyDiv w:val="1"/>
      <w:marLeft w:val="0"/>
      <w:marRight w:val="0"/>
      <w:marTop w:val="0"/>
      <w:marBottom w:val="0"/>
      <w:divBdr>
        <w:top w:val="none" w:sz="0" w:space="0" w:color="auto"/>
        <w:left w:val="none" w:sz="0" w:space="0" w:color="auto"/>
        <w:bottom w:val="none" w:sz="0" w:space="0" w:color="auto"/>
        <w:right w:val="none" w:sz="0" w:space="0" w:color="auto"/>
      </w:divBdr>
    </w:div>
    <w:div w:id="20487502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1A64516948B194D95EE161520B0C425" ma:contentTypeVersion="" ma:contentTypeDescription="PDMS Document Site Content Type" ma:contentTypeScope="" ma:versionID="9f8c3ff41a32d30e6bf24bc11e8adc46">
  <xsd:schema xmlns:xsd="http://www.w3.org/2001/XMLSchema" xmlns:xs="http://www.w3.org/2001/XMLSchema" xmlns:p="http://schemas.microsoft.com/office/2006/metadata/properties" xmlns:ns2="04B5D89E-B714-4F27-BD0D-D51336489A32" targetNamespace="http://schemas.microsoft.com/office/2006/metadata/properties" ma:root="true" ma:fieldsID="f20998690d1727bab2a18cec8801dce9" ns2:_="">
    <xsd:import namespace="04B5D89E-B714-4F27-BD0D-D51336489A3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5D89E-B714-4F27-BD0D-D51336489A3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04B5D89E-B714-4F27-BD0D-D51336489A3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E4C24-54DB-46AE-9397-C6926FC95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5D89E-B714-4F27-BD0D-D51336489A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320141-0704-4359-9874-83499C8EBBBC}">
  <ds:schemaRefs>
    <ds:schemaRef ds:uri="http://schemas.microsoft.com/sharepoint/v3/contenttype/forms"/>
  </ds:schemaRefs>
</ds:datastoreItem>
</file>

<file path=customXml/itemProps3.xml><?xml version="1.0" encoding="utf-8"?>
<ds:datastoreItem xmlns:ds="http://schemas.openxmlformats.org/officeDocument/2006/customXml" ds:itemID="{2AD86AA8-E12B-46E2-9545-EA2E2CD38A88}">
  <ds:schemaRefs>
    <ds:schemaRef ds:uri="http://schemas.microsoft.com/office/2006/metadata/properties"/>
    <ds:schemaRef ds:uri="http://schemas.microsoft.com/office/2006/documentManagement/types"/>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 ds:uri="04B5D89E-B714-4F27-BD0D-D51336489A32"/>
    <ds:schemaRef ds:uri="http://purl.org/dc/elements/1.1/"/>
  </ds:schemaRefs>
</ds:datastoreItem>
</file>

<file path=customXml/itemProps4.xml><?xml version="1.0" encoding="utf-8"?>
<ds:datastoreItem xmlns:ds="http://schemas.openxmlformats.org/officeDocument/2006/customXml" ds:itemID="{23BF6D6F-998B-4CE1-878C-A67E9AAA1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5508</Words>
  <Characters>31402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36837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Meritt Nassif</dc:creator>
  <cp:keywords/>
  <cp:lastModifiedBy>Harris, Sonia</cp:lastModifiedBy>
  <cp:revision>2</cp:revision>
  <cp:lastPrinted>2024-03-07T04:19:00Z</cp:lastPrinted>
  <dcterms:created xsi:type="dcterms:W3CDTF">2024-09-24T06:11:00Z</dcterms:created>
  <dcterms:modified xsi:type="dcterms:W3CDTF">2024-09-24T06:11:00Z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517edd6c,4a1d9438,1d59ca57,3eef38ab,16aa2bad,c6918fb</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5b51a163,56985532,22ba3559,5ffca043,2961c8b,5357a080</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933d8be6-3c40-4052-87a2-9c2adcba8759_Enabled">
    <vt:lpwstr>true</vt:lpwstr>
  </property>
  <property fmtid="{D5CDD505-2E9C-101B-9397-08002B2CF9AE}" pid="9" name="MSIP_Label_933d8be6-3c40-4052-87a2-9c2adcba8759_SetDate">
    <vt:lpwstr>2024-08-15T01:56:08Z</vt:lpwstr>
  </property>
  <property fmtid="{D5CDD505-2E9C-101B-9397-08002B2CF9AE}" pid="10" name="MSIP_Label_933d8be6-3c40-4052-87a2-9c2adcba8759_Method">
    <vt:lpwstr>Privileged</vt:lpwstr>
  </property>
  <property fmtid="{D5CDD505-2E9C-101B-9397-08002B2CF9AE}" pid="11" name="MSIP_Label_933d8be6-3c40-4052-87a2-9c2adcba8759_Name">
    <vt:lpwstr>OFFICIAL</vt:lpwstr>
  </property>
  <property fmtid="{D5CDD505-2E9C-101B-9397-08002B2CF9AE}" pid="12" name="MSIP_Label_933d8be6-3c40-4052-87a2-9c2adcba8759_SiteId">
    <vt:lpwstr>2be67eb7-400c-4b3f-a5a1-1258c0da0696</vt:lpwstr>
  </property>
  <property fmtid="{D5CDD505-2E9C-101B-9397-08002B2CF9AE}" pid="13" name="MSIP_Label_933d8be6-3c40-4052-87a2-9c2adcba8759_ActionId">
    <vt:lpwstr>a47159ed-25bb-48f4-9da2-88123fb9aad8</vt:lpwstr>
  </property>
  <property fmtid="{D5CDD505-2E9C-101B-9397-08002B2CF9AE}" pid="14" name="MSIP_Label_933d8be6-3c40-4052-87a2-9c2adcba8759_ContentBits">
    <vt:lpwstr>3</vt:lpwstr>
  </property>
  <property fmtid="{D5CDD505-2E9C-101B-9397-08002B2CF9AE}" pid="15" name="ContentTypeId">
    <vt:lpwstr>0x010100266966F133664895A6EE3632470D45F500D1A64516948B194D95EE161520B0C425</vt:lpwstr>
  </property>
</Properties>
</file>