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FB640B" w:rsidRPr="008B24C8" w:rsidRDefault="0057002B" w:rsidP="002034C2">
      <w:pPr>
        <w:pStyle w:val="ESTitleHeader"/>
        <w:spacing w:before="240" w:after="120" w:line="240" w:lineRule="auto"/>
      </w:pPr>
      <w:bookmarkStart w:id="0" w:name="_GoBack"/>
      <w:bookmarkEnd w:id="0"/>
      <w:r>
        <w:t>EXPLANATORY STATEMENT</w:t>
      </w:r>
    </w:p>
    <w:p w14:paraId="0B8377EA" w14:textId="30DC86E0" w:rsidR="706B4E9E" w:rsidRDefault="706B4E9E" w:rsidP="002034C2">
      <w:pPr>
        <w:spacing w:before="240" w:after="120" w:line="240" w:lineRule="auto"/>
        <w:ind w:right="40"/>
        <w:jc w:val="center"/>
        <w:rPr>
          <w:rFonts w:ascii="Times New Roman" w:eastAsia="Times New Roman" w:hAnsi="Times New Roman" w:cs="Times New Roman"/>
          <w:color w:val="000000" w:themeColor="text1"/>
          <w:sz w:val="24"/>
          <w:szCs w:val="24"/>
        </w:rPr>
      </w:pPr>
      <w:r w:rsidRPr="5220722F">
        <w:rPr>
          <w:rFonts w:ascii="Times New Roman" w:eastAsia="Times New Roman" w:hAnsi="Times New Roman" w:cs="Times New Roman"/>
          <w:color w:val="000000" w:themeColor="text1"/>
          <w:sz w:val="24"/>
          <w:szCs w:val="24"/>
        </w:rPr>
        <w:t xml:space="preserve">Issued by the Minister for </w:t>
      </w:r>
      <w:r w:rsidR="00C42F7B">
        <w:rPr>
          <w:rFonts w:ascii="Times New Roman" w:eastAsia="Times New Roman" w:hAnsi="Times New Roman" w:cs="Times New Roman"/>
          <w:color w:val="000000" w:themeColor="text1"/>
          <w:sz w:val="24"/>
          <w:szCs w:val="24"/>
        </w:rPr>
        <w:t>Immigration and Multicultural Affairs</w:t>
      </w:r>
    </w:p>
    <w:p w14:paraId="0280C46B" w14:textId="7E6FECCD" w:rsidR="706B4E9E" w:rsidRPr="00A2050E" w:rsidRDefault="706B4E9E" w:rsidP="002034C2">
      <w:pPr>
        <w:spacing w:before="240" w:after="120" w:line="240" w:lineRule="auto"/>
        <w:jc w:val="center"/>
        <w:rPr>
          <w:rFonts w:ascii="Times New Roman" w:eastAsia="Times New Roman" w:hAnsi="Times New Roman" w:cs="Times New Roman"/>
          <w:color w:val="000000" w:themeColor="text1"/>
          <w:sz w:val="24"/>
          <w:szCs w:val="24"/>
        </w:rPr>
      </w:pPr>
      <w:r w:rsidRPr="00A2050E">
        <w:rPr>
          <w:rStyle w:val="legislationtitleitalics"/>
          <w:rFonts w:eastAsia="Times New Roman" w:cs="Times New Roman"/>
          <w:color w:val="000000" w:themeColor="text1"/>
        </w:rPr>
        <w:t>Migration Act 1958</w:t>
      </w:r>
    </w:p>
    <w:p w14:paraId="0FCEA0B9" w14:textId="4267F88E" w:rsidR="004A50CB" w:rsidRPr="00A2050E" w:rsidRDefault="00A2050E" w:rsidP="002034C2">
      <w:pPr>
        <w:spacing w:before="240" w:after="120" w:line="240" w:lineRule="auto"/>
        <w:jc w:val="center"/>
        <w:rPr>
          <w:rFonts w:ascii="Times New Roman" w:hAnsi="Times New Roman" w:cs="Times New Roman"/>
          <w:i/>
          <w:sz w:val="24"/>
          <w:szCs w:val="24"/>
        </w:rPr>
      </w:pPr>
      <w:r w:rsidRPr="00A2050E">
        <w:rPr>
          <w:rFonts w:ascii="Times New Roman" w:hAnsi="Times New Roman" w:cs="Times New Roman"/>
          <w:i/>
          <w:sz w:val="24"/>
          <w:szCs w:val="24"/>
        </w:rPr>
        <w:t>Migration Amendment (Public Interest Criteria 4005 and 4007) Regulations 2024</w:t>
      </w:r>
    </w:p>
    <w:p w14:paraId="29B73156" w14:textId="77777777" w:rsidR="00A2050E" w:rsidRDefault="00A2050E" w:rsidP="002034C2">
      <w:pPr>
        <w:spacing w:before="240" w:after="120" w:line="240" w:lineRule="auto"/>
        <w:jc w:val="center"/>
        <w:rPr>
          <w:rStyle w:val="legislationtitleitalics"/>
          <w:rFonts w:eastAsia="Times New Roman" w:cs="Times New Roman"/>
          <w:color w:val="000000" w:themeColor="text1"/>
        </w:rPr>
      </w:pPr>
    </w:p>
    <w:p w14:paraId="4CC9BA27" w14:textId="155FCA34" w:rsidR="706B4E9E" w:rsidRDefault="706B4E9E" w:rsidP="00D452AA">
      <w:pPr>
        <w:pStyle w:val="ESoutlinetext"/>
        <w:spacing w:before="240" w:line="240" w:lineRule="auto"/>
        <w:jc w:val="both"/>
      </w:pPr>
      <w:r w:rsidRPr="5220722F">
        <w:rPr>
          <w:color w:val="000000" w:themeColor="text1"/>
        </w:rPr>
        <w:t xml:space="preserve">The </w:t>
      </w:r>
      <w:r w:rsidRPr="5220722F">
        <w:rPr>
          <w:rStyle w:val="legislationtitleitalics"/>
          <w:rFonts w:eastAsia="Times New Roman" w:cs="Times New Roman"/>
          <w:color w:val="000000" w:themeColor="text1"/>
        </w:rPr>
        <w:t xml:space="preserve">Migration Act </w:t>
      </w:r>
      <w:r w:rsidRPr="00DA3389">
        <w:rPr>
          <w:rStyle w:val="legislationtitleitalics"/>
          <w:rFonts w:eastAsia="Times New Roman" w:cs="Times New Roman"/>
          <w:color w:val="000000" w:themeColor="text1"/>
        </w:rPr>
        <w:t>1958</w:t>
      </w:r>
      <w:r w:rsidRPr="00DA3389">
        <w:rPr>
          <w:color w:val="000000" w:themeColor="text1"/>
        </w:rPr>
        <w:t xml:space="preserve"> (the </w:t>
      </w:r>
      <w:r w:rsidRPr="00DA3389">
        <w:rPr>
          <w:bCs/>
          <w:color w:val="000000" w:themeColor="text1"/>
        </w:rPr>
        <w:t>Migration Act</w:t>
      </w:r>
      <w:r w:rsidRPr="00DA3389">
        <w:rPr>
          <w:color w:val="000000" w:themeColor="text1"/>
        </w:rPr>
        <w:t>) is an Act relating to the entry into, and presence in, Australia of aliens, and the departure or deportation from Australia of aliens and certain other persons</w:t>
      </w:r>
      <w:r w:rsidR="004A3EF9">
        <w:t>.</w:t>
      </w:r>
    </w:p>
    <w:p w14:paraId="0DB12045" w14:textId="1B87AD6F" w:rsidR="5220722F" w:rsidRDefault="706B4E9E" w:rsidP="00D452AA">
      <w:pPr>
        <w:pStyle w:val="ESoutlinetext"/>
        <w:spacing w:before="240" w:line="240" w:lineRule="auto"/>
        <w:jc w:val="both"/>
        <w:rPr>
          <w:color w:val="000000" w:themeColor="text1"/>
        </w:rPr>
      </w:pPr>
      <w:r w:rsidRPr="00DA3389">
        <w:rPr>
          <w:color w:val="000000" w:themeColor="text1"/>
        </w:rPr>
        <w:t>Subsection 504(1) of the Migration Act</w:t>
      </w:r>
      <w:r w:rsidRPr="00DA3389">
        <w:rPr>
          <w:i/>
          <w:iCs/>
          <w:color w:val="000000" w:themeColor="text1"/>
        </w:rPr>
        <w:t xml:space="preserve"> </w:t>
      </w:r>
      <w:r w:rsidRPr="00DA3389">
        <w:rPr>
          <w:color w:val="000000" w:themeColor="text1"/>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08448D7F" w14:textId="71652FCE" w:rsidR="00EF3345" w:rsidRPr="00EF3345" w:rsidRDefault="00EF3345" w:rsidP="00D452AA">
      <w:pPr>
        <w:spacing w:before="240" w:after="120"/>
        <w:jc w:val="both"/>
        <w:rPr>
          <w:rFonts w:ascii="Times New Roman" w:hAnsi="Times New Roman" w:cs="Times New Roman"/>
          <w:sz w:val="24"/>
          <w:szCs w:val="24"/>
        </w:rPr>
      </w:pPr>
      <w:r w:rsidRPr="00EF3345">
        <w:rPr>
          <w:rFonts w:ascii="Times New Roman" w:hAnsi="Times New Roman" w:cs="Times New Roman"/>
          <w:sz w:val="24"/>
          <w:szCs w:val="24"/>
          <w:lang w:eastAsia="en-AU"/>
        </w:rPr>
        <w:t xml:space="preserve">The </w:t>
      </w:r>
      <w:r w:rsidRPr="00EF3345">
        <w:rPr>
          <w:rFonts w:ascii="Times New Roman" w:hAnsi="Times New Roman" w:cs="Times New Roman"/>
          <w:i/>
          <w:sz w:val="24"/>
          <w:szCs w:val="24"/>
          <w:lang w:eastAsia="en-AU"/>
        </w:rPr>
        <w:t xml:space="preserve">Migration </w:t>
      </w:r>
      <w:r w:rsidRPr="00EF3345">
        <w:rPr>
          <w:rFonts w:ascii="Times New Roman" w:hAnsi="Times New Roman" w:cs="Times New Roman"/>
          <w:i/>
          <w:sz w:val="24"/>
          <w:szCs w:val="24"/>
        </w:rPr>
        <w:t xml:space="preserve">Amendment (Public Interest Criteria 4005 and 4007) Regulations 2024 </w:t>
      </w:r>
      <w:r w:rsidRPr="00EF3345">
        <w:rPr>
          <w:rFonts w:ascii="Times New Roman" w:hAnsi="Times New Roman" w:cs="Times New Roman"/>
          <w:sz w:val="24"/>
          <w:szCs w:val="24"/>
        </w:rPr>
        <w:t>(the Amendment Regulations) amend</w:t>
      </w:r>
      <w:r w:rsidR="003E468B">
        <w:rPr>
          <w:rFonts w:ascii="Times New Roman" w:hAnsi="Times New Roman" w:cs="Times New Roman"/>
          <w:sz w:val="24"/>
          <w:szCs w:val="24"/>
        </w:rPr>
        <w:t>s</w:t>
      </w:r>
      <w:r w:rsidRPr="00EF3345">
        <w:rPr>
          <w:rFonts w:ascii="Times New Roman" w:hAnsi="Times New Roman" w:cs="Times New Roman"/>
          <w:sz w:val="24"/>
          <w:szCs w:val="24"/>
        </w:rPr>
        <w:t xml:space="preserve"> paragraphs 4005(1)(c) and 4007(1)(c) of Schedule 4 to the </w:t>
      </w:r>
      <w:r w:rsidRPr="00EF3345">
        <w:rPr>
          <w:rFonts w:ascii="Times New Roman" w:hAnsi="Times New Roman" w:cs="Times New Roman"/>
          <w:i/>
          <w:sz w:val="24"/>
          <w:szCs w:val="24"/>
        </w:rPr>
        <w:t xml:space="preserve">Migration Regulations 1994 </w:t>
      </w:r>
      <w:r w:rsidRPr="00EF3345">
        <w:rPr>
          <w:rFonts w:ascii="Times New Roman" w:hAnsi="Times New Roman" w:cs="Times New Roman"/>
          <w:sz w:val="24"/>
          <w:szCs w:val="24"/>
        </w:rPr>
        <w:t xml:space="preserve">(the Migration Regulations) </w:t>
      </w:r>
      <w:r w:rsidR="007B1C59">
        <w:rPr>
          <w:rFonts w:ascii="Times New Roman" w:hAnsi="Times New Roman" w:cs="Times New Roman"/>
          <w:sz w:val="24"/>
          <w:szCs w:val="24"/>
        </w:rPr>
        <w:t xml:space="preserve">so </w:t>
      </w:r>
      <w:r w:rsidR="00A06EA6">
        <w:rPr>
          <w:rFonts w:ascii="Times New Roman" w:hAnsi="Times New Roman" w:cs="Times New Roman"/>
          <w:sz w:val="24"/>
          <w:szCs w:val="24"/>
        </w:rPr>
        <w:t xml:space="preserve">that </w:t>
      </w:r>
      <w:r w:rsidRPr="00EF3345">
        <w:rPr>
          <w:rFonts w:ascii="Times New Roman" w:hAnsi="Times New Roman" w:cs="Times New Roman"/>
          <w:sz w:val="24"/>
          <w:szCs w:val="24"/>
        </w:rPr>
        <w:t>a minor visa applicant</w:t>
      </w:r>
      <w:r w:rsidR="009F78FC">
        <w:rPr>
          <w:rFonts w:ascii="Times New Roman" w:hAnsi="Times New Roman" w:cs="Times New Roman"/>
          <w:sz w:val="24"/>
          <w:szCs w:val="24"/>
        </w:rPr>
        <w:t xml:space="preserve"> </w:t>
      </w:r>
      <w:r w:rsidRPr="00EF3345">
        <w:rPr>
          <w:rFonts w:ascii="Times New Roman" w:hAnsi="Times New Roman" w:cs="Times New Roman"/>
          <w:sz w:val="24"/>
          <w:szCs w:val="24"/>
        </w:rPr>
        <w:t>born and ordinarily resident in Australia</w:t>
      </w:r>
      <w:r w:rsidR="009F78FC">
        <w:rPr>
          <w:rFonts w:ascii="Times New Roman" w:hAnsi="Times New Roman" w:cs="Times New Roman"/>
          <w:sz w:val="24"/>
          <w:szCs w:val="24"/>
        </w:rPr>
        <w:t>,</w:t>
      </w:r>
      <w:r w:rsidRPr="00EF3345">
        <w:rPr>
          <w:rFonts w:ascii="Times New Roman" w:hAnsi="Times New Roman" w:cs="Times New Roman"/>
          <w:sz w:val="24"/>
          <w:szCs w:val="24"/>
        </w:rPr>
        <w:t xml:space="preserve"> </w:t>
      </w:r>
      <w:r w:rsidR="007B1C59">
        <w:rPr>
          <w:rFonts w:ascii="Times New Roman" w:hAnsi="Times New Roman" w:cs="Times New Roman"/>
          <w:sz w:val="24"/>
          <w:szCs w:val="24"/>
        </w:rPr>
        <w:t xml:space="preserve">is not </w:t>
      </w:r>
      <w:r w:rsidR="00554A34">
        <w:rPr>
          <w:rFonts w:ascii="Times New Roman" w:hAnsi="Times New Roman" w:cs="Times New Roman"/>
          <w:sz w:val="24"/>
          <w:szCs w:val="24"/>
        </w:rPr>
        <w:t xml:space="preserve">required </w:t>
      </w:r>
      <w:r w:rsidR="009945B5">
        <w:rPr>
          <w:rFonts w:ascii="Times New Roman" w:hAnsi="Times New Roman" w:cs="Times New Roman"/>
          <w:sz w:val="24"/>
          <w:szCs w:val="24"/>
        </w:rPr>
        <w:t xml:space="preserve">to </w:t>
      </w:r>
      <w:r w:rsidRPr="00EF3345">
        <w:rPr>
          <w:rFonts w:ascii="Times New Roman" w:hAnsi="Times New Roman" w:cs="Times New Roman"/>
          <w:sz w:val="24"/>
          <w:szCs w:val="24"/>
        </w:rPr>
        <w:t>satisfy the Minister that they are free from a disease or condition which would necessitate the provision of health care or community services</w:t>
      </w:r>
      <w:r w:rsidR="007B1C59">
        <w:rPr>
          <w:rFonts w:ascii="Times New Roman" w:hAnsi="Times New Roman" w:cs="Times New Roman"/>
          <w:sz w:val="24"/>
          <w:szCs w:val="24"/>
        </w:rPr>
        <w:t>,</w:t>
      </w:r>
      <w:r w:rsidRPr="00EF3345">
        <w:rPr>
          <w:rFonts w:ascii="Times New Roman" w:hAnsi="Times New Roman" w:cs="Times New Roman"/>
          <w:sz w:val="24"/>
          <w:szCs w:val="24"/>
        </w:rPr>
        <w:t xml:space="preserve"> where that would result in a significant cost to the Australian community or prejudice the access of an Australian citizen or permanent resident to th</w:t>
      </w:r>
      <w:r w:rsidR="00AF0C33">
        <w:rPr>
          <w:rFonts w:ascii="Times New Roman" w:hAnsi="Times New Roman" w:cs="Times New Roman"/>
          <w:sz w:val="24"/>
          <w:szCs w:val="24"/>
        </w:rPr>
        <w:t>at</w:t>
      </w:r>
      <w:r w:rsidRPr="00EF3345">
        <w:rPr>
          <w:rFonts w:ascii="Times New Roman" w:hAnsi="Times New Roman" w:cs="Times New Roman"/>
          <w:sz w:val="24"/>
          <w:szCs w:val="24"/>
        </w:rPr>
        <w:t xml:space="preserve"> health care or </w:t>
      </w:r>
      <w:r w:rsidR="00D44531">
        <w:rPr>
          <w:rFonts w:ascii="Times New Roman" w:hAnsi="Times New Roman" w:cs="Times New Roman"/>
          <w:sz w:val="24"/>
          <w:szCs w:val="24"/>
        </w:rPr>
        <w:t xml:space="preserve">community </w:t>
      </w:r>
      <w:r w:rsidRPr="00EF3345">
        <w:rPr>
          <w:rFonts w:ascii="Times New Roman" w:hAnsi="Times New Roman" w:cs="Times New Roman"/>
          <w:sz w:val="24"/>
          <w:szCs w:val="24"/>
        </w:rPr>
        <w:t xml:space="preserve">service.    </w:t>
      </w:r>
    </w:p>
    <w:p w14:paraId="71D8BA64" w14:textId="77777777" w:rsidR="003D1A1E" w:rsidRPr="003D1A1E" w:rsidRDefault="003D1A1E" w:rsidP="00D452AA">
      <w:pPr>
        <w:spacing w:before="240" w:after="120" w:line="276" w:lineRule="auto"/>
        <w:jc w:val="both"/>
        <w:rPr>
          <w:rFonts w:ascii="Times New Roman" w:hAnsi="Times New Roman" w:cs="Times New Roman"/>
          <w:sz w:val="24"/>
          <w:szCs w:val="24"/>
        </w:rPr>
      </w:pPr>
      <w:r w:rsidRPr="003D1A1E">
        <w:rPr>
          <w:rFonts w:ascii="Times New Roman" w:hAnsi="Times New Roman" w:cs="Times New Roman"/>
          <w:sz w:val="24"/>
          <w:szCs w:val="24"/>
        </w:rPr>
        <w:t xml:space="preserve">Subject to sections 84 and 86 of the Migration Act, section 65 of the Migration Act requires the Minister to grant a visa if the Minister is satisfied that: </w:t>
      </w:r>
    </w:p>
    <w:p w14:paraId="227384DE" w14:textId="77777777" w:rsidR="003D1A1E" w:rsidRPr="003D1A1E" w:rsidRDefault="003D1A1E" w:rsidP="005D122F">
      <w:pPr>
        <w:pStyle w:val="ListParagraph"/>
        <w:numPr>
          <w:ilvl w:val="0"/>
          <w:numId w:val="17"/>
        </w:numPr>
        <w:spacing w:after="0" w:line="276" w:lineRule="auto"/>
        <w:ind w:left="426" w:hanging="284"/>
        <w:jc w:val="both"/>
        <w:rPr>
          <w:rFonts w:ascii="Times New Roman" w:hAnsi="Times New Roman" w:cs="Times New Roman"/>
          <w:sz w:val="24"/>
          <w:szCs w:val="24"/>
        </w:rPr>
      </w:pPr>
      <w:r w:rsidRPr="003D1A1E">
        <w:rPr>
          <w:rFonts w:ascii="Times New Roman" w:hAnsi="Times New Roman" w:cs="Times New Roman"/>
          <w:sz w:val="24"/>
          <w:szCs w:val="24"/>
        </w:rPr>
        <w:t xml:space="preserve">the health criteria for the valid visa application have been satisfied; and </w:t>
      </w:r>
    </w:p>
    <w:p w14:paraId="44BCF9E9" w14:textId="77777777" w:rsidR="003D1A1E" w:rsidRPr="003D1A1E" w:rsidRDefault="003D1A1E" w:rsidP="005D122F">
      <w:pPr>
        <w:pStyle w:val="ListParagraph"/>
        <w:numPr>
          <w:ilvl w:val="0"/>
          <w:numId w:val="17"/>
        </w:numPr>
        <w:spacing w:after="0" w:line="276" w:lineRule="auto"/>
        <w:ind w:left="426" w:hanging="284"/>
        <w:jc w:val="both"/>
        <w:rPr>
          <w:rFonts w:ascii="Times New Roman" w:hAnsi="Times New Roman" w:cs="Times New Roman"/>
          <w:sz w:val="24"/>
          <w:szCs w:val="24"/>
        </w:rPr>
      </w:pPr>
      <w:r w:rsidRPr="003D1A1E">
        <w:rPr>
          <w:rFonts w:ascii="Times New Roman" w:hAnsi="Times New Roman" w:cs="Times New Roman"/>
          <w:sz w:val="24"/>
          <w:szCs w:val="24"/>
        </w:rPr>
        <w:t xml:space="preserve">other criteria for the visa prescribed by the Migration Act or the regulations have been satisfied; and </w:t>
      </w:r>
    </w:p>
    <w:p w14:paraId="20CC4181" w14:textId="77777777" w:rsidR="003D1A1E" w:rsidRPr="003D1A1E" w:rsidRDefault="003D1A1E" w:rsidP="005D122F">
      <w:pPr>
        <w:pStyle w:val="ListParagraph"/>
        <w:numPr>
          <w:ilvl w:val="0"/>
          <w:numId w:val="17"/>
        </w:numPr>
        <w:spacing w:after="0" w:line="276" w:lineRule="auto"/>
        <w:ind w:left="426" w:hanging="284"/>
        <w:jc w:val="both"/>
        <w:rPr>
          <w:rFonts w:ascii="Times New Roman" w:hAnsi="Times New Roman" w:cs="Times New Roman"/>
          <w:sz w:val="24"/>
          <w:szCs w:val="24"/>
        </w:rPr>
      </w:pPr>
      <w:r w:rsidRPr="003D1A1E">
        <w:rPr>
          <w:rFonts w:ascii="Times New Roman" w:hAnsi="Times New Roman" w:cs="Times New Roman"/>
          <w:sz w:val="24"/>
          <w:szCs w:val="24"/>
        </w:rPr>
        <w:t xml:space="preserve">the grant of the visa is not prevented by </w:t>
      </w:r>
      <w:r w:rsidRPr="003D1A1E">
        <w:rPr>
          <w:rFonts w:ascii="Times New Roman" w:hAnsi="Times New Roman" w:cs="Times New Roman"/>
          <w:color w:val="000000"/>
          <w:sz w:val="24"/>
          <w:szCs w:val="24"/>
          <w:shd w:val="clear" w:color="auto" w:fill="FFFFFF"/>
        </w:rPr>
        <w:t>sections </w:t>
      </w:r>
      <w:r w:rsidRPr="003D1A1E">
        <w:rPr>
          <w:rFonts w:ascii="Times New Roman" w:hAnsi="Times New Roman" w:cs="Times New Roman"/>
          <w:sz w:val="24"/>
          <w:szCs w:val="24"/>
          <w:shd w:val="clear" w:color="auto" w:fill="FFFFFF"/>
        </w:rPr>
        <w:t>40</w:t>
      </w:r>
      <w:r w:rsidRPr="003D1A1E">
        <w:rPr>
          <w:rFonts w:ascii="Times New Roman" w:hAnsi="Times New Roman" w:cs="Times New Roman"/>
          <w:color w:val="000000"/>
          <w:sz w:val="24"/>
          <w:szCs w:val="24"/>
          <w:shd w:val="clear" w:color="auto" w:fill="FFFFFF"/>
        </w:rPr>
        <w:t> (circumstances when granted), </w:t>
      </w:r>
      <w:r w:rsidRPr="003D1A1E">
        <w:rPr>
          <w:rFonts w:ascii="Times New Roman" w:hAnsi="Times New Roman" w:cs="Times New Roman"/>
          <w:sz w:val="24"/>
          <w:szCs w:val="24"/>
          <w:shd w:val="clear" w:color="auto" w:fill="FFFFFF"/>
        </w:rPr>
        <w:t>91W</w:t>
      </w:r>
      <w:r w:rsidRPr="003D1A1E">
        <w:rPr>
          <w:rFonts w:ascii="Times New Roman" w:hAnsi="Times New Roman" w:cs="Times New Roman"/>
          <w:color w:val="000000"/>
          <w:sz w:val="24"/>
          <w:szCs w:val="24"/>
          <w:shd w:val="clear" w:color="auto" w:fill="FFFFFF"/>
        </w:rPr>
        <w:t> (evidence of identity and bogus documents), </w:t>
      </w:r>
      <w:r w:rsidRPr="003D1A1E">
        <w:rPr>
          <w:rFonts w:ascii="Times New Roman" w:hAnsi="Times New Roman" w:cs="Times New Roman"/>
          <w:sz w:val="24"/>
          <w:szCs w:val="24"/>
          <w:shd w:val="clear" w:color="auto" w:fill="FFFFFF"/>
        </w:rPr>
        <w:t>91WA</w:t>
      </w:r>
      <w:r w:rsidRPr="003D1A1E">
        <w:rPr>
          <w:rFonts w:ascii="Times New Roman" w:hAnsi="Times New Roman" w:cs="Times New Roman"/>
          <w:color w:val="000000"/>
          <w:sz w:val="24"/>
          <w:szCs w:val="24"/>
          <w:shd w:val="clear" w:color="auto" w:fill="FFFFFF"/>
        </w:rPr>
        <w:t xml:space="preserve"> (bogus documents and destroying identity documents), </w:t>
      </w:r>
      <w:r w:rsidRPr="003D1A1E">
        <w:rPr>
          <w:rFonts w:ascii="Times New Roman" w:hAnsi="Times New Roman" w:cs="Times New Roman"/>
          <w:sz w:val="24"/>
          <w:szCs w:val="24"/>
          <w:shd w:val="clear" w:color="auto" w:fill="FFFFFF"/>
        </w:rPr>
        <w:t>91WB</w:t>
      </w:r>
      <w:r w:rsidRPr="003D1A1E">
        <w:rPr>
          <w:rFonts w:ascii="Times New Roman" w:hAnsi="Times New Roman" w:cs="Times New Roman"/>
          <w:color w:val="000000"/>
          <w:sz w:val="24"/>
          <w:szCs w:val="24"/>
          <w:shd w:val="clear" w:color="auto" w:fill="FFFFFF"/>
        </w:rPr>
        <w:t> (applications for protection visas by members of same family unit), </w:t>
      </w:r>
      <w:r w:rsidRPr="003D1A1E">
        <w:rPr>
          <w:rFonts w:ascii="Times New Roman" w:hAnsi="Times New Roman" w:cs="Times New Roman"/>
          <w:sz w:val="24"/>
          <w:szCs w:val="24"/>
          <w:shd w:val="clear" w:color="auto" w:fill="FFFFFF"/>
        </w:rPr>
        <w:t>500A</w:t>
      </w:r>
      <w:r w:rsidRPr="003D1A1E">
        <w:rPr>
          <w:rFonts w:ascii="Times New Roman" w:hAnsi="Times New Roman" w:cs="Times New Roman"/>
          <w:color w:val="000000"/>
          <w:sz w:val="24"/>
          <w:szCs w:val="24"/>
          <w:shd w:val="clear" w:color="auto" w:fill="FFFFFF"/>
        </w:rPr>
        <w:t> (refusal or cancellation of temporary safe haven visas), </w:t>
      </w:r>
      <w:r w:rsidRPr="003D1A1E">
        <w:rPr>
          <w:rFonts w:ascii="Times New Roman" w:hAnsi="Times New Roman" w:cs="Times New Roman"/>
          <w:sz w:val="24"/>
          <w:szCs w:val="24"/>
          <w:shd w:val="clear" w:color="auto" w:fill="FFFFFF"/>
        </w:rPr>
        <w:t>501</w:t>
      </w:r>
      <w:r w:rsidRPr="003D1A1E">
        <w:rPr>
          <w:rFonts w:ascii="Times New Roman" w:hAnsi="Times New Roman" w:cs="Times New Roman"/>
          <w:color w:val="000000"/>
          <w:sz w:val="24"/>
          <w:szCs w:val="24"/>
          <w:shd w:val="clear" w:color="auto" w:fill="FFFFFF"/>
        </w:rPr>
        <w:t> (special power to refuse or cancel) or any other provision of this Act or of any other law of the Commonwealth; and</w:t>
      </w:r>
    </w:p>
    <w:p w14:paraId="56F9ADE1" w14:textId="77777777" w:rsidR="003D1A1E" w:rsidRPr="003D1A1E" w:rsidRDefault="003D1A1E" w:rsidP="005D122F">
      <w:pPr>
        <w:pStyle w:val="ListParagraph"/>
        <w:numPr>
          <w:ilvl w:val="0"/>
          <w:numId w:val="17"/>
        </w:numPr>
        <w:spacing w:after="0" w:line="240" w:lineRule="auto"/>
        <w:ind w:left="426" w:hanging="284"/>
        <w:jc w:val="both"/>
        <w:rPr>
          <w:rFonts w:ascii="Times New Roman" w:hAnsi="Times New Roman" w:cs="Times New Roman"/>
          <w:sz w:val="24"/>
          <w:szCs w:val="24"/>
        </w:rPr>
      </w:pPr>
      <w:r w:rsidRPr="003D1A1E">
        <w:rPr>
          <w:rFonts w:ascii="Times New Roman" w:hAnsi="Times New Roman" w:cs="Times New Roman"/>
          <w:color w:val="000000"/>
          <w:sz w:val="24"/>
          <w:szCs w:val="24"/>
          <w:shd w:val="clear" w:color="auto" w:fill="FFFFFF"/>
        </w:rPr>
        <w:t xml:space="preserve">any visa application charge payable in relation to the application has been paid. </w:t>
      </w:r>
    </w:p>
    <w:p w14:paraId="192CC0B9" w14:textId="77777777" w:rsidR="003D1A1E" w:rsidRPr="003D1A1E" w:rsidRDefault="003D1A1E" w:rsidP="00D452AA">
      <w:pPr>
        <w:spacing w:before="240" w:after="120" w:line="276" w:lineRule="auto"/>
        <w:jc w:val="both"/>
        <w:rPr>
          <w:rFonts w:ascii="Times New Roman" w:hAnsi="Times New Roman" w:cs="Times New Roman"/>
          <w:sz w:val="24"/>
          <w:szCs w:val="24"/>
        </w:rPr>
      </w:pPr>
      <w:r w:rsidRPr="003D1A1E">
        <w:rPr>
          <w:rFonts w:ascii="Times New Roman" w:hAnsi="Times New Roman" w:cs="Times New Roman"/>
          <w:sz w:val="24"/>
          <w:szCs w:val="24"/>
        </w:rPr>
        <w:t xml:space="preserve">Section 84 of the Migration Act provides the Minister the power to suspend processing of visa applications, and section 86 allows the Minister to determine limitations on the number of visas that can be granted in a financial year. </w:t>
      </w:r>
      <w:r w:rsidRPr="003D1A1E">
        <w:rPr>
          <w:rFonts w:ascii="Times New Roman" w:hAnsi="Times New Roman" w:cs="Times New Roman"/>
          <w:color w:val="000000" w:themeColor="text1"/>
          <w:sz w:val="24"/>
          <w:szCs w:val="24"/>
        </w:rPr>
        <w:t xml:space="preserve">Subsection 5(1) of the Migration Act defines ‘health criterion’ in relation to a visa to mean a prescribed criterion for the visa that: </w:t>
      </w:r>
    </w:p>
    <w:p w14:paraId="64EA256A" w14:textId="77777777" w:rsidR="003D1A1E" w:rsidRPr="003D1A1E" w:rsidRDefault="003D1A1E" w:rsidP="005D122F">
      <w:pPr>
        <w:pStyle w:val="DINumberedParagraph"/>
        <w:numPr>
          <w:ilvl w:val="0"/>
          <w:numId w:val="14"/>
        </w:numPr>
        <w:spacing w:after="0" w:line="276" w:lineRule="auto"/>
        <w:ind w:left="426" w:hanging="284"/>
        <w:jc w:val="both"/>
        <w:rPr>
          <w:color w:val="000000" w:themeColor="text1"/>
          <w:szCs w:val="24"/>
        </w:rPr>
      </w:pPr>
      <w:r w:rsidRPr="003D1A1E">
        <w:rPr>
          <w:color w:val="000000" w:themeColor="text1"/>
          <w:szCs w:val="24"/>
        </w:rPr>
        <w:t xml:space="preserve">relates to the applicant or the members of the family unit of that applicant; and </w:t>
      </w:r>
    </w:p>
    <w:p w14:paraId="05AA33CB" w14:textId="77777777" w:rsidR="003D1A1E" w:rsidRPr="003D1A1E" w:rsidRDefault="003D1A1E" w:rsidP="005D122F">
      <w:pPr>
        <w:pStyle w:val="DINumberedParagraph"/>
        <w:numPr>
          <w:ilvl w:val="0"/>
          <w:numId w:val="14"/>
        </w:numPr>
        <w:spacing w:after="0" w:line="276" w:lineRule="auto"/>
        <w:ind w:left="426" w:hanging="284"/>
        <w:jc w:val="both"/>
        <w:rPr>
          <w:color w:val="000000" w:themeColor="text1"/>
          <w:szCs w:val="24"/>
        </w:rPr>
      </w:pPr>
      <w:r w:rsidRPr="003D1A1E">
        <w:rPr>
          <w:color w:val="000000" w:themeColor="text1"/>
          <w:szCs w:val="24"/>
        </w:rPr>
        <w:t xml:space="preserve">deals with a prescribed disease, physical or mental condition, kind of examination or treatment. </w:t>
      </w:r>
    </w:p>
    <w:p w14:paraId="0003E9C7" w14:textId="109A8DED" w:rsidR="0087303B" w:rsidRDefault="00991B9B" w:rsidP="00D452AA">
      <w:pPr>
        <w:spacing w:before="240" w:after="120"/>
        <w:jc w:val="both"/>
        <w:rPr>
          <w:rFonts w:ascii="Times New Roman" w:hAnsi="Times New Roman" w:cs="Times New Roman"/>
          <w:sz w:val="24"/>
          <w:szCs w:val="24"/>
        </w:rPr>
      </w:pPr>
      <w:r w:rsidRPr="00EF3345">
        <w:rPr>
          <w:rFonts w:ascii="Times New Roman" w:hAnsi="Times New Roman" w:cs="Times New Roman"/>
          <w:sz w:val="24"/>
          <w:szCs w:val="24"/>
        </w:rPr>
        <w:t xml:space="preserve">Public </w:t>
      </w:r>
      <w:r w:rsidR="00DF40B5">
        <w:rPr>
          <w:rFonts w:ascii="Times New Roman" w:hAnsi="Times New Roman" w:cs="Times New Roman"/>
          <w:sz w:val="24"/>
          <w:szCs w:val="24"/>
        </w:rPr>
        <w:t>interest criteria</w:t>
      </w:r>
      <w:r w:rsidR="00EF3345" w:rsidRPr="00EF3345">
        <w:rPr>
          <w:rFonts w:ascii="Times New Roman" w:hAnsi="Times New Roman" w:cs="Times New Roman"/>
          <w:sz w:val="24"/>
          <w:szCs w:val="24"/>
        </w:rPr>
        <w:t xml:space="preserve"> </w:t>
      </w:r>
      <w:r w:rsidR="00EF3345">
        <w:rPr>
          <w:rFonts w:ascii="Times New Roman" w:hAnsi="Times New Roman" w:cs="Times New Roman"/>
          <w:sz w:val="24"/>
          <w:szCs w:val="24"/>
        </w:rPr>
        <w:t xml:space="preserve">in Part 1 of </w:t>
      </w:r>
      <w:r w:rsidR="00EF3345" w:rsidRPr="00EF3345">
        <w:rPr>
          <w:rFonts w:ascii="Times New Roman" w:hAnsi="Times New Roman" w:cs="Times New Roman"/>
          <w:sz w:val="24"/>
          <w:szCs w:val="24"/>
        </w:rPr>
        <w:t>Schedule 4 to</w:t>
      </w:r>
      <w:r w:rsidRPr="00EF3345">
        <w:rPr>
          <w:rFonts w:ascii="Times New Roman" w:hAnsi="Times New Roman" w:cs="Times New Roman"/>
          <w:sz w:val="24"/>
          <w:szCs w:val="24"/>
        </w:rPr>
        <w:t xml:space="preserve"> the </w:t>
      </w:r>
      <w:r w:rsidR="00EF3345" w:rsidRPr="00EF3345">
        <w:rPr>
          <w:rFonts w:ascii="Times New Roman" w:hAnsi="Times New Roman" w:cs="Times New Roman"/>
          <w:sz w:val="24"/>
          <w:szCs w:val="24"/>
        </w:rPr>
        <w:t>Migration Regulations</w:t>
      </w:r>
      <w:r w:rsidRPr="00EF3345">
        <w:rPr>
          <w:rFonts w:ascii="Times New Roman" w:hAnsi="Times New Roman" w:cs="Times New Roman"/>
          <w:sz w:val="24"/>
          <w:szCs w:val="24"/>
        </w:rPr>
        <w:t xml:space="preserve">, in particular, clauses 4005 and 4007, provide details of migration health requirements that </w:t>
      </w:r>
      <w:r w:rsidR="00F45332">
        <w:rPr>
          <w:rFonts w:ascii="Times New Roman" w:hAnsi="Times New Roman" w:cs="Times New Roman"/>
          <w:sz w:val="24"/>
          <w:szCs w:val="24"/>
        </w:rPr>
        <w:t xml:space="preserve">visa </w:t>
      </w:r>
      <w:r w:rsidRPr="00EF3345">
        <w:rPr>
          <w:rFonts w:ascii="Times New Roman" w:hAnsi="Times New Roman" w:cs="Times New Roman"/>
          <w:sz w:val="24"/>
          <w:szCs w:val="24"/>
        </w:rPr>
        <w:t>applicants must satisfy in order for the Minister to grant</w:t>
      </w:r>
      <w:r w:rsidR="00EF3345" w:rsidRPr="00EF3345">
        <w:rPr>
          <w:rFonts w:ascii="Times New Roman" w:hAnsi="Times New Roman" w:cs="Times New Roman"/>
          <w:sz w:val="24"/>
          <w:szCs w:val="24"/>
        </w:rPr>
        <w:t xml:space="preserve"> or refuse to grant</w:t>
      </w:r>
      <w:r w:rsidRPr="00EF3345">
        <w:rPr>
          <w:rFonts w:ascii="Times New Roman" w:hAnsi="Times New Roman" w:cs="Times New Roman"/>
          <w:sz w:val="24"/>
          <w:szCs w:val="24"/>
        </w:rPr>
        <w:t xml:space="preserve"> their visa</w:t>
      </w:r>
      <w:r w:rsidR="00EF3345" w:rsidRPr="00EF3345">
        <w:rPr>
          <w:rFonts w:ascii="Times New Roman" w:hAnsi="Times New Roman" w:cs="Times New Roman"/>
          <w:sz w:val="24"/>
          <w:szCs w:val="24"/>
        </w:rPr>
        <w:t xml:space="preserve"> application</w:t>
      </w:r>
      <w:r w:rsidRPr="00EF3345">
        <w:rPr>
          <w:rFonts w:ascii="Times New Roman" w:hAnsi="Times New Roman" w:cs="Times New Roman"/>
          <w:sz w:val="24"/>
          <w:szCs w:val="24"/>
        </w:rPr>
        <w:t xml:space="preserve">. </w:t>
      </w:r>
      <w:r w:rsidR="003D2ADE" w:rsidRPr="00EF3345">
        <w:rPr>
          <w:rFonts w:ascii="Times New Roman" w:hAnsi="Times New Roman" w:cs="Times New Roman"/>
          <w:sz w:val="24"/>
          <w:szCs w:val="24"/>
        </w:rPr>
        <w:t>Prior to the</w:t>
      </w:r>
      <w:r w:rsidR="003D2ADE" w:rsidRPr="00EF3345">
        <w:rPr>
          <w:rStyle w:val="legislationtitleitalics"/>
          <w:rFonts w:eastAsia="Times New Roman" w:cs="Times New Roman"/>
          <w:i w:val="0"/>
          <w:iCs w:val="0"/>
          <w:color w:val="000000" w:themeColor="text1"/>
        </w:rPr>
        <w:t xml:space="preserve"> </w:t>
      </w:r>
      <w:r w:rsidR="003D2ADE" w:rsidRPr="00EF3345">
        <w:rPr>
          <w:rFonts w:ascii="Times New Roman" w:hAnsi="Times New Roman" w:cs="Times New Roman"/>
          <w:sz w:val="24"/>
          <w:szCs w:val="24"/>
        </w:rPr>
        <w:t>Amendment</w:t>
      </w:r>
      <w:r w:rsidR="00EF3345" w:rsidRPr="00EF3345">
        <w:rPr>
          <w:rFonts w:ascii="Times New Roman" w:hAnsi="Times New Roman" w:cs="Times New Roman"/>
          <w:sz w:val="24"/>
          <w:szCs w:val="24"/>
        </w:rPr>
        <w:t xml:space="preserve"> Regulations</w:t>
      </w:r>
      <w:r w:rsidR="003D2ADE" w:rsidRPr="00EF3345">
        <w:rPr>
          <w:rFonts w:ascii="Times New Roman" w:hAnsi="Times New Roman" w:cs="Times New Roman"/>
          <w:sz w:val="24"/>
          <w:szCs w:val="24"/>
        </w:rPr>
        <w:t xml:space="preserve">, </w:t>
      </w:r>
      <w:r w:rsidR="003D2ADE" w:rsidRPr="00EF3345">
        <w:rPr>
          <w:rFonts w:ascii="Times New Roman" w:hAnsi="Times New Roman" w:cs="Times New Roman"/>
          <w:sz w:val="24"/>
          <w:szCs w:val="24"/>
        </w:rPr>
        <w:lastRenderedPageBreak/>
        <w:t xml:space="preserve">paragraphs 4005(1)(c) and 4007(1)(c) of Schedule 4 of the Migration Regulations required the visa </w:t>
      </w:r>
      <w:r w:rsidR="003D2ADE" w:rsidRPr="003E468B">
        <w:rPr>
          <w:rFonts w:ascii="Times New Roman" w:hAnsi="Times New Roman" w:cs="Times New Roman"/>
          <w:sz w:val="24"/>
          <w:szCs w:val="24"/>
        </w:rPr>
        <w:t xml:space="preserve">applicant to be </w:t>
      </w:r>
      <w:r w:rsidR="00EF3345" w:rsidRPr="003E468B">
        <w:rPr>
          <w:rFonts w:ascii="Times New Roman" w:hAnsi="Times New Roman" w:cs="Times New Roman"/>
          <w:sz w:val="24"/>
          <w:szCs w:val="24"/>
        </w:rPr>
        <w:t>free from a disease or condition in relation to which the person would be likely to require health care or meet the medical criteria for provision of a community service</w:t>
      </w:r>
      <w:r w:rsidR="00AF0C33">
        <w:rPr>
          <w:rFonts w:ascii="Times New Roman" w:hAnsi="Times New Roman" w:cs="Times New Roman"/>
          <w:sz w:val="24"/>
          <w:szCs w:val="24"/>
        </w:rPr>
        <w:t>s</w:t>
      </w:r>
      <w:r w:rsidR="00EF3345" w:rsidRPr="003E468B">
        <w:rPr>
          <w:rFonts w:ascii="Times New Roman" w:hAnsi="Times New Roman" w:cs="Times New Roman"/>
          <w:sz w:val="24"/>
          <w:szCs w:val="24"/>
        </w:rPr>
        <w:t xml:space="preserve"> that would result in a significant cost to the Australian community or prejudice the access of an Australian citizen or permanent resident to health care or community services. This assessment must be conducted regardless of whether the health care or community services will in fact be used by the </w:t>
      </w:r>
      <w:r w:rsidR="00E4129D">
        <w:rPr>
          <w:rFonts w:ascii="Times New Roman" w:hAnsi="Times New Roman" w:cs="Times New Roman"/>
          <w:sz w:val="24"/>
          <w:szCs w:val="24"/>
        </w:rPr>
        <w:t xml:space="preserve">visa </w:t>
      </w:r>
      <w:r w:rsidR="00EF3345" w:rsidRPr="003E468B">
        <w:rPr>
          <w:rFonts w:ascii="Times New Roman" w:hAnsi="Times New Roman" w:cs="Times New Roman"/>
          <w:sz w:val="24"/>
          <w:szCs w:val="24"/>
        </w:rPr>
        <w:t>applicant.</w:t>
      </w:r>
      <w:r w:rsidR="003E468B" w:rsidRPr="003E468B">
        <w:rPr>
          <w:rFonts w:ascii="Times New Roman" w:hAnsi="Times New Roman" w:cs="Times New Roman"/>
          <w:sz w:val="24"/>
          <w:szCs w:val="24"/>
        </w:rPr>
        <w:t xml:space="preserve"> </w:t>
      </w:r>
    </w:p>
    <w:p w14:paraId="00D48921" w14:textId="40CB9DC1" w:rsidR="00A55B6D" w:rsidRPr="00A55B6D" w:rsidRDefault="003D2ADE" w:rsidP="005D122F">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The Amendment Regulations</w:t>
      </w:r>
      <w:r w:rsidR="003E468B">
        <w:rPr>
          <w:rFonts w:ascii="Times New Roman" w:hAnsi="Times New Roman" w:cs="Times New Roman"/>
          <w:sz w:val="24"/>
          <w:szCs w:val="24"/>
        </w:rPr>
        <w:t xml:space="preserve"> form part of</w:t>
      </w:r>
      <w:r w:rsidR="00A55B6D" w:rsidRPr="00A55B6D">
        <w:rPr>
          <w:rFonts w:ascii="Times New Roman" w:hAnsi="Times New Roman" w:cs="Times New Roman"/>
          <w:sz w:val="24"/>
          <w:szCs w:val="24"/>
        </w:rPr>
        <w:t xml:space="preserve"> the </w:t>
      </w:r>
      <w:r w:rsidR="00AF0C33">
        <w:rPr>
          <w:rFonts w:ascii="Times New Roman" w:hAnsi="Times New Roman" w:cs="Times New Roman"/>
          <w:sz w:val="24"/>
          <w:szCs w:val="24"/>
        </w:rPr>
        <w:t xml:space="preserve">Australian </w:t>
      </w:r>
      <w:r w:rsidR="00A55B6D" w:rsidRPr="00A55B6D">
        <w:rPr>
          <w:rFonts w:ascii="Times New Roman" w:hAnsi="Times New Roman" w:cs="Times New Roman"/>
          <w:sz w:val="24"/>
          <w:szCs w:val="24"/>
        </w:rPr>
        <w:t xml:space="preserve">Government’s response to the </w:t>
      </w:r>
      <w:r w:rsidR="003E468B">
        <w:rPr>
          <w:rFonts w:ascii="Times New Roman" w:hAnsi="Times New Roman" w:cs="Times New Roman"/>
          <w:sz w:val="24"/>
          <w:szCs w:val="24"/>
        </w:rPr>
        <w:t xml:space="preserve">final report of the </w:t>
      </w:r>
      <w:r w:rsidR="00A55B6D" w:rsidRPr="00A55B6D">
        <w:rPr>
          <w:rFonts w:ascii="Times New Roman" w:hAnsi="Times New Roman" w:cs="Times New Roman"/>
          <w:color w:val="000000" w:themeColor="text1"/>
          <w:sz w:val="24"/>
          <w:szCs w:val="24"/>
        </w:rPr>
        <w:t xml:space="preserve">Royal Commission into Violence, Abuse, Neglect and </w:t>
      </w:r>
      <w:r w:rsidR="00A55B6D" w:rsidRPr="00A55B6D">
        <w:rPr>
          <w:rFonts w:ascii="Times New Roman" w:hAnsi="Times New Roman" w:cs="Times New Roman"/>
          <w:color w:val="000000" w:themeColor="text1"/>
          <w:spacing w:val="1"/>
          <w:sz w:val="24"/>
          <w:szCs w:val="24"/>
        </w:rPr>
        <w:t xml:space="preserve">Exploitation of People with a Disability (Disability Royal Commission Report). The Disability Royal Commission Report was published in </w:t>
      </w:r>
      <w:r w:rsidR="00A55B6D" w:rsidRPr="00A55B6D">
        <w:rPr>
          <w:rFonts w:ascii="Times New Roman" w:hAnsi="Times New Roman" w:cs="Times New Roman"/>
          <w:color w:val="000000" w:themeColor="text1"/>
          <w:sz w:val="24"/>
          <w:szCs w:val="24"/>
        </w:rPr>
        <w:t>September 2023</w:t>
      </w:r>
      <w:r w:rsidR="00A55B6D" w:rsidRPr="00A55B6D">
        <w:rPr>
          <w:rFonts w:ascii="Times New Roman" w:hAnsi="Times New Roman" w:cs="Times New Roman"/>
          <w:sz w:val="24"/>
          <w:szCs w:val="24"/>
        </w:rPr>
        <w:t xml:space="preserve">, </w:t>
      </w:r>
      <w:r w:rsidR="003E468B">
        <w:rPr>
          <w:rFonts w:ascii="Times New Roman" w:hAnsi="Times New Roman" w:cs="Times New Roman"/>
          <w:sz w:val="24"/>
          <w:szCs w:val="24"/>
        </w:rPr>
        <w:t>and</w:t>
      </w:r>
      <w:r w:rsidR="00A55B6D" w:rsidRPr="00A55B6D">
        <w:rPr>
          <w:rFonts w:ascii="Times New Roman" w:hAnsi="Times New Roman" w:cs="Times New Roman"/>
          <w:sz w:val="24"/>
          <w:szCs w:val="24"/>
        </w:rPr>
        <w:t xml:space="preserve"> recommended </w:t>
      </w:r>
      <w:r>
        <w:rPr>
          <w:rFonts w:ascii="Times New Roman" w:hAnsi="Times New Roman" w:cs="Times New Roman"/>
          <w:sz w:val="24"/>
          <w:szCs w:val="24"/>
        </w:rPr>
        <w:t xml:space="preserve">the </w:t>
      </w:r>
      <w:r w:rsidR="00AF0C33">
        <w:rPr>
          <w:rFonts w:ascii="Times New Roman" w:hAnsi="Times New Roman" w:cs="Times New Roman"/>
          <w:sz w:val="24"/>
          <w:szCs w:val="24"/>
        </w:rPr>
        <w:t>Australian Government to</w:t>
      </w:r>
      <w:r>
        <w:rPr>
          <w:rFonts w:ascii="Times New Roman" w:hAnsi="Times New Roman" w:cs="Times New Roman"/>
          <w:sz w:val="24"/>
          <w:szCs w:val="24"/>
        </w:rPr>
        <w:t xml:space="preserve"> </w:t>
      </w:r>
      <w:r w:rsidR="00A55B6D" w:rsidRPr="00A55B6D">
        <w:rPr>
          <w:rFonts w:ascii="Times New Roman" w:hAnsi="Times New Roman" w:cs="Times New Roman"/>
          <w:sz w:val="24"/>
          <w:szCs w:val="24"/>
        </w:rPr>
        <w:t xml:space="preserve">review the existing migration practice and to eliminate or minimise disadvantages against people </w:t>
      </w:r>
      <w:r w:rsidR="003E468B">
        <w:rPr>
          <w:rFonts w:ascii="Times New Roman" w:hAnsi="Times New Roman" w:cs="Times New Roman"/>
          <w:sz w:val="24"/>
          <w:szCs w:val="24"/>
        </w:rPr>
        <w:t xml:space="preserve">with disability </w:t>
      </w:r>
      <w:r w:rsidR="00A55B6D" w:rsidRPr="00A55B6D">
        <w:rPr>
          <w:rFonts w:ascii="Times New Roman" w:hAnsi="Times New Roman" w:cs="Times New Roman"/>
          <w:sz w:val="24"/>
          <w:szCs w:val="24"/>
        </w:rPr>
        <w:t xml:space="preserve">seeking to settle in Australia. In April 2024, the Department </w:t>
      </w:r>
      <w:r>
        <w:rPr>
          <w:rFonts w:ascii="Times New Roman" w:hAnsi="Times New Roman" w:cs="Times New Roman"/>
          <w:sz w:val="24"/>
          <w:szCs w:val="24"/>
        </w:rPr>
        <w:t>of Home Affairs</w:t>
      </w:r>
      <w:r w:rsidR="00444923">
        <w:rPr>
          <w:rFonts w:ascii="Times New Roman" w:hAnsi="Times New Roman" w:cs="Times New Roman"/>
          <w:sz w:val="24"/>
          <w:szCs w:val="24"/>
        </w:rPr>
        <w:t xml:space="preserve"> released</w:t>
      </w:r>
      <w:r w:rsidR="00AF0C33" w:rsidRPr="00AF0C33">
        <w:rPr>
          <w:rFonts w:ascii="Times New Roman" w:hAnsi="Times New Roman" w:cs="Times New Roman"/>
          <w:sz w:val="24"/>
          <w:szCs w:val="24"/>
        </w:rPr>
        <w:t xml:space="preserve"> the ‘</w:t>
      </w:r>
      <w:r w:rsidR="00AF0C33" w:rsidRPr="005920B8">
        <w:rPr>
          <w:rFonts w:ascii="Times New Roman" w:hAnsi="Times New Roman" w:cs="Times New Roman"/>
          <w:i/>
          <w:sz w:val="24"/>
          <w:szCs w:val="24"/>
        </w:rPr>
        <w:t>Report into its Review of the Migration Health Requirement and Australia’s visa Significant Cost Threshold</w:t>
      </w:r>
      <w:r w:rsidR="00AF0C33" w:rsidRPr="00AF0C33">
        <w:rPr>
          <w:rFonts w:ascii="Times New Roman" w:hAnsi="Times New Roman" w:cs="Times New Roman"/>
          <w:sz w:val="24"/>
          <w:szCs w:val="24"/>
        </w:rPr>
        <w:t xml:space="preserve">’, which </w:t>
      </w:r>
      <w:r w:rsidR="004A3EF9">
        <w:rPr>
          <w:rFonts w:ascii="Times New Roman" w:hAnsi="Times New Roman" w:cs="Times New Roman"/>
          <w:sz w:val="24"/>
          <w:szCs w:val="24"/>
        </w:rPr>
        <w:t xml:space="preserve">proposed </w:t>
      </w:r>
      <w:r w:rsidR="004A3EF9" w:rsidRPr="00AF0C33">
        <w:rPr>
          <w:rFonts w:ascii="Times New Roman" w:hAnsi="Times New Roman" w:cs="Times New Roman"/>
          <w:sz w:val="24"/>
          <w:szCs w:val="24"/>
        </w:rPr>
        <w:t>that</w:t>
      </w:r>
      <w:r w:rsidR="00AF0C33" w:rsidRPr="00AF0C33">
        <w:rPr>
          <w:rFonts w:ascii="Times New Roman" w:hAnsi="Times New Roman" w:cs="Times New Roman"/>
          <w:sz w:val="24"/>
          <w:szCs w:val="24"/>
        </w:rPr>
        <w:t xml:space="preserve"> child visa applicants born and living in Australia with a health condition or disability </w:t>
      </w:r>
      <w:r w:rsidR="00745846">
        <w:rPr>
          <w:rFonts w:ascii="Times New Roman" w:hAnsi="Times New Roman" w:cs="Times New Roman"/>
          <w:sz w:val="24"/>
          <w:szCs w:val="24"/>
        </w:rPr>
        <w:t>sh</w:t>
      </w:r>
      <w:r w:rsidR="00AF0C33" w:rsidRPr="00AF0C33">
        <w:rPr>
          <w:rFonts w:ascii="Times New Roman" w:hAnsi="Times New Roman" w:cs="Times New Roman"/>
          <w:sz w:val="24"/>
          <w:szCs w:val="24"/>
        </w:rPr>
        <w:t>ould be given special consideration within the migration health requirement due to their inherent connection to Australia since birth. Later</w:t>
      </w:r>
      <w:r w:rsidR="00AF0C33">
        <w:rPr>
          <w:rFonts w:ascii="Times New Roman" w:hAnsi="Times New Roman" w:cs="Times New Roman"/>
          <w:sz w:val="28"/>
          <w:szCs w:val="24"/>
        </w:rPr>
        <w:t xml:space="preserve"> </w:t>
      </w:r>
      <w:r w:rsidR="00A05A7C" w:rsidRPr="00A05A7C">
        <w:rPr>
          <w:rFonts w:ascii="Times New Roman" w:hAnsi="Times New Roman" w:cs="Times New Roman"/>
          <w:sz w:val="24"/>
          <w:szCs w:val="24"/>
        </w:rPr>
        <w:t>in July 2024, the Australian Government released its final response</w:t>
      </w:r>
      <w:r w:rsidR="003E468B">
        <w:rPr>
          <w:rFonts w:ascii="Times New Roman" w:hAnsi="Times New Roman" w:cs="Times New Roman"/>
          <w:sz w:val="24"/>
          <w:szCs w:val="24"/>
        </w:rPr>
        <w:t xml:space="preserve"> to the </w:t>
      </w:r>
      <w:r w:rsidR="003E468B" w:rsidRPr="00A55B6D">
        <w:rPr>
          <w:rFonts w:ascii="Times New Roman" w:hAnsi="Times New Roman" w:cs="Times New Roman"/>
          <w:color w:val="000000" w:themeColor="text1"/>
          <w:spacing w:val="1"/>
          <w:sz w:val="24"/>
          <w:szCs w:val="24"/>
        </w:rPr>
        <w:t>Disability Royal Commission Report</w:t>
      </w:r>
      <w:r w:rsidR="00A05A7C" w:rsidRPr="00A05A7C">
        <w:rPr>
          <w:rFonts w:ascii="Times New Roman" w:hAnsi="Times New Roman" w:cs="Times New Roman"/>
          <w:sz w:val="24"/>
          <w:szCs w:val="24"/>
        </w:rPr>
        <w:t>,</w:t>
      </w:r>
      <w:r w:rsidR="00A05A7C">
        <w:rPr>
          <w:rFonts w:ascii="Times New Roman" w:hAnsi="Times New Roman" w:cs="Times New Roman"/>
          <w:sz w:val="24"/>
          <w:szCs w:val="24"/>
        </w:rPr>
        <w:t xml:space="preserve"> </w:t>
      </w:r>
      <w:r w:rsidR="00A55B6D" w:rsidRPr="00A55B6D">
        <w:rPr>
          <w:rFonts w:ascii="Times New Roman" w:hAnsi="Times New Roman" w:cs="Times New Roman"/>
          <w:sz w:val="24"/>
          <w:szCs w:val="24"/>
        </w:rPr>
        <w:t>proposing to amend the Migration Regulations to enable special consideration for child visa applicants born and living in Australia with a health condition or disability.</w:t>
      </w:r>
    </w:p>
    <w:p w14:paraId="24828D8A" w14:textId="3CF507B3" w:rsidR="008669DB" w:rsidRDefault="00484617" w:rsidP="005D122F">
      <w:pPr>
        <w:pStyle w:val="ESoutlinetext"/>
        <w:spacing w:before="240" w:line="240" w:lineRule="auto"/>
        <w:jc w:val="both"/>
      </w:pPr>
      <w:r>
        <w:t>T</w:t>
      </w:r>
      <w:r w:rsidR="00A55B6D">
        <w:t xml:space="preserve">he </w:t>
      </w:r>
      <w:r w:rsidR="00AD26B7">
        <w:t>Amendment</w:t>
      </w:r>
      <w:r w:rsidR="002034C2">
        <w:t xml:space="preserve"> Regulations </w:t>
      </w:r>
      <w:r>
        <w:t xml:space="preserve">implement </w:t>
      </w:r>
      <w:r w:rsidR="002034C2">
        <w:t xml:space="preserve">the </w:t>
      </w:r>
      <w:r w:rsidR="00AF0C33">
        <w:t xml:space="preserve">Australian </w:t>
      </w:r>
      <w:r w:rsidR="002034C2">
        <w:t>Government’s</w:t>
      </w:r>
      <w:r w:rsidR="00A55B6D">
        <w:t xml:space="preserve"> commitment </w:t>
      </w:r>
      <w:r w:rsidR="00AD26B7">
        <w:t>made in</w:t>
      </w:r>
      <w:r w:rsidR="00A55B6D">
        <w:t xml:space="preserve"> </w:t>
      </w:r>
      <w:r w:rsidR="001442CA">
        <w:t xml:space="preserve">the </w:t>
      </w:r>
      <w:r w:rsidR="003D2ADE">
        <w:t xml:space="preserve">final </w:t>
      </w:r>
      <w:r w:rsidR="003E468B">
        <w:t>response</w:t>
      </w:r>
      <w:r w:rsidR="003D2ADE">
        <w:t xml:space="preserve"> </w:t>
      </w:r>
      <w:r>
        <w:t xml:space="preserve">to the Royal Commission’s report </w:t>
      </w:r>
      <w:r w:rsidR="002034C2">
        <w:t xml:space="preserve">by ultimately allowing </w:t>
      </w:r>
      <w:r w:rsidR="003D2ADE">
        <w:t>a minor</w:t>
      </w:r>
      <w:r w:rsidR="008669DB">
        <w:t xml:space="preserve"> </w:t>
      </w:r>
      <w:r w:rsidR="00FB7BE1">
        <w:t xml:space="preserve">visa applicant </w:t>
      </w:r>
      <w:r w:rsidR="003D2ADE">
        <w:t xml:space="preserve">born and </w:t>
      </w:r>
      <w:r w:rsidR="00230437">
        <w:t xml:space="preserve">who </w:t>
      </w:r>
      <w:r w:rsidR="003D2ADE">
        <w:t xml:space="preserve">ordinarily resides in Australia with a health condition and/or a disability </w:t>
      </w:r>
      <w:r w:rsidR="002034C2">
        <w:t xml:space="preserve">to </w:t>
      </w:r>
      <w:r w:rsidR="008669DB">
        <w:t xml:space="preserve">no longer </w:t>
      </w:r>
      <w:r w:rsidR="002034C2">
        <w:t xml:space="preserve">be </w:t>
      </w:r>
      <w:r w:rsidR="008669DB">
        <w:t xml:space="preserve">disadvantaged </w:t>
      </w:r>
      <w:r w:rsidR="00AD26B7">
        <w:t xml:space="preserve">as part of their visa </w:t>
      </w:r>
      <w:r w:rsidR="004A4D8F">
        <w:t>grant</w:t>
      </w:r>
      <w:r w:rsidR="00AD26B7">
        <w:t xml:space="preserve"> process </w:t>
      </w:r>
      <w:r w:rsidR="008669DB">
        <w:t xml:space="preserve">solely due to </w:t>
      </w:r>
      <w:r w:rsidR="00AD26B7">
        <w:t>that</w:t>
      </w:r>
      <w:r w:rsidR="003D2ADE">
        <w:t xml:space="preserve"> health condition </w:t>
      </w:r>
      <w:r w:rsidR="008669DB">
        <w:t xml:space="preserve">or disability, and ensure fair and equal opportunity for </w:t>
      </w:r>
      <w:r w:rsidR="00A55B6D">
        <w:t>settlement in Australia</w:t>
      </w:r>
      <w:r w:rsidR="008669DB">
        <w:t xml:space="preserve">. </w:t>
      </w:r>
      <w:r w:rsidR="00BA6EBD">
        <w:t xml:space="preserve">The Amendment Regulations do not affect requirements all other minors with a disability or health condition must meet. </w:t>
      </w:r>
    </w:p>
    <w:p w14:paraId="135B7724" w14:textId="77217C87" w:rsidR="008669DB" w:rsidRDefault="003E468B" w:rsidP="005D122F">
      <w:pPr>
        <w:pStyle w:val="ESoutlinetext"/>
        <w:spacing w:before="240" w:line="240" w:lineRule="auto"/>
        <w:jc w:val="both"/>
      </w:pPr>
      <w:r>
        <w:t xml:space="preserve">The Amendment Regulations also benefit visa applicants who are the parents or carers of a minor </w:t>
      </w:r>
      <w:r w:rsidR="00FB7BE1">
        <w:t xml:space="preserve">visa applicant </w:t>
      </w:r>
      <w:r w:rsidR="007F5C17">
        <w:t>born and</w:t>
      </w:r>
      <w:r w:rsidR="000707C8">
        <w:t xml:space="preserve"> ordinarily resident</w:t>
      </w:r>
      <w:r w:rsidR="007F5C17">
        <w:t xml:space="preserve"> in Australia </w:t>
      </w:r>
      <w:r>
        <w:t xml:space="preserve">with a disability or a health condition, who would otherwise not satisfy the criteria for their visa only as a result of their child having that disability or health condition and not meeting paragraphs 4005(1)(c) or 4007(1)(c). </w:t>
      </w:r>
      <w:r w:rsidR="003D2ADE">
        <w:t>Importantly, t</w:t>
      </w:r>
      <w:r w:rsidR="008669DB">
        <w:t xml:space="preserve">he </w:t>
      </w:r>
      <w:r w:rsidR="00AD26B7">
        <w:t xml:space="preserve">Amendment </w:t>
      </w:r>
      <w:r w:rsidR="008669DB">
        <w:t xml:space="preserve">Regulations do not provide an exemption to the whole of </w:t>
      </w:r>
      <w:r w:rsidR="009F78FC">
        <w:t>clauses</w:t>
      </w:r>
      <w:r w:rsidR="008669DB">
        <w:t xml:space="preserve"> 4005 and 4007 of Schedule 4 </w:t>
      </w:r>
      <w:r>
        <w:t>to</w:t>
      </w:r>
      <w:r w:rsidR="008669DB">
        <w:t xml:space="preserve"> the Migration Regulations</w:t>
      </w:r>
      <w:r>
        <w:t xml:space="preserve"> or</w:t>
      </w:r>
      <w:r w:rsidR="00634753">
        <w:t xml:space="preserve"> to</w:t>
      </w:r>
      <w:r>
        <w:t xml:space="preserve"> other </w:t>
      </w:r>
      <w:r w:rsidR="00634753">
        <w:t>visa criteria</w:t>
      </w:r>
      <w:r w:rsidR="008669DB">
        <w:t xml:space="preserve">. </w:t>
      </w:r>
    </w:p>
    <w:p w14:paraId="05467AF4" w14:textId="7AEA902C" w:rsidR="00204D37" w:rsidRDefault="00204D37" w:rsidP="005D122F">
      <w:pPr>
        <w:pStyle w:val="ESoutlinetext"/>
        <w:spacing w:before="240" w:line="240" w:lineRule="auto"/>
        <w:jc w:val="both"/>
        <w:rPr>
          <w:color w:val="000000" w:themeColor="text1"/>
        </w:rPr>
      </w:pPr>
      <w:r>
        <w:rPr>
          <w:rStyle w:val="legislationtitleitalics"/>
          <w:rFonts w:eastAsia="Times New Roman" w:cs="Times New Roman"/>
          <w:i w:val="0"/>
          <w:iCs w:val="0"/>
          <w:color w:val="000000" w:themeColor="text1"/>
        </w:rPr>
        <w:t>The matters dealt with</w:t>
      </w:r>
      <w:r w:rsidR="0037085B">
        <w:rPr>
          <w:rStyle w:val="legislationtitleitalics"/>
          <w:rFonts w:eastAsia="Times New Roman" w:cs="Times New Roman"/>
          <w:i w:val="0"/>
          <w:iCs w:val="0"/>
          <w:color w:val="000000" w:themeColor="text1"/>
        </w:rPr>
        <w:t xml:space="preserve"> </w:t>
      </w:r>
      <w:r w:rsidR="00400F6A">
        <w:rPr>
          <w:rStyle w:val="legislationtitleitalics"/>
          <w:rFonts w:eastAsia="Times New Roman" w:cs="Times New Roman"/>
          <w:i w:val="0"/>
          <w:iCs w:val="0"/>
          <w:color w:val="000000" w:themeColor="text1"/>
        </w:rPr>
        <w:t xml:space="preserve">in the </w:t>
      </w:r>
      <w:r w:rsidR="00AD26B7">
        <w:rPr>
          <w:rStyle w:val="legislationtitleitalics"/>
          <w:rFonts w:eastAsia="Times New Roman" w:cs="Times New Roman"/>
          <w:i w:val="0"/>
          <w:iCs w:val="0"/>
          <w:color w:val="000000" w:themeColor="text1"/>
        </w:rPr>
        <w:t>Amendment</w:t>
      </w:r>
      <w:r>
        <w:rPr>
          <w:rStyle w:val="legislationtitleitalics"/>
          <w:rFonts w:eastAsia="Times New Roman" w:cs="Times New Roman"/>
          <w:i w:val="0"/>
          <w:iCs w:val="0"/>
          <w:color w:val="000000" w:themeColor="text1"/>
        </w:rPr>
        <w:t xml:space="preserve"> Regulations are appropriate for implementation in regulations rather than by </w:t>
      </w:r>
      <w:r w:rsidR="0037085B">
        <w:rPr>
          <w:rStyle w:val="legislationtitleitalics"/>
          <w:rFonts w:eastAsia="Times New Roman" w:cs="Times New Roman"/>
          <w:i w:val="0"/>
          <w:iCs w:val="0"/>
          <w:color w:val="000000" w:themeColor="text1"/>
        </w:rPr>
        <w:t>p</w:t>
      </w:r>
      <w:r>
        <w:rPr>
          <w:rStyle w:val="legislationtitleitalics"/>
          <w:rFonts w:eastAsia="Times New Roman" w:cs="Times New Roman"/>
          <w:i w:val="0"/>
          <w:iCs w:val="0"/>
          <w:color w:val="000000" w:themeColor="text1"/>
        </w:rPr>
        <w:t>arliamentary enactment</w:t>
      </w:r>
      <w:r w:rsidR="00DE4EAA">
        <w:rPr>
          <w:rStyle w:val="legislationtitleitalics"/>
          <w:rFonts w:eastAsia="Times New Roman" w:cs="Times New Roman"/>
          <w:i w:val="0"/>
          <w:iCs w:val="0"/>
          <w:color w:val="000000" w:themeColor="text1"/>
        </w:rPr>
        <w:t xml:space="preserve">. </w:t>
      </w:r>
      <w:r>
        <w:rPr>
          <w:rStyle w:val="legislationtitleitalics"/>
          <w:rFonts w:eastAsia="Times New Roman" w:cs="Times New Roman"/>
          <w:i w:val="0"/>
          <w:iCs w:val="0"/>
          <w:color w:val="000000" w:themeColor="text1"/>
        </w:rPr>
        <w:t>It has been the consistent practice of the Government of the day to provide for detailed</w:t>
      </w:r>
      <w:r w:rsidR="00AD26B7">
        <w:rPr>
          <w:rStyle w:val="legislationtitleitalics"/>
          <w:rFonts w:eastAsia="Times New Roman" w:cs="Times New Roman"/>
          <w:i w:val="0"/>
          <w:iCs w:val="0"/>
          <w:color w:val="000000" w:themeColor="text1"/>
        </w:rPr>
        <w:t xml:space="preserve"> valid application</w:t>
      </w:r>
      <w:r>
        <w:rPr>
          <w:rStyle w:val="legislationtitleitalics"/>
          <w:rFonts w:eastAsia="Times New Roman" w:cs="Times New Roman"/>
          <w:i w:val="0"/>
          <w:iCs w:val="0"/>
          <w:color w:val="000000" w:themeColor="text1"/>
        </w:rPr>
        <w:t xml:space="preserve"> requirements in the Migration Regulations rather than in the Migration Act itself, with the Migration Act also providing such authority </w:t>
      </w:r>
      <w:r>
        <w:rPr>
          <w:color w:val="000000" w:themeColor="text1"/>
        </w:rPr>
        <w:t xml:space="preserve">in the provisions listed in </w:t>
      </w:r>
      <w:r>
        <w:rPr>
          <w:color w:val="000000" w:themeColor="text1"/>
          <w:u w:val="single"/>
        </w:rPr>
        <w:t>Attachment A</w:t>
      </w:r>
      <w:r>
        <w:rPr>
          <w:color w:val="000000" w:themeColor="text1"/>
        </w:rPr>
        <w:t xml:space="preserve">. </w:t>
      </w:r>
    </w:p>
    <w:p w14:paraId="386ED3A1" w14:textId="0A9F1F6D" w:rsidR="00204D37" w:rsidRDefault="00204D37" w:rsidP="005D122F">
      <w:pPr>
        <w:pStyle w:val="ESoutlinetext"/>
        <w:spacing w:before="240" w:line="240" w:lineRule="auto"/>
        <w:jc w:val="both"/>
        <w:rPr>
          <w:color w:val="000000" w:themeColor="text1"/>
        </w:rPr>
      </w:pPr>
      <w:r>
        <w:rPr>
          <w:color w:val="000000" w:themeColor="text1"/>
        </w:rPr>
        <w:t>The current Migration Regulation</w:t>
      </w:r>
      <w:r w:rsidR="00CF5CDB">
        <w:rPr>
          <w:color w:val="000000" w:themeColor="text1"/>
        </w:rPr>
        <w:t>s have been in place since 1994, when they replaced regulations made in 1989 and 1993</w:t>
      </w:r>
      <w:r w:rsidR="00DE4EAA">
        <w:rPr>
          <w:color w:val="000000" w:themeColor="text1"/>
        </w:rPr>
        <w:t xml:space="preserve">. </w:t>
      </w:r>
      <w:r w:rsidR="00CF5CDB">
        <w:rPr>
          <w:color w:val="000000" w:themeColor="text1"/>
        </w:rPr>
        <w:t xml:space="preserve">Providing for these details to be in delegated legislation rather than primary legislation gives the </w:t>
      </w:r>
      <w:r w:rsidR="00F06470">
        <w:rPr>
          <w:color w:val="000000" w:themeColor="text1"/>
        </w:rPr>
        <w:t xml:space="preserve">Government the ability to effectively manage the operation of </w:t>
      </w:r>
      <w:r w:rsidR="00800BBB">
        <w:rPr>
          <w:color w:val="000000" w:themeColor="text1"/>
        </w:rPr>
        <w:t>a citizen or a non-citizen’s</w:t>
      </w:r>
      <w:r w:rsidR="00F06470">
        <w:rPr>
          <w:color w:val="000000" w:themeColor="text1"/>
        </w:rPr>
        <w:t xml:space="preserve"> entry into Australia and respond quickly to emerging needs. </w:t>
      </w:r>
    </w:p>
    <w:p w14:paraId="29A43C4E" w14:textId="19D0F069" w:rsidR="00F06470" w:rsidRPr="00F06470" w:rsidRDefault="00F06470" w:rsidP="005D122F">
      <w:pPr>
        <w:pStyle w:val="ESoutlinetext"/>
        <w:spacing w:before="240" w:line="240" w:lineRule="auto"/>
        <w:jc w:val="both"/>
        <w:rPr>
          <w:color w:val="000000" w:themeColor="text1"/>
          <w:u w:val="single"/>
        </w:rPr>
      </w:pPr>
      <w:r w:rsidRPr="00813B74">
        <w:rPr>
          <w:color w:val="000000" w:themeColor="text1"/>
        </w:rPr>
        <w:t xml:space="preserve">A Statement of Compatibility with Human Rights has been completed in accordance with the </w:t>
      </w:r>
      <w:r w:rsidRPr="00813B74">
        <w:rPr>
          <w:i/>
          <w:color w:val="000000" w:themeColor="text1"/>
        </w:rPr>
        <w:t xml:space="preserve">Human Rights (Parliamentary Scrutiny) Act 2011. </w:t>
      </w:r>
      <w:r w:rsidRPr="00CC6361">
        <w:rPr>
          <w:color w:val="000000" w:themeColor="text1"/>
        </w:rPr>
        <w:t xml:space="preserve">The overall assessment is that the </w:t>
      </w:r>
      <w:r w:rsidR="00813B74" w:rsidRPr="00CC6361">
        <w:rPr>
          <w:color w:val="000000" w:themeColor="text1"/>
        </w:rPr>
        <w:t xml:space="preserve">amending </w:t>
      </w:r>
      <w:r w:rsidRPr="00CC6361">
        <w:rPr>
          <w:color w:val="000000" w:themeColor="text1"/>
        </w:rPr>
        <w:t xml:space="preserve">Regulations are compatible with human rights, with a copy of the Statement being available at </w:t>
      </w:r>
      <w:r w:rsidRPr="00F704A9">
        <w:rPr>
          <w:color w:val="000000" w:themeColor="text1"/>
          <w:u w:val="single"/>
        </w:rPr>
        <w:t xml:space="preserve">Attachment B. </w:t>
      </w:r>
    </w:p>
    <w:p w14:paraId="7643A50B" w14:textId="2CFEFD7C" w:rsidR="00400F6A" w:rsidRDefault="00F06470" w:rsidP="005D122F">
      <w:pPr>
        <w:pStyle w:val="ESoutlinetext"/>
        <w:spacing w:before="240" w:line="240" w:lineRule="auto"/>
        <w:jc w:val="both"/>
        <w:rPr>
          <w:rStyle w:val="legislationtitleitalics"/>
          <w:rFonts w:eastAsia="Times New Roman" w:cs="Times New Roman"/>
          <w:i w:val="0"/>
          <w:iCs w:val="0"/>
          <w:color w:val="000000" w:themeColor="text1"/>
        </w:rPr>
      </w:pPr>
      <w:r w:rsidRPr="009862BA">
        <w:rPr>
          <w:rStyle w:val="legislationtitleitalics"/>
          <w:rFonts w:eastAsia="Times New Roman" w:cs="Times New Roman"/>
          <w:i w:val="0"/>
          <w:iCs w:val="0"/>
          <w:color w:val="000000" w:themeColor="text1"/>
        </w:rPr>
        <w:t>The</w:t>
      </w:r>
      <w:r w:rsidR="009862BA">
        <w:rPr>
          <w:rStyle w:val="legislationtitleitalics"/>
          <w:rFonts w:eastAsia="Times New Roman" w:cs="Times New Roman"/>
          <w:i w:val="0"/>
          <w:iCs w:val="0"/>
          <w:color w:val="000000" w:themeColor="text1"/>
        </w:rPr>
        <w:t xml:space="preserve"> Office of Impact Analysis (OIA) has been consulted in relation to the amendments, </w:t>
      </w:r>
      <w:r w:rsidR="000B5E98">
        <w:rPr>
          <w:rStyle w:val="legislationtitleitalics"/>
          <w:rFonts w:eastAsia="Times New Roman" w:cs="Times New Roman"/>
          <w:i w:val="0"/>
          <w:iCs w:val="0"/>
          <w:color w:val="000000" w:themeColor="text1"/>
        </w:rPr>
        <w:t>advising</w:t>
      </w:r>
      <w:r w:rsidR="00272370">
        <w:rPr>
          <w:rStyle w:val="legislationtitleitalics"/>
          <w:rFonts w:eastAsia="Times New Roman" w:cs="Times New Roman"/>
          <w:i w:val="0"/>
          <w:iCs w:val="0"/>
          <w:color w:val="000000" w:themeColor="text1"/>
        </w:rPr>
        <w:t xml:space="preserve"> that n</w:t>
      </w:r>
      <w:r w:rsidR="009862BA">
        <w:rPr>
          <w:rStyle w:val="legislationtitleitalics"/>
          <w:rFonts w:eastAsia="Times New Roman" w:cs="Times New Roman"/>
          <w:i w:val="0"/>
          <w:iCs w:val="0"/>
          <w:color w:val="000000" w:themeColor="text1"/>
        </w:rPr>
        <w:t>o Impact Analysis is required</w:t>
      </w:r>
      <w:r w:rsidR="00DE4EAA">
        <w:rPr>
          <w:rStyle w:val="legislationtitleitalics"/>
          <w:rFonts w:eastAsia="Times New Roman" w:cs="Times New Roman"/>
          <w:i w:val="0"/>
          <w:iCs w:val="0"/>
          <w:color w:val="000000" w:themeColor="text1"/>
        </w:rPr>
        <w:t xml:space="preserve">. </w:t>
      </w:r>
      <w:r w:rsidR="009862BA">
        <w:rPr>
          <w:rStyle w:val="legislationtitleitalics"/>
          <w:rFonts w:eastAsia="Times New Roman" w:cs="Times New Roman"/>
          <w:i w:val="0"/>
          <w:iCs w:val="0"/>
          <w:color w:val="000000" w:themeColor="text1"/>
        </w:rPr>
        <w:t>OIA consultation reference number is</w:t>
      </w:r>
      <w:r w:rsidR="009862BA" w:rsidRPr="008669DB">
        <w:rPr>
          <w:rStyle w:val="legislationtitleitalics"/>
          <w:rFonts w:eastAsia="Times New Roman" w:cs="Times New Roman"/>
          <w:i w:val="0"/>
          <w:iCs w:val="0"/>
          <w:color w:val="FF0000"/>
        </w:rPr>
        <w:t xml:space="preserve"> </w:t>
      </w:r>
      <w:r w:rsidR="008669DB" w:rsidRPr="001E07D2">
        <w:rPr>
          <w:rStyle w:val="legislationtitleitalics"/>
          <w:rFonts w:eastAsia="Times New Roman" w:cs="Times New Roman"/>
          <w:i w:val="0"/>
          <w:iCs w:val="0"/>
        </w:rPr>
        <w:t>OIA24-</w:t>
      </w:r>
      <w:r w:rsidR="001E07D2" w:rsidRPr="001E07D2">
        <w:rPr>
          <w:rStyle w:val="legislationtitleitalics"/>
          <w:rFonts w:eastAsia="Times New Roman" w:cs="Times New Roman"/>
          <w:i w:val="0"/>
          <w:iCs w:val="0"/>
        </w:rPr>
        <w:t>06510</w:t>
      </w:r>
      <w:r w:rsidR="00C74BF5" w:rsidRPr="001E07D2">
        <w:rPr>
          <w:rStyle w:val="legislationtitleitalics"/>
          <w:rFonts w:eastAsia="Times New Roman" w:cs="Times New Roman"/>
          <w:i w:val="0"/>
          <w:iCs w:val="0"/>
        </w:rPr>
        <w:t>.</w:t>
      </w:r>
    </w:p>
    <w:p w14:paraId="4BF0CCCC" w14:textId="5EB45C05" w:rsidR="00C74BF5" w:rsidRDefault="00C74BF5" w:rsidP="005D122F">
      <w:pPr>
        <w:pStyle w:val="ESoutlinetext"/>
        <w:spacing w:before="240" w:line="240" w:lineRule="auto"/>
        <w:jc w:val="both"/>
      </w:pPr>
      <w:r>
        <w:rPr>
          <w:rStyle w:val="legislationtitleitalics"/>
          <w:rFonts w:eastAsia="Times New Roman" w:cs="Times New Roman"/>
          <w:i w:val="0"/>
          <w:iCs w:val="0"/>
          <w:color w:val="000000" w:themeColor="text1"/>
        </w:rPr>
        <w:lastRenderedPageBreak/>
        <w:t xml:space="preserve">Section 17 of the </w:t>
      </w:r>
      <w:r w:rsidR="00343BB0">
        <w:rPr>
          <w:rStyle w:val="legislationtitleitalics"/>
          <w:rFonts w:eastAsia="Times New Roman" w:cs="Times New Roman"/>
          <w:iCs w:val="0"/>
          <w:color w:val="000000" w:themeColor="text1"/>
        </w:rPr>
        <w:t xml:space="preserve">Legislation Act 2003 </w:t>
      </w:r>
      <w:r w:rsidR="00343BB0">
        <w:rPr>
          <w:rStyle w:val="legislationtitleitalics"/>
          <w:rFonts w:eastAsia="Times New Roman" w:cs="Times New Roman"/>
          <w:i w:val="0"/>
          <w:iCs w:val="0"/>
          <w:color w:val="000000" w:themeColor="text1"/>
        </w:rPr>
        <w:t xml:space="preserve">(the </w:t>
      </w:r>
      <w:r w:rsidR="00343BB0" w:rsidRPr="00DA3389">
        <w:rPr>
          <w:rStyle w:val="legislationtitleitalics"/>
          <w:rFonts w:eastAsia="Times New Roman" w:cs="Times New Roman"/>
          <w:i w:val="0"/>
          <w:iCs w:val="0"/>
          <w:color w:val="000000" w:themeColor="text1"/>
        </w:rPr>
        <w:t>Legislation Act</w:t>
      </w:r>
      <w:r w:rsidR="00F56406">
        <w:rPr>
          <w:rStyle w:val="legislationtitleitalics"/>
          <w:rFonts w:eastAsia="Times New Roman" w:cs="Times New Roman"/>
          <w:i w:val="0"/>
          <w:iCs w:val="0"/>
          <w:color w:val="000000" w:themeColor="text1"/>
        </w:rPr>
        <w:t xml:space="preserve">) </w:t>
      </w:r>
      <w:r>
        <w:rPr>
          <w:rStyle w:val="legislationtitleitalics"/>
          <w:rFonts w:eastAsia="Times New Roman" w:cs="Times New Roman"/>
          <w:i w:val="0"/>
          <w:iCs w:val="0"/>
          <w:color w:val="000000" w:themeColor="text1"/>
        </w:rPr>
        <w:t xml:space="preserve">provides that </w:t>
      </w:r>
      <w:r w:rsidR="006A77D1">
        <w:rPr>
          <w:rStyle w:val="legislationtitleitalics"/>
          <w:rFonts w:eastAsia="Times New Roman" w:cs="Times New Roman"/>
          <w:i w:val="0"/>
          <w:iCs w:val="0"/>
          <w:color w:val="000000" w:themeColor="text1"/>
        </w:rPr>
        <w:t xml:space="preserve">the </w:t>
      </w:r>
      <w:r w:rsidR="006A77D1">
        <w:t xml:space="preserve">rule-maker must be satisfied that there has been consultation </w:t>
      </w:r>
      <w:r w:rsidR="00140ECE">
        <w:t xml:space="preserve">undertaken </w:t>
      </w:r>
      <w:r w:rsidR="006A77D1">
        <w:t>that is appropriate and reasonably practicable before making a legislative instrument</w:t>
      </w:r>
      <w:r w:rsidR="00DE4EAA">
        <w:t>.</w:t>
      </w:r>
      <w:r w:rsidR="00425AA9">
        <w:t xml:space="preserve"> </w:t>
      </w:r>
      <w:r w:rsidR="000B5E98">
        <w:t>Information concerning c</w:t>
      </w:r>
      <w:r w:rsidR="00425AA9">
        <w:t xml:space="preserve">onsultation </w:t>
      </w:r>
      <w:r w:rsidR="000B5E98">
        <w:t>undertaken</w:t>
      </w:r>
      <w:r w:rsidR="00425AA9">
        <w:t xml:space="preserve"> by the Department of Home Affairs in developing the Amendment Regulations is set out in </w:t>
      </w:r>
      <w:r w:rsidR="00425AA9" w:rsidRPr="00720AE1">
        <w:rPr>
          <w:u w:val="single"/>
        </w:rPr>
        <w:t>Attachment</w:t>
      </w:r>
      <w:r w:rsidR="00425AA9">
        <w:rPr>
          <w:u w:val="single"/>
        </w:rPr>
        <w:t xml:space="preserve"> C</w:t>
      </w:r>
      <w:r w:rsidR="00425AA9" w:rsidRPr="00FD363A">
        <w:t xml:space="preserve">. </w:t>
      </w:r>
      <w:r w:rsidR="00DE4EAA">
        <w:t xml:space="preserve"> </w:t>
      </w:r>
    </w:p>
    <w:p w14:paraId="4BD43E77" w14:textId="32FEF2F6" w:rsidR="00343BB0" w:rsidRDefault="008C0F35" w:rsidP="005D122F">
      <w:pPr>
        <w:pStyle w:val="ESoutlinetext"/>
        <w:spacing w:before="240" w:line="240" w:lineRule="auto"/>
        <w:jc w:val="both"/>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T</w:t>
      </w:r>
      <w:r w:rsidR="009938EA">
        <w:rPr>
          <w:rStyle w:val="legislationtitleitalics"/>
          <w:rFonts w:eastAsia="Times New Roman" w:cs="Times New Roman"/>
          <w:i w:val="0"/>
          <w:iCs w:val="0"/>
          <w:color w:val="000000" w:themeColor="text1"/>
        </w:rPr>
        <w:t>he Migration Regulations are</w:t>
      </w:r>
      <w:r w:rsidR="00343BB0">
        <w:rPr>
          <w:rStyle w:val="legislationtitleitalics"/>
          <w:rFonts w:eastAsia="Times New Roman" w:cs="Times New Roman"/>
          <w:i w:val="0"/>
          <w:iCs w:val="0"/>
          <w:color w:val="000000" w:themeColor="text1"/>
        </w:rPr>
        <w:t xml:space="preserve"> exempt from sunsetting under table item </w:t>
      </w:r>
      <w:r w:rsidR="00857C84">
        <w:rPr>
          <w:rStyle w:val="legislationtitleitalics"/>
          <w:rFonts w:eastAsia="Times New Roman" w:cs="Times New Roman"/>
          <w:i w:val="0"/>
          <w:iCs w:val="0"/>
          <w:color w:val="000000" w:themeColor="text1"/>
        </w:rPr>
        <w:t xml:space="preserve">38A of section 12 of the </w:t>
      </w:r>
      <w:r w:rsidR="00857C84">
        <w:rPr>
          <w:rStyle w:val="legislationtitleitalics"/>
          <w:rFonts w:eastAsia="Times New Roman" w:cs="Times New Roman"/>
          <w:iCs w:val="0"/>
          <w:color w:val="000000" w:themeColor="text1"/>
        </w:rPr>
        <w:t>Legislation (Exemptions and Other Matters) Regulations 2015</w:t>
      </w:r>
      <w:r w:rsidR="00DE4EAA">
        <w:rPr>
          <w:rStyle w:val="legislationtitleitalics"/>
          <w:rFonts w:eastAsia="Times New Roman" w:cs="Times New Roman"/>
          <w:iCs w:val="0"/>
          <w:color w:val="000000" w:themeColor="text1"/>
        </w:rPr>
        <w:t xml:space="preserve">. </w:t>
      </w:r>
      <w:r w:rsidR="00857C84">
        <w:rPr>
          <w:rStyle w:val="legislationtitleitalics"/>
          <w:rFonts w:eastAsia="Times New Roman" w:cs="Times New Roman"/>
          <w:i w:val="0"/>
          <w:iCs w:val="0"/>
          <w:color w:val="000000" w:themeColor="text1"/>
        </w:rPr>
        <w:t xml:space="preserve">The Migration Regulations are exempt from sunsetting on the basis that the repeal and remaking of the Migration Regulations: </w:t>
      </w:r>
    </w:p>
    <w:p w14:paraId="5768128D" w14:textId="0DCBFB23" w:rsidR="00857C84" w:rsidRDefault="00857C84" w:rsidP="005D122F">
      <w:pPr>
        <w:pStyle w:val="ESoutlinetext"/>
        <w:numPr>
          <w:ilvl w:val="0"/>
          <w:numId w:val="5"/>
        </w:numPr>
        <w:spacing w:before="240" w:line="240" w:lineRule="auto"/>
        <w:jc w:val="both"/>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 xml:space="preserve">is unnecessary as the Migration Regulations are regularly amended numerous times each year to update policy settings for immigration programs; </w:t>
      </w:r>
      <w:r w:rsidR="002672E0">
        <w:rPr>
          <w:rStyle w:val="legislationtitleitalics"/>
          <w:rFonts w:eastAsia="Times New Roman" w:cs="Times New Roman"/>
          <w:i w:val="0"/>
          <w:iCs w:val="0"/>
          <w:color w:val="000000" w:themeColor="text1"/>
        </w:rPr>
        <w:t>and</w:t>
      </w:r>
    </w:p>
    <w:p w14:paraId="38C89F1C" w14:textId="3465982B" w:rsidR="00857C84" w:rsidRPr="00857C84" w:rsidRDefault="002672E0" w:rsidP="005D122F">
      <w:pPr>
        <w:pStyle w:val="ESoutlinetext"/>
        <w:numPr>
          <w:ilvl w:val="0"/>
          <w:numId w:val="5"/>
        </w:numPr>
        <w:spacing w:before="240" w:line="240" w:lineRule="auto"/>
        <w:jc w:val="both"/>
        <w:rPr>
          <w:rStyle w:val="legislationtitleitalics"/>
          <w:rFonts w:eastAsia="Times New Roman" w:cs="Times New Roman"/>
          <w:i w:val="0"/>
          <w:iCs w:val="0"/>
          <w:color w:val="000000" w:themeColor="text1"/>
        </w:rPr>
      </w:pPr>
      <w:r>
        <w:rPr>
          <w:rStyle w:val="legislationtitleitalics"/>
          <w:rFonts w:eastAsia="Times New Roman" w:cs="Times New Roman"/>
          <w:i w:val="0"/>
          <w:iCs w:val="0"/>
          <w:color w:val="000000" w:themeColor="text1"/>
        </w:rPr>
        <w:t xml:space="preserve">would demand complicated and costly training and operational changes that would impose significant strain on Government resources and the Australian public for insignificant gain, while not advancing the aims of the Legislation Act. </w:t>
      </w:r>
    </w:p>
    <w:p w14:paraId="4D4BE4C0" w14:textId="393C4B59" w:rsidR="009938EA" w:rsidRDefault="009938EA" w:rsidP="005D122F">
      <w:pPr>
        <w:pStyle w:val="ESoutlinetext"/>
        <w:spacing w:before="240" w:line="240" w:lineRule="auto"/>
        <w:jc w:val="both"/>
      </w:pPr>
      <w:r>
        <w:rPr>
          <w:rStyle w:val="legislationtitleitalics"/>
          <w:rFonts w:eastAsia="Times New Roman" w:cs="Times New Roman"/>
          <w:i w:val="0"/>
          <w:iCs w:val="0"/>
          <w:color w:val="000000" w:themeColor="text1"/>
        </w:rPr>
        <w:t xml:space="preserve">The </w:t>
      </w:r>
      <w:r w:rsidR="00D452AA">
        <w:rPr>
          <w:rStyle w:val="legislationtitleitalics"/>
          <w:rFonts w:eastAsia="Times New Roman" w:cs="Times New Roman"/>
          <w:i w:val="0"/>
          <w:iCs w:val="0"/>
          <w:color w:val="000000" w:themeColor="text1"/>
        </w:rPr>
        <w:t>Amendment Regulations are</w:t>
      </w:r>
      <w:r w:rsidR="001E07D2">
        <w:rPr>
          <w:rStyle w:val="legislationtitleitalics"/>
          <w:rFonts w:eastAsia="Times New Roman" w:cs="Times New Roman"/>
          <w:i w:val="0"/>
          <w:iCs w:val="0"/>
          <w:color w:val="000000" w:themeColor="text1"/>
        </w:rPr>
        <w:t xml:space="preserve"> </w:t>
      </w:r>
      <w:r>
        <w:rPr>
          <w:rStyle w:val="legislationtitleitalics"/>
          <w:rFonts w:eastAsia="Times New Roman" w:cs="Times New Roman"/>
          <w:i w:val="0"/>
          <w:iCs w:val="0"/>
          <w:color w:val="000000" w:themeColor="text1"/>
        </w:rPr>
        <w:t xml:space="preserve">a legislative instrument for the purposes of </w:t>
      </w:r>
      <w:r w:rsidRPr="00343BB0">
        <w:rPr>
          <w:rStyle w:val="legislationtitleitalics"/>
          <w:rFonts w:eastAsia="Times New Roman" w:cs="Times New Roman"/>
          <w:i w:val="0"/>
          <w:iCs w:val="0"/>
          <w:color w:val="000000" w:themeColor="text1"/>
        </w:rPr>
        <w:t>the Legislation Act</w:t>
      </w:r>
      <w:r>
        <w:rPr>
          <w:rStyle w:val="legislationtitleitalics"/>
          <w:rFonts w:eastAsia="Times New Roman" w:cs="Times New Roman"/>
          <w:i w:val="0"/>
          <w:iCs w:val="0"/>
          <w:color w:val="000000" w:themeColor="text1"/>
        </w:rPr>
        <w:t>.</w:t>
      </w:r>
    </w:p>
    <w:p w14:paraId="7DF8C616" w14:textId="37345B9A" w:rsidR="002672E0" w:rsidRDefault="002672E0" w:rsidP="005D122F">
      <w:pPr>
        <w:pStyle w:val="ESoutlinetext"/>
        <w:spacing w:before="240" w:line="240" w:lineRule="auto"/>
        <w:jc w:val="both"/>
        <w:rPr>
          <w:rStyle w:val="legislationtitleitalics"/>
          <w:rFonts w:eastAsia="Times New Roman" w:cs="Times New Roman"/>
          <w:b/>
          <w:i w:val="0"/>
          <w:iCs w:val="0"/>
          <w:u w:val="single"/>
        </w:rPr>
      </w:pPr>
      <w:r>
        <w:t xml:space="preserve">The </w:t>
      </w:r>
      <w:r w:rsidR="001E07D2">
        <w:rPr>
          <w:rStyle w:val="legislationtitleitalics"/>
          <w:rFonts w:eastAsia="Times New Roman" w:cs="Times New Roman"/>
          <w:i w:val="0"/>
          <w:iCs w:val="0"/>
          <w:color w:val="000000" w:themeColor="text1"/>
        </w:rPr>
        <w:t xml:space="preserve">Amendment </w:t>
      </w:r>
      <w:r>
        <w:t>Regulations commence on the day after registration on the Fe</w:t>
      </w:r>
      <w:r w:rsidR="00F56406">
        <w:t>deral Register of Legislation</w:t>
      </w:r>
      <w:r w:rsidR="0037085B">
        <w:t>. F</w:t>
      </w:r>
      <w:r>
        <w:t xml:space="preserve">urther details of the </w:t>
      </w:r>
      <w:r w:rsidR="001E07D2">
        <w:rPr>
          <w:rStyle w:val="legislationtitleitalics"/>
          <w:rFonts w:eastAsia="Times New Roman" w:cs="Times New Roman"/>
          <w:i w:val="0"/>
          <w:iCs w:val="0"/>
          <w:color w:val="000000" w:themeColor="text1"/>
        </w:rPr>
        <w:t xml:space="preserve">Amendment </w:t>
      </w:r>
      <w:r>
        <w:t xml:space="preserve">Regulations are set out in </w:t>
      </w:r>
      <w:r w:rsidR="0037085B">
        <w:rPr>
          <w:u w:val="single"/>
        </w:rPr>
        <w:t xml:space="preserve">Attachment </w:t>
      </w:r>
      <w:r w:rsidR="00425AA9">
        <w:rPr>
          <w:u w:val="single"/>
        </w:rPr>
        <w:t>D</w:t>
      </w:r>
      <w:r w:rsidR="0037085B" w:rsidRPr="0037085B">
        <w:t>.</w:t>
      </w:r>
    </w:p>
    <w:p w14:paraId="619C1BCB" w14:textId="1DA79FE3" w:rsidR="002672E0" w:rsidRDefault="002672E0" w:rsidP="005D122F">
      <w:pPr>
        <w:pStyle w:val="ESoutlinetext"/>
        <w:spacing w:before="240" w:line="240" w:lineRule="auto"/>
        <w:jc w:val="both"/>
        <w:rPr>
          <w:rStyle w:val="legislationtitleitalics"/>
          <w:rFonts w:eastAsia="Times New Roman" w:cs="Times New Roman"/>
          <w:b/>
          <w:i w:val="0"/>
          <w:iCs w:val="0"/>
          <w:u w:val="single"/>
        </w:rPr>
      </w:pPr>
      <w:r>
        <w:rPr>
          <w:rStyle w:val="legislationtitleitalics"/>
          <w:rFonts w:eastAsia="Times New Roman" w:cs="Times New Roman"/>
          <w:b/>
          <w:i w:val="0"/>
          <w:iCs w:val="0"/>
          <w:u w:val="single"/>
        </w:rPr>
        <w:br w:type="page"/>
      </w:r>
    </w:p>
    <w:p w14:paraId="061ABA0C" w14:textId="56A0BDA8" w:rsidR="00343BB0" w:rsidRDefault="002672E0" w:rsidP="00425AA9">
      <w:pPr>
        <w:pStyle w:val="ESoutlinetext"/>
        <w:spacing w:before="240" w:line="240" w:lineRule="auto"/>
        <w:jc w:val="right"/>
        <w:rPr>
          <w:rStyle w:val="legislationtitleitalics"/>
          <w:rFonts w:eastAsia="Times New Roman" w:cs="Times New Roman"/>
          <w:b/>
          <w:i w:val="0"/>
          <w:iCs w:val="0"/>
          <w:u w:val="single"/>
        </w:rPr>
      </w:pPr>
      <w:r>
        <w:rPr>
          <w:rStyle w:val="legislationtitleitalics"/>
          <w:rFonts w:eastAsia="Times New Roman" w:cs="Times New Roman"/>
          <w:b/>
          <w:i w:val="0"/>
          <w:iCs w:val="0"/>
          <w:u w:val="single"/>
        </w:rPr>
        <w:lastRenderedPageBreak/>
        <w:t>ATTACHMENT A</w:t>
      </w:r>
    </w:p>
    <w:p w14:paraId="42A63A09" w14:textId="7EE7B3FF" w:rsidR="00A1604C" w:rsidRPr="007245CD" w:rsidRDefault="00A1604C" w:rsidP="002034C2">
      <w:pPr>
        <w:pStyle w:val="ESoutlinetext"/>
        <w:spacing w:before="240" w:line="240" w:lineRule="auto"/>
        <w:rPr>
          <w:color w:val="000000" w:themeColor="text1"/>
        </w:rPr>
      </w:pPr>
      <w:r>
        <w:rPr>
          <w:color w:val="000000" w:themeColor="text1"/>
        </w:rPr>
        <w:t xml:space="preserve">The following provisions of the </w:t>
      </w:r>
      <w:r>
        <w:rPr>
          <w:i/>
          <w:color w:val="000000" w:themeColor="text1"/>
        </w:rPr>
        <w:t xml:space="preserve">Migration Act 1958 </w:t>
      </w:r>
      <w:r>
        <w:rPr>
          <w:color w:val="000000" w:themeColor="text1"/>
        </w:rPr>
        <w:t xml:space="preserve">(the Migration Act) provide the authority for </w:t>
      </w:r>
      <w:r w:rsidRPr="007245CD">
        <w:rPr>
          <w:color w:val="000000" w:themeColor="text1"/>
        </w:rPr>
        <w:t xml:space="preserve">making this </w:t>
      </w:r>
      <w:r w:rsidR="00F704A9">
        <w:rPr>
          <w:color w:val="000000" w:themeColor="text1"/>
        </w:rPr>
        <w:t xml:space="preserve">Amendment </w:t>
      </w:r>
      <w:r w:rsidRPr="007245CD">
        <w:rPr>
          <w:color w:val="000000" w:themeColor="text1"/>
        </w:rPr>
        <w:t xml:space="preserve">Regulations: </w:t>
      </w:r>
    </w:p>
    <w:p w14:paraId="6F790F9D" w14:textId="1086560E" w:rsidR="00025225" w:rsidRPr="007245CD" w:rsidRDefault="004A4D8F" w:rsidP="00F704A9">
      <w:pPr>
        <w:pStyle w:val="ESoutlinetext"/>
        <w:numPr>
          <w:ilvl w:val="0"/>
          <w:numId w:val="7"/>
        </w:numPr>
        <w:tabs>
          <w:tab w:val="left" w:pos="1418"/>
        </w:tabs>
        <w:spacing w:before="240" w:line="240" w:lineRule="auto"/>
        <w:rPr>
          <w:color w:val="000000" w:themeColor="text1"/>
        </w:rPr>
      </w:pPr>
      <w:r>
        <w:rPr>
          <w:color w:val="000000" w:themeColor="text1"/>
        </w:rPr>
        <w:t>s</w:t>
      </w:r>
      <w:r w:rsidR="00025225" w:rsidRPr="007245CD">
        <w:rPr>
          <w:color w:val="000000" w:themeColor="text1"/>
        </w:rPr>
        <w:t>ubsection 504(1) provides that the Governor-General may make regulations, not inconsistent with the Migration Act, prescribing matters required or permitted to be prescribed, or necessary or convenient to be prescribed, for carrying out or giv</w:t>
      </w:r>
      <w:r w:rsidR="00A1604C" w:rsidRPr="007245CD">
        <w:rPr>
          <w:color w:val="000000" w:themeColor="text1"/>
        </w:rPr>
        <w:t>ing effect to the Migration Act;</w:t>
      </w:r>
    </w:p>
    <w:p w14:paraId="059329EC" w14:textId="7368630B" w:rsidR="00B05108" w:rsidRPr="007245CD" w:rsidRDefault="00B05108" w:rsidP="00B05108">
      <w:pPr>
        <w:pStyle w:val="ESoutlinetext"/>
        <w:numPr>
          <w:ilvl w:val="0"/>
          <w:numId w:val="7"/>
        </w:numPr>
        <w:spacing w:before="240" w:line="240" w:lineRule="auto"/>
        <w:rPr>
          <w:color w:val="000000" w:themeColor="text1"/>
        </w:rPr>
      </w:pPr>
      <w:r>
        <w:rPr>
          <w:color w:val="000000" w:themeColor="text1"/>
        </w:rPr>
        <w:t>s</w:t>
      </w:r>
      <w:r w:rsidRPr="007245CD">
        <w:rPr>
          <w:color w:val="000000" w:themeColor="text1"/>
        </w:rPr>
        <w:t xml:space="preserve">ubsection 5(1), which </w:t>
      </w:r>
      <w:r>
        <w:rPr>
          <w:color w:val="000000" w:themeColor="text1"/>
        </w:rPr>
        <w:t>defines</w:t>
      </w:r>
      <w:r w:rsidRPr="007245CD">
        <w:rPr>
          <w:color w:val="000000" w:themeColor="text1"/>
        </w:rPr>
        <w:t xml:space="preserve"> ‘health criterion’ in relation to a visa to mean a prescribed criterion for the visa that relates to the applicant or the members of the family unit of that applicant, and deals with a prescribed disease, physical or mental condition, kind of examination or treatment;</w:t>
      </w:r>
      <w:r w:rsidR="005C1B79">
        <w:rPr>
          <w:color w:val="000000" w:themeColor="text1"/>
        </w:rPr>
        <w:t xml:space="preserve"> and</w:t>
      </w:r>
    </w:p>
    <w:p w14:paraId="1EBF53EF" w14:textId="171239BD" w:rsidR="00A1604C" w:rsidRPr="007245CD" w:rsidRDefault="004A4D8F" w:rsidP="002034C2">
      <w:pPr>
        <w:pStyle w:val="ESoutlinetext"/>
        <w:numPr>
          <w:ilvl w:val="0"/>
          <w:numId w:val="7"/>
        </w:numPr>
        <w:spacing w:before="240" w:line="240" w:lineRule="auto"/>
        <w:rPr>
          <w:color w:val="000000" w:themeColor="text1"/>
        </w:rPr>
      </w:pPr>
      <w:r>
        <w:rPr>
          <w:color w:val="000000" w:themeColor="text1"/>
        </w:rPr>
        <w:t>s</w:t>
      </w:r>
      <w:r w:rsidR="00A1604C" w:rsidRPr="007245CD">
        <w:rPr>
          <w:color w:val="000000" w:themeColor="text1"/>
        </w:rPr>
        <w:t xml:space="preserve">ubsection 31(3) allow regulations to prescribe criteria </w:t>
      </w:r>
      <w:r w:rsidR="005C1B79">
        <w:rPr>
          <w:color w:val="000000" w:themeColor="text1"/>
        </w:rPr>
        <w:t>for a visa of a specified class.</w:t>
      </w:r>
    </w:p>
    <w:p w14:paraId="1C81DE9D" w14:textId="4A4102B1" w:rsidR="00161994" w:rsidRPr="007245CD" w:rsidRDefault="00161994" w:rsidP="002034C2">
      <w:pPr>
        <w:spacing w:before="240" w:after="120" w:line="240" w:lineRule="auto"/>
        <w:rPr>
          <w:rFonts w:ascii="Times New Roman" w:eastAsia="Times New Roman" w:hAnsi="Times New Roman" w:cs="Times New Roman"/>
          <w:color w:val="000000" w:themeColor="text1"/>
          <w:sz w:val="24"/>
          <w:szCs w:val="24"/>
          <w:lang w:eastAsia="en-AU"/>
        </w:rPr>
      </w:pPr>
      <w:r w:rsidRPr="007245CD">
        <w:rPr>
          <w:rFonts w:ascii="Times New Roman" w:hAnsi="Times New Roman" w:cs="Times New Roman"/>
          <w:color w:val="000000" w:themeColor="text1"/>
        </w:rPr>
        <w:br w:type="page"/>
      </w:r>
    </w:p>
    <w:p w14:paraId="3506B86B" w14:textId="7D71E205" w:rsidR="00DA3389" w:rsidRPr="0046552F" w:rsidRDefault="00161994" w:rsidP="002034C2">
      <w:pPr>
        <w:pStyle w:val="ESoutlinetext"/>
        <w:spacing w:before="240" w:line="240" w:lineRule="auto"/>
        <w:jc w:val="right"/>
        <w:rPr>
          <w:b/>
          <w:color w:val="000000" w:themeColor="text1"/>
          <w:u w:val="single"/>
        </w:rPr>
      </w:pPr>
      <w:r w:rsidRPr="0046552F">
        <w:rPr>
          <w:b/>
          <w:color w:val="000000" w:themeColor="text1"/>
          <w:u w:val="single"/>
        </w:rPr>
        <w:lastRenderedPageBreak/>
        <w:t>ATTACHMENT B</w:t>
      </w:r>
    </w:p>
    <w:p w14:paraId="6442BAC0" w14:textId="77777777" w:rsidR="00AD42FB" w:rsidRDefault="00AD42FB" w:rsidP="00AD42FB">
      <w:pPr>
        <w:pStyle w:val="Heading2"/>
      </w:pPr>
      <w:r>
        <w:t>Statement of Compatibility with Human Rights</w:t>
      </w:r>
    </w:p>
    <w:p w14:paraId="6F0351A8" w14:textId="77777777" w:rsidR="00AD42FB" w:rsidRDefault="00AD42FB" w:rsidP="00AD42FB">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6D60882C" w14:textId="77777777" w:rsidR="00AD42FB" w:rsidRDefault="00AD42FB" w:rsidP="00AD42FB">
      <w:pPr>
        <w:spacing w:before="120" w:after="120" w:line="240" w:lineRule="auto"/>
        <w:jc w:val="center"/>
        <w:rPr>
          <w:rFonts w:ascii="Times New Roman" w:hAnsi="Times New Roman"/>
          <w:sz w:val="24"/>
          <w:szCs w:val="24"/>
        </w:rPr>
      </w:pPr>
    </w:p>
    <w:p w14:paraId="2B5500CA" w14:textId="77777777" w:rsidR="00AD42FB" w:rsidRPr="0081700A" w:rsidRDefault="00AD42FB" w:rsidP="00AD42FB">
      <w:pPr>
        <w:pStyle w:val="legcohead3"/>
        <w:jc w:val="center"/>
        <w:rPr>
          <w:i/>
          <w:szCs w:val="22"/>
        </w:rPr>
      </w:pPr>
      <w:r w:rsidRPr="0081700A">
        <w:rPr>
          <w:i/>
          <w:szCs w:val="22"/>
        </w:rPr>
        <w:t>Migration Amendment</w:t>
      </w:r>
      <w:r w:rsidRPr="00F03E41">
        <w:rPr>
          <w:i/>
          <w:szCs w:val="22"/>
        </w:rPr>
        <w:t xml:space="preserve"> </w:t>
      </w:r>
      <w:r w:rsidRPr="0081700A">
        <w:rPr>
          <w:i/>
          <w:szCs w:val="22"/>
        </w:rPr>
        <w:t>(Public Interest Criteria 4005 and 4007) Regulations 2024</w:t>
      </w:r>
    </w:p>
    <w:p w14:paraId="770C0226" w14:textId="77777777" w:rsidR="00AD42FB" w:rsidRDefault="00AD42FB" w:rsidP="00AD42FB">
      <w:pPr>
        <w:spacing w:before="120" w:after="120" w:line="240" w:lineRule="auto"/>
        <w:jc w:val="center"/>
        <w:rPr>
          <w:rFonts w:ascii="Times New Roman" w:hAnsi="Times New Roman"/>
          <w:sz w:val="24"/>
          <w:szCs w:val="24"/>
        </w:rPr>
      </w:pPr>
    </w:p>
    <w:p w14:paraId="22BB518F" w14:textId="77777777" w:rsidR="00AD42FB" w:rsidRDefault="00AD42FB" w:rsidP="00AD42FB">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734A834" w14:textId="77777777" w:rsidR="00AD42FB" w:rsidRDefault="00AD42FB" w:rsidP="00AD42FB">
      <w:pPr>
        <w:spacing w:before="120" w:after="120" w:line="240" w:lineRule="auto"/>
        <w:rPr>
          <w:rFonts w:ascii="Times New Roman" w:hAnsi="Times New Roman"/>
          <w:sz w:val="24"/>
          <w:szCs w:val="24"/>
        </w:rPr>
      </w:pPr>
    </w:p>
    <w:p w14:paraId="0A2590C9" w14:textId="77777777" w:rsidR="00AD42FB" w:rsidRDefault="00AD42FB" w:rsidP="00AD42FB">
      <w:pPr>
        <w:pStyle w:val="Heading3"/>
      </w:pPr>
      <w:r>
        <w:t>Overview of the Disallowable Legislative Instrument</w:t>
      </w:r>
    </w:p>
    <w:p w14:paraId="5E3023D8" w14:textId="77777777" w:rsidR="00AD42FB" w:rsidRDefault="00AD42FB" w:rsidP="00AD42FB">
      <w:pPr>
        <w:spacing w:before="120" w:after="120" w:line="240" w:lineRule="auto"/>
        <w:jc w:val="both"/>
        <w:rPr>
          <w:rFonts w:ascii="Times New Roman" w:hAnsi="Times New Roman" w:cs="Times New Roman"/>
          <w:i/>
          <w:sz w:val="24"/>
          <w:szCs w:val="24"/>
        </w:rPr>
      </w:pPr>
      <w:r w:rsidRPr="00E50DC0">
        <w:rPr>
          <w:rFonts w:ascii="Times New Roman" w:hAnsi="Times New Roman" w:cs="Times New Roman"/>
          <w:i/>
          <w:sz w:val="24"/>
          <w:szCs w:val="24"/>
        </w:rPr>
        <w:t>Purpose of the migration health requirement</w:t>
      </w:r>
    </w:p>
    <w:p w14:paraId="77DBF17A" w14:textId="77777777" w:rsidR="00AD42FB" w:rsidRDefault="00AD42FB" w:rsidP="00AD4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Most visa applicants are required to satisfy the migration health requirements in either Public Interest Criterion (PIC) 4005 or PIC 4007 in Schedule 4 to the </w:t>
      </w:r>
      <w:r w:rsidRPr="00D760AB">
        <w:rPr>
          <w:rFonts w:ascii="Times New Roman" w:hAnsi="Times New Roman" w:cs="Times New Roman"/>
          <w:i/>
          <w:sz w:val="24"/>
          <w:szCs w:val="24"/>
        </w:rPr>
        <w:t>Migration Regulations 1994</w:t>
      </w:r>
      <w:r>
        <w:rPr>
          <w:rFonts w:ascii="Times New Roman" w:hAnsi="Times New Roman" w:cs="Times New Roman"/>
          <w:i/>
          <w:sz w:val="24"/>
          <w:szCs w:val="24"/>
        </w:rPr>
        <w:t xml:space="preserve"> </w:t>
      </w:r>
      <w:r>
        <w:rPr>
          <w:rFonts w:ascii="Times New Roman" w:hAnsi="Times New Roman" w:cs="Times New Roman"/>
          <w:sz w:val="24"/>
          <w:szCs w:val="24"/>
        </w:rPr>
        <w:t xml:space="preserve">(the Migration Regulations) in order to be granted a visa to enter and/or remain in Australia. The migration health requirements set out in these PICs, in particular paragraphs 4005(1)(c) and 4007(1)(c) of Schedule 4 to the Migration Regulations, require, among other things, that </w:t>
      </w:r>
      <w:r w:rsidRPr="00A07A35">
        <w:rPr>
          <w:rFonts w:ascii="Times New Roman" w:hAnsi="Times New Roman" w:cs="Times New Roman"/>
          <w:sz w:val="24"/>
          <w:szCs w:val="24"/>
        </w:rPr>
        <w:t>the visa applicant be free from a disease or condition in relation to which</w:t>
      </w:r>
      <w:r>
        <w:rPr>
          <w:rFonts w:ascii="Times New Roman" w:hAnsi="Times New Roman" w:cs="Times New Roman"/>
          <w:sz w:val="24"/>
          <w:szCs w:val="24"/>
        </w:rPr>
        <w:t>:</w:t>
      </w:r>
    </w:p>
    <w:p w14:paraId="4BCBD79F" w14:textId="77777777" w:rsidR="00AD42FB" w:rsidRDefault="00AD42FB" w:rsidP="00AD42FB">
      <w:pPr>
        <w:pStyle w:val="ListParagraph"/>
        <w:numPr>
          <w:ilvl w:val="0"/>
          <w:numId w:val="22"/>
        </w:numPr>
        <w:spacing w:after="0" w:line="240" w:lineRule="auto"/>
        <w:jc w:val="both"/>
        <w:rPr>
          <w:rFonts w:ascii="Times New Roman" w:hAnsi="Times New Roman" w:cs="Times New Roman"/>
          <w:sz w:val="24"/>
          <w:szCs w:val="24"/>
        </w:rPr>
      </w:pPr>
      <w:r w:rsidRPr="007B5503">
        <w:rPr>
          <w:rFonts w:ascii="Times New Roman" w:hAnsi="Times New Roman" w:cs="Times New Roman"/>
          <w:sz w:val="24"/>
          <w:szCs w:val="24"/>
        </w:rPr>
        <w:t xml:space="preserve">a person who has it would be likely to require health care or meet the medical criteria for provision of a </w:t>
      </w:r>
      <w:r>
        <w:rPr>
          <w:rFonts w:ascii="Times New Roman" w:hAnsi="Times New Roman" w:cs="Times New Roman"/>
          <w:sz w:val="24"/>
          <w:szCs w:val="24"/>
        </w:rPr>
        <w:t>community service,</w:t>
      </w:r>
      <w:r w:rsidRPr="007B5503">
        <w:rPr>
          <w:rFonts w:ascii="Times New Roman" w:hAnsi="Times New Roman" w:cs="Times New Roman"/>
          <w:sz w:val="24"/>
          <w:szCs w:val="24"/>
        </w:rPr>
        <w:t xml:space="preserve"> </w:t>
      </w:r>
      <w:r>
        <w:rPr>
          <w:rFonts w:ascii="Times New Roman" w:hAnsi="Times New Roman" w:cs="Times New Roman"/>
          <w:sz w:val="24"/>
          <w:szCs w:val="24"/>
        </w:rPr>
        <w:t xml:space="preserve">and </w:t>
      </w:r>
    </w:p>
    <w:p w14:paraId="661BC3CE" w14:textId="77777777" w:rsidR="00AD42FB" w:rsidRPr="007B5503" w:rsidRDefault="00AD42FB" w:rsidP="00AD42FB">
      <w:pPr>
        <w:pStyle w:val="ListParagraph"/>
        <w:numPr>
          <w:ilvl w:val="0"/>
          <w:numId w:val="2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provision of the health care or community services </w:t>
      </w:r>
      <w:r w:rsidRPr="007B5503">
        <w:rPr>
          <w:rFonts w:ascii="Times New Roman" w:hAnsi="Times New Roman" w:cs="Times New Roman"/>
          <w:sz w:val="24"/>
          <w:szCs w:val="24"/>
        </w:rPr>
        <w:t xml:space="preserve">would result in a significant cost to the Australian community or prejudice the access of an Australian citizen or permanent resident to health care or community services. </w:t>
      </w:r>
    </w:p>
    <w:p w14:paraId="523395E5" w14:textId="77777777" w:rsidR="00AD42FB" w:rsidRDefault="00AD42FB" w:rsidP="00AD42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assessments are based on a hypothetical person rather than on whether the health care or community services will in fact be used by the visa applicant. </w:t>
      </w:r>
    </w:p>
    <w:p w14:paraId="200A46CA" w14:textId="77777777" w:rsidR="00AD42FB" w:rsidRPr="00AD42FB" w:rsidRDefault="00AD42FB" w:rsidP="00AD42FB">
      <w:pPr>
        <w:spacing w:line="240" w:lineRule="auto"/>
        <w:jc w:val="both"/>
        <w:rPr>
          <w:rFonts w:ascii="Times New Roman" w:hAnsi="Times New Roman" w:cs="Times New Roman"/>
          <w:sz w:val="24"/>
          <w:szCs w:val="24"/>
        </w:rPr>
      </w:pPr>
      <w:r w:rsidRPr="00DC24DC">
        <w:rPr>
          <w:rFonts w:ascii="Times New Roman" w:hAnsi="Times New Roman" w:cs="Times New Roman"/>
          <w:sz w:val="24"/>
          <w:szCs w:val="24"/>
        </w:rPr>
        <w:t xml:space="preserve">The aims of the migration </w:t>
      </w:r>
      <w:r w:rsidRPr="00AD42FB">
        <w:rPr>
          <w:rFonts w:ascii="Times New Roman" w:hAnsi="Times New Roman" w:cs="Times New Roman"/>
          <w:sz w:val="24"/>
          <w:szCs w:val="24"/>
        </w:rPr>
        <w:t>health requirements are to:</w:t>
      </w:r>
    </w:p>
    <w:p w14:paraId="454A69A2" w14:textId="77777777" w:rsidR="00AD42FB" w:rsidRPr="00AD42FB" w:rsidRDefault="00AD42FB" w:rsidP="00AD42FB">
      <w:pPr>
        <w:pStyle w:val="ListParagraph"/>
        <w:numPr>
          <w:ilvl w:val="0"/>
          <w:numId w:val="21"/>
        </w:numPr>
        <w:spacing w:after="200" w:line="240" w:lineRule="auto"/>
        <w:jc w:val="both"/>
        <w:rPr>
          <w:rFonts w:ascii="Times New Roman" w:hAnsi="Times New Roman" w:cs="Times New Roman"/>
          <w:sz w:val="24"/>
          <w:szCs w:val="24"/>
        </w:rPr>
      </w:pPr>
      <w:r w:rsidRPr="00AD42FB">
        <w:rPr>
          <w:rFonts w:ascii="Times New Roman" w:hAnsi="Times New Roman" w:cs="Times New Roman"/>
          <w:sz w:val="24"/>
          <w:szCs w:val="24"/>
        </w:rPr>
        <w:t>protect the Australian community from public health and safety risks;</w:t>
      </w:r>
    </w:p>
    <w:p w14:paraId="52C332CF" w14:textId="77777777" w:rsidR="00AD42FB" w:rsidRPr="00AD42FB" w:rsidRDefault="00AD42FB" w:rsidP="00AD42FB">
      <w:pPr>
        <w:pStyle w:val="ListParagraph"/>
        <w:numPr>
          <w:ilvl w:val="0"/>
          <w:numId w:val="21"/>
        </w:numPr>
        <w:spacing w:after="200" w:line="240" w:lineRule="auto"/>
        <w:jc w:val="both"/>
        <w:rPr>
          <w:rFonts w:ascii="Times New Roman" w:hAnsi="Times New Roman" w:cs="Times New Roman"/>
          <w:sz w:val="24"/>
          <w:szCs w:val="24"/>
        </w:rPr>
      </w:pPr>
      <w:r w:rsidRPr="00AD42FB">
        <w:rPr>
          <w:rStyle w:val="Strong"/>
          <w:rFonts w:ascii="Times New Roman" w:hAnsi="Times New Roman" w:cs="Times New Roman"/>
          <w:b w:val="0"/>
          <w:sz w:val="24"/>
          <w:szCs w:val="24"/>
        </w:rPr>
        <w:t>contain public expenditure on health care and community services; and</w:t>
      </w:r>
    </w:p>
    <w:p w14:paraId="25810991" w14:textId="77777777" w:rsidR="00AD42FB" w:rsidRPr="00D10916" w:rsidRDefault="00AD42FB" w:rsidP="00AD42FB">
      <w:pPr>
        <w:pStyle w:val="ListParagraph"/>
        <w:numPr>
          <w:ilvl w:val="0"/>
          <w:numId w:val="21"/>
        </w:numPr>
        <w:spacing w:after="200" w:line="240" w:lineRule="auto"/>
        <w:jc w:val="both"/>
        <w:rPr>
          <w:rFonts w:ascii="Times New Roman" w:hAnsi="Times New Roman" w:cs="Times New Roman"/>
          <w:sz w:val="24"/>
          <w:szCs w:val="24"/>
        </w:rPr>
      </w:pPr>
      <w:r w:rsidRPr="00AD42FB">
        <w:rPr>
          <w:rFonts w:ascii="Times New Roman" w:hAnsi="Times New Roman" w:cs="Times New Roman"/>
          <w:sz w:val="24"/>
          <w:szCs w:val="24"/>
        </w:rPr>
        <w:t>safeguard the access of Australian</w:t>
      </w:r>
      <w:r w:rsidRPr="00D10916">
        <w:rPr>
          <w:rFonts w:ascii="Times New Roman" w:hAnsi="Times New Roman" w:cs="Times New Roman"/>
          <w:sz w:val="24"/>
          <w:szCs w:val="24"/>
        </w:rPr>
        <w:t xml:space="preserve"> citizens and permanent residents to health care and community services that are in short supply (currently this is dialysis and organ transplants).</w:t>
      </w:r>
    </w:p>
    <w:p w14:paraId="6258B566" w14:textId="77777777" w:rsidR="00AD42FB" w:rsidRPr="00E50DC0" w:rsidRDefault="00AD42FB" w:rsidP="00AD42FB">
      <w:pPr>
        <w:spacing w:before="120" w:after="120" w:line="240" w:lineRule="auto"/>
        <w:jc w:val="both"/>
        <w:rPr>
          <w:rFonts w:ascii="Times New Roman" w:hAnsi="Times New Roman"/>
          <w:i/>
          <w:sz w:val="24"/>
          <w:szCs w:val="24"/>
        </w:rPr>
      </w:pPr>
      <w:r w:rsidRPr="00E50DC0">
        <w:rPr>
          <w:rFonts w:ascii="Times New Roman" w:hAnsi="Times New Roman"/>
          <w:i/>
          <w:sz w:val="24"/>
          <w:szCs w:val="24"/>
        </w:rPr>
        <w:t>Objective</w:t>
      </w:r>
      <w:r>
        <w:rPr>
          <w:rFonts w:ascii="Times New Roman" w:hAnsi="Times New Roman"/>
          <w:i/>
          <w:sz w:val="24"/>
          <w:szCs w:val="24"/>
        </w:rPr>
        <w:t xml:space="preserve"> of the Disallowable Legislative Instrument</w:t>
      </w:r>
    </w:p>
    <w:p w14:paraId="0033ECF7" w14:textId="77777777" w:rsidR="00AD42FB" w:rsidRDefault="00AD42FB" w:rsidP="00AD42FB">
      <w:pPr>
        <w:spacing w:before="120" w:after="120" w:line="240" w:lineRule="auto"/>
        <w:jc w:val="both"/>
        <w:rPr>
          <w:rFonts w:ascii="Times New Roman" w:hAnsi="Times New Roman" w:cs="Times New Roman"/>
          <w:sz w:val="24"/>
          <w:szCs w:val="24"/>
        </w:rPr>
      </w:pPr>
      <w:r w:rsidRPr="00006CBA">
        <w:rPr>
          <w:rFonts w:ascii="Times New Roman" w:hAnsi="Times New Roman"/>
          <w:sz w:val="24"/>
          <w:szCs w:val="24"/>
        </w:rPr>
        <w:t xml:space="preserve">This </w:t>
      </w:r>
      <w:r>
        <w:rPr>
          <w:rFonts w:ascii="Times New Roman" w:hAnsi="Times New Roman"/>
          <w:sz w:val="24"/>
          <w:szCs w:val="24"/>
        </w:rPr>
        <w:t xml:space="preserve">Disallowable Legislative Instrument, the </w:t>
      </w:r>
      <w:r w:rsidRPr="000E65AE">
        <w:rPr>
          <w:rFonts w:ascii="Times New Roman" w:hAnsi="Times New Roman" w:cs="Times New Roman"/>
          <w:i/>
          <w:sz w:val="24"/>
          <w:szCs w:val="24"/>
        </w:rPr>
        <w:t>Migration Amendment (Public Interest Criteria 4005 and 4007) Regulations 2024</w:t>
      </w:r>
      <w:r w:rsidRPr="000E65AE">
        <w:rPr>
          <w:rFonts w:ascii="Times New Roman" w:hAnsi="Times New Roman" w:cs="Times New Roman"/>
          <w:sz w:val="24"/>
          <w:szCs w:val="24"/>
        </w:rPr>
        <w:t xml:space="preserve"> </w:t>
      </w:r>
      <w:r>
        <w:rPr>
          <w:rFonts w:ascii="Times New Roman" w:hAnsi="Times New Roman" w:cs="Times New Roman"/>
          <w:sz w:val="24"/>
          <w:szCs w:val="24"/>
        </w:rPr>
        <w:t xml:space="preserve">(the Amendment Regulations), </w:t>
      </w:r>
      <w:r>
        <w:rPr>
          <w:rFonts w:ascii="Times New Roman" w:hAnsi="Times New Roman"/>
          <w:sz w:val="24"/>
          <w:szCs w:val="24"/>
        </w:rPr>
        <w:t>amends PIC 4005 and PIC 4007 to no longer require</w:t>
      </w:r>
      <w:r>
        <w:rPr>
          <w:rFonts w:ascii="Times New Roman" w:hAnsi="Times New Roman" w:cs="Times New Roman"/>
          <w:sz w:val="24"/>
          <w:szCs w:val="24"/>
        </w:rPr>
        <w:t xml:space="preserve"> those visa applicants who are children </w:t>
      </w:r>
      <w:r w:rsidRPr="00006CBA">
        <w:rPr>
          <w:rFonts w:ascii="Times New Roman" w:hAnsi="Times New Roman" w:cs="Times New Roman"/>
          <w:sz w:val="24"/>
          <w:szCs w:val="24"/>
        </w:rPr>
        <w:t xml:space="preserve">born and </w:t>
      </w:r>
      <w:r>
        <w:rPr>
          <w:rFonts w:ascii="Times New Roman" w:hAnsi="Times New Roman" w:cs="Times New Roman"/>
          <w:sz w:val="24"/>
          <w:szCs w:val="24"/>
        </w:rPr>
        <w:t xml:space="preserve">ordinarily resident </w:t>
      </w:r>
      <w:r w:rsidRPr="00006CBA">
        <w:rPr>
          <w:rFonts w:ascii="Times New Roman" w:hAnsi="Times New Roman" w:cs="Times New Roman"/>
          <w:sz w:val="24"/>
          <w:szCs w:val="24"/>
        </w:rPr>
        <w:t>in Australia</w:t>
      </w:r>
      <w:r>
        <w:rPr>
          <w:rFonts w:ascii="Times New Roman" w:hAnsi="Times New Roman" w:cs="Times New Roman"/>
          <w:sz w:val="24"/>
          <w:szCs w:val="24"/>
        </w:rPr>
        <w:t xml:space="preserve"> to satisfy the criteria that they be free from a disease or condition that would </w:t>
      </w:r>
      <w:r w:rsidRPr="007B5503">
        <w:rPr>
          <w:rFonts w:ascii="Times New Roman" w:hAnsi="Times New Roman" w:cs="Times New Roman"/>
          <w:sz w:val="24"/>
          <w:szCs w:val="24"/>
        </w:rPr>
        <w:t>result in a significant cost to the Australian community or prejudice the access of an Australian citizen or permanent resident to health care or community services</w:t>
      </w:r>
      <w:r>
        <w:rPr>
          <w:rFonts w:ascii="Times New Roman" w:hAnsi="Times New Roman" w:cs="Times New Roman"/>
          <w:sz w:val="24"/>
          <w:szCs w:val="24"/>
        </w:rPr>
        <w:t>.</w:t>
      </w:r>
    </w:p>
    <w:p w14:paraId="63166A37" w14:textId="77777777" w:rsidR="00AD42FB" w:rsidRDefault="00AD42FB" w:rsidP="00AD42FB">
      <w:pPr>
        <w:spacing w:before="120" w:after="120" w:line="240" w:lineRule="auto"/>
        <w:jc w:val="both"/>
        <w:rPr>
          <w:rFonts w:ascii="Times New Roman" w:hAnsi="Times New Roman" w:cs="Times New Roman"/>
          <w:color w:val="000000" w:themeColor="text1"/>
          <w:spacing w:val="1"/>
          <w:sz w:val="24"/>
          <w:szCs w:val="24"/>
        </w:rPr>
      </w:pPr>
      <w:r>
        <w:rPr>
          <w:rFonts w:ascii="Times New Roman" w:hAnsi="Times New Roman" w:cs="Times New Roman"/>
          <w:sz w:val="24"/>
          <w:szCs w:val="24"/>
        </w:rPr>
        <w:t>The objective of this amendment is to reform the migration health requirement to be fairer, more inclusive and minimise discrimination for Australian-born minor visa applicants with a health condition or disability. The Amendment Regulations form part of</w:t>
      </w:r>
      <w:r w:rsidRPr="00A55B6D">
        <w:rPr>
          <w:rFonts w:ascii="Times New Roman" w:hAnsi="Times New Roman" w:cs="Times New Roman"/>
          <w:sz w:val="24"/>
          <w:szCs w:val="24"/>
        </w:rPr>
        <w:t xml:space="preserve"> the </w:t>
      </w:r>
      <w:r>
        <w:rPr>
          <w:rFonts w:ascii="Times New Roman" w:hAnsi="Times New Roman" w:cs="Times New Roman"/>
          <w:sz w:val="24"/>
          <w:szCs w:val="24"/>
        </w:rPr>
        <w:t xml:space="preserve">Australian </w:t>
      </w:r>
      <w:r w:rsidRPr="00A55B6D">
        <w:rPr>
          <w:rFonts w:ascii="Times New Roman" w:hAnsi="Times New Roman" w:cs="Times New Roman"/>
          <w:sz w:val="24"/>
          <w:szCs w:val="24"/>
        </w:rPr>
        <w:t xml:space="preserve">Government’s </w:t>
      </w:r>
      <w:r w:rsidRPr="00A55B6D">
        <w:rPr>
          <w:rFonts w:ascii="Times New Roman" w:hAnsi="Times New Roman" w:cs="Times New Roman"/>
          <w:sz w:val="24"/>
          <w:szCs w:val="24"/>
        </w:rPr>
        <w:lastRenderedPageBreak/>
        <w:t xml:space="preserve">response to the </w:t>
      </w:r>
      <w:r>
        <w:rPr>
          <w:rFonts w:ascii="Times New Roman" w:hAnsi="Times New Roman" w:cs="Times New Roman"/>
          <w:sz w:val="24"/>
          <w:szCs w:val="24"/>
        </w:rPr>
        <w:t xml:space="preserve">final report of the </w:t>
      </w:r>
      <w:r w:rsidRPr="00A55B6D">
        <w:rPr>
          <w:rFonts w:ascii="Times New Roman" w:hAnsi="Times New Roman" w:cs="Times New Roman"/>
          <w:color w:val="000000" w:themeColor="text1"/>
          <w:sz w:val="24"/>
          <w:szCs w:val="24"/>
        </w:rPr>
        <w:t xml:space="preserve">Royal Commission into Violence, Abuse, Neglect and </w:t>
      </w:r>
      <w:r w:rsidRPr="00A55B6D">
        <w:rPr>
          <w:rFonts w:ascii="Times New Roman" w:hAnsi="Times New Roman" w:cs="Times New Roman"/>
          <w:color w:val="000000" w:themeColor="text1"/>
          <w:spacing w:val="1"/>
          <w:sz w:val="24"/>
          <w:szCs w:val="24"/>
        </w:rPr>
        <w:t xml:space="preserve">Exploitation of People with a Disability (Disability Royal Commission Report). </w:t>
      </w:r>
    </w:p>
    <w:p w14:paraId="6DF59972" w14:textId="77777777" w:rsidR="00AD42FB" w:rsidRDefault="00AD42FB" w:rsidP="00AD42F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Targeted and p</w:t>
      </w:r>
      <w:r w:rsidRPr="00043DD4">
        <w:rPr>
          <w:rFonts w:ascii="Times New Roman" w:hAnsi="Times New Roman" w:cs="Times New Roman"/>
          <w:sz w:val="24"/>
          <w:szCs w:val="24"/>
        </w:rPr>
        <w:t>ublic consultation</w:t>
      </w:r>
      <w:r>
        <w:rPr>
          <w:rFonts w:ascii="Times New Roman" w:hAnsi="Times New Roman" w:cs="Times New Roman"/>
          <w:sz w:val="24"/>
          <w:szCs w:val="24"/>
        </w:rPr>
        <w:t>s</w:t>
      </w:r>
      <w:r w:rsidRPr="00043DD4">
        <w:rPr>
          <w:rFonts w:ascii="Times New Roman" w:hAnsi="Times New Roman" w:cs="Times New Roman"/>
          <w:sz w:val="24"/>
          <w:szCs w:val="24"/>
        </w:rPr>
        <w:t xml:space="preserve"> demonstrated that the community’s expectation is that </w:t>
      </w:r>
      <w:r>
        <w:rPr>
          <w:rFonts w:ascii="Times New Roman" w:hAnsi="Times New Roman" w:cs="Times New Roman"/>
          <w:sz w:val="24"/>
          <w:szCs w:val="24"/>
        </w:rPr>
        <w:t xml:space="preserve">minor visa applicants </w:t>
      </w:r>
      <w:r w:rsidRPr="00043DD4">
        <w:rPr>
          <w:rFonts w:ascii="Times New Roman" w:hAnsi="Times New Roman" w:cs="Times New Roman"/>
          <w:sz w:val="24"/>
          <w:szCs w:val="24"/>
        </w:rPr>
        <w:t xml:space="preserve">born and </w:t>
      </w:r>
      <w:r>
        <w:rPr>
          <w:rFonts w:ascii="Times New Roman" w:hAnsi="Times New Roman" w:cs="Times New Roman"/>
          <w:sz w:val="24"/>
          <w:szCs w:val="24"/>
        </w:rPr>
        <w:t xml:space="preserve">ordinarily resident </w:t>
      </w:r>
      <w:r w:rsidRPr="00043DD4">
        <w:rPr>
          <w:rFonts w:ascii="Times New Roman" w:hAnsi="Times New Roman" w:cs="Times New Roman"/>
          <w:sz w:val="24"/>
          <w:szCs w:val="24"/>
        </w:rPr>
        <w:t xml:space="preserve">in Australia with a health condition or disability </w:t>
      </w:r>
      <w:r>
        <w:rPr>
          <w:rFonts w:ascii="Times New Roman" w:hAnsi="Times New Roman" w:cs="Times New Roman"/>
          <w:sz w:val="24"/>
          <w:szCs w:val="24"/>
        </w:rPr>
        <w:t xml:space="preserve">should </w:t>
      </w:r>
      <w:r w:rsidRPr="00043DD4">
        <w:rPr>
          <w:rFonts w:ascii="Times New Roman" w:hAnsi="Times New Roman" w:cs="Times New Roman"/>
          <w:sz w:val="24"/>
          <w:szCs w:val="24"/>
        </w:rPr>
        <w:t>receiv</w:t>
      </w:r>
      <w:r>
        <w:rPr>
          <w:rFonts w:ascii="Times New Roman" w:hAnsi="Times New Roman" w:cs="Times New Roman"/>
          <w:sz w:val="24"/>
          <w:szCs w:val="24"/>
        </w:rPr>
        <w:t>e special consideration in the application of the migration health r</w:t>
      </w:r>
      <w:r w:rsidRPr="00043DD4">
        <w:rPr>
          <w:rFonts w:ascii="Times New Roman" w:hAnsi="Times New Roman" w:cs="Times New Roman"/>
          <w:sz w:val="24"/>
          <w:szCs w:val="24"/>
        </w:rPr>
        <w:t>equirement, due to their inherent connection to the Australian community since birth</w:t>
      </w:r>
      <w:r>
        <w:rPr>
          <w:rFonts w:ascii="Times New Roman" w:hAnsi="Times New Roman" w:cs="Times New Roman"/>
          <w:sz w:val="24"/>
          <w:szCs w:val="24"/>
        </w:rPr>
        <w:t>.</w:t>
      </w:r>
    </w:p>
    <w:p w14:paraId="020C8DFF" w14:textId="77777777" w:rsidR="00AD42FB" w:rsidRDefault="00AD42FB" w:rsidP="00AD42FB">
      <w:pPr>
        <w:spacing w:after="0" w:line="240" w:lineRule="auto"/>
        <w:jc w:val="both"/>
        <w:rPr>
          <w:rFonts w:ascii="Times New Roman" w:hAnsi="Times New Roman" w:cs="Times New Roman"/>
          <w:sz w:val="24"/>
          <w:szCs w:val="24"/>
        </w:rPr>
      </w:pPr>
      <w:r w:rsidRPr="00823046">
        <w:rPr>
          <w:rFonts w:ascii="Times New Roman" w:hAnsi="Times New Roman" w:cs="Times New Roman"/>
          <w:sz w:val="24"/>
          <w:szCs w:val="24"/>
        </w:rPr>
        <w:t>The amendment applies to both new visa applications and on-hand applications, including those currently under merits review. This is to ensure the amendment maximise the benefits of this measure for affected families.</w:t>
      </w:r>
    </w:p>
    <w:p w14:paraId="36B0328C" w14:textId="77777777" w:rsidR="00AD42FB" w:rsidRPr="00823046" w:rsidRDefault="00AD42FB" w:rsidP="00AD42FB">
      <w:pPr>
        <w:spacing w:after="0" w:line="240" w:lineRule="auto"/>
        <w:jc w:val="both"/>
        <w:rPr>
          <w:rFonts w:ascii="Times New Roman" w:hAnsi="Times New Roman" w:cs="Times New Roman"/>
          <w:sz w:val="24"/>
          <w:szCs w:val="24"/>
        </w:rPr>
      </w:pPr>
    </w:p>
    <w:p w14:paraId="20900692" w14:textId="77777777" w:rsidR="00AD42FB" w:rsidRPr="00823046" w:rsidRDefault="00AD42FB" w:rsidP="00AD42FB">
      <w:pPr>
        <w:pStyle w:val="Heading3"/>
        <w:rPr>
          <w:rFonts w:cs="Times New Roman"/>
        </w:rPr>
      </w:pPr>
      <w:r w:rsidRPr="00823046">
        <w:rPr>
          <w:rFonts w:cs="Times New Roman"/>
        </w:rPr>
        <w:t>Human rights implications</w:t>
      </w:r>
    </w:p>
    <w:p w14:paraId="5058D41F" w14:textId="77777777" w:rsidR="00AD42FB" w:rsidRDefault="00AD42FB" w:rsidP="00AD42FB">
      <w:pPr>
        <w:pStyle w:val="legcomeasuredash"/>
        <w:numPr>
          <w:ilvl w:val="0"/>
          <w:numId w:val="0"/>
        </w:numPr>
        <w:spacing w:before="240"/>
        <w:jc w:val="both"/>
        <w:rPr>
          <w:rFonts w:ascii="Times New Roman" w:hAnsi="Times New Roman" w:cs="Times New Roman"/>
          <w:sz w:val="24"/>
          <w:szCs w:val="22"/>
        </w:rPr>
      </w:pPr>
      <w:r>
        <w:rPr>
          <w:rFonts w:ascii="Times New Roman" w:hAnsi="Times New Roman" w:cs="Times New Roman"/>
          <w:sz w:val="24"/>
          <w:szCs w:val="22"/>
        </w:rPr>
        <w:t>This Disallowable Legislative Instrument may engage the following rights:</w:t>
      </w:r>
    </w:p>
    <w:p w14:paraId="7ACE953B" w14:textId="77777777" w:rsidR="00AD42FB" w:rsidRDefault="00AD42FB" w:rsidP="00AD42FB">
      <w:pPr>
        <w:pStyle w:val="legcomeasuredash"/>
        <w:numPr>
          <w:ilvl w:val="0"/>
          <w:numId w:val="23"/>
        </w:numPr>
        <w:spacing w:before="240"/>
        <w:jc w:val="both"/>
        <w:rPr>
          <w:rFonts w:ascii="Times New Roman" w:hAnsi="Times New Roman" w:cs="Times New Roman"/>
          <w:sz w:val="24"/>
          <w:szCs w:val="22"/>
        </w:rPr>
      </w:pPr>
      <w:r>
        <w:rPr>
          <w:rFonts w:ascii="Times New Roman" w:hAnsi="Times New Roman" w:cs="Times New Roman"/>
          <w:sz w:val="24"/>
          <w:szCs w:val="22"/>
        </w:rPr>
        <w:t xml:space="preserve">Rights of persons with disabilities under the </w:t>
      </w:r>
      <w:r w:rsidRPr="002D2BB3">
        <w:rPr>
          <w:rFonts w:ascii="Times New Roman" w:hAnsi="Times New Roman" w:cs="Times New Roman"/>
          <w:i/>
          <w:sz w:val="24"/>
          <w:szCs w:val="22"/>
        </w:rPr>
        <w:t>Convention on the Rights of the Persons with Disabilities</w:t>
      </w:r>
      <w:r>
        <w:rPr>
          <w:rFonts w:ascii="Times New Roman" w:hAnsi="Times New Roman" w:cs="Times New Roman"/>
          <w:sz w:val="24"/>
          <w:szCs w:val="22"/>
        </w:rPr>
        <w:t xml:space="preserve"> (CRPD), in particular in relation to freedom of movement in Article 18.</w:t>
      </w:r>
    </w:p>
    <w:p w14:paraId="623FEED2" w14:textId="77777777" w:rsidR="00AD42FB" w:rsidRDefault="00AD42FB" w:rsidP="00AD42FB">
      <w:pPr>
        <w:pStyle w:val="legcomeasuredash"/>
        <w:numPr>
          <w:ilvl w:val="0"/>
          <w:numId w:val="23"/>
        </w:numPr>
        <w:spacing w:before="240"/>
        <w:jc w:val="both"/>
        <w:rPr>
          <w:rFonts w:ascii="Times New Roman" w:hAnsi="Times New Roman" w:cs="Times New Roman"/>
          <w:sz w:val="24"/>
          <w:szCs w:val="22"/>
        </w:rPr>
      </w:pPr>
      <w:r>
        <w:rPr>
          <w:rFonts w:ascii="Times New Roman" w:hAnsi="Times New Roman" w:cs="Times New Roman"/>
          <w:sz w:val="24"/>
          <w:szCs w:val="22"/>
        </w:rPr>
        <w:t xml:space="preserve">Rights of children under the </w:t>
      </w:r>
      <w:r w:rsidRPr="00E757D8">
        <w:rPr>
          <w:rFonts w:ascii="Times New Roman" w:hAnsi="Times New Roman" w:cs="Times New Roman"/>
          <w:i/>
          <w:sz w:val="24"/>
          <w:szCs w:val="22"/>
        </w:rPr>
        <w:t>Convention on the Rights of the Child</w:t>
      </w:r>
      <w:r>
        <w:rPr>
          <w:rFonts w:ascii="Times New Roman" w:hAnsi="Times New Roman" w:cs="Times New Roman"/>
          <w:sz w:val="24"/>
          <w:szCs w:val="22"/>
        </w:rPr>
        <w:t xml:space="preserve"> (CRC), in particular in relation to children with disabilities in Article 23.</w:t>
      </w:r>
    </w:p>
    <w:p w14:paraId="49B9C7D4" w14:textId="77777777" w:rsidR="00AD42FB" w:rsidRPr="001E2C24" w:rsidRDefault="00AD42FB" w:rsidP="00AD42FB">
      <w:pPr>
        <w:pStyle w:val="legcomeasuredash"/>
        <w:numPr>
          <w:ilvl w:val="0"/>
          <w:numId w:val="23"/>
        </w:numPr>
        <w:spacing w:before="240"/>
        <w:jc w:val="both"/>
        <w:rPr>
          <w:rFonts w:ascii="Times New Roman" w:hAnsi="Times New Roman" w:cs="Times New Roman"/>
          <w:sz w:val="24"/>
          <w:szCs w:val="22"/>
        </w:rPr>
      </w:pPr>
      <w:r>
        <w:rPr>
          <w:rFonts w:ascii="Times New Roman" w:hAnsi="Times New Roman" w:cs="Times New Roman"/>
          <w:sz w:val="24"/>
          <w:szCs w:val="22"/>
        </w:rPr>
        <w:t xml:space="preserve">Non-discrimination under the CRPD, and under Article 26 of the </w:t>
      </w:r>
      <w:r w:rsidRPr="00A70073">
        <w:rPr>
          <w:rFonts w:ascii="Times New Roman" w:hAnsi="Times New Roman"/>
          <w:i/>
          <w:color w:val="auto"/>
          <w:sz w:val="24"/>
          <w:szCs w:val="22"/>
        </w:rPr>
        <w:t>International Covenant on Civil and Political Rights</w:t>
      </w:r>
      <w:r>
        <w:rPr>
          <w:rFonts w:ascii="Times New Roman" w:hAnsi="Times New Roman"/>
          <w:i/>
          <w:color w:val="auto"/>
          <w:sz w:val="24"/>
          <w:szCs w:val="22"/>
        </w:rPr>
        <w:t xml:space="preserve"> </w:t>
      </w:r>
      <w:r>
        <w:rPr>
          <w:rFonts w:ascii="Times New Roman" w:hAnsi="Times New Roman"/>
          <w:color w:val="auto"/>
          <w:sz w:val="24"/>
          <w:szCs w:val="22"/>
        </w:rPr>
        <w:t>(ICCPR).</w:t>
      </w:r>
    </w:p>
    <w:p w14:paraId="7733EC2D" w14:textId="77777777" w:rsidR="00AD42FB" w:rsidRPr="00084227" w:rsidRDefault="00AD42FB" w:rsidP="00AD42FB">
      <w:pPr>
        <w:pStyle w:val="legcomeasuredash"/>
        <w:numPr>
          <w:ilvl w:val="0"/>
          <w:numId w:val="0"/>
        </w:numPr>
        <w:spacing w:before="240"/>
        <w:jc w:val="both"/>
        <w:rPr>
          <w:rFonts w:ascii="Times New Roman" w:hAnsi="Times New Roman" w:cs="Times New Roman"/>
          <w:i/>
          <w:sz w:val="24"/>
          <w:szCs w:val="22"/>
        </w:rPr>
      </w:pPr>
      <w:r w:rsidRPr="00084227">
        <w:rPr>
          <w:rFonts w:ascii="Times New Roman" w:hAnsi="Times New Roman" w:cs="Times New Roman"/>
          <w:i/>
          <w:sz w:val="24"/>
          <w:szCs w:val="22"/>
        </w:rPr>
        <w:t>Rights of persons with disabilit</w:t>
      </w:r>
      <w:r>
        <w:rPr>
          <w:rFonts w:ascii="Times New Roman" w:hAnsi="Times New Roman" w:cs="Times New Roman"/>
          <w:i/>
          <w:sz w:val="24"/>
          <w:szCs w:val="22"/>
        </w:rPr>
        <w:t xml:space="preserve">ies </w:t>
      </w:r>
    </w:p>
    <w:p w14:paraId="1DF86439" w14:textId="77777777" w:rsidR="00AD42FB" w:rsidRDefault="00AD42FB" w:rsidP="00AD42FB">
      <w:pPr>
        <w:pStyle w:val="legcomeasuredash"/>
        <w:numPr>
          <w:ilvl w:val="0"/>
          <w:numId w:val="0"/>
        </w:numPr>
        <w:spacing w:before="240"/>
        <w:jc w:val="both"/>
        <w:rPr>
          <w:rFonts w:ascii="Times New Roman" w:hAnsi="Times New Roman" w:cs="Times New Roman"/>
          <w:sz w:val="24"/>
          <w:szCs w:val="22"/>
        </w:rPr>
      </w:pPr>
      <w:r>
        <w:rPr>
          <w:rFonts w:ascii="Times New Roman" w:hAnsi="Times New Roman" w:cs="Times New Roman"/>
          <w:sz w:val="24"/>
          <w:szCs w:val="22"/>
        </w:rPr>
        <w:t xml:space="preserve">Article 18 of the </w:t>
      </w:r>
      <w:r w:rsidRPr="00E757D8">
        <w:rPr>
          <w:rFonts w:ascii="Times New Roman" w:hAnsi="Times New Roman" w:cs="Times New Roman"/>
          <w:sz w:val="24"/>
          <w:szCs w:val="22"/>
        </w:rPr>
        <w:t>CRPD</w:t>
      </w:r>
      <w:r>
        <w:rPr>
          <w:rFonts w:ascii="Times New Roman" w:hAnsi="Times New Roman" w:cs="Times New Roman"/>
          <w:sz w:val="24"/>
          <w:szCs w:val="22"/>
        </w:rPr>
        <w:t xml:space="preserve"> states, in part:</w:t>
      </w:r>
    </w:p>
    <w:p w14:paraId="5D29AB82" w14:textId="77777777" w:rsidR="00AD42FB"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r>
        <w:rPr>
          <w:rFonts w:ascii="Times New Roman" w:eastAsia="Times New Roman" w:hAnsi="Times New Roman" w:cs="Times New Roman"/>
          <w:i/>
          <w:sz w:val="24"/>
          <w:szCs w:val="27"/>
          <w:lang w:eastAsia="en-AU"/>
        </w:rPr>
        <w:t xml:space="preserve">1. </w:t>
      </w:r>
      <w:r w:rsidRPr="00A154E4">
        <w:rPr>
          <w:rFonts w:ascii="Times New Roman" w:eastAsia="Times New Roman" w:hAnsi="Times New Roman" w:cs="Times New Roman"/>
          <w:i/>
          <w:sz w:val="24"/>
          <w:szCs w:val="27"/>
          <w:lang w:eastAsia="en-AU"/>
        </w:rPr>
        <w:t>States Parties shall recognize the rights of persons with disabilities to liberty of movement, to freedom to choose their residence and to a nationality, on an equal basis with others, including by ensuring that persons with disabilities:</w:t>
      </w:r>
      <w:r>
        <w:rPr>
          <w:rFonts w:ascii="Times New Roman" w:eastAsia="Times New Roman" w:hAnsi="Times New Roman" w:cs="Times New Roman"/>
          <w:i/>
          <w:sz w:val="24"/>
          <w:szCs w:val="27"/>
          <w:lang w:eastAsia="en-AU"/>
        </w:rPr>
        <w:t xml:space="preserve"> […]</w:t>
      </w:r>
    </w:p>
    <w:p w14:paraId="22A57B09" w14:textId="77777777" w:rsidR="00AD42FB"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p>
    <w:p w14:paraId="416DD5D2" w14:textId="77777777" w:rsidR="00AD42FB" w:rsidRDefault="00AD42FB" w:rsidP="00AD42FB">
      <w:pPr>
        <w:pStyle w:val="ListParagraph"/>
        <w:spacing w:before="100" w:beforeAutospacing="1" w:after="100" w:afterAutospacing="1" w:line="240" w:lineRule="auto"/>
        <w:ind w:left="1134"/>
        <w:jc w:val="both"/>
        <w:rPr>
          <w:rFonts w:ascii="Times New Roman" w:eastAsia="Times New Roman" w:hAnsi="Times New Roman" w:cs="Times New Roman"/>
          <w:i/>
          <w:sz w:val="24"/>
          <w:szCs w:val="27"/>
          <w:lang w:eastAsia="en-AU"/>
        </w:rPr>
      </w:pPr>
      <w:r>
        <w:rPr>
          <w:rFonts w:ascii="Times New Roman" w:eastAsia="Times New Roman" w:hAnsi="Times New Roman" w:cs="Times New Roman"/>
          <w:i/>
          <w:sz w:val="24"/>
          <w:szCs w:val="27"/>
          <w:lang w:eastAsia="en-AU"/>
        </w:rPr>
        <w:t xml:space="preserve">(b) </w:t>
      </w:r>
      <w:r w:rsidRPr="00A154E4">
        <w:rPr>
          <w:rFonts w:ascii="Times New Roman" w:eastAsia="Times New Roman" w:hAnsi="Times New Roman" w:cs="Times New Roman"/>
          <w:i/>
          <w:sz w:val="24"/>
          <w:szCs w:val="27"/>
          <w:lang w:eastAsia="en-AU"/>
        </w:rPr>
        <w:t>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movement;</w:t>
      </w:r>
      <w:r>
        <w:rPr>
          <w:rFonts w:ascii="Times New Roman" w:eastAsia="Times New Roman" w:hAnsi="Times New Roman" w:cs="Times New Roman"/>
          <w:i/>
          <w:sz w:val="24"/>
          <w:szCs w:val="27"/>
          <w:lang w:eastAsia="en-AU"/>
        </w:rPr>
        <w:t xml:space="preserve"> […]</w:t>
      </w:r>
    </w:p>
    <w:p w14:paraId="2DB0B30E" w14:textId="77777777" w:rsidR="00AD42FB" w:rsidRDefault="00AD42FB" w:rsidP="00AD42FB">
      <w:pPr>
        <w:pStyle w:val="legcomeasuredash"/>
        <w:numPr>
          <w:ilvl w:val="0"/>
          <w:numId w:val="0"/>
        </w:numPr>
        <w:spacing w:before="240"/>
        <w:jc w:val="both"/>
        <w:rPr>
          <w:rFonts w:ascii="Times New Roman" w:hAnsi="Times New Roman" w:cs="Times New Roman"/>
          <w:sz w:val="24"/>
          <w:szCs w:val="22"/>
        </w:rPr>
      </w:pPr>
      <w:r>
        <w:rPr>
          <w:rFonts w:ascii="Times New Roman" w:hAnsi="Times New Roman" w:cs="Times New Roman"/>
          <w:sz w:val="24"/>
          <w:szCs w:val="22"/>
        </w:rPr>
        <w:t xml:space="preserve">The amendment removes a potential barrier to obtaining a temporary or permanent visa for non-citizen minor born in and ordinarily resident in Australia, who have a health condition or disability. Prior to this amendment, these children, despite being born and ordinarily residing in Australia, would have been unable to meet PIC 4005 or PIC 4007 for the grant of a visa, if their health condition or disability would have resulted in significant cost to the Australian community or prejudice the access of Australian citizens and permanent residents to certain health services in short supply. These barriers were usually experienced by temporary visa holder families when applying for a permanent visa to remain in Australia. </w:t>
      </w:r>
    </w:p>
    <w:p w14:paraId="1DBA2587" w14:textId="77777777" w:rsidR="00B059A5" w:rsidRDefault="00B059A5" w:rsidP="00B059A5">
      <w:pPr>
        <w:pStyle w:val="legcomeasuredash"/>
        <w:numPr>
          <w:ilvl w:val="0"/>
          <w:numId w:val="0"/>
        </w:numPr>
        <w:spacing w:before="240"/>
        <w:jc w:val="both"/>
        <w:rPr>
          <w:rFonts w:ascii="Times New Roman" w:hAnsi="Times New Roman" w:cs="Times New Roman"/>
          <w:sz w:val="24"/>
          <w:szCs w:val="22"/>
        </w:rPr>
      </w:pPr>
      <w:r>
        <w:rPr>
          <w:rFonts w:ascii="Times New Roman" w:hAnsi="Times New Roman" w:cs="Times New Roman"/>
          <w:sz w:val="24"/>
          <w:szCs w:val="22"/>
        </w:rPr>
        <w:t xml:space="preserve">The application of </w:t>
      </w:r>
      <w:r w:rsidRPr="00237E1F">
        <w:rPr>
          <w:rFonts w:ascii="Times New Roman" w:hAnsi="Times New Roman" w:cs="Times New Roman"/>
          <w:sz w:val="24"/>
          <w:szCs w:val="22"/>
        </w:rPr>
        <w:t>PIC 4005 or PIC 4007</w:t>
      </w:r>
      <w:r>
        <w:rPr>
          <w:rFonts w:ascii="Times New Roman" w:hAnsi="Times New Roman" w:cs="Times New Roman"/>
          <w:sz w:val="24"/>
          <w:szCs w:val="22"/>
        </w:rPr>
        <w:t xml:space="preserve"> acted not only as a barrier to permanent residency for these children and their families but also meant they were not able to benefit from the National Disability Insurance Scheme (NDIS) which is available to Australian citizens and permanent residents. By removing this barrier to permanent residency for these non-citizen minors, this measure means that, if granted a permanent visa, these children could have greater opportunities to access publicly funded </w:t>
      </w:r>
      <w:r>
        <w:rPr>
          <w:rFonts w:ascii="Times New Roman" w:hAnsi="Times New Roman" w:cs="Times New Roman"/>
          <w:sz w:val="24"/>
          <w:szCs w:val="22"/>
        </w:rPr>
        <w:lastRenderedPageBreak/>
        <w:t xml:space="preserve">early intervention disability supports (such as those provided through the NDIS). These supports are important for the child’s development and meaningful participation in all aspects of their future life. </w:t>
      </w:r>
    </w:p>
    <w:p w14:paraId="062924E6" w14:textId="77777777" w:rsidR="00AD42FB" w:rsidRDefault="00AD42FB" w:rsidP="00AD42FB">
      <w:pPr>
        <w:pStyle w:val="legcomeasuredash"/>
        <w:numPr>
          <w:ilvl w:val="0"/>
          <w:numId w:val="0"/>
        </w:numPr>
        <w:spacing w:before="240"/>
        <w:jc w:val="both"/>
        <w:rPr>
          <w:rFonts w:ascii="Times New Roman" w:hAnsi="Times New Roman"/>
          <w:color w:val="auto"/>
          <w:sz w:val="24"/>
          <w:szCs w:val="22"/>
        </w:rPr>
      </w:pPr>
      <w:r>
        <w:rPr>
          <w:rFonts w:ascii="Times New Roman" w:hAnsi="Times New Roman" w:cs="Times New Roman"/>
          <w:sz w:val="24"/>
          <w:szCs w:val="22"/>
        </w:rPr>
        <w:t>T</w:t>
      </w:r>
      <w:r w:rsidRPr="00006CBA">
        <w:rPr>
          <w:rFonts w:ascii="Times New Roman" w:hAnsi="Times New Roman" w:cs="Times New Roman"/>
          <w:sz w:val="24"/>
          <w:szCs w:val="22"/>
        </w:rPr>
        <w:t xml:space="preserve">he amendment </w:t>
      </w:r>
      <w:r>
        <w:rPr>
          <w:rFonts w:ascii="Times New Roman" w:hAnsi="Times New Roman" w:cs="Times New Roman"/>
          <w:sz w:val="24"/>
          <w:szCs w:val="22"/>
        </w:rPr>
        <w:t xml:space="preserve">positively engages human rights under the CRPD by ameliorating health-related immigration </w:t>
      </w:r>
      <w:r w:rsidRPr="00006CBA">
        <w:rPr>
          <w:rFonts w:ascii="Times New Roman" w:hAnsi="Times New Roman"/>
          <w:color w:val="auto"/>
          <w:sz w:val="24"/>
          <w:szCs w:val="22"/>
        </w:rPr>
        <w:t xml:space="preserve">barriers for </w:t>
      </w:r>
      <w:r>
        <w:rPr>
          <w:rFonts w:ascii="Times New Roman" w:hAnsi="Times New Roman"/>
          <w:color w:val="auto"/>
          <w:sz w:val="24"/>
          <w:szCs w:val="22"/>
        </w:rPr>
        <w:t xml:space="preserve">minor </w:t>
      </w:r>
      <w:r w:rsidRPr="00006CBA">
        <w:rPr>
          <w:rFonts w:ascii="Times New Roman" w:hAnsi="Times New Roman"/>
          <w:color w:val="auto"/>
          <w:sz w:val="24"/>
          <w:szCs w:val="22"/>
        </w:rPr>
        <w:t>visa applicant</w:t>
      </w:r>
      <w:r>
        <w:rPr>
          <w:rFonts w:ascii="Times New Roman" w:hAnsi="Times New Roman"/>
          <w:color w:val="auto"/>
          <w:sz w:val="24"/>
          <w:szCs w:val="22"/>
        </w:rPr>
        <w:t xml:space="preserve">s </w:t>
      </w:r>
      <w:r w:rsidRPr="00006CBA">
        <w:rPr>
          <w:rFonts w:ascii="Times New Roman" w:hAnsi="Times New Roman"/>
          <w:sz w:val="24"/>
          <w:szCs w:val="22"/>
        </w:rPr>
        <w:t xml:space="preserve">born and </w:t>
      </w:r>
      <w:r>
        <w:rPr>
          <w:rFonts w:ascii="Times New Roman" w:hAnsi="Times New Roman"/>
          <w:sz w:val="24"/>
          <w:szCs w:val="22"/>
        </w:rPr>
        <w:t xml:space="preserve">ordinarily resident </w:t>
      </w:r>
      <w:r w:rsidRPr="00006CBA">
        <w:rPr>
          <w:rFonts w:ascii="Times New Roman" w:hAnsi="Times New Roman"/>
          <w:color w:val="auto"/>
          <w:sz w:val="24"/>
          <w:szCs w:val="22"/>
        </w:rPr>
        <w:t>in Australia</w:t>
      </w:r>
      <w:r w:rsidRPr="00006CBA">
        <w:rPr>
          <w:rFonts w:ascii="Times New Roman" w:hAnsi="Times New Roman"/>
          <w:sz w:val="24"/>
          <w:szCs w:val="22"/>
        </w:rPr>
        <w:t xml:space="preserve"> with a health condition or </w:t>
      </w:r>
      <w:r>
        <w:rPr>
          <w:rFonts w:ascii="Times New Roman" w:hAnsi="Times New Roman"/>
          <w:sz w:val="24"/>
          <w:szCs w:val="22"/>
        </w:rPr>
        <w:t>d</w:t>
      </w:r>
      <w:r w:rsidRPr="00006CBA">
        <w:rPr>
          <w:rFonts w:ascii="Times New Roman" w:hAnsi="Times New Roman"/>
          <w:sz w:val="24"/>
          <w:szCs w:val="22"/>
        </w:rPr>
        <w:t>isability</w:t>
      </w:r>
      <w:r>
        <w:rPr>
          <w:rFonts w:ascii="Times New Roman" w:hAnsi="Times New Roman"/>
          <w:sz w:val="24"/>
          <w:szCs w:val="22"/>
        </w:rPr>
        <w:t>, as well as their parents who are applying for a visa with them. The</w:t>
      </w:r>
      <w:r>
        <w:rPr>
          <w:rFonts w:ascii="Times New Roman" w:hAnsi="Times New Roman"/>
          <w:color w:val="auto"/>
          <w:sz w:val="24"/>
          <w:szCs w:val="22"/>
        </w:rPr>
        <w:t xml:space="preserve"> amendment supports the ability of such children to remain in Australia on an equal basis with minor visa applicants born and ordinarily resident in Australia </w:t>
      </w:r>
      <w:r>
        <w:rPr>
          <w:rFonts w:ascii="Times New Roman" w:hAnsi="Times New Roman" w:cs="Times New Roman"/>
          <w:sz w:val="24"/>
          <w:szCs w:val="22"/>
        </w:rPr>
        <w:t>without a health condition or disability</w:t>
      </w:r>
      <w:r>
        <w:rPr>
          <w:rFonts w:ascii="Times New Roman" w:hAnsi="Times New Roman"/>
          <w:color w:val="auto"/>
          <w:sz w:val="24"/>
          <w:szCs w:val="22"/>
        </w:rPr>
        <w:t>. Further, where such children and their families are ultimately granted permanent residence, this amendment supports access of the child and their family to a broader range of publicly-funded development, safety and well-being supports, thereby supporting a broad range of rights under the CRPD, for example those in Article 26 relating to rehabilitation.</w:t>
      </w:r>
    </w:p>
    <w:p w14:paraId="7379330A" w14:textId="77777777" w:rsidR="00AD42FB" w:rsidRPr="00BD152E" w:rsidRDefault="00AD42FB" w:rsidP="00AD42FB">
      <w:pPr>
        <w:pStyle w:val="legcomeasuredash"/>
        <w:numPr>
          <w:ilvl w:val="0"/>
          <w:numId w:val="0"/>
        </w:numPr>
        <w:spacing w:before="240"/>
        <w:jc w:val="both"/>
        <w:rPr>
          <w:rFonts w:ascii="Times New Roman" w:hAnsi="Times New Roman"/>
          <w:i/>
          <w:color w:val="auto"/>
          <w:sz w:val="24"/>
          <w:szCs w:val="22"/>
        </w:rPr>
      </w:pPr>
      <w:r w:rsidRPr="00BD152E">
        <w:rPr>
          <w:rFonts w:ascii="Times New Roman" w:hAnsi="Times New Roman"/>
          <w:i/>
          <w:color w:val="auto"/>
          <w:sz w:val="24"/>
          <w:szCs w:val="22"/>
        </w:rPr>
        <w:t>Rights of children</w:t>
      </w:r>
    </w:p>
    <w:p w14:paraId="0BA7FC46" w14:textId="77777777" w:rsidR="00AD42FB" w:rsidRDefault="00AD42FB" w:rsidP="00AD42FB">
      <w:pPr>
        <w:pStyle w:val="legcomeasuredash"/>
        <w:numPr>
          <w:ilvl w:val="0"/>
          <w:numId w:val="0"/>
        </w:numPr>
        <w:spacing w:before="240"/>
        <w:jc w:val="both"/>
        <w:rPr>
          <w:rFonts w:ascii="Times New Roman" w:hAnsi="Times New Roman"/>
          <w:color w:val="auto"/>
          <w:sz w:val="24"/>
          <w:szCs w:val="22"/>
        </w:rPr>
      </w:pPr>
      <w:r>
        <w:rPr>
          <w:rFonts w:ascii="Times New Roman" w:hAnsi="Times New Roman"/>
          <w:color w:val="auto"/>
          <w:sz w:val="24"/>
          <w:szCs w:val="22"/>
        </w:rPr>
        <w:t>Article 23 of the CRC states, in part:</w:t>
      </w:r>
    </w:p>
    <w:p w14:paraId="4685C3CC" w14:textId="77777777" w:rsidR="00AD42FB"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r w:rsidRPr="00BD152E">
        <w:rPr>
          <w:rFonts w:ascii="Times New Roman" w:eastAsia="Times New Roman" w:hAnsi="Times New Roman" w:cs="Times New Roman"/>
          <w:i/>
          <w:sz w:val="24"/>
          <w:szCs w:val="27"/>
          <w:lang w:eastAsia="en-AU"/>
        </w:rPr>
        <w:t>1. States Parties recognize that a mentally or physically disabled child should enjoy a full and decent life, in conditions which ensure dignity, promote self-reliance and facilitate the child's active participation in the community.</w:t>
      </w:r>
    </w:p>
    <w:p w14:paraId="14B5560F" w14:textId="77777777" w:rsidR="00AD42FB" w:rsidRPr="00BD152E"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p>
    <w:p w14:paraId="0BB334F9" w14:textId="77777777" w:rsidR="00AD42FB"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r w:rsidRPr="00BD152E">
        <w:rPr>
          <w:rFonts w:ascii="Times New Roman" w:eastAsia="Times New Roman" w:hAnsi="Times New Roman" w:cs="Times New Roman"/>
          <w:i/>
          <w:sz w:val="24"/>
          <w:szCs w:val="27"/>
          <w:lang w:eastAsia="en-AU"/>
        </w:rPr>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14:paraId="7503FEC8" w14:textId="77777777" w:rsidR="00AD42FB" w:rsidRPr="00D20519"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p>
    <w:p w14:paraId="3552460D" w14:textId="77777777" w:rsidR="00AD42FB" w:rsidRPr="00274B99"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r w:rsidRPr="00D20519">
        <w:rPr>
          <w:rFonts w:ascii="Times New Roman" w:eastAsia="Times New Roman" w:hAnsi="Times New Roman" w:cs="Times New Roman"/>
          <w:i/>
          <w:sz w:val="24"/>
          <w:szCs w:val="27"/>
          <w:lang w:eastAsia="en-AU"/>
        </w:rPr>
        <w:t>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r w:rsidRPr="00274B99">
        <w:rPr>
          <w:rFonts w:ascii="Times New Roman" w:eastAsia="Times New Roman" w:hAnsi="Times New Roman" w:cs="Times New Roman"/>
          <w:i/>
          <w:sz w:val="24"/>
          <w:szCs w:val="27"/>
          <w:lang w:eastAsia="en-AU"/>
        </w:rPr>
        <w:t xml:space="preserve"> […]</w:t>
      </w:r>
    </w:p>
    <w:p w14:paraId="30564341" w14:textId="77777777" w:rsidR="00AD42FB" w:rsidRDefault="00AD42FB" w:rsidP="00AD42FB">
      <w:pPr>
        <w:pStyle w:val="legcomeasuredash"/>
        <w:numPr>
          <w:ilvl w:val="0"/>
          <w:numId w:val="0"/>
        </w:numPr>
        <w:spacing w:before="240"/>
        <w:jc w:val="both"/>
        <w:rPr>
          <w:rFonts w:ascii="Times New Roman" w:hAnsi="Times New Roman"/>
          <w:color w:val="auto"/>
          <w:sz w:val="24"/>
          <w:szCs w:val="22"/>
        </w:rPr>
      </w:pPr>
      <w:r>
        <w:rPr>
          <w:rFonts w:ascii="Times New Roman" w:hAnsi="Times New Roman"/>
          <w:color w:val="auto"/>
          <w:sz w:val="24"/>
          <w:szCs w:val="22"/>
        </w:rPr>
        <w:t xml:space="preserve">The amendments made by the Amendment Regulations have the effect that those visa applicants who are non-citizen minors born and ordinarily resident in Australia will no longer be prevented from meeting the migration health requirement if </w:t>
      </w:r>
      <w:r>
        <w:rPr>
          <w:rFonts w:ascii="Times New Roman" w:hAnsi="Times New Roman" w:cs="Times New Roman"/>
          <w:sz w:val="24"/>
          <w:szCs w:val="22"/>
        </w:rPr>
        <w:t>their health condition or disability would have resulted in significant cost or prejudice the access of Australian citizens and permanent residents to certain health services in short supply. As noted above,</w:t>
      </w:r>
      <w:r>
        <w:rPr>
          <w:rFonts w:ascii="Times New Roman" w:hAnsi="Times New Roman"/>
          <w:color w:val="auto"/>
          <w:sz w:val="24"/>
          <w:szCs w:val="22"/>
        </w:rPr>
        <w:t xml:space="preserve"> </w:t>
      </w:r>
      <w:r>
        <w:rPr>
          <w:rFonts w:ascii="Times New Roman" w:hAnsi="Times New Roman" w:cs="Times New Roman"/>
          <w:sz w:val="24"/>
          <w:szCs w:val="22"/>
        </w:rPr>
        <w:t xml:space="preserve">by removing an aspect of the migration health requirement that acted as a barrier to permanent residency for non-citizen </w:t>
      </w:r>
      <w:r>
        <w:rPr>
          <w:rFonts w:ascii="Times New Roman" w:hAnsi="Times New Roman"/>
          <w:color w:val="auto"/>
          <w:sz w:val="24"/>
          <w:szCs w:val="22"/>
        </w:rPr>
        <w:t xml:space="preserve">minors born and ordinarily resident in Australia </w:t>
      </w:r>
      <w:r>
        <w:rPr>
          <w:rFonts w:ascii="Times New Roman" w:hAnsi="Times New Roman" w:cs="Times New Roman"/>
          <w:sz w:val="24"/>
          <w:szCs w:val="22"/>
        </w:rPr>
        <w:t>with a disability or health condition, this measure means that, after being granted a permanent visa, these children will have access to publicly funded disability supports (such as those provided through the NDIS). This supports their rights under Article 23 of the CRC as well as other rights such as those in Article 24 relating to health.</w:t>
      </w:r>
    </w:p>
    <w:p w14:paraId="785EE8FB" w14:textId="77777777" w:rsidR="00AD42FB" w:rsidRPr="00FD35CB" w:rsidRDefault="00AD42FB" w:rsidP="00AD42FB">
      <w:pPr>
        <w:pStyle w:val="legcomeasuredash"/>
        <w:keepNext/>
        <w:numPr>
          <w:ilvl w:val="0"/>
          <w:numId w:val="0"/>
        </w:numPr>
        <w:spacing w:before="240"/>
        <w:ind w:left="397" w:hanging="397"/>
        <w:jc w:val="both"/>
        <w:rPr>
          <w:rFonts w:ascii="Times New Roman" w:hAnsi="Times New Roman"/>
          <w:color w:val="auto"/>
          <w:sz w:val="24"/>
          <w:szCs w:val="22"/>
        </w:rPr>
      </w:pPr>
      <w:r>
        <w:rPr>
          <w:rFonts w:ascii="Times New Roman" w:hAnsi="Times New Roman"/>
          <w:i/>
          <w:color w:val="auto"/>
          <w:sz w:val="24"/>
          <w:szCs w:val="22"/>
        </w:rPr>
        <w:lastRenderedPageBreak/>
        <w:t xml:space="preserve">Non-discrimination </w:t>
      </w:r>
    </w:p>
    <w:p w14:paraId="6C1CD340" w14:textId="77777777" w:rsidR="00AD42FB" w:rsidRDefault="00AD42FB" w:rsidP="00AD42FB">
      <w:pPr>
        <w:pStyle w:val="legcomeasuredash"/>
        <w:numPr>
          <w:ilvl w:val="0"/>
          <w:numId w:val="0"/>
        </w:numPr>
        <w:spacing w:before="240" w:after="240"/>
        <w:jc w:val="both"/>
        <w:rPr>
          <w:rFonts w:ascii="Times New Roman" w:hAnsi="Times New Roman"/>
          <w:color w:val="auto"/>
          <w:sz w:val="24"/>
          <w:szCs w:val="22"/>
        </w:rPr>
      </w:pPr>
      <w:r>
        <w:rPr>
          <w:rFonts w:ascii="Times New Roman" w:hAnsi="Times New Roman"/>
          <w:color w:val="auto"/>
          <w:sz w:val="24"/>
          <w:szCs w:val="22"/>
        </w:rPr>
        <w:t xml:space="preserve">The CRPD </w:t>
      </w:r>
      <w:r w:rsidRPr="00D30D84">
        <w:rPr>
          <w:rFonts w:ascii="Times New Roman" w:hAnsi="Times New Roman"/>
          <w:color w:val="auto"/>
          <w:sz w:val="24"/>
          <w:szCs w:val="22"/>
        </w:rPr>
        <w:t>requires countries to ensure and promote the full realisation of all human rights and fundamental freedoms for all persons with disability without discrimination of any kind on the basis of their disability.</w:t>
      </w:r>
      <w:r>
        <w:rPr>
          <w:rFonts w:ascii="Times New Roman" w:hAnsi="Times New Roman"/>
          <w:color w:val="auto"/>
          <w:sz w:val="24"/>
          <w:szCs w:val="22"/>
        </w:rPr>
        <w:t xml:space="preserve"> </w:t>
      </w:r>
    </w:p>
    <w:p w14:paraId="28E13803" w14:textId="77777777" w:rsidR="00AD42FB" w:rsidRDefault="00AD42FB" w:rsidP="00AD42FB">
      <w:pPr>
        <w:pStyle w:val="legcomeasuredash"/>
        <w:numPr>
          <w:ilvl w:val="0"/>
          <w:numId w:val="0"/>
        </w:numPr>
        <w:spacing w:before="240" w:after="240"/>
        <w:jc w:val="both"/>
        <w:rPr>
          <w:rFonts w:ascii="Times New Roman" w:hAnsi="Times New Roman"/>
          <w:color w:val="auto"/>
          <w:sz w:val="24"/>
          <w:szCs w:val="22"/>
        </w:rPr>
      </w:pPr>
      <w:r>
        <w:rPr>
          <w:rFonts w:ascii="Times New Roman" w:hAnsi="Times New Roman"/>
          <w:color w:val="auto"/>
          <w:sz w:val="24"/>
          <w:szCs w:val="22"/>
        </w:rPr>
        <w:t xml:space="preserve">Article 26 of the ICCPR states: </w:t>
      </w:r>
    </w:p>
    <w:p w14:paraId="632E8502" w14:textId="77777777" w:rsidR="00AD42FB" w:rsidRPr="00823046" w:rsidRDefault="00AD42FB" w:rsidP="00AD42FB">
      <w:pPr>
        <w:pStyle w:val="ListParagraph"/>
        <w:spacing w:before="100" w:beforeAutospacing="1" w:after="100" w:afterAutospacing="1" w:line="240" w:lineRule="auto"/>
        <w:ind w:left="567"/>
        <w:jc w:val="both"/>
        <w:rPr>
          <w:rFonts w:ascii="Times New Roman" w:eastAsia="Times New Roman" w:hAnsi="Times New Roman" w:cs="Times New Roman"/>
          <w:i/>
          <w:sz w:val="24"/>
          <w:szCs w:val="27"/>
          <w:lang w:eastAsia="en-AU"/>
        </w:rPr>
      </w:pPr>
      <w:r w:rsidRPr="00823046">
        <w:rPr>
          <w:rFonts w:ascii="Times New Roman" w:eastAsia="Times New Roman" w:hAnsi="Times New Roman" w:cs="Times New Roman"/>
          <w:i/>
          <w:sz w:val="24"/>
          <w:szCs w:val="27"/>
          <w:lang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0AB1873B" w14:textId="77777777" w:rsidR="00AD42FB" w:rsidRPr="004C24C0" w:rsidRDefault="00AD42FB" w:rsidP="00AD42FB">
      <w:pPr>
        <w:spacing w:line="240" w:lineRule="auto"/>
        <w:jc w:val="both"/>
        <w:rPr>
          <w:rFonts w:ascii="Times New Roman" w:hAnsi="Times New Roman" w:cs="Times New Roman"/>
          <w:i/>
          <w:sz w:val="24"/>
          <w:szCs w:val="24"/>
        </w:rPr>
      </w:pPr>
      <w:r>
        <w:rPr>
          <w:rFonts w:ascii="Times New Roman" w:hAnsi="Times New Roman"/>
          <w:sz w:val="24"/>
        </w:rPr>
        <w:t>The amendment is a beneficial measure for non-citizen minors with disabilities and/or health conditions who were born and are ordinarily resident in Australia.</w:t>
      </w:r>
    </w:p>
    <w:p w14:paraId="579D8C51" w14:textId="77777777" w:rsidR="00AD42FB" w:rsidRDefault="00AD42FB" w:rsidP="00AD42FB">
      <w:pPr>
        <w:spacing w:before="120" w:after="120" w:line="240" w:lineRule="auto"/>
        <w:jc w:val="both"/>
        <w:rPr>
          <w:rFonts w:ascii="Times New Roman" w:hAnsi="Times New Roman" w:cs="Times New Roman"/>
          <w:sz w:val="24"/>
          <w:szCs w:val="24"/>
        </w:rPr>
      </w:pPr>
      <w:r>
        <w:rPr>
          <w:rFonts w:ascii="Times New Roman" w:hAnsi="Times New Roman"/>
          <w:sz w:val="24"/>
        </w:rPr>
        <w:t xml:space="preserve">Targeted and public consultation indicated concern that minor visa applicants born and ordinarily resident in Australia suffered discrimination by experiencing immigration barriers by virtue of their health condition or disability. </w:t>
      </w:r>
      <w:r>
        <w:rPr>
          <w:rFonts w:ascii="Times New Roman" w:hAnsi="Times New Roman" w:cs="Times New Roman"/>
          <w:sz w:val="24"/>
          <w:szCs w:val="24"/>
        </w:rPr>
        <w:t>The</w:t>
      </w:r>
      <w:r w:rsidRPr="00043DD4">
        <w:rPr>
          <w:rFonts w:ascii="Times New Roman" w:hAnsi="Times New Roman" w:cs="Times New Roman"/>
          <w:sz w:val="24"/>
          <w:szCs w:val="24"/>
        </w:rPr>
        <w:t xml:space="preserve"> consultation</w:t>
      </w:r>
      <w:r>
        <w:rPr>
          <w:rFonts w:ascii="Times New Roman" w:hAnsi="Times New Roman" w:cs="Times New Roman"/>
          <w:sz w:val="24"/>
          <w:szCs w:val="24"/>
        </w:rPr>
        <w:t>s</w:t>
      </w:r>
      <w:r w:rsidRPr="00043DD4">
        <w:rPr>
          <w:rFonts w:ascii="Times New Roman" w:hAnsi="Times New Roman" w:cs="Times New Roman"/>
          <w:sz w:val="24"/>
          <w:szCs w:val="24"/>
        </w:rPr>
        <w:t xml:space="preserve"> demonstrated that the community’s expectation is that </w:t>
      </w:r>
      <w:r>
        <w:rPr>
          <w:rFonts w:ascii="Times New Roman" w:hAnsi="Times New Roman" w:cs="Times New Roman"/>
          <w:sz w:val="24"/>
          <w:szCs w:val="24"/>
        </w:rPr>
        <w:t xml:space="preserve">minor visa applicants </w:t>
      </w:r>
      <w:r w:rsidRPr="00043DD4">
        <w:rPr>
          <w:rFonts w:ascii="Times New Roman" w:hAnsi="Times New Roman" w:cs="Times New Roman"/>
          <w:sz w:val="24"/>
          <w:szCs w:val="24"/>
        </w:rPr>
        <w:t xml:space="preserve">born and </w:t>
      </w:r>
      <w:r>
        <w:rPr>
          <w:rFonts w:ascii="Times New Roman" w:hAnsi="Times New Roman" w:cs="Times New Roman"/>
          <w:sz w:val="24"/>
          <w:szCs w:val="24"/>
        </w:rPr>
        <w:t xml:space="preserve">ordinarily resident </w:t>
      </w:r>
      <w:r w:rsidRPr="00043DD4">
        <w:rPr>
          <w:rFonts w:ascii="Times New Roman" w:hAnsi="Times New Roman" w:cs="Times New Roman"/>
          <w:sz w:val="24"/>
          <w:szCs w:val="24"/>
        </w:rPr>
        <w:t xml:space="preserve">in Australia with a health condition or disability </w:t>
      </w:r>
      <w:r>
        <w:rPr>
          <w:rFonts w:ascii="Times New Roman" w:hAnsi="Times New Roman" w:cs="Times New Roman"/>
          <w:sz w:val="24"/>
          <w:szCs w:val="24"/>
        </w:rPr>
        <w:t xml:space="preserve">should </w:t>
      </w:r>
      <w:r w:rsidRPr="00043DD4">
        <w:rPr>
          <w:rFonts w:ascii="Times New Roman" w:hAnsi="Times New Roman" w:cs="Times New Roman"/>
          <w:sz w:val="24"/>
          <w:szCs w:val="24"/>
        </w:rPr>
        <w:t>receiv</w:t>
      </w:r>
      <w:r>
        <w:rPr>
          <w:rFonts w:ascii="Times New Roman" w:hAnsi="Times New Roman" w:cs="Times New Roman"/>
          <w:sz w:val="24"/>
          <w:szCs w:val="24"/>
        </w:rPr>
        <w:t>e special consideration in the application of the migration health r</w:t>
      </w:r>
      <w:r w:rsidRPr="00043DD4">
        <w:rPr>
          <w:rFonts w:ascii="Times New Roman" w:hAnsi="Times New Roman" w:cs="Times New Roman"/>
          <w:sz w:val="24"/>
          <w:szCs w:val="24"/>
        </w:rPr>
        <w:t>equirement, due to their inherent connection to the Australian community since birth</w:t>
      </w:r>
      <w:r>
        <w:rPr>
          <w:rFonts w:ascii="Times New Roman" w:hAnsi="Times New Roman" w:cs="Times New Roman"/>
          <w:sz w:val="24"/>
          <w:szCs w:val="24"/>
        </w:rPr>
        <w:t>.</w:t>
      </w:r>
    </w:p>
    <w:p w14:paraId="521CEDDF" w14:textId="77777777" w:rsidR="00AD42FB" w:rsidRPr="00836883" w:rsidRDefault="00AD42FB" w:rsidP="00AD42FB">
      <w:pPr>
        <w:spacing w:before="120" w:after="120" w:line="240" w:lineRule="auto"/>
        <w:jc w:val="both"/>
        <w:rPr>
          <w:rFonts w:ascii="Times New Roman" w:hAnsi="Times New Roman" w:cs="Times New Roman"/>
          <w:sz w:val="24"/>
          <w:szCs w:val="24"/>
        </w:rPr>
      </w:pPr>
      <w:r w:rsidRPr="00753DC4">
        <w:rPr>
          <w:rFonts w:ascii="Times New Roman" w:hAnsi="Times New Roman" w:cs="Times New Roman"/>
          <w:sz w:val="24"/>
          <w:szCs w:val="24"/>
        </w:rPr>
        <w:t xml:space="preserve">The Amendment Regulations implement the Australian Government’s commitment made in the final response to the </w:t>
      </w:r>
      <w:r>
        <w:rPr>
          <w:rFonts w:ascii="Times New Roman" w:hAnsi="Times New Roman" w:cs="Times New Roman"/>
          <w:sz w:val="24"/>
          <w:szCs w:val="24"/>
        </w:rPr>
        <w:t>Disability Royal Commission Report</w:t>
      </w:r>
      <w:r w:rsidRPr="00753DC4">
        <w:rPr>
          <w:rFonts w:ascii="Times New Roman" w:hAnsi="Times New Roman" w:cs="Times New Roman"/>
          <w:sz w:val="24"/>
          <w:szCs w:val="24"/>
        </w:rPr>
        <w:t xml:space="preserve"> by allowing a </w:t>
      </w:r>
      <w:r>
        <w:rPr>
          <w:rFonts w:ascii="Times New Roman" w:hAnsi="Times New Roman" w:cs="Times New Roman"/>
          <w:sz w:val="24"/>
          <w:szCs w:val="24"/>
        </w:rPr>
        <w:t>non-citizen minor visa applicant</w:t>
      </w:r>
      <w:r w:rsidRPr="00753DC4">
        <w:rPr>
          <w:rFonts w:ascii="Times New Roman" w:hAnsi="Times New Roman" w:cs="Times New Roman"/>
          <w:sz w:val="24"/>
          <w:szCs w:val="24"/>
        </w:rPr>
        <w:t xml:space="preserve"> born and who ordinarily resides in Australia with a health condition and/or a disability to no longer be </w:t>
      </w:r>
      <w:r>
        <w:rPr>
          <w:rFonts w:ascii="Times New Roman" w:hAnsi="Times New Roman" w:cs="Times New Roman"/>
          <w:sz w:val="24"/>
          <w:szCs w:val="24"/>
        </w:rPr>
        <w:t>ineligible to be granted a</w:t>
      </w:r>
      <w:r w:rsidRPr="00753DC4">
        <w:rPr>
          <w:rFonts w:ascii="Times New Roman" w:hAnsi="Times New Roman" w:cs="Times New Roman"/>
          <w:sz w:val="24"/>
          <w:szCs w:val="24"/>
        </w:rPr>
        <w:t xml:space="preserve"> visa solely due to </w:t>
      </w:r>
      <w:r>
        <w:rPr>
          <w:rFonts w:ascii="Times New Roman" w:hAnsi="Times New Roman" w:cs="Times New Roman"/>
          <w:sz w:val="24"/>
          <w:szCs w:val="24"/>
        </w:rPr>
        <w:t>having a</w:t>
      </w:r>
      <w:r w:rsidRPr="00753DC4">
        <w:rPr>
          <w:rFonts w:ascii="Times New Roman" w:hAnsi="Times New Roman" w:cs="Times New Roman"/>
          <w:sz w:val="24"/>
          <w:szCs w:val="24"/>
        </w:rPr>
        <w:t xml:space="preserve"> health condition or disability</w:t>
      </w:r>
      <w:r>
        <w:rPr>
          <w:rFonts w:ascii="Times New Roman" w:hAnsi="Times New Roman" w:cs="Times New Roman"/>
          <w:sz w:val="24"/>
          <w:szCs w:val="24"/>
        </w:rPr>
        <w:t xml:space="preserve"> that </w:t>
      </w:r>
      <w:r>
        <w:rPr>
          <w:rFonts w:ascii="Times New Roman" w:hAnsi="Times New Roman" w:cs="Times New Roman"/>
          <w:sz w:val="24"/>
        </w:rPr>
        <w:t>would have resulted in significant cost to the Australian community or prejudice the access of Australian citizens and permanent residents to certain health services in short supply</w:t>
      </w:r>
      <w:r>
        <w:rPr>
          <w:rFonts w:ascii="Times New Roman" w:hAnsi="Times New Roman" w:cs="Times New Roman"/>
          <w:sz w:val="24"/>
          <w:szCs w:val="24"/>
        </w:rPr>
        <w:t>. This helps</w:t>
      </w:r>
      <w:r w:rsidRPr="00753DC4">
        <w:rPr>
          <w:rFonts w:ascii="Times New Roman" w:hAnsi="Times New Roman" w:cs="Times New Roman"/>
          <w:sz w:val="24"/>
          <w:szCs w:val="24"/>
        </w:rPr>
        <w:t xml:space="preserve"> ensure</w:t>
      </w:r>
      <w:r>
        <w:rPr>
          <w:rFonts w:ascii="Times New Roman" w:hAnsi="Times New Roman" w:cs="Times New Roman"/>
          <w:sz w:val="24"/>
          <w:szCs w:val="24"/>
        </w:rPr>
        <w:t xml:space="preserve"> a</w:t>
      </w:r>
      <w:r w:rsidRPr="00753DC4">
        <w:rPr>
          <w:rFonts w:ascii="Times New Roman" w:hAnsi="Times New Roman" w:cs="Times New Roman"/>
          <w:sz w:val="24"/>
          <w:szCs w:val="24"/>
        </w:rPr>
        <w:t xml:space="preserve"> fair and equal opportunity for </w:t>
      </w:r>
      <w:r>
        <w:rPr>
          <w:rFonts w:ascii="Times New Roman" w:hAnsi="Times New Roman" w:cs="Times New Roman"/>
          <w:sz w:val="24"/>
          <w:szCs w:val="24"/>
        </w:rPr>
        <w:t xml:space="preserve">these children and their families to remain </w:t>
      </w:r>
      <w:r w:rsidRPr="00753DC4">
        <w:rPr>
          <w:rFonts w:ascii="Times New Roman" w:hAnsi="Times New Roman" w:cs="Times New Roman"/>
          <w:sz w:val="24"/>
          <w:szCs w:val="24"/>
        </w:rPr>
        <w:t>in Australia</w:t>
      </w:r>
      <w:r>
        <w:rPr>
          <w:rFonts w:ascii="Times New Roman" w:hAnsi="Times New Roman" w:cs="Times New Roman"/>
          <w:sz w:val="24"/>
          <w:szCs w:val="24"/>
        </w:rPr>
        <w:t>, including on a permanent basis, and promotes their rights relating to non</w:t>
      </w:r>
      <w:r>
        <w:rPr>
          <w:rFonts w:ascii="Times New Roman" w:hAnsi="Times New Roman" w:cs="Times New Roman"/>
          <w:sz w:val="24"/>
          <w:szCs w:val="24"/>
        </w:rPr>
        <w:noBreakHyphen/>
        <w:t>discrimination</w:t>
      </w:r>
      <w:r w:rsidRPr="00753DC4">
        <w:rPr>
          <w:rFonts w:ascii="Times New Roman" w:hAnsi="Times New Roman" w:cs="Times New Roman"/>
          <w:sz w:val="24"/>
          <w:szCs w:val="24"/>
        </w:rPr>
        <w:t>.</w:t>
      </w:r>
    </w:p>
    <w:p w14:paraId="3ADE53D0" w14:textId="77777777" w:rsidR="00AD42FB" w:rsidRPr="0063791F" w:rsidRDefault="00AD42FB" w:rsidP="00AD42FB">
      <w:pPr>
        <w:pStyle w:val="legcomeasuredash"/>
        <w:numPr>
          <w:ilvl w:val="0"/>
          <w:numId w:val="0"/>
        </w:numPr>
        <w:spacing w:before="240"/>
        <w:jc w:val="both"/>
        <w:rPr>
          <w:rFonts w:ascii="Times New Roman" w:hAnsi="Times New Roman" w:cs="Times New Roman"/>
          <w:sz w:val="24"/>
        </w:rPr>
      </w:pPr>
    </w:p>
    <w:p w14:paraId="7E421731" w14:textId="77777777" w:rsidR="00AD42FB" w:rsidRDefault="00AD42FB" w:rsidP="00AD42FB">
      <w:pPr>
        <w:pStyle w:val="Heading3"/>
      </w:pPr>
      <w:r>
        <w:t>Conclusion</w:t>
      </w:r>
    </w:p>
    <w:p w14:paraId="4880C1B0" w14:textId="77777777" w:rsidR="00AD42FB" w:rsidRDefault="00AD42FB" w:rsidP="00AD42FB">
      <w:pPr>
        <w:spacing w:before="120" w:after="120" w:line="240" w:lineRule="auto"/>
        <w:jc w:val="both"/>
        <w:rPr>
          <w:rFonts w:ascii="Times New Roman" w:hAnsi="Times New Roman"/>
          <w:sz w:val="24"/>
          <w:szCs w:val="24"/>
        </w:rPr>
      </w:pPr>
      <w:r>
        <w:rPr>
          <w:rFonts w:ascii="Times New Roman" w:hAnsi="Times New Roman"/>
          <w:sz w:val="24"/>
          <w:szCs w:val="24"/>
        </w:rPr>
        <w:t>This Disallowable Legislative Instrument is compatible with human rights.</w:t>
      </w:r>
    </w:p>
    <w:p w14:paraId="0E9365C4" w14:textId="77777777" w:rsidR="00AD42FB" w:rsidRDefault="00AD42FB" w:rsidP="00AD42FB">
      <w:pPr>
        <w:spacing w:before="120" w:after="120" w:line="240" w:lineRule="auto"/>
        <w:jc w:val="both"/>
        <w:rPr>
          <w:rFonts w:ascii="Times New Roman" w:hAnsi="Times New Roman"/>
          <w:sz w:val="24"/>
          <w:szCs w:val="24"/>
        </w:rPr>
      </w:pPr>
    </w:p>
    <w:p w14:paraId="47B3C819" w14:textId="77777777" w:rsidR="00AD42FB" w:rsidRDefault="00AD42FB" w:rsidP="00AD42FB">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The Hon Tony Burke MP</w:t>
      </w:r>
      <w:r w:rsidRPr="003F3ACB">
        <w:rPr>
          <w:rFonts w:ascii="Times New Roman" w:hAnsi="Times New Roman" w:cs="Times New Roman"/>
          <w:b/>
          <w:sz w:val="24"/>
          <w:szCs w:val="24"/>
        </w:rPr>
        <w:t xml:space="preserve"> </w:t>
      </w:r>
    </w:p>
    <w:p w14:paraId="57105440" w14:textId="77777777" w:rsidR="00AD42FB" w:rsidRPr="003F3ACB" w:rsidRDefault="00AD42FB" w:rsidP="00AD42FB">
      <w:pPr>
        <w:spacing w:before="120" w:after="120" w:line="240" w:lineRule="auto"/>
        <w:jc w:val="center"/>
        <w:rPr>
          <w:rFonts w:ascii="Times New Roman" w:hAnsi="Times New Roman" w:cs="Times New Roman"/>
          <w:b/>
          <w:sz w:val="24"/>
          <w:szCs w:val="24"/>
        </w:rPr>
      </w:pPr>
      <w:r w:rsidRPr="003F3ACB">
        <w:rPr>
          <w:rFonts w:ascii="Times New Roman" w:hAnsi="Times New Roman" w:cs="Times New Roman"/>
          <w:b/>
          <w:sz w:val="24"/>
          <w:szCs w:val="24"/>
        </w:rPr>
        <w:t>Minister for Immigration and Multicultural Affairs</w:t>
      </w:r>
    </w:p>
    <w:p w14:paraId="287D0E0B" w14:textId="77777777" w:rsidR="00AD42FB" w:rsidRDefault="00AD42FB" w:rsidP="00AD42FB">
      <w:pPr>
        <w:pStyle w:val="ESoutlinetext"/>
        <w:spacing w:before="240" w:line="240" w:lineRule="auto"/>
        <w:jc w:val="right"/>
        <w:rPr>
          <w:b/>
          <w:color w:val="000000" w:themeColor="text1"/>
          <w:u w:val="single"/>
        </w:rPr>
      </w:pPr>
    </w:p>
    <w:p w14:paraId="609079F6" w14:textId="77777777" w:rsidR="00AD42FB" w:rsidRPr="00E91EEA" w:rsidRDefault="00AD42FB" w:rsidP="00AD42FB">
      <w:pPr>
        <w:rPr>
          <w:rFonts w:ascii="Times New Roman" w:eastAsia="Times New Roman" w:hAnsi="Times New Roman" w:cs="Times New Roman"/>
          <w:b/>
          <w:color w:val="000000" w:themeColor="text1"/>
          <w:sz w:val="24"/>
          <w:szCs w:val="24"/>
          <w:u w:val="single"/>
          <w:lang w:eastAsia="en-AU"/>
        </w:rPr>
      </w:pPr>
    </w:p>
    <w:p w14:paraId="69D58389" w14:textId="77777777" w:rsidR="007F5C17" w:rsidRDefault="007F5C17">
      <w:pPr>
        <w:rPr>
          <w:rFonts w:ascii="Times New Roman" w:eastAsia="Times New Roman" w:hAnsi="Times New Roman" w:cs="Times New Roman"/>
          <w:b/>
          <w:color w:val="000000" w:themeColor="text1"/>
          <w:sz w:val="24"/>
          <w:szCs w:val="24"/>
          <w:u w:val="single"/>
          <w:lang w:eastAsia="en-AU"/>
        </w:rPr>
      </w:pPr>
      <w:r>
        <w:rPr>
          <w:b/>
          <w:color w:val="000000" w:themeColor="text1"/>
          <w:u w:val="single"/>
        </w:rPr>
        <w:br w:type="page"/>
      </w:r>
    </w:p>
    <w:p w14:paraId="6B43B818" w14:textId="31216968" w:rsidR="00161994" w:rsidRDefault="00161994" w:rsidP="002034C2">
      <w:pPr>
        <w:pStyle w:val="ESoutlinetext"/>
        <w:spacing w:before="240" w:line="240" w:lineRule="auto"/>
        <w:jc w:val="right"/>
        <w:rPr>
          <w:b/>
          <w:color w:val="000000" w:themeColor="text1"/>
          <w:u w:val="single"/>
        </w:rPr>
      </w:pPr>
      <w:r>
        <w:rPr>
          <w:b/>
          <w:color w:val="000000" w:themeColor="text1"/>
          <w:u w:val="single"/>
        </w:rPr>
        <w:lastRenderedPageBreak/>
        <w:t>ATTACHMENT C</w:t>
      </w:r>
    </w:p>
    <w:p w14:paraId="63621B4D" w14:textId="1698571E" w:rsidR="00D62215" w:rsidRPr="00D62215" w:rsidRDefault="00D62215" w:rsidP="00D62215">
      <w:pPr>
        <w:spacing w:before="240" w:after="0"/>
        <w:rPr>
          <w:rFonts w:ascii="Times New Roman" w:hAnsi="Times New Roman" w:cs="Times New Roman"/>
          <w:iCs/>
          <w:sz w:val="24"/>
        </w:rPr>
      </w:pPr>
      <w:r w:rsidRPr="00D62215">
        <w:rPr>
          <w:rFonts w:ascii="Times New Roman" w:hAnsi="Times New Roman" w:cs="Times New Roman"/>
          <w:iCs/>
          <w:sz w:val="24"/>
        </w:rPr>
        <w:t>The Department of Home Affairs (</w:t>
      </w:r>
      <w:r>
        <w:rPr>
          <w:rFonts w:ascii="Times New Roman" w:hAnsi="Times New Roman" w:cs="Times New Roman"/>
          <w:iCs/>
          <w:sz w:val="24"/>
        </w:rPr>
        <w:t xml:space="preserve">the </w:t>
      </w:r>
      <w:r w:rsidRPr="00D62215">
        <w:rPr>
          <w:rFonts w:ascii="Times New Roman" w:hAnsi="Times New Roman" w:cs="Times New Roman"/>
          <w:iCs/>
          <w:sz w:val="24"/>
        </w:rPr>
        <w:t xml:space="preserve">Department) consulted with the following Commonwealth Government agencies on the </w:t>
      </w:r>
      <w:r w:rsidR="005D122F">
        <w:rPr>
          <w:rFonts w:ascii="Times New Roman" w:hAnsi="Times New Roman" w:cs="Times New Roman"/>
          <w:iCs/>
          <w:sz w:val="24"/>
        </w:rPr>
        <w:t>Amendment</w:t>
      </w:r>
      <w:r w:rsidRPr="00D62215">
        <w:rPr>
          <w:rFonts w:ascii="Times New Roman" w:hAnsi="Times New Roman" w:cs="Times New Roman"/>
          <w:iCs/>
          <w:sz w:val="24"/>
        </w:rPr>
        <w:t xml:space="preserve"> Regulations:</w:t>
      </w:r>
    </w:p>
    <w:p w14:paraId="45BE4A44" w14:textId="6A0BCDA0" w:rsidR="00D62215" w:rsidRPr="00D62215" w:rsidRDefault="000B5E98" w:rsidP="00D62215">
      <w:pPr>
        <w:pStyle w:val="ListParagraph"/>
        <w:numPr>
          <w:ilvl w:val="0"/>
          <w:numId w:val="18"/>
        </w:numPr>
        <w:spacing w:before="240" w:after="0" w:line="360" w:lineRule="auto"/>
        <w:rPr>
          <w:rFonts w:ascii="Times New Roman" w:hAnsi="Times New Roman" w:cs="Times New Roman"/>
          <w:iCs/>
          <w:sz w:val="24"/>
        </w:rPr>
      </w:pPr>
      <w:r>
        <w:rPr>
          <w:rFonts w:ascii="Times New Roman" w:hAnsi="Times New Roman" w:cs="Times New Roman"/>
          <w:sz w:val="24"/>
        </w:rPr>
        <w:t>t</w:t>
      </w:r>
      <w:r w:rsidR="00D62215" w:rsidRPr="00D62215">
        <w:rPr>
          <w:rFonts w:ascii="Times New Roman" w:hAnsi="Times New Roman" w:cs="Times New Roman"/>
          <w:sz w:val="24"/>
        </w:rPr>
        <w:t>he Department of Social Services;</w:t>
      </w:r>
    </w:p>
    <w:p w14:paraId="3033DEC2" w14:textId="488F8240" w:rsidR="00D62215" w:rsidRPr="00D62215" w:rsidRDefault="000B5E98" w:rsidP="00D62215">
      <w:pPr>
        <w:pStyle w:val="ListParagraph"/>
        <w:numPr>
          <w:ilvl w:val="0"/>
          <w:numId w:val="18"/>
        </w:numPr>
        <w:spacing w:before="240" w:after="0" w:line="360" w:lineRule="auto"/>
        <w:rPr>
          <w:rFonts w:ascii="Times New Roman" w:hAnsi="Times New Roman" w:cs="Times New Roman"/>
          <w:iCs/>
          <w:sz w:val="24"/>
        </w:rPr>
      </w:pPr>
      <w:r>
        <w:rPr>
          <w:rFonts w:ascii="Times New Roman" w:hAnsi="Times New Roman" w:cs="Times New Roman"/>
          <w:sz w:val="24"/>
        </w:rPr>
        <w:t>t</w:t>
      </w:r>
      <w:r w:rsidR="00D62215" w:rsidRPr="00D62215">
        <w:rPr>
          <w:rFonts w:ascii="Times New Roman" w:hAnsi="Times New Roman" w:cs="Times New Roman"/>
          <w:sz w:val="24"/>
        </w:rPr>
        <w:t xml:space="preserve">he Department of Health and Aged Care; and </w:t>
      </w:r>
    </w:p>
    <w:p w14:paraId="50F579F7" w14:textId="2B195F4A" w:rsidR="00D62215" w:rsidRPr="00D62215" w:rsidRDefault="000B5E98" w:rsidP="00D62215">
      <w:pPr>
        <w:pStyle w:val="ListParagraph"/>
        <w:numPr>
          <w:ilvl w:val="0"/>
          <w:numId w:val="18"/>
        </w:numPr>
        <w:spacing w:before="240" w:after="0" w:line="360" w:lineRule="auto"/>
        <w:rPr>
          <w:rFonts w:ascii="Times New Roman" w:hAnsi="Times New Roman" w:cs="Times New Roman"/>
          <w:iCs/>
          <w:sz w:val="24"/>
        </w:rPr>
      </w:pPr>
      <w:r>
        <w:rPr>
          <w:rFonts w:ascii="Times New Roman" w:hAnsi="Times New Roman" w:cs="Times New Roman"/>
          <w:sz w:val="24"/>
        </w:rPr>
        <w:t>t</w:t>
      </w:r>
      <w:r w:rsidR="00D62215" w:rsidRPr="00D62215">
        <w:rPr>
          <w:rFonts w:ascii="Times New Roman" w:hAnsi="Times New Roman" w:cs="Times New Roman"/>
          <w:sz w:val="24"/>
        </w:rPr>
        <w:t>he National Disability Insurance Agency</w:t>
      </w:r>
      <w:r w:rsidR="00D62215">
        <w:rPr>
          <w:rFonts w:ascii="Times New Roman" w:hAnsi="Times New Roman" w:cs="Times New Roman"/>
          <w:sz w:val="24"/>
        </w:rPr>
        <w:t>.</w:t>
      </w:r>
    </w:p>
    <w:p w14:paraId="7454C920" w14:textId="71B24D71" w:rsidR="00D62215" w:rsidRPr="00D62215" w:rsidRDefault="00D62215" w:rsidP="00D62215">
      <w:pPr>
        <w:spacing w:before="240" w:after="0"/>
        <w:rPr>
          <w:rFonts w:ascii="Times New Roman" w:hAnsi="Times New Roman" w:cs="Times New Roman"/>
          <w:iCs/>
          <w:sz w:val="24"/>
        </w:rPr>
      </w:pPr>
      <w:r w:rsidRPr="00D62215">
        <w:rPr>
          <w:rFonts w:ascii="Times New Roman" w:hAnsi="Times New Roman" w:cs="Times New Roman"/>
          <w:iCs/>
          <w:sz w:val="24"/>
        </w:rPr>
        <w:t xml:space="preserve">The following State and Territory Government agencies were consulted on the </w:t>
      </w:r>
      <w:r w:rsidR="005D122F">
        <w:rPr>
          <w:rFonts w:ascii="Times New Roman" w:hAnsi="Times New Roman" w:cs="Times New Roman"/>
          <w:iCs/>
          <w:sz w:val="24"/>
        </w:rPr>
        <w:t>Amendment</w:t>
      </w:r>
      <w:r w:rsidR="005D122F" w:rsidRPr="00D62215">
        <w:rPr>
          <w:rFonts w:ascii="Times New Roman" w:hAnsi="Times New Roman" w:cs="Times New Roman"/>
          <w:iCs/>
          <w:sz w:val="24"/>
        </w:rPr>
        <w:t xml:space="preserve"> </w:t>
      </w:r>
      <w:r w:rsidRPr="00D62215">
        <w:rPr>
          <w:rFonts w:ascii="Times New Roman" w:hAnsi="Times New Roman" w:cs="Times New Roman"/>
          <w:iCs/>
          <w:sz w:val="24"/>
        </w:rPr>
        <w:t xml:space="preserve">Regulations: </w:t>
      </w:r>
    </w:p>
    <w:p w14:paraId="73B4CD01" w14:textId="77777777" w:rsidR="00D62215" w:rsidRPr="00D62215" w:rsidRDefault="00D62215" w:rsidP="00D62215">
      <w:pPr>
        <w:pStyle w:val="ListParagraph"/>
        <w:numPr>
          <w:ilvl w:val="0"/>
          <w:numId w:val="19"/>
        </w:numPr>
        <w:spacing w:before="240" w:after="0" w:line="360" w:lineRule="auto"/>
        <w:rPr>
          <w:rFonts w:ascii="Times New Roman" w:hAnsi="Times New Roman" w:cs="Times New Roman"/>
          <w:iCs/>
          <w:sz w:val="24"/>
        </w:rPr>
      </w:pPr>
      <w:r w:rsidRPr="00D62215">
        <w:rPr>
          <w:rFonts w:ascii="Times New Roman" w:hAnsi="Times New Roman" w:cs="Times New Roman"/>
          <w:sz w:val="24"/>
        </w:rPr>
        <w:t xml:space="preserve">Health </w:t>
      </w:r>
      <w:r w:rsidRPr="00D62215">
        <w:rPr>
          <w:rFonts w:ascii="Times New Roman" w:hAnsi="Times New Roman" w:cs="Times New Roman"/>
          <w:color w:val="000000" w:themeColor="text1"/>
          <w:sz w:val="24"/>
        </w:rPr>
        <w:t>Departments of New South Wales, Victoria, Queensland, Tasmania, South Australia, Western Australia, the Australian Capital Territory and Northern Territory;</w:t>
      </w:r>
    </w:p>
    <w:p w14:paraId="7A298D48" w14:textId="77777777" w:rsidR="00D62215" w:rsidRPr="00D62215" w:rsidRDefault="00D62215" w:rsidP="00D62215">
      <w:pPr>
        <w:pStyle w:val="ListParagraph"/>
        <w:numPr>
          <w:ilvl w:val="0"/>
          <w:numId w:val="19"/>
        </w:numPr>
        <w:spacing w:before="240" w:after="0" w:line="360" w:lineRule="auto"/>
        <w:rPr>
          <w:rFonts w:ascii="Times New Roman" w:hAnsi="Times New Roman" w:cs="Times New Roman"/>
          <w:iCs/>
          <w:sz w:val="24"/>
        </w:rPr>
      </w:pPr>
      <w:r w:rsidRPr="00D62215">
        <w:rPr>
          <w:rFonts w:ascii="Times New Roman" w:hAnsi="Times New Roman" w:cs="Times New Roman"/>
          <w:sz w:val="24"/>
        </w:rPr>
        <w:t>Education Departments</w:t>
      </w:r>
      <w:r w:rsidRPr="00D62215">
        <w:rPr>
          <w:rFonts w:ascii="Times New Roman" w:hAnsi="Times New Roman" w:cs="Times New Roman"/>
          <w:color w:val="000000" w:themeColor="text1"/>
          <w:sz w:val="24"/>
        </w:rPr>
        <w:t xml:space="preserve"> of New South Wales, Victoria and Queensland</w:t>
      </w:r>
      <w:r w:rsidRPr="00D62215">
        <w:rPr>
          <w:rFonts w:ascii="Times New Roman" w:hAnsi="Times New Roman" w:cs="Times New Roman"/>
          <w:sz w:val="24"/>
        </w:rPr>
        <w:t xml:space="preserve">; and </w:t>
      </w:r>
    </w:p>
    <w:p w14:paraId="271DEEFB" w14:textId="77777777" w:rsidR="00D62215" w:rsidRPr="00D62215" w:rsidRDefault="00D62215" w:rsidP="00D62215">
      <w:pPr>
        <w:pStyle w:val="ListParagraph"/>
        <w:numPr>
          <w:ilvl w:val="0"/>
          <w:numId w:val="19"/>
        </w:numPr>
        <w:spacing w:before="240" w:after="0" w:line="360" w:lineRule="auto"/>
        <w:rPr>
          <w:rFonts w:ascii="Times New Roman" w:hAnsi="Times New Roman" w:cs="Times New Roman"/>
          <w:iCs/>
          <w:sz w:val="24"/>
        </w:rPr>
      </w:pPr>
      <w:r w:rsidRPr="00D62215">
        <w:rPr>
          <w:rFonts w:ascii="Times New Roman" w:hAnsi="Times New Roman" w:cs="Times New Roman"/>
          <w:sz w:val="24"/>
        </w:rPr>
        <w:t xml:space="preserve">Treasury of </w:t>
      </w:r>
      <w:r w:rsidRPr="00D62215">
        <w:rPr>
          <w:rFonts w:ascii="Times New Roman" w:hAnsi="Times New Roman" w:cs="Times New Roman"/>
          <w:color w:val="000000" w:themeColor="text1"/>
          <w:sz w:val="24"/>
        </w:rPr>
        <w:t>New South Wales, Victoria, Tasmania, South Australia, the Australian Capital Territory and Northern Territory.</w:t>
      </w:r>
    </w:p>
    <w:p w14:paraId="4265D558" w14:textId="01354D79" w:rsidR="00D62215" w:rsidRPr="00D62215" w:rsidRDefault="00D62215" w:rsidP="00D62215">
      <w:pPr>
        <w:spacing w:before="240" w:after="0"/>
        <w:rPr>
          <w:rFonts w:ascii="Times New Roman" w:hAnsi="Times New Roman" w:cs="Times New Roman"/>
          <w:iCs/>
          <w:sz w:val="24"/>
        </w:rPr>
      </w:pPr>
      <w:r w:rsidRPr="00D62215">
        <w:rPr>
          <w:rFonts w:ascii="Times New Roman" w:hAnsi="Times New Roman" w:cs="Times New Roman"/>
          <w:iCs/>
          <w:sz w:val="24"/>
        </w:rPr>
        <w:t xml:space="preserve">The following non-Government organisations were consulted </w:t>
      </w:r>
      <w:r w:rsidR="000B5E98">
        <w:rPr>
          <w:rFonts w:ascii="Times New Roman" w:hAnsi="Times New Roman" w:cs="Times New Roman"/>
          <w:iCs/>
          <w:sz w:val="24"/>
        </w:rPr>
        <w:t>in relation to</w:t>
      </w:r>
      <w:r w:rsidRPr="00D62215">
        <w:rPr>
          <w:rFonts w:ascii="Times New Roman" w:hAnsi="Times New Roman" w:cs="Times New Roman"/>
          <w:iCs/>
          <w:sz w:val="24"/>
        </w:rPr>
        <w:t xml:space="preserve"> the </w:t>
      </w:r>
      <w:r w:rsidR="005D122F">
        <w:rPr>
          <w:rFonts w:ascii="Times New Roman" w:hAnsi="Times New Roman" w:cs="Times New Roman"/>
          <w:iCs/>
          <w:sz w:val="24"/>
        </w:rPr>
        <w:t>Amendment</w:t>
      </w:r>
      <w:r w:rsidR="005D122F" w:rsidRPr="00D62215">
        <w:rPr>
          <w:rFonts w:ascii="Times New Roman" w:hAnsi="Times New Roman" w:cs="Times New Roman"/>
          <w:iCs/>
          <w:sz w:val="24"/>
        </w:rPr>
        <w:t xml:space="preserve"> </w:t>
      </w:r>
      <w:r w:rsidRPr="00D62215">
        <w:rPr>
          <w:rFonts w:ascii="Times New Roman" w:hAnsi="Times New Roman" w:cs="Times New Roman"/>
          <w:iCs/>
          <w:sz w:val="24"/>
        </w:rPr>
        <w:t xml:space="preserve">Regulations: </w:t>
      </w:r>
    </w:p>
    <w:p w14:paraId="57B679B8" w14:textId="77777777" w:rsidR="00D62215" w:rsidRPr="00D62215" w:rsidRDefault="00D62215" w:rsidP="00D62215">
      <w:pPr>
        <w:pStyle w:val="ListParagraph"/>
        <w:numPr>
          <w:ilvl w:val="0"/>
          <w:numId w:val="18"/>
        </w:numPr>
        <w:spacing w:before="240" w:after="0" w:line="360" w:lineRule="auto"/>
        <w:rPr>
          <w:rFonts w:ascii="Times New Roman" w:hAnsi="Times New Roman" w:cs="Times New Roman"/>
          <w:sz w:val="24"/>
        </w:rPr>
      </w:pPr>
      <w:r w:rsidRPr="00D62215">
        <w:rPr>
          <w:rFonts w:ascii="Times New Roman" w:hAnsi="Times New Roman" w:cs="Times New Roman"/>
          <w:sz w:val="24"/>
        </w:rPr>
        <w:t>People with Disability Australia;</w:t>
      </w:r>
    </w:p>
    <w:p w14:paraId="0E685F23" w14:textId="77777777" w:rsidR="00D62215" w:rsidRPr="00D62215" w:rsidRDefault="00D62215" w:rsidP="00D62215">
      <w:pPr>
        <w:pStyle w:val="ListParagraph"/>
        <w:numPr>
          <w:ilvl w:val="0"/>
          <w:numId w:val="18"/>
        </w:numPr>
        <w:spacing w:before="240" w:after="0" w:line="360" w:lineRule="auto"/>
        <w:rPr>
          <w:rFonts w:ascii="Times New Roman" w:hAnsi="Times New Roman" w:cs="Times New Roman"/>
          <w:sz w:val="24"/>
        </w:rPr>
      </w:pPr>
      <w:r w:rsidRPr="00D62215">
        <w:rPr>
          <w:rFonts w:ascii="Times New Roman" w:hAnsi="Times New Roman" w:cs="Times New Roman"/>
          <w:sz w:val="24"/>
        </w:rPr>
        <w:t xml:space="preserve">Down Syndrome Australia; </w:t>
      </w:r>
    </w:p>
    <w:p w14:paraId="55168CA4" w14:textId="77777777" w:rsidR="00D62215" w:rsidRPr="00D62215" w:rsidRDefault="00D62215" w:rsidP="00D62215">
      <w:pPr>
        <w:pStyle w:val="ListParagraph"/>
        <w:numPr>
          <w:ilvl w:val="0"/>
          <w:numId w:val="18"/>
        </w:numPr>
        <w:spacing w:before="240" w:after="0" w:line="360" w:lineRule="auto"/>
        <w:rPr>
          <w:rFonts w:ascii="Times New Roman" w:hAnsi="Times New Roman" w:cs="Times New Roman"/>
          <w:sz w:val="24"/>
        </w:rPr>
      </w:pPr>
      <w:r w:rsidRPr="00D62215">
        <w:rPr>
          <w:rFonts w:ascii="Times New Roman" w:hAnsi="Times New Roman" w:cs="Times New Roman"/>
          <w:sz w:val="24"/>
        </w:rPr>
        <w:t>Welcoming Disability; and</w:t>
      </w:r>
    </w:p>
    <w:p w14:paraId="5D1E61FE" w14:textId="77777777" w:rsidR="00D62215" w:rsidRPr="00D62215" w:rsidRDefault="00D62215" w:rsidP="00D62215">
      <w:pPr>
        <w:pStyle w:val="ListParagraph"/>
        <w:numPr>
          <w:ilvl w:val="0"/>
          <w:numId w:val="18"/>
        </w:numPr>
        <w:spacing w:before="240" w:after="0" w:line="360" w:lineRule="auto"/>
        <w:rPr>
          <w:rFonts w:ascii="Times New Roman" w:hAnsi="Times New Roman" w:cs="Times New Roman"/>
          <w:sz w:val="24"/>
        </w:rPr>
      </w:pPr>
      <w:r w:rsidRPr="00D62215">
        <w:rPr>
          <w:rFonts w:ascii="Times New Roman" w:hAnsi="Times New Roman" w:cs="Times New Roman"/>
          <w:sz w:val="24"/>
        </w:rPr>
        <w:t xml:space="preserve">Australian Lawyers for Human Rights. </w:t>
      </w:r>
    </w:p>
    <w:p w14:paraId="71A2351F" w14:textId="77777777" w:rsidR="00D62215" w:rsidRPr="00D62215" w:rsidRDefault="00D62215" w:rsidP="00D62215">
      <w:pPr>
        <w:spacing w:before="240" w:after="0"/>
        <w:rPr>
          <w:rFonts w:ascii="Times New Roman" w:hAnsi="Times New Roman" w:cs="Times New Roman"/>
          <w:iCs/>
          <w:sz w:val="24"/>
        </w:rPr>
      </w:pPr>
      <w:r w:rsidRPr="00D62215">
        <w:rPr>
          <w:rFonts w:ascii="Times New Roman" w:hAnsi="Times New Roman" w:cs="Times New Roman"/>
          <w:iCs/>
          <w:sz w:val="24"/>
        </w:rPr>
        <w:t xml:space="preserve">Public consultation conducted by the Department also occurred in November 2023. The Department released its review after the consultation in April 2024. </w:t>
      </w:r>
    </w:p>
    <w:p w14:paraId="617774A8" w14:textId="77777777" w:rsidR="00D62215" w:rsidRPr="00D62215" w:rsidRDefault="00D62215" w:rsidP="00D62215">
      <w:pPr>
        <w:spacing w:before="240" w:after="120"/>
        <w:contextualSpacing/>
        <w:rPr>
          <w:rFonts w:ascii="Times New Roman" w:hAnsi="Times New Roman" w:cs="Times New Roman"/>
          <w:iCs/>
          <w:sz w:val="24"/>
        </w:rPr>
      </w:pPr>
    </w:p>
    <w:p w14:paraId="12180547" w14:textId="6D480A1D" w:rsidR="00D62215" w:rsidRPr="00D62215" w:rsidRDefault="00D62215" w:rsidP="00D62215">
      <w:pPr>
        <w:spacing w:before="240" w:after="120"/>
        <w:contextualSpacing/>
        <w:rPr>
          <w:rFonts w:ascii="Times New Roman" w:hAnsi="Times New Roman" w:cs="Times New Roman"/>
          <w:sz w:val="24"/>
          <w:u w:val="single"/>
        </w:rPr>
      </w:pPr>
      <w:r w:rsidRPr="00D62215">
        <w:rPr>
          <w:rFonts w:ascii="Times New Roman" w:hAnsi="Times New Roman" w:cs="Times New Roman"/>
          <w:sz w:val="24"/>
        </w:rPr>
        <w:t>Feedback on the changes was positive from all consultations, with minimal risks being identified.</w:t>
      </w:r>
      <w:r w:rsidRPr="00D62215">
        <w:rPr>
          <w:rFonts w:ascii="Times New Roman" w:hAnsi="Times New Roman" w:cs="Times New Roman"/>
          <w:sz w:val="24"/>
          <w:u w:val="single"/>
        </w:rPr>
        <w:t xml:space="preserve"> </w:t>
      </w:r>
    </w:p>
    <w:p w14:paraId="4EEFD28A" w14:textId="77777777" w:rsidR="00425AA9" w:rsidRPr="00D62215" w:rsidRDefault="00425AA9" w:rsidP="002034C2">
      <w:pPr>
        <w:pStyle w:val="ESoutlinetext"/>
        <w:spacing w:before="240" w:line="240" w:lineRule="auto"/>
        <w:jc w:val="right"/>
        <w:rPr>
          <w:b/>
          <w:color w:val="000000" w:themeColor="text1"/>
          <w:sz w:val="28"/>
          <w:u w:val="single"/>
        </w:rPr>
      </w:pPr>
      <w:r w:rsidRPr="00D62215">
        <w:rPr>
          <w:b/>
          <w:color w:val="000000" w:themeColor="text1"/>
          <w:sz w:val="28"/>
          <w:u w:val="single"/>
        </w:rPr>
        <w:br/>
      </w:r>
    </w:p>
    <w:p w14:paraId="259DBC31" w14:textId="77777777" w:rsidR="00425AA9" w:rsidRDefault="00425AA9">
      <w:pPr>
        <w:rPr>
          <w:rFonts w:ascii="Times New Roman" w:eastAsia="Times New Roman" w:hAnsi="Times New Roman" w:cs="Times New Roman"/>
          <w:b/>
          <w:color w:val="000000" w:themeColor="text1"/>
          <w:sz w:val="24"/>
          <w:szCs w:val="24"/>
          <w:u w:val="single"/>
          <w:lang w:eastAsia="en-AU"/>
        </w:rPr>
      </w:pPr>
      <w:r w:rsidRPr="00D62215">
        <w:rPr>
          <w:rFonts w:ascii="Times New Roman" w:hAnsi="Times New Roman" w:cs="Times New Roman"/>
          <w:b/>
          <w:color w:val="000000" w:themeColor="text1"/>
          <w:sz w:val="24"/>
          <w:u w:val="single"/>
        </w:rPr>
        <w:br w:type="page"/>
      </w:r>
    </w:p>
    <w:p w14:paraId="5494EB26" w14:textId="616CCA67" w:rsidR="00425AA9" w:rsidRDefault="00425AA9" w:rsidP="002034C2">
      <w:pPr>
        <w:pStyle w:val="ESoutlinetext"/>
        <w:spacing w:before="240" w:line="240" w:lineRule="auto"/>
        <w:jc w:val="right"/>
        <w:rPr>
          <w:color w:val="000000" w:themeColor="text1"/>
        </w:rPr>
      </w:pPr>
      <w:r>
        <w:rPr>
          <w:b/>
          <w:color w:val="000000" w:themeColor="text1"/>
          <w:u w:val="single"/>
        </w:rPr>
        <w:lastRenderedPageBreak/>
        <w:t>ATTACHMENT D</w:t>
      </w:r>
    </w:p>
    <w:p w14:paraId="1BA158C1" w14:textId="6EFE9ACB" w:rsidR="003309BD" w:rsidRDefault="003309BD" w:rsidP="002034C2">
      <w:pPr>
        <w:pStyle w:val="Default"/>
        <w:spacing w:before="240" w:after="120"/>
        <w:contextualSpacing/>
        <w:rPr>
          <w:b/>
          <w:i/>
          <w:u w:val="single"/>
        </w:rPr>
      </w:pPr>
      <w:r w:rsidRPr="00725626">
        <w:rPr>
          <w:b/>
          <w:bCs/>
          <w:u w:val="single"/>
        </w:rPr>
        <w:t xml:space="preserve">Details of the </w:t>
      </w:r>
      <w:r w:rsidRPr="00725626">
        <w:rPr>
          <w:b/>
          <w:i/>
          <w:u w:val="single"/>
        </w:rPr>
        <w:t xml:space="preserve">Migration Amendment </w:t>
      </w:r>
      <w:r w:rsidR="00A2050E">
        <w:rPr>
          <w:b/>
          <w:i/>
          <w:u w:val="single"/>
        </w:rPr>
        <w:t>(Public Interest Criteria 4005 and 4007</w:t>
      </w:r>
      <w:r w:rsidRPr="00725626">
        <w:rPr>
          <w:b/>
          <w:i/>
          <w:u w:val="single"/>
        </w:rPr>
        <w:t>) Regulations 2024</w:t>
      </w:r>
    </w:p>
    <w:p w14:paraId="38855ABA" w14:textId="77777777" w:rsidR="00AF2235" w:rsidRDefault="00AF2235" w:rsidP="002034C2">
      <w:pPr>
        <w:pStyle w:val="Default"/>
        <w:spacing w:before="240" w:after="120"/>
        <w:contextualSpacing/>
        <w:rPr>
          <w:b/>
          <w:i/>
          <w:u w:val="single"/>
        </w:rPr>
      </w:pPr>
    </w:p>
    <w:p w14:paraId="7BD1ECF3" w14:textId="77777777" w:rsidR="00AF2235" w:rsidRDefault="00AF2235" w:rsidP="002034C2">
      <w:pPr>
        <w:pStyle w:val="Default"/>
        <w:spacing w:before="240" w:after="120"/>
        <w:rPr>
          <w:iCs/>
          <w:u w:val="single"/>
        </w:rPr>
      </w:pPr>
      <w:r>
        <w:rPr>
          <w:iCs/>
          <w:u w:val="single"/>
        </w:rPr>
        <w:t>Section 1 – Name</w:t>
      </w:r>
    </w:p>
    <w:p w14:paraId="3F7C2D4C" w14:textId="69CCB0EF" w:rsidR="00AF2235" w:rsidRPr="00184449" w:rsidRDefault="00AF2235" w:rsidP="002034C2">
      <w:pPr>
        <w:pStyle w:val="Default"/>
        <w:spacing w:before="240" w:after="120"/>
        <w:contextualSpacing/>
        <w:rPr>
          <w:iCs/>
        </w:rPr>
      </w:pPr>
      <w:r>
        <w:rPr>
          <w:iCs/>
        </w:rPr>
        <w:t xml:space="preserve">This section provides that the title of this instrument is the </w:t>
      </w:r>
      <w:r w:rsidRPr="00387D4A">
        <w:rPr>
          <w:i/>
        </w:rPr>
        <w:t>Migration Amendment (</w:t>
      </w:r>
      <w:r w:rsidRPr="00941C19">
        <w:rPr>
          <w:i/>
        </w:rPr>
        <w:t>Public Interest Criteria 4005 and 4007</w:t>
      </w:r>
      <w:r>
        <w:rPr>
          <w:i/>
        </w:rPr>
        <w:t xml:space="preserve">) </w:t>
      </w:r>
      <w:r w:rsidRPr="00387D4A">
        <w:rPr>
          <w:i/>
        </w:rPr>
        <w:t>Regulations 2024</w:t>
      </w:r>
      <w:r>
        <w:rPr>
          <w:i/>
        </w:rPr>
        <w:t xml:space="preserve"> </w:t>
      </w:r>
      <w:r>
        <w:rPr>
          <w:iCs/>
        </w:rPr>
        <w:t xml:space="preserve">(the </w:t>
      </w:r>
      <w:r w:rsidR="00DB7744">
        <w:rPr>
          <w:iCs/>
        </w:rPr>
        <w:t>Amendment</w:t>
      </w:r>
      <w:r>
        <w:rPr>
          <w:iCs/>
        </w:rPr>
        <w:t xml:space="preserve"> Regulations)</w:t>
      </w:r>
      <w:r>
        <w:rPr>
          <w:i/>
        </w:rPr>
        <w:t>.</w:t>
      </w:r>
    </w:p>
    <w:p w14:paraId="19E2A2BD" w14:textId="77777777" w:rsidR="00AF2235" w:rsidRDefault="00AF2235" w:rsidP="002034C2">
      <w:pPr>
        <w:pStyle w:val="Default"/>
        <w:spacing w:before="240" w:after="120"/>
        <w:contextualSpacing/>
        <w:rPr>
          <w:iCs/>
          <w:u w:val="single"/>
        </w:rPr>
      </w:pPr>
    </w:p>
    <w:p w14:paraId="2689F63E" w14:textId="77777777" w:rsidR="00AF2235" w:rsidRDefault="00AF2235" w:rsidP="002034C2">
      <w:pPr>
        <w:pStyle w:val="Default"/>
        <w:spacing w:before="240" w:after="120"/>
        <w:rPr>
          <w:iCs/>
          <w:u w:val="single"/>
        </w:rPr>
      </w:pPr>
      <w:r>
        <w:rPr>
          <w:iCs/>
          <w:u w:val="single"/>
        </w:rPr>
        <w:t>Section 2 – Commencement</w:t>
      </w:r>
    </w:p>
    <w:p w14:paraId="15B86A3D" w14:textId="6A651A77" w:rsidR="00AF2235" w:rsidRDefault="00AF2235" w:rsidP="002034C2">
      <w:pPr>
        <w:pStyle w:val="Default"/>
        <w:spacing w:before="240" w:after="120"/>
        <w:contextualSpacing/>
        <w:rPr>
          <w:iCs/>
        </w:rPr>
      </w:pPr>
      <w:r>
        <w:rPr>
          <w:iCs/>
        </w:rPr>
        <w:t xml:space="preserve">This section provides for the commencement of the provisions in the </w:t>
      </w:r>
      <w:r w:rsidR="00DB7744">
        <w:rPr>
          <w:iCs/>
        </w:rPr>
        <w:t xml:space="preserve">Amendment </w:t>
      </w:r>
      <w:r>
        <w:rPr>
          <w:iCs/>
        </w:rPr>
        <w:t>Regulations.</w:t>
      </w:r>
    </w:p>
    <w:p w14:paraId="5ED06519" w14:textId="77777777" w:rsidR="00AF2235" w:rsidRDefault="00AF2235" w:rsidP="002034C2">
      <w:pPr>
        <w:pStyle w:val="Default"/>
        <w:spacing w:before="240" w:after="120"/>
        <w:contextualSpacing/>
        <w:rPr>
          <w:iCs/>
        </w:rPr>
      </w:pPr>
    </w:p>
    <w:p w14:paraId="7BC36019" w14:textId="684893BD" w:rsidR="00AF2235" w:rsidRDefault="00AF2235" w:rsidP="002034C2">
      <w:pPr>
        <w:pStyle w:val="Default"/>
        <w:spacing w:before="240" w:after="120"/>
        <w:contextualSpacing/>
        <w:rPr>
          <w:iCs/>
        </w:rPr>
      </w:pPr>
      <w:r>
        <w:rPr>
          <w:iCs/>
        </w:rPr>
        <w:t xml:space="preserve">Subsection 2(1) </w:t>
      </w:r>
      <w:r w:rsidR="00725810">
        <w:rPr>
          <w:iCs/>
        </w:rPr>
        <w:t>states</w:t>
      </w:r>
      <w:r>
        <w:rPr>
          <w:iCs/>
        </w:rPr>
        <w:t xml:space="preserve"> that each provision of the Regulations specified in column 1 of the table commences, or is taken to have commenced, in accordance with column 2 of the table. The effect of this is that the </w:t>
      </w:r>
      <w:r w:rsidR="00DB7744">
        <w:rPr>
          <w:iCs/>
        </w:rPr>
        <w:t xml:space="preserve">Amendment </w:t>
      </w:r>
      <w:r>
        <w:rPr>
          <w:iCs/>
        </w:rPr>
        <w:t xml:space="preserve">Regulations </w:t>
      </w:r>
      <w:r w:rsidR="00DB7744">
        <w:rPr>
          <w:iCs/>
        </w:rPr>
        <w:t>will</w:t>
      </w:r>
      <w:r>
        <w:rPr>
          <w:iCs/>
        </w:rPr>
        <w:t xml:space="preserve"> commence in their entirety on the day after registration on the Federal Register of Legislation. </w:t>
      </w:r>
    </w:p>
    <w:p w14:paraId="114A8E21" w14:textId="77777777" w:rsidR="00AF2235" w:rsidRDefault="00AF2235" w:rsidP="002034C2">
      <w:pPr>
        <w:pStyle w:val="Default"/>
        <w:spacing w:before="240" w:after="120"/>
        <w:contextualSpacing/>
        <w:rPr>
          <w:iCs/>
        </w:rPr>
      </w:pPr>
    </w:p>
    <w:p w14:paraId="743B42F4" w14:textId="27B0CC6D" w:rsidR="00AF2235" w:rsidRDefault="00AF2235" w:rsidP="002034C2">
      <w:pPr>
        <w:pStyle w:val="Default"/>
        <w:spacing w:before="240" w:after="120"/>
        <w:contextualSpacing/>
        <w:rPr>
          <w:iCs/>
        </w:rPr>
      </w:pPr>
      <w:r>
        <w:rPr>
          <w:iCs/>
        </w:rPr>
        <w:t xml:space="preserve">A note at the foot of the table under subsection 2(1) explains that the table relates only to the provisions of the </w:t>
      </w:r>
      <w:r w:rsidR="00DB7744">
        <w:rPr>
          <w:iCs/>
        </w:rPr>
        <w:t xml:space="preserve">Amendment </w:t>
      </w:r>
      <w:r>
        <w:rPr>
          <w:iCs/>
        </w:rPr>
        <w:t xml:space="preserve">Regulations as originally made, and will </w:t>
      </w:r>
      <w:r w:rsidR="00DB7744">
        <w:rPr>
          <w:iCs/>
        </w:rPr>
        <w:t xml:space="preserve">not be amended to </w:t>
      </w:r>
      <w:r>
        <w:rPr>
          <w:iCs/>
        </w:rPr>
        <w:t xml:space="preserve">deal with any later amendments to the </w:t>
      </w:r>
      <w:r w:rsidR="00DB7744">
        <w:rPr>
          <w:iCs/>
        </w:rPr>
        <w:t xml:space="preserve">Amendment </w:t>
      </w:r>
      <w:r>
        <w:rPr>
          <w:iCs/>
        </w:rPr>
        <w:t>Regulations.</w:t>
      </w:r>
    </w:p>
    <w:p w14:paraId="208488F9" w14:textId="77777777" w:rsidR="00AF2235" w:rsidRDefault="00AF2235" w:rsidP="002034C2">
      <w:pPr>
        <w:pStyle w:val="Default"/>
        <w:spacing w:before="240" w:after="120"/>
        <w:contextualSpacing/>
        <w:rPr>
          <w:iCs/>
        </w:rPr>
      </w:pPr>
    </w:p>
    <w:p w14:paraId="17877587" w14:textId="2F32205A" w:rsidR="00AF2235" w:rsidRDefault="00AF2235" w:rsidP="002034C2">
      <w:pPr>
        <w:pStyle w:val="Default"/>
        <w:spacing w:before="240" w:after="120"/>
        <w:contextualSpacing/>
        <w:rPr>
          <w:iCs/>
        </w:rPr>
      </w:pPr>
      <w:r>
        <w:rPr>
          <w:iCs/>
        </w:rPr>
        <w:t xml:space="preserve">Subsection 2(2) provides that any information in column 3 of the table is not part of the </w:t>
      </w:r>
      <w:r w:rsidR="00DB7744">
        <w:rPr>
          <w:iCs/>
        </w:rPr>
        <w:t xml:space="preserve">Amendment </w:t>
      </w:r>
      <w:r>
        <w:rPr>
          <w:iCs/>
        </w:rPr>
        <w:t xml:space="preserve">Regulations. </w:t>
      </w:r>
    </w:p>
    <w:p w14:paraId="42B470F1" w14:textId="77777777" w:rsidR="00AF2235" w:rsidRPr="00387D4A" w:rsidRDefault="00AF2235" w:rsidP="002034C2">
      <w:pPr>
        <w:pStyle w:val="Default"/>
        <w:spacing w:before="240" w:after="120"/>
        <w:contextualSpacing/>
        <w:rPr>
          <w:iCs/>
        </w:rPr>
      </w:pPr>
    </w:p>
    <w:p w14:paraId="1F5DB089" w14:textId="77777777" w:rsidR="00AF2235" w:rsidRDefault="00AF2235" w:rsidP="002034C2">
      <w:pPr>
        <w:pStyle w:val="Default"/>
        <w:spacing w:before="240" w:after="120"/>
        <w:rPr>
          <w:iCs/>
          <w:u w:val="single"/>
        </w:rPr>
      </w:pPr>
      <w:r>
        <w:rPr>
          <w:iCs/>
          <w:u w:val="single"/>
        </w:rPr>
        <w:t>Section 3 – Authority</w:t>
      </w:r>
    </w:p>
    <w:p w14:paraId="684A2938" w14:textId="154645A2" w:rsidR="00AF2235" w:rsidRDefault="00AF2235" w:rsidP="002034C2">
      <w:pPr>
        <w:pStyle w:val="Default"/>
        <w:spacing w:before="240" w:after="120"/>
        <w:contextualSpacing/>
        <w:rPr>
          <w:i/>
          <w:iCs/>
        </w:rPr>
      </w:pPr>
      <w:r>
        <w:rPr>
          <w:iCs/>
        </w:rPr>
        <w:t xml:space="preserve">This section provides that the </w:t>
      </w:r>
      <w:r w:rsidR="00DB7744">
        <w:rPr>
          <w:iCs/>
        </w:rPr>
        <w:t xml:space="preserve">Amendment </w:t>
      </w:r>
      <w:r w:rsidR="000B5E98">
        <w:rPr>
          <w:iCs/>
        </w:rPr>
        <w:t>Regulations are</w:t>
      </w:r>
      <w:r>
        <w:rPr>
          <w:iCs/>
        </w:rPr>
        <w:t xml:space="preserve"> made under the </w:t>
      </w:r>
      <w:r>
        <w:rPr>
          <w:i/>
          <w:iCs/>
        </w:rPr>
        <w:t xml:space="preserve">Migration Act 1958 </w:t>
      </w:r>
      <w:r>
        <w:rPr>
          <w:iCs/>
        </w:rPr>
        <w:t>(the Migration Act)</w:t>
      </w:r>
      <w:r>
        <w:rPr>
          <w:i/>
          <w:iCs/>
        </w:rPr>
        <w:t xml:space="preserve">. </w:t>
      </w:r>
    </w:p>
    <w:p w14:paraId="001C450E" w14:textId="77777777" w:rsidR="00AF2235" w:rsidRPr="004A234C" w:rsidRDefault="00AF2235" w:rsidP="002034C2">
      <w:pPr>
        <w:pStyle w:val="Default"/>
        <w:spacing w:before="240" w:after="120"/>
        <w:contextualSpacing/>
        <w:rPr>
          <w:iCs/>
        </w:rPr>
      </w:pPr>
      <w:r>
        <w:rPr>
          <w:iCs/>
        </w:rPr>
        <w:t xml:space="preserve"> </w:t>
      </w:r>
    </w:p>
    <w:p w14:paraId="5791D94A" w14:textId="77777777" w:rsidR="00AF2235" w:rsidRDefault="00AF2235" w:rsidP="002034C2">
      <w:pPr>
        <w:pStyle w:val="Default"/>
        <w:spacing w:before="240" w:after="120"/>
        <w:rPr>
          <w:iCs/>
          <w:u w:val="single"/>
        </w:rPr>
      </w:pPr>
      <w:r>
        <w:rPr>
          <w:iCs/>
          <w:u w:val="single"/>
        </w:rPr>
        <w:t>Section 4 – Schedules</w:t>
      </w:r>
    </w:p>
    <w:p w14:paraId="1149D65C" w14:textId="59E12E01" w:rsidR="00AF2235" w:rsidRPr="004A234C" w:rsidRDefault="00AF2235" w:rsidP="002034C2">
      <w:pPr>
        <w:pStyle w:val="Default"/>
        <w:spacing w:before="240" w:after="120"/>
        <w:contextualSpacing/>
        <w:rPr>
          <w:iCs/>
        </w:rPr>
      </w:pPr>
      <w:r>
        <w:rPr>
          <w:iCs/>
        </w:rPr>
        <w:t xml:space="preserve">This section provides for how the amendments in the </w:t>
      </w:r>
      <w:r w:rsidR="00DB7744">
        <w:rPr>
          <w:iCs/>
        </w:rPr>
        <w:t xml:space="preserve">Amendment </w:t>
      </w:r>
      <w:r>
        <w:rPr>
          <w:iCs/>
        </w:rPr>
        <w:t xml:space="preserve">Regulations operate.  </w:t>
      </w:r>
    </w:p>
    <w:p w14:paraId="58B14D8E" w14:textId="77777777" w:rsidR="00AF2235" w:rsidRDefault="00AF2235" w:rsidP="002034C2">
      <w:pPr>
        <w:pStyle w:val="Default"/>
        <w:spacing w:before="240" w:after="120"/>
        <w:contextualSpacing/>
        <w:rPr>
          <w:iCs/>
          <w:u w:val="single"/>
        </w:rPr>
      </w:pPr>
    </w:p>
    <w:p w14:paraId="24F91B07" w14:textId="77777777" w:rsidR="00AF2235" w:rsidRDefault="00AF2235" w:rsidP="002034C2">
      <w:pPr>
        <w:pStyle w:val="Default"/>
        <w:spacing w:before="240" w:after="120"/>
        <w:rPr>
          <w:iCs/>
          <w:u w:val="single"/>
        </w:rPr>
      </w:pPr>
      <w:r>
        <w:rPr>
          <w:iCs/>
          <w:u w:val="single"/>
        </w:rPr>
        <w:t>Schedule 1 – Amendments</w:t>
      </w:r>
    </w:p>
    <w:p w14:paraId="038E983D" w14:textId="77777777" w:rsidR="00AF2235" w:rsidRDefault="00AF2235" w:rsidP="002034C2">
      <w:pPr>
        <w:pStyle w:val="Default"/>
        <w:spacing w:before="240" w:after="120"/>
        <w:contextualSpacing/>
        <w:rPr>
          <w:b/>
          <w:iCs/>
        </w:rPr>
      </w:pPr>
      <w:r>
        <w:rPr>
          <w:b/>
          <w:i/>
          <w:iCs/>
        </w:rPr>
        <w:t xml:space="preserve">Migration Regulations 1994 </w:t>
      </w:r>
    </w:p>
    <w:p w14:paraId="10731496" w14:textId="77777777" w:rsidR="00AF2235" w:rsidRPr="000B5E98" w:rsidRDefault="00AF2235" w:rsidP="002034C2">
      <w:pPr>
        <w:pStyle w:val="Default"/>
        <w:spacing w:before="240" w:after="120"/>
        <w:contextualSpacing/>
        <w:rPr>
          <w:iCs/>
          <w:u w:val="single"/>
        </w:rPr>
      </w:pPr>
    </w:p>
    <w:p w14:paraId="29E9695A" w14:textId="46AC8E96" w:rsidR="00AF2235" w:rsidRDefault="00AF2235" w:rsidP="002034C2">
      <w:pPr>
        <w:pStyle w:val="Default"/>
        <w:spacing w:before="240" w:after="120"/>
        <w:rPr>
          <w:b/>
          <w:iCs/>
        </w:rPr>
      </w:pPr>
      <w:r>
        <w:rPr>
          <w:b/>
          <w:iCs/>
        </w:rPr>
        <w:t>Item [1] –</w:t>
      </w:r>
      <w:r w:rsidR="00463359">
        <w:rPr>
          <w:b/>
          <w:iCs/>
        </w:rPr>
        <w:t xml:space="preserve"> </w:t>
      </w:r>
      <w:r>
        <w:rPr>
          <w:b/>
          <w:iCs/>
        </w:rPr>
        <w:t xml:space="preserve">Paragraph 4005(1)(c) of Schedule 4 </w:t>
      </w:r>
    </w:p>
    <w:p w14:paraId="08877754" w14:textId="13946ACF" w:rsidR="003D1442" w:rsidRDefault="003D1442" w:rsidP="002034C2">
      <w:pPr>
        <w:pStyle w:val="Default"/>
        <w:spacing w:before="240" w:after="120"/>
        <w:contextualSpacing/>
        <w:jc w:val="both"/>
      </w:pPr>
      <w:r>
        <w:rPr>
          <w:iCs/>
        </w:rPr>
        <w:t>Item 1</w:t>
      </w:r>
      <w:r w:rsidR="00550CD0">
        <w:rPr>
          <w:iCs/>
        </w:rPr>
        <w:t xml:space="preserve"> amends paragraph 4005(1)(c) of Schedule 4 </w:t>
      </w:r>
      <w:r w:rsidR="00F704A9">
        <w:rPr>
          <w:iCs/>
        </w:rPr>
        <w:t>to</w:t>
      </w:r>
      <w:r w:rsidR="00550CD0">
        <w:rPr>
          <w:iCs/>
        </w:rPr>
        <w:t xml:space="preserve"> </w:t>
      </w:r>
      <w:r w:rsidR="00550CD0">
        <w:t xml:space="preserve">the </w:t>
      </w:r>
      <w:r w:rsidR="00550CD0">
        <w:rPr>
          <w:i/>
        </w:rPr>
        <w:t xml:space="preserve">Migration Regulations 1994 </w:t>
      </w:r>
      <w:r w:rsidR="00550CD0">
        <w:t>(the Migration Regulations)</w:t>
      </w:r>
      <w:r w:rsidR="00550CD0" w:rsidRPr="00140ECE">
        <w:t xml:space="preserve"> </w:t>
      </w:r>
      <w:r w:rsidR="00140ECE">
        <w:rPr>
          <w:iCs/>
        </w:rPr>
        <w:t xml:space="preserve">so that </w:t>
      </w:r>
      <w:r>
        <w:t xml:space="preserve">a minor visa applicant born and ordinarily resident in Australia </w:t>
      </w:r>
      <w:r w:rsidR="00140ECE">
        <w:t xml:space="preserve">is not required </w:t>
      </w:r>
      <w:r w:rsidR="009B4D84">
        <w:t xml:space="preserve"> to satisfy the Minister that they </w:t>
      </w:r>
      <w:r w:rsidR="000741EB">
        <w:t xml:space="preserve">are </w:t>
      </w:r>
      <w:r>
        <w:t xml:space="preserve">free from a disease or condition in relation to which: </w:t>
      </w:r>
    </w:p>
    <w:p w14:paraId="1899D191" w14:textId="35376C58" w:rsidR="003D1442" w:rsidRPr="003D1442" w:rsidRDefault="003D1442" w:rsidP="00444923">
      <w:pPr>
        <w:pStyle w:val="ListParagraph"/>
        <w:numPr>
          <w:ilvl w:val="0"/>
          <w:numId w:val="11"/>
        </w:numPr>
        <w:spacing w:before="240" w:after="120" w:line="240" w:lineRule="auto"/>
        <w:ind w:left="851" w:hanging="491"/>
        <w:jc w:val="both"/>
        <w:rPr>
          <w:rFonts w:ascii="Times New Roman" w:hAnsi="Times New Roman" w:cs="Times New Roman"/>
          <w:sz w:val="24"/>
        </w:rPr>
      </w:pPr>
      <w:r w:rsidRPr="003D1442">
        <w:rPr>
          <w:rFonts w:ascii="Times New Roman" w:hAnsi="Times New Roman" w:cs="Times New Roman"/>
          <w:sz w:val="24"/>
        </w:rPr>
        <w:t>a person would require, or meet the medical criteria that would require provision of</w:t>
      </w:r>
      <w:r w:rsidR="005D122F">
        <w:rPr>
          <w:rFonts w:ascii="Times New Roman" w:hAnsi="Times New Roman" w:cs="Times New Roman"/>
          <w:sz w:val="24"/>
        </w:rPr>
        <w:t>,</w:t>
      </w:r>
      <w:r w:rsidRPr="003D1442">
        <w:rPr>
          <w:rFonts w:ascii="Times New Roman" w:hAnsi="Times New Roman" w:cs="Times New Roman"/>
          <w:sz w:val="24"/>
        </w:rPr>
        <w:t xml:space="preserve"> health care or community services; and</w:t>
      </w:r>
    </w:p>
    <w:p w14:paraId="60096617" w14:textId="01D3B17C" w:rsidR="003D1442" w:rsidRPr="003D1442" w:rsidRDefault="003D1442" w:rsidP="00444923">
      <w:pPr>
        <w:pStyle w:val="ListParagraph"/>
        <w:numPr>
          <w:ilvl w:val="0"/>
          <w:numId w:val="11"/>
        </w:numPr>
        <w:spacing w:before="240" w:after="120" w:line="240" w:lineRule="auto"/>
        <w:ind w:left="851" w:hanging="567"/>
        <w:jc w:val="both"/>
        <w:rPr>
          <w:rFonts w:ascii="Times New Roman" w:hAnsi="Times New Roman" w:cs="Times New Roman"/>
          <w:sz w:val="24"/>
          <w:szCs w:val="24"/>
        </w:rPr>
      </w:pPr>
      <w:r w:rsidRPr="003D1442">
        <w:rPr>
          <w:rFonts w:ascii="Times New Roman" w:hAnsi="Times New Roman" w:cs="Times New Roman"/>
          <w:sz w:val="24"/>
        </w:rPr>
        <w:t xml:space="preserve">the provision of the health care or community service would result in a significant cost to the Australian community, or prejudice the </w:t>
      </w:r>
      <w:r w:rsidRPr="003D1442">
        <w:rPr>
          <w:rFonts w:ascii="Times New Roman" w:hAnsi="Times New Roman" w:cs="Times New Roman"/>
          <w:sz w:val="24"/>
          <w:szCs w:val="24"/>
        </w:rPr>
        <w:t>access to health care or community service of an Australian citizen or permanent resident.</w:t>
      </w:r>
    </w:p>
    <w:p w14:paraId="3056F2D2" w14:textId="09A95A99" w:rsidR="00463359" w:rsidRDefault="00463359" w:rsidP="002034C2">
      <w:pPr>
        <w:pStyle w:val="Default"/>
        <w:spacing w:before="240" w:after="120"/>
        <w:contextualSpacing/>
        <w:jc w:val="both"/>
      </w:pPr>
    </w:p>
    <w:p w14:paraId="5AD118D2" w14:textId="0098E822" w:rsidR="00463359" w:rsidRPr="00444923" w:rsidRDefault="00B84A24" w:rsidP="002034C2">
      <w:pPr>
        <w:pStyle w:val="Default"/>
        <w:spacing w:before="240" w:after="120"/>
        <w:contextualSpacing/>
        <w:jc w:val="both"/>
        <w:rPr>
          <w:iCs/>
          <w:color w:val="000000" w:themeColor="text1"/>
        </w:rPr>
      </w:pPr>
      <w:r>
        <w:rPr>
          <w:iCs/>
        </w:rPr>
        <w:lastRenderedPageBreak/>
        <w:t xml:space="preserve">The </w:t>
      </w:r>
      <w:r w:rsidR="003B4165">
        <w:rPr>
          <w:iCs/>
        </w:rPr>
        <w:t>amendments made by</w:t>
      </w:r>
      <w:r>
        <w:rPr>
          <w:iCs/>
        </w:rPr>
        <w:t xml:space="preserve"> item </w:t>
      </w:r>
      <w:r w:rsidR="00463359">
        <w:rPr>
          <w:iCs/>
        </w:rPr>
        <w:t>1</w:t>
      </w:r>
      <w:r w:rsidR="004D6CA1">
        <w:rPr>
          <w:iCs/>
        </w:rPr>
        <w:t xml:space="preserve"> </w:t>
      </w:r>
      <w:r w:rsidR="00463359">
        <w:rPr>
          <w:iCs/>
        </w:rPr>
        <w:t xml:space="preserve">benefit </w:t>
      </w:r>
      <w:r w:rsidR="007359B9">
        <w:rPr>
          <w:iCs/>
        </w:rPr>
        <w:t>minor</w:t>
      </w:r>
      <w:r w:rsidR="00FB7BE1">
        <w:rPr>
          <w:iCs/>
        </w:rPr>
        <w:t xml:space="preserve"> visa applicants</w:t>
      </w:r>
      <w:r w:rsidR="00BE4F2A">
        <w:rPr>
          <w:iCs/>
        </w:rPr>
        <w:t xml:space="preserve"> </w:t>
      </w:r>
      <w:r w:rsidR="007F5C17">
        <w:rPr>
          <w:iCs/>
        </w:rPr>
        <w:t xml:space="preserve">born in and is ordinarily resident in Australia </w:t>
      </w:r>
      <w:r w:rsidR="00463359">
        <w:rPr>
          <w:iCs/>
        </w:rPr>
        <w:t>with a disability or health condition</w:t>
      </w:r>
      <w:r>
        <w:rPr>
          <w:iCs/>
        </w:rPr>
        <w:t xml:space="preserve"> </w:t>
      </w:r>
      <w:r w:rsidR="00DB09AC">
        <w:rPr>
          <w:iCs/>
        </w:rPr>
        <w:t>as they can</w:t>
      </w:r>
      <w:r>
        <w:rPr>
          <w:iCs/>
        </w:rPr>
        <w:t xml:space="preserve"> meet paragraph</w:t>
      </w:r>
      <w:r w:rsidR="00463359">
        <w:rPr>
          <w:iCs/>
        </w:rPr>
        <w:t xml:space="preserve"> 4005(1)(c) </w:t>
      </w:r>
      <w:r>
        <w:rPr>
          <w:iCs/>
        </w:rPr>
        <w:t>despite their disability and be</w:t>
      </w:r>
      <w:r w:rsidR="00550CD0">
        <w:rPr>
          <w:iCs/>
        </w:rPr>
        <w:t xml:space="preserve"> granted a visa by the Minister,</w:t>
      </w:r>
      <w:r>
        <w:rPr>
          <w:iCs/>
        </w:rPr>
        <w:t xml:space="preserve"> </w:t>
      </w:r>
      <w:r w:rsidR="00463359">
        <w:rPr>
          <w:iCs/>
        </w:rPr>
        <w:t xml:space="preserve">if that was the only reason </w:t>
      </w:r>
      <w:r w:rsidR="003B4165">
        <w:rPr>
          <w:iCs/>
        </w:rPr>
        <w:t xml:space="preserve">why the </w:t>
      </w:r>
      <w:r w:rsidR="004C285C">
        <w:rPr>
          <w:iCs/>
        </w:rPr>
        <w:t xml:space="preserve">visa </w:t>
      </w:r>
      <w:r w:rsidR="003B4165">
        <w:rPr>
          <w:iCs/>
        </w:rPr>
        <w:t>application would otherwise be refused</w:t>
      </w:r>
      <w:r w:rsidR="00463359">
        <w:rPr>
          <w:iCs/>
        </w:rPr>
        <w:t xml:space="preserve">. The child, as either a primary or secondary </w:t>
      </w:r>
      <w:r w:rsidR="00E4129D">
        <w:rPr>
          <w:iCs/>
        </w:rPr>
        <w:t xml:space="preserve">visa </w:t>
      </w:r>
      <w:r w:rsidR="00463359">
        <w:rPr>
          <w:iCs/>
        </w:rPr>
        <w:t>applicant</w:t>
      </w:r>
      <w:r w:rsidR="00A25284">
        <w:rPr>
          <w:iCs/>
        </w:rPr>
        <w:t>,</w:t>
      </w:r>
      <w:r w:rsidR="00463359">
        <w:rPr>
          <w:iCs/>
        </w:rPr>
        <w:t xml:space="preserve"> must still meet all other requirements </w:t>
      </w:r>
      <w:r w:rsidR="003B4165">
        <w:rPr>
          <w:iCs/>
        </w:rPr>
        <w:t>to be granted the</w:t>
      </w:r>
      <w:r w:rsidR="00463359">
        <w:rPr>
          <w:iCs/>
        </w:rPr>
        <w:t xml:space="preserve"> visa</w:t>
      </w:r>
      <w:r w:rsidR="00AB03CD" w:rsidRPr="00444923">
        <w:rPr>
          <w:iCs/>
          <w:color w:val="000000" w:themeColor="text1"/>
        </w:rPr>
        <w:t xml:space="preserve">, </w:t>
      </w:r>
      <w:r w:rsidR="00AF0C33" w:rsidRPr="00444923">
        <w:rPr>
          <w:iCs/>
          <w:color w:val="000000" w:themeColor="text1"/>
        </w:rPr>
        <w:t>including all other requirements under clauses 4005 and 4007.</w:t>
      </w:r>
      <w:r w:rsidR="000707C8">
        <w:rPr>
          <w:iCs/>
          <w:color w:val="000000" w:themeColor="text1"/>
        </w:rPr>
        <w:t xml:space="preserve"> The item does not </w:t>
      </w:r>
      <w:r w:rsidR="000707C8">
        <w:t>benefit all minors with a disability or health condition, but r</w:t>
      </w:r>
      <w:r w:rsidR="00BA6EBD">
        <w:t xml:space="preserve">ather only those born in and </w:t>
      </w:r>
      <w:r w:rsidR="000707C8">
        <w:t>ordinarily resident in Australia.</w:t>
      </w:r>
      <w:r w:rsidR="000707C8">
        <w:rPr>
          <w:iCs/>
          <w:color w:val="000000" w:themeColor="text1"/>
        </w:rPr>
        <w:t xml:space="preserve"> </w:t>
      </w:r>
    </w:p>
    <w:p w14:paraId="0105AECE" w14:textId="77777777" w:rsidR="00565188" w:rsidRPr="00DB7744" w:rsidRDefault="00565188" w:rsidP="002034C2">
      <w:pPr>
        <w:pStyle w:val="Default"/>
        <w:spacing w:before="240" w:after="120"/>
        <w:contextualSpacing/>
        <w:jc w:val="both"/>
      </w:pPr>
    </w:p>
    <w:p w14:paraId="4C826D58" w14:textId="0BEBF735" w:rsidR="00565188" w:rsidRDefault="00565188" w:rsidP="002034C2">
      <w:pPr>
        <w:pStyle w:val="Default"/>
        <w:spacing w:before="240" w:after="120"/>
        <w:rPr>
          <w:iCs/>
        </w:rPr>
      </w:pPr>
      <w:r>
        <w:rPr>
          <w:b/>
          <w:iCs/>
        </w:rPr>
        <w:t>Item [2]</w:t>
      </w:r>
      <w:r>
        <w:rPr>
          <w:iCs/>
        </w:rPr>
        <w:t xml:space="preserve"> –</w:t>
      </w:r>
      <w:r w:rsidR="00463359">
        <w:rPr>
          <w:b/>
          <w:iCs/>
        </w:rPr>
        <w:t xml:space="preserve"> </w:t>
      </w:r>
      <w:r>
        <w:rPr>
          <w:b/>
          <w:iCs/>
        </w:rPr>
        <w:t>Paragraph 4007(1)(c) of Schedule 4</w:t>
      </w:r>
    </w:p>
    <w:p w14:paraId="03FB26FC" w14:textId="79EE4B0D" w:rsidR="004D6CA1" w:rsidRDefault="004D6CA1" w:rsidP="004D6CA1">
      <w:pPr>
        <w:pStyle w:val="Default"/>
        <w:spacing w:before="240" w:after="120"/>
        <w:contextualSpacing/>
        <w:jc w:val="both"/>
      </w:pPr>
      <w:r>
        <w:rPr>
          <w:iCs/>
        </w:rPr>
        <w:t xml:space="preserve">Item 2 amends paragraph 4007(1)(c) of Schedule 4 to </w:t>
      </w:r>
      <w:r>
        <w:t xml:space="preserve">the Migration Regulations </w:t>
      </w:r>
      <w:r>
        <w:rPr>
          <w:iCs/>
        </w:rPr>
        <w:t xml:space="preserve">and provides that subject to subclause 4007(2) of Schedule 4, paragraph 4007(1)(c) </w:t>
      </w:r>
      <w:r w:rsidR="008067C9">
        <w:rPr>
          <w:iCs/>
        </w:rPr>
        <w:t xml:space="preserve">that </w:t>
      </w:r>
      <w:r>
        <w:t xml:space="preserve">a minor visa applicant born and ordinarily resident in Australia </w:t>
      </w:r>
      <w:r w:rsidR="004D763E">
        <w:t xml:space="preserve">is not required </w:t>
      </w:r>
      <w:r w:rsidR="008067C9">
        <w:t xml:space="preserve">to satisfy the Minister that they are </w:t>
      </w:r>
      <w:r>
        <w:t xml:space="preserve">free from a disease or condition in relation to which: </w:t>
      </w:r>
    </w:p>
    <w:p w14:paraId="0D6A95DF" w14:textId="77777777" w:rsidR="00550CD0" w:rsidRPr="003D1442" w:rsidRDefault="00550CD0" w:rsidP="00741854">
      <w:pPr>
        <w:pStyle w:val="ListParagraph"/>
        <w:numPr>
          <w:ilvl w:val="0"/>
          <w:numId w:val="12"/>
        </w:numPr>
        <w:spacing w:before="240" w:after="120" w:line="240" w:lineRule="auto"/>
        <w:ind w:left="851" w:hanging="491"/>
        <w:jc w:val="both"/>
        <w:rPr>
          <w:rFonts w:ascii="Times New Roman" w:hAnsi="Times New Roman" w:cs="Times New Roman"/>
          <w:sz w:val="24"/>
        </w:rPr>
      </w:pPr>
      <w:r w:rsidRPr="003D1442">
        <w:rPr>
          <w:rFonts w:ascii="Times New Roman" w:hAnsi="Times New Roman" w:cs="Times New Roman"/>
          <w:sz w:val="24"/>
        </w:rPr>
        <w:t>a person would require, or meet the medical criteria that would require provision of, health care or community services; and</w:t>
      </w:r>
    </w:p>
    <w:p w14:paraId="13395751" w14:textId="4649FF89" w:rsidR="00565188" w:rsidRPr="004D6CA1" w:rsidRDefault="00550CD0" w:rsidP="00741854">
      <w:pPr>
        <w:pStyle w:val="ListParagraph"/>
        <w:numPr>
          <w:ilvl w:val="0"/>
          <w:numId w:val="12"/>
        </w:numPr>
        <w:spacing w:before="240" w:after="120" w:line="240" w:lineRule="auto"/>
        <w:ind w:left="851" w:hanging="567"/>
        <w:jc w:val="both"/>
        <w:rPr>
          <w:rFonts w:ascii="Times New Roman" w:hAnsi="Times New Roman" w:cs="Times New Roman"/>
          <w:sz w:val="24"/>
          <w:szCs w:val="24"/>
        </w:rPr>
      </w:pPr>
      <w:r w:rsidRPr="003D1442">
        <w:rPr>
          <w:rFonts w:ascii="Times New Roman" w:hAnsi="Times New Roman" w:cs="Times New Roman"/>
          <w:sz w:val="24"/>
        </w:rPr>
        <w:t xml:space="preserve">the provision of the health care or community service would result in a significant cost to the Australian community, or prejudice the </w:t>
      </w:r>
      <w:r w:rsidRPr="003D1442">
        <w:rPr>
          <w:rFonts w:ascii="Times New Roman" w:hAnsi="Times New Roman" w:cs="Times New Roman"/>
          <w:sz w:val="24"/>
          <w:szCs w:val="24"/>
        </w:rPr>
        <w:t>access to health care or community service of an Australian citizen or permanent resident.</w:t>
      </w:r>
    </w:p>
    <w:p w14:paraId="070BDFAA" w14:textId="4C051109" w:rsidR="004B2B65" w:rsidRDefault="00565188" w:rsidP="004B2B65">
      <w:pPr>
        <w:pStyle w:val="Default"/>
        <w:spacing w:before="240" w:after="120"/>
        <w:contextualSpacing/>
        <w:rPr>
          <w:iCs/>
        </w:rPr>
      </w:pPr>
      <w:r>
        <w:rPr>
          <w:iCs/>
        </w:rPr>
        <w:t>Subclause 4007(2) of Schedule 4 provides the Minister</w:t>
      </w:r>
      <w:r w:rsidR="00B84A24">
        <w:rPr>
          <w:iCs/>
        </w:rPr>
        <w:t xml:space="preserve"> a discretionary power to</w:t>
      </w:r>
      <w:r>
        <w:rPr>
          <w:iCs/>
        </w:rPr>
        <w:t xml:space="preserve"> waive the requirements of paragraph 4007(1)(c) if the </w:t>
      </w:r>
      <w:r w:rsidR="00E4129D">
        <w:rPr>
          <w:iCs/>
        </w:rPr>
        <w:t xml:space="preserve">visa </w:t>
      </w:r>
      <w:r>
        <w:rPr>
          <w:iCs/>
        </w:rPr>
        <w:t xml:space="preserve">applicant satisfies all other criteria for the grant of the visa applied for, and the Minister is satisfied that the granting of the visa would be unlikely to result in undue cost to the Australian community or undue prejudice to the access to health care or community services of an Australian. </w:t>
      </w:r>
      <w:r w:rsidR="00550CD0">
        <w:rPr>
          <w:iCs/>
        </w:rPr>
        <w:t xml:space="preserve">This discretionary power will remain unchanged for all </w:t>
      </w:r>
      <w:r w:rsidR="001E0969">
        <w:rPr>
          <w:iCs/>
        </w:rPr>
        <w:t xml:space="preserve">visa </w:t>
      </w:r>
      <w:r w:rsidR="00550CD0">
        <w:rPr>
          <w:iCs/>
        </w:rPr>
        <w:t xml:space="preserve">applicants other than minor </w:t>
      </w:r>
      <w:r w:rsidR="00FB7BE1">
        <w:rPr>
          <w:iCs/>
        </w:rPr>
        <w:t xml:space="preserve">visa applicants </w:t>
      </w:r>
      <w:r w:rsidR="00550CD0">
        <w:rPr>
          <w:iCs/>
        </w:rPr>
        <w:t xml:space="preserve">born </w:t>
      </w:r>
      <w:r w:rsidR="00550CD0">
        <w:t>and or</w:t>
      </w:r>
      <w:r w:rsidR="004D6CA1">
        <w:t xml:space="preserve">dinarily resident in Australia. </w:t>
      </w:r>
      <w:r w:rsidR="004B2B65">
        <w:rPr>
          <w:iCs/>
        </w:rPr>
        <w:t xml:space="preserve">Unlike subclause 4007(2), </w:t>
      </w:r>
      <w:r w:rsidR="000241B8">
        <w:rPr>
          <w:iCs/>
        </w:rPr>
        <w:t xml:space="preserve">the amendment made by </w:t>
      </w:r>
      <w:r w:rsidR="004B2B65">
        <w:rPr>
          <w:iCs/>
        </w:rPr>
        <w:t>item 2 of Schedule 1 is only applicable for the affected class of persons (that is, minor visa applicants born and ordinarily resident in Australia).</w:t>
      </w:r>
    </w:p>
    <w:p w14:paraId="5004993C" w14:textId="303D0576" w:rsidR="00550CD0" w:rsidRDefault="00550CD0" w:rsidP="002034C2">
      <w:pPr>
        <w:pStyle w:val="Default"/>
        <w:spacing w:before="240" w:after="120"/>
        <w:contextualSpacing/>
        <w:jc w:val="both"/>
        <w:rPr>
          <w:iCs/>
        </w:rPr>
      </w:pPr>
    </w:p>
    <w:p w14:paraId="7ECCB700" w14:textId="38664CE7" w:rsidR="000707C8" w:rsidRPr="00444923" w:rsidRDefault="004D6CA1" w:rsidP="000707C8">
      <w:pPr>
        <w:pStyle w:val="Default"/>
        <w:spacing w:before="240" w:after="120"/>
        <w:contextualSpacing/>
        <w:jc w:val="both"/>
        <w:rPr>
          <w:iCs/>
          <w:color w:val="000000" w:themeColor="text1"/>
        </w:rPr>
      </w:pPr>
      <w:r>
        <w:rPr>
          <w:iCs/>
        </w:rPr>
        <w:t xml:space="preserve">The </w:t>
      </w:r>
      <w:r w:rsidR="001A3774">
        <w:rPr>
          <w:iCs/>
        </w:rPr>
        <w:t>amendments made by</w:t>
      </w:r>
      <w:r>
        <w:rPr>
          <w:iCs/>
        </w:rPr>
        <w:t xml:space="preserve"> item 2, like item </w:t>
      </w:r>
      <w:r w:rsidR="001A3774">
        <w:rPr>
          <w:iCs/>
        </w:rPr>
        <w:t>1</w:t>
      </w:r>
      <w:r>
        <w:rPr>
          <w:iCs/>
        </w:rPr>
        <w:t>, benefit minor</w:t>
      </w:r>
      <w:r w:rsidR="00FB7BE1">
        <w:rPr>
          <w:iCs/>
        </w:rPr>
        <w:t xml:space="preserve"> visa applicants</w:t>
      </w:r>
      <w:r>
        <w:rPr>
          <w:iCs/>
        </w:rPr>
        <w:t xml:space="preserve"> </w:t>
      </w:r>
      <w:r w:rsidR="007F5C17">
        <w:rPr>
          <w:iCs/>
        </w:rPr>
        <w:t xml:space="preserve">born in and is ordinarily resident in Australia with a disability or health condition </w:t>
      </w:r>
      <w:r>
        <w:rPr>
          <w:iCs/>
        </w:rPr>
        <w:t>allow</w:t>
      </w:r>
      <w:r w:rsidR="00A25284">
        <w:rPr>
          <w:iCs/>
        </w:rPr>
        <w:t>ing</w:t>
      </w:r>
      <w:r>
        <w:rPr>
          <w:iCs/>
        </w:rPr>
        <w:t xml:space="preserve"> </w:t>
      </w:r>
      <w:r w:rsidR="007F5C17">
        <w:rPr>
          <w:iCs/>
        </w:rPr>
        <w:t xml:space="preserve">them </w:t>
      </w:r>
      <w:r>
        <w:rPr>
          <w:iCs/>
        </w:rPr>
        <w:t xml:space="preserve">to meet paragraph 4007(1)(c) despite their disability and be granted a visa by the Minister, if that was the only reason </w:t>
      </w:r>
      <w:r w:rsidR="00A25284">
        <w:rPr>
          <w:iCs/>
        </w:rPr>
        <w:t>why the application would otherwise be refused</w:t>
      </w:r>
      <w:r>
        <w:rPr>
          <w:iCs/>
        </w:rPr>
        <w:t xml:space="preserve">. The child, as either a primary or secondary </w:t>
      </w:r>
      <w:r w:rsidR="00E4129D">
        <w:rPr>
          <w:iCs/>
        </w:rPr>
        <w:t xml:space="preserve">visa </w:t>
      </w:r>
      <w:r>
        <w:rPr>
          <w:iCs/>
        </w:rPr>
        <w:t>applicant</w:t>
      </w:r>
      <w:r w:rsidR="00A25284">
        <w:rPr>
          <w:iCs/>
        </w:rPr>
        <w:t>,</w:t>
      </w:r>
      <w:r>
        <w:rPr>
          <w:iCs/>
        </w:rPr>
        <w:t xml:space="preserve"> must still meet all other requirements </w:t>
      </w:r>
      <w:r w:rsidR="00A25284">
        <w:rPr>
          <w:iCs/>
        </w:rPr>
        <w:t>to be granted the</w:t>
      </w:r>
      <w:r>
        <w:rPr>
          <w:iCs/>
        </w:rPr>
        <w:t xml:space="preserve"> visa</w:t>
      </w:r>
      <w:r w:rsidR="00C9754F">
        <w:rPr>
          <w:iCs/>
        </w:rPr>
        <w:t xml:space="preserve">, </w:t>
      </w:r>
      <w:r w:rsidR="00AF0C33" w:rsidRPr="00741854">
        <w:rPr>
          <w:iCs/>
          <w:color w:val="000000" w:themeColor="text1"/>
        </w:rPr>
        <w:t>including all other requirements under clauses 4005 and 4007.</w:t>
      </w:r>
      <w:r w:rsidR="000707C8">
        <w:rPr>
          <w:iCs/>
          <w:color w:val="000000" w:themeColor="text1"/>
        </w:rPr>
        <w:t xml:space="preserve"> Similar to item 1, item 2 does not </w:t>
      </w:r>
      <w:r w:rsidR="000707C8">
        <w:t>benefit all minors with a disability or health condition, but r</w:t>
      </w:r>
      <w:r w:rsidR="00BA6EBD">
        <w:t xml:space="preserve">ather only those born in and </w:t>
      </w:r>
      <w:r w:rsidR="000707C8">
        <w:t>ordinarily resident in Australia.</w:t>
      </w:r>
      <w:r w:rsidR="000707C8">
        <w:rPr>
          <w:iCs/>
          <w:color w:val="000000" w:themeColor="text1"/>
        </w:rPr>
        <w:t xml:space="preserve"> </w:t>
      </w:r>
    </w:p>
    <w:p w14:paraId="6C8C9013" w14:textId="77777777" w:rsidR="00565188" w:rsidRDefault="00565188" w:rsidP="002034C2">
      <w:pPr>
        <w:pStyle w:val="Default"/>
        <w:spacing w:before="240" w:after="120"/>
        <w:contextualSpacing/>
        <w:jc w:val="both"/>
        <w:rPr>
          <w:iCs/>
        </w:rPr>
      </w:pPr>
    </w:p>
    <w:p w14:paraId="54A329E5" w14:textId="77777777" w:rsidR="007733D3" w:rsidRDefault="007733D3" w:rsidP="002034C2">
      <w:pPr>
        <w:pStyle w:val="Default"/>
        <w:spacing w:before="240" w:after="120"/>
        <w:rPr>
          <w:b/>
          <w:iCs/>
        </w:rPr>
      </w:pPr>
      <w:r>
        <w:rPr>
          <w:b/>
          <w:iCs/>
        </w:rPr>
        <w:t>Item [3]</w:t>
      </w:r>
      <w:r>
        <w:rPr>
          <w:iCs/>
        </w:rPr>
        <w:t xml:space="preserve"> – </w:t>
      </w:r>
      <w:r>
        <w:rPr>
          <w:b/>
          <w:iCs/>
        </w:rPr>
        <w:t>In the appropriate position in Schedule 13</w:t>
      </w:r>
    </w:p>
    <w:p w14:paraId="128B138E" w14:textId="7250FC85" w:rsidR="007733D3" w:rsidRPr="00C50369" w:rsidRDefault="007733D3" w:rsidP="002034C2">
      <w:pPr>
        <w:pStyle w:val="Default"/>
        <w:spacing w:before="240" w:after="120"/>
        <w:contextualSpacing/>
        <w:rPr>
          <w:iCs/>
          <w:color w:val="000000" w:themeColor="text1"/>
        </w:rPr>
      </w:pPr>
      <w:r w:rsidRPr="00C50369">
        <w:rPr>
          <w:iCs/>
          <w:color w:val="000000" w:themeColor="text1"/>
        </w:rPr>
        <w:t xml:space="preserve">Item 3 inserts a new Part </w:t>
      </w:r>
      <w:r w:rsidR="006F41ED" w:rsidRPr="00C50369">
        <w:rPr>
          <w:iCs/>
          <w:color w:val="000000" w:themeColor="text1"/>
        </w:rPr>
        <w:t>140</w:t>
      </w:r>
      <w:r w:rsidR="006F41ED" w:rsidRPr="00C50369">
        <w:rPr>
          <w:b/>
          <w:iCs/>
          <w:color w:val="000000" w:themeColor="text1"/>
        </w:rPr>
        <w:t xml:space="preserve"> </w:t>
      </w:r>
      <w:r w:rsidRPr="00C50369">
        <w:rPr>
          <w:iCs/>
          <w:color w:val="000000" w:themeColor="text1"/>
        </w:rPr>
        <w:t xml:space="preserve">in Schedule 13 to the Migration Regulations. This Part provides for the application of the amendments made by </w:t>
      </w:r>
      <w:r w:rsidR="00602099" w:rsidRPr="00C50369">
        <w:rPr>
          <w:iCs/>
          <w:color w:val="000000" w:themeColor="text1"/>
        </w:rPr>
        <w:t xml:space="preserve">the </w:t>
      </w:r>
      <w:r w:rsidRPr="00C50369">
        <w:rPr>
          <w:iCs/>
          <w:color w:val="000000" w:themeColor="text1"/>
        </w:rPr>
        <w:t xml:space="preserve">Amendment Regulations. </w:t>
      </w:r>
    </w:p>
    <w:p w14:paraId="7C79EE7F" w14:textId="77777777" w:rsidR="007733D3" w:rsidRPr="00C50369" w:rsidRDefault="007733D3" w:rsidP="002034C2">
      <w:pPr>
        <w:pStyle w:val="Default"/>
        <w:spacing w:before="240" w:after="120"/>
        <w:contextualSpacing/>
        <w:rPr>
          <w:iCs/>
          <w:color w:val="000000" w:themeColor="text1"/>
        </w:rPr>
      </w:pPr>
    </w:p>
    <w:p w14:paraId="1B168988" w14:textId="603E1543" w:rsidR="00565188" w:rsidRPr="00BA6EBD" w:rsidRDefault="007733D3" w:rsidP="00BA6EBD">
      <w:pPr>
        <w:pStyle w:val="Default"/>
        <w:spacing w:before="240" w:after="120"/>
        <w:contextualSpacing/>
        <w:rPr>
          <w:iCs/>
        </w:rPr>
      </w:pPr>
      <w:r w:rsidRPr="00C50369">
        <w:rPr>
          <w:iCs/>
          <w:color w:val="000000" w:themeColor="text1"/>
        </w:rPr>
        <w:t xml:space="preserve">New clause </w:t>
      </w:r>
      <w:r w:rsidR="006F41ED" w:rsidRPr="00C50369">
        <w:rPr>
          <w:iCs/>
          <w:color w:val="000000" w:themeColor="text1"/>
        </w:rPr>
        <w:t>14001</w:t>
      </w:r>
      <w:r w:rsidR="006F41ED" w:rsidRPr="00C50369">
        <w:rPr>
          <w:b/>
          <w:iCs/>
          <w:color w:val="000000" w:themeColor="text1"/>
        </w:rPr>
        <w:t xml:space="preserve"> </w:t>
      </w:r>
      <w:r w:rsidRPr="00C50369">
        <w:rPr>
          <w:iCs/>
          <w:color w:val="000000" w:themeColor="text1"/>
        </w:rPr>
        <w:t xml:space="preserve">of Part </w:t>
      </w:r>
      <w:r w:rsidR="006F41ED" w:rsidRPr="00C50369">
        <w:rPr>
          <w:iCs/>
          <w:color w:val="000000" w:themeColor="text1"/>
        </w:rPr>
        <w:t>140</w:t>
      </w:r>
      <w:r w:rsidR="006F41ED" w:rsidRPr="00C50369">
        <w:rPr>
          <w:b/>
          <w:iCs/>
          <w:color w:val="000000" w:themeColor="text1"/>
        </w:rPr>
        <w:t xml:space="preserve"> </w:t>
      </w:r>
      <w:r w:rsidRPr="00C50369">
        <w:rPr>
          <w:iCs/>
          <w:color w:val="000000" w:themeColor="text1"/>
        </w:rPr>
        <w:t>of Schedule</w:t>
      </w:r>
      <w:r w:rsidRPr="00C50369">
        <w:rPr>
          <w:b/>
          <w:iCs/>
          <w:color w:val="000000" w:themeColor="text1"/>
        </w:rPr>
        <w:t xml:space="preserve"> </w:t>
      </w:r>
      <w:r w:rsidRPr="00C50369">
        <w:rPr>
          <w:iCs/>
          <w:color w:val="000000" w:themeColor="text1"/>
        </w:rPr>
        <w:t xml:space="preserve">13 to the Migration Regulations provides that the amendment made by Schedule 1 to the Amendment Regulations applies in relation to an application for a visa made, but not finally determined, before the commencement of that Schedule, or made on or after that commencement. This means that </w:t>
      </w:r>
      <w:r w:rsidRPr="00550CD0">
        <w:rPr>
          <w:iCs/>
        </w:rPr>
        <w:t xml:space="preserve">the Amendment Regulations apply to </w:t>
      </w:r>
      <w:r w:rsidR="00EC4A2B" w:rsidRPr="00550CD0">
        <w:rPr>
          <w:iCs/>
        </w:rPr>
        <w:t xml:space="preserve">visa applications already made </w:t>
      </w:r>
      <w:r w:rsidR="00E12D4B" w:rsidRPr="00550CD0">
        <w:rPr>
          <w:iCs/>
        </w:rPr>
        <w:t>but</w:t>
      </w:r>
      <w:r w:rsidR="00EC4A2B" w:rsidRPr="00550CD0">
        <w:rPr>
          <w:iCs/>
        </w:rPr>
        <w:t xml:space="preserve"> </w:t>
      </w:r>
      <w:r w:rsidRPr="00550CD0">
        <w:rPr>
          <w:iCs/>
        </w:rPr>
        <w:t xml:space="preserve">not finally determined before the commencement of the Amendment Regulations, including those currently </w:t>
      </w:r>
      <w:r w:rsidR="00A32A8A">
        <w:rPr>
          <w:iCs/>
        </w:rPr>
        <w:t xml:space="preserve">under </w:t>
      </w:r>
      <w:r w:rsidR="004D6CA1">
        <w:rPr>
          <w:iCs/>
        </w:rPr>
        <w:t>merits review</w:t>
      </w:r>
      <w:r w:rsidRPr="00550CD0">
        <w:rPr>
          <w:iCs/>
        </w:rPr>
        <w:t xml:space="preserve">. The Amendment Regulations </w:t>
      </w:r>
      <w:r w:rsidR="00E12D4B" w:rsidRPr="00550CD0">
        <w:rPr>
          <w:iCs/>
        </w:rPr>
        <w:t>also</w:t>
      </w:r>
      <w:r w:rsidRPr="00550CD0">
        <w:rPr>
          <w:iCs/>
        </w:rPr>
        <w:t xml:space="preserve"> apply </w:t>
      </w:r>
      <w:r w:rsidR="00E12D4B" w:rsidRPr="00550CD0">
        <w:rPr>
          <w:iCs/>
        </w:rPr>
        <w:t>to</w:t>
      </w:r>
      <w:r w:rsidRPr="00550CD0">
        <w:rPr>
          <w:iCs/>
        </w:rPr>
        <w:t xml:space="preserve"> new applications for a visa made on or after the commencemen</w:t>
      </w:r>
      <w:r w:rsidR="00BA6EBD">
        <w:rPr>
          <w:iCs/>
        </w:rPr>
        <w:t>t of the Amendment Regulations.</w:t>
      </w:r>
    </w:p>
    <w:sectPr w:rsidR="00565188" w:rsidRPr="00BA6EBD"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52F41" w14:textId="77777777" w:rsidR="00755153" w:rsidRDefault="00755153" w:rsidP="002C5B79">
      <w:pPr>
        <w:spacing w:after="0" w:line="240" w:lineRule="auto"/>
      </w:pPr>
      <w:r>
        <w:separator/>
      </w:r>
    </w:p>
  </w:endnote>
  <w:endnote w:type="continuationSeparator" w:id="0">
    <w:p w14:paraId="25024CD6" w14:textId="77777777" w:rsidR="00755153" w:rsidRDefault="00755153" w:rsidP="002C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729F" w14:textId="77777777" w:rsidR="008C4E8C" w:rsidRDefault="008C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2C2F" w14:textId="77777777" w:rsidR="008C4E8C" w:rsidRDefault="008C4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DA8D" w14:textId="77777777" w:rsidR="008C4E8C" w:rsidRDefault="008C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74CB" w14:textId="77777777" w:rsidR="00755153" w:rsidRDefault="00755153" w:rsidP="002C5B79">
      <w:pPr>
        <w:spacing w:after="0" w:line="240" w:lineRule="auto"/>
      </w:pPr>
      <w:r>
        <w:separator/>
      </w:r>
    </w:p>
  </w:footnote>
  <w:footnote w:type="continuationSeparator" w:id="0">
    <w:p w14:paraId="3416763A" w14:textId="77777777" w:rsidR="00755153" w:rsidRDefault="00755153" w:rsidP="002C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F4DF" w14:textId="77777777" w:rsidR="008C4E8C" w:rsidRDefault="008C4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33CC" w14:textId="77777777" w:rsidR="008C4E8C" w:rsidRDefault="008C4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6920" w14:textId="77777777" w:rsidR="008C4E8C" w:rsidRDefault="008C4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2D5"/>
    <w:multiLevelType w:val="hybridMultilevel"/>
    <w:tmpl w:val="5DC6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959DE"/>
    <w:multiLevelType w:val="hybridMultilevel"/>
    <w:tmpl w:val="DF964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3" w15:restartNumberingAfterBreak="0">
    <w:nsid w:val="15F17E90"/>
    <w:multiLevelType w:val="singleLevel"/>
    <w:tmpl w:val="6158E45E"/>
    <w:lvl w:ilvl="0">
      <w:start w:val="1"/>
      <w:numFmt w:val="bullet"/>
      <w:pStyle w:val="legcomeasuredash"/>
      <w:lvlText w:val="-"/>
      <w:lvlJc w:val="left"/>
      <w:pPr>
        <w:tabs>
          <w:tab w:val="num" w:pos="397"/>
        </w:tabs>
        <w:ind w:left="397" w:hanging="397"/>
      </w:pPr>
      <w:rPr>
        <w:rFonts w:ascii="Times New Roman" w:hAnsi="Times New Roman" w:hint="default"/>
      </w:rPr>
    </w:lvl>
  </w:abstractNum>
  <w:abstractNum w:abstractNumId="4" w15:restartNumberingAfterBreak="0">
    <w:nsid w:val="209407DA"/>
    <w:multiLevelType w:val="hybridMultilevel"/>
    <w:tmpl w:val="AA343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03EFD"/>
    <w:multiLevelType w:val="hybridMultilevel"/>
    <w:tmpl w:val="51D243F6"/>
    <w:lvl w:ilvl="0" w:tplc="0C090001">
      <w:start w:val="1"/>
      <w:numFmt w:val="bullet"/>
      <w:lvlText w:val=""/>
      <w:lvlJc w:val="left"/>
      <w:pPr>
        <w:ind w:left="720" w:hanging="360"/>
      </w:pPr>
      <w:rPr>
        <w:rFonts w:ascii="Symbol" w:hAnsi="Symbol" w:hint="default"/>
      </w:rPr>
    </w:lvl>
    <w:lvl w:ilvl="1" w:tplc="6434BED8">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10FB4"/>
    <w:multiLevelType w:val="hybridMultilevel"/>
    <w:tmpl w:val="EE968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23713"/>
    <w:multiLevelType w:val="hybridMultilevel"/>
    <w:tmpl w:val="125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51E8F"/>
    <w:multiLevelType w:val="hybridMultilevel"/>
    <w:tmpl w:val="396C33CE"/>
    <w:lvl w:ilvl="0" w:tplc="47C85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353CD"/>
    <w:multiLevelType w:val="hybridMultilevel"/>
    <w:tmpl w:val="4C2EEF5C"/>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8E7648"/>
    <w:multiLevelType w:val="hybridMultilevel"/>
    <w:tmpl w:val="0F406C76"/>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9B655E"/>
    <w:multiLevelType w:val="hybridMultilevel"/>
    <w:tmpl w:val="017E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263578"/>
    <w:multiLevelType w:val="hybridMultilevel"/>
    <w:tmpl w:val="084A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D6BE5"/>
    <w:multiLevelType w:val="hybridMultilevel"/>
    <w:tmpl w:val="E0AA7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DE472F"/>
    <w:multiLevelType w:val="hybridMultilevel"/>
    <w:tmpl w:val="45203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A6765"/>
    <w:multiLevelType w:val="hybridMultilevel"/>
    <w:tmpl w:val="95A6AC48"/>
    <w:lvl w:ilvl="0" w:tplc="6434BE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6E67C9"/>
    <w:multiLevelType w:val="hybridMultilevel"/>
    <w:tmpl w:val="BE8C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C29EA"/>
    <w:multiLevelType w:val="hybridMultilevel"/>
    <w:tmpl w:val="4C2EEF5C"/>
    <w:lvl w:ilvl="0" w:tplc="6434BE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C43D0"/>
    <w:multiLevelType w:val="hybridMultilevel"/>
    <w:tmpl w:val="AC74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1"/>
  </w:num>
  <w:num w:numId="4">
    <w:abstractNumId w:val="11"/>
  </w:num>
  <w:num w:numId="5">
    <w:abstractNumId w:val="13"/>
  </w:num>
  <w:num w:numId="6">
    <w:abstractNumId w:val="16"/>
  </w:num>
  <w:num w:numId="7">
    <w:abstractNumId w:val="1"/>
  </w:num>
  <w:num w:numId="8">
    <w:abstractNumId w:val="12"/>
  </w:num>
  <w:num w:numId="9">
    <w:abstractNumId w:val="17"/>
  </w:num>
  <w:num w:numId="10">
    <w:abstractNumId w:val="8"/>
  </w:num>
  <w:num w:numId="11">
    <w:abstractNumId w:val="19"/>
  </w:num>
  <w:num w:numId="12">
    <w:abstractNumId w:val="9"/>
  </w:num>
  <w:num w:numId="13">
    <w:abstractNumId w:val="2"/>
    <w:lvlOverride w:ilvl="0">
      <w:startOverride w:val="1"/>
    </w:lvlOverride>
  </w:num>
  <w:num w:numId="14">
    <w:abstractNumId w:val="0"/>
  </w:num>
  <w:num w:numId="15">
    <w:abstractNumId w:val="20"/>
  </w:num>
  <w:num w:numId="16">
    <w:abstractNumId w:val="5"/>
  </w:num>
  <w:num w:numId="17">
    <w:abstractNumId w:val="18"/>
  </w:num>
  <w:num w:numId="18">
    <w:abstractNumId w:val="14"/>
  </w:num>
  <w:num w:numId="19">
    <w:abstractNumId w:val="7"/>
  </w:num>
  <w:num w:numId="20">
    <w:abstractNumId w:val="3"/>
  </w:num>
  <w:num w:numId="21">
    <w:abstractNumId w:val="6"/>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7B5E"/>
    <w:rsid w:val="000241B8"/>
    <w:rsid w:val="00025225"/>
    <w:rsid w:val="00043C8E"/>
    <w:rsid w:val="00057B1C"/>
    <w:rsid w:val="000707C8"/>
    <w:rsid w:val="000741EB"/>
    <w:rsid w:val="000770BE"/>
    <w:rsid w:val="000B5E98"/>
    <w:rsid w:val="000D014F"/>
    <w:rsid w:val="000D07A9"/>
    <w:rsid w:val="000F6579"/>
    <w:rsid w:val="00100DFC"/>
    <w:rsid w:val="001179EE"/>
    <w:rsid w:val="00140ECE"/>
    <w:rsid w:val="001442CA"/>
    <w:rsid w:val="00161994"/>
    <w:rsid w:val="0019164E"/>
    <w:rsid w:val="00192E4F"/>
    <w:rsid w:val="001A3774"/>
    <w:rsid w:val="001C5AA8"/>
    <w:rsid w:val="001E07D2"/>
    <w:rsid w:val="001E0969"/>
    <w:rsid w:val="002034C2"/>
    <w:rsid w:val="00204D37"/>
    <w:rsid w:val="00214EA6"/>
    <w:rsid w:val="00230437"/>
    <w:rsid w:val="002402E0"/>
    <w:rsid w:val="002672E0"/>
    <w:rsid w:val="00272370"/>
    <w:rsid w:val="00282CBC"/>
    <w:rsid w:val="002C5B79"/>
    <w:rsid w:val="002D167E"/>
    <w:rsid w:val="002E7C93"/>
    <w:rsid w:val="003309BD"/>
    <w:rsid w:val="00343BB0"/>
    <w:rsid w:val="00354B65"/>
    <w:rsid w:val="00364582"/>
    <w:rsid w:val="0037085B"/>
    <w:rsid w:val="003833A4"/>
    <w:rsid w:val="00383A30"/>
    <w:rsid w:val="003B4165"/>
    <w:rsid w:val="003D1442"/>
    <w:rsid w:val="003D1A1E"/>
    <w:rsid w:val="003D2ADE"/>
    <w:rsid w:val="003E468B"/>
    <w:rsid w:val="003E70D1"/>
    <w:rsid w:val="00400F6A"/>
    <w:rsid w:val="00425AA9"/>
    <w:rsid w:val="00433144"/>
    <w:rsid w:val="004443F3"/>
    <w:rsid w:val="00444923"/>
    <w:rsid w:val="00457D4A"/>
    <w:rsid w:val="00461BF4"/>
    <w:rsid w:val="00463359"/>
    <w:rsid w:val="00464080"/>
    <w:rsid w:val="0046552F"/>
    <w:rsid w:val="00475CE6"/>
    <w:rsid w:val="00484617"/>
    <w:rsid w:val="004A3EF9"/>
    <w:rsid w:val="004A4D8F"/>
    <w:rsid w:val="004A50CB"/>
    <w:rsid w:val="004B2B65"/>
    <w:rsid w:val="004C2200"/>
    <w:rsid w:val="004C285C"/>
    <w:rsid w:val="004D6CA1"/>
    <w:rsid w:val="004D763E"/>
    <w:rsid w:val="004F5CE4"/>
    <w:rsid w:val="005049F1"/>
    <w:rsid w:val="005154FD"/>
    <w:rsid w:val="00544E44"/>
    <w:rsid w:val="00550CD0"/>
    <w:rsid w:val="00554A34"/>
    <w:rsid w:val="00560B24"/>
    <w:rsid w:val="00565188"/>
    <w:rsid w:val="0057002B"/>
    <w:rsid w:val="00575CA9"/>
    <w:rsid w:val="00577338"/>
    <w:rsid w:val="00577D88"/>
    <w:rsid w:val="00591C1D"/>
    <w:rsid w:val="005920B8"/>
    <w:rsid w:val="005A3733"/>
    <w:rsid w:val="005C1B79"/>
    <w:rsid w:val="005D122F"/>
    <w:rsid w:val="00602099"/>
    <w:rsid w:val="00604E06"/>
    <w:rsid w:val="00626466"/>
    <w:rsid w:val="00630907"/>
    <w:rsid w:val="00634753"/>
    <w:rsid w:val="00644B5F"/>
    <w:rsid w:val="006733CC"/>
    <w:rsid w:val="006A77D1"/>
    <w:rsid w:val="006F41ED"/>
    <w:rsid w:val="00721288"/>
    <w:rsid w:val="007245CD"/>
    <w:rsid w:val="00725810"/>
    <w:rsid w:val="00730845"/>
    <w:rsid w:val="007359B9"/>
    <w:rsid w:val="00740422"/>
    <w:rsid w:val="00741360"/>
    <w:rsid w:val="00741854"/>
    <w:rsid w:val="0074346F"/>
    <w:rsid w:val="00745846"/>
    <w:rsid w:val="00753B8C"/>
    <w:rsid w:val="00755153"/>
    <w:rsid w:val="00770B6D"/>
    <w:rsid w:val="007733D3"/>
    <w:rsid w:val="007A0221"/>
    <w:rsid w:val="007B1C59"/>
    <w:rsid w:val="007E3760"/>
    <w:rsid w:val="007E4691"/>
    <w:rsid w:val="007F5C17"/>
    <w:rsid w:val="00800BBB"/>
    <w:rsid w:val="008067C9"/>
    <w:rsid w:val="00813B74"/>
    <w:rsid w:val="00857C84"/>
    <w:rsid w:val="008669DB"/>
    <w:rsid w:val="0087303B"/>
    <w:rsid w:val="0087652E"/>
    <w:rsid w:val="0088407D"/>
    <w:rsid w:val="008A6B41"/>
    <w:rsid w:val="008B24C8"/>
    <w:rsid w:val="008B4B27"/>
    <w:rsid w:val="008C0F35"/>
    <w:rsid w:val="008C4E8C"/>
    <w:rsid w:val="008E3DC7"/>
    <w:rsid w:val="00915032"/>
    <w:rsid w:val="009226D3"/>
    <w:rsid w:val="0094625A"/>
    <w:rsid w:val="00966754"/>
    <w:rsid w:val="009862BA"/>
    <w:rsid w:val="00991B9B"/>
    <w:rsid w:val="009938EA"/>
    <w:rsid w:val="009945B5"/>
    <w:rsid w:val="009A436D"/>
    <w:rsid w:val="009B4D84"/>
    <w:rsid w:val="009E3EE4"/>
    <w:rsid w:val="009F78FC"/>
    <w:rsid w:val="00A04621"/>
    <w:rsid w:val="00A05A7C"/>
    <w:rsid w:val="00A06EA6"/>
    <w:rsid w:val="00A1604C"/>
    <w:rsid w:val="00A2050E"/>
    <w:rsid w:val="00A20580"/>
    <w:rsid w:val="00A25284"/>
    <w:rsid w:val="00A32A8A"/>
    <w:rsid w:val="00A3392E"/>
    <w:rsid w:val="00A34323"/>
    <w:rsid w:val="00A47C79"/>
    <w:rsid w:val="00A55B6D"/>
    <w:rsid w:val="00A6339A"/>
    <w:rsid w:val="00AA4557"/>
    <w:rsid w:val="00AA4F77"/>
    <w:rsid w:val="00AB03CD"/>
    <w:rsid w:val="00AB2F4D"/>
    <w:rsid w:val="00AD26B7"/>
    <w:rsid w:val="00AD42FB"/>
    <w:rsid w:val="00AF0C33"/>
    <w:rsid w:val="00AF2235"/>
    <w:rsid w:val="00B05108"/>
    <w:rsid w:val="00B059A5"/>
    <w:rsid w:val="00B0616E"/>
    <w:rsid w:val="00B445D9"/>
    <w:rsid w:val="00B60000"/>
    <w:rsid w:val="00B65A06"/>
    <w:rsid w:val="00B66F73"/>
    <w:rsid w:val="00B75478"/>
    <w:rsid w:val="00B84A24"/>
    <w:rsid w:val="00BA6EBD"/>
    <w:rsid w:val="00BB0CF2"/>
    <w:rsid w:val="00BD3627"/>
    <w:rsid w:val="00BD598E"/>
    <w:rsid w:val="00BE3E7F"/>
    <w:rsid w:val="00BE4F2A"/>
    <w:rsid w:val="00BF307D"/>
    <w:rsid w:val="00C07AB9"/>
    <w:rsid w:val="00C14E4D"/>
    <w:rsid w:val="00C20278"/>
    <w:rsid w:val="00C35FDB"/>
    <w:rsid w:val="00C41C8A"/>
    <w:rsid w:val="00C42F7B"/>
    <w:rsid w:val="00C50369"/>
    <w:rsid w:val="00C74A23"/>
    <w:rsid w:val="00C74BF5"/>
    <w:rsid w:val="00C81A5E"/>
    <w:rsid w:val="00C930F2"/>
    <w:rsid w:val="00C9754F"/>
    <w:rsid w:val="00CC6361"/>
    <w:rsid w:val="00CF07DC"/>
    <w:rsid w:val="00CF4395"/>
    <w:rsid w:val="00CF5CDB"/>
    <w:rsid w:val="00D30BCA"/>
    <w:rsid w:val="00D31F8F"/>
    <w:rsid w:val="00D40E1E"/>
    <w:rsid w:val="00D44531"/>
    <w:rsid w:val="00D452AA"/>
    <w:rsid w:val="00D52DBE"/>
    <w:rsid w:val="00D62215"/>
    <w:rsid w:val="00D63B86"/>
    <w:rsid w:val="00D97298"/>
    <w:rsid w:val="00DA3389"/>
    <w:rsid w:val="00DB09AC"/>
    <w:rsid w:val="00DB7744"/>
    <w:rsid w:val="00DC2E14"/>
    <w:rsid w:val="00DE4EAA"/>
    <w:rsid w:val="00DF40B5"/>
    <w:rsid w:val="00E03DCC"/>
    <w:rsid w:val="00E10810"/>
    <w:rsid w:val="00E12D4B"/>
    <w:rsid w:val="00E132C2"/>
    <w:rsid w:val="00E14D82"/>
    <w:rsid w:val="00E23D9D"/>
    <w:rsid w:val="00E4129D"/>
    <w:rsid w:val="00E456FB"/>
    <w:rsid w:val="00E45FE2"/>
    <w:rsid w:val="00E92CA8"/>
    <w:rsid w:val="00EA12C9"/>
    <w:rsid w:val="00EB4D51"/>
    <w:rsid w:val="00EC4A2B"/>
    <w:rsid w:val="00EE21EF"/>
    <w:rsid w:val="00EF3345"/>
    <w:rsid w:val="00F02300"/>
    <w:rsid w:val="00F06470"/>
    <w:rsid w:val="00F3184C"/>
    <w:rsid w:val="00F45332"/>
    <w:rsid w:val="00F56406"/>
    <w:rsid w:val="00F578A4"/>
    <w:rsid w:val="00F704A9"/>
    <w:rsid w:val="00F96C43"/>
    <w:rsid w:val="00FB7BE1"/>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3B74"/>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813B74"/>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Hyperlink">
    <w:name w:val="Hyperlink"/>
    <w:basedOn w:val="DefaultParagraphFont"/>
    <w:uiPriority w:val="99"/>
    <w:unhideWhenUsed/>
    <w:rsid w:val="00F06470"/>
    <w:rPr>
      <w:color w:val="0563C1" w:themeColor="hyperlink"/>
      <w:u w:val="single"/>
    </w:rPr>
  </w:style>
  <w:style w:type="paragraph" w:customStyle="1" w:styleId="Default">
    <w:name w:val="Default"/>
    <w:rsid w:val="003309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14D82"/>
    <w:rPr>
      <w:sz w:val="16"/>
      <w:szCs w:val="16"/>
    </w:rPr>
  </w:style>
  <w:style w:type="paragraph" w:styleId="CommentText">
    <w:name w:val="annotation text"/>
    <w:basedOn w:val="Normal"/>
    <w:link w:val="CommentTextChar"/>
    <w:uiPriority w:val="99"/>
    <w:semiHidden/>
    <w:unhideWhenUsed/>
    <w:rsid w:val="00E14D82"/>
    <w:pPr>
      <w:spacing w:line="240" w:lineRule="auto"/>
    </w:pPr>
    <w:rPr>
      <w:sz w:val="20"/>
      <w:szCs w:val="20"/>
    </w:rPr>
  </w:style>
  <w:style w:type="character" w:customStyle="1" w:styleId="CommentTextChar">
    <w:name w:val="Comment Text Char"/>
    <w:basedOn w:val="DefaultParagraphFont"/>
    <w:link w:val="CommentText"/>
    <w:uiPriority w:val="99"/>
    <w:semiHidden/>
    <w:rsid w:val="00E14D82"/>
    <w:rPr>
      <w:sz w:val="20"/>
      <w:szCs w:val="20"/>
    </w:rPr>
  </w:style>
  <w:style w:type="paragraph" w:styleId="CommentSubject">
    <w:name w:val="annotation subject"/>
    <w:basedOn w:val="CommentText"/>
    <w:next w:val="CommentText"/>
    <w:link w:val="CommentSubjectChar"/>
    <w:uiPriority w:val="99"/>
    <w:semiHidden/>
    <w:unhideWhenUsed/>
    <w:rsid w:val="00E14D82"/>
    <w:rPr>
      <w:b/>
      <w:bCs/>
    </w:rPr>
  </w:style>
  <w:style w:type="character" w:customStyle="1" w:styleId="CommentSubjectChar">
    <w:name w:val="Comment Subject Char"/>
    <w:basedOn w:val="CommentTextChar"/>
    <w:link w:val="CommentSubject"/>
    <w:uiPriority w:val="99"/>
    <w:semiHidden/>
    <w:rsid w:val="00E14D82"/>
    <w:rPr>
      <w:b/>
      <w:bCs/>
      <w:sz w:val="20"/>
      <w:szCs w:val="20"/>
    </w:rPr>
  </w:style>
  <w:style w:type="paragraph" w:styleId="BalloonText">
    <w:name w:val="Balloon Text"/>
    <w:basedOn w:val="Normal"/>
    <w:link w:val="BalloonTextChar"/>
    <w:uiPriority w:val="99"/>
    <w:semiHidden/>
    <w:unhideWhenUsed/>
    <w:rsid w:val="00E14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D82"/>
    <w:rPr>
      <w:rFonts w:ascii="Segoe UI" w:hAnsi="Segoe UI" w:cs="Segoe UI"/>
      <w:sz w:val="18"/>
      <w:szCs w:val="18"/>
    </w:rPr>
  </w:style>
  <w:style w:type="character" w:customStyle="1" w:styleId="Heading2Char">
    <w:name w:val="Heading 2 Char"/>
    <w:basedOn w:val="DefaultParagraphFont"/>
    <w:link w:val="Heading2"/>
    <w:uiPriority w:val="9"/>
    <w:rsid w:val="00813B74"/>
    <w:rPr>
      <w:rFonts w:ascii="Times New Roman" w:hAnsi="Times New Roman"/>
      <w:b/>
      <w:sz w:val="28"/>
      <w:szCs w:val="28"/>
    </w:rPr>
  </w:style>
  <w:style w:type="character" w:customStyle="1" w:styleId="Heading3Char">
    <w:name w:val="Heading 3 Char"/>
    <w:basedOn w:val="DefaultParagraphFont"/>
    <w:link w:val="Heading3"/>
    <w:uiPriority w:val="9"/>
    <w:rsid w:val="00813B74"/>
    <w:rPr>
      <w:rFonts w:ascii="Times New Roman" w:hAnsi="Times New Roman"/>
      <w:b/>
      <w:sz w:val="24"/>
      <w:szCs w:val="24"/>
    </w:rPr>
  </w:style>
  <w:style w:type="paragraph" w:styleId="Header">
    <w:name w:val="header"/>
    <w:basedOn w:val="Normal"/>
    <w:link w:val="HeaderChar"/>
    <w:uiPriority w:val="99"/>
    <w:unhideWhenUsed/>
    <w:rsid w:val="00813B74"/>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13B74"/>
    <w:rPr>
      <w:rFonts w:ascii="Calibri" w:eastAsia="Calibri" w:hAnsi="Calibri" w:cs="Times New Roman"/>
    </w:rPr>
  </w:style>
  <w:style w:type="paragraph" w:styleId="NoSpacing">
    <w:name w:val="No Spacing"/>
    <w:uiPriority w:val="1"/>
    <w:qFormat/>
    <w:rsid w:val="00813B74"/>
    <w:pPr>
      <w:spacing w:after="0" w:line="240" w:lineRule="auto"/>
    </w:pPr>
  </w:style>
  <w:style w:type="paragraph" w:styleId="Footer">
    <w:name w:val="footer"/>
    <w:basedOn w:val="Normal"/>
    <w:link w:val="FooterChar"/>
    <w:uiPriority w:val="99"/>
    <w:unhideWhenUsed/>
    <w:rsid w:val="002C5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B79"/>
  </w:style>
  <w:style w:type="paragraph" w:customStyle="1" w:styleId="DINumberedParagraph">
    <w:name w:val="DI Numbered Paragraph"/>
    <w:basedOn w:val="Normal"/>
    <w:rsid w:val="00EF3345"/>
    <w:pPr>
      <w:numPr>
        <w:numId w:val="13"/>
      </w:num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legcohead3">
    <w:name w:val="legcohead3"/>
    <w:basedOn w:val="Normal"/>
    <w:rsid w:val="0046552F"/>
    <w:pPr>
      <w:keepNext/>
      <w:spacing w:after="0" w:line="240" w:lineRule="auto"/>
    </w:pPr>
    <w:rPr>
      <w:rFonts w:ascii="Times New Roman" w:eastAsia="Times New Roman" w:hAnsi="Times New Roman" w:cs="Times New Roman"/>
      <w:b/>
      <w:kern w:val="28"/>
      <w:sz w:val="24"/>
      <w:szCs w:val="20"/>
      <w:lang w:val="en-US" w:eastAsia="en-AU"/>
    </w:rPr>
  </w:style>
  <w:style w:type="paragraph" w:customStyle="1" w:styleId="legcomeasuredash">
    <w:name w:val="legcomeasuredash"/>
    <w:basedOn w:val="Normal"/>
    <w:link w:val="legcomeasuredashChar"/>
    <w:qFormat/>
    <w:rsid w:val="0046552F"/>
    <w:pPr>
      <w:numPr>
        <w:numId w:val="20"/>
      </w:numPr>
      <w:spacing w:after="0" w:line="240" w:lineRule="auto"/>
    </w:pPr>
    <w:rPr>
      <w:rFonts w:ascii="Verdana" w:eastAsia="Times New Roman" w:hAnsi="Verdana" w:cs="Tahoma"/>
      <w:color w:val="000000"/>
      <w:szCs w:val="24"/>
      <w:lang w:val="en-US" w:eastAsia="en-AU"/>
    </w:rPr>
  </w:style>
  <w:style w:type="character" w:customStyle="1" w:styleId="legcomeasuredashChar">
    <w:name w:val="legcomeasuredash Char"/>
    <w:link w:val="legcomeasuredash"/>
    <w:rsid w:val="0046552F"/>
    <w:rPr>
      <w:rFonts w:ascii="Verdana" w:eastAsia="Times New Roman" w:hAnsi="Verdana" w:cs="Tahoma"/>
      <w:color w:val="000000"/>
      <w:szCs w:val="24"/>
      <w:lang w:val="en-US" w:eastAsia="en-AU"/>
    </w:rPr>
  </w:style>
  <w:style w:type="character" w:styleId="Strong">
    <w:name w:val="Strong"/>
    <w:basedOn w:val="DefaultParagraphFont"/>
    <w:uiPriority w:val="22"/>
    <w:qFormat/>
    <w:rsid w:val="00465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216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50D0-FC54-49D4-84A3-D87E2E54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2024-10-10T03:22:00Z</dcterms:created>
  <dcterms:modified xsi:type="dcterms:W3CDTF">2024-10-10T03:22:00Z</dcterms:modified>
  <cp:contentStatus/>
</cp:coreProperties>
</file>