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FB640B" w:rsidRPr="008B24C8" w:rsidRDefault="0057002B" w:rsidP="00BB0CF2">
      <w:pPr>
        <w:pStyle w:val="ESTitleHeader"/>
      </w:pPr>
      <w:r>
        <w:t>EXPLANATORY STATEMENT</w:t>
      </w:r>
    </w:p>
    <w:p w14:paraId="1485ABB6" w14:textId="0A67EC88" w:rsidR="5220722F" w:rsidRDefault="5220722F" w:rsidP="5220722F">
      <w:pPr>
        <w:spacing w:after="0" w:line="240" w:lineRule="auto"/>
        <w:ind w:right="40"/>
        <w:jc w:val="center"/>
        <w:rPr>
          <w:rFonts w:ascii="Times New Roman" w:eastAsia="Times New Roman" w:hAnsi="Times New Roman" w:cs="Times New Roman"/>
          <w:color w:val="000000" w:themeColor="text1"/>
          <w:sz w:val="24"/>
          <w:szCs w:val="24"/>
        </w:rPr>
      </w:pPr>
    </w:p>
    <w:p w14:paraId="0B8377EA" w14:textId="1BFCCC2F" w:rsidR="706B4E9E" w:rsidRDefault="706B4E9E" w:rsidP="5220722F">
      <w:pPr>
        <w:spacing w:after="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 xml:space="preserve">Issued by the Minister for </w:t>
      </w:r>
      <w:r w:rsidR="004F2A10">
        <w:rPr>
          <w:rFonts w:ascii="Times New Roman" w:eastAsia="Times New Roman" w:hAnsi="Times New Roman" w:cs="Times New Roman"/>
          <w:color w:val="000000" w:themeColor="text1"/>
          <w:sz w:val="24"/>
          <w:szCs w:val="24"/>
        </w:rPr>
        <w:t>Immigration and Multicultural Affairs</w:t>
      </w:r>
    </w:p>
    <w:p w14:paraId="0280C46B" w14:textId="7E6FECCD" w:rsidR="706B4E9E" w:rsidRPr="004A50CB"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004A50CB">
        <w:rPr>
          <w:rStyle w:val="legislationtitleitalics"/>
          <w:rFonts w:eastAsia="Times New Roman" w:cs="Times New Roman"/>
          <w:color w:val="000000" w:themeColor="text1"/>
        </w:rPr>
        <w:t>Migration Act 1958</w:t>
      </w:r>
    </w:p>
    <w:p w14:paraId="06D25028" w14:textId="1A74E1B0" w:rsidR="5220722F" w:rsidRPr="004A50CB" w:rsidRDefault="004A50CB" w:rsidP="5220722F">
      <w:pPr>
        <w:spacing w:before="240" w:after="0" w:line="240" w:lineRule="auto"/>
        <w:jc w:val="center"/>
        <w:rPr>
          <w:rFonts w:ascii="Times New Roman" w:hAnsi="Times New Roman" w:cs="Times New Roman"/>
          <w:i/>
          <w:sz w:val="24"/>
          <w:szCs w:val="24"/>
        </w:rPr>
      </w:pPr>
      <w:r w:rsidRPr="004A50CB">
        <w:rPr>
          <w:rFonts w:ascii="Times New Roman" w:hAnsi="Times New Roman" w:cs="Times New Roman"/>
          <w:i/>
          <w:sz w:val="24"/>
          <w:szCs w:val="24"/>
        </w:rPr>
        <w:t xml:space="preserve">Migration Amendment (Immigration Clearance Exemption for Transiting Aircraft Crew) </w:t>
      </w:r>
      <w:r>
        <w:rPr>
          <w:rFonts w:ascii="Times New Roman" w:hAnsi="Times New Roman" w:cs="Times New Roman"/>
          <w:i/>
          <w:sz w:val="24"/>
          <w:szCs w:val="24"/>
        </w:rPr>
        <w:t xml:space="preserve">Regulations </w:t>
      </w:r>
      <w:r w:rsidRPr="004A50CB">
        <w:rPr>
          <w:rFonts w:ascii="Times New Roman" w:hAnsi="Times New Roman" w:cs="Times New Roman"/>
          <w:i/>
          <w:sz w:val="24"/>
          <w:szCs w:val="24"/>
        </w:rPr>
        <w:t>2024</w:t>
      </w:r>
    </w:p>
    <w:p w14:paraId="0FCEA0B9" w14:textId="77777777" w:rsidR="004A50CB" w:rsidRDefault="004A50CB" w:rsidP="5220722F">
      <w:pPr>
        <w:spacing w:before="240" w:after="0" w:line="240" w:lineRule="auto"/>
        <w:jc w:val="center"/>
        <w:rPr>
          <w:rStyle w:val="legislationtitleitalics"/>
          <w:rFonts w:eastAsia="Times New Roman" w:cs="Times New Roman"/>
          <w:color w:val="000000" w:themeColor="text1"/>
        </w:rPr>
      </w:pPr>
    </w:p>
    <w:p w14:paraId="4CC9BA27" w14:textId="17C2AC65" w:rsidR="706B4E9E" w:rsidRPr="00DA3389" w:rsidRDefault="706B4E9E" w:rsidP="5220722F">
      <w:pPr>
        <w:pStyle w:val="ESoutlinetext"/>
        <w:spacing w:line="276" w:lineRule="auto"/>
        <w:rPr>
          <w:color w:val="000000" w:themeColor="text1"/>
        </w:rPr>
      </w:pPr>
      <w:r w:rsidRPr="5220722F">
        <w:rPr>
          <w:color w:val="000000" w:themeColor="text1"/>
        </w:rPr>
        <w:t xml:space="preserve">The </w:t>
      </w:r>
      <w:r w:rsidRPr="5220722F">
        <w:rPr>
          <w:rStyle w:val="legislationtitleitalics"/>
          <w:rFonts w:eastAsia="Times New Roman" w:cs="Times New Roman"/>
          <w:color w:val="000000" w:themeColor="text1"/>
        </w:rPr>
        <w:t xml:space="preserve">Migration Act </w:t>
      </w:r>
      <w:r w:rsidRPr="00DA3389">
        <w:rPr>
          <w:rStyle w:val="legislationtitleitalics"/>
          <w:rFonts w:eastAsia="Times New Roman" w:cs="Times New Roman"/>
          <w:color w:val="000000" w:themeColor="text1"/>
        </w:rPr>
        <w:t>1958</w:t>
      </w:r>
      <w:r w:rsidRPr="00DA3389">
        <w:rPr>
          <w:color w:val="000000" w:themeColor="text1"/>
        </w:rPr>
        <w:t xml:space="preserve"> (the </w:t>
      </w:r>
      <w:r w:rsidRPr="00DA3389">
        <w:rPr>
          <w:bCs/>
          <w:color w:val="000000" w:themeColor="text1"/>
        </w:rPr>
        <w:t>Migration Act</w:t>
      </w:r>
      <w:r w:rsidRPr="00DA3389">
        <w:rPr>
          <w:color w:val="000000" w:themeColor="text1"/>
        </w:rPr>
        <w:t>) is an Act relating to the entry into, and presence in, Australia of aliens, and the departure or deportation from Australia of aliens and certain other persons.</w:t>
      </w:r>
    </w:p>
    <w:p w14:paraId="0DB12045" w14:textId="4496B766" w:rsidR="5220722F" w:rsidRPr="00DA3389" w:rsidRDefault="706B4E9E" w:rsidP="00E92CA8">
      <w:pPr>
        <w:pStyle w:val="ESoutlinetext"/>
        <w:spacing w:line="276" w:lineRule="auto"/>
        <w:rPr>
          <w:color w:val="000000" w:themeColor="text1"/>
        </w:rPr>
      </w:pPr>
      <w:r w:rsidRPr="00DA3389">
        <w:rPr>
          <w:color w:val="000000" w:themeColor="text1"/>
        </w:rPr>
        <w:t>Subsection 504(1) of the Migration Act</w:t>
      </w:r>
      <w:r w:rsidRPr="00DA3389">
        <w:rPr>
          <w:i/>
          <w:iCs/>
          <w:color w:val="000000" w:themeColor="text1"/>
        </w:rPr>
        <w:t xml:space="preserve"> </w:t>
      </w:r>
      <w:r w:rsidRPr="00DA3389">
        <w:rPr>
          <w:color w:val="000000" w:themeColor="text1"/>
        </w:rPr>
        <w:t>provides that the Governor-General may make regulations, not inconsistent with the Migration Act, prescribing matters requir</w:t>
      </w:r>
      <w:bookmarkStart w:id="0" w:name="_GoBack"/>
      <w:bookmarkEnd w:id="0"/>
      <w:r w:rsidRPr="00DA3389">
        <w:rPr>
          <w:color w:val="000000" w:themeColor="text1"/>
        </w:rPr>
        <w:t>ed or permitted to be prescribed, or necessary or convenient to be prescribed, for carrying out or giving effect to the Migration Act.</w:t>
      </w:r>
    </w:p>
    <w:p w14:paraId="397AE6AE" w14:textId="4A862849" w:rsidR="00591C1D" w:rsidRDefault="00F02300" w:rsidP="00E92CA8">
      <w:pPr>
        <w:pStyle w:val="ESoutlinetext"/>
        <w:spacing w:line="276" w:lineRule="auto"/>
      </w:pPr>
      <w:r w:rsidRPr="00DA3389">
        <w:rPr>
          <w:rStyle w:val="legislationtitleitalics"/>
          <w:rFonts w:eastAsia="Times New Roman" w:cs="Times New Roman"/>
          <w:i w:val="0"/>
          <w:iCs w:val="0"/>
          <w:color w:val="000000" w:themeColor="text1"/>
        </w:rPr>
        <w:t xml:space="preserve">The </w:t>
      </w:r>
      <w:r w:rsidRPr="00DA3389">
        <w:rPr>
          <w:i/>
        </w:rPr>
        <w:t xml:space="preserve">Migration Amendment (Immigration Clearance Exemption for Transiting Aircraft Crew) Regulations 2024 </w:t>
      </w:r>
      <w:r w:rsidRPr="00DA3389">
        <w:t xml:space="preserve">(the amending Regulations) amend the </w:t>
      </w:r>
      <w:r w:rsidRPr="00DA3389">
        <w:rPr>
          <w:i/>
        </w:rPr>
        <w:t xml:space="preserve">Migration Regulations 1994 </w:t>
      </w:r>
      <w:r w:rsidRPr="00DA3389">
        <w:t xml:space="preserve">(the Migration Regulations) </w:t>
      </w:r>
      <w:r w:rsidR="00C41C8A" w:rsidRPr="00DA3389">
        <w:t xml:space="preserve">by inserting a new item </w:t>
      </w:r>
      <w:r w:rsidR="0037085B">
        <w:t>in</w:t>
      </w:r>
      <w:r w:rsidR="00C41C8A" w:rsidRPr="00DA3389">
        <w:t xml:space="preserve"> Part 2 of Schedule 9 to the Migration Regulations, allowing </w:t>
      </w:r>
      <w:r w:rsidR="00C20278" w:rsidRPr="00DA3389">
        <w:t>transiting aircraft crew with</w:t>
      </w:r>
      <w:r w:rsidR="00C20278">
        <w:t xml:space="preserve"> a turn</w:t>
      </w:r>
      <w:r w:rsidR="00630907">
        <w:t>around departure</w:t>
      </w:r>
      <w:r w:rsidR="00C20278">
        <w:t xml:space="preserve"> time </w:t>
      </w:r>
      <w:r w:rsidR="00BD3627">
        <w:t xml:space="preserve">of 90 minutes </w:t>
      </w:r>
      <w:r w:rsidR="00630907">
        <w:t>to be exempt from the requirement to be i</w:t>
      </w:r>
      <w:r w:rsidR="00BD3627">
        <w:t>mmigration clear</w:t>
      </w:r>
      <w:r w:rsidR="00630907">
        <w:t>ed</w:t>
      </w:r>
      <w:r w:rsidR="00BD3627">
        <w:t xml:space="preserve"> under section 166 of the Migration Act. </w:t>
      </w:r>
    </w:p>
    <w:p w14:paraId="1DD96562" w14:textId="56D8B00F" w:rsidR="00D52DBE" w:rsidRPr="00D52DBE" w:rsidRDefault="00591C1D" w:rsidP="00E92CA8">
      <w:pPr>
        <w:pStyle w:val="ESoutlinetext"/>
        <w:spacing w:line="276" w:lineRule="auto"/>
        <w:rPr>
          <w:color w:val="000000" w:themeColor="text1"/>
        </w:rPr>
      </w:pPr>
      <w:r>
        <w:t xml:space="preserve">Section 166 of the Migration Act </w:t>
      </w:r>
      <w:r w:rsidR="00753B8C">
        <w:t>requires</w:t>
      </w:r>
      <w:r>
        <w:t xml:space="preserve"> any person entering into Australia </w:t>
      </w:r>
      <w:r w:rsidR="00753B8C">
        <w:t>to</w:t>
      </w:r>
      <w:r>
        <w:t xml:space="preserve"> present </w:t>
      </w:r>
      <w:r w:rsidR="00753B8C">
        <w:t xml:space="preserve">a form of </w:t>
      </w:r>
      <w:r>
        <w:t xml:space="preserve">evidence of identity and any information as required </w:t>
      </w:r>
      <w:r w:rsidR="00A47C79">
        <w:t>under</w:t>
      </w:r>
      <w:r>
        <w:t xml:space="preserve"> the Migration Act or the Migration Regulation</w:t>
      </w:r>
      <w:r w:rsidR="00753B8C">
        <w:t>s</w:t>
      </w:r>
      <w:r>
        <w:t xml:space="preserve"> to a clearance authority without unreasonable delay</w:t>
      </w:r>
      <w:r w:rsidR="00DE4EAA">
        <w:t xml:space="preserve">. </w:t>
      </w:r>
      <w:r w:rsidR="00D52DBE">
        <w:rPr>
          <w:rStyle w:val="legislationtitleitalics"/>
          <w:rFonts w:eastAsia="Times New Roman" w:cs="Times New Roman"/>
          <w:i w:val="0"/>
          <w:iCs w:val="0"/>
          <w:color w:val="000000" w:themeColor="text1"/>
        </w:rPr>
        <w:t xml:space="preserve">The existing measures under section 166 of the Migration Act mean that all transiting </w:t>
      </w:r>
      <w:r w:rsidR="00753B8C">
        <w:rPr>
          <w:rStyle w:val="legislationtitleitalics"/>
          <w:rFonts w:eastAsia="Times New Roman" w:cs="Times New Roman"/>
          <w:i w:val="0"/>
          <w:iCs w:val="0"/>
          <w:color w:val="000000" w:themeColor="text1"/>
        </w:rPr>
        <w:t>aircraft crews</w:t>
      </w:r>
      <w:r w:rsidR="00577338">
        <w:rPr>
          <w:rStyle w:val="legislationtitleitalics"/>
          <w:rFonts w:eastAsia="Times New Roman" w:cs="Times New Roman"/>
          <w:i w:val="0"/>
          <w:iCs w:val="0"/>
          <w:color w:val="000000" w:themeColor="text1"/>
        </w:rPr>
        <w:t xml:space="preserve"> scheduled to depart in 90 minutes</w:t>
      </w:r>
      <w:r w:rsidR="00753B8C">
        <w:rPr>
          <w:rStyle w:val="legislationtitleitalics"/>
          <w:rFonts w:eastAsia="Times New Roman" w:cs="Times New Roman"/>
          <w:i w:val="0"/>
          <w:iCs w:val="0"/>
          <w:color w:val="000000" w:themeColor="text1"/>
        </w:rPr>
        <w:t xml:space="preserve"> must</w:t>
      </w:r>
      <w:r w:rsidR="00D52DBE">
        <w:rPr>
          <w:rStyle w:val="legislationtitleitalics"/>
          <w:rFonts w:eastAsia="Times New Roman" w:cs="Times New Roman"/>
          <w:i w:val="0"/>
          <w:iCs w:val="0"/>
          <w:color w:val="000000" w:themeColor="text1"/>
        </w:rPr>
        <w:t xml:space="preserve"> disembark the aircraft, proceed to airport terminal for immigration clearance, exit </w:t>
      </w:r>
      <w:r w:rsidR="00A47C79">
        <w:rPr>
          <w:rStyle w:val="legislationtitleitalics"/>
          <w:rFonts w:eastAsia="Times New Roman" w:cs="Times New Roman"/>
          <w:i w:val="0"/>
          <w:iCs w:val="0"/>
          <w:color w:val="000000" w:themeColor="text1"/>
        </w:rPr>
        <w:t>security check points</w:t>
      </w:r>
      <w:r w:rsidR="00D52DBE">
        <w:rPr>
          <w:rStyle w:val="legislationtitleitalics"/>
          <w:rFonts w:eastAsia="Times New Roman" w:cs="Times New Roman"/>
          <w:i w:val="0"/>
          <w:iCs w:val="0"/>
          <w:color w:val="000000" w:themeColor="text1"/>
        </w:rPr>
        <w:t>, then immediately re-enter and go through immigration clearance again for departure</w:t>
      </w:r>
      <w:r w:rsidR="00577338">
        <w:rPr>
          <w:rStyle w:val="legislationtitleitalics"/>
          <w:rFonts w:eastAsia="Times New Roman" w:cs="Times New Roman"/>
          <w:i w:val="0"/>
          <w:iCs w:val="0"/>
          <w:color w:val="000000" w:themeColor="text1"/>
        </w:rPr>
        <w:t>,</w:t>
      </w:r>
      <w:r w:rsidR="00D52DBE">
        <w:rPr>
          <w:rStyle w:val="legislationtitleitalics"/>
          <w:rFonts w:eastAsia="Times New Roman" w:cs="Times New Roman"/>
          <w:i w:val="0"/>
          <w:iCs w:val="0"/>
          <w:color w:val="000000" w:themeColor="text1"/>
        </w:rPr>
        <w:t xml:space="preserve"> </w:t>
      </w:r>
      <w:r w:rsidR="00577338">
        <w:rPr>
          <w:rStyle w:val="legislationtitleitalics"/>
          <w:rFonts w:eastAsia="Times New Roman" w:cs="Times New Roman"/>
          <w:i w:val="0"/>
          <w:iCs w:val="0"/>
          <w:color w:val="000000" w:themeColor="text1"/>
        </w:rPr>
        <w:t>regardless of their time spent in Australia.</w:t>
      </w:r>
      <w:r w:rsidR="00D52DBE">
        <w:rPr>
          <w:rStyle w:val="legislationtitleitalics"/>
          <w:rFonts w:eastAsia="Times New Roman" w:cs="Times New Roman"/>
          <w:i w:val="0"/>
          <w:iCs w:val="0"/>
          <w:color w:val="000000" w:themeColor="text1"/>
        </w:rPr>
        <w:t xml:space="preserve"> </w:t>
      </w:r>
    </w:p>
    <w:p w14:paraId="06BFDB56" w14:textId="04FCD1CC" w:rsidR="00591C1D" w:rsidRDefault="00591C1D" w:rsidP="00E92CA8">
      <w:pPr>
        <w:pStyle w:val="ESoutlinetext"/>
        <w:spacing w:line="276" w:lineRule="auto"/>
      </w:pPr>
      <w:r>
        <w:t>Subsection 168(3) of the Migration Act subsequently provides that a person in a prescribed class is not required to comply with sec</w:t>
      </w:r>
      <w:r w:rsidR="00630907">
        <w:t>tion 166 of the Migration Act. Regulation</w:t>
      </w:r>
      <w:r>
        <w:t xml:space="preserve"> 3.06 of the Migration Regulations,</w:t>
      </w:r>
      <w:r w:rsidR="00630907">
        <w:t xml:space="preserve"> provides that each class of person set out in</w:t>
      </w:r>
      <w:r>
        <w:t xml:space="preserve"> Part 2 of Schedule 9 to the Migration Regulation</w:t>
      </w:r>
      <w:r w:rsidR="00A47C79">
        <w:t>s</w:t>
      </w:r>
      <w:r>
        <w:t xml:space="preserve"> </w:t>
      </w:r>
      <w:r w:rsidR="00630907">
        <w:t>is prescribed.</w:t>
      </w:r>
    </w:p>
    <w:p w14:paraId="0778CEED" w14:textId="7BF8DA57" w:rsidR="0087652E" w:rsidRDefault="00753B8C" w:rsidP="00E92CA8">
      <w:pPr>
        <w:pStyle w:val="ESoutlinetext"/>
        <w:spacing w:line="276" w:lineRule="auto"/>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To</w:t>
      </w:r>
      <w:r w:rsidR="009862BA">
        <w:rPr>
          <w:rStyle w:val="legislationtitleitalics"/>
          <w:rFonts w:eastAsia="Times New Roman" w:cs="Times New Roman"/>
          <w:i w:val="0"/>
          <w:iCs w:val="0"/>
          <w:color w:val="000000" w:themeColor="text1"/>
        </w:rPr>
        <w:t xml:space="preserve"> minimise disruption of flight schedules and to</w:t>
      </w:r>
      <w:r>
        <w:rPr>
          <w:rStyle w:val="legislationtitleitalics"/>
          <w:rFonts w:eastAsia="Times New Roman" w:cs="Times New Roman"/>
          <w:i w:val="0"/>
          <w:iCs w:val="0"/>
          <w:color w:val="000000" w:themeColor="text1"/>
        </w:rPr>
        <w:t xml:space="preserve"> ensure all </w:t>
      </w:r>
      <w:r w:rsidR="00F96C43">
        <w:rPr>
          <w:rStyle w:val="legislationtitleitalics"/>
          <w:rFonts w:eastAsia="Times New Roman" w:cs="Times New Roman"/>
          <w:i w:val="0"/>
          <w:iCs w:val="0"/>
          <w:color w:val="000000" w:themeColor="text1"/>
        </w:rPr>
        <w:t xml:space="preserve">international commercial aircraft are able to meet their </w:t>
      </w:r>
      <w:r w:rsidR="009862BA">
        <w:rPr>
          <w:rStyle w:val="legislationtitleitalics"/>
          <w:rFonts w:eastAsia="Times New Roman" w:cs="Times New Roman"/>
          <w:i w:val="0"/>
          <w:iCs w:val="0"/>
          <w:color w:val="000000" w:themeColor="text1"/>
        </w:rPr>
        <w:t>departure times without any undue or</w:t>
      </w:r>
      <w:r w:rsidR="00F96C43">
        <w:rPr>
          <w:rStyle w:val="legislationtitleitalics"/>
          <w:rFonts w:eastAsia="Times New Roman" w:cs="Times New Roman"/>
          <w:i w:val="0"/>
          <w:iCs w:val="0"/>
          <w:color w:val="000000" w:themeColor="text1"/>
        </w:rPr>
        <w:t xml:space="preserve"> unreasonable delay, the amending Regulations will allow </w:t>
      </w:r>
      <w:r>
        <w:rPr>
          <w:rStyle w:val="legislationtitleitalics"/>
          <w:rFonts w:eastAsia="Times New Roman" w:cs="Times New Roman"/>
          <w:i w:val="0"/>
          <w:iCs w:val="0"/>
          <w:color w:val="000000" w:themeColor="text1"/>
        </w:rPr>
        <w:t xml:space="preserve">transiting aircraft crew </w:t>
      </w:r>
      <w:r w:rsidR="00C41C8A">
        <w:rPr>
          <w:rStyle w:val="legislationtitleitalics"/>
          <w:rFonts w:eastAsia="Times New Roman" w:cs="Times New Roman"/>
          <w:i w:val="0"/>
          <w:iCs w:val="0"/>
          <w:color w:val="000000" w:themeColor="text1"/>
        </w:rPr>
        <w:t xml:space="preserve">to not be immigration cleared </w:t>
      </w:r>
      <w:r w:rsidR="00400F6A">
        <w:rPr>
          <w:rStyle w:val="legislationtitleitalics"/>
          <w:rFonts w:eastAsia="Times New Roman" w:cs="Times New Roman"/>
          <w:i w:val="0"/>
          <w:iCs w:val="0"/>
          <w:color w:val="000000" w:themeColor="text1"/>
        </w:rPr>
        <w:t>as required under section 166 of the Migration Act</w:t>
      </w:r>
      <w:r w:rsidR="00C41C8A">
        <w:rPr>
          <w:rStyle w:val="legislationtitleitalics"/>
          <w:rFonts w:eastAsia="Times New Roman" w:cs="Times New Roman"/>
          <w:i w:val="0"/>
          <w:iCs w:val="0"/>
          <w:color w:val="000000" w:themeColor="text1"/>
        </w:rPr>
        <w:t xml:space="preserve">, </w:t>
      </w:r>
      <w:r w:rsidR="00400F6A">
        <w:rPr>
          <w:rStyle w:val="legislationtitleitalics"/>
          <w:rFonts w:eastAsia="Times New Roman" w:cs="Times New Roman"/>
          <w:i w:val="0"/>
          <w:iCs w:val="0"/>
          <w:color w:val="000000" w:themeColor="text1"/>
        </w:rPr>
        <w:t xml:space="preserve">so long as they do not leave the airport lounge except to continue their </w:t>
      </w:r>
      <w:r w:rsidR="00630907">
        <w:rPr>
          <w:rStyle w:val="legislationtitleitalics"/>
          <w:rFonts w:eastAsia="Times New Roman" w:cs="Times New Roman"/>
          <w:i w:val="0"/>
          <w:iCs w:val="0"/>
          <w:color w:val="000000" w:themeColor="text1"/>
        </w:rPr>
        <w:t xml:space="preserve">departure </w:t>
      </w:r>
      <w:r w:rsidR="00400F6A">
        <w:rPr>
          <w:rStyle w:val="legislationtitleitalics"/>
          <w:rFonts w:eastAsia="Times New Roman" w:cs="Times New Roman"/>
          <w:i w:val="0"/>
          <w:iCs w:val="0"/>
          <w:color w:val="000000" w:themeColor="text1"/>
        </w:rPr>
        <w:t xml:space="preserve">journey within 90 minutes of the arrival into Australia. </w:t>
      </w:r>
    </w:p>
    <w:p w14:paraId="25291D70" w14:textId="3CA73907" w:rsidR="00400F6A" w:rsidRDefault="00400F6A" w:rsidP="00E92CA8">
      <w:pPr>
        <w:pStyle w:val="ESoutlinetext"/>
        <w:spacing w:line="276" w:lineRule="auto"/>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 xml:space="preserve">The Migration Act specifies no conditions that need to be satisfied before the power to make the regulations may be exercised. </w:t>
      </w:r>
    </w:p>
    <w:p w14:paraId="05467AF4" w14:textId="47E4634F" w:rsidR="00204D37" w:rsidRDefault="00204D37" w:rsidP="00204D37">
      <w:pPr>
        <w:pStyle w:val="ESoutlinetext"/>
        <w:spacing w:line="276" w:lineRule="auto"/>
        <w:rPr>
          <w:color w:val="000000" w:themeColor="text1"/>
        </w:rPr>
      </w:pPr>
      <w:r>
        <w:rPr>
          <w:rStyle w:val="legislationtitleitalics"/>
          <w:rFonts w:eastAsia="Times New Roman" w:cs="Times New Roman"/>
          <w:i w:val="0"/>
          <w:iCs w:val="0"/>
          <w:color w:val="000000" w:themeColor="text1"/>
        </w:rPr>
        <w:t>The matters dealt with</w:t>
      </w:r>
      <w:r w:rsidR="0037085B">
        <w:rPr>
          <w:rStyle w:val="legislationtitleitalics"/>
          <w:rFonts w:eastAsia="Times New Roman" w:cs="Times New Roman"/>
          <w:i w:val="0"/>
          <w:iCs w:val="0"/>
          <w:color w:val="000000" w:themeColor="text1"/>
        </w:rPr>
        <w:t xml:space="preserve"> </w:t>
      </w:r>
      <w:r w:rsidR="00400F6A">
        <w:rPr>
          <w:rStyle w:val="legislationtitleitalics"/>
          <w:rFonts w:eastAsia="Times New Roman" w:cs="Times New Roman"/>
          <w:i w:val="0"/>
          <w:iCs w:val="0"/>
          <w:color w:val="000000" w:themeColor="text1"/>
        </w:rPr>
        <w:t xml:space="preserve">in the </w:t>
      </w:r>
      <w:r>
        <w:rPr>
          <w:rStyle w:val="legislationtitleitalics"/>
          <w:rFonts w:eastAsia="Times New Roman" w:cs="Times New Roman"/>
          <w:i w:val="0"/>
          <w:iCs w:val="0"/>
          <w:color w:val="000000" w:themeColor="text1"/>
        </w:rPr>
        <w:t xml:space="preserve">amending Regulations are appropriate for implementation in regulations rather than by </w:t>
      </w:r>
      <w:r w:rsidR="0037085B">
        <w:rPr>
          <w:rStyle w:val="legislationtitleitalics"/>
          <w:rFonts w:eastAsia="Times New Roman" w:cs="Times New Roman"/>
          <w:i w:val="0"/>
          <w:iCs w:val="0"/>
          <w:color w:val="000000" w:themeColor="text1"/>
        </w:rPr>
        <w:t>p</w:t>
      </w:r>
      <w:r>
        <w:rPr>
          <w:rStyle w:val="legislationtitleitalics"/>
          <w:rFonts w:eastAsia="Times New Roman" w:cs="Times New Roman"/>
          <w:i w:val="0"/>
          <w:iCs w:val="0"/>
          <w:color w:val="000000" w:themeColor="text1"/>
        </w:rPr>
        <w:t>arliamentary enactment</w:t>
      </w:r>
      <w:r w:rsidR="00DE4EAA">
        <w:rPr>
          <w:rStyle w:val="legislationtitleitalics"/>
          <w:rFonts w:eastAsia="Times New Roman" w:cs="Times New Roman"/>
          <w:i w:val="0"/>
          <w:iCs w:val="0"/>
          <w:color w:val="000000" w:themeColor="text1"/>
        </w:rPr>
        <w:t xml:space="preserve">. </w:t>
      </w:r>
      <w:r>
        <w:rPr>
          <w:rStyle w:val="legislationtitleitalics"/>
          <w:rFonts w:eastAsia="Times New Roman" w:cs="Times New Roman"/>
          <w:i w:val="0"/>
          <w:iCs w:val="0"/>
          <w:color w:val="000000" w:themeColor="text1"/>
        </w:rPr>
        <w:t xml:space="preserve">It has been the consistent practice of the Government of the day to provide for detailed immigration clearance requirements in the Migration </w:t>
      </w:r>
      <w:r>
        <w:rPr>
          <w:rStyle w:val="legislationtitleitalics"/>
          <w:rFonts w:eastAsia="Times New Roman" w:cs="Times New Roman"/>
          <w:i w:val="0"/>
          <w:iCs w:val="0"/>
          <w:color w:val="000000" w:themeColor="text1"/>
        </w:rPr>
        <w:lastRenderedPageBreak/>
        <w:t xml:space="preserve">Regulations rather than in the Migration Act itself, with the Migration Act also providing such authority </w:t>
      </w:r>
      <w:r>
        <w:rPr>
          <w:color w:val="000000" w:themeColor="text1"/>
        </w:rPr>
        <w:t xml:space="preserve">in the provisions listed in </w:t>
      </w:r>
      <w:r>
        <w:rPr>
          <w:color w:val="000000" w:themeColor="text1"/>
          <w:u w:val="single"/>
        </w:rPr>
        <w:t>Attachment A</w:t>
      </w:r>
      <w:r>
        <w:rPr>
          <w:color w:val="000000" w:themeColor="text1"/>
        </w:rPr>
        <w:t xml:space="preserve">. </w:t>
      </w:r>
    </w:p>
    <w:p w14:paraId="386ED3A1" w14:textId="0A9F1F6D" w:rsidR="00204D37" w:rsidRDefault="00204D37" w:rsidP="00204D37">
      <w:pPr>
        <w:pStyle w:val="ESoutlinetext"/>
        <w:spacing w:line="276" w:lineRule="auto"/>
        <w:rPr>
          <w:color w:val="000000" w:themeColor="text1"/>
        </w:rPr>
      </w:pPr>
      <w:r>
        <w:rPr>
          <w:color w:val="000000" w:themeColor="text1"/>
        </w:rPr>
        <w:t>The current Migration Regulation</w:t>
      </w:r>
      <w:r w:rsidR="00CF5CDB">
        <w:rPr>
          <w:color w:val="000000" w:themeColor="text1"/>
        </w:rPr>
        <w:t>s have been in place since 1994, when they replaced regulations made in 1989 and 1993</w:t>
      </w:r>
      <w:r w:rsidR="00DE4EAA">
        <w:rPr>
          <w:color w:val="000000" w:themeColor="text1"/>
        </w:rPr>
        <w:t xml:space="preserve">. </w:t>
      </w:r>
      <w:r w:rsidR="00CF5CDB">
        <w:rPr>
          <w:color w:val="000000" w:themeColor="text1"/>
        </w:rPr>
        <w:t xml:space="preserve">Providing for these details to be in delegated legislation rather than primary legislation gives the </w:t>
      </w:r>
      <w:r w:rsidR="00F06470">
        <w:rPr>
          <w:color w:val="000000" w:themeColor="text1"/>
        </w:rPr>
        <w:t xml:space="preserve">Government the ability to effectively manage the operation of </w:t>
      </w:r>
      <w:r w:rsidR="00800BBB">
        <w:rPr>
          <w:color w:val="000000" w:themeColor="text1"/>
        </w:rPr>
        <w:t>a citizen or a non-citizen’s</w:t>
      </w:r>
      <w:r w:rsidR="00F06470">
        <w:rPr>
          <w:color w:val="000000" w:themeColor="text1"/>
        </w:rPr>
        <w:t xml:space="preserve"> entry into Australia and respond quickly to emerging needs. </w:t>
      </w:r>
    </w:p>
    <w:p w14:paraId="29A43C4E" w14:textId="19D0F069" w:rsidR="00F06470" w:rsidRPr="00F06470" w:rsidRDefault="00F06470" w:rsidP="00204D37">
      <w:pPr>
        <w:pStyle w:val="ESoutlinetext"/>
        <w:spacing w:line="276" w:lineRule="auto"/>
        <w:rPr>
          <w:color w:val="000000" w:themeColor="text1"/>
          <w:u w:val="single"/>
        </w:rPr>
      </w:pPr>
      <w:r w:rsidRPr="00813B74">
        <w:rPr>
          <w:color w:val="000000" w:themeColor="text1"/>
        </w:rPr>
        <w:t xml:space="preserve">A Statement of Compatibility with Human Rights has been completed in accordance with the </w:t>
      </w:r>
      <w:r w:rsidRPr="00813B74">
        <w:rPr>
          <w:i/>
          <w:color w:val="000000" w:themeColor="text1"/>
        </w:rPr>
        <w:t xml:space="preserve">Human Rights (Parliamentary Scrutiny) Act 2011. </w:t>
      </w:r>
      <w:r w:rsidRPr="00CC6361">
        <w:rPr>
          <w:color w:val="000000" w:themeColor="text1"/>
        </w:rPr>
        <w:t xml:space="preserve">The overall assessment is that the </w:t>
      </w:r>
      <w:r w:rsidR="00813B74" w:rsidRPr="00CC6361">
        <w:rPr>
          <w:color w:val="000000" w:themeColor="text1"/>
        </w:rPr>
        <w:t xml:space="preserve">amending </w:t>
      </w:r>
      <w:r w:rsidRPr="00CC6361">
        <w:rPr>
          <w:color w:val="000000" w:themeColor="text1"/>
        </w:rPr>
        <w:t xml:space="preserve">Regulations are compatible with human rights, with a copy of the Statement being available at </w:t>
      </w:r>
      <w:r w:rsidRPr="00CC6361">
        <w:rPr>
          <w:color w:val="000000" w:themeColor="text1"/>
          <w:u w:val="single"/>
        </w:rPr>
        <w:t>Attachment B.</w:t>
      </w:r>
      <w:r>
        <w:rPr>
          <w:color w:val="000000" w:themeColor="text1"/>
          <w:u w:val="single"/>
        </w:rPr>
        <w:t xml:space="preserve"> </w:t>
      </w:r>
    </w:p>
    <w:p w14:paraId="7643A50B" w14:textId="38D7E324" w:rsidR="00400F6A" w:rsidRDefault="00F06470" w:rsidP="00E92CA8">
      <w:pPr>
        <w:pStyle w:val="ESoutlinetext"/>
        <w:spacing w:line="276" w:lineRule="auto"/>
        <w:rPr>
          <w:rStyle w:val="legislationtitleitalics"/>
          <w:rFonts w:eastAsia="Times New Roman" w:cs="Times New Roman"/>
          <w:i w:val="0"/>
          <w:iCs w:val="0"/>
          <w:color w:val="000000" w:themeColor="text1"/>
        </w:rPr>
      </w:pPr>
      <w:r w:rsidRPr="009862BA">
        <w:rPr>
          <w:rStyle w:val="legislationtitleitalics"/>
          <w:rFonts w:eastAsia="Times New Roman" w:cs="Times New Roman"/>
          <w:i w:val="0"/>
          <w:iCs w:val="0"/>
          <w:color w:val="000000" w:themeColor="text1"/>
        </w:rPr>
        <w:t>The</w:t>
      </w:r>
      <w:r w:rsidR="009862BA">
        <w:rPr>
          <w:rStyle w:val="legislationtitleitalics"/>
          <w:rFonts w:eastAsia="Times New Roman" w:cs="Times New Roman"/>
          <w:i w:val="0"/>
          <w:iCs w:val="0"/>
          <w:color w:val="000000" w:themeColor="text1"/>
        </w:rPr>
        <w:t xml:space="preserve"> Office of Impact Analysis (OIA) has been consulted in relation to the amendments, </w:t>
      </w:r>
      <w:r w:rsidR="00272370">
        <w:rPr>
          <w:rStyle w:val="legislationtitleitalics"/>
          <w:rFonts w:eastAsia="Times New Roman" w:cs="Times New Roman"/>
          <w:i w:val="0"/>
          <w:iCs w:val="0"/>
          <w:color w:val="000000" w:themeColor="text1"/>
        </w:rPr>
        <w:t>providing that n</w:t>
      </w:r>
      <w:r w:rsidR="009862BA">
        <w:rPr>
          <w:rStyle w:val="legislationtitleitalics"/>
          <w:rFonts w:eastAsia="Times New Roman" w:cs="Times New Roman"/>
          <w:i w:val="0"/>
          <w:iCs w:val="0"/>
          <w:color w:val="000000" w:themeColor="text1"/>
        </w:rPr>
        <w:t>o Impact Analysis is required</w:t>
      </w:r>
      <w:r w:rsidR="00DE4EAA">
        <w:rPr>
          <w:rStyle w:val="legislationtitleitalics"/>
          <w:rFonts w:eastAsia="Times New Roman" w:cs="Times New Roman"/>
          <w:i w:val="0"/>
          <w:iCs w:val="0"/>
          <w:color w:val="000000" w:themeColor="text1"/>
        </w:rPr>
        <w:t xml:space="preserve">. </w:t>
      </w:r>
      <w:r w:rsidR="009862BA">
        <w:rPr>
          <w:rStyle w:val="legislationtitleitalics"/>
          <w:rFonts w:eastAsia="Times New Roman" w:cs="Times New Roman"/>
          <w:i w:val="0"/>
          <w:iCs w:val="0"/>
          <w:color w:val="000000" w:themeColor="text1"/>
        </w:rPr>
        <w:t xml:space="preserve">OIA consultation reference number is </w:t>
      </w:r>
      <w:r w:rsidR="00C74BF5">
        <w:rPr>
          <w:rStyle w:val="legislationtitleitalics"/>
          <w:rFonts w:eastAsia="Times New Roman" w:cs="Times New Roman"/>
          <w:i w:val="0"/>
          <w:iCs w:val="0"/>
          <w:color w:val="000000" w:themeColor="text1"/>
        </w:rPr>
        <w:t>OIA24-06763.</w:t>
      </w:r>
    </w:p>
    <w:p w14:paraId="4BF0CCCC" w14:textId="048D6788" w:rsidR="00C74BF5" w:rsidRDefault="00C74BF5" w:rsidP="00E92CA8">
      <w:pPr>
        <w:pStyle w:val="ESoutlinetext"/>
        <w:spacing w:line="276" w:lineRule="auto"/>
      </w:pPr>
      <w:r>
        <w:rPr>
          <w:rStyle w:val="legislationtitleitalics"/>
          <w:rFonts w:eastAsia="Times New Roman" w:cs="Times New Roman"/>
          <w:i w:val="0"/>
          <w:iCs w:val="0"/>
          <w:color w:val="000000" w:themeColor="text1"/>
        </w:rPr>
        <w:t xml:space="preserve">Section 17 of the </w:t>
      </w:r>
      <w:r w:rsidR="00343BB0">
        <w:rPr>
          <w:rStyle w:val="legislationtitleitalics"/>
          <w:rFonts w:eastAsia="Times New Roman" w:cs="Times New Roman"/>
          <w:iCs w:val="0"/>
          <w:color w:val="000000" w:themeColor="text1"/>
        </w:rPr>
        <w:t xml:space="preserve">Legislation Act 2003 </w:t>
      </w:r>
      <w:r w:rsidR="00343BB0">
        <w:rPr>
          <w:rStyle w:val="legislationtitleitalics"/>
          <w:rFonts w:eastAsia="Times New Roman" w:cs="Times New Roman"/>
          <w:i w:val="0"/>
          <w:iCs w:val="0"/>
          <w:color w:val="000000" w:themeColor="text1"/>
        </w:rPr>
        <w:t xml:space="preserve">(the </w:t>
      </w:r>
      <w:r w:rsidR="00343BB0" w:rsidRPr="00DA3389">
        <w:rPr>
          <w:rStyle w:val="legislationtitleitalics"/>
          <w:rFonts w:eastAsia="Times New Roman" w:cs="Times New Roman"/>
          <w:i w:val="0"/>
          <w:iCs w:val="0"/>
          <w:color w:val="000000" w:themeColor="text1"/>
        </w:rPr>
        <w:t>Legislation Act</w:t>
      </w:r>
      <w:r w:rsidR="00F56406">
        <w:rPr>
          <w:rStyle w:val="legislationtitleitalics"/>
          <w:rFonts w:eastAsia="Times New Roman" w:cs="Times New Roman"/>
          <w:i w:val="0"/>
          <w:iCs w:val="0"/>
          <w:color w:val="000000" w:themeColor="text1"/>
        </w:rPr>
        <w:t xml:space="preserve">) </w:t>
      </w:r>
      <w:r>
        <w:rPr>
          <w:rStyle w:val="legislationtitleitalics"/>
          <w:rFonts w:eastAsia="Times New Roman" w:cs="Times New Roman"/>
          <w:i w:val="0"/>
          <w:iCs w:val="0"/>
          <w:color w:val="000000" w:themeColor="text1"/>
        </w:rPr>
        <w:t xml:space="preserve">provides that </w:t>
      </w:r>
      <w:r w:rsidR="006A77D1">
        <w:rPr>
          <w:rStyle w:val="legislationtitleitalics"/>
          <w:rFonts w:eastAsia="Times New Roman" w:cs="Times New Roman"/>
          <w:i w:val="0"/>
          <w:iCs w:val="0"/>
          <w:color w:val="000000" w:themeColor="text1"/>
        </w:rPr>
        <w:t xml:space="preserve">the </w:t>
      </w:r>
      <w:r w:rsidR="006A77D1">
        <w:t>rule-maker must be satisfied that there has been undertaken any consultation that is appropriate and reasonably practicable before making a legislative instrument</w:t>
      </w:r>
      <w:r w:rsidR="00DE4EAA">
        <w:t xml:space="preserve">. </w:t>
      </w:r>
      <w:r w:rsidR="006A77D1">
        <w:t xml:space="preserve">In developing the amending Regulations, the Department of Home Affairs consulted with the Australian Federal Police, the Department of Agriculture, Fisheries and Forestry and </w:t>
      </w:r>
      <w:r w:rsidR="00630907">
        <w:t>affected</w:t>
      </w:r>
      <w:r w:rsidR="006A77D1">
        <w:t xml:space="preserve"> </w:t>
      </w:r>
      <w:r w:rsidR="00630907">
        <w:t>aviation industry stakeholders.</w:t>
      </w:r>
      <w:r w:rsidR="006A77D1">
        <w:t xml:space="preserve"> </w:t>
      </w:r>
      <w:r w:rsidR="00630907">
        <w:t>Feedback</w:t>
      </w:r>
      <w:r w:rsidR="006A77D1">
        <w:t xml:space="preserve"> on the proposed changes was positive, with minimal risks identified.</w:t>
      </w:r>
    </w:p>
    <w:p w14:paraId="4BD43E77" w14:textId="32FEF2F6" w:rsidR="00343BB0" w:rsidRDefault="008C0F35" w:rsidP="00343BB0">
      <w:pPr>
        <w:pStyle w:val="ESoutlinetext"/>
        <w:spacing w:line="276" w:lineRule="auto"/>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T</w:t>
      </w:r>
      <w:r w:rsidR="009938EA">
        <w:rPr>
          <w:rStyle w:val="legislationtitleitalics"/>
          <w:rFonts w:eastAsia="Times New Roman" w:cs="Times New Roman"/>
          <w:i w:val="0"/>
          <w:iCs w:val="0"/>
          <w:color w:val="000000" w:themeColor="text1"/>
        </w:rPr>
        <w:t>he Migration Regulations are</w:t>
      </w:r>
      <w:r w:rsidR="00343BB0">
        <w:rPr>
          <w:rStyle w:val="legislationtitleitalics"/>
          <w:rFonts w:eastAsia="Times New Roman" w:cs="Times New Roman"/>
          <w:i w:val="0"/>
          <w:iCs w:val="0"/>
          <w:color w:val="000000" w:themeColor="text1"/>
        </w:rPr>
        <w:t xml:space="preserve"> exempt from </w:t>
      </w:r>
      <w:proofErr w:type="spellStart"/>
      <w:r w:rsidR="00343BB0">
        <w:rPr>
          <w:rStyle w:val="legislationtitleitalics"/>
          <w:rFonts w:eastAsia="Times New Roman" w:cs="Times New Roman"/>
          <w:i w:val="0"/>
          <w:iCs w:val="0"/>
          <w:color w:val="000000" w:themeColor="text1"/>
        </w:rPr>
        <w:t>sunsetting</w:t>
      </w:r>
      <w:proofErr w:type="spellEnd"/>
      <w:r w:rsidR="00343BB0">
        <w:rPr>
          <w:rStyle w:val="legislationtitleitalics"/>
          <w:rFonts w:eastAsia="Times New Roman" w:cs="Times New Roman"/>
          <w:i w:val="0"/>
          <w:iCs w:val="0"/>
          <w:color w:val="000000" w:themeColor="text1"/>
        </w:rPr>
        <w:t xml:space="preserve"> under table item </w:t>
      </w:r>
      <w:r w:rsidR="00857C84">
        <w:rPr>
          <w:rStyle w:val="legislationtitleitalics"/>
          <w:rFonts w:eastAsia="Times New Roman" w:cs="Times New Roman"/>
          <w:i w:val="0"/>
          <w:iCs w:val="0"/>
          <w:color w:val="000000" w:themeColor="text1"/>
        </w:rPr>
        <w:t xml:space="preserve">38A of section 12 of the </w:t>
      </w:r>
      <w:r w:rsidR="00857C84">
        <w:rPr>
          <w:rStyle w:val="legislationtitleitalics"/>
          <w:rFonts w:eastAsia="Times New Roman" w:cs="Times New Roman"/>
          <w:iCs w:val="0"/>
          <w:color w:val="000000" w:themeColor="text1"/>
        </w:rPr>
        <w:t>Legislation (Exemptions and Other Matters) Regulations 2015</w:t>
      </w:r>
      <w:r w:rsidR="00DE4EAA">
        <w:rPr>
          <w:rStyle w:val="legislationtitleitalics"/>
          <w:rFonts w:eastAsia="Times New Roman" w:cs="Times New Roman"/>
          <w:iCs w:val="0"/>
          <w:color w:val="000000" w:themeColor="text1"/>
        </w:rPr>
        <w:t xml:space="preserve">. </w:t>
      </w:r>
      <w:r w:rsidR="00857C84">
        <w:rPr>
          <w:rStyle w:val="legislationtitleitalics"/>
          <w:rFonts w:eastAsia="Times New Roman" w:cs="Times New Roman"/>
          <w:i w:val="0"/>
          <w:iCs w:val="0"/>
          <w:color w:val="000000" w:themeColor="text1"/>
        </w:rPr>
        <w:t xml:space="preserve">The Migration Regulations are exempt from </w:t>
      </w:r>
      <w:proofErr w:type="spellStart"/>
      <w:r w:rsidR="00857C84">
        <w:rPr>
          <w:rStyle w:val="legislationtitleitalics"/>
          <w:rFonts w:eastAsia="Times New Roman" w:cs="Times New Roman"/>
          <w:i w:val="0"/>
          <w:iCs w:val="0"/>
          <w:color w:val="000000" w:themeColor="text1"/>
        </w:rPr>
        <w:t>sunsetting</w:t>
      </w:r>
      <w:proofErr w:type="spellEnd"/>
      <w:r w:rsidR="00857C84">
        <w:rPr>
          <w:rStyle w:val="legislationtitleitalics"/>
          <w:rFonts w:eastAsia="Times New Roman" w:cs="Times New Roman"/>
          <w:i w:val="0"/>
          <w:iCs w:val="0"/>
          <w:color w:val="000000" w:themeColor="text1"/>
        </w:rPr>
        <w:t xml:space="preserve"> on the basis that the repeal and remaking of the Migration Regulations: </w:t>
      </w:r>
    </w:p>
    <w:p w14:paraId="5768128D" w14:textId="0DCBFB23" w:rsidR="00857C84" w:rsidRDefault="00857C84" w:rsidP="00857C84">
      <w:pPr>
        <w:pStyle w:val="ESoutlinetext"/>
        <w:numPr>
          <w:ilvl w:val="0"/>
          <w:numId w:val="5"/>
        </w:numPr>
        <w:spacing w:line="276" w:lineRule="auto"/>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 xml:space="preserve">is unnecessary as the Migration Regulations are regularly amended numerous times each year to update policy settings for immigration programs; </w:t>
      </w:r>
      <w:r w:rsidR="002672E0">
        <w:rPr>
          <w:rStyle w:val="legislationtitleitalics"/>
          <w:rFonts w:eastAsia="Times New Roman" w:cs="Times New Roman"/>
          <w:i w:val="0"/>
          <w:iCs w:val="0"/>
          <w:color w:val="000000" w:themeColor="text1"/>
        </w:rPr>
        <w:t>and</w:t>
      </w:r>
    </w:p>
    <w:p w14:paraId="38C89F1C" w14:textId="3465982B" w:rsidR="00857C84" w:rsidRPr="00857C84" w:rsidRDefault="002672E0" w:rsidP="00857C84">
      <w:pPr>
        <w:pStyle w:val="ESoutlinetext"/>
        <w:numPr>
          <w:ilvl w:val="0"/>
          <w:numId w:val="5"/>
        </w:numPr>
        <w:spacing w:line="276" w:lineRule="auto"/>
        <w:rPr>
          <w:rStyle w:val="legislationtitleitalics"/>
          <w:rFonts w:eastAsia="Times New Roman" w:cs="Times New Roman"/>
          <w:i w:val="0"/>
          <w:iCs w:val="0"/>
          <w:color w:val="000000" w:themeColor="text1"/>
        </w:rPr>
      </w:pPr>
      <w:proofErr w:type="gramStart"/>
      <w:r>
        <w:rPr>
          <w:rStyle w:val="legislationtitleitalics"/>
          <w:rFonts w:eastAsia="Times New Roman" w:cs="Times New Roman"/>
          <w:i w:val="0"/>
          <w:iCs w:val="0"/>
          <w:color w:val="000000" w:themeColor="text1"/>
        </w:rPr>
        <w:t>would</w:t>
      </w:r>
      <w:proofErr w:type="gramEnd"/>
      <w:r>
        <w:rPr>
          <w:rStyle w:val="legislationtitleitalics"/>
          <w:rFonts w:eastAsia="Times New Roman" w:cs="Times New Roman"/>
          <w:i w:val="0"/>
          <w:iCs w:val="0"/>
          <w:color w:val="000000" w:themeColor="text1"/>
        </w:rPr>
        <w:t xml:space="preserve"> demand complicated and costly training and operational changes that would impose significant strain on Government resources and the Australian public for insignificant gain, while not advancing the aims of the Legislation Act. </w:t>
      </w:r>
    </w:p>
    <w:p w14:paraId="4D4BE4C0" w14:textId="7E8175A0" w:rsidR="009938EA" w:rsidRDefault="009938EA" w:rsidP="00F56406">
      <w:pPr>
        <w:pStyle w:val="ESoutlinetext"/>
        <w:spacing w:line="276" w:lineRule="auto"/>
      </w:pPr>
      <w:r>
        <w:rPr>
          <w:rStyle w:val="legislationtitleitalics"/>
          <w:rFonts w:eastAsia="Times New Roman" w:cs="Times New Roman"/>
          <w:i w:val="0"/>
          <w:iCs w:val="0"/>
          <w:color w:val="000000" w:themeColor="text1"/>
        </w:rPr>
        <w:t xml:space="preserve">The amending Regulations are a legislative instrument for the purposes of </w:t>
      </w:r>
      <w:r w:rsidRPr="00343BB0">
        <w:rPr>
          <w:rStyle w:val="legislationtitleitalics"/>
          <w:rFonts w:eastAsia="Times New Roman" w:cs="Times New Roman"/>
          <w:i w:val="0"/>
          <w:iCs w:val="0"/>
          <w:color w:val="000000" w:themeColor="text1"/>
        </w:rPr>
        <w:t>the Legislation Act</w:t>
      </w:r>
      <w:r>
        <w:rPr>
          <w:rStyle w:val="legislationtitleitalics"/>
          <w:rFonts w:eastAsia="Times New Roman" w:cs="Times New Roman"/>
          <w:i w:val="0"/>
          <w:iCs w:val="0"/>
          <w:color w:val="000000" w:themeColor="text1"/>
        </w:rPr>
        <w:t>.</w:t>
      </w:r>
    </w:p>
    <w:p w14:paraId="0FE6B8DA" w14:textId="1060C732" w:rsidR="002672E0" w:rsidRPr="00F56406" w:rsidRDefault="002672E0" w:rsidP="00F56406">
      <w:pPr>
        <w:pStyle w:val="ESoutlinetext"/>
        <w:spacing w:line="276" w:lineRule="auto"/>
      </w:pPr>
      <w:r>
        <w:t>The amending Regulations commence on the day after registration on the Fe</w:t>
      </w:r>
      <w:r w:rsidR="00F56406">
        <w:t>deral Register of Legislation</w:t>
      </w:r>
      <w:r w:rsidR="0037085B">
        <w:t>. F</w:t>
      </w:r>
      <w:r>
        <w:t xml:space="preserve">urther details of the amending Regulations are set out in </w:t>
      </w:r>
      <w:r w:rsidR="0037085B">
        <w:rPr>
          <w:u w:val="single"/>
        </w:rPr>
        <w:t>Attachment C</w:t>
      </w:r>
      <w:r w:rsidR="0037085B" w:rsidRPr="0037085B">
        <w:t>.</w:t>
      </w:r>
    </w:p>
    <w:p w14:paraId="7DF8C616" w14:textId="4A600B3E" w:rsidR="002672E0" w:rsidRDefault="002672E0" w:rsidP="00E92CA8">
      <w:pPr>
        <w:pStyle w:val="ESoutlinetext"/>
        <w:spacing w:line="276" w:lineRule="auto"/>
        <w:rPr>
          <w:rStyle w:val="legislationtitleitalics"/>
          <w:rFonts w:eastAsia="Times New Roman" w:cs="Times New Roman"/>
          <w:b/>
          <w:i w:val="0"/>
          <w:iCs w:val="0"/>
          <w:u w:val="single"/>
        </w:rPr>
      </w:pPr>
      <w:r>
        <w:rPr>
          <w:rStyle w:val="legislationtitleitalics"/>
          <w:rFonts w:eastAsia="Times New Roman" w:cs="Times New Roman"/>
          <w:b/>
          <w:i w:val="0"/>
          <w:iCs w:val="0"/>
          <w:u w:val="single"/>
        </w:rPr>
        <w:br/>
      </w:r>
    </w:p>
    <w:p w14:paraId="619C1BCB" w14:textId="77777777" w:rsidR="002672E0" w:rsidRDefault="002672E0">
      <w:pPr>
        <w:rPr>
          <w:rStyle w:val="legislationtitleitalics"/>
          <w:rFonts w:eastAsia="Times New Roman" w:cs="Times New Roman"/>
          <w:b/>
          <w:i w:val="0"/>
          <w:iCs w:val="0"/>
          <w:u w:val="single"/>
          <w:lang w:eastAsia="en-AU"/>
        </w:rPr>
      </w:pPr>
      <w:r>
        <w:rPr>
          <w:rStyle w:val="legislationtitleitalics"/>
          <w:rFonts w:eastAsia="Times New Roman" w:cs="Times New Roman"/>
          <w:b/>
          <w:i w:val="0"/>
          <w:iCs w:val="0"/>
          <w:u w:val="single"/>
        </w:rPr>
        <w:br w:type="page"/>
      </w:r>
    </w:p>
    <w:p w14:paraId="061ABA0C" w14:textId="56A0BDA8" w:rsidR="00343BB0" w:rsidRDefault="002672E0" w:rsidP="002672E0">
      <w:pPr>
        <w:pStyle w:val="ESoutlinetext"/>
        <w:spacing w:line="276" w:lineRule="auto"/>
        <w:ind w:left="720"/>
        <w:jc w:val="right"/>
        <w:rPr>
          <w:rStyle w:val="legislationtitleitalics"/>
          <w:rFonts w:eastAsia="Times New Roman" w:cs="Times New Roman"/>
          <w:b/>
          <w:i w:val="0"/>
          <w:iCs w:val="0"/>
          <w:u w:val="single"/>
        </w:rPr>
      </w:pPr>
      <w:r>
        <w:rPr>
          <w:rStyle w:val="legislationtitleitalics"/>
          <w:rFonts w:eastAsia="Times New Roman" w:cs="Times New Roman"/>
          <w:b/>
          <w:i w:val="0"/>
          <w:iCs w:val="0"/>
          <w:u w:val="single"/>
        </w:rPr>
        <w:lastRenderedPageBreak/>
        <w:t>ATTACHMENT A</w:t>
      </w:r>
    </w:p>
    <w:p w14:paraId="6F790F9D" w14:textId="53FC9965" w:rsidR="00025225" w:rsidRDefault="00025225" w:rsidP="00025225">
      <w:pPr>
        <w:pStyle w:val="ESoutlinetext"/>
        <w:spacing w:line="276" w:lineRule="auto"/>
        <w:rPr>
          <w:color w:val="000000" w:themeColor="text1"/>
        </w:rPr>
      </w:pPr>
      <w:r w:rsidRPr="5220722F">
        <w:rPr>
          <w:color w:val="000000" w:themeColor="text1"/>
        </w:rPr>
        <w:t xml:space="preserve">Subsection 504(1) of the </w:t>
      </w:r>
      <w:r>
        <w:rPr>
          <w:i/>
          <w:color w:val="000000" w:themeColor="text1"/>
        </w:rPr>
        <w:t xml:space="preserve">Migration Act 1958 </w:t>
      </w:r>
      <w:r>
        <w:rPr>
          <w:color w:val="000000" w:themeColor="text1"/>
        </w:rPr>
        <w:t xml:space="preserve">(the Migration Act) </w:t>
      </w:r>
      <w:r w:rsidRPr="5220722F">
        <w:rPr>
          <w:color w:val="000000" w:themeColor="text1"/>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C95908F" w14:textId="3547E0A2" w:rsidR="00161994" w:rsidRDefault="00A3392E" w:rsidP="00025225">
      <w:pPr>
        <w:pStyle w:val="ESoutlinetext"/>
        <w:spacing w:line="276" w:lineRule="auto"/>
        <w:rPr>
          <w:color w:val="000000" w:themeColor="text1"/>
        </w:rPr>
      </w:pPr>
      <w:r>
        <w:rPr>
          <w:color w:val="000000" w:themeColor="text1"/>
        </w:rPr>
        <w:t>Section</w:t>
      </w:r>
      <w:r w:rsidR="00A6339A">
        <w:rPr>
          <w:color w:val="000000" w:themeColor="text1"/>
        </w:rPr>
        <w:t xml:space="preserve"> 168(3) of the Migration Act is also relevant</w:t>
      </w:r>
      <w:r w:rsidR="00192E4F">
        <w:rPr>
          <w:color w:val="000000" w:themeColor="text1"/>
        </w:rPr>
        <w:t>. This subsection</w:t>
      </w:r>
      <w:r w:rsidR="00A6339A">
        <w:rPr>
          <w:color w:val="000000" w:themeColor="text1"/>
        </w:rPr>
        <w:t xml:space="preserve"> provides that </w:t>
      </w:r>
      <w:r w:rsidR="00161994">
        <w:rPr>
          <w:color w:val="000000" w:themeColor="text1"/>
        </w:rPr>
        <w:t xml:space="preserve">regulations may prescribe a class of persons not required to comply with immigration clearance requirements under section 166 of the Migration Act. </w:t>
      </w:r>
    </w:p>
    <w:p w14:paraId="1C81DE9D" w14:textId="77777777" w:rsidR="00161994" w:rsidRDefault="00161994">
      <w:pPr>
        <w:rPr>
          <w:rFonts w:ascii="Times New Roman" w:eastAsia="Times New Roman" w:hAnsi="Times New Roman" w:cs="Times New Roman"/>
          <w:color w:val="000000" w:themeColor="text1"/>
          <w:sz w:val="24"/>
          <w:szCs w:val="24"/>
          <w:lang w:eastAsia="en-AU"/>
        </w:rPr>
      </w:pPr>
      <w:r>
        <w:rPr>
          <w:color w:val="000000" w:themeColor="text1"/>
        </w:rPr>
        <w:br w:type="page"/>
      </w:r>
    </w:p>
    <w:p w14:paraId="3506B86B" w14:textId="7D71E205" w:rsidR="00DA3389" w:rsidRDefault="00161994" w:rsidP="00161994">
      <w:pPr>
        <w:pStyle w:val="ESoutlinetext"/>
        <w:spacing w:line="276" w:lineRule="auto"/>
        <w:jc w:val="right"/>
        <w:rPr>
          <w:b/>
          <w:color w:val="000000" w:themeColor="text1"/>
          <w:u w:val="single"/>
        </w:rPr>
      </w:pPr>
      <w:r w:rsidRPr="00CC6361">
        <w:rPr>
          <w:b/>
          <w:color w:val="000000" w:themeColor="text1"/>
          <w:u w:val="single"/>
        </w:rPr>
        <w:lastRenderedPageBreak/>
        <w:t>ATTACHMENT B</w:t>
      </w:r>
    </w:p>
    <w:p w14:paraId="61BF754C" w14:textId="77777777" w:rsidR="00CC6361" w:rsidRDefault="00CC6361" w:rsidP="00CC6361">
      <w:pPr>
        <w:pStyle w:val="Heading2"/>
      </w:pPr>
      <w:r>
        <w:t>Statement of Compatibility with Human Rights</w:t>
      </w:r>
    </w:p>
    <w:p w14:paraId="0903E138" w14:textId="77777777" w:rsidR="00CC6361" w:rsidRDefault="00CC6361" w:rsidP="00CC6361">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4E3D770" w14:textId="77777777" w:rsidR="00CC6361" w:rsidRDefault="00CC6361" w:rsidP="00CC6361">
      <w:pPr>
        <w:spacing w:before="120" w:after="120" w:line="240" w:lineRule="auto"/>
        <w:jc w:val="center"/>
        <w:rPr>
          <w:rFonts w:ascii="Times New Roman" w:hAnsi="Times New Roman"/>
          <w:sz w:val="24"/>
          <w:szCs w:val="24"/>
        </w:rPr>
      </w:pPr>
    </w:p>
    <w:p w14:paraId="63CCE96F" w14:textId="77777777" w:rsidR="00CC6361" w:rsidRDefault="00CC6361" w:rsidP="00CC6361">
      <w:pPr>
        <w:spacing w:before="120" w:after="120" w:line="240" w:lineRule="auto"/>
        <w:jc w:val="center"/>
        <w:rPr>
          <w:rFonts w:ascii="Times New Roman" w:hAnsi="Times New Roman"/>
          <w:sz w:val="24"/>
          <w:szCs w:val="24"/>
        </w:rPr>
      </w:pPr>
      <w:r w:rsidRPr="004A50CB">
        <w:rPr>
          <w:rFonts w:ascii="Times New Roman" w:hAnsi="Times New Roman" w:cs="Times New Roman"/>
          <w:i/>
          <w:sz w:val="24"/>
          <w:szCs w:val="24"/>
        </w:rPr>
        <w:t xml:space="preserve">Migration Amendment (Immigration Clearance Exemption for Transiting Aircraft Crew) </w:t>
      </w:r>
      <w:r>
        <w:rPr>
          <w:rFonts w:ascii="Times New Roman" w:hAnsi="Times New Roman" w:cs="Times New Roman"/>
          <w:i/>
          <w:sz w:val="24"/>
          <w:szCs w:val="24"/>
        </w:rPr>
        <w:t xml:space="preserve">Regulations </w:t>
      </w:r>
      <w:r w:rsidRPr="004A50CB">
        <w:rPr>
          <w:rFonts w:ascii="Times New Roman" w:hAnsi="Times New Roman" w:cs="Times New Roman"/>
          <w:i/>
          <w:sz w:val="24"/>
          <w:szCs w:val="24"/>
        </w:rPr>
        <w:t>2024</w:t>
      </w:r>
    </w:p>
    <w:p w14:paraId="47242A01" w14:textId="77777777" w:rsidR="00CC6361" w:rsidRDefault="00CC6361" w:rsidP="00CC6361">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16C4AAB" w14:textId="77777777" w:rsidR="00CC6361" w:rsidRDefault="00CC6361" w:rsidP="00CC6361">
      <w:pPr>
        <w:spacing w:before="120" w:after="120" w:line="240" w:lineRule="auto"/>
        <w:rPr>
          <w:rFonts w:ascii="Times New Roman" w:hAnsi="Times New Roman"/>
          <w:sz w:val="24"/>
          <w:szCs w:val="24"/>
        </w:rPr>
      </w:pPr>
    </w:p>
    <w:p w14:paraId="427967F3" w14:textId="77777777" w:rsidR="00CC6361" w:rsidRDefault="00CC6361" w:rsidP="00CC6361">
      <w:pPr>
        <w:pStyle w:val="Heading3"/>
      </w:pPr>
      <w:r>
        <w:t xml:space="preserve">Overview of the Disallowable Legislative </w:t>
      </w:r>
      <w:r w:rsidRPr="00017A63">
        <w:t>Instrument</w:t>
      </w:r>
    </w:p>
    <w:p w14:paraId="4695A959" w14:textId="77777777" w:rsidR="00CC6361" w:rsidRPr="00563675" w:rsidRDefault="00CC6361" w:rsidP="00CC6361">
      <w:pPr>
        <w:pStyle w:val="NoSpacing"/>
        <w:rPr>
          <w:rFonts w:ascii="Times New Roman" w:hAnsi="Times New Roman" w:cs="Times New Roman"/>
          <w:sz w:val="24"/>
          <w:szCs w:val="24"/>
        </w:rPr>
      </w:pPr>
      <w:r w:rsidRPr="00563675">
        <w:rPr>
          <w:rFonts w:ascii="Times New Roman" w:hAnsi="Times New Roman" w:cs="Times New Roman"/>
          <w:sz w:val="24"/>
          <w:szCs w:val="24"/>
        </w:rPr>
        <w:t xml:space="preserve">The </w:t>
      </w:r>
      <w:r w:rsidRPr="004A50CB">
        <w:rPr>
          <w:rFonts w:ascii="Times New Roman" w:hAnsi="Times New Roman" w:cs="Times New Roman"/>
          <w:i/>
          <w:sz w:val="24"/>
          <w:szCs w:val="24"/>
        </w:rPr>
        <w:t xml:space="preserve">Migration Amendment (Immigration Clearance Exemption for Transiting Aircraft Crew) </w:t>
      </w:r>
      <w:r>
        <w:rPr>
          <w:rFonts w:ascii="Times New Roman" w:hAnsi="Times New Roman" w:cs="Times New Roman"/>
          <w:i/>
          <w:sz w:val="24"/>
          <w:szCs w:val="24"/>
        </w:rPr>
        <w:t xml:space="preserve">Regulations </w:t>
      </w:r>
      <w:r w:rsidRPr="004A50CB">
        <w:rPr>
          <w:rFonts w:ascii="Times New Roman" w:hAnsi="Times New Roman" w:cs="Times New Roman"/>
          <w:i/>
          <w:sz w:val="24"/>
          <w:szCs w:val="24"/>
        </w:rPr>
        <w:t>2024</w:t>
      </w:r>
      <w:r>
        <w:rPr>
          <w:rFonts w:ascii="Times New Roman" w:hAnsi="Times New Roman" w:cs="Times New Roman"/>
          <w:i/>
          <w:sz w:val="24"/>
          <w:szCs w:val="24"/>
        </w:rPr>
        <w:t xml:space="preserve"> (</w:t>
      </w:r>
      <w:r w:rsidRPr="00616EAD">
        <w:rPr>
          <w:rFonts w:ascii="Times New Roman" w:hAnsi="Times New Roman" w:cs="Times New Roman"/>
          <w:sz w:val="24"/>
          <w:szCs w:val="24"/>
        </w:rPr>
        <w:t>Instrument)</w:t>
      </w:r>
      <w:r>
        <w:rPr>
          <w:rFonts w:ascii="Times New Roman" w:hAnsi="Times New Roman" w:cs="Times New Roman"/>
          <w:i/>
          <w:sz w:val="24"/>
          <w:szCs w:val="24"/>
        </w:rPr>
        <w:t xml:space="preserve"> </w:t>
      </w:r>
      <w:r>
        <w:rPr>
          <w:rFonts w:ascii="Times New Roman" w:hAnsi="Times New Roman" w:cs="Times New Roman"/>
          <w:sz w:val="24"/>
          <w:szCs w:val="24"/>
        </w:rPr>
        <w:t xml:space="preserve">amends the </w:t>
      </w:r>
      <w:r w:rsidRPr="00563675">
        <w:rPr>
          <w:rFonts w:ascii="Times New Roman" w:hAnsi="Times New Roman" w:cs="Times New Roman"/>
          <w:i/>
          <w:sz w:val="24"/>
          <w:szCs w:val="24"/>
        </w:rPr>
        <w:t>Migration Regulation 1994</w:t>
      </w:r>
      <w:r w:rsidRPr="00563675">
        <w:rPr>
          <w:rFonts w:ascii="Times New Roman" w:hAnsi="Times New Roman" w:cs="Times New Roman"/>
          <w:sz w:val="24"/>
          <w:szCs w:val="24"/>
        </w:rPr>
        <w:t xml:space="preserve"> (the Regulations) to </w:t>
      </w:r>
      <w:r>
        <w:rPr>
          <w:rFonts w:ascii="Times New Roman" w:hAnsi="Times New Roman" w:cs="Times New Roman"/>
          <w:sz w:val="24"/>
          <w:szCs w:val="24"/>
        </w:rPr>
        <w:t>include</w:t>
      </w:r>
      <w:r w:rsidRPr="00563675">
        <w:rPr>
          <w:rFonts w:ascii="Times New Roman" w:hAnsi="Times New Roman" w:cs="Times New Roman"/>
          <w:sz w:val="24"/>
          <w:szCs w:val="24"/>
        </w:rPr>
        <w:t xml:space="preserve"> commercial aircrew arriving into Australia who are then scheduled to depart Australia within 90 minutes (as transit or turnaround crew) into Part 2</w:t>
      </w:r>
      <w:r>
        <w:rPr>
          <w:rFonts w:ascii="Times New Roman" w:hAnsi="Times New Roman" w:cs="Times New Roman"/>
          <w:sz w:val="24"/>
          <w:szCs w:val="24"/>
        </w:rPr>
        <w:t xml:space="preserve"> of Schedule 9</w:t>
      </w:r>
      <w:r w:rsidRPr="00563675">
        <w:rPr>
          <w:rFonts w:ascii="Times New Roman" w:hAnsi="Times New Roman" w:cs="Times New Roman"/>
          <w:sz w:val="24"/>
          <w:szCs w:val="24"/>
        </w:rPr>
        <w:t xml:space="preserve"> to the Migration Regulations. </w:t>
      </w:r>
    </w:p>
    <w:p w14:paraId="768E8D86" w14:textId="77777777" w:rsidR="00CC6361" w:rsidRPr="00563675" w:rsidRDefault="00CC6361" w:rsidP="00CC6361">
      <w:pPr>
        <w:pStyle w:val="NoSpacing"/>
        <w:rPr>
          <w:rFonts w:ascii="Times New Roman" w:hAnsi="Times New Roman" w:cs="Times New Roman"/>
          <w:sz w:val="24"/>
          <w:szCs w:val="24"/>
        </w:rPr>
      </w:pPr>
    </w:p>
    <w:p w14:paraId="55D857D9" w14:textId="77777777" w:rsidR="00CC6361" w:rsidRPr="00563675" w:rsidRDefault="00CC6361" w:rsidP="00CC6361">
      <w:pPr>
        <w:pStyle w:val="NoSpacing"/>
        <w:rPr>
          <w:rFonts w:ascii="Times New Roman" w:hAnsi="Times New Roman" w:cs="Times New Roman"/>
          <w:sz w:val="24"/>
          <w:szCs w:val="24"/>
        </w:rPr>
      </w:pPr>
      <w:r w:rsidRPr="00563675">
        <w:rPr>
          <w:rFonts w:ascii="Times New Roman" w:hAnsi="Times New Roman" w:cs="Times New Roman"/>
          <w:sz w:val="24"/>
          <w:szCs w:val="24"/>
        </w:rPr>
        <w:t xml:space="preserve">This </w:t>
      </w:r>
      <w:r>
        <w:rPr>
          <w:rFonts w:ascii="Times New Roman" w:hAnsi="Times New Roman" w:cs="Times New Roman"/>
          <w:sz w:val="24"/>
          <w:szCs w:val="24"/>
        </w:rPr>
        <w:t>Instrument</w:t>
      </w:r>
      <w:r w:rsidRPr="00563675">
        <w:rPr>
          <w:rFonts w:ascii="Times New Roman" w:hAnsi="Times New Roman" w:cs="Times New Roman"/>
          <w:sz w:val="24"/>
          <w:szCs w:val="24"/>
        </w:rPr>
        <w:t xml:space="preserve"> is made under the </w:t>
      </w:r>
      <w:r w:rsidRPr="00563675">
        <w:rPr>
          <w:rFonts w:ascii="Times New Roman" w:hAnsi="Times New Roman" w:cs="Times New Roman"/>
          <w:i/>
          <w:sz w:val="24"/>
          <w:szCs w:val="24"/>
        </w:rPr>
        <w:t>Migration Act</w:t>
      </w:r>
      <w:r w:rsidRPr="00563675">
        <w:rPr>
          <w:rFonts w:ascii="Times New Roman" w:hAnsi="Times New Roman" w:cs="Times New Roman"/>
          <w:sz w:val="24"/>
          <w:szCs w:val="24"/>
        </w:rPr>
        <w:t xml:space="preserve"> 1958 (the Act).</w:t>
      </w:r>
    </w:p>
    <w:p w14:paraId="67AEF792" w14:textId="77777777" w:rsidR="00CC6361" w:rsidRPr="00563675" w:rsidRDefault="00CC6361" w:rsidP="00CC6361">
      <w:pPr>
        <w:pStyle w:val="NoSpacing"/>
        <w:rPr>
          <w:rFonts w:ascii="Times New Roman" w:hAnsi="Times New Roman" w:cs="Times New Roman"/>
          <w:color w:val="000000"/>
          <w:sz w:val="24"/>
          <w:szCs w:val="24"/>
          <w:shd w:val="clear" w:color="auto" w:fill="FFFFFF"/>
        </w:rPr>
      </w:pPr>
    </w:p>
    <w:p w14:paraId="3E5C90C7" w14:textId="77777777" w:rsidR="00CC6361" w:rsidRPr="00563675" w:rsidRDefault="00CC6361" w:rsidP="00CC6361">
      <w:pPr>
        <w:pStyle w:val="NoSpacing"/>
        <w:rPr>
          <w:rFonts w:ascii="Times New Roman" w:hAnsi="Times New Roman" w:cs="Times New Roman"/>
          <w:sz w:val="24"/>
          <w:szCs w:val="24"/>
        </w:rPr>
      </w:pPr>
      <w:r w:rsidRPr="00563675">
        <w:rPr>
          <w:rFonts w:ascii="Times New Roman" w:hAnsi="Times New Roman" w:cs="Times New Roman"/>
          <w:sz w:val="24"/>
          <w:szCs w:val="24"/>
        </w:rPr>
        <w:t xml:space="preserve">The Act and the Regulations provide the legislative authority to undertake border clearance processes when travellers enter Australia. Section 166 of </w:t>
      </w:r>
      <w:r w:rsidRPr="00563675">
        <w:rPr>
          <w:rFonts w:ascii="Times New Roman" w:hAnsi="Times New Roman" w:cs="Times New Roman"/>
          <w:color w:val="000000"/>
          <w:sz w:val="24"/>
          <w:szCs w:val="24"/>
        </w:rPr>
        <w:t xml:space="preserve">the Act </w:t>
      </w:r>
      <w:r w:rsidRPr="00563675">
        <w:rPr>
          <w:rFonts w:ascii="Times New Roman" w:hAnsi="Times New Roman" w:cs="Times New Roman"/>
          <w:sz w:val="24"/>
          <w:szCs w:val="24"/>
        </w:rPr>
        <w:t xml:space="preserve">provides that all travellers entering Australia must be immigration cleared as soon as practicable, unless a legislated exemption applies. </w:t>
      </w:r>
    </w:p>
    <w:p w14:paraId="002AFBFD" w14:textId="77777777" w:rsidR="00CC6361" w:rsidRPr="00563675" w:rsidRDefault="00CC6361" w:rsidP="00CC6361">
      <w:pPr>
        <w:pStyle w:val="NoSpacing"/>
        <w:rPr>
          <w:rFonts w:ascii="Times New Roman" w:hAnsi="Times New Roman" w:cs="Times New Roman"/>
          <w:sz w:val="24"/>
          <w:szCs w:val="24"/>
        </w:rPr>
      </w:pPr>
    </w:p>
    <w:p w14:paraId="0C11B649" w14:textId="112363AF" w:rsidR="00CC6361" w:rsidRPr="00563675" w:rsidRDefault="00CC6361" w:rsidP="00CC6361">
      <w:pPr>
        <w:pStyle w:val="NoSpacing"/>
        <w:rPr>
          <w:rFonts w:ascii="Times New Roman" w:hAnsi="Times New Roman" w:cs="Times New Roman"/>
          <w:sz w:val="24"/>
          <w:szCs w:val="24"/>
        </w:rPr>
      </w:pPr>
      <w:r w:rsidRPr="00563675">
        <w:rPr>
          <w:rFonts w:ascii="Times New Roman" w:hAnsi="Times New Roman" w:cs="Times New Roman"/>
          <w:sz w:val="24"/>
          <w:szCs w:val="24"/>
        </w:rPr>
        <w:t xml:space="preserve">Travellers listed in Part 2 </w:t>
      </w:r>
      <w:r>
        <w:rPr>
          <w:rFonts w:ascii="Times New Roman" w:hAnsi="Times New Roman" w:cs="Times New Roman"/>
          <w:sz w:val="24"/>
          <w:szCs w:val="24"/>
        </w:rPr>
        <w:t>of Schedule 9</w:t>
      </w:r>
      <w:r w:rsidRPr="00563675">
        <w:rPr>
          <w:rFonts w:ascii="Times New Roman" w:hAnsi="Times New Roman" w:cs="Times New Roman"/>
          <w:sz w:val="24"/>
          <w:szCs w:val="24"/>
        </w:rPr>
        <w:t xml:space="preserve"> for whom special clearance arrangements apply are not required to comply with border clearance provisions outlined in section </w:t>
      </w:r>
      <w:r w:rsidRPr="001179EE">
        <w:rPr>
          <w:rFonts w:ascii="Times New Roman" w:hAnsi="Times New Roman" w:cs="Times New Roman"/>
          <w:sz w:val="24"/>
          <w:szCs w:val="24"/>
        </w:rPr>
        <w:t>168</w:t>
      </w:r>
      <w:r w:rsidRPr="00563675">
        <w:rPr>
          <w:rFonts w:ascii="Times New Roman" w:hAnsi="Times New Roman" w:cs="Times New Roman"/>
          <w:sz w:val="24"/>
          <w:szCs w:val="24"/>
        </w:rPr>
        <w:t xml:space="preserve"> of the Act. </w:t>
      </w:r>
    </w:p>
    <w:p w14:paraId="1E8AC9CB" w14:textId="77777777" w:rsidR="00CC6361" w:rsidRPr="00563675" w:rsidRDefault="00CC6361" w:rsidP="00CC6361">
      <w:pPr>
        <w:pStyle w:val="NoSpacing"/>
        <w:rPr>
          <w:rFonts w:ascii="Times New Roman" w:hAnsi="Times New Roman" w:cs="Times New Roman"/>
          <w:sz w:val="24"/>
          <w:szCs w:val="24"/>
        </w:rPr>
      </w:pPr>
    </w:p>
    <w:p w14:paraId="4D6C263C" w14:textId="77777777" w:rsidR="00CC6361" w:rsidRPr="00563675" w:rsidRDefault="00CC6361" w:rsidP="00CC6361">
      <w:pPr>
        <w:pStyle w:val="NoSpacing"/>
        <w:rPr>
          <w:rFonts w:ascii="Times New Roman" w:hAnsi="Times New Roman" w:cs="Times New Roman"/>
          <w:sz w:val="24"/>
          <w:szCs w:val="24"/>
          <w:lang w:val="en-US"/>
        </w:rPr>
      </w:pPr>
      <w:r w:rsidRPr="00563675">
        <w:rPr>
          <w:rFonts w:ascii="Times New Roman" w:hAnsi="Times New Roman" w:cs="Times New Roman"/>
          <w:bCs/>
          <w:sz w:val="24"/>
          <w:szCs w:val="24"/>
        </w:rPr>
        <w:t>Regulation 3.06 provides</w:t>
      </w:r>
      <w:r>
        <w:rPr>
          <w:rFonts w:ascii="Times New Roman" w:hAnsi="Times New Roman" w:cs="Times New Roman"/>
          <w:bCs/>
          <w:sz w:val="24"/>
          <w:szCs w:val="24"/>
        </w:rPr>
        <w:t xml:space="preserve"> the exemption for</w:t>
      </w:r>
      <w:r w:rsidRPr="00563675">
        <w:rPr>
          <w:rFonts w:ascii="Times New Roman" w:hAnsi="Times New Roman" w:cs="Times New Roman"/>
          <w:bCs/>
          <w:sz w:val="24"/>
          <w:szCs w:val="24"/>
        </w:rPr>
        <w:t xml:space="preserve"> each class of persons listed in Part 2 of </w:t>
      </w:r>
      <w:r w:rsidRPr="00563675">
        <w:rPr>
          <w:rFonts w:ascii="Times New Roman" w:hAnsi="Times New Roman" w:cs="Times New Roman"/>
          <w:sz w:val="24"/>
          <w:szCs w:val="24"/>
          <w:lang w:val="en-US"/>
        </w:rPr>
        <w:t>Schedule 9</w:t>
      </w:r>
      <w:r>
        <w:rPr>
          <w:rFonts w:ascii="Times New Roman" w:hAnsi="Times New Roman" w:cs="Times New Roman"/>
          <w:sz w:val="24"/>
          <w:szCs w:val="24"/>
          <w:lang w:val="en-US"/>
        </w:rPr>
        <w:t>.</w:t>
      </w:r>
      <w:r w:rsidRPr="00563675">
        <w:rPr>
          <w:rFonts w:ascii="Times New Roman" w:hAnsi="Times New Roman" w:cs="Times New Roman"/>
          <w:sz w:val="24"/>
          <w:szCs w:val="24"/>
          <w:lang w:val="en-US"/>
        </w:rPr>
        <w:t xml:space="preserve"> Currently, aircrew are not a prescribed class of persons in the list.</w:t>
      </w:r>
    </w:p>
    <w:p w14:paraId="4903B0EA" w14:textId="77777777" w:rsidR="00CC6361" w:rsidRPr="00563675" w:rsidRDefault="00CC6361" w:rsidP="00CC6361">
      <w:pPr>
        <w:pStyle w:val="NoSpacing"/>
        <w:rPr>
          <w:rFonts w:ascii="Times New Roman" w:hAnsi="Times New Roman" w:cs="Times New Roman"/>
          <w:sz w:val="24"/>
          <w:szCs w:val="24"/>
          <w:lang w:val="en-US"/>
        </w:rPr>
      </w:pPr>
    </w:p>
    <w:p w14:paraId="2DA6CC63" w14:textId="77777777" w:rsidR="00CC6361" w:rsidRPr="00563675" w:rsidRDefault="00CC6361" w:rsidP="00CC6361">
      <w:pPr>
        <w:pStyle w:val="NoSpacing"/>
        <w:rPr>
          <w:rFonts w:ascii="Times New Roman" w:hAnsi="Times New Roman" w:cs="Times New Roman"/>
          <w:sz w:val="24"/>
          <w:szCs w:val="24"/>
          <w:lang w:eastAsia="en-AU"/>
        </w:rPr>
      </w:pPr>
      <w:r w:rsidRPr="00563675">
        <w:rPr>
          <w:rFonts w:ascii="Times New Roman" w:hAnsi="Times New Roman" w:cs="Times New Roman"/>
          <w:sz w:val="24"/>
          <w:szCs w:val="24"/>
          <w:lang w:val="en-US"/>
        </w:rPr>
        <w:t xml:space="preserve">This </w:t>
      </w:r>
      <w:r>
        <w:rPr>
          <w:rFonts w:ascii="Times New Roman" w:hAnsi="Times New Roman" w:cs="Times New Roman"/>
          <w:sz w:val="24"/>
          <w:szCs w:val="24"/>
          <w:lang w:val="en-US"/>
        </w:rPr>
        <w:t>Instrument</w:t>
      </w:r>
      <w:r w:rsidRPr="00563675">
        <w:rPr>
          <w:rFonts w:ascii="Times New Roman" w:hAnsi="Times New Roman" w:cs="Times New Roman"/>
          <w:sz w:val="24"/>
          <w:szCs w:val="24"/>
          <w:lang w:val="en-US"/>
        </w:rPr>
        <w:t xml:space="preserve"> will prescribe aircrew </w:t>
      </w:r>
      <w:r w:rsidRPr="00563675">
        <w:rPr>
          <w:rFonts w:ascii="Times New Roman" w:hAnsi="Times New Roman" w:cs="Times New Roman"/>
          <w:sz w:val="24"/>
          <w:szCs w:val="24"/>
        </w:rPr>
        <w:t xml:space="preserve">who are scheduled to depart Australia within 90 minutes of arrival </w:t>
      </w:r>
      <w:r>
        <w:rPr>
          <w:rFonts w:ascii="Times New Roman" w:hAnsi="Times New Roman" w:cs="Times New Roman"/>
          <w:sz w:val="24"/>
          <w:szCs w:val="24"/>
        </w:rPr>
        <w:t xml:space="preserve">into Australia </w:t>
      </w:r>
      <w:r w:rsidRPr="00563675">
        <w:rPr>
          <w:rFonts w:ascii="Times New Roman" w:hAnsi="Times New Roman" w:cs="Times New Roman"/>
          <w:sz w:val="24"/>
          <w:szCs w:val="24"/>
        </w:rPr>
        <w:t>as a class of persons for the purpose of subsection 168(3) of the Act.</w:t>
      </w:r>
      <w:r w:rsidRPr="00563675">
        <w:rPr>
          <w:rFonts w:ascii="Times New Roman" w:hAnsi="Times New Roman" w:cs="Times New Roman"/>
          <w:sz w:val="24"/>
          <w:szCs w:val="24"/>
          <w:lang w:val="en-US"/>
        </w:rPr>
        <w:t xml:space="preserve"> </w:t>
      </w:r>
      <w:r w:rsidRPr="00563675">
        <w:rPr>
          <w:rFonts w:ascii="Times New Roman" w:hAnsi="Times New Roman" w:cs="Times New Roman"/>
          <w:sz w:val="24"/>
          <w:szCs w:val="24"/>
          <w:lang w:eastAsia="en-AU"/>
        </w:rPr>
        <w:t>Any crew that fall outside the criteria will be out of scope.</w:t>
      </w:r>
    </w:p>
    <w:p w14:paraId="72FBC176" w14:textId="77777777" w:rsidR="00CC6361" w:rsidRPr="00563675" w:rsidRDefault="00CC6361" w:rsidP="00CC6361">
      <w:pPr>
        <w:pStyle w:val="NoSpacing"/>
        <w:rPr>
          <w:rFonts w:ascii="Times New Roman" w:hAnsi="Times New Roman" w:cs="Times New Roman"/>
          <w:sz w:val="24"/>
          <w:szCs w:val="24"/>
          <w:lang w:val="en-US"/>
        </w:rPr>
      </w:pPr>
    </w:p>
    <w:p w14:paraId="3F39C15B" w14:textId="77777777" w:rsidR="00CC6361" w:rsidRPr="00563675" w:rsidRDefault="00CC6361" w:rsidP="00CC6361">
      <w:pPr>
        <w:pStyle w:val="NoSpacing"/>
        <w:rPr>
          <w:rFonts w:ascii="Times New Roman" w:hAnsi="Times New Roman" w:cs="Times New Roman"/>
          <w:sz w:val="24"/>
          <w:szCs w:val="24"/>
        </w:rPr>
      </w:pPr>
      <w:r>
        <w:rPr>
          <w:rFonts w:ascii="Times New Roman" w:hAnsi="Times New Roman" w:cs="Times New Roman"/>
          <w:sz w:val="24"/>
          <w:szCs w:val="24"/>
        </w:rPr>
        <w:t>At present, t</w:t>
      </w:r>
      <w:r w:rsidRPr="00563675">
        <w:rPr>
          <w:rFonts w:ascii="Times New Roman" w:hAnsi="Times New Roman" w:cs="Times New Roman"/>
          <w:sz w:val="24"/>
          <w:szCs w:val="24"/>
        </w:rPr>
        <w:t>o comply with section 166 requirements, aircrew must disembark the aircraft on arrival and present to the primary line inside the terminal for arrival immigration and border clearance, and then present to the Australian Border Force (ABF) again upon departure.</w:t>
      </w:r>
    </w:p>
    <w:p w14:paraId="25BB92B5" w14:textId="77777777" w:rsidR="00CC6361" w:rsidRPr="00563675" w:rsidRDefault="00CC6361" w:rsidP="00CC6361">
      <w:pPr>
        <w:pStyle w:val="NoSpacing"/>
        <w:rPr>
          <w:rFonts w:ascii="Times New Roman" w:hAnsi="Times New Roman" w:cs="Times New Roman"/>
          <w:sz w:val="24"/>
          <w:szCs w:val="24"/>
        </w:rPr>
      </w:pPr>
    </w:p>
    <w:p w14:paraId="27F7EAA5" w14:textId="144D8D23" w:rsidR="00CC6361" w:rsidRPr="00563675" w:rsidRDefault="00CC6361" w:rsidP="00CC6361">
      <w:pPr>
        <w:pStyle w:val="NoSpacing"/>
        <w:rPr>
          <w:rFonts w:ascii="Times New Roman" w:hAnsi="Times New Roman" w:cs="Times New Roman"/>
          <w:sz w:val="24"/>
          <w:szCs w:val="24"/>
          <w:lang w:eastAsia="en-AU"/>
        </w:rPr>
      </w:pPr>
      <w:r w:rsidRPr="00563675">
        <w:rPr>
          <w:rFonts w:ascii="Times New Roman" w:hAnsi="Times New Roman" w:cs="Times New Roman"/>
          <w:spacing w:val="-3"/>
          <w:sz w:val="24"/>
          <w:szCs w:val="24"/>
        </w:rPr>
        <w:t>Currently, an interim arrangement is</w:t>
      </w:r>
      <w:r w:rsidRPr="00563675">
        <w:rPr>
          <w:rFonts w:ascii="Times New Roman" w:hAnsi="Times New Roman" w:cs="Times New Roman"/>
          <w:sz w:val="24"/>
          <w:szCs w:val="24"/>
        </w:rPr>
        <w:t xml:space="preserve"> in place where the ABF attend the aircraft gate to conduct immigration clearance </w:t>
      </w:r>
      <w:r>
        <w:rPr>
          <w:rFonts w:ascii="Times New Roman" w:hAnsi="Times New Roman" w:cs="Times New Roman"/>
          <w:sz w:val="24"/>
          <w:szCs w:val="24"/>
        </w:rPr>
        <w:t>without aircrew having to present to the ABF immigration and customs clearances line</w:t>
      </w:r>
      <w:r w:rsidRPr="00563675">
        <w:rPr>
          <w:rFonts w:ascii="Times New Roman" w:hAnsi="Times New Roman" w:cs="Times New Roman"/>
          <w:sz w:val="24"/>
          <w:szCs w:val="24"/>
        </w:rPr>
        <w:t xml:space="preserve">. This short term arrangement </w:t>
      </w:r>
      <w:r>
        <w:rPr>
          <w:rFonts w:ascii="Times New Roman" w:hAnsi="Times New Roman" w:cs="Times New Roman"/>
          <w:sz w:val="24"/>
          <w:szCs w:val="24"/>
        </w:rPr>
        <w:t xml:space="preserve">was put in place during </w:t>
      </w:r>
      <w:r w:rsidR="00DE4EAA">
        <w:rPr>
          <w:rFonts w:ascii="Times New Roman" w:hAnsi="Times New Roman" w:cs="Times New Roman"/>
          <w:sz w:val="24"/>
          <w:szCs w:val="24"/>
        </w:rPr>
        <w:t xml:space="preserve">the </w:t>
      </w:r>
      <w:r>
        <w:rPr>
          <w:rFonts w:ascii="Times New Roman" w:hAnsi="Times New Roman" w:cs="Times New Roman"/>
          <w:sz w:val="24"/>
          <w:szCs w:val="24"/>
        </w:rPr>
        <w:t xml:space="preserve">COVID-19 </w:t>
      </w:r>
      <w:r w:rsidR="00DE4EAA">
        <w:rPr>
          <w:rFonts w:ascii="Times New Roman" w:hAnsi="Times New Roman" w:cs="Times New Roman"/>
          <w:sz w:val="24"/>
          <w:szCs w:val="24"/>
        </w:rPr>
        <w:t xml:space="preserve">Pandemic, </w:t>
      </w:r>
      <w:r>
        <w:rPr>
          <w:rFonts w:ascii="Times New Roman" w:hAnsi="Times New Roman" w:cs="Times New Roman"/>
          <w:sz w:val="24"/>
          <w:szCs w:val="24"/>
        </w:rPr>
        <w:t xml:space="preserve">and it was agreed that it was to continue </w:t>
      </w:r>
      <w:r w:rsidRPr="00563675">
        <w:rPr>
          <w:rFonts w:ascii="Times New Roman" w:hAnsi="Times New Roman" w:cs="Times New Roman"/>
          <w:sz w:val="24"/>
          <w:szCs w:val="24"/>
        </w:rPr>
        <w:t>while</w:t>
      </w:r>
      <w:r>
        <w:rPr>
          <w:rFonts w:ascii="Times New Roman" w:hAnsi="Times New Roman" w:cs="Times New Roman"/>
          <w:sz w:val="24"/>
          <w:szCs w:val="24"/>
        </w:rPr>
        <w:t xml:space="preserve"> a</w:t>
      </w:r>
      <w:r w:rsidRPr="00563675">
        <w:rPr>
          <w:rFonts w:ascii="Times New Roman" w:hAnsi="Times New Roman" w:cs="Times New Roman"/>
          <w:sz w:val="24"/>
          <w:szCs w:val="24"/>
        </w:rPr>
        <w:t xml:space="preserve"> longer term legislative solution </w:t>
      </w:r>
      <w:r>
        <w:rPr>
          <w:rFonts w:ascii="Times New Roman" w:hAnsi="Times New Roman" w:cs="Times New Roman"/>
          <w:sz w:val="24"/>
          <w:szCs w:val="24"/>
        </w:rPr>
        <w:t xml:space="preserve">was </w:t>
      </w:r>
      <w:r w:rsidRPr="00563675">
        <w:rPr>
          <w:rFonts w:ascii="Times New Roman" w:hAnsi="Times New Roman" w:cs="Times New Roman"/>
          <w:sz w:val="24"/>
          <w:szCs w:val="24"/>
        </w:rPr>
        <w:t>considered.</w:t>
      </w:r>
      <w:r w:rsidRPr="00563675">
        <w:rPr>
          <w:rFonts w:ascii="Times New Roman" w:hAnsi="Times New Roman" w:cs="Times New Roman"/>
          <w:sz w:val="24"/>
          <w:szCs w:val="24"/>
          <w:lang w:eastAsia="en-AU"/>
        </w:rPr>
        <w:t xml:space="preserve"> </w:t>
      </w:r>
    </w:p>
    <w:p w14:paraId="6CF17AF4" w14:textId="77777777" w:rsidR="00CC6361" w:rsidRPr="00563675" w:rsidRDefault="00CC6361" w:rsidP="00CC6361">
      <w:pPr>
        <w:pStyle w:val="NoSpacing"/>
        <w:rPr>
          <w:rFonts w:ascii="Times New Roman" w:hAnsi="Times New Roman" w:cs="Times New Roman"/>
          <w:sz w:val="24"/>
          <w:szCs w:val="24"/>
          <w:lang w:eastAsia="en-AU"/>
        </w:rPr>
      </w:pPr>
    </w:p>
    <w:p w14:paraId="0706D9A1" w14:textId="77777777" w:rsidR="00CC6361" w:rsidRDefault="00CC6361" w:rsidP="00CC6361">
      <w:pPr>
        <w:pStyle w:val="NoSpacing"/>
        <w:rPr>
          <w:rFonts w:ascii="Times New Roman" w:hAnsi="Times New Roman" w:cs="Times New Roman"/>
          <w:sz w:val="24"/>
          <w:szCs w:val="24"/>
        </w:rPr>
      </w:pPr>
      <w:r w:rsidRPr="00563675">
        <w:rPr>
          <w:rFonts w:ascii="Times New Roman" w:hAnsi="Times New Roman" w:cs="Times New Roman"/>
          <w:sz w:val="24"/>
          <w:szCs w:val="24"/>
        </w:rPr>
        <w:t xml:space="preserve">This </w:t>
      </w:r>
      <w:r>
        <w:rPr>
          <w:rFonts w:ascii="Times New Roman" w:hAnsi="Times New Roman" w:cs="Times New Roman"/>
          <w:sz w:val="24"/>
          <w:szCs w:val="24"/>
        </w:rPr>
        <w:t>I</w:t>
      </w:r>
      <w:r w:rsidRPr="00563675">
        <w:rPr>
          <w:rFonts w:ascii="Times New Roman" w:hAnsi="Times New Roman" w:cs="Times New Roman"/>
          <w:sz w:val="24"/>
          <w:szCs w:val="24"/>
        </w:rPr>
        <w:t xml:space="preserve">nstrument is needed to ensure aircrew arriving and departing Australia on </w:t>
      </w:r>
      <w:r>
        <w:rPr>
          <w:rFonts w:ascii="Times New Roman" w:hAnsi="Times New Roman" w:cs="Times New Roman"/>
          <w:sz w:val="24"/>
          <w:szCs w:val="24"/>
        </w:rPr>
        <w:t>a</w:t>
      </w:r>
      <w:r w:rsidRPr="00563675">
        <w:rPr>
          <w:rFonts w:ascii="Times New Roman" w:hAnsi="Times New Roman" w:cs="Times New Roman"/>
          <w:sz w:val="24"/>
          <w:szCs w:val="24"/>
        </w:rPr>
        <w:t xml:space="preserve"> commercial aircraft within 90 minutes are exempt from complying with section 166 requirements</w:t>
      </w:r>
      <w:r>
        <w:rPr>
          <w:rFonts w:ascii="Times New Roman" w:hAnsi="Times New Roman" w:cs="Times New Roman"/>
          <w:sz w:val="24"/>
          <w:szCs w:val="24"/>
        </w:rPr>
        <w:t xml:space="preserve">. Arriving aircrew will have to disembark the aircraft but are not required to proceed to the ABF control point for face-to-passport checks and inwards and outwards clearance. Rather the crew will be able to remain within the airport transit lounge. This will accommodate the airlines flight scheduling and crew rostering </w:t>
      </w:r>
      <w:r>
        <w:rPr>
          <w:rFonts w:ascii="Times New Roman" w:hAnsi="Times New Roman" w:cs="Times New Roman"/>
          <w:sz w:val="24"/>
          <w:szCs w:val="24"/>
        </w:rPr>
        <w:lastRenderedPageBreak/>
        <w:t>requirements due to short turnaround times between arrival and departure flights, but will maintain security and integrity of the border</w:t>
      </w:r>
      <w:r w:rsidRPr="00563675">
        <w:rPr>
          <w:rFonts w:ascii="Times New Roman" w:hAnsi="Times New Roman" w:cs="Times New Roman"/>
          <w:sz w:val="24"/>
          <w:szCs w:val="24"/>
        </w:rPr>
        <w:t xml:space="preserve">. </w:t>
      </w:r>
      <w:r>
        <w:rPr>
          <w:rFonts w:ascii="Times New Roman" w:hAnsi="Times New Roman" w:cs="Times New Roman"/>
          <w:sz w:val="24"/>
          <w:szCs w:val="24"/>
        </w:rPr>
        <w:t xml:space="preserve">This will also assist the ABF with diverting staffing resources to focus on areas of high concern and risk. </w:t>
      </w:r>
    </w:p>
    <w:p w14:paraId="2CD7BA0D" w14:textId="77777777" w:rsidR="00CC6361" w:rsidRPr="00563675" w:rsidRDefault="00CC6361" w:rsidP="00CC6361">
      <w:pPr>
        <w:pStyle w:val="NoSpacing"/>
        <w:rPr>
          <w:rFonts w:ascii="Times New Roman" w:hAnsi="Times New Roman" w:cs="Times New Roman"/>
          <w:sz w:val="24"/>
          <w:szCs w:val="24"/>
        </w:rPr>
      </w:pPr>
    </w:p>
    <w:p w14:paraId="6B093FEA" w14:textId="009E5BAC" w:rsidR="00CC6361" w:rsidRPr="00563675" w:rsidRDefault="00CC6361" w:rsidP="00CC6361">
      <w:pPr>
        <w:pStyle w:val="NoSpacing"/>
        <w:rPr>
          <w:rFonts w:ascii="Times New Roman" w:hAnsi="Times New Roman" w:cs="Times New Roman"/>
          <w:sz w:val="24"/>
          <w:szCs w:val="24"/>
          <w:lang w:eastAsia="en-AU"/>
        </w:rPr>
      </w:pPr>
      <w:r w:rsidRPr="00563675">
        <w:rPr>
          <w:rFonts w:ascii="Times New Roman" w:hAnsi="Times New Roman" w:cs="Times New Roman"/>
          <w:sz w:val="24"/>
          <w:szCs w:val="24"/>
          <w:lang w:eastAsia="en-AU"/>
        </w:rPr>
        <w:t>Given the amend</w:t>
      </w:r>
      <w:r>
        <w:rPr>
          <w:rFonts w:ascii="Times New Roman" w:hAnsi="Times New Roman" w:cs="Times New Roman"/>
          <w:sz w:val="24"/>
          <w:szCs w:val="24"/>
          <w:lang w:eastAsia="en-AU"/>
        </w:rPr>
        <w:t>ing Instrument</w:t>
      </w:r>
      <w:r w:rsidRPr="00563675">
        <w:rPr>
          <w:rFonts w:ascii="Times New Roman" w:hAnsi="Times New Roman" w:cs="Times New Roman"/>
          <w:sz w:val="24"/>
          <w:szCs w:val="24"/>
          <w:lang w:eastAsia="en-AU"/>
        </w:rPr>
        <w:t xml:space="preserve"> is to only exempt the aircrew from complying with the immigration clearance requirements, all other </w:t>
      </w:r>
      <w:r>
        <w:rPr>
          <w:rFonts w:ascii="Times New Roman" w:hAnsi="Times New Roman" w:cs="Times New Roman"/>
          <w:sz w:val="24"/>
          <w:szCs w:val="24"/>
          <w:lang w:eastAsia="en-AU"/>
        </w:rPr>
        <w:t xml:space="preserve">entry and pre-entry requirements, including pre-arrival and departure crew reporting, will </w:t>
      </w:r>
      <w:r w:rsidRPr="00563675">
        <w:rPr>
          <w:rFonts w:ascii="Times New Roman" w:hAnsi="Times New Roman" w:cs="Times New Roman"/>
          <w:sz w:val="24"/>
          <w:szCs w:val="24"/>
          <w:lang w:eastAsia="en-AU"/>
        </w:rPr>
        <w:t>continue to apply</w:t>
      </w:r>
      <w:r w:rsidR="00DE4EAA" w:rsidRPr="00563675">
        <w:rPr>
          <w:rFonts w:ascii="Times New Roman" w:hAnsi="Times New Roman" w:cs="Times New Roman"/>
          <w:sz w:val="24"/>
          <w:szCs w:val="24"/>
          <w:lang w:eastAsia="en-AU"/>
        </w:rPr>
        <w:t xml:space="preserve">. </w:t>
      </w:r>
      <w:r w:rsidRPr="00563675">
        <w:rPr>
          <w:rFonts w:ascii="Times New Roman" w:hAnsi="Times New Roman" w:cs="Times New Roman"/>
          <w:sz w:val="24"/>
          <w:szCs w:val="24"/>
          <w:lang w:eastAsia="en-AU"/>
        </w:rPr>
        <w:t>Should the ABF need to confirm the crew's identity on arrival, ABF has</w:t>
      </w:r>
      <w:r>
        <w:rPr>
          <w:rFonts w:ascii="Times New Roman" w:hAnsi="Times New Roman" w:cs="Times New Roman"/>
          <w:sz w:val="24"/>
          <w:szCs w:val="24"/>
          <w:lang w:eastAsia="en-AU"/>
        </w:rPr>
        <w:t xml:space="preserve"> the</w:t>
      </w:r>
      <w:r w:rsidRPr="00563675">
        <w:rPr>
          <w:rFonts w:ascii="Times New Roman" w:hAnsi="Times New Roman" w:cs="Times New Roman"/>
          <w:sz w:val="24"/>
          <w:szCs w:val="24"/>
          <w:lang w:eastAsia="en-AU"/>
        </w:rPr>
        <w:t xml:space="preserve"> power to request the crew to produce identity documents under section 225 of the Act. </w:t>
      </w:r>
    </w:p>
    <w:p w14:paraId="5CE5E0E1" w14:textId="77777777" w:rsidR="00CC6361" w:rsidRPr="00563675" w:rsidRDefault="00CC6361" w:rsidP="00CC6361">
      <w:pPr>
        <w:pStyle w:val="NoSpacing"/>
        <w:rPr>
          <w:rFonts w:ascii="Times New Roman" w:hAnsi="Times New Roman" w:cs="Times New Roman"/>
          <w:sz w:val="24"/>
          <w:szCs w:val="24"/>
          <w:lang w:eastAsia="en-AU"/>
        </w:rPr>
      </w:pPr>
    </w:p>
    <w:p w14:paraId="2B03515A" w14:textId="77777777" w:rsidR="00CC6361" w:rsidRDefault="00CC6361" w:rsidP="00CC6361">
      <w:pPr>
        <w:pStyle w:val="Heading3"/>
      </w:pPr>
      <w:r>
        <w:t>Human rights implications</w:t>
      </w:r>
    </w:p>
    <w:p w14:paraId="3954C63C" w14:textId="77777777" w:rsidR="00CC6361" w:rsidRDefault="00CC6361" w:rsidP="00CC6361">
      <w:pPr>
        <w:spacing w:before="120" w:after="120" w:line="240" w:lineRule="auto"/>
        <w:rPr>
          <w:rFonts w:ascii="Times New Roman" w:hAnsi="Times New Roman"/>
          <w:sz w:val="24"/>
          <w:szCs w:val="24"/>
        </w:rPr>
      </w:pPr>
      <w:r>
        <w:rPr>
          <w:rFonts w:ascii="Times New Roman" w:hAnsi="Times New Roman"/>
          <w:sz w:val="24"/>
          <w:szCs w:val="24"/>
        </w:rPr>
        <w:t xml:space="preserve">This Instrument does not engage any of the applicable rights or freedoms. The cohort of crew will be able to remain in the airport transit lounge area but will be required to comply with other aircrew reporting requirements before they board their departing flight. Should the crew want to leave the transit lounge area they can do so, but will be required to undertake inwards and outwards immigration and customs clearance as </w:t>
      </w:r>
      <w:proofErr w:type="gramStart"/>
      <w:r>
        <w:rPr>
          <w:rFonts w:ascii="Times New Roman" w:hAnsi="Times New Roman"/>
          <w:sz w:val="24"/>
          <w:szCs w:val="24"/>
        </w:rPr>
        <w:t>normal.</w:t>
      </w:r>
      <w:proofErr w:type="gramEnd"/>
      <w:r>
        <w:rPr>
          <w:rFonts w:ascii="Times New Roman" w:hAnsi="Times New Roman"/>
          <w:sz w:val="24"/>
          <w:szCs w:val="24"/>
        </w:rPr>
        <w:t xml:space="preserve"> </w:t>
      </w:r>
    </w:p>
    <w:p w14:paraId="0445ABCA" w14:textId="77777777" w:rsidR="00CC6361" w:rsidRDefault="00CC6361" w:rsidP="00CC6361">
      <w:pPr>
        <w:pStyle w:val="Heading3"/>
      </w:pPr>
    </w:p>
    <w:p w14:paraId="7FDC1C80" w14:textId="77777777" w:rsidR="00CC6361" w:rsidRDefault="00CC6361" w:rsidP="00CC6361">
      <w:pPr>
        <w:pStyle w:val="Heading3"/>
      </w:pPr>
      <w:r>
        <w:t>Conclusion</w:t>
      </w:r>
    </w:p>
    <w:p w14:paraId="3A3E5C94" w14:textId="15C5F875" w:rsidR="00CC6361" w:rsidRDefault="00CC6361" w:rsidP="00CC6361">
      <w:pPr>
        <w:spacing w:before="120" w:after="120" w:line="240" w:lineRule="auto"/>
        <w:rPr>
          <w:rFonts w:ascii="Times New Roman" w:hAnsi="Times New Roman"/>
          <w:sz w:val="24"/>
          <w:szCs w:val="24"/>
        </w:rPr>
      </w:pPr>
      <w:r>
        <w:rPr>
          <w:rFonts w:ascii="Times New Roman" w:hAnsi="Times New Roman"/>
          <w:sz w:val="24"/>
          <w:szCs w:val="24"/>
        </w:rPr>
        <w:t>This Instrument is compatible with human rights as it does not raise any human rights issues.</w:t>
      </w:r>
    </w:p>
    <w:p w14:paraId="263EA253" w14:textId="77777777" w:rsidR="00192E4F" w:rsidRDefault="00192E4F" w:rsidP="00192E4F">
      <w:pPr>
        <w:spacing w:before="120" w:after="120" w:line="240" w:lineRule="auto"/>
        <w:jc w:val="center"/>
        <w:rPr>
          <w:rFonts w:ascii="Times New Roman" w:hAnsi="Times New Roman"/>
          <w:b/>
          <w:sz w:val="24"/>
          <w:szCs w:val="24"/>
        </w:rPr>
      </w:pPr>
    </w:p>
    <w:p w14:paraId="66D957F3" w14:textId="4C31F23A" w:rsidR="00192E4F" w:rsidRPr="00192E4F" w:rsidRDefault="004F2A10" w:rsidP="00192E4F">
      <w:pPr>
        <w:spacing w:before="120" w:after="120" w:line="240" w:lineRule="auto"/>
        <w:jc w:val="center"/>
        <w:rPr>
          <w:rFonts w:ascii="Times New Roman" w:hAnsi="Times New Roman"/>
          <w:b/>
          <w:sz w:val="24"/>
          <w:szCs w:val="24"/>
        </w:rPr>
      </w:pPr>
      <w:r>
        <w:rPr>
          <w:rFonts w:ascii="Times New Roman" w:hAnsi="Times New Roman"/>
          <w:b/>
          <w:sz w:val="24"/>
          <w:szCs w:val="24"/>
        </w:rPr>
        <w:t>The Hon Tony Burke MP</w:t>
      </w:r>
    </w:p>
    <w:p w14:paraId="1077905B" w14:textId="33267C07" w:rsidR="00192E4F" w:rsidRPr="00192E4F" w:rsidRDefault="00192E4F" w:rsidP="00192E4F">
      <w:pPr>
        <w:spacing w:before="120" w:after="120" w:line="240" w:lineRule="auto"/>
        <w:jc w:val="center"/>
        <w:rPr>
          <w:rFonts w:ascii="Times New Roman" w:hAnsi="Times New Roman"/>
          <w:b/>
          <w:sz w:val="24"/>
          <w:szCs w:val="24"/>
        </w:rPr>
      </w:pPr>
      <w:r w:rsidRPr="00192E4F">
        <w:rPr>
          <w:rFonts w:ascii="Times New Roman" w:hAnsi="Times New Roman"/>
          <w:b/>
          <w:sz w:val="24"/>
          <w:szCs w:val="24"/>
        </w:rPr>
        <w:t xml:space="preserve">Minister for </w:t>
      </w:r>
      <w:r w:rsidR="004F2A10">
        <w:rPr>
          <w:rFonts w:ascii="Times New Roman" w:hAnsi="Times New Roman"/>
          <w:b/>
          <w:sz w:val="24"/>
          <w:szCs w:val="24"/>
        </w:rPr>
        <w:t>Immigration and Multicultural Affairs</w:t>
      </w:r>
    </w:p>
    <w:p w14:paraId="1918A5F2" w14:textId="77777777" w:rsidR="00813B74" w:rsidRPr="00192E4F" w:rsidRDefault="00813B74" w:rsidP="00813B74">
      <w:pPr>
        <w:pStyle w:val="Header"/>
        <w:tabs>
          <w:tab w:val="clear" w:pos="4513"/>
          <w:tab w:val="clear" w:pos="9026"/>
        </w:tabs>
        <w:spacing w:before="120" w:after="120" w:line="240" w:lineRule="auto"/>
        <w:rPr>
          <w:rFonts w:ascii="Times New Roman" w:hAnsi="Times New Roman"/>
          <w:sz w:val="24"/>
          <w:szCs w:val="24"/>
        </w:rPr>
      </w:pPr>
    </w:p>
    <w:p w14:paraId="209119EA" w14:textId="799BDB94" w:rsidR="00161994" w:rsidRDefault="00161994">
      <w:pPr>
        <w:rPr>
          <w:rFonts w:ascii="Times New Roman" w:eastAsia="Times New Roman" w:hAnsi="Times New Roman" w:cs="Times New Roman"/>
          <w:color w:val="000000" w:themeColor="text1"/>
          <w:sz w:val="24"/>
          <w:szCs w:val="24"/>
          <w:lang w:eastAsia="en-AU"/>
        </w:rPr>
      </w:pPr>
      <w:r>
        <w:rPr>
          <w:color w:val="000000" w:themeColor="text1"/>
        </w:rPr>
        <w:br w:type="page"/>
      </w:r>
    </w:p>
    <w:p w14:paraId="6B43B818" w14:textId="08C9E139" w:rsidR="00161994" w:rsidRDefault="00161994" w:rsidP="00161994">
      <w:pPr>
        <w:pStyle w:val="ESoutlinetext"/>
        <w:spacing w:line="276" w:lineRule="auto"/>
        <w:jc w:val="right"/>
        <w:rPr>
          <w:color w:val="000000" w:themeColor="text1"/>
        </w:rPr>
      </w:pPr>
      <w:r>
        <w:rPr>
          <w:b/>
          <w:color w:val="000000" w:themeColor="text1"/>
          <w:u w:val="single"/>
        </w:rPr>
        <w:lastRenderedPageBreak/>
        <w:t>ATTACHMENT C</w:t>
      </w:r>
    </w:p>
    <w:p w14:paraId="1BA158C1" w14:textId="1427A086" w:rsidR="003309BD" w:rsidRDefault="003309BD" w:rsidP="003309BD">
      <w:pPr>
        <w:pStyle w:val="Default"/>
        <w:contextualSpacing/>
        <w:rPr>
          <w:b/>
          <w:i/>
          <w:u w:val="single"/>
        </w:rPr>
      </w:pPr>
      <w:r w:rsidRPr="00725626">
        <w:rPr>
          <w:b/>
          <w:bCs/>
          <w:u w:val="single"/>
        </w:rPr>
        <w:t xml:space="preserve">Details of the </w:t>
      </w:r>
      <w:r w:rsidRPr="00725626">
        <w:rPr>
          <w:b/>
          <w:i/>
          <w:u w:val="single"/>
        </w:rPr>
        <w:t>Migration Amendment (Immigration Clearance Exemption for Transiting Aircraft Crew) Regulations 2024</w:t>
      </w:r>
    </w:p>
    <w:p w14:paraId="17D6A887" w14:textId="77777777" w:rsidR="003309BD" w:rsidRDefault="003309BD" w:rsidP="003309BD">
      <w:pPr>
        <w:pStyle w:val="Default"/>
        <w:contextualSpacing/>
        <w:rPr>
          <w:b/>
          <w:i/>
          <w:u w:val="single"/>
        </w:rPr>
      </w:pPr>
    </w:p>
    <w:p w14:paraId="210BF04D" w14:textId="77777777" w:rsidR="003309BD" w:rsidRDefault="003309BD" w:rsidP="00E456FB">
      <w:pPr>
        <w:pStyle w:val="Default"/>
        <w:spacing w:after="120"/>
        <w:rPr>
          <w:iCs/>
          <w:u w:val="single"/>
        </w:rPr>
      </w:pPr>
      <w:r>
        <w:rPr>
          <w:iCs/>
          <w:u w:val="single"/>
        </w:rPr>
        <w:t xml:space="preserve">Section 1 – Name </w:t>
      </w:r>
    </w:p>
    <w:p w14:paraId="620E88B8" w14:textId="1F6FE7F0" w:rsidR="003309BD" w:rsidRPr="00184449" w:rsidRDefault="003309BD" w:rsidP="003309BD">
      <w:pPr>
        <w:pStyle w:val="Default"/>
        <w:contextualSpacing/>
        <w:rPr>
          <w:iCs/>
        </w:rPr>
      </w:pPr>
      <w:r>
        <w:rPr>
          <w:iCs/>
        </w:rPr>
        <w:t xml:space="preserve">This section provides that the title of this instrument is the </w:t>
      </w:r>
      <w:r w:rsidRPr="00387D4A">
        <w:rPr>
          <w:i/>
        </w:rPr>
        <w:t>Migration Amendment (Immigration Clearance Exemption for Transiting Aircraft Crew)</w:t>
      </w:r>
      <w:r w:rsidRPr="00F3184C">
        <w:rPr>
          <w:b/>
          <w:i/>
        </w:rPr>
        <w:t xml:space="preserve"> </w:t>
      </w:r>
      <w:r w:rsidRPr="00387D4A">
        <w:rPr>
          <w:i/>
        </w:rPr>
        <w:t>Regulations 2024</w:t>
      </w:r>
      <w:r>
        <w:rPr>
          <w:i/>
        </w:rPr>
        <w:t>.</w:t>
      </w:r>
    </w:p>
    <w:p w14:paraId="629FF75F" w14:textId="77777777" w:rsidR="003309BD" w:rsidRDefault="003309BD" w:rsidP="003309BD">
      <w:pPr>
        <w:pStyle w:val="Default"/>
        <w:contextualSpacing/>
        <w:rPr>
          <w:iCs/>
          <w:u w:val="single"/>
        </w:rPr>
      </w:pPr>
    </w:p>
    <w:p w14:paraId="2DE1F35F" w14:textId="77777777" w:rsidR="003309BD" w:rsidRDefault="003309BD" w:rsidP="00E456FB">
      <w:pPr>
        <w:pStyle w:val="Default"/>
        <w:spacing w:after="120"/>
        <w:rPr>
          <w:iCs/>
          <w:u w:val="single"/>
        </w:rPr>
      </w:pPr>
      <w:r>
        <w:rPr>
          <w:iCs/>
          <w:u w:val="single"/>
        </w:rPr>
        <w:t xml:space="preserve">Section 2 – Commencement </w:t>
      </w:r>
    </w:p>
    <w:p w14:paraId="302A7150" w14:textId="36554425" w:rsidR="00E14D82" w:rsidRDefault="00E14D82" w:rsidP="00E14D82">
      <w:pPr>
        <w:pStyle w:val="Default"/>
        <w:contextualSpacing/>
        <w:rPr>
          <w:iCs/>
        </w:rPr>
      </w:pPr>
      <w:r>
        <w:rPr>
          <w:iCs/>
        </w:rPr>
        <w:t>This section provides the commencement of the provisions in the Regulations.</w:t>
      </w:r>
    </w:p>
    <w:p w14:paraId="6749D3B7" w14:textId="77777777" w:rsidR="00E14D82" w:rsidRDefault="00E14D82" w:rsidP="00E14D82">
      <w:pPr>
        <w:pStyle w:val="Default"/>
        <w:contextualSpacing/>
        <w:rPr>
          <w:iCs/>
        </w:rPr>
      </w:pPr>
    </w:p>
    <w:p w14:paraId="7D09AFDC" w14:textId="7AB13F80" w:rsidR="00E14D82" w:rsidRDefault="00E14D82" w:rsidP="00E14D82">
      <w:pPr>
        <w:pStyle w:val="Default"/>
        <w:contextualSpacing/>
        <w:rPr>
          <w:iCs/>
        </w:rPr>
      </w:pPr>
      <w:r>
        <w:rPr>
          <w:iCs/>
        </w:rPr>
        <w:t>Subsection 2(1) provides that each provision of the Regulation specified in column 1 of the table commences, or is taken to have commenced, in accordance with column 2 of the table</w:t>
      </w:r>
      <w:r w:rsidR="00DE4EAA">
        <w:rPr>
          <w:iCs/>
        </w:rPr>
        <w:t xml:space="preserve">. </w:t>
      </w:r>
      <w:r>
        <w:rPr>
          <w:iCs/>
        </w:rPr>
        <w:t xml:space="preserve">The effect of this provision is that the proposed Regulations will commence in its entirety on the day after the instrument is registered on the Federal Register of Legislation. </w:t>
      </w:r>
    </w:p>
    <w:p w14:paraId="77AC7B50" w14:textId="77777777" w:rsidR="00E14D82" w:rsidRDefault="00E14D82" w:rsidP="00E14D82">
      <w:pPr>
        <w:pStyle w:val="Default"/>
        <w:contextualSpacing/>
        <w:rPr>
          <w:iCs/>
        </w:rPr>
      </w:pPr>
    </w:p>
    <w:p w14:paraId="2F039796" w14:textId="77777777" w:rsidR="00E14D82" w:rsidRDefault="00E14D82" w:rsidP="00E14D82">
      <w:pPr>
        <w:pStyle w:val="Default"/>
        <w:contextualSpacing/>
        <w:rPr>
          <w:iCs/>
        </w:rPr>
      </w:pPr>
      <w:r>
        <w:rPr>
          <w:iCs/>
        </w:rPr>
        <w:t>A note at the foot of the table under subsection 2(1) explains that the table relates only to the provisions of the Regulations as originally made. The table will not be amended to deal with any later amendments to the Regulations.</w:t>
      </w:r>
    </w:p>
    <w:p w14:paraId="37DB2225" w14:textId="77777777" w:rsidR="00E14D82" w:rsidRDefault="00E14D82" w:rsidP="00E14D82">
      <w:pPr>
        <w:pStyle w:val="Default"/>
        <w:contextualSpacing/>
        <w:rPr>
          <w:iCs/>
        </w:rPr>
      </w:pPr>
    </w:p>
    <w:p w14:paraId="6CB9B84F" w14:textId="77777777" w:rsidR="00E14D82" w:rsidRDefault="00E14D82" w:rsidP="00E14D82">
      <w:pPr>
        <w:pStyle w:val="Default"/>
        <w:contextualSpacing/>
        <w:rPr>
          <w:iCs/>
        </w:rPr>
      </w:pPr>
      <w:r>
        <w:rPr>
          <w:iCs/>
        </w:rPr>
        <w:t>Subsection 2(2) provides that any information in column 3 of the table is not part of the Regulations. Information may be inserted in column 3, or information in it may be edited, in any published version of this Regulations.</w:t>
      </w:r>
    </w:p>
    <w:p w14:paraId="18B728E7" w14:textId="77777777" w:rsidR="003309BD" w:rsidRPr="00387D4A" w:rsidRDefault="003309BD" w:rsidP="003309BD">
      <w:pPr>
        <w:pStyle w:val="Default"/>
        <w:contextualSpacing/>
        <w:rPr>
          <w:iCs/>
        </w:rPr>
      </w:pPr>
    </w:p>
    <w:p w14:paraId="45A8DE6A" w14:textId="77777777" w:rsidR="003309BD" w:rsidRDefault="003309BD" w:rsidP="00E456FB">
      <w:pPr>
        <w:pStyle w:val="Default"/>
        <w:spacing w:after="120"/>
        <w:rPr>
          <w:iCs/>
          <w:u w:val="single"/>
        </w:rPr>
      </w:pPr>
      <w:r>
        <w:rPr>
          <w:iCs/>
          <w:u w:val="single"/>
        </w:rPr>
        <w:t xml:space="preserve">Section 3 – Authority </w:t>
      </w:r>
    </w:p>
    <w:p w14:paraId="7A6960B2" w14:textId="672EA1C7" w:rsidR="003309BD" w:rsidRDefault="003309BD" w:rsidP="003309BD">
      <w:pPr>
        <w:pStyle w:val="Default"/>
        <w:contextualSpacing/>
        <w:rPr>
          <w:i/>
          <w:iCs/>
        </w:rPr>
      </w:pPr>
      <w:r>
        <w:rPr>
          <w:iCs/>
        </w:rPr>
        <w:t xml:space="preserve">This section </w:t>
      </w:r>
      <w:r w:rsidR="0094625A">
        <w:rPr>
          <w:iCs/>
        </w:rPr>
        <w:t xml:space="preserve">provides </w:t>
      </w:r>
      <w:r>
        <w:rPr>
          <w:iCs/>
        </w:rPr>
        <w:t xml:space="preserve">that the instrument is made under the </w:t>
      </w:r>
      <w:r>
        <w:rPr>
          <w:i/>
          <w:iCs/>
        </w:rPr>
        <w:t xml:space="preserve">Migration Act 1958 </w:t>
      </w:r>
      <w:r>
        <w:rPr>
          <w:iCs/>
        </w:rPr>
        <w:t>(the Migration Act)</w:t>
      </w:r>
      <w:r>
        <w:rPr>
          <w:i/>
          <w:iCs/>
        </w:rPr>
        <w:t xml:space="preserve">. </w:t>
      </w:r>
    </w:p>
    <w:p w14:paraId="37AF84DA" w14:textId="77777777" w:rsidR="003309BD" w:rsidRPr="004A234C" w:rsidRDefault="003309BD" w:rsidP="003309BD">
      <w:pPr>
        <w:pStyle w:val="Default"/>
        <w:contextualSpacing/>
        <w:rPr>
          <w:iCs/>
        </w:rPr>
      </w:pPr>
      <w:r>
        <w:rPr>
          <w:iCs/>
        </w:rPr>
        <w:t xml:space="preserve"> </w:t>
      </w:r>
    </w:p>
    <w:p w14:paraId="63886028" w14:textId="77777777" w:rsidR="003309BD" w:rsidRDefault="003309BD" w:rsidP="00E456FB">
      <w:pPr>
        <w:pStyle w:val="Default"/>
        <w:spacing w:after="120"/>
        <w:rPr>
          <w:iCs/>
          <w:u w:val="single"/>
        </w:rPr>
      </w:pPr>
      <w:r>
        <w:rPr>
          <w:iCs/>
          <w:u w:val="single"/>
        </w:rPr>
        <w:t xml:space="preserve">Section 4 – Schedules </w:t>
      </w:r>
    </w:p>
    <w:p w14:paraId="01DDCAE2" w14:textId="3E7D4E1E" w:rsidR="003309BD" w:rsidRPr="004A234C" w:rsidRDefault="003309BD" w:rsidP="003309BD">
      <w:pPr>
        <w:pStyle w:val="Default"/>
        <w:contextualSpacing/>
        <w:rPr>
          <w:iCs/>
        </w:rPr>
      </w:pPr>
      <w:r>
        <w:rPr>
          <w:iCs/>
        </w:rPr>
        <w:t xml:space="preserve">This section </w:t>
      </w:r>
      <w:r w:rsidR="0094625A">
        <w:rPr>
          <w:iCs/>
        </w:rPr>
        <w:t xml:space="preserve">provides </w:t>
      </w:r>
      <w:r>
        <w:rPr>
          <w:iCs/>
        </w:rPr>
        <w:t xml:space="preserve">for how the amendments </w:t>
      </w:r>
      <w:r w:rsidR="00F3184C">
        <w:rPr>
          <w:iCs/>
        </w:rPr>
        <w:t>made by this instrument</w:t>
      </w:r>
      <w:r>
        <w:rPr>
          <w:iCs/>
        </w:rPr>
        <w:t xml:space="preserve"> would operate.  </w:t>
      </w:r>
    </w:p>
    <w:p w14:paraId="34BCE63E" w14:textId="77777777" w:rsidR="003309BD" w:rsidRDefault="003309BD" w:rsidP="003309BD">
      <w:pPr>
        <w:pStyle w:val="Default"/>
        <w:contextualSpacing/>
        <w:rPr>
          <w:iCs/>
          <w:u w:val="single"/>
        </w:rPr>
      </w:pPr>
    </w:p>
    <w:p w14:paraId="4DD99D76" w14:textId="77777777" w:rsidR="003309BD" w:rsidRDefault="003309BD" w:rsidP="00E456FB">
      <w:pPr>
        <w:pStyle w:val="Default"/>
        <w:spacing w:after="120"/>
        <w:rPr>
          <w:iCs/>
          <w:u w:val="single"/>
        </w:rPr>
      </w:pPr>
      <w:r>
        <w:rPr>
          <w:iCs/>
          <w:u w:val="single"/>
        </w:rPr>
        <w:t xml:space="preserve">Schedule 1 – Amendments </w:t>
      </w:r>
    </w:p>
    <w:p w14:paraId="307A868B" w14:textId="77777777" w:rsidR="003309BD" w:rsidRDefault="003309BD" w:rsidP="003309BD">
      <w:pPr>
        <w:pStyle w:val="Default"/>
        <w:contextualSpacing/>
        <w:rPr>
          <w:b/>
          <w:iCs/>
        </w:rPr>
      </w:pPr>
      <w:r>
        <w:rPr>
          <w:b/>
          <w:i/>
          <w:iCs/>
        </w:rPr>
        <w:t xml:space="preserve">Migration Regulations 1994 </w:t>
      </w:r>
    </w:p>
    <w:p w14:paraId="678851B1" w14:textId="77777777" w:rsidR="003309BD" w:rsidRDefault="003309BD" w:rsidP="003309BD">
      <w:pPr>
        <w:pStyle w:val="Default"/>
        <w:contextualSpacing/>
        <w:rPr>
          <w:b/>
          <w:iCs/>
        </w:rPr>
      </w:pPr>
    </w:p>
    <w:p w14:paraId="73B2F347" w14:textId="77777777" w:rsidR="003309BD" w:rsidRDefault="003309BD" w:rsidP="00E456FB">
      <w:pPr>
        <w:pStyle w:val="Default"/>
        <w:spacing w:after="120"/>
        <w:rPr>
          <w:b/>
          <w:iCs/>
        </w:rPr>
      </w:pPr>
      <w:r>
        <w:rPr>
          <w:b/>
          <w:iCs/>
        </w:rPr>
        <w:t xml:space="preserve">Item [1] – At the end of Part 2 of Schedule 9 </w:t>
      </w:r>
    </w:p>
    <w:p w14:paraId="332BCDED" w14:textId="5C663D86" w:rsidR="003309BD" w:rsidRDefault="003309BD" w:rsidP="003309BD">
      <w:pPr>
        <w:pStyle w:val="Default"/>
        <w:contextualSpacing/>
        <w:rPr>
          <w:iCs/>
        </w:rPr>
      </w:pPr>
      <w:r>
        <w:rPr>
          <w:iCs/>
        </w:rPr>
        <w:t xml:space="preserve">Item 1 </w:t>
      </w:r>
      <w:r w:rsidR="00354B65">
        <w:rPr>
          <w:iCs/>
        </w:rPr>
        <w:t xml:space="preserve">amends </w:t>
      </w:r>
      <w:r>
        <w:rPr>
          <w:iCs/>
        </w:rPr>
        <w:t xml:space="preserve">Part 2 of Schedule 9 to the </w:t>
      </w:r>
      <w:r>
        <w:rPr>
          <w:i/>
          <w:iCs/>
        </w:rPr>
        <w:t xml:space="preserve">Migration Regulations 1994 </w:t>
      </w:r>
      <w:r>
        <w:rPr>
          <w:iCs/>
        </w:rPr>
        <w:t xml:space="preserve">(the Migration Regulations), </w:t>
      </w:r>
      <w:r w:rsidR="00354B65">
        <w:rPr>
          <w:iCs/>
        </w:rPr>
        <w:t>by inserting</w:t>
      </w:r>
      <w:r>
        <w:rPr>
          <w:iCs/>
        </w:rPr>
        <w:t xml:space="preserve"> a new item to </w:t>
      </w:r>
      <w:r w:rsidR="000F6579">
        <w:rPr>
          <w:iCs/>
        </w:rPr>
        <w:t>prescribe</w:t>
      </w:r>
      <w:r w:rsidR="00043C8E">
        <w:rPr>
          <w:iCs/>
        </w:rPr>
        <w:t xml:space="preserve"> a new</w:t>
      </w:r>
      <w:r>
        <w:rPr>
          <w:iCs/>
        </w:rPr>
        <w:t xml:space="preserve"> class of persons</w:t>
      </w:r>
      <w:r w:rsidR="00043C8E">
        <w:rPr>
          <w:iCs/>
        </w:rPr>
        <w:t xml:space="preserve"> who is</w:t>
      </w:r>
      <w:r>
        <w:rPr>
          <w:iCs/>
        </w:rPr>
        <w:t xml:space="preserve"> not required to comply with section 166 of the Migration Act</w:t>
      </w:r>
      <w:r w:rsidR="00A3392E">
        <w:rPr>
          <w:iCs/>
        </w:rPr>
        <w:t xml:space="preserve"> (‘</w:t>
      </w:r>
      <w:r w:rsidR="00043C8E">
        <w:rPr>
          <w:iCs/>
        </w:rPr>
        <w:t>transiting aircraft crew member</w:t>
      </w:r>
      <w:r w:rsidR="00A3392E">
        <w:rPr>
          <w:iCs/>
        </w:rPr>
        <w:t>’)</w:t>
      </w:r>
      <w:r w:rsidR="00043C8E">
        <w:rPr>
          <w:iCs/>
        </w:rPr>
        <w:t>.</w:t>
      </w:r>
    </w:p>
    <w:p w14:paraId="3287BC90" w14:textId="77777777" w:rsidR="003309BD" w:rsidRDefault="003309BD" w:rsidP="003309BD">
      <w:pPr>
        <w:pStyle w:val="Default"/>
        <w:contextualSpacing/>
        <w:rPr>
          <w:iCs/>
        </w:rPr>
      </w:pPr>
    </w:p>
    <w:p w14:paraId="15332357" w14:textId="101D3F03" w:rsidR="00043C8E" w:rsidRDefault="00043C8E" w:rsidP="003309BD">
      <w:pPr>
        <w:pStyle w:val="Default"/>
        <w:contextualSpacing/>
        <w:rPr>
          <w:iCs/>
        </w:rPr>
      </w:pPr>
      <w:r>
        <w:rPr>
          <w:iCs/>
        </w:rPr>
        <w:t xml:space="preserve">A transiting aircraft crew member </w:t>
      </w:r>
      <w:r w:rsidR="005049F1">
        <w:rPr>
          <w:iCs/>
        </w:rPr>
        <w:t>must be a person who:</w:t>
      </w:r>
    </w:p>
    <w:p w14:paraId="5072EB44" w14:textId="5C9C2050" w:rsidR="005049F1" w:rsidRDefault="003309BD" w:rsidP="00043C8E">
      <w:pPr>
        <w:pStyle w:val="Default"/>
        <w:numPr>
          <w:ilvl w:val="0"/>
          <w:numId w:val="6"/>
        </w:numPr>
        <w:contextualSpacing/>
        <w:rPr>
          <w:iCs/>
        </w:rPr>
      </w:pPr>
      <w:r>
        <w:rPr>
          <w:iCs/>
        </w:rPr>
        <w:t xml:space="preserve">is employed or engaged by an international </w:t>
      </w:r>
      <w:r w:rsidR="00D31F8F">
        <w:rPr>
          <w:iCs/>
        </w:rPr>
        <w:t>air carrier</w:t>
      </w:r>
      <w:r w:rsidR="005049F1">
        <w:rPr>
          <w:iCs/>
        </w:rPr>
        <w:t xml:space="preserve"> as an aircrew member; and</w:t>
      </w:r>
    </w:p>
    <w:p w14:paraId="383FD5B4" w14:textId="2F63FF06" w:rsidR="005049F1" w:rsidRDefault="003309BD" w:rsidP="00043C8E">
      <w:pPr>
        <w:pStyle w:val="Default"/>
        <w:numPr>
          <w:ilvl w:val="0"/>
          <w:numId w:val="6"/>
        </w:numPr>
        <w:contextualSpacing/>
        <w:rPr>
          <w:iCs/>
        </w:rPr>
      </w:pPr>
      <w:r>
        <w:rPr>
          <w:iCs/>
        </w:rPr>
        <w:t xml:space="preserve">enters into Australia in the course of their employment or engagement as a member of the crew of </w:t>
      </w:r>
      <w:r w:rsidR="00D31F8F">
        <w:rPr>
          <w:iCs/>
        </w:rPr>
        <w:t>an</w:t>
      </w:r>
      <w:r>
        <w:rPr>
          <w:iCs/>
        </w:rPr>
        <w:t xml:space="preserve"> </w:t>
      </w:r>
      <w:r w:rsidR="005049F1">
        <w:rPr>
          <w:iCs/>
        </w:rPr>
        <w:t>international passenger aircraft; and</w:t>
      </w:r>
    </w:p>
    <w:p w14:paraId="3E392823" w14:textId="1B032C30" w:rsidR="005049F1" w:rsidRDefault="00C07AB9" w:rsidP="00043C8E">
      <w:pPr>
        <w:pStyle w:val="Default"/>
        <w:numPr>
          <w:ilvl w:val="0"/>
          <w:numId w:val="6"/>
        </w:numPr>
        <w:contextualSpacing/>
        <w:rPr>
          <w:iCs/>
        </w:rPr>
      </w:pPr>
      <w:r>
        <w:rPr>
          <w:iCs/>
        </w:rPr>
        <w:t>is</w:t>
      </w:r>
      <w:r w:rsidR="003309BD">
        <w:rPr>
          <w:iCs/>
        </w:rPr>
        <w:t xml:space="preserve"> scheduled to depart Australia as a member of the crew of </w:t>
      </w:r>
      <w:r w:rsidR="005049F1">
        <w:rPr>
          <w:iCs/>
        </w:rPr>
        <w:t>that</w:t>
      </w:r>
      <w:r w:rsidR="003309BD">
        <w:rPr>
          <w:iCs/>
        </w:rPr>
        <w:t xml:space="preserve"> aircraft within 90 minutes of the p</w:t>
      </w:r>
      <w:r w:rsidR="005049F1">
        <w:rPr>
          <w:iCs/>
        </w:rPr>
        <w:t xml:space="preserve">erson’s arrival into Australia; </w:t>
      </w:r>
      <w:r w:rsidR="003309BD">
        <w:rPr>
          <w:iCs/>
        </w:rPr>
        <w:t xml:space="preserve">and </w:t>
      </w:r>
    </w:p>
    <w:p w14:paraId="1C59B462" w14:textId="58E38816" w:rsidR="003309BD" w:rsidRDefault="00C07AB9" w:rsidP="00043C8E">
      <w:pPr>
        <w:pStyle w:val="Default"/>
        <w:numPr>
          <w:ilvl w:val="0"/>
          <w:numId w:val="6"/>
        </w:numPr>
        <w:contextualSpacing/>
        <w:rPr>
          <w:iCs/>
        </w:rPr>
      </w:pPr>
      <w:proofErr w:type="gramStart"/>
      <w:r>
        <w:rPr>
          <w:iCs/>
        </w:rPr>
        <w:t>does</w:t>
      </w:r>
      <w:proofErr w:type="gramEnd"/>
      <w:r>
        <w:rPr>
          <w:iCs/>
        </w:rPr>
        <w:t xml:space="preserve"> </w:t>
      </w:r>
      <w:r w:rsidR="003309BD">
        <w:rPr>
          <w:iCs/>
        </w:rPr>
        <w:t xml:space="preserve">not leave the airport transit lounge except to continue their journey. </w:t>
      </w:r>
    </w:p>
    <w:p w14:paraId="3869E5CC" w14:textId="77777777" w:rsidR="003309BD" w:rsidRDefault="003309BD" w:rsidP="003309BD">
      <w:pPr>
        <w:pStyle w:val="Default"/>
        <w:contextualSpacing/>
        <w:rPr>
          <w:iCs/>
        </w:rPr>
      </w:pPr>
    </w:p>
    <w:p w14:paraId="51A1A6EA" w14:textId="1967918F" w:rsidR="003309BD" w:rsidRDefault="00A20580" w:rsidP="003309BD">
      <w:pPr>
        <w:pStyle w:val="Default"/>
        <w:contextualSpacing/>
        <w:rPr>
          <w:iCs/>
        </w:rPr>
      </w:pPr>
      <w:r>
        <w:rPr>
          <w:iCs/>
        </w:rPr>
        <w:lastRenderedPageBreak/>
        <w:t xml:space="preserve">The </w:t>
      </w:r>
      <w:r w:rsidR="000F6579">
        <w:rPr>
          <w:iCs/>
        </w:rPr>
        <w:t>amendment</w:t>
      </w:r>
      <w:r>
        <w:rPr>
          <w:iCs/>
        </w:rPr>
        <w:t xml:space="preserve"> would </w:t>
      </w:r>
      <w:r w:rsidR="000F6579">
        <w:rPr>
          <w:iCs/>
        </w:rPr>
        <w:t xml:space="preserve">have the effect of </w:t>
      </w:r>
      <w:r>
        <w:rPr>
          <w:iCs/>
        </w:rPr>
        <w:t>allow</w:t>
      </w:r>
      <w:r w:rsidR="000F6579">
        <w:rPr>
          <w:iCs/>
        </w:rPr>
        <w:t>ing</w:t>
      </w:r>
      <w:r>
        <w:rPr>
          <w:iCs/>
        </w:rPr>
        <w:t xml:space="preserve"> t</w:t>
      </w:r>
      <w:r w:rsidR="003309BD">
        <w:rPr>
          <w:iCs/>
        </w:rPr>
        <w:t xml:space="preserve">ransiting aircraft crew </w:t>
      </w:r>
      <w:r>
        <w:rPr>
          <w:iCs/>
        </w:rPr>
        <w:t>to</w:t>
      </w:r>
      <w:r w:rsidR="003309BD">
        <w:rPr>
          <w:iCs/>
        </w:rPr>
        <w:t xml:space="preserve"> disembark the aircraft upon arrival into Australia</w:t>
      </w:r>
      <w:r w:rsidR="000F6579">
        <w:rPr>
          <w:iCs/>
        </w:rPr>
        <w:t>, without leaving</w:t>
      </w:r>
      <w:r w:rsidR="003309BD">
        <w:rPr>
          <w:iCs/>
        </w:rPr>
        <w:t xml:space="preserve"> the airport</w:t>
      </w:r>
      <w:r w:rsidR="00644B5F">
        <w:rPr>
          <w:iCs/>
        </w:rPr>
        <w:t xml:space="preserve"> transit lounge</w:t>
      </w:r>
      <w:r w:rsidR="00DE4EAA">
        <w:rPr>
          <w:iCs/>
        </w:rPr>
        <w:t xml:space="preserve"> (that is, </w:t>
      </w:r>
      <w:r w:rsidR="003309BD" w:rsidRPr="00DE4EAA">
        <w:rPr>
          <w:iCs/>
        </w:rPr>
        <w:t xml:space="preserve">they are able to </w:t>
      </w:r>
      <w:r w:rsidR="00DE4EAA" w:rsidRPr="00DE4EAA">
        <w:rPr>
          <w:iCs/>
        </w:rPr>
        <w:t>remain</w:t>
      </w:r>
      <w:r w:rsidR="003309BD" w:rsidRPr="00DE4EAA">
        <w:rPr>
          <w:iCs/>
        </w:rPr>
        <w:t xml:space="preserve"> within the departures </w:t>
      </w:r>
      <w:r w:rsidRPr="00DE4EAA">
        <w:rPr>
          <w:iCs/>
        </w:rPr>
        <w:t xml:space="preserve">waiting </w:t>
      </w:r>
      <w:r w:rsidR="003309BD" w:rsidRPr="00DE4EAA">
        <w:rPr>
          <w:iCs/>
        </w:rPr>
        <w:t>area of t</w:t>
      </w:r>
      <w:r w:rsidR="000F6579" w:rsidRPr="00DE4EAA">
        <w:rPr>
          <w:iCs/>
        </w:rPr>
        <w:t>he airport</w:t>
      </w:r>
      <w:r w:rsidR="00DE4EAA" w:rsidRPr="00DE4EAA">
        <w:rPr>
          <w:iCs/>
        </w:rPr>
        <w:t>,</w:t>
      </w:r>
      <w:r w:rsidR="000F6579" w:rsidRPr="00DE4EAA">
        <w:rPr>
          <w:iCs/>
        </w:rPr>
        <w:t xml:space="preserve"> past security </w:t>
      </w:r>
      <w:r w:rsidR="00383A30">
        <w:rPr>
          <w:iCs/>
        </w:rPr>
        <w:t xml:space="preserve">screening </w:t>
      </w:r>
      <w:r w:rsidR="000F6579" w:rsidRPr="00DE4EAA">
        <w:rPr>
          <w:iCs/>
        </w:rPr>
        <w:t>check</w:t>
      </w:r>
      <w:r w:rsidR="00DE4EAA" w:rsidRPr="00DE4EAA">
        <w:rPr>
          <w:iCs/>
        </w:rPr>
        <w:t xml:space="preserve"> points)</w:t>
      </w:r>
      <w:r w:rsidR="000F6579" w:rsidRPr="00DE4EAA">
        <w:rPr>
          <w:iCs/>
        </w:rPr>
        <w:t>.</w:t>
      </w:r>
    </w:p>
    <w:p w14:paraId="418D36C0" w14:textId="77777777" w:rsidR="003309BD" w:rsidRDefault="003309BD" w:rsidP="003309BD">
      <w:pPr>
        <w:pStyle w:val="Default"/>
        <w:contextualSpacing/>
        <w:rPr>
          <w:iCs/>
        </w:rPr>
      </w:pPr>
    </w:p>
    <w:p w14:paraId="617A3220" w14:textId="77777777" w:rsidR="003309BD" w:rsidRDefault="003309BD" w:rsidP="00E456FB">
      <w:pPr>
        <w:pStyle w:val="Default"/>
        <w:spacing w:after="120"/>
        <w:rPr>
          <w:b/>
          <w:iCs/>
        </w:rPr>
      </w:pPr>
      <w:r>
        <w:rPr>
          <w:b/>
          <w:iCs/>
        </w:rPr>
        <w:t>Item [2]</w:t>
      </w:r>
      <w:r w:rsidRPr="00E456FB">
        <w:rPr>
          <w:b/>
          <w:iCs/>
        </w:rPr>
        <w:t xml:space="preserve"> – </w:t>
      </w:r>
      <w:r>
        <w:rPr>
          <w:b/>
          <w:iCs/>
        </w:rPr>
        <w:t>In the appropriate position in Schedule 13</w:t>
      </w:r>
    </w:p>
    <w:p w14:paraId="27E1CF51" w14:textId="3CDD2F0A" w:rsidR="003309BD" w:rsidRDefault="003309BD" w:rsidP="003309BD">
      <w:pPr>
        <w:pStyle w:val="Default"/>
        <w:contextualSpacing/>
        <w:rPr>
          <w:iCs/>
        </w:rPr>
      </w:pPr>
      <w:r>
        <w:rPr>
          <w:iCs/>
        </w:rPr>
        <w:t xml:space="preserve">Item 2 </w:t>
      </w:r>
      <w:r w:rsidR="00644B5F">
        <w:rPr>
          <w:iCs/>
        </w:rPr>
        <w:t xml:space="preserve">inserts </w:t>
      </w:r>
      <w:r>
        <w:rPr>
          <w:iCs/>
        </w:rPr>
        <w:t>a</w:t>
      </w:r>
      <w:r w:rsidRPr="00630907">
        <w:rPr>
          <w:iCs/>
        </w:rPr>
        <w:t xml:space="preserve"> new Part </w:t>
      </w:r>
      <w:r w:rsidR="00630907" w:rsidRPr="00630907">
        <w:rPr>
          <w:iCs/>
        </w:rPr>
        <w:t>133</w:t>
      </w:r>
      <w:r w:rsidRPr="00630907">
        <w:rPr>
          <w:iCs/>
        </w:rPr>
        <w:t xml:space="preserve"> </w:t>
      </w:r>
      <w:r w:rsidR="008B4B27">
        <w:rPr>
          <w:iCs/>
        </w:rPr>
        <w:t>in</w:t>
      </w:r>
      <w:r>
        <w:rPr>
          <w:iCs/>
        </w:rPr>
        <w:t xml:space="preserve"> Schedule 13 to the Migration Regulations</w:t>
      </w:r>
      <w:r w:rsidR="008B4B27">
        <w:rPr>
          <w:iCs/>
        </w:rPr>
        <w:t>. Part 133</w:t>
      </w:r>
      <w:r>
        <w:rPr>
          <w:iCs/>
        </w:rPr>
        <w:t xml:space="preserve"> </w:t>
      </w:r>
      <w:r w:rsidR="00644B5F">
        <w:rPr>
          <w:iCs/>
        </w:rPr>
        <w:t>provid</w:t>
      </w:r>
      <w:r w:rsidR="008B4B27">
        <w:rPr>
          <w:iCs/>
        </w:rPr>
        <w:t>es</w:t>
      </w:r>
      <w:r w:rsidR="00644B5F">
        <w:rPr>
          <w:iCs/>
        </w:rPr>
        <w:t xml:space="preserve"> </w:t>
      </w:r>
      <w:r>
        <w:rPr>
          <w:iCs/>
        </w:rPr>
        <w:t xml:space="preserve">for the operation of amendments made by this instrument. </w:t>
      </w:r>
    </w:p>
    <w:p w14:paraId="1CDB1A2A" w14:textId="77777777" w:rsidR="003309BD" w:rsidRDefault="003309BD" w:rsidP="003309BD">
      <w:pPr>
        <w:pStyle w:val="Default"/>
        <w:contextualSpacing/>
        <w:rPr>
          <w:iCs/>
        </w:rPr>
      </w:pPr>
    </w:p>
    <w:p w14:paraId="7EA24179" w14:textId="674C1B64" w:rsidR="00915032" w:rsidRPr="00D63B86" w:rsidRDefault="003309BD" w:rsidP="00DE4EAA">
      <w:pPr>
        <w:pStyle w:val="Default"/>
        <w:contextualSpacing/>
      </w:pPr>
      <w:r>
        <w:rPr>
          <w:iCs/>
        </w:rPr>
        <w:t xml:space="preserve">New </w:t>
      </w:r>
      <w:r w:rsidRPr="00630907">
        <w:rPr>
          <w:iCs/>
        </w:rPr>
        <w:t xml:space="preserve">clause </w:t>
      </w:r>
      <w:r w:rsidR="00630907" w:rsidRPr="00630907">
        <w:rPr>
          <w:iCs/>
        </w:rPr>
        <w:t>13301</w:t>
      </w:r>
      <w:r w:rsidRPr="00630907">
        <w:rPr>
          <w:iCs/>
        </w:rPr>
        <w:t xml:space="preserve"> of </w:t>
      </w:r>
      <w:r w:rsidR="008B4B27">
        <w:rPr>
          <w:iCs/>
        </w:rPr>
        <w:t xml:space="preserve">Part 133 of </w:t>
      </w:r>
      <w:r w:rsidRPr="00630907">
        <w:rPr>
          <w:iCs/>
        </w:rPr>
        <w:t>Schedule</w:t>
      </w:r>
      <w:r>
        <w:rPr>
          <w:b/>
          <w:iCs/>
        </w:rPr>
        <w:t xml:space="preserve"> </w:t>
      </w:r>
      <w:r>
        <w:rPr>
          <w:iCs/>
        </w:rPr>
        <w:t xml:space="preserve">13 to the Migration Regulations provides that the amendments </w:t>
      </w:r>
      <w:r w:rsidRPr="009D76F6">
        <w:rPr>
          <w:iCs/>
        </w:rPr>
        <w:t>made</w:t>
      </w:r>
      <w:r>
        <w:rPr>
          <w:iCs/>
        </w:rPr>
        <w:t xml:space="preserve"> by Schedule 1 to the </w:t>
      </w:r>
      <w:r w:rsidR="008B4B27">
        <w:rPr>
          <w:iCs/>
        </w:rPr>
        <w:t>amending Regulations apply</w:t>
      </w:r>
      <w:r>
        <w:rPr>
          <w:iCs/>
        </w:rPr>
        <w:t xml:space="preserve"> in relation to a person who departs Australia on or after the commencement of that Schedule, regardless of when the person enters Australia</w:t>
      </w:r>
      <w:r w:rsidR="00DE4EAA">
        <w:rPr>
          <w:iCs/>
        </w:rPr>
        <w:t xml:space="preserve">. </w:t>
      </w:r>
      <w:r w:rsidR="00EE21EF">
        <w:rPr>
          <w:iCs/>
        </w:rPr>
        <w:t>In other words, the</w:t>
      </w:r>
      <w:r>
        <w:rPr>
          <w:iCs/>
        </w:rPr>
        <w:t xml:space="preserve"> </w:t>
      </w:r>
      <w:r w:rsidR="00EE21EF">
        <w:rPr>
          <w:iCs/>
        </w:rPr>
        <w:t>instrument</w:t>
      </w:r>
      <w:r>
        <w:rPr>
          <w:iCs/>
        </w:rPr>
        <w:t xml:space="preserve"> would not apply to transiting aircraft crew who arrived into Australia before the commencement of this </w:t>
      </w:r>
      <w:r w:rsidR="00EE21EF">
        <w:rPr>
          <w:iCs/>
        </w:rPr>
        <w:t>instrument</w:t>
      </w:r>
      <w:r>
        <w:rPr>
          <w:iCs/>
        </w:rPr>
        <w:t xml:space="preserve">. </w:t>
      </w:r>
    </w:p>
    <w:sectPr w:rsidR="00915032" w:rsidRPr="00D63B86" w:rsidSect="004F5CE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5F46" w14:textId="77777777" w:rsidR="002C5B79" w:rsidRDefault="002C5B79" w:rsidP="002C5B79">
      <w:pPr>
        <w:spacing w:after="0" w:line="240" w:lineRule="auto"/>
      </w:pPr>
      <w:r>
        <w:separator/>
      </w:r>
    </w:p>
  </w:endnote>
  <w:endnote w:type="continuationSeparator" w:id="0">
    <w:p w14:paraId="6D7B4102" w14:textId="77777777" w:rsidR="002C5B79" w:rsidRDefault="002C5B79" w:rsidP="002C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3465" w14:textId="77777777" w:rsidR="002C5B79" w:rsidRDefault="002C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A7B8" w14:textId="77777777" w:rsidR="002C5B79" w:rsidRDefault="002C5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53FE" w14:textId="77777777" w:rsidR="002C5B79" w:rsidRDefault="002C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576B0" w14:textId="77777777" w:rsidR="002C5B79" w:rsidRDefault="002C5B79" w:rsidP="002C5B79">
      <w:pPr>
        <w:spacing w:after="0" w:line="240" w:lineRule="auto"/>
      </w:pPr>
      <w:r>
        <w:separator/>
      </w:r>
    </w:p>
  </w:footnote>
  <w:footnote w:type="continuationSeparator" w:id="0">
    <w:p w14:paraId="21731E57" w14:textId="77777777" w:rsidR="002C5B79" w:rsidRDefault="002C5B79" w:rsidP="002C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2A85" w14:textId="77777777" w:rsidR="002C5B79" w:rsidRDefault="002C5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988A" w14:textId="77777777" w:rsidR="002C5B79" w:rsidRDefault="002C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5BBC" w14:textId="77777777" w:rsidR="002C5B79" w:rsidRDefault="002C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9B655E"/>
    <w:multiLevelType w:val="hybridMultilevel"/>
    <w:tmpl w:val="017E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DE472F"/>
    <w:multiLevelType w:val="hybridMultilevel"/>
    <w:tmpl w:val="45203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7B5E"/>
    <w:rsid w:val="00025225"/>
    <w:rsid w:val="00043C8E"/>
    <w:rsid w:val="000770BE"/>
    <w:rsid w:val="000D014F"/>
    <w:rsid w:val="000D07A9"/>
    <w:rsid w:val="000F6579"/>
    <w:rsid w:val="00100DFC"/>
    <w:rsid w:val="001179EE"/>
    <w:rsid w:val="00161994"/>
    <w:rsid w:val="0019164E"/>
    <w:rsid w:val="00192E4F"/>
    <w:rsid w:val="00204D37"/>
    <w:rsid w:val="002402E0"/>
    <w:rsid w:val="002672E0"/>
    <w:rsid w:val="00272370"/>
    <w:rsid w:val="002C5B79"/>
    <w:rsid w:val="002D167E"/>
    <w:rsid w:val="003309BD"/>
    <w:rsid w:val="00343BB0"/>
    <w:rsid w:val="00354B65"/>
    <w:rsid w:val="00364582"/>
    <w:rsid w:val="0037085B"/>
    <w:rsid w:val="00383A30"/>
    <w:rsid w:val="003E70D1"/>
    <w:rsid w:val="00400F6A"/>
    <w:rsid w:val="00457D4A"/>
    <w:rsid w:val="00461BF4"/>
    <w:rsid w:val="00464080"/>
    <w:rsid w:val="004A50CB"/>
    <w:rsid w:val="004C2200"/>
    <w:rsid w:val="004F2A10"/>
    <w:rsid w:val="004F5CE4"/>
    <w:rsid w:val="005049F1"/>
    <w:rsid w:val="00560B24"/>
    <w:rsid w:val="0057002B"/>
    <w:rsid w:val="00577338"/>
    <w:rsid w:val="00591C1D"/>
    <w:rsid w:val="005A3733"/>
    <w:rsid w:val="00604E06"/>
    <w:rsid w:val="00626466"/>
    <w:rsid w:val="00630907"/>
    <w:rsid w:val="00644B5F"/>
    <w:rsid w:val="006A77D1"/>
    <w:rsid w:val="00741360"/>
    <w:rsid w:val="0074346F"/>
    <w:rsid w:val="00753B8C"/>
    <w:rsid w:val="007E4691"/>
    <w:rsid w:val="00800BBB"/>
    <w:rsid w:val="00813B74"/>
    <w:rsid w:val="00857C84"/>
    <w:rsid w:val="0087652E"/>
    <w:rsid w:val="0088407D"/>
    <w:rsid w:val="008B24C8"/>
    <w:rsid w:val="008B4B27"/>
    <w:rsid w:val="008C0F35"/>
    <w:rsid w:val="00915032"/>
    <w:rsid w:val="009226D3"/>
    <w:rsid w:val="0094625A"/>
    <w:rsid w:val="00966754"/>
    <w:rsid w:val="009862BA"/>
    <w:rsid w:val="009938EA"/>
    <w:rsid w:val="00A20580"/>
    <w:rsid w:val="00A3392E"/>
    <w:rsid w:val="00A34323"/>
    <w:rsid w:val="00A47C79"/>
    <w:rsid w:val="00A6339A"/>
    <w:rsid w:val="00AA4557"/>
    <w:rsid w:val="00AA4F77"/>
    <w:rsid w:val="00B445D9"/>
    <w:rsid w:val="00B65A06"/>
    <w:rsid w:val="00B66F73"/>
    <w:rsid w:val="00B75478"/>
    <w:rsid w:val="00BB0CF2"/>
    <w:rsid w:val="00BD3627"/>
    <w:rsid w:val="00BD598E"/>
    <w:rsid w:val="00BE3E7F"/>
    <w:rsid w:val="00C07AB9"/>
    <w:rsid w:val="00C20278"/>
    <w:rsid w:val="00C41C8A"/>
    <w:rsid w:val="00C74BF5"/>
    <w:rsid w:val="00C81A5E"/>
    <w:rsid w:val="00C930F2"/>
    <w:rsid w:val="00CC6361"/>
    <w:rsid w:val="00CF07DC"/>
    <w:rsid w:val="00CF5CDB"/>
    <w:rsid w:val="00D31F8F"/>
    <w:rsid w:val="00D40E1E"/>
    <w:rsid w:val="00D52DBE"/>
    <w:rsid w:val="00D63B86"/>
    <w:rsid w:val="00DA3389"/>
    <w:rsid w:val="00DE4EAA"/>
    <w:rsid w:val="00E03DCC"/>
    <w:rsid w:val="00E14D82"/>
    <w:rsid w:val="00E27CBB"/>
    <w:rsid w:val="00E456FB"/>
    <w:rsid w:val="00E45FE2"/>
    <w:rsid w:val="00E92CA8"/>
    <w:rsid w:val="00EA12C9"/>
    <w:rsid w:val="00EE21EF"/>
    <w:rsid w:val="00F02300"/>
    <w:rsid w:val="00F06470"/>
    <w:rsid w:val="00F3184C"/>
    <w:rsid w:val="00F56406"/>
    <w:rsid w:val="00F96C43"/>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3B74"/>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813B74"/>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Hyperlink">
    <w:name w:val="Hyperlink"/>
    <w:basedOn w:val="DefaultParagraphFont"/>
    <w:uiPriority w:val="99"/>
    <w:unhideWhenUsed/>
    <w:rsid w:val="00F06470"/>
    <w:rPr>
      <w:color w:val="0563C1" w:themeColor="hyperlink"/>
      <w:u w:val="single"/>
    </w:rPr>
  </w:style>
  <w:style w:type="paragraph" w:customStyle="1" w:styleId="Default">
    <w:name w:val="Default"/>
    <w:rsid w:val="003309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4D82"/>
    <w:rPr>
      <w:sz w:val="16"/>
      <w:szCs w:val="16"/>
    </w:rPr>
  </w:style>
  <w:style w:type="paragraph" w:styleId="CommentText">
    <w:name w:val="annotation text"/>
    <w:basedOn w:val="Normal"/>
    <w:link w:val="CommentTextChar"/>
    <w:uiPriority w:val="99"/>
    <w:semiHidden/>
    <w:unhideWhenUsed/>
    <w:rsid w:val="00E14D82"/>
    <w:pPr>
      <w:spacing w:line="240" w:lineRule="auto"/>
    </w:pPr>
    <w:rPr>
      <w:sz w:val="20"/>
      <w:szCs w:val="20"/>
    </w:rPr>
  </w:style>
  <w:style w:type="character" w:customStyle="1" w:styleId="CommentTextChar">
    <w:name w:val="Comment Text Char"/>
    <w:basedOn w:val="DefaultParagraphFont"/>
    <w:link w:val="CommentText"/>
    <w:uiPriority w:val="99"/>
    <w:semiHidden/>
    <w:rsid w:val="00E14D82"/>
    <w:rPr>
      <w:sz w:val="20"/>
      <w:szCs w:val="20"/>
    </w:rPr>
  </w:style>
  <w:style w:type="paragraph" w:styleId="CommentSubject">
    <w:name w:val="annotation subject"/>
    <w:basedOn w:val="CommentText"/>
    <w:next w:val="CommentText"/>
    <w:link w:val="CommentSubjectChar"/>
    <w:uiPriority w:val="99"/>
    <w:semiHidden/>
    <w:unhideWhenUsed/>
    <w:rsid w:val="00E14D82"/>
    <w:rPr>
      <w:b/>
      <w:bCs/>
    </w:rPr>
  </w:style>
  <w:style w:type="character" w:customStyle="1" w:styleId="CommentSubjectChar">
    <w:name w:val="Comment Subject Char"/>
    <w:basedOn w:val="CommentTextChar"/>
    <w:link w:val="CommentSubject"/>
    <w:uiPriority w:val="99"/>
    <w:semiHidden/>
    <w:rsid w:val="00E14D82"/>
    <w:rPr>
      <w:b/>
      <w:bCs/>
      <w:sz w:val="20"/>
      <w:szCs w:val="20"/>
    </w:rPr>
  </w:style>
  <w:style w:type="paragraph" w:styleId="BalloonText">
    <w:name w:val="Balloon Text"/>
    <w:basedOn w:val="Normal"/>
    <w:link w:val="BalloonTextChar"/>
    <w:uiPriority w:val="99"/>
    <w:semiHidden/>
    <w:unhideWhenUsed/>
    <w:rsid w:val="00E14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82"/>
    <w:rPr>
      <w:rFonts w:ascii="Segoe UI" w:hAnsi="Segoe UI" w:cs="Segoe UI"/>
      <w:sz w:val="18"/>
      <w:szCs w:val="18"/>
    </w:rPr>
  </w:style>
  <w:style w:type="character" w:customStyle="1" w:styleId="Heading2Char">
    <w:name w:val="Heading 2 Char"/>
    <w:basedOn w:val="DefaultParagraphFont"/>
    <w:link w:val="Heading2"/>
    <w:uiPriority w:val="9"/>
    <w:rsid w:val="00813B74"/>
    <w:rPr>
      <w:rFonts w:ascii="Times New Roman" w:hAnsi="Times New Roman"/>
      <w:b/>
      <w:sz w:val="28"/>
      <w:szCs w:val="28"/>
    </w:rPr>
  </w:style>
  <w:style w:type="character" w:customStyle="1" w:styleId="Heading3Char">
    <w:name w:val="Heading 3 Char"/>
    <w:basedOn w:val="DefaultParagraphFont"/>
    <w:link w:val="Heading3"/>
    <w:uiPriority w:val="9"/>
    <w:rsid w:val="00813B74"/>
    <w:rPr>
      <w:rFonts w:ascii="Times New Roman" w:hAnsi="Times New Roman"/>
      <w:b/>
      <w:sz w:val="24"/>
      <w:szCs w:val="24"/>
    </w:rPr>
  </w:style>
  <w:style w:type="paragraph" w:styleId="Header">
    <w:name w:val="header"/>
    <w:basedOn w:val="Normal"/>
    <w:link w:val="HeaderChar"/>
    <w:uiPriority w:val="99"/>
    <w:unhideWhenUsed/>
    <w:rsid w:val="00813B7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13B74"/>
    <w:rPr>
      <w:rFonts w:ascii="Calibri" w:eastAsia="Calibri" w:hAnsi="Calibri" w:cs="Times New Roman"/>
    </w:rPr>
  </w:style>
  <w:style w:type="paragraph" w:styleId="NoSpacing">
    <w:name w:val="No Spacing"/>
    <w:uiPriority w:val="1"/>
    <w:qFormat/>
    <w:rsid w:val="00813B74"/>
    <w:pPr>
      <w:spacing w:after="0" w:line="240" w:lineRule="auto"/>
    </w:pPr>
  </w:style>
  <w:style w:type="paragraph" w:styleId="Footer">
    <w:name w:val="footer"/>
    <w:basedOn w:val="Normal"/>
    <w:link w:val="FooterChar"/>
    <w:uiPriority w:val="99"/>
    <w:unhideWhenUsed/>
    <w:rsid w:val="002C5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A66020D72DC647889A56508597EC03" ma:contentTypeVersion="" ma:contentTypeDescription="PDMS Document Site Content Type" ma:contentTypeScope="" ma:versionID="ace5e5791161175e331b3ad3d61dd8a9">
  <xsd:schema xmlns:xsd="http://www.w3.org/2001/XMLSchema" xmlns:xs="http://www.w3.org/2001/XMLSchema" xmlns:p="http://schemas.microsoft.com/office/2006/metadata/properties" xmlns:ns2="0F2ADB11-C10B-46D7-A894-B0732A0378C7" targetNamespace="http://schemas.microsoft.com/office/2006/metadata/properties" ma:root="true" ma:fieldsID="98b5b38d42a9b13e9fabfbe0429ac797" ns2:_="">
    <xsd:import namespace="0F2ADB11-C10B-46D7-A894-B0732A0378C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ADB11-C10B-46D7-A894-B0732A0378C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F2ADB11-C10B-46D7-A894-B0732A0378C7" xsi:nil="true"/>
  </documentManagement>
</p:properties>
</file>

<file path=customXml/itemProps1.xml><?xml version="1.0" encoding="utf-8"?>
<ds:datastoreItem xmlns:ds="http://schemas.openxmlformats.org/officeDocument/2006/customXml" ds:itemID="{A6130620-5104-4FEA-867C-3222A469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ADB11-C10B-46D7-A894-B0732A037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2010-B93D-4169-8D80-A51D2B72DCED}">
  <ds:schemaRefs>
    <ds:schemaRef ds:uri="http://schemas.microsoft.com/sharepoint/v3/contenttype/forms"/>
  </ds:schemaRefs>
</ds:datastoreItem>
</file>

<file path=customXml/itemProps3.xml><?xml version="1.0" encoding="utf-8"?>
<ds:datastoreItem xmlns:ds="http://schemas.openxmlformats.org/officeDocument/2006/customXml" ds:itemID="{7304BEB1-6D74-4603-B227-AA7C6F1F1B4A}">
  <ds:schemaRefs>
    <ds:schemaRef ds:uri="http://schemas.microsoft.com/office/2006/metadata/properties"/>
    <ds:schemaRef ds:uri="http://schemas.microsoft.com/office/infopath/2007/PartnerControls"/>
    <ds:schemaRef ds:uri="0F2ADB11-C10B-46D7-A894-B0732A0378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2024-06-17T00:05:00Z</dcterms:created>
  <dcterms:modified xsi:type="dcterms:W3CDTF">2024-08-07T03:49:00Z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0x010100266966F133664895A6EE3632470D45F50071A66020D72DC647889A56508597EC03</vt:lpwstr>
  </property>
</Properties>
</file>