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E401" w14:textId="77777777" w:rsidR="00715914" w:rsidRPr="000A74B3" w:rsidRDefault="00DA186E" w:rsidP="00B05CF4">
      <w:pPr>
        <w:rPr>
          <w:sz w:val="28"/>
        </w:rPr>
      </w:pPr>
      <w:r w:rsidRPr="000A74B3">
        <w:rPr>
          <w:noProof/>
          <w:lang w:eastAsia="en-AU"/>
        </w:rPr>
        <w:drawing>
          <wp:inline distT="0" distB="0" distL="0" distR="0" wp14:anchorId="4451F9BE" wp14:editId="1107C2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1E150" w14:textId="77777777" w:rsidR="00715914" w:rsidRPr="000A74B3" w:rsidRDefault="00715914" w:rsidP="00715914">
      <w:pPr>
        <w:rPr>
          <w:sz w:val="19"/>
        </w:rPr>
      </w:pPr>
    </w:p>
    <w:p w14:paraId="62FDAA14" w14:textId="77777777" w:rsidR="00715914" w:rsidRPr="000A74B3" w:rsidRDefault="00CD29E5" w:rsidP="00715914">
      <w:pPr>
        <w:pStyle w:val="ShortT"/>
      </w:pPr>
      <w:r w:rsidRPr="000A74B3">
        <w:t>Primary Industries Research and Development Regulations 202</w:t>
      </w:r>
      <w:r w:rsidR="004242B9" w:rsidRPr="000A74B3">
        <w:t>4</w:t>
      </w:r>
    </w:p>
    <w:p w14:paraId="3872B04F" w14:textId="77777777" w:rsidR="006D1EE2" w:rsidRPr="000A74B3" w:rsidRDefault="006D1EE2" w:rsidP="006D1EE2">
      <w:pPr>
        <w:pStyle w:val="SignCoverPageStart"/>
        <w:spacing w:before="240"/>
        <w:rPr>
          <w:szCs w:val="22"/>
        </w:rPr>
      </w:pPr>
      <w:r w:rsidRPr="000A74B3">
        <w:rPr>
          <w:szCs w:val="22"/>
        </w:rPr>
        <w:t>I, the Honourable Sam Mostyn AC, Governor</w:t>
      </w:r>
      <w:r w:rsidR="000A74B3">
        <w:rPr>
          <w:szCs w:val="22"/>
        </w:rPr>
        <w:noBreakHyphen/>
      </w:r>
      <w:r w:rsidRPr="000A74B3">
        <w:rPr>
          <w:szCs w:val="22"/>
        </w:rPr>
        <w:t>General of the Commonwealth of Australia, acting with the advice of the Federal Executive Council, make the following regulations.</w:t>
      </w:r>
    </w:p>
    <w:p w14:paraId="22E2A7E2" w14:textId="7F65E4BB" w:rsidR="006D1EE2" w:rsidRPr="000A74B3" w:rsidRDefault="006D1EE2" w:rsidP="006D1EE2">
      <w:pPr>
        <w:keepNext/>
        <w:spacing w:before="720" w:line="240" w:lineRule="atLeast"/>
        <w:ind w:right="397"/>
        <w:jc w:val="both"/>
        <w:rPr>
          <w:szCs w:val="22"/>
        </w:rPr>
      </w:pPr>
      <w:r w:rsidRPr="000A74B3">
        <w:rPr>
          <w:szCs w:val="22"/>
        </w:rPr>
        <w:t xml:space="preserve">Dated </w:t>
      </w:r>
      <w:r w:rsidRPr="000A74B3">
        <w:rPr>
          <w:szCs w:val="22"/>
        </w:rPr>
        <w:tab/>
      </w:r>
      <w:r w:rsidRPr="000A74B3">
        <w:rPr>
          <w:szCs w:val="22"/>
        </w:rPr>
        <w:tab/>
      </w:r>
      <w:r w:rsidRPr="000A74B3">
        <w:rPr>
          <w:szCs w:val="22"/>
        </w:rPr>
        <w:tab/>
      </w:r>
      <w:r w:rsidR="000D5F3F">
        <w:rPr>
          <w:szCs w:val="22"/>
        </w:rPr>
        <w:t xml:space="preserve">10 October </w:t>
      </w:r>
      <w:r w:rsidRPr="000A74B3">
        <w:rPr>
          <w:szCs w:val="22"/>
        </w:rPr>
        <w:fldChar w:fldCharType="begin"/>
      </w:r>
      <w:r w:rsidRPr="000A74B3">
        <w:rPr>
          <w:szCs w:val="22"/>
        </w:rPr>
        <w:instrText xml:space="preserve"> DOCPROPERTY  DateMade </w:instrText>
      </w:r>
      <w:r w:rsidRPr="000A74B3">
        <w:rPr>
          <w:szCs w:val="22"/>
        </w:rPr>
        <w:fldChar w:fldCharType="separate"/>
      </w:r>
      <w:r w:rsidR="00864F41">
        <w:rPr>
          <w:szCs w:val="22"/>
        </w:rPr>
        <w:t>2024</w:t>
      </w:r>
      <w:r w:rsidRPr="000A74B3">
        <w:rPr>
          <w:szCs w:val="22"/>
        </w:rPr>
        <w:fldChar w:fldCharType="end"/>
      </w:r>
    </w:p>
    <w:p w14:paraId="6C4F5321" w14:textId="77777777" w:rsidR="006D1EE2" w:rsidRPr="000A74B3" w:rsidRDefault="006D1EE2" w:rsidP="006D1EE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A74B3">
        <w:rPr>
          <w:szCs w:val="22"/>
        </w:rPr>
        <w:t>Sam Mostyn</w:t>
      </w:r>
      <w:r w:rsidR="00B80FDE" w:rsidRPr="000A74B3">
        <w:rPr>
          <w:szCs w:val="22"/>
        </w:rPr>
        <w:t xml:space="preserve"> AC</w:t>
      </w:r>
    </w:p>
    <w:p w14:paraId="3A350483" w14:textId="77777777" w:rsidR="006D1EE2" w:rsidRPr="000A74B3" w:rsidRDefault="006D1EE2" w:rsidP="006D1EE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A74B3">
        <w:rPr>
          <w:szCs w:val="22"/>
        </w:rPr>
        <w:t>Governor</w:t>
      </w:r>
      <w:r w:rsidR="000A74B3">
        <w:rPr>
          <w:szCs w:val="22"/>
        </w:rPr>
        <w:noBreakHyphen/>
      </w:r>
      <w:r w:rsidRPr="000A74B3">
        <w:rPr>
          <w:szCs w:val="22"/>
        </w:rPr>
        <w:t>General</w:t>
      </w:r>
    </w:p>
    <w:p w14:paraId="1EFAE23E" w14:textId="77777777" w:rsidR="006D1EE2" w:rsidRPr="000A74B3" w:rsidRDefault="006D1EE2" w:rsidP="006D1EE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A74B3">
        <w:rPr>
          <w:szCs w:val="22"/>
        </w:rPr>
        <w:t>By Her Excellency’s Command</w:t>
      </w:r>
    </w:p>
    <w:p w14:paraId="19C63766" w14:textId="77777777" w:rsidR="00CD29E5" w:rsidRPr="000A74B3" w:rsidRDefault="00DC6A19" w:rsidP="00324F9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A74B3">
        <w:rPr>
          <w:szCs w:val="22"/>
        </w:rPr>
        <w:t>Julie Collins</w:t>
      </w:r>
    </w:p>
    <w:p w14:paraId="6447F37B" w14:textId="77777777" w:rsidR="00CD29E5" w:rsidRPr="000A74B3" w:rsidRDefault="00CD29E5" w:rsidP="00324F98">
      <w:pPr>
        <w:pStyle w:val="SignCoverPageEnd"/>
        <w:rPr>
          <w:szCs w:val="22"/>
        </w:rPr>
      </w:pPr>
      <w:r w:rsidRPr="000A74B3">
        <w:rPr>
          <w:szCs w:val="22"/>
        </w:rPr>
        <w:t>Minister for Agriculture, Fisheries and Forestry</w:t>
      </w:r>
    </w:p>
    <w:p w14:paraId="3754B510" w14:textId="77777777" w:rsidR="00CD29E5" w:rsidRPr="000A74B3" w:rsidRDefault="00CD29E5" w:rsidP="00324F98"/>
    <w:p w14:paraId="47B2F88F" w14:textId="77777777" w:rsidR="00CD29E5" w:rsidRPr="000A74B3" w:rsidRDefault="00CD29E5" w:rsidP="00324F98"/>
    <w:p w14:paraId="37F6664F" w14:textId="77777777" w:rsidR="00CD29E5" w:rsidRPr="000A74B3" w:rsidRDefault="00CD29E5" w:rsidP="00324F98"/>
    <w:p w14:paraId="02BFAECF" w14:textId="77777777" w:rsidR="00715914" w:rsidRPr="007F1039" w:rsidRDefault="00715914" w:rsidP="00715914">
      <w:pPr>
        <w:pStyle w:val="Header"/>
        <w:tabs>
          <w:tab w:val="clear" w:pos="4150"/>
          <w:tab w:val="clear" w:pos="8307"/>
        </w:tabs>
      </w:pPr>
      <w:r w:rsidRPr="007F1039">
        <w:rPr>
          <w:rStyle w:val="CharChapNo"/>
        </w:rPr>
        <w:t xml:space="preserve"> </w:t>
      </w:r>
      <w:r w:rsidRPr="007F1039">
        <w:rPr>
          <w:rStyle w:val="CharChapText"/>
        </w:rPr>
        <w:t xml:space="preserve"> </w:t>
      </w:r>
    </w:p>
    <w:p w14:paraId="0EA1E0F7" w14:textId="77777777" w:rsidR="00715914" w:rsidRPr="007F1039" w:rsidRDefault="00715914" w:rsidP="00715914">
      <w:pPr>
        <w:pStyle w:val="Header"/>
        <w:tabs>
          <w:tab w:val="clear" w:pos="4150"/>
          <w:tab w:val="clear" w:pos="8307"/>
        </w:tabs>
      </w:pPr>
      <w:r w:rsidRPr="007F1039">
        <w:rPr>
          <w:rStyle w:val="CharPartNo"/>
        </w:rPr>
        <w:t xml:space="preserve"> </w:t>
      </w:r>
      <w:r w:rsidRPr="007F1039">
        <w:rPr>
          <w:rStyle w:val="CharPartText"/>
        </w:rPr>
        <w:t xml:space="preserve"> </w:t>
      </w:r>
    </w:p>
    <w:p w14:paraId="73402C30" w14:textId="77777777" w:rsidR="00715914" w:rsidRPr="007F1039" w:rsidRDefault="00715914" w:rsidP="00715914">
      <w:pPr>
        <w:pStyle w:val="Header"/>
        <w:tabs>
          <w:tab w:val="clear" w:pos="4150"/>
          <w:tab w:val="clear" w:pos="8307"/>
        </w:tabs>
      </w:pPr>
      <w:r w:rsidRPr="007F1039">
        <w:rPr>
          <w:rStyle w:val="CharDivNo"/>
        </w:rPr>
        <w:t xml:space="preserve"> </w:t>
      </w:r>
      <w:r w:rsidRPr="007F1039">
        <w:rPr>
          <w:rStyle w:val="CharDivText"/>
        </w:rPr>
        <w:t xml:space="preserve"> </w:t>
      </w:r>
    </w:p>
    <w:p w14:paraId="7FEC10B7" w14:textId="77777777" w:rsidR="00715914" w:rsidRPr="000A74B3" w:rsidRDefault="00715914" w:rsidP="00715914">
      <w:pPr>
        <w:sectPr w:rsidR="00715914" w:rsidRPr="000A74B3" w:rsidSect="00720D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4A303F" w14:textId="77777777" w:rsidR="00F67BCA" w:rsidRPr="000A74B3" w:rsidRDefault="00715914" w:rsidP="00715914">
      <w:pPr>
        <w:outlineLvl w:val="0"/>
        <w:rPr>
          <w:sz w:val="36"/>
        </w:rPr>
      </w:pPr>
      <w:r w:rsidRPr="000A74B3">
        <w:rPr>
          <w:sz w:val="36"/>
        </w:rPr>
        <w:lastRenderedPageBreak/>
        <w:t>Contents</w:t>
      </w:r>
    </w:p>
    <w:p w14:paraId="1F29ACCB" w14:textId="050039A5" w:rsidR="00CC2862" w:rsidRPr="000A74B3" w:rsidRDefault="00CC286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74B3">
        <w:fldChar w:fldCharType="begin"/>
      </w:r>
      <w:r w:rsidRPr="000A74B3">
        <w:instrText xml:space="preserve"> TOC \o "1-9" </w:instrText>
      </w:r>
      <w:r w:rsidRPr="000A74B3">
        <w:fldChar w:fldCharType="separate"/>
      </w:r>
      <w:r w:rsidRPr="000A74B3">
        <w:rPr>
          <w:noProof/>
        </w:rPr>
        <w:t>Part 1—Preliminary</w:t>
      </w:r>
      <w:r w:rsidRPr="000A74B3">
        <w:rPr>
          <w:b w:val="0"/>
          <w:noProof/>
          <w:sz w:val="18"/>
        </w:rPr>
        <w:tab/>
      </w:r>
      <w:r w:rsidRPr="000A74B3">
        <w:rPr>
          <w:b w:val="0"/>
          <w:noProof/>
          <w:sz w:val="18"/>
        </w:rPr>
        <w:fldChar w:fldCharType="begin"/>
      </w:r>
      <w:r w:rsidRPr="000A74B3">
        <w:rPr>
          <w:b w:val="0"/>
          <w:noProof/>
          <w:sz w:val="18"/>
        </w:rPr>
        <w:instrText xml:space="preserve"> PAGEREF _Toc170984943 \h </w:instrText>
      </w:r>
      <w:r w:rsidRPr="000A74B3">
        <w:rPr>
          <w:b w:val="0"/>
          <w:noProof/>
          <w:sz w:val="18"/>
        </w:rPr>
      </w:r>
      <w:r w:rsidRPr="000A74B3">
        <w:rPr>
          <w:b w:val="0"/>
          <w:noProof/>
          <w:sz w:val="18"/>
        </w:rPr>
        <w:fldChar w:fldCharType="separate"/>
      </w:r>
      <w:r w:rsidR="00864F41">
        <w:rPr>
          <w:b w:val="0"/>
          <w:noProof/>
          <w:sz w:val="18"/>
        </w:rPr>
        <w:t>1</w:t>
      </w:r>
      <w:r w:rsidRPr="000A74B3">
        <w:rPr>
          <w:b w:val="0"/>
          <w:noProof/>
          <w:sz w:val="18"/>
        </w:rPr>
        <w:fldChar w:fldCharType="end"/>
      </w:r>
    </w:p>
    <w:p w14:paraId="1CD69B4D" w14:textId="26C5D648" w:rsidR="00CC2862" w:rsidRPr="000A74B3" w:rsidRDefault="00CC28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4B3">
        <w:rPr>
          <w:noProof/>
        </w:rPr>
        <w:t>1</w:t>
      </w:r>
      <w:r w:rsidRPr="000A74B3">
        <w:rPr>
          <w:noProof/>
        </w:rPr>
        <w:tab/>
        <w:t>Name</w:t>
      </w:r>
      <w:r w:rsidRPr="000A74B3">
        <w:rPr>
          <w:noProof/>
        </w:rPr>
        <w:tab/>
      </w:r>
      <w:r w:rsidRPr="000A74B3">
        <w:rPr>
          <w:noProof/>
        </w:rPr>
        <w:fldChar w:fldCharType="begin"/>
      </w:r>
      <w:r w:rsidRPr="000A74B3">
        <w:rPr>
          <w:noProof/>
        </w:rPr>
        <w:instrText xml:space="preserve"> PAGEREF _Toc170984944 \h </w:instrText>
      </w:r>
      <w:r w:rsidRPr="000A74B3">
        <w:rPr>
          <w:noProof/>
        </w:rPr>
      </w:r>
      <w:r w:rsidRPr="000A74B3">
        <w:rPr>
          <w:noProof/>
        </w:rPr>
        <w:fldChar w:fldCharType="separate"/>
      </w:r>
      <w:r w:rsidR="00864F41">
        <w:rPr>
          <w:noProof/>
        </w:rPr>
        <w:t>1</w:t>
      </w:r>
      <w:r w:rsidRPr="000A74B3">
        <w:rPr>
          <w:noProof/>
        </w:rPr>
        <w:fldChar w:fldCharType="end"/>
      </w:r>
    </w:p>
    <w:p w14:paraId="70108B3F" w14:textId="1E73CF24" w:rsidR="00CC2862" w:rsidRPr="000A74B3" w:rsidRDefault="00CC28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4B3">
        <w:rPr>
          <w:noProof/>
        </w:rPr>
        <w:t>2</w:t>
      </w:r>
      <w:r w:rsidRPr="000A74B3">
        <w:rPr>
          <w:noProof/>
        </w:rPr>
        <w:tab/>
        <w:t>Commencement</w:t>
      </w:r>
      <w:r w:rsidRPr="000A74B3">
        <w:rPr>
          <w:noProof/>
        </w:rPr>
        <w:tab/>
      </w:r>
      <w:r w:rsidRPr="000A74B3">
        <w:rPr>
          <w:noProof/>
        </w:rPr>
        <w:fldChar w:fldCharType="begin"/>
      </w:r>
      <w:r w:rsidRPr="000A74B3">
        <w:rPr>
          <w:noProof/>
        </w:rPr>
        <w:instrText xml:space="preserve"> PAGEREF _Toc170984945 \h </w:instrText>
      </w:r>
      <w:r w:rsidRPr="000A74B3">
        <w:rPr>
          <w:noProof/>
        </w:rPr>
      </w:r>
      <w:r w:rsidRPr="000A74B3">
        <w:rPr>
          <w:noProof/>
        </w:rPr>
        <w:fldChar w:fldCharType="separate"/>
      </w:r>
      <w:r w:rsidR="00864F41">
        <w:rPr>
          <w:noProof/>
        </w:rPr>
        <w:t>1</w:t>
      </w:r>
      <w:r w:rsidRPr="000A74B3">
        <w:rPr>
          <w:noProof/>
        </w:rPr>
        <w:fldChar w:fldCharType="end"/>
      </w:r>
    </w:p>
    <w:p w14:paraId="45BAEB85" w14:textId="7AE58E2B" w:rsidR="00CC2862" w:rsidRPr="000A74B3" w:rsidRDefault="00CC28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4B3">
        <w:rPr>
          <w:noProof/>
        </w:rPr>
        <w:t>3</w:t>
      </w:r>
      <w:r w:rsidRPr="000A74B3">
        <w:rPr>
          <w:noProof/>
        </w:rPr>
        <w:tab/>
        <w:t>Authority</w:t>
      </w:r>
      <w:r w:rsidRPr="000A74B3">
        <w:rPr>
          <w:noProof/>
        </w:rPr>
        <w:tab/>
      </w:r>
      <w:r w:rsidRPr="000A74B3">
        <w:rPr>
          <w:noProof/>
        </w:rPr>
        <w:fldChar w:fldCharType="begin"/>
      </w:r>
      <w:r w:rsidRPr="000A74B3">
        <w:rPr>
          <w:noProof/>
        </w:rPr>
        <w:instrText xml:space="preserve"> PAGEREF _Toc170984946 \h </w:instrText>
      </w:r>
      <w:r w:rsidRPr="000A74B3">
        <w:rPr>
          <w:noProof/>
        </w:rPr>
      </w:r>
      <w:r w:rsidRPr="000A74B3">
        <w:rPr>
          <w:noProof/>
        </w:rPr>
        <w:fldChar w:fldCharType="separate"/>
      </w:r>
      <w:r w:rsidR="00864F41">
        <w:rPr>
          <w:noProof/>
        </w:rPr>
        <w:t>1</w:t>
      </w:r>
      <w:r w:rsidRPr="000A74B3">
        <w:rPr>
          <w:noProof/>
        </w:rPr>
        <w:fldChar w:fldCharType="end"/>
      </w:r>
    </w:p>
    <w:p w14:paraId="2EEA1C11" w14:textId="3BD61544" w:rsidR="00CC2862" w:rsidRPr="000A74B3" w:rsidRDefault="00CC28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4B3">
        <w:rPr>
          <w:noProof/>
        </w:rPr>
        <w:t>4</w:t>
      </w:r>
      <w:r w:rsidRPr="000A74B3">
        <w:rPr>
          <w:noProof/>
        </w:rPr>
        <w:tab/>
        <w:t>Definitions</w:t>
      </w:r>
      <w:r w:rsidRPr="000A74B3">
        <w:rPr>
          <w:noProof/>
        </w:rPr>
        <w:tab/>
      </w:r>
      <w:r w:rsidRPr="000A74B3">
        <w:rPr>
          <w:noProof/>
        </w:rPr>
        <w:fldChar w:fldCharType="begin"/>
      </w:r>
      <w:r w:rsidRPr="000A74B3">
        <w:rPr>
          <w:noProof/>
        </w:rPr>
        <w:instrText xml:space="preserve"> PAGEREF _Toc170984947 \h </w:instrText>
      </w:r>
      <w:r w:rsidRPr="000A74B3">
        <w:rPr>
          <w:noProof/>
        </w:rPr>
      </w:r>
      <w:r w:rsidRPr="000A74B3">
        <w:rPr>
          <w:noProof/>
        </w:rPr>
        <w:fldChar w:fldCharType="separate"/>
      </w:r>
      <w:r w:rsidR="00864F41">
        <w:rPr>
          <w:noProof/>
        </w:rPr>
        <w:t>1</w:t>
      </w:r>
      <w:r w:rsidRPr="000A74B3">
        <w:rPr>
          <w:noProof/>
        </w:rPr>
        <w:fldChar w:fldCharType="end"/>
      </w:r>
    </w:p>
    <w:p w14:paraId="66438E57" w14:textId="0F96FC10" w:rsidR="00CC2862" w:rsidRPr="000A74B3" w:rsidRDefault="00CC286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74B3">
        <w:rPr>
          <w:noProof/>
        </w:rPr>
        <w:t>Part 2—Research and development corporations</w:t>
      </w:r>
      <w:r w:rsidRPr="000A74B3">
        <w:rPr>
          <w:b w:val="0"/>
          <w:noProof/>
          <w:sz w:val="18"/>
        </w:rPr>
        <w:tab/>
      </w:r>
      <w:r w:rsidRPr="000A74B3">
        <w:rPr>
          <w:b w:val="0"/>
          <w:noProof/>
          <w:sz w:val="18"/>
        </w:rPr>
        <w:fldChar w:fldCharType="begin"/>
      </w:r>
      <w:r w:rsidRPr="000A74B3">
        <w:rPr>
          <w:b w:val="0"/>
          <w:noProof/>
          <w:sz w:val="18"/>
        </w:rPr>
        <w:instrText xml:space="preserve"> PAGEREF _Toc170984948 \h </w:instrText>
      </w:r>
      <w:r w:rsidRPr="000A74B3">
        <w:rPr>
          <w:b w:val="0"/>
          <w:noProof/>
          <w:sz w:val="18"/>
        </w:rPr>
      </w:r>
      <w:r w:rsidRPr="000A74B3">
        <w:rPr>
          <w:b w:val="0"/>
          <w:noProof/>
          <w:sz w:val="18"/>
        </w:rPr>
        <w:fldChar w:fldCharType="separate"/>
      </w:r>
      <w:r w:rsidR="00864F41">
        <w:rPr>
          <w:b w:val="0"/>
          <w:noProof/>
          <w:sz w:val="18"/>
        </w:rPr>
        <w:t>3</w:t>
      </w:r>
      <w:r w:rsidRPr="000A74B3">
        <w:rPr>
          <w:b w:val="0"/>
          <w:noProof/>
          <w:sz w:val="18"/>
        </w:rPr>
        <w:fldChar w:fldCharType="end"/>
      </w:r>
    </w:p>
    <w:p w14:paraId="48B89B76" w14:textId="66E4B96C" w:rsidR="00CC2862" w:rsidRPr="000A74B3" w:rsidRDefault="00CC28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4B3">
        <w:rPr>
          <w:noProof/>
        </w:rPr>
        <w:t>5</w:t>
      </w:r>
      <w:r w:rsidRPr="000A74B3">
        <w:rPr>
          <w:noProof/>
        </w:rPr>
        <w:tab/>
        <w:t>Continuing in existence research and development corporations</w:t>
      </w:r>
      <w:r w:rsidRPr="000A74B3">
        <w:rPr>
          <w:noProof/>
        </w:rPr>
        <w:tab/>
      </w:r>
      <w:r w:rsidRPr="000A74B3">
        <w:rPr>
          <w:noProof/>
        </w:rPr>
        <w:fldChar w:fldCharType="begin"/>
      </w:r>
      <w:r w:rsidRPr="000A74B3">
        <w:rPr>
          <w:noProof/>
        </w:rPr>
        <w:instrText xml:space="preserve"> PAGEREF _Toc170984949 \h </w:instrText>
      </w:r>
      <w:r w:rsidRPr="000A74B3">
        <w:rPr>
          <w:noProof/>
        </w:rPr>
      </w:r>
      <w:r w:rsidRPr="000A74B3">
        <w:rPr>
          <w:noProof/>
        </w:rPr>
        <w:fldChar w:fldCharType="separate"/>
      </w:r>
      <w:r w:rsidR="00864F41">
        <w:rPr>
          <w:noProof/>
        </w:rPr>
        <w:t>3</w:t>
      </w:r>
      <w:r w:rsidRPr="000A74B3">
        <w:rPr>
          <w:noProof/>
        </w:rPr>
        <w:fldChar w:fldCharType="end"/>
      </w:r>
    </w:p>
    <w:p w14:paraId="6D30E15F" w14:textId="762C963F" w:rsidR="00CC2862" w:rsidRPr="000A74B3" w:rsidRDefault="00CC28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4B3">
        <w:rPr>
          <w:noProof/>
        </w:rPr>
        <w:t>6</w:t>
      </w:r>
      <w:r w:rsidRPr="000A74B3">
        <w:rPr>
          <w:noProof/>
        </w:rPr>
        <w:tab/>
        <w:t>Fisheries Research and Development Corporation</w:t>
      </w:r>
      <w:r w:rsidRPr="000A74B3">
        <w:rPr>
          <w:noProof/>
        </w:rPr>
        <w:tab/>
      </w:r>
      <w:r w:rsidRPr="000A74B3">
        <w:rPr>
          <w:noProof/>
        </w:rPr>
        <w:fldChar w:fldCharType="begin"/>
      </w:r>
      <w:r w:rsidRPr="000A74B3">
        <w:rPr>
          <w:noProof/>
        </w:rPr>
        <w:instrText xml:space="preserve"> PAGEREF _Toc170984950 \h </w:instrText>
      </w:r>
      <w:r w:rsidRPr="000A74B3">
        <w:rPr>
          <w:noProof/>
        </w:rPr>
      </w:r>
      <w:r w:rsidRPr="000A74B3">
        <w:rPr>
          <w:noProof/>
        </w:rPr>
        <w:fldChar w:fldCharType="separate"/>
      </w:r>
      <w:r w:rsidR="00864F41">
        <w:rPr>
          <w:noProof/>
        </w:rPr>
        <w:t>3</w:t>
      </w:r>
      <w:r w:rsidRPr="000A74B3">
        <w:rPr>
          <w:noProof/>
        </w:rPr>
        <w:fldChar w:fldCharType="end"/>
      </w:r>
    </w:p>
    <w:p w14:paraId="0742DBBF" w14:textId="621C755D" w:rsidR="00CC2862" w:rsidRPr="000A74B3" w:rsidRDefault="00CC28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4B3">
        <w:rPr>
          <w:noProof/>
        </w:rPr>
        <w:t>7</w:t>
      </w:r>
      <w:r w:rsidRPr="000A74B3">
        <w:rPr>
          <w:noProof/>
        </w:rPr>
        <w:tab/>
        <w:t>Grains Research and Development Corporation</w:t>
      </w:r>
      <w:r w:rsidRPr="000A74B3">
        <w:rPr>
          <w:noProof/>
        </w:rPr>
        <w:tab/>
      </w:r>
      <w:r w:rsidRPr="000A74B3">
        <w:rPr>
          <w:noProof/>
        </w:rPr>
        <w:fldChar w:fldCharType="begin"/>
      </w:r>
      <w:r w:rsidRPr="000A74B3">
        <w:rPr>
          <w:noProof/>
        </w:rPr>
        <w:instrText xml:space="preserve"> PAGEREF _Toc170984951 \h </w:instrText>
      </w:r>
      <w:r w:rsidRPr="000A74B3">
        <w:rPr>
          <w:noProof/>
        </w:rPr>
      </w:r>
      <w:r w:rsidRPr="000A74B3">
        <w:rPr>
          <w:noProof/>
        </w:rPr>
        <w:fldChar w:fldCharType="separate"/>
      </w:r>
      <w:r w:rsidR="00864F41">
        <w:rPr>
          <w:noProof/>
        </w:rPr>
        <w:t>3</w:t>
      </w:r>
      <w:r w:rsidRPr="000A74B3">
        <w:rPr>
          <w:noProof/>
        </w:rPr>
        <w:fldChar w:fldCharType="end"/>
      </w:r>
    </w:p>
    <w:p w14:paraId="2AF4E6F6" w14:textId="4531F97E" w:rsidR="00CC2862" w:rsidRPr="000A74B3" w:rsidRDefault="00CC28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74B3">
        <w:rPr>
          <w:noProof/>
        </w:rPr>
        <w:t>8</w:t>
      </w:r>
      <w:r w:rsidRPr="000A74B3">
        <w:rPr>
          <w:noProof/>
        </w:rPr>
        <w:tab/>
        <w:t>Rural Industries Research and Development Corporation</w:t>
      </w:r>
      <w:r w:rsidRPr="000A74B3">
        <w:rPr>
          <w:noProof/>
        </w:rPr>
        <w:tab/>
      </w:r>
      <w:r w:rsidRPr="000A74B3">
        <w:rPr>
          <w:noProof/>
        </w:rPr>
        <w:fldChar w:fldCharType="begin"/>
      </w:r>
      <w:r w:rsidRPr="000A74B3">
        <w:rPr>
          <w:noProof/>
        </w:rPr>
        <w:instrText xml:space="preserve"> PAGEREF _Toc170984952 \h </w:instrText>
      </w:r>
      <w:r w:rsidRPr="000A74B3">
        <w:rPr>
          <w:noProof/>
        </w:rPr>
      </w:r>
      <w:r w:rsidRPr="000A74B3">
        <w:rPr>
          <w:noProof/>
        </w:rPr>
        <w:fldChar w:fldCharType="separate"/>
      </w:r>
      <w:r w:rsidR="00864F41">
        <w:rPr>
          <w:noProof/>
        </w:rPr>
        <w:t>3</w:t>
      </w:r>
      <w:r w:rsidRPr="000A74B3">
        <w:rPr>
          <w:noProof/>
        </w:rPr>
        <w:fldChar w:fldCharType="end"/>
      </w:r>
    </w:p>
    <w:p w14:paraId="104D242B" w14:textId="77777777" w:rsidR="00670EA1" w:rsidRPr="000A74B3" w:rsidRDefault="00CC2862" w:rsidP="00715914">
      <w:r w:rsidRPr="000A74B3">
        <w:fldChar w:fldCharType="end"/>
      </w:r>
    </w:p>
    <w:p w14:paraId="7A712CF5" w14:textId="77777777" w:rsidR="00670EA1" w:rsidRPr="000A74B3" w:rsidRDefault="00670EA1" w:rsidP="00715914">
      <w:pPr>
        <w:sectPr w:rsidR="00670EA1" w:rsidRPr="000A74B3" w:rsidSect="001176C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D69AB4" w14:textId="77777777" w:rsidR="00715914" w:rsidRPr="000A74B3" w:rsidRDefault="00715914" w:rsidP="00715914">
      <w:pPr>
        <w:pStyle w:val="ActHead2"/>
      </w:pPr>
      <w:bookmarkStart w:id="0" w:name="_Toc170984943"/>
      <w:r w:rsidRPr="007F1039">
        <w:rPr>
          <w:rStyle w:val="CharPartNo"/>
        </w:rPr>
        <w:lastRenderedPageBreak/>
        <w:t>Part 1</w:t>
      </w:r>
      <w:r w:rsidRPr="000A74B3">
        <w:t>—</w:t>
      </w:r>
      <w:r w:rsidRPr="007F1039">
        <w:rPr>
          <w:rStyle w:val="CharPartText"/>
        </w:rPr>
        <w:t>Preliminary</w:t>
      </w:r>
      <w:bookmarkEnd w:id="0"/>
    </w:p>
    <w:p w14:paraId="5DF9D437" w14:textId="77777777" w:rsidR="00715914" w:rsidRPr="007F1039" w:rsidRDefault="00715914" w:rsidP="00715914">
      <w:pPr>
        <w:pStyle w:val="Header"/>
      </w:pPr>
      <w:r w:rsidRPr="007F1039">
        <w:rPr>
          <w:rStyle w:val="CharDivNo"/>
        </w:rPr>
        <w:t xml:space="preserve"> </w:t>
      </w:r>
      <w:r w:rsidRPr="007F1039">
        <w:rPr>
          <w:rStyle w:val="CharDivText"/>
        </w:rPr>
        <w:t xml:space="preserve"> </w:t>
      </w:r>
    </w:p>
    <w:p w14:paraId="544F203D" w14:textId="77777777" w:rsidR="00715914" w:rsidRPr="000A74B3" w:rsidRDefault="00715914" w:rsidP="00715914">
      <w:pPr>
        <w:pStyle w:val="ActHead5"/>
      </w:pPr>
      <w:bookmarkStart w:id="1" w:name="_Toc170984944"/>
      <w:proofErr w:type="gramStart"/>
      <w:r w:rsidRPr="007F1039">
        <w:rPr>
          <w:rStyle w:val="CharSectno"/>
        </w:rPr>
        <w:t>1</w:t>
      </w:r>
      <w:r w:rsidRPr="000A74B3">
        <w:t xml:space="preserve">  </w:t>
      </w:r>
      <w:r w:rsidR="00CE493D" w:rsidRPr="000A74B3">
        <w:t>Name</w:t>
      </w:r>
      <w:bookmarkEnd w:id="1"/>
      <w:proofErr w:type="gramEnd"/>
    </w:p>
    <w:p w14:paraId="7A94B154" w14:textId="77777777" w:rsidR="00715914" w:rsidRPr="000A74B3" w:rsidRDefault="00715914" w:rsidP="00715914">
      <w:pPr>
        <w:pStyle w:val="subsection"/>
      </w:pPr>
      <w:r w:rsidRPr="000A74B3">
        <w:tab/>
      </w:r>
      <w:r w:rsidRPr="000A74B3">
        <w:tab/>
      </w:r>
      <w:r w:rsidR="00CD29E5" w:rsidRPr="000A74B3">
        <w:t>This instrument is</w:t>
      </w:r>
      <w:r w:rsidR="00CE493D" w:rsidRPr="000A74B3">
        <w:t xml:space="preserve"> the </w:t>
      </w:r>
      <w:r w:rsidR="00CD29E5" w:rsidRPr="000A74B3">
        <w:rPr>
          <w:i/>
        </w:rPr>
        <w:t>Primary Industries Research and Development Regulations 202</w:t>
      </w:r>
      <w:r w:rsidR="004242B9" w:rsidRPr="000A74B3">
        <w:rPr>
          <w:i/>
        </w:rPr>
        <w:t>4</w:t>
      </w:r>
      <w:r w:rsidRPr="000A74B3">
        <w:t>.</w:t>
      </w:r>
    </w:p>
    <w:p w14:paraId="3563D64F" w14:textId="77777777" w:rsidR="00715914" w:rsidRPr="000A74B3" w:rsidRDefault="00715914" w:rsidP="00715914">
      <w:pPr>
        <w:pStyle w:val="ActHead5"/>
      </w:pPr>
      <w:bookmarkStart w:id="2" w:name="_Toc170984945"/>
      <w:proofErr w:type="gramStart"/>
      <w:r w:rsidRPr="007F1039">
        <w:rPr>
          <w:rStyle w:val="CharSectno"/>
        </w:rPr>
        <w:t>2</w:t>
      </w:r>
      <w:r w:rsidRPr="000A74B3">
        <w:t xml:space="preserve">  Commencement</w:t>
      </w:r>
      <w:bookmarkEnd w:id="2"/>
      <w:proofErr w:type="gramEnd"/>
    </w:p>
    <w:p w14:paraId="522152AA" w14:textId="77777777" w:rsidR="00AE3652" w:rsidRPr="000A74B3" w:rsidRDefault="00807626" w:rsidP="00AE3652">
      <w:pPr>
        <w:pStyle w:val="subsection"/>
      </w:pPr>
      <w:r w:rsidRPr="000A74B3">
        <w:tab/>
      </w:r>
      <w:r w:rsidR="00AE3652" w:rsidRPr="000A74B3">
        <w:t>(1)</w:t>
      </w:r>
      <w:r w:rsidR="00AE3652" w:rsidRPr="000A74B3">
        <w:tab/>
        <w:t xml:space="preserve">Each provision of </w:t>
      </w:r>
      <w:r w:rsidR="00CD29E5" w:rsidRPr="000A74B3">
        <w:t>this instrument</w:t>
      </w:r>
      <w:r w:rsidR="00AE3652" w:rsidRPr="000A74B3">
        <w:t xml:space="preserve"> specified in column 1 of the table commences, or is taken to have commenced, in accordance with column 2 of the table. Any other statement in column 2 has effect according to its terms.</w:t>
      </w:r>
    </w:p>
    <w:p w14:paraId="636D25E9" w14:textId="77777777" w:rsidR="00AE3652" w:rsidRPr="000A74B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0A74B3" w14:paraId="5809A8DD" w14:textId="77777777" w:rsidTr="00324F9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5459E5" w14:textId="77777777" w:rsidR="00AE3652" w:rsidRPr="000A74B3" w:rsidRDefault="00AE3652" w:rsidP="00324F98">
            <w:pPr>
              <w:pStyle w:val="TableHeading"/>
            </w:pPr>
            <w:r w:rsidRPr="000A74B3">
              <w:t>Commencement information</w:t>
            </w:r>
          </w:p>
        </w:tc>
      </w:tr>
      <w:tr w:rsidR="00AE3652" w:rsidRPr="000A74B3" w14:paraId="34038D55" w14:textId="77777777" w:rsidTr="00324F9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A01E19" w14:textId="77777777" w:rsidR="00AE3652" w:rsidRPr="000A74B3" w:rsidRDefault="00AE3652" w:rsidP="00324F98">
            <w:pPr>
              <w:pStyle w:val="TableHeading"/>
            </w:pPr>
            <w:r w:rsidRPr="000A74B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AF6990" w14:textId="77777777" w:rsidR="00AE3652" w:rsidRPr="000A74B3" w:rsidRDefault="00AE3652" w:rsidP="00324F98">
            <w:pPr>
              <w:pStyle w:val="TableHeading"/>
            </w:pPr>
            <w:r w:rsidRPr="000A74B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71BA43" w14:textId="77777777" w:rsidR="00AE3652" w:rsidRPr="000A74B3" w:rsidRDefault="00AE3652" w:rsidP="00324F98">
            <w:pPr>
              <w:pStyle w:val="TableHeading"/>
            </w:pPr>
            <w:r w:rsidRPr="000A74B3">
              <w:t>Column 3</w:t>
            </w:r>
          </w:p>
        </w:tc>
      </w:tr>
      <w:tr w:rsidR="00AE3652" w:rsidRPr="000A74B3" w14:paraId="28984146" w14:textId="77777777" w:rsidTr="00324F9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51CC6D" w14:textId="77777777" w:rsidR="00AE3652" w:rsidRPr="000A74B3" w:rsidRDefault="00AE3652" w:rsidP="00324F98">
            <w:pPr>
              <w:pStyle w:val="TableHeading"/>
            </w:pPr>
            <w:r w:rsidRPr="000A74B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1C1D34" w14:textId="77777777" w:rsidR="00AE3652" w:rsidRPr="000A74B3" w:rsidRDefault="00AE3652" w:rsidP="00324F98">
            <w:pPr>
              <w:pStyle w:val="TableHeading"/>
            </w:pPr>
            <w:r w:rsidRPr="000A74B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94928" w14:textId="77777777" w:rsidR="00AE3652" w:rsidRPr="000A74B3" w:rsidRDefault="00AE3652" w:rsidP="00324F98">
            <w:pPr>
              <w:pStyle w:val="TableHeading"/>
            </w:pPr>
            <w:r w:rsidRPr="000A74B3">
              <w:t>Date/Details</w:t>
            </w:r>
          </w:p>
        </w:tc>
      </w:tr>
      <w:tr w:rsidR="00AF2935" w:rsidRPr="000A74B3" w14:paraId="201406A0" w14:textId="77777777" w:rsidTr="00324F9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0CE7AE" w14:textId="77777777" w:rsidR="00AF2935" w:rsidRPr="000A74B3" w:rsidRDefault="00AF2935" w:rsidP="00AF2935">
            <w:pPr>
              <w:pStyle w:val="Tabletext"/>
            </w:pPr>
            <w:r w:rsidRPr="000A74B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20E277" w14:textId="77777777" w:rsidR="00AF2935" w:rsidRPr="000A74B3" w:rsidRDefault="008C6E81" w:rsidP="00AF2935">
            <w:pPr>
              <w:pStyle w:val="Tabletext"/>
            </w:pPr>
            <w:r w:rsidRPr="000A74B3">
              <w:t>1 January</w:t>
            </w:r>
            <w:r w:rsidR="00AF2935" w:rsidRPr="000A74B3">
              <w:t xml:space="preserve">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9CCA92" w14:textId="77777777" w:rsidR="00AF2935" w:rsidRPr="000A74B3" w:rsidRDefault="008C6E81" w:rsidP="00AF2935">
            <w:pPr>
              <w:pStyle w:val="Tabletext"/>
            </w:pPr>
            <w:r w:rsidRPr="000A74B3">
              <w:t>1 January</w:t>
            </w:r>
            <w:r w:rsidR="00AF2935" w:rsidRPr="000A74B3">
              <w:t xml:space="preserve"> 2025</w:t>
            </w:r>
          </w:p>
        </w:tc>
      </w:tr>
    </w:tbl>
    <w:p w14:paraId="3B4EFBD2" w14:textId="77777777" w:rsidR="00AE3652" w:rsidRPr="000A74B3" w:rsidRDefault="00AE3652" w:rsidP="00AE3652">
      <w:pPr>
        <w:pStyle w:val="notetext"/>
      </w:pPr>
      <w:r w:rsidRPr="000A74B3">
        <w:rPr>
          <w:snapToGrid w:val="0"/>
          <w:lang w:eastAsia="en-US"/>
        </w:rPr>
        <w:t>Note:</w:t>
      </w:r>
      <w:r w:rsidRPr="000A74B3">
        <w:rPr>
          <w:snapToGrid w:val="0"/>
          <w:lang w:eastAsia="en-US"/>
        </w:rPr>
        <w:tab/>
        <w:t xml:space="preserve">This table relates only to the provisions of </w:t>
      </w:r>
      <w:r w:rsidR="00CD29E5" w:rsidRPr="000A74B3">
        <w:rPr>
          <w:snapToGrid w:val="0"/>
          <w:lang w:eastAsia="en-US"/>
        </w:rPr>
        <w:t>this instrument</w:t>
      </w:r>
      <w:r w:rsidRPr="000A74B3">
        <w:t xml:space="preserve"> </w:t>
      </w:r>
      <w:r w:rsidRPr="000A74B3">
        <w:rPr>
          <w:snapToGrid w:val="0"/>
          <w:lang w:eastAsia="en-US"/>
        </w:rPr>
        <w:t xml:space="preserve">as originally made. It will not be amended to deal with any later amendments of </w:t>
      </w:r>
      <w:r w:rsidR="00CD29E5" w:rsidRPr="000A74B3">
        <w:rPr>
          <w:snapToGrid w:val="0"/>
          <w:lang w:eastAsia="en-US"/>
        </w:rPr>
        <w:t>this instrument</w:t>
      </w:r>
      <w:r w:rsidRPr="000A74B3">
        <w:rPr>
          <w:snapToGrid w:val="0"/>
          <w:lang w:eastAsia="en-US"/>
        </w:rPr>
        <w:t>.</w:t>
      </w:r>
    </w:p>
    <w:p w14:paraId="601F7D01" w14:textId="77777777" w:rsidR="00807626" w:rsidRPr="000A74B3" w:rsidRDefault="00AE3652" w:rsidP="00AE3652">
      <w:pPr>
        <w:pStyle w:val="subsection"/>
      </w:pPr>
      <w:r w:rsidRPr="000A74B3">
        <w:tab/>
        <w:t>(2)</w:t>
      </w:r>
      <w:r w:rsidRPr="000A74B3">
        <w:tab/>
        <w:t xml:space="preserve">Any information in column 3 of the table is not part of </w:t>
      </w:r>
      <w:r w:rsidR="00CD29E5" w:rsidRPr="000A74B3">
        <w:t>this instrument</w:t>
      </w:r>
      <w:r w:rsidRPr="000A74B3">
        <w:t xml:space="preserve">. Information may be inserted in this column, or information in it may be edited, in any published version of </w:t>
      </w:r>
      <w:r w:rsidR="00CD29E5" w:rsidRPr="000A74B3">
        <w:t>this instrument</w:t>
      </w:r>
      <w:r w:rsidRPr="000A74B3">
        <w:t>.</w:t>
      </w:r>
    </w:p>
    <w:p w14:paraId="330B87C6" w14:textId="77777777" w:rsidR="007500C8" w:rsidRPr="000A74B3" w:rsidRDefault="007500C8" w:rsidP="007500C8">
      <w:pPr>
        <w:pStyle w:val="ActHead5"/>
      </w:pPr>
      <w:bookmarkStart w:id="3" w:name="_Toc170984946"/>
      <w:proofErr w:type="gramStart"/>
      <w:r w:rsidRPr="007F1039">
        <w:rPr>
          <w:rStyle w:val="CharSectno"/>
        </w:rPr>
        <w:t>3</w:t>
      </w:r>
      <w:r w:rsidRPr="000A74B3">
        <w:t xml:space="preserve">  Authority</w:t>
      </w:r>
      <w:bookmarkEnd w:id="3"/>
      <w:proofErr w:type="gramEnd"/>
    </w:p>
    <w:p w14:paraId="5C648CCC" w14:textId="77777777" w:rsidR="00157B8B" w:rsidRPr="000A74B3" w:rsidRDefault="007500C8" w:rsidP="007E667A">
      <w:pPr>
        <w:pStyle w:val="subsection"/>
      </w:pPr>
      <w:r w:rsidRPr="000A74B3">
        <w:tab/>
      </w:r>
      <w:r w:rsidRPr="000A74B3">
        <w:tab/>
      </w:r>
      <w:r w:rsidR="00CD29E5" w:rsidRPr="000A74B3">
        <w:t>This instrument is</w:t>
      </w:r>
      <w:r w:rsidRPr="000A74B3">
        <w:t xml:space="preserve"> made under the </w:t>
      </w:r>
      <w:r w:rsidR="00CD29E5" w:rsidRPr="000A74B3">
        <w:rPr>
          <w:i/>
        </w:rPr>
        <w:t>Primary Industries Research and Development Act 1989</w:t>
      </w:r>
      <w:r w:rsidR="00F4350D" w:rsidRPr="000A74B3">
        <w:t>.</w:t>
      </w:r>
    </w:p>
    <w:p w14:paraId="187A4E18" w14:textId="77777777" w:rsidR="00C37824" w:rsidRPr="000A74B3" w:rsidRDefault="00C37824" w:rsidP="00C37824">
      <w:pPr>
        <w:pStyle w:val="ActHead5"/>
      </w:pPr>
      <w:bookmarkStart w:id="4" w:name="_Toc170984947"/>
      <w:proofErr w:type="gramStart"/>
      <w:r w:rsidRPr="007F1039">
        <w:rPr>
          <w:rStyle w:val="CharSectno"/>
        </w:rPr>
        <w:t>4</w:t>
      </w:r>
      <w:r w:rsidRPr="000A74B3">
        <w:t xml:space="preserve">  Definitions</w:t>
      </w:r>
      <w:bookmarkEnd w:id="4"/>
      <w:proofErr w:type="gramEnd"/>
    </w:p>
    <w:p w14:paraId="2712BC59" w14:textId="77777777" w:rsidR="00C37824" w:rsidRPr="000A74B3" w:rsidRDefault="00C37824" w:rsidP="00C37824">
      <w:pPr>
        <w:pStyle w:val="subsection"/>
      </w:pPr>
      <w:r w:rsidRPr="000A74B3">
        <w:tab/>
      </w:r>
      <w:r w:rsidRPr="000A74B3">
        <w:tab/>
        <w:t>In this instrument:</w:t>
      </w:r>
    </w:p>
    <w:p w14:paraId="14D05CB4" w14:textId="77777777" w:rsidR="00C37824" w:rsidRPr="000A74B3" w:rsidRDefault="00C37824" w:rsidP="00C37824">
      <w:pPr>
        <w:pStyle w:val="Definition"/>
      </w:pPr>
      <w:r w:rsidRPr="000A74B3">
        <w:rPr>
          <w:b/>
          <w:i/>
        </w:rPr>
        <w:t>Act</w:t>
      </w:r>
      <w:r w:rsidRPr="000A74B3">
        <w:t xml:space="preserve"> means the </w:t>
      </w:r>
      <w:r w:rsidRPr="000A74B3">
        <w:rPr>
          <w:i/>
        </w:rPr>
        <w:t>Primary Industries Research and Development Act 1989</w:t>
      </w:r>
      <w:r w:rsidRPr="000A74B3">
        <w:t>.</w:t>
      </w:r>
    </w:p>
    <w:p w14:paraId="18812BFA" w14:textId="77777777" w:rsidR="001673A4" w:rsidRPr="000A74B3" w:rsidRDefault="001673A4" w:rsidP="001673A4">
      <w:pPr>
        <w:pStyle w:val="Definition"/>
      </w:pPr>
      <w:r w:rsidRPr="000A74B3">
        <w:rPr>
          <w:b/>
          <w:i/>
        </w:rPr>
        <w:t xml:space="preserve">buffalo industry </w:t>
      </w:r>
      <w:r w:rsidR="000B7CAE" w:rsidRPr="000A74B3">
        <w:t xml:space="preserve">has the same meaning as in the </w:t>
      </w:r>
      <w:r w:rsidR="00E11022" w:rsidRPr="000A74B3">
        <w:t>Disbursement Rules</w:t>
      </w:r>
      <w:r w:rsidR="004B3150" w:rsidRPr="000A74B3">
        <w:t>.</w:t>
      </w:r>
    </w:p>
    <w:p w14:paraId="2E80CD58" w14:textId="77777777" w:rsidR="00C24757" w:rsidRPr="000A74B3" w:rsidRDefault="00C24757" w:rsidP="00C24757">
      <w:pPr>
        <w:pStyle w:val="Definition"/>
      </w:pPr>
      <w:r w:rsidRPr="000A74B3">
        <w:rPr>
          <w:b/>
          <w:i/>
        </w:rPr>
        <w:t>Charges Regulations</w:t>
      </w:r>
      <w:r w:rsidRPr="000A74B3">
        <w:t xml:space="preserve"> means the </w:t>
      </w:r>
      <w:r w:rsidRPr="000A74B3">
        <w:rPr>
          <w:i/>
        </w:rPr>
        <w:t>Primary Industries (Customs) Charges Regulations 2024</w:t>
      </w:r>
      <w:r w:rsidRPr="000A74B3">
        <w:t>.</w:t>
      </w:r>
    </w:p>
    <w:p w14:paraId="1E52734D" w14:textId="77777777" w:rsidR="00354028" w:rsidRPr="000A74B3" w:rsidRDefault="002D6ED3" w:rsidP="00354028">
      <w:pPr>
        <w:pStyle w:val="Definition"/>
      </w:pPr>
      <w:r w:rsidRPr="000A74B3">
        <w:rPr>
          <w:b/>
          <w:i/>
        </w:rPr>
        <w:t>deer industry</w:t>
      </w:r>
      <w:r w:rsidRPr="000A74B3">
        <w:t xml:space="preserve"> has the same meaning as in the </w:t>
      </w:r>
      <w:r w:rsidR="00E11022" w:rsidRPr="000A74B3">
        <w:t>Disbursement Rules</w:t>
      </w:r>
      <w:r w:rsidRPr="000A74B3">
        <w:t>.</w:t>
      </w:r>
    </w:p>
    <w:p w14:paraId="5C1E0BA4" w14:textId="77777777" w:rsidR="00E11022" w:rsidRPr="000A74B3" w:rsidRDefault="00E11022" w:rsidP="00591308">
      <w:pPr>
        <w:pStyle w:val="Definition"/>
      </w:pPr>
      <w:r w:rsidRPr="000A74B3">
        <w:rPr>
          <w:b/>
          <w:i/>
        </w:rPr>
        <w:t xml:space="preserve">Disbursement Rules </w:t>
      </w:r>
      <w:r w:rsidRPr="000A74B3">
        <w:t xml:space="preserve">means the </w:t>
      </w:r>
      <w:r w:rsidRPr="000A74B3">
        <w:rPr>
          <w:i/>
        </w:rPr>
        <w:t>Primary Industries Levies and Charges Disbursement Rules 2024</w:t>
      </w:r>
      <w:r w:rsidRPr="000A74B3">
        <w:t>.</w:t>
      </w:r>
    </w:p>
    <w:p w14:paraId="07B1750A" w14:textId="77777777" w:rsidR="00591308" w:rsidRPr="000A74B3" w:rsidRDefault="00591308" w:rsidP="00591308">
      <w:pPr>
        <w:pStyle w:val="Definition"/>
      </w:pPr>
      <w:r w:rsidRPr="000A74B3">
        <w:rPr>
          <w:b/>
          <w:i/>
        </w:rPr>
        <w:t xml:space="preserve">fishing industry </w:t>
      </w:r>
      <w:r w:rsidR="004B3150" w:rsidRPr="000A74B3">
        <w:t xml:space="preserve">has the same meaning as in the </w:t>
      </w:r>
      <w:r w:rsidR="00E11022" w:rsidRPr="000A74B3">
        <w:t>Disbursement Rules</w:t>
      </w:r>
      <w:r w:rsidRPr="000A74B3">
        <w:t>.</w:t>
      </w:r>
    </w:p>
    <w:p w14:paraId="3DE3A7AC" w14:textId="77777777" w:rsidR="00884F63" w:rsidRPr="000A74B3" w:rsidRDefault="00884F63" w:rsidP="00591308">
      <w:pPr>
        <w:pStyle w:val="Definition"/>
      </w:pPr>
      <w:r w:rsidRPr="000A74B3">
        <w:rPr>
          <w:b/>
          <w:i/>
        </w:rPr>
        <w:t>fodder industry</w:t>
      </w:r>
      <w:r w:rsidRPr="000A74B3">
        <w:t xml:space="preserve"> has the same meaning as in the </w:t>
      </w:r>
      <w:r w:rsidR="00E11022" w:rsidRPr="000A74B3">
        <w:t>Disbursement Rules</w:t>
      </w:r>
      <w:r w:rsidRPr="000A74B3">
        <w:t>.</w:t>
      </w:r>
    </w:p>
    <w:p w14:paraId="61A43D4F" w14:textId="77777777" w:rsidR="00886415" w:rsidRPr="000A74B3" w:rsidRDefault="00886415" w:rsidP="00C24757">
      <w:pPr>
        <w:pStyle w:val="Definition"/>
      </w:pPr>
      <w:r w:rsidRPr="000A74B3">
        <w:rPr>
          <w:b/>
          <w:i/>
        </w:rPr>
        <w:t>ginger industry</w:t>
      </w:r>
      <w:r w:rsidRPr="000A74B3">
        <w:t xml:space="preserve"> has the same meaning as in the </w:t>
      </w:r>
      <w:r w:rsidR="00E11022" w:rsidRPr="000A74B3">
        <w:t>Disbursement Rules</w:t>
      </w:r>
      <w:r w:rsidRPr="000A74B3">
        <w:t>.</w:t>
      </w:r>
    </w:p>
    <w:p w14:paraId="74D0F901" w14:textId="77777777" w:rsidR="00886415" w:rsidRPr="000A74B3" w:rsidRDefault="00886415" w:rsidP="00C24757">
      <w:pPr>
        <w:pStyle w:val="Definition"/>
      </w:pPr>
      <w:r w:rsidRPr="000A74B3">
        <w:rPr>
          <w:b/>
          <w:i/>
        </w:rPr>
        <w:lastRenderedPageBreak/>
        <w:t>goat fibre industry</w:t>
      </w:r>
      <w:r w:rsidRPr="000A74B3">
        <w:t xml:space="preserve"> has the same meaning as in the </w:t>
      </w:r>
      <w:r w:rsidR="00E11022" w:rsidRPr="000A74B3">
        <w:t>Disbursement Rules</w:t>
      </w:r>
      <w:r w:rsidRPr="000A74B3">
        <w:t>.</w:t>
      </w:r>
    </w:p>
    <w:p w14:paraId="0FED9E7E" w14:textId="77777777" w:rsidR="003A1817" w:rsidRPr="000A74B3" w:rsidRDefault="00886415" w:rsidP="003A1817">
      <w:pPr>
        <w:pStyle w:val="Definition"/>
      </w:pPr>
      <w:r w:rsidRPr="000A74B3">
        <w:rPr>
          <w:b/>
          <w:i/>
        </w:rPr>
        <w:t>honeybee industry</w:t>
      </w:r>
      <w:r w:rsidRPr="000A74B3">
        <w:t xml:space="preserve"> has the same meaning as in the </w:t>
      </w:r>
      <w:r w:rsidR="00E11022" w:rsidRPr="000A74B3">
        <w:t>Disbursement Rules</w:t>
      </w:r>
      <w:r w:rsidRPr="000A74B3">
        <w:t>.</w:t>
      </w:r>
    </w:p>
    <w:p w14:paraId="29E5F675" w14:textId="77777777" w:rsidR="00C24757" w:rsidRPr="000A74B3" w:rsidRDefault="00C24757" w:rsidP="00C24757">
      <w:pPr>
        <w:pStyle w:val="Definition"/>
      </w:pPr>
      <w:r w:rsidRPr="000A74B3">
        <w:rPr>
          <w:b/>
          <w:i/>
        </w:rPr>
        <w:t>Levies Regulations</w:t>
      </w:r>
      <w:r w:rsidRPr="000A74B3">
        <w:rPr>
          <w:i/>
        </w:rPr>
        <w:t xml:space="preserve"> </w:t>
      </w:r>
      <w:r w:rsidRPr="000A74B3">
        <w:t>means the</w:t>
      </w:r>
      <w:r w:rsidRPr="000A74B3">
        <w:rPr>
          <w:i/>
        </w:rPr>
        <w:t xml:space="preserve"> Primary Industries (Excise) Levies Regulations 2024</w:t>
      </w:r>
      <w:r w:rsidRPr="000A74B3">
        <w:t>.</w:t>
      </w:r>
    </w:p>
    <w:p w14:paraId="762CA032" w14:textId="77777777" w:rsidR="00A221B0" w:rsidRPr="000A74B3" w:rsidRDefault="00A221B0" w:rsidP="00C24757">
      <w:pPr>
        <w:pStyle w:val="Definition"/>
      </w:pPr>
      <w:r w:rsidRPr="000A74B3">
        <w:rPr>
          <w:b/>
          <w:i/>
        </w:rPr>
        <w:t>macropod industry</w:t>
      </w:r>
      <w:r w:rsidRPr="000A74B3">
        <w:t xml:space="preserve"> has the same meaning as in the </w:t>
      </w:r>
      <w:r w:rsidR="00E11022" w:rsidRPr="000A74B3">
        <w:t>Disbursement Rules</w:t>
      </w:r>
      <w:r w:rsidRPr="000A74B3">
        <w:t>.</w:t>
      </w:r>
    </w:p>
    <w:p w14:paraId="290A9920" w14:textId="77777777" w:rsidR="00FB2634" w:rsidRPr="000A74B3" w:rsidRDefault="00FB2634" w:rsidP="00C24757">
      <w:pPr>
        <w:pStyle w:val="Definition"/>
      </w:pPr>
      <w:r w:rsidRPr="000A74B3">
        <w:rPr>
          <w:b/>
          <w:i/>
        </w:rPr>
        <w:t>meat chicken industry</w:t>
      </w:r>
      <w:r w:rsidRPr="000A74B3">
        <w:t xml:space="preserve"> </w:t>
      </w:r>
      <w:r w:rsidR="00287372" w:rsidRPr="000A74B3">
        <w:t xml:space="preserve">has the same meaning as in the </w:t>
      </w:r>
      <w:r w:rsidR="00E11022" w:rsidRPr="000A74B3">
        <w:t>Disbursement Rules</w:t>
      </w:r>
      <w:r w:rsidR="00287372" w:rsidRPr="000A74B3">
        <w:t>.</w:t>
      </w:r>
    </w:p>
    <w:p w14:paraId="16A116F3" w14:textId="77777777" w:rsidR="00287372" w:rsidRPr="000A74B3" w:rsidRDefault="00287372" w:rsidP="00C24757">
      <w:pPr>
        <w:pStyle w:val="Definition"/>
      </w:pPr>
      <w:r w:rsidRPr="000A74B3">
        <w:rPr>
          <w:b/>
          <w:i/>
        </w:rPr>
        <w:t>ostrich industry</w:t>
      </w:r>
      <w:r w:rsidRPr="000A74B3">
        <w:t xml:space="preserve"> has the same meaning as in the </w:t>
      </w:r>
      <w:r w:rsidR="00E11022" w:rsidRPr="000A74B3">
        <w:t>Disbursement Rules</w:t>
      </w:r>
      <w:r w:rsidRPr="000A74B3">
        <w:t>.</w:t>
      </w:r>
    </w:p>
    <w:p w14:paraId="3CFA3634" w14:textId="77777777" w:rsidR="00287372" w:rsidRPr="000A74B3" w:rsidRDefault="00287372" w:rsidP="00C24757">
      <w:pPr>
        <w:pStyle w:val="Definition"/>
      </w:pPr>
      <w:r w:rsidRPr="000A74B3">
        <w:rPr>
          <w:b/>
          <w:i/>
        </w:rPr>
        <w:t>pasture seed industry</w:t>
      </w:r>
      <w:r w:rsidRPr="000A74B3">
        <w:t xml:space="preserve"> has the same meaning as in the </w:t>
      </w:r>
      <w:r w:rsidR="00E11022" w:rsidRPr="000A74B3">
        <w:t>Disbursement Rules</w:t>
      </w:r>
      <w:r w:rsidRPr="000A74B3">
        <w:t>.</w:t>
      </w:r>
    </w:p>
    <w:p w14:paraId="65FE3F22" w14:textId="77777777" w:rsidR="00287372" w:rsidRPr="000A74B3" w:rsidRDefault="00287372" w:rsidP="00C24757">
      <w:pPr>
        <w:pStyle w:val="Definition"/>
      </w:pPr>
      <w:r w:rsidRPr="000A74B3">
        <w:rPr>
          <w:b/>
          <w:i/>
        </w:rPr>
        <w:t>queen bee breeding industry</w:t>
      </w:r>
      <w:r w:rsidRPr="000A74B3">
        <w:t xml:space="preserve"> has the same meaning as in the </w:t>
      </w:r>
      <w:r w:rsidR="00E11022" w:rsidRPr="000A74B3">
        <w:t>Disbursement Rules</w:t>
      </w:r>
      <w:r w:rsidRPr="000A74B3">
        <w:t>.</w:t>
      </w:r>
    </w:p>
    <w:p w14:paraId="65C8D7D0" w14:textId="77777777" w:rsidR="00287372" w:rsidRPr="000A74B3" w:rsidRDefault="00287372" w:rsidP="00C24757">
      <w:pPr>
        <w:pStyle w:val="Definition"/>
      </w:pPr>
      <w:r w:rsidRPr="000A74B3">
        <w:rPr>
          <w:b/>
          <w:i/>
        </w:rPr>
        <w:t>rice industry</w:t>
      </w:r>
      <w:r w:rsidRPr="000A74B3">
        <w:t xml:space="preserve"> has the same meaning as in the </w:t>
      </w:r>
      <w:r w:rsidR="00E11022" w:rsidRPr="000A74B3">
        <w:t>Disbursement Rules</w:t>
      </w:r>
      <w:r w:rsidRPr="000A74B3">
        <w:t>.</w:t>
      </w:r>
    </w:p>
    <w:p w14:paraId="650C25F2" w14:textId="77777777" w:rsidR="00287372" w:rsidRPr="000A74B3" w:rsidRDefault="00287372" w:rsidP="00C24757">
      <w:pPr>
        <w:pStyle w:val="Definition"/>
      </w:pPr>
      <w:r w:rsidRPr="000A74B3">
        <w:rPr>
          <w:b/>
          <w:i/>
          <w:noProof/>
        </w:rPr>
        <w:t>tea tree oil industry</w:t>
      </w:r>
      <w:r w:rsidRPr="000A74B3">
        <w:rPr>
          <w:noProof/>
        </w:rPr>
        <w:t xml:space="preserve"> </w:t>
      </w:r>
      <w:r w:rsidRPr="000A74B3">
        <w:t xml:space="preserve">has the same meaning as in the </w:t>
      </w:r>
      <w:r w:rsidR="00E11022" w:rsidRPr="000A74B3">
        <w:t>Disbursement Rules</w:t>
      </w:r>
      <w:r w:rsidRPr="000A74B3">
        <w:t>.</w:t>
      </w:r>
    </w:p>
    <w:p w14:paraId="1E189786" w14:textId="77777777" w:rsidR="00287372" w:rsidRPr="000A74B3" w:rsidRDefault="00287372" w:rsidP="00C24757">
      <w:pPr>
        <w:pStyle w:val="Definition"/>
      </w:pPr>
      <w:r w:rsidRPr="000A74B3">
        <w:rPr>
          <w:b/>
          <w:i/>
        </w:rPr>
        <w:t>thoroughbred horse industry</w:t>
      </w:r>
      <w:r w:rsidRPr="000A74B3">
        <w:t xml:space="preserve"> has the same meaning as in the </w:t>
      </w:r>
      <w:r w:rsidR="00E11022" w:rsidRPr="000A74B3">
        <w:t>Disbursement Rules</w:t>
      </w:r>
      <w:r w:rsidRPr="000A74B3">
        <w:t>.</w:t>
      </w:r>
    </w:p>
    <w:p w14:paraId="3079A4A8" w14:textId="77777777" w:rsidR="00CD29E5" w:rsidRPr="000A74B3" w:rsidRDefault="00CD29E5" w:rsidP="00CD29E5">
      <w:pPr>
        <w:pStyle w:val="ActHead2"/>
        <w:pageBreakBefore/>
      </w:pPr>
      <w:bookmarkStart w:id="5" w:name="_Toc170984948"/>
      <w:r w:rsidRPr="007F1039">
        <w:rPr>
          <w:rStyle w:val="CharPartNo"/>
        </w:rPr>
        <w:lastRenderedPageBreak/>
        <w:t>Part 2</w:t>
      </w:r>
      <w:r w:rsidRPr="000A74B3">
        <w:t>—</w:t>
      </w:r>
      <w:r w:rsidR="00CD78F7" w:rsidRPr="007F1039">
        <w:rPr>
          <w:rStyle w:val="CharPartText"/>
        </w:rPr>
        <w:t>R</w:t>
      </w:r>
      <w:r w:rsidRPr="007F1039">
        <w:rPr>
          <w:rStyle w:val="CharPartText"/>
        </w:rPr>
        <w:t>esearch and development corporations</w:t>
      </w:r>
      <w:bookmarkEnd w:id="5"/>
    </w:p>
    <w:p w14:paraId="45AE849E" w14:textId="77777777" w:rsidR="00CD29E5" w:rsidRPr="007F1039" w:rsidRDefault="00C37824" w:rsidP="00C37824">
      <w:pPr>
        <w:pStyle w:val="Header"/>
      </w:pPr>
      <w:r w:rsidRPr="007F1039">
        <w:rPr>
          <w:rStyle w:val="CharDivNo"/>
        </w:rPr>
        <w:t xml:space="preserve"> </w:t>
      </w:r>
      <w:r w:rsidRPr="007F1039">
        <w:rPr>
          <w:rStyle w:val="CharDivText"/>
        </w:rPr>
        <w:t xml:space="preserve"> </w:t>
      </w:r>
    </w:p>
    <w:p w14:paraId="53227518" w14:textId="77777777" w:rsidR="00C37824" w:rsidRPr="000A74B3" w:rsidRDefault="00C37824" w:rsidP="00C37824">
      <w:pPr>
        <w:pStyle w:val="ActHead5"/>
      </w:pPr>
      <w:bookmarkStart w:id="6" w:name="_Toc170984949"/>
      <w:proofErr w:type="gramStart"/>
      <w:r w:rsidRPr="007F1039">
        <w:rPr>
          <w:rStyle w:val="CharSectno"/>
        </w:rPr>
        <w:t>5</w:t>
      </w:r>
      <w:r w:rsidRPr="000A74B3">
        <w:t xml:space="preserve">  Continuing</w:t>
      </w:r>
      <w:proofErr w:type="gramEnd"/>
      <w:r w:rsidRPr="000A74B3">
        <w:t xml:space="preserve"> in existence research and development corporations</w:t>
      </w:r>
      <w:bookmarkEnd w:id="6"/>
    </w:p>
    <w:p w14:paraId="6BF2EF6F" w14:textId="77777777" w:rsidR="00C37824" w:rsidRPr="000A74B3" w:rsidRDefault="00C37824" w:rsidP="00C37824">
      <w:pPr>
        <w:pStyle w:val="SubsectionHead"/>
      </w:pPr>
      <w:r w:rsidRPr="000A74B3">
        <w:t>Cotton Research and Development Corporation</w:t>
      </w:r>
    </w:p>
    <w:p w14:paraId="61D86DBB" w14:textId="77777777" w:rsidR="00C37824" w:rsidRPr="000A74B3" w:rsidRDefault="00C37824" w:rsidP="00C37824">
      <w:pPr>
        <w:pStyle w:val="subsection"/>
      </w:pPr>
      <w:r w:rsidRPr="000A74B3">
        <w:tab/>
        <w:t>(1)</w:t>
      </w:r>
      <w:r w:rsidRPr="000A74B3">
        <w:tab/>
        <w:t xml:space="preserve">For the purposes of </w:t>
      </w:r>
      <w:r w:rsidR="008C6E81" w:rsidRPr="000A74B3">
        <w:t>paragraph 8</w:t>
      </w:r>
      <w:r w:rsidRPr="000A74B3">
        <w:t>(b) of the Act, the body known immediately before the commencement of this subsection as the Cotton Research and Development Corporation is continued in existence with that same name.</w:t>
      </w:r>
    </w:p>
    <w:p w14:paraId="46F69B3D" w14:textId="77777777" w:rsidR="00C37824" w:rsidRPr="000A74B3" w:rsidRDefault="00C37824" w:rsidP="00C37824">
      <w:pPr>
        <w:pStyle w:val="SubsectionHead"/>
      </w:pPr>
      <w:r w:rsidRPr="000A74B3">
        <w:t>Fisheries Research and Development Corporation</w:t>
      </w:r>
    </w:p>
    <w:p w14:paraId="7DAE5A1C" w14:textId="77777777" w:rsidR="00C37824" w:rsidRPr="000A74B3" w:rsidRDefault="00C37824" w:rsidP="00C37824">
      <w:pPr>
        <w:pStyle w:val="subsection"/>
      </w:pPr>
      <w:r w:rsidRPr="000A74B3">
        <w:tab/>
        <w:t>(2)</w:t>
      </w:r>
      <w:r w:rsidRPr="000A74B3">
        <w:tab/>
        <w:t xml:space="preserve">For the purposes of </w:t>
      </w:r>
      <w:r w:rsidR="008C6E81" w:rsidRPr="000A74B3">
        <w:t>paragraph 8</w:t>
      </w:r>
      <w:r w:rsidRPr="000A74B3">
        <w:t>(b) of the Act, the body known immediately before the commencement of this subsection as the Fisheries Research and Development Corporation is continued in existence with that same name.</w:t>
      </w:r>
    </w:p>
    <w:p w14:paraId="24C3D40B" w14:textId="77777777" w:rsidR="00C37824" w:rsidRPr="000A74B3" w:rsidRDefault="00C37824" w:rsidP="00C37824">
      <w:pPr>
        <w:pStyle w:val="SubsectionHead"/>
      </w:pPr>
      <w:r w:rsidRPr="000A74B3">
        <w:t>Grains Research and Development Corporation</w:t>
      </w:r>
    </w:p>
    <w:p w14:paraId="07AA64D2" w14:textId="77777777" w:rsidR="00C37824" w:rsidRPr="000A74B3" w:rsidRDefault="00C37824" w:rsidP="00C37824">
      <w:pPr>
        <w:pStyle w:val="subsection"/>
      </w:pPr>
      <w:r w:rsidRPr="000A74B3">
        <w:tab/>
        <w:t>(3)</w:t>
      </w:r>
      <w:r w:rsidRPr="000A74B3">
        <w:tab/>
        <w:t xml:space="preserve">For the purposes of </w:t>
      </w:r>
      <w:r w:rsidR="008C6E81" w:rsidRPr="000A74B3">
        <w:t>paragraph 8</w:t>
      </w:r>
      <w:r w:rsidRPr="000A74B3">
        <w:t>(b) of the Act, the body known immediately before the commencement of this subsection as the Grains Research and Development Corporation is continued in existence with that same name.</w:t>
      </w:r>
    </w:p>
    <w:p w14:paraId="2EEA6FF5" w14:textId="77777777" w:rsidR="00131519" w:rsidRPr="000A74B3" w:rsidRDefault="00591308" w:rsidP="00131519">
      <w:pPr>
        <w:pStyle w:val="ActHead5"/>
      </w:pPr>
      <w:bookmarkStart w:id="7" w:name="_Toc170984950"/>
      <w:proofErr w:type="gramStart"/>
      <w:r w:rsidRPr="007F1039">
        <w:rPr>
          <w:rStyle w:val="CharSectno"/>
        </w:rPr>
        <w:t>6</w:t>
      </w:r>
      <w:r w:rsidR="00131519" w:rsidRPr="000A74B3">
        <w:t xml:space="preserve">  </w:t>
      </w:r>
      <w:r w:rsidR="00CC1C67" w:rsidRPr="000A74B3">
        <w:t>Fisheries</w:t>
      </w:r>
      <w:proofErr w:type="gramEnd"/>
      <w:r w:rsidR="00CC1C67" w:rsidRPr="000A74B3">
        <w:t xml:space="preserve"> Research and Development Corporation</w:t>
      </w:r>
      <w:bookmarkEnd w:id="7"/>
    </w:p>
    <w:p w14:paraId="72D5CF29" w14:textId="77777777" w:rsidR="00591308" w:rsidRPr="000A74B3" w:rsidRDefault="00591308" w:rsidP="00252E7B">
      <w:pPr>
        <w:pStyle w:val="SubsectionHead"/>
      </w:pPr>
      <w:r w:rsidRPr="000A74B3">
        <w:t>Annual Report</w:t>
      </w:r>
    </w:p>
    <w:p w14:paraId="0F794AD6" w14:textId="77777777" w:rsidR="00591308" w:rsidRPr="000A74B3" w:rsidRDefault="00591308" w:rsidP="00591308">
      <w:pPr>
        <w:pStyle w:val="subsection"/>
      </w:pPr>
      <w:r w:rsidRPr="000A74B3">
        <w:tab/>
      </w:r>
      <w:r w:rsidR="00252E7B" w:rsidRPr="000A74B3">
        <w:t>(1)</w:t>
      </w:r>
      <w:r w:rsidRPr="000A74B3">
        <w:tab/>
        <w:t>For the purposes of paragraph 28(d) of the Act, the fishing industry is a prescribed primary industry.</w:t>
      </w:r>
    </w:p>
    <w:p w14:paraId="3B38BFCC" w14:textId="77777777" w:rsidR="00591308" w:rsidRPr="000A74B3" w:rsidRDefault="00591308" w:rsidP="00252E7B">
      <w:pPr>
        <w:pStyle w:val="SubsectionHead"/>
      </w:pPr>
      <w:r w:rsidRPr="000A74B3">
        <w:t>Accountability to representative organisations</w:t>
      </w:r>
    </w:p>
    <w:p w14:paraId="0B22B69A" w14:textId="77777777" w:rsidR="00131519" w:rsidRPr="000A74B3" w:rsidRDefault="00591308" w:rsidP="00C57222">
      <w:pPr>
        <w:pStyle w:val="subsection"/>
      </w:pPr>
      <w:r w:rsidRPr="000A74B3">
        <w:tab/>
      </w:r>
      <w:r w:rsidR="00252E7B" w:rsidRPr="000A74B3">
        <w:t>(2)</w:t>
      </w:r>
      <w:r w:rsidRPr="000A74B3">
        <w:tab/>
        <w:t>For the purposes of subparagraph 29(b)(iii) of the Act, the fishing industry is a prescribed primary industry.</w:t>
      </w:r>
    </w:p>
    <w:p w14:paraId="4DC3DBFB" w14:textId="77777777" w:rsidR="00CC1C67" w:rsidRPr="000A74B3" w:rsidRDefault="00CC1C67" w:rsidP="00CC1C67">
      <w:pPr>
        <w:pStyle w:val="ActHead5"/>
      </w:pPr>
      <w:bookmarkStart w:id="8" w:name="_Toc170984951"/>
      <w:proofErr w:type="gramStart"/>
      <w:r w:rsidRPr="007F1039">
        <w:rPr>
          <w:rStyle w:val="CharSectno"/>
        </w:rPr>
        <w:t>7</w:t>
      </w:r>
      <w:r w:rsidRPr="000A74B3">
        <w:t xml:space="preserve">  Grains</w:t>
      </w:r>
      <w:proofErr w:type="gramEnd"/>
      <w:r w:rsidRPr="000A74B3">
        <w:t xml:space="preserve"> Research and Development Corporation</w:t>
      </w:r>
      <w:bookmarkEnd w:id="8"/>
    </w:p>
    <w:p w14:paraId="6DDB0233" w14:textId="77777777" w:rsidR="00CC1C67" w:rsidRPr="000A74B3" w:rsidRDefault="00CC1C67" w:rsidP="00CC1C67">
      <w:pPr>
        <w:pStyle w:val="subsection"/>
      </w:pPr>
      <w:r w:rsidRPr="000A74B3">
        <w:tab/>
      </w:r>
      <w:r w:rsidRPr="000A74B3">
        <w:tab/>
        <w:t xml:space="preserve">For the purposes of </w:t>
      </w:r>
      <w:r w:rsidR="008C6E81" w:rsidRPr="000A74B3">
        <w:t>paragraph 4</w:t>
      </w:r>
      <w:r w:rsidRPr="000A74B3">
        <w:t>0</w:t>
      </w:r>
      <w:r w:rsidR="00683B42" w:rsidRPr="000A74B3">
        <w:t>(a)</w:t>
      </w:r>
      <w:r w:rsidRPr="000A74B3">
        <w:t xml:space="preserve"> of the Act, the </w:t>
      </w:r>
      <w:r w:rsidR="004B747F" w:rsidRPr="000A74B3">
        <w:t>Grains Research and Development Corporation</w:t>
      </w:r>
      <w:r w:rsidRPr="000A74B3">
        <w:t xml:space="preserve"> must keep separate accounting records in relation to </w:t>
      </w:r>
      <w:r w:rsidR="006F411C" w:rsidRPr="000A74B3">
        <w:t xml:space="preserve">the funding of </w:t>
      </w:r>
      <w:r w:rsidR="00A33343" w:rsidRPr="000A74B3">
        <w:t>research and development activities</w:t>
      </w:r>
      <w:r w:rsidRPr="000A74B3">
        <w:t xml:space="preserve"> carried out:</w:t>
      </w:r>
    </w:p>
    <w:p w14:paraId="05F04C73" w14:textId="77777777" w:rsidR="00CC1C67" w:rsidRPr="000A74B3" w:rsidRDefault="00CC1C67" w:rsidP="00CC1C67">
      <w:pPr>
        <w:pStyle w:val="paragraph"/>
      </w:pPr>
      <w:r w:rsidRPr="000A74B3">
        <w:tab/>
        <w:t>(a)</w:t>
      </w:r>
      <w:r w:rsidRPr="000A74B3">
        <w:tab/>
        <w:t>in accordance with a joint venture agreement; or</w:t>
      </w:r>
    </w:p>
    <w:p w14:paraId="6EB19D3C" w14:textId="77777777" w:rsidR="00CC1C67" w:rsidRPr="000A74B3" w:rsidRDefault="00CC1C67" w:rsidP="00CC1C67">
      <w:pPr>
        <w:pStyle w:val="paragraph"/>
      </w:pPr>
      <w:r w:rsidRPr="000A74B3">
        <w:tab/>
        <w:t>(b)</w:t>
      </w:r>
      <w:r w:rsidRPr="000A74B3">
        <w:tab/>
        <w:t>by a subsidiary of th</w:t>
      </w:r>
      <w:r w:rsidR="00901051" w:rsidRPr="000A74B3">
        <w:t>at</w:t>
      </w:r>
      <w:r w:rsidRPr="000A74B3">
        <w:t xml:space="preserve"> Corporation.</w:t>
      </w:r>
    </w:p>
    <w:p w14:paraId="2EE9EF40" w14:textId="77777777" w:rsidR="004E1993" w:rsidRPr="000A74B3" w:rsidRDefault="004E1993" w:rsidP="004E1993">
      <w:pPr>
        <w:pStyle w:val="ActHead5"/>
      </w:pPr>
      <w:bookmarkStart w:id="9" w:name="_Toc170984952"/>
      <w:proofErr w:type="gramStart"/>
      <w:r w:rsidRPr="007F1039">
        <w:rPr>
          <w:rStyle w:val="CharSectno"/>
        </w:rPr>
        <w:t>8</w:t>
      </w:r>
      <w:r w:rsidRPr="000A74B3">
        <w:t xml:space="preserve">  Rural</w:t>
      </w:r>
      <w:proofErr w:type="gramEnd"/>
      <w:r w:rsidRPr="000A74B3">
        <w:t xml:space="preserve"> Industries Research and Development Corporation</w:t>
      </w:r>
      <w:bookmarkEnd w:id="9"/>
    </w:p>
    <w:p w14:paraId="5F8C25D1" w14:textId="77777777" w:rsidR="00AF70BC" w:rsidRPr="000A74B3" w:rsidRDefault="00AF70BC" w:rsidP="00AF70BC">
      <w:pPr>
        <w:pStyle w:val="SubsectionHead"/>
      </w:pPr>
      <w:r w:rsidRPr="000A74B3">
        <w:t>Keeping of separate accounting records</w:t>
      </w:r>
    </w:p>
    <w:p w14:paraId="1E93AC47" w14:textId="77777777" w:rsidR="00BF715B" w:rsidRPr="000A74B3" w:rsidRDefault="00BF715B" w:rsidP="00BF715B">
      <w:pPr>
        <w:pStyle w:val="subsection"/>
      </w:pPr>
      <w:r w:rsidRPr="000A74B3">
        <w:tab/>
        <w:t>(1)</w:t>
      </w:r>
      <w:r w:rsidRPr="000A74B3">
        <w:tab/>
        <w:t xml:space="preserve">For </w:t>
      </w:r>
      <w:r w:rsidR="00842EB3" w:rsidRPr="000A74B3">
        <w:t xml:space="preserve">the purposes of </w:t>
      </w:r>
      <w:r w:rsidR="008C6E81" w:rsidRPr="000A74B3">
        <w:t>paragraph 4</w:t>
      </w:r>
      <w:r w:rsidRPr="000A74B3">
        <w:t xml:space="preserve">0(a) of the Act, the </w:t>
      </w:r>
      <w:r w:rsidR="005670D8" w:rsidRPr="000A74B3">
        <w:t>Rural Industries Research and Development Corporation</w:t>
      </w:r>
      <w:r w:rsidRPr="000A74B3">
        <w:t xml:space="preserve"> must keep separate accounting records </w:t>
      </w:r>
      <w:r w:rsidR="005670D8" w:rsidRPr="000A74B3">
        <w:t>in relation to the funding of research and development activities</w:t>
      </w:r>
      <w:r w:rsidRPr="000A74B3">
        <w:t xml:space="preserve"> </w:t>
      </w:r>
      <w:r w:rsidR="003060DD" w:rsidRPr="000A74B3">
        <w:t>for</w:t>
      </w:r>
      <w:r w:rsidRPr="000A74B3">
        <w:t xml:space="preserve"> </w:t>
      </w:r>
      <w:r w:rsidR="004B3150" w:rsidRPr="000A74B3">
        <w:t xml:space="preserve">each </w:t>
      </w:r>
      <w:r w:rsidR="00BF4F87" w:rsidRPr="000A74B3">
        <w:t xml:space="preserve">industry </w:t>
      </w:r>
      <w:r w:rsidR="00007D18" w:rsidRPr="000A74B3">
        <w:t>covered by</w:t>
      </w:r>
      <w:r w:rsidR="00BF4F87" w:rsidRPr="000A74B3">
        <w:t xml:space="preserve"> column 1 of an item </w:t>
      </w:r>
      <w:r w:rsidR="00716916" w:rsidRPr="000A74B3">
        <w:t xml:space="preserve">(the </w:t>
      </w:r>
      <w:r w:rsidR="0006725B" w:rsidRPr="000A74B3">
        <w:rPr>
          <w:b/>
          <w:i/>
        </w:rPr>
        <w:t>applicable</w:t>
      </w:r>
      <w:r w:rsidR="00716916" w:rsidRPr="000A74B3">
        <w:rPr>
          <w:b/>
          <w:i/>
        </w:rPr>
        <w:t xml:space="preserve"> item</w:t>
      </w:r>
      <w:r w:rsidR="00716916" w:rsidRPr="000A74B3">
        <w:t xml:space="preserve">) </w:t>
      </w:r>
      <w:r w:rsidR="00BF4F87" w:rsidRPr="000A74B3">
        <w:t>in the table at the end of this section</w:t>
      </w:r>
      <w:r w:rsidRPr="000A74B3">
        <w:t>.</w:t>
      </w:r>
    </w:p>
    <w:p w14:paraId="2244E21B" w14:textId="77777777" w:rsidR="00AF70BC" w:rsidRPr="000A74B3" w:rsidRDefault="00AF70BC" w:rsidP="00AF70BC">
      <w:pPr>
        <w:pStyle w:val="SubsectionHead"/>
      </w:pPr>
      <w:r w:rsidRPr="000A74B3">
        <w:lastRenderedPageBreak/>
        <w:t>Amounts to be credited in the accounting records</w:t>
      </w:r>
    </w:p>
    <w:p w14:paraId="47A2F622" w14:textId="77777777" w:rsidR="00BF715B" w:rsidRPr="000A74B3" w:rsidRDefault="00BF715B" w:rsidP="00BF715B">
      <w:pPr>
        <w:pStyle w:val="subsection"/>
      </w:pPr>
      <w:r w:rsidRPr="000A74B3">
        <w:tab/>
        <w:t>(2)</w:t>
      </w:r>
      <w:r w:rsidRPr="000A74B3">
        <w:tab/>
        <w:t xml:space="preserve">For </w:t>
      </w:r>
      <w:r w:rsidR="00DE5CFC" w:rsidRPr="000A74B3">
        <w:t xml:space="preserve">the purposes of </w:t>
      </w:r>
      <w:r w:rsidR="008C6E81" w:rsidRPr="000A74B3">
        <w:t>paragraph 4</w:t>
      </w:r>
      <w:r w:rsidRPr="000A74B3">
        <w:t>0(b) of the Act, the following amounts must be credited in th</w:t>
      </w:r>
      <w:r w:rsidR="005670D8" w:rsidRPr="000A74B3">
        <w:t>ose</w:t>
      </w:r>
      <w:r w:rsidRPr="000A74B3">
        <w:t xml:space="preserve"> accounting records:</w:t>
      </w:r>
    </w:p>
    <w:p w14:paraId="51C94566" w14:textId="77777777" w:rsidR="00F62FF6" w:rsidRPr="000A74B3" w:rsidRDefault="004219A9" w:rsidP="00BF715B">
      <w:pPr>
        <w:pStyle w:val="paragraph"/>
      </w:pPr>
      <w:r w:rsidRPr="000A74B3">
        <w:tab/>
        <w:t>(a)</w:t>
      </w:r>
      <w:r w:rsidRPr="000A74B3">
        <w:tab/>
        <w:t>amounts paid to th</w:t>
      </w:r>
      <w:r w:rsidR="008F584B" w:rsidRPr="000A74B3">
        <w:t>at</w:t>
      </w:r>
      <w:r w:rsidR="005670D8" w:rsidRPr="000A74B3">
        <w:t xml:space="preserve"> Corporation under </w:t>
      </w:r>
      <w:r w:rsidR="008C6E81" w:rsidRPr="000A74B3">
        <w:t>subsection 1</w:t>
      </w:r>
      <w:r w:rsidR="00D53156" w:rsidRPr="000A74B3">
        <w:t xml:space="preserve">5(1) of the </w:t>
      </w:r>
      <w:r w:rsidR="00D53156" w:rsidRPr="000A74B3">
        <w:rPr>
          <w:i/>
        </w:rPr>
        <w:t>Primary Industries Levies and Charges Disbursement Act 2024</w:t>
      </w:r>
      <w:r w:rsidR="00D53156" w:rsidRPr="000A74B3">
        <w:t>, to the extent those amounts</w:t>
      </w:r>
      <w:r w:rsidR="00F62FF6" w:rsidRPr="000A74B3">
        <w:t>:</w:t>
      </w:r>
    </w:p>
    <w:p w14:paraId="31784C19" w14:textId="77777777" w:rsidR="00F62FF6" w:rsidRPr="000A74B3" w:rsidRDefault="00F62FF6" w:rsidP="00F62FF6">
      <w:pPr>
        <w:pStyle w:val="paragraphsub"/>
      </w:pPr>
      <w:r w:rsidRPr="000A74B3">
        <w:tab/>
        <w:t>(</w:t>
      </w:r>
      <w:proofErr w:type="spellStart"/>
      <w:r w:rsidRPr="000A74B3">
        <w:t>i</w:t>
      </w:r>
      <w:proofErr w:type="spellEnd"/>
      <w:r w:rsidRPr="000A74B3">
        <w:t>)</w:t>
      </w:r>
      <w:r w:rsidRPr="000A74B3">
        <w:tab/>
        <w:t xml:space="preserve">are </w:t>
      </w:r>
      <w:r w:rsidR="00076693" w:rsidRPr="000A74B3">
        <w:t xml:space="preserve">equal to </w:t>
      </w:r>
      <w:r w:rsidR="00076693" w:rsidRPr="000A74B3">
        <w:rPr>
          <w:noProof/>
        </w:rPr>
        <w:t xml:space="preserve">the </w:t>
      </w:r>
      <w:r w:rsidR="00076693" w:rsidRPr="000A74B3">
        <w:t>research and development collected amounts</w:t>
      </w:r>
      <w:r w:rsidRPr="000A74B3">
        <w:t xml:space="preserve"> (within the meaning of the </w:t>
      </w:r>
      <w:r w:rsidRPr="000A74B3">
        <w:rPr>
          <w:i/>
        </w:rPr>
        <w:t>Primary Industries Levies and Charges Disbursement Act 2024</w:t>
      </w:r>
      <w:r w:rsidRPr="000A74B3">
        <w:t>); and</w:t>
      </w:r>
    </w:p>
    <w:p w14:paraId="6F0C2017" w14:textId="77777777" w:rsidR="004219A9" w:rsidRPr="000A74B3" w:rsidRDefault="00F62FF6" w:rsidP="00F62FF6">
      <w:pPr>
        <w:pStyle w:val="paragraphsub"/>
      </w:pPr>
      <w:r w:rsidRPr="000A74B3">
        <w:tab/>
        <w:t>(ii)</w:t>
      </w:r>
      <w:r w:rsidRPr="000A74B3">
        <w:tab/>
      </w:r>
      <w:r w:rsidR="00D53156" w:rsidRPr="000A74B3">
        <w:t>relate to</w:t>
      </w:r>
      <w:r w:rsidR="00D05C7F" w:rsidRPr="000A74B3">
        <w:t xml:space="preserve"> </w:t>
      </w:r>
      <w:r w:rsidR="000C1FDC" w:rsidRPr="000A74B3">
        <w:t xml:space="preserve">a </w:t>
      </w:r>
      <w:r w:rsidR="00007D18" w:rsidRPr="000A74B3">
        <w:t xml:space="preserve">levy or charge </w:t>
      </w:r>
      <w:r w:rsidR="001C3C4E" w:rsidRPr="000A74B3">
        <w:t xml:space="preserve">covered by column 2 </w:t>
      </w:r>
      <w:r w:rsidR="008F584B" w:rsidRPr="000A74B3">
        <w:t>of th</w:t>
      </w:r>
      <w:r w:rsidR="00B22F87" w:rsidRPr="000A74B3">
        <w:t>e</w:t>
      </w:r>
      <w:r w:rsidR="008F584B" w:rsidRPr="000A74B3">
        <w:t xml:space="preserve"> </w:t>
      </w:r>
      <w:r w:rsidR="00B22F87" w:rsidRPr="000A74B3">
        <w:t xml:space="preserve">applicable </w:t>
      </w:r>
      <w:r w:rsidR="008F584B" w:rsidRPr="000A74B3">
        <w:t xml:space="preserve">item </w:t>
      </w:r>
      <w:r w:rsidR="001C3C4E" w:rsidRPr="000A74B3">
        <w:t xml:space="preserve">(and known as the levy or charge described in column </w:t>
      </w:r>
      <w:r w:rsidR="001237F4" w:rsidRPr="000A74B3">
        <w:t>3</w:t>
      </w:r>
      <w:r w:rsidR="001C3C4E" w:rsidRPr="000A74B3">
        <w:t xml:space="preserve"> of th</w:t>
      </w:r>
      <w:r w:rsidR="00B22F87" w:rsidRPr="000A74B3">
        <w:t>e</w:t>
      </w:r>
      <w:r w:rsidR="001C3C4E" w:rsidRPr="000A74B3">
        <w:t xml:space="preserve"> </w:t>
      </w:r>
      <w:r w:rsidR="00B22F87" w:rsidRPr="000A74B3">
        <w:t xml:space="preserve">applicable </w:t>
      </w:r>
      <w:r w:rsidR="001C3C4E" w:rsidRPr="000A74B3">
        <w:t>item</w:t>
      </w:r>
      <w:proofErr w:type="gramStart"/>
      <w:r w:rsidR="001C3C4E" w:rsidRPr="000A74B3">
        <w:t>)</w:t>
      </w:r>
      <w:r w:rsidR="00EE0D7E" w:rsidRPr="000A74B3">
        <w:t>;</w:t>
      </w:r>
      <w:proofErr w:type="gramEnd"/>
    </w:p>
    <w:p w14:paraId="3F37F75C" w14:textId="77777777" w:rsidR="00BF715B" w:rsidRPr="000A74B3" w:rsidRDefault="00BF715B" w:rsidP="00BF715B">
      <w:pPr>
        <w:pStyle w:val="paragraph"/>
      </w:pPr>
      <w:r w:rsidRPr="000A74B3">
        <w:tab/>
        <w:t>(</w:t>
      </w:r>
      <w:r w:rsidR="00D74429" w:rsidRPr="000A74B3">
        <w:t>b</w:t>
      </w:r>
      <w:r w:rsidRPr="000A74B3">
        <w:t>)</w:t>
      </w:r>
      <w:r w:rsidRPr="000A74B3">
        <w:tab/>
        <w:t>amounts received by th</w:t>
      </w:r>
      <w:r w:rsidR="0042742C" w:rsidRPr="000A74B3">
        <w:t>at</w:t>
      </w:r>
      <w:r w:rsidRPr="000A74B3">
        <w:t xml:space="preserve"> Corporation as contributions to the cost of </w:t>
      </w:r>
      <w:r w:rsidR="003E112E" w:rsidRPr="000A74B3">
        <w:t>research and development activities</w:t>
      </w:r>
      <w:r w:rsidRPr="000A74B3">
        <w:t xml:space="preserve"> relating to </w:t>
      </w:r>
      <w:r w:rsidR="00CC235B" w:rsidRPr="000A74B3">
        <w:t xml:space="preserve">the industry covered by column 1 </w:t>
      </w:r>
      <w:r w:rsidR="00B22F87" w:rsidRPr="000A74B3">
        <w:t xml:space="preserve">of the applicable </w:t>
      </w:r>
      <w:proofErr w:type="gramStart"/>
      <w:r w:rsidR="00B22F87" w:rsidRPr="000A74B3">
        <w:t>item</w:t>
      </w:r>
      <w:r w:rsidRPr="000A74B3">
        <w:t>;</w:t>
      </w:r>
      <w:proofErr w:type="gramEnd"/>
    </w:p>
    <w:p w14:paraId="61195891" w14:textId="77777777" w:rsidR="00BF715B" w:rsidRPr="000A74B3" w:rsidRDefault="00BF715B" w:rsidP="00BF715B">
      <w:pPr>
        <w:pStyle w:val="paragraph"/>
      </w:pPr>
      <w:r w:rsidRPr="000A74B3">
        <w:tab/>
        <w:t>(</w:t>
      </w:r>
      <w:r w:rsidR="00D74429" w:rsidRPr="000A74B3">
        <w:t>c</w:t>
      </w:r>
      <w:r w:rsidRPr="000A74B3">
        <w:t>)</w:t>
      </w:r>
      <w:r w:rsidRPr="000A74B3">
        <w:tab/>
        <w:t>amounts received by th</w:t>
      </w:r>
      <w:r w:rsidR="0042742C" w:rsidRPr="000A74B3">
        <w:t>at</w:t>
      </w:r>
      <w:r w:rsidRPr="000A74B3">
        <w:t xml:space="preserve"> Corporation:</w:t>
      </w:r>
    </w:p>
    <w:p w14:paraId="24678BD8" w14:textId="77777777" w:rsidR="00BF715B" w:rsidRPr="000A74B3" w:rsidRDefault="00BF715B" w:rsidP="00BF715B">
      <w:pPr>
        <w:pStyle w:val="paragraphsub"/>
      </w:pPr>
      <w:r w:rsidRPr="000A74B3">
        <w:tab/>
        <w:t>(</w:t>
      </w:r>
      <w:proofErr w:type="spellStart"/>
      <w:r w:rsidRPr="000A74B3">
        <w:t>i</w:t>
      </w:r>
      <w:proofErr w:type="spellEnd"/>
      <w:r w:rsidRPr="000A74B3">
        <w:t>)</w:t>
      </w:r>
      <w:r w:rsidRPr="000A74B3">
        <w:tab/>
        <w:t>from the sale of property paid for by money spent by th</w:t>
      </w:r>
      <w:r w:rsidR="0042742C" w:rsidRPr="000A74B3">
        <w:t>at</w:t>
      </w:r>
      <w:r w:rsidRPr="000A74B3">
        <w:t xml:space="preserve"> Corporation under section 33 of the Act</w:t>
      </w:r>
      <w:r w:rsidR="00134B61" w:rsidRPr="000A74B3">
        <w:t xml:space="preserve">, or </w:t>
      </w:r>
      <w:r w:rsidR="008C6E81" w:rsidRPr="000A74B3">
        <w:t>section 2</w:t>
      </w:r>
      <w:r w:rsidR="00134B61" w:rsidRPr="000A74B3">
        <w:t xml:space="preserve">2 of the </w:t>
      </w:r>
      <w:r w:rsidR="00134B61" w:rsidRPr="000A74B3">
        <w:rPr>
          <w:i/>
        </w:rPr>
        <w:t>Primary Industries Levies and Charges Disbursement Act 2024</w:t>
      </w:r>
      <w:r w:rsidR="00134B61" w:rsidRPr="000A74B3">
        <w:t xml:space="preserve">, </w:t>
      </w:r>
      <w:r w:rsidRPr="000A74B3">
        <w:t xml:space="preserve">on </w:t>
      </w:r>
      <w:r w:rsidR="00C24757" w:rsidRPr="000A74B3">
        <w:t>research and development activities</w:t>
      </w:r>
      <w:r w:rsidRPr="000A74B3">
        <w:t xml:space="preserve"> relating to th</w:t>
      </w:r>
      <w:r w:rsidR="00A2763D" w:rsidRPr="000A74B3">
        <w:t>at</w:t>
      </w:r>
      <w:r w:rsidRPr="000A74B3">
        <w:t xml:space="preserve"> industry; or</w:t>
      </w:r>
    </w:p>
    <w:p w14:paraId="336C96CA" w14:textId="77777777" w:rsidR="00BF715B" w:rsidRPr="000A74B3" w:rsidRDefault="00BF715B" w:rsidP="00BF715B">
      <w:pPr>
        <w:pStyle w:val="paragraphsub"/>
      </w:pPr>
      <w:r w:rsidRPr="000A74B3">
        <w:tab/>
        <w:t>(ii)</w:t>
      </w:r>
      <w:r w:rsidRPr="000A74B3">
        <w:tab/>
        <w:t xml:space="preserve">from the sale of property produced </w:t>
      </w:r>
      <w:proofErr w:type="gramStart"/>
      <w:r w:rsidRPr="000A74B3">
        <w:t>in the course of</w:t>
      </w:r>
      <w:proofErr w:type="gramEnd"/>
      <w:r w:rsidRPr="000A74B3">
        <w:t xml:space="preserve"> carrying out </w:t>
      </w:r>
      <w:r w:rsidR="00134B61" w:rsidRPr="000A74B3">
        <w:t>research and development activities</w:t>
      </w:r>
      <w:r w:rsidRPr="000A74B3">
        <w:t xml:space="preserve"> relating to that industry; or</w:t>
      </w:r>
    </w:p>
    <w:p w14:paraId="67E19B7F" w14:textId="77777777" w:rsidR="00BF715B" w:rsidRPr="000A74B3" w:rsidRDefault="00BF715B" w:rsidP="00BF715B">
      <w:pPr>
        <w:pStyle w:val="paragraphsub"/>
      </w:pPr>
      <w:r w:rsidRPr="000A74B3">
        <w:tab/>
        <w:t>(iii)</w:t>
      </w:r>
      <w:r w:rsidRPr="000A74B3">
        <w:tab/>
        <w:t xml:space="preserve">from dealings in patents or other intellectual property arising out of the carrying out of </w:t>
      </w:r>
      <w:r w:rsidR="00134B61" w:rsidRPr="000A74B3">
        <w:t>research and development activities</w:t>
      </w:r>
      <w:r w:rsidRPr="000A74B3">
        <w:t xml:space="preserve"> relating to that industry; or</w:t>
      </w:r>
    </w:p>
    <w:p w14:paraId="5517485A" w14:textId="77777777" w:rsidR="00BF715B" w:rsidRPr="000A74B3" w:rsidRDefault="00BF715B" w:rsidP="00BF715B">
      <w:pPr>
        <w:pStyle w:val="paragraphsub"/>
      </w:pPr>
      <w:r w:rsidRPr="000A74B3">
        <w:tab/>
        <w:t>(iv)</w:t>
      </w:r>
      <w:r w:rsidRPr="000A74B3">
        <w:tab/>
        <w:t>for work paid for by money spent by th</w:t>
      </w:r>
      <w:r w:rsidR="00411D38" w:rsidRPr="000A74B3">
        <w:t>at</w:t>
      </w:r>
      <w:r w:rsidRPr="000A74B3">
        <w:t xml:space="preserve"> Corporation under section 33 of the Act</w:t>
      </w:r>
      <w:r w:rsidR="00D74429" w:rsidRPr="000A74B3">
        <w:t xml:space="preserve">, or </w:t>
      </w:r>
      <w:r w:rsidR="008C6E81" w:rsidRPr="000A74B3">
        <w:t>section 2</w:t>
      </w:r>
      <w:r w:rsidR="00D74429" w:rsidRPr="000A74B3">
        <w:t xml:space="preserve">2 of the </w:t>
      </w:r>
      <w:r w:rsidR="00D74429" w:rsidRPr="000A74B3">
        <w:rPr>
          <w:i/>
        </w:rPr>
        <w:t>Primary Industries Levies and Charges Disbursement Act 2024</w:t>
      </w:r>
      <w:r w:rsidR="00D74429" w:rsidRPr="000A74B3">
        <w:t>,</w:t>
      </w:r>
      <w:r w:rsidRPr="000A74B3">
        <w:t xml:space="preserve"> on </w:t>
      </w:r>
      <w:r w:rsidR="00D74429" w:rsidRPr="000A74B3">
        <w:t>research and development activities</w:t>
      </w:r>
      <w:r w:rsidRPr="000A74B3">
        <w:t xml:space="preserve"> relating to that </w:t>
      </w:r>
      <w:proofErr w:type="gramStart"/>
      <w:r w:rsidRPr="000A74B3">
        <w:t>industry;</w:t>
      </w:r>
      <w:proofErr w:type="gramEnd"/>
    </w:p>
    <w:p w14:paraId="793F9024" w14:textId="77777777" w:rsidR="00BF715B" w:rsidRPr="000A74B3" w:rsidRDefault="00BF715B" w:rsidP="00BF715B">
      <w:pPr>
        <w:pStyle w:val="paragraph"/>
      </w:pPr>
      <w:r w:rsidRPr="000A74B3">
        <w:tab/>
        <w:t>(</w:t>
      </w:r>
      <w:r w:rsidR="00D74429" w:rsidRPr="000A74B3">
        <w:t>d</w:t>
      </w:r>
      <w:r w:rsidRPr="000A74B3">
        <w:t>)</w:t>
      </w:r>
      <w:r w:rsidRPr="000A74B3">
        <w:tab/>
        <w:t>amounts paid to th</w:t>
      </w:r>
      <w:r w:rsidR="00E12E51" w:rsidRPr="000A74B3">
        <w:t>at</w:t>
      </w:r>
      <w:r w:rsidRPr="000A74B3">
        <w:t xml:space="preserve"> Corporation as interest on investment of an amount mentioned in any of paragraphs (a) to (</w:t>
      </w:r>
      <w:r w:rsidR="00D74429" w:rsidRPr="000A74B3">
        <w:t>c</w:t>
      </w:r>
      <w:r w:rsidRPr="000A74B3">
        <w:t>).</w:t>
      </w:r>
    </w:p>
    <w:p w14:paraId="1689A10D" w14:textId="77777777" w:rsidR="008C0B05" w:rsidRPr="000A74B3" w:rsidRDefault="008C0B05" w:rsidP="008C0B05">
      <w:pPr>
        <w:pStyle w:val="SubsectionHead"/>
      </w:pPr>
      <w:r w:rsidRPr="000A74B3">
        <w:t>Amounts to be debited in the accounting records</w:t>
      </w:r>
    </w:p>
    <w:p w14:paraId="38F43FD2" w14:textId="77777777" w:rsidR="00BF715B" w:rsidRPr="000A74B3" w:rsidRDefault="00BF715B" w:rsidP="00BF715B">
      <w:pPr>
        <w:pStyle w:val="subsection"/>
      </w:pPr>
      <w:r w:rsidRPr="000A74B3">
        <w:tab/>
        <w:t>(3)</w:t>
      </w:r>
      <w:r w:rsidRPr="000A74B3">
        <w:tab/>
        <w:t xml:space="preserve">For </w:t>
      </w:r>
      <w:r w:rsidR="00D74429" w:rsidRPr="000A74B3">
        <w:t xml:space="preserve">the purposes of </w:t>
      </w:r>
      <w:r w:rsidR="008C6E81" w:rsidRPr="000A74B3">
        <w:t>paragraph 4</w:t>
      </w:r>
      <w:r w:rsidRPr="000A74B3">
        <w:t xml:space="preserve">0(b) of the Act, </w:t>
      </w:r>
      <w:r w:rsidR="008C0B05" w:rsidRPr="000A74B3">
        <w:t xml:space="preserve">the amounts to be debited </w:t>
      </w:r>
      <w:r w:rsidR="002646F4" w:rsidRPr="000A74B3">
        <w:t>in those accounting records are</w:t>
      </w:r>
      <w:r w:rsidR="008C0B05" w:rsidRPr="000A74B3">
        <w:t xml:space="preserve"> </w:t>
      </w:r>
      <w:r w:rsidRPr="000A74B3">
        <w:t xml:space="preserve">all amounts spent </w:t>
      </w:r>
      <w:r w:rsidR="00411D38" w:rsidRPr="000A74B3">
        <w:t xml:space="preserve">by that Corporation </w:t>
      </w:r>
      <w:r w:rsidRPr="000A74B3">
        <w:t>under section 33 of the Act</w:t>
      </w:r>
      <w:r w:rsidR="00C43858" w:rsidRPr="000A74B3">
        <w:t xml:space="preserve">, or </w:t>
      </w:r>
      <w:r w:rsidR="008C6E81" w:rsidRPr="000A74B3">
        <w:t>section 2</w:t>
      </w:r>
      <w:r w:rsidR="00C43858" w:rsidRPr="000A74B3">
        <w:t xml:space="preserve">2 of the </w:t>
      </w:r>
      <w:r w:rsidR="00C43858" w:rsidRPr="000A74B3">
        <w:rPr>
          <w:i/>
        </w:rPr>
        <w:t>Primary Industries Levies and Charges Disbursement Act 2024</w:t>
      </w:r>
      <w:r w:rsidR="00C43858" w:rsidRPr="000A74B3">
        <w:t>,</w:t>
      </w:r>
      <w:r w:rsidRPr="000A74B3">
        <w:t xml:space="preserve"> in relation to </w:t>
      </w:r>
      <w:r w:rsidR="00FA7D1C" w:rsidRPr="000A74B3">
        <w:t xml:space="preserve">the industry </w:t>
      </w:r>
      <w:r w:rsidR="00AA32D6" w:rsidRPr="000A74B3">
        <w:t xml:space="preserve">covered by </w:t>
      </w:r>
      <w:r w:rsidR="00452039" w:rsidRPr="000A74B3">
        <w:t>column 1 of the applicable item</w:t>
      </w:r>
      <w:r w:rsidR="002646F4" w:rsidRPr="000A74B3">
        <w:t>.</w:t>
      </w:r>
    </w:p>
    <w:p w14:paraId="0D413BCD" w14:textId="77777777" w:rsidR="00655753" w:rsidRPr="000A74B3" w:rsidRDefault="00655753" w:rsidP="0065575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277"/>
        <w:gridCol w:w="2789"/>
      </w:tblGrid>
      <w:tr w:rsidR="00655753" w:rsidRPr="000A74B3" w14:paraId="015A710F" w14:textId="77777777" w:rsidTr="00655753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9FD927" w14:textId="77777777" w:rsidR="00655753" w:rsidRPr="000A74B3" w:rsidRDefault="000A3D30" w:rsidP="00655753">
            <w:pPr>
              <w:pStyle w:val="TableHeading"/>
            </w:pPr>
            <w:r w:rsidRPr="000A74B3">
              <w:t>Accounting records</w:t>
            </w:r>
          </w:p>
        </w:tc>
      </w:tr>
      <w:tr w:rsidR="00655753" w:rsidRPr="000A74B3" w14:paraId="19F6D3D4" w14:textId="77777777" w:rsidTr="002B6DC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AFEF4B" w14:textId="77777777" w:rsidR="00655753" w:rsidRPr="000A74B3" w:rsidRDefault="00655753" w:rsidP="00655753">
            <w:pPr>
              <w:pStyle w:val="TableHeading"/>
            </w:pPr>
            <w:r w:rsidRPr="000A74B3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7BD57B" w14:textId="77777777" w:rsidR="00655753" w:rsidRPr="000A74B3" w:rsidRDefault="00655753" w:rsidP="00655753">
            <w:pPr>
              <w:pStyle w:val="TableHeading"/>
            </w:pPr>
            <w:r w:rsidRPr="000A74B3">
              <w:t>Column 1</w:t>
            </w:r>
            <w:r w:rsidRPr="000A74B3">
              <w:br/>
            </w:r>
            <w:r w:rsidR="000A3D30" w:rsidRPr="000A74B3">
              <w:t>Industry</w:t>
            </w:r>
          </w:p>
        </w:tc>
        <w:tc>
          <w:tcPr>
            <w:tcW w:w="22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B9AEBA" w14:textId="77777777" w:rsidR="00655753" w:rsidRPr="000A74B3" w:rsidRDefault="00655753" w:rsidP="00655753">
            <w:pPr>
              <w:pStyle w:val="TableHeading"/>
            </w:pPr>
            <w:r w:rsidRPr="000A74B3">
              <w:t>Column 2</w:t>
            </w:r>
            <w:r w:rsidRPr="000A74B3">
              <w:br/>
              <w:t>Levy or charge</w:t>
            </w:r>
          </w:p>
        </w:tc>
        <w:tc>
          <w:tcPr>
            <w:tcW w:w="278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70E466" w14:textId="77777777" w:rsidR="00655753" w:rsidRPr="000A74B3" w:rsidRDefault="00655753" w:rsidP="00655753">
            <w:pPr>
              <w:pStyle w:val="TableHeading"/>
            </w:pPr>
            <w:r w:rsidRPr="000A74B3">
              <w:t>Column 3</w:t>
            </w:r>
            <w:r w:rsidRPr="000A74B3">
              <w:br/>
            </w:r>
            <w:r w:rsidR="00A32D12" w:rsidRPr="000A74B3">
              <w:t>Common name</w:t>
            </w:r>
            <w:r w:rsidR="00584EB1" w:rsidRPr="000A74B3">
              <w:t xml:space="preserve"> of levy or charge</w:t>
            </w:r>
          </w:p>
        </w:tc>
      </w:tr>
      <w:tr w:rsidR="00EB2FC8" w:rsidRPr="000A74B3" w14:paraId="5E0262DE" w14:textId="77777777" w:rsidTr="002B6DC6"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D293D64" w14:textId="77777777" w:rsidR="00EB2FC8" w:rsidRPr="000A74B3" w:rsidRDefault="00EB2FC8" w:rsidP="004F4D64">
            <w:pPr>
              <w:pStyle w:val="Tabletext"/>
            </w:pPr>
            <w:r w:rsidRPr="000A74B3">
              <w:t>1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224E2D9" w14:textId="77777777" w:rsidR="00EB2FC8" w:rsidRPr="000A74B3" w:rsidRDefault="00EB2FC8" w:rsidP="004F4D64">
            <w:pPr>
              <w:pStyle w:val="Tabletext"/>
            </w:pPr>
            <w:r w:rsidRPr="000A74B3">
              <w:t>The buffalo industry</w:t>
            </w:r>
          </w:p>
        </w:tc>
        <w:tc>
          <w:tcPr>
            <w:tcW w:w="227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C1F572D" w14:textId="77777777" w:rsidR="00EB2FC8" w:rsidRPr="000A74B3" w:rsidRDefault="00EB2FC8" w:rsidP="004F4D64">
            <w:pPr>
              <w:pStyle w:val="Tabletext"/>
            </w:pPr>
            <w:r w:rsidRPr="000A74B3">
              <w:t xml:space="preserve">Levy imposed by </w:t>
            </w:r>
            <w:r w:rsidR="000A1B10" w:rsidRPr="000A74B3">
              <w:t>subclause 8</w:t>
            </w:r>
            <w:r w:rsidR="000A74B3">
              <w:noBreakHyphen/>
            </w:r>
            <w:r w:rsidR="002D4345" w:rsidRPr="000A74B3">
              <w:t>1</w:t>
            </w:r>
            <w:r w:rsidRPr="000A74B3">
              <w:t>(1) of Schedule 1 to the Levies Regulations</w:t>
            </w:r>
          </w:p>
        </w:tc>
        <w:tc>
          <w:tcPr>
            <w:tcW w:w="278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96049F7" w14:textId="77777777" w:rsidR="00EB2FC8" w:rsidRPr="000A74B3" w:rsidRDefault="00EB2FC8" w:rsidP="00786620">
            <w:pPr>
              <w:pStyle w:val="Tabletext"/>
            </w:pPr>
            <w:r w:rsidRPr="000A74B3">
              <w:t>Buffalo slaughter levy</w:t>
            </w:r>
          </w:p>
        </w:tc>
      </w:tr>
      <w:tr w:rsidR="00EB2FC8" w:rsidRPr="000A74B3" w14:paraId="58C979CB" w14:textId="77777777" w:rsidTr="000E26C2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C97CC32" w14:textId="77777777" w:rsidR="00EB2FC8" w:rsidRPr="000A74B3" w:rsidRDefault="00EB2FC8" w:rsidP="004F4D64">
            <w:pPr>
              <w:pStyle w:val="Tabletext"/>
            </w:pPr>
          </w:p>
        </w:tc>
        <w:tc>
          <w:tcPr>
            <w:tcW w:w="2533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6816313" w14:textId="77777777" w:rsidR="00EB2FC8" w:rsidRPr="000A74B3" w:rsidRDefault="00EB2FC8" w:rsidP="004F4D64">
            <w:pPr>
              <w:pStyle w:val="Tabletext"/>
            </w:pPr>
          </w:p>
        </w:tc>
        <w:tc>
          <w:tcPr>
            <w:tcW w:w="227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CC27944" w14:textId="77777777" w:rsidR="00EB2FC8" w:rsidRPr="000A74B3" w:rsidRDefault="00EB2FC8" w:rsidP="004F4D64">
            <w:pPr>
              <w:pStyle w:val="Tabletext"/>
            </w:pPr>
            <w:r w:rsidRPr="000A74B3">
              <w:t xml:space="preserve">Charge imposed by </w:t>
            </w:r>
            <w:r w:rsidR="000A1B10" w:rsidRPr="000A74B3">
              <w:t>subclause 8</w:t>
            </w:r>
            <w:r w:rsidR="000A74B3">
              <w:noBreakHyphen/>
            </w:r>
            <w:r w:rsidR="001B6495" w:rsidRPr="000A74B3">
              <w:t>1</w:t>
            </w:r>
            <w:r w:rsidRPr="000A74B3">
              <w:t>(1) of Schedule 1 to the Charges Regulations</w:t>
            </w:r>
          </w:p>
        </w:tc>
        <w:tc>
          <w:tcPr>
            <w:tcW w:w="27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BB2E35F" w14:textId="77777777" w:rsidR="00EB2FC8" w:rsidRPr="000A74B3" w:rsidRDefault="00EB2FC8" w:rsidP="00786620">
            <w:pPr>
              <w:pStyle w:val="Tabletext"/>
            </w:pPr>
            <w:r w:rsidRPr="000A74B3">
              <w:t>Buffalo export charge</w:t>
            </w:r>
          </w:p>
        </w:tc>
      </w:tr>
      <w:tr w:rsidR="001237F4" w:rsidRPr="000A74B3" w14:paraId="30ABB2BF" w14:textId="77777777" w:rsidTr="000E26C2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452491F" w14:textId="77777777" w:rsidR="001237F4" w:rsidRPr="000A74B3" w:rsidRDefault="001237F4" w:rsidP="001237F4">
            <w:pPr>
              <w:pStyle w:val="Tabletext"/>
            </w:pPr>
            <w:r w:rsidRPr="000A74B3">
              <w:t>2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3CC0514" w14:textId="77777777" w:rsidR="001237F4" w:rsidRPr="000A74B3" w:rsidRDefault="001237F4" w:rsidP="001237F4">
            <w:pPr>
              <w:pStyle w:val="Tabletext"/>
            </w:pPr>
            <w:r w:rsidRPr="000A74B3">
              <w:t>The deer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4EB896F" w14:textId="77777777" w:rsidR="001237F4" w:rsidRPr="000A74B3" w:rsidRDefault="00512EBE" w:rsidP="001237F4">
            <w:pPr>
              <w:pStyle w:val="Tabletext"/>
            </w:pPr>
            <w:r w:rsidRPr="000A74B3">
              <w:t>L</w:t>
            </w:r>
            <w:r w:rsidR="001237F4" w:rsidRPr="000A74B3">
              <w:t>evy</w:t>
            </w:r>
            <w:r w:rsidRPr="000A74B3">
              <w:t xml:space="preserve"> imposed by </w:t>
            </w:r>
            <w:r w:rsidR="000A1B10" w:rsidRPr="000A74B3">
              <w:t>subclause 1</w:t>
            </w:r>
            <w:r w:rsidR="001B6495" w:rsidRPr="000A74B3">
              <w:t>0</w:t>
            </w:r>
            <w:r w:rsidR="000A74B3">
              <w:noBreakHyphen/>
            </w:r>
            <w:r w:rsidR="001B6495" w:rsidRPr="000A74B3">
              <w:t>1</w:t>
            </w:r>
            <w:r w:rsidRPr="000A74B3">
              <w:t>(1) of Schedule 1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B0457DE" w14:textId="77777777" w:rsidR="001237F4" w:rsidRPr="000A74B3" w:rsidRDefault="001237F4" w:rsidP="001237F4">
            <w:pPr>
              <w:pStyle w:val="Tabletext"/>
            </w:pPr>
            <w:r w:rsidRPr="000A74B3">
              <w:t>Deer slaughter levy</w:t>
            </w:r>
          </w:p>
        </w:tc>
      </w:tr>
      <w:tr w:rsidR="00D1418D" w:rsidRPr="000A74B3" w14:paraId="6490F425" w14:textId="77777777" w:rsidTr="000E26C2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5F50DB9" w14:textId="77777777" w:rsidR="00D1418D" w:rsidRPr="000A74B3" w:rsidRDefault="00D1418D" w:rsidP="00D1418D">
            <w:pPr>
              <w:pStyle w:val="Tabletext"/>
            </w:pPr>
            <w:r w:rsidRPr="000A74B3">
              <w:t>3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1C3EDB" w14:textId="77777777" w:rsidR="00D1418D" w:rsidRPr="000A74B3" w:rsidRDefault="00D1418D" w:rsidP="00D1418D">
            <w:pPr>
              <w:pStyle w:val="Tabletext"/>
            </w:pPr>
            <w:r w:rsidRPr="000A74B3">
              <w:t>The fodder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7A450CC" w14:textId="77777777" w:rsidR="00D1418D" w:rsidRPr="000A74B3" w:rsidRDefault="00185218" w:rsidP="00D1418D">
            <w:pPr>
              <w:pStyle w:val="Tabletext"/>
            </w:pPr>
            <w:r w:rsidRPr="000A74B3">
              <w:t>C</w:t>
            </w:r>
            <w:r w:rsidR="00D1418D" w:rsidRPr="000A74B3">
              <w:t>harge</w:t>
            </w:r>
            <w:r w:rsidRPr="000A74B3">
              <w:t xml:space="preserve"> imposed by </w:t>
            </w:r>
            <w:r w:rsidR="000A1B10" w:rsidRPr="000A74B3">
              <w:t>subclause 7</w:t>
            </w:r>
            <w:r w:rsidR="001B6495" w:rsidRPr="000A74B3">
              <w:t>2</w:t>
            </w:r>
            <w:r w:rsidR="000A74B3">
              <w:noBreakHyphen/>
            </w:r>
            <w:r w:rsidR="001B6495" w:rsidRPr="000A74B3">
              <w:t>1</w:t>
            </w:r>
            <w:r w:rsidRPr="000A74B3">
              <w:t>(1) of Schedule 2 to the Charges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5BC518A" w14:textId="77777777" w:rsidR="00D1418D" w:rsidRPr="000A74B3" w:rsidRDefault="00D1418D" w:rsidP="00D1418D">
            <w:pPr>
              <w:pStyle w:val="Tabletext"/>
            </w:pPr>
            <w:r w:rsidRPr="000A74B3">
              <w:t>Fodder export charge</w:t>
            </w:r>
          </w:p>
        </w:tc>
      </w:tr>
      <w:tr w:rsidR="00185218" w:rsidRPr="000A74B3" w14:paraId="094EBB8F" w14:textId="77777777" w:rsidTr="000E26C2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7F3278E" w14:textId="77777777" w:rsidR="00185218" w:rsidRPr="000A74B3" w:rsidRDefault="00185218" w:rsidP="00185218">
            <w:pPr>
              <w:pStyle w:val="Tabletext"/>
            </w:pPr>
            <w:r w:rsidRPr="000A74B3">
              <w:t>4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412C95" w14:textId="77777777" w:rsidR="00185218" w:rsidRPr="000A74B3" w:rsidRDefault="00185218" w:rsidP="00185218">
            <w:pPr>
              <w:pStyle w:val="Tabletext"/>
            </w:pPr>
            <w:r w:rsidRPr="000A74B3">
              <w:t>The ginger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D581A3B" w14:textId="77777777" w:rsidR="00185218" w:rsidRPr="000A74B3" w:rsidRDefault="00185218" w:rsidP="00185218">
            <w:pPr>
              <w:pStyle w:val="Tabletext"/>
            </w:pPr>
            <w:r w:rsidRPr="000A74B3">
              <w:t xml:space="preserve">Levy imposed by </w:t>
            </w:r>
            <w:r w:rsidR="000A1B10" w:rsidRPr="000A74B3">
              <w:t>subclause 4</w:t>
            </w:r>
            <w:r w:rsidR="00037A7A" w:rsidRPr="000A74B3">
              <w:t>6</w:t>
            </w:r>
            <w:r w:rsidR="000A74B3">
              <w:noBreakHyphen/>
            </w:r>
            <w:r w:rsidR="00037A7A" w:rsidRPr="000A74B3">
              <w:t>1</w:t>
            </w:r>
            <w:r w:rsidR="009434D7" w:rsidRPr="000A74B3">
              <w:t>(1) of Schedule 2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7F33BED" w14:textId="77777777" w:rsidR="00185218" w:rsidRPr="000A74B3" w:rsidRDefault="00185218" w:rsidP="00185218">
            <w:pPr>
              <w:pStyle w:val="Tabletext"/>
            </w:pPr>
            <w:r w:rsidRPr="000A74B3">
              <w:t>Ginger levy</w:t>
            </w:r>
          </w:p>
        </w:tc>
      </w:tr>
      <w:tr w:rsidR="009434D7" w:rsidRPr="000A74B3" w14:paraId="78434CE5" w14:textId="77777777" w:rsidTr="000E26C2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C7E02DD" w14:textId="77777777" w:rsidR="009434D7" w:rsidRPr="000A74B3" w:rsidRDefault="009434D7" w:rsidP="009434D7">
            <w:pPr>
              <w:pStyle w:val="Tabletext"/>
            </w:pPr>
            <w:r w:rsidRPr="000A74B3">
              <w:t>5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940AEAD" w14:textId="77777777" w:rsidR="009434D7" w:rsidRPr="000A74B3" w:rsidRDefault="009434D7" w:rsidP="009434D7">
            <w:pPr>
              <w:pStyle w:val="Tabletext"/>
            </w:pPr>
            <w:r w:rsidRPr="000A74B3">
              <w:t>The goat fibre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17A0D3F" w14:textId="77777777" w:rsidR="009434D7" w:rsidRPr="000A74B3" w:rsidRDefault="009434D7" w:rsidP="009434D7">
            <w:pPr>
              <w:pStyle w:val="Tabletext"/>
            </w:pPr>
            <w:r w:rsidRPr="000A74B3">
              <w:t xml:space="preserve">Levy imposed by </w:t>
            </w:r>
            <w:r w:rsidR="000A1B10" w:rsidRPr="000A74B3">
              <w:t>subclause 1</w:t>
            </w:r>
            <w:r w:rsidR="00C15A1D" w:rsidRPr="000A74B3">
              <w:t>7</w:t>
            </w:r>
            <w:r w:rsidR="000A74B3">
              <w:noBreakHyphen/>
            </w:r>
            <w:r w:rsidR="00C15A1D" w:rsidRPr="000A74B3">
              <w:t>1</w:t>
            </w:r>
            <w:r w:rsidRPr="000A74B3">
              <w:t>(1) of Schedule 1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25B0108" w14:textId="77777777" w:rsidR="009434D7" w:rsidRPr="000A74B3" w:rsidRDefault="009434D7" w:rsidP="009434D7">
            <w:pPr>
              <w:pStyle w:val="Tabletext"/>
            </w:pPr>
            <w:r w:rsidRPr="000A74B3">
              <w:t>Goat fibre levy</w:t>
            </w:r>
          </w:p>
        </w:tc>
      </w:tr>
      <w:tr w:rsidR="000E26C2" w:rsidRPr="000A74B3" w14:paraId="26F8AE1A" w14:textId="77777777" w:rsidTr="000E26C2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8E9E7DA" w14:textId="77777777" w:rsidR="000E26C2" w:rsidRPr="000A74B3" w:rsidRDefault="00D625B3" w:rsidP="000E26C2">
            <w:pPr>
              <w:pStyle w:val="Tabletext"/>
            </w:pPr>
            <w:r w:rsidRPr="000A74B3">
              <w:t>6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0706DF0" w14:textId="77777777" w:rsidR="000E26C2" w:rsidRPr="000A74B3" w:rsidRDefault="00A51B73" w:rsidP="000E26C2">
            <w:pPr>
              <w:pStyle w:val="Tabletext"/>
            </w:pPr>
            <w:r w:rsidRPr="000A74B3">
              <w:t>The honeybee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4365E91" w14:textId="77777777" w:rsidR="000E26C2" w:rsidRPr="000A74B3" w:rsidRDefault="000E26C2" w:rsidP="000E26C2">
            <w:pPr>
              <w:pStyle w:val="Tabletext"/>
            </w:pPr>
            <w:r w:rsidRPr="000A74B3">
              <w:t xml:space="preserve">Levy imposed by </w:t>
            </w:r>
            <w:r w:rsidR="000A1B10" w:rsidRPr="000A74B3">
              <w:t>subclause 3</w:t>
            </w:r>
            <w:r w:rsidR="000A74B3">
              <w:noBreakHyphen/>
            </w:r>
            <w:r w:rsidR="00C15A1D" w:rsidRPr="000A74B3">
              <w:t>1</w:t>
            </w:r>
            <w:r w:rsidR="00A51B73" w:rsidRPr="000A74B3">
              <w:t>(1) or (2) of Schedule 1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4D69401" w14:textId="77777777" w:rsidR="000E26C2" w:rsidRPr="000A74B3" w:rsidRDefault="00A51B73" w:rsidP="000E26C2">
            <w:pPr>
              <w:pStyle w:val="Tabletext"/>
            </w:pPr>
            <w:r w:rsidRPr="000A74B3">
              <w:t>Honey levy</w:t>
            </w:r>
          </w:p>
        </w:tc>
      </w:tr>
      <w:tr w:rsidR="000E26C2" w:rsidRPr="000A74B3" w14:paraId="43438F9E" w14:textId="77777777" w:rsidTr="00DF5A1F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D3BD6B7" w14:textId="77777777" w:rsidR="000E26C2" w:rsidRPr="000A74B3" w:rsidRDefault="000E26C2" w:rsidP="000E26C2">
            <w:pPr>
              <w:pStyle w:val="Tabletext"/>
            </w:pPr>
          </w:p>
        </w:tc>
        <w:tc>
          <w:tcPr>
            <w:tcW w:w="253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BA8F7F4" w14:textId="77777777" w:rsidR="000E26C2" w:rsidRPr="000A74B3" w:rsidRDefault="000E26C2" w:rsidP="000E26C2">
            <w:pPr>
              <w:pStyle w:val="Tabletext"/>
            </w:pPr>
          </w:p>
        </w:tc>
        <w:tc>
          <w:tcPr>
            <w:tcW w:w="227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C3D44CD" w14:textId="77777777" w:rsidR="000E26C2" w:rsidRPr="000A74B3" w:rsidRDefault="000E26C2" w:rsidP="000E26C2">
            <w:pPr>
              <w:pStyle w:val="Tabletext"/>
            </w:pPr>
            <w:r w:rsidRPr="000A74B3">
              <w:t xml:space="preserve">Charge imposed by </w:t>
            </w:r>
            <w:r w:rsidR="000A1B10" w:rsidRPr="000A74B3">
              <w:t>clause 3</w:t>
            </w:r>
            <w:r w:rsidR="000A74B3">
              <w:noBreakHyphen/>
            </w:r>
            <w:r w:rsidR="00C15A1D" w:rsidRPr="000A74B3">
              <w:t>1</w:t>
            </w:r>
            <w:r w:rsidR="009379DC" w:rsidRPr="000A74B3">
              <w:t xml:space="preserve"> of Schedule 1 to the Charges Regulations</w:t>
            </w:r>
          </w:p>
        </w:tc>
        <w:tc>
          <w:tcPr>
            <w:tcW w:w="27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5853B5F" w14:textId="77777777" w:rsidR="000E26C2" w:rsidRPr="000A74B3" w:rsidRDefault="00A51B73" w:rsidP="000E26C2">
            <w:pPr>
              <w:pStyle w:val="Tabletext"/>
            </w:pPr>
            <w:r w:rsidRPr="000A74B3">
              <w:t>Honey export charge</w:t>
            </w:r>
          </w:p>
        </w:tc>
      </w:tr>
      <w:tr w:rsidR="00287372" w:rsidRPr="000A74B3" w14:paraId="74B24F81" w14:textId="77777777" w:rsidTr="00DF5A1F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1E96DA7" w14:textId="77777777" w:rsidR="00287372" w:rsidRPr="000A74B3" w:rsidRDefault="00287372" w:rsidP="00287372">
            <w:pPr>
              <w:pStyle w:val="Tabletext"/>
            </w:pPr>
            <w:r w:rsidRPr="000A74B3">
              <w:t>7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3205D8F" w14:textId="77777777" w:rsidR="00287372" w:rsidRPr="000A74B3" w:rsidRDefault="00287372" w:rsidP="00287372">
            <w:pPr>
              <w:pStyle w:val="Tabletext"/>
            </w:pPr>
            <w:r w:rsidRPr="000A74B3">
              <w:t>The macropod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BB21223" w14:textId="77777777" w:rsidR="00287372" w:rsidRPr="000A74B3" w:rsidRDefault="00287372" w:rsidP="00287372">
            <w:pPr>
              <w:pStyle w:val="Tabletext"/>
            </w:pPr>
            <w:r w:rsidRPr="000A74B3">
              <w:t xml:space="preserve">Levy imposed by </w:t>
            </w:r>
            <w:r w:rsidR="000A1B10" w:rsidRPr="000A74B3">
              <w:t>subclause 2</w:t>
            </w:r>
            <w:r w:rsidR="00B86AF6" w:rsidRPr="000A74B3">
              <w:t>2</w:t>
            </w:r>
            <w:r w:rsidR="000A74B3">
              <w:noBreakHyphen/>
            </w:r>
            <w:r w:rsidR="00B86AF6" w:rsidRPr="000A74B3">
              <w:t>1</w:t>
            </w:r>
            <w:r w:rsidR="00512AFC" w:rsidRPr="000A74B3">
              <w:t>(1) of Schedule 1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96EA4BB" w14:textId="77777777" w:rsidR="00287372" w:rsidRPr="000A74B3" w:rsidRDefault="00287372" w:rsidP="00287372">
            <w:pPr>
              <w:pStyle w:val="Tabletext"/>
            </w:pPr>
            <w:r w:rsidRPr="000A74B3">
              <w:t>Macropod processing levy</w:t>
            </w:r>
          </w:p>
        </w:tc>
      </w:tr>
      <w:tr w:rsidR="00512AFC" w:rsidRPr="000A74B3" w14:paraId="7DB5F6C2" w14:textId="77777777" w:rsidTr="00DF5A1F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7A10331" w14:textId="77777777" w:rsidR="00512AFC" w:rsidRPr="000A74B3" w:rsidRDefault="00512AFC" w:rsidP="00512AFC">
            <w:pPr>
              <w:pStyle w:val="Tabletext"/>
            </w:pPr>
            <w:r w:rsidRPr="000A74B3">
              <w:t>8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7046E67" w14:textId="77777777" w:rsidR="00512AFC" w:rsidRPr="000A74B3" w:rsidRDefault="00512AFC" w:rsidP="00512AFC">
            <w:pPr>
              <w:pStyle w:val="Tabletext"/>
            </w:pPr>
            <w:r w:rsidRPr="000A74B3">
              <w:t>The meat chicken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00C4C26" w14:textId="77777777" w:rsidR="00512AFC" w:rsidRPr="000A74B3" w:rsidRDefault="00512AFC" w:rsidP="00512AFC">
            <w:pPr>
              <w:pStyle w:val="Tabletext"/>
            </w:pPr>
            <w:r w:rsidRPr="000A74B3">
              <w:t xml:space="preserve">Levy imposed by </w:t>
            </w:r>
            <w:r w:rsidR="000A1B10" w:rsidRPr="000A74B3">
              <w:t>subclause 6</w:t>
            </w:r>
            <w:r w:rsidR="000A74B3">
              <w:noBreakHyphen/>
            </w:r>
            <w:r w:rsidR="00BB0FA4" w:rsidRPr="000A74B3">
              <w:t>1</w:t>
            </w:r>
            <w:r w:rsidRPr="000A74B3">
              <w:t>(1) of Schedule 1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2D2027A" w14:textId="77777777" w:rsidR="00512AFC" w:rsidRPr="000A74B3" w:rsidRDefault="00512AFC" w:rsidP="00512AFC">
            <w:pPr>
              <w:pStyle w:val="Tabletext"/>
            </w:pPr>
            <w:r w:rsidRPr="000A74B3">
              <w:t>Meat chicken levy</w:t>
            </w:r>
          </w:p>
        </w:tc>
      </w:tr>
      <w:tr w:rsidR="00512AFC" w:rsidRPr="000A74B3" w14:paraId="05FAC6DA" w14:textId="77777777" w:rsidTr="00DF5A1F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8C86271" w14:textId="77777777" w:rsidR="00512AFC" w:rsidRPr="000A74B3" w:rsidRDefault="00512AFC" w:rsidP="00512AFC">
            <w:pPr>
              <w:pStyle w:val="Tabletext"/>
            </w:pPr>
            <w:r w:rsidRPr="000A74B3">
              <w:t>9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A756D88" w14:textId="77777777" w:rsidR="00512AFC" w:rsidRPr="000A74B3" w:rsidRDefault="00512AFC" w:rsidP="00512AFC">
            <w:pPr>
              <w:pStyle w:val="Tabletext"/>
            </w:pPr>
            <w:r w:rsidRPr="000A74B3">
              <w:t>The ostrich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5F7C423" w14:textId="77777777" w:rsidR="00512AFC" w:rsidRPr="000A74B3" w:rsidRDefault="00FA04E6" w:rsidP="00512AFC">
            <w:pPr>
              <w:pStyle w:val="Tabletext"/>
            </w:pPr>
            <w:r w:rsidRPr="000A74B3">
              <w:t>L</w:t>
            </w:r>
            <w:r w:rsidR="00512AFC" w:rsidRPr="000A74B3">
              <w:t>evy</w:t>
            </w:r>
            <w:r w:rsidRPr="000A74B3">
              <w:t xml:space="preserve"> imposed by </w:t>
            </w:r>
            <w:r w:rsidR="000A1B10" w:rsidRPr="000A74B3">
              <w:t>subclause 2</w:t>
            </w:r>
            <w:r w:rsidR="00BB0FA4" w:rsidRPr="000A74B3">
              <w:t>3</w:t>
            </w:r>
            <w:r w:rsidR="000A74B3">
              <w:noBreakHyphen/>
            </w:r>
            <w:r w:rsidR="00BB0FA4" w:rsidRPr="000A74B3">
              <w:t>1</w:t>
            </w:r>
            <w:r w:rsidRPr="000A74B3">
              <w:t>(1) of Schedule 1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D2C425D" w14:textId="77777777" w:rsidR="00512AFC" w:rsidRPr="000A74B3" w:rsidRDefault="00512AFC" w:rsidP="00512AFC">
            <w:pPr>
              <w:pStyle w:val="Tabletext"/>
            </w:pPr>
            <w:r w:rsidRPr="000A74B3">
              <w:t>Ratite slaughter levy</w:t>
            </w:r>
          </w:p>
        </w:tc>
      </w:tr>
      <w:tr w:rsidR="00FA04E6" w:rsidRPr="000A74B3" w14:paraId="4FD19952" w14:textId="77777777" w:rsidTr="00DF5A1F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0AB3D3D" w14:textId="77777777" w:rsidR="00FA04E6" w:rsidRPr="000A74B3" w:rsidRDefault="00FA04E6" w:rsidP="00FA04E6">
            <w:pPr>
              <w:pStyle w:val="Tabletext"/>
            </w:pPr>
            <w:r w:rsidRPr="000A74B3">
              <w:t>10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4590ECC" w14:textId="77777777" w:rsidR="00FA04E6" w:rsidRPr="000A74B3" w:rsidRDefault="00FA04E6" w:rsidP="00FA04E6">
            <w:pPr>
              <w:pStyle w:val="Tabletext"/>
            </w:pPr>
            <w:r w:rsidRPr="000A74B3">
              <w:t>The pasture seed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7998672" w14:textId="77777777" w:rsidR="00FA04E6" w:rsidRPr="000A74B3" w:rsidRDefault="00FA04E6" w:rsidP="00FA04E6">
            <w:pPr>
              <w:pStyle w:val="Tabletext"/>
            </w:pPr>
            <w:r w:rsidRPr="000A74B3">
              <w:t xml:space="preserve">Levy imposed by </w:t>
            </w:r>
            <w:r w:rsidR="000A1B10" w:rsidRPr="000A74B3">
              <w:t>subclause 2</w:t>
            </w:r>
            <w:r w:rsidR="00195E39" w:rsidRPr="000A74B3">
              <w:t>7</w:t>
            </w:r>
            <w:r w:rsidR="000A74B3">
              <w:noBreakHyphen/>
            </w:r>
            <w:r w:rsidR="00195E39" w:rsidRPr="000A74B3">
              <w:t>1</w:t>
            </w:r>
            <w:r w:rsidR="00557432" w:rsidRPr="000A74B3">
              <w:t>(1) of Schedule 2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7C79CA7" w14:textId="77777777" w:rsidR="00FA04E6" w:rsidRPr="000A74B3" w:rsidRDefault="00FA04E6" w:rsidP="00FA04E6">
            <w:pPr>
              <w:pStyle w:val="Tabletext"/>
            </w:pPr>
            <w:r w:rsidRPr="000A74B3">
              <w:t>Pasture seed levy</w:t>
            </w:r>
          </w:p>
        </w:tc>
      </w:tr>
      <w:tr w:rsidR="000E26C2" w:rsidRPr="000A74B3" w14:paraId="0435325D" w14:textId="77777777" w:rsidTr="00DF5A1F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F3B2C9" w14:textId="77777777" w:rsidR="000E26C2" w:rsidRPr="000A74B3" w:rsidRDefault="00D625B3" w:rsidP="000E26C2">
            <w:pPr>
              <w:pStyle w:val="Tabletext"/>
            </w:pPr>
            <w:r w:rsidRPr="000A74B3">
              <w:t>11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E1E943F" w14:textId="77777777" w:rsidR="000E26C2" w:rsidRPr="000A74B3" w:rsidRDefault="000E26C2" w:rsidP="000E26C2">
            <w:pPr>
              <w:pStyle w:val="Tabletext"/>
            </w:pPr>
            <w:r w:rsidRPr="000A74B3">
              <w:t xml:space="preserve">The </w:t>
            </w:r>
            <w:r w:rsidR="00557432" w:rsidRPr="000A74B3">
              <w:t>queen bee breeding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2A1CD0" w14:textId="77777777" w:rsidR="000E26C2" w:rsidRPr="000A74B3" w:rsidRDefault="000E26C2" w:rsidP="000E26C2">
            <w:pPr>
              <w:pStyle w:val="Tabletext"/>
            </w:pPr>
            <w:r w:rsidRPr="000A74B3">
              <w:t xml:space="preserve">Levy imposed by </w:t>
            </w:r>
            <w:r w:rsidR="000A1B10" w:rsidRPr="000A74B3">
              <w:t>subclause 2</w:t>
            </w:r>
            <w:r w:rsidR="000A74B3">
              <w:noBreakHyphen/>
            </w:r>
            <w:r w:rsidR="003D0D3D" w:rsidRPr="000A74B3">
              <w:t>1</w:t>
            </w:r>
            <w:r w:rsidR="00557432" w:rsidRPr="000A74B3">
              <w:t xml:space="preserve">(1) of </w:t>
            </w:r>
            <w:r w:rsidR="00557432" w:rsidRPr="000A74B3">
              <w:lastRenderedPageBreak/>
              <w:t>Schedule 1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8A02EEF" w14:textId="77777777" w:rsidR="000E26C2" w:rsidRPr="000A74B3" w:rsidRDefault="00557432" w:rsidP="000E26C2">
            <w:pPr>
              <w:pStyle w:val="Tabletext"/>
            </w:pPr>
            <w:r w:rsidRPr="000A74B3">
              <w:lastRenderedPageBreak/>
              <w:t>Queen bee levy</w:t>
            </w:r>
          </w:p>
        </w:tc>
      </w:tr>
      <w:tr w:rsidR="000E26C2" w:rsidRPr="000A74B3" w14:paraId="0C71C636" w14:textId="77777777" w:rsidTr="00B73CC8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7D9BB5B" w14:textId="77777777" w:rsidR="000E26C2" w:rsidRPr="000A74B3" w:rsidRDefault="000E26C2" w:rsidP="000E26C2">
            <w:pPr>
              <w:pStyle w:val="Tabletext"/>
            </w:pPr>
          </w:p>
        </w:tc>
        <w:tc>
          <w:tcPr>
            <w:tcW w:w="253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6F553EC" w14:textId="77777777" w:rsidR="000E26C2" w:rsidRPr="000A74B3" w:rsidRDefault="000E26C2" w:rsidP="000E26C2">
            <w:pPr>
              <w:pStyle w:val="Tabletext"/>
            </w:pPr>
          </w:p>
        </w:tc>
        <w:tc>
          <w:tcPr>
            <w:tcW w:w="227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CA1519C" w14:textId="77777777" w:rsidR="000E26C2" w:rsidRPr="000A74B3" w:rsidRDefault="000E26C2" w:rsidP="000E26C2">
            <w:pPr>
              <w:pStyle w:val="Tabletext"/>
            </w:pPr>
            <w:r w:rsidRPr="000A74B3">
              <w:t xml:space="preserve">Charge imposed by </w:t>
            </w:r>
            <w:r w:rsidR="000A1B10" w:rsidRPr="000A74B3">
              <w:t>subclause 2</w:t>
            </w:r>
            <w:r w:rsidR="000A74B3">
              <w:noBreakHyphen/>
            </w:r>
            <w:r w:rsidR="003D0D3D" w:rsidRPr="000A74B3">
              <w:t>1</w:t>
            </w:r>
            <w:r w:rsidR="00557432" w:rsidRPr="000A74B3">
              <w:t>(1) of Schedule 1 to the Charges Regulations</w:t>
            </w:r>
          </w:p>
        </w:tc>
        <w:tc>
          <w:tcPr>
            <w:tcW w:w="27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3C4B572" w14:textId="77777777" w:rsidR="000E26C2" w:rsidRPr="000A74B3" w:rsidRDefault="00557432" w:rsidP="000E26C2">
            <w:pPr>
              <w:pStyle w:val="Tabletext"/>
            </w:pPr>
            <w:r w:rsidRPr="000A74B3">
              <w:t>Queen bee export charge</w:t>
            </w:r>
          </w:p>
        </w:tc>
      </w:tr>
      <w:tr w:rsidR="00557432" w:rsidRPr="000A74B3" w14:paraId="0A4470C5" w14:textId="77777777" w:rsidTr="00B73CC8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3CDB966" w14:textId="77777777" w:rsidR="00557432" w:rsidRPr="000A74B3" w:rsidRDefault="00557432" w:rsidP="00557432">
            <w:pPr>
              <w:pStyle w:val="Tabletext"/>
            </w:pPr>
            <w:r w:rsidRPr="000A74B3">
              <w:t>12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64E1EE1" w14:textId="77777777" w:rsidR="00557432" w:rsidRPr="000A74B3" w:rsidRDefault="00557432" w:rsidP="00557432">
            <w:pPr>
              <w:pStyle w:val="Tabletext"/>
            </w:pPr>
            <w:r w:rsidRPr="000A74B3">
              <w:t>The rice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E034047" w14:textId="77777777" w:rsidR="00557432" w:rsidRPr="000A74B3" w:rsidRDefault="00557432" w:rsidP="00557432">
            <w:pPr>
              <w:pStyle w:val="Tabletext"/>
            </w:pPr>
            <w:r w:rsidRPr="000A74B3">
              <w:t xml:space="preserve">Levy imposed by </w:t>
            </w:r>
            <w:r w:rsidR="000A1B10" w:rsidRPr="000A74B3">
              <w:t>subclause 2</w:t>
            </w:r>
            <w:r w:rsidR="003D0D3D" w:rsidRPr="000A74B3">
              <w:t>8</w:t>
            </w:r>
            <w:r w:rsidR="000A74B3">
              <w:noBreakHyphen/>
            </w:r>
            <w:r w:rsidR="003D0D3D" w:rsidRPr="000A74B3">
              <w:t>1</w:t>
            </w:r>
            <w:r w:rsidRPr="000A74B3">
              <w:t>(1) of Schedule 2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DC5D9E1" w14:textId="77777777" w:rsidR="00557432" w:rsidRPr="000A74B3" w:rsidRDefault="00557432" w:rsidP="00557432">
            <w:pPr>
              <w:pStyle w:val="Tabletext"/>
            </w:pPr>
            <w:r w:rsidRPr="000A74B3">
              <w:t>Rice levy</w:t>
            </w:r>
          </w:p>
        </w:tc>
      </w:tr>
      <w:tr w:rsidR="000E26C2" w:rsidRPr="000A74B3" w14:paraId="4B359130" w14:textId="77777777" w:rsidTr="00B73CC8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EA6FBD8" w14:textId="77777777" w:rsidR="000E26C2" w:rsidRPr="000A74B3" w:rsidRDefault="000E26C2" w:rsidP="000E26C2">
            <w:pPr>
              <w:pStyle w:val="Tabletext"/>
            </w:pPr>
            <w:r w:rsidRPr="000A74B3">
              <w:t>1</w:t>
            </w:r>
            <w:r w:rsidR="00D625B3" w:rsidRPr="000A74B3">
              <w:t>3</w:t>
            </w:r>
          </w:p>
        </w:tc>
        <w:tc>
          <w:tcPr>
            <w:tcW w:w="253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7189C35" w14:textId="77777777" w:rsidR="000E26C2" w:rsidRPr="000A74B3" w:rsidRDefault="000E26C2" w:rsidP="000E26C2">
            <w:pPr>
              <w:pStyle w:val="Tabletext"/>
            </w:pPr>
            <w:r w:rsidRPr="000A74B3">
              <w:t xml:space="preserve">The </w:t>
            </w:r>
            <w:r w:rsidR="00557432" w:rsidRPr="000A74B3">
              <w:rPr>
                <w:noProof/>
              </w:rPr>
              <w:t>tea tree oil industry</w:t>
            </w:r>
          </w:p>
        </w:tc>
        <w:tc>
          <w:tcPr>
            <w:tcW w:w="227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2D7825" w14:textId="77777777" w:rsidR="000E26C2" w:rsidRPr="000A74B3" w:rsidRDefault="000E26C2" w:rsidP="000E26C2">
            <w:pPr>
              <w:pStyle w:val="Tabletext"/>
            </w:pPr>
            <w:r w:rsidRPr="000A74B3">
              <w:t xml:space="preserve">Levy imposed by </w:t>
            </w:r>
            <w:r w:rsidR="000A1B10" w:rsidRPr="000A74B3">
              <w:t>subclause 7</w:t>
            </w:r>
            <w:r w:rsidR="003D0D3D" w:rsidRPr="000A74B3">
              <w:t>4</w:t>
            </w:r>
            <w:r w:rsidR="000A74B3">
              <w:noBreakHyphen/>
            </w:r>
            <w:r w:rsidR="003D0D3D" w:rsidRPr="000A74B3">
              <w:t>1</w:t>
            </w:r>
            <w:r w:rsidR="000A3A77" w:rsidRPr="000A74B3">
              <w:t>(1) of Schedule 2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966E395" w14:textId="77777777" w:rsidR="000E26C2" w:rsidRPr="000A74B3" w:rsidRDefault="000A3A77" w:rsidP="000E26C2">
            <w:pPr>
              <w:pStyle w:val="Tabletext"/>
            </w:pPr>
            <w:r w:rsidRPr="000A74B3">
              <w:t>Tea tree oil levy</w:t>
            </w:r>
          </w:p>
        </w:tc>
      </w:tr>
      <w:tr w:rsidR="000E26C2" w:rsidRPr="000A74B3" w14:paraId="5246CF4C" w14:textId="77777777" w:rsidTr="00B73CC8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10FB1E8" w14:textId="77777777" w:rsidR="000E26C2" w:rsidRPr="000A74B3" w:rsidRDefault="000E26C2" w:rsidP="000E26C2">
            <w:pPr>
              <w:pStyle w:val="Tabletext"/>
            </w:pPr>
          </w:p>
        </w:tc>
        <w:tc>
          <w:tcPr>
            <w:tcW w:w="253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228F875" w14:textId="77777777" w:rsidR="000E26C2" w:rsidRPr="000A74B3" w:rsidRDefault="000E26C2" w:rsidP="000E26C2">
            <w:pPr>
              <w:pStyle w:val="Tabletext"/>
            </w:pPr>
          </w:p>
        </w:tc>
        <w:tc>
          <w:tcPr>
            <w:tcW w:w="227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8D07EE9" w14:textId="77777777" w:rsidR="000E26C2" w:rsidRPr="000A74B3" w:rsidRDefault="000E26C2" w:rsidP="000E26C2">
            <w:pPr>
              <w:pStyle w:val="Tabletext"/>
            </w:pPr>
            <w:r w:rsidRPr="000A74B3">
              <w:t xml:space="preserve">Charge imposed by </w:t>
            </w:r>
            <w:r w:rsidR="000A1B10" w:rsidRPr="000A74B3">
              <w:t>subclause 7</w:t>
            </w:r>
            <w:r w:rsidR="003D0D3D" w:rsidRPr="000A74B3">
              <w:t>4</w:t>
            </w:r>
            <w:r w:rsidR="000A74B3">
              <w:noBreakHyphen/>
            </w:r>
            <w:r w:rsidR="003D0D3D" w:rsidRPr="000A74B3">
              <w:t>1</w:t>
            </w:r>
            <w:r w:rsidR="000A3A77" w:rsidRPr="000A74B3">
              <w:t>(1) of Schedule 2 to the Charges Regulations</w:t>
            </w:r>
          </w:p>
        </w:tc>
        <w:tc>
          <w:tcPr>
            <w:tcW w:w="27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1A1ABC1" w14:textId="77777777" w:rsidR="000E26C2" w:rsidRPr="000A74B3" w:rsidRDefault="000A3A77" w:rsidP="000E26C2">
            <w:pPr>
              <w:pStyle w:val="Tabletext"/>
            </w:pPr>
            <w:r w:rsidRPr="000A74B3">
              <w:t>Tea tree oil export charge</w:t>
            </w:r>
          </w:p>
        </w:tc>
      </w:tr>
      <w:tr w:rsidR="004F4D64" w:rsidRPr="000A74B3" w14:paraId="713F5F25" w14:textId="77777777" w:rsidTr="00A32D1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18B7BB1" w14:textId="77777777" w:rsidR="004F4D64" w:rsidRPr="000A74B3" w:rsidRDefault="004F4D64" w:rsidP="004F4D64">
            <w:pPr>
              <w:pStyle w:val="Tabletext"/>
            </w:pPr>
            <w:r w:rsidRPr="000A74B3">
              <w:t>14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4EA0C" w14:textId="77777777" w:rsidR="004F4D64" w:rsidRPr="000A74B3" w:rsidRDefault="004F4D64" w:rsidP="004F4D64">
            <w:pPr>
              <w:pStyle w:val="Tabletext"/>
            </w:pPr>
            <w:r w:rsidRPr="000A74B3">
              <w:t>The thoroughbred horse industry</w:t>
            </w:r>
          </w:p>
        </w:tc>
        <w:tc>
          <w:tcPr>
            <w:tcW w:w="22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63C9C5" w14:textId="77777777" w:rsidR="004F4D64" w:rsidRPr="000A74B3" w:rsidRDefault="000A3A77" w:rsidP="004F4D64">
            <w:pPr>
              <w:pStyle w:val="Tabletext"/>
            </w:pPr>
            <w:r w:rsidRPr="000A74B3">
              <w:t>L</w:t>
            </w:r>
            <w:r w:rsidR="004F4D64" w:rsidRPr="000A74B3">
              <w:t>evy</w:t>
            </w:r>
            <w:r w:rsidRPr="000A74B3">
              <w:t xml:space="preserve"> imposed by </w:t>
            </w:r>
            <w:r w:rsidR="000A1B10" w:rsidRPr="000A74B3">
              <w:t>subclause 1</w:t>
            </w:r>
            <w:r w:rsidR="00C5307C" w:rsidRPr="000A74B3">
              <w:t>2</w:t>
            </w:r>
            <w:r w:rsidR="000A74B3">
              <w:noBreakHyphen/>
            </w:r>
            <w:r w:rsidR="00C5307C" w:rsidRPr="000A74B3">
              <w:t>6</w:t>
            </w:r>
            <w:r w:rsidRPr="000A74B3">
              <w:t>(1) or (2) of Schedule 1 to the Levies Regulations</w:t>
            </w:r>
          </w:p>
        </w:tc>
        <w:tc>
          <w:tcPr>
            <w:tcW w:w="27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F404FBA" w14:textId="77777777" w:rsidR="004F4D64" w:rsidRPr="000A74B3" w:rsidRDefault="004F4D64" w:rsidP="004F4D64">
            <w:pPr>
              <w:pStyle w:val="Tabletext"/>
            </w:pPr>
            <w:r w:rsidRPr="000A74B3">
              <w:t>Thoroughbred horse levy</w:t>
            </w:r>
          </w:p>
        </w:tc>
      </w:tr>
    </w:tbl>
    <w:p w14:paraId="273200B5" w14:textId="77777777" w:rsidR="001237F4" w:rsidRPr="000A74B3" w:rsidRDefault="001237F4" w:rsidP="00CC2862">
      <w:pPr>
        <w:pStyle w:val="Tabletext"/>
      </w:pPr>
    </w:p>
    <w:sectPr w:rsidR="001237F4" w:rsidRPr="000A74B3" w:rsidSect="001176C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DA533" w14:textId="77777777" w:rsidR="000C1FDC" w:rsidRDefault="000C1FDC" w:rsidP="00715914">
      <w:pPr>
        <w:spacing w:line="240" w:lineRule="auto"/>
      </w:pPr>
      <w:r>
        <w:separator/>
      </w:r>
    </w:p>
  </w:endnote>
  <w:endnote w:type="continuationSeparator" w:id="0">
    <w:p w14:paraId="3B7FD746" w14:textId="77777777" w:rsidR="000C1FDC" w:rsidRDefault="000C1FD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73C101D-4CA9-4DAF-A68A-FCF884B45FD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76C6" w14:textId="0CBA1186" w:rsidR="007F1039" w:rsidRPr="001176C9" w:rsidRDefault="000D5F3F" w:rsidP="001176C9">
    <w:pPr>
      <w:pStyle w:val="Footer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93EE678" wp14:editId="252A79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05194017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9DDA4" w14:textId="3738A808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EE67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D79DDA4" w14:textId="3738A808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76C9" w:rsidRPr="001176C9">
      <w:rPr>
        <w:i/>
        <w:sz w:val="18"/>
      </w:rPr>
      <w:t>OPC66510 -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6D77" w14:textId="42BA35F4" w:rsidR="000C1FDC" w:rsidRDefault="000C1FDC" w:rsidP="007500C8">
    <w:pPr>
      <w:pStyle w:val="Footer"/>
    </w:pPr>
  </w:p>
  <w:p w14:paraId="644A43A6" w14:textId="77777777" w:rsidR="000C1FDC" w:rsidRPr="001176C9" w:rsidRDefault="001176C9" w:rsidP="001176C9">
    <w:pPr>
      <w:pStyle w:val="Footer"/>
      <w:rPr>
        <w:i/>
        <w:sz w:val="18"/>
      </w:rPr>
    </w:pPr>
    <w:r w:rsidRPr="001176C9">
      <w:rPr>
        <w:i/>
        <w:sz w:val="18"/>
      </w:rPr>
      <w:t>OPC66510 -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C0A0" w14:textId="4C4328F5" w:rsidR="000C1FDC" w:rsidRPr="001176C9" w:rsidRDefault="000D5F3F" w:rsidP="001176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7871ACA" wp14:editId="2BCD0B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5686517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19D17" w14:textId="53F45EA2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71AC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7019D17" w14:textId="53F45EA2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76C9" w:rsidRPr="001176C9">
      <w:rPr>
        <w:i/>
        <w:sz w:val="18"/>
      </w:rPr>
      <w:t>OPC66510 -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6CDC" w14:textId="3759DA7C" w:rsidR="000C1FDC" w:rsidRPr="00E33C1C" w:rsidRDefault="000D5F3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D1F95BA" wp14:editId="3220B7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16667763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B09D3" w14:textId="0B24A30C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F95B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oDwIAAB0EAAAOAAAAZHJzL2Uyb0RvYy54bWysU8Fu2zAMvQ/YPwi6L7ZbuG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+vNNWZYRJbtcts6HrwI0iUZNHW4lkcUO&#10;ax/G1Ckl1jKw6pRKm1HmNwdiRk926TBaYdgOpGuw++up/S00R5zKwbhwb/mqw9pr5sMLc7hhHARV&#10;G57xkAr6msLJoqQF9+Nv/piPxGOUkh4VU1ODkqZEfTO4kCiuyXCTsU1GcZeXOcbNXj8A6rDAJ2F5&#10;MtHrgppM6UC/oZ6XsRCGmOFYrqbbyXwIo3TxPXCxXKYk1JFlYW02lkfoyFck83V4Y86eGA+4qieY&#10;5MSqd8SPufGmt8t9QPrTViK3I5EnylGDaa+n9xJF/ut/yrq86sVP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u2cKA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12B09D3" w14:textId="0B24A30C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1FDC" w14:paraId="619B78BD" w14:textId="77777777" w:rsidTr="007F10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82F63C" w14:textId="77777777" w:rsidR="000C1FDC" w:rsidRDefault="000C1FDC" w:rsidP="00324F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2D2C1F" w14:textId="430B739E" w:rsidR="000C1FDC" w:rsidRDefault="000C1FDC" w:rsidP="00324F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4F41">
            <w:rPr>
              <w:i/>
              <w:sz w:val="18"/>
            </w:rPr>
            <w:t>Primary Industries Research and Development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02704F" w14:textId="77777777" w:rsidR="000C1FDC" w:rsidRDefault="000C1FDC" w:rsidP="00324F98">
          <w:pPr>
            <w:spacing w:line="0" w:lineRule="atLeast"/>
            <w:jc w:val="right"/>
            <w:rPr>
              <w:sz w:val="18"/>
            </w:rPr>
          </w:pPr>
        </w:p>
      </w:tc>
    </w:tr>
  </w:tbl>
  <w:p w14:paraId="2473D62F" w14:textId="77777777" w:rsidR="000C1FDC" w:rsidRPr="001176C9" w:rsidRDefault="001176C9" w:rsidP="001176C9">
    <w:pPr>
      <w:rPr>
        <w:rFonts w:cs="Times New Roman"/>
        <w:i/>
        <w:sz w:val="18"/>
      </w:rPr>
    </w:pPr>
    <w:r w:rsidRPr="001176C9">
      <w:rPr>
        <w:rFonts w:cs="Times New Roman"/>
        <w:i/>
        <w:sz w:val="18"/>
      </w:rPr>
      <w:t>OPC66510 -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F392" w14:textId="7C2A791C" w:rsidR="000C1FDC" w:rsidRPr="00E33C1C" w:rsidRDefault="000C1FD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C1FDC" w14:paraId="586D3D1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CE01F3" w14:textId="77777777" w:rsidR="000C1FDC" w:rsidRDefault="000C1FDC" w:rsidP="00324F9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32DC647" w14:textId="49CA7A81" w:rsidR="000C1FDC" w:rsidRDefault="000C1FDC" w:rsidP="00324F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4F41">
            <w:rPr>
              <w:i/>
              <w:sz w:val="18"/>
            </w:rPr>
            <w:t>Primary Industries Research and Development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1C8D7F" w14:textId="77777777" w:rsidR="000C1FDC" w:rsidRDefault="000C1FDC" w:rsidP="00324F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CC9FCC" w14:textId="77777777" w:rsidR="000C1FDC" w:rsidRPr="001176C9" w:rsidRDefault="001176C9" w:rsidP="001176C9">
    <w:pPr>
      <w:rPr>
        <w:rFonts w:cs="Times New Roman"/>
        <w:i/>
        <w:sz w:val="18"/>
      </w:rPr>
    </w:pPr>
    <w:r w:rsidRPr="001176C9">
      <w:rPr>
        <w:rFonts w:cs="Times New Roman"/>
        <w:i/>
        <w:sz w:val="18"/>
      </w:rPr>
      <w:t>OPC66510 -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084A" w14:textId="3736A9D9" w:rsidR="000D5F3F" w:rsidRDefault="000D5F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71EB4FC" wp14:editId="6D66ED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67996306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C0639" w14:textId="69876B6E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EB4F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4VDwIAAB0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W1IuFQ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2FC0639" w14:textId="69876B6E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86667" w14:textId="385F27D7" w:rsidR="000C1FDC" w:rsidRPr="00E33C1C" w:rsidRDefault="000D5F3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58826EB" wp14:editId="25EB87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45035500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560B7" w14:textId="4F9C17C9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826E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" style="position:absolute;margin-left:0;margin-top:0;width:43.4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76/k4w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B4560B7" w14:textId="4F9C17C9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1FDC" w14:paraId="78320F68" w14:textId="77777777" w:rsidTr="007F10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6D27D3" w14:textId="77777777" w:rsidR="000C1FDC" w:rsidRDefault="000C1FDC" w:rsidP="00324F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9DC284" w14:textId="3B16D629" w:rsidR="000C1FDC" w:rsidRDefault="000C1FDC" w:rsidP="00324F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4F41">
            <w:rPr>
              <w:i/>
              <w:sz w:val="18"/>
            </w:rPr>
            <w:t>Primary Industries Research and Development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3BF4FA" w14:textId="77777777" w:rsidR="000C1FDC" w:rsidRDefault="000C1FDC" w:rsidP="00324F98">
          <w:pPr>
            <w:spacing w:line="0" w:lineRule="atLeast"/>
            <w:jc w:val="right"/>
            <w:rPr>
              <w:sz w:val="18"/>
            </w:rPr>
          </w:pPr>
        </w:p>
      </w:tc>
    </w:tr>
  </w:tbl>
  <w:p w14:paraId="3385FAE6" w14:textId="77777777" w:rsidR="000C1FDC" w:rsidRPr="001176C9" w:rsidRDefault="001176C9" w:rsidP="001176C9">
    <w:pPr>
      <w:rPr>
        <w:rFonts w:cs="Times New Roman"/>
        <w:i/>
        <w:sz w:val="18"/>
      </w:rPr>
    </w:pPr>
    <w:r w:rsidRPr="001176C9">
      <w:rPr>
        <w:rFonts w:cs="Times New Roman"/>
        <w:i/>
        <w:sz w:val="18"/>
      </w:rPr>
      <w:t>OPC66510 -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C328" w14:textId="228F1514" w:rsidR="000C1FDC" w:rsidRPr="00E33C1C" w:rsidRDefault="000C1FD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C1FDC" w14:paraId="7B4BCEB9" w14:textId="77777777" w:rsidTr="00324F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BFCC4B" w14:textId="77777777" w:rsidR="000C1FDC" w:rsidRDefault="000C1FDC" w:rsidP="00324F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0D2F45" w14:textId="2B67C439" w:rsidR="000C1FDC" w:rsidRDefault="000C1FDC" w:rsidP="00324F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4F41">
            <w:rPr>
              <w:i/>
              <w:sz w:val="18"/>
            </w:rPr>
            <w:t>Primary Industries Research and Development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DB0B42" w14:textId="77777777" w:rsidR="000C1FDC" w:rsidRDefault="000C1FDC" w:rsidP="00324F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467C3B" w14:textId="77777777" w:rsidR="000C1FDC" w:rsidRPr="001176C9" w:rsidRDefault="001176C9" w:rsidP="001176C9">
    <w:pPr>
      <w:rPr>
        <w:rFonts w:cs="Times New Roman"/>
        <w:i/>
        <w:sz w:val="18"/>
      </w:rPr>
    </w:pPr>
    <w:r w:rsidRPr="001176C9">
      <w:rPr>
        <w:rFonts w:cs="Times New Roman"/>
        <w:i/>
        <w:sz w:val="18"/>
      </w:rPr>
      <w:t>OPC66510 -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53E7" w14:textId="714CB7D5" w:rsidR="000C1FDC" w:rsidRPr="00E33C1C" w:rsidRDefault="000D5F3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7355679" wp14:editId="02A0F1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40126257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448EB" w14:textId="233E2103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5567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61448EB" w14:textId="233E2103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C1FDC" w14:paraId="217B945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489877" w14:textId="77777777" w:rsidR="000C1FDC" w:rsidRDefault="000C1FDC" w:rsidP="00324F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0DD504" w14:textId="09C111FC" w:rsidR="000C1FDC" w:rsidRDefault="000C1FDC" w:rsidP="00324F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4F41">
            <w:rPr>
              <w:i/>
              <w:sz w:val="18"/>
            </w:rPr>
            <w:t>Primary Industries Research and Development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1AE61" w14:textId="77777777" w:rsidR="000C1FDC" w:rsidRDefault="000C1FDC" w:rsidP="00324F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F74E16" w14:textId="77777777" w:rsidR="000C1FDC" w:rsidRPr="001176C9" w:rsidRDefault="001176C9" w:rsidP="001176C9">
    <w:pPr>
      <w:rPr>
        <w:rFonts w:cs="Times New Roman"/>
        <w:i/>
        <w:sz w:val="18"/>
      </w:rPr>
    </w:pPr>
    <w:r w:rsidRPr="001176C9">
      <w:rPr>
        <w:rFonts w:cs="Times New Roman"/>
        <w:i/>
        <w:sz w:val="18"/>
      </w:rPr>
      <w:t>OPC66510 -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5123" w14:textId="77777777" w:rsidR="000C1FDC" w:rsidRDefault="000C1FDC" w:rsidP="00715914">
      <w:pPr>
        <w:spacing w:line="240" w:lineRule="auto"/>
      </w:pPr>
      <w:r>
        <w:separator/>
      </w:r>
    </w:p>
  </w:footnote>
  <w:footnote w:type="continuationSeparator" w:id="0">
    <w:p w14:paraId="24F8FD49" w14:textId="77777777" w:rsidR="000C1FDC" w:rsidRDefault="000C1FD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8EBD3" w14:textId="35B7CBE3" w:rsidR="000C1FDC" w:rsidRPr="005F1388" w:rsidRDefault="000D5F3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15A46C" wp14:editId="5D35A1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307864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A0163" w14:textId="11B4096F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5A4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51A0163" w14:textId="11B4096F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979D" w14:textId="7625C8C0" w:rsidR="000C1FDC" w:rsidRPr="005F1388" w:rsidRDefault="000C1FD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0576" w14:textId="02D42DEA" w:rsidR="000C1FDC" w:rsidRPr="005F1388" w:rsidRDefault="000D5F3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F216F8" wp14:editId="5D05B1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3774159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7E5AF" w14:textId="7B232743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16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3A7E5AF" w14:textId="7B232743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468E4" w14:textId="604F59B5" w:rsidR="000C1FDC" w:rsidRPr="00ED79B6" w:rsidRDefault="000D5F3F" w:rsidP="00F67BCA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3163CC" wp14:editId="0E1A07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1402404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F2DF4" w14:textId="6102B64A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163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42F2DF4" w14:textId="6102B64A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51AC" w14:textId="6225B63A" w:rsidR="000C1FDC" w:rsidRPr="00ED79B6" w:rsidRDefault="000C1FD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72AB" w14:textId="6FAF94A0" w:rsidR="000C1FDC" w:rsidRPr="00ED79B6" w:rsidRDefault="000D5F3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E5ADC5" wp14:editId="43D534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6435349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32A36" w14:textId="3AB73136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5AD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B432A36" w14:textId="3AB73136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F38D" w14:textId="17245CD0" w:rsidR="000C1FDC" w:rsidRDefault="000D5F3F" w:rsidP="00715914">
    <w:pPr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9F989F" wp14:editId="63BDC2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8707427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3D9B8" w14:textId="05A40871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F989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463D9B8" w14:textId="05A40871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1FDC" w:rsidRPr="007A1328">
      <w:rPr>
        <w:b/>
        <w:sz w:val="20"/>
      </w:rPr>
      <w:fldChar w:fldCharType="begin"/>
    </w:r>
    <w:r w:rsidR="000C1FDC" w:rsidRPr="007A1328">
      <w:rPr>
        <w:b/>
        <w:sz w:val="20"/>
      </w:rPr>
      <w:instrText xml:space="preserve"> STYLEREF CharChapNo </w:instrText>
    </w:r>
    <w:r w:rsidR="000C1FDC" w:rsidRPr="007A1328">
      <w:rPr>
        <w:b/>
        <w:sz w:val="20"/>
      </w:rPr>
      <w:fldChar w:fldCharType="end"/>
    </w:r>
    <w:r w:rsidR="000C1FDC" w:rsidRPr="007A1328">
      <w:rPr>
        <w:b/>
        <w:sz w:val="20"/>
      </w:rPr>
      <w:t xml:space="preserve"> </w:t>
    </w:r>
    <w:r w:rsidR="000C1FDC">
      <w:rPr>
        <w:sz w:val="20"/>
      </w:rPr>
      <w:t xml:space="preserve"> </w:t>
    </w:r>
    <w:r w:rsidR="000C1FDC">
      <w:rPr>
        <w:sz w:val="20"/>
      </w:rPr>
      <w:fldChar w:fldCharType="begin"/>
    </w:r>
    <w:r w:rsidR="000C1FDC">
      <w:rPr>
        <w:sz w:val="20"/>
      </w:rPr>
      <w:instrText xml:space="preserve"> STYLEREF CharChapText </w:instrText>
    </w:r>
    <w:r w:rsidR="000C1FDC">
      <w:rPr>
        <w:sz w:val="20"/>
      </w:rPr>
      <w:fldChar w:fldCharType="end"/>
    </w:r>
  </w:p>
  <w:p w14:paraId="099436E7" w14:textId="5C0B909A" w:rsidR="000C1FDC" w:rsidRDefault="000C1FD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20D2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20D27">
      <w:rPr>
        <w:noProof/>
        <w:sz w:val="20"/>
      </w:rPr>
      <w:t>Research and development corporations</w:t>
    </w:r>
    <w:r>
      <w:rPr>
        <w:sz w:val="20"/>
      </w:rPr>
      <w:fldChar w:fldCharType="end"/>
    </w:r>
  </w:p>
  <w:p w14:paraId="160AE4C2" w14:textId="0EDBB6ED" w:rsidR="000C1FDC" w:rsidRPr="007A1328" w:rsidRDefault="000C1FD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AF699BA" w14:textId="77777777" w:rsidR="000C1FDC" w:rsidRPr="007A1328" w:rsidRDefault="000C1FDC" w:rsidP="00715914">
    <w:pPr>
      <w:rPr>
        <w:b/>
        <w:sz w:val="24"/>
      </w:rPr>
    </w:pPr>
  </w:p>
  <w:p w14:paraId="217457B4" w14:textId="4E5A5272" w:rsidR="000C1FDC" w:rsidRPr="007A1328" w:rsidRDefault="000C1FD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64F4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20D27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BECC1" w14:textId="6282E365" w:rsidR="000C1FDC" w:rsidRPr="007A1328" w:rsidRDefault="000C1FD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036A4CC" w14:textId="079459AA" w:rsidR="000C1FDC" w:rsidRPr="007A1328" w:rsidRDefault="000C1FD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20D27">
      <w:rPr>
        <w:sz w:val="20"/>
      </w:rPr>
      <w:fldChar w:fldCharType="separate"/>
    </w:r>
    <w:r w:rsidR="00720D27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20D27">
      <w:rPr>
        <w:b/>
        <w:sz w:val="20"/>
      </w:rPr>
      <w:fldChar w:fldCharType="separate"/>
    </w:r>
    <w:r w:rsidR="00720D27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B5CE32D" w14:textId="4AB7DDED" w:rsidR="000C1FDC" w:rsidRPr="007A1328" w:rsidRDefault="000C1FD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584109D" w14:textId="77777777" w:rsidR="000C1FDC" w:rsidRPr="007A1328" w:rsidRDefault="000C1FDC" w:rsidP="00715914">
    <w:pPr>
      <w:jc w:val="right"/>
      <w:rPr>
        <w:b/>
        <w:sz w:val="24"/>
      </w:rPr>
    </w:pPr>
  </w:p>
  <w:p w14:paraId="767E2209" w14:textId="7327AD1A" w:rsidR="000C1FDC" w:rsidRPr="007A1328" w:rsidRDefault="000C1FD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64F4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20D27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BA72D" w14:textId="39FB793E" w:rsidR="000C1FDC" w:rsidRPr="007A1328" w:rsidRDefault="000D5F3F" w:rsidP="00715914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F6701FB" wp14:editId="0E2620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3053704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C62E6" w14:textId="795AC746" w:rsidR="000D5F3F" w:rsidRPr="000D5F3F" w:rsidRDefault="000D5F3F" w:rsidP="000D5F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5F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701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DAC62E6" w14:textId="795AC746" w:rsidR="000D5F3F" w:rsidRPr="000D5F3F" w:rsidRDefault="000D5F3F" w:rsidP="000D5F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5F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58091734">
    <w:abstractNumId w:val="9"/>
  </w:num>
  <w:num w:numId="2" w16cid:durableId="57099186">
    <w:abstractNumId w:val="7"/>
  </w:num>
  <w:num w:numId="3" w16cid:durableId="913512808">
    <w:abstractNumId w:val="6"/>
  </w:num>
  <w:num w:numId="4" w16cid:durableId="57477691">
    <w:abstractNumId w:val="5"/>
  </w:num>
  <w:num w:numId="5" w16cid:durableId="1581912259">
    <w:abstractNumId w:val="4"/>
  </w:num>
  <w:num w:numId="6" w16cid:durableId="1808425746">
    <w:abstractNumId w:val="8"/>
  </w:num>
  <w:num w:numId="7" w16cid:durableId="567767516">
    <w:abstractNumId w:val="3"/>
  </w:num>
  <w:num w:numId="8" w16cid:durableId="1494373148">
    <w:abstractNumId w:val="2"/>
  </w:num>
  <w:num w:numId="9" w16cid:durableId="977029358">
    <w:abstractNumId w:val="1"/>
  </w:num>
  <w:num w:numId="10" w16cid:durableId="1741437187">
    <w:abstractNumId w:val="0"/>
  </w:num>
  <w:num w:numId="11" w16cid:durableId="1552107083">
    <w:abstractNumId w:val="15"/>
  </w:num>
  <w:num w:numId="12" w16cid:durableId="1261329039">
    <w:abstractNumId w:val="11"/>
  </w:num>
  <w:num w:numId="13" w16cid:durableId="1865821789">
    <w:abstractNumId w:val="12"/>
  </w:num>
  <w:num w:numId="14" w16cid:durableId="841048250">
    <w:abstractNumId w:val="14"/>
  </w:num>
  <w:num w:numId="15" w16cid:durableId="2026709630">
    <w:abstractNumId w:val="13"/>
  </w:num>
  <w:num w:numId="16" w16cid:durableId="885290660">
    <w:abstractNumId w:val="10"/>
  </w:num>
  <w:num w:numId="17" w16cid:durableId="51271759">
    <w:abstractNumId w:val="17"/>
  </w:num>
  <w:num w:numId="18" w16cid:durableId="314649600">
    <w:abstractNumId w:val="16"/>
  </w:num>
  <w:num w:numId="19" w16cid:durableId="794105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29E5"/>
    <w:rsid w:val="00000329"/>
    <w:rsid w:val="000022F0"/>
    <w:rsid w:val="00004470"/>
    <w:rsid w:val="00007D18"/>
    <w:rsid w:val="000136AF"/>
    <w:rsid w:val="00036552"/>
    <w:rsid w:val="00037A7A"/>
    <w:rsid w:val="00040544"/>
    <w:rsid w:val="000437C1"/>
    <w:rsid w:val="00051477"/>
    <w:rsid w:val="0005365D"/>
    <w:rsid w:val="00053FED"/>
    <w:rsid w:val="000614BF"/>
    <w:rsid w:val="00062735"/>
    <w:rsid w:val="000658D8"/>
    <w:rsid w:val="0006725B"/>
    <w:rsid w:val="00073D3B"/>
    <w:rsid w:val="0007549E"/>
    <w:rsid w:val="00076693"/>
    <w:rsid w:val="00095F23"/>
    <w:rsid w:val="000A1B10"/>
    <w:rsid w:val="000A3A77"/>
    <w:rsid w:val="000A3D30"/>
    <w:rsid w:val="000A74B3"/>
    <w:rsid w:val="000B58FA"/>
    <w:rsid w:val="000B7CAE"/>
    <w:rsid w:val="000B7E30"/>
    <w:rsid w:val="000C1FDC"/>
    <w:rsid w:val="000D05EF"/>
    <w:rsid w:val="000D5F3F"/>
    <w:rsid w:val="000E0F78"/>
    <w:rsid w:val="000E2261"/>
    <w:rsid w:val="000E26C2"/>
    <w:rsid w:val="000E5A1D"/>
    <w:rsid w:val="000F21C1"/>
    <w:rsid w:val="0010745C"/>
    <w:rsid w:val="001176C9"/>
    <w:rsid w:val="001237F4"/>
    <w:rsid w:val="00131519"/>
    <w:rsid w:val="00132CEB"/>
    <w:rsid w:val="00134B61"/>
    <w:rsid w:val="00135ABD"/>
    <w:rsid w:val="00140382"/>
    <w:rsid w:val="00142B62"/>
    <w:rsid w:val="00142FC6"/>
    <w:rsid w:val="0014539C"/>
    <w:rsid w:val="00153893"/>
    <w:rsid w:val="00157B8B"/>
    <w:rsid w:val="00161BB6"/>
    <w:rsid w:val="001667AB"/>
    <w:rsid w:val="00166C2F"/>
    <w:rsid w:val="001673A4"/>
    <w:rsid w:val="0017048D"/>
    <w:rsid w:val="001721AC"/>
    <w:rsid w:val="001769A7"/>
    <w:rsid w:val="001809D7"/>
    <w:rsid w:val="00185218"/>
    <w:rsid w:val="00186EF8"/>
    <w:rsid w:val="001939E1"/>
    <w:rsid w:val="00194C3E"/>
    <w:rsid w:val="00195382"/>
    <w:rsid w:val="00195E39"/>
    <w:rsid w:val="001B6495"/>
    <w:rsid w:val="001B7301"/>
    <w:rsid w:val="001C3C4E"/>
    <w:rsid w:val="001C61C5"/>
    <w:rsid w:val="001C69C4"/>
    <w:rsid w:val="001D323B"/>
    <w:rsid w:val="001D37EF"/>
    <w:rsid w:val="001E3590"/>
    <w:rsid w:val="001E7407"/>
    <w:rsid w:val="001F5D5E"/>
    <w:rsid w:val="001F6219"/>
    <w:rsid w:val="001F6CD4"/>
    <w:rsid w:val="00206C4D"/>
    <w:rsid w:val="0021053C"/>
    <w:rsid w:val="002133D9"/>
    <w:rsid w:val="002150FD"/>
    <w:rsid w:val="00215AF1"/>
    <w:rsid w:val="00226562"/>
    <w:rsid w:val="002321E8"/>
    <w:rsid w:val="00233828"/>
    <w:rsid w:val="00236EEC"/>
    <w:rsid w:val="0024010F"/>
    <w:rsid w:val="00240749"/>
    <w:rsid w:val="00243018"/>
    <w:rsid w:val="00252E7B"/>
    <w:rsid w:val="002564A4"/>
    <w:rsid w:val="002646F4"/>
    <w:rsid w:val="0026736C"/>
    <w:rsid w:val="00271499"/>
    <w:rsid w:val="0027285F"/>
    <w:rsid w:val="00272C6E"/>
    <w:rsid w:val="00281308"/>
    <w:rsid w:val="00284719"/>
    <w:rsid w:val="00287372"/>
    <w:rsid w:val="00287A21"/>
    <w:rsid w:val="00293CB2"/>
    <w:rsid w:val="00297ECB"/>
    <w:rsid w:val="002A7BCF"/>
    <w:rsid w:val="002B6DC6"/>
    <w:rsid w:val="002C4A40"/>
    <w:rsid w:val="002D043A"/>
    <w:rsid w:val="002D31BA"/>
    <w:rsid w:val="002D4345"/>
    <w:rsid w:val="002D6224"/>
    <w:rsid w:val="002D6ED3"/>
    <w:rsid w:val="002E3F4B"/>
    <w:rsid w:val="002F2F60"/>
    <w:rsid w:val="002F4A9F"/>
    <w:rsid w:val="00304F8B"/>
    <w:rsid w:val="003060DD"/>
    <w:rsid w:val="00324F98"/>
    <w:rsid w:val="003354D2"/>
    <w:rsid w:val="00335BC6"/>
    <w:rsid w:val="003415D3"/>
    <w:rsid w:val="00342C05"/>
    <w:rsid w:val="00344701"/>
    <w:rsid w:val="00346BEF"/>
    <w:rsid w:val="00352B0F"/>
    <w:rsid w:val="00354028"/>
    <w:rsid w:val="00356690"/>
    <w:rsid w:val="00360459"/>
    <w:rsid w:val="00377D6E"/>
    <w:rsid w:val="003A1817"/>
    <w:rsid w:val="003A1AB2"/>
    <w:rsid w:val="003B77A7"/>
    <w:rsid w:val="003C6231"/>
    <w:rsid w:val="003D0BFE"/>
    <w:rsid w:val="003D0D3D"/>
    <w:rsid w:val="003D5700"/>
    <w:rsid w:val="003E112E"/>
    <w:rsid w:val="003E341B"/>
    <w:rsid w:val="003F3BE7"/>
    <w:rsid w:val="003F6825"/>
    <w:rsid w:val="004116CD"/>
    <w:rsid w:val="00411D38"/>
    <w:rsid w:val="0041391D"/>
    <w:rsid w:val="004144EC"/>
    <w:rsid w:val="00417EB9"/>
    <w:rsid w:val="004219A9"/>
    <w:rsid w:val="00422271"/>
    <w:rsid w:val="004242B9"/>
    <w:rsid w:val="00424CA9"/>
    <w:rsid w:val="0042742C"/>
    <w:rsid w:val="00431E9B"/>
    <w:rsid w:val="004379E3"/>
    <w:rsid w:val="00437E5C"/>
    <w:rsid w:val="0044015E"/>
    <w:rsid w:val="0044291A"/>
    <w:rsid w:val="00444ABD"/>
    <w:rsid w:val="00452039"/>
    <w:rsid w:val="00461C81"/>
    <w:rsid w:val="00467661"/>
    <w:rsid w:val="004705B7"/>
    <w:rsid w:val="00472DBE"/>
    <w:rsid w:val="00474A19"/>
    <w:rsid w:val="00496F97"/>
    <w:rsid w:val="004B3150"/>
    <w:rsid w:val="004B747F"/>
    <w:rsid w:val="004C6AE8"/>
    <w:rsid w:val="004D3593"/>
    <w:rsid w:val="004E063A"/>
    <w:rsid w:val="004E1993"/>
    <w:rsid w:val="004E326C"/>
    <w:rsid w:val="004E4D2D"/>
    <w:rsid w:val="004E60C0"/>
    <w:rsid w:val="004E7BEC"/>
    <w:rsid w:val="004F4D64"/>
    <w:rsid w:val="004F53FA"/>
    <w:rsid w:val="00505D3D"/>
    <w:rsid w:val="00506AF6"/>
    <w:rsid w:val="00512AFC"/>
    <w:rsid w:val="00512EBE"/>
    <w:rsid w:val="00516B8D"/>
    <w:rsid w:val="00537FBC"/>
    <w:rsid w:val="00554954"/>
    <w:rsid w:val="00557432"/>
    <w:rsid w:val="005574D1"/>
    <w:rsid w:val="005670D8"/>
    <w:rsid w:val="005815EA"/>
    <w:rsid w:val="00584811"/>
    <w:rsid w:val="00584EB1"/>
    <w:rsid w:val="00585784"/>
    <w:rsid w:val="00591308"/>
    <w:rsid w:val="00593AA6"/>
    <w:rsid w:val="00594161"/>
    <w:rsid w:val="00594749"/>
    <w:rsid w:val="005A6924"/>
    <w:rsid w:val="005B4067"/>
    <w:rsid w:val="005C3F41"/>
    <w:rsid w:val="005D2D09"/>
    <w:rsid w:val="005D6E53"/>
    <w:rsid w:val="005F352B"/>
    <w:rsid w:val="00600219"/>
    <w:rsid w:val="00603DC4"/>
    <w:rsid w:val="006101FA"/>
    <w:rsid w:val="00612CA4"/>
    <w:rsid w:val="00620076"/>
    <w:rsid w:val="00655753"/>
    <w:rsid w:val="00670EA1"/>
    <w:rsid w:val="0067357C"/>
    <w:rsid w:val="006744BC"/>
    <w:rsid w:val="00677CC2"/>
    <w:rsid w:val="00683B42"/>
    <w:rsid w:val="006905DE"/>
    <w:rsid w:val="0069207B"/>
    <w:rsid w:val="006944A8"/>
    <w:rsid w:val="006A0CAA"/>
    <w:rsid w:val="006B13F1"/>
    <w:rsid w:val="006B5789"/>
    <w:rsid w:val="006C30C5"/>
    <w:rsid w:val="006C7F8C"/>
    <w:rsid w:val="006D1EE2"/>
    <w:rsid w:val="006D43F4"/>
    <w:rsid w:val="006E6246"/>
    <w:rsid w:val="006F318F"/>
    <w:rsid w:val="006F3970"/>
    <w:rsid w:val="006F411C"/>
    <w:rsid w:val="006F4226"/>
    <w:rsid w:val="006F6AB1"/>
    <w:rsid w:val="0070017E"/>
    <w:rsid w:val="00700B2C"/>
    <w:rsid w:val="007050A2"/>
    <w:rsid w:val="00713084"/>
    <w:rsid w:val="00714F20"/>
    <w:rsid w:val="0071590F"/>
    <w:rsid w:val="00715914"/>
    <w:rsid w:val="00716916"/>
    <w:rsid w:val="00720D27"/>
    <w:rsid w:val="00731E00"/>
    <w:rsid w:val="007338A9"/>
    <w:rsid w:val="007440B7"/>
    <w:rsid w:val="0074525A"/>
    <w:rsid w:val="007500C8"/>
    <w:rsid w:val="00756272"/>
    <w:rsid w:val="00757B00"/>
    <w:rsid w:val="0076681A"/>
    <w:rsid w:val="007715C9"/>
    <w:rsid w:val="00771613"/>
    <w:rsid w:val="00772CC9"/>
    <w:rsid w:val="00774EDD"/>
    <w:rsid w:val="007757EC"/>
    <w:rsid w:val="00783E89"/>
    <w:rsid w:val="00786620"/>
    <w:rsid w:val="00793915"/>
    <w:rsid w:val="00797E6B"/>
    <w:rsid w:val="007B21E6"/>
    <w:rsid w:val="007C2253"/>
    <w:rsid w:val="007D5770"/>
    <w:rsid w:val="007D5A63"/>
    <w:rsid w:val="007D7B81"/>
    <w:rsid w:val="007E163D"/>
    <w:rsid w:val="007E667A"/>
    <w:rsid w:val="007F1039"/>
    <w:rsid w:val="007F28C9"/>
    <w:rsid w:val="00803587"/>
    <w:rsid w:val="00807626"/>
    <w:rsid w:val="008117E9"/>
    <w:rsid w:val="008120CD"/>
    <w:rsid w:val="00824498"/>
    <w:rsid w:val="00830119"/>
    <w:rsid w:val="00842EB3"/>
    <w:rsid w:val="00856A31"/>
    <w:rsid w:val="00864B24"/>
    <w:rsid w:val="00864F41"/>
    <w:rsid w:val="00867B37"/>
    <w:rsid w:val="008754D0"/>
    <w:rsid w:val="00884F63"/>
    <w:rsid w:val="008855C9"/>
    <w:rsid w:val="00886415"/>
    <w:rsid w:val="00886456"/>
    <w:rsid w:val="00896B07"/>
    <w:rsid w:val="00897E6D"/>
    <w:rsid w:val="008A10E7"/>
    <w:rsid w:val="008A46E1"/>
    <w:rsid w:val="008A4F43"/>
    <w:rsid w:val="008B2706"/>
    <w:rsid w:val="008C0B05"/>
    <w:rsid w:val="008C6E81"/>
    <w:rsid w:val="008D0EE0"/>
    <w:rsid w:val="008E6067"/>
    <w:rsid w:val="008F319D"/>
    <w:rsid w:val="008F54E7"/>
    <w:rsid w:val="008F584B"/>
    <w:rsid w:val="00901051"/>
    <w:rsid w:val="00903422"/>
    <w:rsid w:val="00915DF9"/>
    <w:rsid w:val="00925267"/>
    <w:rsid w:val="009254C3"/>
    <w:rsid w:val="00926026"/>
    <w:rsid w:val="00932377"/>
    <w:rsid w:val="009379DC"/>
    <w:rsid w:val="00942580"/>
    <w:rsid w:val="009434D7"/>
    <w:rsid w:val="00947D5A"/>
    <w:rsid w:val="009532A5"/>
    <w:rsid w:val="00982242"/>
    <w:rsid w:val="009868E9"/>
    <w:rsid w:val="009A4163"/>
    <w:rsid w:val="009B0F08"/>
    <w:rsid w:val="009B5AB3"/>
    <w:rsid w:val="009B7ECF"/>
    <w:rsid w:val="009D6C38"/>
    <w:rsid w:val="009E1604"/>
    <w:rsid w:val="009E5CFC"/>
    <w:rsid w:val="00A079CB"/>
    <w:rsid w:val="00A12128"/>
    <w:rsid w:val="00A221B0"/>
    <w:rsid w:val="00A22C98"/>
    <w:rsid w:val="00A231E2"/>
    <w:rsid w:val="00A2763D"/>
    <w:rsid w:val="00A309BB"/>
    <w:rsid w:val="00A32D12"/>
    <w:rsid w:val="00A33343"/>
    <w:rsid w:val="00A51B73"/>
    <w:rsid w:val="00A54E45"/>
    <w:rsid w:val="00A64912"/>
    <w:rsid w:val="00A658E5"/>
    <w:rsid w:val="00A70A74"/>
    <w:rsid w:val="00A94C9F"/>
    <w:rsid w:val="00AA32D6"/>
    <w:rsid w:val="00AB5C6F"/>
    <w:rsid w:val="00AD5641"/>
    <w:rsid w:val="00AD7889"/>
    <w:rsid w:val="00AE3652"/>
    <w:rsid w:val="00AE4923"/>
    <w:rsid w:val="00AF021B"/>
    <w:rsid w:val="00AF06CF"/>
    <w:rsid w:val="00AF2935"/>
    <w:rsid w:val="00AF70BC"/>
    <w:rsid w:val="00B03270"/>
    <w:rsid w:val="00B05CF4"/>
    <w:rsid w:val="00B07CDB"/>
    <w:rsid w:val="00B16A31"/>
    <w:rsid w:val="00B17DC1"/>
    <w:rsid w:val="00B17DFD"/>
    <w:rsid w:val="00B22F87"/>
    <w:rsid w:val="00B242BC"/>
    <w:rsid w:val="00B308FE"/>
    <w:rsid w:val="00B33709"/>
    <w:rsid w:val="00B33B3C"/>
    <w:rsid w:val="00B50ADC"/>
    <w:rsid w:val="00B566B1"/>
    <w:rsid w:val="00B63834"/>
    <w:rsid w:val="00B65F8A"/>
    <w:rsid w:val="00B72734"/>
    <w:rsid w:val="00B73CC8"/>
    <w:rsid w:val="00B80199"/>
    <w:rsid w:val="00B80FDE"/>
    <w:rsid w:val="00B822B9"/>
    <w:rsid w:val="00B82D48"/>
    <w:rsid w:val="00B83204"/>
    <w:rsid w:val="00B86AF6"/>
    <w:rsid w:val="00BA0C87"/>
    <w:rsid w:val="00BA220B"/>
    <w:rsid w:val="00BA2B83"/>
    <w:rsid w:val="00BA3A57"/>
    <w:rsid w:val="00BA691F"/>
    <w:rsid w:val="00BB0FA4"/>
    <w:rsid w:val="00BB4E1A"/>
    <w:rsid w:val="00BC015E"/>
    <w:rsid w:val="00BC01DA"/>
    <w:rsid w:val="00BC0D9B"/>
    <w:rsid w:val="00BC2ECA"/>
    <w:rsid w:val="00BC5BFE"/>
    <w:rsid w:val="00BC76AC"/>
    <w:rsid w:val="00BD0ECB"/>
    <w:rsid w:val="00BD44B5"/>
    <w:rsid w:val="00BE2155"/>
    <w:rsid w:val="00BE2213"/>
    <w:rsid w:val="00BE719A"/>
    <w:rsid w:val="00BE720A"/>
    <w:rsid w:val="00BF0D73"/>
    <w:rsid w:val="00BF2465"/>
    <w:rsid w:val="00BF4F87"/>
    <w:rsid w:val="00BF715B"/>
    <w:rsid w:val="00C15A1D"/>
    <w:rsid w:val="00C24757"/>
    <w:rsid w:val="00C25E7F"/>
    <w:rsid w:val="00C2746F"/>
    <w:rsid w:val="00C324A0"/>
    <w:rsid w:val="00C3300F"/>
    <w:rsid w:val="00C37824"/>
    <w:rsid w:val="00C42BF8"/>
    <w:rsid w:val="00C43858"/>
    <w:rsid w:val="00C50043"/>
    <w:rsid w:val="00C505DD"/>
    <w:rsid w:val="00C522EF"/>
    <w:rsid w:val="00C5307C"/>
    <w:rsid w:val="00C57222"/>
    <w:rsid w:val="00C7573B"/>
    <w:rsid w:val="00C93C03"/>
    <w:rsid w:val="00CB2C8E"/>
    <w:rsid w:val="00CB602E"/>
    <w:rsid w:val="00CC1C67"/>
    <w:rsid w:val="00CC235B"/>
    <w:rsid w:val="00CC2862"/>
    <w:rsid w:val="00CD29E5"/>
    <w:rsid w:val="00CD78F7"/>
    <w:rsid w:val="00CE051D"/>
    <w:rsid w:val="00CE1335"/>
    <w:rsid w:val="00CE493D"/>
    <w:rsid w:val="00CF07FA"/>
    <w:rsid w:val="00CF0BB2"/>
    <w:rsid w:val="00CF3EE8"/>
    <w:rsid w:val="00D050E6"/>
    <w:rsid w:val="00D05C7F"/>
    <w:rsid w:val="00D13441"/>
    <w:rsid w:val="00D1418D"/>
    <w:rsid w:val="00D150E7"/>
    <w:rsid w:val="00D24E4E"/>
    <w:rsid w:val="00D30D4A"/>
    <w:rsid w:val="00D32F65"/>
    <w:rsid w:val="00D3419A"/>
    <w:rsid w:val="00D35BE4"/>
    <w:rsid w:val="00D51ACC"/>
    <w:rsid w:val="00D52DC2"/>
    <w:rsid w:val="00D53156"/>
    <w:rsid w:val="00D53BCC"/>
    <w:rsid w:val="00D54664"/>
    <w:rsid w:val="00D625B3"/>
    <w:rsid w:val="00D679F2"/>
    <w:rsid w:val="00D67E8A"/>
    <w:rsid w:val="00D70DFB"/>
    <w:rsid w:val="00D74429"/>
    <w:rsid w:val="00D766DF"/>
    <w:rsid w:val="00D84302"/>
    <w:rsid w:val="00DA186E"/>
    <w:rsid w:val="00DA4116"/>
    <w:rsid w:val="00DB251C"/>
    <w:rsid w:val="00DB3132"/>
    <w:rsid w:val="00DB4630"/>
    <w:rsid w:val="00DC4F88"/>
    <w:rsid w:val="00DC6A19"/>
    <w:rsid w:val="00DC7A56"/>
    <w:rsid w:val="00DD4B3E"/>
    <w:rsid w:val="00DE5CFC"/>
    <w:rsid w:val="00DF5A1F"/>
    <w:rsid w:val="00E05704"/>
    <w:rsid w:val="00E11022"/>
    <w:rsid w:val="00E11E44"/>
    <w:rsid w:val="00E12E51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2FC8"/>
    <w:rsid w:val="00EB6AD0"/>
    <w:rsid w:val="00EC6F8E"/>
    <w:rsid w:val="00ED2BB6"/>
    <w:rsid w:val="00ED34E1"/>
    <w:rsid w:val="00ED3B8D"/>
    <w:rsid w:val="00ED659C"/>
    <w:rsid w:val="00EE0D7E"/>
    <w:rsid w:val="00EF2E3A"/>
    <w:rsid w:val="00F06446"/>
    <w:rsid w:val="00F072A7"/>
    <w:rsid w:val="00F078DC"/>
    <w:rsid w:val="00F25653"/>
    <w:rsid w:val="00F32BA8"/>
    <w:rsid w:val="00F349F1"/>
    <w:rsid w:val="00F4350D"/>
    <w:rsid w:val="00F567F7"/>
    <w:rsid w:val="00F62036"/>
    <w:rsid w:val="00F62FF6"/>
    <w:rsid w:val="00F65B52"/>
    <w:rsid w:val="00F67BCA"/>
    <w:rsid w:val="00F73BD6"/>
    <w:rsid w:val="00F76F6B"/>
    <w:rsid w:val="00F83989"/>
    <w:rsid w:val="00F83D73"/>
    <w:rsid w:val="00F85099"/>
    <w:rsid w:val="00F9379C"/>
    <w:rsid w:val="00F9632C"/>
    <w:rsid w:val="00FA04E6"/>
    <w:rsid w:val="00FA1E52"/>
    <w:rsid w:val="00FA7D1C"/>
    <w:rsid w:val="00FB1409"/>
    <w:rsid w:val="00FB20F4"/>
    <w:rsid w:val="00FB2634"/>
    <w:rsid w:val="00FE0A10"/>
    <w:rsid w:val="00FE4688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37974EB"/>
  <w15:docId w15:val="{B8D7C7F2-169F-489B-AD23-E6505219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74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4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4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4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74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74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4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74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74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74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74B3"/>
  </w:style>
  <w:style w:type="paragraph" w:customStyle="1" w:styleId="OPCParaBase">
    <w:name w:val="OPCParaBase"/>
    <w:qFormat/>
    <w:rsid w:val="000A74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74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74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74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74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74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74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74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74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74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74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74B3"/>
  </w:style>
  <w:style w:type="paragraph" w:customStyle="1" w:styleId="Blocks">
    <w:name w:val="Blocks"/>
    <w:aliases w:val="bb"/>
    <w:basedOn w:val="OPCParaBase"/>
    <w:qFormat/>
    <w:rsid w:val="000A74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7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74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74B3"/>
    <w:rPr>
      <w:i/>
    </w:rPr>
  </w:style>
  <w:style w:type="paragraph" w:customStyle="1" w:styleId="BoxList">
    <w:name w:val="BoxList"/>
    <w:aliases w:val="bl"/>
    <w:basedOn w:val="BoxText"/>
    <w:qFormat/>
    <w:rsid w:val="000A74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74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74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74B3"/>
    <w:pPr>
      <w:ind w:left="1985" w:hanging="851"/>
    </w:pPr>
  </w:style>
  <w:style w:type="character" w:customStyle="1" w:styleId="CharAmPartNo">
    <w:name w:val="CharAmPartNo"/>
    <w:basedOn w:val="OPCCharBase"/>
    <w:qFormat/>
    <w:rsid w:val="000A74B3"/>
  </w:style>
  <w:style w:type="character" w:customStyle="1" w:styleId="CharAmPartText">
    <w:name w:val="CharAmPartText"/>
    <w:basedOn w:val="OPCCharBase"/>
    <w:qFormat/>
    <w:rsid w:val="000A74B3"/>
  </w:style>
  <w:style w:type="character" w:customStyle="1" w:styleId="CharAmSchNo">
    <w:name w:val="CharAmSchNo"/>
    <w:basedOn w:val="OPCCharBase"/>
    <w:qFormat/>
    <w:rsid w:val="000A74B3"/>
  </w:style>
  <w:style w:type="character" w:customStyle="1" w:styleId="CharAmSchText">
    <w:name w:val="CharAmSchText"/>
    <w:basedOn w:val="OPCCharBase"/>
    <w:qFormat/>
    <w:rsid w:val="000A74B3"/>
  </w:style>
  <w:style w:type="character" w:customStyle="1" w:styleId="CharBoldItalic">
    <w:name w:val="CharBoldItalic"/>
    <w:basedOn w:val="OPCCharBase"/>
    <w:uiPriority w:val="1"/>
    <w:qFormat/>
    <w:rsid w:val="000A74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74B3"/>
  </w:style>
  <w:style w:type="character" w:customStyle="1" w:styleId="CharChapText">
    <w:name w:val="CharChapText"/>
    <w:basedOn w:val="OPCCharBase"/>
    <w:uiPriority w:val="1"/>
    <w:qFormat/>
    <w:rsid w:val="000A74B3"/>
  </w:style>
  <w:style w:type="character" w:customStyle="1" w:styleId="CharDivNo">
    <w:name w:val="CharDivNo"/>
    <w:basedOn w:val="OPCCharBase"/>
    <w:uiPriority w:val="1"/>
    <w:qFormat/>
    <w:rsid w:val="000A74B3"/>
  </w:style>
  <w:style w:type="character" w:customStyle="1" w:styleId="CharDivText">
    <w:name w:val="CharDivText"/>
    <w:basedOn w:val="OPCCharBase"/>
    <w:uiPriority w:val="1"/>
    <w:qFormat/>
    <w:rsid w:val="000A74B3"/>
  </w:style>
  <w:style w:type="character" w:customStyle="1" w:styleId="CharItalic">
    <w:name w:val="CharItalic"/>
    <w:basedOn w:val="OPCCharBase"/>
    <w:uiPriority w:val="1"/>
    <w:qFormat/>
    <w:rsid w:val="000A74B3"/>
    <w:rPr>
      <w:i/>
    </w:rPr>
  </w:style>
  <w:style w:type="character" w:customStyle="1" w:styleId="CharPartNo">
    <w:name w:val="CharPartNo"/>
    <w:basedOn w:val="OPCCharBase"/>
    <w:uiPriority w:val="1"/>
    <w:qFormat/>
    <w:rsid w:val="000A74B3"/>
  </w:style>
  <w:style w:type="character" w:customStyle="1" w:styleId="CharPartText">
    <w:name w:val="CharPartText"/>
    <w:basedOn w:val="OPCCharBase"/>
    <w:uiPriority w:val="1"/>
    <w:qFormat/>
    <w:rsid w:val="000A74B3"/>
  </w:style>
  <w:style w:type="character" w:customStyle="1" w:styleId="CharSectno">
    <w:name w:val="CharSectno"/>
    <w:basedOn w:val="OPCCharBase"/>
    <w:qFormat/>
    <w:rsid w:val="000A74B3"/>
  </w:style>
  <w:style w:type="character" w:customStyle="1" w:styleId="CharSubdNo">
    <w:name w:val="CharSubdNo"/>
    <w:basedOn w:val="OPCCharBase"/>
    <w:uiPriority w:val="1"/>
    <w:qFormat/>
    <w:rsid w:val="000A74B3"/>
  </w:style>
  <w:style w:type="character" w:customStyle="1" w:styleId="CharSubdText">
    <w:name w:val="CharSubdText"/>
    <w:basedOn w:val="OPCCharBase"/>
    <w:uiPriority w:val="1"/>
    <w:qFormat/>
    <w:rsid w:val="000A74B3"/>
  </w:style>
  <w:style w:type="paragraph" w:customStyle="1" w:styleId="CTA--">
    <w:name w:val="CTA --"/>
    <w:basedOn w:val="OPCParaBase"/>
    <w:next w:val="Normal"/>
    <w:rsid w:val="000A74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74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74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74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74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74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74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74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74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74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74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74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74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74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A74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0A74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A74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74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74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74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74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74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74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74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74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74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74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74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74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74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74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74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74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74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74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A74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74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74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74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74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74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74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74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74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74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74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74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74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74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74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74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7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74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74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74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74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74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74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74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74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74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74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74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74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74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74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74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74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74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74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74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74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74B3"/>
    <w:rPr>
      <w:sz w:val="16"/>
    </w:rPr>
  </w:style>
  <w:style w:type="table" w:customStyle="1" w:styleId="CFlag">
    <w:name w:val="CFlag"/>
    <w:basedOn w:val="TableNormal"/>
    <w:uiPriority w:val="99"/>
    <w:rsid w:val="000A74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7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7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74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74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74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74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74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74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A74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A74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A74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74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A74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74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74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74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74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74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74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74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74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74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74B3"/>
  </w:style>
  <w:style w:type="character" w:customStyle="1" w:styleId="CharSubPartNoCASA">
    <w:name w:val="CharSubPartNo(CASA)"/>
    <w:basedOn w:val="OPCCharBase"/>
    <w:uiPriority w:val="1"/>
    <w:rsid w:val="000A74B3"/>
  </w:style>
  <w:style w:type="paragraph" w:customStyle="1" w:styleId="ENoteTTIndentHeadingSub">
    <w:name w:val="ENoteTTIndentHeadingSub"/>
    <w:aliases w:val="enTTHis"/>
    <w:basedOn w:val="OPCParaBase"/>
    <w:rsid w:val="000A74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74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74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74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74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74B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7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74B3"/>
    <w:rPr>
      <w:sz w:val="22"/>
    </w:rPr>
  </w:style>
  <w:style w:type="paragraph" w:customStyle="1" w:styleId="SOTextNote">
    <w:name w:val="SO TextNote"/>
    <w:aliases w:val="sont"/>
    <w:basedOn w:val="SOText"/>
    <w:qFormat/>
    <w:rsid w:val="000A74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74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74B3"/>
    <w:rPr>
      <w:sz w:val="22"/>
    </w:rPr>
  </w:style>
  <w:style w:type="paragraph" w:customStyle="1" w:styleId="FileName">
    <w:name w:val="FileName"/>
    <w:basedOn w:val="Normal"/>
    <w:rsid w:val="000A74B3"/>
  </w:style>
  <w:style w:type="paragraph" w:customStyle="1" w:styleId="TableHeading">
    <w:name w:val="TableHeading"/>
    <w:aliases w:val="th"/>
    <w:basedOn w:val="OPCParaBase"/>
    <w:next w:val="Tabletext"/>
    <w:rsid w:val="000A74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74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74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74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74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74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74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74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74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74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74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74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74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74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7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7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74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74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74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74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74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74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74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A74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74B3"/>
    <w:pPr>
      <w:ind w:left="240" w:hanging="240"/>
    </w:pPr>
  </w:style>
  <w:style w:type="paragraph" w:styleId="Index2">
    <w:name w:val="index 2"/>
    <w:basedOn w:val="Normal"/>
    <w:next w:val="Normal"/>
    <w:autoRedefine/>
    <w:rsid w:val="000A74B3"/>
    <w:pPr>
      <w:ind w:left="480" w:hanging="240"/>
    </w:pPr>
  </w:style>
  <w:style w:type="paragraph" w:styleId="Index3">
    <w:name w:val="index 3"/>
    <w:basedOn w:val="Normal"/>
    <w:next w:val="Normal"/>
    <w:autoRedefine/>
    <w:rsid w:val="000A74B3"/>
    <w:pPr>
      <w:ind w:left="720" w:hanging="240"/>
    </w:pPr>
  </w:style>
  <w:style w:type="paragraph" w:styleId="Index4">
    <w:name w:val="index 4"/>
    <w:basedOn w:val="Normal"/>
    <w:next w:val="Normal"/>
    <w:autoRedefine/>
    <w:rsid w:val="000A74B3"/>
    <w:pPr>
      <w:ind w:left="960" w:hanging="240"/>
    </w:pPr>
  </w:style>
  <w:style w:type="paragraph" w:styleId="Index5">
    <w:name w:val="index 5"/>
    <w:basedOn w:val="Normal"/>
    <w:next w:val="Normal"/>
    <w:autoRedefine/>
    <w:rsid w:val="000A74B3"/>
    <w:pPr>
      <w:ind w:left="1200" w:hanging="240"/>
    </w:pPr>
  </w:style>
  <w:style w:type="paragraph" w:styleId="Index6">
    <w:name w:val="index 6"/>
    <w:basedOn w:val="Normal"/>
    <w:next w:val="Normal"/>
    <w:autoRedefine/>
    <w:rsid w:val="000A74B3"/>
    <w:pPr>
      <w:ind w:left="1440" w:hanging="240"/>
    </w:pPr>
  </w:style>
  <w:style w:type="paragraph" w:styleId="Index7">
    <w:name w:val="index 7"/>
    <w:basedOn w:val="Normal"/>
    <w:next w:val="Normal"/>
    <w:autoRedefine/>
    <w:rsid w:val="000A74B3"/>
    <w:pPr>
      <w:ind w:left="1680" w:hanging="240"/>
    </w:pPr>
  </w:style>
  <w:style w:type="paragraph" w:styleId="Index8">
    <w:name w:val="index 8"/>
    <w:basedOn w:val="Normal"/>
    <w:next w:val="Normal"/>
    <w:autoRedefine/>
    <w:rsid w:val="000A74B3"/>
    <w:pPr>
      <w:ind w:left="1920" w:hanging="240"/>
    </w:pPr>
  </w:style>
  <w:style w:type="paragraph" w:styleId="Index9">
    <w:name w:val="index 9"/>
    <w:basedOn w:val="Normal"/>
    <w:next w:val="Normal"/>
    <w:autoRedefine/>
    <w:rsid w:val="000A74B3"/>
    <w:pPr>
      <w:ind w:left="2160" w:hanging="240"/>
    </w:pPr>
  </w:style>
  <w:style w:type="paragraph" w:styleId="NormalIndent">
    <w:name w:val="Normal Indent"/>
    <w:basedOn w:val="Normal"/>
    <w:rsid w:val="000A74B3"/>
    <w:pPr>
      <w:ind w:left="720"/>
    </w:pPr>
  </w:style>
  <w:style w:type="paragraph" w:styleId="FootnoteText">
    <w:name w:val="footnote text"/>
    <w:basedOn w:val="Normal"/>
    <w:link w:val="FootnoteTextChar"/>
    <w:rsid w:val="000A74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74B3"/>
  </w:style>
  <w:style w:type="paragraph" w:styleId="CommentText">
    <w:name w:val="annotation text"/>
    <w:basedOn w:val="Normal"/>
    <w:link w:val="CommentTextChar"/>
    <w:rsid w:val="000A7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74B3"/>
  </w:style>
  <w:style w:type="paragraph" w:styleId="IndexHeading">
    <w:name w:val="index heading"/>
    <w:basedOn w:val="Normal"/>
    <w:next w:val="Index1"/>
    <w:rsid w:val="000A74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74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74B3"/>
    <w:pPr>
      <w:ind w:left="480" w:hanging="480"/>
    </w:pPr>
  </w:style>
  <w:style w:type="paragraph" w:styleId="EnvelopeAddress">
    <w:name w:val="envelope address"/>
    <w:basedOn w:val="Normal"/>
    <w:rsid w:val="000A74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74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74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74B3"/>
    <w:rPr>
      <w:sz w:val="16"/>
      <w:szCs w:val="16"/>
    </w:rPr>
  </w:style>
  <w:style w:type="character" w:styleId="PageNumber">
    <w:name w:val="page number"/>
    <w:basedOn w:val="DefaultParagraphFont"/>
    <w:rsid w:val="000A74B3"/>
  </w:style>
  <w:style w:type="character" w:styleId="EndnoteReference">
    <w:name w:val="endnote reference"/>
    <w:basedOn w:val="DefaultParagraphFont"/>
    <w:rsid w:val="000A74B3"/>
    <w:rPr>
      <w:vertAlign w:val="superscript"/>
    </w:rPr>
  </w:style>
  <w:style w:type="paragraph" w:styleId="EndnoteText">
    <w:name w:val="endnote text"/>
    <w:basedOn w:val="Normal"/>
    <w:link w:val="EndnoteTextChar"/>
    <w:rsid w:val="000A74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74B3"/>
  </w:style>
  <w:style w:type="paragraph" w:styleId="TableofAuthorities">
    <w:name w:val="table of authorities"/>
    <w:basedOn w:val="Normal"/>
    <w:next w:val="Normal"/>
    <w:rsid w:val="000A74B3"/>
    <w:pPr>
      <w:ind w:left="240" w:hanging="240"/>
    </w:pPr>
  </w:style>
  <w:style w:type="paragraph" w:styleId="MacroText">
    <w:name w:val="macro"/>
    <w:link w:val="MacroTextChar"/>
    <w:rsid w:val="000A74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74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74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74B3"/>
    <w:pPr>
      <w:ind w:left="283" w:hanging="283"/>
    </w:pPr>
  </w:style>
  <w:style w:type="paragraph" w:styleId="ListBullet">
    <w:name w:val="List Bullet"/>
    <w:basedOn w:val="Normal"/>
    <w:autoRedefine/>
    <w:rsid w:val="000A74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74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74B3"/>
    <w:pPr>
      <w:ind w:left="566" w:hanging="283"/>
    </w:pPr>
  </w:style>
  <w:style w:type="paragraph" w:styleId="List3">
    <w:name w:val="List 3"/>
    <w:basedOn w:val="Normal"/>
    <w:rsid w:val="000A74B3"/>
    <w:pPr>
      <w:ind w:left="849" w:hanging="283"/>
    </w:pPr>
  </w:style>
  <w:style w:type="paragraph" w:styleId="List4">
    <w:name w:val="List 4"/>
    <w:basedOn w:val="Normal"/>
    <w:rsid w:val="000A74B3"/>
    <w:pPr>
      <w:ind w:left="1132" w:hanging="283"/>
    </w:pPr>
  </w:style>
  <w:style w:type="paragraph" w:styleId="List5">
    <w:name w:val="List 5"/>
    <w:basedOn w:val="Normal"/>
    <w:rsid w:val="000A74B3"/>
    <w:pPr>
      <w:ind w:left="1415" w:hanging="283"/>
    </w:pPr>
  </w:style>
  <w:style w:type="paragraph" w:styleId="ListBullet2">
    <w:name w:val="List Bullet 2"/>
    <w:basedOn w:val="Normal"/>
    <w:autoRedefine/>
    <w:rsid w:val="000A74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74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74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74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74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74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74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74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74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74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74B3"/>
    <w:pPr>
      <w:ind w:left="4252"/>
    </w:pPr>
  </w:style>
  <w:style w:type="character" w:customStyle="1" w:styleId="ClosingChar">
    <w:name w:val="Closing Char"/>
    <w:basedOn w:val="DefaultParagraphFont"/>
    <w:link w:val="Closing"/>
    <w:rsid w:val="000A74B3"/>
    <w:rPr>
      <w:sz w:val="22"/>
    </w:rPr>
  </w:style>
  <w:style w:type="paragraph" w:styleId="Signature">
    <w:name w:val="Signature"/>
    <w:basedOn w:val="Normal"/>
    <w:link w:val="SignatureChar"/>
    <w:rsid w:val="000A74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74B3"/>
    <w:rPr>
      <w:sz w:val="22"/>
    </w:rPr>
  </w:style>
  <w:style w:type="paragraph" w:styleId="BodyText">
    <w:name w:val="Body Text"/>
    <w:basedOn w:val="Normal"/>
    <w:link w:val="BodyTextChar"/>
    <w:rsid w:val="000A74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74B3"/>
    <w:rPr>
      <w:sz w:val="22"/>
    </w:rPr>
  </w:style>
  <w:style w:type="paragraph" w:styleId="BodyTextIndent">
    <w:name w:val="Body Text Indent"/>
    <w:basedOn w:val="Normal"/>
    <w:link w:val="BodyTextIndentChar"/>
    <w:rsid w:val="000A74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74B3"/>
    <w:rPr>
      <w:sz w:val="22"/>
    </w:rPr>
  </w:style>
  <w:style w:type="paragraph" w:styleId="ListContinue">
    <w:name w:val="List Continue"/>
    <w:basedOn w:val="Normal"/>
    <w:rsid w:val="000A74B3"/>
    <w:pPr>
      <w:spacing w:after="120"/>
      <w:ind w:left="283"/>
    </w:pPr>
  </w:style>
  <w:style w:type="paragraph" w:styleId="ListContinue2">
    <w:name w:val="List Continue 2"/>
    <w:basedOn w:val="Normal"/>
    <w:rsid w:val="000A74B3"/>
    <w:pPr>
      <w:spacing w:after="120"/>
      <w:ind w:left="566"/>
    </w:pPr>
  </w:style>
  <w:style w:type="paragraph" w:styleId="ListContinue3">
    <w:name w:val="List Continue 3"/>
    <w:basedOn w:val="Normal"/>
    <w:rsid w:val="000A74B3"/>
    <w:pPr>
      <w:spacing w:after="120"/>
      <w:ind w:left="849"/>
    </w:pPr>
  </w:style>
  <w:style w:type="paragraph" w:styleId="ListContinue4">
    <w:name w:val="List Continue 4"/>
    <w:basedOn w:val="Normal"/>
    <w:rsid w:val="000A74B3"/>
    <w:pPr>
      <w:spacing w:after="120"/>
      <w:ind w:left="1132"/>
    </w:pPr>
  </w:style>
  <w:style w:type="paragraph" w:styleId="ListContinue5">
    <w:name w:val="List Continue 5"/>
    <w:basedOn w:val="Normal"/>
    <w:rsid w:val="000A74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74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74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74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74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74B3"/>
  </w:style>
  <w:style w:type="character" w:customStyle="1" w:styleId="SalutationChar">
    <w:name w:val="Salutation Char"/>
    <w:basedOn w:val="DefaultParagraphFont"/>
    <w:link w:val="Salutation"/>
    <w:rsid w:val="000A74B3"/>
    <w:rPr>
      <w:sz w:val="22"/>
    </w:rPr>
  </w:style>
  <w:style w:type="paragraph" w:styleId="Date">
    <w:name w:val="Date"/>
    <w:basedOn w:val="Normal"/>
    <w:next w:val="Normal"/>
    <w:link w:val="DateChar"/>
    <w:rsid w:val="000A74B3"/>
  </w:style>
  <w:style w:type="character" w:customStyle="1" w:styleId="DateChar">
    <w:name w:val="Date Char"/>
    <w:basedOn w:val="DefaultParagraphFont"/>
    <w:link w:val="Date"/>
    <w:rsid w:val="000A74B3"/>
    <w:rPr>
      <w:sz w:val="22"/>
    </w:rPr>
  </w:style>
  <w:style w:type="paragraph" w:styleId="BodyTextFirstIndent">
    <w:name w:val="Body Text First Indent"/>
    <w:basedOn w:val="BodyText"/>
    <w:link w:val="BodyTextFirstIndentChar"/>
    <w:rsid w:val="000A74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74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74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74B3"/>
    <w:rPr>
      <w:sz w:val="22"/>
    </w:rPr>
  </w:style>
  <w:style w:type="paragraph" w:styleId="BodyText2">
    <w:name w:val="Body Text 2"/>
    <w:basedOn w:val="Normal"/>
    <w:link w:val="BodyText2Char"/>
    <w:rsid w:val="000A74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74B3"/>
    <w:rPr>
      <w:sz w:val="22"/>
    </w:rPr>
  </w:style>
  <w:style w:type="paragraph" w:styleId="BodyText3">
    <w:name w:val="Body Text 3"/>
    <w:basedOn w:val="Normal"/>
    <w:link w:val="BodyText3Char"/>
    <w:rsid w:val="000A74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74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74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74B3"/>
    <w:rPr>
      <w:sz w:val="22"/>
    </w:rPr>
  </w:style>
  <w:style w:type="paragraph" w:styleId="BodyTextIndent3">
    <w:name w:val="Body Text Indent 3"/>
    <w:basedOn w:val="Normal"/>
    <w:link w:val="BodyTextIndent3Char"/>
    <w:rsid w:val="000A74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74B3"/>
    <w:rPr>
      <w:sz w:val="16"/>
      <w:szCs w:val="16"/>
    </w:rPr>
  </w:style>
  <w:style w:type="paragraph" w:styleId="BlockText">
    <w:name w:val="Block Text"/>
    <w:basedOn w:val="Normal"/>
    <w:rsid w:val="000A74B3"/>
    <w:pPr>
      <w:spacing w:after="120"/>
      <w:ind w:left="1440" w:right="1440"/>
    </w:pPr>
  </w:style>
  <w:style w:type="character" w:styleId="Hyperlink">
    <w:name w:val="Hyperlink"/>
    <w:basedOn w:val="DefaultParagraphFont"/>
    <w:rsid w:val="000A74B3"/>
    <w:rPr>
      <w:color w:val="0000FF"/>
      <w:u w:val="single"/>
    </w:rPr>
  </w:style>
  <w:style w:type="character" w:styleId="FollowedHyperlink">
    <w:name w:val="FollowedHyperlink"/>
    <w:basedOn w:val="DefaultParagraphFont"/>
    <w:rsid w:val="000A74B3"/>
    <w:rPr>
      <w:color w:val="800080"/>
      <w:u w:val="single"/>
    </w:rPr>
  </w:style>
  <w:style w:type="character" w:styleId="Strong">
    <w:name w:val="Strong"/>
    <w:basedOn w:val="DefaultParagraphFont"/>
    <w:qFormat/>
    <w:rsid w:val="000A74B3"/>
    <w:rPr>
      <w:b/>
      <w:bCs/>
    </w:rPr>
  </w:style>
  <w:style w:type="character" w:styleId="Emphasis">
    <w:name w:val="Emphasis"/>
    <w:basedOn w:val="DefaultParagraphFont"/>
    <w:qFormat/>
    <w:rsid w:val="000A74B3"/>
    <w:rPr>
      <w:i/>
      <w:iCs/>
    </w:rPr>
  </w:style>
  <w:style w:type="paragraph" w:styleId="DocumentMap">
    <w:name w:val="Document Map"/>
    <w:basedOn w:val="Normal"/>
    <w:link w:val="DocumentMapChar"/>
    <w:rsid w:val="000A74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74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74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74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74B3"/>
  </w:style>
  <w:style w:type="character" w:customStyle="1" w:styleId="E-mailSignatureChar">
    <w:name w:val="E-mail Signature Char"/>
    <w:basedOn w:val="DefaultParagraphFont"/>
    <w:link w:val="E-mailSignature"/>
    <w:rsid w:val="000A74B3"/>
    <w:rPr>
      <w:sz w:val="22"/>
    </w:rPr>
  </w:style>
  <w:style w:type="paragraph" w:styleId="NormalWeb">
    <w:name w:val="Normal (Web)"/>
    <w:basedOn w:val="Normal"/>
    <w:rsid w:val="000A74B3"/>
  </w:style>
  <w:style w:type="character" w:styleId="HTMLAcronym">
    <w:name w:val="HTML Acronym"/>
    <w:basedOn w:val="DefaultParagraphFont"/>
    <w:rsid w:val="000A74B3"/>
  </w:style>
  <w:style w:type="paragraph" w:styleId="HTMLAddress">
    <w:name w:val="HTML Address"/>
    <w:basedOn w:val="Normal"/>
    <w:link w:val="HTMLAddressChar"/>
    <w:rsid w:val="000A74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74B3"/>
    <w:rPr>
      <w:i/>
      <w:iCs/>
      <w:sz w:val="22"/>
    </w:rPr>
  </w:style>
  <w:style w:type="character" w:styleId="HTMLCite">
    <w:name w:val="HTML Cite"/>
    <w:basedOn w:val="DefaultParagraphFont"/>
    <w:rsid w:val="000A74B3"/>
    <w:rPr>
      <w:i/>
      <w:iCs/>
    </w:rPr>
  </w:style>
  <w:style w:type="character" w:styleId="HTMLCode">
    <w:name w:val="HTML Code"/>
    <w:basedOn w:val="DefaultParagraphFont"/>
    <w:rsid w:val="000A74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74B3"/>
    <w:rPr>
      <w:i/>
      <w:iCs/>
    </w:rPr>
  </w:style>
  <w:style w:type="character" w:styleId="HTMLKeyboard">
    <w:name w:val="HTML Keyboard"/>
    <w:basedOn w:val="DefaultParagraphFont"/>
    <w:rsid w:val="000A74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74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74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74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74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74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7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4B3"/>
    <w:rPr>
      <w:b/>
      <w:bCs/>
    </w:rPr>
  </w:style>
  <w:style w:type="numbering" w:styleId="1ai">
    <w:name w:val="Outline List 1"/>
    <w:basedOn w:val="NoList"/>
    <w:rsid w:val="000A74B3"/>
    <w:pPr>
      <w:numPr>
        <w:numId w:val="14"/>
      </w:numPr>
    </w:pPr>
  </w:style>
  <w:style w:type="numbering" w:styleId="111111">
    <w:name w:val="Outline List 2"/>
    <w:basedOn w:val="NoList"/>
    <w:rsid w:val="000A74B3"/>
    <w:pPr>
      <w:numPr>
        <w:numId w:val="15"/>
      </w:numPr>
    </w:pPr>
  </w:style>
  <w:style w:type="numbering" w:styleId="ArticleSection">
    <w:name w:val="Outline List 3"/>
    <w:basedOn w:val="NoList"/>
    <w:rsid w:val="000A74B3"/>
    <w:pPr>
      <w:numPr>
        <w:numId w:val="17"/>
      </w:numPr>
    </w:pPr>
  </w:style>
  <w:style w:type="table" w:styleId="TableSimple1">
    <w:name w:val="Table Simple 1"/>
    <w:basedOn w:val="TableNormal"/>
    <w:rsid w:val="000A74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74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7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74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74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74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7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74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74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74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74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74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74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74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74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74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74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74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74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7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7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74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74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74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74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74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74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74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74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74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74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74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74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74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74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74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74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74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74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74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74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74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74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74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A74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74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74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74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A74B3"/>
  </w:style>
  <w:style w:type="character" w:customStyle="1" w:styleId="paragraphChar">
    <w:name w:val="paragraph Char"/>
    <w:aliases w:val="a Char"/>
    <w:link w:val="paragraph"/>
    <w:rsid w:val="00591308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591308"/>
    <w:rPr>
      <w:rFonts w:eastAsia="Times New Roman" w:cs="Times New Roman"/>
      <w:sz w:val="22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74B3"/>
  </w:style>
  <w:style w:type="character" w:styleId="BookTitle">
    <w:name w:val="Book Title"/>
    <w:basedOn w:val="DefaultParagraphFont"/>
    <w:uiPriority w:val="33"/>
    <w:qFormat/>
    <w:rsid w:val="000A74B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A74B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A74B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A74B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A74B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A74B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A74B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A74B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A74B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A74B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A74B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A74B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A74B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A74B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A74B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A74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A74B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A74B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A74B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A74B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A74B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A74B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A74B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A74B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A74B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A74B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A74B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A74B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A74B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A74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A74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A74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A74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A74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A74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A74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A74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A74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A74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A74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A74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A74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A74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A74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A74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A74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A74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A74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A74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A74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A74B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A74B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4B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4B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A74B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A74B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A74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A74B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A74B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A74B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A74B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A74B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A74B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A74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A74B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A74B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A74B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A74B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A74B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A74B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A74B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A74B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A74B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A74B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A74B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A74B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A74B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A74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A74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A74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A74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A74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A74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A74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A74B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A74B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A74B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A74B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A74B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A74B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A74B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A74B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A74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A74B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A74B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A74B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A74B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A74B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A74B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A74B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A74B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A74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A74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A74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A74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A74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A74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A74B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A74B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A74B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A74B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A74B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A74B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A74B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A74B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A74B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A74B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A74B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A74B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A74B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A74B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A74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A74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A74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A74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A74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A74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A74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A74B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A74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A74B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A74B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A74B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A74B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A74B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A74B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A74B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A7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A7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A7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A7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A7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A7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A7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A74B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A74B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74B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A74B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A74B3"/>
    <w:rPr>
      <w:color w:val="808080"/>
    </w:rPr>
  </w:style>
  <w:style w:type="table" w:styleId="PlainTable1">
    <w:name w:val="Plain Table 1"/>
    <w:basedOn w:val="TableNormal"/>
    <w:uiPriority w:val="41"/>
    <w:rsid w:val="000A74B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A74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A74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A74B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A74B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A74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4B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A74B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A74B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A74B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A74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74B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A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3BFF1B0363F4F8CA8A12398FB5F3D" ma:contentTypeVersion="6" ma:contentTypeDescription="Create a new document." ma:contentTypeScope="" ma:versionID="3f83417745da7d213fa22bde8f4d4c13">
  <xsd:schema xmlns:xsd="http://www.w3.org/2001/XMLSchema" xmlns:xs="http://www.w3.org/2001/XMLSchema" xmlns:p="http://schemas.microsoft.com/office/2006/metadata/properties" xmlns:ns2="4b7a88cc-f68e-4757-a885-37b91611e137" xmlns:ns3="0ffbd2a1-3e83-4fc8-8d72-7152fe6aefbc" targetNamespace="http://schemas.microsoft.com/office/2006/metadata/properties" ma:root="true" ma:fieldsID="c1387e244d20438976d7b003aa52f5dc" ns2:_="" ns3:_="">
    <xsd:import namespace="4b7a88cc-f68e-4757-a885-37b91611e137"/>
    <xsd:import namespace="0ffbd2a1-3e83-4fc8-8d72-7152fe6a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a88cc-f68e-4757-a885-37b91611e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bd2a1-3e83-4fc8-8d72-7152fe6a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FFADC-A645-441C-B4CD-F7D014219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1B602-189C-4191-9952-690F6BE63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C5BD5F-E86B-4463-A0A0-ACD4657C9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a88cc-f68e-4757-a885-37b91611e137"/>
    <ds:schemaRef ds:uri="0ffbd2a1-3e83-4fc8-8d72-7152fe6a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904D4-AA7A-4545-A789-5F88D5B5B3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1</TotalTime>
  <Pages>8</Pages>
  <Words>1473</Words>
  <Characters>8402</Characters>
  <Application>Microsoft Office Word</Application>
  <DocSecurity>0</DocSecurity>
  <PresentationFormat/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Research and Development Regulations 2024</vt:lpstr>
    </vt:vector>
  </TitlesOfParts>
  <Manager/>
  <Company/>
  <LinksUpToDate>false</LinksUpToDate>
  <CharactersWithSpaces>9856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Kapel, Juanita</cp:lastModifiedBy>
  <cp:revision>2</cp:revision>
  <cp:lastPrinted>2017-04-26T00:22:00Z</cp:lastPrinted>
  <dcterms:created xsi:type="dcterms:W3CDTF">2024-09-11T23:49:00Z</dcterms:created>
  <dcterms:modified xsi:type="dcterms:W3CDTF">2024-10-14T06:06:00Z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Research and Development Regulations 2024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OPC66510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0x01010009B3BFF1B0363F4F8CA8A12398FB5F3D</vt:lpwstr>
  </property>
  <property fmtid="{D5CDD505-2E9C-101B-9397-08002B2CF9AE}" pid="19" name="ClassificationContentMarkingHeaderShapeIds">
    <vt:lpwstr>200d4918,1fa328bc,10301277,6929e5d4,4266a86a,7c3a37cb,6725e654,58a2f3e5,b4a7861</vt:lpwstr>
  </property>
  <property fmtid="{D5CDD505-2E9C-101B-9397-08002B2CF9AE}" pid="20" name="ClassificationContentMarkingHeaderFontProps">
    <vt:lpwstr>#ff0000,12,Calibri</vt:lpwstr>
  </property>
  <property fmtid="{D5CDD505-2E9C-101B-9397-08002B2CF9AE}" pid="21" name="ClassificationContentMarkingHeaderText">
    <vt:lpwstr>OFFICIAL</vt:lpwstr>
  </property>
  <property fmtid="{D5CDD505-2E9C-101B-9397-08002B2CF9AE}" pid="22" name="ClassificationContentMarkingFooterShapeIds">
    <vt:lpwstr>21311699,5fad5121,1df0ed95,21daef92,1ecbb973,4c26990c,6dae1931,267275ec,550f5782</vt:lpwstr>
  </property>
  <property fmtid="{D5CDD505-2E9C-101B-9397-08002B2CF9AE}" pid="23" name="ClassificationContentMarkingFooterFontProps">
    <vt:lpwstr>#ff0000,12,Calibri</vt:lpwstr>
  </property>
  <property fmtid="{D5CDD505-2E9C-101B-9397-08002B2CF9AE}" pid="24" name="ClassificationContentMarkingFooterText">
    <vt:lpwstr>OFFICIAL</vt:lpwstr>
  </property>
  <property fmtid="{D5CDD505-2E9C-101B-9397-08002B2CF9AE}" pid="25" name="MSIP_Label_933d8be6-3c40-4052-87a2-9c2adcba8759_Enabled">
    <vt:lpwstr>true</vt:lpwstr>
  </property>
  <property fmtid="{D5CDD505-2E9C-101B-9397-08002B2CF9AE}" pid="26" name="MSIP_Label_933d8be6-3c40-4052-87a2-9c2adcba8759_SetDate">
    <vt:lpwstr>2024-10-14T06:05:30Z</vt:lpwstr>
  </property>
  <property fmtid="{D5CDD505-2E9C-101B-9397-08002B2CF9AE}" pid="27" name="MSIP_Label_933d8be6-3c40-4052-87a2-9c2adcba8759_Method">
    <vt:lpwstr>Privileged</vt:lpwstr>
  </property>
  <property fmtid="{D5CDD505-2E9C-101B-9397-08002B2CF9AE}" pid="28" name="MSIP_Label_933d8be6-3c40-4052-87a2-9c2adcba8759_Name">
    <vt:lpwstr>OFFICIAL</vt:lpwstr>
  </property>
  <property fmtid="{D5CDD505-2E9C-101B-9397-08002B2CF9AE}" pid="29" name="MSIP_Label_933d8be6-3c40-4052-87a2-9c2adcba8759_SiteId">
    <vt:lpwstr>2be67eb7-400c-4b3f-a5a1-1258c0da0696</vt:lpwstr>
  </property>
  <property fmtid="{D5CDD505-2E9C-101B-9397-08002B2CF9AE}" pid="30" name="MSIP_Label_933d8be6-3c40-4052-87a2-9c2adcba8759_ActionId">
    <vt:lpwstr>c3f5523e-f8f4-4f3b-89aa-0f0f81818ca9</vt:lpwstr>
  </property>
  <property fmtid="{D5CDD505-2E9C-101B-9397-08002B2CF9AE}" pid="31" name="MSIP_Label_933d8be6-3c40-4052-87a2-9c2adcba8759_ContentBits">
    <vt:lpwstr>3</vt:lpwstr>
  </property>
</Properties>
</file>