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1F64" w14:textId="5E661473" w:rsidR="002436BD" w:rsidRPr="00240642" w:rsidRDefault="007B5912" w:rsidP="75515248">
      <w:pPr>
        <w:pStyle w:val="Heading"/>
        <w:spacing w:after="240"/>
        <w:jc w:val="center"/>
        <w:rPr>
          <w:rFonts w:ascii="Times New Roman" w:hAnsi="Times New Roman"/>
          <w:sz w:val="24"/>
          <w:szCs w:val="24"/>
        </w:rPr>
      </w:pPr>
      <w:r w:rsidRPr="00240642">
        <w:rPr>
          <w:rFonts w:ascii="Times New Roman" w:hAnsi="Times New Roman"/>
          <w:sz w:val="24"/>
          <w:szCs w:val="24"/>
        </w:rPr>
        <w:t>Superannuation (</w:t>
      </w:r>
      <w:r w:rsidR="00EA09EA" w:rsidRPr="00240642">
        <w:rPr>
          <w:rFonts w:ascii="Times New Roman" w:hAnsi="Times New Roman"/>
          <w:sz w:val="24"/>
          <w:szCs w:val="24"/>
        </w:rPr>
        <w:t xml:space="preserve">prudential standard) </w:t>
      </w:r>
      <w:r w:rsidR="002436BD" w:rsidRPr="00240642">
        <w:rPr>
          <w:rFonts w:ascii="Times New Roman" w:hAnsi="Times New Roman"/>
          <w:sz w:val="24"/>
          <w:szCs w:val="24"/>
        </w:rPr>
        <w:t>determination No.</w:t>
      </w:r>
      <w:r w:rsidR="0034479C" w:rsidRPr="00240642">
        <w:rPr>
          <w:rFonts w:ascii="Times New Roman" w:hAnsi="Times New Roman"/>
          <w:sz w:val="24"/>
          <w:szCs w:val="24"/>
        </w:rPr>
        <w:t xml:space="preserve"> </w:t>
      </w:r>
      <w:r w:rsidR="00A12F1D" w:rsidRPr="00240642">
        <w:rPr>
          <w:rFonts w:ascii="Times New Roman" w:hAnsi="Times New Roman"/>
          <w:sz w:val="24"/>
          <w:szCs w:val="24"/>
        </w:rPr>
        <w:t>6</w:t>
      </w:r>
      <w:r w:rsidR="003608B7" w:rsidRPr="00240642">
        <w:rPr>
          <w:rFonts w:ascii="Times New Roman" w:hAnsi="Times New Roman"/>
          <w:sz w:val="24"/>
          <w:szCs w:val="24"/>
        </w:rPr>
        <w:t xml:space="preserve"> </w:t>
      </w:r>
      <w:r w:rsidR="002436BD" w:rsidRPr="00240642">
        <w:rPr>
          <w:rFonts w:ascii="Times New Roman" w:hAnsi="Times New Roman"/>
          <w:sz w:val="24"/>
          <w:szCs w:val="24"/>
        </w:rPr>
        <w:t>of 20</w:t>
      </w:r>
      <w:r w:rsidR="001D0A56" w:rsidRPr="00240642">
        <w:rPr>
          <w:rFonts w:ascii="Times New Roman" w:hAnsi="Times New Roman"/>
          <w:sz w:val="24"/>
          <w:szCs w:val="24"/>
        </w:rPr>
        <w:t>2</w:t>
      </w:r>
      <w:r w:rsidR="2E405026" w:rsidRPr="00240642">
        <w:rPr>
          <w:rFonts w:ascii="Times New Roman" w:hAnsi="Times New Roman"/>
          <w:sz w:val="24"/>
          <w:szCs w:val="24"/>
        </w:rPr>
        <w:t>4</w:t>
      </w:r>
    </w:p>
    <w:p w14:paraId="31A3EA7D" w14:textId="77777777" w:rsidR="002436BD" w:rsidRPr="00564008" w:rsidRDefault="002436BD" w:rsidP="008E5D4C">
      <w:pPr>
        <w:pStyle w:val="Heading"/>
        <w:tabs>
          <w:tab w:val="left" w:pos="360"/>
        </w:tabs>
        <w:spacing w:after="240"/>
        <w:jc w:val="center"/>
        <w:rPr>
          <w:rFonts w:ascii="Times New Roman" w:hAnsi="Times New Roman"/>
          <w:sz w:val="24"/>
          <w:szCs w:val="24"/>
          <w:u w:val="single"/>
        </w:rPr>
      </w:pPr>
      <w:bookmarkStart w:id="0" w:name="bkInstrumentSubTitle"/>
      <w:bookmarkEnd w:id="0"/>
      <w:r w:rsidRPr="00564008">
        <w:rPr>
          <w:rFonts w:ascii="Times New Roman" w:hAnsi="Times New Roman"/>
          <w:sz w:val="24"/>
          <w:szCs w:val="24"/>
          <w:u w:val="single"/>
        </w:rPr>
        <w:t xml:space="preserve">EXPLANATORY </w:t>
      </w:r>
      <w:r w:rsidRPr="00B71194">
        <w:rPr>
          <w:rFonts w:ascii="Times New Roman" w:hAnsi="Times New Roman"/>
          <w:sz w:val="24"/>
          <w:szCs w:val="24"/>
          <w:u w:val="single"/>
        </w:rPr>
        <w:t>STATEMENT</w:t>
      </w:r>
    </w:p>
    <w:p w14:paraId="786788DC" w14:textId="77777777" w:rsidR="002436BD" w:rsidRPr="00564008" w:rsidRDefault="002436BD" w:rsidP="008E5D4C">
      <w:pPr>
        <w:pStyle w:val="Heading"/>
        <w:spacing w:after="240"/>
        <w:jc w:val="center"/>
        <w:rPr>
          <w:rFonts w:ascii="Times New Roman" w:hAnsi="Times New Roman"/>
          <w:sz w:val="24"/>
          <w:szCs w:val="24"/>
        </w:rPr>
      </w:pPr>
      <w:r w:rsidRPr="00564008">
        <w:rPr>
          <w:rFonts w:ascii="Times New Roman" w:hAnsi="Times New Roman"/>
          <w:sz w:val="24"/>
          <w:szCs w:val="24"/>
        </w:rPr>
        <w:t>Prepared by the Australian Prudential Regulation Authority (APRA)</w:t>
      </w:r>
    </w:p>
    <w:p w14:paraId="36FA5CC1" w14:textId="132C0718" w:rsidR="002436BD" w:rsidRPr="00564008" w:rsidRDefault="005B66C7" w:rsidP="008E5D4C">
      <w:pPr>
        <w:pStyle w:val="Heading"/>
        <w:tabs>
          <w:tab w:val="left" w:pos="360"/>
        </w:tabs>
        <w:spacing w:after="240"/>
        <w:jc w:val="center"/>
        <w:rPr>
          <w:rFonts w:ascii="Times New Roman" w:hAnsi="Times New Roman"/>
          <w:b w:val="0"/>
          <w:color w:val="000000"/>
          <w:sz w:val="24"/>
          <w:szCs w:val="24"/>
        </w:rPr>
      </w:pPr>
      <w:r w:rsidRPr="00FC71E8">
        <w:rPr>
          <w:rFonts w:ascii="Times New Roman" w:hAnsi="Times New Roman"/>
          <w:b w:val="0"/>
          <w:i/>
          <w:sz w:val="24"/>
          <w:szCs w:val="24"/>
        </w:rPr>
        <w:t>Superannuation Industry (Supervision) Act 1993</w:t>
      </w:r>
      <w:r w:rsidR="009D1A16">
        <w:rPr>
          <w:rFonts w:ascii="Times New Roman" w:hAnsi="Times New Roman"/>
          <w:b w:val="0"/>
          <w:sz w:val="24"/>
          <w:szCs w:val="24"/>
        </w:rPr>
        <w:t>,</w:t>
      </w:r>
      <w:r w:rsidRPr="00564008">
        <w:rPr>
          <w:rFonts w:ascii="Times New Roman" w:hAnsi="Times New Roman"/>
          <w:b w:val="0"/>
          <w:sz w:val="24"/>
          <w:szCs w:val="24"/>
        </w:rPr>
        <w:t xml:space="preserve"> </w:t>
      </w:r>
      <w:r w:rsidR="002436BD" w:rsidRPr="00564008">
        <w:rPr>
          <w:rFonts w:ascii="Times New Roman" w:hAnsi="Times New Roman"/>
          <w:b w:val="0"/>
          <w:color w:val="000000"/>
          <w:sz w:val="24"/>
          <w:szCs w:val="24"/>
        </w:rPr>
        <w:t xml:space="preserve">section </w:t>
      </w:r>
      <w:r w:rsidRPr="00564008">
        <w:rPr>
          <w:rFonts w:ascii="Times New Roman" w:hAnsi="Times New Roman"/>
          <w:b w:val="0"/>
          <w:color w:val="000000"/>
          <w:sz w:val="24"/>
          <w:szCs w:val="24"/>
        </w:rPr>
        <w:t>34C</w:t>
      </w:r>
      <w:r w:rsidR="001C1FD2">
        <w:rPr>
          <w:rFonts w:ascii="Times New Roman" w:hAnsi="Times New Roman"/>
          <w:b w:val="0"/>
          <w:color w:val="000000"/>
          <w:sz w:val="24"/>
          <w:szCs w:val="24"/>
        </w:rPr>
        <w:t xml:space="preserve">(1) and </w:t>
      </w:r>
      <w:r w:rsidRPr="00564008">
        <w:rPr>
          <w:rFonts w:ascii="Times New Roman" w:hAnsi="Times New Roman"/>
          <w:b w:val="0"/>
          <w:color w:val="000000"/>
          <w:sz w:val="24"/>
          <w:szCs w:val="24"/>
        </w:rPr>
        <w:t>(6)</w:t>
      </w:r>
    </w:p>
    <w:p w14:paraId="16CB3414" w14:textId="77777777" w:rsidR="00336521" w:rsidRPr="00564008" w:rsidRDefault="00336521" w:rsidP="00336521">
      <w:pPr>
        <w:widowControl w:val="0"/>
        <w:spacing w:after="240"/>
        <w:jc w:val="both"/>
        <w:rPr>
          <w:rFonts w:ascii="Times New Roman" w:hAnsi="Times New Roman"/>
          <w:sz w:val="24"/>
          <w:szCs w:val="24"/>
        </w:rPr>
      </w:pPr>
      <w:bookmarkStart w:id="1" w:name="bkAct"/>
      <w:bookmarkStart w:id="2" w:name="bkExplanatory"/>
      <w:bookmarkEnd w:id="1"/>
      <w:bookmarkEnd w:id="2"/>
      <w:r w:rsidRPr="00564008">
        <w:rPr>
          <w:rFonts w:ascii="Times New Roman" w:hAnsi="Times New Roman"/>
          <w:sz w:val="24"/>
          <w:szCs w:val="24"/>
        </w:rPr>
        <w:t xml:space="preserve">Under subsection 34C(1) of the </w:t>
      </w:r>
      <w:r w:rsidRPr="00564008">
        <w:rPr>
          <w:rFonts w:ascii="Times New Roman" w:hAnsi="Times New Roman"/>
          <w:i/>
          <w:sz w:val="24"/>
          <w:szCs w:val="24"/>
        </w:rPr>
        <w:t>Superannuation Industry (Supervision) Act 1993</w:t>
      </w:r>
      <w:r w:rsidRPr="00564008">
        <w:rPr>
          <w:rFonts w:ascii="Times New Roman" w:hAnsi="Times New Roman"/>
          <w:sz w:val="24"/>
          <w:szCs w:val="24"/>
        </w:rPr>
        <w:t xml:space="preserve"> (the Act), APRA has the power to determine standards (prudential standards), in writing, in relation to prudential matters to be complied with by all RSE licensees of registrable superannuation entities (RSEs). Under subsection 34C(6) of the Act, APRA may, in writing, vary or revoke a prudential standard. </w:t>
      </w:r>
    </w:p>
    <w:p w14:paraId="0C99AC66" w14:textId="15B0A1F0" w:rsidR="00336521" w:rsidRDefault="00336521" w:rsidP="00336521">
      <w:pPr>
        <w:pStyle w:val="NormalWeb"/>
        <w:rPr>
          <w:rFonts w:ascii="Times New Roman" w:hAnsi="Times New Roman"/>
          <w:sz w:val="24"/>
          <w:szCs w:val="24"/>
        </w:rPr>
      </w:pPr>
      <w:r w:rsidRPr="0001028A">
        <w:rPr>
          <w:rFonts w:ascii="Times New Roman" w:hAnsi="Times New Roman"/>
          <w:sz w:val="24"/>
          <w:szCs w:val="24"/>
        </w:rPr>
        <w:t xml:space="preserve">On </w:t>
      </w:r>
      <w:r w:rsidR="61235218" w:rsidRPr="1B71EF73">
        <w:rPr>
          <w:rFonts w:ascii="Times New Roman" w:hAnsi="Times New Roman"/>
          <w:sz w:val="24"/>
          <w:szCs w:val="24"/>
        </w:rPr>
        <w:t>11</w:t>
      </w:r>
      <w:r w:rsidR="003608B7" w:rsidRPr="007D0311">
        <w:rPr>
          <w:rFonts w:ascii="Times New Roman" w:hAnsi="Times New Roman"/>
          <w:sz w:val="24"/>
          <w:szCs w:val="24"/>
        </w:rPr>
        <w:t xml:space="preserve"> </w:t>
      </w:r>
      <w:r w:rsidR="00924CD0">
        <w:rPr>
          <w:rFonts w:ascii="Times New Roman" w:hAnsi="Times New Roman"/>
          <w:sz w:val="24"/>
          <w:szCs w:val="24"/>
        </w:rPr>
        <w:t>October</w:t>
      </w:r>
      <w:r w:rsidR="00924CD0" w:rsidRPr="0001028A">
        <w:rPr>
          <w:rFonts w:ascii="Times New Roman" w:hAnsi="Times New Roman"/>
          <w:sz w:val="24"/>
          <w:szCs w:val="24"/>
        </w:rPr>
        <w:t xml:space="preserve"> </w:t>
      </w:r>
      <w:r w:rsidRPr="0001028A">
        <w:rPr>
          <w:rFonts w:ascii="Times New Roman" w:hAnsi="Times New Roman"/>
          <w:sz w:val="24"/>
          <w:szCs w:val="24"/>
        </w:rPr>
        <w:t xml:space="preserve">2024, APRA </w:t>
      </w:r>
      <w:r w:rsidRPr="00692ACF">
        <w:rPr>
          <w:rFonts w:ascii="Times New Roman" w:hAnsi="Times New Roman"/>
          <w:sz w:val="24"/>
          <w:szCs w:val="24"/>
        </w:rPr>
        <w:t xml:space="preserve">made Superannuation (prudential standard) determination No. </w:t>
      </w:r>
      <w:r w:rsidR="005C212B" w:rsidRPr="00692ACF">
        <w:rPr>
          <w:rFonts w:ascii="Times New Roman" w:hAnsi="Times New Roman"/>
          <w:sz w:val="24"/>
          <w:szCs w:val="24"/>
        </w:rPr>
        <w:t>6</w:t>
      </w:r>
      <w:r w:rsidRPr="00692ACF">
        <w:rPr>
          <w:rFonts w:ascii="Times New Roman" w:hAnsi="Times New Roman"/>
          <w:sz w:val="24"/>
          <w:szCs w:val="24"/>
        </w:rPr>
        <w:t xml:space="preserve"> of 2024 (the instru</w:t>
      </w:r>
      <w:r w:rsidRPr="005B4CF5">
        <w:rPr>
          <w:rFonts w:ascii="Times New Roman" w:hAnsi="Times New Roman"/>
          <w:sz w:val="24"/>
          <w:szCs w:val="24"/>
        </w:rPr>
        <w:t>me</w:t>
      </w:r>
      <w:r w:rsidRPr="0001028A">
        <w:rPr>
          <w:rFonts w:ascii="Times New Roman" w:hAnsi="Times New Roman"/>
          <w:sz w:val="24"/>
          <w:szCs w:val="24"/>
        </w:rPr>
        <w:t xml:space="preserve">nt), which revokes </w:t>
      </w:r>
      <w:r w:rsidRPr="0001028A">
        <w:rPr>
          <w:rFonts w:ascii="Times New Roman" w:hAnsi="Times New Roman"/>
          <w:i/>
          <w:sz w:val="24"/>
          <w:szCs w:val="24"/>
        </w:rPr>
        <w:t>Prudential Standard SPS</w:t>
      </w:r>
      <w:r w:rsidR="00A345CF">
        <w:rPr>
          <w:rFonts w:ascii="Times New Roman" w:hAnsi="Times New Roman"/>
          <w:i/>
          <w:sz w:val="24"/>
          <w:szCs w:val="24"/>
        </w:rPr>
        <w:t xml:space="preserve"> </w:t>
      </w:r>
      <w:r w:rsidR="00335355">
        <w:rPr>
          <w:rFonts w:ascii="Times New Roman" w:hAnsi="Times New Roman"/>
          <w:i/>
          <w:sz w:val="24"/>
          <w:szCs w:val="24"/>
        </w:rPr>
        <w:t>114 Operational Risk Financial Requirement</w:t>
      </w:r>
      <w:r w:rsidRPr="0001028A">
        <w:rPr>
          <w:rFonts w:ascii="Times New Roman" w:hAnsi="Times New Roman"/>
          <w:sz w:val="24"/>
          <w:szCs w:val="24"/>
        </w:rPr>
        <w:t xml:space="preserve"> </w:t>
      </w:r>
      <w:r w:rsidRPr="00ED0041">
        <w:rPr>
          <w:rFonts w:ascii="Times New Roman" w:hAnsi="Times New Roman"/>
          <w:sz w:val="24"/>
          <w:szCs w:val="24"/>
        </w:rPr>
        <w:t xml:space="preserve">made </w:t>
      </w:r>
      <w:r w:rsidRPr="00A667AD">
        <w:rPr>
          <w:rFonts w:ascii="Times New Roman" w:hAnsi="Times New Roman"/>
          <w:sz w:val="24"/>
          <w:szCs w:val="24"/>
        </w:rPr>
        <w:t xml:space="preserve">under Superannuation (prudential standard) determination No. </w:t>
      </w:r>
      <w:r w:rsidR="00B976D7" w:rsidRPr="00A667AD">
        <w:rPr>
          <w:rFonts w:ascii="Times New Roman" w:hAnsi="Times New Roman"/>
          <w:sz w:val="24"/>
          <w:szCs w:val="24"/>
        </w:rPr>
        <w:t>1</w:t>
      </w:r>
      <w:r w:rsidRPr="00A667AD">
        <w:rPr>
          <w:rFonts w:ascii="Times New Roman" w:hAnsi="Times New Roman"/>
          <w:sz w:val="24"/>
          <w:szCs w:val="24"/>
        </w:rPr>
        <w:t xml:space="preserve"> of 20</w:t>
      </w:r>
      <w:r w:rsidR="00B976D7" w:rsidRPr="00A667AD">
        <w:rPr>
          <w:rFonts w:ascii="Times New Roman" w:hAnsi="Times New Roman"/>
          <w:sz w:val="24"/>
          <w:szCs w:val="24"/>
        </w:rPr>
        <w:t>12</w:t>
      </w:r>
      <w:r w:rsidRPr="00A667AD">
        <w:rPr>
          <w:rFonts w:ascii="Times New Roman" w:hAnsi="Times New Roman"/>
          <w:sz w:val="24"/>
          <w:szCs w:val="24"/>
        </w:rPr>
        <w:t xml:space="preserve"> an</w:t>
      </w:r>
      <w:r w:rsidRPr="00ED0041">
        <w:rPr>
          <w:rFonts w:ascii="Times New Roman" w:hAnsi="Times New Roman"/>
          <w:sz w:val="24"/>
          <w:szCs w:val="24"/>
        </w:rPr>
        <w:t>d</w:t>
      </w:r>
      <w:r w:rsidRPr="0001028A">
        <w:rPr>
          <w:rFonts w:ascii="Times New Roman" w:hAnsi="Times New Roman"/>
          <w:sz w:val="24"/>
          <w:szCs w:val="24"/>
        </w:rPr>
        <w:t xml:space="preserve"> determines a new </w:t>
      </w:r>
      <w:r w:rsidRPr="0001028A">
        <w:rPr>
          <w:rFonts w:ascii="Times New Roman" w:hAnsi="Times New Roman"/>
          <w:i/>
          <w:sz w:val="24"/>
          <w:szCs w:val="24"/>
        </w:rPr>
        <w:t>Prudential Standard SPS</w:t>
      </w:r>
      <w:r w:rsidR="000219C2">
        <w:rPr>
          <w:rFonts w:ascii="Times New Roman" w:hAnsi="Times New Roman"/>
          <w:i/>
          <w:sz w:val="24"/>
          <w:szCs w:val="24"/>
        </w:rPr>
        <w:t xml:space="preserve"> </w:t>
      </w:r>
      <w:r w:rsidR="00B976D7">
        <w:rPr>
          <w:rFonts w:ascii="Times New Roman" w:hAnsi="Times New Roman"/>
          <w:i/>
          <w:sz w:val="24"/>
          <w:szCs w:val="24"/>
        </w:rPr>
        <w:t>114 Operational Risk Financial Requirement</w:t>
      </w:r>
      <w:r w:rsidRPr="0001028A">
        <w:rPr>
          <w:rFonts w:ascii="Times New Roman" w:hAnsi="Times New Roman"/>
          <w:sz w:val="24"/>
          <w:szCs w:val="24"/>
        </w:rPr>
        <w:t xml:space="preserve"> (SPS </w:t>
      </w:r>
      <w:r w:rsidR="00E04649">
        <w:rPr>
          <w:rFonts w:ascii="Times New Roman" w:hAnsi="Times New Roman"/>
          <w:sz w:val="24"/>
          <w:szCs w:val="24"/>
        </w:rPr>
        <w:t>114)</w:t>
      </w:r>
      <w:r>
        <w:rPr>
          <w:rFonts w:ascii="Times New Roman" w:hAnsi="Times New Roman"/>
          <w:sz w:val="24"/>
          <w:szCs w:val="24"/>
        </w:rPr>
        <w:t>.</w:t>
      </w:r>
    </w:p>
    <w:p w14:paraId="21E6A784" w14:textId="5C745A0A" w:rsidR="386E443B" w:rsidRDefault="00336521" w:rsidP="006C7100">
      <w:pPr>
        <w:shd w:val="clear" w:color="auto" w:fill="FFFFFF" w:themeFill="background1"/>
        <w:spacing w:before="100" w:beforeAutospacing="1" w:after="100" w:afterAutospacing="1"/>
        <w:jc w:val="both"/>
        <w:rPr>
          <w:rFonts w:ascii="Times New Roman" w:hAnsi="Times New Roman"/>
          <w:sz w:val="24"/>
          <w:szCs w:val="24"/>
        </w:rPr>
      </w:pPr>
      <w:r w:rsidRPr="386E443B">
        <w:rPr>
          <w:rFonts w:ascii="Times New Roman" w:hAnsi="Times New Roman"/>
          <w:sz w:val="24"/>
          <w:szCs w:val="24"/>
        </w:rPr>
        <w:t>The instrument commences on</w:t>
      </w:r>
      <w:r w:rsidR="00B511AD">
        <w:rPr>
          <w:rFonts w:ascii="Times New Roman" w:hAnsi="Times New Roman"/>
          <w:sz w:val="24"/>
          <w:szCs w:val="24"/>
        </w:rPr>
        <w:t xml:space="preserve"> 1 July 2025</w:t>
      </w:r>
      <w:r w:rsidRPr="386E443B">
        <w:rPr>
          <w:rFonts w:ascii="Times New Roman" w:hAnsi="Times New Roman"/>
          <w:sz w:val="24"/>
          <w:szCs w:val="24"/>
        </w:rPr>
        <w:t>.</w:t>
      </w:r>
    </w:p>
    <w:p w14:paraId="2820799D" w14:textId="77777777" w:rsidR="002436BD" w:rsidRPr="00564008" w:rsidRDefault="002436BD" w:rsidP="00796A67">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t>Background</w:t>
      </w:r>
    </w:p>
    <w:p w14:paraId="625F7FDE" w14:textId="08F8D11E" w:rsidR="00F05CDD" w:rsidRDefault="00F05CDD" w:rsidP="37604B2D">
      <w:pPr>
        <w:shd w:val="clear" w:color="auto" w:fill="FFFFFF" w:themeFill="background1"/>
        <w:spacing w:before="100" w:beforeAutospacing="1" w:after="100" w:afterAutospacing="1"/>
        <w:jc w:val="both"/>
        <w:rPr>
          <w:rFonts w:ascii="Times New Roman" w:hAnsi="Times New Roman"/>
          <w:sz w:val="24"/>
          <w:szCs w:val="24"/>
        </w:rPr>
      </w:pPr>
      <w:bookmarkStart w:id="3" w:name="bkBackground"/>
      <w:bookmarkEnd w:id="3"/>
      <w:r>
        <w:rPr>
          <w:rFonts w:ascii="Times New Roman" w:hAnsi="Times New Roman"/>
          <w:sz w:val="24"/>
          <w:szCs w:val="24"/>
        </w:rPr>
        <w:t>A</w:t>
      </w:r>
      <w:r w:rsidRPr="00F3769C">
        <w:rPr>
          <w:rFonts w:ascii="Times New Roman" w:hAnsi="Times New Roman"/>
          <w:sz w:val="24"/>
          <w:szCs w:val="24"/>
        </w:rPr>
        <w:t>PRA’s mandate is to ensure the safety and soundness of prudentially regulated financial institutions so that they can meet their financial promises to depositors, policyholders and fund members within a stable, efficient and competitive financial system.</w:t>
      </w:r>
    </w:p>
    <w:p w14:paraId="378F7F51" w14:textId="76907E3F" w:rsidR="00F05CDD" w:rsidRDefault="00F05CDD" w:rsidP="000579F4">
      <w:pPr>
        <w:shd w:val="clear" w:color="auto" w:fill="FFFFFF" w:themeFill="background1"/>
        <w:spacing w:before="100" w:beforeAutospacing="1" w:after="100" w:afterAutospacing="1"/>
        <w:jc w:val="both"/>
        <w:rPr>
          <w:rFonts w:ascii="Times New Roman" w:hAnsi="Times New Roman"/>
          <w:sz w:val="24"/>
          <w:szCs w:val="24"/>
        </w:rPr>
      </w:pPr>
      <w:r w:rsidRPr="00F3769C">
        <w:rPr>
          <w:rFonts w:ascii="Times New Roman" w:hAnsi="Times New Roman"/>
          <w:sz w:val="24"/>
          <w:szCs w:val="24"/>
        </w:rPr>
        <w:t xml:space="preserve">APRA carries out this mandate through a multi-layered prudential framework that encompasses licensing and supervision of institutions. APRA is empowered under the </w:t>
      </w:r>
      <w:r>
        <w:rPr>
          <w:rFonts w:ascii="Times New Roman" w:hAnsi="Times New Roman"/>
          <w:sz w:val="24"/>
          <w:szCs w:val="24"/>
        </w:rPr>
        <w:t>Act</w:t>
      </w:r>
      <w:r w:rsidRPr="00F3769C">
        <w:rPr>
          <w:rFonts w:ascii="Times New Roman" w:hAnsi="Times New Roman"/>
          <w:sz w:val="24"/>
          <w:szCs w:val="24"/>
        </w:rPr>
        <w:t xml:space="preserve"> to issue legally binding prudential standards that set out specific prudential requirements with which APRA-regulated institutions in </w:t>
      </w:r>
      <w:r>
        <w:rPr>
          <w:rFonts w:ascii="Times New Roman" w:hAnsi="Times New Roman"/>
          <w:sz w:val="24"/>
          <w:szCs w:val="24"/>
        </w:rPr>
        <w:t>the superannuation</w:t>
      </w:r>
      <w:r w:rsidRPr="00F3769C">
        <w:rPr>
          <w:rFonts w:ascii="Times New Roman" w:hAnsi="Times New Roman"/>
          <w:sz w:val="24"/>
          <w:szCs w:val="24"/>
        </w:rPr>
        <w:t xml:space="preserve"> industry must comply.</w:t>
      </w:r>
      <w:r w:rsidR="00BE63CF">
        <w:rPr>
          <w:rFonts w:ascii="Times New Roman" w:hAnsi="Times New Roman"/>
          <w:sz w:val="24"/>
          <w:szCs w:val="24"/>
        </w:rPr>
        <w:t xml:space="preserve"> </w:t>
      </w:r>
      <w:r w:rsidRPr="00F3769C">
        <w:rPr>
          <w:rFonts w:ascii="Times New Roman" w:hAnsi="Times New Roman"/>
          <w:sz w:val="24"/>
          <w:szCs w:val="24"/>
        </w:rPr>
        <w:t xml:space="preserve">These standards are supported by prudential practice guides which clarify APRA’s expectations </w:t>
      </w:r>
      <w:r>
        <w:rPr>
          <w:rFonts w:ascii="Times New Roman" w:hAnsi="Times New Roman"/>
          <w:sz w:val="24"/>
          <w:szCs w:val="24"/>
        </w:rPr>
        <w:t xml:space="preserve">in respect of the </w:t>
      </w:r>
      <w:r w:rsidRPr="00F3769C">
        <w:rPr>
          <w:rFonts w:ascii="Times New Roman" w:hAnsi="Times New Roman"/>
          <w:sz w:val="24"/>
          <w:szCs w:val="24"/>
        </w:rPr>
        <w:t>prudential requirements.</w:t>
      </w:r>
    </w:p>
    <w:p w14:paraId="1B7C4B69" w14:textId="06606B8A" w:rsidR="00B84419" w:rsidRDefault="00F05CDD" w:rsidP="00967A15">
      <w:pPr>
        <w:jc w:val="both"/>
        <w:rPr>
          <w:rFonts w:ascii="Times New Roman" w:hAnsi="Times New Roman"/>
          <w:sz w:val="24"/>
          <w:szCs w:val="24"/>
        </w:rPr>
      </w:pPr>
      <w:r w:rsidRPr="0058468C">
        <w:rPr>
          <w:rFonts w:ascii="Times New Roman" w:hAnsi="Times New Roman"/>
          <w:sz w:val="24"/>
          <w:szCs w:val="24"/>
        </w:rPr>
        <w:t xml:space="preserve">SPS </w:t>
      </w:r>
      <w:r w:rsidR="005F2BAA">
        <w:rPr>
          <w:rFonts w:ascii="Times New Roman" w:hAnsi="Times New Roman"/>
          <w:sz w:val="24"/>
          <w:szCs w:val="24"/>
        </w:rPr>
        <w:t>114</w:t>
      </w:r>
      <w:r w:rsidRPr="0058468C">
        <w:rPr>
          <w:rFonts w:ascii="Times New Roman" w:hAnsi="Times New Roman"/>
          <w:sz w:val="24"/>
          <w:szCs w:val="24"/>
        </w:rPr>
        <w:t xml:space="preserve"> </w:t>
      </w:r>
      <w:r>
        <w:rPr>
          <w:rFonts w:ascii="Times New Roman" w:hAnsi="Times New Roman"/>
          <w:sz w:val="24"/>
          <w:szCs w:val="24"/>
        </w:rPr>
        <w:t>sets out requirements for RSE licensee</w:t>
      </w:r>
      <w:r w:rsidR="00D66929">
        <w:rPr>
          <w:rFonts w:ascii="Times New Roman" w:hAnsi="Times New Roman"/>
          <w:sz w:val="24"/>
          <w:szCs w:val="24"/>
        </w:rPr>
        <w:t>s</w:t>
      </w:r>
      <w:r>
        <w:rPr>
          <w:rFonts w:ascii="Times New Roman" w:hAnsi="Times New Roman"/>
          <w:sz w:val="24"/>
          <w:szCs w:val="24"/>
        </w:rPr>
        <w:t xml:space="preserve"> </w:t>
      </w:r>
      <w:r w:rsidR="00705278">
        <w:rPr>
          <w:rFonts w:ascii="Times New Roman" w:hAnsi="Times New Roman"/>
          <w:sz w:val="24"/>
          <w:szCs w:val="24"/>
        </w:rPr>
        <w:t xml:space="preserve">to </w:t>
      </w:r>
      <w:r w:rsidR="00973CF6">
        <w:rPr>
          <w:rFonts w:ascii="Times New Roman" w:hAnsi="Times New Roman"/>
          <w:sz w:val="24"/>
          <w:szCs w:val="24"/>
        </w:rPr>
        <w:t xml:space="preserve">maintain </w:t>
      </w:r>
      <w:r w:rsidR="00A345CF">
        <w:rPr>
          <w:rFonts w:ascii="Times New Roman" w:hAnsi="Times New Roman"/>
          <w:sz w:val="24"/>
          <w:szCs w:val="24"/>
        </w:rPr>
        <w:t>and manage</w:t>
      </w:r>
      <w:r w:rsidR="00973CF6">
        <w:rPr>
          <w:rFonts w:ascii="Times New Roman" w:hAnsi="Times New Roman"/>
          <w:sz w:val="24"/>
          <w:szCs w:val="24"/>
        </w:rPr>
        <w:t xml:space="preserve"> financial resources to </w:t>
      </w:r>
      <w:r w:rsidR="00A345CF">
        <w:rPr>
          <w:rFonts w:ascii="Times New Roman" w:hAnsi="Times New Roman"/>
          <w:sz w:val="24"/>
          <w:szCs w:val="24"/>
        </w:rPr>
        <w:t xml:space="preserve">protect beneficiaries and to </w:t>
      </w:r>
      <w:r w:rsidR="00973CF6">
        <w:rPr>
          <w:rFonts w:ascii="Times New Roman" w:hAnsi="Times New Roman"/>
          <w:sz w:val="24"/>
          <w:szCs w:val="24"/>
        </w:rPr>
        <w:t>a</w:t>
      </w:r>
      <w:r w:rsidR="00023413">
        <w:rPr>
          <w:rFonts w:ascii="Times New Roman" w:hAnsi="Times New Roman"/>
          <w:sz w:val="24"/>
          <w:szCs w:val="24"/>
        </w:rPr>
        <w:t xml:space="preserve">ddress </w:t>
      </w:r>
      <w:r w:rsidR="003C78FC">
        <w:rPr>
          <w:rFonts w:ascii="Times New Roman" w:hAnsi="Times New Roman"/>
          <w:sz w:val="24"/>
          <w:szCs w:val="24"/>
        </w:rPr>
        <w:t xml:space="preserve">incurred or potential losses arising from operational risks </w:t>
      </w:r>
      <w:r w:rsidR="00705278">
        <w:rPr>
          <w:rFonts w:ascii="Times New Roman" w:hAnsi="Times New Roman"/>
          <w:sz w:val="24"/>
          <w:szCs w:val="24"/>
        </w:rPr>
        <w:t xml:space="preserve">that </w:t>
      </w:r>
      <w:r w:rsidR="003C78FC">
        <w:rPr>
          <w:rFonts w:ascii="Times New Roman" w:hAnsi="Times New Roman"/>
          <w:sz w:val="24"/>
          <w:szCs w:val="24"/>
        </w:rPr>
        <w:t xml:space="preserve">may </w:t>
      </w:r>
      <w:r w:rsidR="00CF2194">
        <w:rPr>
          <w:rFonts w:ascii="Times New Roman" w:hAnsi="Times New Roman"/>
          <w:sz w:val="24"/>
          <w:szCs w:val="24"/>
        </w:rPr>
        <w:t xml:space="preserve">affect RSEs within </w:t>
      </w:r>
      <w:r w:rsidR="00911A23">
        <w:rPr>
          <w:rFonts w:ascii="Times New Roman" w:hAnsi="Times New Roman"/>
          <w:sz w:val="24"/>
          <w:szCs w:val="24"/>
        </w:rPr>
        <w:t>its</w:t>
      </w:r>
      <w:r w:rsidR="00CF2194">
        <w:rPr>
          <w:rFonts w:ascii="Times New Roman" w:hAnsi="Times New Roman"/>
          <w:sz w:val="24"/>
          <w:szCs w:val="24"/>
        </w:rPr>
        <w:t xml:space="preserve"> business operations</w:t>
      </w:r>
      <w:r>
        <w:rPr>
          <w:rFonts w:ascii="Times New Roman" w:hAnsi="Times New Roman"/>
          <w:sz w:val="24"/>
          <w:szCs w:val="24"/>
        </w:rPr>
        <w:t>.</w:t>
      </w:r>
      <w:r w:rsidR="00911A23">
        <w:rPr>
          <w:rFonts w:ascii="Times New Roman" w:hAnsi="Times New Roman"/>
          <w:sz w:val="24"/>
          <w:szCs w:val="24"/>
        </w:rPr>
        <w:t xml:space="preserve"> </w:t>
      </w:r>
      <w:r w:rsidR="001C5863">
        <w:rPr>
          <w:rFonts w:ascii="Times New Roman" w:hAnsi="Times New Roman"/>
          <w:sz w:val="24"/>
          <w:szCs w:val="24"/>
        </w:rPr>
        <w:t xml:space="preserve">The operational risk financial requirement (ORFR) </w:t>
      </w:r>
      <w:r w:rsidR="0021465A">
        <w:rPr>
          <w:rFonts w:ascii="Times New Roman" w:hAnsi="Times New Roman"/>
          <w:sz w:val="24"/>
          <w:szCs w:val="24"/>
        </w:rPr>
        <w:t xml:space="preserve">is the </w:t>
      </w:r>
      <w:bookmarkStart w:id="4" w:name="_Int_HP2awR6w"/>
      <w:proofErr w:type="gramStart"/>
      <w:r w:rsidR="0021465A">
        <w:rPr>
          <w:rFonts w:ascii="Times New Roman" w:hAnsi="Times New Roman"/>
          <w:sz w:val="24"/>
          <w:szCs w:val="24"/>
        </w:rPr>
        <w:t>amount</w:t>
      </w:r>
      <w:bookmarkEnd w:id="4"/>
      <w:proofErr w:type="gramEnd"/>
      <w:r w:rsidR="0021465A">
        <w:rPr>
          <w:rFonts w:ascii="Times New Roman" w:hAnsi="Times New Roman"/>
          <w:sz w:val="24"/>
          <w:szCs w:val="24"/>
        </w:rPr>
        <w:t xml:space="preserve"> of financial resources </w:t>
      </w:r>
      <w:r w:rsidR="006751D1">
        <w:rPr>
          <w:rFonts w:ascii="Times New Roman" w:hAnsi="Times New Roman"/>
          <w:sz w:val="24"/>
          <w:szCs w:val="24"/>
        </w:rPr>
        <w:t>maintained by</w:t>
      </w:r>
      <w:r w:rsidR="0021465A">
        <w:rPr>
          <w:rFonts w:ascii="Times New Roman" w:hAnsi="Times New Roman"/>
          <w:sz w:val="24"/>
          <w:szCs w:val="24"/>
        </w:rPr>
        <w:t xml:space="preserve"> the RSE licensee </w:t>
      </w:r>
      <w:r w:rsidR="00121106">
        <w:rPr>
          <w:rFonts w:ascii="Times New Roman" w:hAnsi="Times New Roman"/>
          <w:sz w:val="24"/>
          <w:szCs w:val="24"/>
        </w:rPr>
        <w:t xml:space="preserve">to respond to these </w:t>
      </w:r>
      <w:r w:rsidR="00911A23">
        <w:rPr>
          <w:rFonts w:ascii="Times New Roman" w:hAnsi="Times New Roman"/>
          <w:sz w:val="24"/>
          <w:szCs w:val="24"/>
        </w:rPr>
        <w:t>operational risks</w:t>
      </w:r>
      <w:r w:rsidR="00121106">
        <w:rPr>
          <w:rFonts w:ascii="Times New Roman" w:hAnsi="Times New Roman"/>
          <w:sz w:val="24"/>
          <w:szCs w:val="24"/>
        </w:rPr>
        <w:t xml:space="preserve">. </w:t>
      </w:r>
    </w:p>
    <w:p w14:paraId="158E73C8" w14:textId="77777777" w:rsidR="00575ECA" w:rsidRDefault="00575ECA" w:rsidP="00967A15">
      <w:pPr>
        <w:jc w:val="both"/>
        <w:rPr>
          <w:rFonts w:ascii="Times New Roman" w:hAnsi="Times New Roman"/>
          <w:sz w:val="24"/>
          <w:szCs w:val="24"/>
        </w:rPr>
      </w:pPr>
    </w:p>
    <w:p w14:paraId="1D614D4E" w14:textId="1C87BE5A" w:rsidR="003F6F6B" w:rsidRDefault="00B84419" w:rsidP="006E77D7">
      <w:pPr>
        <w:jc w:val="both"/>
        <w:rPr>
          <w:rFonts w:ascii="Times New Roman" w:hAnsi="Times New Roman"/>
          <w:sz w:val="24"/>
          <w:szCs w:val="24"/>
        </w:rPr>
      </w:pPr>
      <w:r w:rsidRPr="00226B52">
        <w:rPr>
          <w:rFonts w:ascii="Times New Roman" w:hAnsi="Times New Roman"/>
          <w:sz w:val="24"/>
          <w:szCs w:val="24"/>
        </w:rPr>
        <w:t xml:space="preserve">Amendments to </w:t>
      </w:r>
      <w:r>
        <w:rPr>
          <w:rFonts w:ascii="Times New Roman" w:hAnsi="Times New Roman"/>
          <w:sz w:val="24"/>
          <w:szCs w:val="24"/>
        </w:rPr>
        <w:t xml:space="preserve">the </w:t>
      </w:r>
      <w:r w:rsidRPr="00226B52">
        <w:rPr>
          <w:rFonts w:ascii="Times New Roman" w:hAnsi="Times New Roman"/>
          <w:sz w:val="24"/>
          <w:szCs w:val="24"/>
        </w:rPr>
        <w:t xml:space="preserve">prudential requirements </w:t>
      </w:r>
      <w:r w:rsidR="00667D1B">
        <w:rPr>
          <w:rFonts w:ascii="Times New Roman" w:hAnsi="Times New Roman"/>
          <w:sz w:val="24"/>
          <w:szCs w:val="24"/>
        </w:rPr>
        <w:t>are aimed at en</w:t>
      </w:r>
      <w:r w:rsidR="003E79FC">
        <w:rPr>
          <w:rFonts w:ascii="Times New Roman" w:hAnsi="Times New Roman"/>
          <w:sz w:val="24"/>
          <w:szCs w:val="24"/>
        </w:rPr>
        <w:t xml:space="preserve">suring </w:t>
      </w:r>
      <w:r w:rsidR="00805FAF">
        <w:rPr>
          <w:rFonts w:ascii="Times New Roman" w:hAnsi="Times New Roman"/>
          <w:sz w:val="24"/>
          <w:szCs w:val="24"/>
        </w:rPr>
        <w:t xml:space="preserve">that </w:t>
      </w:r>
      <w:r w:rsidR="003E79FC">
        <w:rPr>
          <w:rFonts w:ascii="Times New Roman" w:hAnsi="Times New Roman"/>
          <w:sz w:val="24"/>
          <w:szCs w:val="24"/>
        </w:rPr>
        <w:t xml:space="preserve">RSE licensees </w:t>
      </w:r>
      <w:r w:rsidR="00D75EE0">
        <w:rPr>
          <w:rFonts w:ascii="Times New Roman" w:hAnsi="Times New Roman"/>
          <w:sz w:val="24"/>
          <w:szCs w:val="24"/>
        </w:rPr>
        <w:t>maintain an appropriate level of funding to address operational risks</w:t>
      </w:r>
      <w:r w:rsidR="003C7E72">
        <w:rPr>
          <w:rFonts w:ascii="Times New Roman" w:hAnsi="Times New Roman"/>
          <w:sz w:val="24"/>
          <w:szCs w:val="24"/>
        </w:rPr>
        <w:t xml:space="preserve">, that they are </w:t>
      </w:r>
      <w:r w:rsidR="0026784B">
        <w:rPr>
          <w:rFonts w:ascii="Times New Roman" w:hAnsi="Times New Roman"/>
          <w:sz w:val="24"/>
          <w:szCs w:val="24"/>
        </w:rPr>
        <w:t xml:space="preserve">better positioned </w:t>
      </w:r>
      <w:r w:rsidR="00475B79">
        <w:rPr>
          <w:rFonts w:ascii="Times New Roman" w:hAnsi="Times New Roman"/>
          <w:sz w:val="24"/>
          <w:szCs w:val="24"/>
        </w:rPr>
        <w:t xml:space="preserve">to use </w:t>
      </w:r>
      <w:r w:rsidR="003E79FC">
        <w:rPr>
          <w:rFonts w:ascii="Times New Roman" w:hAnsi="Times New Roman"/>
          <w:sz w:val="24"/>
          <w:szCs w:val="24"/>
        </w:rPr>
        <w:t>the financial resources to meet the</w:t>
      </w:r>
      <w:r w:rsidR="00860C57">
        <w:rPr>
          <w:rFonts w:ascii="Times New Roman" w:hAnsi="Times New Roman"/>
          <w:sz w:val="24"/>
          <w:szCs w:val="24"/>
        </w:rPr>
        <w:t xml:space="preserve"> </w:t>
      </w:r>
      <w:r w:rsidR="001A7542">
        <w:rPr>
          <w:rFonts w:ascii="Times New Roman" w:hAnsi="Times New Roman"/>
          <w:sz w:val="24"/>
          <w:szCs w:val="24"/>
        </w:rPr>
        <w:t>ORFR</w:t>
      </w:r>
      <w:r w:rsidR="00860C57">
        <w:rPr>
          <w:rFonts w:ascii="Times New Roman" w:hAnsi="Times New Roman"/>
          <w:sz w:val="24"/>
          <w:szCs w:val="24"/>
        </w:rPr>
        <w:t xml:space="preserve"> when needed</w:t>
      </w:r>
      <w:r w:rsidR="00391002">
        <w:rPr>
          <w:rFonts w:ascii="Times New Roman" w:hAnsi="Times New Roman"/>
          <w:sz w:val="24"/>
          <w:szCs w:val="24"/>
        </w:rPr>
        <w:t>,</w:t>
      </w:r>
      <w:r w:rsidR="00860C57">
        <w:rPr>
          <w:rFonts w:ascii="Times New Roman" w:hAnsi="Times New Roman"/>
          <w:sz w:val="24"/>
          <w:szCs w:val="24"/>
        </w:rPr>
        <w:t xml:space="preserve"> and</w:t>
      </w:r>
      <w:r w:rsidR="003C7E72">
        <w:rPr>
          <w:rFonts w:ascii="Times New Roman" w:hAnsi="Times New Roman"/>
          <w:sz w:val="24"/>
          <w:szCs w:val="24"/>
        </w:rPr>
        <w:t xml:space="preserve"> </w:t>
      </w:r>
      <w:r w:rsidR="00D728B2">
        <w:rPr>
          <w:rFonts w:ascii="Times New Roman" w:hAnsi="Times New Roman"/>
          <w:sz w:val="24"/>
          <w:szCs w:val="24"/>
        </w:rPr>
        <w:t>that they can</w:t>
      </w:r>
      <w:r w:rsidR="003C7E72">
        <w:rPr>
          <w:rFonts w:ascii="Times New Roman" w:hAnsi="Times New Roman"/>
          <w:sz w:val="24"/>
          <w:szCs w:val="24"/>
        </w:rPr>
        <w:t xml:space="preserve"> manage the </w:t>
      </w:r>
      <w:r w:rsidR="006E77D7" w:rsidRPr="006E77D7">
        <w:rPr>
          <w:rFonts w:ascii="Times New Roman" w:hAnsi="Times New Roman"/>
          <w:sz w:val="24"/>
          <w:szCs w:val="24"/>
        </w:rPr>
        <w:t xml:space="preserve">impact of disruption and smooth operational risk related losses fairly </w:t>
      </w:r>
      <w:r w:rsidR="001D4141">
        <w:rPr>
          <w:rFonts w:ascii="Times New Roman" w:hAnsi="Times New Roman"/>
          <w:sz w:val="24"/>
          <w:szCs w:val="24"/>
        </w:rPr>
        <w:t xml:space="preserve">over time and </w:t>
      </w:r>
      <w:r w:rsidR="006E77D7" w:rsidRPr="006E77D7">
        <w:rPr>
          <w:rFonts w:ascii="Times New Roman" w:hAnsi="Times New Roman"/>
          <w:sz w:val="24"/>
          <w:szCs w:val="24"/>
        </w:rPr>
        <w:t>across different cohorts of beneficiaries</w:t>
      </w:r>
      <w:r w:rsidR="000A579F">
        <w:rPr>
          <w:rFonts w:ascii="Times New Roman" w:hAnsi="Times New Roman"/>
          <w:sz w:val="24"/>
          <w:szCs w:val="24"/>
        </w:rPr>
        <w:t xml:space="preserve">. </w:t>
      </w:r>
    </w:p>
    <w:p w14:paraId="249930E7" w14:textId="77777777" w:rsidR="009443B7" w:rsidRDefault="009443B7" w:rsidP="009443B7">
      <w:pPr>
        <w:jc w:val="both"/>
        <w:rPr>
          <w:rFonts w:ascii="Times New Roman" w:hAnsi="Times New Roman"/>
          <w:sz w:val="24"/>
          <w:szCs w:val="24"/>
        </w:rPr>
      </w:pPr>
    </w:p>
    <w:p w14:paraId="2DB5EAF5" w14:textId="4D0413F1" w:rsidR="00373992" w:rsidRPr="00564008" w:rsidRDefault="002436BD" w:rsidP="00373992">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lastRenderedPageBreak/>
        <w:t xml:space="preserve">Purpose </w:t>
      </w:r>
      <w:r w:rsidR="00DF524E" w:rsidRPr="00564008">
        <w:rPr>
          <w:rFonts w:ascii="Times New Roman" w:hAnsi="Times New Roman"/>
          <w:sz w:val="24"/>
          <w:szCs w:val="24"/>
        </w:rPr>
        <w:t xml:space="preserve">and operation </w:t>
      </w:r>
      <w:r w:rsidRPr="00564008">
        <w:rPr>
          <w:rFonts w:ascii="Times New Roman" w:hAnsi="Times New Roman"/>
          <w:sz w:val="24"/>
          <w:szCs w:val="24"/>
        </w:rPr>
        <w:t>of the instrument</w:t>
      </w:r>
      <w:bookmarkStart w:id="5" w:name="bkPurpose"/>
      <w:bookmarkEnd w:id="5"/>
    </w:p>
    <w:p w14:paraId="4B0DF31A" w14:textId="4505E7AC" w:rsidR="008D4E04" w:rsidRDefault="008D4E04" w:rsidP="007926A5">
      <w:pPr>
        <w:jc w:val="both"/>
        <w:rPr>
          <w:rFonts w:ascii="Times New Roman" w:hAnsi="Times New Roman"/>
          <w:sz w:val="24"/>
          <w:szCs w:val="24"/>
        </w:rPr>
      </w:pPr>
      <w:r w:rsidRPr="00BC1E70">
        <w:rPr>
          <w:rFonts w:ascii="Times New Roman" w:hAnsi="Times New Roman"/>
          <w:sz w:val="24"/>
          <w:szCs w:val="24"/>
        </w:rPr>
        <w:t>The purpose of</w:t>
      </w:r>
      <w:r>
        <w:rPr>
          <w:rFonts w:ascii="Times New Roman" w:hAnsi="Times New Roman"/>
          <w:sz w:val="24"/>
          <w:szCs w:val="24"/>
        </w:rPr>
        <w:t xml:space="preserve"> this instrument </w:t>
      </w:r>
      <w:r w:rsidRPr="00BC1E70">
        <w:rPr>
          <w:rFonts w:ascii="Times New Roman" w:hAnsi="Times New Roman"/>
          <w:sz w:val="24"/>
          <w:szCs w:val="24"/>
        </w:rPr>
        <w:t xml:space="preserve">is to revoke </w:t>
      </w:r>
      <w:r>
        <w:rPr>
          <w:rFonts w:ascii="Times New Roman" w:hAnsi="Times New Roman"/>
          <w:sz w:val="24"/>
          <w:szCs w:val="24"/>
        </w:rPr>
        <w:t xml:space="preserve">the previous </w:t>
      </w:r>
      <w:r w:rsidR="00C43E98">
        <w:rPr>
          <w:rFonts w:ascii="Times New Roman" w:hAnsi="Times New Roman"/>
          <w:sz w:val="24"/>
          <w:szCs w:val="24"/>
        </w:rPr>
        <w:t xml:space="preserve">version of the standard </w:t>
      </w:r>
      <w:r>
        <w:rPr>
          <w:rFonts w:ascii="Times New Roman" w:hAnsi="Times New Roman"/>
          <w:sz w:val="24"/>
          <w:szCs w:val="24"/>
        </w:rPr>
        <w:t xml:space="preserve">and to replace it with a new version. </w:t>
      </w:r>
    </w:p>
    <w:p w14:paraId="71340981" w14:textId="77777777" w:rsidR="008D4E04" w:rsidRDefault="008D4E04" w:rsidP="008D4E04">
      <w:pPr>
        <w:jc w:val="both"/>
        <w:rPr>
          <w:rFonts w:ascii="Times New Roman" w:hAnsi="Times New Roman"/>
          <w:sz w:val="24"/>
          <w:szCs w:val="24"/>
        </w:rPr>
      </w:pPr>
    </w:p>
    <w:p w14:paraId="07B2A1A6" w14:textId="212198AB" w:rsidR="008867DB" w:rsidRPr="00C5092C" w:rsidRDefault="006803B7" w:rsidP="006803B7">
      <w:pPr>
        <w:jc w:val="both"/>
        <w:rPr>
          <w:rFonts w:ascii="Times New Roman" w:hAnsi="Times New Roman"/>
          <w:sz w:val="24"/>
          <w:szCs w:val="24"/>
        </w:rPr>
      </w:pPr>
      <w:r>
        <w:rPr>
          <w:rFonts w:ascii="Times New Roman" w:hAnsi="Times New Roman"/>
          <w:sz w:val="24"/>
          <w:szCs w:val="24"/>
        </w:rPr>
        <w:t xml:space="preserve">The key requirements of SPS </w:t>
      </w:r>
      <w:r w:rsidR="008867DB">
        <w:rPr>
          <w:rFonts w:ascii="Times New Roman" w:hAnsi="Times New Roman"/>
          <w:sz w:val="24"/>
          <w:szCs w:val="24"/>
        </w:rPr>
        <w:t>114</w:t>
      </w:r>
      <w:r>
        <w:rPr>
          <w:rFonts w:ascii="Times New Roman" w:hAnsi="Times New Roman"/>
          <w:sz w:val="24"/>
          <w:szCs w:val="24"/>
        </w:rPr>
        <w:t xml:space="preserve"> are set out below, including the amendments required </w:t>
      </w:r>
      <w:r w:rsidR="00A41EE1" w:rsidRPr="00C5092C">
        <w:rPr>
          <w:rFonts w:ascii="Times New Roman" w:hAnsi="Times New Roman"/>
          <w:sz w:val="24"/>
          <w:szCs w:val="24"/>
        </w:rPr>
        <w:t xml:space="preserve">to meet the updated </w:t>
      </w:r>
      <w:r w:rsidRPr="00C5092C">
        <w:rPr>
          <w:rFonts w:ascii="Times New Roman" w:hAnsi="Times New Roman"/>
          <w:sz w:val="24"/>
          <w:szCs w:val="24"/>
        </w:rPr>
        <w:t xml:space="preserve">obligations </w:t>
      </w:r>
      <w:r w:rsidR="00166156" w:rsidRPr="00C5092C">
        <w:rPr>
          <w:rFonts w:ascii="Times New Roman" w:hAnsi="Times New Roman"/>
          <w:sz w:val="24"/>
          <w:szCs w:val="24"/>
        </w:rPr>
        <w:t xml:space="preserve">in SPS </w:t>
      </w:r>
      <w:r w:rsidR="008867DB" w:rsidRPr="00C5092C">
        <w:rPr>
          <w:rFonts w:ascii="Times New Roman" w:hAnsi="Times New Roman"/>
          <w:sz w:val="24"/>
          <w:szCs w:val="24"/>
        </w:rPr>
        <w:t>114</w:t>
      </w:r>
      <w:r w:rsidRPr="00C5092C">
        <w:rPr>
          <w:rFonts w:ascii="Times New Roman" w:hAnsi="Times New Roman"/>
          <w:sz w:val="24"/>
          <w:szCs w:val="24"/>
        </w:rPr>
        <w:t xml:space="preserve">: </w:t>
      </w:r>
    </w:p>
    <w:p w14:paraId="175EB338" w14:textId="77777777" w:rsidR="008867DB" w:rsidRPr="00C5092C" w:rsidRDefault="008867DB" w:rsidP="006803B7">
      <w:pPr>
        <w:jc w:val="both"/>
        <w:rPr>
          <w:rFonts w:ascii="Times New Roman" w:hAnsi="Times New Roman"/>
          <w:sz w:val="24"/>
          <w:szCs w:val="24"/>
        </w:rPr>
      </w:pPr>
    </w:p>
    <w:p w14:paraId="45E4A8E2" w14:textId="383FD0BA" w:rsidR="006803B7" w:rsidRPr="00C5092C" w:rsidRDefault="006803B7" w:rsidP="006803B7">
      <w:pPr>
        <w:pStyle w:val="List"/>
        <w:numPr>
          <w:ilvl w:val="1"/>
          <w:numId w:val="11"/>
        </w:numPr>
        <w:rPr>
          <w:rFonts w:ascii="Times New Roman" w:hAnsi="Times New Roman" w:cs="Times New Roman"/>
          <w:i/>
          <w:sz w:val="24"/>
          <w:szCs w:val="24"/>
        </w:rPr>
      </w:pPr>
      <w:r w:rsidRPr="00C5092C">
        <w:rPr>
          <w:rFonts w:ascii="Times New Roman" w:hAnsi="Times New Roman" w:cs="Times New Roman"/>
          <w:i/>
          <w:sz w:val="24"/>
          <w:szCs w:val="24"/>
        </w:rPr>
        <w:t>O</w:t>
      </w:r>
      <w:r w:rsidR="007838C4">
        <w:rPr>
          <w:rFonts w:ascii="Times New Roman" w:hAnsi="Times New Roman" w:cs="Times New Roman"/>
          <w:i/>
          <w:sz w:val="24"/>
          <w:szCs w:val="24"/>
        </w:rPr>
        <w:t>perational risk financial requirement (ORFR)</w:t>
      </w:r>
    </w:p>
    <w:p w14:paraId="702FBF43" w14:textId="0717D6A4" w:rsidR="006803B7" w:rsidRDefault="006803B7" w:rsidP="37604B2D">
      <w:pPr>
        <w:pStyle w:val="List"/>
        <w:ind w:firstLine="0"/>
        <w:rPr>
          <w:rFonts w:ascii="Times New Roman" w:hAnsi="Times New Roman" w:cs="Times New Roman"/>
          <w:sz w:val="24"/>
          <w:szCs w:val="24"/>
        </w:rPr>
      </w:pPr>
      <w:r w:rsidRPr="00C5092C">
        <w:rPr>
          <w:rFonts w:ascii="Times New Roman" w:hAnsi="Times New Roman" w:cs="Times New Roman"/>
          <w:sz w:val="24"/>
          <w:szCs w:val="24"/>
        </w:rPr>
        <w:t xml:space="preserve">Paragraph </w:t>
      </w:r>
      <w:r w:rsidR="00AC16DB" w:rsidRPr="006B32A7">
        <w:rPr>
          <w:rFonts w:ascii="Times New Roman" w:hAnsi="Times New Roman" w:cs="Times New Roman"/>
          <w:sz w:val="24"/>
          <w:szCs w:val="24"/>
        </w:rPr>
        <w:t>9</w:t>
      </w:r>
      <w:r w:rsidR="00347217">
        <w:rPr>
          <w:rFonts w:ascii="Times New Roman" w:hAnsi="Times New Roman" w:cs="Times New Roman"/>
          <w:sz w:val="24"/>
          <w:szCs w:val="24"/>
        </w:rPr>
        <w:t xml:space="preserve"> sets out an overarching requirement for an </w:t>
      </w:r>
      <w:r w:rsidR="00347217" w:rsidRPr="00347217">
        <w:rPr>
          <w:rFonts w:ascii="Times New Roman" w:hAnsi="Times New Roman" w:cs="Times New Roman"/>
          <w:sz w:val="24"/>
          <w:szCs w:val="24"/>
        </w:rPr>
        <w:t>RSE licensee</w:t>
      </w:r>
      <w:r w:rsidR="00347217">
        <w:rPr>
          <w:rFonts w:ascii="Times New Roman" w:hAnsi="Times New Roman" w:cs="Times New Roman"/>
          <w:sz w:val="24"/>
          <w:szCs w:val="24"/>
        </w:rPr>
        <w:t xml:space="preserve"> to </w:t>
      </w:r>
      <w:r w:rsidR="00347217" w:rsidRPr="00347217">
        <w:rPr>
          <w:rFonts w:ascii="Times New Roman" w:hAnsi="Times New Roman" w:cs="Times New Roman"/>
          <w:sz w:val="24"/>
          <w:szCs w:val="24"/>
        </w:rPr>
        <w:t>maintain, manage and utilise</w:t>
      </w:r>
      <w:r w:rsidR="00347217">
        <w:rPr>
          <w:rFonts w:ascii="Times New Roman" w:hAnsi="Times New Roman" w:cs="Times New Roman"/>
          <w:sz w:val="24"/>
          <w:szCs w:val="24"/>
        </w:rPr>
        <w:t xml:space="preserve"> </w:t>
      </w:r>
      <w:r w:rsidR="00347217" w:rsidRPr="00347217">
        <w:rPr>
          <w:rFonts w:ascii="Times New Roman" w:hAnsi="Times New Roman" w:cs="Times New Roman"/>
          <w:sz w:val="24"/>
          <w:szCs w:val="24"/>
        </w:rPr>
        <w:t>financial resources to protect beneficiaries from losses due to operational risks that relate to the RSEs within its business operations</w:t>
      </w:r>
      <w:r w:rsidR="00C5500E">
        <w:rPr>
          <w:rFonts w:ascii="Times New Roman" w:hAnsi="Times New Roman" w:cs="Times New Roman"/>
          <w:sz w:val="24"/>
          <w:szCs w:val="24"/>
        </w:rPr>
        <w:t>.</w:t>
      </w:r>
    </w:p>
    <w:p w14:paraId="72C97362" w14:textId="45C4696D" w:rsidR="006803B7" w:rsidRPr="00C5092C" w:rsidRDefault="00C141A5" w:rsidP="37604B2D">
      <w:pPr>
        <w:pStyle w:val="List"/>
        <w:ind w:firstLine="0"/>
        <w:rPr>
          <w:rFonts w:ascii="Times New Roman" w:hAnsi="Times New Roman" w:cs="Times New Roman"/>
          <w:sz w:val="24"/>
          <w:szCs w:val="24"/>
        </w:rPr>
      </w:pPr>
      <w:r>
        <w:rPr>
          <w:rFonts w:ascii="Times New Roman" w:hAnsi="Times New Roman" w:cs="Times New Roman"/>
          <w:sz w:val="24"/>
          <w:szCs w:val="24"/>
        </w:rPr>
        <w:t xml:space="preserve">This new </w:t>
      </w:r>
      <w:r w:rsidR="00E21810">
        <w:rPr>
          <w:rFonts w:ascii="Times New Roman" w:hAnsi="Times New Roman" w:cs="Times New Roman"/>
          <w:sz w:val="24"/>
          <w:szCs w:val="24"/>
        </w:rPr>
        <w:t xml:space="preserve">provision </w:t>
      </w:r>
      <w:r w:rsidR="000F5C86">
        <w:rPr>
          <w:rFonts w:ascii="Times New Roman" w:hAnsi="Times New Roman" w:cs="Times New Roman"/>
          <w:sz w:val="24"/>
          <w:szCs w:val="24"/>
        </w:rPr>
        <w:t xml:space="preserve">has been introduced to </w:t>
      </w:r>
      <w:r w:rsidR="00D86A38">
        <w:rPr>
          <w:rFonts w:ascii="Times New Roman" w:hAnsi="Times New Roman" w:cs="Times New Roman"/>
          <w:sz w:val="24"/>
          <w:szCs w:val="24"/>
        </w:rPr>
        <w:t xml:space="preserve">streamline and </w:t>
      </w:r>
      <w:r w:rsidR="0029646C">
        <w:rPr>
          <w:rFonts w:ascii="Times New Roman" w:hAnsi="Times New Roman" w:cs="Times New Roman"/>
          <w:sz w:val="24"/>
          <w:szCs w:val="24"/>
        </w:rPr>
        <w:t>clearly set</w:t>
      </w:r>
      <w:r w:rsidR="009F4648">
        <w:rPr>
          <w:rFonts w:ascii="Times New Roman" w:hAnsi="Times New Roman" w:cs="Times New Roman"/>
          <w:sz w:val="24"/>
          <w:szCs w:val="24"/>
        </w:rPr>
        <w:t xml:space="preserve"> out this key requirement for RSE licensees. </w:t>
      </w:r>
    </w:p>
    <w:p w14:paraId="355C7528" w14:textId="21863AD1" w:rsidR="006803B7" w:rsidRPr="00C5092C" w:rsidRDefault="006803B7" w:rsidP="006803B7">
      <w:pPr>
        <w:pStyle w:val="List"/>
        <w:numPr>
          <w:ilvl w:val="1"/>
          <w:numId w:val="11"/>
        </w:numPr>
        <w:rPr>
          <w:rFonts w:ascii="Times New Roman" w:hAnsi="Times New Roman" w:cs="Times New Roman"/>
          <w:i/>
          <w:sz w:val="24"/>
          <w:szCs w:val="24"/>
        </w:rPr>
      </w:pPr>
      <w:r w:rsidRPr="00C5092C">
        <w:rPr>
          <w:rFonts w:ascii="Times New Roman" w:hAnsi="Times New Roman" w:cs="Times New Roman"/>
          <w:i/>
          <w:sz w:val="24"/>
          <w:szCs w:val="24"/>
        </w:rPr>
        <w:t>O</w:t>
      </w:r>
      <w:r w:rsidR="00B41E43">
        <w:rPr>
          <w:rFonts w:ascii="Times New Roman" w:hAnsi="Times New Roman" w:cs="Times New Roman"/>
          <w:i/>
          <w:sz w:val="24"/>
          <w:szCs w:val="24"/>
        </w:rPr>
        <w:t>RFR strategy</w:t>
      </w:r>
    </w:p>
    <w:p w14:paraId="3707516E" w14:textId="74D01BBB" w:rsidR="006803B7" w:rsidRDefault="006803B7" w:rsidP="00BB7C33">
      <w:pPr>
        <w:pStyle w:val="List"/>
        <w:tabs>
          <w:tab w:val="clear" w:pos="425"/>
        </w:tabs>
        <w:ind w:firstLine="0"/>
        <w:rPr>
          <w:rFonts w:ascii="Times New Roman" w:hAnsi="Times New Roman"/>
          <w:sz w:val="24"/>
          <w:szCs w:val="24"/>
        </w:rPr>
      </w:pPr>
      <w:r w:rsidRPr="00C5092C">
        <w:rPr>
          <w:rFonts w:ascii="Times New Roman" w:hAnsi="Times New Roman"/>
          <w:sz w:val="24"/>
          <w:szCs w:val="24"/>
        </w:rPr>
        <w:t xml:space="preserve">Paragraphs </w:t>
      </w:r>
      <w:r w:rsidR="00AD7906" w:rsidRPr="006B32A7">
        <w:rPr>
          <w:rFonts w:ascii="Times New Roman" w:hAnsi="Times New Roman"/>
          <w:sz w:val="24"/>
          <w:szCs w:val="24"/>
        </w:rPr>
        <w:t>10</w:t>
      </w:r>
      <w:r w:rsidR="006C4480" w:rsidRPr="006B32A7">
        <w:rPr>
          <w:rFonts w:ascii="Times New Roman" w:hAnsi="Times New Roman"/>
          <w:sz w:val="24"/>
          <w:szCs w:val="24"/>
        </w:rPr>
        <w:t xml:space="preserve"> to </w:t>
      </w:r>
      <w:r w:rsidR="00AD7906" w:rsidRPr="006B32A7">
        <w:rPr>
          <w:rFonts w:ascii="Times New Roman" w:hAnsi="Times New Roman"/>
          <w:sz w:val="24"/>
          <w:szCs w:val="24"/>
        </w:rPr>
        <w:t>11</w:t>
      </w:r>
      <w:r w:rsidRPr="00C5092C">
        <w:rPr>
          <w:rFonts w:ascii="Times New Roman" w:hAnsi="Times New Roman"/>
          <w:sz w:val="24"/>
          <w:szCs w:val="24"/>
        </w:rPr>
        <w:t xml:space="preserve"> outline requirements for an RSE licensee to </w:t>
      </w:r>
      <w:r w:rsidR="00DA6541">
        <w:rPr>
          <w:rFonts w:ascii="Times New Roman" w:hAnsi="Times New Roman"/>
          <w:sz w:val="24"/>
          <w:szCs w:val="24"/>
        </w:rPr>
        <w:t xml:space="preserve">formulate </w:t>
      </w:r>
      <w:r w:rsidR="0014605F">
        <w:rPr>
          <w:rFonts w:ascii="Times New Roman" w:hAnsi="Times New Roman"/>
          <w:sz w:val="24"/>
          <w:szCs w:val="24"/>
        </w:rPr>
        <w:t>and give effect to a</w:t>
      </w:r>
      <w:r w:rsidR="00420F24">
        <w:rPr>
          <w:rFonts w:ascii="Times New Roman" w:hAnsi="Times New Roman"/>
          <w:sz w:val="24"/>
          <w:szCs w:val="24"/>
        </w:rPr>
        <w:t>n ORFR</w:t>
      </w:r>
      <w:r w:rsidR="00C87AFA">
        <w:rPr>
          <w:rFonts w:ascii="Times New Roman" w:hAnsi="Times New Roman"/>
          <w:sz w:val="24"/>
          <w:szCs w:val="24"/>
        </w:rPr>
        <w:t xml:space="preserve"> strategy </w:t>
      </w:r>
      <w:r w:rsidR="00420F24">
        <w:rPr>
          <w:rFonts w:ascii="Times New Roman" w:hAnsi="Times New Roman"/>
          <w:sz w:val="24"/>
          <w:szCs w:val="24"/>
        </w:rPr>
        <w:t xml:space="preserve">and to set </w:t>
      </w:r>
      <w:r w:rsidR="00C87AFA">
        <w:rPr>
          <w:rFonts w:ascii="Times New Roman" w:hAnsi="Times New Roman"/>
          <w:sz w:val="24"/>
          <w:szCs w:val="24"/>
        </w:rPr>
        <w:t xml:space="preserve">out how it will </w:t>
      </w:r>
      <w:r w:rsidR="00420F24">
        <w:rPr>
          <w:rFonts w:ascii="Times New Roman" w:hAnsi="Times New Roman"/>
          <w:sz w:val="24"/>
          <w:szCs w:val="24"/>
        </w:rPr>
        <w:t xml:space="preserve">be </w:t>
      </w:r>
      <w:r w:rsidR="00C87AFA">
        <w:rPr>
          <w:rFonts w:ascii="Times New Roman" w:hAnsi="Times New Roman"/>
          <w:sz w:val="24"/>
          <w:szCs w:val="24"/>
        </w:rPr>
        <w:t>implement</w:t>
      </w:r>
      <w:r w:rsidR="00420F24">
        <w:rPr>
          <w:rFonts w:ascii="Times New Roman" w:hAnsi="Times New Roman"/>
          <w:sz w:val="24"/>
          <w:szCs w:val="24"/>
        </w:rPr>
        <w:t>ed</w:t>
      </w:r>
      <w:r w:rsidR="00C87AFA">
        <w:rPr>
          <w:rFonts w:ascii="Times New Roman" w:hAnsi="Times New Roman"/>
          <w:sz w:val="24"/>
          <w:szCs w:val="24"/>
        </w:rPr>
        <w:t xml:space="preserve">. </w:t>
      </w:r>
      <w:r w:rsidR="00AF432C">
        <w:rPr>
          <w:rFonts w:ascii="Times New Roman" w:hAnsi="Times New Roman"/>
          <w:sz w:val="24"/>
          <w:szCs w:val="24"/>
        </w:rPr>
        <w:t>Mi</w:t>
      </w:r>
      <w:r w:rsidR="0006187E">
        <w:rPr>
          <w:rFonts w:ascii="Times New Roman" w:hAnsi="Times New Roman"/>
          <w:sz w:val="24"/>
          <w:szCs w:val="24"/>
        </w:rPr>
        <w:t xml:space="preserve">nimum requirements for the ORFR strategy include </w:t>
      </w:r>
      <w:r w:rsidR="004C0F45">
        <w:rPr>
          <w:rFonts w:ascii="Times New Roman" w:hAnsi="Times New Roman"/>
          <w:sz w:val="24"/>
          <w:szCs w:val="24"/>
        </w:rPr>
        <w:t xml:space="preserve">setting </w:t>
      </w:r>
      <w:r w:rsidR="00411E0E">
        <w:rPr>
          <w:rFonts w:ascii="Times New Roman" w:hAnsi="Times New Roman"/>
          <w:sz w:val="24"/>
          <w:szCs w:val="24"/>
        </w:rPr>
        <w:t xml:space="preserve">the ORFR target amount and tolerance limit, </w:t>
      </w:r>
      <w:r w:rsidR="00475B22">
        <w:rPr>
          <w:rFonts w:ascii="Times New Roman" w:hAnsi="Times New Roman"/>
          <w:sz w:val="24"/>
          <w:szCs w:val="24"/>
        </w:rPr>
        <w:t xml:space="preserve">setting out </w:t>
      </w:r>
      <w:r w:rsidR="003449FB">
        <w:rPr>
          <w:rFonts w:ascii="Times New Roman" w:hAnsi="Times New Roman"/>
          <w:sz w:val="24"/>
          <w:szCs w:val="24"/>
        </w:rPr>
        <w:t xml:space="preserve">how the ORFR financial resources </w:t>
      </w:r>
      <w:r w:rsidR="00D91A8E">
        <w:rPr>
          <w:rFonts w:ascii="Times New Roman" w:hAnsi="Times New Roman"/>
          <w:sz w:val="24"/>
          <w:szCs w:val="24"/>
        </w:rPr>
        <w:t>can</w:t>
      </w:r>
      <w:r w:rsidR="003449FB">
        <w:rPr>
          <w:rFonts w:ascii="Times New Roman" w:hAnsi="Times New Roman"/>
          <w:sz w:val="24"/>
          <w:szCs w:val="24"/>
        </w:rPr>
        <w:t xml:space="preserve"> be used</w:t>
      </w:r>
      <w:r w:rsidR="005C6FF7">
        <w:rPr>
          <w:rFonts w:ascii="Times New Roman" w:hAnsi="Times New Roman"/>
          <w:sz w:val="24"/>
          <w:szCs w:val="24"/>
        </w:rPr>
        <w:t xml:space="preserve"> and how they will be held, </w:t>
      </w:r>
      <w:r w:rsidR="00CB076C">
        <w:rPr>
          <w:rFonts w:ascii="Times New Roman" w:hAnsi="Times New Roman"/>
          <w:sz w:val="24"/>
          <w:szCs w:val="24"/>
        </w:rPr>
        <w:t xml:space="preserve">setting </w:t>
      </w:r>
      <w:r w:rsidR="00346038">
        <w:rPr>
          <w:rFonts w:ascii="Times New Roman" w:hAnsi="Times New Roman"/>
          <w:sz w:val="24"/>
          <w:szCs w:val="24"/>
        </w:rPr>
        <w:t xml:space="preserve">the investment strategy for operational risk reserves, </w:t>
      </w:r>
      <w:r w:rsidR="003778D5">
        <w:rPr>
          <w:rFonts w:ascii="Times New Roman" w:hAnsi="Times New Roman"/>
          <w:sz w:val="24"/>
          <w:szCs w:val="24"/>
        </w:rPr>
        <w:t xml:space="preserve">the process for implementing a replenishment plan, </w:t>
      </w:r>
      <w:r w:rsidR="0076470D">
        <w:rPr>
          <w:rFonts w:ascii="Times New Roman" w:hAnsi="Times New Roman"/>
          <w:sz w:val="24"/>
          <w:szCs w:val="24"/>
        </w:rPr>
        <w:t xml:space="preserve">the review process and the process for managing </w:t>
      </w:r>
      <w:r w:rsidR="00E420B2">
        <w:rPr>
          <w:rFonts w:ascii="Times New Roman" w:hAnsi="Times New Roman"/>
          <w:sz w:val="24"/>
          <w:szCs w:val="24"/>
        </w:rPr>
        <w:t xml:space="preserve">the financial resources in the event of a wind-up. </w:t>
      </w:r>
      <w:r w:rsidR="00736864">
        <w:rPr>
          <w:rFonts w:ascii="Times New Roman" w:hAnsi="Times New Roman"/>
          <w:sz w:val="24"/>
          <w:szCs w:val="24"/>
        </w:rPr>
        <w:t xml:space="preserve">The Board is required to approve the ORFR strategy </w:t>
      </w:r>
      <w:r w:rsidR="00A237AA">
        <w:rPr>
          <w:rFonts w:ascii="Times New Roman" w:hAnsi="Times New Roman"/>
          <w:sz w:val="24"/>
          <w:szCs w:val="24"/>
        </w:rPr>
        <w:t xml:space="preserve">and is accountable for ensuring its implementation. </w:t>
      </w:r>
    </w:p>
    <w:p w14:paraId="0C11B25B" w14:textId="12D9A666" w:rsidR="004C15EC" w:rsidRPr="00873F7F" w:rsidRDefault="005F1DBB" w:rsidP="00873F7F">
      <w:pPr>
        <w:pStyle w:val="List"/>
        <w:tabs>
          <w:tab w:val="clear" w:pos="425"/>
        </w:tabs>
        <w:ind w:firstLine="0"/>
        <w:rPr>
          <w:rFonts w:ascii="Times New Roman" w:hAnsi="Times New Roman"/>
          <w:sz w:val="24"/>
          <w:szCs w:val="24"/>
        </w:rPr>
      </w:pPr>
      <w:r>
        <w:rPr>
          <w:rFonts w:ascii="Times New Roman" w:hAnsi="Times New Roman"/>
          <w:sz w:val="24"/>
          <w:szCs w:val="24"/>
        </w:rPr>
        <w:t>Minor c</w:t>
      </w:r>
      <w:r w:rsidR="001F5396">
        <w:rPr>
          <w:rFonts w:ascii="Times New Roman" w:hAnsi="Times New Roman"/>
          <w:sz w:val="24"/>
          <w:szCs w:val="24"/>
        </w:rPr>
        <w:t xml:space="preserve">hanges have been made </w:t>
      </w:r>
      <w:r w:rsidR="0014583B">
        <w:rPr>
          <w:rFonts w:ascii="Times New Roman" w:hAnsi="Times New Roman"/>
          <w:sz w:val="24"/>
          <w:szCs w:val="24"/>
        </w:rPr>
        <w:t>so that the ORFR strategy is expressed more broadly</w:t>
      </w:r>
      <w:r w:rsidR="00E136FC">
        <w:rPr>
          <w:rFonts w:ascii="Times New Roman" w:hAnsi="Times New Roman"/>
          <w:sz w:val="24"/>
          <w:szCs w:val="24"/>
        </w:rPr>
        <w:t>, rather than being primarily focussed on the ORFR target amount</w:t>
      </w:r>
      <w:r w:rsidR="006D15F4">
        <w:rPr>
          <w:rFonts w:ascii="Times New Roman" w:hAnsi="Times New Roman"/>
          <w:sz w:val="24"/>
          <w:szCs w:val="24"/>
        </w:rPr>
        <w:t xml:space="preserve">. </w:t>
      </w:r>
      <w:r w:rsidR="00120ECD">
        <w:rPr>
          <w:rFonts w:ascii="Times New Roman" w:hAnsi="Times New Roman"/>
          <w:sz w:val="24"/>
          <w:szCs w:val="24"/>
        </w:rPr>
        <w:t>O</w:t>
      </w:r>
      <w:r w:rsidR="00672D3D">
        <w:rPr>
          <w:rFonts w:ascii="Times New Roman" w:hAnsi="Times New Roman"/>
          <w:sz w:val="24"/>
          <w:szCs w:val="24"/>
        </w:rPr>
        <w:t xml:space="preserve">bjectives for the ORFR strategy are no longer required </w:t>
      </w:r>
      <w:r w:rsidR="00120ECD">
        <w:rPr>
          <w:rFonts w:ascii="Times New Roman" w:hAnsi="Times New Roman"/>
          <w:sz w:val="24"/>
          <w:szCs w:val="24"/>
        </w:rPr>
        <w:t xml:space="preserve">to be identified </w:t>
      </w:r>
      <w:r w:rsidR="00E0594D">
        <w:rPr>
          <w:rFonts w:ascii="Times New Roman" w:hAnsi="Times New Roman"/>
          <w:sz w:val="24"/>
          <w:szCs w:val="24"/>
        </w:rPr>
        <w:t xml:space="preserve">as they are inherently included in the requirements for SPS 114. </w:t>
      </w:r>
    </w:p>
    <w:p w14:paraId="1DF4136B" w14:textId="375C3A23" w:rsidR="004C15EC" w:rsidRPr="00C5092C" w:rsidRDefault="004C15EC" w:rsidP="004C15EC">
      <w:pPr>
        <w:pStyle w:val="List"/>
        <w:numPr>
          <w:ilvl w:val="1"/>
          <w:numId w:val="11"/>
        </w:numPr>
        <w:rPr>
          <w:rFonts w:ascii="Times New Roman" w:hAnsi="Times New Roman" w:cs="Times New Roman"/>
          <w:i/>
          <w:sz w:val="24"/>
          <w:szCs w:val="24"/>
        </w:rPr>
      </w:pPr>
      <w:r w:rsidRPr="00C5092C">
        <w:rPr>
          <w:rFonts w:ascii="Times New Roman" w:hAnsi="Times New Roman" w:cs="Times New Roman"/>
          <w:i/>
          <w:sz w:val="24"/>
          <w:szCs w:val="24"/>
        </w:rPr>
        <w:t>O</w:t>
      </w:r>
      <w:r>
        <w:rPr>
          <w:rFonts w:ascii="Times New Roman" w:hAnsi="Times New Roman" w:cs="Times New Roman"/>
          <w:i/>
          <w:sz w:val="24"/>
          <w:szCs w:val="24"/>
        </w:rPr>
        <w:t xml:space="preserve">RFR </w:t>
      </w:r>
      <w:r w:rsidR="00931893">
        <w:rPr>
          <w:rFonts w:ascii="Times New Roman" w:hAnsi="Times New Roman" w:cs="Times New Roman"/>
          <w:i/>
          <w:sz w:val="24"/>
          <w:szCs w:val="24"/>
        </w:rPr>
        <w:t>target amount and tolerance limit</w:t>
      </w:r>
    </w:p>
    <w:p w14:paraId="00A10217" w14:textId="5AC2DA62" w:rsidR="00346C99" w:rsidRDefault="004C15EC" w:rsidP="00346C99">
      <w:pPr>
        <w:pStyle w:val="List"/>
        <w:tabs>
          <w:tab w:val="clear" w:pos="425"/>
        </w:tabs>
        <w:ind w:firstLine="0"/>
        <w:rPr>
          <w:rFonts w:ascii="Times New Roman" w:hAnsi="Times New Roman"/>
          <w:sz w:val="24"/>
          <w:szCs w:val="24"/>
        </w:rPr>
      </w:pPr>
      <w:r w:rsidRPr="00C5092C">
        <w:rPr>
          <w:rFonts w:ascii="Times New Roman" w:hAnsi="Times New Roman"/>
          <w:sz w:val="24"/>
          <w:szCs w:val="24"/>
        </w:rPr>
        <w:t xml:space="preserve">Paragraphs </w:t>
      </w:r>
      <w:r w:rsidR="00DE6856" w:rsidRPr="00D52A2E">
        <w:rPr>
          <w:rFonts w:ascii="Times New Roman" w:hAnsi="Times New Roman"/>
          <w:sz w:val="24"/>
          <w:szCs w:val="24"/>
        </w:rPr>
        <w:t>12</w:t>
      </w:r>
      <w:r w:rsidR="006C4480" w:rsidRPr="00D52A2E">
        <w:rPr>
          <w:rFonts w:ascii="Times New Roman" w:hAnsi="Times New Roman"/>
          <w:sz w:val="24"/>
          <w:szCs w:val="24"/>
        </w:rPr>
        <w:t xml:space="preserve"> to </w:t>
      </w:r>
      <w:r w:rsidR="006C4480" w:rsidRPr="00D52A2E" w:rsidDel="00DE6856">
        <w:rPr>
          <w:rFonts w:ascii="Times New Roman" w:hAnsi="Times New Roman"/>
          <w:sz w:val="24"/>
          <w:szCs w:val="24"/>
        </w:rPr>
        <w:t>13</w:t>
      </w:r>
      <w:r w:rsidRPr="00C5092C">
        <w:rPr>
          <w:rFonts w:ascii="Times New Roman" w:hAnsi="Times New Roman"/>
          <w:sz w:val="24"/>
          <w:szCs w:val="24"/>
        </w:rPr>
        <w:t xml:space="preserve"> outline requirements for an RSE licensee to </w:t>
      </w:r>
      <w:r w:rsidR="00C539B1">
        <w:rPr>
          <w:rFonts w:ascii="Times New Roman" w:hAnsi="Times New Roman"/>
          <w:sz w:val="24"/>
          <w:szCs w:val="24"/>
        </w:rPr>
        <w:t xml:space="preserve">determine a target </w:t>
      </w:r>
      <w:proofErr w:type="gramStart"/>
      <w:r w:rsidR="001D72CB">
        <w:rPr>
          <w:rFonts w:ascii="Times New Roman" w:hAnsi="Times New Roman"/>
          <w:sz w:val="24"/>
          <w:szCs w:val="24"/>
        </w:rPr>
        <w:t>amount</w:t>
      </w:r>
      <w:proofErr w:type="gramEnd"/>
      <w:r w:rsidR="001D72CB">
        <w:rPr>
          <w:rFonts w:ascii="Times New Roman" w:hAnsi="Times New Roman"/>
          <w:sz w:val="24"/>
          <w:szCs w:val="24"/>
        </w:rPr>
        <w:t xml:space="preserve"> </w:t>
      </w:r>
      <w:r w:rsidR="009419B3">
        <w:rPr>
          <w:rFonts w:ascii="Times New Roman" w:hAnsi="Times New Roman"/>
          <w:sz w:val="24"/>
          <w:szCs w:val="24"/>
        </w:rPr>
        <w:t xml:space="preserve">of financial resources (ORFR target amount) and a tolerance limit </w:t>
      </w:r>
      <w:r w:rsidR="00771493">
        <w:rPr>
          <w:rFonts w:ascii="Times New Roman" w:hAnsi="Times New Roman"/>
          <w:sz w:val="24"/>
          <w:szCs w:val="24"/>
        </w:rPr>
        <w:t>(</w:t>
      </w:r>
      <w:r w:rsidR="004F4388">
        <w:rPr>
          <w:rFonts w:ascii="Times New Roman" w:hAnsi="Times New Roman"/>
          <w:sz w:val="24"/>
          <w:szCs w:val="24"/>
        </w:rPr>
        <w:t xml:space="preserve">below the ORFR target </w:t>
      </w:r>
      <w:r w:rsidR="00C539B1">
        <w:rPr>
          <w:rFonts w:ascii="Times New Roman" w:hAnsi="Times New Roman"/>
          <w:sz w:val="24"/>
          <w:szCs w:val="24"/>
        </w:rPr>
        <w:t>amount</w:t>
      </w:r>
      <w:r w:rsidR="00771493">
        <w:rPr>
          <w:rFonts w:ascii="Times New Roman" w:hAnsi="Times New Roman"/>
          <w:sz w:val="24"/>
          <w:szCs w:val="24"/>
        </w:rPr>
        <w:t>)</w:t>
      </w:r>
      <w:r w:rsidR="00C539B1">
        <w:rPr>
          <w:rFonts w:ascii="Times New Roman" w:hAnsi="Times New Roman"/>
          <w:sz w:val="24"/>
          <w:szCs w:val="24"/>
        </w:rPr>
        <w:t xml:space="preserve"> </w:t>
      </w:r>
      <w:r w:rsidR="00743848">
        <w:rPr>
          <w:rFonts w:ascii="Times New Roman" w:hAnsi="Times New Roman"/>
          <w:sz w:val="24"/>
          <w:szCs w:val="24"/>
        </w:rPr>
        <w:t xml:space="preserve">that reflects the level below which the RSE licensee </w:t>
      </w:r>
      <w:r w:rsidR="00F36B23">
        <w:rPr>
          <w:rFonts w:ascii="Times New Roman" w:hAnsi="Times New Roman"/>
          <w:sz w:val="24"/>
          <w:szCs w:val="24"/>
        </w:rPr>
        <w:t xml:space="preserve">must take action to replenish the financial resources </w:t>
      </w:r>
      <w:r w:rsidR="004B0F7A">
        <w:rPr>
          <w:rFonts w:ascii="Times New Roman" w:hAnsi="Times New Roman"/>
          <w:sz w:val="24"/>
          <w:szCs w:val="24"/>
        </w:rPr>
        <w:t xml:space="preserve">held to meet the ORFR. </w:t>
      </w:r>
    </w:p>
    <w:p w14:paraId="3914D5E0" w14:textId="2EC4BDDA" w:rsidR="00BE5C70" w:rsidRPr="00591060" w:rsidRDefault="00BE5C70" w:rsidP="00BE5C70">
      <w:pPr>
        <w:pStyle w:val="List"/>
        <w:tabs>
          <w:tab w:val="clear" w:pos="425"/>
        </w:tabs>
        <w:ind w:firstLine="0"/>
        <w:rPr>
          <w:rFonts w:ascii="Times New Roman" w:hAnsi="Times New Roman"/>
          <w:sz w:val="24"/>
          <w:szCs w:val="24"/>
        </w:rPr>
      </w:pPr>
      <w:r>
        <w:rPr>
          <w:rFonts w:ascii="Times New Roman" w:hAnsi="Times New Roman"/>
          <w:sz w:val="24"/>
          <w:szCs w:val="24"/>
        </w:rPr>
        <w:t xml:space="preserve">Minor changes have been made to </w:t>
      </w:r>
      <w:r w:rsidR="002D722F">
        <w:rPr>
          <w:rFonts w:ascii="Times New Roman" w:hAnsi="Times New Roman"/>
          <w:sz w:val="24"/>
          <w:szCs w:val="24"/>
        </w:rPr>
        <w:t xml:space="preserve">the </w:t>
      </w:r>
      <w:r w:rsidR="00F775F8">
        <w:rPr>
          <w:rFonts w:ascii="Times New Roman" w:hAnsi="Times New Roman"/>
          <w:sz w:val="24"/>
          <w:szCs w:val="24"/>
        </w:rPr>
        <w:t xml:space="preserve">factors to </w:t>
      </w:r>
      <w:r w:rsidR="001A048E">
        <w:rPr>
          <w:rFonts w:ascii="Times New Roman" w:hAnsi="Times New Roman"/>
          <w:sz w:val="24"/>
          <w:szCs w:val="24"/>
        </w:rPr>
        <w:t xml:space="preserve">be considered when determining </w:t>
      </w:r>
      <w:r>
        <w:rPr>
          <w:rFonts w:ascii="Times New Roman" w:hAnsi="Times New Roman"/>
          <w:sz w:val="24"/>
          <w:szCs w:val="24"/>
        </w:rPr>
        <w:t>these amounts</w:t>
      </w:r>
      <w:r w:rsidR="004E15A7">
        <w:rPr>
          <w:rFonts w:ascii="Times New Roman" w:hAnsi="Times New Roman"/>
          <w:sz w:val="24"/>
          <w:szCs w:val="24"/>
        </w:rPr>
        <w:t xml:space="preserve">, including the </w:t>
      </w:r>
      <w:r>
        <w:rPr>
          <w:rFonts w:ascii="Times New Roman" w:hAnsi="Times New Roman"/>
          <w:sz w:val="24"/>
          <w:szCs w:val="24"/>
        </w:rPr>
        <w:t>add</w:t>
      </w:r>
      <w:r w:rsidR="004E15A7">
        <w:rPr>
          <w:rFonts w:ascii="Times New Roman" w:hAnsi="Times New Roman"/>
          <w:sz w:val="24"/>
          <w:szCs w:val="24"/>
        </w:rPr>
        <w:t xml:space="preserve">ition of the </w:t>
      </w:r>
      <w:r>
        <w:rPr>
          <w:rFonts w:ascii="Times New Roman" w:hAnsi="Times New Roman"/>
          <w:sz w:val="24"/>
          <w:szCs w:val="24"/>
        </w:rPr>
        <w:t xml:space="preserve">RSE licensee’s operational risk profile and risk assessments. </w:t>
      </w:r>
    </w:p>
    <w:p w14:paraId="3C90DA8B" w14:textId="52CC8E9F" w:rsidR="00A474CC" w:rsidRDefault="00BD2CF5" w:rsidP="00A474CC">
      <w:pPr>
        <w:pStyle w:val="List"/>
        <w:tabs>
          <w:tab w:val="clear" w:pos="425"/>
        </w:tabs>
        <w:ind w:firstLine="0"/>
        <w:rPr>
          <w:rFonts w:ascii="Times New Roman" w:hAnsi="Times New Roman"/>
          <w:sz w:val="24"/>
          <w:szCs w:val="24"/>
        </w:rPr>
      </w:pPr>
      <w:r>
        <w:rPr>
          <w:rFonts w:ascii="Times New Roman" w:hAnsi="Times New Roman"/>
          <w:sz w:val="24"/>
          <w:szCs w:val="24"/>
        </w:rPr>
        <w:t xml:space="preserve">Paragraph 14 </w:t>
      </w:r>
      <w:r w:rsidR="00D325A3">
        <w:rPr>
          <w:rFonts w:ascii="Times New Roman" w:hAnsi="Times New Roman"/>
          <w:sz w:val="24"/>
          <w:szCs w:val="24"/>
        </w:rPr>
        <w:t>outlines that, i</w:t>
      </w:r>
      <w:r w:rsidR="0045374C">
        <w:rPr>
          <w:rFonts w:ascii="Times New Roman" w:hAnsi="Times New Roman"/>
          <w:sz w:val="24"/>
          <w:szCs w:val="24"/>
        </w:rPr>
        <w:t xml:space="preserve">f APRA considers that the ORFR target amount and/or tolerance limit </w:t>
      </w:r>
      <w:r w:rsidR="00642B78">
        <w:rPr>
          <w:rFonts w:ascii="Times New Roman" w:hAnsi="Times New Roman"/>
          <w:sz w:val="24"/>
          <w:szCs w:val="24"/>
        </w:rPr>
        <w:t xml:space="preserve">does not adequately reflect the requirements </w:t>
      </w:r>
      <w:r w:rsidR="00B40943">
        <w:rPr>
          <w:rFonts w:ascii="Times New Roman" w:hAnsi="Times New Roman"/>
          <w:sz w:val="24"/>
          <w:szCs w:val="24"/>
        </w:rPr>
        <w:t xml:space="preserve">of SPS 114, </w:t>
      </w:r>
      <w:r w:rsidR="0042747E">
        <w:rPr>
          <w:rFonts w:ascii="Times New Roman" w:hAnsi="Times New Roman"/>
          <w:sz w:val="24"/>
          <w:szCs w:val="24"/>
        </w:rPr>
        <w:t xml:space="preserve">APRA may require an RSE licensee to </w:t>
      </w:r>
      <w:r w:rsidR="00924BFA">
        <w:rPr>
          <w:rFonts w:ascii="Times New Roman" w:hAnsi="Times New Roman"/>
          <w:sz w:val="24"/>
          <w:szCs w:val="24"/>
        </w:rPr>
        <w:t xml:space="preserve">meet an ORFR target amount or tolerance limit </w:t>
      </w:r>
      <w:r w:rsidR="000A6E2C">
        <w:rPr>
          <w:rFonts w:ascii="Times New Roman" w:hAnsi="Times New Roman"/>
          <w:sz w:val="24"/>
          <w:szCs w:val="24"/>
        </w:rPr>
        <w:t>determined by APRA.</w:t>
      </w:r>
      <w:r w:rsidR="00A474CC" w:rsidRPr="00A474CC">
        <w:rPr>
          <w:rFonts w:ascii="Times New Roman" w:hAnsi="Times New Roman"/>
          <w:sz w:val="24"/>
          <w:szCs w:val="24"/>
        </w:rPr>
        <w:t xml:space="preserve"> </w:t>
      </w:r>
    </w:p>
    <w:p w14:paraId="6C802B80" w14:textId="3353F045" w:rsidR="004C15EC" w:rsidRDefault="000B6AC3" w:rsidP="004C15EC">
      <w:pPr>
        <w:pStyle w:val="List"/>
        <w:tabs>
          <w:tab w:val="clear" w:pos="425"/>
        </w:tabs>
        <w:ind w:firstLine="0"/>
        <w:rPr>
          <w:rFonts w:ascii="Times New Roman" w:hAnsi="Times New Roman"/>
          <w:sz w:val="24"/>
          <w:szCs w:val="24"/>
        </w:rPr>
      </w:pPr>
      <w:r>
        <w:rPr>
          <w:rFonts w:ascii="Times New Roman" w:hAnsi="Times New Roman"/>
          <w:sz w:val="24"/>
          <w:szCs w:val="24"/>
        </w:rPr>
        <w:lastRenderedPageBreak/>
        <w:t xml:space="preserve">Whilst unchanged, this paragraph enables APRA to </w:t>
      </w:r>
      <w:r w:rsidR="00800BE9">
        <w:rPr>
          <w:rFonts w:ascii="Times New Roman" w:hAnsi="Times New Roman"/>
          <w:sz w:val="24"/>
          <w:szCs w:val="24"/>
        </w:rPr>
        <w:t>act</w:t>
      </w:r>
      <w:r>
        <w:rPr>
          <w:rFonts w:ascii="Times New Roman" w:hAnsi="Times New Roman"/>
          <w:sz w:val="24"/>
          <w:szCs w:val="24"/>
        </w:rPr>
        <w:t xml:space="preserve"> where is it considered that an RSE licensee </w:t>
      </w:r>
      <w:r w:rsidR="00562C8B">
        <w:rPr>
          <w:rFonts w:ascii="Times New Roman" w:hAnsi="Times New Roman"/>
          <w:sz w:val="24"/>
          <w:szCs w:val="24"/>
        </w:rPr>
        <w:t xml:space="preserve">is not </w:t>
      </w:r>
      <w:r w:rsidR="00AA6CBC">
        <w:rPr>
          <w:rFonts w:ascii="Times New Roman" w:hAnsi="Times New Roman"/>
          <w:sz w:val="24"/>
          <w:szCs w:val="24"/>
        </w:rPr>
        <w:t>maintain</w:t>
      </w:r>
      <w:r w:rsidR="00562C8B">
        <w:rPr>
          <w:rFonts w:ascii="Times New Roman" w:hAnsi="Times New Roman"/>
          <w:sz w:val="24"/>
          <w:szCs w:val="24"/>
        </w:rPr>
        <w:t xml:space="preserve">ing adequate </w:t>
      </w:r>
      <w:r w:rsidR="00AA6CBC">
        <w:rPr>
          <w:rFonts w:ascii="Times New Roman" w:hAnsi="Times New Roman"/>
          <w:sz w:val="24"/>
          <w:szCs w:val="24"/>
        </w:rPr>
        <w:t xml:space="preserve">financial resources to protect beneficiaries </w:t>
      </w:r>
      <w:r w:rsidR="00BD0E04">
        <w:rPr>
          <w:rFonts w:ascii="Times New Roman" w:hAnsi="Times New Roman"/>
          <w:sz w:val="24"/>
          <w:szCs w:val="24"/>
        </w:rPr>
        <w:t>or</w:t>
      </w:r>
      <w:r w:rsidR="00AA6CBC">
        <w:rPr>
          <w:rFonts w:ascii="Times New Roman" w:hAnsi="Times New Roman"/>
          <w:sz w:val="24"/>
          <w:szCs w:val="24"/>
        </w:rPr>
        <w:t xml:space="preserve"> to address potential losses arising from operational risk </w:t>
      </w:r>
      <w:r w:rsidR="00BD0E04">
        <w:rPr>
          <w:rFonts w:ascii="Times New Roman" w:hAnsi="Times New Roman"/>
          <w:sz w:val="24"/>
          <w:szCs w:val="24"/>
        </w:rPr>
        <w:t>events.</w:t>
      </w:r>
    </w:p>
    <w:p w14:paraId="5BDDB1F7" w14:textId="185D317C" w:rsidR="00591060" w:rsidRPr="00C5092C" w:rsidRDefault="005B3B82" w:rsidP="00591060">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Use of </w:t>
      </w:r>
      <w:r w:rsidR="00591060" w:rsidRPr="00C5092C">
        <w:rPr>
          <w:rFonts w:ascii="Times New Roman" w:hAnsi="Times New Roman" w:cs="Times New Roman"/>
          <w:i/>
          <w:sz w:val="24"/>
          <w:szCs w:val="24"/>
        </w:rPr>
        <w:t>O</w:t>
      </w:r>
      <w:r w:rsidR="00591060">
        <w:rPr>
          <w:rFonts w:ascii="Times New Roman" w:hAnsi="Times New Roman" w:cs="Times New Roman"/>
          <w:i/>
          <w:sz w:val="24"/>
          <w:szCs w:val="24"/>
        </w:rPr>
        <w:t xml:space="preserve">RFR </w:t>
      </w:r>
      <w:r>
        <w:rPr>
          <w:rFonts w:ascii="Times New Roman" w:hAnsi="Times New Roman" w:cs="Times New Roman"/>
          <w:i/>
          <w:sz w:val="24"/>
          <w:szCs w:val="24"/>
        </w:rPr>
        <w:t>financial resources</w:t>
      </w:r>
    </w:p>
    <w:p w14:paraId="1702AE4A" w14:textId="75C33067" w:rsidR="00591060" w:rsidRDefault="00591060" w:rsidP="00591060">
      <w:pPr>
        <w:pStyle w:val="List"/>
        <w:tabs>
          <w:tab w:val="clear" w:pos="425"/>
        </w:tabs>
        <w:ind w:firstLine="0"/>
        <w:rPr>
          <w:rFonts w:ascii="Times New Roman" w:hAnsi="Times New Roman"/>
          <w:sz w:val="24"/>
          <w:szCs w:val="24"/>
        </w:rPr>
      </w:pPr>
      <w:r w:rsidRPr="00C5092C">
        <w:rPr>
          <w:rFonts w:ascii="Times New Roman" w:hAnsi="Times New Roman"/>
          <w:sz w:val="24"/>
          <w:szCs w:val="24"/>
        </w:rPr>
        <w:t>Paragraph</w:t>
      </w:r>
      <w:r w:rsidR="00B408D7">
        <w:rPr>
          <w:rFonts w:ascii="Times New Roman" w:hAnsi="Times New Roman"/>
          <w:sz w:val="24"/>
          <w:szCs w:val="24"/>
        </w:rPr>
        <w:t xml:space="preserve"> </w:t>
      </w:r>
      <w:r w:rsidR="00FA7264" w:rsidRPr="00257428">
        <w:rPr>
          <w:rFonts w:ascii="Times New Roman" w:hAnsi="Times New Roman"/>
          <w:sz w:val="24"/>
          <w:szCs w:val="24"/>
        </w:rPr>
        <w:t>15</w:t>
      </w:r>
      <w:r w:rsidR="00B408D7">
        <w:rPr>
          <w:rFonts w:ascii="Times New Roman" w:hAnsi="Times New Roman"/>
          <w:sz w:val="24"/>
          <w:szCs w:val="24"/>
        </w:rPr>
        <w:t xml:space="preserve"> </w:t>
      </w:r>
      <w:r w:rsidR="004F35DE">
        <w:rPr>
          <w:rFonts w:ascii="Times New Roman" w:hAnsi="Times New Roman"/>
          <w:sz w:val="24"/>
          <w:szCs w:val="24"/>
        </w:rPr>
        <w:t>set</w:t>
      </w:r>
      <w:r w:rsidR="00FA7264">
        <w:rPr>
          <w:rFonts w:ascii="Times New Roman" w:hAnsi="Times New Roman"/>
          <w:sz w:val="24"/>
          <w:szCs w:val="24"/>
        </w:rPr>
        <w:t>s</w:t>
      </w:r>
      <w:r w:rsidR="004F35DE">
        <w:rPr>
          <w:rFonts w:ascii="Times New Roman" w:hAnsi="Times New Roman"/>
          <w:sz w:val="24"/>
          <w:szCs w:val="24"/>
        </w:rPr>
        <w:t xml:space="preserve"> out </w:t>
      </w:r>
      <w:r w:rsidR="008B7363">
        <w:rPr>
          <w:rFonts w:ascii="Times New Roman" w:hAnsi="Times New Roman"/>
          <w:sz w:val="24"/>
          <w:szCs w:val="24"/>
        </w:rPr>
        <w:t xml:space="preserve">the purposes for which the ORFR financial resources may be used. </w:t>
      </w:r>
      <w:r w:rsidR="00852C7B">
        <w:rPr>
          <w:rFonts w:ascii="Times New Roman" w:hAnsi="Times New Roman"/>
          <w:sz w:val="24"/>
          <w:szCs w:val="24"/>
        </w:rPr>
        <w:t>These include address</w:t>
      </w:r>
      <w:r w:rsidR="00655211">
        <w:rPr>
          <w:rFonts w:ascii="Times New Roman" w:hAnsi="Times New Roman"/>
          <w:sz w:val="24"/>
          <w:szCs w:val="24"/>
        </w:rPr>
        <w:t>ing</w:t>
      </w:r>
      <w:r w:rsidR="00852C7B">
        <w:rPr>
          <w:rFonts w:ascii="Times New Roman" w:hAnsi="Times New Roman"/>
          <w:sz w:val="24"/>
          <w:szCs w:val="24"/>
        </w:rPr>
        <w:t xml:space="preserve"> operational risks that </w:t>
      </w:r>
      <w:r w:rsidR="001E3F34">
        <w:rPr>
          <w:rFonts w:ascii="Times New Roman" w:hAnsi="Times New Roman"/>
          <w:sz w:val="24"/>
          <w:szCs w:val="24"/>
        </w:rPr>
        <w:t xml:space="preserve">could reasonably be considered to </w:t>
      </w:r>
      <w:r w:rsidR="00852C7B">
        <w:rPr>
          <w:rFonts w:ascii="Times New Roman" w:hAnsi="Times New Roman"/>
          <w:sz w:val="24"/>
          <w:szCs w:val="24"/>
        </w:rPr>
        <w:t xml:space="preserve">have </w:t>
      </w:r>
      <w:proofErr w:type="gramStart"/>
      <w:r w:rsidR="00852C7B">
        <w:rPr>
          <w:rFonts w:ascii="Times New Roman" w:hAnsi="Times New Roman"/>
          <w:sz w:val="24"/>
          <w:szCs w:val="24"/>
        </w:rPr>
        <w:t xml:space="preserve">caused, </w:t>
      </w:r>
      <w:r w:rsidR="00AD2BFF">
        <w:rPr>
          <w:rFonts w:ascii="Times New Roman" w:hAnsi="Times New Roman"/>
          <w:sz w:val="24"/>
          <w:szCs w:val="24"/>
        </w:rPr>
        <w:t>or</w:t>
      </w:r>
      <w:proofErr w:type="gramEnd"/>
      <w:r w:rsidR="00AD2BFF">
        <w:rPr>
          <w:rFonts w:ascii="Times New Roman" w:hAnsi="Times New Roman"/>
          <w:sz w:val="24"/>
          <w:szCs w:val="24"/>
        </w:rPr>
        <w:t xml:space="preserve"> could cause beneficiaries to sustain a loss</w:t>
      </w:r>
      <w:r w:rsidR="00E600DA">
        <w:rPr>
          <w:rFonts w:ascii="Times New Roman" w:hAnsi="Times New Roman"/>
          <w:sz w:val="24"/>
          <w:szCs w:val="24"/>
        </w:rPr>
        <w:t xml:space="preserve"> or be deprived of a gain, to which they otherwise would have been entitled</w:t>
      </w:r>
      <w:r w:rsidR="00DF4B92">
        <w:rPr>
          <w:rFonts w:ascii="Times New Roman" w:hAnsi="Times New Roman"/>
          <w:sz w:val="24"/>
          <w:szCs w:val="24"/>
        </w:rPr>
        <w:t xml:space="preserve">. </w:t>
      </w:r>
      <w:r w:rsidR="00ED5026">
        <w:rPr>
          <w:rFonts w:ascii="Times New Roman" w:hAnsi="Times New Roman"/>
          <w:sz w:val="24"/>
          <w:szCs w:val="24"/>
        </w:rPr>
        <w:t>In addition</w:t>
      </w:r>
      <w:r w:rsidR="008151A2">
        <w:rPr>
          <w:rFonts w:ascii="Times New Roman" w:hAnsi="Times New Roman"/>
          <w:sz w:val="24"/>
          <w:szCs w:val="24"/>
        </w:rPr>
        <w:t xml:space="preserve">, </w:t>
      </w:r>
      <w:r w:rsidR="00E9616C">
        <w:rPr>
          <w:rFonts w:ascii="Times New Roman" w:hAnsi="Times New Roman"/>
          <w:sz w:val="24"/>
          <w:szCs w:val="24"/>
        </w:rPr>
        <w:t xml:space="preserve">the ORFR financial resources may be used </w:t>
      </w:r>
      <w:r w:rsidR="00497588">
        <w:rPr>
          <w:rFonts w:ascii="Times New Roman" w:hAnsi="Times New Roman"/>
          <w:sz w:val="24"/>
          <w:szCs w:val="24"/>
        </w:rPr>
        <w:t xml:space="preserve">to meet the requirements of </w:t>
      </w:r>
      <w:r w:rsidR="00497588" w:rsidRPr="006F3152">
        <w:rPr>
          <w:rFonts w:ascii="Times New Roman" w:hAnsi="Times New Roman"/>
          <w:i/>
          <w:sz w:val="24"/>
          <w:szCs w:val="24"/>
        </w:rPr>
        <w:t>Prudential Sta</w:t>
      </w:r>
      <w:r w:rsidR="00A111D8" w:rsidRPr="006F3152">
        <w:rPr>
          <w:rFonts w:ascii="Times New Roman" w:hAnsi="Times New Roman"/>
          <w:i/>
          <w:sz w:val="24"/>
          <w:szCs w:val="24"/>
        </w:rPr>
        <w:t>n</w:t>
      </w:r>
      <w:r w:rsidR="00497588" w:rsidRPr="006F3152">
        <w:rPr>
          <w:rFonts w:ascii="Times New Roman" w:hAnsi="Times New Roman"/>
          <w:i/>
          <w:sz w:val="24"/>
          <w:szCs w:val="24"/>
        </w:rPr>
        <w:t xml:space="preserve">dard CPS 230 Operational Risk </w:t>
      </w:r>
      <w:r w:rsidR="00A111D8" w:rsidRPr="006F3152">
        <w:rPr>
          <w:rFonts w:ascii="Times New Roman" w:hAnsi="Times New Roman"/>
          <w:i/>
          <w:sz w:val="24"/>
          <w:szCs w:val="24"/>
        </w:rPr>
        <w:t>Management</w:t>
      </w:r>
      <w:r w:rsidR="008151A2">
        <w:rPr>
          <w:rFonts w:ascii="Times New Roman" w:hAnsi="Times New Roman"/>
          <w:sz w:val="24"/>
          <w:szCs w:val="24"/>
        </w:rPr>
        <w:t xml:space="preserve"> (CPS 230)</w:t>
      </w:r>
      <w:r w:rsidR="007C366B">
        <w:rPr>
          <w:rFonts w:ascii="Times New Roman" w:hAnsi="Times New Roman"/>
          <w:sz w:val="24"/>
          <w:szCs w:val="24"/>
        </w:rPr>
        <w:t xml:space="preserve"> and</w:t>
      </w:r>
      <w:r w:rsidR="007D0FBB">
        <w:rPr>
          <w:rFonts w:ascii="Times New Roman" w:hAnsi="Times New Roman"/>
          <w:sz w:val="24"/>
          <w:szCs w:val="24"/>
        </w:rPr>
        <w:t xml:space="preserve"> to r</w:t>
      </w:r>
      <w:r w:rsidR="00D92D58">
        <w:rPr>
          <w:rFonts w:ascii="Times New Roman" w:hAnsi="Times New Roman"/>
          <w:sz w:val="24"/>
          <w:szCs w:val="24"/>
        </w:rPr>
        <w:t xml:space="preserve">educe a surplus where </w:t>
      </w:r>
      <w:r w:rsidR="007D0FBB">
        <w:rPr>
          <w:rFonts w:ascii="Times New Roman" w:hAnsi="Times New Roman"/>
          <w:sz w:val="24"/>
          <w:szCs w:val="24"/>
        </w:rPr>
        <w:t xml:space="preserve">they are </w:t>
      </w:r>
      <w:r w:rsidR="003F1A99">
        <w:rPr>
          <w:rFonts w:ascii="Times New Roman" w:hAnsi="Times New Roman"/>
          <w:sz w:val="24"/>
          <w:szCs w:val="24"/>
        </w:rPr>
        <w:t xml:space="preserve">materially larger </w:t>
      </w:r>
      <w:r w:rsidR="00500943">
        <w:rPr>
          <w:rFonts w:ascii="Times New Roman" w:hAnsi="Times New Roman"/>
          <w:sz w:val="24"/>
          <w:szCs w:val="24"/>
        </w:rPr>
        <w:t xml:space="preserve">than the ORFR target amount. </w:t>
      </w:r>
    </w:p>
    <w:p w14:paraId="741EE4FA" w14:textId="18FE5CC1" w:rsidR="000C423A" w:rsidRPr="00591060" w:rsidRDefault="001162D3" w:rsidP="000579F4">
      <w:pPr>
        <w:pStyle w:val="List"/>
        <w:tabs>
          <w:tab w:val="clear" w:pos="425"/>
        </w:tabs>
        <w:spacing w:line="259" w:lineRule="auto"/>
        <w:ind w:firstLine="0"/>
        <w:rPr>
          <w:rFonts w:ascii="Times New Roman" w:hAnsi="Times New Roman"/>
          <w:sz w:val="24"/>
          <w:szCs w:val="24"/>
        </w:rPr>
      </w:pPr>
      <w:r>
        <w:rPr>
          <w:rFonts w:ascii="Times New Roman" w:hAnsi="Times New Roman"/>
          <w:sz w:val="24"/>
          <w:szCs w:val="24"/>
        </w:rPr>
        <w:t xml:space="preserve">Changes have been made to </w:t>
      </w:r>
      <w:r w:rsidR="00054C6B">
        <w:rPr>
          <w:rFonts w:ascii="Times New Roman" w:hAnsi="Times New Roman"/>
          <w:sz w:val="24"/>
          <w:szCs w:val="24"/>
        </w:rPr>
        <w:t xml:space="preserve">permit the </w:t>
      </w:r>
      <w:r w:rsidR="00655211">
        <w:rPr>
          <w:rFonts w:ascii="Times New Roman" w:hAnsi="Times New Roman"/>
          <w:sz w:val="24"/>
          <w:szCs w:val="24"/>
        </w:rPr>
        <w:t xml:space="preserve">broader </w:t>
      </w:r>
      <w:r w:rsidR="00054C6B">
        <w:rPr>
          <w:rFonts w:ascii="Times New Roman" w:hAnsi="Times New Roman"/>
          <w:sz w:val="24"/>
          <w:szCs w:val="24"/>
        </w:rPr>
        <w:t xml:space="preserve">use of the ORFR financial resources </w:t>
      </w:r>
      <w:r w:rsidR="27A99D77" w:rsidRPr="37604B2D">
        <w:rPr>
          <w:rFonts w:ascii="Times New Roman" w:hAnsi="Times New Roman"/>
          <w:sz w:val="24"/>
          <w:szCs w:val="24"/>
        </w:rPr>
        <w:t xml:space="preserve">to </w:t>
      </w:r>
      <w:r w:rsidR="00054C6B">
        <w:rPr>
          <w:rFonts w:ascii="Times New Roman" w:hAnsi="Times New Roman"/>
          <w:sz w:val="24"/>
          <w:szCs w:val="24"/>
        </w:rPr>
        <w:t>prevent</w:t>
      </w:r>
      <w:r w:rsidR="549DD714" w:rsidRPr="37604B2D">
        <w:rPr>
          <w:rFonts w:ascii="Times New Roman" w:hAnsi="Times New Roman"/>
          <w:sz w:val="24"/>
          <w:szCs w:val="24"/>
        </w:rPr>
        <w:t xml:space="preserve"> operational risk</w:t>
      </w:r>
      <w:r w:rsidR="00D63BCC">
        <w:rPr>
          <w:rFonts w:ascii="Times New Roman" w:hAnsi="Times New Roman"/>
          <w:sz w:val="24"/>
          <w:szCs w:val="24"/>
        </w:rPr>
        <w:t xml:space="preserve">, </w:t>
      </w:r>
      <w:r w:rsidR="002B2224">
        <w:rPr>
          <w:rFonts w:ascii="Times New Roman" w:hAnsi="Times New Roman"/>
          <w:sz w:val="24"/>
          <w:szCs w:val="24"/>
        </w:rPr>
        <w:t xml:space="preserve">in addition to the existing permitted uses for </w:t>
      </w:r>
      <w:r w:rsidR="001064FB">
        <w:rPr>
          <w:rFonts w:ascii="Times New Roman" w:hAnsi="Times New Roman"/>
          <w:sz w:val="24"/>
          <w:szCs w:val="24"/>
        </w:rPr>
        <w:t xml:space="preserve">events that have materialised. </w:t>
      </w:r>
      <w:r w:rsidR="00766FD9">
        <w:rPr>
          <w:rFonts w:ascii="Times New Roman" w:hAnsi="Times New Roman"/>
          <w:sz w:val="24"/>
          <w:szCs w:val="24"/>
        </w:rPr>
        <w:t xml:space="preserve">In addition, </w:t>
      </w:r>
      <w:r w:rsidR="00096C9F">
        <w:rPr>
          <w:rFonts w:ascii="Times New Roman" w:hAnsi="Times New Roman"/>
          <w:sz w:val="24"/>
          <w:szCs w:val="24"/>
        </w:rPr>
        <w:t xml:space="preserve">the use of the financial resources </w:t>
      </w:r>
      <w:r w:rsidR="00BC7C42">
        <w:rPr>
          <w:rFonts w:ascii="Times New Roman" w:hAnsi="Times New Roman"/>
          <w:sz w:val="24"/>
          <w:szCs w:val="24"/>
        </w:rPr>
        <w:t xml:space="preserve">now includes </w:t>
      </w:r>
      <w:r w:rsidR="007924B1">
        <w:rPr>
          <w:rFonts w:ascii="Times New Roman" w:hAnsi="Times New Roman"/>
          <w:sz w:val="24"/>
          <w:szCs w:val="24"/>
        </w:rPr>
        <w:t xml:space="preserve">a direct link </w:t>
      </w:r>
      <w:r w:rsidR="00B706F1">
        <w:rPr>
          <w:rFonts w:ascii="Times New Roman" w:hAnsi="Times New Roman"/>
          <w:sz w:val="24"/>
          <w:szCs w:val="24"/>
        </w:rPr>
        <w:t xml:space="preserve">to </w:t>
      </w:r>
      <w:r w:rsidR="0073448C">
        <w:rPr>
          <w:rFonts w:ascii="Times New Roman" w:hAnsi="Times New Roman"/>
          <w:sz w:val="24"/>
          <w:szCs w:val="24"/>
        </w:rPr>
        <w:t>o</w:t>
      </w:r>
      <w:r w:rsidR="007E58AC">
        <w:rPr>
          <w:rFonts w:ascii="Times New Roman" w:hAnsi="Times New Roman"/>
          <w:sz w:val="24"/>
          <w:szCs w:val="24"/>
        </w:rPr>
        <w:t>perational risks</w:t>
      </w:r>
      <w:r w:rsidR="0073448C">
        <w:rPr>
          <w:rFonts w:ascii="Times New Roman" w:hAnsi="Times New Roman"/>
          <w:sz w:val="24"/>
          <w:szCs w:val="24"/>
        </w:rPr>
        <w:t xml:space="preserve"> as set out in CPS 230. </w:t>
      </w:r>
    </w:p>
    <w:p w14:paraId="60434421" w14:textId="0764D763" w:rsidR="000C423A" w:rsidRPr="00C5092C" w:rsidRDefault="00C354BA" w:rsidP="000C423A">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Access to </w:t>
      </w:r>
      <w:r w:rsidR="000C423A" w:rsidRPr="00C5092C">
        <w:rPr>
          <w:rFonts w:ascii="Times New Roman" w:hAnsi="Times New Roman" w:cs="Times New Roman"/>
          <w:i/>
          <w:sz w:val="24"/>
          <w:szCs w:val="24"/>
        </w:rPr>
        <w:t>O</w:t>
      </w:r>
      <w:r w:rsidR="000C423A">
        <w:rPr>
          <w:rFonts w:ascii="Times New Roman" w:hAnsi="Times New Roman" w:cs="Times New Roman"/>
          <w:i/>
          <w:sz w:val="24"/>
          <w:szCs w:val="24"/>
        </w:rPr>
        <w:t>RFR financial resources</w:t>
      </w:r>
    </w:p>
    <w:p w14:paraId="1E4FBD53" w14:textId="1C6F03BD" w:rsidR="000C423A" w:rsidRDefault="000C423A" w:rsidP="000C423A">
      <w:pPr>
        <w:pStyle w:val="List"/>
        <w:tabs>
          <w:tab w:val="clear" w:pos="425"/>
        </w:tabs>
        <w:ind w:firstLine="0"/>
        <w:rPr>
          <w:rFonts w:ascii="Times New Roman" w:hAnsi="Times New Roman"/>
          <w:sz w:val="24"/>
          <w:szCs w:val="24"/>
        </w:rPr>
      </w:pPr>
      <w:r w:rsidRPr="00C5092C">
        <w:rPr>
          <w:rFonts w:ascii="Times New Roman" w:hAnsi="Times New Roman"/>
          <w:sz w:val="24"/>
          <w:szCs w:val="24"/>
        </w:rPr>
        <w:t>Paragraphs</w:t>
      </w:r>
      <w:r w:rsidR="00F565B8">
        <w:rPr>
          <w:rFonts w:ascii="Times New Roman" w:hAnsi="Times New Roman"/>
          <w:sz w:val="24"/>
          <w:szCs w:val="24"/>
        </w:rPr>
        <w:t xml:space="preserve"> </w:t>
      </w:r>
      <w:r w:rsidR="00232CC6" w:rsidRPr="00A172E4">
        <w:rPr>
          <w:rFonts w:ascii="Times New Roman" w:hAnsi="Times New Roman"/>
          <w:sz w:val="24"/>
          <w:szCs w:val="24"/>
        </w:rPr>
        <w:t>16</w:t>
      </w:r>
      <w:r w:rsidR="009A0ACE" w:rsidRPr="00A172E4">
        <w:rPr>
          <w:rFonts w:ascii="Times New Roman" w:hAnsi="Times New Roman"/>
          <w:sz w:val="24"/>
          <w:szCs w:val="24"/>
        </w:rPr>
        <w:t xml:space="preserve"> </w:t>
      </w:r>
      <w:r w:rsidR="00F565B8" w:rsidRPr="00A172E4">
        <w:rPr>
          <w:rFonts w:ascii="Times New Roman" w:hAnsi="Times New Roman"/>
          <w:sz w:val="24"/>
          <w:szCs w:val="24"/>
        </w:rPr>
        <w:t xml:space="preserve">to </w:t>
      </w:r>
      <w:r w:rsidR="00232CC6" w:rsidRPr="00A172E4">
        <w:rPr>
          <w:rFonts w:ascii="Times New Roman" w:hAnsi="Times New Roman"/>
          <w:sz w:val="24"/>
          <w:szCs w:val="24"/>
        </w:rPr>
        <w:t>17</w:t>
      </w:r>
      <w:r w:rsidR="00F565B8">
        <w:rPr>
          <w:rFonts w:ascii="Times New Roman" w:hAnsi="Times New Roman"/>
          <w:sz w:val="24"/>
          <w:szCs w:val="24"/>
        </w:rPr>
        <w:t xml:space="preserve"> </w:t>
      </w:r>
      <w:r w:rsidR="009A0ACE">
        <w:rPr>
          <w:rFonts w:ascii="Times New Roman" w:hAnsi="Times New Roman"/>
          <w:sz w:val="24"/>
          <w:szCs w:val="24"/>
        </w:rPr>
        <w:t xml:space="preserve">set out how the ORFR financial resources must be held. </w:t>
      </w:r>
      <w:r w:rsidR="00841885">
        <w:rPr>
          <w:rFonts w:ascii="Times New Roman" w:hAnsi="Times New Roman"/>
          <w:sz w:val="24"/>
          <w:szCs w:val="24"/>
        </w:rPr>
        <w:t>An ope</w:t>
      </w:r>
      <w:r w:rsidR="00D34402">
        <w:rPr>
          <w:rFonts w:ascii="Times New Roman" w:hAnsi="Times New Roman"/>
          <w:sz w:val="24"/>
          <w:szCs w:val="24"/>
        </w:rPr>
        <w:t xml:space="preserve">rational risk reserve must </w:t>
      </w:r>
      <w:r w:rsidR="00655211">
        <w:rPr>
          <w:rFonts w:ascii="Times New Roman" w:hAnsi="Times New Roman"/>
          <w:sz w:val="24"/>
          <w:szCs w:val="24"/>
        </w:rPr>
        <w:t xml:space="preserve">comprise financial resources that are </w:t>
      </w:r>
      <w:r w:rsidR="00D34402">
        <w:rPr>
          <w:rFonts w:ascii="Times New Roman" w:hAnsi="Times New Roman"/>
          <w:sz w:val="24"/>
          <w:szCs w:val="24"/>
        </w:rPr>
        <w:t>separately identifiable</w:t>
      </w:r>
      <w:r w:rsidR="00543ADA">
        <w:rPr>
          <w:rFonts w:ascii="Times New Roman" w:hAnsi="Times New Roman"/>
          <w:sz w:val="24"/>
          <w:szCs w:val="24"/>
        </w:rPr>
        <w:t>,</w:t>
      </w:r>
      <w:r w:rsidR="00D34402">
        <w:rPr>
          <w:rFonts w:ascii="Times New Roman" w:hAnsi="Times New Roman"/>
          <w:sz w:val="24"/>
          <w:szCs w:val="24"/>
        </w:rPr>
        <w:t xml:space="preserve"> </w:t>
      </w:r>
      <w:r w:rsidR="009837D2">
        <w:rPr>
          <w:rFonts w:ascii="Times New Roman" w:hAnsi="Times New Roman"/>
          <w:sz w:val="24"/>
          <w:szCs w:val="24"/>
        </w:rPr>
        <w:t xml:space="preserve">unrestricted </w:t>
      </w:r>
      <w:r w:rsidR="00543ADA">
        <w:rPr>
          <w:rFonts w:ascii="Times New Roman" w:hAnsi="Times New Roman"/>
          <w:sz w:val="24"/>
          <w:szCs w:val="24"/>
        </w:rPr>
        <w:t xml:space="preserve">and </w:t>
      </w:r>
      <w:r w:rsidR="009837D2">
        <w:rPr>
          <w:rFonts w:ascii="Times New Roman" w:hAnsi="Times New Roman"/>
          <w:sz w:val="24"/>
          <w:szCs w:val="24"/>
        </w:rPr>
        <w:t>readily available to address operational risks</w:t>
      </w:r>
      <w:r w:rsidR="00543ADA">
        <w:rPr>
          <w:rFonts w:ascii="Times New Roman" w:hAnsi="Times New Roman"/>
          <w:sz w:val="24"/>
          <w:szCs w:val="24"/>
        </w:rPr>
        <w:t>. T</w:t>
      </w:r>
      <w:r w:rsidR="00311EE0">
        <w:rPr>
          <w:rFonts w:ascii="Times New Roman" w:hAnsi="Times New Roman"/>
          <w:sz w:val="24"/>
          <w:szCs w:val="24"/>
        </w:rPr>
        <w:t xml:space="preserve">rustee capital must </w:t>
      </w:r>
      <w:r w:rsidR="006A1710">
        <w:rPr>
          <w:rFonts w:ascii="Times New Roman" w:hAnsi="Times New Roman"/>
          <w:sz w:val="24"/>
          <w:szCs w:val="24"/>
        </w:rPr>
        <w:t xml:space="preserve">be held in a form that is equivalent to Common Equity </w:t>
      </w:r>
      <w:r w:rsidR="00921B27">
        <w:rPr>
          <w:rFonts w:ascii="Times New Roman" w:hAnsi="Times New Roman"/>
          <w:sz w:val="24"/>
          <w:szCs w:val="24"/>
        </w:rPr>
        <w:t xml:space="preserve">Tier 1 Capital. </w:t>
      </w:r>
    </w:p>
    <w:p w14:paraId="1F979A11" w14:textId="5C0933E4" w:rsidR="00295AC7" w:rsidRPr="00591060" w:rsidRDefault="009F6091" w:rsidP="00295AC7">
      <w:pPr>
        <w:pStyle w:val="List"/>
        <w:tabs>
          <w:tab w:val="clear" w:pos="425"/>
        </w:tabs>
        <w:ind w:firstLine="0"/>
        <w:rPr>
          <w:rFonts w:ascii="Times New Roman" w:hAnsi="Times New Roman"/>
          <w:sz w:val="24"/>
          <w:szCs w:val="24"/>
        </w:rPr>
      </w:pPr>
      <w:r>
        <w:rPr>
          <w:rFonts w:ascii="Times New Roman" w:hAnsi="Times New Roman"/>
          <w:sz w:val="24"/>
          <w:szCs w:val="24"/>
        </w:rPr>
        <w:t xml:space="preserve">Minor refinements </w:t>
      </w:r>
      <w:r w:rsidR="008B3B33">
        <w:rPr>
          <w:rFonts w:ascii="Times New Roman" w:hAnsi="Times New Roman"/>
          <w:sz w:val="24"/>
          <w:szCs w:val="24"/>
        </w:rPr>
        <w:t xml:space="preserve">to add clarity </w:t>
      </w:r>
      <w:r>
        <w:rPr>
          <w:rFonts w:ascii="Times New Roman" w:hAnsi="Times New Roman"/>
          <w:sz w:val="24"/>
          <w:szCs w:val="24"/>
        </w:rPr>
        <w:t xml:space="preserve">have been made to the wording of </w:t>
      </w:r>
      <w:r w:rsidR="00295AC7">
        <w:rPr>
          <w:rFonts w:ascii="Times New Roman" w:hAnsi="Times New Roman"/>
          <w:sz w:val="24"/>
          <w:szCs w:val="24"/>
        </w:rPr>
        <w:t xml:space="preserve">these paragraphs. </w:t>
      </w:r>
    </w:p>
    <w:p w14:paraId="15FE35C7" w14:textId="51E0B3B2" w:rsidR="00295AC7" w:rsidRPr="00C5092C" w:rsidRDefault="00D71F4E" w:rsidP="00295AC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Shortfall management</w:t>
      </w:r>
    </w:p>
    <w:p w14:paraId="7DE0EF74" w14:textId="2FE71381" w:rsidR="004F3D30" w:rsidRPr="00591060" w:rsidRDefault="00295AC7" w:rsidP="004F3D30">
      <w:pPr>
        <w:pStyle w:val="List"/>
        <w:tabs>
          <w:tab w:val="clear" w:pos="425"/>
        </w:tabs>
        <w:ind w:firstLine="0"/>
        <w:rPr>
          <w:rFonts w:ascii="Times New Roman" w:hAnsi="Times New Roman"/>
          <w:sz w:val="24"/>
          <w:szCs w:val="24"/>
        </w:rPr>
      </w:pPr>
      <w:r w:rsidRPr="00C5092C">
        <w:rPr>
          <w:rFonts w:ascii="Times New Roman" w:hAnsi="Times New Roman"/>
          <w:sz w:val="24"/>
          <w:szCs w:val="24"/>
        </w:rPr>
        <w:t>Paragraphs</w:t>
      </w:r>
      <w:r>
        <w:rPr>
          <w:rFonts w:ascii="Times New Roman" w:hAnsi="Times New Roman"/>
          <w:sz w:val="24"/>
          <w:szCs w:val="24"/>
        </w:rPr>
        <w:t xml:space="preserve"> </w:t>
      </w:r>
      <w:r w:rsidR="0015454A" w:rsidRPr="00C26BE5">
        <w:rPr>
          <w:rFonts w:ascii="Times New Roman" w:hAnsi="Times New Roman"/>
          <w:sz w:val="24"/>
          <w:szCs w:val="24"/>
        </w:rPr>
        <w:t>18</w:t>
      </w:r>
      <w:r w:rsidRPr="00C26BE5">
        <w:rPr>
          <w:rFonts w:ascii="Times New Roman" w:hAnsi="Times New Roman"/>
          <w:sz w:val="24"/>
          <w:szCs w:val="24"/>
        </w:rPr>
        <w:t xml:space="preserve"> to </w:t>
      </w:r>
      <w:r w:rsidR="0015454A" w:rsidRPr="00C26BE5">
        <w:rPr>
          <w:rFonts w:ascii="Times New Roman" w:hAnsi="Times New Roman"/>
          <w:sz w:val="24"/>
          <w:szCs w:val="24"/>
        </w:rPr>
        <w:t>20</w:t>
      </w:r>
      <w:r>
        <w:rPr>
          <w:rFonts w:ascii="Times New Roman" w:hAnsi="Times New Roman"/>
          <w:sz w:val="24"/>
          <w:szCs w:val="24"/>
        </w:rPr>
        <w:t xml:space="preserve"> </w:t>
      </w:r>
      <w:r w:rsidR="00171295">
        <w:rPr>
          <w:rFonts w:ascii="Times New Roman" w:hAnsi="Times New Roman"/>
          <w:sz w:val="24"/>
          <w:szCs w:val="24"/>
        </w:rPr>
        <w:t>outline requirements</w:t>
      </w:r>
      <w:r w:rsidR="003D03B8">
        <w:rPr>
          <w:rFonts w:ascii="Times New Roman" w:hAnsi="Times New Roman"/>
          <w:sz w:val="24"/>
          <w:szCs w:val="24"/>
        </w:rPr>
        <w:t xml:space="preserve"> that apply where the ORFR financial resources </w:t>
      </w:r>
      <w:r w:rsidR="007D1ED1">
        <w:rPr>
          <w:rFonts w:ascii="Times New Roman" w:hAnsi="Times New Roman"/>
          <w:sz w:val="24"/>
          <w:szCs w:val="24"/>
        </w:rPr>
        <w:t>fall below the tolerance limit</w:t>
      </w:r>
      <w:r w:rsidR="00BE1772">
        <w:rPr>
          <w:rFonts w:ascii="Times New Roman" w:hAnsi="Times New Roman"/>
          <w:sz w:val="24"/>
          <w:szCs w:val="24"/>
        </w:rPr>
        <w:t xml:space="preserve">. In this circumstance, </w:t>
      </w:r>
      <w:r w:rsidR="00171295">
        <w:rPr>
          <w:rFonts w:ascii="Times New Roman" w:hAnsi="Times New Roman"/>
          <w:sz w:val="24"/>
          <w:szCs w:val="24"/>
        </w:rPr>
        <w:t xml:space="preserve">an RSE licensee </w:t>
      </w:r>
      <w:r w:rsidR="00BE1772">
        <w:rPr>
          <w:rFonts w:ascii="Times New Roman" w:hAnsi="Times New Roman"/>
          <w:sz w:val="24"/>
          <w:szCs w:val="24"/>
        </w:rPr>
        <w:t xml:space="preserve">is required </w:t>
      </w:r>
      <w:r w:rsidR="007D1ED1">
        <w:rPr>
          <w:rFonts w:ascii="Times New Roman" w:hAnsi="Times New Roman"/>
          <w:sz w:val="24"/>
          <w:szCs w:val="24"/>
        </w:rPr>
        <w:t xml:space="preserve">to implement a replenishment plan </w:t>
      </w:r>
      <w:r w:rsidR="00535A95">
        <w:rPr>
          <w:rFonts w:ascii="Times New Roman" w:hAnsi="Times New Roman"/>
          <w:sz w:val="24"/>
          <w:szCs w:val="24"/>
        </w:rPr>
        <w:t xml:space="preserve">to replenish the ORFR financial resources. </w:t>
      </w:r>
      <w:r w:rsidR="00C301D1">
        <w:rPr>
          <w:rFonts w:ascii="Times New Roman" w:hAnsi="Times New Roman"/>
          <w:sz w:val="24"/>
          <w:szCs w:val="24"/>
        </w:rPr>
        <w:t>APRA may require an RSE licensee to revise its replenishment plan</w:t>
      </w:r>
      <w:r w:rsidR="009E41DC">
        <w:rPr>
          <w:rFonts w:ascii="Times New Roman" w:hAnsi="Times New Roman"/>
          <w:sz w:val="24"/>
          <w:szCs w:val="24"/>
        </w:rPr>
        <w:t>.</w:t>
      </w:r>
    </w:p>
    <w:p w14:paraId="394F2289" w14:textId="30DF6A2F" w:rsidR="004F3D30" w:rsidRPr="00C5092C" w:rsidRDefault="004F3D30" w:rsidP="004F3D30">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Review and audit</w:t>
      </w:r>
    </w:p>
    <w:p w14:paraId="55824E0E" w14:textId="7AF5D611" w:rsidR="00F16EA9" w:rsidRPr="00591060" w:rsidRDefault="004F3D30" w:rsidP="00F16EA9">
      <w:pPr>
        <w:pStyle w:val="List"/>
        <w:tabs>
          <w:tab w:val="clear" w:pos="425"/>
        </w:tabs>
        <w:ind w:firstLine="0"/>
        <w:rPr>
          <w:rFonts w:ascii="Times New Roman" w:hAnsi="Times New Roman"/>
          <w:sz w:val="24"/>
          <w:szCs w:val="24"/>
        </w:rPr>
      </w:pPr>
      <w:r w:rsidRPr="00C5092C">
        <w:rPr>
          <w:rFonts w:ascii="Times New Roman" w:hAnsi="Times New Roman"/>
          <w:sz w:val="24"/>
          <w:szCs w:val="24"/>
        </w:rPr>
        <w:t>Paragraphs</w:t>
      </w:r>
      <w:r>
        <w:rPr>
          <w:rFonts w:ascii="Times New Roman" w:hAnsi="Times New Roman"/>
          <w:sz w:val="24"/>
          <w:szCs w:val="24"/>
        </w:rPr>
        <w:t xml:space="preserve"> </w:t>
      </w:r>
      <w:r w:rsidR="00965A4A" w:rsidRPr="00D83E1A">
        <w:rPr>
          <w:rFonts w:ascii="Times New Roman" w:hAnsi="Times New Roman"/>
          <w:sz w:val="24"/>
          <w:szCs w:val="24"/>
        </w:rPr>
        <w:t>21</w:t>
      </w:r>
      <w:r w:rsidRPr="00D83E1A">
        <w:rPr>
          <w:rFonts w:ascii="Times New Roman" w:hAnsi="Times New Roman"/>
          <w:sz w:val="24"/>
          <w:szCs w:val="24"/>
        </w:rPr>
        <w:t xml:space="preserve"> to </w:t>
      </w:r>
      <w:r w:rsidR="00965A4A" w:rsidRPr="00D83E1A">
        <w:rPr>
          <w:rFonts w:ascii="Times New Roman" w:hAnsi="Times New Roman"/>
          <w:sz w:val="24"/>
          <w:szCs w:val="24"/>
        </w:rPr>
        <w:t>23</w:t>
      </w:r>
      <w:r>
        <w:rPr>
          <w:rFonts w:ascii="Times New Roman" w:hAnsi="Times New Roman"/>
          <w:sz w:val="24"/>
          <w:szCs w:val="24"/>
        </w:rPr>
        <w:t xml:space="preserve"> outline</w:t>
      </w:r>
      <w:r w:rsidR="001632AB">
        <w:rPr>
          <w:rFonts w:ascii="Times New Roman" w:hAnsi="Times New Roman"/>
          <w:sz w:val="24"/>
          <w:szCs w:val="24"/>
        </w:rPr>
        <w:t xml:space="preserve"> requirements for an RSE licensee</w:t>
      </w:r>
      <w:r w:rsidR="002E6C1E">
        <w:rPr>
          <w:rFonts w:ascii="Times New Roman" w:hAnsi="Times New Roman"/>
          <w:sz w:val="24"/>
          <w:szCs w:val="24"/>
        </w:rPr>
        <w:t xml:space="preserve"> to review the appropriateness of its ORFR target amount and tolerance limit </w:t>
      </w:r>
      <w:r w:rsidR="001F06CB">
        <w:rPr>
          <w:rFonts w:ascii="Times New Roman" w:hAnsi="Times New Roman"/>
          <w:sz w:val="24"/>
          <w:szCs w:val="24"/>
        </w:rPr>
        <w:t xml:space="preserve">at least </w:t>
      </w:r>
      <w:proofErr w:type="gramStart"/>
      <w:r w:rsidR="001F06CB">
        <w:rPr>
          <w:rFonts w:ascii="Times New Roman" w:hAnsi="Times New Roman"/>
          <w:sz w:val="24"/>
          <w:szCs w:val="24"/>
        </w:rPr>
        <w:t>annually</w:t>
      </w:r>
      <w:r w:rsidR="00346258">
        <w:rPr>
          <w:rFonts w:ascii="Times New Roman" w:hAnsi="Times New Roman"/>
          <w:sz w:val="24"/>
          <w:szCs w:val="24"/>
        </w:rPr>
        <w:t>,</w:t>
      </w:r>
      <w:r w:rsidR="001F06CB">
        <w:rPr>
          <w:rFonts w:ascii="Times New Roman" w:hAnsi="Times New Roman"/>
          <w:sz w:val="24"/>
          <w:szCs w:val="24"/>
        </w:rPr>
        <w:t xml:space="preserve"> and</w:t>
      </w:r>
      <w:proofErr w:type="gramEnd"/>
      <w:r w:rsidR="001F06CB">
        <w:rPr>
          <w:rFonts w:ascii="Times New Roman" w:hAnsi="Times New Roman"/>
          <w:sz w:val="24"/>
          <w:szCs w:val="24"/>
        </w:rPr>
        <w:t xml:space="preserve"> following a material </w:t>
      </w:r>
      <w:r w:rsidR="00F550AF">
        <w:rPr>
          <w:rFonts w:ascii="Times New Roman" w:hAnsi="Times New Roman"/>
          <w:sz w:val="24"/>
          <w:szCs w:val="24"/>
        </w:rPr>
        <w:t xml:space="preserve">operational risk incident or material change </w:t>
      </w:r>
      <w:r w:rsidR="00465940">
        <w:rPr>
          <w:rFonts w:ascii="Times New Roman" w:hAnsi="Times New Roman"/>
          <w:sz w:val="24"/>
          <w:szCs w:val="24"/>
        </w:rPr>
        <w:t xml:space="preserve">to the RSE licensee’s business operations. </w:t>
      </w:r>
      <w:r w:rsidR="00462162">
        <w:rPr>
          <w:rFonts w:ascii="Times New Roman" w:hAnsi="Times New Roman"/>
          <w:sz w:val="24"/>
          <w:szCs w:val="24"/>
        </w:rPr>
        <w:t xml:space="preserve">An RSE licensee is also required to implement satisfactory internal audit procedures </w:t>
      </w:r>
      <w:r w:rsidR="0013472B">
        <w:rPr>
          <w:rFonts w:ascii="Times New Roman" w:hAnsi="Times New Roman"/>
          <w:sz w:val="24"/>
          <w:szCs w:val="24"/>
        </w:rPr>
        <w:t xml:space="preserve">and external audit arrangements </w:t>
      </w:r>
      <w:r w:rsidR="00672BE3">
        <w:rPr>
          <w:rFonts w:ascii="Times New Roman" w:hAnsi="Times New Roman"/>
          <w:sz w:val="24"/>
          <w:szCs w:val="24"/>
        </w:rPr>
        <w:t xml:space="preserve">to ensure compliance with, and the adequacy and effectiveness of, the ORFR strategy. </w:t>
      </w:r>
      <w:r w:rsidR="007A6E88">
        <w:rPr>
          <w:rFonts w:ascii="Times New Roman" w:hAnsi="Times New Roman"/>
          <w:sz w:val="24"/>
          <w:szCs w:val="24"/>
        </w:rPr>
        <w:t xml:space="preserve">APRA may require the appointment of an </w:t>
      </w:r>
      <w:r w:rsidR="00AB1397">
        <w:rPr>
          <w:rFonts w:ascii="Times New Roman" w:hAnsi="Times New Roman"/>
          <w:sz w:val="24"/>
          <w:szCs w:val="24"/>
        </w:rPr>
        <w:t>external expert to provide an assessment of</w:t>
      </w:r>
      <w:r w:rsidR="005E2B5F">
        <w:rPr>
          <w:rFonts w:ascii="Times New Roman" w:hAnsi="Times New Roman"/>
          <w:sz w:val="24"/>
          <w:szCs w:val="24"/>
        </w:rPr>
        <w:t>, and report on</w:t>
      </w:r>
      <w:r w:rsidR="00DB1544">
        <w:rPr>
          <w:rFonts w:ascii="Times New Roman" w:hAnsi="Times New Roman"/>
          <w:sz w:val="24"/>
          <w:szCs w:val="24"/>
        </w:rPr>
        <w:t xml:space="preserve">, the </w:t>
      </w:r>
      <w:r w:rsidR="00427103">
        <w:rPr>
          <w:rFonts w:ascii="Times New Roman" w:hAnsi="Times New Roman"/>
          <w:sz w:val="24"/>
          <w:szCs w:val="24"/>
        </w:rPr>
        <w:t xml:space="preserve">RSE licensee’s approach to meeting the requirements of SPS 114. </w:t>
      </w:r>
    </w:p>
    <w:p w14:paraId="02F953DE" w14:textId="08E49FDB" w:rsidR="00F16EA9" w:rsidRPr="00C5092C" w:rsidRDefault="002139AA" w:rsidP="00F16EA9">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Notification requirement</w:t>
      </w:r>
    </w:p>
    <w:p w14:paraId="57D9B1AE" w14:textId="5108B006" w:rsidR="00F16EA9" w:rsidRDefault="00F16EA9" w:rsidP="00F16EA9">
      <w:pPr>
        <w:pStyle w:val="List"/>
        <w:tabs>
          <w:tab w:val="clear" w:pos="425"/>
        </w:tabs>
        <w:ind w:firstLine="0"/>
        <w:rPr>
          <w:rFonts w:ascii="Times New Roman" w:hAnsi="Times New Roman"/>
          <w:sz w:val="24"/>
          <w:szCs w:val="24"/>
        </w:rPr>
      </w:pPr>
      <w:r w:rsidRPr="00C5092C">
        <w:rPr>
          <w:rFonts w:ascii="Times New Roman" w:hAnsi="Times New Roman"/>
          <w:sz w:val="24"/>
          <w:szCs w:val="24"/>
        </w:rPr>
        <w:t>Paragraph</w:t>
      </w:r>
      <w:r>
        <w:rPr>
          <w:rFonts w:ascii="Times New Roman" w:hAnsi="Times New Roman"/>
          <w:sz w:val="24"/>
          <w:szCs w:val="24"/>
        </w:rPr>
        <w:t xml:space="preserve"> </w:t>
      </w:r>
      <w:r w:rsidR="00965A4A" w:rsidRPr="006E44A6">
        <w:rPr>
          <w:rFonts w:ascii="Times New Roman" w:hAnsi="Times New Roman"/>
          <w:sz w:val="24"/>
          <w:szCs w:val="24"/>
        </w:rPr>
        <w:t>24</w:t>
      </w:r>
      <w:r>
        <w:rPr>
          <w:rFonts w:ascii="Times New Roman" w:hAnsi="Times New Roman"/>
          <w:sz w:val="24"/>
          <w:szCs w:val="24"/>
        </w:rPr>
        <w:t xml:space="preserve"> </w:t>
      </w:r>
      <w:r w:rsidR="00FA748B">
        <w:rPr>
          <w:rFonts w:ascii="Times New Roman" w:hAnsi="Times New Roman"/>
          <w:sz w:val="24"/>
          <w:szCs w:val="24"/>
        </w:rPr>
        <w:t xml:space="preserve">sets out </w:t>
      </w:r>
      <w:r w:rsidR="00DE75A7">
        <w:rPr>
          <w:rFonts w:ascii="Times New Roman" w:hAnsi="Times New Roman"/>
          <w:sz w:val="24"/>
          <w:szCs w:val="24"/>
        </w:rPr>
        <w:t xml:space="preserve">a </w:t>
      </w:r>
      <w:r>
        <w:rPr>
          <w:rFonts w:ascii="Times New Roman" w:hAnsi="Times New Roman"/>
          <w:sz w:val="24"/>
          <w:szCs w:val="24"/>
        </w:rPr>
        <w:t>requirement</w:t>
      </w:r>
      <w:r w:rsidR="00FA748B">
        <w:rPr>
          <w:rFonts w:ascii="Times New Roman" w:hAnsi="Times New Roman"/>
          <w:sz w:val="24"/>
          <w:szCs w:val="24"/>
        </w:rPr>
        <w:t xml:space="preserve"> for an RSE licensee to notify APRA </w:t>
      </w:r>
      <w:r w:rsidR="00695F94">
        <w:rPr>
          <w:rFonts w:ascii="Times New Roman" w:hAnsi="Times New Roman"/>
          <w:sz w:val="24"/>
          <w:szCs w:val="24"/>
        </w:rPr>
        <w:t xml:space="preserve">prior to making a material change </w:t>
      </w:r>
      <w:r w:rsidR="00B9763D">
        <w:rPr>
          <w:rFonts w:ascii="Times New Roman" w:hAnsi="Times New Roman"/>
          <w:sz w:val="24"/>
          <w:szCs w:val="24"/>
        </w:rPr>
        <w:t xml:space="preserve">to the </w:t>
      </w:r>
      <w:r>
        <w:rPr>
          <w:rFonts w:ascii="Times New Roman" w:hAnsi="Times New Roman"/>
          <w:sz w:val="24"/>
          <w:szCs w:val="24"/>
        </w:rPr>
        <w:t xml:space="preserve">ORFR </w:t>
      </w:r>
      <w:r w:rsidR="00B9763D">
        <w:rPr>
          <w:rFonts w:ascii="Times New Roman" w:hAnsi="Times New Roman"/>
          <w:sz w:val="24"/>
          <w:szCs w:val="24"/>
        </w:rPr>
        <w:t>target amount.</w:t>
      </w:r>
    </w:p>
    <w:p w14:paraId="57D99794" w14:textId="7ED34CEB" w:rsidR="00B9763D" w:rsidRDefault="00B8448C" w:rsidP="00F16EA9">
      <w:pPr>
        <w:pStyle w:val="List"/>
        <w:tabs>
          <w:tab w:val="clear" w:pos="425"/>
        </w:tabs>
        <w:ind w:firstLine="0"/>
        <w:rPr>
          <w:rFonts w:ascii="Times New Roman" w:hAnsi="Times New Roman"/>
          <w:sz w:val="24"/>
          <w:szCs w:val="24"/>
        </w:rPr>
      </w:pPr>
      <w:r>
        <w:rPr>
          <w:rFonts w:ascii="Times New Roman" w:hAnsi="Times New Roman"/>
          <w:sz w:val="24"/>
          <w:szCs w:val="24"/>
        </w:rPr>
        <w:lastRenderedPageBreak/>
        <w:t>Changes have been made to simplify the notification requirements</w:t>
      </w:r>
      <w:r w:rsidR="00543ADA">
        <w:rPr>
          <w:rFonts w:ascii="Times New Roman" w:hAnsi="Times New Roman"/>
          <w:sz w:val="24"/>
          <w:szCs w:val="24"/>
        </w:rPr>
        <w:t xml:space="preserve"> to APRA</w:t>
      </w:r>
      <w:r>
        <w:rPr>
          <w:rFonts w:ascii="Times New Roman" w:hAnsi="Times New Roman"/>
          <w:sz w:val="24"/>
          <w:szCs w:val="24"/>
        </w:rPr>
        <w:t xml:space="preserve">. </w:t>
      </w:r>
      <w:r w:rsidR="007C1FFA">
        <w:rPr>
          <w:rFonts w:ascii="Times New Roman" w:hAnsi="Times New Roman"/>
          <w:sz w:val="24"/>
          <w:szCs w:val="24"/>
        </w:rPr>
        <w:t xml:space="preserve">An RSE licensee is no longer required to notify APRA </w:t>
      </w:r>
      <w:r w:rsidR="005D0DA8">
        <w:rPr>
          <w:rFonts w:ascii="Times New Roman" w:hAnsi="Times New Roman"/>
          <w:sz w:val="24"/>
          <w:szCs w:val="24"/>
        </w:rPr>
        <w:t xml:space="preserve">where the financial resources have fallen below the tolerance limit </w:t>
      </w:r>
      <w:r w:rsidR="002F3772">
        <w:rPr>
          <w:rFonts w:ascii="Times New Roman" w:hAnsi="Times New Roman"/>
          <w:sz w:val="24"/>
          <w:szCs w:val="24"/>
        </w:rPr>
        <w:t xml:space="preserve">or where a need is identified </w:t>
      </w:r>
      <w:r w:rsidR="00D00A41">
        <w:rPr>
          <w:rFonts w:ascii="Times New Roman" w:hAnsi="Times New Roman"/>
          <w:sz w:val="24"/>
          <w:szCs w:val="24"/>
        </w:rPr>
        <w:t xml:space="preserve">for </w:t>
      </w:r>
      <w:r w:rsidR="00A566AB">
        <w:rPr>
          <w:rFonts w:ascii="Times New Roman" w:hAnsi="Times New Roman"/>
          <w:sz w:val="24"/>
          <w:szCs w:val="24"/>
        </w:rPr>
        <w:t>the</w:t>
      </w:r>
      <w:r w:rsidR="00D00A41">
        <w:rPr>
          <w:rFonts w:ascii="Times New Roman" w:hAnsi="Times New Roman"/>
          <w:sz w:val="24"/>
          <w:szCs w:val="24"/>
        </w:rPr>
        <w:t xml:space="preserve"> use of a material amount of the ORFR financial resources. </w:t>
      </w:r>
      <w:r w:rsidR="00057494">
        <w:rPr>
          <w:rFonts w:ascii="Times New Roman" w:hAnsi="Times New Roman"/>
          <w:sz w:val="24"/>
          <w:szCs w:val="24"/>
        </w:rPr>
        <w:t xml:space="preserve">A key purpose for reducing the notification requirements is to reduce regulatory burden </w:t>
      </w:r>
      <w:r w:rsidR="00D32D46">
        <w:rPr>
          <w:rFonts w:ascii="Times New Roman" w:hAnsi="Times New Roman"/>
          <w:sz w:val="24"/>
          <w:szCs w:val="24"/>
        </w:rPr>
        <w:t xml:space="preserve">and encourage the use of the ORFR for its intended purposes. </w:t>
      </w:r>
    </w:p>
    <w:p w14:paraId="0086F92E" w14:textId="4A9B8BE1" w:rsidR="001C2878" w:rsidRPr="003D5B23" w:rsidRDefault="001C2878" w:rsidP="000579F4">
      <w:pPr>
        <w:keepNext/>
        <w:numPr>
          <w:ilvl w:val="0"/>
          <w:numId w:val="11"/>
        </w:numPr>
        <w:spacing w:after="240"/>
        <w:jc w:val="both"/>
        <w:rPr>
          <w:rFonts w:ascii="Times New Roman" w:hAnsi="Times New Roman"/>
          <w:b/>
          <w:i/>
          <w:sz w:val="24"/>
          <w:szCs w:val="24"/>
          <w:highlight w:val="yellow"/>
        </w:rPr>
      </w:pPr>
      <w:r w:rsidRPr="009E00D1">
        <w:rPr>
          <w:rFonts w:ascii="Times New Roman" w:hAnsi="Times New Roman"/>
          <w:b/>
          <w:i/>
          <w:sz w:val="24"/>
          <w:szCs w:val="24"/>
        </w:rPr>
        <w:t>Exercise of discretion by APRA</w:t>
      </w:r>
    </w:p>
    <w:p w14:paraId="5F44BA23" w14:textId="45EC5914" w:rsidR="00B87FEF" w:rsidRPr="00602C94" w:rsidRDefault="00B87FEF" w:rsidP="00B87FEF">
      <w:pPr>
        <w:spacing w:before="100" w:beforeAutospacing="1" w:after="100" w:afterAutospacing="1"/>
        <w:jc w:val="both"/>
        <w:rPr>
          <w:rFonts w:ascii="Times New Roman" w:hAnsi="Times New Roman"/>
          <w:sz w:val="24"/>
          <w:szCs w:val="24"/>
        </w:rPr>
      </w:pPr>
      <w:r w:rsidRPr="00C3285C">
        <w:rPr>
          <w:rFonts w:ascii="Times New Roman" w:hAnsi="Times New Roman"/>
          <w:sz w:val="24"/>
          <w:szCs w:val="24"/>
        </w:rPr>
        <w:t xml:space="preserve">The prudential standards provide for APRA to exercise various discretions. Decisions made by APRA </w:t>
      </w:r>
      <w:r w:rsidR="002B1434" w:rsidRPr="00B3528A">
        <w:rPr>
          <w:rFonts w:ascii="Times New Roman" w:hAnsi="Times New Roman"/>
          <w:sz w:val="24"/>
          <w:szCs w:val="24"/>
        </w:rPr>
        <w:t xml:space="preserve">in </w:t>
      </w:r>
      <w:r w:rsidRPr="00C3285C">
        <w:rPr>
          <w:rFonts w:ascii="Times New Roman" w:hAnsi="Times New Roman"/>
          <w:sz w:val="24"/>
          <w:szCs w:val="24"/>
        </w:rPr>
        <w:t>exercising those discretions are not subject to merits review. This is because these decisions are preliminary decisions that may facilitate or lead to substantive decisions which are subject to merits review.</w:t>
      </w:r>
      <w:r w:rsidRPr="00602C94">
        <w:rPr>
          <w:rFonts w:ascii="Times New Roman" w:hAnsi="Times New Roman"/>
          <w:sz w:val="24"/>
          <w:szCs w:val="24"/>
        </w:rPr>
        <w:t xml:space="preserve"> </w:t>
      </w:r>
    </w:p>
    <w:p w14:paraId="6AA5C8BF" w14:textId="14A19565" w:rsidR="00B87FEF" w:rsidRPr="00602C94" w:rsidRDefault="00B87FEF" w:rsidP="00B87FEF">
      <w:pPr>
        <w:spacing w:before="100" w:beforeAutospacing="1" w:after="100" w:afterAutospacing="1"/>
        <w:jc w:val="both"/>
        <w:rPr>
          <w:rFonts w:ascii="Times New Roman" w:hAnsi="Times New Roman"/>
          <w:sz w:val="24"/>
          <w:szCs w:val="24"/>
        </w:rPr>
      </w:pPr>
      <w:r w:rsidRPr="00602C94">
        <w:rPr>
          <w:rFonts w:ascii="Times New Roman" w:hAnsi="Times New Roman"/>
          <w:sz w:val="24"/>
          <w:szCs w:val="24"/>
        </w:rPr>
        <w:t>Under the Act, it is a condition on all RSE licences that the RSE licensee must comply with the RSE licensee law, which includes prudential standards. However</w:t>
      </w:r>
      <w:r>
        <w:rPr>
          <w:rFonts w:ascii="Times New Roman" w:hAnsi="Times New Roman"/>
          <w:sz w:val="24"/>
          <w:szCs w:val="24"/>
        </w:rPr>
        <w:t>,</w:t>
      </w:r>
      <w:r w:rsidRPr="00602C94">
        <w:rPr>
          <w:rFonts w:ascii="Times New Roman" w:hAnsi="Times New Roman"/>
          <w:sz w:val="24"/>
          <w:szCs w:val="24"/>
        </w:rPr>
        <w:t xml:space="preserve"> there are no penalties prescribed for </w:t>
      </w:r>
      <w:r w:rsidR="00744C5A">
        <w:rPr>
          <w:rFonts w:ascii="Times New Roman" w:hAnsi="Times New Roman"/>
          <w:sz w:val="24"/>
          <w:szCs w:val="24"/>
        </w:rPr>
        <w:t xml:space="preserve">a </w:t>
      </w:r>
      <w:r w:rsidRPr="00602C94">
        <w:rPr>
          <w:rFonts w:ascii="Times New Roman" w:hAnsi="Times New Roman"/>
          <w:sz w:val="24"/>
          <w:szCs w:val="24"/>
        </w:rPr>
        <w:t xml:space="preserve">breach of </w:t>
      </w:r>
      <w:r>
        <w:rPr>
          <w:rFonts w:ascii="Times New Roman" w:hAnsi="Times New Roman"/>
          <w:sz w:val="24"/>
          <w:szCs w:val="24"/>
        </w:rPr>
        <w:t xml:space="preserve">the prudential standards under </w:t>
      </w:r>
      <w:r w:rsidRPr="00602C94">
        <w:rPr>
          <w:rFonts w:ascii="Times New Roman" w:hAnsi="Times New Roman"/>
          <w:sz w:val="24"/>
          <w:szCs w:val="24"/>
        </w:rPr>
        <w:t>the</w:t>
      </w:r>
      <w:r>
        <w:rPr>
          <w:rFonts w:ascii="Times New Roman" w:hAnsi="Times New Roman"/>
          <w:sz w:val="24"/>
          <w:szCs w:val="24"/>
        </w:rPr>
        <w:t xml:space="preserve"> Act. Instead, an RSE licensee’s</w:t>
      </w:r>
      <w:r w:rsidRPr="00602C94">
        <w:rPr>
          <w:rFonts w:ascii="Times New Roman" w:hAnsi="Times New Roman"/>
          <w:sz w:val="24"/>
          <w:szCs w:val="24"/>
        </w:rPr>
        <w:t xml:space="preserve"> breach of </w:t>
      </w:r>
      <w:r>
        <w:rPr>
          <w:rFonts w:ascii="Times New Roman" w:hAnsi="Times New Roman"/>
          <w:sz w:val="24"/>
          <w:szCs w:val="24"/>
        </w:rPr>
        <w:t>an</w:t>
      </w:r>
      <w:r w:rsidRPr="00602C94">
        <w:rPr>
          <w:rFonts w:ascii="Times New Roman" w:hAnsi="Times New Roman"/>
          <w:sz w:val="24"/>
          <w:szCs w:val="24"/>
        </w:rPr>
        <w:t xml:space="preserve"> RSE lice</w:t>
      </w:r>
      <w:r>
        <w:rPr>
          <w:rFonts w:ascii="Times New Roman" w:hAnsi="Times New Roman"/>
          <w:sz w:val="24"/>
          <w:szCs w:val="24"/>
        </w:rPr>
        <w:t>nce condition is grounds for</w:t>
      </w:r>
      <w:r w:rsidRPr="00602C94">
        <w:rPr>
          <w:rFonts w:ascii="Times New Roman" w:hAnsi="Times New Roman"/>
          <w:sz w:val="24"/>
          <w:szCs w:val="24"/>
        </w:rPr>
        <w:t xml:space="preserve"> APRA to make further, subst</w:t>
      </w:r>
      <w:r>
        <w:rPr>
          <w:rFonts w:ascii="Times New Roman" w:hAnsi="Times New Roman"/>
          <w:sz w:val="24"/>
          <w:szCs w:val="24"/>
        </w:rPr>
        <w:t>antive decisions under the Act in relation to the RSE licensee</w:t>
      </w:r>
      <w:r w:rsidRPr="00602C94">
        <w:rPr>
          <w:rFonts w:ascii="Times New Roman" w:hAnsi="Times New Roman"/>
          <w:sz w:val="24"/>
          <w:szCs w:val="24"/>
        </w:rPr>
        <w:t xml:space="preserve">. Those decisions </w:t>
      </w:r>
      <w:proofErr w:type="gramStart"/>
      <w:r w:rsidR="005B621B">
        <w:rPr>
          <w:rFonts w:ascii="Times New Roman" w:hAnsi="Times New Roman"/>
          <w:sz w:val="24"/>
          <w:szCs w:val="24"/>
        </w:rPr>
        <w:t>include</w:t>
      </w:r>
      <w:r w:rsidRPr="00602C94">
        <w:rPr>
          <w:rFonts w:ascii="Times New Roman" w:hAnsi="Times New Roman"/>
          <w:sz w:val="24"/>
          <w:szCs w:val="24"/>
        </w:rPr>
        <w:t>, as the case may be</w:t>
      </w:r>
      <w:proofErr w:type="gramEnd"/>
      <w:r w:rsidRPr="00602C94">
        <w:rPr>
          <w:rFonts w:ascii="Times New Roman" w:hAnsi="Times New Roman"/>
          <w:sz w:val="24"/>
          <w:szCs w:val="24"/>
        </w:rPr>
        <w:t>:</w:t>
      </w:r>
    </w:p>
    <w:p w14:paraId="75134723" w14:textId="77777777" w:rsidR="00B87FEF" w:rsidRPr="00602C94" w:rsidRDefault="00B87FEF" w:rsidP="000579F4">
      <w:pPr>
        <w:spacing w:before="100" w:beforeAutospacing="1" w:after="100" w:afterAutospacing="1"/>
        <w:ind w:left="540" w:hanging="54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to cancel</w:t>
      </w:r>
      <w:r w:rsidRPr="00602C94">
        <w:rPr>
          <w:rFonts w:ascii="Times New Roman" w:hAnsi="Times New Roman"/>
          <w:sz w:val="24"/>
          <w:szCs w:val="24"/>
        </w:rPr>
        <w:t xml:space="preserve"> a licenc</w:t>
      </w:r>
      <w:r>
        <w:rPr>
          <w:rFonts w:ascii="Times New Roman" w:hAnsi="Times New Roman"/>
          <w:sz w:val="24"/>
          <w:szCs w:val="24"/>
        </w:rPr>
        <w:t xml:space="preserve">e to </w:t>
      </w:r>
      <w:r w:rsidRPr="00602C94">
        <w:rPr>
          <w:rFonts w:ascii="Times New Roman" w:hAnsi="Times New Roman"/>
          <w:sz w:val="24"/>
          <w:szCs w:val="24"/>
        </w:rPr>
        <w:t>operate an APRA-regulated superannuation fund (s</w:t>
      </w:r>
      <w:r>
        <w:rPr>
          <w:rFonts w:ascii="Times New Roman" w:hAnsi="Times New Roman"/>
          <w:sz w:val="24"/>
          <w:szCs w:val="24"/>
        </w:rPr>
        <w:t xml:space="preserve">ection </w:t>
      </w:r>
      <w:r w:rsidRPr="00602C94">
        <w:rPr>
          <w:rFonts w:ascii="Times New Roman" w:hAnsi="Times New Roman"/>
          <w:sz w:val="24"/>
          <w:szCs w:val="24"/>
        </w:rPr>
        <w:t xml:space="preserve">29G </w:t>
      </w:r>
      <w:r>
        <w:rPr>
          <w:rFonts w:ascii="Times New Roman" w:hAnsi="Times New Roman"/>
          <w:sz w:val="24"/>
          <w:szCs w:val="24"/>
        </w:rPr>
        <w:t>of the</w:t>
      </w:r>
      <w:r w:rsidRPr="00602C94">
        <w:rPr>
          <w:rFonts w:ascii="Times New Roman" w:hAnsi="Times New Roman"/>
          <w:sz w:val="24"/>
          <w:szCs w:val="24"/>
        </w:rPr>
        <w:t xml:space="preserve"> Act); and</w:t>
      </w:r>
    </w:p>
    <w:p w14:paraId="7F9CFE4D" w14:textId="77777777" w:rsidR="00B87FEF" w:rsidRPr="00602C94" w:rsidRDefault="00B87FEF" w:rsidP="000579F4">
      <w:pPr>
        <w:spacing w:before="100" w:beforeAutospacing="1" w:after="100" w:afterAutospacing="1"/>
        <w:ind w:left="540" w:hanging="540"/>
        <w:jc w:val="both"/>
        <w:rPr>
          <w:rFonts w:ascii="Times New Roman" w:hAnsi="Times New Roman"/>
          <w:sz w:val="24"/>
          <w:szCs w:val="24"/>
        </w:rPr>
      </w:pPr>
      <w:r w:rsidRPr="00602C94">
        <w:rPr>
          <w:rFonts w:ascii="Times New Roman" w:hAnsi="Times New Roman"/>
          <w:sz w:val="24"/>
          <w:szCs w:val="24"/>
        </w:rPr>
        <w:t>(b)</w:t>
      </w:r>
      <w:r>
        <w:tab/>
      </w:r>
      <w:r>
        <w:rPr>
          <w:rFonts w:ascii="Times New Roman" w:hAnsi="Times New Roman"/>
          <w:sz w:val="24"/>
          <w:szCs w:val="24"/>
        </w:rPr>
        <w:t>to issue a direction to the RSE licensee</w:t>
      </w:r>
      <w:r w:rsidRPr="00602C94">
        <w:rPr>
          <w:rFonts w:ascii="Times New Roman" w:hAnsi="Times New Roman"/>
          <w:sz w:val="24"/>
          <w:szCs w:val="24"/>
        </w:rPr>
        <w:t>, including a direction to comply with the whole or part of a prudent</w:t>
      </w:r>
      <w:r>
        <w:rPr>
          <w:rFonts w:ascii="Times New Roman" w:hAnsi="Times New Roman"/>
          <w:sz w:val="24"/>
          <w:szCs w:val="24"/>
        </w:rPr>
        <w:t>ial standard (</w:t>
      </w:r>
      <w:r w:rsidRPr="00602C94">
        <w:rPr>
          <w:rFonts w:ascii="Times New Roman" w:hAnsi="Times New Roman"/>
          <w:sz w:val="24"/>
          <w:szCs w:val="24"/>
        </w:rPr>
        <w:t>s</w:t>
      </w:r>
      <w:r>
        <w:rPr>
          <w:rFonts w:ascii="Times New Roman" w:hAnsi="Times New Roman"/>
          <w:sz w:val="24"/>
          <w:szCs w:val="24"/>
        </w:rPr>
        <w:t>ection 131D of the</w:t>
      </w:r>
      <w:r w:rsidRPr="00602C94">
        <w:rPr>
          <w:rFonts w:ascii="Times New Roman" w:hAnsi="Times New Roman"/>
          <w:sz w:val="24"/>
          <w:szCs w:val="24"/>
        </w:rPr>
        <w:t xml:space="preserve"> Act). </w:t>
      </w:r>
    </w:p>
    <w:p w14:paraId="0D0AF4F0" w14:textId="17A925EC" w:rsidR="00B87FEF" w:rsidRDefault="00B87FEF" w:rsidP="00B87FEF">
      <w:pPr>
        <w:pStyle w:val="List"/>
        <w:tabs>
          <w:tab w:val="clear" w:pos="425"/>
        </w:tabs>
        <w:ind w:left="0" w:firstLine="0"/>
        <w:rPr>
          <w:rFonts w:ascii="Times New Roman" w:hAnsi="Times New Roman" w:cs="Times New Roman"/>
          <w:sz w:val="24"/>
          <w:szCs w:val="24"/>
        </w:rPr>
      </w:pPr>
      <w:r w:rsidRPr="00602C94">
        <w:rPr>
          <w:rFonts w:ascii="Times New Roman" w:hAnsi="Times New Roman"/>
          <w:sz w:val="24"/>
          <w:szCs w:val="24"/>
        </w:rPr>
        <w:t>It is o</w:t>
      </w:r>
      <w:r>
        <w:rPr>
          <w:rFonts w:ascii="Times New Roman" w:hAnsi="Times New Roman"/>
          <w:sz w:val="24"/>
          <w:szCs w:val="24"/>
        </w:rPr>
        <w:t>nly at this stage that an RSE licensee</w:t>
      </w:r>
      <w:r w:rsidRPr="00602C94">
        <w:rPr>
          <w:rFonts w:ascii="Times New Roman" w:hAnsi="Times New Roman"/>
          <w:sz w:val="24"/>
          <w:szCs w:val="24"/>
        </w:rPr>
        <w:t xml:space="preserve"> is exposed to a pe</w:t>
      </w:r>
      <w:r>
        <w:rPr>
          <w:rFonts w:ascii="Times New Roman" w:hAnsi="Times New Roman"/>
          <w:sz w:val="24"/>
          <w:szCs w:val="24"/>
        </w:rPr>
        <w:t>nalty</w:t>
      </w:r>
      <w:r w:rsidRPr="0059540C">
        <w:rPr>
          <w:rFonts w:ascii="Times New Roman" w:hAnsi="Times New Roman"/>
          <w:sz w:val="24"/>
          <w:szCs w:val="24"/>
        </w:rPr>
        <w:t>: loss of licence or</w:t>
      </w:r>
      <w:r>
        <w:rPr>
          <w:rFonts w:ascii="Times New Roman" w:hAnsi="Times New Roman"/>
          <w:sz w:val="24"/>
          <w:szCs w:val="24"/>
        </w:rPr>
        <w:t xml:space="preserve"> 10</w:t>
      </w:r>
      <w:r w:rsidRPr="00602C94">
        <w:rPr>
          <w:rFonts w:ascii="Times New Roman" w:hAnsi="Times New Roman"/>
          <w:sz w:val="24"/>
          <w:szCs w:val="24"/>
        </w:rPr>
        <w:t>0 penalty units each day i</w:t>
      </w:r>
      <w:r>
        <w:rPr>
          <w:rFonts w:ascii="Times New Roman" w:hAnsi="Times New Roman"/>
          <w:sz w:val="24"/>
          <w:szCs w:val="24"/>
        </w:rPr>
        <w:t>f it breaches the direction (</w:t>
      </w:r>
      <w:r w:rsidRPr="00602C94">
        <w:rPr>
          <w:rFonts w:ascii="Times New Roman" w:hAnsi="Times New Roman"/>
          <w:sz w:val="24"/>
          <w:szCs w:val="24"/>
        </w:rPr>
        <w:t>s</w:t>
      </w:r>
      <w:r>
        <w:rPr>
          <w:rFonts w:ascii="Times New Roman" w:hAnsi="Times New Roman"/>
          <w:sz w:val="24"/>
          <w:szCs w:val="24"/>
        </w:rPr>
        <w:t>ection 131DD of the</w:t>
      </w:r>
      <w:r w:rsidRPr="00602C94">
        <w:rPr>
          <w:rFonts w:ascii="Times New Roman" w:hAnsi="Times New Roman"/>
          <w:sz w:val="24"/>
          <w:szCs w:val="24"/>
        </w:rPr>
        <w:t xml:space="preserve"> Act).</w:t>
      </w:r>
      <w:r>
        <w:rPr>
          <w:rStyle w:val="FootnoteReference"/>
          <w:rFonts w:ascii="Times New Roman" w:hAnsi="Times New Roman"/>
          <w:sz w:val="24"/>
          <w:szCs w:val="24"/>
        </w:rPr>
        <w:footnoteReference w:id="2"/>
      </w:r>
      <w:r w:rsidRPr="00602C94">
        <w:rPr>
          <w:rFonts w:ascii="Times New Roman" w:hAnsi="Times New Roman"/>
          <w:sz w:val="24"/>
          <w:szCs w:val="24"/>
        </w:rPr>
        <w:t xml:space="preserve"> The subsequent substantive decisions of APRA to impose a direction are subject to merits review.</w:t>
      </w:r>
    </w:p>
    <w:p w14:paraId="2EC7B0AD" w14:textId="25B7AFEE" w:rsidR="001C2878" w:rsidRPr="00CE5227" w:rsidRDefault="001C2878" w:rsidP="001C2878">
      <w:pPr>
        <w:numPr>
          <w:ilvl w:val="0"/>
          <w:numId w:val="11"/>
        </w:numPr>
        <w:spacing w:after="240"/>
        <w:jc w:val="both"/>
        <w:rPr>
          <w:rFonts w:ascii="Times New Roman" w:hAnsi="Times New Roman"/>
          <w:b/>
          <w:i/>
          <w:sz w:val="24"/>
          <w:szCs w:val="24"/>
        </w:rPr>
      </w:pPr>
      <w:r w:rsidRPr="00CE5227">
        <w:rPr>
          <w:rFonts w:ascii="Times New Roman" w:hAnsi="Times New Roman"/>
          <w:b/>
          <w:i/>
          <w:sz w:val="24"/>
          <w:szCs w:val="24"/>
        </w:rPr>
        <w:t>Adjust and exclude discretion</w:t>
      </w:r>
    </w:p>
    <w:p w14:paraId="6B116E54" w14:textId="208405C5" w:rsidR="00C51230" w:rsidRDefault="00C51230" w:rsidP="00784D16">
      <w:pPr>
        <w:jc w:val="both"/>
        <w:rPr>
          <w:rFonts w:ascii="Times New Roman" w:hAnsi="Times New Roman"/>
          <w:sz w:val="24"/>
          <w:szCs w:val="24"/>
        </w:rPr>
      </w:pPr>
      <w:r>
        <w:rPr>
          <w:rFonts w:ascii="Times New Roman" w:hAnsi="Times New Roman"/>
          <w:sz w:val="24"/>
          <w:szCs w:val="24"/>
        </w:rPr>
        <w:t xml:space="preserve">SPS </w:t>
      </w:r>
      <w:r w:rsidR="009F32BF">
        <w:rPr>
          <w:rFonts w:ascii="Times New Roman" w:hAnsi="Times New Roman"/>
          <w:sz w:val="24"/>
          <w:szCs w:val="24"/>
        </w:rPr>
        <w:t>114</w:t>
      </w:r>
      <w:r w:rsidRPr="00B65FAD">
        <w:rPr>
          <w:rFonts w:ascii="Times New Roman" w:hAnsi="Times New Roman"/>
          <w:sz w:val="24"/>
          <w:szCs w:val="24"/>
        </w:rPr>
        <w:t xml:space="preserve"> gives APRA the discretion to adjust or exclude a provision of the prudential standard (paragraph </w:t>
      </w:r>
      <w:r w:rsidRPr="005B4229">
        <w:rPr>
          <w:rFonts w:ascii="Times New Roman" w:hAnsi="Times New Roman"/>
          <w:sz w:val="24"/>
          <w:szCs w:val="24"/>
        </w:rPr>
        <w:t>6</w:t>
      </w:r>
      <w:r w:rsidRPr="00B65FAD">
        <w:rPr>
          <w:rFonts w:ascii="Times New Roman" w:hAnsi="Times New Roman"/>
          <w:sz w:val="24"/>
          <w:szCs w:val="24"/>
        </w:rPr>
        <w:t xml:space="preserve">). The power to create such a </w:t>
      </w:r>
      <w:r w:rsidRPr="00B65FAD" w:rsidDel="0046007D">
        <w:rPr>
          <w:rFonts w:ascii="Times New Roman" w:hAnsi="Times New Roman"/>
          <w:sz w:val="24"/>
          <w:szCs w:val="24"/>
        </w:rPr>
        <w:t>discretion</w:t>
      </w:r>
      <w:r w:rsidRPr="00B65FAD">
        <w:rPr>
          <w:rFonts w:ascii="Times New Roman" w:hAnsi="Times New Roman"/>
          <w:sz w:val="24"/>
          <w:szCs w:val="24"/>
        </w:rPr>
        <w:t xml:space="preserve"> is provided for under subsection </w:t>
      </w:r>
      <w:r>
        <w:rPr>
          <w:rFonts w:ascii="Times New Roman" w:hAnsi="Times New Roman"/>
          <w:sz w:val="24"/>
          <w:szCs w:val="24"/>
        </w:rPr>
        <w:t>34C(5)</w:t>
      </w:r>
      <w:r w:rsidRPr="00B65FAD">
        <w:rPr>
          <w:rFonts w:ascii="Times New Roman" w:hAnsi="Times New Roman"/>
          <w:sz w:val="24"/>
          <w:szCs w:val="24"/>
        </w:rPr>
        <w:t xml:space="preserve"> of the Act. </w:t>
      </w:r>
      <w:r w:rsidR="63DEEC82" w:rsidRPr="37604B2D">
        <w:rPr>
          <w:rFonts w:ascii="Times New Roman" w:hAnsi="Times New Roman"/>
          <w:sz w:val="24"/>
          <w:szCs w:val="24"/>
        </w:rPr>
        <w:t>APRA discretion</w:t>
      </w:r>
      <w:r w:rsidR="78D53F4E" w:rsidRPr="37604B2D">
        <w:rPr>
          <w:rFonts w:ascii="Times New Roman" w:hAnsi="Times New Roman"/>
          <w:sz w:val="24"/>
          <w:szCs w:val="24"/>
        </w:rPr>
        <w:t xml:space="preserve"> must be exercised in writing</w:t>
      </w:r>
      <w:r w:rsidR="3C32BBD6" w:rsidRPr="37604B2D">
        <w:rPr>
          <w:rFonts w:ascii="Times New Roman" w:hAnsi="Times New Roman"/>
          <w:sz w:val="24"/>
          <w:szCs w:val="24"/>
        </w:rPr>
        <w:t xml:space="preserve">. </w:t>
      </w:r>
    </w:p>
    <w:p w14:paraId="2B9B38FF" w14:textId="77777777" w:rsidR="00C51230" w:rsidRPr="00DD3423" w:rsidRDefault="00C51230" w:rsidP="00784D16">
      <w:pPr>
        <w:jc w:val="both"/>
        <w:rPr>
          <w:rFonts w:ascii="Times New Roman" w:hAnsi="Times New Roman"/>
          <w:i/>
          <w:sz w:val="24"/>
          <w:szCs w:val="24"/>
          <w:highlight w:val="yellow"/>
        </w:rPr>
      </w:pPr>
    </w:p>
    <w:p w14:paraId="16C276EB" w14:textId="20B53394" w:rsidR="00C51230" w:rsidRDefault="00C51230" w:rsidP="00784D16">
      <w:pPr>
        <w:jc w:val="both"/>
        <w:rPr>
          <w:rFonts w:ascii="Times New Roman" w:hAnsi="Times New Roman"/>
          <w:sz w:val="24"/>
          <w:szCs w:val="24"/>
        </w:rPr>
      </w:pPr>
      <w:r w:rsidRPr="0018608E">
        <w:rPr>
          <w:rFonts w:ascii="Times New Roman" w:hAnsi="Times New Roman"/>
          <w:sz w:val="24"/>
          <w:szCs w:val="24"/>
        </w:rPr>
        <w:t xml:space="preserve">APRA may exercise this power when it is satisfied that the adjustment or exclusion of a specific requirement for one or more specified </w:t>
      </w:r>
      <w:r>
        <w:rPr>
          <w:rFonts w:ascii="Times New Roman" w:hAnsi="Times New Roman"/>
          <w:sz w:val="24"/>
          <w:szCs w:val="24"/>
        </w:rPr>
        <w:t>RSE licensees</w:t>
      </w:r>
      <w:r w:rsidRPr="0018608E">
        <w:rPr>
          <w:rFonts w:ascii="Times New Roman" w:hAnsi="Times New Roman"/>
          <w:sz w:val="24"/>
          <w:szCs w:val="24"/>
        </w:rPr>
        <w:t xml:space="preserve"> will better support APRA in meeting its objectives. For example, the adjustment or exclusion may be necessary to obtain a better prudential outcome than would be the case if the prudential requirement were applied unaltered to a particular </w:t>
      </w:r>
      <w:r>
        <w:rPr>
          <w:rFonts w:ascii="Times New Roman" w:hAnsi="Times New Roman"/>
          <w:sz w:val="24"/>
          <w:szCs w:val="24"/>
        </w:rPr>
        <w:t>RSE licensee</w:t>
      </w:r>
      <w:r w:rsidRPr="0018608E">
        <w:rPr>
          <w:rFonts w:ascii="Times New Roman" w:hAnsi="Times New Roman"/>
          <w:sz w:val="24"/>
          <w:szCs w:val="24"/>
        </w:rPr>
        <w:t xml:space="preserve">. A tailored approach would give APRA comfort that the prudential requirements apply appropriately to protect the interests of </w:t>
      </w:r>
      <w:r w:rsidR="00744C5A">
        <w:rPr>
          <w:rFonts w:ascii="Times New Roman" w:hAnsi="Times New Roman"/>
          <w:sz w:val="24"/>
          <w:szCs w:val="24"/>
        </w:rPr>
        <w:t>beneficiaries</w:t>
      </w:r>
      <w:r w:rsidRPr="0018608E">
        <w:rPr>
          <w:rFonts w:ascii="Times New Roman" w:hAnsi="Times New Roman"/>
          <w:sz w:val="24"/>
          <w:szCs w:val="24"/>
        </w:rPr>
        <w:t xml:space="preserve">. APRA will also </w:t>
      </w:r>
      <w:proofErr w:type="gramStart"/>
      <w:r w:rsidRPr="0018608E">
        <w:rPr>
          <w:rFonts w:ascii="Times New Roman" w:hAnsi="Times New Roman"/>
          <w:sz w:val="24"/>
          <w:szCs w:val="24"/>
        </w:rPr>
        <w:t>take into account</w:t>
      </w:r>
      <w:proofErr w:type="gramEnd"/>
      <w:r w:rsidRPr="0018608E">
        <w:rPr>
          <w:rFonts w:ascii="Times New Roman" w:hAnsi="Times New Roman"/>
          <w:sz w:val="24"/>
          <w:szCs w:val="24"/>
        </w:rPr>
        <w:t xml:space="preserve"> other considerations, such as efficiency, competition, contestability, competitive neutrality and regulatory burden, including comparisons with the entity’s peer group.</w:t>
      </w:r>
    </w:p>
    <w:p w14:paraId="7121A729" w14:textId="77777777" w:rsidR="00C51230" w:rsidRPr="0018608E" w:rsidRDefault="00C51230" w:rsidP="00784D16">
      <w:pPr>
        <w:jc w:val="both"/>
        <w:rPr>
          <w:rFonts w:ascii="Times New Roman" w:hAnsi="Times New Roman"/>
          <w:sz w:val="24"/>
          <w:szCs w:val="24"/>
        </w:rPr>
      </w:pPr>
    </w:p>
    <w:p w14:paraId="3D58C626" w14:textId="77777777" w:rsidR="00C51230" w:rsidRDefault="00C51230" w:rsidP="00784D16">
      <w:pPr>
        <w:jc w:val="both"/>
        <w:rPr>
          <w:rFonts w:ascii="Times New Roman" w:hAnsi="Times New Roman"/>
          <w:sz w:val="24"/>
          <w:szCs w:val="24"/>
        </w:rPr>
      </w:pPr>
      <w:r w:rsidRPr="0018608E">
        <w:rPr>
          <w:rFonts w:ascii="Times New Roman" w:hAnsi="Times New Roman"/>
          <w:sz w:val="24"/>
          <w:szCs w:val="24"/>
        </w:rPr>
        <w:lastRenderedPageBreak/>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4B579044" w14:textId="77777777" w:rsidR="00CC799E" w:rsidRDefault="00CC799E" w:rsidP="00D85342">
      <w:pPr>
        <w:keepNext/>
        <w:jc w:val="both"/>
        <w:rPr>
          <w:rFonts w:ascii="Times New Roman" w:hAnsi="Times New Roman"/>
          <w:b/>
          <w:i/>
          <w:sz w:val="24"/>
          <w:szCs w:val="24"/>
        </w:rPr>
      </w:pPr>
    </w:p>
    <w:p w14:paraId="0879CB58" w14:textId="748271E0" w:rsidR="001C2878" w:rsidRPr="00B87FEF" w:rsidRDefault="000D6705" w:rsidP="00D85342">
      <w:pPr>
        <w:keepNext/>
        <w:jc w:val="both"/>
        <w:rPr>
          <w:rFonts w:ascii="Times New Roman" w:hAnsi="Times New Roman"/>
          <w:b/>
          <w:i/>
          <w:sz w:val="24"/>
          <w:szCs w:val="24"/>
        </w:rPr>
      </w:pPr>
      <w:r>
        <w:rPr>
          <w:rFonts w:ascii="Times New Roman" w:hAnsi="Times New Roman"/>
          <w:b/>
          <w:i/>
          <w:sz w:val="24"/>
          <w:szCs w:val="24"/>
        </w:rPr>
        <w:t>Exemption from sunsetting and disallowanc</w:t>
      </w:r>
      <w:r w:rsidR="001C2878">
        <w:rPr>
          <w:rFonts w:ascii="Times New Roman" w:hAnsi="Times New Roman"/>
          <w:b/>
          <w:i/>
          <w:sz w:val="24"/>
          <w:szCs w:val="24"/>
        </w:rPr>
        <w:t>e</w:t>
      </w:r>
    </w:p>
    <w:p w14:paraId="200DE14D" w14:textId="25ADA628" w:rsidR="001D29FA" w:rsidRDefault="00B87FEF" w:rsidP="00D85342">
      <w:pPr>
        <w:keepNext/>
        <w:spacing w:before="100" w:beforeAutospacing="1" w:after="100" w:afterAutospacing="1"/>
        <w:jc w:val="both"/>
        <w:rPr>
          <w:rFonts w:ascii="Times New Roman" w:hAnsi="Times New Roman"/>
          <w:sz w:val="24"/>
          <w:szCs w:val="24"/>
        </w:rPr>
      </w:pPr>
      <w:r w:rsidRPr="000B1E24">
        <w:rPr>
          <w:rFonts w:ascii="Times New Roman" w:hAnsi="Times New Roman"/>
          <w:sz w:val="24"/>
          <w:szCs w:val="24"/>
        </w:rPr>
        <w:t xml:space="preserve">SPS </w:t>
      </w:r>
      <w:r w:rsidR="00ED10D8" w:rsidRPr="000B1E24">
        <w:rPr>
          <w:rFonts w:ascii="Times New Roman" w:hAnsi="Times New Roman"/>
          <w:sz w:val="24"/>
          <w:szCs w:val="24"/>
        </w:rPr>
        <w:t>114</w:t>
      </w:r>
      <w:r w:rsidRPr="000B1E24">
        <w:rPr>
          <w:rFonts w:ascii="Times New Roman" w:hAnsi="Times New Roman"/>
          <w:sz w:val="24"/>
          <w:szCs w:val="24"/>
        </w:rPr>
        <w:t xml:space="preserve"> </w:t>
      </w:r>
      <w:r w:rsidR="000D6705" w:rsidRPr="000B1E24">
        <w:rPr>
          <w:rFonts w:ascii="Times New Roman" w:hAnsi="Times New Roman"/>
          <w:sz w:val="24"/>
          <w:szCs w:val="24"/>
        </w:rPr>
        <w:t xml:space="preserve">is exempt from disallowance in accordance with </w:t>
      </w:r>
      <w:r w:rsidR="00F2529A">
        <w:rPr>
          <w:rFonts w:ascii="Times New Roman" w:hAnsi="Times New Roman"/>
          <w:sz w:val="24"/>
          <w:szCs w:val="24"/>
        </w:rPr>
        <w:t>paragraph</w:t>
      </w:r>
      <w:r w:rsidR="000D6705" w:rsidRPr="000B1E24">
        <w:rPr>
          <w:rFonts w:ascii="Times New Roman" w:hAnsi="Times New Roman"/>
          <w:sz w:val="24"/>
          <w:szCs w:val="24"/>
        </w:rPr>
        <w:t xml:space="preserve"> 44(2)(b) of the </w:t>
      </w:r>
      <w:r w:rsidR="000D6705" w:rsidRPr="000B1E24">
        <w:rPr>
          <w:rFonts w:ascii="Times New Roman" w:hAnsi="Times New Roman"/>
          <w:i/>
          <w:sz w:val="24"/>
          <w:szCs w:val="24"/>
        </w:rPr>
        <w:t>Legislation Act 2003</w:t>
      </w:r>
      <w:r w:rsidR="000D6705" w:rsidRPr="000B1E24">
        <w:rPr>
          <w:rFonts w:ascii="Times New Roman" w:hAnsi="Times New Roman"/>
          <w:sz w:val="24"/>
          <w:szCs w:val="24"/>
        </w:rPr>
        <w:t xml:space="preserve"> (Legislation Act) and regulation 9 of the </w:t>
      </w:r>
      <w:r w:rsidR="000D6705" w:rsidRPr="000B1E24">
        <w:rPr>
          <w:rFonts w:ascii="Times New Roman" w:hAnsi="Times New Roman"/>
          <w:i/>
          <w:sz w:val="24"/>
          <w:szCs w:val="24"/>
        </w:rPr>
        <w:t>Legislation (Exemptions and Other Matters) Regulations 2015</w:t>
      </w:r>
      <w:r w:rsidR="000D6705" w:rsidRPr="000B1E24">
        <w:rPr>
          <w:rFonts w:ascii="Times New Roman" w:hAnsi="Times New Roman"/>
          <w:sz w:val="24"/>
          <w:szCs w:val="24"/>
        </w:rPr>
        <w:t xml:space="preserve"> (Legislation Regulations) as SPS </w:t>
      </w:r>
      <w:r w:rsidR="00A422A9" w:rsidRPr="000B1E24">
        <w:rPr>
          <w:rFonts w:ascii="Times New Roman" w:hAnsi="Times New Roman"/>
          <w:sz w:val="24"/>
          <w:szCs w:val="24"/>
        </w:rPr>
        <w:t>114</w:t>
      </w:r>
      <w:r w:rsidR="000D6705" w:rsidRPr="000B1E24">
        <w:rPr>
          <w:rFonts w:ascii="Times New Roman" w:hAnsi="Times New Roman"/>
          <w:sz w:val="24"/>
          <w:szCs w:val="24"/>
        </w:rPr>
        <w:t xml:space="preserve"> is an ‘instrument (other than a regulation) relating to superannuation</w:t>
      </w:r>
      <w:r w:rsidR="007573D2" w:rsidRPr="000B1E24">
        <w:rPr>
          <w:rFonts w:ascii="Times New Roman" w:hAnsi="Times New Roman"/>
          <w:sz w:val="24"/>
          <w:szCs w:val="24"/>
        </w:rPr>
        <w:t>’</w:t>
      </w:r>
      <w:r w:rsidR="007573D2">
        <w:rPr>
          <w:rFonts w:ascii="Times New Roman" w:hAnsi="Times New Roman"/>
          <w:sz w:val="24"/>
          <w:szCs w:val="24"/>
        </w:rPr>
        <w:t>.</w:t>
      </w:r>
      <w:r w:rsidR="007573D2">
        <w:rPr>
          <w:rStyle w:val="FootnoteReference"/>
          <w:rFonts w:ascii="Times New Roman" w:hAnsi="Times New Roman"/>
          <w:sz w:val="24"/>
          <w:szCs w:val="24"/>
        </w:rPr>
        <w:footnoteReference w:id="3"/>
      </w:r>
    </w:p>
    <w:p w14:paraId="67D79FBE" w14:textId="2E487B12" w:rsidR="008C0570" w:rsidRDefault="007573D2" w:rsidP="007573D2">
      <w:pPr>
        <w:spacing w:before="100" w:beforeAutospacing="1" w:after="100" w:afterAutospacing="1"/>
        <w:jc w:val="both"/>
        <w:rPr>
          <w:rFonts w:ascii="Times New Roman" w:hAnsi="Times New Roman"/>
          <w:sz w:val="24"/>
          <w:szCs w:val="24"/>
        </w:rPr>
      </w:pPr>
      <w:r w:rsidRPr="00D67A55">
        <w:rPr>
          <w:rFonts w:ascii="Times New Roman" w:hAnsi="Times New Roman"/>
          <w:sz w:val="24"/>
          <w:szCs w:val="24"/>
        </w:rPr>
        <w:t xml:space="preserve">SPS </w:t>
      </w:r>
      <w:r w:rsidR="00A422A9" w:rsidRPr="00D67A55">
        <w:rPr>
          <w:rFonts w:ascii="Times New Roman" w:hAnsi="Times New Roman"/>
          <w:sz w:val="24"/>
          <w:szCs w:val="24"/>
        </w:rPr>
        <w:t>114</w:t>
      </w:r>
      <w:r w:rsidRPr="00D67A55">
        <w:rPr>
          <w:rFonts w:ascii="Times New Roman" w:hAnsi="Times New Roman"/>
          <w:sz w:val="24"/>
          <w:szCs w:val="24"/>
        </w:rPr>
        <w:t xml:space="preserve"> is exempt from sunsetting in accordance with </w:t>
      </w:r>
      <w:r w:rsidR="005E5E6B" w:rsidRPr="00D67A55">
        <w:rPr>
          <w:rFonts w:ascii="Times New Roman" w:hAnsi="Times New Roman"/>
          <w:sz w:val="24"/>
          <w:szCs w:val="24"/>
        </w:rPr>
        <w:t>paragraph</w:t>
      </w:r>
      <w:r w:rsidRPr="00D67A55">
        <w:rPr>
          <w:rFonts w:ascii="Times New Roman" w:hAnsi="Times New Roman"/>
          <w:sz w:val="24"/>
          <w:szCs w:val="24"/>
        </w:rPr>
        <w:t xml:space="preserve"> 54(2)(b) of the Legislation Act and regulation 11 of the Legislation Regulations as </w:t>
      </w:r>
      <w:r w:rsidR="008A1DDE" w:rsidRPr="00D67A55">
        <w:rPr>
          <w:rFonts w:ascii="Times New Roman" w:hAnsi="Times New Roman"/>
          <w:sz w:val="24"/>
          <w:szCs w:val="24"/>
        </w:rPr>
        <w:t>SPS 114</w:t>
      </w:r>
      <w:r w:rsidRPr="00D67A55">
        <w:rPr>
          <w:rFonts w:ascii="Times New Roman" w:hAnsi="Times New Roman"/>
          <w:sz w:val="24"/>
          <w:szCs w:val="24"/>
        </w:rPr>
        <w:t xml:space="preserve"> is ‘an instrument (other than a regulation) relating to superannuation’</w:t>
      </w:r>
      <w:r>
        <w:rPr>
          <w:rFonts w:ascii="Times New Roman" w:hAnsi="Times New Roman"/>
          <w:sz w:val="24"/>
          <w:szCs w:val="24"/>
        </w:rPr>
        <w:t>.</w:t>
      </w:r>
      <w:r>
        <w:rPr>
          <w:rStyle w:val="FootnoteReference"/>
          <w:rFonts w:ascii="Times New Roman" w:hAnsi="Times New Roman"/>
          <w:sz w:val="24"/>
          <w:szCs w:val="24"/>
        </w:rPr>
        <w:footnoteReference w:id="4"/>
      </w:r>
    </w:p>
    <w:p w14:paraId="7AEDCD30" w14:textId="325A43DE" w:rsidR="008C0570" w:rsidRDefault="00925E7C" w:rsidP="00925E7C">
      <w:pPr>
        <w:spacing w:before="100" w:beforeAutospacing="1" w:after="100" w:afterAutospacing="1"/>
        <w:jc w:val="both"/>
        <w:rPr>
          <w:rFonts w:ascii="Times New Roman" w:hAnsi="Times New Roman"/>
          <w:sz w:val="24"/>
          <w:szCs w:val="24"/>
        </w:rPr>
      </w:pPr>
      <w:r w:rsidRPr="00925E7C">
        <w:rPr>
          <w:rFonts w:ascii="Times New Roman" w:hAnsi="Times New Roman"/>
          <w:sz w:val="24"/>
          <w:szCs w:val="24"/>
        </w:rPr>
        <w:t xml:space="preserve">As SPS </w:t>
      </w:r>
      <w:r w:rsidR="00A422A9">
        <w:rPr>
          <w:rFonts w:ascii="Times New Roman" w:hAnsi="Times New Roman"/>
          <w:sz w:val="24"/>
          <w:szCs w:val="24"/>
        </w:rPr>
        <w:t>114</w:t>
      </w:r>
      <w:r w:rsidRPr="00925E7C">
        <w:rPr>
          <w:rFonts w:ascii="Times New Roman" w:hAnsi="Times New Roman"/>
          <w:sz w:val="24"/>
          <w:szCs w:val="24"/>
        </w:rPr>
        <w:t xml:space="preserve"> falls within the above-mentioned exemptions to disallowance and sunsetting, APRA does not have discretion to subject SPS </w:t>
      </w:r>
      <w:r w:rsidR="00C26549">
        <w:rPr>
          <w:rFonts w:ascii="Times New Roman" w:hAnsi="Times New Roman"/>
          <w:sz w:val="24"/>
          <w:szCs w:val="24"/>
        </w:rPr>
        <w:t>114</w:t>
      </w:r>
      <w:r w:rsidRPr="00925E7C">
        <w:rPr>
          <w:rFonts w:ascii="Times New Roman" w:hAnsi="Times New Roman"/>
          <w:sz w:val="24"/>
          <w:szCs w:val="24"/>
        </w:rPr>
        <w:t xml:space="preserve"> to disallowance and sunsetting. To mitigate against any adverse impact arising from the above-mentioned exemptions from disallowance and sunsetting, APRA undertook consultation on SPS</w:t>
      </w:r>
      <w:r w:rsidR="00C84669">
        <w:rPr>
          <w:rFonts w:ascii="Times New Roman" w:hAnsi="Times New Roman"/>
          <w:sz w:val="24"/>
          <w:szCs w:val="24"/>
        </w:rPr>
        <w:t> </w:t>
      </w:r>
      <w:r w:rsidR="00C26549">
        <w:rPr>
          <w:rFonts w:ascii="Times New Roman" w:hAnsi="Times New Roman"/>
          <w:sz w:val="24"/>
          <w:szCs w:val="24"/>
        </w:rPr>
        <w:t>114</w:t>
      </w:r>
      <w:r w:rsidRPr="00925E7C">
        <w:rPr>
          <w:rFonts w:ascii="Times New Roman" w:hAnsi="Times New Roman"/>
          <w:sz w:val="24"/>
          <w:szCs w:val="24"/>
        </w:rPr>
        <w:t xml:space="preserve"> (refer to </w:t>
      </w:r>
      <w:r w:rsidR="0033429A" w:rsidRPr="00B51638">
        <w:rPr>
          <w:rFonts w:ascii="Times New Roman" w:hAnsi="Times New Roman"/>
          <w:sz w:val="24"/>
          <w:szCs w:val="24"/>
        </w:rPr>
        <w:t>section</w:t>
      </w:r>
      <w:r w:rsidRPr="00B51638">
        <w:rPr>
          <w:rFonts w:ascii="Times New Roman" w:hAnsi="Times New Roman"/>
          <w:sz w:val="24"/>
          <w:szCs w:val="24"/>
        </w:rPr>
        <w:t xml:space="preserve"> 3</w:t>
      </w:r>
      <w:r w:rsidRPr="00925E7C">
        <w:rPr>
          <w:rFonts w:ascii="Times New Roman" w:hAnsi="Times New Roman"/>
          <w:sz w:val="24"/>
          <w:szCs w:val="24"/>
        </w:rPr>
        <w:t xml:space="preserve"> </w:t>
      </w:r>
      <w:r w:rsidR="0033429A">
        <w:rPr>
          <w:rFonts w:ascii="Times New Roman" w:hAnsi="Times New Roman"/>
          <w:sz w:val="24"/>
          <w:szCs w:val="24"/>
        </w:rPr>
        <w:t xml:space="preserve">below </w:t>
      </w:r>
      <w:r w:rsidRPr="00925E7C">
        <w:rPr>
          <w:rFonts w:ascii="Times New Roman" w:hAnsi="Times New Roman"/>
          <w:sz w:val="24"/>
          <w:szCs w:val="24"/>
        </w:rPr>
        <w:t xml:space="preserve">for further details) and will continue to conduct regular reviews of SPS </w:t>
      </w:r>
      <w:r w:rsidR="00C26549">
        <w:rPr>
          <w:rFonts w:ascii="Times New Roman" w:hAnsi="Times New Roman"/>
          <w:sz w:val="24"/>
          <w:szCs w:val="24"/>
        </w:rPr>
        <w:t>114</w:t>
      </w:r>
      <w:r>
        <w:rPr>
          <w:rFonts w:ascii="Times New Roman" w:hAnsi="Times New Roman"/>
          <w:sz w:val="24"/>
          <w:szCs w:val="24"/>
        </w:rPr>
        <w:t>.</w:t>
      </w:r>
    </w:p>
    <w:p w14:paraId="6F0FE777" w14:textId="12E4F2AA" w:rsidR="000D6705" w:rsidRPr="00B87FEF" w:rsidRDefault="000D6705" w:rsidP="000D6705">
      <w:pPr>
        <w:jc w:val="both"/>
        <w:rPr>
          <w:rFonts w:ascii="Times New Roman" w:hAnsi="Times New Roman"/>
          <w:b/>
          <w:i/>
          <w:sz w:val="24"/>
          <w:szCs w:val="24"/>
        </w:rPr>
      </w:pPr>
      <w:r>
        <w:rPr>
          <w:rFonts w:ascii="Times New Roman" w:hAnsi="Times New Roman"/>
          <w:b/>
          <w:i/>
          <w:sz w:val="24"/>
          <w:szCs w:val="24"/>
        </w:rPr>
        <w:t>Incorporation by reference</w:t>
      </w:r>
    </w:p>
    <w:p w14:paraId="220F7B4B" w14:textId="2B39FFBA" w:rsidR="002406ED" w:rsidRDefault="00F25471" w:rsidP="00B87FEF">
      <w:pPr>
        <w:spacing w:before="100" w:beforeAutospacing="1" w:after="100" w:afterAutospacing="1"/>
        <w:jc w:val="both"/>
        <w:rPr>
          <w:rFonts w:ascii="Times New Roman" w:hAnsi="Times New Roman"/>
          <w:sz w:val="24"/>
          <w:szCs w:val="24"/>
        </w:rPr>
      </w:pPr>
      <w:r w:rsidRPr="00F25471">
        <w:rPr>
          <w:rFonts w:ascii="Times New Roman" w:hAnsi="Times New Roman"/>
          <w:sz w:val="24"/>
          <w:szCs w:val="24"/>
        </w:rPr>
        <w:t xml:space="preserve">Under paragraph 14(1)(a) of the Legislation Act, </w:t>
      </w:r>
      <w:r>
        <w:rPr>
          <w:rFonts w:ascii="Times New Roman" w:hAnsi="Times New Roman"/>
          <w:sz w:val="24"/>
          <w:szCs w:val="24"/>
        </w:rPr>
        <w:t>w</w:t>
      </w:r>
      <w:r w:rsidR="00C20087" w:rsidRPr="00C20087">
        <w:rPr>
          <w:rFonts w:ascii="Times New Roman" w:hAnsi="Times New Roman"/>
          <w:sz w:val="24"/>
          <w:szCs w:val="24"/>
        </w:rPr>
        <w:t xml:space="preserve">here SPS </w:t>
      </w:r>
      <w:r w:rsidR="0027625E">
        <w:rPr>
          <w:rFonts w:ascii="Times New Roman" w:hAnsi="Times New Roman"/>
          <w:sz w:val="24"/>
          <w:szCs w:val="24"/>
        </w:rPr>
        <w:t>114</w:t>
      </w:r>
      <w:r w:rsidR="00C20087" w:rsidRPr="00C20087">
        <w:rPr>
          <w:rFonts w:ascii="Times New Roman" w:hAnsi="Times New Roman"/>
          <w:sz w:val="24"/>
          <w:szCs w:val="24"/>
        </w:rPr>
        <w:t xml:space="preserve"> refers to provisions in </w:t>
      </w:r>
      <w:r w:rsidR="007E60F0">
        <w:rPr>
          <w:rFonts w:ascii="Times New Roman" w:hAnsi="Times New Roman"/>
          <w:sz w:val="24"/>
          <w:szCs w:val="24"/>
        </w:rPr>
        <w:t xml:space="preserve">primary legislation or </w:t>
      </w:r>
      <w:r w:rsidR="00A17097">
        <w:rPr>
          <w:rFonts w:ascii="Times New Roman" w:hAnsi="Times New Roman"/>
          <w:sz w:val="24"/>
          <w:szCs w:val="24"/>
        </w:rPr>
        <w:t xml:space="preserve">a </w:t>
      </w:r>
      <w:r w:rsidR="00D82327">
        <w:rPr>
          <w:rFonts w:ascii="Times New Roman" w:hAnsi="Times New Roman"/>
          <w:sz w:val="24"/>
          <w:szCs w:val="24"/>
        </w:rPr>
        <w:t xml:space="preserve">disallowable legislative </w:t>
      </w:r>
      <w:r w:rsidR="00A17097">
        <w:rPr>
          <w:rFonts w:ascii="Times New Roman" w:hAnsi="Times New Roman"/>
          <w:sz w:val="24"/>
          <w:szCs w:val="24"/>
        </w:rPr>
        <w:t>instrument</w:t>
      </w:r>
      <w:r w:rsidR="00D82327">
        <w:rPr>
          <w:rFonts w:ascii="Times New Roman" w:hAnsi="Times New Roman"/>
          <w:sz w:val="24"/>
          <w:szCs w:val="24"/>
        </w:rPr>
        <w:t xml:space="preserve"> (e.g. the </w:t>
      </w:r>
      <w:r w:rsidR="00D82327" w:rsidRPr="004C0237">
        <w:rPr>
          <w:rFonts w:ascii="Times New Roman" w:hAnsi="Times New Roman"/>
          <w:i/>
          <w:iCs/>
          <w:sz w:val="24"/>
          <w:szCs w:val="24"/>
        </w:rPr>
        <w:t>Superannuation Industry (Supervision) Regulations 1994</w:t>
      </w:r>
      <w:r w:rsidR="00D82327">
        <w:rPr>
          <w:rFonts w:ascii="Times New Roman" w:hAnsi="Times New Roman"/>
          <w:sz w:val="24"/>
          <w:szCs w:val="24"/>
        </w:rPr>
        <w:t>)</w:t>
      </w:r>
      <w:r w:rsidR="00C20087" w:rsidRPr="00C20087">
        <w:rPr>
          <w:rFonts w:ascii="Times New Roman" w:hAnsi="Times New Roman"/>
          <w:sz w:val="24"/>
          <w:szCs w:val="24"/>
        </w:rPr>
        <w:t>, this is a reference to</w:t>
      </w:r>
      <w:r w:rsidR="007E60F0">
        <w:rPr>
          <w:rFonts w:ascii="Times New Roman" w:hAnsi="Times New Roman"/>
          <w:sz w:val="24"/>
          <w:szCs w:val="24"/>
        </w:rPr>
        <w:t xml:space="preserve"> the primary legislation</w:t>
      </w:r>
      <w:r w:rsidR="00A17097">
        <w:rPr>
          <w:rFonts w:ascii="Times New Roman" w:hAnsi="Times New Roman"/>
          <w:sz w:val="24"/>
          <w:szCs w:val="24"/>
        </w:rPr>
        <w:t xml:space="preserve"> or disallowable legislative instrument as</w:t>
      </w:r>
      <w:r w:rsidR="007E60F0">
        <w:rPr>
          <w:rFonts w:ascii="Times New Roman" w:hAnsi="Times New Roman"/>
          <w:sz w:val="24"/>
          <w:szCs w:val="24"/>
        </w:rPr>
        <w:t xml:space="preserve"> </w:t>
      </w:r>
      <w:r w:rsidR="00C20087" w:rsidRPr="00C20087">
        <w:rPr>
          <w:rFonts w:ascii="Times New Roman" w:hAnsi="Times New Roman"/>
          <w:sz w:val="24"/>
          <w:szCs w:val="24"/>
        </w:rPr>
        <w:t xml:space="preserve">it exists </w:t>
      </w:r>
      <w:r w:rsidR="00C20087" w:rsidRPr="00C20087">
        <w:rPr>
          <w:rFonts w:ascii="Times New Roman" w:hAnsi="Times New Roman"/>
          <w:i/>
          <w:sz w:val="24"/>
          <w:szCs w:val="24"/>
        </w:rPr>
        <w:t>from time to time</w:t>
      </w:r>
      <w:r w:rsidR="00C20087" w:rsidRPr="00C20087">
        <w:rPr>
          <w:rFonts w:ascii="Times New Roman" w:hAnsi="Times New Roman"/>
          <w:sz w:val="24"/>
          <w:szCs w:val="24"/>
        </w:rPr>
        <w:t xml:space="preserve">. </w:t>
      </w:r>
    </w:p>
    <w:p w14:paraId="05060E79" w14:textId="2BD21F1F" w:rsidR="00C20087" w:rsidRPr="00C20087" w:rsidRDefault="00E83EC3" w:rsidP="00B87FEF">
      <w:pPr>
        <w:spacing w:before="100" w:beforeAutospacing="1" w:after="100" w:afterAutospacing="1"/>
        <w:jc w:val="both"/>
        <w:rPr>
          <w:rFonts w:ascii="Times New Roman" w:hAnsi="Times New Roman"/>
          <w:sz w:val="24"/>
          <w:szCs w:val="24"/>
        </w:rPr>
      </w:pPr>
      <w:r w:rsidRPr="00E83EC3">
        <w:rPr>
          <w:rFonts w:ascii="Times New Roman" w:hAnsi="Times New Roman"/>
          <w:sz w:val="24"/>
          <w:szCs w:val="24"/>
        </w:rPr>
        <w:t>Under paragraph 14(1)(b) of the Legislation Act,</w:t>
      </w:r>
      <w:r>
        <w:rPr>
          <w:rFonts w:ascii="Times New Roman" w:hAnsi="Times New Roman"/>
          <w:sz w:val="24"/>
          <w:szCs w:val="24"/>
        </w:rPr>
        <w:t xml:space="preserve"> w</w:t>
      </w:r>
      <w:r w:rsidR="00C20087" w:rsidRPr="00C20087">
        <w:rPr>
          <w:rFonts w:ascii="Times New Roman" w:hAnsi="Times New Roman"/>
          <w:sz w:val="24"/>
          <w:szCs w:val="24"/>
        </w:rPr>
        <w:t xml:space="preserve">here SPS </w:t>
      </w:r>
      <w:r w:rsidR="0027625E">
        <w:rPr>
          <w:rFonts w:ascii="Times New Roman" w:hAnsi="Times New Roman"/>
          <w:sz w:val="24"/>
          <w:szCs w:val="24"/>
        </w:rPr>
        <w:t>114</w:t>
      </w:r>
      <w:r w:rsidR="00C20087" w:rsidRPr="00C20087">
        <w:rPr>
          <w:rFonts w:ascii="Times New Roman" w:hAnsi="Times New Roman"/>
          <w:sz w:val="24"/>
          <w:szCs w:val="24"/>
        </w:rPr>
        <w:t xml:space="preserve"> </w:t>
      </w:r>
      <w:r w:rsidRPr="00E83EC3">
        <w:rPr>
          <w:rFonts w:ascii="Times New Roman" w:hAnsi="Times New Roman"/>
          <w:sz w:val="24"/>
          <w:szCs w:val="24"/>
        </w:rPr>
        <w:t xml:space="preserve">incorporates by reference another </w:t>
      </w:r>
      <w:r w:rsidR="009B1953">
        <w:rPr>
          <w:rFonts w:ascii="Times New Roman" w:hAnsi="Times New Roman"/>
          <w:sz w:val="24"/>
          <w:szCs w:val="24"/>
        </w:rPr>
        <w:t>s</w:t>
      </w:r>
      <w:r w:rsidRPr="00E83EC3">
        <w:rPr>
          <w:rFonts w:ascii="Times New Roman" w:hAnsi="Times New Roman"/>
          <w:sz w:val="24"/>
          <w:szCs w:val="24"/>
        </w:rPr>
        <w:t xml:space="preserve">uperannuation </w:t>
      </w:r>
      <w:r w:rsidR="009B1953">
        <w:rPr>
          <w:rFonts w:ascii="Times New Roman" w:hAnsi="Times New Roman"/>
          <w:sz w:val="24"/>
          <w:szCs w:val="24"/>
        </w:rPr>
        <w:t>p</w:t>
      </w:r>
      <w:r w:rsidRPr="00E83EC3">
        <w:rPr>
          <w:rFonts w:ascii="Times New Roman" w:hAnsi="Times New Roman"/>
          <w:sz w:val="24"/>
          <w:szCs w:val="24"/>
        </w:rPr>
        <w:t xml:space="preserve">rudential </w:t>
      </w:r>
      <w:r w:rsidR="009B1953">
        <w:rPr>
          <w:rFonts w:ascii="Times New Roman" w:hAnsi="Times New Roman"/>
          <w:sz w:val="24"/>
          <w:szCs w:val="24"/>
        </w:rPr>
        <w:t>s</w:t>
      </w:r>
      <w:r w:rsidRPr="00E83EC3">
        <w:rPr>
          <w:rFonts w:ascii="Times New Roman" w:hAnsi="Times New Roman"/>
          <w:sz w:val="24"/>
          <w:szCs w:val="24"/>
        </w:rPr>
        <w:t>tandard determined by APRA under section 34C of the Act,</w:t>
      </w:r>
      <w:r w:rsidR="00BD0157">
        <w:rPr>
          <w:rFonts w:ascii="Times New Roman" w:hAnsi="Times New Roman"/>
          <w:sz w:val="24"/>
          <w:szCs w:val="24"/>
        </w:rPr>
        <w:t xml:space="preserve"> or </w:t>
      </w:r>
      <w:r w:rsidR="00304484">
        <w:rPr>
          <w:rFonts w:ascii="Times New Roman" w:hAnsi="Times New Roman"/>
          <w:sz w:val="24"/>
          <w:szCs w:val="24"/>
        </w:rPr>
        <w:t>r</w:t>
      </w:r>
      <w:r w:rsidR="00BD0157">
        <w:rPr>
          <w:rFonts w:ascii="Times New Roman" w:hAnsi="Times New Roman"/>
          <w:sz w:val="24"/>
          <w:szCs w:val="24"/>
        </w:rPr>
        <w:t xml:space="preserve">eporting </w:t>
      </w:r>
      <w:r w:rsidR="00304484">
        <w:rPr>
          <w:rFonts w:ascii="Times New Roman" w:hAnsi="Times New Roman"/>
          <w:sz w:val="24"/>
          <w:szCs w:val="24"/>
        </w:rPr>
        <w:t>s</w:t>
      </w:r>
      <w:r w:rsidR="00BD0157">
        <w:rPr>
          <w:rFonts w:ascii="Times New Roman" w:hAnsi="Times New Roman"/>
          <w:sz w:val="24"/>
          <w:szCs w:val="24"/>
        </w:rPr>
        <w:t xml:space="preserve">tandard </w:t>
      </w:r>
      <w:r w:rsidR="00A36412" w:rsidRPr="00A36412">
        <w:rPr>
          <w:rFonts w:ascii="Times New Roman" w:hAnsi="Times New Roman"/>
          <w:sz w:val="24"/>
          <w:szCs w:val="24"/>
        </w:rPr>
        <w:t xml:space="preserve">determined by APRA under </w:t>
      </w:r>
      <w:r w:rsidR="00BD0157">
        <w:rPr>
          <w:rFonts w:ascii="Times New Roman" w:hAnsi="Times New Roman"/>
          <w:sz w:val="24"/>
          <w:szCs w:val="24"/>
        </w:rPr>
        <w:t>paragraph 13(1)(a)</w:t>
      </w:r>
      <w:r w:rsidR="00454DB3">
        <w:rPr>
          <w:rFonts w:ascii="Times New Roman" w:hAnsi="Times New Roman"/>
          <w:sz w:val="24"/>
          <w:szCs w:val="24"/>
        </w:rPr>
        <w:t xml:space="preserve"> of the</w:t>
      </w:r>
      <w:r w:rsidR="00BD0157">
        <w:rPr>
          <w:rFonts w:ascii="Times New Roman" w:hAnsi="Times New Roman"/>
          <w:sz w:val="24"/>
          <w:szCs w:val="24"/>
        </w:rPr>
        <w:t xml:space="preserve"> </w:t>
      </w:r>
      <w:r w:rsidR="00EB5246" w:rsidRPr="004C0237">
        <w:rPr>
          <w:rFonts w:ascii="Times New Roman" w:hAnsi="Times New Roman"/>
          <w:i/>
          <w:sz w:val="24"/>
          <w:szCs w:val="24"/>
        </w:rPr>
        <w:t>Financial Sector (Collection of Data) Act 2001</w:t>
      </w:r>
      <w:r w:rsidR="00EB5246">
        <w:rPr>
          <w:rFonts w:ascii="Times New Roman" w:hAnsi="Times New Roman"/>
          <w:sz w:val="24"/>
          <w:szCs w:val="24"/>
        </w:rPr>
        <w:t xml:space="preserve">, </w:t>
      </w:r>
      <w:r w:rsidRPr="00E83EC3">
        <w:rPr>
          <w:rFonts w:ascii="Times New Roman" w:hAnsi="Times New Roman"/>
          <w:sz w:val="24"/>
          <w:szCs w:val="24"/>
        </w:rPr>
        <w:t xml:space="preserve">the </w:t>
      </w:r>
      <w:r w:rsidR="00304484">
        <w:rPr>
          <w:rFonts w:ascii="Times New Roman" w:hAnsi="Times New Roman"/>
          <w:sz w:val="24"/>
          <w:szCs w:val="24"/>
        </w:rPr>
        <w:t>s</w:t>
      </w:r>
      <w:r w:rsidRPr="00E83EC3">
        <w:rPr>
          <w:rFonts w:ascii="Times New Roman" w:hAnsi="Times New Roman"/>
          <w:sz w:val="24"/>
          <w:szCs w:val="24"/>
        </w:rPr>
        <w:t xml:space="preserve">uperannuation </w:t>
      </w:r>
      <w:r w:rsidR="00304484">
        <w:rPr>
          <w:rFonts w:ascii="Times New Roman" w:hAnsi="Times New Roman"/>
          <w:sz w:val="24"/>
          <w:szCs w:val="24"/>
        </w:rPr>
        <w:t>p</w:t>
      </w:r>
      <w:r w:rsidRPr="00E83EC3">
        <w:rPr>
          <w:rFonts w:ascii="Times New Roman" w:hAnsi="Times New Roman"/>
          <w:sz w:val="24"/>
          <w:szCs w:val="24"/>
        </w:rPr>
        <w:t xml:space="preserve">rudential </w:t>
      </w:r>
      <w:r w:rsidR="00304484">
        <w:rPr>
          <w:rFonts w:ascii="Times New Roman" w:hAnsi="Times New Roman"/>
          <w:sz w:val="24"/>
          <w:szCs w:val="24"/>
        </w:rPr>
        <w:t>s</w:t>
      </w:r>
      <w:r w:rsidRPr="00E83EC3">
        <w:rPr>
          <w:rFonts w:ascii="Times New Roman" w:hAnsi="Times New Roman"/>
          <w:sz w:val="24"/>
          <w:szCs w:val="24"/>
        </w:rPr>
        <w:t xml:space="preserve">tandard </w:t>
      </w:r>
      <w:r w:rsidR="00A36412">
        <w:rPr>
          <w:rFonts w:ascii="Times New Roman" w:hAnsi="Times New Roman"/>
          <w:sz w:val="24"/>
          <w:szCs w:val="24"/>
        </w:rPr>
        <w:t xml:space="preserve">and </w:t>
      </w:r>
      <w:r w:rsidR="00304484">
        <w:rPr>
          <w:rFonts w:ascii="Times New Roman" w:hAnsi="Times New Roman"/>
          <w:sz w:val="24"/>
          <w:szCs w:val="24"/>
        </w:rPr>
        <w:t>r</w:t>
      </w:r>
      <w:r w:rsidR="00A36412">
        <w:rPr>
          <w:rFonts w:ascii="Times New Roman" w:hAnsi="Times New Roman"/>
          <w:sz w:val="24"/>
          <w:szCs w:val="24"/>
        </w:rPr>
        <w:t xml:space="preserve">eporting </w:t>
      </w:r>
      <w:r w:rsidR="00304484">
        <w:rPr>
          <w:rFonts w:ascii="Times New Roman" w:hAnsi="Times New Roman"/>
          <w:sz w:val="24"/>
          <w:szCs w:val="24"/>
        </w:rPr>
        <w:t>s</w:t>
      </w:r>
      <w:r w:rsidR="00A36412">
        <w:rPr>
          <w:rFonts w:ascii="Times New Roman" w:hAnsi="Times New Roman"/>
          <w:sz w:val="24"/>
          <w:szCs w:val="24"/>
        </w:rPr>
        <w:t xml:space="preserve">tandard </w:t>
      </w:r>
      <w:r w:rsidRPr="00E83EC3">
        <w:rPr>
          <w:rFonts w:ascii="Times New Roman" w:hAnsi="Times New Roman"/>
          <w:sz w:val="24"/>
          <w:szCs w:val="24"/>
        </w:rPr>
        <w:t xml:space="preserve">referred to is the version that exists </w:t>
      </w:r>
      <w:r w:rsidRPr="004C0237">
        <w:rPr>
          <w:rFonts w:ascii="Times New Roman" w:hAnsi="Times New Roman"/>
          <w:i/>
          <w:sz w:val="24"/>
          <w:szCs w:val="24"/>
        </w:rPr>
        <w:t>at the time</w:t>
      </w:r>
      <w:r w:rsidRPr="00E83EC3">
        <w:rPr>
          <w:rFonts w:ascii="Times New Roman" w:hAnsi="Times New Roman"/>
          <w:sz w:val="24"/>
          <w:szCs w:val="24"/>
        </w:rPr>
        <w:t xml:space="preserve"> </w:t>
      </w:r>
      <w:r w:rsidR="00304484">
        <w:rPr>
          <w:rFonts w:ascii="Times New Roman" w:hAnsi="Times New Roman"/>
          <w:sz w:val="24"/>
          <w:szCs w:val="24"/>
        </w:rPr>
        <w:t xml:space="preserve">SPS </w:t>
      </w:r>
      <w:r w:rsidR="0027625E">
        <w:rPr>
          <w:rFonts w:ascii="Times New Roman" w:hAnsi="Times New Roman"/>
          <w:sz w:val="24"/>
          <w:szCs w:val="24"/>
        </w:rPr>
        <w:t>114</w:t>
      </w:r>
      <w:r w:rsidRPr="00E83EC3">
        <w:rPr>
          <w:rFonts w:ascii="Times New Roman" w:hAnsi="Times New Roman"/>
          <w:sz w:val="24"/>
          <w:szCs w:val="24"/>
        </w:rPr>
        <w:t xml:space="preserve"> was determined.</w:t>
      </w:r>
      <w:r w:rsidR="002644D2">
        <w:rPr>
          <w:rFonts w:ascii="Times New Roman" w:hAnsi="Times New Roman"/>
          <w:sz w:val="24"/>
          <w:szCs w:val="24"/>
        </w:rPr>
        <w:t xml:space="preserve"> </w:t>
      </w:r>
      <w:r w:rsidR="00B501D5">
        <w:rPr>
          <w:rFonts w:ascii="Times New Roman" w:hAnsi="Times New Roman"/>
          <w:sz w:val="24"/>
          <w:szCs w:val="24"/>
        </w:rPr>
        <w:t xml:space="preserve">A reference </w:t>
      </w:r>
      <w:r w:rsidR="008A6DAC">
        <w:rPr>
          <w:rFonts w:ascii="Times New Roman" w:hAnsi="Times New Roman"/>
          <w:sz w:val="24"/>
          <w:szCs w:val="24"/>
        </w:rPr>
        <w:t xml:space="preserve">to a non-superannuation prudential standard </w:t>
      </w:r>
      <w:r w:rsidR="0039258A">
        <w:rPr>
          <w:rFonts w:ascii="Times New Roman" w:hAnsi="Times New Roman"/>
          <w:sz w:val="24"/>
          <w:szCs w:val="24"/>
        </w:rPr>
        <w:t xml:space="preserve">in SPS 114 </w:t>
      </w:r>
      <w:r w:rsidR="008A6DAC">
        <w:rPr>
          <w:rFonts w:ascii="Times New Roman" w:hAnsi="Times New Roman"/>
          <w:sz w:val="24"/>
          <w:szCs w:val="24"/>
        </w:rPr>
        <w:t xml:space="preserve">is a reference to the version that </w:t>
      </w:r>
      <w:r w:rsidR="00D4166E">
        <w:rPr>
          <w:rFonts w:ascii="Times New Roman" w:hAnsi="Times New Roman"/>
          <w:sz w:val="24"/>
          <w:szCs w:val="24"/>
        </w:rPr>
        <w:t xml:space="preserve">is </w:t>
      </w:r>
      <w:r w:rsidR="00D36B55">
        <w:rPr>
          <w:rFonts w:ascii="Times New Roman" w:hAnsi="Times New Roman"/>
          <w:sz w:val="24"/>
          <w:szCs w:val="24"/>
        </w:rPr>
        <w:t>in force and operation</w:t>
      </w:r>
      <w:r w:rsidR="00B21D36">
        <w:rPr>
          <w:rFonts w:ascii="Times New Roman" w:hAnsi="Times New Roman"/>
          <w:sz w:val="24"/>
          <w:szCs w:val="24"/>
        </w:rPr>
        <w:t xml:space="preserve"> from time to time. </w:t>
      </w:r>
      <w:r w:rsidR="00B21D36">
        <w:rPr>
          <w:rFonts w:ascii="Times New Roman" w:hAnsi="Times New Roman"/>
          <w:sz w:val="24"/>
          <w:szCs w:val="24"/>
        </w:rPr>
        <w:lastRenderedPageBreak/>
        <w:t>All documents incorporated by reference</w:t>
      </w:r>
      <w:r w:rsidR="000E5375">
        <w:rPr>
          <w:rFonts w:ascii="Times New Roman" w:hAnsi="Times New Roman"/>
          <w:sz w:val="24"/>
          <w:szCs w:val="24"/>
        </w:rPr>
        <w:t xml:space="preserve"> in </w:t>
      </w:r>
      <w:r w:rsidR="00DA1C0A">
        <w:rPr>
          <w:rFonts w:ascii="Times New Roman" w:hAnsi="Times New Roman"/>
          <w:sz w:val="24"/>
          <w:szCs w:val="24"/>
        </w:rPr>
        <w:t xml:space="preserve">SPS 114 are available on the Federal Register of Legislation. </w:t>
      </w:r>
    </w:p>
    <w:p w14:paraId="6AD0B9B9" w14:textId="77777777" w:rsidR="002436BD" w:rsidRPr="00564008" w:rsidRDefault="002436BD" w:rsidP="0064514B">
      <w:pPr>
        <w:pStyle w:val="Heading"/>
        <w:keepNext/>
        <w:numPr>
          <w:ilvl w:val="0"/>
          <w:numId w:val="2"/>
        </w:numPr>
        <w:spacing w:after="240"/>
        <w:rPr>
          <w:rFonts w:ascii="Times New Roman" w:hAnsi="Times New Roman"/>
          <w:sz w:val="24"/>
          <w:szCs w:val="24"/>
        </w:rPr>
      </w:pPr>
      <w:bookmarkStart w:id="7" w:name="bkoperation"/>
      <w:bookmarkStart w:id="8" w:name="bkConsultationNo"/>
      <w:bookmarkEnd w:id="7"/>
      <w:bookmarkEnd w:id="8"/>
      <w:r w:rsidRPr="00564008">
        <w:rPr>
          <w:rFonts w:ascii="Times New Roman" w:hAnsi="Times New Roman"/>
          <w:sz w:val="24"/>
          <w:szCs w:val="24"/>
        </w:rPr>
        <w:t>Consultation</w:t>
      </w:r>
    </w:p>
    <w:p w14:paraId="1E569978" w14:textId="325B4962" w:rsidR="00ED4D45" w:rsidRDefault="00ED4D45" w:rsidP="0064514B">
      <w:pPr>
        <w:pStyle w:val="Heading"/>
        <w:keepNext/>
        <w:tabs>
          <w:tab w:val="left" w:pos="360"/>
        </w:tabs>
        <w:spacing w:after="240"/>
        <w:rPr>
          <w:rFonts w:ascii="Times New Roman" w:hAnsi="Times New Roman"/>
          <w:b w:val="0"/>
          <w:sz w:val="24"/>
          <w:szCs w:val="24"/>
        </w:rPr>
      </w:pPr>
      <w:r>
        <w:rPr>
          <w:rFonts w:ascii="Times New Roman" w:hAnsi="Times New Roman"/>
          <w:b w:val="0"/>
          <w:sz w:val="24"/>
          <w:szCs w:val="24"/>
        </w:rPr>
        <w:t xml:space="preserve">On </w:t>
      </w:r>
      <w:r w:rsidR="00DC3334">
        <w:rPr>
          <w:rFonts w:ascii="Times New Roman" w:hAnsi="Times New Roman"/>
          <w:b w:val="0"/>
          <w:sz w:val="24"/>
          <w:szCs w:val="24"/>
        </w:rPr>
        <w:t>19 Febr</w:t>
      </w:r>
      <w:r w:rsidR="002A0E10">
        <w:rPr>
          <w:rFonts w:ascii="Times New Roman" w:hAnsi="Times New Roman"/>
          <w:b w:val="0"/>
          <w:sz w:val="24"/>
          <w:szCs w:val="24"/>
        </w:rPr>
        <w:t>uary</w:t>
      </w:r>
      <w:r w:rsidRPr="009A19CF">
        <w:rPr>
          <w:rFonts w:ascii="Times New Roman" w:hAnsi="Times New Roman"/>
          <w:b w:val="0"/>
          <w:sz w:val="24"/>
          <w:szCs w:val="24"/>
        </w:rPr>
        <w:t xml:space="preserve"> 2024, APRA undertook a public consultation on </w:t>
      </w:r>
      <w:r w:rsidR="00B972F6">
        <w:rPr>
          <w:rFonts w:ascii="Times New Roman" w:hAnsi="Times New Roman"/>
          <w:b w:val="0"/>
          <w:sz w:val="24"/>
          <w:szCs w:val="24"/>
        </w:rPr>
        <w:t xml:space="preserve">proposed </w:t>
      </w:r>
      <w:r>
        <w:rPr>
          <w:rFonts w:ascii="Times New Roman" w:hAnsi="Times New Roman"/>
          <w:b w:val="0"/>
          <w:sz w:val="24"/>
          <w:szCs w:val="24"/>
        </w:rPr>
        <w:t xml:space="preserve">amendments to the </w:t>
      </w:r>
      <w:r w:rsidR="003328CB">
        <w:rPr>
          <w:rFonts w:ascii="Times New Roman" w:hAnsi="Times New Roman"/>
          <w:b w:val="0"/>
          <w:sz w:val="24"/>
          <w:szCs w:val="24"/>
        </w:rPr>
        <w:t xml:space="preserve">prudential requirements and guidance </w:t>
      </w:r>
      <w:r w:rsidR="002D6F61">
        <w:rPr>
          <w:rFonts w:ascii="Times New Roman" w:hAnsi="Times New Roman"/>
          <w:b w:val="0"/>
          <w:sz w:val="24"/>
          <w:szCs w:val="24"/>
        </w:rPr>
        <w:t xml:space="preserve">for the </w:t>
      </w:r>
      <w:r w:rsidR="002F578E">
        <w:rPr>
          <w:rFonts w:ascii="Times New Roman" w:hAnsi="Times New Roman"/>
          <w:b w:val="0"/>
          <w:sz w:val="24"/>
          <w:szCs w:val="24"/>
        </w:rPr>
        <w:t>operational risk financial requirement (ORFR)</w:t>
      </w:r>
      <w:r w:rsidR="009F62CE">
        <w:rPr>
          <w:rFonts w:ascii="Times New Roman" w:hAnsi="Times New Roman"/>
          <w:b w:val="0"/>
          <w:sz w:val="24"/>
          <w:szCs w:val="24"/>
        </w:rPr>
        <w:t xml:space="preserve"> for RSE licensees</w:t>
      </w:r>
      <w:r w:rsidR="002F578E">
        <w:rPr>
          <w:rFonts w:ascii="Times New Roman" w:hAnsi="Times New Roman"/>
          <w:b w:val="0"/>
          <w:sz w:val="24"/>
          <w:szCs w:val="24"/>
        </w:rPr>
        <w:t xml:space="preserve">. </w:t>
      </w:r>
      <w:r w:rsidR="00B26C5B">
        <w:rPr>
          <w:rFonts w:ascii="Times New Roman" w:hAnsi="Times New Roman"/>
          <w:b w:val="0"/>
          <w:sz w:val="24"/>
          <w:szCs w:val="24"/>
        </w:rPr>
        <w:t>A</w:t>
      </w:r>
      <w:r w:rsidR="0064620D">
        <w:rPr>
          <w:rFonts w:ascii="Times New Roman" w:hAnsi="Times New Roman"/>
          <w:b w:val="0"/>
          <w:sz w:val="24"/>
          <w:szCs w:val="24"/>
        </w:rPr>
        <w:t xml:space="preserve">mendments </w:t>
      </w:r>
      <w:r w:rsidR="00B26C5B">
        <w:rPr>
          <w:rFonts w:ascii="Times New Roman" w:hAnsi="Times New Roman"/>
          <w:b w:val="0"/>
          <w:sz w:val="24"/>
          <w:szCs w:val="24"/>
        </w:rPr>
        <w:t xml:space="preserve">were proposed to </w:t>
      </w:r>
      <w:r w:rsidR="0064620D">
        <w:rPr>
          <w:rFonts w:ascii="Times New Roman" w:hAnsi="Times New Roman"/>
          <w:b w:val="0"/>
          <w:sz w:val="24"/>
          <w:szCs w:val="24"/>
        </w:rPr>
        <w:t xml:space="preserve">SPS 114 and </w:t>
      </w:r>
      <w:r w:rsidR="00EF749B">
        <w:rPr>
          <w:rFonts w:ascii="Times New Roman" w:hAnsi="Times New Roman"/>
          <w:b w:val="0"/>
          <w:sz w:val="24"/>
          <w:szCs w:val="24"/>
        </w:rPr>
        <w:t xml:space="preserve">accompanying guidance in </w:t>
      </w:r>
      <w:r w:rsidR="0064620D" w:rsidRPr="00747B2E">
        <w:rPr>
          <w:rFonts w:ascii="Times New Roman" w:hAnsi="Times New Roman"/>
          <w:b w:val="0"/>
          <w:i/>
          <w:sz w:val="24"/>
          <w:szCs w:val="24"/>
        </w:rPr>
        <w:t xml:space="preserve">Prudential Practice Guide SPG </w:t>
      </w:r>
      <w:r w:rsidR="0064620D">
        <w:rPr>
          <w:rFonts w:ascii="Times New Roman" w:hAnsi="Times New Roman"/>
          <w:b w:val="0"/>
          <w:i/>
          <w:sz w:val="24"/>
          <w:szCs w:val="24"/>
        </w:rPr>
        <w:t xml:space="preserve">114 Operational Risk Financial Requirement </w:t>
      </w:r>
      <w:r w:rsidR="0064620D">
        <w:rPr>
          <w:rFonts w:ascii="Times New Roman" w:hAnsi="Times New Roman"/>
          <w:b w:val="0"/>
          <w:sz w:val="24"/>
          <w:szCs w:val="24"/>
        </w:rPr>
        <w:t>(SPG</w:t>
      </w:r>
      <w:r w:rsidR="00302A63">
        <w:rPr>
          <w:rFonts w:ascii="Times New Roman" w:hAnsi="Times New Roman"/>
          <w:b w:val="0"/>
          <w:sz w:val="24"/>
          <w:szCs w:val="24"/>
        </w:rPr>
        <w:t xml:space="preserve"> </w:t>
      </w:r>
      <w:r w:rsidR="0064620D">
        <w:rPr>
          <w:rFonts w:ascii="Times New Roman" w:hAnsi="Times New Roman"/>
          <w:b w:val="0"/>
          <w:sz w:val="24"/>
          <w:szCs w:val="24"/>
        </w:rPr>
        <w:t>114).</w:t>
      </w:r>
      <w:r w:rsidR="005C1536">
        <w:rPr>
          <w:rFonts w:ascii="Times New Roman" w:hAnsi="Times New Roman"/>
          <w:b w:val="0"/>
          <w:sz w:val="24"/>
          <w:szCs w:val="24"/>
        </w:rPr>
        <w:t xml:space="preserve"> </w:t>
      </w:r>
      <w:r w:rsidR="00E06C0A">
        <w:rPr>
          <w:rFonts w:ascii="Times New Roman" w:hAnsi="Times New Roman"/>
          <w:b w:val="0"/>
          <w:sz w:val="24"/>
          <w:szCs w:val="24"/>
        </w:rPr>
        <w:t xml:space="preserve">The proposals sought to </w:t>
      </w:r>
      <w:r w:rsidR="007A0F5B">
        <w:rPr>
          <w:rFonts w:ascii="Times New Roman" w:hAnsi="Times New Roman"/>
          <w:b w:val="0"/>
          <w:sz w:val="24"/>
          <w:szCs w:val="24"/>
        </w:rPr>
        <w:t xml:space="preserve">strengthen the </w:t>
      </w:r>
      <w:r w:rsidR="00483D14">
        <w:rPr>
          <w:rFonts w:ascii="Times New Roman" w:hAnsi="Times New Roman"/>
          <w:b w:val="0"/>
          <w:sz w:val="24"/>
          <w:szCs w:val="24"/>
        </w:rPr>
        <w:t>finan</w:t>
      </w:r>
      <w:r w:rsidR="00E23923">
        <w:rPr>
          <w:rFonts w:ascii="Times New Roman" w:hAnsi="Times New Roman"/>
          <w:b w:val="0"/>
          <w:sz w:val="24"/>
          <w:szCs w:val="24"/>
        </w:rPr>
        <w:t xml:space="preserve">cial resilience of </w:t>
      </w:r>
      <w:r w:rsidR="004369C9">
        <w:rPr>
          <w:rFonts w:ascii="Times New Roman" w:hAnsi="Times New Roman"/>
          <w:b w:val="0"/>
          <w:sz w:val="24"/>
          <w:szCs w:val="24"/>
        </w:rPr>
        <w:t xml:space="preserve">RSE licensees </w:t>
      </w:r>
      <w:r w:rsidR="00E23923">
        <w:rPr>
          <w:rFonts w:ascii="Times New Roman" w:hAnsi="Times New Roman"/>
          <w:b w:val="0"/>
          <w:sz w:val="24"/>
          <w:szCs w:val="24"/>
        </w:rPr>
        <w:t xml:space="preserve">and ensure they have </w:t>
      </w:r>
      <w:r w:rsidR="00674E42">
        <w:rPr>
          <w:rFonts w:ascii="Times New Roman" w:hAnsi="Times New Roman"/>
          <w:b w:val="0"/>
          <w:sz w:val="24"/>
          <w:szCs w:val="24"/>
        </w:rPr>
        <w:t xml:space="preserve">ready access to </w:t>
      </w:r>
      <w:r w:rsidR="00A95638">
        <w:rPr>
          <w:rFonts w:ascii="Times New Roman" w:hAnsi="Times New Roman"/>
          <w:b w:val="0"/>
          <w:sz w:val="24"/>
          <w:szCs w:val="24"/>
        </w:rPr>
        <w:t xml:space="preserve">financial resources to respond to, and rectify, </w:t>
      </w:r>
      <w:r w:rsidR="0047529B">
        <w:rPr>
          <w:rFonts w:ascii="Times New Roman" w:hAnsi="Times New Roman"/>
          <w:b w:val="0"/>
          <w:sz w:val="24"/>
          <w:szCs w:val="24"/>
        </w:rPr>
        <w:t>the impacts of operational risk.</w:t>
      </w:r>
    </w:p>
    <w:p w14:paraId="50270C5B" w14:textId="4AB7AED1" w:rsidR="00E23923" w:rsidRDefault="001A20A7" w:rsidP="00ED4D45">
      <w:pPr>
        <w:pStyle w:val="Heading"/>
        <w:tabs>
          <w:tab w:val="left" w:pos="360"/>
        </w:tabs>
        <w:spacing w:after="240"/>
        <w:rPr>
          <w:rFonts w:ascii="Times New Roman" w:hAnsi="Times New Roman"/>
          <w:b w:val="0"/>
          <w:sz w:val="24"/>
          <w:szCs w:val="24"/>
        </w:rPr>
      </w:pPr>
      <w:r>
        <w:rPr>
          <w:rFonts w:ascii="Times New Roman" w:hAnsi="Times New Roman"/>
          <w:b w:val="0"/>
          <w:sz w:val="24"/>
          <w:szCs w:val="24"/>
        </w:rPr>
        <w:t>Prior to th</w:t>
      </w:r>
      <w:r w:rsidR="00B64711">
        <w:rPr>
          <w:rFonts w:ascii="Times New Roman" w:hAnsi="Times New Roman"/>
          <w:b w:val="0"/>
          <w:sz w:val="24"/>
          <w:szCs w:val="24"/>
        </w:rPr>
        <w:t xml:space="preserve">e February 2024 </w:t>
      </w:r>
      <w:r w:rsidR="008101C2">
        <w:rPr>
          <w:rFonts w:ascii="Times New Roman" w:hAnsi="Times New Roman"/>
          <w:b w:val="0"/>
          <w:sz w:val="24"/>
          <w:szCs w:val="24"/>
        </w:rPr>
        <w:t xml:space="preserve">consultation, APRA had released two discussion papers, seeking </w:t>
      </w:r>
      <w:r w:rsidR="002139EC">
        <w:rPr>
          <w:rFonts w:ascii="Times New Roman" w:hAnsi="Times New Roman"/>
          <w:b w:val="0"/>
          <w:sz w:val="24"/>
          <w:szCs w:val="24"/>
        </w:rPr>
        <w:t xml:space="preserve">early </w:t>
      </w:r>
      <w:r w:rsidR="008101C2">
        <w:rPr>
          <w:rFonts w:ascii="Times New Roman" w:hAnsi="Times New Roman"/>
          <w:b w:val="0"/>
          <w:sz w:val="24"/>
          <w:szCs w:val="24"/>
        </w:rPr>
        <w:t>view</w:t>
      </w:r>
      <w:r w:rsidR="00B60BCB">
        <w:rPr>
          <w:rFonts w:ascii="Times New Roman" w:hAnsi="Times New Roman"/>
          <w:b w:val="0"/>
          <w:sz w:val="24"/>
          <w:szCs w:val="24"/>
        </w:rPr>
        <w:t xml:space="preserve">s from industry </w:t>
      </w:r>
      <w:r w:rsidR="001F4B72">
        <w:rPr>
          <w:rFonts w:ascii="Times New Roman" w:hAnsi="Times New Roman"/>
          <w:b w:val="0"/>
          <w:sz w:val="24"/>
          <w:szCs w:val="24"/>
        </w:rPr>
        <w:t xml:space="preserve">on </w:t>
      </w:r>
      <w:r w:rsidR="00CE6E95">
        <w:rPr>
          <w:rFonts w:ascii="Times New Roman" w:hAnsi="Times New Roman"/>
          <w:b w:val="0"/>
          <w:sz w:val="24"/>
          <w:szCs w:val="24"/>
        </w:rPr>
        <w:t xml:space="preserve">financial resilience in superannuation and </w:t>
      </w:r>
      <w:r w:rsidR="005F3BD1">
        <w:rPr>
          <w:rFonts w:ascii="Times New Roman" w:hAnsi="Times New Roman"/>
          <w:b w:val="0"/>
          <w:sz w:val="24"/>
          <w:szCs w:val="24"/>
        </w:rPr>
        <w:t xml:space="preserve">proposals for changes to the prudential framework. </w:t>
      </w:r>
      <w:r w:rsidR="006806FD">
        <w:rPr>
          <w:rFonts w:ascii="Times New Roman" w:hAnsi="Times New Roman"/>
          <w:b w:val="0"/>
          <w:sz w:val="24"/>
          <w:szCs w:val="24"/>
        </w:rPr>
        <w:t xml:space="preserve">These discussion papers were released in November 2021 and </w:t>
      </w:r>
      <w:r w:rsidR="00FB6AAB">
        <w:rPr>
          <w:rFonts w:ascii="Times New Roman" w:hAnsi="Times New Roman"/>
          <w:b w:val="0"/>
          <w:sz w:val="24"/>
          <w:szCs w:val="24"/>
        </w:rPr>
        <w:t>November 2022.</w:t>
      </w:r>
      <w:r w:rsidR="008A13A5">
        <w:rPr>
          <w:rStyle w:val="FootnoteReference"/>
          <w:rFonts w:ascii="Times New Roman" w:hAnsi="Times New Roman"/>
          <w:b w:val="0"/>
          <w:sz w:val="24"/>
          <w:szCs w:val="24"/>
        </w:rPr>
        <w:footnoteReference w:id="5"/>
      </w:r>
      <w:r w:rsidR="00FB6AAB">
        <w:rPr>
          <w:rFonts w:ascii="Times New Roman" w:hAnsi="Times New Roman"/>
          <w:b w:val="0"/>
          <w:sz w:val="24"/>
          <w:szCs w:val="24"/>
        </w:rPr>
        <w:t xml:space="preserve"> </w:t>
      </w:r>
    </w:p>
    <w:p w14:paraId="39077E15" w14:textId="3CD43FEA" w:rsidR="00F95A62" w:rsidRDefault="009D72E3" w:rsidP="00ED4D45">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Eleven </w:t>
      </w:r>
      <w:r w:rsidRPr="002214A0">
        <w:rPr>
          <w:rFonts w:ascii="Times New Roman" w:hAnsi="Times New Roman"/>
          <w:b w:val="0"/>
          <w:sz w:val="24"/>
          <w:szCs w:val="24"/>
        </w:rPr>
        <w:t xml:space="preserve">submissions were received </w:t>
      </w:r>
      <w:r w:rsidR="007727F1">
        <w:rPr>
          <w:rFonts w:ascii="Times New Roman" w:hAnsi="Times New Roman"/>
          <w:b w:val="0"/>
          <w:sz w:val="24"/>
          <w:szCs w:val="24"/>
        </w:rPr>
        <w:t xml:space="preserve">for the February 2024 </w:t>
      </w:r>
      <w:r w:rsidRPr="002214A0">
        <w:rPr>
          <w:rFonts w:ascii="Times New Roman" w:hAnsi="Times New Roman"/>
          <w:b w:val="0"/>
          <w:sz w:val="24"/>
          <w:szCs w:val="24"/>
        </w:rPr>
        <w:t>consultation</w:t>
      </w:r>
      <w:r w:rsidR="007727F1">
        <w:rPr>
          <w:rFonts w:ascii="Times New Roman" w:hAnsi="Times New Roman"/>
          <w:b w:val="0"/>
          <w:sz w:val="24"/>
          <w:szCs w:val="24"/>
        </w:rPr>
        <w:t xml:space="preserve"> </w:t>
      </w:r>
      <w:r w:rsidR="00F95A62">
        <w:rPr>
          <w:rFonts w:ascii="Times New Roman" w:hAnsi="Times New Roman"/>
          <w:b w:val="0"/>
          <w:sz w:val="24"/>
          <w:szCs w:val="24"/>
        </w:rPr>
        <w:t xml:space="preserve">(with two of these provided on a confidential basis). </w:t>
      </w:r>
      <w:r w:rsidR="00F03FCF">
        <w:rPr>
          <w:rFonts w:ascii="Times New Roman" w:hAnsi="Times New Roman"/>
          <w:b w:val="0"/>
          <w:sz w:val="24"/>
          <w:szCs w:val="24"/>
        </w:rPr>
        <w:t xml:space="preserve">Ten non-confidential submissions were </w:t>
      </w:r>
      <w:r w:rsidR="00E060A4">
        <w:rPr>
          <w:rFonts w:ascii="Times New Roman" w:hAnsi="Times New Roman"/>
          <w:b w:val="0"/>
          <w:sz w:val="24"/>
          <w:szCs w:val="24"/>
        </w:rPr>
        <w:t xml:space="preserve">received for the November 2021 discussion paper </w:t>
      </w:r>
      <w:r w:rsidR="00ED51D0">
        <w:rPr>
          <w:rFonts w:ascii="Times New Roman" w:hAnsi="Times New Roman"/>
          <w:b w:val="0"/>
          <w:sz w:val="24"/>
          <w:szCs w:val="24"/>
        </w:rPr>
        <w:t xml:space="preserve">and nine non-confidential submissions were received for the November 2022 discussion paper. </w:t>
      </w:r>
    </w:p>
    <w:p w14:paraId="2668D0FD" w14:textId="16FD1DB7" w:rsidR="00E60694" w:rsidRDefault="00AC7962" w:rsidP="0059059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Respondents to the February 2024 </w:t>
      </w:r>
      <w:r w:rsidR="00617B92">
        <w:rPr>
          <w:rFonts w:ascii="Times New Roman" w:hAnsi="Times New Roman"/>
          <w:b w:val="0"/>
          <w:sz w:val="24"/>
          <w:szCs w:val="24"/>
        </w:rPr>
        <w:t xml:space="preserve">consultation were </w:t>
      </w:r>
      <w:r w:rsidR="009D72E3">
        <w:rPr>
          <w:rFonts w:ascii="Times New Roman" w:hAnsi="Times New Roman"/>
          <w:b w:val="0"/>
          <w:sz w:val="24"/>
          <w:szCs w:val="24"/>
        </w:rPr>
        <w:t>generally supportive of the proposed changes</w:t>
      </w:r>
      <w:r w:rsidR="006124C1">
        <w:rPr>
          <w:rFonts w:ascii="Times New Roman" w:hAnsi="Times New Roman"/>
          <w:b w:val="0"/>
          <w:sz w:val="24"/>
          <w:szCs w:val="24"/>
        </w:rPr>
        <w:t xml:space="preserve"> to the draft amended SPS 114 and SPG 114</w:t>
      </w:r>
      <w:r w:rsidR="00475A00">
        <w:rPr>
          <w:rFonts w:ascii="Times New Roman" w:hAnsi="Times New Roman"/>
          <w:b w:val="0"/>
          <w:sz w:val="24"/>
          <w:szCs w:val="24"/>
        </w:rPr>
        <w:t xml:space="preserve">. However, </w:t>
      </w:r>
      <w:r w:rsidR="0059059A" w:rsidRPr="0059059A">
        <w:rPr>
          <w:rFonts w:ascii="Times New Roman" w:hAnsi="Times New Roman"/>
          <w:b w:val="0"/>
          <w:sz w:val="24"/>
          <w:szCs w:val="24"/>
        </w:rPr>
        <w:t xml:space="preserve">submissions identified </w:t>
      </w:r>
      <w:r w:rsidR="00912238">
        <w:rPr>
          <w:rFonts w:ascii="Times New Roman" w:hAnsi="Times New Roman"/>
          <w:b w:val="0"/>
          <w:sz w:val="24"/>
          <w:szCs w:val="24"/>
        </w:rPr>
        <w:t xml:space="preserve">some </w:t>
      </w:r>
      <w:r w:rsidR="0059059A" w:rsidRPr="0059059A">
        <w:rPr>
          <w:rFonts w:ascii="Times New Roman" w:hAnsi="Times New Roman"/>
          <w:b w:val="0"/>
          <w:sz w:val="24"/>
          <w:szCs w:val="24"/>
        </w:rPr>
        <w:t>areas</w:t>
      </w:r>
      <w:r w:rsidR="0033058D">
        <w:rPr>
          <w:rFonts w:ascii="Times New Roman" w:hAnsi="Times New Roman"/>
          <w:b w:val="0"/>
          <w:sz w:val="24"/>
          <w:szCs w:val="24"/>
        </w:rPr>
        <w:t xml:space="preserve"> for further consideration</w:t>
      </w:r>
      <w:r w:rsidR="006124C1">
        <w:rPr>
          <w:rFonts w:ascii="Times New Roman" w:hAnsi="Times New Roman"/>
          <w:b w:val="0"/>
          <w:sz w:val="24"/>
          <w:szCs w:val="24"/>
        </w:rPr>
        <w:t xml:space="preserve"> for APRA</w:t>
      </w:r>
      <w:r w:rsidR="0033058D">
        <w:rPr>
          <w:rFonts w:ascii="Times New Roman" w:hAnsi="Times New Roman"/>
          <w:b w:val="0"/>
          <w:sz w:val="24"/>
          <w:szCs w:val="24"/>
        </w:rPr>
        <w:t xml:space="preserve">, and </w:t>
      </w:r>
      <w:r w:rsidR="006A4781">
        <w:rPr>
          <w:rFonts w:ascii="Times New Roman" w:hAnsi="Times New Roman"/>
          <w:b w:val="0"/>
          <w:sz w:val="24"/>
          <w:szCs w:val="24"/>
        </w:rPr>
        <w:t>other</w:t>
      </w:r>
      <w:r w:rsidR="0033058D">
        <w:rPr>
          <w:rFonts w:ascii="Times New Roman" w:hAnsi="Times New Roman"/>
          <w:b w:val="0"/>
          <w:sz w:val="24"/>
          <w:szCs w:val="24"/>
        </w:rPr>
        <w:t xml:space="preserve"> areas where g</w:t>
      </w:r>
      <w:r w:rsidR="0059059A" w:rsidRPr="0059059A">
        <w:rPr>
          <w:rFonts w:ascii="Times New Roman" w:hAnsi="Times New Roman"/>
          <w:b w:val="0"/>
          <w:sz w:val="24"/>
          <w:szCs w:val="24"/>
        </w:rPr>
        <w:t>reater clarity and additional guidance</w:t>
      </w:r>
      <w:r w:rsidR="0033058D">
        <w:rPr>
          <w:rFonts w:ascii="Times New Roman" w:hAnsi="Times New Roman"/>
          <w:b w:val="0"/>
          <w:sz w:val="24"/>
          <w:szCs w:val="24"/>
        </w:rPr>
        <w:t xml:space="preserve"> w</w:t>
      </w:r>
      <w:r w:rsidR="006A4781">
        <w:rPr>
          <w:rFonts w:ascii="Times New Roman" w:hAnsi="Times New Roman"/>
          <w:b w:val="0"/>
          <w:sz w:val="24"/>
          <w:szCs w:val="24"/>
        </w:rPr>
        <w:t>as</w:t>
      </w:r>
      <w:r w:rsidR="0033058D">
        <w:rPr>
          <w:rFonts w:ascii="Times New Roman" w:hAnsi="Times New Roman"/>
          <w:b w:val="0"/>
          <w:sz w:val="24"/>
          <w:szCs w:val="24"/>
        </w:rPr>
        <w:t xml:space="preserve"> </w:t>
      </w:r>
      <w:r w:rsidR="00AE0801">
        <w:rPr>
          <w:rFonts w:ascii="Times New Roman" w:hAnsi="Times New Roman"/>
          <w:b w:val="0"/>
          <w:sz w:val="24"/>
          <w:szCs w:val="24"/>
        </w:rPr>
        <w:t xml:space="preserve">requested. </w:t>
      </w:r>
      <w:r w:rsidR="00361451">
        <w:rPr>
          <w:rFonts w:ascii="Times New Roman" w:hAnsi="Times New Roman"/>
          <w:b w:val="0"/>
          <w:sz w:val="24"/>
          <w:szCs w:val="24"/>
        </w:rPr>
        <w:t>Key m</w:t>
      </w:r>
      <w:r w:rsidR="0059059A" w:rsidRPr="0059059A">
        <w:rPr>
          <w:rFonts w:ascii="Times New Roman" w:hAnsi="Times New Roman"/>
          <w:b w:val="0"/>
          <w:sz w:val="24"/>
          <w:szCs w:val="24"/>
        </w:rPr>
        <w:t>atters raised in the submissions included:</w:t>
      </w:r>
    </w:p>
    <w:p w14:paraId="43F4211D" w14:textId="20273517" w:rsidR="00E60694" w:rsidRDefault="003B79E1" w:rsidP="000579F4">
      <w:pPr>
        <w:pStyle w:val="Heading"/>
        <w:numPr>
          <w:ilvl w:val="0"/>
          <w:numId w:val="12"/>
        </w:numPr>
        <w:tabs>
          <w:tab w:val="left" w:pos="360"/>
        </w:tabs>
        <w:spacing w:after="240"/>
        <w:ind w:left="360"/>
        <w:rPr>
          <w:rFonts w:ascii="Times New Roman" w:hAnsi="Times New Roman"/>
          <w:b w:val="0"/>
          <w:sz w:val="24"/>
          <w:szCs w:val="24"/>
        </w:rPr>
      </w:pPr>
      <w:r>
        <w:rPr>
          <w:rFonts w:ascii="Times New Roman" w:hAnsi="Times New Roman"/>
          <w:b w:val="0"/>
          <w:sz w:val="24"/>
          <w:szCs w:val="24"/>
        </w:rPr>
        <w:t>The</w:t>
      </w:r>
      <w:r w:rsidR="0059059A" w:rsidRPr="0059059A" w:rsidDel="006124C1">
        <w:rPr>
          <w:rFonts w:ascii="Times New Roman" w:hAnsi="Times New Roman"/>
          <w:b w:val="0"/>
          <w:sz w:val="24"/>
          <w:szCs w:val="24"/>
        </w:rPr>
        <w:t xml:space="preserve"> </w:t>
      </w:r>
      <w:r w:rsidR="006124C1">
        <w:rPr>
          <w:rFonts w:ascii="Times New Roman" w:hAnsi="Times New Roman"/>
          <w:b w:val="0"/>
          <w:sz w:val="24"/>
          <w:szCs w:val="24"/>
        </w:rPr>
        <w:t>amended SPS 114 and SPG 114 not facilitating</w:t>
      </w:r>
      <w:r w:rsidR="0059059A" w:rsidRPr="0059059A">
        <w:rPr>
          <w:rFonts w:ascii="Times New Roman" w:hAnsi="Times New Roman"/>
          <w:b w:val="0"/>
          <w:sz w:val="24"/>
          <w:szCs w:val="24"/>
        </w:rPr>
        <w:t xml:space="preserve"> a holistic view of capital and reserving frameworks and practices</w:t>
      </w:r>
      <w:r>
        <w:rPr>
          <w:rFonts w:ascii="Times New Roman" w:hAnsi="Times New Roman"/>
          <w:b w:val="0"/>
          <w:sz w:val="24"/>
          <w:szCs w:val="24"/>
        </w:rPr>
        <w:t xml:space="preserve"> for superannuation </w:t>
      </w:r>
      <w:proofErr w:type="gramStart"/>
      <w:r>
        <w:rPr>
          <w:rFonts w:ascii="Times New Roman" w:hAnsi="Times New Roman"/>
          <w:b w:val="0"/>
          <w:sz w:val="24"/>
          <w:szCs w:val="24"/>
        </w:rPr>
        <w:t>entities</w:t>
      </w:r>
      <w:r w:rsidR="0059059A" w:rsidRPr="0059059A">
        <w:rPr>
          <w:rFonts w:ascii="Times New Roman" w:hAnsi="Times New Roman"/>
          <w:b w:val="0"/>
          <w:sz w:val="24"/>
          <w:szCs w:val="24"/>
        </w:rPr>
        <w:t>;</w:t>
      </w:r>
      <w:proofErr w:type="gramEnd"/>
    </w:p>
    <w:p w14:paraId="240FAFA7" w14:textId="1A67E262" w:rsidR="003C4411" w:rsidRDefault="006124C1" w:rsidP="000579F4">
      <w:pPr>
        <w:pStyle w:val="Heading"/>
        <w:numPr>
          <w:ilvl w:val="0"/>
          <w:numId w:val="12"/>
        </w:numPr>
        <w:tabs>
          <w:tab w:val="left" w:pos="360"/>
        </w:tabs>
        <w:spacing w:after="240"/>
        <w:ind w:left="360"/>
        <w:rPr>
          <w:rFonts w:ascii="Times New Roman" w:hAnsi="Times New Roman"/>
          <w:b w:val="0"/>
          <w:sz w:val="24"/>
          <w:szCs w:val="24"/>
        </w:rPr>
      </w:pPr>
      <w:r>
        <w:rPr>
          <w:rFonts w:ascii="Times New Roman" w:hAnsi="Times New Roman"/>
          <w:b w:val="0"/>
          <w:sz w:val="24"/>
          <w:szCs w:val="24"/>
        </w:rPr>
        <w:t>The APRA</w:t>
      </w:r>
      <w:r w:rsidR="0059059A" w:rsidRPr="00E60694" w:rsidDel="006124C1">
        <w:rPr>
          <w:rFonts w:ascii="Times New Roman" w:hAnsi="Times New Roman"/>
          <w:b w:val="0"/>
          <w:sz w:val="24"/>
          <w:szCs w:val="24"/>
        </w:rPr>
        <w:t xml:space="preserve"> </w:t>
      </w:r>
      <w:r>
        <w:rPr>
          <w:rFonts w:ascii="Times New Roman" w:hAnsi="Times New Roman"/>
          <w:b w:val="0"/>
          <w:sz w:val="24"/>
          <w:szCs w:val="24"/>
        </w:rPr>
        <w:t>guidance on</w:t>
      </w:r>
      <w:r w:rsidR="0059059A" w:rsidRPr="00E60694">
        <w:rPr>
          <w:rFonts w:ascii="Times New Roman" w:hAnsi="Times New Roman"/>
          <w:b w:val="0"/>
          <w:sz w:val="24"/>
          <w:szCs w:val="24"/>
        </w:rPr>
        <w:t xml:space="preserve"> the ORFR target amount being too conservative and</w:t>
      </w:r>
      <w:r>
        <w:rPr>
          <w:rFonts w:ascii="Times New Roman" w:hAnsi="Times New Roman"/>
          <w:b w:val="0"/>
          <w:sz w:val="24"/>
          <w:szCs w:val="24"/>
        </w:rPr>
        <w:t xml:space="preserve">, as a result, </w:t>
      </w:r>
      <w:r w:rsidR="0059059A" w:rsidRPr="00E60694">
        <w:rPr>
          <w:rFonts w:ascii="Times New Roman" w:hAnsi="Times New Roman"/>
          <w:b w:val="0"/>
          <w:sz w:val="24"/>
          <w:szCs w:val="24"/>
        </w:rPr>
        <w:t>leading to excessive reserving</w:t>
      </w:r>
      <w:r>
        <w:rPr>
          <w:rFonts w:ascii="Times New Roman" w:hAnsi="Times New Roman"/>
          <w:b w:val="0"/>
          <w:sz w:val="24"/>
          <w:szCs w:val="24"/>
        </w:rPr>
        <w:t xml:space="preserve"> by RSE licensees</w:t>
      </w:r>
      <w:r w:rsidR="0059059A" w:rsidRPr="00E60694">
        <w:rPr>
          <w:rFonts w:ascii="Times New Roman" w:hAnsi="Times New Roman"/>
          <w:b w:val="0"/>
          <w:sz w:val="24"/>
          <w:szCs w:val="24"/>
        </w:rPr>
        <w:t>, particularly for larger funds, to the detriment of member interests;</w:t>
      </w:r>
      <w:r w:rsidR="003C4411">
        <w:rPr>
          <w:rFonts w:ascii="Times New Roman" w:hAnsi="Times New Roman"/>
          <w:b w:val="0"/>
          <w:sz w:val="24"/>
          <w:szCs w:val="24"/>
        </w:rPr>
        <w:t xml:space="preserve"> </w:t>
      </w:r>
      <w:r w:rsidR="00361451">
        <w:rPr>
          <w:rFonts w:ascii="Times New Roman" w:hAnsi="Times New Roman"/>
          <w:b w:val="0"/>
          <w:sz w:val="24"/>
          <w:szCs w:val="24"/>
        </w:rPr>
        <w:t xml:space="preserve">and </w:t>
      </w:r>
    </w:p>
    <w:p w14:paraId="0833DE1E" w14:textId="05FF40E9" w:rsidR="003C4411" w:rsidRDefault="0059059A" w:rsidP="000579F4">
      <w:pPr>
        <w:pStyle w:val="Heading"/>
        <w:numPr>
          <w:ilvl w:val="0"/>
          <w:numId w:val="12"/>
        </w:numPr>
        <w:tabs>
          <w:tab w:val="left" w:pos="360"/>
        </w:tabs>
        <w:spacing w:after="240"/>
        <w:ind w:left="360"/>
        <w:rPr>
          <w:rFonts w:ascii="Times New Roman" w:hAnsi="Times New Roman"/>
          <w:b w:val="0"/>
          <w:sz w:val="24"/>
          <w:szCs w:val="24"/>
        </w:rPr>
      </w:pPr>
      <w:r w:rsidRPr="003C4411">
        <w:rPr>
          <w:rFonts w:ascii="Times New Roman" w:hAnsi="Times New Roman"/>
          <w:b w:val="0"/>
          <w:sz w:val="24"/>
          <w:szCs w:val="24"/>
        </w:rPr>
        <w:t xml:space="preserve">Ambiguity with the nature of the regulatory engagement required where RSE licensees intended to adopt a bespoke ORFR target amount (below the APRA guidance amount), and the extent of data and analysis required to support </w:t>
      </w:r>
      <w:r w:rsidR="00414447">
        <w:rPr>
          <w:rFonts w:ascii="Times New Roman" w:hAnsi="Times New Roman"/>
          <w:b w:val="0"/>
          <w:sz w:val="24"/>
          <w:szCs w:val="24"/>
        </w:rPr>
        <w:t>an</w:t>
      </w:r>
      <w:r w:rsidRPr="003C4411">
        <w:rPr>
          <w:rFonts w:ascii="Times New Roman" w:hAnsi="Times New Roman"/>
          <w:b w:val="0"/>
          <w:sz w:val="24"/>
          <w:szCs w:val="24"/>
        </w:rPr>
        <w:t xml:space="preserve"> RSE licensee’s conclusions</w:t>
      </w:r>
      <w:r w:rsidR="00B63F0D">
        <w:rPr>
          <w:rFonts w:ascii="Times New Roman" w:hAnsi="Times New Roman"/>
          <w:b w:val="0"/>
          <w:sz w:val="24"/>
          <w:szCs w:val="24"/>
        </w:rPr>
        <w:t>.</w:t>
      </w:r>
    </w:p>
    <w:p w14:paraId="636E9E31" w14:textId="0FC8FDD2" w:rsidR="006124C1" w:rsidRDefault="00ED4D45" w:rsidP="00796A67">
      <w:pPr>
        <w:pStyle w:val="Heading"/>
        <w:tabs>
          <w:tab w:val="left" w:pos="360"/>
        </w:tabs>
        <w:spacing w:after="240"/>
        <w:rPr>
          <w:rFonts w:ascii="Times New Roman" w:hAnsi="Times New Roman"/>
          <w:b w:val="0"/>
          <w:sz w:val="24"/>
          <w:szCs w:val="24"/>
        </w:rPr>
      </w:pPr>
      <w:r w:rsidRPr="00B63F0D">
        <w:rPr>
          <w:rFonts w:ascii="Times New Roman" w:hAnsi="Times New Roman"/>
          <w:b w:val="0"/>
          <w:sz w:val="24"/>
          <w:szCs w:val="24"/>
        </w:rPr>
        <w:t>APRA has taken account of these areas of feedback</w:t>
      </w:r>
      <w:r w:rsidR="004337B5">
        <w:rPr>
          <w:rFonts w:ascii="Times New Roman" w:hAnsi="Times New Roman"/>
          <w:b w:val="0"/>
          <w:sz w:val="24"/>
          <w:szCs w:val="24"/>
        </w:rPr>
        <w:t xml:space="preserve">. </w:t>
      </w:r>
      <w:proofErr w:type="gramStart"/>
      <w:r w:rsidR="004337B5">
        <w:rPr>
          <w:rFonts w:ascii="Times New Roman" w:hAnsi="Times New Roman"/>
          <w:b w:val="0"/>
          <w:sz w:val="24"/>
          <w:szCs w:val="24"/>
        </w:rPr>
        <w:t>In particular, APRA</w:t>
      </w:r>
      <w:proofErr w:type="gramEnd"/>
      <w:r w:rsidRPr="00B63F0D">
        <w:rPr>
          <w:rFonts w:ascii="Times New Roman" w:hAnsi="Times New Roman"/>
          <w:b w:val="0"/>
          <w:sz w:val="24"/>
          <w:szCs w:val="24"/>
        </w:rPr>
        <w:t xml:space="preserve"> has made appropriate adjustments </w:t>
      </w:r>
      <w:r w:rsidR="00EE7A57">
        <w:rPr>
          <w:rFonts w:ascii="Times New Roman" w:hAnsi="Times New Roman"/>
          <w:b w:val="0"/>
          <w:sz w:val="24"/>
          <w:szCs w:val="24"/>
        </w:rPr>
        <w:t>in relation to the guidance for the ORFR target amount</w:t>
      </w:r>
      <w:r w:rsidR="00A06020">
        <w:rPr>
          <w:rFonts w:ascii="Times New Roman" w:hAnsi="Times New Roman"/>
          <w:b w:val="0"/>
          <w:sz w:val="24"/>
          <w:szCs w:val="24"/>
        </w:rPr>
        <w:t xml:space="preserve"> so that the </w:t>
      </w:r>
      <w:r w:rsidR="00ED7175">
        <w:rPr>
          <w:rFonts w:ascii="Times New Roman" w:hAnsi="Times New Roman"/>
          <w:b w:val="0"/>
          <w:sz w:val="24"/>
          <w:szCs w:val="24"/>
        </w:rPr>
        <w:t xml:space="preserve">guidance outlines </w:t>
      </w:r>
      <w:r w:rsidR="006124C1">
        <w:rPr>
          <w:rFonts w:ascii="Times New Roman" w:hAnsi="Times New Roman"/>
          <w:b w:val="0"/>
          <w:sz w:val="24"/>
          <w:szCs w:val="24"/>
        </w:rPr>
        <w:t>minimum</w:t>
      </w:r>
      <w:r w:rsidR="00ED7175">
        <w:rPr>
          <w:rFonts w:ascii="Times New Roman" w:hAnsi="Times New Roman"/>
          <w:b w:val="0"/>
          <w:sz w:val="24"/>
          <w:szCs w:val="24"/>
        </w:rPr>
        <w:t xml:space="preserve"> target amount based on an entity’s size. </w:t>
      </w:r>
      <w:r w:rsidR="006124C1">
        <w:rPr>
          <w:rFonts w:ascii="Times New Roman" w:hAnsi="Times New Roman"/>
          <w:b w:val="0"/>
          <w:sz w:val="24"/>
          <w:szCs w:val="24"/>
        </w:rPr>
        <w:t>In doing so, promoting proportionality.</w:t>
      </w:r>
    </w:p>
    <w:p w14:paraId="75EDA7EC" w14:textId="352957B8" w:rsidR="00EE7A57" w:rsidRDefault="00ED7175" w:rsidP="00796A67">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As a result, </w:t>
      </w:r>
      <w:r w:rsidR="00425874">
        <w:rPr>
          <w:rFonts w:ascii="Times New Roman" w:hAnsi="Times New Roman"/>
          <w:b w:val="0"/>
          <w:sz w:val="24"/>
          <w:szCs w:val="24"/>
        </w:rPr>
        <w:t xml:space="preserve">APRA has removed the guidance that referred to a need for </w:t>
      </w:r>
      <w:r w:rsidR="00871516">
        <w:rPr>
          <w:rFonts w:ascii="Times New Roman" w:hAnsi="Times New Roman"/>
          <w:b w:val="0"/>
          <w:sz w:val="24"/>
          <w:szCs w:val="24"/>
        </w:rPr>
        <w:t xml:space="preserve">regulatory engagement </w:t>
      </w:r>
      <w:r w:rsidR="006251B8">
        <w:rPr>
          <w:rFonts w:ascii="Times New Roman" w:hAnsi="Times New Roman"/>
          <w:b w:val="0"/>
          <w:sz w:val="24"/>
          <w:szCs w:val="24"/>
        </w:rPr>
        <w:t xml:space="preserve">and </w:t>
      </w:r>
      <w:r w:rsidR="006460F1">
        <w:rPr>
          <w:rFonts w:ascii="Times New Roman" w:hAnsi="Times New Roman"/>
          <w:b w:val="0"/>
          <w:sz w:val="24"/>
          <w:szCs w:val="24"/>
        </w:rPr>
        <w:t xml:space="preserve">an implication that data and analysis may be required to support an </w:t>
      </w:r>
      <w:r w:rsidR="006460F1">
        <w:rPr>
          <w:rFonts w:ascii="Times New Roman" w:hAnsi="Times New Roman"/>
          <w:b w:val="0"/>
          <w:sz w:val="24"/>
          <w:szCs w:val="24"/>
        </w:rPr>
        <w:lastRenderedPageBreak/>
        <w:t xml:space="preserve">RSE licensee’s conclusions. </w:t>
      </w:r>
      <w:r w:rsidR="00E766E6">
        <w:rPr>
          <w:rFonts w:ascii="Times New Roman" w:hAnsi="Times New Roman"/>
          <w:b w:val="0"/>
          <w:sz w:val="24"/>
          <w:szCs w:val="24"/>
        </w:rPr>
        <w:t xml:space="preserve">The final guidance outlines a </w:t>
      </w:r>
      <w:r w:rsidR="00DB6CAD">
        <w:rPr>
          <w:rFonts w:ascii="Times New Roman" w:hAnsi="Times New Roman"/>
          <w:b w:val="0"/>
          <w:sz w:val="24"/>
          <w:szCs w:val="24"/>
        </w:rPr>
        <w:t xml:space="preserve">clear and </w:t>
      </w:r>
      <w:r w:rsidR="00E766E6">
        <w:rPr>
          <w:rFonts w:ascii="Times New Roman" w:hAnsi="Times New Roman"/>
          <w:b w:val="0"/>
          <w:sz w:val="24"/>
          <w:szCs w:val="24"/>
        </w:rPr>
        <w:t>simple</w:t>
      </w:r>
      <w:r w:rsidR="00DB6CAD">
        <w:rPr>
          <w:rFonts w:ascii="Times New Roman" w:hAnsi="Times New Roman"/>
          <w:b w:val="0"/>
          <w:sz w:val="24"/>
          <w:szCs w:val="24"/>
        </w:rPr>
        <w:t xml:space="preserve"> expectation that applies across the industry, based on entity size</w:t>
      </w:r>
      <w:r w:rsidR="006A686E">
        <w:rPr>
          <w:rFonts w:ascii="Times New Roman" w:hAnsi="Times New Roman"/>
          <w:b w:val="0"/>
          <w:sz w:val="24"/>
          <w:szCs w:val="24"/>
        </w:rPr>
        <w:t xml:space="preserve"> (based on funds under management)</w:t>
      </w:r>
      <w:r w:rsidR="00DB6CAD">
        <w:rPr>
          <w:rFonts w:ascii="Times New Roman" w:hAnsi="Times New Roman"/>
          <w:b w:val="0"/>
          <w:sz w:val="24"/>
          <w:szCs w:val="24"/>
        </w:rPr>
        <w:t xml:space="preserve">. </w:t>
      </w:r>
    </w:p>
    <w:p w14:paraId="064FCECB" w14:textId="5DBB950C" w:rsidR="00DB6CAD" w:rsidRDefault="007745B4" w:rsidP="00796A67">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has responded to submissions that sought </w:t>
      </w:r>
      <w:r w:rsidR="008D757D">
        <w:rPr>
          <w:rFonts w:ascii="Times New Roman" w:hAnsi="Times New Roman"/>
          <w:b w:val="0"/>
          <w:sz w:val="24"/>
          <w:szCs w:val="24"/>
        </w:rPr>
        <w:t>for</w:t>
      </w:r>
      <w:r w:rsidR="00645236">
        <w:rPr>
          <w:rFonts w:ascii="Times New Roman" w:hAnsi="Times New Roman"/>
          <w:b w:val="0"/>
          <w:sz w:val="24"/>
          <w:szCs w:val="24"/>
        </w:rPr>
        <w:t xml:space="preserve"> SPS 114 requirements to be included in a holistic view of capital and reserving frameworks. </w:t>
      </w:r>
      <w:r w:rsidR="002F4609">
        <w:rPr>
          <w:rFonts w:ascii="Times New Roman" w:hAnsi="Times New Roman"/>
          <w:b w:val="0"/>
          <w:sz w:val="24"/>
          <w:szCs w:val="24"/>
        </w:rPr>
        <w:t xml:space="preserve">APRA will not at this time consider SPS 114 requirements within this </w:t>
      </w:r>
      <w:proofErr w:type="gramStart"/>
      <w:r w:rsidR="002F4609">
        <w:rPr>
          <w:rFonts w:ascii="Times New Roman" w:hAnsi="Times New Roman"/>
          <w:b w:val="0"/>
          <w:sz w:val="24"/>
          <w:szCs w:val="24"/>
        </w:rPr>
        <w:t xml:space="preserve">context, </w:t>
      </w:r>
      <w:r w:rsidR="00BC77E6">
        <w:rPr>
          <w:rFonts w:ascii="Times New Roman" w:hAnsi="Times New Roman"/>
          <w:b w:val="0"/>
          <w:sz w:val="24"/>
          <w:szCs w:val="24"/>
        </w:rPr>
        <w:t>but</w:t>
      </w:r>
      <w:proofErr w:type="gramEnd"/>
      <w:r w:rsidR="00BC77E6">
        <w:rPr>
          <w:rFonts w:ascii="Times New Roman" w:hAnsi="Times New Roman"/>
          <w:b w:val="0"/>
          <w:sz w:val="24"/>
          <w:szCs w:val="24"/>
        </w:rPr>
        <w:t xml:space="preserve"> remains open to considering these views at a later stage. </w:t>
      </w:r>
    </w:p>
    <w:p w14:paraId="0320D482" w14:textId="1E0B56A9" w:rsidR="002436BD" w:rsidRPr="00564008" w:rsidRDefault="00DF524E" w:rsidP="008E5D4C">
      <w:pPr>
        <w:pStyle w:val="Heading"/>
        <w:tabs>
          <w:tab w:val="left" w:pos="360"/>
        </w:tabs>
        <w:spacing w:after="240"/>
        <w:rPr>
          <w:rFonts w:ascii="Times New Roman" w:hAnsi="Times New Roman"/>
          <w:sz w:val="24"/>
          <w:szCs w:val="24"/>
        </w:rPr>
      </w:pPr>
      <w:bookmarkStart w:id="9" w:name="bkConsultation"/>
      <w:bookmarkStart w:id="10" w:name="bkRISNO"/>
      <w:bookmarkStart w:id="11" w:name="bkRIS"/>
      <w:bookmarkEnd w:id="9"/>
      <w:bookmarkEnd w:id="10"/>
      <w:r w:rsidRPr="00564008">
        <w:rPr>
          <w:rFonts w:ascii="Times New Roman" w:hAnsi="Times New Roman"/>
          <w:sz w:val="24"/>
          <w:szCs w:val="24"/>
        </w:rPr>
        <w:t>4</w:t>
      </w:r>
      <w:r w:rsidR="002436BD" w:rsidRPr="00564008">
        <w:rPr>
          <w:rFonts w:ascii="Times New Roman" w:hAnsi="Times New Roman"/>
          <w:sz w:val="24"/>
          <w:szCs w:val="24"/>
        </w:rPr>
        <w:t xml:space="preserve">. </w:t>
      </w:r>
      <w:r w:rsidR="002436BD" w:rsidRPr="00564008">
        <w:rPr>
          <w:rFonts w:ascii="Times New Roman" w:hAnsi="Times New Roman"/>
          <w:sz w:val="24"/>
          <w:szCs w:val="24"/>
        </w:rPr>
        <w:tab/>
      </w:r>
      <w:r w:rsidR="00C25AE3">
        <w:rPr>
          <w:rFonts w:ascii="Times New Roman" w:hAnsi="Times New Roman"/>
          <w:sz w:val="24"/>
          <w:szCs w:val="24"/>
        </w:rPr>
        <w:t xml:space="preserve">Impact Analysis </w:t>
      </w:r>
    </w:p>
    <w:bookmarkEnd w:id="11"/>
    <w:p w14:paraId="727CD5E6" w14:textId="77777777" w:rsidR="006A686E" w:rsidRDefault="00C25AE3" w:rsidP="008E5D4C">
      <w:pPr>
        <w:pStyle w:val="Heading"/>
        <w:spacing w:after="240"/>
        <w:rPr>
          <w:rFonts w:ascii="Times New Roman" w:hAnsi="Times New Roman"/>
          <w:b w:val="0"/>
          <w:sz w:val="24"/>
          <w:szCs w:val="24"/>
        </w:rPr>
      </w:pPr>
      <w:r w:rsidRPr="00ED0472">
        <w:rPr>
          <w:rFonts w:ascii="Times New Roman" w:hAnsi="Times New Roman"/>
          <w:b w:val="0"/>
          <w:sz w:val="24"/>
          <w:szCs w:val="24"/>
        </w:rPr>
        <w:t xml:space="preserve">The Office of Impact Analysis </w:t>
      </w:r>
      <w:r w:rsidR="00ED0472">
        <w:rPr>
          <w:rFonts w:ascii="Times New Roman" w:hAnsi="Times New Roman"/>
          <w:b w:val="0"/>
          <w:sz w:val="24"/>
          <w:szCs w:val="24"/>
        </w:rPr>
        <w:t xml:space="preserve">(OIA) </w:t>
      </w:r>
      <w:r w:rsidR="00816284" w:rsidRPr="00ED0472">
        <w:rPr>
          <w:rFonts w:ascii="Times New Roman" w:hAnsi="Times New Roman"/>
          <w:b w:val="0"/>
          <w:sz w:val="24"/>
          <w:szCs w:val="24"/>
        </w:rPr>
        <w:t xml:space="preserve">has </w:t>
      </w:r>
      <w:r w:rsidRPr="00ED0472">
        <w:rPr>
          <w:rFonts w:ascii="Times New Roman" w:hAnsi="Times New Roman"/>
          <w:b w:val="0"/>
          <w:sz w:val="24"/>
          <w:szCs w:val="24"/>
        </w:rPr>
        <w:t xml:space="preserve">confirmed that it considers the proposal is unlikely to have a more than minor impact, as </w:t>
      </w:r>
      <w:r w:rsidR="00681310" w:rsidRPr="00ED0472">
        <w:rPr>
          <w:rFonts w:ascii="Times New Roman" w:hAnsi="Times New Roman"/>
          <w:b w:val="0"/>
          <w:sz w:val="24"/>
          <w:szCs w:val="24"/>
        </w:rPr>
        <w:t xml:space="preserve">APRA expects </w:t>
      </w:r>
      <w:r w:rsidRPr="00ED0472">
        <w:rPr>
          <w:rFonts w:ascii="Times New Roman" w:hAnsi="Times New Roman"/>
          <w:b w:val="0"/>
          <w:sz w:val="24"/>
          <w:szCs w:val="24"/>
        </w:rPr>
        <w:t xml:space="preserve">the proposed changes to </w:t>
      </w:r>
      <w:r w:rsidR="004D1902" w:rsidRPr="00ED0472">
        <w:rPr>
          <w:rFonts w:ascii="Times New Roman" w:hAnsi="Times New Roman"/>
          <w:b w:val="0"/>
          <w:sz w:val="24"/>
          <w:szCs w:val="24"/>
        </w:rPr>
        <w:t>have a very modest impact on regulated entities.</w:t>
      </w:r>
      <w:r w:rsidR="00EA0DED" w:rsidRPr="00ED0472">
        <w:rPr>
          <w:rFonts w:ascii="Times New Roman" w:hAnsi="Times New Roman"/>
          <w:b w:val="0"/>
          <w:sz w:val="24"/>
          <w:szCs w:val="24"/>
        </w:rPr>
        <w:t xml:space="preserve"> </w:t>
      </w:r>
    </w:p>
    <w:p w14:paraId="34AFEA30" w14:textId="0D9A4605" w:rsidR="00C25AE3" w:rsidRPr="00564008" w:rsidRDefault="00EA0DED" w:rsidP="008E5D4C">
      <w:pPr>
        <w:pStyle w:val="Heading"/>
        <w:spacing w:after="240"/>
        <w:rPr>
          <w:rFonts w:ascii="Times New Roman" w:hAnsi="Times New Roman"/>
          <w:b w:val="0"/>
          <w:sz w:val="24"/>
          <w:szCs w:val="24"/>
        </w:rPr>
      </w:pPr>
      <w:r w:rsidRPr="00ED0472">
        <w:rPr>
          <w:rFonts w:ascii="Times New Roman" w:hAnsi="Times New Roman"/>
          <w:b w:val="0"/>
          <w:sz w:val="24"/>
          <w:szCs w:val="24"/>
        </w:rPr>
        <w:t xml:space="preserve">RSE licensees will need to review and update their ORFR strategy. </w:t>
      </w:r>
      <w:r w:rsidR="006707EF" w:rsidRPr="00ED0472">
        <w:rPr>
          <w:rFonts w:ascii="Times New Roman" w:hAnsi="Times New Roman"/>
          <w:b w:val="0"/>
          <w:sz w:val="24"/>
          <w:szCs w:val="24"/>
        </w:rPr>
        <w:t xml:space="preserve">As such the OIA advised that </w:t>
      </w:r>
      <w:r w:rsidR="00ED0472" w:rsidRPr="00ED0472">
        <w:rPr>
          <w:rFonts w:ascii="Times New Roman" w:hAnsi="Times New Roman"/>
          <w:b w:val="0"/>
          <w:sz w:val="24"/>
          <w:szCs w:val="24"/>
        </w:rPr>
        <w:t>the preparation of an Impact Analysis is not requ</w:t>
      </w:r>
      <w:r w:rsidR="00ED0472">
        <w:rPr>
          <w:rFonts w:ascii="Times New Roman" w:hAnsi="Times New Roman"/>
          <w:b w:val="0"/>
          <w:sz w:val="24"/>
          <w:szCs w:val="24"/>
        </w:rPr>
        <w:t xml:space="preserve">ired. </w:t>
      </w:r>
      <w:r w:rsidR="00A352CD">
        <w:rPr>
          <w:rFonts w:ascii="Times New Roman" w:hAnsi="Times New Roman"/>
          <w:b w:val="0"/>
          <w:sz w:val="24"/>
          <w:szCs w:val="24"/>
        </w:rPr>
        <w:t>The most recent changes to the prudential framework are aimed at simpl</w:t>
      </w:r>
      <w:r w:rsidR="000A297A">
        <w:rPr>
          <w:rFonts w:ascii="Times New Roman" w:hAnsi="Times New Roman"/>
          <w:b w:val="0"/>
          <w:sz w:val="24"/>
          <w:szCs w:val="24"/>
        </w:rPr>
        <w:t xml:space="preserve">ifying the requirements and guidance further and are expected to result in a lower burden on RSE licensees </w:t>
      </w:r>
      <w:r w:rsidR="00ED23DF">
        <w:rPr>
          <w:rFonts w:ascii="Times New Roman" w:hAnsi="Times New Roman"/>
          <w:b w:val="0"/>
          <w:sz w:val="24"/>
          <w:szCs w:val="24"/>
        </w:rPr>
        <w:t>than previously proposed.</w:t>
      </w:r>
    </w:p>
    <w:p w14:paraId="5C19FB8D" w14:textId="77777777" w:rsidR="002436BD" w:rsidRPr="00564008" w:rsidRDefault="00DF524E" w:rsidP="008E5D4C">
      <w:pPr>
        <w:pStyle w:val="Heading"/>
        <w:tabs>
          <w:tab w:val="left" w:pos="360"/>
        </w:tabs>
        <w:spacing w:after="240"/>
        <w:rPr>
          <w:rFonts w:ascii="Times New Roman" w:hAnsi="Times New Roman"/>
          <w:sz w:val="24"/>
          <w:szCs w:val="24"/>
        </w:rPr>
      </w:pPr>
      <w:r w:rsidRPr="00564008">
        <w:rPr>
          <w:rFonts w:ascii="Times New Roman" w:hAnsi="Times New Roman"/>
          <w:sz w:val="24"/>
          <w:szCs w:val="24"/>
        </w:rPr>
        <w:t>5</w:t>
      </w:r>
      <w:r w:rsidR="002436BD" w:rsidRPr="00564008">
        <w:rPr>
          <w:rFonts w:ascii="Times New Roman" w:hAnsi="Times New Roman"/>
          <w:sz w:val="24"/>
          <w:szCs w:val="24"/>
        </w:rPr>
        <w:t>.</w:t>
      </w:r>
      <w:r w:rsidR="002436BD" w:rsidRPr="00564008">
        <w:rPr>
          <w:rFonts w:ascii="Times New Roman" w:hAnsi="Times New Roman"/>
          <w:sz w:val="24"/>
          <w:szCs w:val="24"/>
        </w:rPr>
        <w:tab/>
        <w:t>Statement of compatibility prepared in accordance with Part 3 of the Human Rights (Parliamentary Scrutiny) Act 2011</w:t>
      </w:r>
    </w:p>
    <w:p w14:paraId="048E14C9" w14:textId="641CDE15" w:rsidR="000231FC" w:rsidRPr="00564008" w:rsidRDefault="000231FC" w:rsidP="000231FC">
      <w:pPr>
        <w:pStyle w:val="Heading"/>
        <w:spacing w:after="240"/>
        <w:rPr>
          <w:rFonts w:ascii="Times New Roman" w:hAnsi="Times New Roman"/>
          <w:b w:val="0"/>
          <w:sz w:val="24"/>
          <w:szCs w:val="24"/>
        </w:rPr>
      </w:pPr>
      <w:r w:rsidRPr="00564008">
        <w:rPr>
          <w:rFonts w:ascii="Times New Roman" w:hAnsi="Times New Roman"/>
          <w:b w:val="0"/>
          <w:sz w:val="24"/>
          <w:szCs w:val="24"/>
        </w:rPr>
        <w:t xml:space="preserve">A Statement of compatibility prepared in accordance with Part 3 of the </w:t>
      </w:r>
      <w:r w:rsidRPr="00564008">
        <w:rPr>
          <w:rFonts w:ascii="Times New Roman" w:hAnsi="Times New Roman"/>
          <w:b w:val="0"/>
          <w:i/>
          <w:sz w:val="24"/>
          <w:szCs w:val="24"/>
        </w:rPr>
        <w:t>Human Rights (Parliamentary Scrutiny) Act 2011</w:t>
      </w:r>
      <w:r w:rsidRPr="00564008">
        <w:rPr>
          <w:rFonts w:ascii="Times New Roman" w:hAnsi="Times New Roman"/>
          <w:b w:val="0"/>
          <w:sz w:val="24"/>
          <w:szCs w:val="24"/>
        </w:rPr>
        <w:t xml:space="preserve"> is provided at Attachment A to this Explanatory Statement</w:t>
      </w:r>
      <w:r w:rsidR="005E10E8" w:rsidRPr="00564008">
        <w:rPr>
          <w:rFonts w:ascii="Times New Roman" w:hAnsi="Times New Roman"/>
          <w:b w:val="0"/>
          <w:sz w:val="24"/>
          <w:szCs w:val="24"/>
        </w:rPr>
        <w:t>.</w:t>
      </w:r>
    </w:p>
    <w:p w14:paraId="59C01D3D" w14:textId="77777777" w:rsidR="000231FC" w:rsidRPr="00564008" w:rsidRDefault="000231FC" w:rsidP="000231FC">
      <w:pPr>
        <w:pStyle w:val="Heading"/>
        <w:spacing w:after="240"/>
        <w:rPr>
          <w:rFonts w:ascii="Times New Roman" w:hAnsi="Times New Roman"/>
          <w:b w:val="0"/>
          <w:sz w:val="24"/>
          <w:szCs w:val="24"/>
        </w:rPr>
      </w:pPr>
    </w:p>
    <w:p w14:paraId="26C433C0" w14:textId="0F233238" w:rsidR="000231FC" w:rsidRPr="005023B4" w:rsidRDefault="000231FC" w:rsidP="005023B4">
      <w:pPr>
        <w:jc w:val="center"/>
        <w:rPr>
          <w:rFonts w:ascii="Times New Roman" w:eastAsia="Calibri" w:hAnsi="Times New Roman"/>
          <w:b/>
          <w:bCs/>
          <w:sz w:val="24"/>
          <w:szCs w:val="24"/>
        </w:rPr>
      </w:pPr>
      <w:r w:rsidRPr="00564008">
        <w:rPr>
          <w:rFonts w:ascii="Times New Roman" w:eastAsia="Calibri" w:hAnsi="Times New Roman"/>
          <w:b/>
          <w:bCs/>
          <w:sz w:val="24"/>
          <w:szCs w:val="24"/>
          <w:u w:val="single"/>
        </w:rPr>
        <w:br w:type="page"/>
      </w:r>
      <w:r w:rsidRPr="005023B4">
        <w:rPr>
          <w:rFonts w:ascii="Times New Roman" w:eastAsia="Calibri" w:hAnsi="Times New Roman"/>
          <w:b/>
          <w:bCs/>
          <w:sz w:val="24"/>
          <w:szCs w:val="24"/>
        </w:rPr>
        <w:lastRenderedPageBreak/>
        <w:t>ATTACHMENT A</w:t>
      </w:r>
    </w:p>
    <w:p w14:paraId="50021654" w14:textId="77777777" w:rsidR="000231FC" w:rsidRPr="00564008" w:rsidRDefault="000231FC" w:rsidP="000231FC">
      <w:pPr>
        <w:autoSpaceDE w:val="0"/>
        <w:autoSpaceDN w:val="0"/>
        <w:adjustRightInd w:val="0"/>
        <w:rPr>
          <w:rFonts w:ascii="Times New Roman" w:eastAsia="Calibri" w:hAnsi="Times New Roman"/>
          <w:b/>
          <w:bCs/>
          <w:sz w:val="24"/>
          <w:szCs w:val="24"/>
        </w:rPr>
      </w:pPr>
    </w:p>
    <w:p w14:paraId="7B1F7C96" w14:textId="77777777" w:rsidR="000231FC" w:rsidRPr="00564008" w:rsidRDefault="000231FC" w:rsidP="000231FC">
      <w:pPr>
        <w:autoSpaceDE w:val="0"/>
        <w:autoSpaceDN w:val="0"/>
        <w:adjustRightInd w:val="0"/>
        <w:jc w:val="center"/>
        <w:rPr>
          <w:rFonts w:ascii="Times New Roman" w:eastAsia="Calibri" w:hAnsi="Times New Roman"/>
          <w:b/>
          <w:bCs/>
          <w:sz w:val="24"/>
          <w:szCs w:val="24"/>
        </w:rPr>
      </w:pPr>
      <w:r w:rsidRPr="00564008">
        <w:rPr>
          <w:rFonts w:ascii="Times New Roman" w:eastAsia="Calibri" w:hAnsi="Times New Roman"/>
          <w:b/>
          <w:bCs/>
          <w:sz w:val="24"/>
          <w:szCs w:val="24"/>
        </w:rPr>
        <w:t>Statement of Compatibility with Human Rights</w:t>
      </w:r>
    </w:p>
    <w:p w14:paraId="01FB922A" w14:textId="77777777" w:rsidR="000231FC" w:rsidRPr="00564008" w:rsidRDefault="000231FC" w:rsidP="00A3718E">
      <w:pPr>
        <w:autoSpaceDE w:val="0"/>
        <w:autoSpaceDN w:val="0"/>
        <w:adjustRightInd w:val="0"/>
        <w:jc w:val="both"/>
        <w:rPr>
          <w:rFonts w:ascii="Times New Roman" w:eastAsia="Calibri" w:hAnsi="Times New Roman"/>
          <w:bCs/>
          <w:sz w:val="24"/>
          <w:szCs w:val="24"/>
        </w:rPr>
      </w:pPr>
    </w:p>
    <w:p w14:paraId="2B22F88D" w14:textId="77777777" w:rsidR="000231FC" w:rsidRPr="00564008" w:rsidRDefault="000231FC" w:rsidP="00A3718E">
      <w:pPr>
        <w:autoSpaceDE w:val="0"/>
        <w:autoSpaceDN w:val="0"/>
        <w:adjustRightInd w:val="0"/>
        <w:jc w:val="both"/>
        <w:rPr>
          <w:rFonts w:ascii="Times New Roman" w:eastAsia="Calibri" w:hAnsi="Times New Roman"/>
          <w:i/>
          <w:sz w:val="24"/>
          <w:szCs w:val="24"/>
        </w:rPr>
      </w:pPr>
      <w:r w:rsidRPr="00564008">
        <w:rPr>
          <w:rFonts w:ascii="Times New Roman" w:eastAsia="Calibri" w:hAnsi="Times New Roman"/>
          <w:sz w:val="24"/>
          <w:szCs w:val="24"/>
        </w:rPr>
        <w:t xml:space="preserve">Prepared in accordance with Part 3 of the </w:t>
      </w:r>
      <w:r w:rsidRPr="00564008">
        <w:rPr>
          <w:rFonts w:ascii="Times New Roman" w:eastAsia="Calibri" w:hAnsi="Times New Roman"/>
          <w:i/>
          <w:sz w:val="24"/>
          <w:szCs w:val="24"/>
        </w:rPr>
        <w:t>Human Rights (Parliamentary Scrutiny) Act</w:t>
      </w:r>
    </w:p>
    <w:p w14:paraId="77A601E7" w14:textId="77777777" w:rsidR="000231FC" w:rsidRPr="00564008" w:rsidRDefault="000231FC" w:rsidP="00A3718E">
      <w:pPr>
        <w:autoSpaceDE w:val="0"/>
        <w:autoSpaceDN w:val="0"/>
        <w:adjustRightInd w:val="0"/>
        <w:jc w:val="both"/>
        <w:rPr>
          <w:rFonts w:ascii="Times New Roman" w:eastAsia="Calibri" w:hAnsi="Times New Roman"/>
          <w:i/>
          <w:sz w:val="24"/>
          <w:szCs w:val="24"/>
        </w:rPr>
      </w:pPr>
      <w:r w:rsidRPr="00564008">
        <w:rPr>
          <w:rFonts w:ascii="Times New Roman" w:eastAsia="Calibri" w:hAnsi="Times New Roman"/>
          <w:i/>
          <w:sz w:val="24"/>
          <w:szCs w:val="24"/>
        </w:rPr>
        <w:t>2011</w:t>
      </w:r>
    </w:p>
    <w:p w14:paraId="36A3F31B" w14:textId="77777777" w:rsidR="000231FC" w:rsidRPr="00564008" w:rsidRDefault="000231FC" w:rsidP="00A3718E">
      <w:pPr>
        <w:autoSpaceDE w:val="0"/>
        <w:autoSpaceDN w:val="0"/>
        <w:adjustRightInd w:val="0"/>
        <w:jc w:val="both"/>
        <w:rPr>
          <w:rFonts w:ascii="Times New Roman" w:eastAsia="Calibri" w:hAnsi="Times New Roman"/>
          <w:sz w:val="24"/>
          <w:szCs w:val="24"/>
        </w:rPr>
      </w:pPr>
    </w:p>
    <w:p w14:paraId="476BCA1F" w14:textId="1A9E044C" w:rsidR="00017A21" w:rsidRPr="00B7652C" w:rsidRDefault="00017A21" w:rsidP="00A3718E">
      <w:pPr>
        <w:autoSpaceDE w:val="0"/>
        <w:autoSpaceDN w:val="0"/>
        <w:adjustRightInd w:val="0"/>
        <w:jc w:val="both"/>
        <w:rPr>
          <w:rFonts w:ascii="Times New Roman" w:eastAsia="Calibri" w:hAnsi="Times New Roman"/>
          <w:b/>
          <w:sz w:val="24"/>
          <w:szCs w:val="24"/>
        </w:rPr>
      </w:pPr>
      <w:bookmarkStart w:id="12" w:name="_Hlk167975987"/>
      <w:r w:rsidRPr="00B7652C">
        <w:rPr>
          <w:rFonts w:ascii="Times New Roman" w:eastAsia="Calibri" w:hAnsi="Times New Roman"/>
          <w:b/>
          <w:sz w:val="24"/>
          <w:szCs w:val="24"/>
        </w:rPr>
        <w:t xml:space="preserve">Superannuation (prudential standard) determination No. </w:t>
      </w:r>
      <w:r w:rsidR="00992EEA" w:rsidRPr="00B7652C">
        <w:rPr>
          <w:rFonts w:ascii="Times New Roman" w:eastAsia="Calibri" w:hAnsi="Times New Roman"/>
          <w:b/>
          <w:sz w:val="24"/>
          <w:szCs w:val="24"/>
        </w:rPr>
        <w:t>6</w:t>
      </w:r>
      <w:r w:rsidRPr="00B7652C">
        <w:rPr>
          <w:rFonts w:ascii="Times New Roman" w:eastAsia="Calibri" w:hAnsi="Times New Roman"/>
          <w:b/>
          <w:sz w:val="24"/>
          <w:szCs w:val="24"/>
        </w:rPr>
        <w:t xml:space="preserve"> of 2024</w:t>
      </w:r>
    </w:p>
    <w:bookmarkEnd w:id="12"/>
    <w:p w14:paraId="0D35E00E" w14:textId="77777777" w:rsidR="00017A21" w:rsidRPr="00564008" w:rsidRDefault="00017A21" w:rsidP="00A3718E">
      <w:pPr>
        <w:autoSpaceDE w:val="0"/>
        <w:autoSpaceDN w:val="0"/>
        <w:adjustRightInd w:val="0"/>
        <w:jc w:val="both"/>
        <w:rPr>
          <w:rFonts w:ascii="Times New Roman" w:eastAsia="Calibri" w:hAnsi="Times New Roman"/>
          <w:b/>
          <w:bCs/>
          <w:sz w:val="24"/>
          <w:szCs w:val="24"/>
        </w:rPr>
      </w:pPr>
    </w:p>
    <w:p w14:paraId="66E14450" w14:textId="77777777" w:rsidR="00017A21" w:rsidRPr="00564008" w:rsidRDefault="00017A21" w:rsidP="00A3718E">
      <w:pPr>
        <w:autoSpaceDE w:val="0"/>
        <w:autoSpaceDN w:val="0"/>
        <w:adjustRightInd w:val="0"/>
        <w:jc w:val="both"/>
        <w:rPr>
          <w:rFonts w:ascii="Times New Roman" w:eastAsia="Calibri" w:hAnsi="Times New Roman"/>
          <w:i/>
          <w:iCs/>
          <w:sz w:val="24"/>
          <w:szCs w:val="24"/>
        </w:rPr>
      </w:pPr>
      <w:r w:rsidRPr="00564008">
        <w:rPr>
          <w:rFonts w:ascii="Times New Roman" w:eastAsia="Calibri" w:hAnsi="Times New Roman"/>
          <w:sz w:val="24"/>
          <w:szCs w:val="24"/>
        </w:rPr>
        <w:t xml:space="preserve">This Legislative Instrument is compatible with the human rights and freedoms recognised or declared in the international instrument listed in section 3 of the </w:t>
      </w:r>
      <w:r w:rsidRPr="00564008">
        <w:rPr>
          <w:rFonts w:ascii="Times New Roman" w:eastAsia="Calibri" w:hAnsi="Times New Roman"/>
          <w:i/>
          <w:iCs/>
          <w:sz w:val="24"/>
          <w:szCs w:val="24"/>
        </w:rPr>
        <w:t>Human</w:t>
      </w:r>
    </w:p>
    <w:p w14:paraId="6B0698FC" w14:textId="77777777" w:rsidR="00017A21" w:rsidRPr="00564008" w:rsidRDefault="00017A21" w:rsidP="00A3718E">
      <w:pPr>
        <w:autoSpaceDE w:val="0"/>
        <w:autoSpaceDN w:val="0"/>
        <w:adjustRightInd w:val="0"/>
        <w:jc w:val="both"/>
        <w:rPr>
          <w:rFonts w:ascii="Times New Roman" w:eastAsia="Calibri" w:hAnsi="Times New Roman"/>
          <w:sz w:val="24"/>
          <w:szCs w:val="24"/>
        </w:rPr>
      </w:pPr>
      <w:r w:rsidRPr="00564008">
        <w:rPr>
          <w:rFonts w:ascii="Times New Roman" w:eastAsia="Calibri" w:hAnsi="Times New Roman"/>
          <w:i/>
          <w:iCs/>
          <w:sz w:val="24"/>
          <w:szCs w:val="24"/>
        </w:rPr>
        <w:t xml:space="preserve">Rights (Parliamentary Scrutiny) Act 2011 </w:t>
      </w:r>
      <w:r w:rsidRPr="00564008">
        <w:rPr>
          <w:rFonts w:ascii="Times New Roman" w:eastAsia="Calibri" w:hAnsi="Times New Roman"/>
          <w:sz w:val="24"/>
          <w:szCs w:val="24"/>
        </w:rPr>
        <w:t>(HRPS Act).</w:t>
      </w:r>
    </w:p>
    <w:p w14:paraId="7727F946" w14:textId="77777777" w:rsidR="00017A21" w:rsidRPr="00564008" w:rsidRDefault="00017A21" w:rsidP="00A3718E">
      <w:pPr>
        <w:autoSpaceDE w:val="0"/>
        <w:autoSpaceDN w:val="0"/>
        <w:adjustRightInd w:val="0"/>
        <w:jc w:val="both"/>
        <w:rPr>
          <w:rFonts w:ascii="Times New Roman" w:eastAsia="Calibri" w:hAnsi="Times New Roman"/>
          <w:sz w:val="24"/>
          <w:szCs w:val="24"/>
        </w:rPr>
      </w:pPr>
    </w:p>
    <w:p w14:paraId="5392EAD7" w14:textId="77777777" w:rsidR="00017A21" w:rsidRDefault="00017A21" w:rsidP="00A3718E">
      <w:pPr>
        <w:autoSpaceDE w:val="0"/>
        <w:autoSpaceDN w:val="0"/>
        <w:adjustRightInd w:val="0"/>
        <w:jc w:val="both"/>
        <w:rPr>
          <w:rFonts w:ascii="Times New Roman" w:eastAsia="Calibri" w:hAnsi="Times New Roman"/>
          <w:b/>
          <w:bCs/>
          <w:sz w:val="24"/>
          <w:szCs w:val="24"/>
        </w:rPr>
      </w:pPr>
      <w:r w:rsidRPr="00564008">
        <w:rPr>
          <w:rFonts w:ascii="Times New Roman" w:eastAsia="Calibri" w:hAnsi="Times New Roman"/>
          <w:b/>
          <w:bCs/>
          <w:sz w:val="24"/>
          <w:szCs w:val="24"/>
        </w:rPr>
        <w:t>Overview of the Legislative Instrument</w:t>
      </w:r>
    </w:p>
    <w:p w14:paraId="4648100C" w14:textId="77777777" w:rsidR="00017A21" w:rsidRPr="00CD5E94" w:rsidRDefault="00017A21" w:rsidP="00A3718E">
      <w:pPr>
        <w:autoSpaceDE w:val="0"/>
        <w:autoSpaceDN w:val="0"/>
        <w:adjustRightInd w:val="0"/>
        <w:jc w:val="both"/>
        <w:rPr>
          <w:rFonts w:ascii="Times New Roman" w:eastAsia="Calibri" w:hAnsi="Times New Roman"/>
          <w:b/>
          <w:bCs/>
          <w:sz w:val="24"/>
          <w:szCs w:val="24"/>
        </w:rPr>
      </w:pPr>
    </w:p>
    <w:p w14:paraId="1EEE3DB7" w14:textId="39D37E0F" w:rsidR="00D1483A" w:rsidRPr="000F0A68" w:rsidRDefault="00D1483A" w:rsidP="00A3718E">
      <w:pPr>
        <w:jc w:val="both"/>
        <w:rPr>
          <w:rFonts w:ascii="Times New Roman" w:hAnsi="Times New Roman"/>
          <w:sz w:val="24"/>
          <w:szCs w:val="24"/>
        </w:rPr>
      </w:pPr>
      <w:r w:rsidRPr="000F0A68">
        <w:rPr>
          <w:rFonts w:ascii="Times New Roman" w:hAnsi="Times New Roman"/>
          <w:sz w:val="24"/>
          <w:szCs w:val="24"/>
        </w:rPr>
        <w:t xml:space="preserve">The purpose of this Legislative Instrument is to </w:t>
      </w:r>
      <w:r w:rsidR="00276435" w:rsidRPr="000F0A68">
        <w:rPr>
          <w:rFonts w:ascii="Times New Roman" w:hAnsi="Times New Roman"/>
          <w:sz w:val="24"/>
          <w:szCs w:val="24"/>
        </w:rPr>
        <w:t xml:space="preserve">revoke </w:t>
      </w:r>
      <w:r w:rsidR="00276435" w:rsidRPr="000F0A68">
        <w:rPr>
          <w:rFonts w:ascii="Times New Roman" w:hAnsi="Times New Roman"/>
          <w:i/>
          <w:iCs/>
          <w:sz w:val="24"/>
          <w:szCs w:val="24"/>
        </w:rPr>
        <w:t>Prudential Standard SPS 114 Operational Risk Financial Requirement</w:t>
      </w:r>
      <w:r w:rsidR="00CF3C12" w:rsidRPr="000F0A68">
        <w:rPr>
          <w:rFonts w:ascii="Times New Roman" w:hAnsi="Times New Roman"/>
          <w:sz w:val="24"/>
          <w:szCs w:val="24"/>
        </w:rPr>
        <w:t xml:space="preserve"> </w:t>
      </w:r>
      <w:r w:rsidR="00670E26">
        <w:rPr>
          <w:rFonts w:ascii="Times New Roman" w:hAnsi="Times New Roman"/>
          <w:sz w:val="24"/>
          <w:szCs w:val="24"/>
        </w:rPr>
        <w:t>m</w:t>
      </w:r>
      <w:r w:rsidR="00CF3C12" w:rsidRPr="000F0A68">
        <w:rPr>
          <w:rFonts w:ascii="Times New Roman" w:hAnsi="Times New Roman"/>
          <w:sz w:val="24"/>
          <w:szCs w:val="24"/>
        </w:rPr>
        <w:t xml:space="preserve">ade </w:t>
      </w:r>
      <w:r w:rsidR="00CF3C12" w:rsidRPr="00AE40AF">
        <w:rPr>
          <w:rFonts w:ascii="Times New Roman" w:hAnsi="Times New Roman"/>
          <w:sz w:val="24"/>
          <w:szCs w:val="24"/>
        </w:rPr>
        <w:t xml:space="preserve">under Superannuation (prudential standard) determination No. </w:t>
      </w:r>
      <w:r w:rsidR="00670E26" w:rsidRPr="00AE40AF">
        <w:rPr>
          <w:rFonts w:ascii="Times New Roman" w:hAnsi="Times New Roman"/>
          <w:sz w:val="24"/>
          <w:szCs w:val="24"/>
        </w:rPr>
        <w:t>1</w:t>
      </w:r>
      <w:r w:rsidR="00CF3C12" w:rsidRPr="00AE40AF">
        <w:rPr>
          <w:rFonts w:ascii="Times New Roman" w:hAnsi="Times New Roman"/>
          <w:sz w:val="24"/>
          <w:szCs w:val="24"/>
        </w:rPr>
        <w:t xml:space="preserve"> of 201</w:t>
      </w:r>
      <w:r w:rsidR="00670E26" w:rsidRPr="00AE40AF">
        <w:rPr>
          <w:rFonts w:ascii="Times New Roman" w:hAnsi="Times New Roman"/>
          <w:sz w:val="24"/>
          <w:szCs w:val="24"/>
        </w:rPr>
        <w:t>2</w:t>
      </w:r>
      <w:r w:rsidR="00CF3C12" w:rsidRPr="00AE40AF">
        <w:rPr>
          <w:rFonts w:ascii="Times New Roman" w:hAnsi="Times New Roman"/>
          <w:sz w:val="24"/>
          <w:szCs w:val="24"/>
        </w:rPr>
        <w:t xml:space="preserve"> and re</w:t>
      </w:r>
      <w:r w:rsidR="00CF3C12" w:rsidRPr="000F0A68">
        <w:rPr>
          <w:rFonts w:ascii="Times New Roman" w:hAnsi="Times New Roman"/>
          <w:sz w:val="24"/>
          <w:szCs w:val="24"/>
        </w:rPr>
        <w:t>place it with a new version of the prudential standard.</w:t>
      </w:r>
    </w:p>
    <w:p w14:paraId="70665D91" w14:textId="77777777" w:rsidR="00017A21" w:rsidRPr="000F0A68" w:rsidRDefault="00017A21" w:rsidP="00A3718E">
      <w:pPr>
        <w:jc w:val="both"/>
        <w:rPr>
          <w:rFonts w:ascii="Times New Roman" w:hAnsi="Times New Roman"/>
          <w:sz w:val="24"/>
          <w:szCs w:val="24"/>
        </w:rPr>
      </w:pPr>
    </w:p>
    <w:p w14:paraId="3763A7E3" w14:textId="2CBE1CDC" w:rsidR="00844EC6" w:rsidRDefault="00017A21" w:rsidP="00A3718E">
      <w:pPr>
        <w:jc w:val="both"/>
        <w:rPr>
          <w:rFonts w:ascii="Times New Roman" w:hAnsi="Times New Roman"/>
          <w:sz w:val="24"/>
          <w:szCs w:val="24"/>
        </w:rPr>
      </w:pPr>
      <w:r w:rsidRPr="0058468C">
        <w:rPr>
          <w:rFonts w:ascii="Times New Roman" w:hAnsi="Times New Roman"/>
          <w:sz w:val="24"/>
          <w:szCs w:val="24"/>
        </w:rPr>
        <w:t xml:space="preserve">SPS </w:t>
      </w:r>
      <w:r w:rsidR="00844EC6">
        <w:rPr>
          <w:rFonts w:ascii="Times New Roman" w:hAnsi="Times New Roman"/>
          <w:sz w:val="24"/>
          <w:szCs w:val="24"/>
        </w:rPr>
        <w:t>114</w:t>
      </w:r>
      <w:r w:rsidRPr="0058468C">
        <w:rPr>
          <w:rFonts w:ascii="Times New Roman" w:hAnsi="Times New Roman"/>
          <w:sz w:val="24"/>
          <w:szCs w:val="24"/>
        </w:rPr>
        <w:t xml:space="preserve"> </w:t>
      </w:r>
      <w:r w:rsidR="00844EC6">
        <w:rPr>
          <w:rFonts w:ascii="Times New Roman" w:hAnsi="Times New Roman"/>
          <w:sz w:val="24"/>
          <w:szCs w:val="24"/>
        </w:rPr>
        <w:t xml:space="preserve">sets out requirements for an RSE licensee </w:t>
      </w:r>
      <w:r w:rsidR="00204199">
        <w:rPr>
          <w:rFonts w:ascii="Times New Roman" w:hAnsi="Times New Roman"/>
          <w:sz w:val="24"/>
          <w:szCs w:val="24"/>
        </w:rPr>
        <w:t xml:space="preserve">to </w:t>
      </w:r>
      <w:r w:rsidR="00844EC6">
        <w:rPr>
          <w:rFonts w:ascii="Times New Roman" w:hAnsi="Times New Roman"/>
          <w:sz w:val="24"/>
          <w:szCs w:val="24"/>
        </w:rPr>
        <w:t xml:space="preserve">maintain </w:t>
      </w:r>
      <w:r w:rsidR="00626225">
        <w:rPr>
          <w:rFonts w:ascii="Times New Roman" w:hAnsi="Times New Roman"/>
          <w:sz w:val="24"/>
          <w:szCs w:val="24"/>
        </w:rPr>
        <w:t xml:space="preserve">and manage </w:t>
      </w:r>
      <w:r w:rsidR="00844EC6">
        <w:rPr>
          <w:rFonts w:ascii="Times New Roman" w:hAnsi="Times New Roman"/>
          <w:sz w:val="24"/>
          <w:szCs w:val="24"/>
        </w:rPr>
        <w:t xml:space="preserve">financial resources to </w:t>
      </w:r>
      <w:r w:rsidR="00626225">
        <w:rPr>
          <w:rFonts w:ascii="Times New Roman" w:hAnsi="Times New Roman"/>
          <w:sz w:val="24"/>
          <w:szCs w:val="24"/>
        </w:rPr>
        <w:t xml:space="preserve">protect beneficiaries and to </w:t>
      </w:r>
      <w:r w:rsidR="00844EC6">
        <w:rPr>
          <w:rFonts w:ascii="Times New Roman" w:hAnsi="Times New Roman"/>
          <w:sz w:val="24"/>
          <w:szCs w:val="24"/>
        </w:rPr>
        <w:t xml:space="preserve">address incurred or potential losses arising from operational risks </w:t>
      </w:r>
      <w:r w:rsidR="008029AE">
        <w:rPr>
          <w:rFonts w:ascii="Times New Roman" w:hAnsi="Times New Roman"/>
          <w:sz w:val="24"/>
          <w:szCs w:val="24"/>
        </w:rPr>
        <w:t xml:space="preserve">that </w:t>
      </w:r>
      <w:r w:rsidR="00844EC6">
        <w:rPr>
          <w:rFonts w:ascii="Times New Roman" w:hAnsi="Times New Roman"/>
          <w:sz w:val="24"/>
          <w:szCs w:val="24"/>
        </w:rPr>
        <w:t xml:space="preserve">may affect RSEs within its business operations. SPS 114 </w:t>
      </w:r>
      <w:r w:rsidR="00844EC6" w:rsidRPr="00536E6D">
        <w:rPr>
          <w:rFonts w:ascii="Times New Roman" w:hAnsi="Times New Roman"/>
          <w:sz w:val="24"/>
          <w:szCs w:val="24"/>
        </w:rPr>
        <w:t xml:space="preserve">outlines the </w:t>
      </w:r>
      <w:r w:rsidR="00844EC6">
        <w:rPr>
          <w:rFonts w:ascii="Times New Roman" w:hAnsi="Times New Roman"/>
          <w:sz w:val="24"/>
          <w:szCs w:val="24"/>
        </w:rPr>
        <w:t>key requirements for RSE licensees to have ready access to financial resources to respond to, and rectify</w:t>
      </w:r>
      <w:r w:rsidR="0052025F">
        <w:rPr>
          <w:rFonts w:ascii="Times New Roman" w:hAnsi="Times New Roman"/>
          <w:sz w:val="24"/>
          <w:szCs w:val="24"/>
        </w:rPr>
        <w:t>,</w:t>
      </w:r>
      <w:r w:rsidR="00844EC6">
        <w:rPr>
          <w:rFonts w:ascii="Times New Roman" w:hAnsi="Times New Roman"/>
          <w:sz w:val="24"/>
          <w:szCs w:val="24"/>
        </w:rPr>
        <w:t xml:space="preserve"> the impacts of operational risk</w:t>
      </w:r>
      <w:r w:rsidR="0052025F">
        <w:rPr>
          <w:rFonts w:ascii="Times New Roman" w:hAnsi="Times New Roman"/>
          <w:sz w:val="24"/>
          <w:szCs w:val="24"/>
        </w:rPr>
        <w:t>s</w:t>
      </w:r>
      <w:r w:rsidR="00844EC6">
        <w:rPr>
          <w:rFonts w:ascii="Times New Roman" w:hAnsi="Times New Roman"/>
          <w:sz w:val="24"/>
          <w:szCs w:val="24"/>
        </w:rPr>
        <w:t>.</w:t>
      </w:r>
    </w:p>
    <w:p w14:paraId="21A3323C" w14:textId="77777777" w:rsidR="00844EC6" w:rsidRPr="00564008" w:rsidRDefault="00844EC6" w:rsidP="00A3718E">
      <w:pPr>
        <w:jc w:val="both"/>
        <w:rPr>
          <w:rFonts w:ascii="Times New Roman" w:hAnsi="Times New Roman"/>
          <w:sz w:val="24"/>
          <w:szCs w:val="24"/>
        </w:rPr>
      </w:pPr>
    </w:p>
    <w:p w14:paraId="28728CE9" w14:textId="77777777" w:rsidR="00017A21" w:rsidRPr="00564008" w:rsidRDefault="00017A21" w:rsidP="00A3718E">
      <w:pPr>
        <w:spacing w:after="240"/>
        <w:jc w:val="both"/>
        <w:rPr>
          <w:rFonts w:ascii="Times New Roman" w:eastAsia="Calibri" w:hAnsi="Times New Roman"/>
          <w:b/>
          <w:sz w:val="24"/>
          <w:szCs w:val="24"/>
        </w:rPr>
      </w:pPr>
      <w:r w:rsidRPr="00564008">
        <w:rPr>
          <w:rFonts w:ascii="Times New Roman" w:eastAsia="Calibri" w:hAnsi="Times New Roman"/>
          <w:b/>
          <w:sz w:val="24"/>
          <w:szCs w:val="24"/>
        </w:rPr>
        <w:t>Human rights implications</w:t>
      </w:r>
    </w:p>
    <w:p w14:paraId="4D9492D9" w14:textId="77777777" w:rsidR="00017A21" w:rsidRDefault="00017A21" w:rsidP="00A3718E">
      <w:pPr>
        <w:jc w:val="both"/>
        <w:rPr>
          <w:rFonts w:ascii="Times New Roman" w:hAnsi="Times New Roman"/>
          <w:iCs/>
          <w:sz w:val="24"/>
          <w:szCs w:val="24"/>
        </w:rPr>
      </w:pPr>
      <w:bookmarkStart w:id="13" w:name="_Hlk167976000"/>
      <w:r w:rsidRPr="000A1A15">
        <w:rPr>
          <w:rFonts w:ascii="Times New Roman" w:hAnsi="Times New Roman"/>
          <w:iCs/>
          <w:sz w:val="24"/>
          <w:szCs w:val="24"/>
        </w:rPr>
        <w:t xml:space="preserve">APRA has assessed the </w:t>
      </w:r>
      <w:r w:rsidRPr="00BC1E70">
        <w:rPr>
          <w:rFonts w:ascii="Times New Roman" w:hAnsi="Times New Roman"/>
          <w:iCs/>
          <w:sz w:val="24"/>
          <w:szCs w:val="24"/>
        </w:rPr>
        <w:t xml:space="preserve">Legislative </w:t>
      </w:r>
      <w:r w:rsidRPr="000A1A15">
        <w:rPr>
          <w:rFonts w:ascii="Times New Roman" w:hAnsi="Times New Roman"/>
          <w:iCs/>
          <w:sz w:val="24"/>
          <w:szCs w:val="24"/>
        </w:rPr>
        <w:t xml:space="preserve">Instrument and is of the view that </w:t>
      </w:r>
      <w:r>
        <w:rPr>
          <w:rFonts w:ascii="Times New Roman" w:hAnsi="Times New Roman"/>
          <w:iCs/>
          <w:sz w:val="24"/>
          <w:szCs w:val="24"/>
        </w:rPr>
        <w:t>it</w:t>
      </w:r>
      <w:r w:rsidRPr="000A1A15">
        <w:rPr>
          <w:rFonts w:ascii="Times New Roman" w:hAnsi="Times New Roman"/>
          <w:iCs/>
          <w:sz w:val="24"/>
          <w:szCs w:val="24"/>
        </w:rPr>
        <w:t xml:space="preserve"> do</w:t>
      </w:r>
      <w:r>
        <w:rPr>
          <w:rFonts w:ascii="Times New Roman" w:hAnsi="Times New Roman"/>
          <w:iCs/>
          <w:sz w:val="24"/>
          <w:szCs w:val="24"/>
        </w:rPr>
        <w:t>es</w:t>
      </w:r>
      <w:r w:rsidRPr="000A1A15">
        <w:rPr>
          <w:rFonts w:ascii="Times New Roman" w:hAnsi="Times New Roman"/>
          <w:iCs/>
          <w:sz w:val="24"/>
          <w:szCs w:val="24"/>
        </w:rPr>
        <w:t xml:space="preserve"> not engage any of the applicable rights or freedoms recognised or declared in the international instruments listed in section 3 of the HRPS Act. Accordingly, in APRA's assessment, the Instrument </w:t>
      </w:r>
      <w:r>
        <w:rPr>
          <w:rFonts w:ascii="Times New Roman" w:hAnsi="Times New Roman"/>
          <w:iCs/>
          <w:sz w:val="24"/>
          <w:szCs w:val="24"/>
        </w:rPr>
        <w:t>is</w:t>
      </w:r>
      <w:r w:rsidRPr="000A1A15">
        <w:rPr>
          <w:rFonts w:ascii="Times New Roman" w:hAnsi="Times New Roman"/>
          <w:iCs/>
          <w:sz w:val="24"/>
          <w:szCs w:val="24"/>
        </w:rPr>
        <w:t xml:space="preserve"> compatible with human rights. </w:t>
      </w:r>
    </w:p>
    <w:bookmarkEnd w:id="13"/>
    <w:p w14:paraId="57D25E41" w14:textId="77777777" w:rsidR="00017A21" w:rsidRPr="00EA4126" w:rsidRDefault="00017A21" w:rsidP="00A3718E">
      <w:pPr>
        <w:jc w:val="both"/>
        <w:rPr>
          <w:rFonts w:ascii="Times New Roman" w:hAnsi="Times New Roman"/>
          <w:iCs/>
          <w:sz w:val="24"/>
          <w:szCs w:val="24"/>
        </w:rPr>
      </w:pPr>
    </w:p>
    <w:p w14:paraId="3C76D222" w14:textId="77777777" w:rsidR="00017A21" w:rsidRDefault="00017A21" w:rsidP="00A3718E">
      <w:pPr>
        <w:spacing w:after="240"/>
        <w:jc w:val="both"/>
        <w:rPr>
          <w:rFonts w:ascii="Times New Roman" w:eastAsia="Calibri" w:hAnsi="Times New Roman"/>
          <w:b/>
          <w:sz w:val="24"/>
          <w:szCs w:val="24"/>
        </w:rPr>
      </w:pPr>
      <w:r>
        <w:rPr>
          <w:rFonts w:ascii="Times New Roman" w:eastAsia="Calibri" w:hAnsi="Times New Roman"/>
          <w:b/>
          <w:sz w:val="24"/>
          <w:szCs w:val="24"/>
        </w:rPr>
        <w:t xml:space="preserve">Conclusion </w:t>
      </w:r>
    </w:p>
    <w:p w14:paraId="3568391F" w14:textId="77777777" w:rsidR="00017A21" w:rsidRDefault="00017A21" w:rsidP="00A3718E">
      <w:pPr>
        <w:spacing w:after="240"/>
        <w:jc w:val="both"/>
        <w:rPr>
          <w:rFonts w:ascii="Times New Roman" w:eastAsia="Calibri" w:hAnsi="Times New Roman"/>
          <w:sz w:val="24"/>
          <w:szCs w:val="24"/>
        </w:rPr>
      </w:pPr>
      <w:r>
        <w:rPr>
          <w:rFonts w:ascii="Times New Roman" w:eastAsia="Calibri" w:hAnsi="Times New Roman"/>
          <w:sz w:val="24"/>
          <w:szCs w:val="24"/>
        </w:rPr>
        <w:t>This Legislative Instrument is compatible with human rights as it does not raise any human rights issues.</w:t>
      </w:r>
    </w:p>
    <w:sectPr w:rsidR="00017A21" w:rsidSect="003D5032">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620C7" w14:textId="77777777" w:rsidR="00FD32A1" w:rsidRDefault="00FD32A1" w:rsidP="00226412">
      <w:r>
        <w:separator/>
      </w:r>
    </w:p>
  </w:endnote>
  <w:endnote w:type="continuationSeparator" w:id="0">
    <w:p w14:paraId="6E5743A3" w14:textId="77777777" w:rsidR="00FD32A1" w:rsidRDefault="00FD32A1" w:rsidP="00226412">
      <w:r>
        <w:continuationSeparator/>
      </w:r>
    </w:p>
  </w:endnote>
  <w:endnote w:type="continuationNotice" w:id="1">
    <w:p w14:paraId="0F7F89D5" w14:textId="77777777" w:rsidR="00FD32A1" w:rsidRDefault="00FD3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3596" w14:textId="78EA97A4" w:rsidR="00DE4F56" w:rsidRDefault="00DE4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1D55" w14:textId="588C17D9" w:rsidR="0091715F" w:rsidRDefault="0091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1BD1" w14:textId="1DEF3BF5" w:rsidR="00DE4F56" w:rsidRDefault="00DE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94688" w14:textId="77777777" w:rsidR="00FD32A1" w:rsidRDefault="00FD32A1" w:rsidP="00226412">
      <w:r>
        <w:separator/>
      </w:r>
    </w:p>
  </w:footnote>
  <w:footnote w:type="continuationSeparator" w:id="0">
    <w:p w14:paraId="570740D9" w14:textId="77777777" w:rsidR="00FD32A1" w:rsidRDefault="00FD32A1" w:rsidP="00226412">
      <w:r>
        <w:continuationSeparator/>
      </w:r>
    </w:p>
  </w:footnote>
  <w:footnote w:type="continuationNotice" w:id="1">
    <w:p w14:paraId="28D6F802" w14:textId="77777777" w:rsidR="00FD32A1" w:rsidRDefault="00FD32A1"/>
  </w:footnote>
  <w:footnote w:id="2">
    <w:p w14:paraId="4B7C2FA7" w14:textId="0419FF43" w:rsidR="00B87FEF" w:rsidRDefault="00B87FEF">
      <w:pPr>
        <w:pStyle w:val="FootnoteText"/>
      </w:pPr>
      <w:r>
        <w:rPr>
          <w:rStyle w:val="FootnoteReference"/>
        </w:rPr>
        <w:footnoteRef/>
      </w:r>
      <w:r>
        <w:t xml:space="preserve"> </w:t>
      </w:r>
      <w:bookmarkStart w:id="6" w:name="_Hlk167809829"/>
      <w:r w:rsidRPr="00081F83">
        <w:rPr>
          <w:rFonts w:ascii="Times New Roman" w:hAnsi="Times New Roman"/>
        </w:rPr>
        <w:t>The exception is s</w:t>
      </w:r>
      <w:r>
        <w:rPr>
          <w:rFonts w:ascii="Times New Roman" w:hAnsi="Times New Roman"/>
        </w:rPr>
        <w:t>ection 54B of the Act, which provides that breach of a covenant under sections 52 or 52A is a civil penalty provision</w:t>
      </w:r>
      <w:bookmarkEnd w:id="6"/>
      <w:r>
        <w:rPr>
          <w:rFonts w:ascii="Times New Roman" w:hAnsi="Times New Roman"/>
        </w:rPr>
        <w:t xml:space="preserve">. </w:t>
      </w:r>
    </w:p>
  </w:footnote>
  <w:footnote w:id="3">
    <w:p w14:paraId="3458A748" w14:textId="40826205" w:rsidR="007573D2" w:rsidRDefault="007573D2" w:rsidP="007573D2">
      <w:pPr>
        <w:pStyle w:val="FootnoteText"/>
      </w:pPr>
      <w:r>
        <w:rPr>
          <w:rStyle w:val="FootnoteReference"/>
        </w:rPr>
        <w:footnoteRef/>
      </w:r>
      <w:r>
        <w:t xml:space="preserve"> </w:t>
      </w:r>
      <w:r w:rsidRPr="007573D2">
        <w:rPr>
          <w:rFonts w:ascii="Times New Roman" w:hAnsi="Times New Roman"/>
        </w:rPr>
        <w:t>For paragraph 44(2)(b) of the Legislation Act, section 42 of the Legislation Act (disallowance of legislative instruments) does not apply to a legislative instrument in a class of legislative instrument referred to in an item of the table contained in regulation 9 of the Legislation Regulations. Item 3 of the table contained in regulation 9 of the Legislation Regulations provides that ‘an instrument (other than a regulation) relating to superannuation’ is a class of legislative instrument not subject to disallowance.</w:t>
      </w:r>
    </w:p>
  </w:footnote>
  <w:footnote w:id="4">
    <w:p w14:paraId="3B58C711" w14:textId="08FF5F99" w:rsidR="007573D2" w:rsidRDefault="007573D2" w:rsidP="007573D2">
      <w:pPr>
        <w:pStyle w:val="FootnoteText"/>
      </w:pPr>
      <w:r>
        <w:rPr>
          <w:rStyle w:val="FootnoteReference"/>
        </w:rPr>
        <w:footnoteRef/>
      </w:r>
      <w:r>
        <w:t xml:space="preserve"> </w:t>
      </w:r>
      <w:r w:rsidRPr="007573D2">
        <w:rPr>
          <w:rFonts w:ascii="Times New Roman" w:hAnsi="Times New Roman"/>
        </w:rPr>
        <w:t>For paragraph 54(2)(b) of the Legislation Act, Part 4 of Chapter 3 of the Legislation Act (sunsetting of legislative instruments) does not apply to a legislative instrument in a class of legislative instruments referred to in an item of the table contained in regulation 11 of the Legislation Regulations. Item 6 of the table contained in regulation 11 of the Legislation Regulations provides that ‘an instrument (other than a regulation) relating to superannuation’ is a class of legislative instrument not subject to sunsetting.</w:t>
      </w:r>
    </w:p>
  </w:footnote>
  <w:footnote w:id="5">
    <w:p w14:paraId="62D66B75" w14:textId="5E59266D" w:rsidR="008A13A5" w:rsidRPr="008A13A5" w:rsidRDefault="008A13A5">
      <w:pPr>
        <w:pStyle w:val="FootnoteText"/>
        <w:rPr>
          <w:rFonts w:ascii="Times New Roman" w:hAnsi="Times New Roman"/>
        </w:rPr>
      </w:pPr>
      <w:r>
        <w:rPr>
          <w:rStyle w:val="FootnoteReference"/>
        </w:rPr>
        <w:footnoteRef/>
      </w:r>
      <w:r>
        <w:t xml:space="preserve"> </w:t>
      </w:r>
      <w:r w:rsidR="00A032D2" w:rsidRPr="00A032D2">
        <w:rPr>
          <w:rFonts w:ascii="Times New Roman" w:hAnsi="Times New Roman"/>
        </w:rPr>
        <w:t>The February</w:t>
      </w:r>
      <w:r w:rsidR="00A032D2">
        <w:rPr>
          <w:rFonts w:ascii="Times New Roman" w:hAnsi="Times New Roman"/>
        </w:rPr>
        <w:t xml:space="preserve"> 2024 consultation, </w:t>
      </w:r>
      <w:r w:rsidR="00291733">
        <w:rPr>
          <w:rFonts w:ascii="Times New Roman" w:hAnsi="Times New Roman"/>
        </w:rPr>
        <w:t>the discussio</w:t>
      </w:r>
      <w:r w:rsidR="00DA6AFB">
        <w:rPr>
          <w:rFonts w:ascii="Times New Roman" w:hAnsi="Times New Roman"/>
        </w:rPr>
        <w:t xml:space="preserve">n </w:t>
      </w:r>
      <w:r w:rsidR="00291733">
        <w:rPr>
          <w:rFonts w:ascii="Times New Roman" w:hAnsi="Times New Roman"/>
        </w:rPr>
        <w:t xml:space="preserve">papers and industry submissions are available here: </w:t>
      </w:r>
      <w:r w:rsidR="00674084" w:rsidRPr="00E4667A">
        <w:rPr>
          <w:rFonts w:ascii="Times New Roman" w:hAnsi="Times New Roman"/>
        </w:rPr>
        <w:t>https://www.apra.gov.au/strengthening-financial-resilience-superannuation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8F1D" w14:textId="69CE2858" w:rsidR="00E20129" w:rsidRDefault="00E20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3A201B61" w14:paraId="694CC012" w14:textId="77777777" w:rsidTr="3A201B61">
      <w:trPr>
        <w:trHeight w:val="300"/>
      </w:trPr>
      <w:tc>
        <w:tcPr>
          <w:tcW w:w="2765" w:type="dxa"/>
        </w:tcPr>
        <w:p w14:paraId="49F45747" w14:textId="4EAEB48B" w:rsidR="3A201B61" w:rsidRDefault="3A201B61" w:rsidP="3A201B61">
          <w:pPr>
            <w:pStyle w:val="Header"/>
            <w:ind w:left="-115"/>
          </w:pPr>
        </w:p>
      </w:tc>
      <w:tc>
        <w:tcPr>
          <w:tcW w:w="2765" w:type="dxa"/>
        </w:tcPr>
        <w:p w14:paraId="21A18867" w14:textId="575E0AC8" w:rsidR="3A201B61" w:rsidRDefault="3A201B61" w:rsidP="3A201B61">
          <w:pPr>
            <w:pStyle w:val="Header"/>
            <w:jc w:val="center"/>
          </w:pPr>
        </w:p>
      </w:tc>
      <w:tc>
        <w:tcPr>
          <w:tcW w:w="2765" w:type="dxa"/>
        </w:tcPr>
        <w:p w14:paraId="63565460" w14:textId="55D71C65" w:rsidR="3A201B61" w:rsidRDefault="3A201B61" w:rsidP="3A201B61">
          <w:pPr>
            <w:pStyle w:val="Header"/>
            <w:ind w:right="-115"/>
            <w:jc w:val="right"/>
          </w:pPr>
        </w:p>
      </w:tc>
    </w:tr>
  </w:tbl>
  <w:p w14:paraId="2A306DCD" w14:textId="34AB7A10" w:rsidR="00E20129" w:rsidRDefault="00E20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AA67B" w14:textId="42A59146" w:rsidR="00E20129" w:rsidRDefault="00E20129">
    <w:pPr>
      <w:pStyle w:val="Header"/>
    </w:pPr>
  </w:p>
</w:hdr>
</file>

<file path=word/intelligence2.xml><?xml version="1.0" encoding="utf-8"?>
<int2:intelligence xmlns:int2="http://schemas.microsoft.com/office/intelligence/2020/intelligence" xmlns:oel="http://schemas.microsoft.com/office/2019/extlst">
  <int2:observations>
    <int2:textHash int2:hashCode="ybPjR/s4F1WWUr" int2:id="161l1TyR">
      <int2:state int2:value="Rejected" int2:type="AugLoop_Text_Critique"/>
    </int2:textHash>
    <int2:bookmark int2:bookmarkName="_Int_HP2awR6w" int2:invalidationBookmarkName="" int2:hashCode="nLb/EvuB1c1YXU" int2:id="tyU2aTD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4E674A5"/>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02DAC"/>
    <w:multiLevelType w:val="hybridMultilevel"/>
    <w:tmpl w:val="A94C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C96D1F"/>
    <w:multiLevelType w:val="hybridMultilevel"/>
    <w:tmpl w:val="16504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36BA0"/>
    <w:multiLevelType w:val="hybridMultilevel"/>
    <w:tmpl w:val="3558F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DA3D61"/>
    <w:multiLevelType w:val="hybridMultilevel"/>
    <w:tmpl w:val="DD7685AA"/>
    <w:lvl w:ilvl="0" w:tplc="5FF0F4E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DF6494"/>
    <w:multiLevelType w:val="multilevel"/>
    <w:tmpl w:val="A316FE50"/>
    <w:numStyleLink w:val="ChapterList"/>
  </w:abstractNum>
  <w:abstractNum w:abstractNumId="1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E2941FC"/>
    <w:multiLevelType w:val="hybridMultilevel"/>
    <w:tmpl w:val="D834D8FE"/>
    <w:lvl w:ilvl="0" w:tplc="65A60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6944367">
    <w:abstractNumId w:val="6"/>
  </w:num>
  <w:num w:numId="2" w16cid:durableId="1816683611">
    <w:abstractNumId w:val="0"/>
  </w:num>
  <w:num w:numId="3" w16cid:durableId="1302270365">
    <w:abstractNumId w:val="8"/>
  </w:num>
  <w:num w:numId="4" w16cid:durableId="266273101">
    <w:abstractNumId w:val="3"/>
  </w:num>
  <w:num w:numId="5" w16cid:durableId="1976370700">
    <w:abstractNumId w:val="2"/>
  </w:num>
  <w:num w:numId="6" w16cid:durableId="491726947">
    <w:abstractNumId w:val="11"/>
  </w:num>
  <w:num w:numId="7" w16cid:durableId="1369447352">
    <w:abstractNumId w:val="1"/>
  </w:num>
  <w:num w:numId="8" w16cid:durableId="1189638883">
    <w:abstractNumId w:val="7"/>
  </w:num>
  <w:num w:numId="9" w16cid:durableId="1426538941">
    <w:abstractNumId w:val="5"/>
  </w:num>
  <w:num w:numId="10" w16cid:durableId="1865286768">
    <w:abstractNumId w:val="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761372901">
    <w:abstractNumId w:val="10"/>
  </w:num>
  <w:num w:numId="12" w16cid:durableId="1408721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DA"/>
    <w:rsid w:val="00003730"/>
    <w:rsid w:val="00006E6F"/>
    <w:rsid w:val="0000731C"/>
    <w:rsid w:val="00007350"/>
    <w:rsid w:val="00010C03"/>
    <w:rsid w:val="0001137E"/>
    <w:rsid w:val="00011C8C"/>
    <w:rsid w:val="00012CB5"/>
    <w:rsid w:val="00017A21"/>
    <w:rsid w:val="0002102D"/>
    <w:rsid w:val="000212B8"/>
    <w:rsid w:val="000219C2"/>
    <w:rsid w:val="000231FC"/>
    <w:rsid w:val="00023413"/>
    <w:rsid w:val="0002424F"/>
    <w:rsid w:val="00025F78"/>
    <w:rsid w:val="00026B0B"/>
    <w:rsid w:val="000305F9"/>
    <w:rsid w:val="000369F2"/>
    <w:rsid w:val="000401FC"/>
    <w:rsid w:val="00041C06"/>
    <w:rsid w:val="00043FAF"/>
    <w:rsid w:val="00044746"/>
    <w:rsid w:val="00046476"/>
    <w:rsid w:val="00051932"/>
    <w:rsid w:val="00052AD2"/>
    <w:rsid w:val="00054C6B"/>
    <w:rsid w:val="00055E65"/>
    <w:rsid w:val="00056483"/>
    <w:rsid w:val="00057494"/>
    <w:rsid w:val="000579F4"/>
    <w:rsid w:val="0006187E"/>
    <w:rsid w:val="00061916"/>
    <w:rsid w:val="00064557"/>
    <w:rsid w:val="0006685D"/>
    <w:rsid w:val="00067A33"/>
    <w:rsid w:val="000730AC"/>
    <w:rsid w:val="00073573"/>
    <w:rsid w:val="00074014"/>
    <w:rsid w:val="000746E7"/>
    <w:rsid w:val="00077C5D"/>
    <w:rsid w:val="00083221"/>
    <w:rsid w:val="000859D1"/>
    <w:rsid w:val="000868DC"/>
    <w:rsid w:val="0008730F"/>
    <w:rsid w:val="00087602"/>
    <w:rsid w:val="000927F0"/>
    <w:rsid w:val="00096C9F"/>
    <w:rsid w:val="000A21BA"/>
    <w:rsid w:val="000A297A"/>
    <w:rsid w:val="000A3C91"/>
    <w:rsid w:val="000A4793"/>
    <w:rsid w:val="000A4FB7"/>
    <w:rsid w:val="000A579F"/>
    <w:rsid w:val="000A6E2C"/>
    <w:rsid w:val="000B0A35"/>
    <w:rsid w:val="000B1204"/>
    <w:rsid w:val="000B1E24"/>
    <w:rsid w:val="000B2854"/>
    <w:rsid w:val="000B621C"/>
    <w:rsid w:val="000B6AC3"/>
    <w:rsid w:val="000B6CA5"/>
    <w:rsid w:val="000C0703"/>
    <w:rsid w:val="000C0F55"/>
    <w:rsid w:val="000C23FA"/>
    <w:rsid w:val="000C2F3C"/>
    <w:rsid w:val="000C423A"/>
    <w:rsid w:val="000C489D"/>
    <w:rsid w:val="000C62E9"/>
    <w:rsid w:val="000D31B2"/>
    <w:rsid w:val="000D604A"/>
    <w:rsid w:val="000D6705"/>
    <w:rsid w:val="000E26C1"/>
    <w:rsid w:val="000E3425"/>
    <w:rsid w:val="000E369C"/>
    <w:rsid w:val="000E5375"/>
    <w:rsid w:val="000E5731"/>
    <w:rsid w:val="000F0A68"/>
    <w:rsid w:val="000F4319"/>
    <w:rsid w:val="000F5C86"/>
    <w:rsid w:val="000F5E33"/>
    <w:rsid w:val="000F7D6E"/>
    <w:rsid w:val="0010085B"/>
    <w:rsid w:val="0010321C"/>
    <w:rsid w:val="0010337E"/>
    <w:rsid w:val="00104286"/>
    <w:rsid w:val="00106239"/>
    <w:rsid w:val="001064FB"/>
    <w:rsid w:val="001129FE"/>
    <w:rsid w:val="00114987"/>
    <w:rsid w:val="00114AA7"/>
    <w:rsid w:val="001162D3"/>
    <w:rsid w:val="00117306"/>
    <w:rsid w:val="001174BB"/>
    <w:rsid w:val="001203EE"/>
    <w:rsid w:val="00120ECD"/>
    <w:rsid w:val="00121106"/>
    <w:rsid w:val="00124271"/>
    <w:rsid w:val="0012429B"/>
    <w:rsid w:val="00126834"/>
    <w:rsid w:val="0013031E"/>
    <w:rsid w:val="00130648"/>
    <w:rsid w:val="00131782"/>
    <w:rsid w:val="0013472B"/>
    <w:rsid w:val="00135B49"/>
    <w:rsid w:val="00140688"/>
    <w:rsid w:val="0014583B"/>
    <w:rsid w:val="0014605F"/>
    <w:rsid w:val="001463DE"/>
    <w:rsid w:val="001539E5"/>
    <w:rsid w:val="0015454A"/>
    <w:rsid w:val="0016076B"/>
    <w:rsid w:val="00162B39"/>
    <w:rsid w:val="001632AB"/>
    <w:rsid w:val="00164E02"/>
    <w:rsid w:val="00166156"/>
    <w:rsid w:val="0016754E"/>
    <w:rsid w:val="00171295"/>
    <w:rsid w:val="0017632D"/>
    <w:rsid w:val="00180B16"/>
    <w:rsid w:val="00181949"/>
    <w:rsid w:val="00182969"/>
    <w:rsid w:val="00182FA1"/>
    <w:rsid w:val="00183DF2"/>
    <w:rsid w:val="001847EB"/>
    <w:rsid w:val="00184F74"/>
    <w:rsid w:val="001853B1"/>
    <w:rsid w:val="0018555E"/>
    <w:rsid w:val="00187BE0"/>
    <w:rsid w:val="00195237"/>
    <w:rsid w:val="00195669"/>
    <w:rsid w:val="00195A8E"/>
    <w:rsid w:val="00196477"/>
    <w:rsid w:val="00196627"/>
    <w:rsid w:val="001A01D0"/>
    <w:rsid w:val="001A048E"/>
    <w:rsid w:val="001A0E44"/>
    <w:rsid w:val="001A20A7"/>
    <w:rsid w:val="001A2896"/>
    <w:rsid w:val="001A57FA"/>
    <w:rsid w:val="001A5FDC"/>
    <w:rsid w:val="001A7542"/>
    <w:rsid w:val="001B0D95"/>
    <w:rsid w:val="001B10F7"/>
    <w:rsid w:val="001B49EB"/>
    <w:rsid w:val="001B7A71"/>
    <w:rsid w:val="001C1FD2"/>
    <w:rsid w:val="001C2878"/>
    <w:rsid w:val="001C2D57"/>
    <w:rsid w:val="001C36F6"/>
    <w:rsid w:val="001C3B02"/>
    <w:rsid w:val="001C4D78"/>
    <w:rsid w:val="001C561D"/>
    <w:rsid w:val="001C5863"/>
    <w:rsid w:val="001C7491"/>
    <w:rsid w:val="001D0229"/>
    <w:rsid w:val="001D0A56"/>
    <w:rsid w:val="001D29FA"/>
    <w:rsid w:val="001D4141"/>
    <w:rsid w:val="001D536C"/>
    <w:rsid w:val="001D5789"/>
    <w:rsid w:val="001D72CB"/>
    <w:rsid w:val="001D76A8"/>
    <w:rsid w:val="001E0DC7"/>
    <w:rsid w:val="001E2C4D"/>
    <w:rsid w:val="001E3F34"/>
    <w:rsid w:val="001E4414"/>
    <w:rsid w:val="001E568D"/>
    <w:rsid w:val="001E5ABC"/>
    <w:rsid w:val="001E5EB7"/>
    <w:rsid w:val="001F06CB"/>
    <w:rsid w:val="001F113E"/>
    <w:rsid w:val="001F49BC"/>
    <w:rsid w:val="001F4B72"/>
    <w:rsid w:val="001F5286"/>
    <w:rsid w:val="001F5396"/>
    <w:rsid w:val="001F6812"/>
    <w:rsid w:val="00202155"/>
    <w:rsid w:val="0020221B"/>
    <w:rsid w:val="00203823"/>
    <w:rsid w:val="00204199"/>
    <w:rsid w:val="00205827"/>
    <w:rsid w:val="0020743E"/>
    <w:rsid w:val="002076D1"/>
    <w:rsid w:val="00207B4A"/>
    <w:rsid w:val="00211C88"/>
    <w:rsid w:val="00211F67"/>
    <w:rsid w:val="002139AA"/>
    <w:rsid w:val="002139EC"/>
    <w:rsid w:val="0021465A"/>
    <w:rsid w:val="00214BC2"/>
    <w:rsid w:val="00215693"/>
    <w:rsid w:val="00220C5C"/>
    <w:rsid w:val="00226412"/>
    <w:rsid w:val="002273F3"/>
    <w:rsid w:val="00227C44"/>
    <w:rsid w:val="00230A7E"/>
    <w:rsid w:val="00231829"/>
    <w:rsid w:val="00232879"/>
    <w:rsid w:val="00232CC6"/>
    <w:rsid w:val="00234BB7"/>
    <w:rsid w:val="00235855"/>
    <w:rsid w:val="00240642"/>
    <w:rsid w:val="002406ED"/>
    <w:rsid w:val="00241CB5"/>
    <w:rsid w:val="002436BD"/>
    <w:rsid w:val="002440E4"/>
    <w:rsid w:val="00244C0B"/>
    <w:rsid w:val="00246387"/>
    <w:rsid w:val="00246723"/>
    <w:rsid w:val="00246D75"/>
    <w:rsid w:val="00256B21"/>
    <w:rsid w:val="00257428"/>
    <w:rsid w:val="00260CC6"/>
    <w:rsid w:val="002622B5"/>
    <w:rsid w:val="00263070"/>
    <w:rsid w:val="002644D2"/>
    <w:rsid w:val="002673C1"/>
    <w:rsid w:val="00267445"/>
    <w:rsid w:val="00267543"/>
    <w:rsid w:val="0026784B"/>
    <w:rsid w:val="0027625E"/>
    <w:rsid w:val="00276435"/>
    <w:rsid w:val="002803F4"/>
    <w:rsid w:val="00281FC9"/>
    <w:rsid w:val="0028414B"/>
    <w:rsid w:val="0029098A"/>
    <w:rsid w:val="00291733"/>
    <w:rsid w:val="00293E2C"/>
    <w:rsid w:val="0029565F"/>
    <w:rsid w:val="0029591F"/>
    <w:rsid w:val="00295AC7"/>
    <w:rsid w:val="0029646C"/>
    <w:rsid w:val="00297427"/>
    <w:rsid w:val="002A091A"/>
    <w:rsid w:val="002A0DE6"/>
    <w:rsid w:val="002A0E10"/>
    <w:rsid w:val="002A32FC"/>
    <w:rsid w:val="002A73BD"/>
    <w:rsid w:val="002B040B"/>
    <w:rsid w:val="002B0922"/>
    <w:rsid w:val="002B0EBF"/>
    <w:rsid w:val="002B1434"/>
    <w:rsid w:val="002B2224"/>
    <w:rsid w:val="002B3150"/>
    <w:rsid w:val="002B3BB0"/>
    <w:rsid w:val="002B4BD0"/>
    <w:rsid w:val="002B504F"/>
    <w:rsid w:val="002B6E0E"/>
    <w:rsid w:val="002B7ADE"/>
    <w:rsid w:val="002C2CC7"/>
    <w:rsid w:val="002C4976"/>
    <w:rsid w:val="002C7097"/>
    <w:rsid w:val="002C7BB7"/>
    <w:rsid w:val="002D10ED"/>
    <w:rsid w:val="002D155D"/>
    <w:rsid w:val="002D1F70"/>
    <w:rsid w:val="002D3EF8"/>
    <w:rsid w:val="002D5343"/>
    <w:rsid w:val="002D58C8"/>
    <w:rsid w:val="002D6F61"/>
    <w:rsid w:val="002D722F"/>
    <w:rsid w:val="002E0016"/>
    <w:rsid w:val="002E0FF8"/>
    <w:rsid w:val="002E1629"/>
    <w:rsid w:val="002E1D5A"/>
    <w:rsid w:val="002E36A1"/>
    <w:rsid w:val="002E5019"/>
    <w:rsid w:val="002E6C1E"/>
    <w:rsid w:val="002F1110"/>
    <w:rsid w:val="002F1DB5"/>
    <w:rsid w:val="002F2254"/>
    <w:rsid w:val="002F3772"/>
    <w:rsid w:val="002F4609"/>
    <w:rsid w:val="002F578E"/>
    <w:rsid w:val="002F62F0"/>
    <w:rsid w:val="003011EE"/>
    <w:rsid w:val="00302A63"/>
    <w:rsid w:val="00304484"/>
    <w:rsid w:val="0030506B"/>
    <w:rsid w:val="00310CF8"/>
    <w:rsid w:val="00311B74"/>
    <w:rsid w:val="00311EE0"/>
    <w:rsid w:val="003120C7"/>
    <w:rsid w:val="00315622"/>
    <w:rsid w:val="00315796"/>
    <w:rsid w:val="00316C42"/>
    <w:rsid w:val="00317E9E"/>
    <w:rsid w:val="00322753"/>
    <w:rsid w:val="00322E9B"/>
    <w:rsid w:val="00323919"/>
    <w:rsid w:val="00324E13"/>
    <w:rsid w:val="00324F69"/>
    <w:rsid w:val="00326157"/>
    <w:rsid w:val="00326A95"/>
    <w:rsid w:val="0033058D"/>
    <w:rsid w:val="00330732"/>
    <w:rsid w:val="00331977"/>
    <w:rsid w:val="00331B61"/>
    <w:rsid w:val="003321C5"/>
    <w:rsid w:val="003328CB"/>
    <w:rsid w:val="00332B92"/>
    <w:rsid w:val="0033429A"/>
    <w:rsid w:val="00335355"/>
    <w:rsid w:val="00336521"/>
    <w:rsid w:val="003402E6"/>
    <w:rsid w:val="0034193D"/>
    <w:rsid w:val="00343B27"/>
    <w:rsid w:val="003446C9"/>
    <w:rsid w:val="0034479C"/>
    <w:rsid w:val="003449FB"/>
    <w:rsid w:val="00345E97"/>
    <w:rsid w:val="00346038"/>
    <w:rsid w:val="00346258"/>
    <w:rsid w:val="00346C99"/>
    <w:rsid w:val="0034714B"/>
    <w:rsid w:val="00347217"/>
    <w:rsid w:val="00354CB8"/>
    <w:rsid w:val="00357D11"/>
    <w:rsid w:val="003608B7"/>
    <w:rsid w:val="00361451"/>
    <w:rsid w:val="00362414"/>
    <w:rsid w:val="00364E2C"/>
    <w:rsid w:val="00365C10"/>
    <w:rsid w:val="003717E4"/>
    <w:rsid w:val="00371D61"/>
    <w:rsid w:val="003733DE"/>
    <w:rsid w:val="00373992"/>
    <w:rsid w:val="003757AC"/>
    <w:rsid w:val="003778D5"/>
    <w:rsid w:val="00380B40"/>
    <w:rsid w:val="00381712"/>
    <w:rsid w:val="00383F5C"/>
    <w:rsid w:val="00384EA4"/>
    <w:rsid w:val="003866AD"/>
    <w:rsid w:val="00391002"/>
    <w:rsid w:val="0039258A"/>
    <w:rsid w:val="003933E2"/>
    <w:rsid w:val="00394A84"/>
    <w:rsid w:val="003961D3"/>
    <w:rsid w:val="003965FE"/>
    <w:rsid w:val="00397F01"/>
    <w:rsid w:val="003A488F"/>
    <w:rsid w:val="003A52A5"/>
    <w:rsid w:val="003A614D"/>
    <w:rsid w:val="003A6BE5"/>
    <w:rsid w:val="003B01F8"/>
    <w:rsid w:val="003B26D1"/>
    <w:rsid w:val="003B4C6E"/>
    <w:rsid w:val="003B51C9"/>
    <w:rsid w:val="003B6448"/>
    <w:rsid w:val="003B6737"/>
    <w:rsid w:val="003B69F5"/>
    <w:rsid w:val="003B6D32"/>
    <w:rsid w:val="003B7862"/>
    <w:rsid w:val="003B79E1"/>
    <w:rsid w:val="003C0A8F"/>
    <w:rsid w:val="003C4411"/>
    <w:rsid w:val="003C589C"/>
    <w:rsid w:val="003C751F"/>
    <w:rsid w:val="003C78FC"/>
    <w:rsid w:val="003C7E72"/>
    <w:rsid w:val="003D03B8"/>
    <w:rsid w:val="003D157D"/>
    <w:rsid w:val="003D470E"/>
    <w:rsid w:val="003D5032"/>
    <w:rsid w:val="003D65A0"/>
    <w:rsid w:val="003D7837"/>
    <w:rsid w:val="003E191B"/>
    <w:rsid w:val="003E365C"/>
    <w:rsid w:val="003E37FA"/>
    <w:rsid w:val="003E3E85"/>
    <w:rsid w:val="003E52A3"/>
    <w:rsid w:val="003E5334"/>
    <w:rsid w:val="003E79FC"/>
    <w:rsid w:val="003F07CA"/>
    <w:rsid w:val="003F165D"/>
    <w:rsid w:val="003F1A99"/>
    <w:rsid w:val="003F465B"/>
    <w:rsid w:val="003F4C6C"/>
    <w:rsid w:val="003F6014"/>
    <w:rsid w:val="003F6283"/>
    <w:rsid w:val="003F6F6B"/>
    <w:rsid w:val="003F7902"/>
    <w:rsid w:val="00400ECD"/>
    <w:rsid w:val="0040175E"/>
    <w:rsid w:val="00401BCB"/>
    <w:rsid w:val="004049C1"/>
    <w:rsid w:val="00404F16"/>
    <w:rsid w:val="00406E05"/>
    <w:rsid w:val="00411E0E"/>
    <w:rsid w:val="00413197"/>
    <w:rsid w:val="00414447"/>
    <w:rsid w:val="0041536E"/>
    <w:rsid w:val="00417A7E"/>
    <w:rsid w:val="00420D14"/>
    <w:rsid w:val="00420F24"/>
    <w:rsid w:val="00422164"/>
    <w:rsid w:val="00425230"/>
    <w:rsid w:val="00425874"/>
    <w:rsid w:val="00427103"/>
    <w:rsid w:val="0042747E"/>
    <w:rsid w:val="00432BE1"/>
    <w:rsid w:val="004337B5"/>
    <w:rsid w:val="0043425D"/>
    <w:rsid w:val="00434A07"/>
    <w:rsid w:val="00435978"/>
    <w:rsid w:val="004369C9"/>
    <w:rsid w:val="00436BBA"/>
    <w:rsid w:val="00440936"/>
    <w:rsid w:val="00443A02"/>
    <w:rsid w:val="00443B39"/>
    <w:rsid w:val="00450984"/>
    <w:rsid w:val="00451AB5"/>
    <w:rsid w:val="004530C4"/>
    <w:rsid w:val="0045374C"/>
    <w:rsid w:val="00454DB3"/>
    <w:rsid w:val="00454F51"/>
    <w:rsid w:val="00455784"/>
    <w:rsid w:val="004600B7"/>
    <w:rsid w:val="00462162"/>
    <w:rsid w:val="004639AA"/>
    <w:rsid w:val="004645B9"/>
    <w:rsid w:val="00464BD5"/>
    <w:rsid w:val="004650F6"/>
    <w:rsid w:val="00465940"/>
    <w:rsid w:val="00466000"/>
    <w:rsid w:val="00467E58"/>
    <w:rsid w:val="004721AA"/>
    <w:rsid w:val="0047276E"/>
    <w:rsid w:val="00472B98"/>
    <w:rsid w:val="0047529B"/>
    <w:rsid w:val="00475A00"/>
    <w:rsid w:val="00475B22"/>
    <w:rsid w:val="00475B79"/>
    <w:rsid w:val="004804F0"/>
    <w:rsid w:val="0048137E"/>
    <w:rsid w:val="00483D14"/>
    <w:rsid w:val="00484885"/>
    <w:rsid w:val="00487CF5"/>
    <w:rsid w:val="00491351"/>
    <w:rsid w:val="0049567D"/>
    <w:rsid w:val="0049617A"/>
    <w:rsid w:val="00496465"/>
    <w:rsid w:val="004965F6"/>
    <w:rsid w:val="00497588"/>
    <w:rsid w:val="00497E6E"/>
    <w:rsid w:val="004A0616"/>
    <w:rsid w:val="004A3208"/>
    <w:rsid w:val="004A3585"/>
    <w:rsid w:val="004A755E"/>
    <w:rsid w:val="004A78AB"/>
    <w:rsid w:val="004B0F7A"/>
    <w:rsid w:val="004B44FA"/>
    <w:rsid w:val="004B581F"/>
    <w:rsid w:val="004B6B9E"/>
    <w:rsid w:val="004B76B9"/>
    <w:rsid w:val="004C0237"/>
    <w:rsid w:val="004C0F45"/>
    <w:rsid w:val="004C15EC"/>
    <w:rsid w:val="004C3526"/>
    <w:rsid w:val="004C3D07"/>
    <w:rsid w:val="004C4A16"/>
    <w:rsid w:val="004C605D"/>
    <w:rsid w:val="004D1902"/>
    <w:rsid w:val="004D1A37"/>
    <w:rsid w:val="004D1C56"/>
    <w:rsid w:val="004D20A1"/>
    <w:rsid w:val="004D62F5"/>
    <w:rsid w:val="004D7613"/>
    <w:rsid w:val="004E15A7"/>
    <w:rsid w:val="004E2008"/>
    <w:rsid w:val="004E5B42"/>
    <w:rsid w:val="004F1934"/>
    <w:rsid w:val="004F26D7"/>
    <w:rsid w:val="004F34BA"/>
    <w:rsid w:val="004F35DE"/>
    <w:rsid w:val="004F3D30"/>
    <w:rsid w:val="004F4388"/>
    <w:rsid w:val="004F5F3E"/>
    <w:rsid w:val="004F7B48"/>
    <w:rsid w:val="00500943"/>
    <w:rsid w:val="005023B4"/>
    <w:rsid w:val="00504F82"/>
    <w:rsid w:val="00506888"/>
    <w:rsid w:val="005073C4"/>
    <w:rsid w:val="00513169"/>
    <w:rsid w:val="00513314"/>
    <w:rsid w:val="00514DE4"/>
    <w:rsid w:val="005151ED"/>
    <w:rsid w:val="0052025F"/>
    <w:rsid w:val="00520D62"/>
    <w:rsid w:val="00521ED6"/>
    <w:rsid w:val="00525A42"/>
    <w:rsid w:val="005320DC"/>
    <w:rsid w:val="00534617"/>
    <w:rsid w:val="00535A95"/>
    <w:rsid w:val="005368A5"/>
    <w:rsid w:val="00536DF6"/>
    <w:rsid w:val="00540372"/>
    <w:rsid w:val="00540407"/>
    <w:rsid w:val="00542C98"/>
    <w:rsid w:val="00542E55"/>
    <w:rsid w:val="0054331B"/>
    <w:rsid w:val="00543ADA"/>
    <w:rsid w:val="00547AA2"/>
    <w:rsid w:val="00555314"/>
    <w:rsid w:val="0055750E"/>
    <w:rsid w:val="0056141D"/>
    <w:rsid w:val="00562030"/>
    <w:rsid w:val="00562C8B"/>
    <w:rsid w:val="00564008"/>
    <w:rsid w:val="0056623A"/>
    <w:rsid w:val="00566493"/>
    <w:rsid w:val="005670BF"/>
    <w:rsid w:val="00567F0E"/>
    <w:rsid w:val="00572012"/>
    <w:rsid w:val="00573601"/>
    <w:rsid w:val="005737CF"/>
    <w:rsid w:val="00574819"/>
    <w:rsid w:val="00575087"/>
    <w:rsid w:val="00575ECA"/>
    <w:rsid w:val="00580314"/>
    <w:rsid w:val="005804C9"/>
    <w:rsid w:val="0058067B"/>
    <w:rsid w:val="00582055"/>
    <w:rsid w:val="005827FB"/>
    <w:rsid w:val="00590408"/>
    <w:rsid w:val="0059059A"/>
    <w:rsid w:val="00591060"/>
    <w:rsid w:val="005918A1"/>
    <w:rsid w:val="00591CF7"/>
    <w:rsid w:val="0059220B"/>
    <w:rsid w:val="005A3DB6"/>
    <w:rsid w:val="005A40D6"/>
    <w:rsid w:val="005A4CEC"/>
    <w:rsid w:val="005A5AE7"/>
    <w:rsid w:val="005A747B"/>
    <w:rsid w:val="005B0B77"/>
    <w:rsid w:val="005B0CCE"/>
    <w:rsid w:val="005B1E1E"/>
    <w:rsid w:val="005B3B82"/>
    <w:rsid w:val="005B4229"/>
    <w:rsid w:val="005B4CF5"/>
    <w:rsid w:val="005B621B"/>
    <w:rsid w:val="005B66C7"/>
    <w:rsid w:val="005B74BA"/>
    <w:rsid w:val="005C1536"/>
    <w:rsid w:val="005C212B"/>
    <w:rsid w:val="005C22CF"/>
    <w:rsid w:val="005C43D6"/>
    <w:rsid w:val="005C53B9"/>
    <w:rsid w:val="005C6FF7"/>
    <w:rsid w:val="005D0DA8"/>
    <w:rsid w:val="005D14D0"/>
    <w:rsid w:val="005D21C8"/>
    <w:rsid w:val="005D60AF"/>
    <w:rsid w:val="005E10E8"/>
    <w:rsid w:val="005E1F9C"/>
    <w:rsid w:val="005E2B5F"/>
    <w:rsid w:val="005E40F9"/>
    <w:rsid w:val="005E44FD"/>
    <w:rsid w:val="005E519E"/>
    <w:rsid w:val="005E55C7"/>
    <w:rsid w:val="005E5910"/>
    <w:rsid w:val="005E5E6B"/>
    <w:rsid w:val="005E7FDC"/>
    <w:rsid w:val="005F119B"/>
    <w:rsid w:val="005F1DBB"/>
    <w:rsid w:val="005F24B4"/>
    <w:rsid w:val="005F2BAA"/>
    <w:rsid w:val="005F3BD1"/>
    <w:rsid w:val="005F48B7"/>
    <w:rsid w:val="005F6051"/>
    <w:rsid w:val="005F7F83"/>
    <w:rsid w:val="00600467"/>
    <w:rsid w:val="006004D7"/>
    <w:rsid w:val="00600B38"/>
    <w:rsid w:val="00601974"/>
    <w:rsid w:val="00601E08"/>
    <w:rsid w:val="0060310B"/>
    <w:rsid w:val="0060351A"/>
    <w:rsid w:val="0060749F"/>
    <w:rsid w:val="00611725"/>
    <w:rsid w:val="00611731"/>
    <w:rsid w:val="006124C1"/>
    <w:rsid w:val="00613713"/>
    <w:rsid w:val="00616361"/>
    <w:rsid w:val="00617B92"/>
    <w:rsid w:val="00622480"/>
    <w:rsid w:val="006251B8"/>
    <w:rsid w:val="0062596B"/>
    <w:rsid w:val="00626225"/>
    <w:rsid w:val="006307CE"/>
    <w:rsid w:val="00631472"/>
    <w:rsid w:val="006325B5"/>
    <w:rsid w:val="00632691"/>
    <w:rsid w:val="00634ADB"/>
    <w:rsid w:val="0063634B"/>
    <w:rsid w:val="00636B64"/>
    <w:rsid w:val="0063730C"/>
    <w:rsid w:val="006379BA"/>
    <w:rsid w:val="00637BB1"/>
    <w:rsid w:val="00640D76"/>
    <w:rsid w:val="00641201"/>
    <w:rsid w:val="00642B78"/>
    <w:rsid w:val="00644040"/>
    <w:rsid w:val="0064514B"/>
    <w:rsid w:val="00645236"/>
    <w:rsid w:val="0064579F"/>
    <w:rsid w:val="00645D5D"/>
    <w:rsid w:val="00645DD9"/>
    <w:rsid w:val="006460F1"/>
    <w:rsid w:val="0064620D"/>
    <w:rsid w:val="00646F1B"/>
    <w:rsid w:val="00647D58"/>
    <w:rsid w:val="00651F04"/>
    <w:rsid w:val="006525A9"/>
    <w:rsid w:val="0065431F"/>
    <w:rsid w:val="00655211"/>
    <w:rsid w:val="00656969"/>
    <w:rsid w:val="006573ED"/>
    <w:rsid w:val="00657678"/>
    <w:rsid w:val="006576E3"/>
    <w:rsid w:val="0066022A"/>
    <w:rsid w:val="00664C90"/>
    <w:rsid w:val="00666E6D"/>
    <w:rsid w:val="00667D1B"/>
    <w:rsid w:val="006707EF"/>
    <w:rsid w:val="00670E26"/>
    <w:rsid w:val="00671D7D"/>
    <w:rsid w:val="00672640"/>
    <w:rsid w:val="00672BE3"/>
    <w:rsid w:val="00672D3D"/>
    <w:rsid w:val="006739E6"/>
    <w:rsid w:val="00673A37"/>
    <w:rsid w:val="00674084"/>
    <w:rsid w:val="006747DF"/>
    <w:rsid w:val="00674E42"/>
    <w:rsid w:val="00674F93"/>
    <w:rsid w:val="006751D1"/>
    <w:rsid w:val="006759D4"/>
    <w:rsid w:val="006803B7"/>
    <w:rsid w:val="006806FD"/>
    <w:rsid w:val="006811D3"/>
    <w:rsid w:val="00681310"/>
    <w:rsid w:val="00681F4E"/>
    <w:rsid w:val="00682865"/>
    <w:rsid w:val="00684F73"/>
    <w:rsid w:val="00692ACF"/>
    <w:rsid w:val="00694918"/>
    <w:rsid w:val="00695F94"/>
    <w:rsid w:val="006A0032"/>
    <w:rsid w:val="006A0247"/>
    <w:rsid w:val="006A1710"/>
    <w:rsid w:val="006A1EC2"/>
    <w:rsid w:val="006A25AA"/>
    <w:rsid w:val="006A4589"/>
    <w:rsid w:val="006A4781"/>
    <w:rsid w:val="006A652C"/>
    <w:rsid w:val="006A686E"/>
    <w:rsid w:val="006B093F"/>
    <w:rsid w:val="006B2B6F"/>
    <w:rsid w:val="006B32A7"/>
    <w:rsid w:val="006B3492"/>
    <w:rsid w:val="006B4E21"/>
    <w:rsid w:val="006B7C01"/>
    <w:rsid w:val="006C4480"/>
    <w:rsid w:val="006C4AB6"/>
    <w:rsid w:val="006C54C2"/>
    <w:rsid w:val="006C65A2"/>
    <w:rsid w:val="006C6FDE"/>
    <w:rsid w:val="006C7100"/>
    <w:rsid w:val="006D1486"/>
    <w:rsid w:val="006D15F4"/>
    <w:rsid w:val="006D4212"/>
    <w:rsid w:val="006D4F4B"/>
    <w:rsid w:val="006D7256"/>
    <w:rsid w:val="006E0A91"/>
    <w:rsid w:val="006E1CFE"/>
    <w:rsid w:val="006E44A6"/>
    <w:rsid w:val="006E6BDB"/>
    <w:rsid w:val="006E77D7"/>
    <w:rsid w:val="006F1ED2"/>
    <w:rsid w:val="006F312D"/>
    <w:rsid w:val="006F3152"/>
    <w:rsid w:val="006F5B28"/>
    <w:rsid w:val="007031F4"/>
    <w:rsid w:val="007049CF"/>
    <w:rsid w:val="00705278"/>
    <w:rsid w:val="0070792D"/>
    <w:rsid w:val="00710690"/>
    <w:rsid w:val="00711BF0"/>
    <w:rsid w:val="00711F95"/>
    <w:rsid w:val="00712E1A"/>
    <w:rsid w:val="0071309C"/>
    <w:rsid w:val="00713ED9"/>
    <w:rsid w:val="007162C6"/>
    <w:rsid w:val="007212DB"/>
    <w:rsid w:val="00721752"/>
    <w:rsid w:val="007219B4"/>
    <w:rsid w:val="00725B70"/>
    <w:rsid w:val="00725E38"/>
    <w:rsid w:val="0073448C"/>
    <w:rsid w:val="00734BFD"/>
    <w:rsid w:val="00736864"/>
    <w:rsid w:val="007368AD"/>
    <w:rsid w:val="00736DEC"/>
    <w:rsid w:val="007428D4"/>
    <w:rsid w:val="007435ED"/>
    <w:rsid w:val="00743848"/>
    <w:rsid w:val="00744C5A"/>
    <w:rsid w:val="007471D1"/>
    <w:rsid w:val="007475A7"/>
    <w:rsid w:val="00747AFF"/>
    <w:rsid w:val="007515B2"/>
    <w:rsid w:val="00752186"/>
    <w:rsid w:val="0075254E"/>
    <w:rsid w:val="0075357D"/>
    <w:rsid w:val="00756148"/>
    <w:rsid w:val="007573D2"/>
    <w:rsid w:val="00761B22"/>
    <w:rsid w:val="00762FC9"/>
    <w:rsid w:val="00763518"/>
    <w:rsid w:val="007645FC"/>
    <w:rsid w:val="0076470D"/>
    <w:rsid w:val="0076674A"/>
    <w:rsid w:val="00766FD9"/>
    <w:rsid w:val="007712A3"/>
    <w:rsid w:val="00771493"/>
    <w:rsid w:val="00771800"/>
    <w:rsid w:val="007722A9"/>
    <w:rsid w:val="007727F1"/>
    <w:rsid w:val="00773669"/>
    <w:rsid w:val="007745B4"/>
    <w:rsid w:val="00780DDB"/>
    <w:rsid w:val="007838C4"/>
    <w:rsid w:val="00784D16"/>
    <w:rsid w:val="00785CDC"/>
    <w:rsid w:val="0078657E"/>
    <w:rsid w:val="007909D5"/>
    <w:rsid w:val="007924B1"/>
    <w:rsid w:val="007926A5"/>
    <w:rsid w:val="00793270"/>
    <w:rsid w:val="00795035"/>
    <w:rsid w:val="00796A67"/>
    <w:rsid w:val="007A0F5B"/>
    <w:rsid w:val="007A5A71"/>
    <w:rsid w:val="007A6E88"/>
    <w:rsid w:val="007B0629"/>
    <w:rsid w:val="007B280B"/>
    <w:rsid w:val="007B2E2C"/>
    <w:rsid w:val="007B5912"/>
    <w:rsid w:val="007B60CE"/>
    <w:rsid w:val="007C0641"/>
    <w:rsid w:val="007C1FFA"/>
    <w:rsid w:val="007C2298"/>
    <w:rsid w:val="007C366B"/>
    <w:rsid w:val="007C3D1E"/>
    <w:rsid w:val="007D0311"/>
    <w:rsid w:val="007D0FBB"/>
    <w:rsid w:val="007D1ED1"/>
    <w:rsid w:val="007D4D45"/>
    <w:rsid w:val="007D5594"/>
    <w:rsid w:val="007D7494"/>
    <w:rsid w:val="007E3BA0"/>
    <w:rsid w:val="007E4165"/>
    <w:rsid w:val="007E4B2A"/>
    <w:rsid w:val="007E5117"/>
    <w:rsid w:val="007E58AC"/>
    <w:rsid w:val="007E60A1"/>
    <w:rsid w:val="007E60F0"/>
    <w:rsid w:val="007E6A9E"/>
    <w:rsid w:val="007E73D4"/>
    <w:rsid w:val="007F3F4A"/>
    <w:rsid w:val="007F65A5"/>
    <w:rsid w:val="007F68E8"/>
    <w:rsid w:val="007F6A25"/>
    <w:rsid w:val="00800BE9"/>
    <w:rsid w:val="008029AE"/>
    <w:rsid w:val="00804266"/>
    <w:rsid w:val="00805FAF"/>
    <w:rsid w:val="00806FAA"/>
    <w:rsid w:val="00807585"/>
    <w:rsid w:val="008101C2"/>
    <w:rsid w:val="008114FD"/>
    <w:rsid w:val="0081387C"/>
    <w:rsid w:val="008151A2"/>
    <w:rsid w:val="00816284"/>
    <w:rsid w:val="0082075B"/>
    <w:rsid w:val="008210AE"/>
    <w:rsid w:val="0082471F"/>
    <w:rsid w:val="00825816"/>
    <w:rsid w:val="00827307"/>
    <w:rsid w:val="00830284"/>
    <w:rsid w:val="00830822"/>
    <w:rsid w:val="00830AE0"/>
    <w:rsid w:val="00830F66"/>
    <w:rsid w:val="0083498E"/>
    <w:rsid w:val="00835E92"/>
    <w:rsid w:val="00836B55"/>
    <w:rsid w:val="00841885"/>
    <w:rsid w:val="00841CAA"/>
    <w:rsid w:val="00844EC6"/>
    <w:rsid w:val="008518B7"/>
    <w:rsid w:val="00852C7B"/>
    <w:rsid w:val="00853AEE"/>
    <w:rsid w:val="008562F1"/>
    <w:rsid w:val="0086087F"/>
    <w:rsid w:val="00860C57"/>
    <w:rsid w:val="008622C7"/>
    <w:rsid w:val="00865886"/>
    <w:rsid w:val="00870B6D"/>
    <w:rsid w:val="00871516"/>
    <w:rsid w:val="00873F7F"/>
    <w:rsid w:val="00874CA6"/>
    <w:rsid w:val="0087514D"/>
    <w:rsid w:val="008761D2"/>
    <w:rsid w:val="00881DB0"/>
    <w:rsid w:val="00883D02"/>
    <w:rsid w:val="00884587"/>
    <w:rsid w:val="00884DBC"/>
    <w:rsid w:val="008867DB"/>
    <w:rsid w:val="00887D22"/>
    <w:rsid w:val="00892033"/>
    <w:rsid w:val="00893531"/>
    <w:rsid w:val="008949F6"/>
    <w:rsid w:val="00894F36"/>
    <w:rsid w:val="00897E9D"/>
    <w:rsid w:val="008A13A5"/>
    <w:rsid w:val="008A1A07"/>
    <w:rsid w:val="008A1DDE"/>
    <w:rsid w:val="008A2C33"/>
    <w:rsid w:val="008A317B"/>
    <w:rsid w:val="008A6DAC"/>
    <w:rsid w:val="008B0A27"/>
    <w:rsid w:val="008B15F0"/>
    <w:rsid w:val="008B3364"/>
    <w:rsid w:val="008B3B00"/>
    <w:rsid w:val="008B3B33"/>
    <w:rsid w:val="008B5976"/>
    <w:rsid w:val="008B7363"/>
    <w:rsid w:val="008B7A16"/>
    <w:rsid w:val="008C0570"/>
    <w:rsid w:val="008C058C"/>
    <w:rsid w:val="008C0717"/>
    <w:rsid w:val="008C11F3"/>
    <w:rsid w:val="008C242D"/>
    <w:rsid w:val="008C24BA"/>
    <w:rsid w:val="008C4FB1"/>
    <w:rsid w:val="008D0F17"/>
    <w:rsid w:val="008D1E8C"/>
    <w:rsid w:val="008D466F"/>
    <w:rsid w:val="008D4E04"/>
    <w:rsid w:val="008D61FC"/>
    <w:rsid w:val="008D757D"/>
    <w:rsid w:val="008D7BD9"/>
    <w:rsid w:val="008E341A"/>
    <w:rsid w:val="008E50A2"/>
    <w:rsid w:val="008E5D4C"/>
    <w:rsid w:val="008E7EB7"/>
    <w:rsid w:val="008F04BA"/>
    <w:rsid w:val="008F79E1"/>
    <w:rsid w:val="00901980"/>
    <w:rsid w:val="00903A5D"/>
    <w:rsid w:val="00911A23"/>
    <w:rsid w:val="00912238"/>
    <w:rsid w:val="00912303"/>
    <w:rsid w:val="009167E8"/>
    <w:rsid w:val="0091715F"/>
    <w:rsid w:val="009213D9"/>
    <w:rsid w:val="00921B27"/>
    <w:rsid w:val="009228BE"/>
    <w:rsid w:val="00922E5C"/>
    <w:rsid w:val="0092488D"/>
    <w:rsid w:val="00924BFA"/>
    <w:rsid w:val="00924CD0"/>
    <w:rsid w:val="00925A23"/>
    <w:rsid w:val="00925E7C"/>
    <w:rsid w:val="0093047E"/>
    <w:rsid w:val="00931462"/>
    <w:rsid w:val="00931893"/>
    <w:rsid w:val="00932EFA"/>
    <w:rsid w:val="00933F15"/>
    <w:rsid w:val="009357C0"/>
    <w:rsid w:val="009361A0"/>
    <w:rsid w:val="009363DA"/>
    <w:rsid w:val="00937C65"/>
    <w:rsid w:val="009419B3"/>
    <w:rsid w:val="009434F2"/>
    <w:rsid w:val="009443B7"/>
    <w:rsid w:val="00954170"/>
    <w:rsid w:val="00954E86"/>
    <w:rsid w:val="009557F7"/>
    <w:rsid w:val="00955D5F"/>
    <w:rsid w:val="00961971"/>
    <w:rsid w:val="00962B28"/>
    <w:rsid w:val="00963888"/>
    <w:rsid w:val="00965A4A"/>
    <w:rsid w:val="00967A15"/>
    <w:rsid w:val="00967D16"/>
    <w:rsid w:val="00973BF4"/>
    <w:rsid w:val="00973CF6"/>
    <w:rsid w:val="00975168"/>
    <w:rsid w:val="00975D47"/>
    <w:rsid w:val="00981A00"/>
    <w:rsid w:val="00982BC8"/>
    <w:rsid w:val="009837D2"/>
    <w:rsid w:val="00985384"/>
    <w:rsid w:val="00986172"/>
    <w:rsid w:val="00992EEA"/>
    <w:rsid w:val="00997F8C"/>
    <w:rsid w:val="009A04B1"/>
    <w:rsid w:val="009A0ACE"/>
    <w:rsid w:val="009A25B1"/>
    <w:rsid w:val="009A384E"/>
    <w:rsid w:val="009A559E"/>
    <w:rsid w:val="009A5AA9"/>
    <w:rsid w:val="009A5D43"/>
    <w:rsid w:val="009A5ED4"/>
    <w:rsid w:val="009B0380"/>
    <w:rsid w:val="009B084C"/>
    <w:rsid w:val="009B0E68"/>
    <w:rsid w:val="009B1953"/>
    <w:rsid w:val="009B2FE6"/>
    <w:rsid w:val="009B6C25"/>
    <w:rsid w:val="009B7DA9"/>
    <w:rsid w:val="009C0733"/>
    <w:rsid w:val="009C5368"/>
    <w:rsid w:val="009C57B0"/>
    <w:rsid w:val="009C6B81"/>
    <w:rsid w:val="009C6FCA"/>
    <w:rsid w:val="009C7B10"/>
    <w:rsid w:val="009D069B"/>
    <w:rsid w:val="009D0EC9"/>
    <w:rsid w:val="009D1A16"/>
    <w:rsid w:val="009D2834"/>
    <w:rsid w:val="009D4B3B"/>
    <w:rsid w:val="009D72E3"/>
    <w:rsid w:val="009D76B7"/>
    <w:rsid w:val="009E316E"/>
    <w:rsid w:val="009E41DC"/>
    <w:rsid w:val="009E4282"/>
    <w:rsid w:val="009E4671"/>
    <w:rsid w:val="009E4E32"/>
    <w:rsid w:val="009E6CFE"/>
    <w:rsid w:val="009E7A27"/>
    <w:rsid w:val="009F0205"/>
    <w:rsid w:val="009F1078"/>
    <w:rsid w:val="009F12EB"/>
    <w:rsid w:val="009F32BF"/>
    <w:rsid w:val="009F4648"/>
    <w:rsid w:val="009F6091"/>
    <w:rsid w:val="009F62CE"/>
    <w:rsid w:val="009F7ED8"/>
    <w:rsid w:val="00A01CFE"/>
    <w:rsid w:val="00A02C59"/>
    <w:rsid w:val="00A032D2"/>
    <w:rsid w:val="00A03997"/>
    <w:rsid w:val="00A03CAB"/>
    <w:rsid w:val="00A06020"/>
    <w:rsid w:val="00A06838"/>
    <w:rsid w:val="00A072AB"/>
    <w:rsid w:val="00A079E9"/>
    <w:rsid w:val="00A111D8"/>
    <w:rsid w:val="00A12F1D"/>
    <w:rsid w:val="00A13C32"/>
    <w:rsid w:val="00A148FA"/>
    <w:rsid w:val="00A17097"/>
    <w:rsid w:val="00A172E4"/>
    <w:rsid w:val="00A17A1A"/>
    <w:rsid w:val="00A237AA"/>
    <w:rsid w:val="00A24054"/>
    <w:rsid w:val="00A26E72"/>
    <w:rsid w:val="00A279AF"/>
    <w:rsid w:val="00A33772"/>
    <w:rsid w:val="00A345CF"/>
    <w:rsid w:val="00A352CD"/>
    <w:rsid w:val="00A36412"/>
    <w:rsid w:val="00A36D95"/>
    <w:rsid w:val="00A36E9F"/>
    <w:rsid w:val="00A3718E"/>
    <w:rsid w:val="00A37CA2"/>
    <w:rsid w:val="00A4133B"/>
    <w:rsid w:val="00A41EE1"/>
    <w:rsid w:val="00A422A9"/>
    <w:rsid w:val="00A42D92"/>
    <w:rsid w:val="00A44FD7"/>
    <w:rsid w:val="00A4638A"/>
    <w:rsid w:val="00A46419"/>
    <w:rsid w:val="00A47273"/>
    <w:rsid w:val="00A474CC"/>
    <w:rsid w:val="00A479F1"/>
    <w:rsid w:val="00A5047F"/>
    <w:rsid w:val="00A51204"/>
    <w:rsid w:val="00A51A4C"/>
    <w:rsid w:val="00A533BB"/>
    <w:rsid w:val="00A53E3E"/>
    <w:rsid w:val="00A5583C"/>
    <w:rsid w:val="00A55858"/>
    <w:rsid w:val="00A566AB"/>
    <w:rsid w:val="00A63A2B"/>
    <w:rsid w:val="00A63F91"/>
    <w:rsid w:val="00A667AD"/>
    <w:rsid w:val="00A70240"/>
    <w:rsid w:val="00A711FA"/>
    <w:rsid w:val="00A7352E"/>
    <w:rsid w:val="00A740F1"/>
    <w:rsid w:val="00A74C23"/>
    <w:rsid w:val="00A74C38"/>
    <w:rsid w:val="00A7598E"/>
    <w:rsid w:val="00A804C7"/>
    <w:rsid w:val="00A806A4"/>
    <w:rsid w:val="00A811AB"/>
    <w:rsid w:val="00A82C07"/>
    <w:rsid w:val="00A9078B"/>
    <w:rsid w:val="00A91210"/>
    <w:rsid w:val="00A9161A"/>
    <w:rsid w:val="00A936B7"/>
    <w:rsid w:val="00A95638"/>
    <w:rsid w:val="00A96E2E"/>
    <w:rsid w:val="00A97254"/>
    <w:rsid w:val="00AA0FC6"/>
    <w:rsid w:val="00AA69B2"/>
    <w:rsid w:val="00AA6CBC"/>
    <w:rsid w:val="00AB1397"/>
    <w:rsid w:val="00AB2ED2"/>
    <w:rsid w:val="00AB529C"/>
    <w:rsid w:val="00AC0C89"/>
    <w:rsid w:val="00AC16DB"/>
    <w:rsid w:val="00AC2517"/>
    <w:rsid w:val="00AC55F9"/>
    <w:rsid w:val="00AC5796"/>
    <w:rsid w:val="00AC7962"/>
    <w:rsid w:val="00AC7A56"/>
    <w:rsid w:val="00AC7E8D"/>
    <w:rsid w:val="00AD2BFF"/>
    <w:rsid w:val="00AD2CB9"/>
    <w:rsid w:val="00AD418F"/>
    <w:rsid w:val="00AD5184"/>
    <w:rsid w:val="00AD55A8"/>
    <w:rsid w:val="00AD5DC2"/>
    <w:rsid w:val="00AD6219"/>
    <w:rsid w:val="00AD7906"/>
    <w:rsid w:val="00AE04A5"/>
    <w:rsid w:val="00AE0801"/>
    <w:rsid w:val="00AE10D4"/>
    <w:rsid w:val="00AE1BF1"/>
    <w:rsid w:val="00AE2322"/>
    <w:rsid w:val="00AE40AF"/>
    <w:rsid w:val="00AE5A6D"/>
    <w:rsid w:val="00AE6942"/>
    <w:rsid w:val="00AE6FF5"/>
    <w:rsid w:val="00AF0818"/>
    <w:rsid w:val="00AF18EA"/>
    <w:rsid w:val="00AF432C"/>
    <w:rsid w:val="00AF5417"/>
    <w:rsid w:val="00AF576B"/>
    <w:rsid w:val="00AF5D96"/>
    <w:rsid w:val="00AF5FFE"/>
    <w:rsid w:val="00AF6C07"/>
    <w:rsid w:val="00B02F67"/>
    <w:rsid w:val="00B04B1A"/>
    <w:rsid w:val="00B04B20"/>
    <w:rsid w:val="00B051B9"/>
    <w:rsid w:val="00B07342"/>
    <w:rsid w:val="00B107FD"/>
    <w:rsid w:val="00B10FDD"/>
    <w:rsid w:val="00B126FA"/>
    <w:rsid w:val="00B14554"/>
    <w:rsid w:val="00B15E93"/>
    <w:rsid w:val="00B20C41"/>
    <w:rsid w:val="00B21D36"/>
    <w:rsid w:val="00B26C5B"/>
    <w:rsid w:val="00B277E8"/>
    <w:rsid w:val="00B27EB9"/>
    <w:rsid w:val="00B3528A"/>
    <w:rsid w:val="00B408D7"/>
    <w:rsid w:val="00B40943"/>
    <w:rsid w:val="00B41E43"/>
    <w:rsid w:val="00B43486"/>
    <w:rsid w:val="00B43F30"/>
    <w:rsid w:val="00B44B8D"/>
    <w:rsid w:val="00B44C12"/>
    <w:rsid w:val="00B501D5"/>
    <w:rsid w:val="00B5052B"/>
    <w:rsid w:val="00B50E31"/>
    <w:rsid w:val="00B511AD"/>
    <w:rsid w:val="00B51638"/>
    <w:rsid w:val="00B525D4"/>
    <w:rsid w:val="00B54E3C"/>
    <w:rsid w:val="00B566C4"/>
    <w:rsid w:val="00B60BCB"/>
    <w:rsid w:val="00B61FCE"/>
    <w:rsid w:val="00B635F6"/>
    <w:rsid w:val="00B63F0D"/>
    <w:rsid w:val="00B64711"/>
    <w:rsid w:val="00B64B2E"/>
    <w:rsid w:val="00B67511"/>
    <w:rsid w:val="00B706F1"/>
    <w:rsid w:val="00B71194"/>
    <w:rsid w:val="00B7652C"/>
    <w:rsid w:val="00B76E3F"/>
    <w:rsid w:val="00B822E6"/>
    <w:rsid w:val="00B84419"/>
    <w:rsid w:val="00B8448C"/>
    <w:rsid w:val="00B85B6E"/>
    <w:rsid w:val="00B87FEF"/>
    <w:rsid w:val="00B9416D"/>
    <w:rsid w:val="00B94359"/>
    <w:rsid w:val="00B972F6"/>
    <w:rsid w:val="00B9763D"/>
    <w:rsid w:val="00B976D7"/>
    <w:rsid w:val="00BA1155"/>
    <w:rsid w:val="00BA6401"/>
    <w:rsid w:val="00BB0B28"/>
    <w:rsid w:val="00BB1678"/>
    <w:rsid w:val="00BB7C33"/>
    <w:rsid w:val="00BC3430"/>
    <w:rsid w:val="00BC5AB9"/>
    <w:rsid w:val="00BC77E6"/>
    <w:rsid w:val="00BC798D"/>
    <w:rsid w:val="00BC7C42"/>
    <w:rsid w:val="00BD0157"/>
    <w:rsid w:val="00BD0E04"/>
    <w:rsid w:val="00BD2CF5"/>
    <w:rsid w:val="00BD3F23"/>
    <w:rsid w:val="00BD410A"/>
    <w:rsid w:val="00BD5125"/>
    <w:rsid w:val="00BE1772"/>
    <w:rsid w:val="00BE1ABC"/>
    <w:rsid w:val="00BE1E6D"/>
    <w:rsid w:val="00BE36B6"/>
    <w:rsid w:val="00BE3D52"/>
    <w:rsid w:val="00BE4A27"/>
    <w:rsid w:val="00BE5C70"/>
    <w:rsid w:val="00BE63CF"/>
    <w:rsid w:val="00BF234D"/>
    <w:rsid w:val="00BF2953"/>
    <w:rsid w:val="00BF43B0"/>
    <w:rsid w:val="00BF47DE"/>
    <w:rsid w:val="00BF50D3"/>
    <w:rsid w:val="00C00832"/>
    <w:rsid w:val="00C01995"/>
    <w:rsid w:val="00C02A86"/>
    <w:rsid w:val="00C033A4"/>
    <w:rsid w:val="00C06634"/>
    <w:rsid w:val="00C0708C"/>
    <w:rsid w:val="00C13968"/>
    <w:rsid w:val="00C141A5"/>
    <w:rsid w:val="00C20087"/>
    <w:rsid w:val="00C200D0"/>
    <w:rsid w:val="00C22F38"/>
    <w:rsid w:val="00C25AE3"/>
    <w:rsid w:val="00C25FC8"/>
    <w:rsid w:val="00C26549"/>
    <w:rsid w:val="00C26BE5"/>
    <w:rsid w:val="00C26C48"/>
    <w:rsid w:val="00C27B64"/>
    <w:rsid w:val="00C301D1"/>
    <w:rsid w:val="00C302FA"/>
    <w:rsid w:val="00C31973"/>
    <w:rsid w:val="00C3285C"/>
    <w:rsid w:val="00C337E2"/>
    <w:rsid w:val="00C34BA6"/>
    <w:rsid w:val="00C354BA"/>
    <w:rsid w:val="00C36041"/>
    <w:rsid w:val="00C37037"/>
    <w:rsid w:val="00C40E2E"/>
    <w:rsid w:val="00C42159"/>
    <w:rsid w:val="00C4275C"/>
    <w:rsid w:val="00C43571"/>
    <w:rsid w:val="00C43E98"/>
    <w:rsid w:val="00C469F3"/>
    <w:rsid w:val="00C4760B"/>
    <w:rsid w:val="00C5092C"/>
    <w:rsid w:val="00C51230"/>
    <w:rsid w:val="00C530A9"/>
    <w:rsid w:val="00C539B1"/>
    <w:rsid w:val="00C5459F"/>
    <w:rsid w:val="00C54FC2"/>
    <w:rsid w:val="00C5500E"/>
    <w:rsid w:val="00C57281"/>
    <w:rsid w:val="00C573A9"/>
    <w:rsid w:val="00C6198C"/>
    <w:rsid w:val="00C63AB7"/>
    <w:rsid w:val="00C730E8"/>
    <w:rsid w:val="00C83823"/>
    <w:rsid w:val="00C84669"/>
    <w:rsid w:val="00C8505D"/>
    <w:rsid w:val="00C85C58"/>
    <w:rsid w:val="00C87AFA"/>
    <w:rsid w:val="00C90608"/>
    <w:rsid w:val="00C90E30"/>
    <w:rsid w:val="00C9147B"/>
    <w:rsid w:val="00C93D9D"/>
    <w:rsid w:val="00C945BB"/>
    <w:rsid w:val="00C948AA"/>
    <w:rsid w:val="00C9775D"/>
    <w:rsid w:val="00CA0E50"/>
    <w:rsid w:val="00CA456D"/>
    <w:rsid w:val="00CA6CB3"/>
    <w:rsid w:val="00CB076C"/>
    <w:rsid w:val="00CB0B0E"/>
    <w:rsid w:val="00CB1330"/>
    <w:rsid w:val="00CB13F8"/>
    <w:rsid w:val="00CB2918"/>
    <w:rsid w:val="00CB3610"/>
    <w:rsid w:val="00CB384A"/>
    <w:rsid w:val="00CB5D61"/>
    <w:rsid w:val="00CC0077"/>
    <w:rsid w:val="00CC045B"/>
    <w:rsid w:val="00CC33E7"/>
    <w:rsid w:val="00CC667A"/>
    <w:rsid w:val="00CC6B88"/>
    <w:rsid w:val="00CC6D47"/>
    <w:rsid w:val="00CC799E"/>
    <w:rsid w:val="00CD1947"/>
    <w:rsid w:val="00CD28E4"/>
    <w:rsid w:val="00CD393D"/>
    <w:rsid w:val="00CE0B15"/>
    <w:rsid w:val="00CE301F"/>
    <w:rsid w:val="00CE3EF2"/>
    <w:rsid w:val="00CE5EDA"/>
    <w:rsid w:val="00CE6E95"/>
    <w:rsid w:val="00CF2194"/>
    <w:rsid w:val="00CF2289"/>
    <w:rsid w:val="00CF3C12"/>
    <w:rsid w:val="00CF79C8"/>
    <w:rsid w:val="00CF7B98"/>
    <w:rsid w:val="00D00A41"/>
    <w:rsid w:val="00D01B18"/>
    <w:rsid w:val="00D02120"/>
    <w:rsid w:val="00D030E9"/>
    <w:rsid w:val="00D04F72"/>
    <w:rsid w:val="00D1077B"/>
    <w:rsid w:val="00D119F5"/>
    <w:rsid w:val="00D1483A"/>
    <w:rsid w:val="00D151B3"/>
    <w:rsid w:val="00D1597D"/>
    <w:rsid w:val="00D1763F"/>
    <w:rsid w:val="00D214A1"/>
    <w:rsid w:val="00D231D6"/>
    <w:rsid w:val="00D2408A"/>
    <w:rsid w:val="00D2452E"/>
    <w:rsid w:val="00D24965"/>
    <w:rsid w:val="00D268BF"/>
    <w:rsid w:val="00D30DEB"/>
    <w:rsid w:val="00D325A3"/>
    <w:rsid w:val="00D32D46"/>
    <w:rsid w:val="00D34402"/>
    <w:rsid w:val="00D34442"/>
    <w:rsid w:val="00D3484E"/>
    <w:rsid w:val="00D36B55"/>
    <w:rsid w:val="00D3776F"/>
    <w:rsid w:val="00D37A52"/>
    <w:rsid w:val="00D40444"/>
    <w:rsid w:val="00D4123B"/>
    <w:rsid w:val="00D4166E"/>
    <w:rsid w:val="00D42734"/>
    <w:rsid w:val="00D42FD4"/>
    <w:rsid w:val="00D45D60"/>
    <w:rsid w:val="00D460CE"/>
    <w:rsid w:val="00D4760A"/>
    <w:rsid w:val="00D51A7A"/>
    <w:rsid w:val="00D52A2E"/>
    <w:rsid w:val="00D53B59"/>
    <w:rsid w:val="00D53F4F"/>
    <w:rsid w:val="00D54F4B"/>
    <w:rsid w:val="00D6136C"/>
    <w:rsid w:val="00D618B7"/>
    <w:rsid w:val="00D6321B"/>
    <w:rsid w:val="00D63BCC"/>
    <w:rsid w:val="00D64906"/>
    <w:rsid w:val="00D64A98"/>
    <w:rsid w:val="00D65089"/>
    <w:rsid w:val="00D656D8"/>
    <w:rsid w:val="00D659B2"/>
    <w:rsid w:val="00D66929"/>
    <w:rsid w:val="00D66C0C"/>
    <w:rsid w:val="00D675D0"/>
    <w:rsid w:val="00D67A55"/>
    <w:rsid w:val="00D70498"/>
    <w:rsid w:val="00D71F4E"/>
    <w:rsid w:val="00D720EE"/>
    <w:rsid w:val="00D728B2"/>
    <w:rsid w:val="00D73D07"/>
    <w:rsid w:val="00D74372"/>
    <w:rsid w:val="00D75C95"/>
    <w:rsid w:val="00D75EE0"/>
    <w:rsid w:val="00D76209"/>
    <w:rsid w:val="00D817DA"/>
    <w:rsid w:val="00D82196"/>
    <w:rsid w:val="00D82327"/>
    <w:rsid w:val="00D83531"/>
    <w:rsid w:val="00D83E1A"/>
    <w:rsid w:val="00D85342"/>
    <w:rsid w:val="00D86A38"/>
    <w:rsid w:val="00D87E36"/>
    <w:rsid w:val="00D904AE"/>
    <w:rsid w:val="00D90D96"/>
    <w:rsid w:val="00D919C1"/>
    <w:rsid w:val="00D91A8E"/>
    <w:rsid w:val="00D92D58"/>
    <w:rsid w:val="00D93F85"/>
    <w:rsid w:val="00D94823"/>
    <w:rsid w:val="00D95380"/>
    <w:rsid w:val="00DA1C0A"/>
    <w:rsid w:val="00DA3194"/>
    <w:rsid w:val="00DA3F5D"/>
    <w:rsid w:val="00DA6541"/>
    <w:rsid w:val="00DA6AFB"/>
    <w:rsid w:val="00DA6E7A"/>
    <w:rsid w:val="00DB1544"/>
    <w:rsid w:val="00DB1AB6"/>
    <w:rsid w:val="00DB20F4"/>
    <w:rsid w:val="00DB3182"/>
    <w:rsid w:val="00DB6CAD"/>
    <w:rsid w:val="00DC1250"/>
    <w:rsid w:val="00DC3334"/>
    <w:rsid w:val="00DC4CF7"/>
    <w:rsid w:val="00DC65C6"/>
    <w:rsid w:val="00DE0E92"/>
    <w:rsid w:val="00DE4BEE"/>
    <w:rsid w:val="00DE4F56"/>
    <w:rsid w:val="00DE6310"/>
    <w:rsid w:val="00DE64C2"/>
    <w:rsid w:val="00DE6856"/>
    <w:rsid w:val="00DE75A7"/>
    <w:rsid w:val="00DF0943"/>
    <w:rsid w:val="00DF25E8"/>
    <w:rsid w:val="00DF2E02"/>
    <w:rsid w:val="00DF4B92"/>
    <w:rsid w:val="00DF524E"/>
    <w:rsid w:val="00DF5A39"/>
    <w:rsid w:val="00DF71CA"/>
    <w:rsid w:val="00DF76D4"/>
    <w:rsid w:val="00E00663"/>
    <w:rsid w:val="00E006E2"/>
    <w:rsid w:val="00E00D94"/>
    <w:rsid w:val="00E019B6"/>
    <w:rsid w:val="00E04649"/>
    <w:rsid w:val="00E0594D"/>
    <w:rsid w:val="00E060A4"/>
    <w:rsid w:val="00E060EA"/>
    <w:rsid w:val="00E06C0A"/>
    <w:rsid w:val="00E136FC"/>
    <w:rsid w:val="00E14FE4"/>
    <w:rsid w:val="00E15497"/>
    <w:rsid w:val="00E154A3"/>
    <w:rsid w:val="00E15849"/>
    <w:rsid w:val="00E16789"/>
    <w:rsid w:val="00E20129"/>
    <w:rsid w:val="00E201A8"/>
    <w:rsid w:val="00E203F2"/>
    <w:rsid w:val="00E2127E"/>
    <w:rsid w:val="00E21810"/>
    <w:rsid w:val="00E22807"/>
    <w:rsid w:val="00E22F1D"/>
    <w:rsid w:val="00E23923"/>
    <w:rsid w:val="00E242F4"/>
    <w:rsid w:val="00E25182"/>
    <w:rsid w:val="00E3122A"/>
    <w:rsid w:val="00E36C0F"/>
    <w:rsid w:val="00E420B2"/>
    <w:rsid w:val="00E42387"/>
    <w:rsid w:val="00E42F0D"/>
    <w:rsid w:val="00E43438"/>
    <w:rsid w:val="00E45AC0"/>
    <w:rsid w:val="00E4601D"/>
    <w:rsid w:val="00E4667A"/>
    <w:rsid w:val="00E47E51"/>
    <w:rsid w:val="00E50975"/>
    <w:rsid w:val="00E516F1"/>
    <w:rsid w:val="00E5186A"/>
    <w:rsid w:val="00E52DFE"/>
    <w:rsid w:val="00E5450C"/>
    <w:rsid w:val="00E55704"/>
    <w:rsid w:val="00E56C05"/>
    <w:rsid w:val="00E600DA"/>
    <w:rsid w:val="00E60694"/>
    <w:rsid w:val="00E61B19"/>
    <w:rsid w:val="00E65E2F"/>
    <w:rsid w:val="00E65E7E"/>
    <w:rsid w:val="00E70280"/>
    <w:rsid w:val="00E70A8C"/>
    <w:rsid w:val="00E720C8"/>
    <w:rsid w:val="00E74D43"/>
    <w:rsid w:val="00E751D3"/>
    <w:rsid w:val="00E755E0"/>
    <w:rsid w:val="00E766E6"/>
    <w:rsid w:val="00E77FAB"/>
    <w:rsid w:val="00E821C9"/>
    <w:rsid w:val="00E830F0"/>
    <w:rsid w:val="00E83EC3"/>
    <w:rsid w:val="00E8439E"/>
    <w:rsid w:val="00E90C89"/>
    <w:rsid w:val="00E91099"/>
    <w:rsid w:val="00E935AA"/>
    <w:rsid w:val="00E95899"/>
    <w:rsid w:val="00E9616C"/>
    <w:rsid w:val="00EA09EA"/>
    <w:rsid w:val="00EA0DED"/>
    <w:rsid w:val="00EA1B6C"/>
    <w:rsid w:val="00EA36A5"/>
    <w:rsid w:val="00EA404D"/>
    <w:rsid w:val="00EA6278"/>
    <w:rsid w:val="00EA6603"/>
    <w:rsid w:val="00EB22CC"/>
    <w:rsid w:val="00EB36BB"/>
    <w:rsid w:val="00EB384F"/>
    <w:rsid w:val="00EB5246"/>
    <w:rsid w:val="00EB5EC0"/>
    <w:rsid w:val="00EC5653"/>
    <w:rsid w:val="00EC6F57"/>
    <w:rsid w:val="00EC77F0"/>
    <w:rsid w:val="00ED0041"/>
    <w:rsid w:val="00ED0472"/>
    <w:rsid w:val="00ED10D8"/>
    <w:rsid w:val="00ED14A7"/>
    <w:rsid w:val="00ED23DF"/>
    <w:rsid w:val="00ED29D7"/>
    <w:rsid w:val="00ED4D45"/>
    <w:rsid w:val="00ED5026"/>
    <w:rsid w:val="00ED51D0"/>
    <w:rsid w:val="00ED649B"/>
    <w:rsid w:val="00ED7175"/>
    <w:rsid w:val="00EE7A57"/>
    <w:rsid w:val="00EF0550"/>
    <w:rsid w:val="00EF2A8B"/>
    <w:rsid w:val="00EF2AF4"/>
    <w:rsid w:val="00EF73A1"/>
    <w:rsid w:val="00EF749B"/>
    <w:rsid w:val="00F00FC3"/>
    <w:rsid w:val="00F03F6C"/>
    <w:rsid w:val="00F03FCF"/>
    <w:rsid w:val="00F0523D"/>
    <w:rsid w:val="00F05CDD"/>
    <w:rsid w:val="00F11186"/>
    <w:rsid w:val="00F11284"/>
    <w:rsid w:val="00F1497C"/>
    <w:rsid w:val="00F152D0"/>
    <w:rsid w:val="00F1544C"/>
    <w:rsid w:val="00F164E8"/>
    <w:rsid w:val="00F16A8F"/>
    <w:rsid w:val="00F16EA9"/>
    <w:rsid w:val="00F178D6"/>
    <w:rsid w:val="00F17F54"/>
    <w:rsid w:val="00F2095E"/>
    <w:rsid w:val="00F20C6E"/>
    <w:rsid w:val="00F20F52"/>
    <w:rsid w:val="00F25254"/>
    <w:rsid w:val="00F2529A"/>
    <w:rsid w:val="00F25471"/>
    <w:rsid w:val="00F26C83"/>
    <w:rsid w:val="00F31C42"/>
    <w:rsid w:val="00F356A2"/>
    <w:rsid w:val="00F35C3E"/>
    <w:rsid w:val="00F36322"/>
    <w:rsid w:val="00F36B23"/>
    <w:rsid w:val="00F36D0B"/>
    <w:rsid w:val="00F37E9C"/>
    <w:rsid w:val="00F436BC"/>
    <w:rsid w:val="00F4772F"/>
    <w:rsid w:val="00F50CFE"/>
    <w:rsid w:val="00F550AF"/>
    <w:rsid w:val="00F565B8"/>
    <w:rsid w:val="00F6039B"/>
    <w:rsid w:val="00F60E46"/>
    <w:rsid w:val="00F637AE"/>
    <w:rsid w:val="00F64779"/>
    <w:rsid w:val="00F7706D"/>
    <w:rsid w:val="00F774A9"/>
    <w:rsid w:val="00F775F8"/>
    <w:rsid w:val="00F822F7"/>
    <w:rsid w:val="00F83C1C"/>
    <w:rsid w:val="00F83D62"/>
    <w:rsid w:val="00F86ECA"/>
    <w:rsid w:val="00F870C1"/>
    <w:rsid w:val="00F941B0"/>
    <w:rsid w:val="00F95A62"/>
    <w:rsid w:val="00F96392"/>
    <w:rsid w:val="00FA0342"/>
    <w:rsid w:val="00FA1C37"/>
    <w:rsid w:val="00FA4A6E"/>
    <w:rsid w:val="00FA5345"/>
    <w:rsid w:val="00FA7264"/>
    <w:rsid w:val="00FA748B"/>
    <w:rsid w:val="00FB1021"/>
    <w:rsid w:val="00FB201B"/>
    <w:rsid w:val="00FB29BD"/>
    <w:rsid w:val="00FB2C82"/>
    <w:rsid w:val="00FB6AAB"/>
    <w:rsid w:val="00FB76E7"/>
    <w:rsid w:val="00FC0E57"/>
    <w:rsid w:val="00FC16FB"/>
    <w:rsid w:val="00FC2952"/>
    <w:rsid w:val="00FC4679"/>
    <w:rsid w:val="00FC556C"/>
    <w:rsid w:val="00FC6703"/>
    <w:rsid w:val="00FC71E8"/>
    <w:rsid w:val="00FD1521"/>
    <w:rsid w:val="00FD32A1"/>
    <w:rsid w:val="00FD37B4"/>
    <w:rsid w:val="00FD52EB"/>
    <w:rsid w:val="00FD756F"/>
    <w:rsid w:val="00FE227C"/>
    <w:rsid w:val="00FE36AE"/>
    <w:rsid w:val="00FE3E66"/>
    <w:rsid w:val="00FE5773"/>
    <w:rsid w:val="00FF2BDC"/>
    <w:rsid w:val="00FF3237"/>
    <w:rsid w:val="00FF4BF0"/>
    <w:rsid w:val="00FF65D3"/>
    <w:rsid w:val="013C7F8D"/>
    <w:rsid w:val="0186C4E7"/>
    <w:rsid w:val="01961A95"/>
    <w:rsid w:val="049290D7"/>
    <w:rsid w:val="0545AD8F"/>
    <w:rsid w:val="064DDA83"/>
    <w:rsid w:val="06AD004F"/>
    <w:rsid w:val="071A9632"/>
    <w:rsid w:val="08409E9A"/>
    <w:rsid w:val="0898CEB4"/>
    <w:rsid w:val="089ACECF"/>
    <w:rsid w:val="095580F5"/>
    <w:rsid w:val="0A70EA84"/>
    <w:rsid w:val="0B34F68C"/>
    <w:rsid w:val="0C333EA2"/>
    <w:rsid w:val="0D691E67"/>
    <w:rsid w:val="0F602B12"/>
    <w:rsid w:val="0F96F207"/>
    <w:rsid w:val="0FDA3808"/>
    <w:rsid w:val="10030CF9"/>
    <w:rsid w:val="10935996"/>
    <w:rsid w:val="116CABCB"/>
    <w:rsid w:val="138B0D2B"/>
    <w:rsid w:val="145FC4D6"/>
    <w:rsid w:val="148BB2ED"/>
    <w:rsid w:val="14AFAAC5"/>
    <w:rsid w:val="15B56FAC"/>
    <w:rsid w:val="165F2B83"/>
    <w:rsid w:val="1732E2D4"/>
    <w:rsid w:val="178AE44C"/>
    <w:rsid w:val="188D528F"/>
    <w:rsid w:val="19AEEDED"/>
    <w:rsid w:val="19CAD533"/>
    <w:rsid w:val="1B15BB05"/>
    <w:rsid w:val="1B71EF73"/>
    <w:rsid w:val="1BCF6DE5"/>
    <w:rsid w:val="1C7D8BB8"/>
    <w:rsid w:val="1C930AC5"/>
    <w:rsid w:val="1CB5080F"/>
    <w:rsid w:val="1E2B1E0D"/>
    <w:rsid w:val="1E6FBBC7"/>
    <w:rsid w:val="1F5D664A"/>
    <w:rsid w:val="20CB08D8"/>
    <w:rsid w:val="21EC2B4A"/>
    <w:rsid w:val="232C5A8A"/>
    <w:rsid w:val="27A99D77"/>
    <w:rsid w:val="27BB160B"/>
    <w:rsid w:val="27FF8031"/>
    <w:rsid w:val="283A102A"/>
    <w:rsid w:val="2A3F5CCA"/>
    <w:rsid w:val="2A694042"/>
    <w:rsid w:val="2ADC2864"/>
    <w:rsid w:val="2C280C92"/>
    <w:rsid w:val="2C778D2E"/>
    <w:rsid w:val="2DBCCAA0"/>
    <w:rsid w:val="2E405026"/>
    <w:rsid w:val="2FEE38CC"/>
    <w:rsid w:val="2FF5D078"/>
    <w:rsid w:val="30DC8791"/>
    <w:rsid w:val="324175BB"/>
    <w:rsid w:val="338600B5"/>
    <w:rsid w:val="35E4E79A"/>
    <w:rsid w:val="366808BD"/>
    <w:rsid w:val="37604B2D"/>
    <w:rsid w:val="37F3943E"/>
    <w:rsid w:val="381E0D09"/>
    <w:rsid w:val="384F4BEC"/>
    <w:rsid w:val="386E443B"/>
    <w:rsid w:val="38B0DB6D"/>
    <w:rsid w:val="3A201B61"/>
    <w:rsid w:val="3AF6F35D"/>
    <w:rsid w:val="3B000724"/>
    <w:rsid w:val="3C32BBD6"/>
    <w:rsid w:val="3D4159AD"/>
    <w:rsid w:val="3E13E070"/>
    <w:rsid w:val="3EB1393D"/>
    <w:rsid w:val="4041C891"/>
    <w:rsid w:val="41C4BB4B"/>
    <w:rsid w:val="4324401B"/>
    <w:rsid w:val="43E40054"/>
    <w:rsid w:val="46600046"/>
    <w:rsid w:val="46CDC0E5"/>
    <w:rsid w:val="47149C11"/>
    <w:rsid w:val="4784E013"/>
    <w:rsid w:val="4A1F6071"/>
    <w:rsid w:val="4D5B3F5C"/>
    <w:rsid w:val="4D8D0F8E"/>
    <w:rsid w:val="4E2899CE"/>
    <w:rsid w:val="4E723307"/>
    <w:rsid w:val="4F12DB34"/>
    <w:rsid w:val="4F3185DE"/>
    <w:rsid w:val="503C88B0"/>
    <w:rsid w:val="50810293"/>
    <w:rsid w:val="51F138D3"/>
    <w:rsid w:val="5252C74D"/>
    <w:rsid w:val="5434AC0D"/>
    <w:rsid w:val="544AC339"/>
    <w:rsid w:val="5495E50F"/>
    <w:rsid w:val="549DD714"/>
    <w:rsid w:val="596737EB"/>
    <w:rsid w:val="5A36ABFD"/>
    <w:rsid w:val="5A4F3873"/>
    <w:rsid w:val="5BF7BC66"/>
    <w:rsid w:val="5C14F377"/>
    <w:rsid w:val="5E3084D6"/>
    <w:rsid w:val="5F572A05"/>
    <w:rsid w:val="611A5438"/>
    <w:rsid w:val="61235218"/>
    <w:rsid w:val="6142C62F"/>
    <w:rsid w:val="63AA84D1"/>
    <w:rsid w:val="63DEEC82"/>
    <w:rsid w:val="661DBD2B"/>
    <w:rsid w:val="67000664"/>
    <w:rsid w:val="67490ACC"/>
    <w:rsid w:val="6ADF639D"/>
    <w:rsid w:val="6D697098"/>
    <w:rsid w:val="7134B4C8"/>
    <w:rsid w:val="723E75CB"/>
    <w:rsid w:val="72AC6586"/>
    <w:rsid w:val="74994533"/>
    <w:rsid w:val="74B7672C"/>
    <w:rsid w:val="75515248"/>
    <w:rsid w:val="75F66A5D"/>
    <w:rsid w:val="783B1761"/>
    <w:rsid w:val="78D53F4E"/>
    <w:rsid w:val="7A0E070D"/>
    <w:rsid w:val="7A62988C"/>
    <w:rsid w:val="7D985E8B"/>
    <w:rsid w:val="7E41542B"/>
    <w:rsid w:val="7FD18C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A4F96"/>
  <w15:docId w15:val="{99BB42E6-BAB7-410D-AAA2-14BC0735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0"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5B0CCE"/>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226412"/>
    <w:pPr>
      <w:tabs>
        <w:tab w:val="center" w:pos="4513"/>
        <w:tab w:val="right" w:pos="9026"/>
      </w:tabs>
    </w:pPr>
  </w:style>
  <w:style w:type="character" w:customStyle="1" w:styleId="HeaderChar">
    <w:name w:val="Header Char"/>
    <w:basedOn w:val="DefaultParagraphFont"/>
    <w:link w:val="Header"/>
    <w:uiPriority w:val="99"/>
    <w:rsid w:val="00226412"/>
    <w:rPr>
      <w:rFonts w:ascii="Trebuchet MS" w:eastAsia="Times New Roman" w:hAnsi="Trebuchet MS"/>
      <w:sz w:val="22"/>
    </w:rPr>
  </w:style>
  <w:style w:type="paragraph" w:styleId="Footer">
    <w:name w:val="footer"/>
    <w:basedOn w:val="Normal"/>
    <w:link w:val="FooterChar"/>
    <w:uiPriority w:val="99"/>
    <w:unhideWhenUsed/>
    <w:rsid w:val="00226412"/>
    <w:pPr>
      <w:tabs>
        <w:tab w:val="center" w:pos="4513"/>
        <w:tab w:val="right" w:pos="9026"/>
      </w:tabs>
    </w:pPr>
  </w:style>
  <w:style w:type="character" w:customStyle="1" w:styleId="FooterChar">
    <w:name w:val="Footer Char"/>
    <w:basedOn w:val="DefaultParagraphFont"/>
    <w:link w:val="Footer"/>
    <w:uiPriority w:val="99"/>
    <w:rsid w:val="00226412"/>
    <w:rPr>
      <w:rFonts w:ascii="Trebuchet MS" w:eastAsia="Times New Roman" w:hAnsi="Trebuchet MS"/>
      <w:sz w:val="22"/>
    </w:rPr>
  </w:style>
  <w:style w:type="paragraph" w:styleId="FootnoteText">
    <w:name w:val="footnote text"/>
    <w:aliases w:val=" Char,Char"/>
    <w:basedOn w:val="Normal"/>
    <w:link w:val="FootnoteTextChar"/>
    <w:uiPriority w:val="99"/>
    <w:unhideWhenUsed/>
    <w:rsid w:val="00681F4E"/>
    <w:rPr>
      <w:sz w:val="20"/>
    </w:rPr>
  </w:style>
  <w:style w:type="character" w:customStyle="1" w:styleId="FootnoteTextChar">
    <w:name w:val="Footnote Text Char"/>
    <w:aliases w:val=" Char Char,Char Char"/>
    <w:basedOn w:val="DefaultParagraphFont"/>
    <w:link w:val="FootnoteText"/>
    <w:uiPriority w:val="99"/>
    <w:rsid w:val="00681F4E"/>
    <w:rPr>
      <w:rFonts w:ascii="Trebuchet MS" w:eastAsia="Times New Roman" w:hAnsi="Trebuchet MS"/>
    </w:rPr>
  </w:style>
  <w:style w:type="character" w:styleId="FootnoteReference">
    <w:name w:val="footnote reference"/>
    <w:basedOn w:val="DefaultParagraphFont"/>
    <w:uiPriority w:val="99"/>
    <w:unhideWhenUsed/>
    <w:qFormat/>
    <w:rsid w:val="00681F4E"/>
    <w:rPr>
      <w:vertAlign w:val="superscript"/>
    </w:rPr>
  </w:style>
  <w:style w:type="paragraph" w:styleId="Revision">
    <w:name w:val="Revision"/>
    <w:hidden/>
    <w:uiPriority w:val="99"/>
    <w:semiHidden/>
    <w:rsid w:val="00AC0C89"/>
    <w:rPr>
      <w:rFonts w:ascii="Trebuchet MS" w:eastAsia="Times New Roman" w:hAnsi="Trebuchet MS"/>
      <w:sz w:val="22"/>
    </w:rPr>
  </w:style>
  <w:style w:type="paragraph" w:customStyle="1" w:styleId="base-text-paragraph">
    <w:name w:val="base-text-paragraph"/>
    <w:basedOn w:val="Normal"/>
    <w:link w:val="base-text-paragraphChar"/>
    <w:qFormat/>
    <w:rsid w:val="00A4638A"/>
    <w:pPr>
      <w:tabs>
        <w:tab w:val="num" w:pos="1985"/>
      </w:tabs>
      <w:spacing w:before="120" w:after="120"/>
      <w:ind w:left="1134"/>
    </w:pPr>
    <w:rPr>
      <w:rFonts w:ascii="Times New Roman" w:hAnsi="Times New Roman"/>
    </w:rPr>
  </w:style>
  <w:style w:type="character" w:customStyle="1" w:styleId="base-text-paragraphChar">
    <w:name w:val="base-text-paragraph Char"/>
    <w:basedOn w:val="DefaultParagraphFont"/>
    <w:link w:val="base-text-paragraph"/>
    <w:rsid w:val="00A4638A"/>
    <w:rPr>
      <w:rFonts w:ascii="Times New Roman" w:eastAsia="Times New Roman" w:hAnsi="Times New Roman"/>
      <w:sz w:val="22"/>
    </w:rPr>
  </w:style>
  <w:style w:type="numbering" w:customStyle="1" w:styleId="ChapterList">
    <w:name w:val="ChapterList"/>
    <w:uiPriority w:val="99"/>
    <w:rsid w:val="00A4638A"/>
    <w:pPr>
      <w:numPr>
        <w:numId w:val="9"/>
      </w:numPr>
    </w:pPr>
  </w:style>
  <w:style w:type="paragraph" w:customStyle="1" w:styleId="Diagram">
    <w:name w:val="Diagram"/>
    <w:basedOn w:val="Normal"/>
    <w:next w:val="Normal"/>
    <w:rsid w:val="00A4638A"/>
    <w:pPr>
      <w:keepNext/>
      <w:ind w:left="1134"/>
    </w:pPr>
    <w:rPr>
      <w:rFonts w:ascii="Times New Roman" w:hAnsi="Times New Roman"/>
      <w:b/>
    </w:rPr>
  </w:style>
  <w:style w:type="paragraph" w:customStyle="1" w:styleId="ExampleHeading">
    <w:name w:val="Example Heading"/>
    <w:basedOn w:val="Normal"/>
    <w:next w:val="Normal"/>
    <w:rsid w:val="00A4638A"/>
    <w:pPr>
      <w:keepNext/>
      <w:spacing w:before="120" w:after="120"/>
      <w:ind w:left="1134"/>
    </w:pPr>
    <w:rPr>
      <w:rFonts w:ascii="Times New Roman" w:hAnsi="Times New Roman"/>
      <w:b/>
    </w:rPr>
  </w:style>
  <w:style w:type="paragraph" w:customStyle="1" w:styleId="TableHeadingoutsidetable">
    <w:name w:val="Table Heading (outside table)"/>
    <w:basedOn w:val="Heading4"/>
    <w:rsid w:val="00A4638A"/>
    <w:pPr>
      <w:keepNext/>
      <w:tabs>
        <w:tab w:val="num" w:pos="360"/>
      </w:tabs>
      <w:spacing w:before="120" w:after="200"/>
      <w:ind w:left="1134"/>
    </w:pPr>
    <w:rPr>
      <w:rFonts w:ascii="Times New Roman" w:hAnsi="Times New Roman"/>
      <w:b/>
      <w:color w:val="auto"/>
      <w:sz w:val="22"/>
    </w:rPr>
  </w:style>
  <w:style w:type="character" w:styleId="Mention">
    <w:name w:val="Mention"/>
    <w:basedOn w:val="DefaultParagraphFont"/>
    <w:uiPriority w:val="99"/>
    <w:unhideWhenUsed/>
    <w:rsid w:val="00260CC6"/>
    <w:rPr>
      <w:color w:val="2B579A"/>
      <w:shd w:val="clear" w:color="auto" w:fill="E1DFDD"/>
    </w:rPr>
  </w:style>
  <w:style w:type="paragraph" w:styleId="NormalWeb">
    <w:name w:val="Normal (Web)"/>
    <w:basedOn w:val="Normal"/>
    <w:uiPriority w:val="99"/>
    <w:rsid w:val="00FF2BDC"/>
    <w:pPr>
      <w:spacing w:after="240"/>
      <w:jc w:val="both"/>
    </w:pPr>
    <w:rPr>
      <w:rFonts w:asciiTheme="minorHAnsi" w:eastAsiaTheme="minorHAnsi" w:hAnsiTheme="minorHAnsi"/>
      <w:color w:val="000000"/>
      <w:szCs w:val="22"/>
      <w:lang w:eastAsia="en-US"/>
    </w:rPr>
  </w:style>
  <w:style w:type="paragraph" w:styleId="List">
    <w:name w:val="List"/>
    <w:basedOn w:val="Normal"/>
    <w:uiPriority w:val="17"/>
    <w:qFormat/>
    <w:rsid w:val="008D4E04"/>
    <w:pPr>
      <w:tabs>
        <w:tab w:val="num" w:pos="425"/>
      </w:tabs>
      <w:spacing w:after="240"/>
      <w:ind w:left="425" w:hanging="425"/>
      <w:jc w:val="both"/>
    </w:pPr>
    <w:rPr>
      <w:rFonts w:ascii="Arial" w:eastAsiaTheme="minorHAnsi" w:hAnsi="Arial" w:cstheme="minorBidi"/>
      <w:color w:val="000000"/>
      <w:szCs w:val="22"/>
      <w:lang w:eastAsia="en-US"/>
    </w:rPr>
  </w:style>
  <w:style w:type="numbering" w:styleId="1ai">
    <w:name w:val="Outline List 1"/>
    <w:basedOn w:val="NoList"/>
    <w:uiPriority w:val="99"/>
    <w:semiHidden/>
    <w:unhideWhenUsed/>
    <w:rsid w:val="008D4E04"/>
    <w:pPr>
      <w:numPr>
        <w:numId w:val="11"/>
      </w:numPr>
    </w:pPr>
  </w:style>
  <w:style w:type="character" w:styleId="UnresolvedMention">
    <w:name w:val="Unresolved Mention"/>
    <w:basedOn w:val="DefaultParagraphFont"/>
    <w:uiPriority w:val="99"/>
    <w:semiHidden/>
    <w:unhideWhenUsed/>
    <w:rsid w:val="00C20087"/>
    <w:rPr>
      <w:color w:val="605E5C"/>
      <w:shd w:val="clear" w:color="auto" w:fill="E1DFDD"/>
    </w:rPr>
  </w:style>
  <w:style w:type="character" w:styleId="FollowedHyperlink">
    <w:name w:val="FollowedHyperlink"/>
    <w:basedOn w:val="DefaultParagraphFont"/>
    <w:uiPriority w:val="99"/>
    <w:semiHidden/>
    <w:unhideWhenUsed/>
    <w:rsid w:val="00C57281"/>
    <w:rPr>
      <w:color w:val="800080" w:themeColor="followedHyperlink"/>
      <w:u w:val="single"/>
    </w:rPr>
  </w:style>
  <w:style w:type="table" w:styleId="TableGrid">
    <w:name w:val="Table Grid"/>
    <w:basedOn w:val="TableNormal"/>
    <w:uiPriority w:val="59"/>
    <w:rsid w:val="001829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741">
      <w:bodyDiv w:val="1"/>
      <w:marLeft w:val="0"/>
      <w:marRight w:val="0"/>
      <w:marTop w:val="0"/>
      <w:marBottom w:val="0"/>
      <w:divBdr>
        <w:top w:val="none" w:sz="0" w:space="0" w:color="auto"/>
        <w:left w:val="none" w:sz="0" w:space="0" w:color="auto"/>
        <w:bottom w:val="none" w:sz="0" w:space="0" w:color="auto"/>
        <w:right w:val="none" w:sz="0" w:space="0" w:color="auto"/>
      </w:divBdr>
    </w:div>
    <w:div w:id="1436711836">
      <w:bodyDiv w:val="1"/>
      <w:marLeft w:val="0"/>
      <w:marRight w:val="0"/>
      <w:marTop w:val="0"/>
      <w:marBottom w:val="0"/>
      <w:divBdr>
        <w:top w:val="none" w:sz="0" w:space="0" w:color="auto"/>
        <w:left w:val="none" w:sz="0" w:space="0" w:color="auto"/>
        <w:bottom w:val="none" w:sz="0" w:space="0" w:color="auto"/>
        <w:right w:val="none" w:sz="0" w:space="0" w:color="auto"/>
      </w:divBdr>
      <w:divsChild>
        <w:div w:id="810055827">
          <w:marLeft w:val="0"/>
          <w:marRight w:val="0"/>
          <w:marTop w:val="0"/>
          <w:marBottom w:val="0"/>
          <w:divBdr>
            <w:top w:val="none" w:sz="0" w:space="0" w:color="auto"/>
            <w:left w:val="none" w:sz="0" w:space="0" w:color="auto"/>
            <w:bottom w:val="none" w:sz="0" w:space="0" w:color="auto"/>
            <w:right w:val="none" w:sz="0" w:space="0" w:color="auto"/>
          </w:divBdr>
          <w:divsChild>
            <w:div w:id="1649898415">
              <w:marLeft w:val="0"/>
              <w:marRight w:val="0"/>
              <w:marTop w:val="0"/>
              <w:marBottom w:val="0"/>
              <w:divBdr>
                <w:top w:val="none" w:sz="0" w:space="0" w:color="auto"/>
                <w:left w:val="none" w:sz="0" w:space="0" w:color="auto"/>
                <w:bottom w:val="none" w:sz="0" w:space="0" w:color="auto"/>
                <w:right w:val="none" w:sz="0" w:space="0" w:color="auto"/>
              </w:divBdr>
              <w:divsChild>
                <w:div w:id="1131627043">
                  <w:marLeft w:val="0"/>
                  <w:marRight w:val="0"/>
                  <w:marTop w:val="0"/>
                  <w:marBottom w:val="0"/>
                  <w:divBdr>
                    <w:top w:val="none" w:sz="0" w:space="0" w:color="auto"/>
                    <w:left w:val="none" w:sz="0" w:space="0" w:color="auto"/>
                    <w:bottom w:val="none" w:sz="0" w:space="0" w:color="auto"/>
                    <w:right w:val="none" w:sz="0" w:space="0" w:color="auto"/>
                  </w:divBdr>
                  <w:divsChild>
                    <w:div w:id="351299783">
                      <w:marLeft w:val="0"/>
                      <w:marRight w:val="0"/>
                      <w:marTop w:val="0"/>
                      <w:marBottom w:val="0"/>
                      <w:divBdr>
                        <w:top w:val="none" w:sz="0" w:space="0" w:color="auto"/>
                        <w:left w:val="none" w:sz="0" w:space="0" w:color="auto"/>
                        <w:bottom w:val="none" w:sz="0" w:space="0" w:color="auto"/>
                        <w:right w:val="none" w:sz="0" w:space="0" w:color="auto"/>
                      </w:divBdr>
                      <w:divsChild>
                        <w:div w:id="59257480">
                          <w:marLeft w:val="0"/>
                          <w:marRight w:val="0"/>
                          <w:marTop w:val="0"/>
                          <w:marBottom w:val="0"/>
                          <w:divBdr>
                            <w:top w:val="single" w:sz="6" w:space="0" w:color="828282"/>
                            <w:left w:val="single" w:sz="6" w:space="0" w:color="828282"/>
                            <w:bottom w:val="single" w:sz="6" w:space="0" w:color="828282"/>
                            <w:right w:val="single" w:sz="6" w:space="0" w:color="828282"/>
                          </w:divBdr>
                          <w:divsChild>
                            <w:div w:id="575675908">
                              <w:marLeft w:val="0"/>
                              <w:marRight w:val="0"/>
                              <w:marTop w:val="0"/>
                              <w:marBottom w:val="0"/>
                              <w:divBdr>
                                <w:top w:val="none" w:sz="0" w:space="0" w:color="auto"/>
                                <w:left w:val="none" w:sz="0" w:space="0" w:color="auto"/>
                                <w:bottom w:val="none" w:sz="0" w:space="0" w:color="auto"/>
                                <w:right w:val="none" w:sz="0" w:space="0" w:color="auto"/>
                              </w:divBdr>
                              <w:divsChild>
                                <w:div w:id="303973021">
                                  <w:marLeft w:val="0"/>
                                  <w:marRight w:val="0"/>
                                  <w:marTop w:val="0"/>
                                  <w:marBottom w:val="0"/>
                                  <w:divBdr>
                                    <w:top w:val="none" w:sz="0" w:space="0" w:color="auto"/>
                                    <w:left w:val="none" w:sz="0" w:space="0" w:color="auto"/>
                                    <w:bottom w:val="none" w:sz="0" w:space="0" w:color="auto"/>
                                    <w:right w:val="none" w:sz="0" w:space="0" w:color="auto"/>
                                  </w:divBdr>
                                  <w:divsChild>
                                    <w:div w:id="825242288">
                                      <w:marLeft w:val="0"/>
                                      <w:marRight w:val="0"/>
                                      <w:marTop w:val="0"/>
                                      <w:marBottom w:val="0"/>
                                      <w:divBdr>
                                        <w:top w:val="none" w:sz="0" w:space="0" w:color="auto"/>
                                        <w:left w:val="none" w:sz="0" w:space="0" w:color="auto"/>
                                        <w:bottom w:val="none" w:sz="0" w:space="0" w:color="auto"/>
                                        <w:right w:val="none" w:sz="0" w:space="0" w:color="auto"/>
                                      </w:divBdr>
                                      <w:divsChild>
                                        <w:div w:id="1784878917">
                                          <w:marLeft w:val="0"/>
                                          <w:marRight w:val="0"/>
                                          <w:marTop w:val="0"/>
                                          <w:marBottom w:val="0"/>
                                          <w:divBdr>
                                            <w:top w:val="none" w:sz="0" w:space="0" w:color="auto"/>
                                            <w:left w:val="none" w:sz="0" w:space="0" w:color="auto"/>
                                            <w:bottom w:val="none" w:sz="0" w:space="0" w:color="auto"/>
                                            <w:right w:val="none" w:sz="0" w:space="0" w:color="auto"/>
                                          </w:divBdr>
                                          <w:divsChild>
                                            <w:div w:id="1638490348">
                                              <w:marLeft w:val="0"/>
                                              <w:marRight w:val="0"/>
                                              <w:marTop w:val="0"/>
                                              <w:marBottom w:val="0"/>
                                              <w:divBdr>
                                                <w:top w:val="none" w:sz="0" w:space="0" w:color="auto"/>
                                                <w:left w:val="none" w:sz="0" w:space="0" w:color="auto"/>
                                                <w:bottom w:val="none" w:sz="0" w:space="0" w:color="auto"/>
                                                <w:right w:val="none" w:sz="0" w:space="0" w:color="auto"/>
                                              </w:divBdr>
                                              <w:divsChild>
                                                <w:div w:id="819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6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3" ma:contentTypeDescription="Create a new document." ma:contentTypeScope="" ma:versionID="2a31b7a1f4d0468723031d5509f2e701">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cc8a4092c263f4b7bc41ab8814e3e088"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7071c9f-a590-4a56-a96d-09e59e48fc6a}"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SharedWithUsers xmlns="79530295-9eea-494d-b82a-9ff74409eafc">
      <UserInfo>
        <DisplayName>Katherine Eyre</DisplayName>
        <AccountId>73</AccountId>
        <AccountType/>
      </UserInfo>
      <UserInfo>
        <DisplayName>Toni Michalis</DisplayName>
        <AccountId>32</AccountId>
        <AccountType/>
      </UserInfo>
      <UserInfo>
        <DisplayName>Claire Mitchell</DisplayName>
        <AccountId>29</AccountId>
        <AccountType/>
      </UserInfo>
      <UserInfo>
        <DisplayName>Ruth Tobin</DisplayName>
        <AccountId>30</AccountId>
        <AccountType/>
      </UserInfo>
      <UserInfo>
        <DisplayName>Warren Staley</DisplayName>
        <AccountId>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B8223-F781-45C4-AD11-394E62B2C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829EE-2ACF-450B-BED0-FD186E501026}">
  <ds:schemaRefs>
    <ds:schemaRef ds:uri="http://schemas.openxmlformats.org/officeDocument/2006/bibliography"/>
  </ds:schemaRefs>
</ds:datastoreItem>
</file>

<file path=customXml/itemProps3.xml><?xml version="1.0" encoding="utf-8"?>
<ds:datastoreItem xmlns:ds="http://schemas.openxmlformats.org/officeDocument/2006/customXml" ds:itemID="{A41451B0-2E89-4641-B70F-9CD07A414E84}">
  <ds:schemaRefs>
    <ds:schemaRef ds:uri="79530295-9eea-494d-b82a-9ff74409eafc"/>
    <ds:schemaRef ds:uri="5664482d-1961-4d38-bfc2-b109b3418834"/>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DA33E37-3A15-4238-914A-B93CE3B76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15636</Characters>
  <Application>Microsoft Office Word</Application>
  <DocSecurity>0</DocSecurity>
  <Lines>284</Lines>
  <Paragraphs>86</Paragraphs>
  <ScaleCrop>false</ScaleCrop>
  <HeadingPairs>
    <vt:vector size="2" baseType="variant">
      <vt:variant>
        <vt:lpstr>Title</vt:lpstr>
      </vt:variant>
      <vt:variant>
        <vt:i4>1</vt:i4>
      </vt:variant>
    </vt:vector>
  </HeadingPairs>
  <TitlesOfParts>
    <vt:vector size="1" baseType="lpstr">
      <vt:lpstr>Explanatory Statement new consolidated prudential standard</vt:lpstr>
    </vt:vector>
  </TitlesOfParts>
  <Company>APRA</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new consolidated prudential standard</dc:title>
  <dc:subject/>
  <dc:creator>Sullivan, David</dc:creator>
  <cp:keywords>[SEC=OFFICIAL]</cp:keywords>
  <cp:lastModifiedBy>Toni Michalis</cp:lastModifiedBy>
  <cp:revision>3</cp:revision>
  <cp:lastPrinted>2018-11-03T09:09:00Z</cp:lastPrinted>
  <dcterms:created xsi:type="dcterms:W3CDTF">2024-10-16T02:52:00Z</dcterms:created>
  <dcterms:modified xsi:type="dcterms:W3CDTF">2024-10-16T02:52:00Z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Qualifier">
    <vt:lpwstr/>
  </property>
  <property fmtid="{D5CDD505-2E9C-101B-9397-08002B2CF9AE}" pid="4" name="PM_ProtectiveMarkingImage_Header">
    <vt:lpwstr>C:\Program Files\Common Files\janusNET Shared\janusSEAL\Images\DocumentSlashBlue.png</vt:lpwstr>
  </property>
  <property fmtid="{D5CDD505-2E9C-101B-9397-08002B2CF9AE}" pid="5" name="PM_ProtectiveMarkingImage_Footer">
    <vt:lpwstr>C:\Program Files\Common Files\janusNET Shared\janusSEAL\Images\DocumentSlashBlue.png</vt:lpwstr>
  </property>
  <property fmtid="{D5CDD505-2E9C-101B-9397-08002B2CF9AE}" pid="6" name="PM_Namespace">
    <vt:lpwstr>gov.au</vt:lpwstr>
  </property>
  <property fmtid="{D5CDD505-2E9C-101B-9397-08002B2CF9AE}" pid="7" name="PM_Version">
    <vt:lpwstr>2018.4</vt:lpwstr>
  </property>
  <property fmtid="{D5CDD505-2E9C-101B-9397-08002B2CF9AE}" pid="8" name="PM_Originating_FileId">
    <vt:lpwstr>3B3BFAAD444A4BB9975EB3FD5CCF2729</vt:lpwstr>
  </property>
  <property fmtid="{D5CDD505-2E9C-101B-9397-08002B2CF9AE}" pid="9" name="PM_Hash_Version">
    <vt:lpwstr>2022.1</vt:lpwstr>
  </property>
  <property fmtid="{D5CDD505-2E9C-101B-9397-08002B2CF9AE}" pid="10" name="ContentTypeId">
    <vt:lpwstr>0x010100E5E831F15EEA47429C4A0837D916ED91</vt:lpwstr>
  </property>
  <property fmtid="{D5CDD505-2E9C-101B-9397-08002B2CF9AE}" pid="11" name="APRAPeriod">
    <vt:lpwstr/>
  </property>
  <property fmtid="{D5CDD505-2E9C-101B-9397-08002B2CF9AE}" pid="12" name="APRACostCentre">
    <vt:lpwstr>158;#PAD300|98bbdbe4-d019-48eb-87c4-aa31a7f2f98f</vt:lpwstr>
  </property>
  <property fmtid="{D5CDD505-2E9C-101B-9397-08002B2CF9AE}" pid="13" name="APRAYear">
    <vt:lpwstr/>
  </property>
  <property fmtid="{D5CDD505-2E9C-101B-9397-08002B2CF9AE}" pid="14" name="APRAIndustry">
    <vt:lpwstr/>
  </property>
  <property fmtid="{D5CDD505-2E9C-101B-9397-08002B2CF9AE}" pid="15" name="APRAPRSG">
    <vt:lpwstr/>
  </property>
  <property fmtid="{D5CDD505-2E9C-101B-9397-08002B2CF9AE}" pid="16" name="_dlc_DocIdItemGuid">
    <vt:lpwstr>4e5e34eb-7f5c-4b8b-b93b-68638eee6636</vt:lpwstr>
  </property>
  <property fmtid="{D5CDD505-2E9C-101B-9397-08002B2CF9AE}" pid="17" name="IsLocked">
    <vt:lpwstr>Yes</vt:lpwstr>
  </property>
  <property fmtid="{D5CDD505-2E9C-101B-9397-08002B2CF9AE}" pid="18" name="IT system type">
    <vt:lpwstr/>
  </property>
  <property fmtid="{D5CDD505-2E9C-101B-9397-08002B2CF9AE}" pid="19" name="APRACategory">
    <vt:lpwstr/>
  </property>
  <property fmtid="{D5CDD505-2E9C-101B-9397-08002B2CF9AE}" pid="20" name="APRADocumentType">
    <vt:lpwstr>185;#Precedent|197f51c4-dc37-4f46-99ec-cabda449ee10;#104;#Legal advice - internal|1797320c-67a9-4876-a680-15db0859683b</vt:lpwstr>
  </property>
  <property fmtid="{D5CDD505-2E9C-101B-9397-08002B2CF9AE}" pid="21" name="APRAStatus">
    <vt:lpwstr>19;#Final|84d6b2d0-8498-4d62-bf46-bab38babbe9e</vt:lpwstr>
  </property>
  <property fmtid="{D5CDD505-2E9C-101B-9397-08002B2CF9AE}" pid="22" name="APRAActivity">
    <vt:lpwstr>109;#Statutory instrument|fe68928c-5a9c-4caf-bc8c-6c18cedcb17f;#2;#Legal advice|47dcad67-54ec-4c15-a2f1-eec9cf2f5637</vt:lpwstr>
  </property>
  <property fmtid="{D5CDD505-2E9C-101B-9397-08002B2CF9AE}" pid="23" name="APRAEntityAdviceSupport">
    <vt:lpwstr/>
  </property>
  <property fmtid="{D5CDD505-2E9C-101B-9397-08002B2CF9AE}" pid="24" name="APRALegislation">
    <vt:lpwstr/>
  </property>
  <property fmtid="{D5CDD505-2E9C-101B-9397-08002B2CF9AE}" pid="25" name="APRAExternalOrganisation">
    <vt:lpwstr/>
  </property>
  <property fmtid="{D5CDD505-2E9C-101B-9397-08002B2CF9AE}" pid="26" name="APRAIRTR">
    <vt:lpwstr/>
  </property>
  <property fmtid="{D5CDD505-2E9C-101B-9397-08002B2CF9AE}" pid="27" name="RecordPoint_WorkflowType">
    <vt:lpwstr>ActiveSubmitStub</vt:lpwstr>
  </property>
  <property fmtid="{D5CDD505-2E9C-101B-9397-08002B2CF9AE}" pid="28" name="RecordPoint_ActiveItemWebId">
    <vt:lpwstr>{75a71c27-8d66-4282-ae60-1bfc22a83be1}</vt:lpwstr>
  </property>
  <property fmtid="{D5CDD505-2E9C-101B-9397-08002B2CF9AE}" pid="29" name="RecordPoint_ActiveItemSiteId">
    <vt:lpwstr>{88691c01-5bbb-4215-adc0-66cb7065b0af}</vt:lpwstr>
  </property>
  <property fmtid="{D5CDD505-2E9C-101B-9397-08002B2CF9AE}" pid="30" name="RecordPoint_ActiveItemListId">
    <vt:lpwstr>{8f988914-4376-4d4a-9e02-85c79f5d5824}</vt:lpwstr>
  </property>
  <property fmtid="{D5CDD505-2E9C-101B-9397-08002B2CF9AE}" pid="31" name="RecordPoint_ActiveItemUniqueId">
    <vt:lpwstr>{4e5e34eb-7f5c-4b8b-b93b-68638eee6636}</vt:lpwstr>
  </property>
  <property fmtid="{D5CDD505-2E9C-101B-9397-08002B2CF9AE}" pid="32" name="RecordPoint_RecordNumberSubmitted">
    <vt:lpwstr>R0000511881</vt:lpwstr>
  </property>
  <property fmtid="{D5CDD505-2E9C-101B-9397-08002B2CF9AE}" pid="33" name="RecordPoint_SubmissionCompleted">
    <vt:lpwstr>2018-11-07T12:35:27.4508800+11:00</vt:lpwstr>
  </property>
  <property fmtid="{D5CDD505-2E9C-101B-9397-08002B2CF9AE}" pid="34" name="RecordPoint_SubmissionDate">
    <vt:lpwstr/>
  </property>
  <property fmtid="{D5CDD505-2E9C-101B-9397-08002B2CF9AE}" pid="35" name="RecordPoint_ActiveItemMoved">
    <vt:lpwstr/>
  </property>
  <property fmtid="{D5CDD505-2E9C-101B-9397-08002B2CF9AE}" pid="36" name="RecordPoint_RecordFormat">
    <vt:lpwstr/>
  </property>
  <property fmtid="{D5CDD505-2E9C-101B-9397-08002B2CF9AE}" pid="37" name="PM_Note">
    <vt:lpwstr/>
  </property>
  <property fmtid="{D5CDD505-2E9C-101B-9397-08002B2CF9AE}" pid="38" name="PM_Markers">
    <vt:lpwstr/>
  </property>
  <property fmtid="{D5CDD505-2E9C-101B-9397-08002B2CF9AE}" pid="39" name="PM_Qualifier_Prev">
    <vt:lpwstr/>
  </property>
  <property fmtid="{D5CDD505-2E9C-101B-9397-08002B2CF9AE}" pid="40" name="PM_OriginatorDomainName_SHA256">
    <vt:lpwstr>ECBDE2B44A971754412B3FB70606937A119CC0D4B6C1B658A40FBD41C30BE3EC</vt:lpwstr>
  </property>
  <property fmtid="{D5CDD505-2E9C-101B-9397-08002B2CF9AE}" pid="41" name="MediaServiceImageTags">
    <vt:lpwstr/>
  </property>
  <property fmtid="{D5CDD505-2E9C-101B-9397-08002B2CF9AE}" pid="42" name="PM_SecurityClassification_Prev">
    <vt:lpwstr>OFFICIAL</vt:lpwstr>
  </property>
  <property fmtid="{D5CDD505-2E9C-101B-9397-08002B2CF9AE}" pid="43" name="PM_ProtectiveMarkingValue_Footer">
    <vt:lpwstr>OFFICIAL</vt:lpwstr>
  </property>
  <property fmtid="{D5CDD505-2E9C-101B-9397-08002B2CF9AE}" pid="44" name="PM_SecurityClassification">
    <vt:lpwstr>OFFICIAL</vt:lpwstr>
  </property>
  <property fmtid="{D5CDD505-2E9C-101B-9397-08002B2CF9AE}" pid="45" name="PM_DisplayValueSecClassificationWithQualifier">
    <vt:lpwstr>OFFICIAL</vt:lpwstr>
  </property>
  <property fmtid="{D5CDD505-2E9C-101B-9397-08002B2CF9AE}" pid="46" name="PM_InsertionValue">
    <vt:lpwstr>OFFICIAL</vt:lpwstr>
  </property>
  <property fmtid="{D5CDD505-2E9C-101B-9397-08002B2CF9AE}" pid="47" name="PM_ProtectiveMarkingValue_Header">
    <vt:lpwstr>OFFICIAL</vt:lpwstr>
  </property>
  <property fmtid="{D5CDD505-2E9C-101B-9397-08002B2CF9AE}" pid="48" name="PM_OriginationTimeStamp">
    <vt:lpwstr>2024-10-15T23:45:54Z</vt:lpwstr>
  </property>
  <property fmtid="{D5CDD505-2E9C-101B-9397-08002B2CF9AE}" pid="49" name="PM_Display">
    <vt:lpwstr>OFFICIAL</vt:lpwstr>
  </property>
  <property fmtid="{D5CDD505-2E9C-101B-9397-08002B2CF9AE}" pid="50" name="PMUuid">
    <vt:lpwstr>v=2022.2;d=gov.au;g=46DD6D7C-8107-577B-BC6E-F348953B2E44</vt:lpwstr>
  </property>
  <property fmtid="{D5CDD505-2E9C-101B-9397-08002B2CF9AE}" pid="51" name="PM_Originator_Hash_SHA1">
    <vt:lpwstr>C3AD57350F36D8E1BD75F8F67CB06D435C9C43CA</vt:lpwstr>
  </property>
  <property fmtid="{D5CDD505-2E9C-101B-9397-08002B2CF9AE}" pid="52" name="PM_OriginatorUserAccountName_SHA256">
    <vt:lpwstr>6E3018F28A186D2E5FF5207C041E7A82E907C3008E071057026A53705873B72E</vt:lpwstr>
  </property>
  <property fmtid="{D5CDD505-2E9C-101B-9397-08002B2CF9AE}" pid="53" name="PM_Hash_SHA1">
    <vt:lpwstr>E82F0FF47B0114386DBE862FCB528E2110215164</vt:lpwstr>
  </property>
  <property fmtid="{D5CDD505-2E9C-101B-9397-08002B2CF9AE}" pid="54" name="PM_Hash_Salt_Prev">
    <vt:lpwstr>40EC843A13B26DBAFE34F9EC3D229367</vt:lpwstr>
  </property>
  <property fmtid="{D5CDD505-2E9C-101B-9397-08002B2CF9AE}" pid="55" name="PM_Hash_Salt">
    <vt:lpwstr>14E30107E5BEDBB81933773BD1C8A48E</vt:lpwstr>
  </property>
  <property fmtid="{D5CDD505-2E9C-101B-9397-08002B2CF9AE}" pid="56" name="PMHMAC">
    <vt:lpwstr>v=2022.1;a=SHA256;h=BB31CEE4E9EAD5B4A4E3D6890B6517A663A3E34F78EF058405F795EAC18AE956</vt:lpwstr>
  </property>
  <property fmtid="{D5CDD505-2E9C-101B-9397-08002B2CF9AE}" pid="57" name="MSIP_Label_c0129afb-6481-4f92-bc9f-5a4a6346364d_Method">
    <vt:lpwstr>Privileged</vt:lpwstr>
  </property>
  <property fmtid="{D5CDD505-2E9C-101B-9397-08002B2CF9AE}" pid="58" name="MSIP_Label_c0129afb-6481-4f92-bc9f-5a4a6346364d_SetDate">
    <vt:lpwstr>2024-10-15T23:45:54Z</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ContentBits">
    <vt:lpwstr>0</vt:lpwstr>
  </property>
  <property fmtid="{D5CDD505-2E9C-101B-9397-08002B2CF9AE}" pid="62" name="MSIP_Label_c0129afb-6481-4f92-bc9f-5a4a6346364d_Enabled">
    <vt:lpwstr>true</vt:lpwstr>
  </property>
  <property fmtid="{D5CDD505-2E9C-101B-9397-08002B2CF9AE}" pid="63" name="MSIP_Label_c0129afb-6481-4f92-bc9f-5a4a6346364d_ActionId">
    <vt:lpwstr>5077fd3634db449ca8f348cc5e6e92ba</vt:lpwstr>
  </property>
</Properties>
</file>