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992F9" w14:textId="77777777" w:rsidR="00FB640B" w:rsidRPr="00CC09DA" w:rsidRDefault="0057002B" w:rsidP="00BB0CF2">
      <w:pPr>
        <w:pStyle w:val="ESTitleHeader"/>
        <w:rPr>
          <w:sz w:val="24"/>
          <w:szCs w:val="24"/>
        </w:rPr>
      </w:pPr>
      <w:r w:rsidRPr="00CC09DA">
        <w:rPr>
          <w:sz w:val="24"/>
          <w:szCs w:val="24"/>
        </w:rPr>
        <w:t>EXPLANATORY STATEMENT</w:t>
      </w:r>
    </w:p>
    <w:p w14:paraId="5C4815E0" w14:textId="77777777" w:rsidR="0057002B" w:rsidRPr="00CC09DA" w:rsidRDefault="0057002B" w:rsidP="00BB0CF2">
      <w:pPr>
        <w:pStyle w:val="ESTitleDecisionMaker"/>
        <w:rPr>
          <w:sz w:val="24"/>
          <w:szCs w:val="24"/>
        </w:rPr>
      </w:pPr>
      <w:r w:rsidRPr="00CC09DA">
        <w:rPr>
          <w:sz w:val="24"/>
          <w:szCs w:val="24"/>
        </w:rPr>
        <w:t xml:space="preserve">Issued by authority of the </w:t>
      </w:r>
      <w:r w:rsidR="003E4424" w:rsidRPr="00CC09DA">
        <w:rPr>
          <w:sz w:val="24"/>
          <w:szCs w:val="24"/>
        </w:rPr>
        <w:t>Minister for Immigration and Multicultural Affairs</w:t>
      </w:r>
    </w:p>
    <w:p w14:paraId="547C0DC9" w14:textId="77777777" w:rsidR="0057002B" w:rsidRPr="00CC09DA" w:rsidRDefault="003E4424" w:rsidP="00BB0CF2">
      <w:pPr>
        <w:pStyle w:val="ESTitleEnablingLegislation"/>
        <w:rPr>
          <w:sz w:val="24"/>
          <w:szCs w:val="24"/>
        </w:rPr>
      </w:pPr>
      <w:r w:rsidRPr="00CC09DA">
        <w:rPr>
          <w:sz w:val="24"/>
          <w:szCs w:val="24"/>
        </w:rPr>
        <w:t xml:space="preserve">Migration Regulations 1994 </w:t>
      </w:r>
    </w:p>
    <w:p w14:paraId="3629C8F0" w14:textId="76F7821E" w:rsidR="0057002B" w:rsidRPr="00CC09DA" w:rsidRDefault="00AA624B" w:rsidP="003E4424">
      <w:pPr>
        <w:pStyle w:val="ESTitleInstrumentName"/>
        <w:rPr>
          <w:sz w:val="24"/>
          <w:szCs w:val="24"/>
        </w:rPr>
      </w:pPr>
      <w:r w:rsidRPr="00AA624B">
        <w:rPr>
          <w:sz w:val="24"/>
          <w:szCs w:val="24"/>
        </w:rPr>
        <w:t>Migration (Australia Travel Declaration—Passenger Card May Be Required) Instrument (LIN</w:t>
      </w:r>
      <w:r>
        <w:rPr>
          <w:sz w:val="24"/>
          <w:szCs w:val="24"/>
        </w:rPr>
        <w:t> </w:t>
      </w:r>
      <w:r w:rsidRPr="00AA624B">
        <w:rPr>
          <w:sz w:val="24"/>
          <w:szCs w:val="24"/>
        </w:rPr>
        <w:t>24/075) 2024</w:t>
      </w:r>
    </w:p>
    <w:p w14:paraId="7C0E6EC2" w14:textId="01241663" w:rsidR="0057002B" w:rsidRPr="00CC09DA" w:rsidRDefault="0057002B" w:rsidP="002D167E">
      <w:pPr>
        <w:pStyle w:val="ESPara"/>
        <w:rPr>
          <w:szCs w:val="24"/>
        </w:rPr>
      </w:pPr>
      <w:r w:rsidRPr="00CC09DA">
        <w:rPr>
          <w:szCs w:val="24"/>
        </w:rPr>
        <w:t>The inst</w:t>
      </w:r>
      <w:r w:rsidR="003E4424" w:rsidRPr="00CC09DA">
        <w:rPr>
          <w:szCs w:val="24"/>
        </w:rPr>
        <w:t xml:space="preserve">rument, </w:t>
      </w:r>
      <w:r w:rsidR="00725FE7">
        <w:rPr>
          <w:szCs w:val="24"/>
        </w:rPr>
        <w:t>d</w:t>
      </w:r>
      <w:r w:rsidR="00725FE7" w:rsidRPr="00CC09DA">
        <w:rPr>
          <w:szCs w:val="24"/>
        </w:rPr>
        <w:t xml:space="preserve">epartmental </w:t>
      </w:r>
      <w:r w:rsidR="00D47F19" w:rsidRPr="00CC09DA">
        <w:rPr>
          <w:szCs w:val="24"/>
        </w:rPr>
        <w:t>reference LIN 24/075</w:t>
      </w:r>
      <w:r w:rsidR="003E4424" w:rsidRPr="00CC09DA">
        <w:rPr>
          <w:szCs w:val="24"/>
        </w:rPr>
        <w:t xml:space="preserve">, is made under </w:t>
      </w:r>
      <w:proofErr w:type="spellStart"/>
      <w:r w:rsidR="003E4424" w:rsidRPr="00CC09DA">
        <w:rPr>
          <w:szCs w:val="24"/>
        </w:rPr>
        <w:t>subregulation</w:t>
      </w:r>
      <w:proofErr w:type="spellEnd"/>
      <w:r w:rsidR="00725FE7">
        <w:rPr>
          <w:szCs w:val="24"/>
        </w:rPr>
        <w:t> </w:t>
      </w:r>
      <w:proofErr w:type="gramStart"/>
      <w:r w:rsidR="003E4424" w:rsidRPr="00CC09DA">
        <w:rPr>
          <w:szCs w:val="24"/>
        </w:rPr>
        <w:t>3.03AB(</w:t>
      </w:r>
      <w:proofErr w:type="gramEnd"/>
      <w:r w:rsidR="003E4424" w:rsidRPr="00CC09DA">
        <w:rPr>
          <w:szCs w:val="24"/>
        </w:rPr>
        <w:t>3)</w:t>
      </w:r>
      <w:r w:rsidRPr="00CC09DA">
        <w:rPr>
          <w:szCs w:val="24"/>
        </w:rPr>
        <w:t xml:space="preserve"> of the </w:t>
      </w:r>
      <w:r w:rsidRPr="00CC09DA">
        <w:rPr>
          <w:i/>
          <w:szCs w:val="24"/>
        </w:rPr>
        <w:t>Migration Regulations 1994</w:t>
      </w:r>
      <w:r w:rsidR="00D47784" w:rsidRPr="00CC09DA">
        <w:rPr>
          <w:i/>
          <w:szCs w:val="24"/>
        </w:rPr>
        <w:t xml:space="preserve"> </w:t>
      </w:r>
      <w:r w:rsidR="00D47784" w:rsidRPr="00CC09DA">
        <w:rPr>
          <w:szCs w:val="24"/>
        </w:rPr>
        <w:t>(the</w:t>
      </w:r>
      <w:r w:rsidR="005C5FAE" w:rsidRPr="00CC09DA">
        <w:rPr>
          <w:szCs w:val="24"/>
        </w:rPr>
        <w:t xml:space="preserve"> Migration</w:t>
      </w:r>
      <w:r w:rsidR="00D47784" w:rsidRPr="00CC09DA">
        <w:rPr>
          <w:szCs w:val="24"/>
        </w:rPr>
        <w:t xml:space="preserve"> Regulations)</w:t>
      </w:r>
      <w:r w:rsidR="003E4424" w:rsidRPr="00CC09DA">
        <w:rPr>
          <w:szCs w:val="24"/>
        </w:rPr>
        <w:t>.</w:t>
      </w:r>
      <w:r w:rsidRPr="00CC09DA">
        <w:rPr>
          <w:szCs w:val="24"/>
        </w:rPr>
        <w:t xml:space="preserve"> </w:t>
      </w:r>
    </w:p>
    <w:p w14:paraId="50BC04EF" w14:textId="607B95FA" w:rsidR="00EA12C9" w:rsidRPr="00CC09DA" w:rsidRDefault="00EA12C9" w:rsidP="002D167E">
      <w:pPr>
        <w:pStyle w:val="ESPara"/>
        <w:rPr>
          <w:szCs w:val="24"/>
        </w:rPr>
      </w:pPr>
      <w:r w:rsidRPr="00CC09DA">
        <w:rPr>
          <w:szCs w:val="24"/>
        </w:rPr>
        <w:t xml:space="preserve">The instrument </w:t>
      </w:r>
      <w:r w:rsidR="00EB478E" w:rsidRPr="00CC09DA">
        <w:rPr>
          <w:szCs w:val="24"/>
        </w:rPr>
        <w:t>repeals</w:t>
      </w:r>
      <w:r w:rsidR="00BD598E" w:rsidRPr="00CC09DA">
        <w:rPr>
          <w:szCs w:val="24"/>
        </w:rPr>
        <w:t xml:space="preserve"> </w:t>
      </w:r>
      <w:r w:rsidR="003E4424" w:rsidRPr="00CC09DA">
        <w:rPr>
          <w:szCs w:val="24"/>
        </w:rPr>
        <w:t xml:space="preserve">the </w:t>
      </w:r>
      <w:r w:rsidR="003E4424" w:rsidRPr="00CC09DA">
        <w:rPr>
          <w:i/>
          <w:szCs w:val="24"/>
        </w:rPr>
        <w:t>Migration (Digital Passenger Declaration</w:t>
      </w:r>
      <w:r w:rsidR="00AA624B">
        <w:rPr>
          <w:i/>
          <w:szCs w:val="24"/>
        </w:rPr>
        <w:t>—</w:t>
      </w:r>
      <w:r w:rsidR="003E4424" w:rsidRPr="00CC09DA">
        <w:rPr>
          <w:i/>
          <w:szCs w:val="24"/>
        </w:rPr>
        <w:t>Circumstances where Passenger Card also required) Instrument (LIN 22/015) 2022</w:t>
      </w:r>
      <w:r w:rsidR="003E4424" w:rsidRPr="00CC09DA">
        <w:rPr>
          <w:szCs w:val="24"/>
        </w:rPr>
        <w:t xml:space="preserve"> </w:t>
      </w:r>
      <w:r w:rsidRPr="00CC09DA">
        <w:rPr>
          <w:szCs w:val="24"/>
        </w:rPr>
        <w:t xml:space="preserve">in accordance with subsection 33(3) of the </w:t>
      </w:r>
      <w:r w:rsidRPr="00CC09DA">
        <w:rPr>
          <w:i/>
          <w:szCs w:val="24"/>
        </w:rPr>
        <w:t>Acts Interpretation Act 1901</w:t>
      </w:r>
      <w:r w:rsidR="00BD598E" w:rsidRPr="00CC09DA">
        <w:rPr>
          <w:i/>
          <w:szCs w:val="24"/>
        </w:rPr>
        <w:t xml:space="preserve"> </w:t>
      </w:r>
      <w:r w:rsidR="00BD598E" w:rsidRPr="00CC09DA">
        <w:rPr>
          <w:szCs w:val="24"/>
        </w:rPr>
        <w:t>(the Acts Interpretation Act)</w:t>
      </w:r>
      <w:r w:rsidR="00EB478E" w:rsidRPr="00CC09DA">
        <w:rPr>
          <w:szCs w:val="24"/>
        </w:rPr>
        <w:t xml:space="preserve">. </w:t>
      </w:r>
      <w:r w:rsidRPr="00CC09DA">
        <w:rPr>
          <w:szCs w:val="24"/>
        </w:rPr>
        <w:t xml:space="preserve">That subsection provides that </w:t>
      </w:r>
      <w:r w:rsidR="00100DFC" w:rsidRPr="00CC09DA">
        <w:rPr>
          <w:szCs w:val="24"/>
        </w:rPr>
        <w:t xml:space="preserve">a power to make a legislative instrument </w:t>
      </w:r>
      <w:proofErr w:type="gramStart"/>
      <w:r w:rsidR="00100DFC" w:rsidRPr="00CC09DA">
        <w:rPr>
          <w:szCs w:val="24"/>
        </w:rPr>
        <w:t>includes</w:t>
      </w:r>
      <w:proofErr w:type="gramEnd"/>
      <w:r w:rsidR="00100DFC" w:rsidRPr="00CC09DA">
        <w:rPr>
          <w:szCs w:val="24"/>
        </w:rPr>
        <w:t xml:space="preserve"> a power to amend or repeal that instrument in the same manner, and subject to the same conditions, as the power to make the instrument</w:t>
      </w:r>
      <w:r w:rsidR="00BD598E" w:rsidRPr="00CC09DA">
        <w:rPr>
          <w:szCs w:val="24"/>
        </w:rPr>
        <w:t xml:space="preserve">.  </w:t>
      </w:r>
    </w:p>
    <w:p w14:paraId="5816136C" w14:textId="2AEDFEA4" w:rsidR="00BD598E" w:rsidRPr="00CC09DA" w:rsidRDefault="003E4424" w:rsidP="00EB478E">
      <w:pPr>
        <w:pStyle w:val="ESPara"/>
        <w:rPr>
          <w:szCs w:val="24"/>
        </w:rPr>
      </w:pPr>
      <w:r w:rsidRPr="00CC09DA">
        <w:rPr>
          <w:szCs w:val="24"/>
        </w:rPr>
        <w:t xml:space="preserve">The instrument commences </w:t>
      </w:r>
      <w:r w:rsidR="00CC09DA">
        <w:rPr>
          <w:szCs w:val="24"/>
        </w:rPr>
        <w:t>on the day after th</w:t>
      </w:r>
      <w:r w:rsidR="005D5080">
        <w:rPr>
          <w:szCs w:val="24"/>
        </w:rPr>
        <w:t>e</w:t>
      </w:r>
      <w:r w:rsidR="00CC09DA">
        <w:rPr>
          <w:szCs w:val="24"/>
        </w:rPr>
        <w:t xml:space="preserve"> instrument </w:t>
      </w:r>
      <w:proofErr w:type="gramStart"/>
      <w:r w:rsidR="00CC09DA">
        <w:rPr>
          <w:szCs w:val="24"/>
        </w:rPr>
        <w:t>is registered</w:t>
      </w:r>
      <w:proofErr w:type="gramEnd"/>
      <w:r w:rsidR="00CC09DA">
        <w:rPr>
          <w:szCs w:val="24"/>
        </w:rPr>
        <w:t xml:space="preserve"> on the Federal Register of Legislation. </w:t>
      </w:r>
      <w:r w:rsidR="00EB478E" w:rsidRPr="00CC09DA">
        <w:rPr>
          <w:szCs w:val="24"/>
        </w:rPr>
        <w:t>I</w:t>
      </w:r>
      <w:r w:rsidRPr="00CC09DA">
        <w:rPr>
          <w:szCs w:val="24"/>
        </w:rPr>
        <w:t xml:space="preserve">t is a legislative instrument for the </w:t>
      </w:r>
      <w:r w:rsidRPr="00CC09DA">
        <w:rPr>
          <w:i/>
          <w:szCs w:val="24"/>
        </w:rPr>
        <w:t xml:space="preserve">Legislation Act 2003 </w:t>
      </w:r>
      <w:r w:rsidRPr="00CC09DA">
        <w:rPr>
          <w:szCs w:val="24"/>
        </w:rPr>
        <w:t xml:space="preserve">(the Legislation Act). </w:t>
      </w:r>
      <w:r w:rsidR="00BD598E" w:rsidRPr="00CC09DA">
        <w:rPr>
          <w:szCs w:val="24"/>
        </w:rPr>
        <w:t xml:space="preserve"> </w:t>
      </w:r>
    </w:p>
    <w:p w14:paraId="61F404D4" w14:textId="77777777" w:rsidR="00EA12C9" w:rsidRPr="00CC09DA" w:rsidRDefault="00BD598E" w:rsidP="00100DFC">
      <w:pPr>
        <w:pStyle w:val="ESHeading"/>
        <w:rPr>
          <w:sz w:val="24"/>
          <w:szCs w:val="24"/>
        </w:rPr>
      </w:pPr>
      <w:r w:rsidRPr="00CC09DA">
        <w:rPr>
          <w:sz w:val="24"/>
          <w:szCs w:val="24"/>
        </w:rPr>
        <w:t>Purpose</w:t>
      </w:r>
      <w:r w:rsidR="00BB0CF2" w:rsidRPr="00CC09DA">
        <w:rPr>
          <w:sz w:val="24"/>
          <w:szCs w:val="24"/>
        </w:rPr>
        <w:t xml:space="preserve"> </w:t>
      </w:r>
    </w:p>
    <w:p w14:paraId="4535B534" w14:textId="1D7B9BDA" w:rsidR="00D77D7D" w:rsidRPr="00CC09DA" w:rsidRDefault="00D47784" w:rsidP="00D47784">
      <w:pPr>
        <w:pStyle w:val="ESPara"/>
        <w:rPr>
          <w:szCs w:val="24"/>
        </w:rPr>
      </w:pPr>
      <w:r w:rsidRPr="00CC09DA">
        <w:rPr>
          <w:szCs w:val="24"/>
        </w:rPr>
        <w:t>Passengers arriving in Australia are required to comply with the requirements set out in section</w:t>
      </w:r>
      <w:r w:rsidR="00725FE7">
        <w:rPr>
          <w:szCs w:val="24"/>
        </w:rPr>
        <w:t> </w:t>
      </w:r>
      <w:r w:rsidRPr="00CC09DA">
        <w:rPr>
          <w:szCs w:val="24"/>
        </w:rPr>
        <w:t xml:space="preserve">166 of the </w:t>
      </w:r>
      <w:r w:rsidRPr="00CC09DA">
        <w:rPr>
          <w:i/>
          <w:szCs w:val="24"/>
        </w:rPr>
        <w:t>Migration Act 1958</w:t>
      </w:r>
      <w:r w:rsidRPr="00CC09DA">
        <w:rPr>
          <w:szCs w:val="24"/>
        </w:rPr>
        <w:t xml:space="preserve"> </w:t>
      </w:r>
      <w:r w:rsidR="007B3238" w:rsidRPr="00CC09DA">
        <w:rPr>
          <w:szCs w:val="24"/>
        </w:rPr>
        <w:t xml:space="preserve">(the Migration Act) </w:t>
      </w:r>
      <w:r w:rsidR="00D77D7D" w:rsidRPr="00CC09DA">
        <w:rPr>
          <w:szCs w:val="24"/>
        </w:rPr>
        <w:t xml:space="preserve">in order </w:t>
      </w:r>
      <w:r w:rsidRPr="00CC09DA">
        <w:rPr>
          <w:szCs w:val="24"/>
        </w:rPr>
        <w:t>to be immigration cleared</w:t>
      </w:r>
      <w:r w:rsidR="00D77D7D" w:rsidRPr="00CC09DA">
        <w:rPr>
          <w:szCs w:val="24"/>
        </w:rPr>
        <w:t xml:space="preserve"> and enter Australia</w:t>
      </w:r>
      <w:r w:rsidRPr="00CC09DA">
        <w:rPr>
          <w:szCs w:val="24"/>
        </w:rPr>
        <w:t xml:space="preserve">. For the purposes of complying with section 166, further requirements are </w:t>
      </w:r>
      <w:r w:rsidR="00725FE7">
        <w:rPr>
          <w:szCs w:val="24"/>
        </w:rPr>
        <w:t>set out</w:t>
      </w:r>
      <w:r w:rsidR="00725FE7" w:rsidRPr="00CC09DA">
        <w:rPr>
          <w:szCs w:val="24"/>
        </w:rPr>
        <w:t xml:space="preserve"> </w:t>
      </w:r>
      <w:r w:rsidRPr="00CC09DA">
        <w:rPr>
          <w:szCs w:val="24"/>
        </w:rPr>
        <w:t xml:space="preserve">in Division 3.1 of Part 3 of the Migration Regulations. This includes the requirement in regulation 3.01 to complete </w:t>
      </w:r>
      <w:r w:rsidR="00D77D7D" w:rsidRPr="00CC09DA">
        <w:rPr>
          <w:szCs w:val="24"/>
        </w:rPr>
        <w:t xml:space="preserve">a </w:t>
      </w:r>
      <w:r w:rsidRPr="00CC09DA">
        <w:rPr>
          <w:szCs w:val="24"/>
        </w:rPr>
        <w:t>passenger card</w:t>
      </w:r>
      <w:r w:rsidR="00BD1CF2">
        <w:rPr>
          <w:szCs w:val="24"/>
        </w:rPr>
        <w:t xml:space="preserve"> (also known as an ‘incoming passenger card’)</w:t>
      </w:r>
      <w:r w:rsidRPr="00CC09DA">
        <w:rPr>
          <w:szCs w:val="24"/>
        </w:rPr>
        <w:t xml:space="preserve">, unless specifically exempt from doing so. </w:t>
      </w:r>
    </w:p>
    <w:p w14:paraId="0627B11A" w14:textId="074EB345" w:rsidR="00D77D7D" w:rsidRPr="00CC09DA" w:rsidRDefault="003E4424" w:rsidP="009B2C91">
      <w:pPr>
        <w:pStyle w:val="ESPara"/>
        <w:rPr>
          <w:szCs w:val="24"/>
        </w:rPr>
      </w:pPr>
      <w:r w:rsidRPr="00CC09DA">
        <w:rPr>
          <w:szCs w:val="24"/>
        </w:rPr>
        <w:t xml:space="preserve">Regulation 3.03AB was inserted into the </w:t>
      </w:r>
      <w:r w:rsidR="005C5FAE" w:rsidRPr="00CC09DA">
        <w:rPr>
          <w:szCs w:val="24"/>
        </w:rPr>
        <w:t xml:space="preserve">Migration </w:t>
      </w:r>
      <w:r w:rsidRPr="00CC09DA">
        <w:rPr>
          <w:szCs w:val="24"/>
        </w:rPr>
        <w:t>Regulations by the</w:t>
      </w:r>
      <w:r w:rsidRPr="00CC09DA">
        <w:rPr>
          <w:i/>
          <w:szCs w:val="24"/>
        </w:rPr>
        <w:t xml:space="preserve"> Home Affairs Legislation Amendment (Digital Passenger Declaration) Regulations 2021 </w:t>
      </w:r>
      <w:proofErr w:type="gramStart"/>
      <w:r w:rsidRPr="00CC09DA">
        <w:rPr>
          <w:szCs w:val="24"/>
        </w:rPr>
        <w:t>for the purpose of</w:t>
      </w:r>
      <w:proofErr w:type="gramEnd"/>
      <w:r w:rsidRPr="00CC09DA">
        <w:rPr>
          <w:szCs w:val="24"/>
        </w:rPr>
        <w:t xml:space="preserve"> exempting a person from completing or providing a</w:t>
      </w:r>
      <w:r w:rsidR="00BD1CF2">
        <w:rPr>
          <w:szCs w:val="24"/>
        </w:rPr>
        <w:t>n incoming</w:t>
      </w:r>
      <w:r w:rsidRPr="00CC09DA">
        <w:rPr>
          <w:szCs w:val="24"/>
        </w:rPr>
        <w:t xml:space="preserve"> passenger card </w:t>
      </w:r>
      <w:r w:rsidR="00D77D7D" w:rsidRPr="00CC09DA">
        <w:rPr>
          <w:szCs w:val="24"/>
        </w:rPr>
        <w:t>if</w:t>
      </w:r>
      <w:r w:rsidRPr="00CC09DA">
        <w:rPr>
          <w:szCs w:val="24"/>
        </w:rPr>
        <w:t xml:space="preserve"> they </w:t>
      </w:r>
      <w:r w:rsidR="00D77D7D" w:rsidRPr="00CC09DA">
        <w:rPr>
          <w:szCs w:val="24"/>
        </w:rPr>
        <w:t xml:space="preserve">instead </w:t>
      </w:r>
      <w:r w:rsidRPr="00CC09DA">
        <w:rPr>
          <w:szCs w:val="24"/>
        </w:rPr>
        <w:t xml:space="preserve">provided a </w:t>
      </w:r>
      <w:r w:rsidR="00D77D7D" w:rsidRPr="00CC09DA">
        <w:rPr>
          <w:szCs w:val="24"/>
        </w:rPr>
        <w:t>‘</w:t>
      </w:r>
      <w:r w:rsidRPr="00CC09DA">
        <w:rPr>
          <w:szCs w:val="24"/>
        </w:rPr>
        <w:t>digital passenger declaration</w:t>
      </w:r>
      <w:r w:rsidR="00D77D7D" w:rsidRPr="00CC09DA">
        <w:rPr>
          <w:szCs w:val="24"/>
        </w:rPr>
        <w:t>’</w:t>
      </w:r>
      <w:r w:rsidRPr="00CC09DA">
        <w:rPr>
          <w:szCs w:val="24"/>
        </w:rPr>
        <w:t>.</w:t>
      </w:r>
      <w:r w:rsidR="00D77D7D" w:rsidRPr="00CC09DA">
        <w:rPr>
          <w:szCs w:val="24"/>
        </w:rPr>
        <w:t xml:space="preserve"> The d</w:t>
      </w:r>
      <w:r w:rsidR="00FC0C6B" w:rsidRPr="00CC09DA">
        <w:rPr>
          <w:szCs w:val="24"/>
        </w:rPr>
        <w:t xml:space="preserve">igital </w:t>
      </w:r>
      <w:r w:rsidR="00D77D7D" w:rsidRPr="00CC09DA">
        <w:rPr>
          <w:szCs w:val="24"/>
        </w:rPr>
        <w:t>p</w:t>
      </w:r>
      <w:r w:rsidR="00FC0C6B" w:rsidRPr="00CC09DA">
        <w:rPr>
          <w:szCs w:val="24"/>
        </w:rPr>
        <w:t xml:space="preserve">assenger </w:t>
      </w:r>
      <w:r w:rsidR="00D77D7D" w:rsidRPr="00CC09DA">
        <w:rPr>
          <w:szCs w:val="24"/>
        </w:rPr>
        <w:t>d</w:t>
      </w:r>
      <w:r w:rsidR="00FC0C6B" w:rsidRPr="00CC09DA">
        <w:rPr>
          <w:szCs w:val="24"/>
        </w:rPr>
        <w:t xml:space="preserve">eclaration </w:t>
      </w:r>
      <w:proofErr w:type="gramStart"/>
      <w:r w:rsidR="00D77D7D" w:rsidRPr="00CC09DA">
        <w:rPr>
          <w:szCs w:val="24"/>
        </w:rPr>
        <w:t xml:space="preserve">was </w:t>
      </w:r>
      <w:r w:rsidR="00FC0C6B" w:rsidRPr="00CC09DA">
        <w:rPr>
          <w:szCs w:val="24"/>
        </w:rPr>
        <w:t>introduced</w:t>
      </w:r>
      <w:proofErr w:type="gramEnd"/>
      <w:r w:rsidR="00FC0C6B" w:rsidRPr="00CC09DA">
        <w:rPr>
          <w:szCs w:val="24"/>
        </w:rPr>
        <w:t xml:space="preserve"> during the </w:t>
      </w:r>
      <w:r w:rsidR="00D77D7D" w:rsidRPr="00CC09DA">
        <w:rPr>
          <w:szCs w:val="24"/>
        </w:rPr>
        <w:t xml:space="preserve">COVID-19 </w:t>
      </w:r>
      <w:r w:rsidR="00FC0C6B" w:rsidRPr="00CC09DA">
        <w:rPr>
          <w:szCs w:val="24"/>
        </w:rPr>
        <w:t>pandemic</w:t>
      </w:r>
      <w:r w:rsidR="00D77D7D" w:rsidRPr="00CC09DA">
        <w:rPr>
          <w:szCs w:val="24"/>
        </w:rPr>
        <w:t xml:space="preserve"> </w:t>
      </w:r>
      <w:r w:rsidR="00CC09DA">
        <w:rPr>
          <w:szCs w:val="24"/>
        </w:rPr>
        <w:t xml:space="preserve">to require individuals to declare their COVID-19 vaccination status before travelling to Australia. The digital passenger declaration </w:t>
      </w:r>
      <w:proofErr w:type="gramStart"/>
      <w:r w:rsidR="00CC09DA">
        <w:rPr>
          <w:szCs w:val="24"/>
        </w:rPr>
        <w:t>was decommissioned</w:t>
      </w:r>
      <w:proofErr w:type="gramEnd"/>
      <w:r w:rsidR="00CC09DA">
        <w:rPr>
          <w:szCs w:val="24"/>
        </w:rPr>
        <w:t xml:space="preserve"> with the reopening of the Australian border and removal of the requirement for </w:t>
      </w:r>
      <w:r w:rsidR="005D5080">
        <w:rPr>
          <w:szCs w:val="24"/>
        </w:rPr>
        <w:t>individuals</w:t>
      </w:r>
      <w:r w:rsidR="00CC09DA">
        <w:rPr>
          <w:szCs w:val="24"/>
        </w:rPr>
        <w:t xml:space="preserve"> to declare their COVID-19 </w:t>
      </w:r>
      <w:r w:rsidR="00BD1CF2">
        <w:rPr>
          <w:szCs w:val="24"/>
        </w:rPr>
        <w:t xml:space="preserve">vaccination </w:t>
      </w:r>
      <w:r w:rsidR="00CC09DA">
        <w:rPr>
          <w:szCs w:val="24"/>
        </w:rPr>
        <w:t xml:space="preserve">status. </w:t>
      </w:r>
    </w:p>
    <w:p w14:paraId="28BB8C24" w14:textId="4544E632" w:rsidR="00FC0C6B" w:rsidRPr="00CC09DA" w:rsidRDefault="00D77D7D" w:rsidP="00D35002">
      <w:pPr>
        <w:pStyle w:val="ESPara"/>
        <w:rPr>
          <w:szCs w:val="24"/>
        </w:rPr>
      </w:pPr>
      <w:r w:rsidRPr="00CC09DA">
        <w:rPr>
          <w:szCs w:val="24"/>
        </w:rPr>
        <w:t xml:space="preserve">Regulation 3.03AB </w:t>
      </w:r>
      <w:proofErr w:type="gramStart"/>
      <w:r w:rsidRPr="00CC09DA">
        <w:rPr>
          <w:szCs w:val="24"/>
        </w:rPr>
        <w:t>was amended</w:t>
      </w:r>
      <w:proofErr w:type="gramEnd"/>
      <w:r w:rsidRPr="00CC09DA">
        <w:rPr>
          <w:szCs w:val="24"/>
        </w:rPr>
        <w:t xml:space="preserve"> in October 2024 by the</w:t>
      </w:r>
      <w:r w:rsidRPr="00CC09DA">
        <w:rPr>
          <w:i/>
          <w:szCs w:val="24"/>
        </w:rPr>
        <w:t xml:space="preserve"> Home Affairs Legislation Amendment (Australia Travel Declaration and Other Matters) Regulations 2024</w:t>
      </w:r>
      <w:r w:rsidRPr="00CC09DA">
        <w:rPr>
          <w:szCs w:val="24"/>
        </w:rPr>
        <w:t xml:space="preserve"> to introduce a trial of a new electronic declaration, known as the</w:t>
      </w:r>
      <w:r w:rsidR="00FC0C6B" w:rsidRPr="00CC09DA">
        <w:rPr>
          <w:szCs w:val="24"/>
        </w:rPr>
        <w:t xml:space="preserve"> Australia Travel Declaration (ATD). </w:t>
      </w:r>
      <w:r w:rsidRPr="00CC09DA">
        <w:rPr>
          <w:szCs w:val="24"/>
        </w:rPr>
        <w:t>Regulation</w:t>
      </w:r>
      <w:r w:rsidR="00725FE7">
        <w:rPr>
          <w:szCs w:val="24"/>
        </w:rPr>
        <w:t> </w:t>
      </w:r>
      <w:proofErr w:type="gramStart"/>
      <w:r w:rsidRPr="00CC09DA">
        <w:rPr>
          <w:szCs w:val="24"/>
        </w:rPr>
        <w:t>3.03AB(</w:t>
      </w:r>
      <w:proofErr w:type="gramEnd"/>
      <w:r w:rsidRPr="00CC09DA">
        <w:rPr>
          <w:szCs w:val="24"/>
        </w:rPr>
        <w:t>1)</w:t>
      </w:r>
      <w:r w:rsidR="00DA4142" w:rsidRPr="00CC09DA">
        <w:rPr>
          <w:szCs w:val="24"/>
        </w:rPr>
        <w:t xml:space="preserve"> provides </w:t>
      </w:r>
      <w:r w:rsidR="00731909" w:rsidRPr="00CC09DA">
        <w:rPr>
          <w:szCs w:val="24"/>
        </w:rPr>
        <w:t xml:space="preserve">that </w:t>
      </w:r>
      <w:r w:rsidRPr="00CC09DA">
        <w:rPr>
          <w:szCs w:val="24"/>
        </w:rPr>
        <w:t>a</w:t>
      </w:r>
      <w:r w:rsidR="00FC0C6B" w:rsidRPr="00CC09DA">
        <w:rPr>
          <w:szCs w:val="24"/>
        </w:rPr>
        <w:t xml:space="preserve"> person</w:t>
      </w:r>
      <w:r w:rsidRPr="00CC09DA">
        <w:rPr>
          <w:szCs w:val="24"/>
        </w:rPr>
        <w:t xml:space="preserve"> arriving in Australia</w:t>
      </w:r>
      <w:r w:rsidR="00FC0C6B" w:rsidRPr="00CC09DA">
        <w:rPr>
          <w:szCs w:val="24"/>
        </w:rPr>
        <w:t xml:space="preserve"> is not required to complete or provide a passenger card if they </w:t>
      </w:r>
      <w:r w:rsidR="00DA4142" w:rsidRPr="00CC09DA">
        <w:rPr>
          <w:szCs w:val="24"/>
        </w:rPr>
        <w:t xml:space="preserve">instead provide </w:t>
      </w:r>
      <w:r w:rsidR="00FC0C6B" w:rsidRPr="00CC09DA">
        <w:rPr>
          <w:szCs w:val="24"/>
        </w:rPr>
        <w:t>a</w:t>
      </w:r>
      <w:r w:rsidR="00DA4142" w:rsidRPr="00CC09DA">
        <w:rPr>
          <w:szCs w:val="24"/>
        </w:rPr>
        <w:t>n</w:t>
      </w:r>
      <w:r w:rsidR="00FC0C6B" w:rsidRPr="00CC09DA">
        <w:rPr>
          <w:szCs w:val="24"/>
        </w:rPr>
        <w:t xml:space="preserve"> ATD. </w:t>
      </w:r>
      <w:r w:rsidR="007B3238" w:rsidRPr="00CC09DA">
        <w:rPr>
          <w:szCs w:val="24"/>
        </w:rPr>
        <w:t>However, u</w:t>
      </w:r>
      <w:r w:rsidR="00FC0C6B" w:rsidRPr="00CC09DA">
        <w:rPr>
          <w:szCs w:val="24"/>
        </w:rPr>
        <w:t xml:space="preserve">nder </w:t>
      </w:r>
      <w:proofErr w:type="spellStart"/>
      <w:r w:rsidR="00FC0C6B" w:rsidRPr="00CC09DA">
        <w:rPr>
          <w:szCs w:val="24"/>
        </w:rPr>
        <w:lastRenderedPageBreak/>
        <w:t>subregulation</w:t>
      </w:r>
      <w:proofErr w:type="spellEnd"/>
      <w:r w:rsidR="00725FE7">
        <w:rPr>
          <w:szCs w:val="24"/>
        </w:rPr>
        <w:t> </w:t>
      </w:r>
      <w:proofErr w:type="gramStart"/>
      <w:r w:rsidR="00FC0C6B" w:rsidRPr="00CC09DA">
        <w:rPr>
          <w:szCs w:val="24"/>
        </w:rPr>
        <w:t>3.03AB(</w:t>
      </w:r>
      <w:proofErr w:type="gramEnd"/>
      <w:r w:rsidR="00FC0C6B" w:rsidRPr="00CC09DA">
        <w:rPr>
          <w:szCs w:val="24"/>
        </w:rPr>
        <w:t xml:space="preserve">2) of the </w:t>
      </w:r>
      <w:r w:rsidR="007B3238" w:rsidRPr="00CC09DA">
        <w:rPr>
          <w:szCs w:val="24"/>
        </w:rPr>
        <w:t xml:space="preserve">Migration </w:t>
      </w:r>
      <w:r w:rsidR="00FC0C6B" w:rsidRPr="00CC09DA">
        <w:rPr>
          <w:szCs w:val="24"/>
        </w:rPr>
        <w:t xml:space="preserve">Regulations, a clearance officer may require a person to provide a completed </w:t>
      </w:r>
      <w:r w:rsidR="00BD1CF2">
        <w:rPr>
          <w:szCs w:val="24"/>
        </w:rPr>
        <w:t xml:space="preserve">incoming </w:t>
      </w:r>
      <w:r w:rsidR="00FC0C6B" w:rsidRPr="00CC09DA">
        <w:rPr>
          <w:szCs w:val="24"/>
        </w:rPr>
        <w:t xml:space="preserve">passenger card if circumstances specified in a legislative instrument exist. </w:t>
      </w:r>
    </w:p>
    <w:p w14:paraId="3DFBFC6C" w14:textId="1E5BF191" w:rsidR="00BB0CF2" w:rsidRPr="00CC09DA" w:rsidRDefault="00731909" w:rsidP="003E4424">
      <w:pPr>
        <w:pStyle w:val="ESPara"/>
        <w:rPr>
          <w:szCs w:val="24"/>
        </w:rPr>
      </w:pPr>
      <w:r w:rsidRPr="00CC09DA">
        <w:rPr>
          <w:szCs w:val="24"/>
        </w:rPr>
        <w:t>The purpose of this</w:t>
      </w:r>
      <w:r w:rsidR="00FC0C6B" w:rsidRPr="00CC09DA">
        <w:rPr>
          <w:szCs w:val="24"/>
        </w:rPr>
        <w:t xml:space="preserve"> instrument is to specify </w:t>
      </w:r>
      <w:r w:rsidRPr="00CC09DA">
        <w:rPr>
          <w:szCs w:val="24"/>
        </w:rPr>
        <w:t xml:space="preserve">the </w:t>
      </w:r>
      <w:r w:rsidR="00FC0C6B" w:rsidRPr="00CC09DA">
        <w:rPr>
          <w:szCs w:val="24"/>
        </w:rPr>
        <w:t xml:space="preserve">circumstances, for </w:t>
      </w:r>
      <w:r w:rsidRPr="00CC09DA">
        <w:rPr>
          <w:szCs w:val="24"/>
        </w:rPr>
        <w:t xml:space="preserve">the purposes of </w:t>
      </w:r>
      <w:proofErr w:type="spellStart"/>
      <w:r w:rsidR="00FC0C6B" w:rsidRPr="00CC09DA">
        <w:rPr>
          <w:szCs w:val="24"/>
        </w:rPr>
        <w:t>subregulation</w:t>
      </w:r>
      <w:proofErr w:type="spellEnd"/>
      <w:r w:rsidR="00FC0C6B" w:rsidRPr="00CC09DA">
        <w:rPr>
          <w:szCs w:val="24"/>
        </w:rPr>
        <w:t xml:space="preserve"> </w:t>
      </w:r>
      <w:proofErr w:type="gramStart"/>
      <w:r w:rsidR="00FC0C6B" w:rsidRPr="00CC09DA">
        <w:rPr>
          <w:szCs w:val="24"/>
        </w:rPr>
        <w:t>3.03AB(</w:t>
      </w:r>
      <w:proofErr w:type="gramEnd"/>
      <w:r w:rsidR="00FC0C6B" w:rsidRPr="00CC09DA">
        <w:rPr>
          <w:szCs w:val="24"/>
        </w:rPr>
        <w:t xml:space="preserve">2) of the </w:t>
      </w:r>
      <w:r w:rsidR="007B3238" w:rsidRPr="00CC09DA">
        <w:rPr>
          <w:szCs w:val="24"/>
        </w:rPr>
        <w:t xml:space="preserve">Migration </w:t>
      </w:r>
      <w:r w:rsidR="00FC0C6B" w:rsidRPr="00CC09DA">
        <w:rPr>
          <w:szCs w:val="24"/>
        </w:rPr>
        <w:t xml:space="preserve">Regulations, in which a clearance officer may require a person to provide a completed </w:t>
      </w:r>
      <w:r w:rsidR="005D5080">
        <w:rPr>
          <w:szCs w:val="24"/>
        </w:rPr>
        <w:t xml:space="preserve">incoming </w:t>
      </w:r>
      <w:r w:rsidR="00FC0C6B" w:rsidRPr="00CC09DA">
        <w:rPr>
          <w:szCs w:val="24"/>
        </w:rPr>
        <w:t>passenger card</w:t>
      </w:r>
      <w:r w:rsidR="007B3238" w:rsidRPr="00CC09DA">
        <w:rPr>
          <w:szCs w:val="24"/>
        </w:rPr>
        <w:t>, despite an ATD being provided</w:t>
      </w:r>
      <w:r w:rsidR="00FC0C6B" w:rsidRPr="00CC09DA">
        <w:rPr>
          <w:szCs w:val="24"/>
        </w:rPr>
        <w:t>.</w:t>
      </w:r>
    </w:p>
    <w:p w14:paraId="43F6D67B" w14:textId="54995760" w:rsidR="00731909" w:rsidRPr="00CC09DA" w:rsidRDefault="00FC0C6B" w:rsidP="003E4424">
      <w:pPr>
        <w:pStyle w:val="ESPara"/>
        <w:rPr>
          <w:szCs w:val="24"/>
        </w:rPr>
      </w:pPr>
      <w:r w:rsidRPr="00CC09DA">
        <w:rPr>
          <w:szCs w:val="24"/>
        </w:rPr>
        <w:t>The instrument, at section</w:t>
      </w:r>
      <w:r w:rsidR="00731909" w:rsidRPr="00CC09DA">
        <w:rPr>
          <w:szCs w:val="24"/>
        </w:rPr>
        <w:t xml:space="preserve"> </w:t>
      </w:r>
      <w:r w:rsidR="00A32852">
        <w:rPr>
          <w:szCs w:val="24"/>
        </w:rPr>
        <w:t>6</w:t>
      </w:r>
      <w:r w:rsidR="00244236" w:rsidRPr="00CC09DA">
        <w:rPr>
          <w:szCs w:val="24"/>
        </w:rPr>
        <w:t>, s</w:t>
      </w:r>
      <w:r w:rsidR="007B3238" w:rsidRPr="00CC09DA">
        <w:rPr>
          <w:szCs w:val="24"/>
        </w:rPr>
        <w:t xml:space="preserve">pecifies two circumstances </w:t>
      </w:r>
      <w:r w:rsidR="00725FE7">
        <w:rPr>
          <w:szCs w:val="24"/>
        </w:rPr>
        <w:t>in which</w:t>
      </w:r>
      <w:r w:rsidR="00725FE7" w:rsidRPr="00CC09DA">
        <w:rPr>
          <w:szCs w:val="24"/>
        </w:rPr>
        <w:t xml:space="preserve"> </w:t>
      </w:r>
      <w:r w:rsidR="00244236" w:rsidRPr="00CC09DA">
        <w:rPr>
          <w:szCs w:val="24"/>
        </w:rPr>
        <w:t xml:space="preserve">a clearance officer may require a person who has provided an ATD to provide a completed </w:t>
      </w:r>
      <w:r w:rsidR="00BD1CF2">
        <w:rPr>
          <w:szCs w:val="24"/>
        </w:rPr>
        <w:t xml:space="preserve">incoming </w:t>
      </w:r>
      <w:r w:rsidR="00244236" w:rsidRPr="00CC09DA">
        <w:rPr>
          <w:szCs w:val="24"/>
        </w:rPr>
        <w:t>passenger card.</w:t>
      </w:r>
      <w:r w:rsidR="00731909" w:rsidRPr="00CC09DA">
        <w:rPr>
          <w:szCs w:val="24"/>
        </w:rPr>
        <w:t xml:space="preserve"> These circumstances are:</w:t>
      </w:r>
    </w:p>
    <w:p w14:paraId="1965FB14" w14:textId="52C5BA0F" w:rsidR="00731909" w:rsidRPr="00CC09DA" w:rsidRDefault="007B3238" w:rsidP="00731909">
      <w:pPr>
        <w:pStyle w:val="ESSubparaList"/>
        <w:rPr>
          <w:sz w:val="24"/>
          <w:szCs w:val="24"/>
        </w:rPr>
      </w:pPr>
      <w:r w:rsidRPr="00CC09DA">
        <w:rPr>
          <w:sz w:val="24"/>
          <w:szCs w:val="24"/>
        </w:rPr>
        <w:t xml:space="preserve">the person’s </w:t>
      </w:r>
      <w:r w:rsidR="00731909" w:rsidRPr="00CC09DA">
        <w:rPr>
          <w:sz w:val="24"/>
          <w:szCs w:val="24"/>
        </w:rPr>
        <w:t>Australia Travel Declaration cannot be accessed by a clearance authority;</w:t>
      </w:r>
    </w:p>
    <w:p w14:paraId="070F8FAF" w14:textId="58E8571B" w:rsidR="00FC0C6B" w:rsidRDefault="00731909" w:rsidP="00731909">
      <w:pPr>
        <w:pStyle w:val="ESSubparaList"/>
        <w:rPr>
          <w:sz w:val="24"/>
          <w:szCs w:val="24"/>
        </w:rPr>
      </w:pPr>
      <w:proofErr w:type="gramStart"/>
      <w:r w:rsidRPr="00CC09DA">
        <w:rPr>
          <w:sz w:val="24"/>
          <w:szCs w:val="24"/>
        </w:rPr>
        <w:t>a</w:t>
      </w:r>
      <w:proofErr w:type="gramEnd"/>
      <w:r w:rsidRPr="00CC09DA">
        <w:rPr>
          <w:sz w:val="24"/>
          <w:szCs w:val="24"/>
        </w:rPr>
        <w:t xml:space="preserve"> clearance officer reasonably suspects that the information in the person’s Australia Travel Declaration is not accurate or complete</w:t>
      </w:r>
      <w:r w:rsidR="002A02BB" w:rsidRPr="00CC09DA">
        <w:rPr>
          <w:sz w:val="24"/>
          <w:szCs w:val="24"/>
        </w:rPr>
        <w:t>.</w:t>
      </w:r>
      <w:r w:rsidR="00244236" w:rsidRPr="00CC09DA">
        <w:rPr>
          <w:sz w:val="24"/>
          <w:szCs w:val="24"/>
        </w:rPr>
        <w:t xml:space="preserve"> </w:t>
      </w:r>
    </w:p>
    <w:p w14:paraId="6462921B" w14:textId="3084BF35" w:rsidR="00D9378E" w:rsidRPr="002D3A96" w:rsidRDefault="00D9378E" w:rsidP="002D3A96">
      <w:pPr>
        <w:pStyle w:val="ESSubparaHeader"/>
        <w:rPr>
          <w:szCs w:val="24"/>
        </w:rPr>
      </w:pPr>
      <w:r w:rsidRPr="002D3A96">
        <w:rPr>
          <w:szCs w:val="24"/>
        </w:rPr>
        <w:t xml:space="preserve">These </w:t>
      </w:r>
      <w:r>
        <w:rPr>
          <w:szCs w:val="24"/>
        </w:rPr>
        <w:t xml:space="preserve">circumstances provide flexibility to ensure a clearance officer </w:t>
      </w:r>
      <w:r w:rsidR="00725FE7">
        <w:rPr>
          <w:szCs w:val="24"/>
        </w:rPr>
        <w:t xml:space="preserve">has legislative authority to require </w:t>
      </w:r>
      <w:r>
        <w:rPr>
          <w:szCs w:val="24"/>
        </w:rPr>
        <w:t xml:space="preserve">the information to </w:t>
      </w:r>
      <w:proofErr w:type="gramStart"/>
      <w:r>
        <w:rPr>
          <w:szCs w:val="24"/>
        </w:rPr>
        <w:t>be provided</w:t>
      </w:r>
      <w:proofErr w:type="gramEnd"/>
      <w:r>
        <w:rPr>
          <w:szCs w:val="24"/>
        </w:rPr>
        <w:t xml:space="preserve"> by way of an </w:t>
      </w:r>
      <w:r w:rsidR="00BD1CF2">
        <w:rPr>
          <w:szCs w:val="24"/>
        </w:rPr>
        <w:t>incoming passenger card</w:t>
      </w:r>
      <w:r>
        <w:rPr>
          <w:szCs w:val="24"/>
        </w:rPr>
        <w:t xml:space="preserve"> if, for example, the ATD cannot be accessed because of a system </w:t>
      </w:r>
      <w:r w:rsidR="002D3A96">
        <w:rPr>
          <w:szCs w:val="24"/>
        </w:rPr>
        <w:t>outage</w:t>
      </w:r>
      <w:r w:rsidR="00725FE7">
        <w:rPr>
          <w:szCs w:val="24"/>
        </w:rPr>
        <w:t>,</w:t>
      </w:r>
      <w:r>
        <w:rPr>
          <w:szCs w:val="24"/>
        </w:rPr>
        <w:t xml:space="preserve"> or </w:t>
      </w:r>
      <w:r w:rsidR="00725FE7">
        <w:rPr>
          <w:szCs w:val="24"/>
        </w:rPr>
        <w:t>the clearance officer has concerns about the accuracy or completeness of information in the ATD</w:t>
      </w:r>
      <w:r>
        <w:rPr>
          <w:szCs w:val="24"/>
        </w:rPr>
        <w:t xml:space="preserve">.  </w:t>
      </w:r>
    </w:p>
    <w:p w14:paraId="7B07D4E2" w14:textId="77777777" w:rsidR="008B24C8" w:rsidRPr="00CC09DA" w:rsidRDefault="008B24C8" w:rsidP="00100DFC">
      <w:pPr>
        <w:pStyle w:val="ESHeading"/>
        <w:rPr>
          <w:sz w:val="24"/>
          <w:szCs w:val="24"/>
        </w:rPr>
      </w:pPr>
      <w:r w:rsidRPr="00CC09DA">
        <w:rPr>
          <w:sz w:val="24"/>
          <w:szCs w:val="24"/>
        </w:rPr>
        <w:t>Consultation</w:t>
      </w:r>
    </w:p>
    <w:p w14:paraId="767ED7A9" w14:textId="6FA82819" w:rsidR="00244236" w:rsidRPr="00CC09DA" w:rsidRDefault="00244236" w:rsidP="002A02BB">
      <w:pPr>
        <w:pStyle w:val="ESPara"/>
        <w:rPr>
          <w:szCs w:val="24"/>
        </w:rPr>
      </w:pPr>
      <w:r w:rsidRPr="00CC09DA">
        <w:rPr>
          <w:szCs w:val="24"/>
        </w:rPr>
        <w:t xml:space="preserve">The Office of Impact Analysis </w:t>
      </w:r>
      <w:proofErr w:type="gramStart"/>
      <w:r w:rsidRPr="00CC09DA">
        <w:rPr>
          <w:szCs w:val="24"/>
        </w:rPr>
        <w:t>has been consulted</w:t>
      </w:r>
      <w:proofErr w:type="gramEnd"/>
      <w:r w:rsidRPr="00CC09DA">
        <w:rPr>
          <w:szCs w:val="24"/>
        </w:rPr>
        <w:t xml:space="preserve"> in relation to the amendments and has advised that a </w:t>
      </w:r>
      <w:r w:rsidR="002A02BB" w:rsidRPr="00CC09DA">
        <w:rPr>
          <w:szCs w:val="24"/>
        </w:rPr>
        <w:t xml:space="preserve">detailed </w:t>
      </w:r>
      <w:r w:rsidRPr="00CC09DA">
        <w:rPr>
          <w:szCs w:val="24"/>
        </w:rPr>
        <w:t xml:space="preserve">Impact </w:t>
      </w:r>
      <w:r w:rsidR="002A02BB" w:rsidRPr="00CC09DA">
        <w:rPr>
          <w:szCs w:val="24"/>
        </w:rPr>
        <w:t xml:space="preserve">Analysis </w:t>
      </w:r>
      <w:r w:rsidRPr="00CC09DA">
        <w:rPr>
          <w:szCs w:val="24"/>
        </w:rPr>
        <w:t xml:space="preserve">is not required. The OIA reference number is </w:t>
      </w:r>
      <w:r w:rsidR="002A02BB" w:rsidRPr="00CC09DA">
        <w:rPr>
          <w:szCs w:val="24"/>
        </w:rPr>
        <w:t>OIA24</w:t>
      </w:r>
      <w:r w:rsidR="00725FE7">
        <w:rPr>
          <w:szCs w:val="24"/>
        </w:rPr>
        <w:noBreakHyphen/>
      </w:r>
      <w:r w:rsidR="002A02BB" w:rsidRPr="00CC09DA">
        <w:rPr>
          <w:szCs w:val="24"/>
        </w:rPr>
        <w:t>07977</w:t>
      </w:r>
      <w:r w:rsidRPr="00CC09DA">
        <w:rPr>
          <w:szCs w:val="24"/>
        </w:rPr>
        <w:t>.</w:t>
      </w:r>
    </w:p>
    <w:p w14:paraId="6BAD8222" w14:textId="7E6D9196" w:rsidR="00A33A67" w:rsidRPr="002A46CA" w:rsidRDefault="00D47F19" w:rsidP="00F452FE">
      <w:pPr>
        <w:pStyle w:val="ESSubparaHeader"/>
        <w:rPr>
          <w:szCs w:val="24"/>
        </w:rPr>
      </w:pPr>
      <w:r w:rsidRPr="002A46CA">
        <w:rPr>
          <w:szCs w:val="24"/>
        </w:rPr>
        <w:t xml:space="preserve">Consultation in relation to </w:t>
      </w:r>
      <w:proofErr w:type="gramStart"/>
      <w:r w:rsidRPr="002A46CA">
        <w:rPr>
          <w:szCs w:val="24"/>
        </w:rPr>
        <w:t xml:space="preserve">the </w:t>
      </w:r>
      <w:r w:rsidRPr="000A748F">
        <w:rPr>
          <w:szCs w:val="24"/>
        </w:rPr>
        <w:t xml:space="preserve"> trial</w:t>
      </w:r>
      <w:proofErr w:type="gramEnd"/>
      <w:r w:rsidRPr="000A748F">
        <w:rPr>
          <w:szCs w:val="24"/>
        </w:rPr>
        <w:t xml:space="preserve"> </w:t>
      </w:r>
      <w:r w:rsidR="00D73868">
        <w:rPr>
          <w:szCs w:val="24"/>
        </w:rPr>
        <w:t>and legislative framework for</w:t>
      </w:r>
      <w:r w:rsidR="00D73868" w:rsidRPr="002A46CA">
        <w:rPr>
          <w:szCs w:val="24"/>
        </w:rPr>
        <w:t xml:space="preserve"> </w:t>
      </w:r>
      <w:r w:rsidRPr="002A46CA">
        <w:rPr>
          <w:szCs w:val="24"/>
        </w:rPr>
        <w:t xml:space="preserve">the ATD was undertaken with the Department of Agriculture, Fisheries and </w:t>
      </w:r>
      <w:r w:rsidR="005D5080" w:rsidRPr="002A46CA">
        <w:rPr>
          <w:szCs w:val="24"/>
        </w:rPr>
        <w:t>Forestr</w:t>
      </w:r>
      <w:r w:rsidR="005D5080" w:rsidRPr="000A748F">
        <w:rPr>
          <w:szCs w:val="24"/>
        </w:rPr>
        <w:t>y</w:t>
      </w:r>
      <w:r w:rsidRPr="0006619F">
        <w:rPr>
          <w:szCs w:val="24"/>
        </w:rPr>
        <w:t>.</w:t>
      </w:r>
      <w:r w:rsidR="00D73868" w:rsidRPr="00CB71EE">
        <w:rPr>
          <w:szCs w:val="24"/>
        </w:rPr>
        <w:t xml:space="preserve"> The development of the ATD</w:t>
      </w:r>
      <w:r w:rsidR="00D73868" w:rsidRPr="008232BD">
        <w:rPr>
          <w:szCs w:val="24"/>
        </w:rPr>
        <w:t xml:space="preserve"> and the ATD pilot </w:t>
      </w:r>
      <w:proofErr w:type="gramStart"/>
      <w:r w:rsidR="00D73868" w:rsidRPr="008232BD">
        <w:rPr>
          <w:szCs w:val="24"/>
        </w:rPr>
        <w:t>were also informed</w:t>
      </w:r>
      <w:proofErr w:type="gramEnd"/>
      <w:r w:rsidR="00D73868" w:rsidRPr="008232BD">
        <w:rPr>
          <w:szCs w:val="24"/>
        </w:rPr>
        <w:t xml:space="preserve"> by the work of the Trans-Tasman Seamless Travel Group</w:t>
      </w:r>
      <w:r w:rsidR="00D73868" w:rsidRPr="006C58F3">
        <w:rPr>
          <w:szCs w:val="24"/>
        </w:rPr>
        <w:t>, including through broad consultation across the aviation and tourism sector</w:t>
      </w:r>
      <w:r w:rsidR="00D73868" w:rsidRPr="00F452FE">
        <w:rPr>
          <w:szCs w:val="24"/>
        </w:rPr>
        <w:t xml:space="preserve">. This Group </w:t>
      </w:r>
      <w:proofErr w:type="gramStart"/>
      <w:r w:rsidR="00D73868" w:rsidRPr="00F452FE">
        <w:rPr>
          <w:szCs w:val="24"/>
        </w:rPr>
        <w:t>was established</w:t>
      </w:r>
      <w:proofErr w:type="gramEnd"/>
      <w:r w:rsidR="00D73868" w:rsidRPr="00F452FE">
        <w:rPr>
          <w:szCs w:val="24"/>
        </w:rPr>
        <w:t xml:space="preserve"> in 2023 to deliver on the Australian and New Zealand's Prime Ministers' commitment to explore ways to move closer to seamless travel between the two countries. </w:t>
      </w:r>
      <w:r w:rsidR="00D73868" w:rsidRPr="00D73868">
        <w:rPr>
          <w:szCs w:val="24"/>
        </w:rPr>
        <w:t xml:space="preserve">Chaired by Australian Border Force (ABF) Commissioner Michael </w:t>
      </w:r>
      <w:proofErr w:type="spellStart"/>
      <w:r w:rsidR="00D73868" w:rsidRPr="00D73868">
        <w:rPr>
          <w:szCs w:val="24"/>
        </w:rPr>
        <w:t>Outram</w:t>
      </w:r>
      <w:proofErr w:type="spellEnd"/>
      <w:r w:rsidR="00D73868" w:rsidRPr="00D73868">
        <w:rPr>
          <w:szCs w:val="24"/>
        </w:rPr>
        <w:t xml:space="preserve"> and New Zealand Customs Service Chief Executive and Comptroller Christine Stevenson, the group brings together senior leaders from border agencies and industry – including major airlines, international airports, and tourism representatives.</w:t>
      </w:r>
      <w:r w:rsidR="00D73868" w:rsidRPr="002A46CA">
        <w:rPr>
          <w:szCs w:val="24"/>
        </w:rPr>
        <w:t xml:space="preserve"> </w:t>
      </w:r>
    </w:p>
    <w:p w14:paraId="7B246E72" w14:textId="77777777" w:rsidR="00AA4557" w:rsidRPr="00CC09DA" w:rsidRDefault="00464080" w:rsidP="00100DFC">
      <w:pPr>
        <w:pStyle w:val="ESHeading"/>
        <w:rPr>
          <w:sz w:val="24"/>
          <w:szCs w:val="24"/>
        </w:rPr>
      </w:pPr>
      <w:r w:rsidRPr="00CC09DA">
        <w:rPr>
          <w:sz w:val="24"/>
          <w:szCs w:val="24"/>
        </w:rPr>
        <w:t>Details</w:t>
      </w:r>
      <w:r w:rsidR="00AA4557" w:rsidRPr="00CC09DA">
        <w:rPr>
          <w:sz w:val="24"/>
          <w:szCs w:val="24"/>
        </w:rPr>
        <w:t xml:space="preserve"> of the instrument</w:t>
      </w:r>
    </w:p>
    <w:p w14:paraId="30862DE1" w14:textId="77777777" w:rsidR="006434A0" w:rsidRPr="00CC09DA" w:rsidRDefault="006434A0" w:rsidP="002D167E">
      <w:pPr>
        <w:pStyle w:val="ESPara"/>
        <w:rPr>
          <w:szCs w:val="24"/>
        </w:rPr>
      </w:pPr>
      <w:r w:rsidRPr="00CC09DA">
        <w:rPr>
          <w:szCs w:val="24"/>
        </w:rPr>
        <w:t xml:space="preserve">Details of the instrument are set out in </w:t>
      </w:r>
      <w:r w:rsidRPr="00CC09DA">
        <w:rPr>
          <w:b/>
          <w:szCs w:val="24"/>
          <w:u w:val="single"/>
        </w:rPr>
        <w:t>Attachment A</w:t>
      </w:r>
      <w:r w:rsidRPr="00CC09DA">
        <w:rPr>
          <w:szCs w:val="24"/>
        </w:rPr>
        <w:t xml:space="preserve">. </w:t>
      </w:r>
    </w:p>
    <w:p w14:paraId="26A1C724" w14:textId="4C771E8E" w:rsidR="00AA4557" w:rsidRPr="00CC09DA" w:rsidRDefault="00AA4557" w:rsidP="00100DFC">
      <w:pPr>
        <w:pStyle w:val="ESHeading"/>
        <w:rPr>
          <w:sz w:val="24"/>
          <w:szCs w:val="24"/>
        </w:rPr>
      </w:pPr>
      <w:r w:rsidRPr="00CC09DA">
        <w:rPr>
          <w:sz w:val="24"/>
          <w:szCs w:val="24"/>
        </w:rPr>
        <w:lastRenderedPageBreak/>
        <w:t xml:space="preserve">Parliamentary scrutiny </w:t>
      </w:r>
      <w:proofErr w:type="spellStart"/>
      <w:r w:rsidRPr="00CC09DA">
        <w:rPr>
          <w:sz w:val="24"/>
          <w:szCs w:val="24"/>
        </w:rPr>
        <w:t>etc</w:t>
      </w:r>
      <w:proofErr w:type="spellEnd"/>
    </w:p>
    <w:p w14:paraId="276189B2" w14:textId="587A0234" w:rsidR="00E03DCC" w:rsidRPr="00CC09DA" w:rsidRDefault="00AA4557" w:rsidP="002D167E">
      <w:pPr>
        <w:pStyle w:val="ESPara"/>
        <w:rPr>
          <w:szCs w:val="24"/>
        </w:rPr>
      </w:pPr>
      <w:r w:rsidRPr="00CC09DA">
        <w:rPr>
          <w:szCs w:val="24"/>
        </w:rPr>
        <w:t xml:space="preserve">The instrument </w:t>
      </w:r>
      <w:r w:rsidR="00E03DCC" w:rsidRPr="00CC09DA">
        <w:rPr>
          <w:szCs w:val="24"/>
        </w:rPr>
        <w:t xml:space="preserve">is </w:t>
      </w:r>
      <w:r w:rsidR="006C58F3">
        <w:rPr>
          <w:szCs w:val="24"/>
        </w:rPr>
        <w:t>a disallowable legislative instrument for the purposes of</w:t>
      </w:r>
      <w:r w:rsidR="00E03DCC" w:rsidRPr="00CC09DA">
        <w:rPr>
          <w:szCs w:val="24"/>
        </w:rPr>
        <w:t xml:space="preserve"> sec</w:t>
      </w:r>
      <w:r w:rsidR="006434A0" w:rsidRPr="00CC09DA">
        <w:rPr>
          <w:szCs w:val="24"/>
        </w:rPr>
        <w:t>tion 42 of the Legislation Act.</w:t>
      </w:r>
      <w:r w:rsidR="00E03DCC" w:rsidRPr="00CC09DA">
        <w:rPr>
          <w:szCs w:val="24"/>
        </w:rPr>
        <w:t xml:space="preserve"> </w:t>
      </w:r>
      <w:proofErr w:type="gramStart"/>
      <w:r w:rsidR="00E03DCC" w:rsidRPr="00CC09DA">
        <w:rPr>
          <w:szCs w:val="24"/>
        </w:rPr>
        <w:t>A</w:t>
      </w:r>
      <w:r w:rsidR="00B75478" w:rsidRPr="00CC09DA">
        <w:rPr>
          <w:szCs w:val="24"/>
        </w:rPr>
        <w:t xml:space="preserve"> </w:t>
      </w:r>
      <w:r w:rsidR="00E03DCC" w:rsidRPr="00CC09DA">
        <w:rPr>
          <w:szCs w:val="24"/>
        </w:rPr>
        <w:t>Statement of Compatibility with Human Rights has been prepared in relation to the instrument, and provides that</w:t>
      </w:r>
      <w:r w:rsidR="008F13FE" w:rsidRPr="00CC09DA">
        <w:rPr>
          <w:szCs w:val="24"/>
        </w:rPr>
        <w:t xml:space="preserve"> the instrument is compatible with the human rights and freedoms recognised or declared in the international instruments listed in section 3 of the </w:t>
      </w:r>
      <w:r w:rsidR="008F13FE" w:rsidRPr="00CC09DA">
        <w:rPr>
          <w:i/>
          <w:szCs w:val="24"/>
        </w:rPr>
        <w:t>Human Rights (Parliamentary Scrutiny) Act 2011</w:t>
      </w:r>
      <w:r w:rsidR="00E03DCC" w:rsidRPr="00CC09DA">
        <w:rPr>
          <w:szCs w:val="24"/>
        </w:rPr>
        <w:t>.</w:t>
      </w:r>
      <w:proofErr w:type="gramEnd"/>
      <w:r w:rsidR="00E03DCC" w:rsidRPr="00CC09DA">
        <w:rPr>
          <w:szCs w:val="24"/>
        </w:rPr>
        <w:t xml:space="preserve"> The Statement is included at </w:t>
      </w:r>
      <w:r w:rsidR="006434A0" w:rsidRPr="00CC09DA">
        <w:rPr>
          <w:b/>
          <w:szCs w:val="24"/>
          <w:u w:val="single"/>
        </w:rPr>
        <w:t>Attachment</w:t>
      </w:r>
      <w:r w:rsidR="002A46CA">
        <w:rPr>
          <w:b/>
          <w:szCs w:val="24"/>
          <w:u w:val="single"/>
        </w:rPr>
        <w:t> </w:t>
      </w:r>
      <w:r w:rsidR="006434A0" w:rsidRPr="00CC09DA">
        <w:rPr>
          <w:b/>
          <w:szCs w:val="24"/>
          <w:u w:val="single"/>
        </w:rPr>
        <w:t>B</w:t>
      </w:r>
      <w:r w:rsidR="00E03DCC" w:rsidRPr="00CC09DA">
        <w:rPr>
          <w:szCs w:val="24"/>
        </w:rPr>
        <w:t xml:space="preserve"> to this explanatory statement.  </w:t>
      </w:r>
    </w:p>
    <w:p w14:paraId="63EC2E6E" w14:textId="0BB338B2" w:rsidR="003A5FDD" w:rsidRPr="00CC09DA" w:rsidRDefault="003A5FDD" w:rsidP="002D167E">
      <w:pPr>
        <w:pStyle w:val="ESPara"/>
        <w:rPr>
          <w:szCs w:val="24"/>
        </w:rPr>
      </w:pPr>
      <w:r w:rsidRPr="00CC09DA">
        <w:rPr>
          <w:szCs w:val="24"/>
        </w:rPr>
        <w:t xml:space="preserve">The instrument was made by the Minister for Immigration and Multicultural Affairs </w:t>
      </w:r>
      <w:r w:rsidR="002A46CA">
        <w:rPr>
          <w:szCs w:val="24"/>
        </w:rPr>
        <w:t>under</w:t>
      </w:r>
      <w:r w:rsidRPr="00CC09DA">
        <w:rPr>
          <w:szCs w:val="24"/>
        </w:rPr>
        <w:t xml:space="preserve"> </w:t>
      </w:r>
      <w:proofErr w:type="spellStart"/>
      <w:r w:rsidRPr="00CC09DA">
        <w:rPr>
          <w:szCs w:val="24"/>
        </w:rPr>
        <w:t>subregulation</w:t>
      </w:r>
      <w:proofErr w:type="spellEnd"/>
      <w:r w:rsidRPr="00CC09DA">
        <w:rPr>
          <w:szCs w:val="24"/>
        </w:rPr>
        <w:t xml:space="preserve"> </w:t>
      </w:r>
      <w:proofErr w:type="gramStart"/>
      <w:r w:rsidRPr="00CC09DA">
        <w:rPr>
          <w:szCs w:val="24"/>
        </w:rPr>
        <w:t>3.03</w:t>
      </w:r>
      <w:bookmarkStart w:id="0" w:name="_GoBack"/>
      <w:bookmarkEnd w:id="0"/>
      <w:r w:rsidRPr="00CC09DA">
        <w:rPr>
          <w:szCs w:val="24"/>
        </w:rPr>
        <w:t>AB(</w:t>
      </w:r>
      <w:proofErr w:type="gramEnd"/>
      <w:r w:rsidRPr="00CC09DA">
        <w:rPr>
          <w:szCs w:val="24"/>
        </w:rPr>
        <w:t xml:space="preserve">3) of the </w:t>
      </w:r>
      <w:r w:rsidR="00D47F19" w:rsidRPr="00CC09DA">
        <w:rPr>
          <w:szCs w:val="24"/>
        </w:rPr>
        <w:t xml:space="preserve">Migration </w:t>
      </w:r>
      <w:r w:rsidRPr="00CC09DA">
        <w:rPr>
          <w:szCs w:val="24"/>
        </w:rPr>
        <w:t>Regulations.</w:t>
      </w:r>
    </w:p>
    <w:p w14:paraId="76BE17B6" w14:textId="77777777" w:rsidR="007E4691" w:rsidRPr="00CC09DA" w:rsidRDefault="007E4691" w:rsidP="008F13FE">
      <w:pPr>
        <w:pStyle w:val="ESPara"/>
        <w:numPr>
          <w:ilvl w:val="0"/>
          <w:numId w:val="0"/>
        </w:numPr>
        <w:ind w:left="567"/>
        <w:rPr>
          <w:szCs w:val="24"/>
        </w:rPr>
      </w:pPr>
      <w:r w:rsidRPr="00CC09DA">
        <w:rPr>
          <w:szCs w:val="24"/>
        </w:rPr>
        <w:br w:type="page"/>
      </w:r>
    </w:p>
    <w:p w14:paraId="6F178DD1" w14:textId="00DAB1B2" w:rsidR="006434A0" w:rsidRPr="002D3A96" w:rsidRDefault="006434A0" w:rsidP="006434A0">
      <w:pPr>
        <w:pStyle w:val="ESPara"/>
        <w:numPr>
          <w:ilvl w:val="0"/>
          <w:numId w:val="0"/>
        </w:numPr>
        <w:ind w:left="567"/>
        <w:jc w:val="right"/>
        <w:rPr>
          <w:b/>
          <w:szCs w:val="24"/>
          <w:u w:val="single"/>
        </w:rPr>
      </w:pPr>
      <w:r w:rsidRPr="002D3A96">
        <w:rPr>
          <w:b/>
          <w:szCs w:val="24"/>
          <w:u w:val="single"/>
        </w:rPr>
        <w:lastRenderedPageBreak/>
        <w:t>Attachment A</w:t>
      </w:r>
    </w:p>
    <w:p w14:paraId="60DFA20C" w14:textId="7592B48A" w:rsidR="006434A0" w:rsidRPr="002D3A96" w:rsidRDefault="006434A0" w:rsidP="006434A0">
      <w:pPr>
        <w:pStyle w:val="ESPara"/>
        <w:numPr>
          <w:ilvl w:val="0"/>
          <w:numId w:val="0"/>
        </w:numPr>
        <w:rPr>
          <w:b/>
          <w:szCs w:val="24"/>
          <w:u w:val="single"/>
        </w:rPr>
      </w:pPr>
      <w:r w:rsidRPr="002D3A96">
        <w:rPr>
          <w:b/>
          <w:szCs w:val="24"/>
        </w:rPr>
        <w:t>Details of the</w:t>
      </w:r>
      <w:r w:rsidRPr="002D3A96">
        <w:rPr>
          <w:b/>
          <w:i/>
          <w:szCs w:val="24"/>
        </w:rPr>
        <w:t xml:space="preserve"> </w:t>
      </w:r>
      <w:r w:rsidR="00961D35" w:rsidRPr="00961D35">
        <w:rPr>
          <w:b/>
          <w:i/>
          <w:szCs w:val="24"/>
        </w:rPr>
        <w:t>Migration (Australia Travel Declaration—Passenger Card May Be Required) Instrument (LIN 24/075) 2024</w:t>
      </w:r>
    </w:p>
    <w:p w14:paraId="04F6B356" w14:textId="1949AA51" w:rsidR="006434A0" w:rsidRPr="00961D35" w:rsidRDefault="006434A0" w:rsidP="00F452FE">
      <w:pPr>
        <w:pStyle w:val="ESSubparaHeader"/>
        <w:numPr>
          <w:ilvl w:val="0"/>
          <w:numId w:val="12"/>
        </w:numPr>
        <w:rPr>
          <w:szCs w:val="24"/>
        </w:rPr>
      </w:pPr>
      <w:r w:rsidRPr="00961D35">
        <w:rPr>
          <w:szCs w:val="24"/>
        </w:rPr>
        <w:t xml:space="preserve">Section 1 </w:t>
      </w:r>
      <w:r w:rsidR="00E87B10" w:rsidRPr="00961D35">
        <w:rPr>
          <w:szCs w:val="24"/>
        </w:rPr>
        <w:t>provides that</w:t>
      </w:r>
      <w:r w:rsidRPr="00961D35">
        <w:rPr>
          <w:szCs w:val="24"/>
        </w:rPr>
        <w:t xml:space="preserve"> the name of the instrument is the </w:t>
      </w:r>
      <w:r w:rsidR="00961D35" w:rsidRPr="00961D35">
        <w:rPr>
          <w:i/>
          <w:szCs w:val="24"/>
        </w:rPr>
        <w:t>Migration (Australia Travel Declaration—Passenger Card May Be Required) Instrument (LIN 24/075) 2024</w:t>
      </w:r>
      <w:r w:rsidRPr="00961D35">
        <w:rPr>
          <w:szCs w:val="24"/>
        </w:rPr>
        <w:t xml:space="preserve">. </w:t>
      </w:r>
    </w:p>
    <w:p w14:paraId="074A9E79" w14:textId="3A179229" w:rsidR="006434A0" w:rsidRPr="00E87B10" w:rsidRDefault="006434A0" w:rsidP="00F452FE">
      <w:pPr>
        <w:pStyle w:val="ESSubparaHeader"/>
        <w:rPr>
          <w:szCs w:val="24"/>
        </w:rPr>
      </w:pPr>
      <w:r w:rsidRPr="00E87B10">
        <w:rPr>
          <w:szCs w:val="24"/>
        </w:rPr>
        <w:t xml:space="preserve">Section 2 provides </w:t>
      </w:r>
      <w:r w:rsidR="00E87B10">
        <w:rPr>
          <w:szCs w:val="24"/>
        </w:rPr>
        <w:t xml:space="preserve">that </w:t>
      </w:r>
      <w:r w:rsidRPr="00E87B10">
        <w:rPr>
          <w:szCs w:val="24"/>
        </w:rPr>
        <w:t xml:space="preserve">the instrument </w:t>
      </w:r>
      <w:proofErr w:type="gramStart"/>
      <w:r w:rsidRPr="00E87B10">
        <w:rPr>
          <w:szCs w:val="24"/>
        </w:rPr>
        <w:t>commences</w:t>
      </w:r>
      <w:proofErr w:type="gramEnd"/>
      <w:r w:rsidR="00D9378E" w:rsidRPr="00E87B10">
        <w:rPr>
          <w:szCs w:val="24"/>
        </w:rPr>
        <w:t xml:space="preserve"> on the day after </w:t>
      </w:r>
      <w:r w:rsidR="00E87B10">
        <w:rPr>
          <w:szCs w:val="24"/>
        </w:rPr>
        <w:t>it</w:t>
      </w:r>
      <w:r w:rsidR="00D9378E" w:rsidRPr="00E87B10">
        <w:rPr>
          <w:szCs w:val="24"/>
        </w:rPr>
        <w:t xml:space="preserve"> is registered</w:t>
      </w:r>
      <w:r w:rsidR="00E87B10">
        <w:rPr>
          <w:szCs w:val="24"/>
        </w:rPr>
        <w:t xml:space="preserve"> on the Federal Register of Legislation</w:t>
      </w:r>
      <w:r w:rsidR="00D9378E" w:rsidRPr="00E87B10">
        <w:rPr>
          <w:szCs w:val="24"/>
        </w:rPr>
        <w:t>.</w:t>
      </w:r>
    </w:p>
    <w:p w14:paraId="54AE2C39" w14:textId="354EF33B" w:rsidR="006434A0" w:rsidRPr="00E87B10" w:rsidRDefault="006434A0" w:rsidP="00F452FE">
      <w:pPr>
        <w:pStyle w:val="ESSubparaHeader"/>
        <w:rPr>
          <w:szCs w:val="24"/>
        </w:rPr>
      </w:pPr>
      <w:r w:rsidRPr="00E87B10">
        <w:rPr>
          <w:szCs w:val="24"/>
        </w:rPr>
        <w:t xml:space="preserve">Section 3 </w:t>
      </w:r>
      <w:r w:rsidR="00E87B10">
        <w:rPr>
          <w:szCs w:val="24"/>
        </w:rPr>
        <w:t>provides that</w:t>
      </w:r>
      <w:r w:rsidRPr="00E87B10">
        <w:rPr>
          <w:szCs w:val="24"/>
        </w:rPr>
        <w:t xml:space="preserve"> the instrument is made under </w:t>
      </w:r>
      <w:proofErr w:type="spellStart"/>
      <w:r w:rsidRPr="00E87B10">
        <w:rPr>
          <w:szCs w:val="24"/>
        </w:rPr>
        <w:t>subregulation</w:t>
      </w:r>
      <w:proofErr w:type="spellEnd"/>
      <w:r w:rsidRPr="00E87B10">
        <w:rPr>
          <w:szCs w:val="24"/>
        </w:rPr>
        <w:t xml:space="preserve"> </w:t>
      </w:r>
      <w:proofErr w:type="gramStart"/>
      <w:r w:rsidRPr="00E87B10">
        <w:rPr>
          <w:szCs w:val="24"/>
        </w:rPr>
        <w:t>3.03AB(</w:t>
      </w:r>
      <w:proofErr w:type="gramEnd"/>
      <w:r w:rsidRPr="00E87B10">
        <w:rPr>
          <w:szCs w:val="24"/>
        </w:rPr>
        <w:t xml:space="preserve">3) of the </w:t>
      </w:r>
      <w:r w:rsidRPr="00F452FE">
        <w:rPr>
          <w:i/>
          <w:szCs w:val="24"/>
        </w:rPr>
        <w:t>Migration Regulations 1994</w:t>
      </w:r>
      <w:r w:rsidRPr="00E87B10">
        <w:rPr>
          <w:szCs w:val="24"/>
        </w:rPr>
        <w:t xml:space="preserve">. </w:t>
      </w:r>
    </w:p>
    <w:p w14:paraId="38E35D40" w14:textId="6FF15D13" w:rsidR="006434A0" w:rsidRPr="00E87B10" w:rsidRDefault="006434A0" w:rsidP="002A46CA">
      <w:pPr>
        <w:pStyle w:val="ESPara"/>
        <w:rPr>
          <w:szCs w:val="24"/>
        </w:rPr>
      </w:pPr>
      <w:r w:rsidRPr="00E87B10">
        <w:rPr>
          <w:szCs w:val="24"/>
        </w:rPr>
        <w:t xml:space="preserve">Section </w:t>
      </w:r>
      <w:proofErr w:type="gramStart"/>
      <w:r w:rsidRPr="00E87B10">
        <w:rPr>
          <w:szCs w:val="24"/>
        </w:rPr>
        <w:t>4</w:t>
      </w:r>
      <w:proofErr w:type="gramEnd"/>
      <w:r w:rsidRPr="00E87B10">
        <w:rPr>
          <w:szCs w:val="24"/>
        </w:rPr>
        <w:t xml:space="preserve"> sets out the definitions used in the instrument. The note to section 4 provides that a number of expressions used in this instrument </w:t>
      </w:r>
      <w:proofErr w:type="gramStart"/>
      <w:r w:rsidRPr="00E87B10">
        <w:rPr>
          <w:szCs w:val="24"/>
        </w:rPr>
        <w:t>are</w:t>
      </w:r>
      <w:proofErr w:type="gramEnd"/>
      <w:r w:rsidRPr="00E87B10">
        <w:rPr>
          <w:szCs w:val="24"/>
        </w:rPr>
        <w:t xml:space="preserve"> defined in the </w:t>
      </w:r>
      <w:r w:rsidRPr="00F452FE">
        <w:rPr>
          <w:i/>
          <w:szCs w:val="24"/>
        </w:rPr>
        <w:t>Migration Act 1958</w:t>
      </w:r>
      <w:r w:rsidRPr="00E87B10">
        <w:rPr>
          <w:szCs w:val="24"/>
        </w:rPr>
        <w:t xml:space="preserve"> </w:t>
      </w:r>
      <w:r w:rsidR="00E87B10">
        <w:rPr>
          <w:szCs w:val="24"/>
        </w:rPr>
        <w:t>or</w:t>
      </w:r>
      <w:r w:rsidR="00E87B10" w:rsidRPr="00E87B10">
        <w:rPr>
          <w:szCs w:val="24"/>
        </w:rPr>
        <w:t xml:space="preserve"> </w:t>
      </w:r>
      <w:r w:rsidRPr="00E87B10">
        <w:rPr>
          <w:szCs w:val="24"/>
        </w:rPr>
        <w:t xml:space="preserve">the </w:t>
      </w:r>
      <w:r w:rsidRPr="00F452FE">
        <w:rPr>
          <w:i/>
          <w:szCs w:val="24"/>
        </w:rPr>
        <w:t>Migration Regulations 1994</w:t>
      </w:r>
      <w:r w:rsidR="00E87B10">
        <w:rPr>
          <w:szCs w:val="24"/>
        </w:rPr>
        <w:t xml:space="preserve">. This </w:t>
      </w:r>
      <w:r w:rsidRPr="00E87B10">
        <w:rPr>
          <w:szCs w:val="24"/>
        </w:rPr>
        <w:t>including the definition</w:t>
      </w:r>
      <w:r w:rsidR="00E87B10">
        <w:rPr>
          <w:szCs w:val="24"/>
        </w:rPr>
        <w:t>s</w:t>
      </w:r>
      <w:r w:rsidRPr="00E87B10">
        <w:rPr>
          <w:szCs w:val="24"/>
        </w:rPr>
        <w:t xml:space="preserve"> of </w:t>
      </w:r>
      <w:r w:rsidRPr="00F452FE">
        <w:rPr>
          <w:b/>
          <w:i/>
          <w:szCs w:val="24"/>
        </w:rPr>
        <w:t>Australia Travel Declaration</w:t>
      </w:r>
      <w:r w:rsidRPr="00E87B10">
        <w:rPr>
          <w:szCs w:val="24"/>
        </w:rPr>
        <w:t xml:space="preserve">, </w:t>
      </w:r>
      <w:r w:rsidRPr="00F452FE">
        <w:rPr>
          <w:b/>
          <w:i/>
          <w:szCs w:val="24"/>
        </w:rPr>
        <w:t>clearance authority</w:t>
      </w:r>
      <w:r w:rsidR="00E87B10">
        <w:rPr>
          <w:szCs w:val="24"/>
        </w:rPr>
        <w:t>,</w:t>
      </w:r>
      <w:r w:rsidR="00E87B10" w:rsidRPr="00E87B10">
        <w:rPr>
          <w:szCs w:val="24"/>
        </w:rPr>
        <w:t xml:space="preserve"> </w:t>
      </w:r>
      <w:r w:rsidRPr="00F452FE">
        <w:rPr>
          <w:b/>
          <w:i/>
          <w:szCs w:val="24"/>
        </w:rPr>
        <w:t>clearance officer</w:t>
      </w:r>
      <w:r w:rsidR="00E87B10" w:rsidRPr="00F452FE">
        <w:rPr>
          <w:szCs w:val="24"/>
        </w:rPr>
        <w:t xml:space="preserve"> and </w:t>
      </w:r>
      <w:r w:rsidR="00E87B10">
        <w:rPr>
          <w:b/>
          <w:i/>
          <w:szCs w:val="24"/>
        </w:rPr>
        <w:t>passenger card</w:t>
      </w:r>
      <w:r w:rsidRPr="00E87B10">
        <w:rPr>
          <w:szCs w:val="24"/>
        </w:rPr>
        <w:t xml:space="preserve">. </w:t>
      </w:r>
    </w:p>
    <w:p w14:paraId="5E941DFB" w14:textId="7CDF74E2" w:rsidR="00961D35" w:rsidRDefault="006434A0" w:rsidP="00961D35">
      <w:pPr>
        <w:pStyle w:val="ESPara"/>
        <w:rPr>
          <w:szCs w:val="24"/>
        </w:rPr>
      </w:pPr>
      <w:r w:rsidRPr="000A748F">
        <w:rPr>
          <w:szCs w:val="24"/>
        </w:rPr>
        <w:t xml:space="preserve">Section 5 </w:t>
      </w:r>
      <w:r w:rsidR="00961D35">
        <w:rPr>
          <w:szCs w:val="24"/>
        </w:rPr>
        <w:t xml:space="preserve">provides that an instrument specified in a Schedule to this instrument </w:t>
      </w:r>
      <w:proofErr w:type="gramStart"/>
      <w:r w:rsidR="00961D35" w:rsidRPr="006065DA">
        <w:t>is amended or repealed as set out in the applicable items in the Schedule</w:t>
      </w:r>
      <w:proofErr w:type="gramEnd"/>
      <w:r w:rsidR="00961D35">
        <w:t xml:space="preserve">. Schedule 1 to the instrument specifies the </w:t>
      </w:r>
      <w:r w:rsidR="00961D35" w:rsidRPr="00F452FE">
        <w:rPr>
          <w:i/>
        </w:rPr>
        <w:t>Migration (Digital Passenger Declaration—Circumstances where Passenger Card also required) Instrument (LIN 22/015) 2022</w:t>
      </w:r>
      <w:r w:rsidR="00961D35">
        <w:t>.</w:t>
      </w:r>
    </w:p>
    <w:p w14:paraId="057D323A" w14:textId="186D420B" w:rsidR="006434A0" w:rsidRPr="0006619F" w:rsidRDefault="00961D35" w:rsidP="002A46CA">
      <w:pPr>
        <w:pStyle w:val="ESPara"/>
        <w:rPr>
          <w:szCs w:val="24"/>
        </w:rPr>
      </w:pPr>
      <w:r>
        <w:rPr>
          <w:szCs w:val="24"/>
        </w:rPr>
        <w:t xml:space="preserve">Section 6 </w:t>
      </w:r>
      <w:r w:rsidR="006434A0" w:rsidRPr="000A748F">
        <w:rPr>
          <w:szCs w:val="24"/>
        </w:rPr>
        <w:t xml:space="preserve">specifies, for the purposes of </w:t>
      </w:r>
      <w:proofErr w:type="spellStart"/>
      <w:r w:rsidR="006434A0" w:rsidRPr="000A748F">
        <w:rPr>
          <w:szCs w:val="24"/>
        </w:rPr>
        <w:t>subregulation</w:t>
      </w:r>
      <w:proofErr w:type="spellEnd"/>
      <w:r w:rsidR="006434A0" w:rsidRPr="000A748F">
        <w:rPr>
          <w:szCs w:val="24"/>
        </w:rPr>
        <w:t xml:space="preserve"> </w:t>
      </w:r>
      <w:proofErr w:type="gramStart"/>
      <w:r w:rsidR="006434A0" w:rsidRPr="000A748F">
        <w:rPr>
          <w:szCs w:val="24"/>
        </w:rPr>
        <w:t>3.03AB(</w:t>
      </w:r>
      <w:proofErr w:type="gramEnd"/>
      <w:r w:rsidR="006434A0" w:rsidRPr="000A748F">
        <w:rPr>
          <w:szCs w:val="24"/>
        </w:rPr>
        <w:t xml:space="preserve">2) of the Migration Regulations, the circumstances in which a clearance officer may require the person to provide a completed passenger card. </w:t>
      </w:r>
    </w:p>
    <w:p w14:paraId="2EFC839C" w14:textId="3891DBFA" w:rsidR="006434A0" w:rsidRPr="00E87B10" w:rsidRDefault="006434A0" w:rsidP="00E87B10">
      <w:pPr>
        <w:pStyle w:val="ESPara"/>
        <w:rPr>
          <w:szCs w:val="24"/>
        </w:rPr>
      </w:pPr>
      <w:r w:rsidRPr="00E87B10">
        <w:rPr>
          <w:szCs w:val="24"/>
        </w:rPr>
        <w:t xml:space="preserve">The circumstance specified in paragraph </w:t>
      </w:r>
      <w:r w:rsidR="00AD4A18">
        <w:rPr>
          <w:szCs w:val="24"/>
        </w:rPr>
        <w:t>6</w:t>
      </w:r>
      <w:r w:rsidRPr="00E87B10">
        <w:rPr>
          <w:szCs w:val="24"/>
        </w:rPr>
        <w:t xml:space="preserve">(a) is where </w:t>
      </w:r>
      <w:proofErr w:type="gramStart"/>
      <w:r w:rsidRPr="00E87B10">
        <w:rPr>
          <w:szCs w:val="24"/>
        </w:rPr>
        <w:t>the person’s ATD cannot be accessed by a clearance authority</w:t>
      </w:r>
      <w:proofErr w:type="gramEnd"/>
      <w:r w:rsidRPr="00E87B10">
        <w:rPr>
          <w:szCs w:val="24"/>
        </w:rPr>
        <w:t xml:space="preserve">. The meaning of </w:t>
      </w:r>
      <w:r w:rsidRPr="00F452FE">
        <w:rPr>
          <w:b/>
          <w:i/>
          <w:szCs w:val="24"/>
        </w:rPr>
        <w:t>clearance authority</w:t>
      </w:r>
      <w:r w:rsidRPr="00E87B10">
        <w:rPr>
          <w:szCs w:val="24"/>
        </w:rPr>
        <w:t xml:space="preserve"> includes a clearance officer and an authorised system, as defined in section 165 of the Migration Act. Th</w:t>
      </w:r>
      <w:r w:rsidR="00E87B10">
        <w:rPr>
          <w:szCs w:val="24"/>
        </w:rPr>
        <w:t>is</w:t>
      </w:r>
      <w:r w:rsidRPr="00E87B10">
        <w:rPr>
          <w:szCs w:val="24"/>
        </w:rPr>
        <w:t xml:space="preserve"> circumstance cover</w:t>
      </w:r>
      <w:r w:rsidR="00E87B10">
        <w:rPr>
          <w:szCs w:val="24"/>
        </w:rPr>
        <w:t>s</w:t>
      </w:r>
      <w:r w:rsidRPr="00E87B10">
        <w:rPr>
          <w:szCs w:val="24"/>
        </w:rPr>
        <w:t xml:space="preserve"> situations where a clearance authority cannot locate the person’s ATD on the departmental system that processes ATDs</w:t>
      </w:r>
      <w:r w:rsidR="00E87B10">
        <w:rPr>
          <w:szCs w:val="24"/>
        </w:rPr>
        <w:t>,</w:t>
      </w:r>
      <w:r w:rsidRPr="00E87B10">
        <w:rPr>
          <w:szCs w:val="24"/>
        </w:rPr>
        <w:t xml:space="preserve"> and therefore cannot access the relevant information needed </w:t>
      </w:r>
      <w:r w:rsidR="00236D22" w:rsidRPr="000A748F">
        <w:rPr>
          <w:szCs w:val="24"/>
        </w:rPr>
        <w:t>for</w:t>
      </w:r>
      <w:r w:rsidR="00236D22" w:rsidRPr="0006619F">
        <w:rPr>
          <w:szCs w:val="24"/>
        </w:rPr>
        <w:t xml:space="preserve"> </w:t>
      </w:r>
      <w:r w:rsidRPr="0006619F">
        <w:rPr>
          <w:szCs w:val="24"/>
        </w:rPr>
        <w:t>immigration clear</w:t>
      </w:r>
      <w:r w:rsidR="00236D22" w:rsidRPr="00CB71EE">
        <w:rPr>
          <w:szCs w:val="24"/>
        </w:rPr>
        <w:t>ance purposes</w:t>
      </w:r>
      <w:r w:rsidRPr="00CB71EE">
        <w:rPr>
          <w:szCs w:val="24"/>
        </w:rPr>
        <w:t xml:space="preserve">. For example, this provision would apply when a clearance officer cannot access the person’s ATD </w:t>
      </w:r>
      <w:r w:rsidR="00E87B10">
        <w:rPr>
          <w:szCs w:val="24"/>
        </w:rPr>
        <w:t>in the event</w:t>
      </w:r>
      <w:r w:rsidR="00E87B10" w:rsidRPr="00E87B10">
        <w:rPr>
          <w:szCs w:val="24"/>
        </w:rPr>
        <w:t xml:space="preserve"> </w:t>
      </w:r>
      <w:r w:rsidRPr="00E87B10">
        <w:rPr>
          <w:szCs w:val="24"/>
        </w:rPr>
        <w:t>of a departmental system outage.</w:t>
      </w:r>
    </w:p>
    <w:p w14:paraId="2851B56A" w14:textId="7CAD5B3E" w:rsidR="006434A0" w:rsidRPr="00CB71EE" w:rsidRDefault="006434A0" w:rsidP="00F452FE">
      <w:pPr>
        <w:pStyle w:val="ESPara"/>
        <w:rPr>
          <w:szCs w:val="24"/>
        </w:rPr>
      </w:pPr>
      <w:proofErr w:type="gramStart"/>
      <w:r w:rsidRPr="000A748F">
        <w:rPr>
          <w:szCs w:val="24"/>
        </w:rPr>
        <w:t>For clarity, even if the person is able to present the electronic message generated by the departmental system that processes such declar</w:t>
      </w:r>
      <w:r w:rsidRPr="0006619F">
        <w:rPr>
          <w:szCs w:val="24"/>
        </w:rPr>
        <w:t>ations showing that the person has submitted the declaration, or the person is able to show a physical print out of their completed ATD, if a clearance authority cannot access the ATD on a departmental system, a clearance officer may still require the pers</w:t>
      </w:r>
      <w:r w:rsidRPr="00CB71EE">
        <w:rPr>
          <w:szCs w:val="24"/>
        </w:rPr>
        <w:t xml:space="preserve">on to provide a completed (paper) </w:t>
      </w:r>
      <w:r w:rsidR="00236D22" w:rsidRPr="00CB71EE">
        <w:rPr>
          <w:szCs w:val="24"/>
        </w:rPr>
        <w:t xml:space="preserve">incoming </w:t>
      </w:r>
      <w:r w:rsidRPr="00CB71EE">
        <w:rPr>
          <w:szCs w:val="24"/>
        </w:rPr>
        <w:t>passenger card.</w:t>
      </w:r>
      <w:proofErr w:type="gramEnd"/>
    </w:p>
    <w:p w14:paraId="61A970C2" w14:textId="70E61A8F" w:rsidR="006434A0" w:rsidRPr="00E87B10" w:rsidRDefault="006434A0">
      <w:pPr>
        <w:pStyle w:val="ESPara"/>
        <w:rPr>
          <w:szCs w:val="24"/>
        </w:rPr>
      </w:pPr>
      <w:r w:rsidRPr="00E87B10">
        <w:rPr>
          <w:szCs w:val="24"/>
        </w:rPr>
        <w:t xml:space="preserve">The circumstance specified in paragraph </w:t>
      </w:r>
      <w:r w:rsidR="00AD4A18">
        <w:rPr>
          <w:szCs w:val="24"/>
        </w:rPr>
        <w:t>6</w:t>
      </w:r>
      <w:r w:rsidRPr="00E87B10">
        <w:rPr>
          <w:szCs w:val="24"/>
        </w:rPr>
        <w:t>(b) is that a clearance officer reasonably suspects that the information in the person’s ATD is not accurate</w:t>
      </w:r>
      <w:r w:rsidR="005D5080" w:rsidRPr="00E87B10">
        <w:rPr>
          <w:szCs w:val="24"/>
        </w:rPr>
        <w:t xml:space="preserve"> or </w:t>
      </w:r>
      <w:r w:rsidRPr="00E87B10">
        <w:rPr>
          <w:szCs w:val="24"/>
        </w:rPr>
        <w:t>complete. Th</w:t>
      </w:r>
      <w:r w:rsidR="005D5080" w:rsidRPr="00E87B10">
        <w:rPr>
          <w:szCs w:val="24"/>
        </w:rPr>
        <w:t>is</w:t>
      </w:r>
      <w:r w:rsidRPr="00E87B10">
        <w:rPr>
          <w:szCs w:val="24"/>
        </w:rPr>
        <w:t xml:space="preserve"> enables a clearance officer t</w:t>
      </w:r>
      <w:r w:rsidRPr="000A748F">
        <w:rPr>
          <w:szCs w:val="24"/>
        </w:rPr>
        <w:t xml:space="preserve">o request a </w:t>
      </w:r>
      <w:r w:rsidR="005D5080" w:rsidRPr="0006619F">
        <w:rPr>
          <w:szCs w:val="24"/>
        </w:rPr>
        <w:t xml:space="preserve">passenger </w:t>
      </w:r>
      <w:r w:rsidRPr="00CB71EE">
        <w:rPr>
          <w:szCs w:val="24"/>
        </w:rPr>
        <w:t xml:space="preserve">to provide a completed </w:t>
      </w:r>
      <w:r w:rsidR="00236D22" w:rsidRPr="00CB71EE">
        <w:rPr>
          <w:szCs w:val="24"/>
        </w:rPr>
        <w:t xml:space="preserve">incoming </w:t>
      </w:r>
      <w:r w:rsidRPr="00CB71EE">
        <w:rPr>
          <w:szCs w:val="24"/>
        </w:rPr>
        <w:t xml:space="preserve">passenger card if </w:t>
      </w:r>
      <w:r w:rsidRPr="00CB71EE">
        <w:rPr>
          <w:szCs w:val="24"/>
        </w:rPr>
        <w:lastRenderedPageBreak/>
        <w:t xml:space="preserve">they suspect the information in the ATD is not complete or accurate. For example, this </w:t>
      </w:r>
      <w:r w:rsidR="00E87B10">
        <w:rPr>
          <w:szCs w:val="24"/>
        </w:rPr>
        <w:t xml:space="preserve">circumstance </w:t>
      </w:r>
      <w:r w:rsidRPr="00E87B10">
        <w:rPr>
          <w:szCs w:val="24"/>
        </w:rPr>
        <w:t xml:space="preserve">could arise </w:t>
      </w:r>
      <w:r w:rsidR="00E87B10">
        <w:rPr>
          <w:szCs w:val="24"/>
        </w:rPr>
        <w:t>where</w:t>
      </w:r>
      <w:r w:rsidRPr="00E87B10">
        <w:rPr>
          <w:szCs w:val="24"/>
        </w:rPr>
        <w:t>:</w:t>
      </w:r>
    </w:p>
    <w:p w14:paraId="3C57A6BB" w14:textId="7B07D50D" w:rsidR="006434A0" w:rsidRPr="00D3461A" w:rsidRDefault="00E87B10" w:rsidP="006434A0">
      <w:pPr>
        <w:pStyle w:val="ESSubparaList"/>
        <w:rPr>
          <w:sz w:val="24"/>
          <w:szCs w:val="24"/>
        </w:rPr>
      </w:pPr>
      <w:r>
        <w:rPr>
          <w:sz w:val="24"/>
          <w:szCs w:val="24"/>
        </w:rPr>
        <w:t>t</w:t>
      </w:r>
      <w:r w:rsidRPr="00D3461A">
        <w:rPr>
          <w:sz w:val="24"/>
          <w:szCs w:val="24"/>
        </w:rPr>
        <w:t xml:space="preserve">he </w:t>
      </w:r>
      <w:r w:rsidR="006434A0" w:rsidRPr="00D3461A">
        <w:rPr>
          <w:sz w:val="24"/>
          <w:szCs w:val="24"/>
        </w:rPr>
        <w:t xml:space="preserve">person’s ATD contains incorrect flight details, such as where the person does not travel on the original flight </w:t>
      </w:r>
      <w:r>
        <w:rPr>
          <w:sz w:val="24"/>
          <w:szCs w:val="24"/>
        </w:rPr>
        <w:t xml:space="preserve">on which </w:t>
      </w:r>
      <w:r w:rsidR="006434A0" w:rsidRPr="00D3461A">
        <w:rPr>
          <w:sz w:val="24"/>
          <w:szCs w:val="24"/>
        </w:rPr>
        <w:t xml:space="preserve">they were scheduled to travel to Australia; </w:t>
      </w:r>
    </w:p>
    <w:p w14:paraId="09A42F20" w14:textId="74A694C5" w:rsidR="006434A0" w:rsidRPr="00D3461A" w:rsidRDefault="00E87B10" w:rsidP="006434A0">
      <w:pPr>
        <w:pStyle w:val="ESSubparaList"/>
        <w:rPr>
          <w:sz w:val="24"/>
          <w:szCs w:val="24"/>
        </w:rPr>
      </w:pPr>
      <w:r>
        <w:rPr>
          <w:sz w:val="24"/>
          <w:szCs w:val="24"/>
        </w:rPr>
        <w:t>t</w:t>
      </w:r>
      <w:r w:rsidRPr="00D3461A">
        <w:rPr>
          <w:sz w:val="24"/>
          <w:szCs w:val="24"/>
        </w:rPr>
        <w:t xml:space="preserve">he </w:t>
      </w:r>
      <w:r w:rsidR="006434A0" w:rsidRPr="00D3461A">
        <w:rPr>
          <w:sz w:val="24"/>
          <w:szCs w:val="24"/>
        </w:rPr>
        <w:t xml:space="preserve">person </w:t>
      </w:r>
      <w:r w:rsidR="000A748F">
        <w:rPr>
          <w:sz w:val="24"/>
          <w:szCs w:val="24"/>
        </w:rPr>
        <w:t xml:space="preserve">identifies and brings </w:t>
      </w:r>
      <w:r w:rsidR="006434A0" w:rsidRPr="00D3461A">
        <w:rPr>
          <w:sz w:val="24"/>
          <w:szCs w:val="24"/>
        </w:rPr>
        <w:t>an error, inaccuracy or omission in their ATD to</w:t>
      </w:r>
      <w:r w:rsidR="000A748F">
        <w:rPr>
          <w:sz w:val="24"/>
          <w:szCs w:val="24"/>
        </w:rPr>
        <w:t xml:space="preserve"> the attention of</w:t>
      </w:r>
      <w:r w:rsidR="006434A0" w:rsidRPr="00D3461A">
        <w:rPr>
          <w:sz w:val="24"/>
          <w:szCs w:val="24"/>
        </w:rPr>
        <w:t xml:space="preserve"> a clearance officer; </w:t>
      </w:r>
    </w:p>
    <w:p w14:paraId="7AB09445" w14:textId="35A639E3" w:rsidR="006434A0" w:rsidRPr="00D3461A" w:rsidRDefault="00E87B10" w:rsidP="006434A0">
      <w:pPr>
        <w:pStyle w:val="ESSubparaList"/>
        <w:rPr>
          <w:sz w:val="24"/>
          <w:szCs w:val="24"/>
        </w:rPr>
      </w:pPr>
      <w:r>
        <w:rPr>
          <w:sz w:val="24"/>
          <w:szCs w:val="24"/>
        </w:rPr>
        <w:t>a</w:t>
      </w:r>
      <w:r w:rsidRPr="00D3461A">
        <w:rPr>
          <w:sz w:val="24"/>
          <w:szCs w:val="24"/>
        </w:rPr>
        <w:t xml:space="preserve"> </w:t>
      </w:r>
      <w:r w:rsidR="006434A0" w:rsidRPr="00D3461A">
        <w:rPr>
          <w:sz w:val="24"/>
          <w:szCs w:val="24"/>
        </w:rPr>
        <w:t xml:space="preserve">clearance officer identifies an inconsistency, such as the passport number in the ATD does not match the passport presented by the person, or the name in the ATD does not match the name on the person’s passport; or </w:t>
      </w:r>
    </w:p>
    <w:p w14:paraId="63351D5D" w14:textId="450777BB" w:rsidR="006434A0" w:rsidRPr="00D3461A" w:rsidRDefault="00E87B10" w:rsidP="006434A0">
      <w:pPr>
        <w:pStyle w:val="ESSubparaList"/>
        <w:rPr>
          <w:sz w:val="24"/>
          <w:szCs w:val="24"/>
        </w:rPr>
      </w:pPr>
      <w:proofErr w:type="gramStart"/>
      <w:r>
        <w:rPr>
          <w:sz w:val="24"/>
          <w:szCs w:val="24"/>
        </w:rPr>
        <w:t>t</w:t>
      </w:r>
      <w:r w:rsidRPr="00D3461A">
        <w:rPr>
          <w:sz w:val="24"/>
          <w:szCs w:val="24"/>
        </w:rPr>
        <w:t>he</w:t>
      </w:r>
      <w:proofErr w:type="gramEnd"/>
      <w:r w:rsidRPr="00D3461A">
        <w:rPr>
          <w:sz w:val="24"/>
          <w:szCs w:val="24"/>
        </w:rPr>
        <w:t xml:space="preserve"> </w:t>
      </w:r>
      <w:r w:rsidR="006434A0" w:rsidRPr="00D3461A">
        <w:rPr>
          <w:sz w:val="24"/>
          <w:szCs w:val="24"/>
        </w:rPr>
        <w:t xml:space="preserve">person needs to make a change to their ATD and cannot access it because they cannot access a mobile device. </w:t>
      </w:r>
    </w:p>
    <w:p w14:paraId="07B47432" w14:textId="0881935B" w:rsidR="006434A0" w:rsidRPr="00E87B10" w:rsidRDefault="006434A0" w:rsidP="002A46CA">
      <w:pPr>
        <w:pStyle w:val="ESPara"/>
        <w:rPr>
          <w:szCs w:val="24"/>
        </w:rPr>
      </w:pPr>
      <w:r w:rsidRPr="002A46CA">
        <w:rPr>
          <w:szCs w:val="24"/>
        </w:rPr>
        <w:t xml:space="preserve">This is similar to the </w:t>
      </w:r>
      <w:r w:rsidR="00E87B10" w:rsidRPr="002A46CA">
        <w:rPr>
          <w:szCs w:val="24"/>
        </w:rPr>
        <w:t>practi</w:t>
      </w:r>
      <w:r w:rsidR="00E87B10">
        <w:rPr>
          <w:szCs w:val="24"/>
        </w:rPr>
        <w:t>c</w:t>
      </w:r>
      <w:r w:rsidR="00E87B10" w:rsidRPr="002A46CA">
        <w:rPr>
          <w:szCs w:val="24"/>
        </w:rPr>
        <w:t xml:space="preserve">e </w:t>
      </w:r>
      <w:r w:rsidRPr="002A46CA">
        <w:rPr>
          <w:szCs w:val="24"/>
        </w:rPr>
        <w:t xml:space="preserve">that already occurs with </w:t>
      </w:r>
      <w:r w:rsidR="00BD1CF2" w:rsidRPr="002A46CA">
        <w:rPr>
          <w:szCs w:val="24"/>
        </w:rPr>
        <w:t xml:space="preserve">incoming </w:t>
      </w:r>
      <w:r w:rsidRPr="002A46CA">
        <w:rPr>
          <w:szCs w:val="24"/>
        </w:rPr>
        <w:t xml:space="preserve">passenger cards, where a clearance officer may request a </w:t>
      </w:r>
      <w:r w:rsidR="005D5080" w:rsidRPr="002A46CA">
        <w:rPr>
          <w:szCs w:val="24"/>
        </w:rPr>
        <w:t xml:space="preserve">passenger </w:t>
      </w:r>
      <w:r w:rsidRPr="002A46CA">
        <w:rPr>
          <w:szCs w:val="24"/>
        </w:rPr>
        <w:t>to provide another passenger card if the information is</w:t>
      </w:r>
      <w:r w:rsidR="00E87B10">
        <w:rPr>
          <w:szCs w:val="24"/>
        </w:rPr>
        <w:t>, for example,</w:t>
      </w:r>
      <w:r w:rsidRPr="002A46CA">
        <w:rPr>
          <w:szCs w:val="24"/>
        </w:rPr>
        <w:t xml:space="preserve"> </w:t>
      </w:r>
      <w:r w:rsidR="00BD1CF2" w:rsidRPr="002A46CA">
        <w:rPr>
          <w:szCs w:val="24"/>
        </w:rPr>
        <w:t>in</w:t>
      </w:r>
      <w:r w:rsidRPr="002A46CA">
        <w:rPr>
          <w:szCs w:val="24"/>
        </w:rPr>
        <w:t xml:space="preserve">complete, </w:t>
      </w:r>
      <w:r w:rsidR="00BD1CF2" w:rsidRPr="002A46CA">
        <w:rPr>
          <w:szCs w:val="24"/>
        </w:rPr>
        <w:t>in</w:t>
      </w:r>
      <w:r w:rsidRPr="002A46CA">
        <w:rPr>
          <w:szCs w:val="24"/>
        </w:rPr>
        <w:t xml:space="preserve">accurate or illegible. </w:t>
      </w:r>
    </w:p>
    <w:p w14:paraId="30DA5BDC" w14:textId="2F906EB9" w:rsidR="006434A0" w:rsidRPr="00E87B10" w:rsidRDefault="00E87B10" w:rsidP="002A46CA">
      <w:pPr>
        <w:pStyle w:val="ESPara"/>
        <w:rPr>
          <w:szCs w:val="24"/>
        </w:rPr>
      </w:pPr>
      <w:r>
        <w:rPr>
          <w:szCs w:val="24"/>
        </w:rPr>
        <w:t>A</w:t>
      </w:r>
      <w:r w:rsidR="006434A0" w:rsidRPr="00E87B10">
        <w:rPr>
          <w:szCs w:val="24"/>
        </w:rPr>
        <w:t xml:space="preserve"> clearance officer may require a completed passenger card in either of the circumstances specified in paragraph </w:t>
      </w:r>
      <w:r w:rsidR="00AD4A18">
        <w:rPr>
          <w:szCs w:val="24"/>
        </w:rPr>
        <w:t>6</w:t>
      </w:r>
      <w:r w:rsidR="006434A0" w:rsidRPr="00E87B10">
        <w:rPr>
          <w:szCs w:val="24"/>
        </w:rPr>
        <w:t xml:space="preserve">(a) and (b). </w:t>
      </w:r>
    </w:p>
    <w:p w14:paraId="37A87BDA" w14:textId="1E81B572" w:rsidR="006434A0" w:rsidRPr="00F452FE" w:rsidRDefault="006434A0" w:rsidP="00F452FE">
      <w:pPr>
        <w:pStyle w:val="ESPara"/>
        <w:rPr>
          <w:szCs w:val="24"/>
        </w:rPr>
      </w:pPr>
      <w:r w:rsidRPr="00F452FE">
        <w:rPr>
          <w:szCs w:val="24"/>
        </w:rPr>
        <w:t>S</w:t>
      </w:r>
      <w:r w:rsidR="00961D35" w:rsidRPr="00F452FE">
        <w:rPr>
          <w:szCs w:val="24"/>
        </w:rPr>
        <w:t xml:space="preserve">chedule </w:t>
      </w:r>
      <w:proofErr w:type="gramStart"/>
      <w:r w:rsidR="00961D35" w:rsidRPr="00F452FE">
        <w:rPr>
          <w:szCs w:val="24"/>
        </w:rPr>
        <w:t>1</w:t>
      </w:r>
      <w:proofErr w:type="gramEnd"/>
      <w:r w:rsidR="00961D35" w:rsidRPr="00F452FE">
        <w:rPr>
          <w:szCs w:val="24"/>
        </w:rPr>
        <w:t xml:space="preserve"> to the instrument, read together with section 4 of the instrument,</w:t>
      </w:r>
      <w:r w:rsidRPr="00F452FE">
        <w:rPr>
          <w:szCs w:val="24"/>
        </w:rPr>
        <w:t xml:space="preserve"> </w:t>
      </w:r>
      <w:r w:rsidR="00E87B10" w:rsidRPr="00F452FE">
        <w:rPr>
          <w:szCs w:val="24"/>
        </w:rPr>
        <w:t>provides that</w:t>
      </w:r>
      <w:r w:rsidRPr="00F452FE">
        <w:rPr>
          <w:szCs w:val="24"/>
        </w:rPr>
        <w:t xml:space="preserve"> the instrument </w:t>
      </w:r>
      <w:r w:rsidRPr="00F452FE">
        <w:rPr>
          <w:i/>
          <w:szCs w:val="24"/>
        </w:rPr>
        <w:t>Migration (Digital Passenger Declaration</w:t>
      </w:r>
      <w:r w:rsidR="00AA624B" w:rsidRPr="00F452FE">
        <w:rPr>
          <w:i/>
          <w:szCs w:val="24"/>
        </w:rPr>
        <w:t>—</w:t>
      </w:r>
      <w:r w:rsidRPr="00F452FE">
        <w:rPr>
          <w:i/>
          <w:szCs w:val="24"/>
        </w:rPr>
        <w:t>Circumstances where Passenger Card also required) Instrument (LIN 22/015) 2022</w:t>
      </w:r>
      <w:r w:rsidRPr="00F452FE">
        <w:rPr>
          <w:szCs w:val="24"/>
        </w:rPr>
        <w:t xml:space="preserve"> is repealed.</w:t>
      </w:r>
      <w:r w:rsidR="00BD1CF2" w:rsidRPr="00F452FE">
        <w:rPr>
          <w:szCs w:val="24"/>
        </w:rPr>
        <w:t xml:space="preserve"> LIN 22/015 </w:t>
      </w:r>
      <w:proofErr w:type="gramStart"/>
      <w:r w:rsidR="00BD1CF2" w:rsidRPr="00F452FE">
        <w:rPr>
          <w:szCs w:val="24"/>
        </w:rPr>
        <w:t>was intended</w:t>
      </w:r>
      <w:proofErr w:type="gramEnd"/>
      <w:r w:rsidR="00BD1CF2" w:rsidRPr="00F452FE">
        <w:rPr>
          <w:szCs w:val="24"/>
        </w:rPr>
        <w:t xml:space="preserve"> to support the digital passenger declaration</w:t>
      </w:r>
      <w:r w:rsidR="00236D22" w:rsidRPr="00F452FE">
        <w:rPr>
          <w:szCs w:val="24"/>
        </w:rPr>
        <w:t xml:space="preserve"> by specifying the circumstances when an incoming passenger card was required</w:t>
      </w:r>
      <w:r w:rsidR="00BD1CF2" w:rsidRPr="00F452FE">
        <w:rPr>
          <w:szCs w:val="24"/>
        </w:rPr>
        <w:t>.</w:t>
      </w:r>
      <w:r w:rsidR="00236D22" w:rsidRPr="00F452FE">
        <w:rPr>
          <w:szCs w:val="24"/>
        </w:rPr>
        <w:t xml:space="preserve"> As the digital passenger declaration has been decommissioned, LIN 22/015 is no longer required. </w:t>
      </w:r>
    </w:p>
    <w:p w14:paraId="17CBEAAD" w14:textId="77777777" w:rsidR="006434A0" w:rsidRDefault="006434A0">
      <w:pPr>
        <w:rPr>
          <w:rFonts w:ascii="Times New Roman" w:hAnsi="Times New Roman" w:cs="Times New Roman"/>
          <w:b/>
          <w:u w:val="single"/>
        </w:rPr>
      </w:pPr>
      <w:r>
        <w:br w:type="page"/>
      </w:r>
    </w:p>
    <w:p w14:paraId="75A09494" w14:textId="55A43682" w:rsidR="004F5CE4" w:rsidRPr="00F452FE" w:rsidRDefault="003A5FDD" w:rsidP="00F452FE">
      <w:pPr>
        <w:pStyle w:val="ESPara"/>
        <w:numPr>
          <w:ilvl w:val="0"/>
          <w:numId w:val="0"/>
        </w:numPr>
        <w:ind w:left="567"/>
        <w:jc w:val="right"/>
        <w:rPr>
          <w:szCs w:val="24"/>
        </w:rPr>
      </w:pPr>
      <w:r w:rsidRPr="00F452FE">
        <w:rPr>
          <w:b/>
          <w:szCs w:val="24"/>
          <w:u w:val="single"/>
        </w:rPr>
        <w:lastRenderedPageBreak/>
        <w:t xml:space="preserve">Attachment </w:t>
      </w:r>
      <w:r w:rsidR="006434A0" w:rsidRPr="00F452FE">
        <w:rPr>
          <w:b/>
          <w:szCs w:val="24"/>
          <w:u w:val="single"/>
        </w:rPr>
        <w:t>B</w:t>
      </w:r>
    </w:p>
    <w:p w14:paraId="547F85C8" w14:textId="77777777" w:rsidR="00CC09DA" w:rsidRPr="00CC09DA" w:rsidRDefault="00CC09DA" w:rsidP="00CC09DA">
      <w:pPr>
        <w:spacing w:before="360" w:after="120" w:line="240" w:lineRule="auto"/>
        <w:jc w:val="center"/>
        <w:outlineLvl w:val="1"/>
        <w:rPr>
          <w:rFonts w:ascii="Times New Roman" w:hAnsi="Times New Roman" w:cs="Times New Roman"/>
          <w:b/>
          <w:sz w:val="28"/>
          <w:szCs w:val="28"/>
        </w:rPr>
      </w:pPr>
      <w:r w:rsidRPr="00CC09DA">
        <w:rPr>
          <w:rFonts w:ascii="Times New Roman" w:hAnsi="Times New Roman" w:cs="Times New Roman"/>
          <w:b/>
          <w:sz w:val="28"/>
          <w:szCs w:val="28"/>
        </w:rPr>
        <w:t>Statement of Compatibility with Human Rights</w:t>
      </w:r>
    </w:p>
    <w:p w14:paraId="3B3C1EC7" w14:textId="77777777" w:rsidR="00CC09DA" w:rsidRPr="00CC09DA" w:rsidRDefault="00CC09DA" w:rsidP="00CC09DA">
      <w:pPr>
        <w:spacing w:before="120" w:after="120" w:line="240" w:lineRule="auto"/>
        <w:jc w:val="center"/>
        <w:rPr>
          <w:rFonts w:ascii="Times New Roman" w:hAnsi="Times New Roman" w:cs="Times New Roman"/>
          <w:sz w:val="24"/>
          <w:szCs w:val="24"/>
        </w:rPr>
      </w:pPr>
      <w:r w:rsidRPr="00CC09DA">
        <w:rPr>
          <w:rFonts w:ascii="Times New Roman" w:hAnsi="Times New Roman" w:cs="Times New Roman"/>
          <w:i/>
          <w:sz w:val="24"/>
          <w:szCs w:val="24"/>
        </w:rPr>
        <w:t>Prepared in accordance with Part 3 of the Human Rights (Parliamentary Scrutiny) Act 2011</w:t>
      </w:r>
    </w:p>
    <w:p w14:paraId="0C7578F6" w14:textId="77777777" w:rsidR="00CC09DA" w:rsidRPr="00CC09DA" w:rsidRDefault="00CC09DA" w:rsidP="00CC09DA">
      <w:pPr>
        <w:spacing w:before="120" w:after="120" w:line="240" w:lineRule="auto"/>
        <w:jc w:val="center"/>
        <w:rPr>
          <w:rFonts w:ascii="Times New Roman" w:hAnsi="Times New Roman" w:cs="Times New Roman"/>
          <w:sz w:val="24"/>
          <w:szCs w:val="24"/>
        </w:rPr>
      </w:pPr>
    </w:p>
    <w:p w14:paraId="11AE1F7B" w14:textId="2331359B" w:rsidR="00CC09DA" w:rsidRPr="00F452FE" w:rsidRDefault="00AA624B" w:rsidP="00CC09DA">
      <w:pPr>
        <w:spacing w:before="120" w:after="120" w:line="240" w:lineRule="auto"/>
        <w:jc w:val="center"/>
        <w:rPr>
          <w:rFonts w:ascii="Times New Roman" w:hAnsi="Times New Roman" w:cs="Times New Roman"/>
          <w:b/>
          <w:i/>
          <w:sz w:val="24"/>
          <w:szCs w:val="24"/>
        </w:rPr>
      </w:pPr>
      <w:r w:rsidRPr="00F452FE">
        <w:rPr>
          <w:rFonts w:ascii="Times New Roman" w:hAnsi="Times New Roman" w:cs="Times New Roman"/>
          <w:b/>
          <w:i/>
          <w:sz w:val="24"/>
          <w:szCs w:val="24"/>
        </w:rPr>
        <w:t>Migration (Australia Travel Declaration—Passenger Card May Be Required) Instrument (LIN 24/075) 2024</w:t>
      </w:r>
    </w:p>
    <w:p w14:paraId="5FFA684E" w14:textId="77777777" w:rsidR="00CC09DA" w:rsidRPr="00CC09DA" w:rsidRDefault="00CC09DA" w:rsidP="00CC09DA">
      <w:pPr>
        <w:spacing w:before="120" w:after="120" w:line="240" w:lineRule="auto"/>
        <w:jc w:val="center"/>
        <w:rPr>
          <w:rFonts w:ascii="Times New Roman" w:hAnsi="Times New Roman" w:cs="Times New Roman"/>
          <w:sz w:val="24"/>
          <w:szCs w:val="24"/>
        </w:rPr>
      </w:pPr>
    </w:p>
    <w:p w14:paraId="24806223" w14:textId="77777777" w:rsidR="00CC09DA" w:rsidRPr="00CC09DA" w:rsidRDefault="00CC09DA" w:rsidP="00CC09DA">
      <w:pPr>
        <w:spacing w:before="120" w:after="120" w:line="240" w:lineRule="auto"/>
        <w:jc w:val="center"/>
        <w:rPr>
          <w:rFonts w:ascii="Times New Roman" w:hAnsi="Times New Roman" w:cs="Times New Roman"/>
          <w:sz w:val="24"/>
          <w:szCs w:val="24"/>
        </w:rPr>
      </w:pPr>
      <w:r w:rsidRPr="00CC09DA">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CC09DA">
        <w:rPr>
          <w:rFonts w:ascii="Times New Roman" w:hAnsi="Times New Roman" w:cs="Times New Roman"/>
          <w:i/>
          <w:sz w:val="24"/>
          <w:szCs w:val="24"/>
        </w:rPr>
        <w:t>Human Rights (Parliamentary Scrutiny) Act 2011</w:t>
      </w:r>
      <w:r w:rsidRPr="00CC09DA">
        <w:rPr>
          <w:rFonts w:ascii="Times New Roman" w:hAnsi="Times New Roman" w:cs="Times New Roman"/>
          <w:sz w:val="24"/>
          <w:szCs w:val="24"/>
        </w:rPr>
        <w:t>.</w:t>
      </w:r>
    </w:p>
    <w:p w14:paraId="6C419E79" w14:textId="77777777" w:rsidR="00CC09DA" w:rsidRPr="00CC09DA" w:rsidRDefault="00CC09DA" w:rsidP="00CC09DA">
      <w:pPr>
        <w:spacing w:before="120" w:after="120" w:line="240" w:lineRule="auto"/>
        <w:rPr>
          <w:rFonts w:ascii="Times New Roman" w:hAnsi="Times New Roman" w:cs="Times New Roman"/>
          <w:sz w:val="24"/>
          <w:szCs w:val="24"/>
        </w:rPr>
      </w:pPr>
    </w:p>
    <w:p w14:paraId="6277B9D1" w14:textId="22462177" w:rsidR="00CC09DA" w:rsidRPr="00CC09DA" w:rsidRDefault="00CC09DA" w:rsidP="00CC09DA">
      <w:pPr>
        <w:keepNext/>
        <w:keepLines/>
        <w:spacing w:before="40" w:after="0" w:line="276" w:lineRule="auto"/>
        <w:outlineLvl w:val="2"/>
        <w:rPr>
          <w:rFonts w:ascii="Times New Roman" w:eastAsiaTheme="majorEastAsia" w:hAnsi="Times New Roman" w:cs="Times New Roman"/>
          <w:b/>
          <w:sz w:val="24"/>
          <w:szCs w:val="24"/>
        </w:rPr>
      </w:pPr>
      <w:r w:rsidRPr="00CC09DA">
        <w:rPr>
          <w:rFonts w:ascii="Times New Roman" w:eastAsiaTheme="majorEastAsia" w:hAnsi="Times New Roman" w:cs="Times New Roman"/>
          <w:b/>
          <w:sz w:val="24"/>
          <w:szCs w:val="24"/>
        </w:rPr>
        <w:t>Overview of the Disallowable Legislative Instrument</w:t>
      </w:r>
    </w:p>
    <w:p w14:paraId="5F9467FC" w14:textId="77777777" w:rsidR="000A748F" w:rsidRDefault="000A748F" w:rsidP="00CC09DA">
      <w:pPr>
        <w:spacing w:after="200" w:line="276" w:lineRule="auto"/>
        <w:rPr>
          <w:rFonts w:ascii="Times New Roman" w:hAnsi="Times New Roman" w:cs="Times New Roman"/>
          <w:sz w:val="24"/>
          <w:szCs w:val="24"/>
          <w:u w:val="single"/>
        </w:rPr>
      </w:pPr>
    </w:p>
    <w:p w14:paraId="262071C7" w14:textId="112F531E" w:rsidR="00CC09DA" w:rsidRPr="00F452FE" w:rsidRDefault="00CC09DA" w:rsidP="00CC09DA">
      <w:pPr>
        <w:spacing w:after="200" w:line="276" w:lineRule="auto"/>
        <w:rPr>
          <w:rFonts w:ascii="Times New Roman" w:hAnsi="Times New Roman" w:cs="Times New Roman"/>
          <w:sz w:val="24"/>
          <w:szCs w:val="24"/>
          <w:u w:val="single"/>
        </w:rPr>
      </w:pPr>
      <w:r w:rsidRPr="00F452FE">
        <w:rPr>
          <w:rFonts w:ascii="Times New Roman" w:hAnsi="Times New Roman" w:cs="Times New Roman"/>
          <w:sz w:val="24"/>
          <w:szCs w:val="24"/>
          <w:u w:val="single"/>
        </w:rPr>
        <w:t>Background</w:t>
      </w:r>
    </w:p>
    <w:p w14:paraId="45B99385" w14:textId="77777777" w:rsidR="00CC09DA" w:rsidRPr="00CC09DA" w:rsidRDefault="00CC09DA" w:rsidP="00CC09DA">
      <w:pPr>
        <w:spacing w:after="0" w:line="240" w:lineRule="auto"/>
        <w:rPr>
          <w:rFonts w:ascii="Times New Roman" w:hAnsi="Times New Roman" w:cs="Times New Roman"/>
          <w:color w:val="000000"/>
          <w:sz w:val="24"/>
          <w:szCs w:val="24"/>
          <w:shd w:val="clear" w:color="auto" w:fill="FFFFFF"/>
        </w:rPr>
      </w:pPr>
      <w:r w:rsidRPr="00CC09DA">
        <w:rPr>
          <w:rFonts w:ascii="Times New Roman" w:hAnsi="Times New Roman" w:cs="Times New Roman"/>
          <w:color w:val="000000"/>
          <w:sz w:val="24"/>
          <w:szCs w:val="24"/>
          <w:shd w:val="clear" w:color="auto" w:fill="FFFFFF"/>
        </w:rPr>
        <w:t xml:space="preserve">In accordance with section 172 of the Migration Act, passengers arriving in Australia are required to comply with the requirements set out in section 166 of the </w:t>
      </w:r>
      <w:r w:rsidRPr="00CC09DA">
        <w:rPr>
          <w:rFonts w:ascii="Times New Roman" w:eastAsia="Times New Roman" w:hAnsi="Times New Roman" w:cs="Times New Roman"/>
          <w:i/>
          <w:color w:val="000000"/>
          <w:sz w:val="24"/>
          <w:szCs w:val="24"/>
          <w:shd w:val="clear" w:color="auto" w:fill="FFFFFF"/>
          <w:lang w:eastAsia="en-AU"/>
        </w:rPr>
        <w:t>Migration Act 1958</w:t>
      </w:r>
      <w:r w:rsidRPr="00CC09DA">
        <w:rPr>
          <w:rFonts w:ascii="Times New Roman" w:hAnsi="Times New Roman" w:cs="Times New Roman"/>
          <w:color w:val="000000"/>
          <w:sz w:val="24"/>
          <w:szCs w:val="24"/>
          <w:shd w:val="clear" w:color="auto" w:fill="FFFFFF"/>
        </w:rPr>
        <w:t xml:space="preserve"> (Migration Act) to be immigration cleared. For the purposes of complying with section 166, further requirements </w:t>
      </w:r>
      <w:proofErr w:type="gramStart"/>
      <w:r w:rsidRPr="00CC09DA">
        <w:rPr>
          <w:rFonts w:ascii="Times New Roman" w:hAnsi="Times New Roman" w:cs="Times New Roman"/>
          <w:color w:val="000000"/>
          <w:sz w:val="24"/>
          <w:szCs w:val="24"/>
          <w:shd w:val="clear" w:color="auto" w:fill="FFFFFF"/>
        </w:rPr>
        <w:t>are outlined</w:t>
      </w:r>
      <w:proofErr w:type="gramEnd"/>
      <w:r w:rsidRPr="00CC09DA">
        <w:rPr>
          <w:rFonts w:ascii="Times New Roman" w:hAnsi="Times New Roman" w:cs="Times New Roman"/>
          <w:color w:val="000000"/>
          <w:sz w:val="24"/>
          <w:szCs w:val="24"/>
          <w:shd w:val="clear" w:color="auto" w:fill="FFFFFF"/>
        </w:rPr>
        <w:t xml:space="preserve"> in Division 3.1 of Part 3 of the </w:t>
      </w:r>
      <w:r w:rsidRPr="00CC09DA">
        <w:rPr>
          <w:rFonts w:ascii="Times New Roman" w:hAnsi="Times New Roman" w:cs="Times New Roman"/>
          <w:i/>
          <w:color w:val="000000"/>
          <w:sz w:val="24"/>
          <w:szCs w:val="24"/>
          <w:shd w:val="clear" w:color="auto" w:fill="FFFFFF"/>
        </w:rPr>
        <w:t>Migration Regulations 1994</w:t>
      </w:r>
      <w:r w:rsidRPr="00CC09DA">
        <w:rPr>
          <w:rFonts w:ascii="Times New Roman" w:hAnsi="Times New Roman" w:cs="Times New Roman"/>
          <w:color w:val="000000"/>
          <w:sz w:val="24"/>
          <w:szCs w:val="24"/>
          <w:shd w:val="clear" w:color="auto" w:fill="FFFFFF"/>
        </w:rPr>
        <w:t xml:space="preserve"> (Migration Regulations). This includes the requirement in regulations 3.01 and 3.03 to provide a completed passenger card (known as an Incoming Passenger Card or IPC) to a clearance officer, unless exempt from doing so. Those provisions authorise the collection of information from passengers for the purposes of the Migration Act. </w:t>
      </w:r>
    </w:p>
    <w:p w14:paraId="7B5D1FF1" w14:textId="77777777" w:rsidR="00CC09DA" w:rsidRPr="00CC09DA" w:rsidRDefault="00CC09DA" w:rsidP="00CC09DA">
      <w:pPr>
        <w:spacing w:after="0" w:line="240" w:lineRule="auto"/>
        <w:rPr>
          <w:rFonts w:ascii="Times New Roman" w:hAnsi="Times New Roman" w:cs="Times New Roman"/>
          <w:color w:val="000000"/>
          <w:sz w:val="24"/>
          <w:szCs w:val="24"/>
          <w:shd w:val="clear" w:color="auto" w:fill="FFFFFF"/>
        </w:rPr>
      </w:pPr>
    </w:p>
    <w:p w14:paraId="3E9F5D75" w14:textId="77777777" w:rsidR="00CC09DA" w:rsidRPr="00CC09DA" w:rsidRDefault="00CC09DA" w:rsidP="00CC09DA">
      <w:pPr>
        <w:spacing w:after="0" w:line="240" w:lineRule="auto"/>
        <w:rPr>
          <w:rFonts w:ascii="Times New Roman" w:hAnsi="Times New Roman" w:cs="Times New Roman"/>
          <w:color w:val="000000"/>
          <w:sz w:val="24"/>
          <w:szCs w:val="24"/>
          <w:shd w:val="clear" w:color="auto" w:fill="FFFFFF"/>
        </w:rPr>
      </w:pPr>
      <w:r w:rsidRPr="00CC09DA" w:rsidDel="0035056D">
        <w:rPr>
          <w:rFonts w:ascii="Times New Roman" w:hAnsi="Times New Roman" w:cs="Times New Roman"/>
          <w:color w:val="000000"/>
          <w:sz w:val="24"/>
          <w:szCs w:val="24"/>
          <w:shd w:val="clear" w:color="auto" w:fill="FFFFFF"/>
        </w:rPr>
        <w:t xml:space="preserve">Clearance officers collect the passenger cards from travellers upon arrival in Australia. </w:t>
      </w:r>
      <w:r w:rsidRPr="00CC09DA">
        <w:rPr>
          <w:rFonts w:ascii="Times New Roman" w:hAnsi="Times New Roman" w:cs="Times New Roman"/>
          <w:color w:val="000000"/>
          <w:sz w:val="24"/>
          <w:szCs w:val="24"/>
          <w:shd w:val="clear" w:color="auto" w:fill="FFFFFF"/>
        </w:rPr>
        <w:t>All information provided by travellers is expected to be current and correct (section 102 and paragraph 105(1</w:t>
      </w:r>
      <w:proofErr w:type="gramStart"/>
      <w:r w:rsidRPr="00CC09DA">
        <w:rPr>
          <w:rFonts w:ascii="Times New Roman" w:hAnsi="Times New Roman" w:cs="Times New Roman"/>
          <w:color w:val="000000"/>
          <w:sz w:val="24"/>
          <w:szCs w:val="24"/>
          <w:shd w:val="clear" w:color="auto" w:fill="FFFFFF"/>
        </w:rPr>
        <w:t>)(</w:t>
      </w:r>
      <w:proofErr w:type="gramEnd"/>
      <w:r w:rsidRPr="00CC09DA">
        <w:rPr>
          <w:rFonts w:ascii="Times New Roman" w:hAnsi="Times New Roman" w:cs="Times New Roman"/>
          <w:color w:val="000000"/>
          <w:sz w:val="24"/>
          <w:szCs w:val="24"/>
          <w:shd w:val="clear" w:color="auto" w:fill="FFFFFF"/>
        </w:rPr>
        <w:t>b) of the Migration Act). The information in the passenger card enables travellers, including Australian citizens, to meet immigration clearance requirements under paragraph 166(1</w:t>
      </w:r>
      <w:proofErr w:type="gramStart"/>
      <w:r w:rsidRPr="00CC09DA">
        <w:rPr>
          <w:rFonts w:ascii="Times New Roman" w:hAnsi="Times New Roman" w:cs="Times New Roman"/>
          <w:color w:val="000000"/>
          <w:sz w:val="24"/>
          <w:szCs w:val="24"/>
          <w:shd w:val="clear" w:color="auto" w:fill="FFFFFF"/>
        </w:rPr>
        <w:t>)(</w:t>
      </w:r>
      <w:proofErr w:type="gramEnd"/>
      <w:r w:rsidRPr="00CC09DA">
        <w:rPr>
          <w:rFonts w:ascii="Times New Roman" w:hAnsi="Times New Roman" w:cs="Times New Roman"/>
          <w:color w:val="000000"/>
          <w:sz w:val="24"/>
          <w:szCs w:val="24"/>
          <w:shd w:val="clear" w:color="auto" w:fill="FFFFFF"/>
        </w:rPr>
        <w:t xml:space="preserve">b) of the Migration Act. The cards also assist clearance officers with directing passengers through the correct exit pathway, or referral to further examination points. </w:t>
      </w:r>
    </w:p>
    <w:p w14:paraId="18BC41FB" w14:textId="77777777" w:rsidR="00CC09DA" w:rsidRDefault="00CC09DA" w:rsidP="00CC09DA">
      <w:pPr>
        <w:spacing w:after="200" w:line="276" w:lineRule="auto"/>
        <w:rPr>
          <w:rFonts w:ascii="Times New Roman" w:hAnsi="Times New Roman" w:cs="Times New Roman"/>
        </w:rPr>
      </w:pPr>
    </w:p>
    <w:p w14:paraId="02D1238E" w14:textId="6F793A3E"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 xml:space="preserve">The </w:t>
      </w:r>
      <w:r w:rsidRPr="00CC09DA">
        <w:rPr>
          <w:rFonts w:ascii="Times New Roman" w:hAnsi="Times New Roman" w:cs="Times New Roman"/>
          <w:i/>
          <w:sz w:val="24"/>
          <w:szCs w:val="24"/>
        </w:rPr>
        <w:t>Home Affairs Legislation Amendment (Australian Travel Declaration and Other Matters) Regulations 2024</w:t>
      </w:r>
      <w:r w:rsidRPr="00CC09DA">
        <w:rPr>
          <w:rFonts w:ascii="Times New Roman" w:hAnsi="Times New Roman" w:cs="Times New Roman"/>
          <w:sz w:val="24"/>
          <w:szCs w:val="24"/>
        </w:rPr>
        <w:t xml:space="preserve"> (the ATD Regulations) amended the Migration Regulations to facilitate the use of an electronic declaration, known as the Australia Travel Declaration (ATD), for incoming travellers as a voluntary alternative to completing the paper passenger card. The ATD Regulations support the rollout of the ATD, initially on a trial basis from late October 2024.</w:t>
      </w:r>
    </w:p>
    <w:p w14:paraId="2C4DAE18"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The ATD regulations amended the Migration Regulations to exempt a traveller from providing a completed passenger card if the traveller provides an ATD, unless:</w:t>
      </w:r>
    </w:p>
    <w:p w14:paraId="3B1C8857" w14:textId="77777777" w:rsidR="00CC09DA" w:rsidRPr="00CC09DA" w:rsidRDefault="00CC09DA" w:rsidP="00CC09DA">
      <w:pPr>
        <w:numPr>
          <w:ilvl w:val="0"/>
          <w:numId w:val="6"/>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t>The ATD is withdrawn; or</w:t>
      </w:r>
    </w:p>
    <w:p w14:paraId="71D36202" w14:textId="3DB8A405" w:rsidR="00CC09DA" w:rsidRPr="00CC09DA" w:rsidRDefault="00CC09DA" w:rsidP="00CC09DA">
      <w:pPr>
        <w:numPr>
          <w:ilvl w:val="0"/>
          <w:numId w:val="6"/>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lastRenderedPageBreak/>
        <w:t xml:space="preserve">A clearance officer requires the traveller to provide a passenger card in circumstances specified in a legislative instrument made under </w:t>
      </w:r>
      <w:proofErr w:type="spellStart"/>
      <w:r w:rsidRPr="00CC09DA">
        <w:rPr>
          <w:rFonts w:ascii="Times New Roman" w:hAnsi="Times New Roman" w:cs="Times New Roman"/>
          <w:sz w:val="24"/>
          <w:szCs w:val="24"/>
        </w:rPr>
        <w:t>subregulation</w:t>
      </w:r>
      <w:proofErr w:type="spellEnd"/>
      <w:r w:rsidRPr="00CC09DA">
        <w:rPr>
          <w:rFonts w:ascii="Times New Roman" w:hAnsi="Times New Roman" w:cs="Times New Roman"/>
          <w:sz w:val="24"/>
          <w:szCs w:val="24"/>
        </w:rPr>
        <w:t xml:space="preserve"> </w:t>
      </w:r>
      <w:proofErr w:type="gramStart"/>
      <w:r w:rsidRPr="00CC09DA">
        <w:rPr>
          <w:rFonts w:ascii="Times New Roman" w:hAnsi="Times New Roman" w:cs="Times New Roman"/>
          <w:sz w:val="24"/>
          <w:szCs w:val="24"/>
        </w:rPr>
        <w:t>3.03AB(</w:t>
      </w:r>
      <w:proofErr w:type="gramEnd"/>
      <w:r w:rsidRPr="00CC09DA">
        <w:rPr>
          <w:rFonts w:ascii="Times New Roman" w:hAnsi="Times New Roman" w:cs="Times New Roman"/>
          <w:sz w:val="24"/>
          <w:szCs w:val="24"/>
        </w:rPr>
        <w:t xml:space="preserve">3) of the Migration Regulations. </w:t>
      </w:r>
    </w:p>
    <w:p w14:paraId="7EA630B0" w14:textId="77777777" w:rsidR="00CC09DA" w:rsidRDefault="00CC09DA" w:rsidP="00CC09DA">
      <w:pPr>
        <w:spacing w:after="200" w:line="276" w:lineRule="auto"/>
        <w:rPr>
          <w:rFonts w:ascii="Times New Roman" w:hAnsi="Times New Roman" w:cs="Times New Roman"/>
          <w:sz w:val="24"/>
          <w:szCs w:val="24"/>
          <w:u w:val="single"/>
        </w:rPr>
      </w:pPr>
    </w:p>
    <w:p w14:paraId="378B83A3" w14:textId="356BABAF" w:rsidR="00CC09DA" w:rsidRPr="00CC09DA" w:rsidRDefault="00CC09DA" w:rsidP="00CC09DA">
      <w:pPr>
        <w:spacing w:after="200" w:line="276" w:lineRule="auto"/>
        <w:rPr>
          <w:rFonts w:ascii="Times New Roman" w:hAnsi="Times New Roman" w:cs="Times New Roman"/>
          <w:sz w:val="24"/>
          <w:szCs w:val="24"/>
          <w:u w:val="single"/>
        </w:rPr>
      </w:pPr>
      <w:r w:rsidRPr="00CC09DA">
        <w:rPr>
          <w:rFonts w:ascii="Times New Roman" w:hAnsi="Times New Roman" w:cs="Times New Roman"/>
          <w:sz w:val="24"/>
          <w:szCs w:val="24"/>
          <w:u w:val="single"/>
        </w:rPr>
        <w:t>Instrument</w:t>
      </w:r>
    </w:p>
    <w:p w14:paraId="7E45E206"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 xml:space="preserve">The </w:t>
      </w:r>
      <w:r w:rsidRPr="00CC09DA">
        <w:rPr>
          <w:rFonts w:ascii="Times New Roman" w:hAnsi="Times New Roman" w:cs="Times New Roman"/>
          <w:i/>
          <w:sz w:val="24"/>
          <w:szCs w:val="24"/>
        </w:rPr>
        <w:t>Migration (Australia Travel Declaration – Circumstances where Passenger Card also required) Instrument (LIN 24/075) 2024</w:t>
      </w:r>
      <w:r w:rsidRPr="00CC09DA">
        <w:rPr>
          <w:rFonts w:ascii="Times New Roman" w:hAnsi="Times New Roman" w:cs="Times New Roman"/>
          <w:sz w:val="24"/>
          <w:szCs w:val="24"/>
        </w:rPr>
        <w:t xml:space="preserve"> (Instrument) specifies the circumstances, for the purposes of </w:t>
      </w:r>
      <w:proofErr w:type="spellStart"/>
      <w:r w:rsidRPr="00CC09DA">
        <w:rPr>
          <w:rFonts w:ascii="Times New Roman" w:hAnsi="Times New Roman" w:cs="Times New Roman"/>
          <w:sz w:val="24"/>
          <w:szCs w:val="24"/>
        </w:rPr>
        <w:t>subregulation</w:t>
      </w:r>
      <w:proofErr w:type="spellEnd"/>
      <w:r w:rsidRPr="00CC09DA">
        <w:rPr>
          <w:rFonts w:ascii="Times New Roman" w:hAnsi="Times New Roman" w:cs="Times New Roman"/>
          <w:sz w:val="24"/>
          <w:szCs w:val="24"/>
        </w:rPr>
        <w:t xml:space="preserve"> 3.03AB(2) of the Migration Regulations, in which a clearance officer may require a person to provide a completed passenger card, despite an ATD being provided as follows:</w:t>
      </w:r>
    </w:p>
    <w:p w14:paraId="59FCE9E7" w14:textId="77777777" w:rsidR="00CC09DA" w:rsidRPr="00CC09DA" w:rsidRDefault="00CC09DA" w:rsidP="00CC09DA">
      <w:pPr>
        <w:numPr>
          <w:ilvl w:val="0"/>
          <w:numId w:val="6"/>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t>When the person’s ATD cannot be accessed by a clearance authority;</w:t>
      </w:r>
    </w:p>
    <w:p w14:paraId="56A62825" w14:textId="7C611375" w:rsidR="00CC09DA" w:rsidRDefault="00CC09DA" w:rsidP="00CC09DA">
      <w:pPr>
        <w:numPr>
          <w:ilvl w:val="0"/>
          <w:numId w:val="6"/>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t>When a clearance officer reasonably suspects that the information in the person’s ATD is not accurate or complete.</w:t>
      </w:r>
    </w:p>
    <w:p w14:paraId="33346032" w14:textId="77777777" w:rsidR="00CC09DA" w:rsidRPr="00CC09DA" w:rsidRDefault="00CC09DA" w:rsidP="00CC09DA">
      <w:pPr>
        <w:spacing w:after="200" w:line="276" w:lineRule="auto"/>
        <w:contextualSpacing/>
        <w:rPr>
          <w:rFonts w:ascii="Times New Roman" w:hAnsi="Times New Roman" w:cs="Times New Roman"/>
          <w:sz w:val="24"/>
          <w:szCs w:val="24"/>
        </w:rPr>
      </w:pPr>
    </w:p>
    <w:p w14:paraId="3F5EFC7E"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 xml:space="preserve">It is important for the clearance officer to be able to exercise this power in the Migration Regulations in the circumstances specified in the Instrument because without the information being accessible via the ATD, and without it </w:t>
      </w:r>
      <w:proofErr w:type="gramStart"/>
      <w:r w:rsidRPr="00CC09DA">
        <w:rPr>
          <w:rFonts w:ascii="Times New Roman" w:hAnsi="Times New Roman" w:cs="Times New Roman"/>
          <w:sz w:val="24"/>
          <w:szCs w:val="24"/>
        </w:rPr>
        <w:t>being provided</w:t>
      </w:r>
      <w:proofErr w:type="gramEnd"/>
      <w:r w:rsidRPr="00CC09DA">
        <w:rPr>
          <w:rFonts w:ascii="Times New Roman" w:hAnsi="Times New Roman" w:cs="Times New Roman"/>
          <w:sz w:val="24"/>
          <w:szCs w:val="24"/>
        </w:rPr>
        <w:t xml:space="preserve"> via a passenger card, the traveller would not satisfy one of the requirements to be immigration cleared into Australia. </w:t>
      </w:r>
    </w:p>
    <w:p w14:paraId="3A093A93"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Examples of the circumstances in which a clearance officer could exercise this power include:</w:t>
      </w:r>
    </w:p>
    <w:p w14:paraId="0F18FA37" w14:textId="77777777" w:rsidR="00CC09DA" w:rsidRPr="00CC09DA" w:rsidRDefault="00CC09DA" w:rsidP="00CC09DA">
      <w:pPr>
        <w:numPr>
          <w:ilvl w:val="0"/>
          <w:numId w:val="7"/>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t>A clearance officer cannot access the person’s ATD because of a departmental system outage;</w:t>
      </w:r>
    </w:p>
    <w:p w14:paraId="4C43B72B" w14:textId="77777777" w:rsidR="00CC09DA" w:rsidRPr="00CC09DA" w:rsidRDefault="00CC09DA" w:rsidP="00CC09DA">
      <w:pPr>
        <w:numPr>
          <w:ilvl w:val="0"/>
          <w:numId w:val="7"/>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t>A clearance authority cannot locate the person’s ATD when the person presents themselves to a clearance authority for processing; or</w:t>
      </w:r>
    </w:p>
    <w:p w14:paraId="5CD6C662" w14:textId="7B5B3F31" w:rsidR="00CC09DA" w:rsidRDefault="00CC09DA" w:rsidP="00CC09DA">
      <w:pPr>
        <w:numPr>
          <w:ilvl w:val="0"/>
          <w:numId w:val="7"/>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t>The person acknowledges or the clearance officer notices an error, inaccuracy or omission in the ATD.</w:t>
      </w:r>
    </w:p>
    <w:p w14:paraId="7694439E" w14:textId="77777777" w:rsidR="00CC09DA" w:rsidRPr="00CC09DA" w:rsidRDefault="00CC09DA" w:rsidP="00CC09DA">
      <w:pPr>
        <w:spacing w:after="200" w:line="276" w:lineRule="auto"/>
        <w:contextualSpacing/>
        <w:rPr>
          <w:rFonts w:ascii="Times New Roman" w:hAnsi="Times New Roman" w:cs="Times New Roman"/>
          <w:sz w:val="24"/>
          <w:szCs w:val="24"/>
        </w:rPr>
      </w:pPr>
    </w:p>
    <w:p w14:paraId="36858EAB" w14:textId="77777777" w:rsidR="00CC09DA" w:rsidRPr="00CC09DA" w:rsidRDefault="00CC09DA" w:rsidP="00CC09DA">
      <w:pPr>
        <w:spacing w:after="200" w:line="276" w:lineRule="auto"/>
        <w:rPr>
          <w:rFonts w:ascii="Times New Roman" w:hAnsi="Times New Roman" w:cs="Times New Roman"/>
          <w:b/>
          <w:sz w:val="24"/>
          <w:szCs w:val="24"/>
        </w:rPr>
      </w:pPr>
      <w:r w:rsidRPr="00CC09DA">
        <w:rPr>
          <w:rFonts w:ascii="Times New Roman" w:hAnsi="Times New Roman" w:cs="Times New Roman"/>
          <w:b/>
          <w:sz w:val="24"/>
          <w:szCs w:val="24"/>
        </w:rPr>
        <w:t>Human rights implications</w:t>
      </w:r>
    </w:p>
    <w:p w14:paraId="3CBF13A2"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The Instrument may engage the following rights:</w:t>
      </w:r>
    </w:p>
    <w:p w14:paraId="0960FBB5" w14:textId="77777777" w:rsidR="00CC09DA" w:rsidRPr="00CC09DA" w:rsidRDefault="00CC09DA" w:rsidP="00CC09DA">
      <w:pPr>
        <w:numPr>
          <w:ilvl w:val="0"/>
          <w:numId w:val="8"/>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t>Right to equality and non-discrimination – Article 2(1) and Article 26 of the International Covenant on Civil and Political Rights (ICCPR), Article 5 of the Convention on the Rights of Persons with Disabilities (CRPD);</w:t>
      </w:r>
    </w:p>
    <w:p w14:paraId="68A4F7AA" w14:textId="77777777" w:rsidR="00CC09DA" w:rsidRPr="00CC09DA" w:rsidRDefault="00CC09DA" w:rsidP="00CC09DA">
      <w:pPr>
        <w:numPr>
          <w:ilvl w:val="0"/>
          <w:numId w:val="8"/>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t>Freedom of movement – Article 12 of the ICCPR and Article 18 of the CRPD;</w:t>
      </w:r>
    </w:p>
    <w:p w14:paraId="1BBE1558" w14:textId="77777777" w:rsidR="00CC09DA" w:rsidRPr="00CC09DA" w:rsidRDefault="00CC09DA" w:rsidP="00CC09DA">
      <w:pPr>
        <w:numPr>
          <w:ilvl w:val="0"/>
          <w:numId w:val="8"/>
        </w:numPr>
        <w:spacing w:after="200" w:line="276" w:lineRule="auto"/>
        <w:contextualSpacing/>
        <w:rPr>
          <w:rFonts w:ascii="Times New Roman" w:hAnsi="Times New Roman" w:cs="Times New Roman"/>
          <w:sz w:val="24"/>
          <w:szCs w:val="24"/>
        </w:rPr>
      </w:pPr>
      <w:r w:rsidRPr="00CC09DA">
        <w:rPr>
          <w:rFonts w:ascii="Times New Roman" w:hAnsi="Times New Roman" w:cs="Times New Roman"/>
          <w:sz w:val="24"/>
          <w:szCs w:val="24"/>
        </w:rPr>
        <w:t>Right to privacy – Article 17(1) of the ICCPR</w:t>
      </w:r>
    </w:p>
    <w:p w14:paraId="6645899D" w14:textId="77777777" w:rsidR="00CC09DA" w:rsidRPr="00CC09DA" w:rsidRDefault="00CC09DA" w:rsidP="00CC09DA">
      <w:pPr>
        <w:spacing w:after="200" w:line="276" w:lineRule="auto"/>
        <w:rPr>
          <w:rFonts w:ascii="Times New Roman" w:hAnsi="Times New Roman" w:cs="Times New Roman"/>
          <w:i/>
          <w:sz w:val="24"/>
          <w:szCs w:val="24"/>
        </w:rPr>
      </w:pPr>
      <w:r w:rsidRPr="00CC09DA">
        <w:rPr>
          <w:rFonts w:ascii="Times New Roman" w:hAnsi="Times New Roman" w:cs="Times New Roman"/>
          <w:i/>
          <w:sz w:val="24"/>
          <w:szCs w:val="24"/>
        </w:rPr>
        <w:t>Right to equality and non-discrimination</w:t>
      </w:r>
    </w:p>
    <w:p w14:paraId="14BD322A"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 xml:space="preserve">Article 2(1) of the ICCPR provides that States undertake to respect and to ensure to all individuals within their territory and subject to their jurisdiction the rights recognised in the ICCPR without distinction of any kind such as race, colour, sex, language, religion, political or other opinion, national or social origin, property, birth or other status. Similarly, Article 26 of the ICCPR provides that the law shall prohibit any discrimination and guarantee to all persons equal and effective </w:t>
      </w:r>
      <w:r w:rsidRPr="00CC09DA">
        <w:rPr>
          <w:rFonts w:ascii="Times New Roman" w:hAnsi="Times New Roman" w:cs="Times New Roman"/>
          <w:sz w:val="24"/>
          <w:szCs w:val="24"/>
        </w:rPr>
        <w:lastRenderedPageBreak/>
        <w:t>protection against discrimination on any grounds such as race, colour, sex, language, religion, political or other opinion, national or social origin, property, birth or other status.</w:t>
      </w:r>
    </w:p>
    <w:p w14:paraId="393A3ED7"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Further, the CRPD contains a number of principles, obligations and rights, including Article 5, relating to the non-discriminatory treatment of persons with a disability.</w:t>
      </w:r>
    </w:p>
    <w:p w14:paraId="0A897FD2"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 xml:space="preserve">The Instrument specifies circumstances in which a clearance officer may require a person to provide a completed passenger card despite having provided an ATD. These circumstances relate to when the ATD </w:t>
      </w:r>
      <w:proofErr w:type="gramStart"/>
      <w:r w:rsidRPr="00CC09DA">
        <w:rPr>
          <w:rFonts w:ascii="Times New Roman" w:hAnsi="Times New Roman" w:cs="Times New Roman"/>
          <w:sz w:val="24"/>
          <w:szCs w:val="24"/>
        </w:rPr>
        <w:t>cannot be accessed</w:t>
      </w:r>
      <w:proofErr w:type="gramEnd"/>
      <w:r w:rsidRPr="00CC09DA">
        <w:rPr>
          <w:rFonts w:ascii="Times New Roman" w:hAnsi="Times New Roman" w:cs="Times New Roman"/>
          <w:sz w:val="24"/>
          <w:szCs w:val="24"/>
        </w:rPr>
        <w:t xml:space="preserve"> in a practical sense or where the information may not be accurate with a view to ensuring the traveller is able to comply with existing immigration clearance requirements. This does not impose any new conditions that would limit the rights of a person to equality and non-discrimination. There are existing mechanisms that make the passenger card accessible to a range of cohorts, including the passenger card </w:t>
      </w:r>
      <w:proofErr w:type="gramStart"/>
      <w:r w:rsidRPr="00CC09DA">
        <w:rPr>
          <w:rFonts w:ascii="Times New Roman" w:hAnsi="Times New Roman" w:cs="Times New Roman"/>
          <w:sz w:val="24"/>
          <w:szCs w:val="24"/>
        </w:rPr>
        <w:t>being printed</w:t>
      </w:r>
      <w:proofErr w:type="gramEnd"/>
      <w:r w:rsidRPr="00CC09DA">
        <w:rPr>
          <w:rFonts w:ascii="Times New Roman" w:hAnsi="Times New Roman" w:cs="Times New Roman"/>
          <w:sz w:val="24"/>
          <w:szCs w:val="24"/>
        </w:rPr>
        <w:t xml:space="preserve"> in 13 different languages. </w:t>
      </w:r>
    </w:p>
    <w:p w14:paraId="57F95A3A" w14:textId="77777777" w:rsidR="00CC09DA" w:rsidRPr="00CC09DA" w:rsidRDefault="00CC09DA" w:rsidP="00CC09DA">
      <w:pPr>
        <w:spacing w:after="200" w:line="276" w:lineRule="auto"/>
        <w:rPr>
          <w:rFonts w:ascii="Times New Roman" w:hAnsi="Times New Roman" w:cs="Times New Roman"/>
          <w:i/>
          <w:sz w:val="24"/>
          <w:szCs w:val="24"/>
        </w:rPr>
      </w:pPr>
      <w:r w:rsidRPr="00CC09DA">
        <w:rPr>
          <w:rFonts w:ascii="Times New Roman" w:hAnsi="Times New Roman" w:cs="Times New Roman"/>
          <w:i/>
          <w:sz w:val="24"/>
          <w:szCs w:val="24"/>
        </w:rPr>
        <w:t>Right to freedom of movement</w:t>
      </w:r>
    </w:p>
    <w:p w14:paraId="14075317"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 xml:space="preserve">Article 12(4) of the ICCPR prohibits the arbitrary depravation of the right to enter one’s own country. Article 18 of the CRPD obliges States to protect the ability of persons with disabilities to exercise their rights relating to freedom of movement on an equal basis with others. </w:t>
      </w:r>
    </w:p>
    <w:p w14:paraId="780B6208"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 xml:space="preserve">The Instrument does not impose any greater or additional restriction or conditions on the right of persons to enter Australia, including on citizens or others for whom Australia may be their ‘own’ country. The Instrument does not require the provision of additional types of information as a condition of entry; but rather reverts the traveller back to the original mechanism (the paper passenger card) for providing information already required.  </w:t>
      </w:r>
    </w:p>
    <w:p w14:paraId="67BCD473" w14:textId="77777777" w:rsidR="00CC09DA" w:rsidRPr="00CC09DA" w:rsidRDefault="00CC09DA" w:rsidP="00CC09DA">
      <w:pPr>
        <w:spacing w:after="200" w:line="276" w:lineRule="auto"/>
        <w:rPr>
          <w:rFonts w:ascii="Times New Roman" w:hAnsi="Times New Roman" w:cs="Times New Roman"/>
          <w:i/>
          <w:sz w:val="24"/>
          <w:szCs w:val="24"/>
        </w:rPr>
      </w:pPr>
      <w:r w:rsidRPr="00CC09DA">
        <w:rPr>
          <w:rFonts w:ascii="Times New Roman" w:hAnsi="Times New Roman" w:cs="Times New Roman"/>
          <w:i/>
          <w:sz w:val="24"/>
          <w:szCs w:val="24"/>
        </w:rPr>
        <w:t>Right to freedom from interference with privacy</w:t>
      </w:r>
    </w:p>
    <w:p w14:paraId="522F303E"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Article 17(1) of the ICCPR states:</w:t>
      </w:r>
    </w:p>
    <w:p w14:paraId="775AAD03" w14:textId="77777777" w:rsidR="00CC09DA" w:rsidRPr="00CC09DA" w:rsidRDefault="00CC09DA" w:rsidP="00CC09DA">
      <w:pPr>
        <w:spacing w:after="200" w:line="276" w:lineRule="auto"/>
        <w:ind w:left="720"/>
        <w:rPr>
          <w:rFonts w:ascii="Times New Roman" w:hAnsi="Times New Roman" w:cs="Times New Roman"/>
          <w:i/>
          <w:sz w:val="24"/>
          <w:szCs w:val="24"/>
        </w:rPr>
      </w:pPr>
      <w:r w:rsidRPr="00CC09DA">
        <w:rPr>
          <w:rFonts w:ascii="Times New Roman" w:hAnsi="Times New Roman" w:cs="Times New Roman"/>
          <w:i/>
          <w:sz w:val="24"/>
          <w:szCs w:val="24"/>
        </w:rPr>
        <w:t xml:space="preserve">No one </w:t>
      </w:r>
      <w:proofErr w:type="gramStart"/>
      <w:r w:rsidRPr="00CC09DA">
        <w:rPr>
          <w:rFonts w:ascii="Times New Roman" w:hAnsi="Times New Roman" w:cs="Times New Roman"/>
          <w:i/>
          <w:sz w:val="24"/>
          <w:szCs w:val="24"/>
        </w:rPr>
        <w:t>shall be subjected to arbitrary or unlawful interference with his privacy, family, home or correspondence, nor to unlawful attached on his honour and reputation</w:t>
      </w:r>
      <w:proofErr w:type="gramEnd"/>
      <w:r w:rsidRPr="00CC09DA">
        <w:rPr>
          <w:rFonts w:ascii="Times New Roman" w:hAnsi="Times New Roman" w:cs="Times New Roman"/>
          <w:i/>
          <w:sz w:val="24"/>
          <w:szCs w:val="24"/>
        </w:rPr>
        <w:t>.</w:t>
      </w:r>
    </w:p>
    <w:p w14:paraId="6CAC3AE8"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 xml:space="preserve">The Instrument does not limit the right to privacy because providing a completed passenger card is already a requirement under the Migration Act, and no additional types of information need to </w:t>
      </w:r>
      <w:proofErr w:type="gramStart"/>
      <w:r w:rsidRPr="00CC09DA">
        <w:rPr>
          <w:rFonts w:ascii="Times New Roman" w:hAnsi="Times New Roman" w:cs="Times New Roman"/>
          <w:sz w:val="24"/>
          <w:szCs w:val="24"/>
        </w:rPr>
        <w:t>be provided</w:t>
      </w:r>
      <w:proofErr w:type="gramEnd"/>
      <w:r w:rsidRPr="00CC09DA">
        <w:rPr>
          <w:rFonts w:ascii="Times New Roman" w:hAnsi="Times New Roman" w:cs="Times New Roman"/>
          <w:sz w:val="24"/>
          <w:szCs w:val="24"/>
        </w:rPr>
        <w:t xml:space="preserve"> by travellers who are required to complete a passenger card despite having completed an ATD in the circumstances specified in the Instrument. The </w:t>
      </w:r>
      <w:proofErr w:type="gramStart"/>
      <w:r w:rsidRPr="00CC09DA">
        <w:rPr>
          <w:rFonts w:ascii="Times New Roman" w:hAnsi="Times New Roman" w:cs="Times New Roman"/>
          <w:sz w:val="24"/>
          <w:szCs w:val="24"/>
        </w:rPr>
        <w:t>collection, storage, use, and disclosure of personal information collected by the passenger card is undertaken by the Department in accordance with the Australian Privacy Principles contained in the Privacy Act</w:t>
      </w:r>
      <w:proofErr w:type="gramEnd"/>
      <w:r w:rsidRPr="00CC09DA">
        <w:rPr>
          <w:rFonts w:ascii="Times New Roman" w:hAnsi="Times New Roman" w:cs="Times New Roman"/>
          <w:sz w:val="24"/>
          <w:szCs w:val="24"/>
        </w:rPr>
        <w:t xml:space="preserve">. </w:t>
      </w:r>
    </w:p>
    <w:p w14:paraId="265CC900" w14:textId="77777777" w:rsidR="00CC09DA" w:rsidRPr="00CC09DA" w:rsidRDefault="00CC09DA" w:rsidP="00CC09DA">
      <w:pPr>
        <w:spacing w:after="200" w:line="276" w:lineRule="auto"/>
        <w:rPr>
          <w:rFonts w:ascii="Times New Roman" w:hAnsi="Times New Roman" w:cs="Times New Roman"/>
          <w:b/>
          <w:sz w:val="24"/>
          <w:szCs w:val="24"/>
        </w:rPr>
      </w:pPr>
      <w:r w:rsidRPr="00CC09DA">
        <w:rPr>
          <w:rFonts w:ascii="Times New Roman" w:hAnsi="Times New Roman" w:cs="Times New Roman"/>
          <w:b/>
          <w:sz w:val="24"/>
          <w:szCs w:val="24"/>
        </w:rPr>
        <w:t>Conclusion</w:t>
      </w:r>
    </w:p>
    <w:p w14:paraId="5097BC12" w14:textId="77777777" w:rsidR="00CC09DA" w:rsidRPr="00CC09DA" w:rsidRDefault="00CC09DA" w:rsidP="00CC09DA">
      <w:pPr>
        <w:spacing w:after="200" w:line="276" w:lineRule="auto"/>
        <w:rPr>
          <w:rFonts w:ascii="Times New Roman" w:hAnsi="Times New Roman" w:cs="Times New Roman"/>
          <w:sz w:val="24"/>
          <w:szCs w:val="24"/>
        </w:rPr>
      </w:pPr>
      <w:r w:rsidRPr="00CC09DA">
        <w:rPr>
          <w:rFonts w:ascii="Times New Roman" w:hAnsi="Times New Roman" w:cs="Times New Roman"/>
          <w:sz w:val="24"/>
          <w:szCs w:val="24"/>
        </w:rPr>
        <w:t xml:space="preserve">The Instrument is compatible with human rights. </w:t>
      </w:r>
    </w:p>
    <w:p w14:paraId="0049212E" w14:textId="77777777" w:rsidR="000A748F" w:rsidRDefault="000A748F" w:rsidP="00F452FE">
      <w:pPr>
        <w:pStyle w:val="ESAttNormal"/>
        <w:spacing w:before="0" w:after="0"/>
        <w:jc w:val="center"/>
        <w:rPr>
          <w:b/>
          <w:sz w:val="24"/>
          <w:szCs w:val="24"/>
        </w:rPr>
      </w:pPr>
    </w:p>
    <w:p w14:paraId="037B4ECB" w14:textId="32083795" w:rsidR="00915032" w:rsidRDefault="000A748F" w:rsidP="00F452FE">
      <w:pPr>
        <w:pStyle w:val="ESAttNormal"/>
        <w:spacing w:before="0" w:after="0"/>
        <w:jc w:val="center"/>
        <w:rPr>
          <w:b/>
          <w:sz w:val="24"/>
          <w:szCs w:val="24"/>
        </w:rPr>
      </w:pPr>
      <w:r>
        <w:rPr>
          <w:b/>
          <w:sz w:val="24"/>
          <w:szCs w:val="24"/>
        </w:rPr>
        <w:t>The Hon Tony Burke MP</w:t>
      </w:r>
    </w:p>
    <w:p w14:paraId="4E03441B" w14:textId="108F4019" w:rsidR="000A748F" w:rsidRPr="00CC09DA" w:rsidRDefault="000A748F" w:rsidP="00F452FE">
      <w:pPr>
        <w:pStyle w:val="ESAttNormal"/>
        <w:spacing w:before="0" w:after="0"/>
        <w:jc w:val="center"/>
        <w:rPr>
          <w:b/>
          <w:sz w:val="24"/>
          <w:szCs w:val="24"/>
        </w:rPr>
      </w:pPr>
      <w:r>
        <w:rPr>
          <w:b/>
          <w:sz w:val="24"/>
          <w:szCs w:val="24"/>
        </w:rPr>
        <w:t xml:space="preserve">Minister for Immigration and </w:t>
      </w:r>
      <w:r w:rsidR="0006619F">
        <w:rPr>
          <w:b/>
          <w:sz w:val="24"/>
          <w:szCs w:val="24"/>
        </w:rPr>
        <w:t>Multicultural Affairs</w:t>
      </w:r>
    </w:p>
    <w:sectPr w:rsidR="000A748F" w:rsidRPr="00CC09DA"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DA61" w14:textId="77777777" w:rsidR="005F6728" w:rsidRDefault="005F6728" w:rsidP="005F6728">
      <w:pPr>
        <w:spacing w:after="0" w:line="240" w:lineRule="auto"/>
      </w:pPr>
      <w:r>
        <w:separator/>
      </w:r>
    </w:p>
  </w:endnote>
  <w:endnote w:type="continuationSeparator" w:id="0">
    <w:p w14:paraId="43F5F582" w14:textId="77777777" w:rsidR="005F6728" w:rsidRDefault="005F6728" w:rsidP="005F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D8CC" w14:textId="77777777" w:rsidR="005F6728" w:rsidRDefault="005F6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7E04" w14:textId="77777777" w:rsidR="005F6728" w:rsidRDefault="005F6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16946" w14:textId="77777777" w:rsidR="005F6728" w:rsidRDefault="005F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4A13" w14:textId="77777777" w:rsidR="005F6728" w:rsidRDefault="005F6728" w:rsidP="005F6728">
      <w:pPr>
        <w:spacing w:after="0" w:line="240" w:lineRule="auto"/>
      </w:pPr>
      <w:r>
        <w:separator/>
      </w:r>
    </w:p>
  </w:footnote>
  <w:footnote w:type="continuationSeparator" w:id="0">
    <w:p w14:paraId="52C7EFA9" w14:textId="77777777" w:rsidR="005F6728" w:rsidRDefault="005F6728" w:rsidP="005F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07161" w14:textId="77777777" w:rsidR="005F6728" w:rsidRDefault="005F6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F1657" w14:textId="77777777" w:rsidR="005F6728" w:rsidRDefault="005F6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33D2" w14:textId="77777777" w:rsidR="005F6728" w:rsidRDefault="005F6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0083"/>
    <w:multiLevelType w:val="hybridMultilevel"/>
    <w:tmpl w:val="05DE7E66"/>
    <w:lvl w:ilvl="0" w:tplc="FA9260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82254"/>
    <w:multiLevelType w:val="hybridMultilevel"/>
    <w:tmpl w:val="63A2C3B0"/>
    <w:lvl w:ilvl="0" w:tplc="FA9260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A70044"/>
    <w:multiLevelType w:val="hybridMultilevel"/>
    <w:tmpl w:val="B1E88522"/>
    <w:lvl w:ilvl="0" w:tplc="FA9260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E532A9"/>
    <w:multiLevelType w:val="hybridMultilevel"/>
    <w:tmpl w:val="7DCED76A"/>
    <w:lvl w:ilvl="0" w:tplc="3EFEE2B2">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4"/>
  </w:num>
  <w:num w:numId="5">
    <w:abstractNumId w:val="3"/>
    <w:lvlOverride w:ilvl="0">
      <w:startOverride w:val="1"/>
    </w:lvlOverride>
  </w:num>
  <w:num w:numId="6">
    <w:abstractNumId w:val="0"/>
  </w:num>
  <w:num w:numId="7">
    <w:abstractNumId w:val="2"/>
  </w:num>
  <w:num w:numId="8">
    <w:abstractNumId w:val="1"/>
  </w:num>
  <w:num w:numId="9">
    <w:abstractNumId w:val="3"/>
  </w:num>
  <w:num w:numId="10">
    <w:abstractNumId w:val="3"/>
  </w:num>
  <w:num w:numId="11">
    <w:abstractNumId w:val="3"/>
  </w:num>
  <w:num w:numId="12">
    <w:abstractNumId w:val="3"/>
    <w:lvlOverride w:ilvl="0">
      <w:startOverride w:val="1"/>
    </w:lvlOverride>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24"/>
    <w:rsid w:val="0006619F"/>
    <w:rsid w:val="000A748F"/>
    <w:rsid w:val="000D014F"/>
    <w:rsid w:val="00100DFC"/>
    <w:rsid w:val="00177DC9"/>
    <w:rsid w:val="0019164E"/>
    <w:rsid w:val="001A3F6B"/>
    <w:rsid w:val="001B5677"/>
    <w:rsid w:val="0023512E"/>
    <w:rsid w:val="00236D22"/>
    <w:rsid w:val="002402E0"/>
    <w:rsid w:val="00244236"/>
    <w:rsid w:val="0025182C"/>
    <w:rsid w:val="002527DE"/>
    <w:rsid w:val="002A02BB"/>
    <w:rsid w:val="002A46CA"/>
    <w:rsid w:val="002D167E"/>
    <w:rsid w:val="002D3A96"/>
    <w:rsid w:val="003226F1"/>
    <w:rsid w:val="003A5FDD"/>
    <w:rsid w:val="003E4424"/>
    <w:rsid w:val="00457D4A"/>
    <w:rsid w:val="00464080"/>
    <w:rsid w:val="004A168A"/>
    <w:rsid w:val="004F5CE4"/>
    <w:rsid w:val="00560B24"/>
    <w:rsid w:val="0057002B"/>
    <w:rsid w:val="005A3733"/>
    <w:rsid w:val="005C5FAE"/>
    <w:rsid w:val="005D5080"/>
    <w:rsid w:val="005F6728"/>
    <w:rsid w:val="00604E06"/>
    <w:rsid w:val="006434A0"/>
    <w:rsid w:val="006C58F3"/>
    <w:rsid w:val="00725FE7"/>
    <w:rsid w:val="00731909"/>
    <w:rsid w:val="00783890"/>
    <w:rsid w:val="007B3238"/>
    <w:rsid w:val="007E4691"/>
    <w:rsid w:val="008232BD"/>
    <w:rsid w:val="0088407D"/>
    <w:rsid w:val="008B24C8"/>
    <w:rsid w:val="008F13FE"/>
    <w:rsid w:val="00915032"/>
    <w:rsid w:val="00961D35"/>
    <w:rsid w:val="009B2F10"/>
    <w:rsid w:val="009B6B79"/>
    <w:rsid w:val="00A32852"/>
    <w:rsid w:val="00A33A67"/>
    <w:rsid w:val="00A7585A"/>
    <w:rsid w:val="00AA3421"/>
    <w:rsid w:val="00AA4557"/>
    <w:rsid w:val="00AA4F77"/>
    <w:rsid w:val="00AA624B"/>
    <w:rsid w:val="00AD4A18"/>
    <w:rsid w:val="00B445D9"/>
    <w:rsid w:val="00B65A06"/>
    <w:rsid w:val="00B75478"/>
    <w:rsid w:val="00BA5216"/>
    <w:rsid w:val="00BB0CF2"/>
    <w:rsid w:val="00BD1CF2"/>
    <w:rsid w:val="00BD598E"/>
    <w:rsid w:val="00BE3E7F"/>
    <w:rsid w:val="00BF1EC7"/>
    <w:rsid w:val="00C24F65"/>
    <w:rsid w:val="00C81A5E"/>
    <w:rsid w:val="00C930F2"/>
    <w:rsid w:val="00CB71EE"/>
    <w:rsid w:val="00CC09DA"/>
    <w:rsid w:val="00CE2F0B"/>
    <w:rsid w:val="00D3461A"/>
    <w:rsid w:val="00D40E1E"/>
    <w:rsid w:val="00D47784"/>
    <w:rsid w:val="00D47F19"/>
    <w:rsid w:val="00D603F2"/>
    <w:rsid w:val="00D73868"/>
    <w:rsid w:val="00D77D7D"/>
    <w:rsid w:val="00D8612C"/>
    <w:rsid w:val="00D9378E"/>
    <w:rsid w:val="00DA4142"/>
    <w:rsid w:val="00E03DCC"/>
    <w:rsid w:val="00E10540"/>
    <w:rsid w:val="00E45FE2"/>
    <w:rsid w:val="00E72D5E"/>
    <w:rsid w:val="00E87B10"/>
    <w:rsid w:val="00EA12C9"/>
    <w:rsid w:val="00EB478E"/>
    <w:rsid w:val="00EE1DEE"/>
    <w:rsid w:val="00F452FE"/>
    <w:rsid w:val="00FC0C6B"/>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5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2A46CA"/>
    <w:pPr>
      <w:keepNext/>
      <w:numPr>
        <w:numId w:val="1"/>
      </w:numPr>
      <w:spacing w:before="240" w:after="240" w:line="276" w:lineRule="auto"/>
      <w:contextualSpacing w:val="0"/>
    </w:pPr>
    <w:rPr>
      <w:rFonts w:ascii="Times New Roman" w:hAnsi="Times New Roman" w:cs="Times New Roman"/>
      <w:sz w:val="24"/>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2A46CA"/>
    <w:rPr>
      <w:rFonts w:ascii="Times New Roman" w:hAnsi="Times New Roman" w:cs="Times New Roman"/>
      <w:sz w:val="24"/>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sz w:val="24"/>
    </w:rPr>
  </w:style>
  <w:style w:type="character" w:styleId="CommentReference">
    <w:name w:val="annotation reference"/>
    <w:basedOn w:val="DefaultParagraphFont"/>
    <w:uiPriority w:val="99"/>
    <w:semiHidden/>
    <w:unhideWhenUsed/>
    <w:rsid w:val="00244236"/>
    <w:rPr>
      <w:sz w:val="16"/>
      <w:szCs w:val="16"/>
    </w:rPr>
  </w:style>
  <w:style w:type="paragraph" w:styleId="CommentText">
    <w:name w:val="annotation text"/>
    <w:basedOn w:val="Normal"/>
    <w:link w:val="CommentTextChar"/>
    <w:uiPriority w:val="99"/>
    <w:semiHidden/>
    <w:unhideWhenUsed/>
    <w:rsid w:val="00244236"/>
    <w:pPr>
      <w:spacing w:line="240" w:lineRule="auto"/>
    </w:pPr>
    <w:rPr>
      <w:sz w:val="20"/>
      <w:szCs w:val="20"/>
    </w:rPr>
  </w:style>
  <w:style w:type="character" w:customStyle="1" w:styleId="CommentTextChar">
    <w:name w:val="Comment Text Char"/>
    <w:basedOn w:val="DefaultParagraphFont"/>
    <w:link w:val="CommentText"/>
    <w:uiPriority w:val="99"/>
    <w:semiHidden/>
    <w:rsid w:val="00244236"/>
    <w:rPr>
      <w:sz w:val="20"/>
      <w:szCs w:val="20"/>
    </w:rPr>
  </w:style>
  <w:style w:type="paragraph" w:styleId="CommentSubject">
    <w:name w:val="annotation subject"/>
    <w:basedOn w:val="CommentText"/>
    <w:next w:val="CommentText"/>
    <w:link w:val="CommentSubjectChar"/>
    <w:uiPriority w:val="99"/>
    <w:semiHidden/>
    <w:unhideWhenUsed/>
    <w:rsid w:val="00244236"/>
    <w:rPr>
      <w:b/>
      <w:bCs/>
    </w:rPr>
  </w:style>
  <w:style w:type="character" w:customStyle="1" w:styleId="CommentSubjectChar">
    <w:name w:val="Comment Subject Char"/>
    <w:basedOn w:val="CommentTextChar"/>
    <w:link w:val="CommentSubject"/>
    <w:uiPriority w:val="99"/>
    <w:semiHidden/>
    <w:rsid w:val="00244236"/>
    <w:rPr>
      <w:b/>
      <w:bCs/>
      <w:sz w:val="20"/>
      <w:szCs w:val="20"/>
    </w:rPr>
  </w:style>
  <w:style w:type="paragraph" w:styleId="BalloonText">
    <w:name w:val="Balloon Text"/>
    <w:basedOn w:val="Normal"/>
    <w:link w:val="BalloonTextChar"/>
    <w:uiPriority w:val="99"/>
    <w:semiHidden/>
    <w:unhideWhenUsed/>
    <w:rsid w:val="0024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36"/>
    <w:rPr>
      <w:rFonts w:ascii="Segoe UI" w:hAnsi="Segoe UI" w:cs="Segoe UI"/>
      <w:sz w:val="18"/>
      <w:szCs w:val="18"/>
    </w:rPr>
  </w:style>
  <w:style w:type="paragraph" w:styleId="Header">
    <w:name w:val="header"/>
    <w:basedOn w:val="Normal"/>
    <w:link w:val="HeaderChar"/>
    <w:uiPriority w:val="99"/>
    <w:unhideWhenUsed/>
    <w:rsid w:val="005F6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728"/>
  </w:style>
  <w:style w:type="paragraph" w:styleId="Footer">
    <w:name w:val="footer"/>
    <w:basedOn w:val="Normal"/>
    <w:link w:val="FooterChar"/>
    <w:uiPriority w:val="99"/>
    <w:unhideWhenUsed/>
    <w:rsid w:val="005F6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99713">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474912372">
      <w:bodyDiv w:val="1"/>
      <w:marLeft w:val="0"/>
      <w:marRight w:val="0"/>
      <w:marTop w:val="0"/>
      <w:marBottom w:val="0"/>
      <w:divBdr>
        <w:top w:val="none" w:sz="0" w:space="0" w:color="auto"/>
        <w:left w:val="none" w:sz="0" w:space="0" w:color="auto"/>
        <w:bottom w:val="none" w:sz="0" w:space="0" w:color="auto"/>
        <w:right w:val="none" w:sz="0" w:space="0" w:color="auto"/>
      </w:divBdr>
    </w:div>
    <w:div w:id="20574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19A0-20AC-4801-990A-53A52624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2024-10-15T23:25:00Z</dcterms:created>
  <dcterms:modified xsi:type="dcterms:W3CDTF">2024-10-15T23:25:00Z</dcterms:modified>
</cp:coreProperties>
</file>