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1C577" w14:textId="77777777" w:rsidR="00715914" w:rsidRPr="00FA33FB" w:rsidRDefault="00997416" w:rsidP="00781DD2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1A4CCC22" wp14:editId="0F400667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13EA5" w14:textId="77777777" w:rsidR="00715914" w:rsidRPr="00FA33FB" w:rsidRDefault="00715914" w:rsidP="00715914">
      <w:pPr>
        <w:rPr>
          <w:sz w:val="19"/>
        </w:rPr>
      </w:pPr>
    </w:p>
    <w:p w14:paraId="3FCD26AB" w14:textId="77777777" w:rsidR="000F76FA" w:rsidRPr="00024911" w:rsidRDefault="00E55F66" w:rsidP="006647B7">
      <w:pPr>
        <w:pStyle w:val="Plainheader"/>
      </w:pPr>
      <w:r w:rsidRPr="00024911">
        <w:t>Statement of Principles</w:t>
      </w:r>
    </w:p>
    <w:p w14:paraId="3C514929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157077F9" w14:textId="77777777" w:rsidR="00054930" w:rsidRDefault="00E56818" w:rsidP="006647B7">
      <w:pPr>
        <w:pStyle w:val="Plainheader"/>
      </w:pPr>
      <w:bookmarkStart w:id="0" w:name="SoP_Name_Title"/>
      <w:r>
        <w:t>MERKEL CELL CARCINOMA</w:t>
      </w:r>
      <w:bookmarkEnd w:id="0"/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6B74947" w14:textId="79F815A7"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DE110F">
        <w:t>80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9B4DFF">
        <w:t>2024</w:t>
      </w:r>
      <w:bookmarkEnd w:id="2"/>
      <w:r w:rsidRPr="00024911">
        <w:t>)</w:t>
      </w:r>
    </w:p>
    <w:p w14:paraId="1082D6A7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>subsection 196B(2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950C80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06717E71" w14:textId="77777777" w:rsidR="00F97A62" w:rsidRPr="00F97A62" w:rsidRDefault="00F97A62" w:rsidP="00F97A62">
      <w:pPr>
        <w:rPr>
          <w:lang w:eastAsia="en-AU"/>
        </w:rPr>
      </w:pPr>
    </w:p>
    <w:p w14:paraId="4B0C6A40" w14:textId="4EFCE203" w:rsidR="00781DD2" w:rsidRPr="00781DD2" w:rsidRDefault="00781DD2" w:rsidP="00781DD2">
      <w:pPr>
        <w:pStyle w:val="Plain"/>
        <w:tabs>
          <w:tab w:val="left" w:pos="851"/>
        </w:tabs>
        <w:spacing w:before="0"/>
        <w:ind w:left="0"/>
        <w:rPr>
          <w:b w:val="0"/>
        </w:rPr>
      </w:pPr>
      <w:r w:rsidRPr="00781DD2">
        <w:rPr>
          <w:b w:val="0"/>
        </w:rPr>
        <w:t>Dated</w:t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Pr="00781DD2">
        <w:rPr>
          <w:b w:val="0"/>
        </w:rPr>
        <w:tab/>
      </w:r>
      <w:r w:rsidR="00DE110F">
        <w:rPr>
          <w:b w:val="0"/>
        </w:rPr>
        <w:t>18 October 2024.</w:t>
      </w:r>
    </w:p>
    <w:p w14:paraId="3654F1BE" w14:textId="77777777" w:rsidR="00F67B67" w:rsidRPr="00781DD2" w:rsidRDefault="00F67B67" w:rsidP="00781DD2">
      <w:pPr>
        <w:pStyle w:val="Plain"/>
        <w:spacing w:before="0"/>
        <w:ind w:left="0"/>
        <w:rPr>
          <w:b w:val="0"/>
        </w:rPr>
      </w:pPr>
    </w:p>
    <w:p w14:paraId="73CACD5A" w14:textId="77777777" w:rsidR="00D93DA9" w:rsidRDefault="00D93DA9" w:rsidP="00781DD2">
      <w:pPr>
        <w:pStyle w:val="Plain"/>
        <w:spacing w:before="0"/>
        <w:ind w:left="0"/>
        <w:rPr>
          <w:b w:val="0"/>
        </w:rPr>
      </w:pPr>
    </w:p>
    <w:p w14:paraId="4634F2E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8574F79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4890C0B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43D9B05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7A7102A7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5C7FB9FA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2B0E88A8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679D70E4" w14:textId="77777777" w:rsidR="000123E3" w:rsidRDefault="000123E3" w:rsidP="00781DD2">
      <w:pPr>
        <w:pStyle w:val="Plain"/>
        <w:spacing w:before="0"/>
        <w:ind w:left="0"/>
        <w:rPr>
          <w:b w:val="0"/>
        </w:rPr>
      </w:pPr>
    </w:p>
    <w:p w14:paraId="1E00CF32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Professor Terence Campbell AM</w:t>
      </w:r>
    </w:p>
    <w:p w14:paraId="20196804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Chairperson</w:t>
      </w:r>
    </w:p>
    <w:p w14:paraId="09B8136F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by and on behalf of</w:t>
      </w:r>
    </w:p>
    <w:p w14:paraId="75CE42B7" w14:textId="77777777" w:rsidR="000123E3" w:rsidRPr="000123E3" w:rsidRDefault="000123E3" w:rsidP="000123E3">
      <w:pPr>
        <w:tabs>
          <w:tab w:val="left" w:pos="567"/>
        </w:tabs>
        <w:spacing w:line="240" w:lineRule="auto"/>
        <w:rPr>
          <w:rFonts w:eastAsia="Times New Roman"/>
          <w:sz w:val="24"/>
          <w:szCs w:val="24"/>
          <w:lang w:eastAsia="en-AU"/>
        </w:rPr>
      </w:pPr>
      <w:r w:rsidRPr="000123E3">
        <w:rPr>
          <w:rFonts w:eastAsia="Times New Roman"/>
          <w:sz w:val="24"/>
          <w:szCs w:val="24"/>
          <w:lang w:eastAsia="en-AU"/>
        </w:rPr>
        <w:t>The Repatriation Medical Authority</w:t>
      </w:r>
    </w:p>
    <w:p w14:paraId="04E26BEF" w14:textId="77777777" w:rsidR="000123E3" w:rsidRPr="00781DD2" w:rsidRDefault="000123E3" w:rsidP="00781DD2">
      <w:pPr>
        <w:pStyle w:val="Plain"/>
        <w:spacing w:before="0"/>
        <w:ind w:left="0"/>
        <w:rPr>
          <w:b w:val="0"/>
        </w:rPr>
      </w:pPr>
    </w:p>
    <w:p w14:paraId="7D535044" w14:textId="77777777" w:rsidR="00D93DA9" w:rsidRPr="00781DD2" w:rsidRDefault="00D93DA9" w:rsidP="00781DD2">
      <w:pPr>
        <w:pStyle w:val="Plain"/>
        <w:spacing w:before="0"/>
        <w:ind w:left="0"/>
        <w:rPr>
          <w:b w:val="0"/>
        </w:rPr>
      </w:pPr>
    </w:p>
    <w:p w14:paraId="003B337F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A334D19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3" w:name="BKCheck15B_2"/>
    <w:bookmarkEnd w:id="3"/>
    <w:p w14:paraId="1D21C09B" w14:textId="208B7788" w:rsidR="005962C4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5962C4">
        <w:rPr>
          <w:noProof/>
        </w:rPr>
        <w:t>1</w:t>
      </w:r>
      <w:r w:rsidR="005962C4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5962C4">
        <w:rPr>
          <w:noProof/>
        </w:rPr>
        <w:t>Name</w:t>
      </w:r>
      <w:r w:rsidR="005962C4">
        <w:rPr>
          <w:noProof/>
        </w:rPr>
        <w:tab/>
      </w:r>
      <w:r w:rsidR="005962C4">
        <w:rPr>
          <w:noProof/>
        </w:rPr>
        <w:fldChar w:fldCharType="begin"/>
      </w:r>
      <w:r w:rsidR="005962C4">
        <w:rPr>
          <w:noProof/>
        </w:rPr>
        <w:instrText xml:space="preserve"> PAGEREF _Toc512513134 \h </w:instrText>
      </w:r>
      <w:r w:rsidR="005962C4">
        <w:rPr>
          <w:noProof/>
        </w:rPr>
      </w:r>
      <w:r w:rsidR="005962C4">
        <w:rPr>
          <w:noProof/>
        </w:rPr>
        <w:fldChar w:fldCharType="separate"/>
      </w:r>
      <w:r w:rsidR="00DE110F">
        <w:rPr>
          <w:noProof/>
        </w:rPr>
        <w:t>3</w:t>
      </w:r>
      <w:r w:rsidR="005962C4">
        <w:rPr>
          <w:noProof/>
        </w:rPr>
        <w:fldChar w:fldCharType="end"/>
      </w:r>
    </w:p>
    <w:p w14:paraId="32E6BA39" w14:textId="2C5E2496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_Toc512513135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3</w:t>
      </w:r>
      <w:r>
        <w:rPr>
          <w:noProof/>
        </w:rPr>
        <w:fldChar w:fldCharType="end"/>
      </w:r>
    </w:p>
    <w:p w14:paraId="5882F439" w14:textId="64F9F82C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_Toc512513136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3</w:t>
      </w:r>
      <w:r>
        <w:rPr>
          <w:noProof/>
        </w:rPr>
        <w:fldChar w:fldCharType="end"/>
      </w:r>
    </w:p>
    <w:p w14:paraId="32E00E8B" w14:textId="35A5388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_Toc512513137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3</w:t>
      </w:r>
      <w:r>
        <w:rPr>
          <w:noProof/>
        </w:rPr>
        <w:fldChar w:fldCharType="end"/>
      </w:r>
    </w:p>
    <w:p w14:paraId="589AAA2F" w14:textId="545B040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_Toc512513138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3</w:t>
      </w:r>
      <w:r>
        <w:rPr>
          <w:noProof/>
        </w:rPr>
        <w:fldChar w:fldCharType="end"/>
      </w:r>
    </w:p>
    <w:p w14:paraId="407FB60D" w14:textId="6005575F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_Toc512513139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3</w:t>
      </w:r>
      <w:r>
        <w:rPr>
          <w:noProof/>
        </w:rPr>
        <w:fldChar w:fldCharType="end"/>
      </w:r>
    </w:p>
    <w:p w14:paraId="7E77D68D" w14:textId="38651293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_Toc512513140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3</w:t>
      </w:r>
      <w:r>
        <w:rPr>
          <w:noProof/>
        </w:rPr>
        <w:fldChar w:fldCharType="end"/>
      </w:r>
    </w:p>
    <w:p w14:paraId="566EEA83" w14:textId="75FB5025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_Toc512513141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4</w:t>
      </w:r>
      <w:r>
        <w:rPr>
          <w:noProof/>
        </w:rPr>
        <w:fldChar w:fldCharType="end"/>
      </w:r>
    </w:p>
    <w:p w14:paraId="78279733" w14:textId="0A65030B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_Toc512513142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4</w:t>
      </w:r>
      <w:r>
        <w:rPr>
          <w:noProof/>
        </w:rPr>
        <w:fldChar w:fldCharType="end"/>
      </w:r>
    </w:p>
    <w:p w14:paraId="21E08A26" w14:textId="0842D874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_Toc512513143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5</w:t>
      </w:r>
      <w:r>
        <w:rPr>
          <w:noProof/>
        </w:rPr>
        <w:fldChar w:fldCharType="end"/>
      </w:r>
    </w:p>
    <w:p w14:paraId="3E2088C8" w14:textId="6BC48551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_Toc512513144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5</w:t>
      </w:r>
      <w:r>
        <w:rPr>
          <w:noProof/>
        </w:rPr>
        <w:fldChar w:fldCharType="end"/>
      </w:r>
    </w:p>
    <w:p w14:paraId="012C243F" w14:textId="1994DD3D" w:rsidR="005962C4" w:rsidRDefault="005962C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_Toc512513145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6</w:t>
      </w:r>
      <w:r>
        <w:rPr>
          <w:noProof/>
        </w:rPr>
        <w:fldChar w:fldCharType="end"/>
      </w:r>
    </w:p>
    <w:p w14:paraId="15773239" w14:textId="13FCB15E" w:rsidR="005962C4" w:rsidRDefault="005962C4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_Toc512513146 \h </w:instrText>
      </w:r>
      <w:r>
        <w:rPr>
          <w:noProof/>
        </w:rPr>
      </w:r>
      <w:r>
        <w:rPr>
          <w:noProof/>
        </w:rPr>
        <w:fldChar w:fldCharType="separate"/>
      </w:r>
      <w:r w:rsidR="00DE110F">
        <w:rPr>
          <w:noProof/>
        </w:rPr>
        <w:t>6</w:t>
      </w:r>
      <w:r>
        <w:rPr>
          <w:noProof/>
        </w:rPr>
        <w:fldChar w:fldCharType="end"/>
      </w:r>
    </w:p>
    <w:p w14:paraId="18CE6411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40E1975C" w14:textId="77777777" w:rsidR="003A2FFE" w:rsidRDefault="003A2FFE" w:rsidP="003A2FFE">
      <w:pPr>
        <w:tabs>
          <w:tab w:val="left" w:pos="3631"/>
        </w:tabs>
      </w:pPr>
    </w:p>
    <w:p w14:paraId="297888F1" w14:textId="77777777" w:rsidR="0038399F" w:rsidRDefault="0038399F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102A3F8C" w14:textId="77777777" w:rsidR="00877AE3" w:rsidRDefault="00877AE3" w:rsidP="00253D7C">
      <w:pPr>
        <w:pStyle w:val="LV1"/>
      </w:pPr>
      <w:bookmarkStart w:id="4" w:name="_Toc512513134"/>
      <w:r>
        <w:lastRenderedPageBreak/>
        <w:t>Name</w:t>
      </w:r>
      <w:bookmarkEnd w:id="4"/>
    </w:p>
    <w:p w14:paraId="3FD4A7F7" w14:textId="68999021" w:rsidR="00237471" w:rsidRPr="00F97A62" w:rsidRDefault="00715914" w:rsidP="00253D7C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5" w:name="BKCheck15B_3"/>
      <w:bookmarkEnd w:id="5"/>
      <w:r w:rsidR="00E55F66" w:rsidRPr="00F97A62">
        <w:t>Statement of Principles concerning</w:t>
      </w:r>
      <w:r w:rsidR="00912B55" w:rsidRPr="00F97A62">
        <w:t xml:space="preserve"> </w:t>
      </w:r>
      <w:bookmarkStart w:id="6" w:name="SoP_Name"/>
      <w:r w:rsidR="00E56818">
        <w:rPr>
          <w:i/>
        </w:rPr>
        <w:t>Merkel cell carcinoma</w:t>
      </w:r>
      <w:bookmarkEnd w:id="6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DE110F">
        <w:t>80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DE110F">
        <w:t>2024</w:t>
      </w:r>
      <w:r w:rsidR="00E55F66" w:rsidRPr="00F97A62">
        <w:t>)</w:t>
      </w:r>
      <w:r w:rsidRPr="00F97A62">
        <w:t>.</w:t>
      </w:r>
    </w:p>
    <w:p w14:paraId="5C3C7ADB" w14:textId="77777777" w:rsidR="00F67B67" w:rsidRPr="00684C0E" w:rsidRDefault="00F67B67" w:rsidP="00253D7C">
      <w:pPr>
        <w:pStyle w:val="LV1"/>
      </w:pPr>
      <w:bookmarkStart w:id="7" w:name="_Toc512513135"/>
      <w:r w:rsidRPr="00684C0E">
        <w:t>Commencement</w:t>
      </w:r>
      <w:bookmarkEnd w:id="7"/>
    </w:p>
    <w:p w14:paraId="17421261" w14:textId="1364E5B5" w:rsidR="00F67B67" w:rsidRPr="007527C1" w:rsidRDefault="007527C1" w:rsidP="00253D7C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DE110F">
        <w:rPr>
          <w:bCs/>
        </w:rPr>
        <w:t>19 November 2024</w:t>
      </w:r>
      <w:r w:rsidR="00F67B67" w:rsidRPr="007527C1">
        <w:t>.</w:t>
      </w:r>
    </w:p>
    <w:p w14:paraId="5CC7DF84" w14:textId="77777777" w:rsidR="00F67B67" w:rsidRPr="00684C0E" w:rsidRDefault="00F67B67" w:rsidP="00253D7C">
      <w:pPr>
        <w:pStyle w:val="LV1"/>
      </w:pPr>
      <w:bookmarkStart w:id="8" w:name="_Toc512513136"/>
      <w:r w:rsidRPr="00684C0E">
        <w:t>Authority</w:t>
      </w:r>
      <w:bookmarkEnd w:id="8"/>
    </w:p>
    <w:p w14:paraId="7AD6A158" w14:textId="77777777" w:rsidR="00F67B67" w:rsidRDefault="00F67B67" w:rsidP="00253D7C">
      <w:pPr>
        <w:pStyle w:val="PlainIndent"/>
      </w:pPr>
      <w:r w:rsidRPr="007527C1">
        <w:t>This inst</w:t>
      </w:r>
      <w:r w:rsidR="00D32F71">
        <w:t xml:space="preserve">rument is made under subsection </w:t>
      </w:r>
      <w:r w:rsidR="00167E0C">
        <w:t>196B(2</w:t>
      </w:r>
      <w:r w:rsidRPr="007527C1">
        <w:t xml:space="preserve">) of the </w:t>
      </w:r>
      <w:r w:rsidRPr="007527C1">
        <w:rPr>
          <w:i/>
        </w:rPr>
        <w:t>Veterans</w:t>
      </w:r>
      <w:r w:rsidR="00950C80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6F8975F" w14:textId="77777777" w:rsidR="00DA3996" w:rsidRPr="00684C0E" w:rsidRDefault="00DA3996" w:rsidP="00253D7C">
      <w:pPr>
        <w:pStyle w:val="LV1"/>
      </w:pPr>
      <w:bookmarkStart w:id="9" w:name="_Toc512513137"/>
      <w:r>
        <w:t>Re</w:t>
      </w:r>
      <w:r w:rsidR="005962C4">
        <w:t>peal</w:t>
      </w:r>
      <w:bookmarkEnd w:id="9"/>
    </w:p>
    <w:p w14:paraId="59D3C84A" w14:textId="77777777" w:rsidR="00DA3996" w:rsidRPr="007527C1" w:rsidRDefault="00C1106A" w:rsidP="00253D7C">
      <w:pPr>
        <w:pStyle w:val="PlainIndent"/>
      </w:pPr>
      <w:r w:rsidRPr="00C1106A">
        <w:t xml:space="preserve">The Statement of Principles concerning non-melanotic malignant neoplasm of the skin No. 7 of 2016 (Federal Register of Legislation No. F2016L00239) made under subsections 196B(2) and (8) of the VEA is repealed. </w:t>
      </w:r>
    </w:p>
    <w:p w14:paraId="2CB7A23D" w14:textId="77777777" w:rsidR="007C7DEE" w:rsidRPr="00684C0E" w:rsidRDefault="007C7DEE" w:rsidP="00253D7C">
      <w:pPr>
        <w:pStyle w:val="LV1"/>
      </w:pPr>
      <w:bookmarkStart w:id="10" w:name="_Toc512513138"/>
      <w:r w:rsidRPr="00684C0E">
        <w:t>Application</w:t>
      </w:r>
      <w:bookmarkEnd w:id="10"/>
    </w:p>
    <w:p w14:paraId="1BD7D275" w14:textId="77777777" w:rsidR="007C7DEE" w:rsidRPr="007527C1" w:rsidRDefault="007C7DEE" w:rsidP="00253D7C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14:paraId="41B1933E" w14:textId="77777777" w:rsidR="007C7DEE" w:rsidRPr="00684C0E" w:rsidRDefault="007C7DEE" w:rsidP="00253D7C">
      <w:pPr>
        <w:pStyle w:val="LV1"/>
      </w:pPr>
      <w:bookmarkStart w:id="11" w:name="_Ref410129949"/>
      <w:bookmarkStart w:id="12" w:name="_Toc512513139"/>
      <w:r w:rsidRPr="00684C0E">
        <w:t>Definitions</w:t>
      </w:r>
      <w:bookmarkEnd w:id="11"/>
      <w:bookmarkEnd w:id="12"/>
    </w:p>
    <w:p w14:paraId="546A88F7" w14:textId="77777777" w:rsidR="00237471" w:rsidRPr="00D5620B" w:rsidRDefault="007142FB" w:rsidP="00253D7C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14:paraId="16154499" w14:textId="77777777" w:rsidR="007C7DEE" w:rsidRPr="00684C0E" w:rsidRDefault="007C7DEE" w:rsidP="00253D7C">
      <w:pPr>
        <w:pStyle w:val="LV1"/>
      </w:pPr>
      <w:bookmarkStart w:id="13" w:name="_Ref409687573"/>
      <w:bookmarkStart w:id="14" w:name="_Ref409687579"/>
      <w:bookmarkStart w:id="15" w:name="_Ref409687725"/>
      <w:bookmarkStart w:id="16" w:name="_Toc512513140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3"/>
      <w:bookmarkEnd w:id="14"/>
      <w:bookmarkEnd w:id="15"/>
      <w:bookmarkEnd w:id="16"/>
    </w:p>
    <w:p w14:paraId="48F56564" w14:textId="291E5173" w:rsidR="007C7DEE" w:rsidRPr="00D5620B" w:rsidRDefault="007C7DEE" w:rsidP="00253D7C">
      <w:pPr>
        <w:pStyle w:val="LV2"/>
      </w:pPr>
      <w:bookmarkStart w:id="17" w:name="_Ref403053584"/>
      <w:r w:rsidRPr="00D5620B">
        <w:t xml:space="preserve">This Statement of Principles is </w:t>
      </w:r>
      <w:r w:rsidRPr="002F77A1">
        <w:t xml:space="preserve">about </w:t>
      </w:r>
      <w:r w:rsidR="00DE110F" w:rsidRPr="00DE110F">
        <w:t>Merkel cell carcinoma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DE110F" w:rsidRPr="00DE110F">
        <w:t>Merkel cell carcinoma</w:t>
      </w:r>
      <w:r w:rsidRPr="00D5620B">
        <w:t>.</w:t>
      </w:r>
      <w:bookmarkEnd w:id="17"/>
    </w:p>
    <w:p w14:paraId="093F95EF" w14:textId="015D916E"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DE110F" w:rsidRPr="00DE110F">
        <w:rPr>
          <w:b/>
        </w:rPr>
        <w:t>Merkel cell carcinoma</w:t>
      </w:r>
    </w:p>
    <w:p w14:paraId="676794D0" w14:textId="2E70F00C" w:rsidR="00253D7C" w:rsidRPr="008E76DC" w:rsidRDefault="007C7DEE" w:rsidP="00C76240">
      <w:pPr>
        <w:pStyle w:val="LV2"/>
      </w:pPr>
      <w:bookmarkStart w:id="18" w:name="_Ref409598124"/>
      <w:bookmarkStart w:id="19" w:name="_Ref402529683"/>
      <w:r w:rsidRPr="00237BAF">
        <w:t>For the purposes of this Statement of Principles,</w:t>
      </w:r>
      <w:r w:rsidR="002F77A1" w:rsidRPr="002F77A1">
        <w:t xml:space="preserve"> </w:t>
      </w:r>
      <w:r w:rsidR="00DE110F" w:rsidRPr="00DE110F">
        <w:t>Merkel cell carcinoma</w:t>
      </w:r>
      <w:bookmarkEnd w:id="18"/>
      <w:bookmarkEnd w:id="19"/>
      <w:r w:rsidR="00C76240">
        <w:t xml:space="preserve"> </w:t>
      </w:r>
      <w:r w:rsidR="00C76240" w:rsidRPr="00C76240">
        <w:t xml:space="preserve">means a primary cutaneous neuroendocrine </w:t>
      </w:r>
      <w:proofErr w:type="gramStart"/>
      <w:r w:rsidR="00C76240" w:rsidRPr="00C76240">
        <w:t>carcinoma;</w:t>
      </w:r>
      <w:proofErr w:type="gramEnd"/>
    </w:p>
    <w:p w14:paraId="0BC4E91A" w14:textId="10333402" w:rsidR="008F572A" w:rsidRPr="00237BAF" w:rsidRDefault="008F572A" w:rsidP="00C76240">
      <w:pPr>
        <w:pStyle w:val="LV2"/>
      </w:pPr>
      <w:r w:rsidRPr="00237BAF">
        <w:t xml:space="preserve">While </w:t>
      </w:r>
      <w:r w:rsidR="00DE110F" w:rsidRPr="00DE110F">
        <w:t>Merkel cell carcinoma</w:t>
      </w:r>
      <w:r w:rsidR="002F77A1">
        <w:t xml:space="preserve"> </w:t>
      </w:r>
      <w:r w:rsidRPr="00237BAF">
        <w:t>attracts ICD</w:t>
      </w:r>
      <w:r w:rsidR="00FA33FB" w:rsidRPr="00237BAF">
        <w:noBreakHyphen/>
      </w:r>
      <w:r w:rsidRPr="00237BAF">
        <w:t>10</w:t>
      </w:r>
      <w:r w:rsidR="00FA33FB" w:rsidRPr="00237BAF">
        <w:noBreakHyphen/>
      </w:r>
      <w:r w:rsidRPr="00237BAF">
        <w:t xml:space="preserve">AM </w:t>
      </w:r>
      <w:r w:rsidR="00C76240">
        <w:t xml:space="preserve">codes </w:t>
      </w:r>
      <w:r w:rsidR="00C76240" w:rsidRPr="00C76240">
        <w:t>C00.0, C00.1, C00.2, C00.6, C00.8, C00.9, C44, C51.0, C51.1, C51.2, C51.8, C51.9, C60.0, C60.1, C60.2, C60.8, C60.9, C63.2, D04, D07.1, D07.4.</w:t>
      </w:r>
      <w:r w:rsidR="00885EAB" w:rsidRPr="00EB2BC4">
        <w:t>,</w:t>
      </w:r>
      <w:r w:rsidRPr="00237BAF">
        <w:t xml:space="preserve"> in applying this Statement of Principles the </w:t>
      </w:r>
      <w:r w:rsidR="00FA33FB" w:rsidRPr="00D5620B">
        <w:t xml:space="preserve">meaning </w:t>
      </w:r>
      <w:r w:rsidRPr="00D5620B">
        <w:t xml:space="preserve">of </w:t>
      </w:r>
      <w:r w:rsidR="00DE110F" w:rsidRPr="00DE110F">
        <w:t>Merkel cell carcinoma</w:t>
      </w:r>
      <w:r w:rsidR="002F77A1">
        <w:t xml:space="preserve"> </w:t>
      </w:r>
      <w:r w:rsidRPr="00D5620B">
        <w:t>is that</w:t>
      </w:r>
      <w:r w:rsidRPr="00237BAF">
        <w:t xml:space="preserve"> given in </w:t>
      </w:r>
      <w:r w:rsidR="00FA33FB" w:rsidRPr="00237BAF">
        <w:t>subsection (</w:t>
      </w:r>
      <w:r w:rsidRPr="00237BAF">
        <w:t>2).</w:t>
      </w:r>
    </w:p>
    <w:p w14:paraId="1C2F2F63" w14:textId="77777777" w:rsidR="000F76FA" w:rsidRPr="0053697E" w:rsidRDefault="00CD6358" w:rsidP="00253D7C">
      <w:pPr>
        <w:pStyle w:val="LV2"/>
        <w:rPr>
          <w:i/>
          <w:color w:val="000000"/>
        </w:rPr>
      </w:pPr>
      <w:r w:rsidRPr="00743C76">
        <w:t>For subsection (3), a reference to an ICD</w:t>
      </w:r>
      <w:r>
        <w:t>-</w:t>
      </w:r>
      <w:r w:rsidRPr="00743C76">
        <w:t>10</w:t>
      </w:r>
      <w:r>
        <w:t>-</w:t>
      </w:r>
      <w:r w:rsidRPr="00743C76">
        <w:t xml:space="preserve">AM code is a reference to the code assigned to a particular kind of injury or disease in </w:t>
      </w:r>
      <w:r w:rsidRPr="00743C76">
        <w:rPr>
          <w:i/>
        </w:rPr>
        <w:t>The International Statistical Classification of Diseases and Related Health Problems, Tenth Revision, Australian Modification</w:t>
      </w:r>
      <w:r w:rsidRPr="00743C76">
        <w:t xml:space="preserve"> (ICD</w:t>
      </w:r>
      <w:r>
        <w:t>-</w:t>
      </w:r>
      <w:r w:rsidRPr="00743C76">
        <w:t>10</w:t>
      </w:r>
      <w:r>
        <w:t>-</w:t>
      </w:r>
      <w:r w:rsidRPr="00743C76">
        <w:t xml:space="preserve">AM), </w:t>
      </w:r>
      <w:r w:rsidRPr="00743C76">
        <w:lastRenderedPageBreak/>
        <w:t>Tenth Edition, effective date of 1 July 2017, copyrighted by the Independent Hospital Pricing Authority, ISBN 978-1-76007-296-4.</w:t>
      </w:r>
    </w:p>
    <w:p w14:paraId="5939B17F" w14:textId="09014B67"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DE110F" w:rsidRPr="00DE110F">
        <w:rPr>
          <w:b/>
        </w:rPr>
        <w:t>Merkel cell carcinoma</w:t>
      </w:r>
    </w:p>
    <w:p w14:paraId="155B2863" w14:textId="518F39AD" w:rsidR="008F572A" w:rsidRPr="00237BAF" w:rsidRDefault="008F572A" w:rsidP="00253D7C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DE110F" w:rsidRPr="00DE110F">
        <w:t>Merkel cell carcinoma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950C80">
        <w:t>'</w:t>
      </w:r>
      <w:r w:rsidRPr="00D5620B">
        <w:t>s</w:t>
      </w:r>
      <w:r w:rsidR="002F77A1">
        <w:t xml:space="preserve"> </w:t>
      </w:r>
      <w:r w:rsidR="00DE110F" w:rsidRPr="00DE110F">
        <w:t>Merkel cell carcinoma</w:t>
      </w:r>
      <w:r w:rsidRPr="00D5620B">
        <w:t>.</w:t>
      </w:r>
    </w:p>
    <w:p w14:paraId="652909DF" w14:textId="77777777" w:rsidR="007C7DEE" w:rsidRPr="00046E67" w:rsidRDefault="00046E67" w:rsidP="00253D7C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5C7CC5">
        <w:t>–</w:t>
      </w:r>
      <w:r w:rsidR="00D32F71">
        <w:t xml:space="preserve"> </w:t>
      </w:r>
      <w:r w:rsidR="00885EAB" w:rsidRPr="00046E67">
        <w:t>Dictionary</w:t>
      </w:r>
      <w:r w:rsidR="005C7CC5">
        <w:t>.</w:t>
      </w:r>
    </w:p>
    <w:p w14:paraId="726C9AC8" w14:textId="77777777" w:rsidR="007C7DEE" w:rsidRPr="00A20CA1" w:rsidRDefault="007C7DEE" w:rsidP="00253D7C">
      <w:pPr>
        <w:pStyle w:val="LV1"/>
      </w:pPr>
      <w:bookmarkStart w:id="20" w:name="_Toc512513141"/>
      <w:r w:rsidRPr="00A20CA1">
        <w:t>Basis for determining the factors</w:t>
      </w:r>
      <w:bookmarkEnd w:id="20"/>
    </w:p>
    <w:p w14:paraId="4B7AE4A4" w14:textId="36BED6B2" w:rsidR="007C7DEE" w:rsidRPr="00237BAF" w:rsidRDefault="00F863D4" w:rsidP="00253D7C">
      <w:pPr>
        <w:pStyle w:val="PlainIndent"/>
      </w:pPr>
      <w:r w:rsidRPr="00283A64">
        <w:t>The Repatriation Medical Authority is of the view that there is sound medical</w:t>
      </w:r>
      <w:r w:rsidR="00B27C6B">
        <w:t>-</w:t>
      </w:r>
      <w:r w:rsidRPr="00283A64">
        <w:t>scientific evidence that indicates</w:t>
      </w:r>
      <w:r w:rsidRPr="00D5620B">
        <w:t xml:space="preserve"> that </w:t>
      </w:r>
      <w:r w:rsidR="00DE110F" w:rsidRPr="00DE110F">
        <w:t>Merkel cell carcinoma</w:t>
      </w:r>
      <w:r>
        <w:t xml:space="preserve"> </w:t>
      </w:r>
      <w:r w:rsidRPr="00D5620B">
        <w:t>and death from</w:t>
      </w:r>
      <w:r>
        <w:t xml:space="preserve"> </w:t>
      </w:r>
      <w:r w:rsidR="00DE110F" w:rsidRPr="00DE110F">
        <w:t>Merkel cell carcinoma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14:paraId="44A23654" w14:textId="77777777" w:rsidR="00253D7C" w:rsidRPr="00046E67" w:rsidRDefault="00253D7C" w:rsidP="00253D7C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14:paraId="1E0B0AB0" w14:textId="77777777" w:rsidR="007C7DEE" w:rsidRPr="00301C54" w:rsidRDefault="007C7DEE" w:rsidP="00253D7C">
      <w:pPr>
        <w:pStyle w:val="LV1"/>
      </w:pPr>
      <w:bookmarkStart w:id="21" w:name="_Ref411946955"/>
      <w:bookmarkStart w:id="22" w:name="_Ref411946997"/>
      <w:bookmarkStart w:id="23" w:name="_Ref412032503"/>
      <w:bookmarkStart w:id="24" w:name="_Toc512513142"/>
      <w:r w:rsidRPr="00301C54">
        <w:t xml:space="preserve">Factors that must </w:t>
      </w:r>
      <w:r w:rsidR="00D32F71">
        <w:t>exist</w:t>
      </w:r>
      <w:bookmarkEnd w:id="21"/>
      <w:bookmarkEnd w:id="22"/>
      <w:bookmarkEnd w:id="23"/>
      <w:bookmarkEnd w:id="24"/>
    </w:p>
    <w:p w14:paraId="28A5B112" w14:textId="7367E1E0" w:rsidR="007C7DEE" w:rsidRPr="00AA6D8B" w:rsidRDefault="002716E4" w:rsidP="00253D7C">
      <w:pPr>
        <w:pStyle w:val="PlainIndent"/>
      </w:pPr>
      <w:bookmarkStart w:id="25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DE110F" w:rsidRPr="00DE110F">
        <w:t>Merkel cell carcinoma</w:t>
      </w:r>
      <w:r w:rsidR="007A3989">
        <w:t xml:space="preserve"> </w:t>
      </w:r>
      <w:r w:rsidR="007C7DEE" w:rsidRPr="00AA6D8B">
        <w:t xml:space="preserve">or death from </w:t>
      </w:r>
      <w:r w:rsidR="00DE110F" w:rsidRPr="00DE110F">
        <w:t>Merkel cell carcinoma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950C80">
        <w:t>'</w:t>
      </w:r>
      <w:r w:rsidR="002A1ECC" w:rsidRPr="00AA6D8B">
        <w:t>s relevant service</w:t>
      </w:r>
      <w:r w:rsidR="007C7DEE" w:rsidRPr="00AA6D8B">
        <w:t>:</w:t>
      </w:r>
      <w:bookmarkEnd w:id="25"/>
    </w:p>
    <w:p w14:paraId="7786BCAD" w14:textId="77777777" w:rsidR="00986BE4" w:rsidRDefault="00986BE4" w:rsidP="00986BE4">
      <w:pPr>
        <w:pStyle w:val="LV2"/>
      </w:pPr>
      <w:bookmarkStart w:id="26" w:name="_Ref402530260"/>
      <w:bookmarkStart w:id="27" w:name="_Ref409598844"/>
      <w:r>
        <w:t>having sunlight exposure to unprotected skin for a cumulative period of at least 2,250 latitude equivalent hours before clinical onset;</w:t>
      </w:r>
    </w:p>
    <w:p w14:paraId="07014172" w14:textId="77777777" w:rsidR="00253D7C" w:rsidRPr="00046E67" w:rsidRDefault="00986BE4" w:rsidP="00986BE4">
      <w:pPr>
        <w:pStyle w:val="NOTE"/>
      </w:pPr>
      <w:r>
        <w:t xml:space="preserve">Note: </w:t>
      </w:r>
      <w:r w:rsidRPr="00986BE4">
        <w:rPr>
          <w:b/>
          <w:i/>
        </w:rPr>
        <w:t xml:space="preserve">latitude equivalent hours </w:t>
      </w:r>
      <w:r>
        <w:t xml:space="preserve">and </w:t>
      </w:r>
      <w:r w:rsidRPr="00986BE4">
        <w:rPr>
          <w:b/>
          <w:i/>
        </w:rPr>
        <w:t>unprotected skin</w:t>
      </w:r>
      <w:r>
        <w:t xml:space="preserve"> are defined in the Schedule 1 dictionary.</w:t>
      </w:r>
    </w:p>
    <w:p w14:paraId="56386AFC" w14:textId="77777777" w:rsidR="00B44B32" w:rsidRDefault="00B44B32" w:rsidP="00B44B32">
      <w:pPr>
        <w:pStyle w:val="LV2"/>
      </w:pPr>
      <w:r>
        <w:t>having PUVA therapy, where:</w:t>
      </w:r>
    </w:p>
    <w:p w14:paraId="4D6D24B5" w14:textId="77777777" w:rsidR="00B44B32" w:rsidRDefault="00B44B32" w:rsidP="00B44B32">
      <w:pPr>
        <w:pStyle w:val="LV3"/>
      </w:pPr>
      <w:r>
        <w:t>the first PUVA treatment commenced at least 5 years before clinical onset; and</w:t>
      </w:r>
    </w:p>
    <w:p w14:paraId="6F260174" w14:textId="77777777" w:rsidR="00B44B32" w:rsidRDefault="006A4C54" w:rsidP="00B44B32">
      <w:pPr>
        <w:pStyle w:val="LV3"/>
      </w:pPr>
      <w:r>
        <w:t>at least 50</w:t>
      </w:r>
      <w:r w:rsidR="00B44B32">
        <w:t xml:space="preserve"> PUVA treatments were administered before clinical onset;</w:t>
      </w:r>
    </w:p>
    <w:p w14:paraId="2012A6D8" w14:textId="77777777" w:rsidR="00B44B32" w:rsidRDefault="00B44B32" w:rsidP="00B44B32">
      <w:pPr>
        <w:pStyle w:val="NOTE"/>
      </w:pPr>
      <w:r>
        <w:t xml:space="preserve">Note: </w:t>
      </w:r>
      <w:r w:rsidRPr="00B44B32">
        <w:rPr>
          <w:b/>
          <w:i/>
        </w:rPr>
        <w:t>PUVA</w:t>
      </w:r>
      <w:r w:rsidR="001D2662">
        <w:rPr>
          <w:b/>
          <w:i/>
        </w:rPr>
        <w:t xml:space="preserve"> therapy</w:t>
      </w:r>
      <w:r>
        <w:t xml:space="preserve"> is defined in the Schedule 1 - Dictionary.</w:t>
      </w:r>
    </w:p>
    <w:p w14:paraId="06976EEF" w14:textId="77777777" w:rsidR="00253D7C" w:rsidRPr="008E76DC" w:rsidRDefault="003079F2" w:rsidP="003079F2">
      <w:pPr>
        <w:pStyle w:val="LV2"/>
      </w:pPr>
      <w:r w:rsidRPr="003079F2">
        <w:t>being infected with Merkel cell polyomavirus before clinical onset;</w:t>
      </w:r>
    </w:p>
    <w:p w14:paraId="7A877EB8" w14:textId="77777777" w:rsidR="00253D7C" w:rsidRPr="008E76DC" w:rsidRDefault="00F52033" w:rsidP="00F52033">
      <w:pPr>
        <w:pStyle w:val="LV2"/>
      </w:pPr>
      <w:r w:rsidRPr="00F52033">
        <w:t>being infected with human immunodeficiency virus before clinical onset;</w:t>
      </w:r>
    </w:p>
    <w:p w14:paraId="3B154604" w14:textId="77777777" w:rsidR="00DD3B7D" w:rsidRDefault="00F52033" w:rsidP="00F52033">
      <w:pPr>
        <w:pStyle w:val="LV2"/>
      </w:pPr>
      <w:r w:rsidRPr="00F52033">
        <w:t>undergoing solid organ (excluding corneal transplant) or bone marrow tra</w:t>
      </w:r>
      <w:r>
        <w:t>nsplantation at least 5</w:t>
      </w:r>
      <w:r w:rsidRPr="00F52033">
        <w:t xml:space="preserve"> years before clinical onset;</w:t>
      </w:r>
    </w:p>
    <w:p w14:paraId="3A2BD3F5" w14:textId="77777777" w:rsidR="00F52033" w:rsidRDefault="00F52033" w:rsidP="00F52033">
      <w:pPr>
        <w:pStyle w:val="LV2"/>
      </w:pPr>
      <w:r w:rsidRPr="00F52033">
        <w:t>having non-Hodgkin lymphoma before clinical onset;</w:t>
      </w:r>
    </w:p>
    <w:p w14:paraId="3E6F22F0" w14:textId="77777777" w:rsidR="00F52033" w:rsidRDefault="00F52033" w:rsidP="00F52033">
      <w:pPr>
        <w:pStyle w:val="LV2"/>
      </w:pPr>
      <w:r>
        <w:lastRenderedPageBreak/>
        <w:t>having mature B-cell lymphoid leukaemia and small lymphocytic lymphoma before clinical onset;</w:t>
      </w:r>
    </w:p>
    <w:p w14:paraId="489C2F39" w14:textId="77777777" w:rsidR="00F52033" w:rsidRDefault="00F52033" w:rsidP="00F52033">
      <w:pPr>
        <w:pStyle w:val="NOTE"/>
      </w:pPr>
      <w:r>
        <w:t>Note: Mature B-cell lymphoid leukaemia and small lymphocytic lymphoma is also known as chronic lymphocytic leukaemia/small cell lymphoma.</w:t>
      </w:r>
    </w:p>
    <w:p w14:paraId="2ACC75F9" w14:textId="16668B45" w:rsidR="007C7DEE" w:rsidRPr="008D1B8B" w:rsidRDefault="007C7DEE" w:rsidP="00253D7C">
      <w:pPr>
        <w:pStyle w:val="LV2"/>
      </w:pPr>
      <w:r w:rsidRPr="008D1B8B">
        <w:t>inability to obtain appropriate clinical management for</w:t>
      </w:r>
      <w:bookmarkEnd w:id="26"/>
      <w:r w:rsidR="007A3989">
        <w:t xml:space="preserve"> </w:t>
      </w:r>
      <w:r w:rsidR="00DE110F" w:rsidRPr="00DE110F">
        <w:t>Merkel cell carcinoma</w:t>
      </w:r>
      <w:r w:rsidR="009B4DFF">
        <w:t xml:space="preserve"> before clinical worsening</w:t>
      </w:r>
      <w:r w:rsidR="00D5620B" w:rsidRPr="008D1B8B">
        <w:t>.</w:t>
      </w:r>
      <w:bookmarkEnd w:id="27"/>
    </w:p>
    <w:p w14:paraId="00D6AA40" w14:textId="77777777" w:rsidR="000C21A3" w:rsidRPr="00684C0E" w:rsidRDefault="00D32F71" w:rsidP="00253D7C">
      <w:pPr>
        <w:pStyle w:val="LV1"/>
      </w:pPr>
      <w:bookmarkStart w:id="28" w:name="_Toc512513143"/>
      <w:bookmarkStart w:id="29" w:name="_Ref402530057"/>
      <w:r>
        <w:t>Relationship to s</w:t>
      </w:r>
      <w:r w:rsidR="000C21A3" w:rsidRPr="00684C0E">
        <w:t>ervice</w:t>
      </w:r>
      <w:bookmarkEnd w:id="28"/>
    </w:p>
    <w:p w14:paraId="464E1617" w14:textId="77777777" w:rsidR="00F03C06" w:rsidRPr="00187DE1" w:rsidRDefault="00F03C06" w:rsidP="00253D7C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29"/>
    <w:p w14:paraId="3CB25D14" w14:textId="54AC8498" w:rsidR="00CF2367" w:rsidRPr="00187DE1" w:rsidRDefault="00F03C06" w:rsidP="00253D7C">
      <w:pPr>
        <w:pStyle w:val="LV2"/>
      </w:pPr>
      <w:r w:rsidRPr="00187DE1">
        <w:t xml:space="preserve">The factor set out in </w:t>
      </w:r>
      <w:r w:rsidR="00F52033">
        <w:t>subsection</w:t>
      </w:r>
      <w:r w:rsidR="00FF1D47">
        <w:t xml:space="preserve"> </w:t>
      </w:r>
      <w:r w:rsidR="00DA3996">
        <w:t>9</w:t>
      </w:r>
      <w:r w:rsidR="00F52033">
        <w:t>(8</w:t>
      </w:r>
      <w:r w:rsidR="00FF1D47">
        <w:t xml:space="preserve">) </w:t>
      </w:r>
      <w:r w:rsidRPr="00187DE1">
        <w:t xml:space="preserve">applies only to material contribution to, or aggravation of, </w:t>
      </w:r>
      <w:r w:rsidR="00DE110F" w:rsidRPr="00DE110F">
        <w:t>Merkel cell carcinoma</w:t>
      </w:r>
      <w:r w:rsidR="007A3989">
        <w:t xml:space="preserve"> </w:t>
      </w:r>
      <w:r w:rsidRPr="00187DE1">
        <w:t>where the person</w:t>
      </w:r>
      <w:r w:rsidR="00950C80">
        <w:t>'</w:t>
      </w:r>
      <w:r w:rsidRPr="00187DE1">
        <w:t xml:space="preserve">s </w:t>
      </w:r>
      <w:r w:rsidR="00DE110F" w:rsidRPr="00DE110F">
        <w:t>Merkel cell carcinoma</w:t>
      </w:r>
      <w:r w:rsidR="007A3989">
        <w:t xml:space="preserve"> </w:t>
      </w:r>
      <w:r w:rsidRPr="00187DE1">
        <w:t>was suffered or contracted before or during (but did not arise out of) the person</w:t>
      </w:r>
      <w:r w:rsidR="00950C80">
        <w:t>'</w:t>
      </w:r>
      <w:r w:rsidRPr="00187DE1">
        <w:t xml:space="preserve">s relevant service. </w:t>
      </w:r>
    </w:p>
    <w:p w14:paraId="21A99CB6" w14:textId="77777777" w:rsidR="00774897" w:rsidRPr="00301C54" w:rsidRDefault="00774897" w:rsidP="00253D7C">
      <w:pPr>
        <w:pStyle w:val="LV1"/>
      </w:pPr>
      <w:bookmarkStart w:id="30" w:name="_Toc512513144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0"/>
    </w:p>
    <w:p w14:paraId="02EDC0CC" w14:textId="77777777" w:rsidR="00F03C06" w:rsidRPr="00E64EE4" w:rsidRDefault="00F03C06" w:rsidP="00253D7C">
      <w:pPr>
        <w:pStyle w:val="PlainIndent"/>
      </w:pPr>
      <w:r w:rsidRPr="00E64EE4">
        <w:t>In this Statement of Principles:</w:t>
      </w:r>
    </w:p>
    <w:p w14:paraId="7609FAF1" w14:textId="77777777" w:rsidR="00F03C06" w:rsidRPr="00E64EE4" w:rsidRDefault="00F03C06" w:rsidP="00253D7C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14:paraId="77ECEF87" w14:textId="77777777" w:rsidR="00733269" w:rsidRPr="00E64EE4" w:rsidRDefault="00F03C06" w:rsidP="00253D7C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 xml:space="preserve">) of the </w:t>
      </w:r>
      <w:proofErr w:type="gramStart"/>
      <w:r w:rsidRPr="00E64EE4">
        <w:t>VEA</w:t>
      </w:r>
      <w:r w:rsidR="00B24368" w:rsidRPr="00E64EE4">
        <w:t>;</w:t>
      </w:r>
      <w:proofErr w:type="gramEnd"/>
    </w:p>
    <w:p w14:paraId="57AE0840" w14:textId="77777777" w:rsidR="00F03C06" w:rsidRDefault="00733269" w:rsidP="00253D7C">
      <w:pPr>
        <w:pStyle w:val="PlainIndent"/>
      </w:pPr>
      <w:r w:rsidRPr="00E64EE4">
        <w:t xml:space="preserve">then </w:t>
      </w:r>
      <w:r w:rsidR="00F03C06" w:rsidRPr="00E64EE4">
        <w:t>the factors in that Statement of Principles apply in accordance with the terms of that Statement of Principles as in force from time to time.</w:t>
      </w:r>
    </w:p>
    <w:p w14:paraId="4A7F62FB" w14:textId="77777777" w:rsidR="00782F4E" w:rsidRPr="00E64EE4" w:rsidRDefault="00782F4E" w:rsidP="00253D7C">
      <w:pPr>
        <w:pStyle w:val="PlainIndent"/>
      </w:pPr>
    </w:p>
    <w:p w14:paraId="140507F6" w14:textId="77777777" w:rsidR="00081B7C" w:rsidRPr="00FA33FB" w:rsidRDefault="00081B7C" w:rsidP="00253D7C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200F1481" w14:textId="77777777" w:rsidR="00F03C06" w:rsidRDefault="00F03C06" w:rsidP="00253D7C">
      <w:pPr>
        <w:pStyle w:val="PlainIndent"/>
      </w:pPr>
    </w:p>
    <w:p w14:paraId="7D924BD0" w14:textId="77777777" w:rsidR="00CF2367" w:rsidRPr="00FA33FB" w:rsidRDefault="00CF2367" w:rsidP="002A3436">
      <w:pPr>
        <w:pStyle w:val="SHHeader"/>
      </w:pPr>
      <w:bookmarkStart w:id="31" w:name="opcAmSched"/>
      <w:bookmarkStart w:id="32" w:name="opcCurrentFind"/>
      <w:bookmarkStart w:id="33" w:name="_Toc512513145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1"/>
      <w:bookmarkEnd w:id="32"/>
      <w:bookmarkEnd w:id="33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14:paraId="7073582E" w14:textId="77777777"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14:paraId="140AD307" w14:textId="77777777" w:rsidR="00BD3334" w:rsidRDefault="00702C42" w:rsidP="00516768">
      <w:pPr>
        <w:pStyle w:val="SH1"/>
      </w:pPr>
      <w:bookmarkStart w:id="34" w:name="_Toc405472918"/>
      <w:bookmarkStart w:id="35" w:name="_Toc512513146"/>
      <w:r w:rsidRPr="00D97BB3">
        <w:t>Definitions</w:t>
      </w:r>
      <w:bookmarkEnd w:id="34"/>
      <w:bookmarkEnd w:id="35"/>
    </w:p>
    <w:p w14:paraId="7E4E5FD2" w14:textId="77777777" w:rsidR="00702C42" w:rsidRPr="00516768" w:rsidRDefault="00702C42" w:rsidP="00253D7C">
      <w:pPr>
        <w:pStyle w:val="SH2"/>
      </w:pPr>
      <w:r w:rsidRPr="00516768">
        <w:t>In this instrument:</w:t>
      </w:r>
    </w:p>
    <w:p w14:paraId="1FBF08E8" w14:textId="77777777" w:rsidR="00986BE4" w:rsidRDefault="007B52F6" w:rsidP="00986BE4">
      <w:pPr>
        <w:pStyle w:val="SH3"/>
      </w:pPr>
      <w:bookmarkStart w:id="36" w:name="_Ref402530810"/>
      <w:r w:rsidRPr="007B52F6">
        <w:tab/>
      </w:r>
      <w:r w:rsidR="00986BE4" w:rsidRPr="00986BE4">
        <w:rPr>
          <w:b/>
          <w:i/>
        </w:rPr>
        <w:t>latitude equivalent hours</w:t>
      </w:r>
      <w:r w:rsidR="00986BE4">
        <w:t xml:space="preserve"> </w:t>
      </w:r>
      <w:proofErr w:type="gramStart"/>
      <w:r w:rsidR="00986BE4">
        <w:t>means</w:t>
      </w:r>
      <w:proofErr w:type="gramEnd"/>
      <w:r w:rsidR="00986BE4">
        <w:t xml:space="preserve"> hours of exposure multiplied by the appropriate latitude weighting factor as follows:</w:t>
      </w:r>
    </w:p>
    <w:p w14:paraId="7EC56B71" w14:textId="77777777" w:rsidR="00986BE4" w:rsidRDefault="00986BE4" w:rsidP="00986BE4">
      <w:pPr>
        <w:pStyle w:val="SH4"/>
      </w:pPr>
      <w:r>
        <w:t>For tropical latitudes (23.5° South to 23.5° North) multiply by 1.0</w:t>
      </w:r>
    </w:p>
    <w:p w14:paraId="76B7D2F8" w14:textId="77777777" w:rsidR="00986BE4" w:rsidRDefault="00986BE4" w:rsidP="00986BE4">
      <w:pPr>
        <w:pStyle w:val="SH4"/>
      </w:pPr>
      <w:r>
        <w:t>For subtropical latitudes (23.6° - 35°) multiply by 0.75</w:t>
      </w:r>
    </w:p>
    <w:p w14:paraId="05257D4B" w14:textId="77777777" w:rsidR="00986BE4" w:rsidRDefault="00986BE4" w:rsidP="00986BE4">
      <w:pPr>
        <w:pStyle w:val="SH4"/>
      </w:pPr>
      <w:r>
        <w:t>For warm temperate latitudes (35.1° - 45°)  multiply by 0.5</w:t>
      </w:r>
    </w:p>
    <w:p w14:paraId="0A4449D7" w14:textId="77777777" w:rsidR="00986BE4" w:rsidRDefault="00986BE4" w:rsidP="00986BE4">
      <w:pPr>
        <w:pStyle w:val="SH4"/>
      </w:pPr>
      <w:r>
        <w:tab/>
        <w:t>For cool temperate latitudes (45.1° - 65°) multiply by 0.25.</w:t>
      </w:r>
    </w:p>
    <w:p w14:paraId="78D17B4B" w14:textId="77777777" w:rsidR="002705A5" w:rsidRDefault="002705A5" w:rsidP="002705A5">
      <w:pPr>
        <w:pStyle w:val="ScheduleNote"/>
      </w:pPr>
      <w:r>
        <w:t>Note: sunlight exposure is calculated as the sum of sunlight exposure in each separate latitude, accounting for the different sunlight intensity in each latitude (weighting factor).</w:t>
      </w:r>
    </w:p>
    <w:p w14:paraId="1773E34F" w14:textId="77777777" w:rsidR="002705A5" w:rsidRDefault="002705A5" w:rsidP="002705A5">
      <w:pPr>
        <w:pStyle w:val="ScheduleNote"/>
      </w:pPr>
      <w:r>
        <w:t>Sum of sunlight exposure = (hours spent in tropical latitude x tropical latitude weighting factor) + (hours spent in subtropical latitude x subtropical latitude weighting factor) + (hours spent in warm temperate latitude x warm temperate latitude weighting factor) + (hours spent in cool temperate latitude x cool temperate latitude weighting factor)</w:t>
      </w:r>
    </w:p>
    <w:p w14:paraId="35E15440" w14:textId="6AE2CA14" w:rsidR="00E728EC" w:rsidRPr="00E728EC" w:rsidRDefault="00E728EC" w:rsidP="00E728EC">
      <w:pPr>
        <w:pStyle w:val="SH3"/>
      </w:pPr>
      <w:r>
        <w:rPr>
          <w:b/>
          <w:i/>
        </w:rPr>
        <w:t>M</w:t>
      </w:r>
      <w:r w:rsidRPr="00E728EC">
        <w:rPr>
          <w:b/>
          <w:i/>
        </w:rPr>
        <w:t>erkel cell carcinoma</w:t>
      </w:r>
      <w:r w:rsidRPr="00E728EC">
        <w:t>—see subsection 7(2).</w:t>
      </w:r>
    </w:p>
    <w:p w14:paraId="53E4194D" w14:textId="0B056AD8" w:rsidR="00885EAB" w:rsidRPr="009C404D" w:rsidRDefault="00885EAB" w:rsidP="004A1E0E">
      <w:pPr>
        <w:pStyle w:val="SH3"/>
      </w:pPr>
      <w:r w:rsidRPr="00E424C8">
        <w:rPr>
          <w:b/>
          <w:i/>
        </w:rPr>
        <w:t>MRCA</w:t>
      </w:r>
      <w:r w:rsidRPr="00E424C8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E424C8">
        <w:rPr>
          <w:i/>
        </w:rPr>
        <w:t>Military Rehabilitation and Compensation Act 2004</w:t>
      </w:r>
      <w:r w:rsidRPr="009C404D">
        <w:t>.</w:t>
      </w:r>
    </w:p>
    <w:p w14:paraId="70AB8360" w14:textId="77777777" w:rsidR="00B44B32" w:rsidRPr="00B44B32" w:rsidRDefault="00B44B32" w:rsidP="00B44B32">
      <w:pPr>
        <w:pStyle w:val="SH3"/>
      </w:pPr>
      <w:bookmarkStart w:id="37" w:name="_Ref402529607"/>
      <w:bookmarkEnd w:id="36"/>
      <w:r w:rsidRPr="00B44B32">
        <w:rPr>
          <w:b/>
          <w:i/>
        </w:rPr>
        <w:t>PUVA therapy</w:t>
      </w:r>
      <w:r w:rsidRPr="00B44B32">
        <w:t xml:space="preserve"> means a combination treatment consisting of taking oral psoralen (P) (also known as </w:t>
      </w:r>
      <w:r w:rsidR="002705A5">
        <w:t>m</w:t>
      </w:r>
      <w:r w:rsidRPr="00B44B32">
        <w:t>ethoxsalen) and exposing the skin to long-wave ultra-violet light (UVA).</w:t>
      </w:r>
    </w:p>
    <w:p w14:paraId="7EDBE2FF" w14:textId="77777777" w:rsidR="0090262E" w:rsidRPr="0090262E" w:rsidRDefault="0090262E" w:rsidP="00576E99">
      <w:pPr>
        <w:pStyle w:val="SH3"/>
      </w:pPr>
      <w:r w:rsidRPr="00E424C8">
        <w:rPr>
          <w:b/>
          <w:i/>
        </w:rPr>
        <w:t>relevant service</w:t>
      </w:r>
      <w:r w:rsidRPr="0090262E">
        <w:t xml:space="preserve"> means:</w:t>
      </w:r>
    </w:p>
    <w:p w14:paraId="54A04AD8" w14:textId="77777777"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14:paraId="24642433" w14:textId="77777777"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14:paraId="30CD894D" w14:textId="77777777"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14:paraId="58192178" w14:textId="77777777"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14:paraId="5725D1E8" w14:textId="77777777"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14:paraId="60F29EE6" w14:textId="77777777" w:rsidR="00885EAB" w:rsidRPr="0090262E" w:rsidRDefault="0090262E" w:rsidP="00304166">
      <w:pPr>
        <w:pStyle w:val="SH4"/>
        <w:ind w:left="1418"/>
      </w:pPr>
      <w:r w:rsidRPr="0090262E">
        <w:t>non-warlike service under the MRCA.</w:t>
      </w:r>
    </w:p>
    <w:p w14:paraId="56C6D3CA" w14:textId="77777777" w:rsidR="00A36B1A" w:rsidRPr="00A36B1A" w:rsidRDefault="00A36B1A" w:rsidP="00253D7C">
      <w:pPr>
        <w:pStyle w:val="ScheduleNote"/>
      </w:pPr>
      <w:r w:rsidRPr="00A36B1A">
        <w:t xml:space="preserve">Note: </w:t>
      </w:r>
      <w:r w:rsidRPr="00A36B1A">
        <w:rPr>
          <w:b/>
          <w:i/>
        </w:rPr>
        <w:t>MRCA</w:t>
      </w:r>
      <w:r w:rsidRPr="00A36B1A">
        <w:t xml:space="preserve"> and </w:t>
      </w:r>
      <w:r w:rsidRPr="00A36B1A">
        <w:rPr>
          <w:b/>
          <w:i/>
        </w:rPr>
        <w:t>VEA</w:t>
      </w:r>
      <w:r w:rsidR="0054113C">
        <w:t xml:space="preserve"> are</w:t>
      </w:r>
      <w:r w:rsidRPr="00A36B1A">
        <w:t xml:space="preserve"> defined in the Schedule 1 - Dictionary.</w:t>
      </w:r>
    </w:p>
    <w:p w14:paraId="0D8F756D" w14:textId="77777777" w:rsidR="00885EAB" w:rsidRPr="009C404D" w:rsidRDefault="00054930" w:rsidP="00576E99">
      <w:pPr>
        <w:pStyle w:val="SH3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7"/>
      <w:r w:rsidR="00513D05" w:rsidRPr="009C404D">
        <w:t xml:space="preserve"> </w:t>
      </w:r>
      <w:r w:rsidR="00885EAB" w:rsidRPr="009C404D">
        <w:t>the following:</w:t>
      </w:r>
    </w:p>
    <w:p w14:paraId="53988401" w14:textId="77777777"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14:paraId="1D0CF70D" w14:textId="77777777"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14:paraId="156E7BA7" w14:textId="77777777"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14:paraId="4A8A658C" w14:textId="77777777"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14:paraId="3A668852" w14:textId="77777777" w:rsidR="00BD3334" w:rsidRPr="00BD3334" w:rsidRDefault="00885EAB" w:rsidP="00984EE9">
      <w:pPr>
        <w:pStyle w:val="SH4"/>
        <w:ind w:left="1418"/>
      </w:pPr>
      <w:r w:rsidRPr="00513D05">
        <w:tab/>
        <w:t>cessation of brain function.</w:t>
      </w:r>
    </w:p>
    <w:p w14:paraId="0A88912D" w14:textId="77777777" w:rsidR="00986BE4" w:rsidRDefault="00986BE4" w:rsidP="00986BE4">
      <w:pPr>
        <w:pStyle w:val="SH3"/>
      </w:pPr>
      <w:r w:rsidRPr="00986BE4">
        <w:rPr>
          <w:b/>
          <w:i/>
        </w:rPr>
        <w:t>unprotected skin</w:t>
      </w:r>
      <w:r>
        <w:t xml:space="preserve"> means skin that is directly exposed to the sun and is not protected by sunscreen, clothing or </w:t>
      </w:r>
      <w:proofErr w:type="gramStart"/>
      <w:r>
        <w:t>other</w:t>
      </w:r>
      <w:proofErr w:type="gramEnd"/>
      <w:r>
        <w:t xml:space="preserve"> physical barrier.</w:t>
      </w:r>
    </w:p>
    <w:p w14:paraId="34362797" w14:textId="77777777" w:rsidR="00225CBD" w:rsidRPr="0019084F" w:rsidRDefault="00885EAB" w:rsidP="00576E99">
      <w:pPr>
        <w:pStyle w:val="SH3"/>
      </w:pPr>
      <w:r w:rsidRPr="00576E99">
        <w:rPr>
          <w:b/>
          <w:i/>
        </w:rPr>
        <w:t>VEA</w:t>
      </w:r>
      <w:r w:rsidRPr="0019084F">
        <w:t xml:space="preserve"> means the </w:t>
      </w:r>
      <w:r w:rsidRPr="002702BE">
        <w:rPr>
          <w:i/>
        </w:rPr>
        <w:t>Veterans</w:t>
      </w:r>
      <w:r w:rsidR="00ED21FE" w:rsidRPr="002702BE">
        <w:rPr>
          <w:i/>
        </w:rPr>
        <w:t>'</w:t>
      </w:r>
      <w:r w:rsidRPr="002702BE">
        <w:rPr>
          <w:i/>
        </w:rPr>
        <w:t xml:space="preserve"> Entitlements Act 1986</w:t>
      </w:r>
      <w:r w:rsidRPr="0019084F">
        <w:t>.</w:t>
      </w:r>
    </w:p>
    <w:p w14:paraId="1C99A732" w14:textId="77777777" w:rsidR="00CF2367" w:rsidRPr="00FA33FB" w:rsidRDefault="00CF2367" w:rsidP="00CF2367"/>
    <w:p w14:paraId="4DAFECC0" w14:textId="77777777"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14:paraId="711A5571" w14:textId="77777777" w:rsidR="00FD775E" w:rsidRDefault="00FD775E" w:rsidP="003F4535">
      <w:pPr>
        <w:rPr>
          <w:b/>
          <w:i/>
        </w:rPr>
      </w:pPr>
    </w:p>
    <w:sectPr w:rsid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636D3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0F3CE96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14E4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23B254E5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AA84F69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5FB4E28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14F2144C" w14:textId="0B827252" w:rsidR="004A2007" w:rsidRDefault="00DE110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110F">
            <w:rPr>
              <w:i/>
              <w:sz w:val="18"/>
              <w:szCs w:val="18"/>
            </w:rPr>
            <w:t>Merkel Cell Carcinoma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E110F">
            <w:rPr>
              <w:i/>
              <w:sz w:val="18"/>
              <w:szCs w:val="18"/>
            </w:rPr>
            <w:t>80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E110F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26017131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0602684" w14:textId="74C0C5D9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728EC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728E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0B6F9ED9" w14:textId="77777777" w:rsidR="00F03C06" w:rsidRPr="004A2007" w:rsidRDefault="00F03C06" w:rsidP="004A20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8B486" w14:textId="77777777" w:rsidR="004A2007" w:rsidRPr="00E33C1C" w:rsidRDefault="004A2007" w:rsidP="004A200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4A2007" w:rsidRPr="00C01863" w14:paraId="0BD2167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726B9E" w14:textId="77777777" w:rsidR="004A2007" w:rsidRPr="00C01863" w:rsidRDefault="004A2007" w:rsidP="004A2007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D977ECF" w14:textId="77777777" w:rsidR="004A2007" w:rsidRDefault="004A2007" w:rsidP="004A2007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14:paraId="37E8D96A" w14:textId="0C594149" w:rsidR="004A2007" w:rsidRDefault="00DE110F" w:rsidP="004A2007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DE110F">
            <w:rPr>
              <w:i/>
              <w:sz w:val="18"/>
              <w:szCs w:val="18"/>
            </w:rPr>
            <w:t>Merkel Cell Carcinoma</w:t>
          </w:r>
          <w:r w:rsidR="004A2007">
            <w:rPr>
              <w:i/>
              <w:sz w:val="18"/>
              <w:szCs w:val="18"/>
            </w:rPr>
            <w:t xml:space="preserve"> (Reasonable Hypothesis) </w:t>
          </w:r>
          <w:r w:rsidR="004A2007" w:rsidRPr="007C5CE0">
            <w:rPr>
              <w:i/>
              <w:sz w:val="18"/>
            </w:rPr>
            <w:t xml:space="preserve">(No. </w:t>
          </w:r>
          <w:r w:rsidRPr="00DE110F">
            <w:rPr>
              <w:i/>
              <w:sz w:val="18"/>
              <w:szCs w:val="18"/>
            </w:rPr>
            <w:t>80</w:t>
          </w:r>
          <w:r w:rsidR="004A2007" w:rsidRPr="007C5CE0">
            <w:rPr>
              <w:i/>
              <w:sz w:val="18"/>
              <w:szCs w:val="18"/>
            </w:rPr>
            <w:t xml:space="preserve"> of </w:t>
          </w:r>
          <w:r w:rsidRPr="00DE110F">
            <w:rPr>
              <w:i/>
              <w:sz w:val="18"/>
              <w:szCs w:val="18"/>
            </w:rPr>
            <w:t>2024</w:t>
          </w:r>
          <w:r w:rsidR="004A2007" w:rsidRPr="007C5CE0">
            <w:rPr>
              <w:i/>
              <w:sz w:val="18"/>
              <w:szCs w:val="18"/>
            </w:rPr>
            <w:t>)</w:t>
          </w:r>
        </w:p>
        <w:p w14:paraId="7AE9880D" w14:textId="77777777" w:rsidR="004A2007" w:rsidRPr="007C5CE0" w:rsidRDefault="004A2007" w:rsidP="004A2007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C15650A" w14:textId="7CCF64C2" w:rsidR="004A2007" w:rsidRPr="00C01863" w:rsidRDefault="004A2007" w:rsidP="004A2007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E728EC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E728EC">
            <w:rPr>
              <w:i/>
              <w:noProof/>
              <w:sz w:val="18"/>
            </w:rPr>
            <w:t>6</w:t>
          </w:r>
          <w:r>
            <w:rPr>
              <w:i/>
              <w:sz w:val="18"/>
            </w:rPr>
            <w:fldChar w:fldCharType="end"/>
          </w:r>
        </w:p>
      </w:tc>
    </w:tr>
  </w:tbl>
  <w:p w14:paraId="15B48104" w14:textId="77777777" w:rsidR="007F2378" w:rsidRPr="004A2007" w:rsidRDefault="007F2378" w:rsidP="004A20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9BF18" w14:textId="77777777" w:rsidR="00997416" w:rsidRPr="004A2007" w:rsidRDefault="00997416" w:rsidP="004A20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94678" w14:textId="77777777" w:rsidR="00885EAB" w:rsidRPr="00A254EA" w:rsidRDefault="00885EAB" w:rsidP="00A254E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B0529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A0FC" w14:textId="77777777" w:rsidR="00885EAB" w:rsidRPr="004A2007" w:rsidRDefault="00885EAB" w:rsidP="004A2007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7E64F" w14:textId="77777777" w:rsidR="00885EAB" w:rsidRPr="004A2007" w:rsidRDefault="00885EAB" w:rsidP="004A20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31A72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3876AE3A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C89C5" w14:textId="40D65BDF" w:rsidR="004A2007" w:rsidRPr="00ED20B7" w:rsidRDefault="004A2007" w:rsidP="00ED20B7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9824B" w14:textId="77777777" w:rsidR="00885EAB" w:rsidRPr="004A2007" w:rsidRDefault="00885EAB" w:rsidP="004A20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92B6D" w14:textId="77777777" w:rsidR="004A2007" w:rsidRDefault="004A2007" w:rsidP="004A2007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14:paraId="0E13B9AF" w14:textId="77777777" w:rsidR="004A2007" w:rsidRDefault="004A2007" w:rsidP="004A2007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5DEEC" w14:textId="77777777"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FDCC1" w14:textId="77777777" w:rsidR="00885EAB" w:rsidRPr="004A2007" w:rsidRDefault="00885EAB" w:rsidP="004A200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8CF71" w14:textId="77777777" w:rsidR="00885EAB" w:rsidRPr="004A2007" w:rsidRDefault="00885EAB" w:rsidP="004A2007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04571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F90E22AE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153838BB"/>
    <w:multiLevelType w:val="hybridMultilevel"/>
    <w:tmpl w:val="C9960652"/>
    <w:lvl w:ilvl="0" w:tplc="F3AE13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31CF0228"/>
    <w:multiLevelType w:val="multilevel"/>
    <w:tmpl w:val="7BDC364C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499657195">
    <w:abstractNumId w:val="15"/>
  </w:num>
  <w:num w:numId="2" w16cid:durableId="1129670432">
    <w:abstractNumId w:val="13"/>
  </w:num>
  <w:num w:numId="3" w16cid:durableId="129636445">
    <w:abstractNumId w:val="11"/>
  </w:num>
  <w:num w:numId="4" w16cid:durableId="1425616550">
    <w:abstractNumId w:val="10"/>
  </w:num>
  <w:num w:numId="5" w16cid:durableId="305008618">
    <w:abstractNumId w:val="14"/>
  </w:num>
  <w:num w:numId="6" w16cid:durableId="18041567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4439074">
    <w:abstractNumId w:val="9"/>
  </w:num>
  <w:num w:numId="8" w16cid:durableId="205069747">
    <w:abstractNumId w:val="7"/>
  </w:num>
  <w:num w:numId="9" w16cid:durableId="1913202304">
    <w:abstractNumId w:val="6"/>
  </w:num>
  <w:num w:numId="10" w16cid:durableId="1681539837">
    <w:abstractNumId w:val="5"/>
  </w:num>
  <w:num w:numId="11" w16cid:durableId="369304761">
    <w:abstractNumId w:val="4"/>
  </w:num>
  <w:num w:numId="12" w16cid:durableId="1515656498">
    <w:abstractNumId w:val="8"/>
  </w:num>
  <w:num w:numId="13" w16cid:durableId="1481118859">
    <w:abstractNumId w:val="3"/>
  </w:num>
  <w:num w:numId="14" w16cid:durableId="453333729">
    <w:abstractNumId w:val="2"/>
  </w:num>
  <w:num w:numId="15" w16cid:durableId="740249147">
    <w:abstractNumId w:val="1"/>
  </w:num>
  <w:num w:numId="16" w16cid:durableId="968708512">
    <w:abstractNumId w:val="0"/>
  </w:num>
  <w:num w:numId="17" w16cid:durableId="4553897">
    <w:abstractNumId w:val="10"/>
  </w:num>
  <w:num w:numId="18" w16cid:durableId="261956826">
    <w:abstractNumId w:val="10"/>
  </w:num>
  <w:num w:numId="19" w16cid:durableId="2139061377">
    <w:abstractNumId w:val="10"/>
  </w:num>
  <w:num w:numId="20" w16cid:durableId="1860271797">
    <w:abstractNumId w:val="12"/>
  </w:num>
  <w:num w:numId="21" w16cid:durableId="672877678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23E3"/>
    <w:rsid w:val="000136AF"/>
    <w:rsid w:val="0001587D"/>
    <w:rsid w:val="00021CE7"/>
    <w:rsid w:val="00024911"/>
    <w:rsid w:val="00032E05"/>
    <w:rsid w:val="0004167C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D68"/>
    <w:rsid w:val="000A651F"/>
    <w:rsid w:val="000B1350"/>
    <w:rsid w:val="000B58FA"/>
    <w:rsid w:val="000B7B90"/>
    <w:rsid w:val="000C21A3"/>
    <w:rsid w:val="000C664A"/>
    <w:rsid w:val="000C6D96"/>
    <w:rsid w:val="000D05EF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14A8"/>
    <w:rsid w:val="0015201F"/>
    <w:rsid w:val="00157B8B"/>
    <w:rsid w:val="00161A8E"/>
    <w:rsid w:val="001648F7"/>
    <w:rsid w:val="00166C2F"/>
    <w:rsid w:val="00167E0C"/>
    <w:rsid w:val="001809D7"/>
    <w:rsid w:val="00181D6E"/>
    <w:rsid w:val="001833C8"/>
    <w:rsid w:val="00187DE1"/>
    <w:rsid w:val="0019084F"/>
    <w:rsid w:val="001939E1"/>
    <w:rsid w:val="00194C3E"/>
    <w:rsid w:val="00195382"/>
    <w:rsid w:val="001A1438"/>
    <w:rsid w:val="001B0F26"/>
    <w:rsid w:val="001C2AD2"/>
    <w:rsid w:val="001C61C5"/>
    <w:rsid w:val="001C69C4"/>
    <w:rsid w:val="001C77EE"/>
    <w:rsid w:val="001D2262"/>
    <w:rsid w:val="001D26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3D7C"/>
    <w:rsid w:val="002564A4"/>
    <w:rsid w:val="002650E6"/>
    <w:rsid w:val="0026736C"/>
    <w:rsid w:val="002702BE"/>
    <w:rsid w:val="002705A5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D74C5"/>
    <w:rsid w:val="002E35CD"/>
    <w:rsid w:val="002E3F4B"/>
    <w:rsid w:val="002F5948"/>
    <w:rsid w:val="002F77A1"/>
    <w:rsid w:val="00301C54"/>
    <w:rsid w:val="00304166"/>
    <w:rsid w:val="00304F8B"/>
    <w:rsid w:val="003079F2"/>
    <w:rsid w:val="0032243F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2791"/>
    <w:rsid w:val="003734C6"/>
    <w:rsid w:val="00375BB3"/>
    <w:rsid w:val="003802D6"/>
    <w:rsid w:val="0038399F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2007"/>
    <w:rsid w:val="004A4764"/>
    <w:rsid w:val="004A5E4B"/>
    <w:rsid w:val="004C6AE8"/>
    <w:rsid w:val="004C6D55"/>
    <w:rsid w:val="004D10CF"/>
    <w:rsid w:val="004D4BCA"/>
    <w:rsid w:val="004E063A"/>
    <w:rsid w:val="004E40C0"/>
    <w:rsid w:val="004E7BEC"/>
    <w:rsid w:val="004F23E0"/>
    <w:rsid w:val="00505D3D"/>
    <w:rsid w:val="00506AF6"/>
    <w:rsid w:val="00513D05"/>
    <w:rsid w:val="00516768"/>
    <w:rsid w:val="00516B8D"/>
    <w:rsid w:val="005226B5"/>
    <w:rsid w:val="00522A19"/>
    <w:rsid w:val="005268CF"/>
    <w:rsid w:val="0053697E"/>
    <w:rsid w:val="00537FBC"/>
    <w:rsid w:val="0054113C"/>
    <w:rsid w:val="00545116"/>
    <w:rsid w:val="00553578"/>
    <w:rsid w:val="005574D1"/>
    <w:rsid w:val="00571FBB"/>
    <w:rsid w:val="00575A90"/>
    <w:rsid w:val="00576E99"/>
    <w:rsid w:val="00584811"/>
    <w:rsid w:val="00585784"/>
    <w:rsid w:val="00593AA6"/>
    <w:rsid w:val="00594161"/>
    <w:rsid w:val="00594749"/>
    <w:rsid w:val="005962C4"/>
    <w:rsid w:val="005B05D3"/>
    <w:rsid w:val="005B4067"/>
    <w:rsid w:val="005C3F41"/>
    <w:rsid w:val="005C74AC"/>
    <w:rsid w:val="005C7B57"/>
    <w:rsid w:val="005C7CC5"/>
    <w:rsid w:val="005D2D09"/>
    <w:rsid w:val="005E589B"/>
    <w:rsid w:val="005E7FC2"/>
    <w:rsid w:val="00600219"/>
    <w:rsid w:val="006013B7"/>
    <w:rsid w:val="00603D01"/>
    <w:rsid w:val="00603DC4"/>
    <w:rsid w:val="0060681C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7FD3"/>
    <w:rsid w:val="006A4C54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54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05A"/>
    <w:rsid w:val="007715C9"/>
    <w:rsid w:val="00771613"/>
    <w:rsid w:val="00774897"/>
    <w:rsid w:val="00774EDD"/>
    <w:rsid w:val="007757EC"/>
    <w:rsid w:val="0078129A"/>
    <w:rsid w:val="00781DD2"/>
    <w:rsid w:val="00782F4E"/>
    <w:rsid w:val="00783E89"/>
    <w:rsid w:val="0078717D"/>
    <w:rsid w:val="007904DB"/>
    <w:rsid w:val="00793915"/>
    <w:rsid w:val="007A15B1"/>
    <w:rsid w:val="007A3989"/>
    <w:rsid w:val="007B132E"/>
    <w:rsid w:val="007B1E20"/>
    <w:rsid w:val="007B52F6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384C"/>
    <w:rsid w:val="00856A31"/>
    <w:rsid w:val="00860BB7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D60EC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0238"/>
    <w:rsid w:val="00941893"/>
    <w:rsid w:val="00947D5A"/>
    <w:rsid w:val="00950C80"/>
    <w:rsid w:val="009532A5"/>
    <w:rsid w:val="00956922"/>
    <w:rsid w:val="009612CF"/>
    <w:rsid w:val="009724F4"/>
    <w:rsid w:val="00973808"/>
    <w:rsid w:val="00982242"/>
    <w:rsid w:val="00984EE9"/>
    <w:rsid w:val="009868E9"/>
    <w:rsid w:val="00986BE4"/>
    <w:rsid w:val="00997416"/>
    <w:rsid w:val="009B4DFF"/>
    <w:rsid w:val="009B5A4E"/>
    <w:rsid w:val="009C2B65"/>
    <w:rsid w:val="009C404D"/>
    <w:rsid w:val="009D6BB0"/>
    <w:rsid w:val="009E5CFC"/>
    <w:rsid w:val="00A02BF2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254EA"/>
    <w:rsid w:val="00A36B1A"/>
    <w:rsid w:val="00A515BC"/>
    <w:rsid w:val="00A56C3D"/>
    <w:rsid w:val="00A6070D"/>
    <w:rsid w:val="00A624B2"/>
    <w:rsid w:val="00A64912"/>
    <w:rsid w:val="00A64BA1"/>
    <w:rsid w:val="00A70A74"/>
    <w:rsid w:val="00A77E0D"/>
    <w:rsid w:val="00A84509"/>
    <w:rsid w:val="00A931D7"/>
    <w:rsid w:val="00AA64D6"/>
    <w:rsid w:val="00AA6D8B"/>
    <w:rsid w:val="00AC5296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7C6B"/>
    <w:rsid w:val="00B308FE"/>
    <w:rsid w:val="00B33709"/>
    <w:rsid w:val="00B33B3C"/>
    <w:rsid w:val="00B44B32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5A45"/>
    <w:rsid w:val="00BA691F"/>
    <w:rsid w:val="00BB4E1A"/>
    <w:rsid w:val="00BB78C9"/>
    <w:rsid w:val="00BC015E"/>
    <w:rsid w:val="00BC76AC"/>
    <w:rsid w:val="00BD0ECB"/>
    <w:rsid w:val="00BD3334"/>
    <w:rsid w:val="00BD5C93"/>
    <w:rsid w:val="00BE2155"/>
    <w:rsid w:val="00BE2213"/>
    <w:rsid w:val="00BE6EDA"/>
    <w:rsid w:val="00BE719A"/>
    <w:rsid w:val="00BE720A"/>
    <w:rsid w:val="00BF0CFB"/>
    <w:rsid w:val="00BF0D73"/>
    <w:rsid w:val="00BF2465"/>
    <w:rsid w:val="00BF43B4"/>
    <w:rsid w:val="00BF525F"/>
    <w:rsid w:val="00C01863"/>
    <w:rsid w:val="00C1106A"/>
    <w:rsid w:val="00C11D0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6240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6358"/>
    <w:rsid w:val="00CD7B88"/>
    <w:rsid w:val="00CE051D"/>
    <w:rsid w:val="00CE1335"/>
    <w:rsid w:val="00CE493D"/>
    <w:rsid w:val="00CF07FA"/>
    <w:rsid w:val="00CF0BB2"/>
    <w:rsid w:val="00CF2367"/>
    <w:rsid w:val="00CF3EE8"/>
    <w:rsid w:val="00CF7EE5"/>
    <w:rsid w:val="00D050E6"/>
    <w:rsid w:val="00D13441"/>
    <w:rsid w:val="00D150E7"/>
    <w:rsid w:val="00D32F65"/>
    <w:rsid w:val="00D32F71"/>
    <w:rsid w:val="00D377E3"/>
    <w:rsid w:val="00D50484"/>
    <w:rsid w:val="00D527C9"/>
    <w:rsid w:val="00D52DC2"/>
    <w:rsid w:val="00D53BA8"/>
    <w:rsid w:val="00D53BCC"/>
    <w:rsid w:val="00D5599D"/>
    <w:rsid w:val="00D5620B"/>
    <w:rsid w:val="00D60FC8"/>
    <w:rsid w:val="00D70DFB"/>
    <w:rsid w:val="00D71633"/>
    <w:rsid w:val="00D766DF"/>
    <w:rsid w:val="00D9065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3B7D"/>
    <w:rsid w:val="00DE110F"/>
    <w:rsid w:val="00DE587E"/>
    <w:rsid w:val="00DE59B7"/>
    <w:rsid w:val="00DF24DC"/>
    <w:rsid w:val="00DF5291"/>
    <w:rsid w:val="00DF6D11"/>
    <w:rsid w:val="00E05704"/>
    <w:rsid w:val="00E11E44"/>
    <w:rsid w:val="00E22949"/>
    <w:rsid w:val="00E3270E"/>
    <w:rsid w:val="00E338EF"/>
    <w:rsid w:val="00E35C4E"/>
    <w:rsid w:val="00E424C8"/>
    <w:rsid w:val="00E443FF"/>
    <w:rsid w:val="00E544BB"/>
    <w:rsid w:val="00E55F66"/>
    <w:rsid w:val="00E56818"/>
    <w:rsid w:val="00E64EE4"/>
    <w:rsid w:val="00E662CB"/>
    <w:rsid w:val="00E728EC"/>
    <w:rsid w:val="00E73C11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0B7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2033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BDB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1EC06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253D7C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253D7C"/>
    <w:pPr>
      <w:numPr>
        <w:numId w:val="19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53D7C"/>
    <w:pPr>
      <w:numPr>
        <w:ilvl w:val="1"/>
        <w:numId w:val="19"/>
      </w:numPr>
      <w:ind w:left="1418"/>
    </w:pPr>
  </w:style>
  <w:style w:type="paragraph" w:customStyle="1" w:styleId="LV3">
    <w:name w:val="LV 3"/>
    <w:basedOn w:val="PlainIndent"/>
    <w:autoRedefine/>
    <w:qFormat/>
    <w:rsid w:val="00253D7C"/>
    <w:pPr>
      <w:numPr>
        <w:ilvl w:val="2"/>
        <w:numId w:val="19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19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19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576E99"/>
    <w:pPr>
      <w:numPr>
        <w:ilvl w:val="2"/>
        <w:numId w:val="5"/>
      </w:numPr>
      <w:spacing w:before="100"/>
      <w:ind w:left="851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81DD2"/>
    <w:pPr>
      <w:spacing w:before="200"/>
      <w:ind w:left="284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576E99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253D7C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253D7C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253D7C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253D7C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253D7C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253D7C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253D7C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253D7C"/>
    <w:rPr>
      <w:rFonts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0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5A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5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5A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6949</Characters>
  <Application>Microsoft Office Word</Application>
  <DocSecurity>0</DocSecurity>
  <PresentationFormat/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2024-05-13T01:44:00Z</dcterms:created>
  <dcterms:modified xsi:type="dcterms:W3CDTF">2024-10-17T23:56:00Z</dcterms:modified>
  <cp:category/>
  <cp:contentStatus/>
  <dc:language/>
  <cp:version/>
</cp:coreProperties>
</file>