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9894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CAD3D1E" wp14:editId="3D0E73F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047D" w14:textId="77777777" w:rsidR="00715914" w:rsidRPr="00FA33FB" w:rsidRDefault="00715914" w:rsidP="007A02AF">
      <w:pPr>
        <w:jc w:val="right"/>
        <w:rPr>
          <w:sz w:val="19"/>
        </w:rPr>
      </w:pPr>
    </w:p>
    <w:p w14:paraId="67C7F50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D0F9F39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5B5C48D0" w14:textId="77777777" w:rsidR="00054930" w:rsidRDefault="001E7A95" w:rsidP="000D4972">
      <w:pPr>
        <w:pStyle w:val="Plainheader"/>
      </w:pPr>
      <w:bookmarkStart w:id="0" w:name="SoP_Name_Title"/>
      <w:r>
        <w:t>MERKEL CELL CARCINOMA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E623E2F" w14:textId="3A71E59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3210C">
        <w:t>81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19F87D2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CE4E567" w14:textId="77777777" w:rsidR="00F97A62" w:rsidRPr="00F97A62" w:rsidRDefault="00F97A62" w:rsidP="00F97A62">
      <w:pPr>
        <w:rPr>
          <w:lang w:eastAsia="en-AU"/>
        </w:rPr>
      </w:pPr>
    </w:p>
    <w:p w14:paraId="244183C6" w14:textId="447D3578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3210C">
        <w:t>18 October 2024.</w:t>
      </w:r>
    </w:p>
    <w:p w14:paraId="00691761" w14:textId="77777777" w:rsidR="00D93DA9" w:rsidRDefault="00D93DA9" w:rsidP="00764D43">
      <w:pPr>
        <w:pStyle w:val="Plain"/>
      </w:pPr>
    </w:p>
    <w:p w14:paraId="5AB28C8C" w14:textId="77777777" w:rsidR="00D93DA9" w:rsidRDefault="00D93DA9" w:rsidP="00764D43">
      <w:pPr>
        <w:pStyle w:val="Plain"/>
      </w:pPr>
    </w:p>
    <w:p w14:paraId="0EC6CC6D" w14:textId="77777777" w:rsidR="00D93DA9" w:rsidRDefault="00D93DA9" w:rsidP="00764D43">
      <w:pPr>
        <w:pStyle w:val="Plain"/>
      </w:pPr>
    </w:p>
    <w:p w14:paraId="7B9D333B" w14:textId="77777777" w:rsidR="00D93DA9" w:rsidRDefault="00D93DA9" w:rsidP="00764D43">
      <w:pPr>
        <w:pStyle w:val="Plain"/>
      </w:pPr>
    </w:p>
    <w:p w14:paraId="58C36321" w14:textId="77777777" w:rsidR="00AC7363" w:rsidRDefault="00AC7363" w:rsidP="00764D43">
      <w:pPr>
        <w:pStyle w:val="Plain"/>
      </w:pPr>
    </w:p>
    <w:p w14:paraId="5ABEDD33" w14:textId="77777777" w:rsidR="00AC7363" w:rsidRDefault="00AC7363" w:rsidP="00764D43">
      <w:pPr>
        <w:pStyle w:val="Plain"/>
      </w:pPr>
    </w:p>
    <w:p w14:paraId="6738E32A" w14:textId="77777777" w:rsidR="00AC7363" w:rsidRDefault="00AC7363" w:rsidP="00764D43">
      <w:pPr>
        <w:pStyle w:val="Plain"/>
      </w:pPr>
    </w:p>
    <w:p w14:paraId="0C6FA2D8" w14:textId="77777777" w:rsidR="00AC7363" w:rsidRDefault="00AC7363" w:rsidP="00764D43">
      <w:pPr>
        <w:pStyle w:val="Plain"/>
      </w:pPr>
    </w:p>
    <w:p w14:paraId="31C6F11E" w14:textId="77777777" w:rsidR="00AC7363" w:rsidRDefault="00AC7363" w:rsidP="00764D43">
      <w:pPr>
        <w:pStyle w:val="Plain"/>
      </w:pPr>
    </w:p>
    <w:p w14:paraId="381CCBAA" w14:textId="77777777" w:rsidR="00AC7363" w:rsidRDefault="00AC7363" w:rsidP="00764D43">
      <w:pPr>
        <w:pStyle w:val="Plain"/>
      </w:pPr>
    </w:p>
    <w:p w14:paraId="43BE0256" w14:textId="77777777" w:rsidR="00AC7363" w:rsidRDefault="00AC7363" w:rsidP="00AC7363">
      <w:pPr>
        <w:pStyle w:val="Plain"/>
      </w:pPr>
      <w:r>
        <w:t>Professor Terence Campbell AM</w:t>
      </w:r>
    </w:p>
    <w:p w14:paraId="6B6C8551" w14:textId="77777777" w:rsidR="00AC7363" w:rsidRDefault="00AC7363" w:rsidP="00AC7363">
      <w:pPr>
        <w:pStyle w:val="Plain"/>
      </w:pPr>
      <w:r>
        <w:t>Chairperson</w:t>
      </w:r>
    </w:p>
    <w:p w14:paraId="3D4359BB" w14:textId="77777777" w:rsidR="00AC7363" w:rsidRDefault="00AC7363" w:rsidP="00AC7363">
      <w:pPr>
        <w:pStyle w:val="Plain"/>
      </w:pPr>
      <w:r>
        <w:t>by and on behalf of</w:t>
      </w:r>
    </w:p>
    <w:p w14:paraId="5BD62496" w14:textId="77777777" w:rsidR="00AC7363" w:rsidRDefault="00AC7363" w:rsidP="00AC7363">
      <w:pPr>
        <w:pStyle w:val="Plain"/>
      </w:pPr>
      <w:r>
        <w:t>The Repatriation Medical Authority</w:t>
      </w:r>
    </w:p>
    <w:p w14:paraId="41467D89" w14:textId="77777777" w:rsidR="00D93DA9" w:rsidRPr="007527C1" w:rsidRDefault="00D93DA9" w:rsidP="00764D43">
      <w:pPr>
        <w:pStyle w:val="Plain"/>
      </w:pPr>
    </w:p>
    <w:p w14:paraId="484AD1F4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96547AB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D7B56A5" w14:textId="1B2A1AF7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6B7320">
        <w:rPr>
          <w:noProof/>
        </w:rPr>
        <w:t>3</w:t>
      </w:r>
      <w:r w:rsidR="000D4972">
        <w:rPr>
          <w:noProof/>
        </w:rPr>
        <w:fldChar w:fldCharType="end"/>
      </w:r>
    </w:p>
    <w:p w14:paraId="3FB7C498" w14:textId="2D0D223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07FDCE18" w14:textId="20E93A8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2ED81E26" w14:textId="57C386F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340970D2" w14:textId="1029A26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6939FA09" w14:textId="42ED277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703A0BA0" w14:textId="4E395D6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3</w:t>
      </w:r>
      <w:r>
        <w:rPr>
          <w:noProof/>
        </w:rPr>
        <w:fldChar w:fldCharType="end"/>
      </w:r>
    </w:p>
    <w:p w14:paraId="7DDCE997" w14:textId="51AC3FB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4</w:t>
      </w:r>
      <w:r>
        <w:rPr>
          <w:noProof/>
        </w:rPr>
        <w:fldChar w:fldCharType="end"/>
      </w:r>
    </w:p>
    <w:p w14:paraId="1EFA386C" w14:textId="303D88F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4</w:t>
      </w:r>
      <w:r>
        <w:rPr>
          <w:noProof/>
        </w:rPr>
        <w:fldChar w:fldCharType="end"/>
      </w:r>
    </w:p>
    <w:p w14:paraId="005356BD" w14:textId="3408E20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4</w:t>
      </w:r>
      <w:r>
        <w:rPr>
          <w:noProof/>
        </w:rPr>
        <w:fldChar w:fldCharType="end"/>
      </w:r>
    </w:p>
    <w:p w14:paraId="1833396D" w14:textId="5A88E2D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5</w:t>
      </w:r>
      <w:r>
        <w:rPr>
          <w:noProof/>
        </w:rPr>
        <w:fldChar w:fldCharType="end"/>
      </w:r>
    </w:p>
    <w:p w14:paraId="002EB6E3" w14:textId="59A3B854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6</w:t>
      </w:r>
      <w:r>
        <w:rPr>
          <w:noProof/>
        </w:rPr>
        <w:fldChar w:fldCharType="end"/>
      </w:r>
    </w:p>
    <w:p w14:paraId="1B2ACB5C" w14:textId="4344724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6B7320">
        <w:rPr>
          <w:noProof/>
        </w:rPr>
        <w:t>6</w:t>
      </w:r>
      <w:r>
        <w:rPr>
          <w:noProof/>
        </w:rPr>
        <w:fldChar w:fldCharType="end"/>
      </w:r>
    </w:p>
    <w:p w14:paraId="53C84A7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5DE9568" w14:textId="77777777" w:rsidR="003A2FFE" w:rsidRDefault="003A2FFE" w:rsidP="003A2FFE">
      <w:pPr>
        <w:tabs>
          <w:tab w:val="left" w:pos="3631"/>
        </w:tabs>
      </w:pPr>
    </w:p>
    <w:p w14:paraId="07169FD6" w14:textId="77777777" w:rsidR="003734C6" w:rsidRDefault="003734C6" w:rsidP="00715914">
      <w:r w:rsidRPr="003A2FFE">
        <w:br w:type="page"/>
      </w:r>
    </w:p>
    <w:p w14:paraId="09FE7B2F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02C87486" w14:textId="0DB9836C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E7A95">
        <w:rPr>
          <w:i/>
        </w:rPr>
        <w:t>Merkel cell carcinoma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6B7320">
        <w:t xml:space="preserve"> 81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D3210C">
        <w:t>2024</w:t>
      </w:r>
      <w:r w:rsidR="00E55F66" w:rsidRPr="00F97A62">
        <w:t>)</w:t>
      </w:r>
      <w:r w:rsidRPr="00F97A62">
        <w:t>.</w:t>
      </w:r>
    </w:p>
    <w:p w14:paraId="5F2ADFDE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0ADB216B" w14:textId="6BB5E7E6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3210C">
        <w:rPr>
          <w:bCs/>
        </w:rPr>
        <w:t>19 November 2024</w:t>
      </w:r>
      <w:r w:rsidR="00F67B67" w:rsidRPr="007527C1">
        <w:t>.</w:t>
      </w:r>
    </w:p>
    <w:p w14:paraId="139DC138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260A2F6D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FCA3745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3BB747A1" w14:textId="67EF015D" w:rsidR="007959B9" w:rsidRPr="007527C1" w:rsidRDefault="00B30B1A" w:rsidP="00DF65CF">
      <w:pPr>
        <w:pStyle w:val="PlainIndent"/>
      </w:pPr>
      <w:r w:rsidRPr="00B30B1A">
        <w:t xml:space="preserve">The Statement of Principles concerning non-melanotic malignant neoplasm of the skin </w:t>
      </w:r>
      <w:r w:rsidR="006B1EF0">
        <w:t>(Balance of Probabilities) (</w:t>
      </w:r>
      <w:r w:rsidRPr="00B30B1A">
        <w:t>No. 8 of 2016</w:t>
      </w:r>
      <w:r w:rsidR="006B1EF0">
        <w:t>)</w:t>
      </w:r>
      <w:r w:rsidRPr="00B30B1A">
        <w:t xml:space="preserve"> (Federal Register of Legislation No. F2016L00241) made under subsection 196B(3) and (8) of the VEA is repealed.</w:t>
      </w:r>
      <w:r w:rsidRPr="00DA3996">
        <w:t xml:space="preserve"> </w:t>
      </w:r>
    </w:p>
    <w:p w14:paraId="0143C52E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FF03973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DD8AC0C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5C4D2156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604C1A7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F85DC3D" w14:textId="6172FF44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3210C" w:rsidRPr="00D3210C">
        <w:t>Merkel cell carcinoma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3210C" w:rsidRPr="00D3210C">
        <w:t>Merkel cell carcinoma</w:t>
      </w:r>
      <w:r w:rsidRPr="00D5620B">
        <w:t>.</w:t>
      </w:r>
      <w:bookmarkEnd w:id="17"/>
    </w:p>
    <w:p w14:paraId="5D5EEF51" w14:textId="08385DDB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3210C" w:rsidRPr="00D3210C">
        <w:rPr>
          <w:b/>
        </w:rPr>
        <w:t>Merkel cell carcinoma</w:t>
      </w:r>
    </w:p>
    <w:p w14:paraId="1E0FEA7E" w14:textId="42B777B6" w:rsidR="00260C74" w:rsidRDefault="000D4972" w:rsidP="003A096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D3210C" w:rsidRPr="00D3210C">
        <w:t>Merkel cell carcinoma</w:t>
      </w:r>
      <w:bookmarkEnd w:id="18"/>
      <w:bookmarkEnd w:id="19"/>
      <w:r w:rsidR="003A0967" w:rsidRPr="003A0967">
        <w:t xml:space="preserve"> means a primary cutaneous neuroendocrine </w:t>
      </w:r>
      <w:proofErr w:type="gramStart"/>
      <w:r w:rsidR="003A0967" w:rsidRPr="003A0967">
        <w:t>carcinoma;</w:t>
      </w:r>
      <w:proofErr w:type="gramEnd"/>
    </w:p>
    <w:p w14:paraId="63A3A51C" w14:textId="478F9894" w:rsidR="008F572A" w:rsidRPr="00237BAF" w:rsidRDefault="000D4972" w:rsidP="00B30B1A">
      <w:pPr>
        <w:pStyle w:val="LV2"/>
      </w:pPr>
      <w:r w:rsidRPr="00237BAF">
        <w:t xml:space="preserve">While </w:t>
      </w:r>
      <w:r w:rsidR="00D3210C" w:rsidRPr="00D3210C">
        <w:t>Merkel cell carcinoma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>code</w:t>
      </w:r>
      <w:r w:rsidR="00B30B1A">
        <w:t xml:space="preserve">s: </w:t>
      </w:r>
      <w:r w:rsidR="00B30B1A" w:rsidRPr="00B30B1A">
        <w:t xml:space="preserve">C00.0, C00.1, C00.2, C00.6, C00.8, C00.9, C44, C51.0, C51.1, C51.2, C51.8, C51.9, C60.0, C60.1, C60.2, C60.8, </w:t>
      </w:r>
      <w:r w:rsidR="00B30B1A">
        <w:t>C60.9, C63.2, D04, D07.1, D07.4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D3210C" w:rsidRPr="00D3210C">
        <w:t>Merkel cell carcinoma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18020C00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19313E6" w14:textId="0825E823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3210C" w:rsidRPr="00D3210C">
        <w:rPr>
          <w:b/>
        </w:rPr>
        <w:t>Merkel cell carcinoma</w:t>
      </w:r>
    </w:p>
    <w:p w14:paraId="226F255D" w14:textId="489E7406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3210C" w:rsidRPr="00D3210C">
        <w:t>Merkel cell carcinoma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D3210C" w:rsidRPr="00D3210C">
        <w:t>Merkel cell carcinoma</w:t>
      </w:r>
      <w:r w:rsidRPr="00D5620B">
        <w:t>.</w:t>
      </w:r>
    </w:p>
    <w:p w14:paraId="1CF92D37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1E4854F3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57EFAA12" w14:textId="2D68D4C6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3210C" w:rsidRPr="00D3210C">
        <w:t>Merkel cell carcinoma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3210C" w:rsidRPr="00D3210C">
        <w:t>Merkel cell carcinoma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205C4C6F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FECF447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063F2E1" w14:textId="3CEB175C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3210C" w:rsidRPr="00D3210C">
        <w:t>Merkel cell carcinoma</w:t>
      </w:r>
      <w:r w:rsidR="007A3989">
        <w:t xml:space="preserve"> </w:t>
      </w:r>
      <w:r w:rsidR="007C7DEE" w:rsidRPr="00AA6D8B">
        <w:t xml:space="preserve">or death from </w:t>
      </w:r>
      <w:r w:rsidR="00D3210C" w:rsidRPr="00D3210C">
        <w:t>Merkel cell carcinoma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5696639" w14:textId="77777777" w:rsidR="007A5E73" w:rsidRDefault="007A5E73" w:rsidP="007A5E73">
      <w:pPr>
        <w:pStyle w:val="LV2"/>
      </w:pPr>
      <w:bookmarkStart w:id="26" w:name="_Ref402530260"/>
      <w:bookmarkStart w:id="27" w:name="_Ref409598844"/>
      <w:r>
        <w:t>having sunlight exposure to unprotected skin for a cumulative period of at least 4,500 latitude equivalent hours before clinical onset;</w:t>
      </w:r>
    </w:p>
    <w:p w14:paraId="1783734C" w14:textId="46C4E041" w:rsidR="007A5E73" w:rsidRDefault="007A5E73" w:rsidP="007A5E73">
      <w:pPr>
        <w:pStyle w:val="NOTE"/>
      </w:pPr>
      <w:r>
        <w:t xml:space="preserve">Note: </w:t>
      </w:r>
      <w:r w:rsidRPr="007A5E73">
        <w:rPr>
          <w:b/>
          <w:i/>
        </w:rPr>
        <w:t>latitude equivalent hours</w:t>
      </w:r>
      <w:r>
        <w:t xml:space="preserve"> and </w:t>
      </w:r>
      <w:r w:rsidRPr="007A5E73">
        <w:rPr>
          <w:b/>
          <w:i/>
        </w:rPr>
        <w:t>unprotected skin</w:t>
      </w:r>
      <w:r>
        <w:t xml:space="preserve"> are defined in the Schedule 1</w:t>
      </w:r>
      <w:r w:rsidR="003752A9">
        <w:t>- D</w:t>
      </w:r>
      <w:r>
        <w:t>ictionary.</w:t>
      </w:r>
    </w:p>
    <w:p w14:paraId="28EAF53D" w14:textId="77777777" w:rsidR="00AC7363" w:rsidRDefault="005A781F" w:rsidP="007A5E73">
      <w:pPr>
        <w:pStyle w:val="LV2"/>
        <w:numPr>
          <w:ilvl w:val="1"/>
          <w:numId w:val="4"/>
        </w:numPr>
        <w:ind w:left="1418"/>
      </w:pPr>
      <w:r w:rsidRPr="005A781F">
        <w:t>being infected with Merkel cell polyomavirus before clinical onset;</w:t>
      </w:r>
    </w:p>
    <w:p w14:paraId="58CEFBB3" w14:textId="77777777" w:rsidR="00AC7363" w:rsidRDefault="005A781F" w:rsidP="005A781F">
      <w:pPr>
        <w:pStyle w:val="LV2"/>
      </w:pPr>
      <w:r w:rsidRPr="005A781F">
        <w:t>being infected with human immunodeficiency virus before clinical onset;</w:t>
      </w:r>
    </w:p>
    <w:p w14:paraId="179AFA5D" w14:textId="77777777" w:rsidR="00AC7363" w:rsidRDefault="005A781F" w:rsidP="005A781F">
      <w:pPr>
        <w:pStyle w:val="LV2"/>
      </w:pPr>
      <w:r w:rsidRPr="005A781F">
        <w:t>undergoing solid organ (excluding corneal transplant) or bone mar</w:t>
      </w:r>
      <w:r>
        <w:t>row transplantation at least 10</w:t>
      </w:r>
      <w:r w:rsidRPr="005A781F">
        <w:t xml:space="preserve"> years before clinical onset;</w:t>
      </w:r>
    </w:p>
    <w:p w14:paraId="2F8390B0" w14:textId="77777777" w:rsidR="005A781F" w:rsidRDefault="005A781F" w:rsidP="005A781F">
      <w:pPr>
        <w:pStyle w:val="LV2"/>
      </w:pPr>
      <w:r w:rsidRPr="005A781F">
        <w:t>having non-Hodgkin lymphoma before clinical onset;</w:t>
      </w:r>
    </w:p>
    <w:p w14:paraId="65526DAD" w14:textId="77777777" w:rsidR="005A781F" w:rsidRDefault="005A781F" w:rsidP="005A781F">
      <w:pPr>
        <w:pStyle w:val="LV2"/>
      </w:pPr>
      <w:r>
        <w:t>having mature B-cell lymphoid leukaemia and small lymphocytic lymphoma before clinical onset;</w:t>
      </w:r>
    </w:p>
    <w:p w14:paraId="26467977" w14:textId="77777777" w:rsidR="005A781F" w:rsidRDefault="005A781F" w:rsidP="005A781F">
      <w:pPr>
        <w:pStyle w:val="NOTE"/>
      </w:pPr>
      <w:r>
        <w:t>Note: Mature B-cell lymphoid leukaemia and small lymphocytic lymphoma is also known as chronic lymphocytic leukaemia/small cell lymphoma.</w:t>
      </w:r>
    </w:p>
    <w:p w14:paraId="78AE881E" w14:textId="76A2E0C4" w:rsidR="007C7DEE" w:rsidRPr="008D1B8B" w:rsidRDefault="007C7DEE" w:rsidP="00DF65CF">
      <w:pPr>
        <w:pStyle w:val="LV2"/>
      </w:pPr>
      <w:r w:rsidRPr="008D1B8B">
        <w:t>inabilit</w:t>
      </w:r>
      <w:r w:rsidR="005A781F">
        <w:t>y to obtain appropriate clinical</w:t>
      </w:r>
      <w:r w:rsidRPr="008D1B8B">
        <w:t xml:space="preserve"> management for</w:t>
      </w:r>
      <w:bookmarkEnd w:id="26"/>
      <w:r w:rsidR="007A3989">
        <w:t xml:space="preserve"> </w:t>
      </w:r>
      <w:r w:rsidR="00D3210C" w:rsidRPr="00D3210C">
        <w:t>Merkel cell carcinoma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5AA8E873" w14:textId="77777777" w:rsidR="000C21A3" w:rsidRPr="00684C0E" w:rsidRDefault="00D32F71" w:rsidP="003752A9">
      <w:pPr>
        <w:pStyle w:val="LV1"/>
        <w:keepNext/>
      </w:pPr>
      <w:bookmarkStart w:id="28" w:name="_Toc522787309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14:paraId="1CEA5FDE" w14:textId="77777777" w:rsidR="00F03C06" w:rsidRPr="00187DE1" w:rsidRDefault="00F03C06" w:rsidP="003752A9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666C8430" w14:textId="5CE62298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5A781F">
        <w:t>7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D3210C" w:rsidRPr="00D3210C">
        <w:t>Merkel cell carcinoma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D3210C" w:rsidRPr="00D3210C">
        <w:t>Merkel cell carcinoma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C181CA5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40FE5C4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20EE8BE9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7A7A3F49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3EDAC4F6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9C2EB81" w14:textId="77777777" w:rsidR="00782F4E" w:rsidRPr="00E64EE4" w:rsidRDefault="00782F4E" w:rsidP="00DF65CF">
      <w:pPr>
        <w:pStyle w:val="PlainIndent"/>
      </w:pPr>
    </w:p>
    <w:p w14:paraId="75D1A168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62A020E" w14:textId="77777777" w:rsidR="00F03C06" w:rsidRDefault="00F03C06" w:rsidP="00DF65CF">
      <w:pPr>
        <w:pStyle w:val="PlainIndent"/>
      </w:pPr>
    </w:p>
    <w:p w14:paraId="149D7C86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8BEE55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4E701696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3D1F6151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77E53EAF" w14:textId="77777777" w:rsidR="00CB4428" w:rsidRDefault="00CB4428" w:rsidP="00CB4428">
      <w:pPr>
        <w:pStyle w:val="SH3"/>
      </w:pPr>
      <w:bookmarkStart w:id="36" w:name="_Ref402530810"/>
      <w:r w:rsidRPr="00CB4428">
        <w:rPr>
          <w:b/>
          <w:i/>
        </w:rPr>
        <w:t>latitude equivalent hours</w:t>
      </w:r>
      <w:r>
        <w:t xml:space="preserve"> means hours of exposure multiplied by the appropriate latitude weighting factor as follows:</w:t>
      </w:r>
    </w:p>
    <w:p w14:paraId="30A2ACBF" w14:textId="2923455E" w:rsidR="00CB4428" w:rsidRDefault="00485CFB" w:rsidP="00CB4428">
      <w:pPr>
        <w:pStyle w:val="SH4"/>
      </w:pPr>
      <w:r>
        <w:t>f</w:t>
      </w:r>
      <w:r w:rsidR="00CB4428">
        <w:t xml:space="preserve">or tropical latitudes (23.5° South to 23.5° North) multiply by </w:t>
      </w:r>
      <w:proofErr w:type="gramStart"/>
      <w:r w:rsidR="00CB4428">
        <w:t>1.0</w:t>
      </w:r>
      <w:r w:rsidR="003752A9">
        <w:t>;</w:t>
      </w:r>
      <w:proofErr w:type="gramEnd"/>
    </w:p>
    <w:p w14:paraId="6BC9E7E3" w14:textId="49290050" w:rsidR="00CB4428" w:rsidRDefault="00485CFB" w:rsidP="00CB4428">
      <w:pPr>
        <w:pStyle w:val="SH4"/>
      </w:pPr>
      <w:r>
        <w:tab/>
        <w:t>f</w:t>
      </w:r>
      <w:r w:rsidR="00CB4428">
        <w:t xml:space="preserve">or subtropical latitudes (23.6° - 35°) multiply by </w:t>
      </w:r>
      <w:proofErr w:type="gramStart"/>
      <w:r w:rsidR="00CB4428">
        <w:t>0.75</w:t>
      </w:r>
      <w:r w:rsidR="003752A9">
        <w:t>;</w:t>
      </w:r>
      <w:proofErr w:type="gramEnd"/>
    </w:p>
    <w:p w14:paraId="3BD1DAC3" w14:textId="67269E23" w:rsidR="00CB4428" w:rsidRDefault="00485CFB" w:rsidP="00CB4428">
      <w:pPr>
        <w:pStyle w:val="SH4"/>
      </w:pPr>
      <w:r>
        <w:tab/>
        <w:t>f</w:t>
      </w:r>
      <w:r w:rsidR="00CB4428">
        <w:t xml:space="preserve">or warm temperate latitudes (35.1° - 45°) multiply by </w:t>
      </w:r>
      <w:proofErr w:type="gramStart"/>
      <w:r w:rsidR="00CB4428">
        <w:t>0.5</w:t>
      </w:r>
      <w:r w:rsidR="003752A9">
        <w:t>;</w:t>
      </w:r>
      <w:proofErr w:type="gramEnd"/>
    </w:p>
    <w:p w14:paraId="7CC248DF" w14:textId="77777777" w:rsidR="00CB4428" w:rsidRDefault="00485CFB" w:rsidP="00CB4428">
      <w:pPr>
        <w:pStyle w:val="SH4"/>
      </w:pPr>
      <w:r>
        <w:tab/>
        <w:t>f</w:t>
      </w:r>
      <w:r w:rsidR="00CB4428">
        <w:t>or cool temperate latitudes (45.1° - 65°) multiply by 0.25.</w:t>
      </w:r>
    </w:p>
    <w:p w14:paraId="447291A4" w14:textId="77777777" w:rsidR="00CB4428" w:rsidRDefault="00CB4428" w:rsidP="00CB4428">
      <w:pPr>
        <w:pStyle w:val="ScheduleNote"/>
      </w:pPr>
      <w:r>
        <w:t>Note: sunlight exposure is calculated as the sum of sunlight exposure in each separate latitude, accounting for the different sunlight intensity in each latitude (weighting factor).</w:t>
      </w:r>
    </w:p>
    <w:p w14:paraId="7A4A1984" w14:textId="5951908D" w:rsidR="00CB4428" w:rsidRPr="00CB4428" w:rsidRDefault="00CB4428" w:rsidP="00CB4428">
      <w:pPr>
        <w:pStyle w:val="ScheduleNote"/>
      </w:pPr>
      <w:r>
        <w:t>Sum of sunlight exposure = (hours spent in tropical latitude x tropical latitude weighting factor) + (hours spent in subtropical latitude x subtropical latitude weighting factor) + (hours spent in warm temperate latitude x warm temperate latitude weighting factor) + (hours spent in cool temperate latitude x cool temperate latitude weighting factor)</w:t>
      </w:r>
      <w:r w:rsidR="003752A9">
        <w:t>.</w:t>
      </w:r>
    </w:p>
    <w:p w14:paraId="07C1CE19" w14:textId="77777777" w:rsidR="007A5E73" w:rsidRPr="007A5E73" w:rsidRDefault="007A5E73" w:rsidP="007A5E73">
      <w:pPr>
        <w:pStyle w:val="SH3"/>
      </w:pPr>
      <w:r w:rsidRPr="007A5E73">
        <w:rPr>
          <w:b/>
          <w:i/>
        </w:rPr>
        <w:t>Merkel cell carcinoma</w:t>
      </w:r>
      <w:r w:rsidRPr="007A5E73">
        <w:t>—see subsection 7(2).</w:t>
      </w:r>
    </w:p>
    <w:p w14:paraId="310C5359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40E65500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5F57A868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40E47B97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18663995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4BBC7E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52F16474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1A78711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62F5513E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83AAEF5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7E56DB5F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52ABAC7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34C5A75" w14:textId="77777777" w:rsidR="00CB4428" w:rsidRPr="00CB4428" w:rsidRDefault="00CB4428" w:rsidP="00CB4428">
      <w:pPr>
        <w:pStyle w:val="SH3"/>
      </w:pPr>
      <w:r w:rsidRPr="00CB4428">
        <w:rPr>
          <w:b/>
          <w:i/>
        </w:rPr>
        <w:t>unprotected skin</w:t>
      </w:r>
      <w:r w:rsidRPr="00CB4428">
        <w:t xml:space="preserve"> means skin that is directly exposed to the sun and is not protected by sunscreen, clothing or </w:t>
      </w:r>
      <w:proofErr w:type="gramStart"/>
      <w:r w:rsidRPr="00CB4428">
        <w:t>other</w:t>
      </w:r>
      <w:proofErr w:type="gramEnd"/>
      <w:r w:rsidRPr="00CB4428">
        <w:t xml:space="preserve"> physical barrier.</w:t>
      </w:r>
    </w:p>
    <w:p w14:paraId="1336FF24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FE6CA3D" w14:textId="77777777" w:rsidR="00CF2367" w:rsidRPr="00FA33FB" w:rsidRDefault="00CF2367" w:rsidP="00CF2367"/>
    <w:p w14:paraId="13E96EEA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D50B7EF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777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4F7EC7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060A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17D048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EB8E4A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BE92DD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A14E3EE" w14:textId="00EABEC7" w:rsidR="00681215" w:rsidRDefault="00D3210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3210C">
            <w:rPr>
              <w:bCs/>
              <w:i/>
              <w:sz w:val="18"/>
              <w:szCs w:val="18"/>
              <w:lang w:val="en-US"/>
            </w:rPr>
            <w:t>Merkel</w:t>
          </w:r>
          <w:r w:rsidRPr="00D3210C">
            <w:rPr>
              <w:i/>
              <w:sz w:val="18"/>
              <w:szCs w:val="18"/>
            </w:rPr>
            <w:t xml:space="preserve"> Cell Carcinoma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3210C">
            <w:rPr>
              <w:i/>
              <w:sz w:val="18"/>
              <w:szCs w:val="18"/>
            </w:rPr>
            <w:t>81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3210C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E78EB6B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EC260F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05B07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05B0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422E131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3164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1E53202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66BD9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8543A4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B80E456" w14:textId="011F6F5D" w:rsidR="00681215" w:rsidRDefault="00D3210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3210C">
            <w:rPr>
              <w:bCs/>
              <w:i/>
              <w:sz w:val="18"/>
              <w:szCs w:val="18"/>
              <w:lang w:val="en-US"/>
            </w:rPr>
            <w:t>Merkel</w:t>
          </w:r>
          <w:r w:rsidRPr="00D3210C">
            <w:rPr>
              <w:i/>
              <w:sz w:val="18"/>
              <w:szCs w:val="18"/>
            </w:rPr>
            <w:t xml:space="preserve"> Cell Carcinoma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3210C">
            <w:rPr>
              <w:i/>
              <w:sz w:val="18"/>
              <w:szCs w:val="18"/>
            </w:rPr>
            <w:t>81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3210C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AC4977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F2F94E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55CB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55CB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604FA1D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52EB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BB0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1955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49DB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D763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9E758F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2905" w14:textId="4595F632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8C5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664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E9A17CF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71AD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A70A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F897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A8F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51623">
    <w:abstractNumId w:val="15"/>
  </w:num>
  <w:num w:numId="2" w16cid:durableId="681468145">
    <w:abstractNumId w:val="13"/>
  </w:num>
  <w:num w:numId="3" w16cid:durableId="1023441265">
    <w:abstractNumId w:val="11"/>
  </w:num>
  <w:num w:numId="4" w16cid:durableId="1203326713">
    <w:abstractNumId w:val="10"/>
  </w:num>
  <w:num w:numId="5" w16cid:durableId="750540592">
    <w:abstractNumId w:val="14"/>
  </w:num>
  <w:num w:numId="6" w16cid:durableId="772168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902790">
    <w:abstractNumId w:val="9"/>
  </w:num>
  <w:num w:numId="8" w16cid:durableId="1658149505">
    <w:abstractNumId w:val="7"/>
  </w:num>
  <w:num w:numId="9" w16cid:durableId="2019306591">
    <w:abstractNumId w:val="6"/>
  </w:num>
  <w:num w:numId="10" w16cid:durableId="1984116473">
    <w:abstractNumId w:val="5"/>
  </w:num>
  <w:num w:numId="11" w16cid:durableId="1319114557">
    <w:abstractNumId w:val="4"/>
  </w:num>
  <w:num w:numId="12" w16cid:durableId="213734973">
    <w:abstractNumId w:val="8"/>
  </w:num>
  <w:num w:numId="13" w16cid:durableId="2027361215">
    <w:abstractNumId w:val="3"/>
  </w:num>
  <w:num w:numId="14" w16cid:durableId="2131242291">
    <w:abstractNumId w:val="2"/>
  </w:num>
  <w:num w:numId="15" w16cid:durableId="1193032047">
    <w:abstractNumId w:val="1"/>
  </w:num>
  <w:num w:numId="16" w16cid:durableId="468715855">
    <w:abstractNumId w:val="0"/>
  </w:num>
  <w:num w:numId="17" w16cid:durableId="861624446">
    <w:abstractNumId w:val="10"/>
  </w:num>
  <w:num w:numId="18" w16cid:durableId="1350259866">
    <w:abstractNumId w:val="10"/>
  </w:num>
  <w:num w:numId="19" w16cid:durableId="1784109124">
    <w:abstractNumId w:val="10"/>
  </w:num>
  <w:num w:numId="20" w16cid:durableId="1472559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1349138">
    <w:abstractNumId w:val="17"/>
  </w:num>
  <w:num w:numId="22" w16cid:durableId="431895358">
    <w:abstractNumId w:val="12"/>
  </w:num>
  <w:num w:numId="23" w16cid:durableId="18980650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1D82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E7A95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2A9"/>
    <w:rsid w:val="003802D6"/>
    <w:rsid w:val="00385187"/>
    <w:rsid w:val="003A096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85CFB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2FB7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781F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1EF0"/>
    <w:rsid w:val="006B5789"/>
    <w:rsid w:val="006B7320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02AF"/>
    <w:rsid w:val="007A15B1"/>
    <w:rsid w:val="007A3989"/>
    <w:rsid w:val="007A5E73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355D2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2BF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59E1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0B1A"/>
    <w:rsid w:val="00B33709"/>
    <w:rsid w:val="00B33B3C"/>
    <w:rsid w:val="00B34B5A"/>
    <w:rsid w:val="00B50826"/>
    <w:rsid w:val="00B50ADC"/>
    <w:rsid w:val="00B527C0"/>
    <w:rsid w:val="00B566B1"/>
    <w:rsid w:val="00B6244B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2C2C"/>
    <w:rsid w:val="00C50043"/>
    <w:rsid w:val="00C5731E"/>
    <w:rsid w:val="00C738B9"/>
    <w:rsid w:val="00C7573B"/>
    <w:rsid w:val="00C77046"/>
    <w:rsid w:val="00C93C03"/>
    <w:rsid w:val="00C95B8F"/>
    <w:rsid w:val="00C96667"/>
    <w:rsid w:val="00C9794D"/>
    <w:rsid w:val="00CA06A0"/>
    <w:rsid w:val="00CA61BB"/>
    <w:rsid w:val="00CA7414"/>
    <w:rsid w:val="00CB1DCB"/>
    <w:rsid w:val="00CB2C8E"/>
    <w:rsid w:val="00CB4428"/>
    <w:rsid w:val="00CB602E"/>
    <w:rsid w:val="00CB7412"/>
    <w:rsid w:val="00CC7039"/>
    <w:rsid w:val="00CD7B88"/>
    <w:rsid w:val="00CE051D"/>
    <w:rsid w:val="00CE1335"/>
    <w:rsid w:val="00CE2501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10C"/>
    <w:rsid w:val="00D3252E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522B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05B07"/>
    <w:rsid w:val="00E11E44"/>
    <w:rsid w:val="00E3270E"/>
    <w:rsid w:val="00E338EF"/>
    <w:rsid w:val="00E35C4E"/>
    <w:rsid w:val="00E544BB"/>
    <w:rsid w:val="00E55CB8"/>
    <w:rsid w:val="00E55F66"/>
    <w:rsid w:val="00E566F1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5B00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7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8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8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6595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2024-05-13T01:46:00Z</dcterms:created>
  <dcterms:modified xsi:type="dcterms:W3CDTF">2024-10-17T23:59:00Z</dcterms:modified>
  <cp:category/>
  <cp:contentStatus/>
  <dc:language/>
  <cp:version/>
</cp:coreProperties>
</file>