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F121" w14:textId="77777777" w:rsidR="004D4A0A" w:rsidRDefault="004D4A0A" w:rsidP="004D4A0A">
      <w:pPr>
        <w:pStyle w:val="Heading2"/>
        <w:ind w:left="0" w:firstLine="0"/>
        <w:jc w:val="center"/>
      </w:pPr>
      <w:r>
        <w:t>Explanatory Statement</w:t>
      </w:r>
    </w:p>
    <w:p w14:paraId="17545A07" w14:textId="77777777" w:rsidR="004D4A0A" w:rsidRDefault="004D4A0A" w:rsidP="004D4A0A">
      <w:pPr>
        <w:jc w:val="center"/>
        <w:rPr>
          <w:b/>
          <w:caps/>
          <w:szCs w:val="22"/>
          <w:u w:val="single"/>
          <w:lang w:bidi="ar-SA"/>
        </w:rPr>
      </w:pPr>
      <w:r>
        <w:rPr>
          <w:b/>
          <w:caps/>
          <w:u w:val="single"/>
        </w:rPr>
        <w:t>Explanatory Statement</w:t>
      </w:r>
    </w:p>
    <w:p w14:paraId="1A0E8C9F" w14:textId="77777777" w:rsidR="004D4A0A" w:rsidRDefault="004D4A0A" w:rsidP="004D4A0A"/>
    <w:p w14:paraId="3B356D94" w14:textId="77777777" w:rsidR="004D4A0A" w:rsidRDefault="004D4A0A" w:rsidP="004D4A0A">
      <w:pPr>
        <w:shd w:val="clear" w:color="auto" w:fill="FFFFFF"/>
        <w:spacing w:after="200" w:line="253" w:lineRule="atLeast"/>
        <w:jc w:val="center"/>
        <w:rPr>
          <w:rFonts w:cs="Arial"/>
          <w:color w:val="000000"/>
          <w:lang w:eastAsia="en-GB"/>
        </w:rPr>
      </w:pPr>
      <w:r>
        <w:rPr>
          <w:rFonts w:cs="Arial"/>
          <w:i/>
          <w:iCs/>
          <w:color w:val="000000"/>
          <w:lang w:val="en-AU" w:eastAsia="en-GB"/>
        </w:rPr>
        <w:t>Food Standards Australia New Zealand Act 1991</w:t>
      </w:r>
    </w:p>
    <w:p w14:paraId="0BB99AFD" w14:textId="77777777" w:rsidR="004D4A0A" w:rsidRPr="00E066FD" w:rsidRDefault="004D4A0A" w:rsidP="004D4A0A">
      <w:pPr>
        <w:jc w:val="center"/>
        <w:rPr>
          <w:rFonts w:eastAsiaTheme="minorHAnsi" w:cs="Arial"/>
          <w:b/>
          <w:bCs/>
          <w:i/>
          <w:iCs/>
        </w:rPr>
      </w:pPr>
      <w:bookmarkStart w:id="0" w:name="_Hlk123897590"/>
      <w:r w:rsidRPr="00D8156C">
        <w:rPr>
          <w:b/>
          <w:bCs/>
          <w:i/>
          <w:iCs/>
        </w:rPr>
        <w:t>Food Standards (</w:t>
      </w:r>
      <w:r w:rsidRPr="007D703B">
        <w:rPr>
          <w:b/>
          <w:bCs/>
          <w:i/>
          <w:iCs/>
        </w:rPr>
        <w:t>Proposal P1063 – Code Revision (2024) – Added Sugar(s) Claims</w:t>
      </w:r>
      <w:r w:rsidRPr="00D8156C">
        <w:rPr>
          <w:b/>
          <w:bCs/>
          <w:i/>
          <w:iCs/>
        </w:rPr>
        <w:t xml:space="preserve">) </w:t>
      </w:r>
      <w:r w:rsidRPr="00D8156C">
        <w:rPr>
          <w:rFonts w:cs="Arial"/>
          <w:b/>
          <w:bCs/>
          <w:i/>
          <w:iCs/>
        </w:rPr>
        <w:t>Variation</w:t>
      </w:r>
    </w:p>
    <w:bookmarkEnd w:id="0"/>
    <w:p w14:paraId="6A7B95AD" w14:textId="77777777" w:rsidR="004D4A0A" w:rsidRPr="00E066FD" w:rsidRDefault="004D4A0A" w:rsidP="004D4A0A"/>
    <w:p w14:paraId="222A0FC7" w14:textId="77777777" w:rsidR="004D4A0A" w:rsidRPr="000576EB" w:rsidRDefault="004D4A0A" w:rsidP="004D4A0A">
      <w:pPr>
        <w:rPr>
          <w:b/>
          <w:lang w:val="en-AU" w:eastAsia="en-GB" w:bidi="ar-SA"/>
        </w:rPr>
      </w:pPr>
      <w:r w:rsidRPr="000576EB">
        <w:rPr>
          <w:b/>
          <w:lang w:val="en-AU" w:eastAsia="en-GB" w:bidi="ar-SA"/>
        </w:rPr>
        <w:t>1.</w:t>
      </w:r>
      <w:r w:rsidRPr="000576EB">
        <w:rPr>
          <w:b/>
          <w:lang w:val="en-AU" w:eastAsia="en-GB" w:bidi="ar-SA"/>
        </w:rPr>
        <w:tab/>
        <w:t>Authority</w:t>
      </w:r>
    </w:p>
    <w:p w14:paraId="42ABF76C" w14:textId="77777777" w:rsidR="004D4A0A" w:rsidRDefault="004D4A0A" w:rsidP="004D4A0A">
      <w:pPr>
        <w:rPr>
          <w:lang w:val="en-AU" w:eastAsia="en-GB" w:bidi="ar-SA"/>
        </w:rPr>
      </w:pPr>
    </w:p>
    <w:p w14:paraId="5A3FB191" w14:textId="77777777" w:rsidR="004D4A0A" w:rsidRPr="00D13E34" w:rsidRDefault="004D4A0A" w:rsidP="004D4A0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88BDE84" w14:textId="77777777" w:rsidR="004D4A0A" w:rsidRPr="00D13E34" w:rsidRDefault="004D4A0A" w:rsidP="004D4A0A">
      <w:pPr>
        <w:widowControl/>
        <w:autoSpaceDE w:val="0"/>
        <w:autoSpaceDN w:val="0"/>
        <w:adjustRightInd w:val="0"/>
        <w:rPr>
          <w:rFonts w:eastAsia="Calibri" w:cs="Arial"/>
          <w:bCs/>
          <w:szCs w:val="22"/>
          <w:lang w:val="en-AU" w:bidi="ar-SA"/>
        </w:rPr>
      </w:pPr>
    </w:p>
    <w:p w14:paraId="08E45BCD" w14:textId="77777777" w:rsidR="004D4A0A" w:rsidRPr="00CC479A" w:rsidRDefault="004D4A0A" w:rsidP="004D4A0A">
      <w:pPr>
        <w:widowControl/>
        <w:autoSpaceDE w:val="0"/>
        <w:autoSpaceDN w:val="0"/>
        <w:adjustRightInd w:val="0"/>
        <w:rPr>
          <w:rFonts w:eastAsia="Calibri" w:cs="Arial"/>
          <w:bCs/>
          <w:szCs w:val="22"/>
          <w:lang w:val="en-AU" w:bidi="ar-SA"/>
        </w:rPr>
      </w:pPr>
      <w:r w:rsidRPr="00CC479A">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BA285E3" w14:textId="77777777" w:rsidR="004D4A0A" w:rsidRPr="00CC479A" w:rsidRDefault="004D4A0A" w:rsidP="004D4A0A">
      <w:pPr>
        <w:widowControl/>
        <w:autoSpaceDE w:val="0"/>
        <w:autoSpaceDN w:val="0"/>
        <w:adjustRightInd w:val="0"/>
        <w:rPr>
          <w:rFonts w:eastAsia="Calibri" w:cs="Arial"/>
          <w:bCs/>
          <w:szCs w:val="22"/>
          <w:lang w:val="en-AU" w:bidi="ar-SA"/>
        </w:rPr>
      </w:pPr>
    </w:p>
    <w:p w14:paraId="64F73B11" w14:textId="77777777" w:rsidR="004D4A0A" w:rsidRPr="00CC479A" w:rsidRDefault="004D4A0A" w:rsidP="004D4A0A">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CC479A">
        <w:rPr>
          <w:rFonts w:eastAsia="Calibri" w:cs="Arial"/>
          <w:bCs/>
          <w:szCs w:val="22"/>
          <w:lang w:val="en-AU" w:bidi="ar-SA"/>
        </w:rPr>
        <w:t xml:space="preserve"> prepared Proposal </w:t>
      </w:r>
      <w:r w:rsidRPr="003E2D1E">
        <w:rPr>
          <w:rFonts w:eastAsia="Calibri" w:cs="Arial"/>
          <w:bCs/>
          <w:szCs w:val="22"/>
          <w:lang w:val="en-AU" w:bidi="ar-SA"/>
        </w:rPr>
        <w:t>P1063 to make minor amendments</w:t>
      </w:r>
      <w:r w:rsidRPr="00CC479A">
        <w:rPr>
          <w:rFonts w:eastAsia="Calibri" w:cs="Arial"/>
          <w:bCs/>
          <w:szCs w:val="22"/>
          <w:lang w:val="en-AU" w:bidi="ar-SA"/>
        </w:rPr>
        <w:t xml:space="preserve"> to the Code. The Authority considered the Proposal in accordance with Division 2 of Part 3 </w:t>
      </w:r>
      <w:r w:rsidRPr="00D8156C">
        <w:rPr>
          <w:rFonts w:eastAsia="Calibri" w:cs="Arial"/>
          <w:bCs/>
          <w:szCs w:val="22"/>
          <w:lang w:val="en-AU" w:bidi="ar-SA"/>
        </w:rPr>
        <w:t xml:space="preserve">and has </w:t>
      </w:r>
      <w:r>
        <w:rPr>
          <w:rFonts w:eastAsia="Calibri" w:cs="Arial"/>
          <w:bCs/>
          <w:szCs w:val="22"/>
          <w:lang w:val="en-AU" w:bidi="ar-SA"/>
        </w:rPr>
        <w:t>approved</w:t>
      </w:r>
      <w:r w:rsidRPr="00D8156C">
        <w:rPr>
          <w:rFonts w:eastAsia="Calibri" w:cs="Arial"/>
          <w:bCs/>
          <w:szCs w:val="22"/>
          <w:lang w:val="en-AU" w:bidi="ar-SA"/>
        </w:rPr>
        <w:t xml:space="preserve"> a draft variation</w:t>
      </w:r>
      <w:r>
        <w:rPr>
          <w:rFonts w:eastAsia="Calibri" w:cs="Arial"/>
          <w:bCs/>
          <w:szCs w:val="22"/>
          <w:lang w:val="en-AU" w:bidi="ar-SA"/>
        </w:rPr>
        <w:t>:</w:t>
      </w:r>
      <w:r w:rsidRPr="00D8156C">
        <w:rPr>
          <w:rFonts w:eastAsia="Calibri" w:cs="Arial"/>
          <w:bCs/>
          <w:szCs w:val="22"/>
          <w:lang w:val="en-AU" w:bidi="ar-SA"/>
        </w:rPr>
        <w:t xml:space="preserve"> the </w:t>
      </w:r>
      <w:r w:rsidRPr="00D8156C">
        <w:rPr>
          <w:rFonts w:eastAsia="Calibri" w:cs="Arial"/>
          <w:bCs/>
          <w:i/>
          <w:iCs/>
          <w:szCs w:val="22"/>
          <w:lang w:val="en-AU" w:bidi="ar-SA"/>
        </w:rPr>
        <w:t xml:space="preserve">Food Standards (Proposal </w:t>
      </w:r>
      <w:r w:rsidRPr="007D703B">
        <w:rPr>
          <w:rFonts w:eastAsia="Calibri" w:cs="Arial"/>
          <w:bCs/>
          <w:i/>
          <w:iCs/>
          <w:szCs w:val="22"/>
          <w:lang w:val="en-AU" w:bidi="ar-SA"/>
        </w:rPr>
        <w:t>P1063 – Code Revision (2024) – Added Sugar(s) Claims</w:t>
      </w:r>
      <w:r w:rsidRPr="00D8156C">
        <w:rPr>
          <w:rFonts w:eastAsia="Calibri" w:cs="Arial"/>
          <w:bCs/>
          <w:i/>
          <w:iCs/>
          <w:szCs w:val="22"/>
          <w:lang w:val="en-AU" w:bidi="ar-SA"/>
        </w:rPr>
        <w:t>) Variation</w:t>
      </w:r>
      <w:r>
        <w:rPr>
          <w:rFonts w:eastAsia="Calibri" w:cs="Arial"/>
          <w:bCs/>
          <w:szCs w:val="22"/>
          <w:lang w:val="en-AU" w:bidi="ar-SA"/>
        </w:rPr>
        <w:t xml:space="preserve"> (the approved draft variation)</w:t>
      </w:r>
      <w:r w:rsidRPr="00D8156C" w:rsidDel="00D8607F">
        <w:rPr>
          <w:rFonts w:eastAsia="Calibri" w:cs="Arial"/>
          <w:bCs/>
          <w:szCs w:val="22"/>
          <w:lang w:val="en-AU" w:bidi="ar-SA"/>
        </w:rPr>
        <w:t>.</w:t>
      </w:r>
    </w:p>
    <w:p w14:paraId="7BA1E0B3" w14:textId="77777777" w:rsidR="004D4A0A" w:rsidRPr="00D13E34" w:rsidRDefault="004D4A0A" w:rsidP="004D4A0A">
      <w:pPr>
        <w:widowControl/>
        <w:autoSpaceDE w:val="0"/>
        <w:autoSpaceDN w:val="0"/>
        <w:adjustRightInd w:val="0"/>
        <w:rPr>
          <w:rFonts w:eastAsia="Calibri" w:cs="Arial"/>
          <w:bCs/>
          <w:szCs w:val="22"/>
          <w:lang w:val="en-AU" w:bidi="ar-SA"/>
        </w:rPr>
      </w:pPr>
    </w:p>
    <w:p w14:paraId="0C3637F4" w14:textId="77777777" w:rsidR="004D4A0A" w:rsidRDefault="004D4A0A" w:rsidP="004D4A0A">
      <w:pPr>
        <w:rPr>
          <w:b/>
          <w:lang w:val="en-AU" w:eastAsia="en-GB" w:bidi="ar-SA"/>
        </w:rPr>
      </w:pPr>
      <w:r>
        <w:rPr>
          <w:b/>
          <w:lang w:val="en-AU" w:eastAsia="en-GB" w:bidi="ar-SA"/>
        </w:rPr>
        <w:t xml:space="preserve">2. </w:t>
      </w:r>
      <w:r>
        <w:rPr>
          <w:b/>
          <w:lang w:val="en-AU" w:eastAsia="en-GB" w:bidi="ar-SA"/>
        </w:rPr>
        <w:tab/>
        <w:t>Variation is a legislative instrument</w:t>
      </w:r>
    </w:p>
    <w:p w14:paraId="170D481C" w14:textId="77777777" w:rsidR="004D4A0A" w:rsidRDefault="004D4A0A" w:rsidP="004D4A0A">
      <w:pPr>
        <w:rPr>
          <w:b/>
          <w:lang w:val="en-AU" w:eastAsia="en-GB" w:bidi="ar-SA"/>
        </w:rPr>
      </w:pPr>
    </w:p>
    <w:p w14:paraId="7394240C" w14:textId="238E0780" w:rsidR="004D4A0A" w:rsidRPr="008531CC" w:rsidRDefault="004D4A0A" w:rsidP="004D4A0A">
      <w:pPr>
        <w:rPr>
          <w:rFonts w:cs="Arial"/>
          <w:szCs w:val="22"/>
          <w:lang w:bidi="ar-SA"/>
        </w:rPr>
      </w:pPr>
      <w:r>
        <w:rPr>
          <w:rFonts w:cs="Arial"/>
        </w:rPr>
        <w:t>The approved</w:t>
      </w:r>
      <w:r w:rsidRPr="008531CC">
        <w:rPr>
          <w:rFonts w:cs="Arial"/>
        </w:rPr>
        <w:t xml:space="preserve"> draft variation</w:t>
      </w:r>
      <w:r>
        <w:rPr>
          <w:rFonts w:cs="Arial"/>
        </w:rPr>
        <w:t xml:space="preserve"> is</w:t>
      </w:r>
      <w:r w:rsidRPr="008531CC">
        <w:rPr>
          <w:rFonts w:cs="Arial"/>
        </w:rPr>
        <w:t xml:space="preserve"> a legislative instrument for the purposes of the </w:t>
      </w:r>
      <w:r w:rsidRPr="008531CC">
        <w:rPr>
          <w:rFonts w:cs="Arial"/>
          <w:i/>
          <w:iCs/>
        </w:rPr>
        <w:t>Legislation Act 2003</w:t>
      </w:r>
      <w:r w:rsidRPr="008531CC">
        <w:rPr>
          <w:rFonts w:cs="Arial"/>
        </w:rPr>
        <w:t xml:space="preserve"> (see section 94 of the FSANZ Act) and </w:t>
      </w:r>
      <w:r>
        <w:rPr>
          <w:rFonts w:cs="Arial"/>
        </w:rPr>
        <w:t>is</w:t>
      </w:r>
      <w:r w:rsidRPr="008531CC">
        <w:rPr>
          <w:rFonts w:cs="Arial"/>
        </w:rPr>
        <w:t xml:space="preserve"> publicly available on the Federal Register of Legislation (</w:t>
      </w:r>
      <w:r w:rsidRPr="00A90271">
        <w:rPr>
          <w:rFonts w:cs="Arial"/>
        </w:rPr>
        <w:t>www.legislation.gov.au</w:t>
      </w:r>
      <w:r w:rsidRPr="008531CC">
        <w:rPr>
          <w:rFonts w:cs="Arial"/>
        </w:rPr>
        <w:t>).</w:t>
      </w:r>
    </w:p>
    <w:p w14:paraId="1537E450" w14:textId="77777777" w:rsidR="004D4A0A" w:rsidRPr="008531CC" w:rsidRDefault="004D4A0A" w:rsidP="004D4A0A">
      <w:pPr>
        <w:rPr>
          <w:rFonts w:cs="Arial"/>
        </w:rPr>
      </w:pPr>
    </w:p>
    <w:p w14:paraId="1C3E7F98" w14:textId="77777777" w:rsidR="004D4A0A" w:rsidRPr="00FB45C7" w:rsidRDefault="004D4A0A" w:rsidP="004D4A0A">
      <w:pPr>
        <w:rPr>
          <w:rFonts w:cs="Arial"/>
        </w:rPr>
      </w:pPr>
      <w:r>
        <w:rPr>
          <w:rFonts w:cs="Arial"/>
        </w:rPr>
        <w:t>The</w:t>
      </w:r>
      <w:r w:rsidRPr="008531CC">
        <w:rPr>
          <w:rFonts w:cs="Arial"/>
        </w:rPr>
        <w:t xml:space="preserve"> instrument</w:t>
      </w:r>
      <w:r w:rsidRPr="008531CC" w:rsidDel="00D8607F">
        <w:rPr>
          <w:rFonts w:cs="Arial"/>
        </w:rPr>
        <w:t xml:space="preserve"> </w:t>
      </w:r>
      <w:r>
        <w:rPr>
          <w:rFonts w:cs="Arial"/>
        </w:rPr>
        <w:t>is</w:t>
      </w:r>
      <w:r w:rsidRPr="008531CC">
        <w:rPr>
          <w:rFonts w:cs="Arial"/>
        </w:rPr>
        <w:t xml:space="preserve"> not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24B1BC58" w14:textId="77777777" w:rsidR="004D4A0A" w:rsidRPr="00FB45C7" w:rsidRDefault="004D4A0A" w:rsidP="004D4A0A">
      <w:pPr>
        <w:rPr>
          <w:rFonts w:cs="Arial"/>
          <w:color w:val="0000CC"/>
        </w:rPr>
      </w:pPr>
    </w:p>
    <w:p w14:paraId="51933271" w14:textId="77777777" w:rsidR="004D4A0A" w:rsidRDefault="004D4A0A" w:rsidP="004D4A0A">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702F4EA" w14:textId="77777777" w:rsidR="004D4A0A" w:rsidRDefault="004D4A0A" w:rsidP="004D4A0A">
      <w:pPr>
        <w:rPr>
          <w:b/>
          <w:lang w:val="en-AU" w:eastAsia="en-GB" w:bidi="ar-SA"/>
        </w:rPr>
      </w:pPr>
    </w:p>
    <w:p w14:paraId="677A8302" w14:textId="77777777" w:rsidR="004D4A0A" w:rsidRDefault="004D4A0A" w:rsidP="004D4A0A">
      <w:pPr>
        <w:rPr>
          <w:b/>
          <w:lang w:val="en-AU" w:eastAsia="en-GB" w:bidi="ar-SA"/>
        </w:rPr>
      </w:pPr>
      <w:r>
        <w:rPr>
          <w:b/>
          <w:lang w:val="en-AU" w:eastAsia="en-GB" w:bidi="ar-SA"/>
        </w:rPr>
        <w:t>3.</w:t>
      </w:r>
      <w:r>
        <w:rPr>
          <w:b/>
          <w:lang w:val="en-AU" w:eastAsia="en-GB" w:bidi="ar-SA"/>
        </w:rPr>
        <w:tab/>
        <w:t xml:space="preserve">Purpose </w:t>
      </w:r>
    </w:p>
    <w:p w14:paraId="6200C0F0" w14:textId="77777777" w:rsidR="004D4A0A" w:rsidRDefault="004D4A0A" w:rsidP="004D4A0A">
      <w:pPr>
        <w:rPr>
          <w:lang w:val="en-AU" w:eastAsia="en-GB" w:bidi="ar-SA"/>
        </w:rPr>
      </w:pPr>
    </w:p>
    <w:p w14:paraId="51F68F87" w14:textId="77777777" w:rsidR="004D4A0A" w:rsidRPr="00572532" w:rsidRDefault="004D4A0A" w:rsidP="004D4A0A">
      <w:pPr>
        <w:rPr>
          <w:lang w:bidi="ar-SA"/>
        </w:rPr>
      </w:pPr>
      <w:r>
        <w:rPr>
          <w:lang w:val="en-AU" w:eastAsia="en-GB" w:bidi="ar-SA"/>
        </w:rPr>
        <w:t xml:space="preserve">The Authority approved a draft variation </w:t>
      </w:r>
      <w:r w:rsidRPr="00930C68">
        <w:rPr>
          <w:szCs w:val="22"/>
        </w:rPr>
        <w:t xml:space="preserve">to </w:t>
      </w:r>
      <w:r>
        <w:rPr>
          <w:szCs w:val="22"/>
          <w:lang w:bidi="ar-SA"/>
        </w:rPr>
        <w:t xml:space="preserve">remove a redundant term from the Code and to </w:t>
      </w:r>
      <w:r>
        <w:rPr>
          <w:szCs w:val="22"/>
        </w:rPr>
        <w:t xml:space="preserve">amend </w:t>
      </w:r>
      <w:r w:rsidRPr="00930C68">
        <w:rPr>
          <w:rFonts w:cs="Arial"/>
          <w:szCs w:val="22"/>
        </w:rPr>
        <w:t xml:space="preserve">section S4—3 of </w:t>
      </w:r>
      <w:r w:rsidRPr="00930C68">
        <w:rPr>
          <w:szCs w:val="22"/>
          <w:lang w:bidi="ar-SA"/>
        </w:rPr>
        <w:t xml:space="preserve">the Code </w:t>
      </w:r>
      <w:r>
        <w:rPr>
          <w:szCs w:val="22"/>
          <w:lang w:bidi="ar-SA"/>
        </w:rPr>
        <w:t>to remove an error and clarify the conditions for making ‘no added sugar’ nutrition content claims.</w:t>
      </w:r>
    </w:p>
    <w:p w14:paraId="7AED0DCC" w14:textId="77777777" w:rsidR="004D4A0A" w:rsidRDefault="004D4A0A" w:rsidP="004D4A0A">
      <w:pPr>
        <w:rPr>
          <w:lang w:val="en-AU" w:eastAsia="en-GB" w:bidi="ar-SA"/>
        </w:rPr>
      </w:pPr>
    </w:p>
    <w:p w14:paraId="7337508E" w14:textId="77777777" w:rsidR="004D4A0A" w:rsidRPr="000576EB" w:rsidRDefault="004D4A0A" w:rsidP="004D4A0A">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2C1A44C2" w14:textId="77777777" w:rsidR="004D4A0A" w:rsidRDefault="004D4A0A" w:rsidP="004D4A0A">
      <w:pPr>
        <w:rPr>
          <w:lang w:val="en-AU" w:eastAsia="en-GB" w:bidi="ar-SA"/>
        </w:rPr>
      </w:pPr>
    </w:p>
    <w:p w14:paraId="06CC92FB" w14:textId="77777777" w:rsidR="004D4A0A" w:rsidRDefault="004D4A0A" w:rsidP="004D4A0A">
      <w:pPr>
        <w:widowControl/>
        <w:autoSpaceDE w:val="0"/>
        <w:autoSpaceDN w:val="0"/>
        <w:adjustRightInd w:val="0"/>
        <w:rPr>
          <w:rFonts w:eastAsia="Calibri" w:cs="Arial"/>
          <w:bCs/>
          <w:szCs w:val="22"/>
          <w:lang w:val="en-AU" w:bidi="ar-SA"/>
        </w:rPr>
      </w:pPr>
      <w:r w:rsidRPr="006F62A7">
        <w:rPr>
          <w:lang w:val="en-AU" w:eastAsia="en-GB" w:bidi="ar-SA"/>
        </w:rPr>
        <w:t xml:space="preserve">The </w:t>
      </w:r>
      <w:r>
        <w:rPr>
          <w:lang w:val="en-AU" w:eastAsia="en-GB" w:bidi="ar-SA"/>
        </w:rPr>
        <w:t xml:space="preserve">approved draft </w:t>
      </w:r>
      <w:r w:rsidRPr="006F62A7">
        <w:rPr>
          <w:lang w:val="en-AU" w:eastAsia="en-GB" w:bidi="ar-SA"/>
        </w:rPr>
        <w:t xml:space="preserve">variation does not incorporate any documents by </w:t>
      </w:r>
      <w:r w:rsidRPr="006F62A7" w:rsidDel="00DD0D48">
        <w:rPr>
          <w:rFonts w:eastAsia="Calibri"/>
          <w:lang w:val="en-AU" w:eastAsia="en-GB" w:bidi="ar-SA"/>
        </w:rPr>
        <w:t>reference</w:t>
      </w:r>
      <w:r>
        <w:rPr>
          <w:rFonts w:eastAsia="Calibri" w:cs="Arial"/>
          <w:bCs/>
          <w:szCs w:val="22"/>
          <w:lang w:val="en-AU" w:bidi="ar-SA"/>
        </w:rPr>
        <w:t>.</w:t>
      </w:r>
    </w:p>
    <w:p w14:paraId="712F6C1D" w14:textId="77777777" w:rsidR="004D4A0A" w:rsidRDefault="004D4A0A" w:rsidP="004D4A0A">
      <w:pPr>
        <w:rPr>
          <w:b/>
          <w:lang w:val="en-AU" w:eastAsia="en-GB" w:bidi="ar-SA"/>
        </w:rPr>
      </w:pPr>
    </w:p>
    <w:p w14:paraId="435398EF" w14:textId="77777777" w:rsidR="004D4A0A" w:rsidRPr="000576EB" w:rsidRDefault="004D4A0A" w:rsidP="004D4A0A">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791EE129" w14:textId="77777777" w:rsidR="004D4A0A" w:rsidRDefault="004D4A0A" w:rsidP="004D4A0A">
      <w:pPr>
        <w:rPr>
          <w:lang w:val="en-AU" w:eastAsia="en-GB" w:bidi="ar-SA"/>
        </w:rPr>
      </w:pPr>
    </w:p>
    <w:p w14:paraId="30B0E804" w14:textId="77777777" w:rsidR="004D4A0A" w:rsidRPr="00621218" w:rsidRDefault="004D4A0A" w:rsidP="004D4A0A">
      <w:pPr>
        <w:rPr>
          <w:lang w:val="en-AU"/>
        </w:rPr>
      </w:pPr>
      <w:r w:rsidRPr="00F634A1">
        <w:rPr>
          <w:szCs w:val="22"/>
        </w:rPr>
        <w:t xml:space="preserve">In accordance with the procedure in </w:t>
      </w:r>
      <w:r w:rsidRPr="00CC479A">
        <w:rPr>
          <w:rFonts w:eastAsia="Calibri" w:cs="Arial"/>
          <w:bCs/>
          <w:szCs w:val="22"/>
          <w:lang w:val="en-AU" w:bidi="ar-SA"/>
        </w:rPr>
        <w:t xml:space="preserve">Division 2 of Part 3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621218">
        <w:rPr>
          <w:szCs w:val="22"/>
        </w:rPr>
        <w:t>consideration of Proposal P106</w:t>
      </w:r>
      <w:r>
        <w:rPr>
          <w:szCs w:val="22"/>
        </w:rPr>
        <w:t>3</w:t>
      </w:r>
      <w:r w:rsidRPr="00621218">
        <w:rPr>
          <w:szCs w:val="22"/>
        </w:rPr>
        <w:t xml:space="preserve"> </w:t>
      </w:r>
      <w:r>
        <w:rPr>
          <w:szCs w:val="22"/>
        </w:rPr>
        <w:t>included</w:t>
      </w:r>
      <w:r w:rsidRPr="00621218">
        <w:rPr>
          <w:szCs w:val="22"/>
        </w:rPr>
        <w:t xml:space="preserve"> one round of public consultation following an assessment and the preparation of a draft variation and associated assessment summary. </w:t>
      </w:r>
    </w:p>
    <w:p w14:paraId="0DC1C0B1" w14:textId="77777777" w:rsidR="004D4A0A" w:rsidRPr="00621218" w:rsidRDefault="004D4A0A" w:rsidP="004D4A0A"/>
    <w:p w14:paraId="5D09F49B" w14:textId="77777777" w:rsidR="004D4A0A" w:rsidRPr="002A100B" w:rsidRDefault="004D4A0A" w:rsidP="004D4A0A">
      <w:pPr>
        <w:widowControl/>
        <w:autoSpaceDE w:val="0"/>
        <w:autoSpaceDN w:val="0"/>
        <w:adjustRightInd w:val="0"/>
      </w:pPr>
      <w:r>
        <w:rPr>
          <w:lang w:val="en-AU" w:bidi="ar-SA"/>
        </w:rPr>
        <w:t xml:space="preserve">A </w:t>
      </w:r>
      <w:r>
        <w:t>regulation impact statement (</w:t>
      </w:r>
      <w:r>
        <w:rPr>
          <w:lang w:val="en-AU" w:bidi="ar-SA"/>
        </w:rPr>
        <w:t>RIS) has not been prepared for this proposal.  This is because the amendments</w:t>
      </w:r>
      <w:r w:rsidDel="00DD0D48">
        <w:rPr>
          <w:lang w:val="en-AU" w:bidi="ar-SA"/>
        </w:rPr>
        <w:t xml:space="preserve"> </w:t>
      </w:r>
      <w:r>
        <w:rPr>
          <w:lang w:val="en-AU" w:bidi="ar-SA"/>
        </w:rPr>
        <w:t>in the approved draft variation are considered unlikely to have more than a minor regulatory impact.  This is in line with previous advice from the Office of Impact Analysis (</w:t>
      </w:r>
      <w:r>
        <w:t xml:space="preserve">OIA) </w:t>
      </w:r>
      <w:r>
        <w:rPr>
          <w:lang w:val="en-AU" w:bidi="ar-SA"/>
        </w:rPr>
        <w:t xml:space="preserve">on similar proposals (for example Proposal P1061 – Code Maintenance Proposal 2023, OIA reference 22-03854).   </w:t>
      </w:r>
      <w:r>
        <w:t xml:space="preserve">Under changes to impact analysis requirements, the Authority was not required to seek confirmation from </w:t>
      </w:r>
      <w:r>
        <w:rPr>
          <w:lang w:val="en-AU" w:bidi="ar-SA"/>
        </w:rPr>
        <w:t xml:space="preserve">the </w:t>
      </w:r>
      <w:r>
        <w:t>OIA that a RIS is not required.</w:t>
      </w:r>
    </w:p>
    <w:p w14:paraId="61F9C1E3" w14:textId="77777777" w:rsidR="004D4A0A" w:rsidRDefault="004D4A0A" w:rsidP="004D4A0A">
      <w:pPr>
        <w:widowControl/>
        <w:rPr>
          <w:rFonts w:eastAsiaTheme="minorHAnsi" w:cs="Arial"/>
          <w:b/>
          <w:bCs/>
          <w:szCs w:val="22"/>
          <w:lang w:val="en-AU" w:bidi="ar-SA"/>
        </w:rPr>
      </w:pPr>
    </w:p>
    <w:p w14:paraId="45900AAA" w14:textId="77777777" w:rsidR="004D4A0A" w:rsidRDefault="004D4A0A" w:rsidP="004D4A0A">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41F5F67F" w14:textId="77777777" w:rsidR="004D4A0A" w:rsidRDefault="004D4A0A" w:rsidP="004D4A0A">
      <w:pPr>
        <w:rPr>
          <w:rFonts w:eastAsiaTheme="minorHAnsi"/>
          <w:lang w:val="en-AU" w:bidi="ar-SA"/>
        </w:rPr>
      </w:pPr>
    </w:p>
    <w:p w14:paraId="13FE3EB4" w14:textId="77777777" w:rsidR="004D4A0A" w:rsidRDefault="004D4A0A" w:rsidP="004D4A0A">
      <w:pPr>
        <w:rPr>
          <w:rFonts w:eastAsiaTheme="minorHAnsi"/>
          <w:lang w:val="en-AU" w:bidi="ar-SA"/>
        </w:rPr>
      </w:pPr>
      <w:r>
        <w:rPr>
          <w:rFonts w:eastAsiaTheme="minorHAnsi"/>
          <w:lang w:val="en-AU" w:bidi="ar-SA"/>
        </w:rPr>
        <w:t>This instrument is exempt from the requirements for a statement of compatibility with human rights as it is</w:t>
      </w:r>
      <w:r w:rsidDel="00DD0D48">
        <w:rPr>
          <w:rFonts w:eastAsiaTheme="minorHAnsi"/>
          <w:lang w:val="en-AU" w:bidi="ar-SA"/>
        </w:rPr>
        <w:t xml:space="preserve"> </w:t>
      </w:r>
      <w:r>
        <w:rPr>
          <w:rFonts w:eastAsiaTheme="minorHAnsi"/>
          <w:lang w:val="en-AU" w:bidi="ar-SA"/>
        </w:rPr>
        <w:t xml:space="preserve">a non-disallowable instrument under section 44 of the </w:t>
      </w:r>
      <w:r w:rsidRPr="00AA6C34">
        <w:rPr>
          <w:rFonts w:eastAsiaTheme="minorHAnsi"/>
          <w:i/>
          <w:iCs/>
          <w:lang w:val="en-AU" w:bidi="ar-SA"/>
        </w:rPr>
        <w:t>Legislation Act 2003</w:t>
      </w:r>
      <w:r>
        <w:rPr>
          <w:rFonts w:eastAsiaTheme="minorHAnsi"/>
          <w:lang w:val="en-AU" w:bidi="ar-SA"/>
        </w:rPr>
        <w:t>.</w:t>
      </w:r>
    </w:p>
    <w:p w14:paraId="1BB84DB1" w14:textId="77777777" w:rsidR="004D4A0A" w:rsidRDefault="004D4A0A" w:rsidP="004D4A0A">
      <w:pPr>
        <w:rPr>
          <w:rFonts w:eastAsiaTheme="minorHAnsi"/>
          <w:lang w:val="en-AU" w:bidi="ar-SA"/>
        </w:rPr>
      </w:pPr>
    </w:p>
    <w:p w14:paraId="08895206" w14:textId="77777777" w:rsidR="004D4A0A" w:rsidRPr="00DF6DA7" w:rsidRDefault="004D4A0A" w:rsidP="004D4A0A">
      <w:pPr>
        <w:rPr>
          <w:b/>
          <w:iCs/>
        </w:rPr>
      </w:pPr>
      <w:r>
        <w:rPr>
          <w:b/>
        </w:rPr>
        <w:t>7</w:t>
      </w:r>
      <w:r w:rsidRPr="00700239">
        <w:rPr>
          <w:b/>
        </w:rPr>
        <w:t>.</w:t>
      </w:r>
      <w:r w:rsidRPr="00700239">
        <w:rPr>
          <w:b/>
        </w:rPr>
        <w:tab/>
      </w:r>
      <w:r w:rsidRPr="00700239">
        <w:rPr>
          <w:b/>
          <w:lang w:val="en-AU" w:eastAsia="en-GB" w:bidi="ar-SA"/>
        </w:rPr>
        <w:t>Variation</w:t>
      </w:r>
    </w:p>
    <w:p w14:paraId="171C780A" w14:textId="77777777" w:rsidR="004D4A0A" w:rsidRDefault="004D4A0A" w:rsidP="004D4A0A">
      <w:pPr>
        <w:spacing w:before="240"/>
        <w:rPr>
          <w:rFonts w:eastAsia="Arial" w:cs="Arial"/>
          <w:color w:val="000000" w:themeColor="text1"/>
          <w:szCs w:val="22"/>
        </w:rPr>
      </w:pPr>
      <w:r>
        <w:rPr>
          <w:rFonts w:eastAsia="Arial" w:cs="Arial"/>
          <w:color w:val="000000" w:themeColor="text1"/>
          <w:szCs w:val="22"/>
        </w:rPr>
        <w:t>References to ‘the variation’ in this section are references to the approved draft variation.</w:t>
      </w:r>
    </w:p>
    <w:p w14:paraId="3A35D287" w14:textId="77777777" w:rsidR="004D4A0A" w:rsidRDefault="004D4A0A" w:rsidP="004D4A0A"/>
    <w:p w14:paraId="3DDA560A" w14:textId="77777777" w:rsidR="004D4A0A" w:rsidRPr="00BC1837" w:rsidRDefault="004D4A0A" w:rsidP="004D4A0A">
      <w:r>
        <w:t xml:space="preserve">Clause 1 of the variation provides that the name of the variation is the </w:t>
      </w:r>
      <w:r w:rsidRPr="62BFC812">
        <w:rPr>
          <w:i/>
          <w:iCs/>
        </w:rPr>
        <w:t>Food Standards (</w:t>
      </w:r>
      <w:r w:rsidRPr="00B604EA">
        <w:rPr>
          <w:i/>
          <w:iCs/>
        </w:rPr>
        <w:t>Proposal P1063</w:t>
      </w:r>
      <w:r>
        <w:rPr>
          <w:i/>
          <w:iCs/>
        </w:rPr>
        <w:t xml:space="preserve"> </w:t>
      </w:r>
      <w:r w:rsidRPr="00B604EA">
        <w:rPr>
          <w:i/>
          <w:iCs/>
        </w:rPr>
        <w:t>– Code Revision (2024) – Added Sugar(s) Claims</w:t>
      </w:r>
      <w:r w:rsidRPr="62BFC812">
        <w:rPr>
          <w:i/>
          <w:iCs/>
        </w:rPr>
        <w:t>) Variation</w:t>
      </w:r>
      <w:r w:rsidRPr="00BC1837">
        <w:rPr>
          <w:i/>
          <w:iCs/>
        </w:rPr>
        <w:t>.</w:t>
      </w:r>
    </w:p>
    <w:p w14:paraId="7C23A508" w14:textId="77777777" w:rsidR="004D4A0A" w:rsidRPr="00BC1837" w:rsidRDefault="004D4A0A" w:rsidP="004D4A0A"/>
    <w:p w14:paraId="7E7F1738" w14:textId="77777777" w:rsidR="004D4A0A" w:rsidRPr="00BC1837" w:rsidRDefault="004D4A0A" w:rsidP="004D4A0A">
      <w:r w:rsidRPr="00BC1837">
        <w:t>Clause 2 provides that the Code is amended by the Schedule to the variation.</w:t>
      </w:r>
    </w:p>
    <w:p w14:paraId="6CAAAE29" w14:textId="77777777" w:rsidR="004D4A0A" w:rsidRPr="00BC1837" w:rsidRDefault="004D4A0A" w:rsidP="004D4A0A"/>
    <w:p w14:paraId="6AE84D9C" w14:textId="77777777" w:rsidR="004D4A0A" w:rsidRPr="00CE3F6B" w:rsidRDefault="004D4A0A" w:rsidP="004D4A0A">
      <w:pPr>
        <w:rPr>
          <w:b/>
          <w:bCs/>
          <w:iCs/>
        </w:rPr>
      </w:pPr>
      <w:r w:rsidRPr="00BC1837">
        <w:t>Clause 3 provides that the variation commence</w:t>
      </w:r>
      <w:r>
        <w:t>s</w:t>
      </w:r>
      <w:r w:rsidRPr="00BC1837">
        <w:t xml:space="preserve"> on the date of gazettal of the instrument.</w:t>
      </w:r>
    </w:p>
    <w:p w14:paraId="6CF6371B" w14:textId="77777777" w:rsidR="004D4A0A" w:rsidRDefault="004D4A0A" w:rsidP="004D4A0A"/>
    <w:p w14:paraId="3CACF421" w14:textId="77777777" w:rsidR="004D4A0A" w:rsidRPr="00E970FB" w:rsidRDefault="004D4A0A" w:rsidP="004D4A0A">
      <w:pPr>
        <w:rPr>
          <w:szCs w:val="22"/>
        </w:rPr>
      </w:pPr>
      <w:r w:rsidRPr="00E970FB">
        <w:rPr>
          <w:szCs w:val="22"/>
        </w:rPr>
        <w:t xml:space="preserve">Clause 4 provides a transitional arrangement.  </w:t>
      </w:r>
    </w:p>
    <w:p w14:paraId="521E706D" w14:textId="77777777" w:rsidR="004D4A0A" w:rsidRPr="00E970FB" w:rsidRDefault="004D4A0A" w:rsidP="004D4A0A">
      <w:pPr>
        <w:rPr>
          <w:szCs w:val="22"/>
        </w:rPr>
      </w:pPr>
    </w:p>
    <w:p w14:paraId="74CBE8A6" w14:textId="77777777" w:rsidR="004D4A0A" w:rsidRPr="00A90271" w:rsidRDefault="004D4A0A" w:rsidP="004D4A0A">
      <w:pPr>
        <w:rPr>
          <w:rStyle w:val="Hyperlink"/>
          <w:rFonts w:cs="Arial"/>
          <w:color w:val="auto"/>
          <w:szCs w:val="22"/>
          <w:u w:val="none"/>
        </w:rPr>
      </w:pPr>
      <w:r w:rsidRPr="00E970FB">
        <w:rPr>
          <w:szCs w:val="22"/>
        </w:rPr>
        <w:t xml:space="preserve">The transitional arrangement mirrors the transitional arrangements provided for the amendments made to the Code by </w:t>
      </w:r>
      <w:r w:rsidRPr="00E970FB">
        <w:rPr>
          <w:rFonts w:cs="Arial"/>
          <w:i/>
          <w:szCs w:val="22"/>
        </w:rPr>
        <w:t>Proposal</w:t>
      </w:r>
      <w:r w:rsidRPr="00E970FB">
        <w:rPr>
          <w:i/>
          <w:szCs w:val="22"/>
        </w:rPr>
        <w:t xml:space="preserve"> </w:t>
      </w:r>
      <w:r w:rsidRPr="00E970FB">
        <w:rPr>
          <w:rFonts w:cs="Arial"/>
          <w:i/>
          <w:szCs w:val="22"/>
        </w:rPr>
        <w:t xml:space="preserve">P1062 - Defining added sugars for </w:t>
      </w:r>
      <w:r w:rsidRPr="00A90271">
        <w:rPr>
          <w:rFonts w:cs="Arial"/>
          <w:i/>
          <w:szCs w:val="22"/>
        </w:rPr>
        <w:t>claims</w:t>
      </w:r>
      <w:r w:rsidRPr="00A90271">
        <w:rPr>
          <w:rStyle w:val="Hyperlink"/>
          <w:rFonts w:cs="Arial"/>
          <w:color w:val="auto"/>
          <w:szCs w:val="22"/>
          <w:u w:val="none"/>
        </w:rPr>
        <w:t>. This is because the approved draft variation’s amendments are consequential to those  amendments.</w:t>
      </w:r>
    </w:p>
    <w:p w14:paraId="4DA92D74" w14:textId="77777777" w:rsidR="004D4A0A" w:rsidRPr="00A90271" w:rsidRDefault="004D4A0A" w:rsidP="004D4A0A">
      <w:pPr>
        <w:rPr>
          <w:szCs w:val="22"/>
        </w:rPr>
      </w:pPr>
    </w:p>
    <w:p w14:paraId="6E418C6F" w14:textId="77777777" w:rsidR="004D4A0A" w:rsidRPr="00E970FB" w:rsidRDefault="004D4A0A" w:rsidP="004D4A0A">
      <w:pPr>
        <w:rPr>
          <w:szCs w:val="22"/>
        </w:rPr>
      </w:pPr>
      <w:r w:rsidRPr="00E970FB">
        <w:rPr>
          <w:szCs w:val="22"/>
        </w:rPr>
        <w:t xml:space="preserve">Subclause 4(1) provides that the stock-in-trade exemption provided by section 1.1.1—9 of Standard 1.1.1 will not apply to any of the amendments made by the approved draft variation. </w:t>
      </w:r>
    </w:p>
    <w:p w14:paraId="63B58199" w14:textId="77777777" w:rsidR="004D4A0A" w:rsidRPr="00017AAF" w:rsidRDefault="004D4A0A" w:rsidP="004D4A0A">
      <w:pPr>
        <w:rPr>
          <w:color w:val="0000CC"/>
          <w:szCs w:val="22"/>
        </w:rPr>
      </w:pPr>
    </w:p>
    <w:p w14:paraId="4539AD6A" w14:textId="77777777" w:rsidR="004D4A0A" w:rsidRPr="00E970FB" w:rsidRDefault="004D4A0A" w:rsidP="004D4A0A">
      <w:r w:rsidRPr="00E970FB">
        <w:rPr>
          <w:szCs w:val="22"/>
        </w:rPr>
        <w:t>Subclause 4(2) provides an initial transitional arrangement where</w:t>
      </w:r>
      <w:r w:rsidRPr="00E970FB">
        <w:t>,</w:t>
      </w:r>
      <w:r w:rsidRPr="00E970FB">
        <w:rPr>
          <w:szCs w:val="22"/>
        </w:rPr>
        <w:t xml:space="preserve"> during a transition period, a food product may be sold if the food product complies with either the Code as in force without the amendments made by the instruments; or the Code as amended by the </w:t>
      </w:r>
      <w:r w:rsidRPr="00E970FB">
        <w:rPr>
          <w:szCs w:val="22"/>
        </w:rPr>
        <w:lastRenderedPageBreak/>
        <w:t xml:space="preserve">instruments.  Paragraph 4(4)(a) provides that </w:t>
      </w:r>
      <w:r w:rsidRPr="00E970FB">
        <w:t>‘</w:t>
      </w:r>
      <w:r w:rsidRPr="00E970FB">
        <w:rPr>
          <w:szCs w:val="22"/>
        </w:rPr>
        <w:t>the instruments</w:t>
      </w:r>
      <w:r w:rsidRPr="00E970FB">
        <w:t xml:space="preserve">’ </w:t>
      </w:r>
      <w:r w:rsidRPr="00E970FB">
        <w:rPr>
          <w:szCs w:val="22"/>
        </w:rPr>
        <w:t xml:space="preserve">for this purpose </w:t>
      </w:r>
      <w:r w:rsidRPr="00E970FB">
        <w:t>are</w:t>
      </w:r>
      <w:r w:rsidRPr="00E970FB">
        <w:rPr>
          <w:szCs w:val="22"/>
        </w:rPr>
        <w:t xml:space="preserve"> the approved draft variation</w:t>
      </w:r>
      <w:r w:rsidRPr="00E970FB">
        <w:t xml:space="preserve"> </w:t>
      </w:r>
      <w:r w:rsidRPr="00E970FB">
        <w:rPr>
          <w:szCs w:val="22"/>
        </w:rPr>
        <w:t>and the</w:t>
      </w:r>
      <w:r w:rsidRPr="00E970FB">
        <w:rPr>
          <w:i/>
          <w:szCs w:val="22"/>
        </w:rPr>
        <w:t xml:space="preserve"> Food Standards (Proposal P1062 – Defining added sugars for claims) Variation.</w:t>
      </w:r>
      <w:r w:rsidRPr="00E970FB">
        <w:t xml:space="preserve"> </w:t>
      </w:r>
      <w:r w:rsidRPr="00E970FB">
        <w:rPr>
          <w:szCs w:val="22"/>
        </w:rPr>
        <w:t>Paragraph 4(4)(</w:t>
      </w:r>
      <w:r w:rsidRPr="00E970FB">
        <w:t>b</w:t>
      </w:r>
      <w:r w:rsidRPr="00E970FB">
        <w:rPr>
          <w:szCs w:val="22"/>
        </w:rPr>
        <w:t>) provides that</w:t>
      </w:r>
      <w:r w:rsidRPr="00E970FB">
        <w:t xml:space="preserve"> </w:t>
      </w:r>
      <w:r w:rsidRPr="00E970FB">
        <w:rPr>
          <w:szCs w:val="22"/>
        </w:rPr>
        <w:t xml:space="preserve">the transition period is the period </w:t>
      </w:r>
      <w:r w:rsidRPr="00E970FB">
        <w:rPr>
          <w:rFonts w:cs="Arial"/>
          <w:szCs w:val="22"/>
          <w:lang w:eastAsia="en-AU"/>
        </w:rPr>
        <w:t xml:space="preserve">commencing on the date of commencement of </w:t>
      </w:r>
      <w:r w:rsidRPr="00E970FB">
        <w:rPr>
          <w:szCs w:val="22"/>
        </w:rPr>
        <w:t>the approved draft variation</w:t>
      </w:r>
      <w:r w:rsidRPr="00E970FB">
        <w:rPr>
          <w:rFonts w:cs="Arial"/>
          <w:lang w:eastAsia="en-AU"/>
        </w:rPr>
        <w:t xml:space="preserve"> </w:t>
      </w:r>
      <w:r w:rsidRPr="00E970FB">
        <w:rPr>
          <w:rFonts w:cs="Arial"/>
          <w:szCs w:val="22"/>
          <w:lang w:eastAsia="en-AU"/>
        </w:rPr>
        <w:t xml:space="preserve">and ending 48 months after the date of commencement of </w:t>
      </w:r>
      <w:r w:rsidRPr="00E970FB">
        <w:rPr>
          <w:szCs w:val="22"/>
        </w:rPr>
        <w:t xml:space="preserve">the </w:t>
      </w:r>
      <w:r w:rsidRPr="00E970FB">
        <w:rPr>
          <w:i/>
          <w:szCs w:val="22"/>
        </w:rPr>
        <w:t>Food Standards (Proposal P1062 – Defining added sugars for claims) Variation</w:t>
      </w:r>
      <w:r w:rsidRPr="00E970FB">
        <w:rPr>
          <w:i/>
        </w:rPr>
        <w:t>.</w:t>
      </w:r>
    </w:p>
    <w:p w14:paraId="50BE8563" w14:textId="77777777" w:rsidR="004D4A0A" w:rsidRPr="00017AAF" w:rsidRDefault="004D4A0A" w:rsidP="004D4A0A">
      <w:pPr>
        <w:rPr>
          <w:color w:val="0000CC"/>
          <w:szCs w:val="22"/>
        </w:rPr>
      </w:pPr>
    </w:p>
    <w:p w14:paraId="3810048D" w14:textId="77777777" w:rsidR="004D4A0A" w:rsidRPr="00E970FB" w:rsidRDefault="004D4A0A" w:rsidP="004D4A0A">
      <w:r w:rsidRPr="00E970FB">
        <w:rPr>
          <w:szCs w:val="22"/>
        </w:rPr>
        <w:t>Subclause 4(2) provides a subsequent transitional arrangement where during a post</w:t>
      </w:r>
      <w:r w:rsidRPr="00E970FB">
        <w:rPr>
          <w:szCs w:val="22"/>
        </w:rPr>
        <w:noBreakHyphen/>
        <w:t>transition period a food product that was packaged and labelled before the end of initial four year transition period, may be sold if the product complies with either the Code as in force without the amendments made by the instruments</w:t>
      </w:r>
      <w:r w:rsidRPr="00E970FB">
        <w:t xml:space="preserve"> (as defined by pa</w:t>
      </w:r>
      <w:r w:rsidRPr="00E970FB">
        <w:rPr>
          <w:szCs w:val="22"/>
        </w:rPr>
        <w:t>ragraph 4(4)(a)</w:t>
      </w:r>
      <w:r w:rsidRPr="00E970FB">
        <w:t>)</w:t>
      </w:r>
      <w:r w:rsidRPr="00E970FB">
        <w:rPr>
          <w:szCs w:val="22"/>
        </w:rPr>
        <w:t xml:space="preserve">; or the Code as amended by the instruments.  </w:t>
      </w:r>
    </w:p>
    <w:p w14:paraId="598B6A0A" w14:textId="77777777" w:rsidR="004D4A0A" w:rsidRPr="00E970FB" w:rsidRDefault="004D4A0A" w:rsidP="004D4A0A"/>
    <w:p w14:paraId="546FF326" w14:textId="77777777" w:rsidR="004D4A0A" w:rsidRPr="00E970FB" w:rsidRDefault="004D4A0A" w:rsidP="004D4A0A">
      <w:pPr>
        <w:rPr>
          <w:szCs w:val="22"/>
        </w:rPr>
      </w:pPr>
      <w:r w:rsidRPr="00E970FB">
        <w:rPr>
          <w:szCs w:val="22"/>
        </w:rPr>
        <w:t>Paragraph 4(4)(c) provides that the post</w:t>
      </w:r>
      <w:r w:rsidRPr="00E970FB">
        <w:rPr>
          <w:szCs w:val="22"/>
        </w:rPr>
        <w:noBreakHyphen/>
        <w:t xml:space="preserve">transition period is a period of </w:t>
      </w:r>
      <w:r w:rsidRPr="00E970FB">
        <w:rPr>
          <w:rFonts w:cs="Arial"/>
          <w:szCs w:val="22"/>
          <w:lang w:eastAsia="en-AU"/>
        </w:rPr>
        <w:t>24 months that commences on the day after the transition period ends</w:t>
      </w:r>
      <w:r w:rsidRPr="00E970FB">
        <w:rPr>
          <w:i/>
          <w:szCs w:val="22"/>
        </w:rPr>
        <w:t>.</w:t>
      </w:r>
    </w:p>
    <w:p w14:paraId="65CFD9C3" w14:textId="77777777" w:rsidR="004D4A0A" w:rsidRPr="00017AAF" w:rsidRDefault="004D4A0A" w:rsidP="004D4A0A">
      <w:pPr>
        <w:rPr>
          <w:color w:val="0000CC"/>
          <w:szCs w:val="22"/>
        </w:rPr>
      </w:pPr>
    </w:p>
    <w:p w14:paraId="71E1E953" w14:textId="77777777" w:rsidR="004D4A0A" w:rsidRDefault="004D4A0A" w:rsidP="004D4A0A">
      <w:pPr>
        <w:rPr>
          <w:szCs w:val="22"/>
        </w:rPr>
      </w:pPr>
      <w:r w:rsidRPr="00483EF7">
        <w:rPr>
          <w:szCs w:val="22"/>
        </w:rPr>
        <w:t>Item</w:t>
      </w:r>
      <w:r>
        <w:rPr>
          <w:szCs w:val="22"/>
        </w:rPr>
        <w:t>s</w:t>
      </w:r>
      <w:r w:rsidRPr="00483EF7">
        <w:rPr>
          <w:szCs w:val="22"/>
        </w:rPr>
        <w:t xml:space="preserve"> [1] </w:t>
      </w:r>
      <w:r>
        <w:rPr>
          <w:szCs w:val="22"/>
        </w:rPr>
        <w:t xml:space="preserve">to [6] of </w:t>
      </w:r>
      <w:r w:rsidRPr="00483EF7">
        <w:rPr>
          <w:szCs w:val="22"/>
        </w:rPr>
        <w:t>the Schedule to the variation</w:t>
      </w:r>
      <w:r w:rsidRPr="00483EF7" w:rsidDel="006768D0">
        <w:rPr>
          <w:szCs w:val="22"/>
        </w:rPr>
        <w:t xml:space="preserve"> </w:t>
      </w:r>
      <w:r>
        <w:rPr>
          <w:szCs w:val="22"/>
        </w:rPr>
        <w:t>amend Standards and Schedules in the Code.</w:t>
      </w:r>
    </w:p>
    <w:p w14:paraId="02C10D0B" w14:textId="77777777" w:rsidR="004D4A0A" w:rsidRDefault="004D4A0A" w:rsidP="004D4A0A">
      <w:pPr>
        <w:rPr>
          <w:szCs w:val="22"/>
        </w:rPr>
      </w:pPr>
    </w:p>
    <w:p w14:paraId="431E0416" w14:textId="77777777" w:rsidR="004D4A0A" w:rsidRDefault="004D4A0A" w:rsidP="004D4A0A">
      <w:pPr>
        <w:rPr>
          <w:szCs w:val="22"/>
        </w:rPr>
      </w:pPr>
      <w:r w:rsidRPr="00483EF7">
        <w:rPr>
          <w:szCs w:val="22"/>
        </w:rPr>
        <w:t>Item [1] amend</w:t>
      </w:r>
      <w:r>
        <w:rPr>
          <w:szCs w:val="22"/>
        </w:rPr>
        <w:t>s</w:t>
      </w:r>
      <w:r w:rsidRPr="00483EF7">
        <w:rPr>
          <w:szCs w:val="22"/>
        </w:rPr>
        <w:t xml:space="preserve"> the definition of </w:t>
      </w:r>
      <w:r w:rsidRPr="00483EF7">
        <w:rPr>
          <w:i/>
          <w:iCs/>
          <w:szCs w:val="22"/>
        </w:rPr>
        <w:t>sugars</w:t>
      </w:r>
      <w:r w:rsidRPr="00483EF7">
        <w:rPr>
          <w:szCs w:val="22"/>
        </w:rPr>
        <w:t xml:space="preserve"> in subsection 1.1.2—2(2) of the Code. The Item</w:t>
      </w:r>
      <w:r w:rsidRPr="00483EF7" w:rsidDel="00DD0D48">
        <w:rPr>
          <w:szCs w:val="22"/>
        </w:rPr>
        <w:t xml:space="preserve"> </w:t>
      </w:r>
      <w:r w:rsidRPr="00483EF7">
        <w:rPr>
          <w:szCs w:val="22"/>
        </w:rPr>
        <w:t>remove</w:t>
      </w:r>
      <w:r>
        <w:rPr>
          <w:szCs w:val="22"/>
        </w:rPr>
        <w:t>s</w:t>
      </w:r>
      <w:r w:rsidRPr="00483EF7">
        <w:rPr>
          <w:szCs w:val="22"/>
        </w:rPr>
        <w:t xml:space="preserve"> the following words from paragraph (a) of that definition ‘</w:t>
      </w:r>
      <w:r w:rsidRPr="001D5B76">
        <w:rPr>
          <w:szCs w:val="22"/>
        </w:rPr>
        <w:t>(except where it appears with an asterisk as ‘sugars*’)’.  The</w:t>
      </w:r>
      <w:r>
        <w:rPr>
          <w:szCs w:val="22"/>
        </w:rPr>
        <w:t>se words and the</w:t>
      </w:r>
      <w:r w:rsidRPr="001D5B76">
        <w:rPr>
          <w:szCs w:val="22"/>
        </w:rPr>
        <w:t xml:space="preserve"> term ‘sugars*’ </w:t>
      </w:r>
      <w:r>
        <w:rPr>
          <w:szCs w:val="22"/>
        </w:rPr>
        <w:t>were</w:t>
      </w:r>
      <w:r w:rsidRPr="001D5B76">
        <w:rPr>
          <w:szCs w:val="22"/>
        </w:rPr>
        <w:t xml:space="preserve"> made redundant by amendments to the Code made by </w:t>
      </w:r>
      <w:r w:rsidRPr="0099121B">
        <w:rPr>
          <w:i/>
          <w:szCs w:val="22"/>
        </w:rPr>
        <w:t>Proposal P1062 - Defining added sugars for claims</w:t>
      </w:r>
      <w:r w:rsidRPr="001D5B76">
        <w:rPr>
          <w:szCs w:val="22"/>
        </w:rPr>
        <w:t xml:space="preserve">. </w:t>
      </w:r>
      <w:r>
        <w:rPr>
          <w:szCs w:val="22"/>
        </w:rPr>
        <w:t>Those amendments in effect</w:t>
      </w:r>
      <w:r w:rsidRPr="001D5B76">
        <w:rPr>
          <w:szCs w:val="22"/>
        </w:rPr>
        <w:t xml:space="preserve"> removed the provisions </w:t>
      </w:r>
      <w:r>
        <w:rPr>
          <w:szCs w:val="22"/>
        </w:rPr>
        <w:t xml:space="preserve">of the Code </w:t>
      </w:r>
      <w:r w:rsidRPr="001D5B76">
        <w:rPr>
          <w:szCs w:val="22"/>
        </w:rPr>
        <w:t>that used and relied on that term.</w:t>
      </w:r>
    </w:p>
    <w:p w14:paraId="718F9676" w14:textId="77777777" w:rsidR="004D4A0A" w:rsidRDefault="004D4A0A" w:rsidP="004D4A0A">
      <w:pPr>
        <w:rPr>
          <w:szCs w:val="22"/>
        </w:rPr>
      </w:pPr>
    </w:p>
    <w:p w14:paraId="2C8C0EE0" w14:textId="77777777" w:rsidR="004D4A0A" w:rsidRDefault="004D4A0A" w:rsidP="004D4A0A">
      <w:pPr>
        <w:rPr>
          <w:szCs w:val="22"/>
        </w:rPr>
      </w:pPr>
      <w:r w:rsidRPr="00483EF7">
        <w:rPr>
          <w:szCs w:val="22"/>
        </w:rPr>
        <w:t>Item [</w:t>
      </w:r>
      <w:r>
        <w:rPr>
          <w:szCs w:val="22"/>
        </w:rPr>
        <w:t>2</w:t>
      </w:r>
      <w:r w:rsidRPr="00483EF7">
        <w:rPr>
          <w:szCs w:val="22"/>
        </w:rPr>
        <w:t xml:space="preserve">] </w:t>
      </w:r>
      <w:r>
        <w:rPr>
          <w:szCs w:val="22"/>
        </w:rPr>
        <w:t>removes</w:t>
      </w:r>
      <w:r>
        <w:t xml:space="preserve"> the</w:t>
      </w:r>
      <w:r w:rsidDel="00F30B52">
        <w:t xml:space="preserve"> </w:t>
      </w:r>
      <w:r>
        <w:t xml:space="preserve">words </w:t>
      </w:r>
      <w:r w:rsidRPr="00483EF7">
        <w:rPr>
          <w:szCs w:val="22"/>
        </w:rPr>
        <w:t>‘</w:t>
      </w:r>
      <w:r w:rsidRPr="00E851FE">
        <w:rPr>
          <w:szCs w:val="22"/>
        </w:rPr>
        <w:t>(except where it appears with an asterisk as ‘sugars*’)’</w:t>
      </w:r>
      <w:r>
        <w:rPr>
          <w:szCs w:val="22"/>
        </w:rPr>
        <w:t xml:space="preserve"> </w:t>
      </w:r>
      <w:r>
        <w:t>from the definition of</w:t>
      </w:r>
      <w:r w:rsidRPr="00483EF7">
        <w:rPr>
          <w:szCs w:val="22"/>
        </w:rPr>
        <w:t xml:space="preserve"> </w:t>
      </w:r>
      <w:r w:rsidRPr="00483EF7">
        <w:rPr>
          <w:i/>
          <w:iCs/>
          <w:szCs w:val="22"/>
        </w:rPr>
        <w:t>sugars</w:t>
      </w:r>
      <w:r w:rsidRPr="00483EF7">
        <w:rPr>
          <w:szCs w:val="22"/>
        </w:rPr>
        <w:t xml:space="preserve"> in </w:t>
      </w:r>
      <w:r>
        <w:rPr>
          <w:szCs w:val="22"/>
        </w:rPr>
        <w:t xml:space="preserve">Note 1 to </w:t>
      </w:r>
      <w:r>
        <w:t>section 1.2.7—2</w:t>
      </w:r>
      <w:r>
        <w:rPr>
          <w:szCs w:val="22"/>
        </w:rPr>
        <w:t>. The reason for this amendment is explained above.</w:t>
      </w:r>
    </w:p>
    <w:p w14:paraId="14237155" w14:textId="77777777" w:rsidR="004D4A0A" w:rsidRDefault="004D4A0A" w:rsidP="004D4A0A">
      <w:pPr>
        <w:rPr>
          <w:szCs w:val="22"/>
        </w:rPr>
      </w:pPr>
    </w:p>
    <w:p w14:paraId="2EBF8812" w14:textId="77777777" w:rsidR="004D4A0A" w:rsidRDefault="004D4A0A" w:rsidP="004D4A0A">
      <w:pPr>
        <w:rPr>
          <w:szCs w:val="22"/>
        </w:rPr>
      </w:pPr>
      <w:r w:rsidRPr="00483EF7">
        <w:rPr>
          <w:szCs w:val="22"/>
        </w:rPr>
        <w:t>Item [</w:t>
      </w:r>
      <w:r>
        <w:rPr>
          <w:szCs w:val="22"/>
        </w:rPr>
        <w:t>3</w:t>
      </w:r>
      <w:r w:rsidRPr="00483EF7">
        <w:rPr>
          <w:szCs w:val="22"/>
        </w:rPr>
        <w:t>] amend</w:t>
      </w:r>
      <w:r>
        <w:rPr>
          <w:szCs w:val="22"/>
        </w:rPr>
        <w:t>s</w:t>
      </w:r>
      <w:r w:rsidRPr="00483EF7">
        <w:rPr>
          <w:szCs w:val="22"/>
        </w:rPr>
        <w:t xml:space="preserve"> </w:t>
      </w:r>
      <w:r>
        <w:rPr>
          <w:szCs w:val="22"/>
        </w:rPr>
        <w:t xml:space="preserve">Note 1 to </w:t>
      </w:r>
      <w:r>
        <w:t>section 1</w:t>
      </w:r>
      <w:r w:rsidRPr="00B9272C">
        <w:t>.</w:t>
      </w:r>
      <w:r>
        <w:t>2</w:t>
      </w:r>
      <w:r w:rsidRPr="00B9272C">
        <w:t>.</w:t>
      </w:r>
      <w:r>
        <w:t>8</w:t>
      </w:r>
      <w:r w:rsidRPr="00B9272C">
        <w:t>—</w:t>
      </w:r>
      <w:r>
        <w:t>4</w:t>
      </w:r>
      <w:r w:rsidRPr="00B9272C">
        <w:t xml:space="preserve"> </w:t>
      </w:r>
      <w:r>
        <w:t>by removing the following words from the definition of</w:t>
      </w:r>
      <w:r w:rsidRPr="00483EF7">
        <w:rPr>
          <w:szCs w:val="22"/>
        </w:rPr>
        <w:t xml:space="preserve"> </w:t>
      </w:r>
      <w:r w:rsidRPr="00483EF7">
        <w:rPr>
          <w:i/>
          <w:iCs/>
          <w:szCs w:val="22"/>
        </w:rPr>
        <w:t>sugars</w:t>
      </w:r>
      <w:r w:rsidRPr="00483EF7">
        <w:rPr>
          <w:szCs w:val="22"/>
        </w:rPr>
        <w:t xml:space="preserve"> in </w:t>
      </w:r>
      <w:r>
        <w:rPr>
          <w:szCs w:val="22"/>
        </w:rPr>
        <w:t xml:space="preserve">that Note </w:t>
      </w:r>
      <w:r w:rsidRPr="00483EF7">
        <w:rPr>
          <w:szCs w:val="22"/>
        </w:rPr>
        <w:t>‘</w:t>
      </w:r>
      <w:r w:rsidRPr="00E851FE">
        <w:rPr>
          <w:szCs w:val="22"/>
        </w:rPr>
        <w:t>(except where it appears with an asterisk as ‘sugars*’)’</w:t>
      </w:r>
      <w:r>
        <w:rPr>
          <w:szCs w:val="22"/>
        </w:rPr>
        <w:t>. The reason for this amendment is explained above.</w:t>
      </w:r>
    </w:p>
    <w:p w14:paraId="04D3EB3E" w14:textId="77777777" w:rsidR="004D4A0A" w:rsidRDefault="004D4A0A" w:rsidP="004D4A0A">
      <w:pPr>
        <w:rPr>
          <w:szCs w:val="22"/>
        </w:rPr>
      </w:pPr>
    </w:p>
    <w:p w14:paraId="50F44EB0" w14:textId="77777777" w:rsidR="004D4A0A" w:rsidRDefault="004D4A0A" w:rsidP="004D4A0A">
      <w:pPr>
        <w:rPr>
          <w:szCs w:val="22"/>
        </w:rPr>
      </w:pPr>
      <w:r w:rsidRPr="00483EF7">
        <w:rPr>
          <w:szCs w:val="22"/>
        </w:rPr>
        <w:t>Item [</w:t>
      </w:r>
      <w:r>
        <w:rPr>
          <w:szCs w:val="22"/>
        </w:rPr>
        <w:t>4</w:t>
      </w:r>
      <w:r w:rsidRPr="00483EF7">
        <w:rPr>
          <w:szCs w:val="22"/>
        </w:rPr>
        <w:t>] amend</w:t>
      </w:r>
      <w:r>
        <w:rPr>
          <w:szCs w:val="22"/>
        </w:rPr>
        <w:t>s</w:t>
      </w:r>
      <w:r w:rsidRPr="00483EF7">
        <w:rPr>
          <w:szCs w:val="22"/>
        </w:rPr>
        <w:t xml:space="preserve"> </w:t>
      </w:r>
      <w:r>
        <w:rPr>
          <w:szCs w:val="22"/>
        </w:rPr>
        <w:t xml:space="preserve">paragraph (a) of the definition of </w:t>
      </w:r>
      <w:r w:rsidRPr="001D5B76">
        <w:rPr>
          <w:i/>
          <w:iCs/>
          <w:szCs w:val="22"/>
        </w:rPr>
        <w:t>sugars</w:t>
      </w:r>
      <w:r>
        <w:rPr>
          <w:szCs w:val="22"/>
        </w:rPr>
        <w:t xml:space="preserve"> in Note 1 to </w:t>
      </w:r>
      <w:r>
        <w:t>section 2.6</w:t>
      </w:r>
      <w:r w:rsidRPr="00B9272C">
        <w:t>.</w:t>
      </w:r>
      <w:r>
        <w:t>2</w:t>
      </w:r>
      <w:r w:rsidRPr="00B9272C">
        <w:t>—</w:t>
      </w:r>
      <w:r>
        <w:t>2</w:t>
      </w:r>
      <w:r w:rsidRPr="00B9272C">
        <w:t xml:space="preserve"> </w:t>
      </w:r>
      <w:r>
        <w:t xml:space="preserve">by removing the following words from that paragraph </w:t>
      </w:r>
      <w:r w:rsidRPr="00483EF7">
        <w:rPr>
          <w:szCs w:val="22"/>
        </w:rPr>
        <w:t>‘</w:t>
      </w:r>
      <w:r w:rsidRPr="00E851FE">
        <w:rPr>
          <w:szCs w:val="22"/>
        </w:rPr>
        <w:t>(except where it appears with an asterisk as ‘sugars*’)’</w:t>
      </w:r>
      <w:r>
        <w:rPr>
          <w:szCs w:val="22"/>
        </w:rPr>
        <w:t>. The reason for this amendment is explained above.</w:t>
      </w:r>
    </w:p>
    <w:p w14:paraId="477B935F" w14:textId="77777777" w:rsidR="004D4A0A" w:rsidRDefault="004D4A0A" w:rsidP="004D4A0A">
      <w:pPr>
        <w:rPr>
          <w:szCs w:val="22"/>
        </w:rPr>
      </w:pPr>
    </w:p>
    <w:p w14:paraId="6AD190C1" w14:textId="77777777" w:rsidR="004D4A0A" w:rsidRDefault="004D4A0A" w:rsidP="004D4A0A">
      <w:pPr>
        <w:rPr>
          <w:szCs w:val="22"/>
        </w:rPr>
      </w:pPr>
      <w:r w:rsidRPr="00307BD5">
        <w:rPr>
          <w:szCs w:val="22"/>
        </w:rPr>
        <w:t xml:space="preserve">Item [5] </w:t>
      </w:r>
      <w:r>
        <w:rPr>
          <w:szCs w:val="22"/>
        </w:rPr>
        <w:t>repeals and replaces</w:t>
      </w:r>
      <w:r w:rsidRPr="00307BD5">
        <w:rPr>
          <w:szCs w:val="22"/>
        </w:rPr>
        <w:t xml:space="preserve"> the Note to section S4—2. The </w:t>
      </w:r>
      <w:r>
        <w:rPr>
          <w:szCs w:val="22"/>
        </w:rPr>
        <w:t xml:space="preserve">amendment made by the </w:t>
      </w:r>
      <w:r w:rsidRPr="00307BD5">
        <w:rPr>
          <w:szCs w:val="22"/>
        </w:rPr>
        <w:t>Item replace</w:t>
      </w:r>
      <w:r>
        <w:rPr>
          <w:szCs w:val="22"/>
        </w:rPr>
        <w:t>s</w:t>
      </w:r>
      <w:r w:rsidRPr="00307BD5">
        <w:rPr>
          <w:szCs w:val="22"/>
        </w:rPr>
        <w:t xml:space="preserve"> the current definition of </w:t>
      </w:r>
      <w:r w:rsidRPr="00307BD5">
        <w:rPr>
          <w:i/>
          <w:iCs/>
          <w:szCs w:val="22"/>
        </w:rPr>
        <w:t xml:space="preserve">sugars </w:t>
      </w:r>
      <w:r w:rsidRPr="001D5B76">
        <w:rPr>
          <w:szCs w:val="22"/>
        </w:rPr>
        <w:t>in that Note</w:t>
      </w:r>
      <w:r w:rsidRPr="00307BD5">
        <w:rPr>
          <w:szCs w:val="22"/>
        </w:rPr>
        <w:t xml:space="preserve"> with a new definition of </w:t>
      </w:r>
      <w:r w:rsidRPr="001D5B76">
        <w:rPr>
          <w:i/>
          <w:iCs/>
          <w:szCs w:val="22"/>
        </w:rPr>
        <w:t>sugars</w:t>
      </w:r>
      <w:r w:rsidRPr="00307BD5">
        <w:rPr>
          <w:szCs w:val="22"/>
        </w:rPr>
        <w:t xml:space="preserve">. The effect of the amendment </w:t>
      </w:r>
      <w:r>
        <w:rPr>
          <w:szCs w:val="22"/>
        </w:rPr>
        <w:t>is</w:t>
      </w:r>
      <w:r w:rsidRPr="00307BD5">
        <w:rPr>
          <w:szCs w:val="22"/>
        </w:rPr>
        <w:t xml:space="preserve"> to remove the words ‘(except where it appears with an asterisk as ‘sugars*’)’</w:t>
      </w:r>
      <w:r>
        <w:rPr>
          <w:szCs w:val="22"/>
        </w:rPr>
        <w:t xml:space="preserve"> </w:t>
      </w:r>
      <w:r w:rsidRPr="00307BD5">
        <w:rPr>
          <w:szCs w:val="22"/>
        </w:rPr>
        <w:t xml:space="preserve">from </w:t>
      </w:r>
      <w:r>
        <w:rPr>
          <w:szCs w:val="22"/>
        </w:rPr>
        <w:t>the</w:t>
      </w:r>
      <w:r w:rsidRPr="00307BD5">
        <w:rPr>
          <w:szCs w:val="22"/>
        </w:rPr>
        <w:t xml:space="preserve"> definition</w:t>
      </w:r>
      <w:r>
        <w:rPr>
          <w:szCs w:val="22"/>
        </w:rPr>
        <w:t>.</w:t>
      </w:r>
      <w:r w:rsidRPr="00307BD5">
        <w:rPr>
          <w:szCs w:val="22"/>
        </w:rPr>
        <w:t xml:space="preserve"> The amendment also remove</w:t>
      </w:r>
      <w:r>
        <w:rPr>
          <w:szCs w:val="22"/>
        </w:rPr>
        <w:t>s</w:t>
      </w:r>
      <w:r w:rsidRPr="00307BD5">
        <w:rPr>
          <w:szCs w:val="22"/>
        </w:rPr>
        <w:t xml:space="preserve"> the Note to </w:t>
      </w:r>
      <w:r>
        <w:rPr>
          <w:szCs w:val="22"/>
        </w:rPr>
        <w:t>the</w:t>
      </w:r>
      <w:r w:rsidRPr="00307BD5">
        <w:rPr>
          <w:szCs w:val="22"/>
        </w:rPr>
        <w:t xml:space="preserve"> definition of sugars</w:t>
      </w:r>
      <w:r>
        <w:rPr>
          <w:szCs w:val="22"/>
        </w:rPr>
        <w:t>,</w:t>
      </w:r>
      <w:r w:rsidRPr="00307BD5">
        <w:rPr>
          <w:szCs w:val="22"/>
        </w:rPr>
        <w:t xml:space="preserve"> </w:t>
      </w:r>
      <w:r>
        <w:rPr>
          <w:szCs w:val="22"/>
        </w:rPr>
        <w:t>which</w:t>
      </w:r>
      <w:r w:rsidRPr="00307BD5">
        <w:rPr>
          <w:szCs w:val="22"/>
        </w:rPr>
        <w:t xml:space="preserve"> states ‘</w:t>
      </w:r>
      <w:r w:rsidRPr="001D5B76">
        <w:rPr>
          <w:i/>
          <w:iCs/>
          <w:szCs w:val="22"/>
        </w:rPr>
        <w:t>Sugars*</w:t>
      </w:r>
      <w:r w:rsidRPr="001D5B76">
        <w:rPr>
          <w:b/>
          <w:bCs/>
          <w:i/>
          <w:iCs/>
          <w:szCs w:val="22"/>
        </w:rPr>
        <w:t xml:space="preserve"> </w:t>
      </w:r>
      <w:r w:rsidRPr="001D5B76">
        <w:rPr>
          <w:szCs w:val="22"/>
        </w:rPr>
        <w:t>is relevant for claims about no added sugar.’</w:t>
      </w:r>
    </w:p>
    <w:p w14:paraId="04AB35E0" w14:textId="77777777" w:rsidR="004D4A0A" w:rsidRDefault="004D4A0A" w:rsidP="004D4A0A">
      <w:pPr>
        <w:rPr>
          <w:szCs w:val="22"/>
        </w:rPr>
      </w:pPr>
    </w:p>
    <w:p w14:paraId="373E8C4C" w14:textId="77777777" w:rsidR="004D4A0A" w:rsidRDefault="004D4A0A" w:rsidP="004D4A0A">
      <w:pPr>
        <w:rPr>
          <w:rFonts w:cs="Arial"/>
          <w:szCs w:val="22"/>
        </w:rPr>
      </w:pPr>
      <w:r w:rsidRPr="0099121B">
        <w:rPr>
          <w:szCs w:val="22"/>
        </w:rPr>
        <w:t>Item [6] of the Schedule amends the table to section S4—3 of the Code</w:t>
      </w:r>
      <w:r>
        <w:rPr>
          <w:szCs w:val="22"/>
        </w:rPr>
        <w:t xml:space="preserve">. The Item amends </w:t>
      </w:r>
      <w:r w:rsidRPr="00F30B52">
        <w:rPr>
          <w:rFonts w:cs="Arial"/>
          <w:szCs w:val="22"/>
        </w:rPr>
        <w:t>the entry in that table dealing with the property of food “Sugar or sugars”</w:t>
      </w:r>
      <w:r w:rsidRPr="0099121B">
        <w:rPr>
          <w:rFonts w:cs="Arial"/>
          <w:szCs w:val="22"/>
        </w:rPr>
        <w:t>.</w:t>
      </w:r>
      <w:r w:rsidRPr="00F30B52">
        <w:rPr>
          <w:rFonts w:cs="Arial"/>
          <w:szCs w:val="22"/>
        </w:rPr>
        <w:t xml:space="preserve"> </w:t>
      </w:r>
      <w:r w:rsidRPr="00931A27">
        <w:rPr>
          <w:rFonts w:cs="Arial"/>
          <w:szCs w:val="22"/>
        </w:rPr>
        <w:t xml:space="preserve"> </w:t>
      </w:r>
      <w:r>
        <w:rPr>
          <w:rFonts w:cs="Arial"/>
          <w:szCs w:val="22"/>
        </w:rPr>
        <w:t xml:space="preserve">It </w:t>
      </w:r>
      <w:r>
        <w:rPr>
          <w:szCs w:val="22"/>
        </w:rPr>
        <w:t xml:space="preserve">repeals and replaces </w:t>
      </w:r>
      <w:r>
        <w:rPr>
          <w:rFonts w:cs="Arial"/>
          <w:szCs w:val="22"/>
        </w:rPr>
        <w:t>the</w:t>
      </w:r>
      <w:r w:rsidRPr="00F30B52">
        <w:rPr>
          <w:rFonts w:cs="Arial"/>
          <w:szCs w:val="22"/>
        </w:rPr>
        <w:t xml:space="preserve"> conditions listed in column 4 for the use </w:t>
      </w:r>
      <w:r>
        <w:rPr>
          <w:rFonts w:cs="Arial"/>
          <w:szCs w:val="22"/>
        </w:rPr>
        <w:t>of the descriptor ‘No added’</w:t>
      </w:r>
      <w:r w:rsidRPr="00F30B52">
        <w:rPr>
          <w:rFonts w:cs="Arial"/>
          <w:szCs w:val="22"/>
        </w:rPr>
        <w:t xml:space="preserve">.  </w:t>
      </w:r>
    </w:p>
    <w:p w14:paraId="759902BE" w14:textId="77777777" w:rsidR="004D4A0A" w:rsidRDefault="004D4A0A" w:rsidP="004D4A0A">
      <w:pPr>
        <w:rPr>
          <w:rFonts w:cs="Arial"/>
          <w:szCs w:val="22"/>
        </w:rPr>
      </w:pPr>
    </w:p>
    <w:p w14:paraId="0A0B29A3" w14:textId="77777777" w:rsidR="004D4A0A" w:rsidRDefault="004D4A0A" w:rsidP="004D4A0A">
      <w:pPr>
        <w:rPr>
          <w:rFonts w:cs="Arial"/>
          <w:szCs w:val="22"/>
        </w:rPr>
      </w:pPr>
      <w:r>
        <w:rPr>
          <w:rFonts w:cs="Arial"/>
          <w:szCs w:val="22"/>
        </w:rPr>
        <w:t>The amendment:</w:t>
      </w:r>
    </w:p>
    <w:p w14:paraId="69491A5E" w14:textId="77777777" w:rsidR="004D4A0A" w:rsidRPr="007345FE" w:rsidRDefault="004D4A0A" w:rsidP="004D4A0A">
      <w:pPr>
        <w:pStyle w:val="ListParagraph"/>
        <w:numPr>
          <w:ilvl w:val="0"/>
          <w:numId w:val="14"/>
        </w:numPr>
        <w:rPr>
          <w:rFonts w:cs="Arial"/>
          <w:szCs w:val="22"/>
        </w:rPr>
      </w:pPr>
      <w:r w:rsidRPr="007345FE">
        <w:rPr>
          <w:rFonts w:cs="Arial"/>
          <w:szCs w:val="22"/>
        </w:rPr>
        <w:t>replace</w:t>
      </w:r>
      <w:r>
        <w:rPr>
          <w:rFonts w:cs="Arial"/>
          <w:szCs w:val="22"/>
        </w:rPr>
        <w:t>s</w:t>
      </w:r>
      <w:r w:rsidRPr="007345FE">
        <w:rPr>
          <w:rFonts w:cs="Arial"/>
          <w:szCs w:val="22"/>
        </w:rPr>
        <w:t xml:space="preserve"> </w:t>
      </w:r>
      <w:r>
        <w:rPr>
          <w:rFonts w:cs="Arial"/>
          <w:szCs w:val="22"/>
        </w:rPr>
        <w:t>condition</w:t>
      </w:r>
      <w:r w:rsidRPr="007345FE">
        <w:rPr>
          <w:rFonts w:cs="Arial"/>
          <w:szCs w:val="22"/>
        </w:rPr>
        <w:t xml:space="preserve"> </w:t>
      </w:r>
      <w:r w:rsidRPr="007345FE">
        <w:rPr>
          <w:szCs w:val="22"/>
        </w:rPr>
        <w:t>(b)(</w:t>
      </w:r>
      <w:proofErr w:type="spellStart"/>
      <w:r w:rsidRPr="007345FE">
        <w:rPr>
          <w:szCs w:val="22"/>
        </w:rPr>
        <w:t>i</w:t>
      </w:r>
      <w:proofErr w:type="spellEnd"/>
      <w:r w:rsidRPr="007345FE">
        <w:rPr>
          <w:szCs w:val="22"/>
        </w:rPr>
        <w:t xml:space="preserve">) with new </w:t>
      </w:r>
      <w:r>
        <w:rPr>
          <w:szCs w:val="22"/>
        </w:rPr>
        <w:t>condition</w:t>
      </w:r>
      <w:r w:rsidRPr="007345FE">
        <w:rPr>
          <w:szCs w:val="22"/>
        </w:rPr>
        <w:t xml:space="preserve"> (b)</w:t>
      </w:r>
      <w:r>
        <w:rPr>
          <w:szCs w:val="22"/>
        </w:rPr>
        <w:t>,</w:t>
      </w:r>
      <w:r w:rsidRPr="007345FE">
        <w:rPr>
          <w:szCs w:val="22"/>
        </w:rPr>
        <w:t xml:space="preserve"> which </w:t>
      </w:r>
      <w:r>
        <w:rPr>
          <w:szCs w:val="22"/>
        </w:rPr>
        <w:t>provides</w:t>
      </w:r>
      <w:r w:rsidRPr="007345FE">
        <w:rPr>
          <w:szCs w:val="22"/>
        </w:rPr>
        <w:t xml:space="preserve"> that the </w:t>
      </w:r>
      <w:r w:rsidRPr="0099121B">
        <w:rPr>
          <w:rFonts w:cs="Arial"/>
          <w:szCs w:val="22"/>
        </w:rPr>
        <w:t xml:space="preserve">food for sale </w:t>
      </w:r>
      <w:r>
        <w:rPr>
          <w:rFonts w:cs="Arial"/>
          <w:szCs w:val="22"/>
        </w:rPr>
        <w:t>must</w:t>
      </w:r>
      <w:r w:rsidRPr="0099121B">
        <w:rPr>
          <w:rFonts w:cs="Arial"/>
          <w:szCs w:val="22"/>
        </w:rPr>
        <w:t xml:space="preserve"> not contain an added sugar as an added ingredient</w:t>
      </w:r>
      <w:r w:rsidRPr="007345FE">
        <w:rPr>
          <w:rFonts w:cs="Arial"/>
          <w:szCs w:val="22"/>
        </w:rPr>
        <w:t>;</w:t>
      </w:r>
    </w:p>
    <w:p w14:paraId="34858548" w14:textId="77777777" w:rsidR="004D4A0A" w:rsidRDefault="004D4A0A" w:rsidP="004D4A0A">
      <w:pPr>
        <w:pStyle w:val="ListParagraph"/>
        <w:keepLines/>
        <w:numPr>
          <w:ilvl w:val="0"/>
          <w:numId w:val="14"/>
        </w:numPr>
        <w:spacing w:before="60" w:after="60"/>
        <w:rPr>
          <w:rFonts w:cs="Arial"/>
          <w:szCs w:val="22"/>
        </w:rPr>
      </w:pPr>
      <w:r w:rsidRPr="007345FE">
        <w:rPr>
          <w:rFonts w:cs="Arial"/>
          <w:szCs w:val="22"/>
        </w:rPr>
        <w:t>replace</w:t>
      </w:r>
      <w:r>
        <w:rPr>
          <w:rFonts w:cs="Arial"/>
          <w:szCs w:val="22"/>
        </w:rPr>
        <w:t>s</w:t>
      </w:r>
      <w:r w:rsidRPr="007345FE">
        <w:rPr>
          <w:rFonts w:cs="Arial"/>
          <w:szCs w:val="22"/>
        </w:rPr>
        <w:t xml:space="preserve"> </w:t>
      </w:r>
      <w:r>
        <w:rPr>
          <w:rFonts w:cs="Arial"/>
          <w:szCs w:val="22"/>
        </w:rPr>
        <w:t>condition</w:t>
      </w:r>
      <w:r w:rsidRPr="007345FE">
        <w:rPr>
          <w:rFonts w:cs="Arial"/>
          <w:szCs w:val="22"/>
        </w:rPr>
        <w:t xml:space="preserve"> </w:t>
      </w:r>
      <w:r w:rsidRPr="007345FE">
        <w:rPr>
          <w:szCs w:val="22"/>
        </w:rPr>
        <w:t xml:space="preserve">(b)(ii) with new </w:t>
      </w:r>
      <w:r>
        <w:rPr>
          <w:szCs w:val="22"/>
        </w:rPr>
        <w:t>condition</w:t>
      </w:r>
      <w:r w:rsidRPr="007345FE">
        <w:rPr>
          <w:szCs w:val="22"/>
        </w:rPr>
        <w:t xml:space="preserve"> (</w:t>
      </w:r>
      <w:r>
        <w:rPr>
          <w:szCs w:val="22"/>
        </w:rPr>
        <w:t>c</w:t>
      </w:r>
      <w:r w:rsidRPr="007345FE">
        <w:rPr>
          <w:szCs w:val="22"/>
        </w:rPr>
        <w:t>)</w:t>
      </w:r>
      <w:r>
        <w:rPr>
          <w:szCs w:val="22"/>
        </w:rPr>
        <w:t>,</w:t>
      </w:r>
      <w:r w:rsidRPr="007345FE">
        <w:rPr>
          <w:szCs w:val="22"/>
        </w:rPr>
        <w:t xml:space="preserve"> which </w:t>
      </w:r>
      <w:r>
        <w:rPr>
          <w:szCs w:val="22"/>
        </w:rPr>
        <w:t>provides</w:t>
      </w:r>
      <w:r w:rsidRPr="007345FE">
        <w:rPr>
          <w:szCs w:val="22"/>
        </w:rPr>
        <w:t xml:space="preserve"> that the </w:t>
      </w:r>
      <w:r w:rsidRPr="0099121B">
        <w:rPr>
          <w:rFonts w:cs="Arial"/>
          <w:szCs w:val="22"/>
        </w:rPr>
        <w:t xml:space="preserve">food for sale </w:t>
      </w:r>
      <w:r>
        <w:rPr>
          <w:rFonts w:cs="Arial"/>
          <w:szCs w:val="22"/>
        </w:rPr>
        <w:t>must</w:t>
      </w:r>
      <w:r w:rsidRPr="0099121B">
        <w:rPr>
          <w:rFonts w:cs="Arial"/>
          <w:szCs w:val="22"/>
        </w:rPr>
        <w:t xml:space="preserve"> not contain more sugars than: 10 g/100 g for solid food; or 7.5 g/100 mL for liquid food</w:t>
      </w:r>
      <w:r w:rsidRPr="007345FE">
        <w:rPr>
          <w:rFonts w:cs="Arial"/>
          <w:szCs w:val="22"/>
        </w:rPr>
        <w:t>; and</w:t>
      </w:r>
    </w:p>
    <w:p w14:paraId="0156DBAC" w14:textId="77777777" w:rsidR="004D4A0A" w:rsidRDefault="004D4A0A" w:rsidP="004D4A0A">
      <w:pPr>
        <w:pStyle w:val="ListParagraph"/>
        <w:keepLines/>
        <w:numPr>
          <w:ilvl w:val="0"/>
          <w:numId w:val="14"/>
        </w:numPr>
        <w:spacing w:before="60" w:after="60"/>
        <w:rPr>
          <w:szCs w:val="22"/>
        </w:rPr>
      </w:pPr>
      <w:r w:rsidRPr="00A6659A">
        <w:rPr>
          <w:rFonts w:cs="Arial"/>
          <w:szCs w:val="22"/>
        </w:rPr>
        <w:t xml:space="preserve">renumbers </w:t>
      </w:r>
      <w:r>
        <w:rPr>
          <w:szCs w:val="22"/>
        </w:rPr>
        <w:t>conditions</w:t>
      </w:r>
      <w:r w:rsidRPr="00A6659A">
        <w:rPr>
          <w:szCs w:val="22"/>
        </w:rPr>
        <w:t xml:space="preserve"> (c) to (g) as (d) to (h) as a consequence of the above amendments.</w:t>
      </w:r>
    </w:p>
    <w:p w14:paraId="7C361804" w14:textId="77777777" w:rsidR="004D4A0A" w:rsidRDefault="004D4A0A" w:rsidP="004D4A0A">
      <w:pPr>
        <w:rPr>
          <w:szCs w:val="22"/>
        </w:rPr>
      </w:pPr>
    </w:p>
    <w:p w14:paraId="42445D0C" w14:textId="77777777" w:rsidR="004D4A0A" w:rsidRDefault="004D4A0A" w:rsidP="004D4A0A">
      <w:pPr>
        <w:rPr>
          <w:szCs w:val="22"/>
        </w:rPr>
      </w:pPr>
      <w:r w:rsidRPr="007345FE">
        <w:rPr>
          <w:szCs w:val="22"/>
        </w:rPr>
        <w:t xml:space="preserve">The </w:t>
      </w:r>
      <w:r>
        <w:rPr>
          <w:szCs w:val="22"/>
        </w:rPr>
        <w:t xml:space="preserve">amendment’s </w:t>
      </w:r>
      <w:r w:rsidRPr="007345FE">
        <w:rPr>
          <w:szCs w:val="22"/>
        </w:rPr>
        <w:t>effect is to correct an error (</w:t>
      </w:r>
      <w:r>
        <w:rPr>
          <w:szCs w:val="22"/>
        </w:rPr>
        <w:t xml:space="preserve">that is, </w:t>
      </w:r>
      <w:r w:rsidRPr="007345FE">
        <w:rPr>
          <w:szCs w:val="22"/>
        </w:rPr>
        <w:t xml:space="preserve">by removing the word ‘and’ in </w:t>
      </w:r>
      <w:r>
        <w:rPr>
          <w:rFonts w:cs="Arial"/>
          <w:szCs w:val="22"/>
        </w:rPr>
        <w:t>condition</w:t>
      </w:r>
      <w:r w:rsidRPr="007345FE">
        <w:rPr>
          <w:rFonts w:cs="Arial"/>
          <w:szCs w:val="22"/>
        </w:rPr>
        <w:t xml:space="preserve"> </w:t>
      </w:r>
      <w:r w:rsidRPr="007345FE">
        <w:rPr>
          <w:szCs w:val="22"/>
        </w:rPr>
        <w:t>(b)(</w:t>
      </w:r>
      <w:proofErr w:type="spellStart"/>
      <w:r w:rsidRPr="007345FE">
        <w:rPr>
          <w:szCs w:val="22"/>
        </w:rPr>
        <w:t>i</w:t>
      </w:r>
      <w:proofErr w:type="spellEnd"/>
      <w:r w:rsidRPr="007345FE">
        <w:rPr>
          <w:szCs w:val="22"/>
        </w:rPr>
        <w:t>))</w:t>
      </w:r>
      <w:r>
        <w:rPr>
          <w:szCs w:val="22"/>
        </w:rPr>
        <w:t xml:space="preserve"> </w:t>
      </w:r>
      <w:r w:rsidRPr="007345FE">
        <w:rPr>
          <w:szCs w:val="22"/>
        </w:rPr>
        <w:t xml:space="preserve">and </w:t>
      </w:r>
      <w:r>
        <w:rPr>
          <w:szCs w:val="22"/>
        </w:rPr>
        <w:t>make</w:t>
      </w:r>
      <w:r w:rsidRPr="007345FE">
        <w:rPr>
          <w:szCs w:val="22"/>
        </w:rPr>
        <w:t xml:space="preserve"> </w:t>
      </w:r>
      <w:r>
        <w:rPr>
          <w:szCs w:val="22"/>
        </w:rPr>
        <w:t xml:space="preserve">clear the </w:t>
      </w:r>
      <w:r w:rsidRPr="007345FE">
        <w:rPr>
          <w:szCs w:val="22"/>
        </w:rPr>
        <w:t>regulatory intent of the relevant provisions.</w:t>
      </w:r>
    </w:p>
    <w:p w14:paraId="3E98C22C" w14:textId="62E5054D" w:rsidR="00D5526B" w:rsidRPr="004D4A0A" w:rsidRDefault="00D5526B" w:rsidP="003A01FB">
      <w:pPr>
        <w:rPr>
          <w:rFonts w:cs="Arial"/>
          <w:szCs w:val="22"/>
        </w:rPr>
      </w:pPr>
    </w:p>
    <w:sectPr w:rsidR="00D5526B" w:rsidRPr="004D4A0A"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7D42" w14:textId="77777777" w:rsidR="004D4A0A" w:rsidRDefault="004D4A0A" w:rsidP="004D4A0A">
      <w:r>
        <w:separator/>
      </w:r>
    </w:p>
  </w:endnote>
  <w:endnote w:type="continuationSeparator" w:id="0">
    <w:p w14:paraId="59BCDAC5" w14:textId="77777777" w:rsidR="004D4A0A" w:rsidRDefault="004D4A0A" w:rsidP="004D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DFF0" w14:textId="77777777" w:rsidR="004D4A0A" w:rsidRDefault="004D4A0A" w:rsidP="004D4A0A">
      <w:r>
        <w:separator/>
      </w:r>
    </w:p>
  </w:footnote>
  <w:footnote w:type="continuationSeparator" w:id="0">
    <w:p w14:paraId="4E8D87B3" w14:textId="77777777" w:rsidR="004D4A0A" w:rsidRDefault="004D4A0A" w:rsidP="004D4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27"/>
    <w:multiLevelType w:val="hybridMultilevel"/>
    <w:tmpl w:val="99BC6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106460014">
    <w:abstractNumId w:val="1"/>
  </w:num>
  <w:num w:numId="2" w16cid:durableId="1555122362">
    <w:abstractNumId w:val="1"/>
  </w:num>
  <w:num w:numId="3" w16cid:durableId="2026131581">
    <w:abstractNumId w:val="1"/>
  </w:num>
  <w:num w:numId="4" w16cid:durableId="404109214">
    <w:abstractNumId w:val="1"/>
  </w:num>
  <w:num w:numId="5" w16cid:durableId="2088385108">
    <w:abstractNumId w:val="1"/>
  </w:num>
  <w:num w:numId="6" w16cid:durableId="802386795">
    <w:abstractNumId w:val="1"/>
  </w:num>
  <w:num w:numId="7" w16cid:durableId="963121244">
    <w:abstractNumId w:val="1"/>
  </w:num>
  <w:num w:numId="8" w16cid:durableId="1930887340">
    <w:abstractNumId w:val="4"/>
  </w:num>
  <w:num w:numId="9" w16cid:durableId="1745377829">
    <w:abstractNumId w:val="2"/>
  </w:num>
  <w:num w:numId="10" w16cid:durableId="1337027812">
    <w:abstractNumId w:val="3"/>
  </w:num>
  <w:num w:numId="11" w16cid:durableId="1622606988">
    <w:abstractNumId w:val="4"/>
  </w:num>
  <w:num w:numId="12" w16cid:durableId="1145855942">
    <w:abstractNumId w:val="2"/>
  </w:num>
  <w:num w:numId="13" w16cid:durableId="189532382">
    <w:abstractNumId w:val="3"/>
  </w:num>
  <w:num w:numId="14" w16cid:durableId="149259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0A"/>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04BCA"/>
    <w:rsid w:val="0033021F"/>
    <w:rsid w:val="00341D25"/>
    <w:rsid w:val="003A01FB"/>
    <w:rsid w:val="00404702"/>
    <w:rsid w:val="00441D77"/>
    <w:rsid w:val="00443F05"/>
    <w:rsid w:val="00486619"/>
    <w:rsid w:val="004D3868"/>
    <w:rsid w:val="004D4A0A"/>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155BF"/>
    <w:rsid w:val="00935023"/>
    <w:rsid w:val="009806A5"/>
    <w:rsid w:val="009E265A"/>
    <w:rsid w:val="00A25B29"/>
    <w:rsid w:val="00A26F82"/>
    <w:rsid w:val="00A808E9"/>
    <w:rsid w:val="00A90271"/>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47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4D4A0A"/>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4D4A0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4A0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4A0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semiHidden/>
    <w:rsid w:val="004D4A0A"/>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4D4A0A"/>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D4A0A"/>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4D4A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A0A"/>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4D4A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4A0A"/>
    <w:rPr>
      <w:rFonts w:cstheme="minorBidi"/>
      <w:i/>
      <w:iCs/>
      <w:color w:val="404040" w:themeColor="text1" w:themeTint="BF"/>
      <w:lang w:val="en-GB"/>
    </w:rPr>
  </w:style>
  <w:style w:type="paragraph" w:styleId="IntenseQuote">
    <w:name w:val="Intense Quote"/>
    <w:basedOn w:val="Normal"/>
    <w:next w:val="Normal"/>
    <w:link w:val="IntenseQuoteChar"/>
    <w:uiPriority w:val="30"/>
    <w:rsid w:val="004D4A0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4A0A"/>
    <w:rPr>
      <w:rFonts w:cstheme="minorBidi"/>
      <w:i/>
      <w:iCs/>
      <w:color w:val="365F91" w:themeColor="accent1" w:themeShade="BF"/>
      <w:lang w:val="en-GB"/>
    </w:rPr>
  </w:style>
  <w:style w:type="character" w:styleId="IntenseReference">
    <w:name w:val="Intense Reference"/>
    <w:basedOn w:val="DefaultParagraphFont"/>
    <w:uiPriority w:val="32"/>
    <w:rsid w:val="004D4A0A"/>
    <w:rPr>
      <w:b/>
      <w:bCs/>
      <w:smallCaps/>
      <w:color w:val="365F91" w:themeColor="accent1" w:themeShade="BF"/>
      <w:spacing w:val="5"/>
    </w:rPr>
  </w:style>
  <w:style w:type="character" w:styleId="Hyperlink">
    <w:name w:val="Hyperlink"/>
    <w:basedOn w:val="DefaultParagraphFont"/>
    <w:uiPriority w:val="99"/>
    <w:rsid w:val="004D4A0A"/>
    <w:rPr>
      <w:color w:val="3333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Props1.xml><?xml version="1.0" encoding="utf-8"?>
<ds:datastoreItem xmlns:ds="http://schemas.openxmlformats.org/officeDocument/2006/customXml" ds:itemID="{1E819508-74E6-4E0C-9C5E-5B297A1C0273}">
  <ds:schemaRefs>
    <ds:schemaRef ds:uri="http://schemas.openxmlformats.org/officeDocument/2006/bibliography"/>
  </ds:schemaRefs>
</ds:datastoreItem>
</file>

<file path=customXml/itemProps2.xml><?xml version="1.0" encoding="utf-8"?>
<ds:datastoreItem xmlns:ds="http://schemas.openxmlformats.org/officeDocument/2006/customXml" ds:itemID="{71DF7AE3-03F5-44EB-B579-C08C96FB3BBE}"/>
</file>

<file path=customXml/itemProps3.xml><?xml version="1.0" encoding="utf-8"?>
<ds:datastoreItem xmlns:ds="http://schemas.openxmlformats.org/officeDocument/2006/customXml" ds:itemID="{018149CB-60CA-4DCF-A73C-36F333340DF8}"/>
</file>

<file path=customXml/itemProps4.xml><?xml version="1.0" encoding="utf-8"?>
<ds:datastoreItem xmlns:ds="http://schemas.openxmlformats.org/officeDocument/2006/customXml" ds:itemID="{D5EB6172-0CFD-4828-8E11-B78AC7F6C6E5}"/>
</file>

<file path=customXml/itemProps5.xml><?xml version="1.0" encoding="utf-8"?>
<ds:datastoreItem xmlns:ds="http://schemas.openxmlformats.org/officeDocument/2006/customXml" ds:itemID="{03E28F71-BD47-4524-870F-5BF5A379F37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7771</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2024-10-24T06:26:00Z</dcterms:created>
  <dcterms:modified xsi:type="dcterms:W3CDTF">2024-10-24T06:26:00Z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5" name="PM_SecurityClassification">
    <vt:lpwstr>UNOFFICIAL</vt:lpwstr>
  </property>
  <property fmtid="{D5CDD505-2E9C-101B-9397-08002B2CF9AE}" pid="6" name="PMHMAC">
    <vt:lpwstr>v=2022.1;a=SHA256;h=ADD33773BE747FD2030FEDC1B62DAD264CA6F37698E3434E94BB96BB1D7C6758</vt:lpwstr>
  </property>
  <property fmtid="{D5CDD505-2E9C-101B-9397-08002B2CF9AE}" pid="7" name="PM_Qualifier">
    <vt:lpwstr/>
  </property>
  <property fmtid="{D5CDD505-2E9C-101B-9397-08002B2CF9AE}" pid="8" name="PM_Note">
    <vt:lpwstr/>
  </property>
  <property fmtid="{D5CDD505-2E9C-101B-9397-08002B2CF9AE}" pid="9" name="PM_OriginationTimeStamp">
    <vt:lpwstr>2024-10-24T06:25:05Z</vt:lpwstr>
  </property>
  <property fmtid="{D5CDD505-2E9C-101B-9397-08002B2CF9AE}" pid="10" name="PM_ProtectiveMarkingValue_Header">
    <vt:lpwstr>UNOFFICIAL</vt:lpwstr>
  </property>
  <property fmtid="{D5CDD505-2E9C-101B-9397-08002B2CF9AE}" pid="11" name="bjDocumentLabelXML-0">
    <vt:lpwstr>ent xmlns="" uid="0d6753b0-55bf-4bfe-9711-090a5860f1b6" value=""/&gt;&lt;/sisl&gt;</vt:lpwstr>
  </property>
  <property fmtid="{D5CDD505-2E9C-101B-9397-08002B2CF9AE}" pid="12" name="PM_Markers">
    <vt:lpwstr/>
  </property>
  <property fmtid="{D5CDD505-2E9C-101B-9397-08002B2CF9AE}" pid="13" name="PM_InsertionValue">
    <vt:lpwstr>UNOFFICIAL</vt:lpwstr>
  </property>
  <property fmtid="{D5CDD505-2E9C-101B-9397-08002B2CF9AE}" pid="14" name="PM_Originator_Hash_SHA1">
    <vt:lpwstr>09B569037207566C68DDA322D8124FB47A89C341</vt:lpwstr>
  </property>
  <property fmtid="{D5CDD505-2E9C-101B-9397-08002B2CF9AE}" pid="15" name="PM_DisplayValueSecClassificationWithQualifier">
    <vt:lpwstr>UNOFFICIAL</vt:lpwstr>
  </property>
  <property fmtid="{D5CDD505-2E9C-101B-9397-08002B2CF9AE}" pid="16" name="PM_ProtectiveMarkingValue_Footer">
    <vt:lpwstr>UNOFFICIAL</vt:lpwstr>
  </property>
  <property fmtid="{D5CDD505-2E9C-101B-9397-08002B2CF9AE}" pid="17" name="PM_Originating_FileId">
    <vt:lpwstr>3F8B9BB46FE140B696C66BA47738B001</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Display">
    <vt:lpwstr>UNOFFICIAL</vt:lpwstr>
  </property>
  <property fmtid="{D5CDD505-2E9C-101B-9397-08002B2CF9AE}" pid="21" name="PM_OriginatorUserAccountName_SHA256">
    <vt:lpwstr>A5FD2317C9D8556B5143B0855F8BE111C11BE8F6BA5BCF94DC5B82C005B9C67B</vt:lpwstr>
  </property>
  <property fmtid="{D5CDD505-2E9C-101B-9397-08002B2CF9AE}" pid="22" name="PM_OriginatorDomainName_SHA256">
    <vt:lpwstr>1728E66681E435764AE865ABE664C38F2A2F6D4B1DC4AC4803028F4FC406745D</vt:lpwstr>
  </property>
  <property fmtid="{D5CDD505-2E9C-101B-9397-08002B2CF9AE}" pid="23" name="PMUuid">
    <vt:lpwstr>v=2022.2;d=gov.au;g=65417EFE-F3B9-5E66-BD91-1E689FEC2EA6</vt:lpwstr>
  </property>
  <property fmtid="{D5CDD505-2E9C-101B-9397-08002B2CF9AE}" pid="24" name="PM_Hash_Version">
    <vt:lpwstr>2022.1</vt:lpwstr>
  </property>
  <property fmtid="{D5CDD505-2E9C-101B-9397-08002B2CF9AE}" pid="25" name="PM_Hash_Salt_Prev">
    <vt:lpwstr>1787B39DCB53916AD47E89928E49EE7D</vt:lpwstr>
  </property>
  <property fmtid="{D5CDD505-2E9C-101B-9397-08002B2CF9AE}" pid="26" name="PM_Hash_Salt">
    <vt:lpwstr>4113A49935508EB8626529C45A113679</vt:lpwstr>
  </property>
  <property fmtid="{D5CDD505-2E9C-101B-9397-08002B2CF9AE}" pid="27" name="PM_Hash_SHA1">
    <vt:lpwstr>79CADEE1D8AB35AE4C0B0E90A6FD6AE2EF2791F0</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Caveats_Count">
    <vt:lpwstr>0</vt:lpwstr>
  </property>
  <property fmtid="{D5CDD505-2E9C-101B-9397-08002B2CF9AE}" pid="31" name="pd3a3559ef84480a8025c4c7bb6e6dee">
    <vt:lpwstr/>
  </property>
  <property fmtid="{D5CDD505-2E9C-101B-9397-08002B2CF9AE}" pid="32" name="h46016694f704d158a57d0b5238c000e">
    <vt:lpwstr/>
  </property>
  <property fmtid="{D5CDD505-2E9C-101B-9397-08002B2CF9AE}" pid="33" name="Data_x0020_Privacy">
    <vt:lpwstr/>
  </property>
  <property fmtid="{D5CDD505-2E9C-101B-9397-08002B2CF9AE}" pid="34" name="Data Privacy">
    <vt:lpwstr/>
  </property>
  <property fmtid="{D5CDD505-2E9C-101B-9397-08002B2CF9AE}" pid="35" name="MediaServiceImageTags">
    <vt:lpwstr/>
  </property>
  <property fmtid="{D5CDD505-2E9C-101B-9397-08002B2CF9AE}" pid="36" name="ContentTypeId">
    <vt:lpwstr>0x010100F5F252698E4843DFA3EBBF7EC57E522A00ED57D63352AC3D488C1927FA6C496CEC</vt:lpwstr>
  </property>
  <property fmtid="{D5CDD505-2E9C-101B-9397-08002B2CF9AE}" pid="37" name="Data Accessibility">
    <vt:lpwstr/>
  </property>
  <property fmtid="{D5CDD505-2E9C-101B-9397-08002B2CF9AE}" pid="38" name="Access">
    <vt:lpwstr/>
  </property>
  <property fmtid="{D5CDD505-2E9C-101B-9397-08002B2CF9AE}" pid="39" name="Classification">
    <vt:lpwstr>1;#OFFICIAL|3776503d-ed4e-4d70-8dfd-8e17b238523b</vt:lpwstr>
  </property>
  <property fmtid="{D5CDD505-2E9C-101B-9397-08002B2CF9AE}" pid="40" name="Data_x0020_Accessibility">
    <vt:lpwstr/>
  </property>
  <property fmtid="{D5CDD505-2E9C-101B-9397-08002B2CF9AE}" pid="41" name="o2e94e0b7bb742308b3aec7384781dc0">
    <vt:lpwstr/>
  </property>
  <property fmtid="{D5CDD505-2E9C-101B-9397-08002B2CF9AE}" pid="42" name="Data Category">
    <vt:lpwstr/>
  </property>
  <property fmtid="{D5CDD505-2E9C-101B-9397-08002B2CF9AE}" pid="43" name="lcf76f155ced4ddcb4097134ff3c332f">
    <vt:lpwstr/>
  </property>
  <property fmtid="{D5CDD505-2E9C-101B-9397-08002B2CF9AE}" pid="44" name="BCS">
    <vt:lpwstr>27;#Instruments|4a8ff5e5-1f0e-4751-ab44-bc0d33b46a80</vt:lpwstr>
  </property>
  <property fmtid="{D5CDD505-2E9C-101B-9397-08002B2CF9AE}" pid="45" name="Data_x0020_Category">
    <vt:lpwstr/>
  </property>
</Properties>
</file>