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1629" w14:textId="77777777" w:rsidR="002F4AB7" w:rsidRPr="002F4AB7" w:rsidRDefault="002F4AB7" w:rsidP="002F4AB7">
      <w:pPr>
        <w:widowControl w:val="0"/>
        <w:spacing w:before="120" w:after="120"/>
        <w:rPr>
          <w:rFonts w:eastAsia="Times New Roman" w:cs="Times New Roman"/>
          <w:noProof/>
          <w:sz w:val="20"/>
          <w:szCs w:val="24"/>
          <w:lang w:val="en-AU" w:eastAsia="en-AU" w:bidi="en-US"/>
        </w:rPr>
      </w:pPr>
      <w:r w:rsidRPr="002F4AB7">
        <w:rPr>
          <w:rFonts w:eastAsia="Times New Roman" w:cs="Times New Roman"/>
          <w:noProof/>
          <w:sz w:val="20"/>
          <w:szCs w:val="24"/>
          <w:lang w:val="en-AU" w:eastAsia="en-AU" w:bidi="en-US"/>
        </w:rPr>
        <w:drawing>
          <wp:inline distT="0" distB="0" distL="0" distR="0" wp14:anchorId="0130ACF6" wp14:editId="326CDA39">
            <wp:extent cx="2657475" cy="438150"/>
            <wp:effectExtent l="0" t="0" r="9525" b="0"/>
            <wp:docPr id="10" name="Picture 10"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ood Standards Australia New Zealan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51AFA2F" w14:textId="77777777" w:rsidR="002F4AB7" w:rsidRPr="002F4AB7" w:rsidRDefault="002F4AB7" w:rsidP="002F4AB7">
      <w:pPr>
        <w:widowControl w:val="0"/>
        <w:pBdr>
          <w:bottom w:val="single" w:sz="4" w:space="1" w:color="auto"/>
        </w:pBdr>
        <w:spacing w:before="120" w:after="120"/>
        <w:rPr>
          <w:rFonts w:eastAsia="Times New Roman" w:cs="Times New Roman"/>
          <w:b/>
          <w:bCs/>
          <w:szCs w:val="24"/>
          <w:lang w:bidi="en-US"/>
        </w:rPr>
      </w:pPr>
    </w:p>
    <w:p w14:paraId="26FCCE5E" w14:textId="77777777" w:rsidR="002F4AB7" w:rsidRPr="002F4AB7" w:rsidRDefault="002F4AB7" w:rsidP="002F4AB7">
      <w:pPr>
        <w:widowControl w:val="0"/>
        <w:pBdr>
          <w:bottom w:val="single" w:sz="4" w:space="1" w:color="auto"/>
        </w:pBdr>
        <w:spacing w:before="120" w:after="120"/>
        <w:rPr>
          <w:rFonts w:eastAsia="Times New Roman" w:cs="Times New Roman"/>
          <w:b/>
          <w:sz w:val="20"/>
          <w:szCs w:val="24"/>
          <w:lang w:bidi="en-US"/>
        </w:rPr>
      </w:pPr>
      <w:r w:rsidRPr="002F4AB7">
        <w:rPr>
          <w:rFonts w:eastAsia="Times New Roman" w:cs="Times New Roman"/>
          <w:b/>
          <w:sz w:val="20"/>
          <w:szCs w:val="24"/>
          <w:lang w:bidi="en-US"/>
        </w:rPr>
        <w:t xml:space="preserve">Food Standards (Application A1284 – Triacylglycerol lipase from GM </w:t>
      </w:r>
      <w:r w:rsidRPr="002F4AB7">
        <w:rPr>
          <w:rFonts w:eastAsia="Times New Roman" w:cs="Times New Roman"/>
          <w:b/>
          <w:i/>
          <w:iCs/>
          <w:sz w:val="20"/>
          <w:szCs w:val="24"/>
          <w:lang w:bidi="en-US"/>
        </w:rPr>
        <w:t>Trichoderma reesei</w:t>
      </w:r>
      <w:r w:rsidRPr="002F4AB7">
        <w:rPr>
          <w:rFonts w:eastAsia="Times New Roman" w:cs="Times New Roman"/>
          <w:b/>
          <w:sz w:val="20"/>
          <w:szCs w:val="24"/>
          <w:lang w:bidi="en-US"/>
        </w:rPr>
        <w:t xml:space="preserve"> as a processing aid) Variation</w:t>
      </w:r>
    </w:p>
    <w:p w14:paraId="4B85B833" w14:textId="77777777" w:rsidR="002F4AB7" w:rsidRPr="002F4AB7" w:rsidRDefault="002F4AB7" w:rsidP="002F4AB7">
      <w:pPr>
        <w:widowControl w:val="0"/>
        <w:pBdr>
          <w:bottom w:val="single" w:sz="4" w:space="1" w:color="auto"/>
        </w:pBdr>
        <w:spacing w:before="120" w:after="120"/>
        <w:rPr>
          <w:rFonts w:eastAsia="Times New Roman" w:cs="Times New Roman"/>
          <w:b/>
          <w:sz w:val="20"/>
          <w:szCs w:val="24"/>
          <w:lang w:bidi="en-US"/>
        </w:rPr>
      </w:pPr>
    </w:p>
    <w:p w14:paraId="63F86460" w14:textId="77777777" w:rsidR="002F4AB7" w:rsidRPr="002F4AB7" w:rsidRDefault="002F4AB7" w:rsidP="002F4AB7">
      <w:pPr>
        <w:widowControl w:val="0"/>
        <w:spacing w:before="120" w:after="120"/>
        <w:rPr>
          <w:rFonts w:eastAsia="Times New Roman" w:cs="Times New Roman"/>
          <w:sz w:val="20"/>
          <w:szCs w:val="24"/>
          <w:lang w:bidi="en-US"/>
        </w:rPr>
      </w:pPr>
      <w:r w:rsidRPr="002F4AB7">
        <w:rPr>
          <w:rFonts w:eastAsia="Times New Roman" w:cs="Times New Roman"/>
          <w:sz w:val="20"/>
          <w:szCs w:val="24"/>
          <w:lang w:bidi="en-US"/>
        </w:rPr>
        <w:t xml:space="preserve">The Board of Food Standards Australia New Zealand gives notice of the making of this variation under section 92 of the </w:t>
      </w:r>
      <w:r w:rsidRPr="002F4AB7">
        <w:rPr>
          <w:rFonts w:eastAsia="Times New Roman" w:cs="Times New Roman"/>
          <w:i/>
          <w:sz w:val="20"/>
          <w:szCs w:val="24"/>
          <w:lang w:bidi="en-US"/>
        </w:rPr>
        <w:t>Food Standards Australia New Zealand Act 1991</w:t>
      </w:r>
      <w:r w:rsidRPr="002F4AB7">
        <w:rPr>
          <w:rFonts w:eastAsia="Times New Roman" w:cs="Times New Roman"/>
          <w:sz w:val="20"/>
          <w:szCs w:val="24"/>
          <w:lang w:bidi="en-US"/>
        </w:rPr>
        <w:t>. The variation commences on the date specified in clause 3 of this variation.</w:t>
      </w:r>
    </w:p>
    <w:p w14:paraId="4B2FADA3" w14:textId="1C8BF34A" w:rsidR="002F4AB7" w:rsidRPr="007C6D32" w:rsidRDefault="002F4AB7" w:rsidP="002F4AB7">
      <w:pPr>
        <w:widowControl w:val="0"/>
        <w:spacing w:before="120" w:after="120"/>
        <w:rPr>
          <w:rFonts w:eastAsia="Times New Roman" w:cs="Times New Roman"/>
          <w:sz w:val="20"/>
          <w:szCs w:val="24"/>
          <w:lang w:bidi="en-US"/>
        </w:rPr>
      </w:pPr>
      <w:r w:rsidRPr="007C6D32">
        <w:rPr>
          <w:rFonts w:eastAsia="Times New Roman" w:cs="Times New Roman"/>
          <w:sz w:val="20"/>
          <w:szCs w:val="24"/>
          <w:lang w:bidi="en-US"/>
        </w:rPr>
        <w:t xml:space="preserve">Dated </w:t>
      </w:r>
      <w:r w:rsidR="007C6D32" w:rsidRPr="007C6D32">
        <w:rPr>
          <w:rFonts w:eastAsia="Times New Roman" w:cs="Times New Roman"/>
          <w:sz w:val="20"/>
          <w:szCs w:val="24"/>
          <w:lang w:bidi="en-US"/>
        </w:rPr>
        <w:t>23 October 2024</w:t>
      </w:r>
    </w:p>
    <w:p w14:paraId="4DB8F15A" w14:textId="2E677EBE" w:rsidR="002F4AB7" w:rsidRPr="002F4AB7" w:rsidRDefault="002F4AB7" w:rsidP="3D6EDDC9">
      <w:pPr>
        <w:widowControl w:val="0"/>
        <w:spacing w:before="120" w:after="120"/>
        <w:rPr>
          <w:rFonts w:eastAsia="Times New Roman" w:cs="Times New Roman"/>
          <w:sz w:val="20"/>
          <w:szCs w:val="20"/>
          <w:lang w:bidi="en-US"/>
        </w:rPr>
      </w:pPr>
    </w:p>
    <w:p w14:paraId="4B0FF584" w14:textId="456E999B" w:rsidR="002F4AB7" w:rsidRPr="002F4AB7" w:rsidRDefault="75D2C1FC" w:rsidP="3D6EDDC9">
      <w:pPr>
        <w:widowControl w:val="0"/>
        <w:spacing w:before="120" w:after="120"/>
      </w:pPr>
      <w:r>
        <w:rPr>
          <w:noProof/>
        </w:rPr>
        <w:drawing>
          <wp:inline distT="0" distB="0" distL="0" distR="0" wp14:anchorId="78358967" wp14:editId="0E9F9128">
            <wp:extent cx="1231499" cy="371888"/>
            <wp:effectExtent l="0" t="0" r="0" b="0"/>
            <wp:docPr id="383812833" name="Picture 383812833" descr="The 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12833" name="Picture 383812833" descr="The Signature of the delegate of the Board of Food Standards Australia New Zealand"/>
                    <pic:cNvPicPr/>
                  </pic:nvPicPr>
                  <pic:blipFill>
                    <a:blip r:embed="rId8">
                      <a:extLst>
                        <a:ext uri="{28A0092B-C50C-407E-A947-70E740481C1C}">
                          <a14:useLocalDpi xmlns:a14="http://schemas.microsoft.com/office/drawing/2010/main" val="0"/>
                        </a:ext>
                      </a:extLst>
                    </a:blip>
                    <a:stretch>
                      <a:fillRect/>
                    </a:stretch>
                  </pic:blipFill>
                  <pic:spPr>
                    <a:xfrm>
                      <a:off x="0" y="0"/>
                      <a:ext cx="1231499" cy="371888"/>
                    </a:xfrm>
                    <a:prstGeom prst="rect">
                      <a:avLst/>
                    </a:prstGeom>
                  </pic:spPr>
                </pic:pic>
              </a:graphicData>
            </a:graphic>
          </wp:inline>
        </w:drawing>
      </w:r>
    </w:p>
    <w:p w14:paraId="52849E33" w14:textId="6242E69A" w:rsidR="002F4AB7" w:rsidRPr="002F4AB7" w:rsidRDefault="002F4AB7" w:rsidP="3D6EDDC9">
      <w:pPr>
        <w:widowControl w:val="0"/>
        <w:spacing w:before="120" w:after="120"/>
        <w:rPr>
          <w:rFonts w:eastAsia="Times New Roman" w:cs="Times New Roman"/>
          <w:sz w:val="20"/>
          <w:szCs w:val="20"/>
          <w:lang w:bidi="en-US"/>
        </w:rPr>
      </w:pPr>
    </w:p>
    <w:p w14:paraId="2487AC2C" w14:textId="77777777" w:rsidR="002F4AB7" w:rsidRPr="00C516AC" w:rsidRDefault="002F4AB7" w:rsidP="002F4AB7">
      <w:pPr>
        <w:widowControl w:val="0"/>
        <w:tabs>
          <w:tab w:val="left" w:pos="851"/>
        </w:tabs>
        <w:rPr>
          <w:rFonts w:eastAsia="Times New Roman" w:cs="Times New Roman"/>
          <w:sz w:val="20"/>
          <w:szCs w:val="20"/>
        </w:rPr>
      </w:pPr>
      <w:r w:rsidRPr="00C516AC">
        <w:rPr>
          <w:rFonts w:eastAsia="Times New Roman" w:cs="Times New Roman"/>
          <w:sz w:val="20"/>
          <w:szCs w:val="20"/>
        </w:rPr>
        <w:t>Matthew O’Mullane, General Manager Risk Management and Intelligence</w:t>
      </w:r>
    </w:p>
    <w:p w14:paraId="1143191C" w14:textId="77777777" w:rsidR="002F4AB7" w:rsidRPr="002F4AB7" w:rsidRDefault="002F4AB7" w:rsidP="002F4AB7">
      <w:pPr>
        <w:widowControl w:val="0"/>
        <w:spacing w:before="120" w:after="120"/>
        <w:rPr>
          <w:rFonts w:eastAsia="Times New Roman" w:cs="Times New Roman"/>
          <w:sz w:val="20"/>
          <w:szCs w:val="24"/>
          <w:lang w:bidi="en-US"/>
        </w:rPr>
      </w:pPr>
      <w:r w:rsidRPr="002F4AB7">
        <w:rPr>
          <w:rFonts w:eastAsia="Times New Roman" w:cs="Times New Roman"/>
          <w:sz w:val="20"/>
          <w:szCs w:val="24"/>
          <w:lang w:bidi="en-US"/>
        </w:rPr>
        <w:t>Delegate of the Board of Food Standards Australia New Zealand</w:t>
      </w:r>
    </w:p>
    <w:p w14:paraId="5626F062" w14:textId="77777777" w:rsidR="002F4AB7" w:rsidRPr="002F4AB7" w:rsidRDefault="002F4AB7" w:rsidP="002F4AB7">
      <w:pPr>
        <w:widowControl w:val="0"/>
        <w:spacing w:before="120" w:after="120"/>
        <w:rPr>
          <w:rFonts w:eastAsia="Times New Roman" w:cs="Times New Roman"/>
          <w:sz w:val="20"/>
          <w:szCs w:val="24"/>
          <w:lang w:bidi="en-US"/>
        </w:rPr>
      </w:pPr>
    </w:p>
    <w:p w14:paraId="2EE0B5B2" w14:textId="77777777" w:rsidR="002F4AB7" w:rsidRPr="002F4AB7" w:rsidRDefault="002F4AB7" w:rsidP="002F4AB7">
      <w:pPr>
        <w:widowControl w:val="0"/>
        <w:spacing w:before="120" w:after="120"/>
        <w:rPr>
          <w:rFonts w:eastAsia="Times New Roman" w:cs="Times New Roman"/>
          <w:sz w:val="20"/>
          <w:szCs w:val="24"/>
          <w:lang w:bidi="en-US"/>
        </w:rPr>
      </w:pPr>
    </w:p>
    <w:p w14:paraId="7DA73C2F" w14:textId="77777777" w:rsidR="002F4AB7" w:rsidRPr="002F4AB7" w:rsidRDefault="002F4AB7" w:rsidP="002F4AB7">
      <w:pPr>
        <w:widowControl w:val="0"/>
        <w:spacing w:before="120" w:after="120"/>
        <w:rPr>
          <w:rFonts w:eastAsia="Times New Roman" w:cs="Times New Roman"/>
          <w:sz w:val="20"/>
          <w:szCs w:val="24"/>
          <w:lang w:bidi="en-US"/>
        </w:rPr>
      </w:pPr>
    </w:p>
    <w:p w14:paraId="13BCE511" w14:textId="77777777" w:rsidR="002F4AB7" w:rsidRPr="002F4AB7" w:rsidRDefault="002F4AB7" w:rsidP="002F4AB7">
      <w:pPr>
        <w:widowControl w:val="0"/>
        <w:spacing w:before="120" w:after="120"/>
        <w:rPr>
          <w:rFonts w:eastAsia="Times New Roman" w:cs="Times New Roman"/>
          <w:sz w:val="20"/>
          <w:szCs w:val="24"/>
          <w:lang w:bidi="en-US"/>
        </w:rPr>
      </w:pPr>
    </w:p>
    <w:p w14:paraId="50AC78BE" w14:textId="77777777" w:rsidR="002F4AB7" w:rsidRPr="002F4AB7" w:rsidRDefault="002F4AB7" w:rsidP="002F4AB7">
      <w:pPr>
        <w:widowControl w:val="0"/>
        <w:spacing w:before="120" w:after="120"/>
        <w:rPr>
          <w:rFonts w:eastAsia="Times New Roman" w:cs="Times New Roman"/>
          <w:sz w:val="20"/>
          <w:szCs w:val="24"/>
          <w:lang w:bidi="en-US"/>
        </w:rPr>
      </w:pPr>
    </w:p>
    <w:p w14:paraId="03A0FA60" w14:textId="77777777" w:rsidR="002F4AB7" w:rsidRPr="002F4AB7" w:rsidRDefault="002F4AB7" w:rsidP="002F4AB7">
      <w:pPr>
        <w:widowControl w:val="0"/>
        <w:pBdr>
          <w:top w:val="single" w:sz="4" w:space="1" w:color="auto"/>
          <w:left w:val="single" w:sz="4" w:space="4" w:color="auto"/>
          <w:bottom w:val="single" w:sz="4" w:space="1" w:color="auto"/>
          <w:right w:val="single" w:sz="4" w:space="4" w:color="auto"/>
        </w:pBdr>
        <w:spacing w:before="120" w:after="120"/>
        <w:rPr>
          <w:rFonts w:eastAsia="Times New Roman" w:cs="Times New Roman"/>
          <w:b/>
          <w:sz w:val="20"/>
          <w:szCs w:val="24"/>
          <w:lang w:val="en-AU" w:bidi="en-US"/>
        </w:rPr>
      </w:pPr>
      <w:r w:rsidRPr="002F4AB7">
        <w:rPr>
          <w:rFonts w:eastAsia="Times New Roman" w:cs="Times New Roman"/>
          <w:b/>
          <w:sz w:val="20"/>
          <w:szCs w:val="24"/>
          <w:lang w:val="en-AU" w:bidi="en-US"/>
        </w:rPr>
        <w:t>Note:</w:t>
      </w:r>
    </w:p>
    <w:p w14:paraId="51B1F730" w14:textId="16C28C3C" w:rsidR="002F4AB7" w:rsidRPr="002F4AB7" w:rsidRDefault="002F4AB7" w:rsidP="002F4AB7">
      <w:pPr>
        <w:widowControl w:val="0"/>
        <w:pBdr>
          <w:top w:val="single" w:sz="4" w:space="1" w:color="auto"/>
          <w:left w:val="single" w:sz="4" w:space="4" w:color="auto"/>
          <w:bottom w:val="single" w:sz="4" w:space="1" w:color="auto"/>
          <w:right w:val="single" w:sz="4" w:space="4" w:color="auto"/>
        </w:pBdr>
        <w:spacing w:before="120" w:after="120"/>
        <w:rPr>
          <w:rFonts w:eastAsia="Times New Roman" w:cs="Times New Roman"/>
          <w:sz w:val="20"/>
          <w:szCs w:val="24"/>
          <w:lang w:val="en-AU" w:bidi="en-US"/>
        </w:rPr>
      </w:pPr>
      <w:r w:rsidRPr="002F4AB7">
        <w:rPr>
          <w:rFonts w:eastAsia="Times New Roman" w:cs="Times New Roman"/>
          <w:sz w:val="20"/>
          <w:szCs w:val="24"/>
          <w:lang w:val="en-AU" w:bidi="en-US"/>
        </w:rPr>
        <w:t xml:space="preserve">This variation will be published in the Commonwealth of Australia Gazette No. FSC 173 on 29 October 2024. This means that this date is the gazettal date for the purposes of clause 3 of the variation. </w:t>
      </w:r>
    </w:p>
    <w:p w14:paraId="3364BCC3" w14:textId="77777777" w:rsidR="002F4AB7" w:rsidRPr="002F4AB7" w:rsidRDefault="002F4AB7" w:rsidP="002F4AB7">
      <w:pPr>
        <w:spacing w:before="120" w:after="120"/>
        <w:rPr>
          <w:rFonts w:eastAsia="Times New Roman" w:cs="Times New Roman"/>
          <w:sz w:val="20"/>
          <w:szCs w:val="24"/>
          <w:lang w:bidi="en-US"/>
        </w:rPr>
      </w:pPr>
      <w:r w:rsidRPr="002F4AB7">
        <w:rPr>
          <w:rFonts w:eastAsia="Times New Roman" w:cs="Times New Roman"/>
          <w:sz w:val="20"/>
          <w:szCs w:val="24"/>
          <w:lang w:bidi="en-US"/>
        </w:rPr>
        <w:br w:type="page"/>
      </w:r>
    </w:p>
    <w:p w14:paraId="3AAA53E4" w14:textId="77777777" w:rsidR="002F4AB7" w:rsidRPr="002F4AB7" w:rsidRDefault="002F4AB7" w:rsidP="002F4AB7">
      <w:pPr>
        <w:widowControl w:val="0"/>
        <w:spacing w:before="120" w:after="120"/>
        <w:ind w:left="851" w:hanging="851"/>
        <w:rPr>
          <w:rFonts w:eastAsia="Times New Roman" w:cs="Times New Roman"/>
          <w:b/>
          <w:sz w:val="20"/>
          <w:szCs w:val="20"/>
        </w:rPr>
      </w:pPr>
      <w:r w:rsidRPr="002F4AB7">
        <w:rPr>
          <w:rFonts w:eastAsia="Times New Roman" w:cs="Times New Roman"/>
          <w:b/>
          <w:sz w:val="20"/>
          <w:szCs w:val="20"/>
        </w:rPr>
        <w:lastRenderedPageBreak/>
        <w:t>1</w:t>
      </w:r>
      <w:r w:rsidRPr="002F4AB7">
        <w:rPr>
          <w:rFonts w:eastAsia="Times New Roman" w:cs="Times New Roman"/>
          <w:b/>
          <w:sz w:val="20"/>
          <w:szCs w:val="20"/>
        </w:rPr>
        <w:tab/>
        <w:t>Name</w:t>
      </w:r>
    </w:p>
    <w:p w14:paraId="33611D82" w14:textId="77777777" w:rsidR="002F4AB7" w:rsidRPr="002F4AB7" w:rsidRDefault="002F4AB7" w:rsidP="002F4AB7">
      <w:pPr>
        <w:tabs>
          <w:tab w:val="left" w:pos="851"/>
        </w:tabs>
        <w:spacing w:before="120" w:after="120"/>
        <w:rPr>
          <w:rFonts w:eastAsia="Times New Roman" w:cs="Times New Roman"/>
          <w:sz w:val="20"/>
          <w:szCs w:val="20"/>
        </w:rPr>
      </w:pPr>
      <w:r w:rsidRPr="002F4AB7">
        <w:rPr>
          <w:rFonts w:eastAsia="Times New Roman" w:cs="Times New Roman"/>
          <w:sz w:val="20"/>
          <w:szCs w:val="20"/>
        </w:rPr>
        <w:t xml:space="preserve">This instrument is the </w:t>
      </w:r>
      <w:r w:rsidRPr="002F4AB7">
        <w:rPr>
          <w:rFonts w:eastAsia="Times New Roman" w:cs="Times New Roman"/>
          <w:i/>
          <w:iCs/>
          <w:sz w:val="20"/>
          <w:szCs w:val="20"/>
        </w:rPr>
        <w:t xml:space="preserve">Food Standards (Application A1284 – Triacylglycerol lipase from GM </w:t>
      </w:r>
      <w:r w:rsidRPr="002F4AB7">
        <w:rPr>
          <w:rFonts w:eastAsia="Times New Roman" w:cs="Times New Roman"/>
          <w:sz w:val="20"/>
          <w:szCs w:val="20"/>
        </w:rPr>
        <w:t>Trichoderma reesei</w:t>
      </w:r>
      <w:r w:rsidRPr="002F4AB7">
        <w:rPr>
          <w:rFonts w:eastAsia="Times New Roman" w:cs="Times New Roman"/>
          <w:i/>
          <w:iCs/>
          <w:sz w:val="20"/>
          <w:szCs w:val="20"/>
        </w:rPr>
        <w:t xml:space="preserve"> as a processing aid) Variation</w:t>
      </w:r>
      <w:r w:rsidRPr="002F4AB7">
        <w:rPr>
          <w:rFonts w:eastAsia="Times New Roman" w:cs="Times New Roman"/>
          <w:sz w:val="20"/>
          <w:szCs w:val="20"/>
        </w:rPr>
        <w:t>.</w:t>
      </w:r>
    </w:p>
    <w:p w14:paraId="2FB5C93D" w14:textId="77777777" w:rsidR="002F4AB7" w:rsidRPr="002F4AB7" w:rsidRDefault="002F4AB7" w:rsidP="002F4AB7">
      <w:pPr>
        <w:widowControl w:val="0"/>
        <w:spacing w:before="120" w:after="120"/>
        <w:ind w:left="851" w:hanging="851"/>
        <w:rPr>
          <w:rFonts w:eastAsia="Times New Roman" w:cs="Times New Roman"/>
          <w:b/>
          <w:sz w:val="20"/>
          <w:szCs w:val="20"/>
        </w:rPr>
      </w:pPr>
      <w:r w:rsidRPr="002F4AB7">
        <w:rPr>
          <w:rFonts w:eastAsia="Times New Roman" w:cs="Times New Roman"/>
          <w:b/>
          <w:sz w:val="20"/>
          <w:szCs w:val="20"/>
        </w:rPr>
        <w:t>2</w:t>
      </w:r>
      <w:r w:rsidRPr="002F4AB7">
        <w:rPr>
          <w:rFonts w:eastAsia="Times New Roman" w:cs="Times New Roman"/>
          <w:b/>
          <w:sz w:val="20"/>
          <w:szCs w:val="20"/>
        </w:rPr>
        <w:tab/>
        <w:t xml:space="preserve">Variation to a Standard in the </w:t>
      </w:r>
      <w:r w:rsidRPr="002F4AB7">
        <w:rPr>
          <w:rFonts w:eastAsia="Times New Roman" w:cs="Times New Roman"/>
          <w:b/>
          <w:i/>
          <w:iCs/>
          <w:sz w:val="20"/>
          <w:szCs w:val="20"/>
        </w:rPr>
        <w:t>Australia New Zealand Food Standards Code</w:t>
      </w:r>
    </w:p>
    <w:p w14:paraId="6BF5E7CC" w14:textId="77777777" w:rsidR="002F4AB7" w:rsidRPr="002F4AB7" w:rsidRDefault="002F4AB7" w:rsidP="002F4AB7">
      <w:pPr>
        <w:tabs>
          <w:tab w:val="left" w:pos="851"/>
        </w:tabs>
        <w:spacing w:before="120" w:after="120"/>
        <w:rPr>
          <w:rFonts w:eastAsia="Times New Roman" w:cs="Times New Roman"/>
          <w:sz w:val="20"/>
          <w:szCs w:val="20"/>
        </w:rPr>
      </w:pPr>
      <w:r w:rsidRPr="002F4AB7">
        <w:rPr>
          <w:rFonts w:eastAsia="Times New Roman" w:cs="Times New Roman"/>
          <w:sz w:val="20"/>
          <w:szCs w:val="20"/>
        </w:rPr>
        <w:t xml:space="preserve">The Schedule varies a Standard in the </w:t>
      </w:r>
      <w:r w:rsidRPr="002F4AB7">
        <w:rPr>
          <w:rFonts w:eastAsia="Times New Roman" w:cs="Times New Roman"/>
          <w:i/>
          <w:iCs/>
          <w:sz w:val="20"/>
          <w:szCs w:val="20"/>
        </w:rPr>
        <w:t>Australia New Zealand Food Standards Code</w:t>
      </w:r>
      <w:r w:rsidRPr="002F4AB7">
        <w:rPr>
          <w:rFonts w:eastAsia="Times New Roman" w:cs="Times New Roman"/>
          <w:sz w:val="20"/>
          <w:szCs w:val="20"/>
        </w:rPr>
        <w:t>.</w:t>
      </w:r>
    </w:p>
    <w:p w14:paraId="53CA779E" w14:textId="77777777" w:rsidR="002F4AB7" w:rsidRPr="002F4AB7" w:rsidRDefault="002F4AB7" w:rsidP="002F4AB7">
      <w:pPr>
        <w:widowControl w:val="0"/>
        <w:spacing w:before="120" w:after="120"/>
        <w:ind w:left="851" w:hanging="851"/>
        <w:rPr>
          <w:rFonts w:eastAsia="Times New Roman" w:cs="Times New Roman"/>
          <w:b/>
          <w:sz w:val="20"/>
          <w:szCs w:val="20"/>
        </w:rPr>
      </w:pPr>
      <w:r w:rsidRPr="002F4AB7">
        <w:rPr>
          <w:rFonts w:eastAsia="Times New Roman" w:cs="Times New Roman"/>
          <w:b/>
          <w:sz w:val="20"/>
          <w:szCs w:val="20"/>
        </w:rPr>
        <w:t>3</w:t>
      </w:r>
      <w:r w:rsidRPr="002F4AB7">
        <w:rPr>
          <w:rFonts w:eastAsia="Times New Roman" w:cs="Times New Roman"/>
          <w:b/>
          <w:sz w:val="20"/>
          <w:szCs w:val="20"/>
        </w:rPr>
        <w:tab/>
        <w:t>Commencement</w:t>
      </w:r>
    </w:p>
    <w:p w14:paraId="195BC1A4" w14:textId="77777777" w:rsidR="002F4AB7" w:rsidRPr="002F4AB7" w:rsidRDefault="002F4AB7" w:rsidP="002F4AB7">
      <w:pPr>
        <w:tabs>
          <w:tab w:val="left" w:pos="851"/>
        </w:tabs>
        <w:spacing w:before="120" w:after="120"/>
        <w:rPr>
          <w:rFonts w:eastAsia="Times New Roman" w:cs="Times New Roman"/>
          <w:sz w:val="20"/>
          <w:szCs w:val="20"/>
        </w:rPr>
      </w:pPr>
      <w:r w:rsidRPr="002F4AB7">
        <w:rPr>
          <w:rFonts w:eastAsia="Times New Roman" w:cs="Times New Roman"/>
          <w:sz w:val="20"/>
          <w:szCs w:val="20"/>
        </w:rPr>
        <w:t>The variation commences on the date of gazettal.</w:t>
      </w:r>
    </w:p>
    <w:p w14:paraId="702070DD" w14:textId="77777777" w:rsidR="002F4AB7" w:rsidRPr="002F4AB7" w:rsidRDefault="002F4AB7" w:rsidP="002F4AB7">
      <w:pPr>
        <w:widowControl w:val="0"/>
        <w:tabs>
          <w:tab w:val="left" w:pos="851"/>
        </w:tabs>
        <w:jc w:val="center"/>
        <w:rPr>
          <w:rFonts w:eastAsia="Times New Roman" w:cs="Times New Roman"/>
          <w:b/>
          <w:sz w:val="20"/>
          <w:szCs w:val="20"/>
        </w:rPr>
      </w:pPr>
      <w:r w:rsidRPr="002F4AB7">
        <w:rPr>
          <w:rFonts w:eastAsia="Times New Roman" w:cs="Times New Roman"/>
          <w:b/>
          <w:sz w:val="20"/>
          <w:szCs w:val="20"/>
        </w:rPr>
        <w:t>Schedule</w:t>
      </w:r>
    </w:p>
    <w:p w14:paraId="2796C8A5" w14:textId="77777777" w:rsidR="002F4AB7" w:rsidRPr="002F4AB7" w:rsidRDefault="002F4AB7" w:rsidP="002F4AB7">
      <w:pPr>
        <w:widowControl w:val="0"/>
        <w:spacing w:before="120" w:after="120"/>
        <w:ind w:left="851" w:hanging="851"/>
        <w:rPr>
          <w:rFonts w:eastAsia="Times New Roman" w:cs="Times New Roman"/>
          <w:b/>
          <w:sz w:val="20"/>
          <w:szCs w:val="20"/>
        </w:rPr>
      </w:pPr>
      <w:r w:rsidRPr="002F4AB7">
        <w:rPr>
          <w:rFonts w:eastAsia="Times New Roman" w:cs="Times New Roman"/>
          <w:b/>
          <w:sz w:val="20"/>
          <w:szCs w:val="20"/>
        </w:rPr>
        <w:t>Schedule 18—Processing aids</w:t>
      </w:r>
    </w:p>
    <w:p w14:paraId="5E9C2D3E" w14:textId="77777777" w:rsidR="002F4AB7" w:rsidRPr="002F4AB7" w:rsidRDefault="002F4AB7" w:rsidP="002F4AB7">
      <w:pPr>
        <w:widowControl w:val="0"/>
        <w:spacing w:before="120" w:after="120"/>
        <w:ind w:left="851" w:hanging="851"/>
        <w:rPr>
          <w:rFonts w:eastAsia="Times New Roman" w:cs="Times New Roman"/>
          <w:b/>
          <w:sz w:val="20"/>
          <w:szCs w:val="20"/>
        </w:rPr>
      </w:pPr>
      <w:r w:rsidRPr="002F4AB7">
        <w:rPr>
          <w:rFonts w:eastAsia="Times New Roman" w:cs="Times New Roman"/>
          <w:b/>
          <w:sz w:val="20"/>
          <w:szCs w:val="20"/>
        </w:rPr>
        <w:t>[1]</w:t>
      </w:r>
      <w:r w:rsidRPr="002F4AB7">
        <w:rPr>
          <w:rFonts w:eastAsia="Times New Roman" w:cs="Times New Roman"/>
          <w:b/>
          <w:sz w:val="20"/>
          <w:szCs w:val="20"/>
        </w:rPr>
        <w:tab/>
        <w:t>Subsection S18—9(3) (table)</w:t>
      </w:r>
    </w:p>
    <w:p w14:paraId="2880926B" w14:textId="77777777" w:rsidR="002F4AB7" w:rsidRPr="002F4AB7" w:rsidRDefault="002F4AB7" w:rsidP="002F4AB7">
      <w:pPr>
        <w:tabs>
          <w:tab w:val="left" w:pos="851"/>
        </w:tabs>
        <w:spacing w:before="120" w:after="120"/>
        <w:rPr>
          <w:rFonts w:eastAsia="Times New Roman" w:cs="Times New Roman"/>
          <w:sz w:val="20"/>
          <w:szCs w:val="20"/>
        </w:rPr>
      </w:pPr>
      <w:r w:rsidRPr="002F4AB7">
        <w:rPr>
          <w:rFonts w:eastAsia="Times New Roman" w:cs="Times New Roman"/>
          <w:b/>
          <w:sz w:val="20"/>
          <w:szCs w:val="20"/>
        </w:rPr>
        <w:tab/>
      </w:r>
      <w:r w:rsidRPr="002F4AB7">
        <w:rPr>
          <w:rFonts w:eastAsia="Times New Roman" w:cs="Times New Roman"/>
          <w:sz w:val="20"/>
          <w:szCs w:val="20"/>
        </w:rPr>
        <w:t>Insert:</w:t>
      </w:r>
    </w:p>
    <w:tbl>
      <w:tblPr>
        <w:tblStyle w:val="TableGrid1"/>
        <w:tblW w:w="0" w:type="auto"/>
        <w:tblInd w:w="-108" w:type="dxa"/>
        <w:tblLook w:val="04A0" w:firstRow="1" w:lastRow="0" w:firstColumn="1" w:lastColumn="0" w:noHBand="0" w:noVBand="1"/>
      </w:tblPr>
      <w:tblGrid>
        <w:gridCol w:w="3184"/>
        <w:gridCol w:w="2951"/>
        <w:gridCol w:w="2935"/>
      </w:tblGrid>
      <w:tr w:rsidR="002F4AB7" w:rsidRPr="002F4AB7" w14:paraId="3C577950" w14:textId="77777777" w:rsidTr="007B53A7">
        <w:tc>
          <w:tcPr>
            <w:tcW w:w="3184" w:type="dxa"/>
            <w:tcBorders>
              <w:top w:val="nil"/>
              <w:left w:val="nil"/>
              <w:bottom w:val="nil"/>
              <w:right w:val="nil"/>
            </w:tcBorders>
            <w:vAlign w:val="center"/>
          </w:tcPr>
          <w:p w14:paraId="677DE61D" w14:textId="77777777" w:rsidR="002F4AB7" w:rsidRPr="007C6D32" w:rsidRDefault="002F4AB7" w:rsidP="002F4AB7">
            <w:pPr>
              <w:keepLines/>
              <w:tabs>
                <w:tab w:val="right" w:pos="3969"/>
              </w:tabs>
              <w:spacing w:before="60" w:after="60"/>
              <w:rPr>
                <w:rFonts w:ascii="Arial" w:hAnsi="Arial" w:cs="Arial"/>
                <w:sz w:val="18"/>
                <w:lang w:eastAsia="en-AU"/>
              </w:rPr>
            </w:pPr>
            <w:bookmarkStart w:id="0" w:name="_Hlk157776556"/>
            <w:r w:rsidRPr="007C6D32">
              <w:rPr>
                <w:rFonts w:ascii="Arial" w:hAnsi="Arial" w:cs="Arial"/>
                <w:sz w:val="18"/>
                <w:lang w:eastAsia="en-AU"/>
              </w:rPr>
              <w:t>Lipase, triacylglycerol, protein engineered variant</w:t>
            </w:r>
            <w:bookmarkEnd w:id="0"/>
            <w:r w:rsidRPr="007C6D32">
              <w:rPr>
                <w:rFonts w:ascii="Arial" w:hAnsi="Arial" w:cs="Arial"/>
                <w:sz w:val="18"/>
                <w:lang w:eastAsia="en-AU"/>
              </w:rPr>
              <w:t xml:space="preserve">, (EC 3.1.1.3) sourced from </w:t>
            </w:r>
            <w:r w:rsidRPr="007C6D32">
              <w:rPr>
                <w:rFonts w:ascii="Arial" w:hAnsi="Arial" w:cs="Arial"/>
                <w:i/>
                <w:iCs/>
                <w:sz w:val="18"/>
                <w:lang w:eastAsia="en-AU"/>
              </w:rPr>
              <w:t>Trichoderma reesei</w:t>
            </w:r>
            <w:r w:rsidRPr="007C6D32">
              <w:rPr>
                <w:rFonts w:ascii="Arial" w:hAnsi="Arial" w:cs="Arial"/>
                <w:sz w:val="18"/>
                <w:lang w:eastAsia="en-AU"/>
              </w:rPr>
              <w:t xml:space="preserve"> containing the lipase, triacylglycerol gene from </w:t>
            </w:r>
            <w:proofErr w:type="spellStart"/>
            <w:r w:rsidRPr="007C6D32">
              <w:rPr>
                <w:rFonts w:ascii="Arial" w:hAnsi="Arial" w:cs="Arial"/>
                <w:i/>
                <w:iCs/>
                <w:sz w:val="18"/>
                <w:lang w:eastAsia="en-AU"/>
              </w:rPr>
              <w:t>Thermomyces</w:t>
            </w:r>
            <w:proofErr w:type="spellEnd"/>
            <w:r w:rsidRPr="007C6D32">
              <w:rPr>
                <w:rFonts w:ascii="Arial" w:hAnsi="Arial" w:cs="Arial"/>
                <w:i/>
                <w:iCs/>
                <w:sz w:val="18"/>
                <w:lang w:eastAsia="en-AU"/>
              </w:rPr>
              <w:t xml:space="preserve"> </w:t>
            </w:r>
            <w:proofErr w:type="spellStart"/>
            <w:r w:rsidRPr="007C6D32">
              <w:rPr>
                <w:rFonts w:ascii="Arial" w:hAnsi="Arial" w:cs="Arial"/>
                <w:i/>
                <w:iCs/>
                <w:sz w:val="18"/>
                <w:lang w:eastAsia="en-AU"/>
              </w:rPr>
              <w:t>lanuginosus</w:t>
            </w:r>
            <w:proofErr w:type="spellEnd"/>
          </w:p>
        </w:tc>
        <w:tc>
          <w:tcPr>
            <w:tcW w:w="2951" w:type="dxa"/>
            <w:tcBorders>
              <w:top w:val="nil"/>
              <w:left w:val="nil"/>
              <w:bottom w:val="nil"/>
              <w:right w:val="nil"/>
            </w:tcBorders>
          </w:tcPr>
          <w:p w14:paraId="63F1DF2B" w14:textId="77777777" w:rsidR="002F4AB7" w:rsidRPr="007C6D32" w:rsidRDefault="002F4AB7" w:rsidP="002F4AB7">
            <w:pPr>
              <w:keepLines/>
              <w:tabs>
                <w:tab w:val="right" w:pos="3969"/>
              </w:tabs>
              <w:spacing w:before="60" w:after="60"/>
              <w:rPr>
                <w:rFonts w:ascii="Arial" w:hAnsi="Arial" w:cs="Arial"/>
                <w:sz w:val="18"/>
                <w:lang w:eastAsia="en-AU"/>
              </w:rPr>
            </w:pPr>
            <w:r w:rsidRPr="007C6D32">
              <w:rPr>
                <w:rFonts w:ascii="Arial" w:hAnsi="Arial" w:cs="Arial"/>
                <w:sz w:val="18"/>
                <w:lang w:eastAsia="en-AU"/>
              </w:rPr>
              <w:t>For use in the manufacture of bakery and other cereal-based products</w:t>
            </w:r>
          </w:p>
        </w:tc>
        <w:tc>
          <w:tcPr>
            <w:tcW w:w="2935" w:type="dxa"/>
            <w:tcBorders>
              <w:top w:val="nil"/>
              <w:left w:val="nil"/>
              <w:bottom w:val="nil"/>
              <w:right w:val="nil"/>
            </w:tcBorders>
          </w:tcPr>
          <w:p w14:paraId="510B5F65" w14:textId="77777777" w:rsidR="002F4AB7" w:rsidRPr="007C6D32" w:rsidRDefault="002F4AB7" w:rsidP="002F4AB7">
            <w:pPr>
              <w:keepLines/>
              <w:tabs>
                <w:tab w:val="right" w:pos="3969"/>
              </w:tabs>
              <w:spacing w:before="60" w:after="60"/>
              <w:rPr>
                <w:rFonts w:ascii="Arial" w:hAnsi="Arial" w:cs="Arial"/>
                <w:sz w:val="18"/>
                <w:lang w:eastAsia="en-AU"/>
              </w:rPr>
            </w:pPr>
            <w:r w:rsidRPr="007C6D32">
              <w:rPr>
                <w:rFonts w:ascii="Arial" w:hAnsi="Arial" w:cs="Arial"/>
                <w:sz w:val="18"/>
                <w:lang w:eastAsia="en-AU"/>
              </w:rPr>
              <w:t>GMP</w:t>
            </w:r>
          </w:p>
        </w:tc>
      </w:tr>
    </w:tbl>
    <w:p w14:paraId="02D5C0D1" w14:textId="77777777" w:rsidR="002F4AB7" w:rsidRPr="002F4AB7" w:rsidRDefault="002F4AB7" w:rsidP="002F4AB7">
      <w:pPr>
        <w:tabs>
          <w:tab w:val="left" w:pos="851"/>
        </w:tabs>
        <w:spacing w:before="120" w:after="120"/>
        <w:rPr>
          <w:rFonts w:eastAsia="Times New Roman" w:cs="Times New Roman"/>
          <w:sz w:val="20"/>
          <w:szCs w:val="20"/>
        </w:rPr>
      </w:pPr>
    </w:p>
    <w:p w14:paraId="5D52C1BB" w14:textId="77777777" w:rsidR="002F4AB7" w:rsidRPr="002F4AB7" w:rsidRDefault="002F4AB7" w:rsidP="002F4AB7">
      <w:pPr>
        <w:widowControl w:val="0"/>
        <w:spacing w:before="120" w:after="120"/>
        <w:ind w:left="851" w:hanging="851"/>
        <w:rPr>
          <w:rFonts w:eastAsia="Times New Roman" w:cs="Times New Roman"/>
          <w:b/>
          <w:sz w:val="20"/>
          <w:szCs w:val="20"/>
        </w:rPr>
      </w:pPr>
      <w:r w:rsidRPr="002F4AB7">
        <w:rPr>
          <w:rFonts w:eastAsia="Times New Roman" w:cs="Times New Roman"/>
          <w:b/>
          <w:sz w:val="20"/>
          <w:szCs w:val="20"/>
        </w:rPr>
        <w:t>[2]</w:t>
      </w:r>
      <w:r w:rsidRPr="002F4AB7">
        <w:rPr>
          <w:rFonts w:eastAsia="Times New Roman" w:cs="Times New Roman"/>
          <w:b/>
          <w:sz w:val="20"/>
          <w:szCs w:val="20"/>
        </w:rPr>
        <w:tab/>
        <w:t>Subsection S18—9(3) (note after the table)</w:t>
      </w:r>
    </w:p>
    <w:p w14:paraId="4ADEF86E" w14:textId="77777777" w:rsidR="002F4AB7" w:rsidRPr="002F4AB7" w:rsidRDefault="002F4AB7" w:rsidP="002F4AB7">
      <w:pPr>
        <w:tabs>
          <w:tab w:val="left" w:pos="851"/>
        </w:tabs>
        <w:spacing w:before="120" w:after="120"/>
        <w:rPr>
          <w:rFonts w:eastAsia="Times New Roman" w:cs="Times New Roman"/>
          <w:sz w:val="20"/>
          <w:szCs w:val="20"/>
        </w:rPr>
      </w:pPr>
      <w:r w:rsidRPr="002F4AB7">
        <w:rPr>
          <w:rFonts w:eastAsia="Times New Roman" w:cs="Times New Roman"/>
          <w:sz w:val="20"/>
          <w:szCs w:val="20"/>
        </w:rPr>
        <w:tab/>
        <w:t>Omit the dot point list of protein engineered variants of enzymes in the note, substitute:</w:t>
      </w:r>
    </w:p>
    <w:p w14:paraId="66ED681A" w14:textId="77777777" w:rsidR="002F4AB7" w:rsidRPr="002F4AB7" w:rsidRDefault="002F4AB7" w:rsidP="002F4AB7">
      <w:pPr>
        <w:widowControl w:val="0"/>
        <w:numPr>
          <w:ilvl w:val="0"/>
          <w:numId w:val="14"/>
        </w:numPr>
        <w:tabs>
          <w:tab w:val="left" w:pos="851"/>
          <w:tab w:val="left" w:pos="2268"/>
        </w:tabs>
        <w:spacing w:before="60" w:after="60"/>
        <w:ind w:left="2977" w:hanging="567"/>
        <w:contextualSpacing/>
        <w:rPr>
          <w:rFonts w:eastAsia="Times New Roman" w:cs="Arial"/>
          <w:iCs/>
          <w:sz w:val="16"/>
        </w:rPr>
      </w:pPr>
      <w:r w:rsidRPr="002F4AB7">
        <w:rPr>
          <w:rFonts w:eastAsia="Times New Roman" w:cs="Arial"/>
          <w:iCs/>
          <w:sz w:val="16"/>
        </w:rPr>
        <w:t>Cellulase, protein engineered variant;</w:t>
      </w:r>
    </w:p>
    <w:p w14:paraId="3CBFACF9" w14:textId="77777777" w:rsidR="002F4AB7" w:rsidRPr="002F4AB7" w:rsidRDefault="002F4AB7" w:rsidP="002F4AB7">
      <w:pPr>
        <w:widowControl w:val="0"/>
        <w:numPr>
          <w:ilvl w:val="0"/>
          <w:numId w:val="14"/>
        </w:numPr>
        <w:tabs>
          <w:tab w:val="left" w:pos="851"/>
          <w:tab w:val="left" w:pos="2268"/>
        </w:tabs>
        <w:spacing w:before="60" w:after="60"/>
        <w:ind w:left="2977" w:hanging="567"/>
        <w:contextualSpacing/>
        <w:rPr>
          <w:rFonts w:eastAsia="Times New Roman" w:cs="Arial"/>
          <w:iCs/>
          <w:sz w:val="16"/>
        </w:rPr>
      </w:pPr>
      <w:r w:rsidRPr="002F4AB7">
        <w:rPr>
          <w:rFonts w:eastAsia="Times New Roman" w:cs="Arial"/>
          <w:iCs/>
          <w:sz w:val="16"/>
        </w:rPr>
        <w:t>Endo-1,4-ß-xylanase, protein engineered variant;</w:t>
      </w:r>
    </w:p>
    <w:p w14:paraId="205BAC25" w14:textId="77777777" w:rsidR="002F4AB7" w:rsidRPr="002F4AB7" w:rsidRDefault="002F4AB7" w:rsidP="002F4AB7">
      <w:pPr>
        <w:widowControl w:val="0"/>
        <w:numPr>
          <w:ilvl w:val="0"/>
          <w:numId w:val="14"/>
        </w:numPr>
        <w:tabs>
          <w:tab w:val="left" w:pos="851"/>
          <w:tab w:val="left" w:pos="2268"/>
        </w:tabs>
        <w:spacing w:before="60" w:after="60"/>
        <w:ind w:left="2977" w:hanging="567"/>
        <w:contextualSpacing/>
        <w:rPr>
          <w:rFonts w:eastAsia="Times New Roman" w:cs="Arial"/>
          <w:sz w:val="16"/>
          <w:szCs w:val="16"/>
        </w:rPr>
      </w:pPr>
      <w:proofErr w:type="spellStart"/>
      <w:r w:rsidRPr="002F4AB7">
        <w:rPr>
          <w:rFonts w:eastAsia="Arial" w:cs="Arial"/>
          <w:sz w:val="16"/>
          <w:szCs w:val="16"/>
        </w:rPr>
        <w:t>Fructan</w:t>
      </w:r>
      <w:proofErr w:type="spellEnd"/>
      <w:r w:rsidRPr="002F4AB7">
        <w:rPr>
          <w:rFonts w:eastAsia="Arial" w:cs="Arial"/>
          <w:sz w:val="16"/>
          <w:szCs w:val="16"/>
        </w:rPr>
        <w:t xml:space="preserve"> β-fructosidase</w:t>
      </w:r>
      <w:r w:rsidRPr="002F4AB7">
        <w:rPr>
          <w:rFonts w:eastAsia="Times New Roman" w:cs="Arial"/>
          <w:sz w:val="16"/>
          <w:szCs w:val="16"/>
        </w:rPr>
        <w:t>, protein engineered variant;</w:t>
      </w:r>
    </w:p>
    <w:p w14:paraId="77E7B931" w14:textId="77777777" w:rsidR="002F4AB7" w:rsidRPr="002F4AB7" w:rsidRDefault="002F4AB7" w:rsidP="002F4AB7">
      <w:pPr>
        <w:widowControl w:val="0"/>
        <w:numPr>
          <w:ilvl w:val="0"/>
          <w:numId w:val="14"/>
        </w:numPr>
        <w:tabs>
          <w:tab w:val="left" w:pos="851"/>
          <w:tab w:val="left" w:pos="2268"/>
        </w:tabs>
        <w:spacing w:before="60" w:after="60"/>
        <w:ind w:left="2977" w:hanging="567"/>
        <w:contextualSpacing/>
        <w:rPr>
          <w:rFonts w:eastAsia="Times New Roman" w:cs="Arial"/>
          <w:iCs/>
          <w:sz w:val="16"/>
        </w:rPr>
      </w:pPr>
      <w:r w:rsidRPr="002F4AB7">
        <w:rPr>
          <w:rFonts w:eastAsia="Times New Roman" w:cs="Arial"/>
          <w:color w:val="000000"/>
          <w:sz w:val="16"/>
          <w:szCs w:val="16"/>
          <w:shd w:val="clear" w:color="auto" w:fill="FFFFFF"/>
        </w:rPr>
        <w:t>Glucoamylase, protein engineered variant;</w:t>
      </w:r>
    </w:p>
    <w:p w14:paraId="0FB87E05" w14:textId="77777777" w:rsidR="002F4AB7" w:rsidRPr="002F4AB7" w:rsidRDefault="002F4AB7" w:rsidP="002F4AB7">
      <w:pPr>
        <w:widowControl w:val="0"/>
        <w:numPr>
          <w:ilvl w:val="0"/>
          <w:numId w:val="14"/>
        </w:numPr>
        <w:tabs>
          <w:tab w:val="left" w:pos="851"/>
          <w:tab w:val="left" w:pos="2268"/>
        </w:tabs>
        <w:spacing w:before="60" w:after="60"/>
        <w:ind w:left="2977" w:hanging="567"/>
        <w:contextualSpacing/>
        <w:rPr>
          <w:rFonts w:eastAsia="Times New Roman" w:cs="Arial"/>
          <w:iCs/>
          <w:sz w:val="16"/>
        </w:rPr>
      </w:pPr>
      <w:r w:rsidRPr="002F4AB7">
        <w:rPr>
          <w:rFonts w:eastAsia="Times New Roman" w:cs="Arial"/>
          <w:iCs/>
          <w:sz w:val="16"/>
        </w:rPr>
        <w:t>Lipase, triacylglycerol, protein engineered variant;</w:t>
      </w:r>
    </w:p>
    <w:p w14:paraId="33C74AFA" w14:textId="77777777" w:rsidR="002F4AB7" w:rsidRPr="002F4AB7" w:rsidRDefault="002F4AB7" w:rsidP="002F4AB7">
      <w:pPr>
        <w:widowControl w:val="0"/>
        <w:numPr>
          <w:ilvl w:val="0"/>
          <w:numId w:val="14"/>
        </w:numPr>
        <w:tabs>
          <w:tab w:val="left" w:pos="851"/>
          <w:tab w:val="left" w:pos="2268"/>
        </w:tabs>
        <w:spacing w:before="60" w:after="60"/>
        <w:ind w:left="2977" w:hanging="567"/>
        <w:contextualSpacing/>
        <w:rPr>
          <w:rFonts w:eastAsia="Times New Roman" w:cs="Arial"/>
          <w:iCs/>
          <w:sz w:val="16"/>
        </w:rPr>
      </w:pPr>
      <w:r w:rsidRPr="002F4AB7">
        <w:rPr>
          <w:rFonts w:eastAsia="Times New Roman" w:cs="Arial"/>
          <w:iCs/>
          <w:sz w:val="16"/>
        </w:rPr>
        <w:t>Maltogenic α-amylase, protein engineered variant;</w:t>
      </w:r>
      <w:r w:rsidRPr="002F4AB7">
        <w:rPr>
          <w:rFonts w:eastAsia="Times New Roman" w:cs="Arial"/>
          <w:color w:val="000000"/>
          <w:sz w:val="16"/>
          <w:szCs w:val="16"/>
          <w:shd w:val="clear" w:color="auto" w:fill="FFFFFF"/>
        </w:rPr>
        <w:t xml:space="preserve"> </w:t>
      </w:r>
    </w:p>
    <w:p w14:paraId="7F942565" w14:textId="77777777" w:rsidR="002F4AB7" w:rsidRPr="002F4AB7" w:rsidRDefault="002F4AB7" w:rsidP="002F4AB7">
      <w:pPr>
        <w:widowControl w:val="0"/>
        <w:numPr>
          <w:ilvl w:val="0"/>
          <w:numId w:val="14"/>
        </w:numPr>
        <w:tabs>
          <w:tab w:val="left" w:pos="851"/>
          <w:tab w:val="left" w:pos="2268"/>
        </w:tabs>
        <w:spacing w:before="60" w:after="60"/>
        <w:ind w:left="2977" w:hanging="567"/>
        <w:contextualSpacing/>
        <w:rPr>
          <w:rFonts w:eastAsia="Times New Roman" w:cs="Arial"/>
          <w:color w:val="000000"/>
          <w:sz w:val="16"/>
          <w:szCs w:val="16"/>
          <w:shd w:val="clear" w:color="auto" w:fill="FFFFFF"/>
        </w:rPr>
      </w:pPr>
      <w:r w:rsidRPr="002F4AB7">
        <w:rPr>
          <w:rFonts w:eastAsia="Times New Roman" w:cs="Arial"/>
          <w:iCs/>
          <w:sz w:val="16"/>
        </w:rPr>
        <w:t xml:space="preserve">Protein engineered enzymes used in the manufacture of various </w:t>
      </w:r>
      <w:proofErr w:type="spellStart"/>
      <w:r w:rsidRPr="002F4AB7">
        <w:rPr>
          <w:rFonts w:eastAsia="Times New Roman" w:cs="Arial"/>
          <w:iCs/>
          <w:sz w:val="16"/>
        </w:rPr>
        <w:t>steviol</w:t>
      </w:r>
      <w:proofErr w:type="spellEnd"/>
      <w:r w:rsidRPr="002F4AB7">
        <w:rPr>
          <w:rFonts w:eastAsia="Times New Roman" w:cs="Arial"/>
          <w:iCs/>
          <w:sz w:val="16"/>
        </w:rPr>
        <w:t xml:space="preserve"> glycosides;</w:t>
      </w:r>
    </w:p>
    <w:p w14:paraId="716B85F4" w14:textId="77777777" w:rsidR="002F4AB7" w:rsidRPr="002F4AB7" w:rsidRDefault="002F4AB7" w:rsidP="002F4AB7">
      <w:pPr>
        <w:widowControl w:val="0"/>
        <w:numPr>
          <w:ilvl w:val="0"/>
          <w:numId w:val="14"/>
        </w:numPr>
        <w:tabs>
          <w:tab w:val="left" w:pos="851"/>
          <w:tab w:val="left" w:pos="2268"/>
        </w:tabs>
        <w:spacing w:before="60" w:after="60"/>
        <w:ind w:left="2977" w:hanging="567"/>
        <w:contextualSpacing/>
        <w:rPr>
          <w:rFonts w:eastAsia="Times New Roman" w:cs="Arial"/>
          <w:color w:val="000000"/>
          <w:sz w:val="16"/>
          <w:szCs w:val="16"/>
          <w:shd w:val="clear" w:color="auto" w:fill="FFFFFF"/>
        </w:rPr>
      </w:pPr>
      <w:r w:rsidRPr="002F4AB7">
        <w:rPr>
          <w:rFonts w:eastAsia="Times New Roman" w:cs="Arial"/>
          <w:iCs/>
          <w:sz w:val="16"/>
        </w:rPr>
        <w:t>Subtilisin, protein engineered variant.</w:t>
      </w:r>
    </w:p>
    <w:p w14:paraId="041D9D1B" w14:textId="2192285D" w:rsidR="00D5526B" w:rsidRPr="003A01FB" w:rsidRDefault="00D5526B" w:rsidP="002F4AB7"/>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7ACC" w14:textId="77777777" w:rsidR="003C7AAE" w:rsidRDefault="003C7AAE" w:rsidP="002F4AB7">
      <w:r>
        <w:separator/>
      </w:r>
    </w:p>
  </w:endnote>
  <w:endnote w:type="continuationSeparator" w:id="0">
    <w:p w14:paraId="249956FC" w14:textId="77777777" w:rsidR="003C7AAE" w:rsidRDefault="003C7AAE" w:rsidP="002F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BFC0" w14:textId="77777777" w:rsidR="003C7AAE" w:rsidRDefault="003C7AAE" w:rsidP="002F4AB7">
      <w:r>
        <w:separator/>
      </w:r>
    </w:p>
  </w:footnote>
  <w:footnote w:type="continuationSeparator" w:id="0">
    <w:p w14:paraId="5DEF5904" w14:textId="77777777" w:rsidR="003C7AAE" w:rsidRDefault="003C7AAE" w:rsidP="002F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1CA"/>
    <w:multiLevelType w:val="hybridMultilevel"/>
    <w:tmpl w:val="3648FA5E"/>
    <w:lvl w:ilvl="0" w:tplc="8FD0A3EA">
      <w:start w:val="1"/>
      <w:numFmt w:val="bullet"/>
      <w:lvlText w:val=""/>
      <w:lvlJc w:val="left"/>
      <w:pPr>
        <w:ind w:left="2061" w:hanging="360"/>
      </w:pPr>
      <w:rPr>
        <w:rFonts w:ascii="Wingdings" w:hAnsi="Wingdings" w:hint="default"/>
      </w:rPr>
    </w:lvl>
    <w:lvl w:ilvl="1" w:tplc="FFFFFFFF">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start w:val="1"/>
      <w:numFmt w:val="bullet"/>
      <w:lvlText w:val=""/>
      <w:lvlJc w:val="left"/>
      <w:pPr>
        <w:ind w:left="4221" w:hanging="360"/>
      </w:pPr>
      <w:rPr>
        <w:rFonts w:ascii="Symbol" w:hAnsi="Symbol" w:hint="default"/>
      </w:rPr>
    </w:lvl>
    <w:lvl w:ilvl="4" w:tplc="FFFFFFFF">
      <w:start w:val="1"/>
      <w:numFmt w:val="bullet"/>
      <w:lvlText w:val="o"/>
      <w:lvlJc w:val="left"/>
      <w:pPr>
        <w:ind w:left="4941" w:hanging="360"/>
      </w:pPr>
      <w:rPr>
        <w:rFonts w:ascii="Courier New" w:hAnsi="Courier New" w:cs="Courier New" w:hint="default"/>
      </w:rPr>
    </w:lvl>
    <w:lvl w:ilvl="5" w:tplc="FFFFFFFF">
      <w:start w:val="1"/>
      <w:numFmt w:val="bullet"/>
      <w:lvlText w:val=""/>
      <w:lvlJc w:val="left"/>
      <w:pPr>
        <w:ind w:left="5661" w:hanging="360"/>
      </w:pPr>
      <w:rPr>
        <w:rFonts w:ascii="Wingdings" w:hAnsi="Wingdings" w:hint="default"/>
      </w:rPr>
    </w:lvl>
    <w:lvl w:ilvl="6" w:tplc="FFFFFFFF">
      <w:start w:val="1"/>
      <w:numFmt w:val="bullet"/>
      <w:lvlText w:val=""/>
      <w:lvlJc w:val="left"/>
      <w:pPr>
        <w:ind w:left="6381" w:hanging="360"/>
      </w:pPr>
      <w:rPr>
        <w:rFonts w:ascii="Symbol" w:hAnsi="Symbol" w:hint="default"/>
      </w:rPr>
    </w:lvl>
    <w:lvl w:ilvl="7" w:tplc="FFFFFFFF">
      <w:start w:val="1"/>
      <w:numFmt w:val="bullet"/>
      <w:lvlText w:val="o"/>
      <w:lvlJc w:val="left"/>
      <w:pPr>
        <w:ind w:left="7101" w:hanging="360"/>
      </w:pPr>
      <w:rPr>
        <w:rFonts w:ascii="Courier New" w:hAnsi="Courier New" w:cs="Courier New" w:hint="default"/>
      </w:rPr>
    </w:lvl>
    <w:lvl w:ilvl="8" w:tplc="FFFFFFFF">
      <w:start w:val="1"/>
      <w:numFmt w:val="bullet"/>
      <w:lvlText w:val=""/>
      <w:lvlJc w:val="left"/>
      <w:pPr>
        <w:ind w:left="7821"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106460014">
    <w:abstractNumId w:val="1"/>
  </w:num>
  <w:num w:numId="2" w16cid:durableId="1555122362">
    <w:abstractNumId w:val="1"/>
  </w:num>
  <w:num w:numId="3" w16cid:durableId="2026131581">
    <w:abstractNumId w:val="1"/>
  </w:num>
  <w:num w:numId="4" w16cid:durableId="404109214">
    <w:abstractNumId w:val="1"/>
  </w:num>
  <w:num w:numId="5" w16cid:durableId="2088385108">
    <w:abstractNumId w:val="1"/>
  </w:num>
  <w:num w:numId="6" w16cid:durableId="802386795">
    <w:abstractNumId w:val="1"/>
  </w:num>
  <w:num w:numId="7" w16cid:durableId="963121244">
    <w:abstractNumId w:val="1"/>
  </w:num>
  <w:num w:numId="8" w16cid:durableId="1930887340">
    <w:abstractNumId w:val="4"/>
  </w:num>
  <w:num w:numId="9" w16cid:durableId="1745377829">
    <w:abstractNumId w:val="2"/>
  </w:num>
  <w:num w:numId="10" w16cid:durableId="1337027812">
    <w:abstractNumId w:val="3"/>
  </w:num>
  <w:num w:numId="11" w16cid:durableId="1622606988">
    <w:abstractNumId w:val="4"/>
  </w:num>
  <w:num w:numId="12" w16cid:durableId="1145855942">
    <w:abstractNumId w:val="2"/>
  </w:num>
  <w:num w:numId="13" w16cid:durableId="189532382">
    <w:abstractNumId w:val="3"/>
  </w:num>
  <w:num w:numId="14" w16cid:durableId="171928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B7"/>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F4AB7"/>
    <w:rsid w:val="0033021F"/>
    <w:rsid w:val="00333B49"/>
    <w:rsid w:val="00341D25"/>
    <w:rsid w:val="0037427A"/>
    <w:rsid w:val="003A01FB"/>
    <w:rsid w:val="003C7AAE"/>
    <w:rsid w:val="00404702"/>
    <w:rsid w:val="00441D77"/>
    <w:rsid w:val="00443F05"/>
    <w:rsid w:val="00486619"/>
    <w:rsid w:val="004D3868"/>
    <w:rsid w:val="004E6694"/>
    <w:rsid w:val="0054036E"/>
    <w:rsid w:val="005B578D"/>
    <w:rsid w:val="005C1996"/>
    <w:rsid w:val="006B6900"/>
    <w:rsid w:val="006D473E"/>
    <w:rsid w:val="007055F7"/>
    <w:rsid w:val="007201F8"/>
    <w:rsid w:val="00793DE6"/>
    <w:rsid w:val="007C6D32"/>
    <w:rsid w:val="007F6456"/>
    <w:rsid w:val="00830393"/>
    <w:rsid w:val="00833D5A"/>
    <w:rsid w:val="00860EE7"/>
    <w:rsid w:val="00877A81"/>
    <w:rsid w:val="008931F6"/>
    <w:rsid w:val="008E2339"/>
    <w:rsid w:val="009155BF"/>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948BF"/>
    <w:rsid w:val="00EC65E9"/>
    <w:rsid w:val="00F4105E"/>
    <w:rsid w:val="00F616DA"/>
    <w:rsid w:val="00F76F95"/>
    <w:rsid w:val="00FD4B8D"/>
    <w:rsid w:val="00FF55E9"/>
    <w:rsid w:val="3D6EDDC9"/>
    <w:rsid w:val="75D2C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5A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2F4A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4A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4A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2F4AB7"/>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2F4AB7"/>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F4AB7"/>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2F4A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AB7"/>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2F4A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4AB7"/>
    <w:rPr>
      <w:rFonts w:cstheme="minorBidi"/>
      <w:i/>
      <w:iCs/>
      <w:color w:val="404040" w:themeColor="text1" w:themeTint="BF"/>
      <w:lang w:val="en-GB"/>
    </w:rPr>
  </w:style>
  <w:style w:type="paragraph" w:styleId="IntenseQuote">
    <w:name w:val="Intense Quote"/>
    <w:basedOn w:val="Normal"/>
    <w:next w:val="Normal"/>
    <w:link w:val="IntenseQuoteChar"/>
    <w:uiPriority w:val="30"/>
    <w:rsid w:val="002F4A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F4AB7"/>
    <w:rPr>
      <w:rFonts w:cstheme="minorBidi"/>
      <w:i/>
      <w:iCs/>
      <w:color w:val="365F91" w:themeColor="accent1" w:themeShade="BF"/>
      <w:lang w:val="en-GB"/>
    </w:rPr>
  </w:style>
  <w:style w:type="character" w:styleId="IntenseReference">
    <w:name w:val="Intense Reference"/>
    <w:basedOn w:val="DefaultParagraphFont"/>
    <w:uiPriority w:val="32"/>
    <w:rsid w:val="002F4AB7"/>
    <w:rPr>
      <w:b/>
      <w:bCs/>
      <w:smallCaps/>
      <w:color w:val="365F91" w:themeColor="accent1" w:themeShade="BF"/>
      <w:spacing w:val="5"/>
    </w:rPr>
  </w:style>
  <w:style w:type="table" w:customStyle="1" w:styleId="TableGrid1">
    <w:name w:val="Table Grid1"/>
    <w:basedOn w:val="TableNormal"/>
    <w:next w:val="TableGrid"/>
    <w:rsid w:val="002F4AB7"/>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F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1682</Characters>
  <Application>Microsoft Office Word</Application>
  <DocSecurity>0</DocSecurity>
  <Lines>55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2024-10-28T00:35:00Z</dcterms:created>
  <dcterms:modified xsi:type="dcterms:W3CDTF">2024-10-28T00:35:00Z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v=2022.1;a=SHA256;h=2F585D22E41ED970511C3D0138E5294BC5221AF8443D3F990701A2A8AED907F6</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OriginationTimeStamp">
    <vt:lpwstr>2024-10-28T00:35:38Z</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Markers">
    <vt:lpwstr/>
  </property>
  <property fmtid="{D5CDD505-2E9C-101B-9397-08002B2CF9AE}" pid="13" name="PM_InsertionValue">
    <vt:lpwstr>UNOFFICIAL</vt:lpwstr>
  </property>
  <property fmtid="{D5CDD505-2E9C-101B-9397-08002B2CF9AE}" pid="14" name="PM_Originator_Hash_SHA1">
    <vt:lpwstr>09B569037207566C68DDA322D8124FB47A89C341</vt:lpwstr>
  </property>
  <property fmtid="{D5CDD505-2E9C-101B-9397-08002B2CF9AE}" pid="15" name="PM_DisplayValueSecClassificationWithQualifier">
    <vt:lpwstr>UNOFFICIAL</vt:lpwstr>
  </property>
  <property fmtid="{D5CDD505-2E9C-101B-9397-08002B2CF9AE}" pid="16" name="PM_Originating_FileId">
    <vt:lpwstr>DBA27ACC8D1148C78918376C35C57A6E</vt:lpwstr>
  </property>
  <property fmtid="{D5CDD505-2E9C-101B-9397-08002B2CF9AE}" pid="17" name="PM_ProtectiveMarkingValue_Footer">
    <vt:lpwstr>UNOFFICIAL</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UNOFFICIAL</vt:lpwstr>
  </property>
  <property fmtid="{D5CDD505-2E9C-101B-9397-08002B2CF9AE}" pid="21" name="PM_OriginatorUserAccountName_SHA256">
    <vt:lpwstr>A5FD2317C9D8556B5143B0855F8BE111C11BE8F6BA5BCF94DC5B82C005B9C67B</vt:lpwstr>
  </property>
  <property fmtid="{D5CDD505-2E9C-101B-9397-08002B2CF9AE}" pid="22" name="PM_OriginatorDomainName_SHA256">
    <vt:lpwstr>1728E66681E435764AE865ABE664C38F2A2F6D4B1DC4AC4803028F4FC406745D</vt:lpwstr>
  </property>
  <property fmtid="{D5CDD505-2E9C-101B-9397-08002B2CF9AE}" pid="23" name="PMUuid">
    <vt:lpwstr>v=2022.2;d=gov.au;g=65417EFE-F3B9-5E66-BD91-1E689FEC2EA6</vt:lpwstr>
  </property>
  <property fmtid="{D5CDD505-2E9C-101B-9397-08002B2CF9AE}" pid="24" name="PM_Hash_Version">
    <vt:lpwstr>2022.1</vt:lpwstr>
  </property>
  <property fmtid="{D5CDD505-2E9C-101B-9397-08002B2CF9AE}" pid="25" name="PM_Hash_Salt_Prev">
    <vt:lpwstr>11F5290241380E76CB38571C46186668</vt:lpwstr>
  </property>
  <property fmtid="{D5CDD505-2E9C-101B-9397-08002B2CF9AE}" pid="26" name="PM_Hash_Salt">
    <vt:lpwstr>F14081F8FC5C78BA8FCC8011BC0D770A</vt:lpwstr>
  </property>
  <property fmtid="{D5CDD505-2E9C-101B-9397-08002B2CF9AE}" pid="27" name="PM_Hash_SHA1">
    <vt:lpwstr>516D05FFFEC42D25C1F8709CEEDDF0F38352794A</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Caveats_Count">
    <vt:lpwstr>0</vt:lpwstr>
  </property>
</Properties>
</file>