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FDC8D" w14:textId="77777777" w:rsidR="003F7E34" w:rsidRPr="00477D10" w:rsidRDefault="003F7E34" w:rsidP="007F0B8C">
      <w:pPr>
        <w:spacing w:after="120"/>
        <w:jc w:val="center"/>
        <w:rPr>
          <w:b/>
          <w:color w:val="000000"/>
          <w:sz w:val="22"/>
          <w:szCs w:val="22"/>
        </w:rPr>
      </w:pPr>
      <w:r w:rsidRPr="00477D10">
        <w:rPr>
          <w:b/>
          <w:color w:val="000000"/>
          <w:sz w:val="22"/>
          <w:szCs w:val="22"/>
        </w:rPr>
        <w:t>EXPLANATORY STATEMENT</w:t>
      </w:r>
    </w:p>
    <w:p w14:paraId="7C3CDED1" w14:textId="77777777" w:rsidR="003F7E34" w:rsidRPr="00477D10" w:rsidRDefault="003F7E34" w:rsidP="007F0B8C">
      <w:pPr>
        <w:spacing w:before="240"/>
        <w:jc w:val="center"/>
        <w:rPr>
          <w:b/>
          <w:i/>
          <w:color w:val="000000"/>
          <w:sz w:val="22"/>
          <w:szCs w:val="22"/>
        </w:rPr>
      </w:pPr>
      <w:r w:rsidRPr="00477D10">
        <w:rPr>
          <w:b/>
          <w:i/>
          <w:color w:val="000000"/>
          <w:sz w:val="22"/>
          <w:szCs w:val="22"/>
        </w:rPr>
        <w:t>NATIONAL HEALTH ACT 1953</w:t>
      </w:r>
    </w:p>
    <w:p w14:paraId="463CF0B6" w14:textId="2E2B9E8D" w:rsidR="003F7E34" w:rsidRPr="00477D10" w:rsidRDefault="003F7E34" w:rsidP="007F0B8C">
      <w:pPr>
        <w:pStyle w:val="Heading4"/>
        <w:keepNext w:val="0"/>
        <w:keepLines w:val="0"/>
        <w:spacing w:before="240"/>
        <w:rPr>
          <w:i/>
          <w:sz w:val="22"/>
          <w:szCs w:val="22"/>
        </w:rPr>
      </w:pPr>
      <w:r w:rsidRPr="00477D10">
        <w:rPr>
          <w:i/>
          <w:sz w:val="22"/>
          <w:szCs w:val="22"/>
        </w:rPr>
        <w:t xml:space="preserve">NATIONAL HEALTH (PARAPLEGIC AND QUADRIPLEGIC PROGRAM) </w:t>
      </w:r>
      <w:r w:rsidR="005B68A9" w:rsidRPr="00477D10">
        <w:rPr>
          <w:i/>
          <w:sz w:val="22"/>
          <w:szCs w:val="22"/>
        </w:rPr>
        <w:br/>
      </w:r>
      <w:r w:rsidRPr="00477D10">
        <w:rPr>
          <w:i/>
          <w:sz w:val="22"/>
          <w:szCs w:val="22"/>
        </w:rPr>
        <w:t>SPECIAL ARRANGEMENT AMENDMENT INSTRUMENT 20</w:t>
      </w:r>
      <w:r w:rsidR="006451A8" w:rsidRPr="00477D10">
        <w:rPr>
          <w:i/>
          <w:sz w:val="22"/>
          <w:szCs w:val="22"/>
        </w:rPr>
        <w:t>2</w:t>
      </w:r>
      <w:r w:rsidR="00257B6D" w:rsidRPr="00477D10">
        <w:rPr>
          <w:i/>
          <w:sz w:val="22"/>
          <w:szCs w:val="22"/>
        </w:rPr>
        <w:t>4</w:t>
      </w:r>
      <w:r w:rsidRPr="00477D10">
        <w:rPr>
          <w:i/>
          <w:sz w:val="22"/>
          <w:szCs w:val="22"/>
        </w:rPr>
        <w:t xml:space="preserve"> (No. </w:t>
      </w:r>
      <w:r w:rsidR="00FD16D9" w:rsidRPr="00477D10">
        <w:rPr>
          <w:i/>
          <w:sz w:val="22"/>
          <w:szCs w:val="22"/>
        </w:rPr>
        <w:t>2</w:t>
      </w:r>
      <w:r w:rsidRPr="00477D10">
        <w:rPr>
          <w:i/>
          <w:sz w:val="22"/>
          <w:szCs w:val="22"/>
        </w:rPr>
        <w:t>)</w:t>
      </w:r>
    </w:p>
    <w:p w14:paraId="2AEB4877" w14:textId="539E2D71" w:rsidR="003F7E34" w:rsidRPr="00477D10" w:rsidRDefault="00E97C40" w:rsidP="007F0B8C">
      <w:pPr>
        <w:pStyle w:val="Heading4"/>
        <w:keepNext w:val="0"/>
        <w:keepLines w:val="0"/>
        <w:spacing w:before="120"/>
        <w:rPr>
          <w:sz w:val="24"/>
          <w:szCs w:val="24"/>
        </w:rPr>
      </w:pPr>
      <w:r w:rsidRPr="00477D10">
        <w:rPr>
          <w:sz w:val="22"/>
          <w:szCs w:val="22"/>
        </w:rPr>
        <w:t>PB 118</w:t>
      </w:r>
      <w:r w:rsidR="003F7E34" w:rsidRPr="00477D10">
        <w:rPr>
          <w:sz w:val="22"/>
          <w:szCs w:val="22"/>
        </w:rPr>
        <w:t xml:space="preserve"> of </w:t>
      </w:r>
      <w:r w:rsidR="006451A8" w:rsidRPr="00477D10">
        <w:rPr>
          <w:sz w:val="22"/>
          <w:szCs w:val="22"/>
        </w:rPr>
        <w:t>20</w:t>
      </w:r>
      <w:r w:rsidR="000A470F" w:rsidRPr="00477D10">
        <w:rPr>
          <w:sz w:val="22"/>
          <w:szCs w:val="22"/>
        </w:rPr>
        <w:t>2</w:t>
      </w:r>
      <w:r w:rsidR="00257B6D" w:rsidRPr="00477D10">
        <w:rPr>
          <w:sz w:val="22"/>
          <w:szCs w:val="22"/>
        </w:rPr>
        <w:t>4</w:t>
      </w:r>
    </w:p>
    <w:p w14:paraId="1F47C89C" w14:textId="77777777" w:rsidR="003F7E34" w:rsidRPr="00477D10" w:rsidRDefault="003F7E34" w:rsidP="00011D4C">
      <w:pPr>
        <w:spacing w:before="120"/>
        <w:rPr>
          <w:bCs/>
        </w:rPr>
      </w:pPr>
    </w:p>
    <w:p w14:paraId="1FE7D82C" w14:textId="77777777" w:rsidR="00D217CE" w:rsidRPr="00477D10" w:rsidRDefault="00D217CE" w:rsidP="00E45BF6">
      <w:pPr>
        <w:spacing w:before="120"/>
        <w:rPr>
          <w:b/>
          <w:sz w:val="22"/>
          <w:szCs w:val="22"/>
        </w:rPr>
      </w:pPr>
      <w:r w:rsidRPr="00477D10">
        <w:rPr>
          <w:b/>
          <w:sz w:val="22"/>
          <w:szCs w:val="22"/>
        </w:rPr>
        <w:t>Purpose</w:t>
      </w:r>
    </w:p>
    <w:p w14:paraId="1C5CDF1C" w14:textId="14D33D9C" w:rsidR="00D217CE" w:rsidRPr="00477D10" w:rsidRDefault="00D217CE" w:rsidP="00E45BF6">
      <w:pPr>
        <w:spacing w:before="120"/>
        <w:jc w:val="both"/>
        <w:rPr>
          <w:sz w:val="22"/>
          <w:szCs w:val="22"/>
        </w:rPr>
      </w:pPr>
      <w:r w:rsidRPr="00477D10">
        <w:rPr>
          <w:sz w:val="22"/>
          <w:szCs w:val="22"/>
        </w:rPr>
        <w:t xml:space="preserve">This is the </w:t>
      </w:r>
      <w:r w:rsidRPr="00477D10">
        <w:rPr>
          <w:i/>
          <w:sz w:val="22"/>
          <w:szCs w:val="22"/>
        </w:rPr>
        <w:t>National Health (Paraplegic and Quadriplegic Program) Special Arrangement Amendment Instrument 20</w:t>
      </w:r>
      <w:r w:rsidR="00713EE2" w:rsidRPr="00477D10">
        <w:rPr>
          <w:i/>
          <w:sz w:val="22"/>
          <w:szCs w:val="22"/>
        </w:rPr>
        <w:t>2</w:t>
      </w:r>
      <w:r w:rsidR="00257B6D" w:rsidRPr="00477D10">
        <w:rPr>
          <w:i/>
          <w:sz w:val="22"/>
          <w:szCs w:val="22"/>
        </w:rPr>
        <w:t>4</w:t>
      </w:r>
      <w:r w:rsidRPr="00477D10">
        <w:rPr>
          <w:i/>
          <w:sz w:val="22"/>
          <w:szCs w:val="22"/>
        </w:rPr>
        <w:t xml:space="preserve"> (No. </w:t>
      </w:r>
      <w:r w:rsidR="00FD16D9" w:rsidRPr="00477D10">
        <w:rPr>
          <w:i/>
          <w:sz w:val="22"/>
          <w:szCs w:val="22"/>
        </w:rPr>
        <w:t>2</w:t>
      </w:r>
      <w:r w:rsidRPr="00477D10">
        <w:rPr>
          <w:i/>
          <w:sz w:val="22"/>
          <w:szCs w:val="22"/>
        </w:rPr>
        <w:t xml:space="preserve">) </w:t>
      </w:r>
      <w:r w:rsidRPr="00477D10">
        <w:rPr>
          <w:sz w:val="22"/>
          <w:szCs w:val="22"/>
        </w:rPr>
        <w:t xml:space="preserve">(this Instrument). The purpose of this Instrument, made under subsection 100(2) of the </w:t>
      </w:r>
      <w:r w:rsidR="00D97F58" w:rsidRPr="00477D10">
        <w:rPr>
          <w:i/>
          <w:iCs/>
          <w:sz w:val="22"/>
          <w:szCs w:val="22"/>
        </w:rPr>
        <w:t>National Health Act 1953</w:t>
      </w:r>
      <w:r w:rsidR="00D97F58" w:rsidRPr="00477D10">
        <w:rPr>
          <w:sz w:val="22"/>
          <w:szCs w:val="22"/>
        </w:rPr>
        <w:t xml:space="preserve"> (the </w:t>
      </w:r>
      <w:r w:rsidRPr="00477D10">
        <w:rPr>
          <w:sz w:val="22"/>
          <w:szCs w:val="22"/>
        </w:rPr>
        <w:t>Act</w:t>
      </w:r>
      <w:r w:rsidR="00D97F58" w:rsidRPr="00477D10">
        <w:rPr>
          <w:sz w:val="22"/>
          <w:szCs w:val="22"/>
        </w:rPr>
        <w:t>)</w:t>
      </w:r>
      <w:r w:rsidRPr="00477D10">
        <w:rPr>
          <w:sz w:val="22"/>
          <w:szCs w:val="22"/>
        </w:rPr>
        <w:t xml:space="preserve">, is to amend the </w:t>
      </w:r>
      <w:r w:rsidRPr="00477D10">
        <w:rPr>
          <w:i/>
          <w:sz w:val="22"/>
          <w:szCs w:val="22"/>
        </w:rPr>
        <w:t>National Health (Paraplegic and Quadriplegic Program) Special Arrangement 20</w:t>
      </w:r>
      <w:r w:rsidR="003504A8" w:rsidRPr="00477D10">
        <w:rPr>
          <w:i/>
          <w:sz w:val="22"/>
          <w:szCs w:val="22"/>
        </w:rPr>
        <w:t>21</w:t>
      </w:r>
      <w:r w:rsidRPr="00477D10">
        <w:rPr>
          <w:sz w:val="22"/>
          <w:szCs w:val="22"/>
        </w:rPr>
        <w:t xml:space="preserve"> (PB </w:t>
      </w:r>
      <w:r w:rsidR="003504A8" w:rsidRPr="00477D10">
        <w:rPr>
          <w:sz w:val="22"/>
          <w:szCs w:val="22"/>
        </w:rPr>
        <w:t>31</w:t>
      </w:r>
      <w:r w:rsidRPr="00477D10">
        <w:rPr>
          <w:sz w:val="22"/>
          <w:szCs w:val="22"/>
        </w:rPr>
        <w:t xml:space="preserve"> of 20</w:t>
      </w:r>
      <w:r w:rsidR="003504A8" w:rsidRPr="00477D10">
        <w:rPr>
          <w:sz w:val="22"/>
          <w:szCs w:val="22"/>
        </w:rPr>
        <w:t>21</w:t>
      </w:r>
      <w:r w:rsidRPr="00477D10">
        <w:rPr>
          <w:sz w:val="22"/>
          <w:szCs w:val="22"/>
        </w:rPr>
        <w:t>) (the Special Arrangement) to make changes to the Special Arrangement relating to the Paraplegic and Quadriplegic Program.</w:t>
      </w:r>
    </w:p>
    <w:p w14:paraId="31E807D2" w14:textId="5F93FE2D" w:rsidR="00D217CE" w:rsidRPr="00477D10" w:rsidRDefault="00D217CE" w:rsidP="00E45BF6">
      <w:pPr>
        <w:spacing w:before="120"/>
        <w:jc w:val="both"/>
        <w:rPr>
          <w:sz w:val="22"/>
          <w:szCs w:val="22"/>
        </w:rPr>
      </w:pPr>
      <w:r w:rsidRPr="00477D10">
        <w:rPr>
          <w:sz w:val="22"/>
          <w:szCs w:val="22"/>
        </w:rPr>
        <w:t xml:space="preserve">The Paraplegic and Quadriplegic Program Special Arrangement provides for ‘authorised associations’ to supply pharmaceutical benefits available under the Special Arrangement to ‘eligible </w:t>
      </w:r>
      <w:proofErr w:type="gramStart"/>
      <w:r w:rsidRPr="00477D10">
        <w:rPr>
          <w:sz w:val="22"/>
          <w:szCs w:val="22"/>
        </w:rPr>
        <w:t>persons’</w:t>
      </w:r>
      <w:proofErr w:type="gramEnd"/>
      <w:r w:rsidRPr="00477D10">
        <w:rPr>
          <w:sz w:val="22"/>
          <w:szCs w:val="22"/>
        </w:rPr>
        <w:t>. A person is an ‘eligible person’ for the purposes of the Special Arrangement if they:</w:t>
      </w:r>
    </w:p>
    <w:p w14:paraId="2D80C42E" w14:textId="77777777" w:rsidR="00D217CE" w:rsidRPr="00477D10" w:rsidRDefault="00D217CE" w:rsidP="00E45BF6">
      <w:pPr>
        <w:pStyle w:val="ListParagraph"/>
        <w:keepLines w:val="0"/>
        <w:numPr>
          <w:ilvl w:val="0"/>
          <w:numId w:val="3"/>
        </w:numPr>
        <w:tabs>
          <w:tab w:val="left" w:pos="851"/>
        </w:tabs>
        <w:spacing w:before="120" w:after="0"/>
        <w:ind w:left="851" w:hanging="567"/>
        <w:contextualSpacing w:val="0"/>
        <w:rPr>
          <w:sz w:val="22"/>
          <w:szCs w:val="22"/>
        </w:rPr>
      </w:pPr>
      <w:r w:rsidRPr="00477D10">
        <w:rPr>
          <w:sz w:val="22"/>
          <w:szCs w:val="22"/>
        </w:rPr>
        <w:t xml:space="preserve">are an ‘eligible person’ within the meaning of the </w:t>
      </w:r>
      <w:r w:rsidRPr="00477D10">
        <w:rPr>
          <w:i/>
          <w:sz w:val="22"/>
          <w:szCs w:val="22"/>
        </w:rPr>
        <w:t>Health Insurance Act 1973</w:t>
      </w:r>
      <w:r w:rsidRPr="00477D10">
        <w:rPr>
          <w:sz w:val="22"/>
          <w:szCs w:val="22"/>
        </w:rPr>
        <w:t>, that is, eligible to receive Medicare benefits; and</w:t>
      </w:r>
    </w:p>
    <w:p w14:paraId="3FF2D7BA" w14:textId="77777777" w:rsidR="00D217CE" w:rsidRPr="00477D10" w:rsidRDefault="00D217CE" w:rsidP="00E45BF6">
      <w:pPr>
        <w:pStyle w:val="ListParagraph"/>
        <w:keepLines w:val="0"/>
        <w:numPr>
          <w:ilvl w:val="0"/>
          <w:numId w:val="3"/>
        </w:numPr>
        <w:tabs>
          <w:tab w:val="left" w:pos="851"/>
        </w:tabs>
        <w:spacing w:before="120" w:after="0"/>
        <w:ind w:left="851" w:hanging="567"/>
        <w:contextualSpacing w:val="0"/>
        <w:rPr>
          <w:sz w:val="22"/>
          <w:szCs w:val="22"/>
        </w:rPr>
      </w:pPr>
      <w:r w:rsidRPr="00477D10">
        <w:rPr>
          <w:sz w:val="22"/>
          <w:szCs w:val="22"/>
        </w:rPr>
        <w:t>have paraplegia or quadriplegia; and</w:t>
      </w:r>
    </w:p>
    <w:p w14:paraId="624ACB31" w14:textId="77777777" w:rsidR="00D217CE" w:rsidRPr="00477D10" w:rsidRDefault="00D217CE" w:rsidP="00E45BF6">
      <w:pPr>
        <w:pStyle w:val="ListParagraph"/>
        <w:keepLines w:val="0"/>
        <w:numPr>
          <w:ilvl w:val="0"/>
          <w:numId w:val="3"/>
        </w:numPr>
        <w:tabs>
          <w:tab w:val="left" w:pos="851"/>
        </w:tabs>
        <w:spacing w:before="120" w:after="0"/>
        <w:ind w:left="851" w:hanging="567"/>
        <w:contextualSpacing w:val="0"/>
        <w:rPr>
          <w:sz w:val="22"/>
          <w:szCs w:val="22"/>
        </w:rPr>
      </w:pPr>
      <w:r w:rsidRPr="00477D10">
        <w:rPr>
          <w:sz w:val="22"/>
          <w:szCs w:val="22"/>
        </w:rPr>
        <w:t>are a member of an ‘authorised association’.</w:t>
      </w:r>
    </w:p>
    <w:p w14:paraId="6A6201B9" w14:textId="4B8AFA0F" w:rsidR="00D217CE" w:rsidRPr="00477D10" w:rsidRDefault="00D217CE" w:rsidP="00E45BF6">
      <w:pPr>
        <w:spacing w:before="120"/>
        <w:jc w:val="both"/>
        <w:rPr>
          <w:sz w:val="22"/>
          <w:szCs w:val="22"/>
        </w:rPr>
      </w:pPr>
      <w:r w:rsidRPr="00477D10">
        <w:rPr>
          <w:sz w:val="22"/>
          <w:szCs w:val="22"/>
        </w:rPr>
        <w:t>The amendment</w:t>
      </w:r>
      <w:r w:rsidR="00257B6D" w:rsidRPr="00477D10">
        <w:rPr>
          <w:sz w:val="22"/>
          <w:szCs w:val="22"/>
        </w:rPr>
        <w:t>s</w:t>
      </w:r>
      <w:r w:rsidRPr="00477D10">
        <w:rPr>
          <w:sz w:val="22"/>
          <w:szCs w:val="22"/>
        </w:rPr>
        <w:t xml:space="preserve"> made by this Instrument reflect amendments to the </w:t>
      </w:r>
      <w:r w:rsidRPr="00477D10">
        <w:rPr>
          <w:i/>
          <w:sz w:val="22"/>
          <w:szCs w:val="22"/>
        </w:rPr>
        <w:t>National Health (Listing of Pharmaceutical Benefits) Instrument 20</w:t>
      </w:r>
      <w:r w:rsidR="00257B6D" w:rsidRPr="00477D10">
        <w:rPr>
          <w:i/>
          <w:sz w:val="22"/>
          <w:szCs w:val="22"/>
        </w:rPr>
        <w:t>24</w:t>
      </w:r>
      <w:r w:rsidRPr="00477D10">
        <w:rPr>
          <w:sz w:val="22"/>
          <w:szCs w:val="22"/>
        </w:rPr>
        <w:t xml:space="preserve"> (PB </w:t>
      </w:r>
      <w:r w:rsidR="00257B6D" w:rsidRPr="00477D10">
        <w:rPr>
          <w:sz w:val="22"/>
          <w:szCs w:val="22"/>
        </w:rPr>
        <w:t>26</w:t>
      </w:r>
      <w:r w:rsidRPr="00477D10">
        <w:rPr>
          <w:sz w:val="22"/>
          <w:szCs w:val="22"/>
        </w:rPr>
        <w:t xml:space="preserve"> of 20</w:t>
      </w:r>
      <w:r w:rsidR="00257B6D" w:rsidRPr="00477D10">
        <w:rPr>
          <w:sz w:val="22"/>
          <w:szCs w:val="22"/>
        </w:rPr>
        <w:t>24</w:t>
      </w:r>
      <w:r w:rsidRPr="00477D10">
        <w:rPr>
          <w:sz w:val="22"/>
          <w:szCs w:val="22"/>
        </w:rPr>
        <w:t xml:space="preserve">), which commence on the same day. The </w:t>
      </w:r>
      <w:r w:rsidR="00257B6D" w:rsidRPr="00477D10">
        <w:rPr>
          <w:i/>
          <w:sz w:val="22"/>
          <w:szCs w:val="22"/>
        </w:rPr>
        <w:t>National Health (Listing of Pharmaceutical Benefits) Instrument 2024</w:t>
      </w:r>
      <w:r w:rsidR="00257B6D" w:rsidRPr="00477D10">
        <w:rPr>
          <w:sz w:val="22"/>
          <w:szCs w:val="22"/>
        </w:rPr>
        <w:t xml:space="preserve"> (PB 26 of 2024)</w:t>
      </w:r>
      <w:r w:rsidRPr="00477D10">
        <w:rPr>
          <w:sz w:val="22"/>
          <w:szCs w:val="22"/>
        </w:rPr>
        <w:t xml:space="preserve"> is made under sections 84AF, 84AK, 85, 85A, 88 and 101 of the Act.</w:t>
      </w:r>
    </w:p>
    <w:p w14:paraId="4E1F2E9F" w14:textId="2D7958FD" w:rsidR="006E6213" w:rsidRPr="00477D10" w:rsidRDefault="006E6213" w:rsidP="006E6213">
      <w:pPr>
        <w:spacing w:before="120"/>
        <w:jc w:val="both"/>
        <w:rPr>
          <w:sz w:val="22"/>
          <w:szCs w:val="22"/>
        </w:rPr>
      </w:pPr>
      <w:r w:rsidRPr="00477D10">
        <w:rPr>
          <w:sz w:val="22"/>
          <w:szCs w:val="22"/>
        </w:rPr>
        <w:t xml:space="preserve">The amendments made by this Instrument </w:t>
      </w:r>
      <w:r w:rsidR="00875D5E" w:rsidRPr="00477D10">
        <w:rPr>
          <w:sz w:val="22"/>
          <w:szCs w:val="22"/>
        </w:rPr>
        <w:t>involve</w:t>
      </w:r>
      <w:r w:rsidR="00977212" w:rsidRPr="00477D10">
        <w:rPr>
          <w:sz w:val="22"/>
          <w:szCs w:val="22"/>
        </w:rPr>
        <w:t xml:space="preserve"> </w:t>
      </w:r>
      <w:r w:rsidR="00C3026D" w:rsidRPr="00477D10">
        <w:rPr>
          <w:sz w:val="22"/>
          <w:szCs w:val="22"/>
        </w:rPr>
        <w:t xml:space="preserve">the </w:t>
      </w:r>
      <w:r w:rsidR="00AF25D0" w:rsidRPr="00477D10">
        <w:rPr>
          <w:sz w:val="22"/>
          <w:szCs w:val="22"/>
        </w:rPr>
        <w:t xml:space="preserve">alteration of responsible person code </w:t>
      </w:r>
      <w:r w:rsidR="00977212" w:rsidRPr="00477D10">
        <w:rPr>
          <w:sz w:val="22"/>
          <w:szCs w:val="22"/>
        </w:rPr>
        <w:t xml:space="preserve">for a brand of </w:t>
      </w:r>
      <w:r w:rsidR="006B6165" w:rsidRPr="00477D10">
        <w:rPr>
          <w:sz w:val="22"/>
          <w:szCs w:val="22"/>
        </w:rPr>
        <w:t xml:space="preserve">the listed drug macrogol 3350, </w:t>
      </w:r>
      <w:r w:rsidR="00AF25D0" w:rsidRPr="00477D10">
        <w:rPr>
          <w:sz w:val="22"/>
          <w:szCs w:val="22"/>
        </w:rPr>
        <w:t xml:space="preserve">and </w:t>
      </w:r>
      <w:r w:rsidR="004216FB" w:rsidRPr="00477D10">
        <w:rPr>
          <w:sz w:val="22"/>
          <w:szCs w:val="22"/>
        </w:rPr>
        <w:t xml:space="preserve">the </w:t>
      </w:r>
      <w:r w:rsidR="00C3026D" w:rsidRPr="00477D10">
        <w:rPr>
          <w:sz w:val="22"/>
          <w:szCs w:val="22"/>
        </w:rPr>
        <w:t>deletion of</w:t>
      </w:r>
      <w:r w:rsidR="00257B6D" w:rsidRPr="00477D10">
        <w:rPr>
          <w:sz w:val="22"/>
          <w:szCs w:val="22"/>
        </w:rPr>
        <w:t xml:space="preserve"> a </w:t>
      </w:r>
      <w:r w:rsidR="00AF25D0" w:rsidRPr="00477D10">
        <w:rPr>
          <w:sz w:val="22"/>
          <w:szCs w:val="22"/>
        </w:rPr>
        <w:t xml:space="preserve">brand of the listed drug </w:t>
      </w:r>
      <w:r w:rsidR="00977212" w:rsidRPr="00477D10">
        <w:rPr>
          <w:sz w:val="22"/>
          <w:szCs w:val="22"/>
        </w:rPr>
        <w:t>m</w:t>
      </w:r>
      <w:r w:rsidR="00AF25D0" w:rsidRPr="00477D10">
        <w:rPr>
          <w:sz w:val="22"/>
          <w:szCs w:val="22"/>
        </w:rPr>
        <w:t xml:space="preserve">acrogol 3350 </w:t>
      </w:r>
      <w:r w:rsidR="00C3026D" w:rsidRPr="00477D10">
        <w:rPr>
          <w:sz w:val="22"/>
          <w:szCs w:val="22"/>
        </w:rPr>
        <w:t>from Schedule 1</w:t>
      </w:r>
      <w:r w:rsidR="00977212" w:rsidRPr="00477D10">
        <w:rPr>
          <w:sz w:val="22"/>
          <w:szCs w:val="22"/>
        </w:rPr>
        <w:t xml:space="preserve">. It also provides for the addition and </w:t>
      </w:r>
      <w:r w:rsidR="00257B6D" w:rsidRPr="00477D10">
        <w:rPr>
          <w:sz w:val="22"/>
          <w:szCs w:val="22"/>
        </w:rPr>
        <w:t>deletion</w:t>
      </w:r>
      <w:r w:rsidR="00C3026D" w:rsidRPr="00477D10">
        <w:rPr>
          <w:sz w:val="22"/>
          <w:szCs w:val="22"/>
        </w:rPr>
        <w:t xml:space="preserve"> of responsible person</w:t>
      </w:r>
      <w:r w:rsidR="00977212" w:rsidRPr="00477D10">
        <w:rPr>
          <w:sz w:val="22"/>
          <w:szCs w:val="22"/>
        </w:rPr>
        <w:t>s</w:t>
      </w:r>
      <w:r w:rsidR="00257B6D" w:rsidRPr="00477D10">
        <w:rPr>
          <w:sz w:val="22"/>
          <w:szCs w:val="22"/>
        </w:rPr>
        <w:t xml:space="preserve"> </w:t>
      </w:r>
      <w:r w:rsidR="00C3026D" w:rsidRPr="00477D10">
        <w:rPr>
          <w:sz w:val="22"/>
          <w:szCs w:val="22"/>
        </w:rPr>
        <w:t>listed in Schedule 2 of the Special Arrangement.</w:t>
      </w:r>
      <w:r w:rsidRPr="00477D10">
        <w:rPr>
          <w:sz w:val="22"/>
          <w:szCs w:val="22"/>
        </w:rPr>
        <w:t xml:space="preserve"> These changes are summarised below.</w:t>
      </w:r>
    </w:p>
    <w:p w14:paraId="653A7D08" w14:textId="77777777" w:rsidR="003A6026" w:rsidRPr="00477D10" w:rsidRDefault="003A6026" w:rsidP="00E45BF6">
      <w:pPr>
        <w:spacing w:before="120"/>
        <w:rPr>
          <w:b/>
          <w:sz w:val="22"/>
          <w:szCs w:val="22"/>
        </w:rPr>
      </w:pPr>
      <w:r w:rsidRPr="00477D10">
        <w:rPr>
          <w:b/>
          <w:sz w:val="22"/>
          <w:szCs w:val="22"/>
        </w:rPr>
        <w:t>Authority</w:t>
      </w:r>
    </w:p>
    <w:p w14:paraId="0FDB90B9" w14:textId="77777777" w:rsidR="00FF56C7" w:rsidRPr="00477D10" w:rsidRDefault="00FF56C7" w:rsidP="00E45BF6">
      <w:pPr>
        <w:pStyle w:val="Heading6"/>
        <w:keepNext w:val="0"/>
        <w:keepLines w:val="0"/>
        <w:tabs>
          <w:tab w:val="left" w:pos="456"/>
        </w:tabs>
        <w:spacing w:before="120" w:after="0"/>
        <w:rPr>
          <w:b w:val="0"/>
          <w:sz w:val="22"/>
          <w:szCs w:val="22"/>
        </w:rPr>
      </w:pPr>
      <w:r w:rsidRPr="00477D10">
        <w:rPr>
          <w:b w:val="0"/>
          <w:sz w:val="22"/>
          <w:szCs w:val="22"/>
        </w:rPr>
        <w:t xml:space="preserve">Subsection 100(1) of the </w:t>
      </w:r>
      <w:r w:rsidRPr="00477D10">
        <w:rPr>
          <w:b w:val="0"/>
          <w:i/>
          <w:sz w:val="22"/>
          <w:szCs w:val="22"/>
        </w:rPr>
        <w:t xml:space="preserve">National Health Act 1953 </w:t>
      </w:r>
      <w:r w:rsidRPr="00477D10">
        <w:rPr>
          <w:b w:val="0"/>
          <w:sz w:val="22"/>
          <w:szCs w:val="22"/>
        </w:rPr>
        <w:t>(the Act) enables the Minister to make special arrangements for the supply of pharmaceutical benefits.</w:t>
      </w:r>
    </w:p>
    <w:p w14:paraId="754BC380" w14:textId="77777777" w:rsidR="00FF56C7" w:rsidRPr="00477D10" w:rsidRDefault="00FF56C7" w:rsidP="00E45BF6">
      <w:pPr>
        <w:pStyle w:val="Heading6"/>
        <w:keepNext w:val="0"/>
        <w:keepLines w:val="0"/>
        <w:tabs>
          <w:tab w:val="left" w:pos="456"/>
        </w:tabs>
        <w:spacing w:before="120" w:after="0"/>
        <w:rPr>
          <w:b w:val="0"/>
          <w:sz w:val="22"/>
          <w:szCs w:val="22"/>
        </w:rPr>
      </w:pPr>
      <w:r w:rsidRPr="00477D10">
        <w:rPr>
          <w:b w:val="0"/>
          <w:sz w:val="22"/>
          <w:szCs w:val="22"/>
        </w:rPr>
        <w:t>Subsection 100(2) of the Act provides that the Minister may vary or revoke a special arrangement made under subsection 100(1).</w:t>
      </w:r>
    </w:p>
    <w:p w14:paraId="7697EB79" w14:textId="77777777" w:rsidR="00FF56C7" w:rsidRPr="00477D10" w:rsidRDefault="00FF56C7" w:rsidP="00E45BF6">
      <w:pPr>
        <w:pStyle w:val="Heading6"/>
        <w:keepNext w:val="0"/>
        <w:keepLines w:val="0"/>
        <w:spacing w:before="120" w:after="0"/>
        <w:rPr>
          <w:sz w:val="22"/>
          <w:szCs w:val="22"/>
        </w:rPr>
      </w:pPr>
      <w:r w:rsidRPr="00477D10">
        <w:rPr>
          <w:b w:val="0"/>
          <w:sz w:val="22"/>
          <w:szCs w:val="22"/>
        </w:rPr>
        <w:t>Subsection 100(3) of the Act provides that Part VII of the Act, and instruments made for the purposes of Part VII have effect subject to a special arrangement made under subsection 100(1).</w:t>
      </w:r>
    </w:p>
    <w:p w14:paraId="3D318967" w14:textId="77777777" w:rsidR="00571345" w:rsidRPr="00477D10" w:rsidRDefault="007757EA" w:rsidP="00E45BF6">
      <w:pPr>
        <w:spacing w:before="120"/>
        <w:rPr>
          <w:b/>
          <w:sz w:val="22"/>
          <w:szCs w:val="22"/>
        </w:rPr>
      </w:pPr>
      <w:r w:rsidRPr="00477D10">
        <w:rPr>
          <w:b/>
          <w:sz w:val="22"/>
          <w:szCs w:val="22"/>
        </w:rPr>
        <w:t>Consultation</w:t>
      </w:r>
    </w:p>
    <w:p w14:paraId="3071056B" w14:textId="77777777" w:rsidR="00995AEE" w:rsidRPr="00477D10" w:rsidRDefault="00995AEE" w:rsidP="00E45BF6">
      <w:pPr>
        <w:spacing w:before="120"/>
        <w:jc w:val="both"/>
        <w:rPr>
          <w:sz w:val="22"/>
          <w:szCs w:val="22"/>
        </w:rPr>
      </w:pPr>
      <w:r w:rsidRPr="00477D10">
        <w:rPr>
          <w:sz w:val="22"/>
          <w:szCs w:val="22"/>
        </w:rPr>
        <w:t>The amendments made by this Instrument accord with recommendations made by the Pharmaceutical Benef</w:t>
      </w:r>
      <w:r w:rsidR="001940C0" w:rsidRPr="00477D10">
        <w:rPr>
          <w:sz w:val="22"/>
          <w:szCs w:val="22"/>
        </w:rPr>
        <w:t>its Advisory Committee (PBAC).</w:t>
      </w:r>
    </w:p>
    <w:p w14:paraId="7AE99AE8" w14:textId="77777777" w:rsidR="00995AEE" w:rsidRPr="00477D10" w:rsidRDefault="00995AEE" w:rsidP="00E45BF6">
      <w:pPr>
        <w:spacing w:before="120"/>
        <w:ind w:right="-58"/>
        <w:jc w:val="both"/>
        <w:rPr>
          <w:sz w:val="22"/>
          <w:szCs w:val="22"/>
        </w:rPr>
      </w:pPr>
      <w:r w:rsidRPr="00477D10">
        <w:rPr>
          <w:sz w:val="22"/>
          <w:szCs w:val="22"/>
        </w:rPr>
        <w:t>An ongoing and formal process of consultation in relation to matters relevant to the Special Arrangement includes the involvement of interested parties throu</w:t>
      </w:r>
      <w:r w:rsidR="001940C0" w:rsidRPr="00477D10">
        <w:rPr>
          <w:sz w:val="22"/>
          <w:szCs w:val="22"/>
        </w:rPr>
        <w:t>gh the membership of the PBAC.</w:t>
      </w:r>
    </w:p>
    <w:p w14:paraId="6EE8A998" w14:textId="06EF4A57" w:rsidR="00995AEE" w:rsidRPr="00477D10" w:rsidRDefault="00995AEE" w:rsidP="00E45BF6">
      <w:pPr>
        <w:spacing w:before="120"/>
        <w:ind w:right="-58"/>
        <w:jc w:val="both"/>
        <w:rPr>
          <w:sz w:val="22"/>
          <w:szCs w:val="22"/>
        </w:rPr>
      </w:pPr>
      <w:r w:rsidRPr="00477D10">
        <w:rPr>
          <w:sz w:val="22"/>
          <w:szCs w:val="22"/>
        </w:rPr>
        <w:t xml:space="preserve">PBAC is an independent expert body established by section 100A of the Act which makes recommendations to the Minister about which drugs and medicinal preparations should be available </w:t>
      </w:r>
      <w:r w:rsidR="00847F57" w:rsidRPr="00477D10">
        <w:rPr>
          <w:sz w:val="22"/>
          <w:szCs w:val="22"/>
        </w:rPr>
        <w:t xml:space="preserve">to Australians </w:t>
      </w:r>
      <w:r w:rsidRPr="00477D10">
        <w:rPr>
          <w:sz w:val="22"/>
          <w:szCs w:val="22"/>
        </w:rPr>
        <w:t xml:space="preserve">as pharmaceutical benefits. </w:t>
      </w:r>
      <w:r w:rsidR="00847F57" w:rsidRPr="00477D10">
        <w:rPr>
          <w:sz w:val="22"/>
          <w:szCs w:val="22"/>
        </w:rPr>
        <w:t xml:space="preserve">The </w:t>
      </w:r>
      <w:r w:rsidRPr="00477D10">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w:t>
      </w:r>
      <w:r w:rsidRPr="00477D10">
        <w:rPr>
          <w:sz w:val="22"/>
          <w:szCs w:val="22"/>
        </w:rPr>
        <w:lastRenderedPageBreak/>
        <w:t xml:space="preserve">professions. Remaining members are persons whom the Minister is satisfied have qualifications and experience in a field relevant to the functions of </w:t>
      </w:r>
      <w:r w:rsidR="00847F57" w:rsidRPr="00477D10">
        <w:rPr>
          <w:sz w:val="22"/>
          <w:szCs w:val="22"/>
        </w:rPr>
        <w:t xml:space="preserve">the </w:t>
      </w:r>
      <w:r w:rsidRPr="00477D10">
        <w:rPr>
          <w:sz w:val="22"/>
          <w:szCs w:val="22"/>
        </w:rPr>
        <w:t xml:space="preserve">PBAC, and that would enable them to contribute meaningfully to the deliberations of </w:t>
      </w:r>
      <w:r w:rsidR="00847F57" w:rsidRPr="00477D10">
        <w:rPr>
          <w:sz w:val="22"/>
          <w:szCs w:val="22"/>
        </w:rPr>
        <w:t xml:space="preserve">the </w:t>
      </w:r>
      <w:r w:rsidRPr="00477D10">
        <w:rPr>
          <w:sz w:val="22"/>
          <w:szCs w:val="22"/>
        </w:rPr>
        <w:t xml:space="preserve">PBAC. </w:t>
      </w:r>
      <w:r w:rsidR="00847F57" w:rsidRPr="00477D10">
        <w:rPr>
          <w:sz w:val="22"/>
          <w:szCs w:val="22"/>
        </w:rPr>
        <w:t xml:space="preserve">In addition, an industry nominee has been appointed to the PBAC membership under the Pharmaceutical Benefits Scheme (PBS) Access and Sustainability Package of reforms announced in May 2015. </w:t>
      </w:r>
      <w:r w:rsidRPr="00477D10">
        <w:rPr>
          <w:sz w:val="22"/>
          <w:szCs w:val="22"/>
        </w:rPr>
        <w:t xml:space="preserve">When recommending the listing of a medicine on the PBS, PBAC </w:t>
      </w:r>
      <w:proofErr w:type="gramStart"/>
      <w:r w:rsidRPr="00477D10">
        <w:rPr>
          <w:sz w:val="22"/>
          <w:szCs w:val="22"/>
        </w:rPr>
        <w:t>takes into account</w:t>
      </w:r>
      <w:proofErr w:type="gramEnd"/>
      <w:r w:rsidRPr="00477D10">
        <w:rPr>
          <w:sz w:val="22"/>
          <w:szCs w:val="22"/>
        </w:rPr>
        <w:t xml:space="preserve"> the medical conditions for which the medicine has been approved for use in Australia, its clinical effectiveness, safety and cost-effectiveness compared with other treatments.</w:t>
      </w:r>
    </w:p>
    <w:p w14:paraId="6EBF1B09" w14:textId="250395B8" w:rsidR="00DD2F45" w:rsidRPr="00477D10" w:rsidRDefault="00DD2F45" w:rsidP="00E45BF6">
      <w:pPr>
        <w:spacing w:before="120"/>
        <w:ind w:right="-57"/>
        <w:jc w:val="both"/>
        <w:rPr>
          <w:color w:val="000000"/>
          <w:sz w:val="22"/>
          <w:szCs w:val="22"/>
          <w:lang w:val="en-US" w:eastAsia="en-US"/>
        </w:rPr>
      </w:pPr>
      <w:r w:rsidRPr="00477D10">
        <w:rPr>
          <w:sz w:val="22"/>
          <w:szCs w:val="22"/>
        </w:rPr>
        <w:t xml:space="preserve">Pharmaceutical companies </w:t>
      </w:r>
      <w:r w:rsidR="00847F57" w:rsidRPr="00477D10">
        <w:rPr>
          <w:sz w:val="22"/>
          <w:szCs w:val="22"/>
        </w:rPr>
        <w:t>are</w:t>
      </w:r>
      <w:r w:rsidRPr="00477D10">
        <w:rPr>
          <w:sz w:val="22"/>
          <w:szCs w:val="22"/>
        </w:rPr>
        <w:t xml:space="preserve"> consulted throughout the process of </w:t>
      </w:r>
      <w:r w:rsidR="00847F57" w:rsidRPr="00477D10">
        <w:rPr>
          <w:sz w:val="22"/>
          <w:szCs w:val="22"/>
        </w:rPr>
        <w:t xml:space="preserve">the listing of their medicines on the PBS and in relation to </w:t>
      </w:r>
      <w:r w:rsidRPr="00477D10">
        <w:rPr>
          <w:sz w:val="22"/>
          <w:szCs w:val="22"/>
        </w:rPr>
        <w:t xml:space="preserve">changes to </w:t>
      </w:r>
      <w:r w:rsidR="00847F57" w:rsidRPr="00477D10">
        <w:rPr>
          <w:sz w:val="22"/>
          <w:szCs w:val="22"/>
        </w:rPr>
        <w:t>those</w:t>
      </w:r>
      <w:r w:rsidRPr="00477D10">
        <w:rPr>
          <w:sz w:val="22"/>
          <w:szCs w:val="22"/>
        </w:rPr>
        <w:t xml:space="preserve"> listings. This includes </w:t>
      </w:r>
      <w:r w:rsidR="00847F57" w:rsidRPr="00477D10">
        <w:rPr>
          <w:sz w:val="22"/>
          <w:szCs w:val="22"/>
        </w:rPr>
        <w:t>the company submission to the PBAC and involvement throughout</w:t>
      </w:r>
      <w:r w:rsidRPr="00477D10">
        <w:rPr>
          <w:color w:val="000000"/>
          <w:sz w:val="22"/>
          <w:szCs w:val="22"/>
          <w:lang w:val="en-US" w:eastAsia="en-US"/>
        </w:rPr>
        <w:t xml:space="preserve"> the PBAC process.</w:t>
      </w:r>
    </w:p>
    <w:p w14:paraId="347D1AFC" w14:textId="655C12D1" w:rsidR="00995AEE" w:rsidRPr="00477D10" w:rsidRDefault="00847F57" w:rsidP="00E45BF6">
      <w:pPr>
        <w:spacing w:before="120"/>
        <w:ind w:right="-57"/>
        <w:jc w:val="both"/>
        <w:rPr>
          <w:sz w:val="22"/>
          <w:szCs w:val="22"/>
        </w:rPr>
      </w:pPr>
      <w:r w:rsidRPr="00477D10">
        <w:rPr>
          <w:color w:val="000000"/>
          <w:sz w:val="22"/>
          <w:szCs w:val="22"/>
          <w:lang w:val="en-US" w:eastAsia="en-US"/>
        </w:rPr>
        <w:t>It was considered that f</w:t>
      </w:r>
      <w:r w:rsidR="00DD2F45" w:rsidRPr="00477D10">
        <w:rPr>
          <w:color w:val="000000"/>
          <w:sz w:val="22"/>
          <w:szCs w:val="22"/>
          <w:lang w:val="en-US" w:eastAsia="en-US"/>
        </w:rPr>
        <w:t>urther consultation for this Instrument was unnecessary due to the nature of the consultation that had already taken place.</w:t>
      </w:r>
    </w:p>
    <w:p w14:paraId="38E58DD1" w14:textId="77777777" w:rsidR="003B4EF2" w:rsidRPr="00477D10" w:rsidRDefault="003B4EF2" w:rsidP="00907F5E">
      <w:pPr>
        <w:spacing w:before="120"/>
        <w:rPr>
          <w:b/>
          <w:sz w:val="22"/>
          <w:szCs w:val="22"/>
        </w:rPr>
      </w:pPr>
      <w:r w:rsidRPr="00477D10">
        <w:rPr>
          <w:b/>
          <w:sz w:val="22"/>
          <w:szCs w:val="22"/>
        </w:rPr>
        <w:t>General</w:t>
      </w:r>
    </w:p>
    <w:p w14:paraId="597E5B3F" w14:textId="5CA38FF3" w:rsidR="003B4EF2" w:rsidRPr="00477D10" w:rsidRDefault="003B4EF2" w:rsidP="003B4EF2">
      <w:pPr>
        <w:spacing w:before="120"/>
        <w:rPr>
          <w:sz w:val="22"/>
          <w:szCs w:val="22"/>
        </w:rPr>
      </w:pPr>
      <w:r w:rsidRPr="00477D10">
        <w:rPr>
          <w:sz w:val="22"/>
          <w:szCs w:val="22"/>
        </w:rPr>
        <w:t xml:space="preserve">A provision-by-provision description of this </w:t>
      </w:r>
      <w:r w:rsidR="001E5E44" w:rsidRPr="00477D10">
        <w:rPr>
          <w:sz w:val="22"/>
          <w:szCs w:val="22"/>
        </w:rPr>
        <w:t>I</w:t>
      </w:r>
      <w:r w:rsidRPr="00477D10">
        <w:rPr>
          <w:sz w:val="22"/>
          <w:szCs w:val="22"/>
        </w:rPr>
        <w:t>nstrument is contained in the Attachment.</w:t>
      </w:r>
    </w:p>
    <w:p w14:paraId="3E8112FC" w14:textId="1FFCF4D1" w:rsidR="00995AEE" w:rsidRPr="00477D10" w:rsidRDefault="00995AEE" w:rsidP="00E45BF6">
      <w:pPr>
        <w:spacing w:before="120"/>
        <w:ind w:right="-58"/>
        <w:jc w:val="both"/>
        <w:rPr>
          <w:sz w:val="22"/>
          <w:szCs w:val="22"/>
        </w:rPr>
      </w:pPr>
      <w:r w:rsidRPr="00477D10">
        <w:rPr>
          <w:sz w:val="22"/>
          <w:szCs w:val="22"/>
        </w:rPr>
        <w:t xml:space="preserve">This </w:t>
      </w:r>
      <w:r w:rsidR="001E5E44" w:rsidRPr="00477D10">
        <w:rPr>
          <w:sz w:val="22"/>
          <w:szCs w:val="22"/>
        </w:rPr>
        <w:t>I</w:t>
      </w:r>
      <w:r w:rsidRPr="00477D10">
        <w:rPr>
          <w:sz w:val="22"/>
          <w:szCs w:val="22"/>
        </w:rPr>
        <w:t xml:space="preserve">nstrument commences on </w:t>
      </w:r>
      <w:r w:rsidR="00AA08EF" w:rsidRPr="00477D10">
        <w:rPr>
          <w:sz w:val="22"/>
          <w:szCs w:val="22"/>
        </w:rPr>
        <w:t xml:space="preserve">1 </w:t>
      </w:r>
      <w:r w:rsidR="00325F17" w:rsidRPr="00477D10">
        <w:rPr>
          <w:sz w:val="22"/>
          <w:szCs w:val="22"/>
        </w:rPr>
        <w:t>November</w:t>
      </w:r>
      <w:r w:rsidR="00E128F5" w:rsidRPr="00477D10">
        <w:rPr>
          <w:sz w:val="22"/>
          <w:szCs w:val="22"/>
        </w:rPr>
        <w:t xml:space="preserve"> 2024</w:t>
      </w:r>
      <w:r w:rsidRPr="00477D10">
        <w:rPr>
          <w:sz w:val="22"/>
          <w:szCs w:val="22"/>
        </w:rPr>
        <w:t>.</w:t>
      </w:r>
    </w:p>
    <w:p w14:paraId="78C2146D" w14:textId="3B0ED732" w:rsidR="00995AEE" w:rsidRPr="00477D10" w:rsidRDefault="00995AEE" w:rsidP="00E45BF6">
      <w:pPr>
        <w:spacing w:before="120"/>
        <w:ind w:right="-58"/>
        <w:jc w:val="both"/>
        <w:rPr>
          <w:sz w:val="22"/>
          <w:szCs w:val="22"/>
        </w:rPr>
      </w:pPr>
      <w:r w:rsidRPr="00477D10">
        <w:rPr>
          <w:sz w:val="22"/>
          <w:szCs w:val="22"/>
        </w:rPr>
        <w:t xml:space="preserve">This </w:t>
      </w:r>
      <w:r w:rsidR="001E5E44" w:rsidRPr="00477D10">
        <w:rPr>
          <w:sz w:val="22"/>
          <w:szCs w:val="22"/>
        </w:rPr>
        <w:t>I</w:t>
      </w:r>
      <w:r w:rsidRPr="00477D10">
        <w:rPr>
          <w:sz w:val="22"/>
          <w:szCs w:val="22"/>
        </w:rPr>
        <w:t xml:space="preserve">nstrument is a legislative instrument for the purposes of the </w:t>
      </w:r>
      <w:r w:rsidRPr="00477D10">
        <w:rPr>
          <w:i/>
          <w:sz w:val="22"/>
          <w:szCs w:val="22"/>
        </w:rPr>
        <w:t>Legislati</w:t>
      </w:r>
      <w:r w:rsidR="001E5E44" w:rsidRPr="00477D10">
        <w:rPr>
          <w:i/>
          <w:sz w:val="22"/>
          <w:szCs w:val="22"/>
        </w:rPr>
        <w:t>on</w:t>
      </w:r>
      <w:r w:rsidRPr="00477D10">
        <w:rPr>
          <w:i/>
          <w:sz w:val="22"/>
          <w:szCs w:val="22"/>
        </w:rPr>
        <w:t> Act 2003</w:t>
      </w:r>
      <w:r w:rsidRPr="00477D10">
        <w:rPr>
          <w:sz w:val="22"/>
          <w:szCs w:val="22"/>
        </w:rPr>
        <w:t>.</w:t>
      </w:r>
    </w:p>
    <w:p w14:paraId="4896935B" w14:textId="77777777" w:rsidR="006E6D04" w:rsidRPr="00477D10" w:rsidRDefault="006E6D04">
      <w:pPr>
        <w:rPr>
          <w:b/>
        </w:rPr>
      </w:pPr>
      <w:r w:rsidRPr="00477D10">
        <w:rPr>
          <w:b/>
        </w:rPr>
        <w:br w:type="page"/>
      </w:r>
    </w:p>
    <w:p w14:paraId="539FEA57" w14:textId="77777777" w:rsidR="00A06A62" w:rsidRPr="00477D10" w:rsidRDefault="00A06A62" w:rsidP="00A06A62">
      <w:pPr>
        <w:jc w:val="right"/>
        <w:rPr>
          <w:b/>
          <w:sz w:val="22"/>
          <w:szCs w:val="22"/>
        </w:rPr>
      </w:pPr>
      <w:r w:rsidRPr="00477D10">
        <w:rPr>
          <w:b/>
          <w:sz w:val="22"/>
          <w:szCs w:val="22"/>
        </w:rPr>
        <w:lastRenderedPageBreak/>
        <w:t>ATTACHMENT</w:t>
      </w:r>
    </w:p>
    <w:p w14:paraId="38EDF51B" w14:textId="77777777" w:rsidR="00A06A62" w:rsidRPr="00477D10" w:rsidRDefault="00A06A62" w:rsidP="00A06A62">
      <w:pPr>
        <w:jc w:val="right"/>
        <w:rPr>
          <w:b/>
          <w:sz w:val="22"/>
          <w:szCs w:val="22"/>
        </w:rPr>
      </w:pPr>
    </w:p>
    <w:p w14:paraId="1BE0DD0F" w14:textId="6B4BFFC8" w:rsidR="00A06A62" w:rsidRPr="00477D10" w:rsidRDefault="00A06A62" w:rsidP="000A470F">
      <w:pPr>
        <w:pStyle w:val="Heading4"/>
        <w:keepNext w:val="0"/>
        <w:keepLines w:val="0"/>
        <w:spacing w:after="0"/>
        <w:jc w:val="both"/>
        <w:rPr>
          <w:i/>
          <w:sz w:val="22"/>
          <w:szCs w:val="22"/>
        </w:rPr>
      </w:pPr>
      <w:r w:rsidRPr="00477D10">
        <w:rPr>
          <w:sz w:val="22"/>
          <w:szCs w:val="22"/>
        </w:rPr>
        <w:t xml:space="preserve">PROVISION-BY-PROVISION DESCRIPTION OF </w:t>
      </w:r>
      <w:r w:rsidRPr="00477D10">
        <w:rPr>
          <w:i/>
          <w:sz w:val="22"/>
          <w:szCs w:val="22"/>
        </w:rPr>
        <w:t>NATIONAL HEALTH (PARAPLEGIC AND QUADRIPLEGIC PROGRAM) SPECIAL ARRANGEMENT AMENDMENT INSTRUMENT 20</w:t>
      </w:r>
      <w:r w:rsidR="006451A8" w:rsidRPr="00477D10">
        <w:rPr>
          <w:i/>
          <w:sz w:val="22"/>
          <w:szCs w:val="22"/>
        </w:rPr>
        <w:t>2</w:t>
      </w:r>
      <w:r w:rsidR="00BA3440" w:rsidRPr="00477D10">
        <w:rPr>
          <w:i/>
          <w:sz w:val="22"/>
          <w:szCs w:val="22"/>
        </w:rPr>
        <w:t>4</w:t>
      </w:r>
      <w:r w:rsidRPr="00477D10">
        <w:rPr>
          <w:i/>
          <w:sz w:val="22"/>
          <w:szCs w:val="22"/>
        </w:rPr>
        <w:t xml:space="preserve"> </w:t>
      </w:r>
      <w:r w:rsidR="000A470F" w:rsidRPr="00477D10">
        <w:rPr>
          <w:i/>
          <w:sz w:val="22"/>
          <w:szCs w:val="22"/>
        </w:rPr>
        <w:br/>
      </w:r>
      <w:r w:rsidRPr="00477D10">
        <w:rPr>
          <w:i/>
          <w:sz w:val="22"/>
          <w:szCs w:val="22"/>
        </w:rPr>
        <w:t xml:space="preserve">(No. </w:t>
      </w:r>
      <w:r w:rsidR="00CC0D38" w:rsidRPr="00477D10">
        <w:rPr>
          <w:i/>
          <w:sz w:val="22"/>
          <w:szCs w:val="22"/>
        </w:rPr>
        <w:t>2</w:t>
      </w:r>
      <w:r w:rsidRPr="00477D10">
        <w:rPr>
          <w:i/>
          <w:sz w:val="22"/>
          <w:szCs w:val="22"/>
        </w:rPr>
        <w:t>)</w:t>
      </w:r>
    </w:p>
    <w:p w14:paraId="1C8D5088" w14:textId="77777777" w:rsidR="00A06A62" w:rsidRPr="00477D10" w:rsidRDefault="00A06A62" w:rsidP="00A06A62">
      <w:pPr>
        <w:tabs>
          <w:tab w:val="left" w:pos="1418"/>
        </w:tabs>
        <w:spacing w:before="240"/>
        <w:rPr>
          <w:b/>
          <w:sz w:val="22"/>
          <w:szCs w:val="22"/>
        </w:rPr>
      </w:pPr>
      <w:r w:rsidRPr="00477D10">
        <w:rPr>
          <w:b/>
          <w:sz w:val="22"/>
          <w:szCs w:val="22"/>
        </w:rPr>
        <w:t>Section 1</w:t>
      </w:r>
      <w:r w:rsidRPr="00477D10">
        <w:rPr>
          <w:b/>
          <w:sz w:val="22"/>
          <w:szCs w:val="22"/>
        </w:rPr>
        <w:tab/>
        <w:t>Name of Instrument</w:t>
      </w:r>
    </w:p>
    <w:p w14:paraId="74574134" w14:textId="5AF2DBFD" w:rsidR="00A06A62" w:rsidRPr="00477D10" w:rsidRDefault="00A06A62" w:rsidP="00907F5E">
      <w:pPr>
        <w:spacing w:before="120"/>
        <w:rPr>
          <w:b/>
          <w:sz w:val="22"/>
          <w:szCs w:val="22"/>
        </w:rPr>
      </w:pPr>
      <w:r w:rsidRPr="00477D10">
        <w:rPr>
          <w:sz w:val="22"/>
          <w:szCs w:val="22"/>
        </w:rPr>
        <w:t xml:space="preserve">This section provides that the </w:t>
      </w:r>
      <w:r w:rsidR="00907F5E" w:rsidRPr="00477D10">
        <w:rPr>
          <w:bCs/>
          <w:sz w:val="22"/>
          <w:szCs w:val="22"/>
        </w:rPr>
        <w:t>name of the</w:t>
      </w:r>
      <w:r w:rsidR="00907F5E" w:rsidRPr="00477D10">
        <w:rPr>
          <w:b/>
          <w:sz w:val="22"/>
          <w:szCs w:val="22"/>
        </w:rPr>
        <w:t xml:space="preserve"> </w:t>
      </w:r>
      <w:r w:rsidRPr="00477D10">
        <w:rPr>
          <w:sz w:val="22"/>
          <w:szCs w:val="22"/>
        </w:rPr>
        <w:t xml:space="preserve">Instrument is the </w:t>
      </w:r>
      <w:bookmarkStart w:id="0" w:name="_Hlk89010414"/>
      <w:r w:rsidRPr="00477D10">
        <w:rPr>
          <w:i/>
          <w:iCs/>
          <w:sz w:val="22"/>
          <w:szCs w:val="22"/>
        </w:rPr>
        <w:t>National Health (Paraplegic and Quadriplegic Program) Special Arrangement Amendment Instrument 20</w:t>
      </w:r>
      <w:r w:rsidR="006451A8" w:rsidRPr="00477D10">
        <w:rPr>
          <w:i/>
          <w:iCs/>
          <w:sz w:val="22"/>
          <w:szCs w:val="22"/>
        </w:rPr>
        <w:t>2</w:t>
      </w:r>
      <w:r w:rsidR="00257B6D" w:rsidRPr="00477D10">
        <w:rPr>
          <w:i/>
          <w:iCs/>
          <w:sz w:val="22"/>
          <w:szCs w:val="22"/>
        </w:rPr>
        <w:t>4</w:t>
      </w:r>
      <w:r w:rsidRPr="00477D10">
        <w:rPr>
          <w:i/>
          <w:iCs/>
          <w:sz w:val="22"/>
          <w:szCs w:val="22"/>
        </w:rPr>
        <w:t xml:space="preserve"> (No.</w:t>
      </w:r>
      <w:r w:rsidR="00CC0D38" w:rsidRPr="00477D10">
        <w:rPr>
          <w:i/>
          <w:iCs/>
          <w:sz w:val="22"/>
          <w:szCs w:val="22"/>
        </w:rPr>
        <w:t xml:space="preserve"> 2</w:t>
      </w:r>
      <w:r w:rsidRPr="00477D10">
        <w:rPr>
          <w:i/>
          <w:iCs/>
          <w:sz w:val="22"/>
          <w:szCs w:val="22"/>
        </w:rPr>
        <w:t>)</w:t>
      </w:r>
      <w:bookmarkEnd w:id="0"/>
      <w:r w:rsidRPr="00477D10">
        <w:rPr>
          <w:sz w:val="22"/>
          <w:szCs w:val="22"/>
        </w:rPr>
        <w:t xml:space="preserve"> and may also be cited as </w:t>
      </w:r>
      <w:r w:rsidR="00E97C40" w:rsidRPr="00477D10">
        <w:rPr>
          <w:sz w:val="22"/>
          <w:szCs w:val="22"/>
        </w:rPr>
        <w:t xml:space="preserve">PB 118 </w:t>
      </w:r>
      <w:r w:rsidRPr="00477D10">
        <w:rPr>
          <w:sz w:val="22"/>
          <w:szCs w:val="22"/>
        </w:rPr>
        <w:t>of</w:t>
      </w:r>
      <w:r w:rsidR="00E97C40" w:rsidRPr="00477D10">
        <w:rPr>
          <w:sz w:val="22"/>
          <w:szCs w:val="22"/>
        </w:rPr>
        <w:t xml:space="preserve"> </w:t>
      </w:r>
      <w:r w:rsidRPr="00477D10">
        <w:rPr>
          <w:sz w:val="22"/>
          <w:szCs w:val="22"/>
        </w:rPr>
        <w:t>20</w:t>
      </w:r>
      <w:r w:rsidR="006451A8" w:rsidRPr="00477D10">
        <w:rPr>
          <w:sz w:val="22"/>
          <w:szCs w:val="22"/>
        </w:rPr>
        <w:t>2</w:t>
      </w:r>
      <w:r w:rsidR="00257B6D" w:rsidRPr="00477D10">
        <w:rPr>
          <w:sz w:val="22"/>
          <w:szCs w:val="22"/>
        </w:rPr>
        <w:t>4</w:t>
      </w:r>
      <w:r w:rsidRPr="00477D10">
        <w:rPr>
          <w:sz w:val="22"/>
          <w:szCs w:val="22"/>
        </w:rPr>
        <w:t>.</w:t>
      </w:r>
    </w:p>
    <w:p w14:paraId="526D52E3" w14:textId="77777777" w:rsidR="00A06A62" w:rsidRPr="00477D10" w:rsidRDefault="00A06A62" w:rsidP="00A06A62">
      <w:pPr>
        <w:tabs>
          <w:tab w:val="left" w:pos="1418"/>
        </w:tabs>
        <w:spacing w:before="240"/>
        <w:rPr>
          <w:b/>
          <w:sz w:val="22"/>
          <w:szCs w:val="22"/>
        </w:rPr>
      </w:pPr>
      <w:r w:rsidRPr="00477D10">
        <w:rPr>
          <w:b/>
          <w:sz w:val="22"/>
          <w:szCs w:val="22"/>
        </w:rPr>
        <w:t>Section 2</w:t>
      </w:r>
      <w:r w:rsidRPr="00477D10">
        <w:rPr>
          <w:b/>
          <w:sz w:val="22"/>
          <w:szCs w:val="22"/>
        </w:rPr>
        <w:tab/>
        <w:t>Commencement</w:t>
      </w:r>
    </w:p>
    <w:p w14:paraId="4711B6FD" w14:textId="6A03D442" w:rsidR="00A06A62" w:rsidRPr="00477D10" w:rsidRDefault="001E5E44" w:rsidP="00A06A62">
      <w:pPr>
        <w:spacing w:before="120"/>
        <w:rPr>
          <w:sz w:val="22"/>
          <w:szCs w:val="22"/>
        </w:rPr>
      </w:pPr>
      <w:r w:rsidRPr="00477D10">
        <w:rPr>
          <w:sz w:val="22"/>
          <w:szCs w:val="22"/>
        </w:rPr>
        <w:t>Subsection 2(1)</w:t>
      </w:r>
      <w:r w:rsidR="00A06A62" w:rsidRPr="00477D10">
        <w:rPr>
          <w:sz w:val="22"/>
          <w:szCs w:val="22"/>
        </w:rPr>
        <w:t xml:space="preserve"> provides </w:t>
      </w:r>
      <w:r w:rsidRPr="00477D10">
        <w:rPr>
          <w:sz w:val="22"/>
          <w:szCs w:val="22"/>
        </w:rPr>
        <w:t>for commencement dates of each of the provisions specified in Column 1 of the table, in accordance with Column 2 of the table.</w:t>
      </w:r>
      <w:r w:rsidR="00D4734B" w:rsidRPr="00477D10">
        <w:rPr>
          <w:sz w:val="22"/>
          <w:szCs w:val="22"/>
        </w:rPr>
        <w:t xml:space="preserve"> </w:t>
      </w:r>
      <w:r w:rsidRPr="00477D10">
        <w:rPr>
          <w:sz w:val="22"/>
          <w:szCs w:val="22"/>
        </w:rPr>
        <w:t xml:space="preserve">In accordance with Column 2 of the table, Schedule 1 to the Instrument </w:t>
      </w:r>
      <w:r w:rsidR="00A06A62" w:rsidRPr="00477D10">
        <w:rPr>
          <w:sz w:val="22"/>
          <w:szCs w:val="22"/>
        </w:rPr>
        <w:t xml:space="preserve">commences on </w:t>
      </w:r>
      <w:r w:rsidR="00AA08EF" w:rsidRPr="00477D10">
        <w:rPr>
          <w:sz w:val="22"/>
          <w:szCs w:val="22"/>
        </w:rPr>
        <w:t xml:space="preserve">1 </w:t>
      </w:r>
      <w:r w:rsidR="00CC0D38" w:rsidRPr="00477D10">
        <w:rPr>
          <w:sz w:val="22"/>
          <w:szCs w:val="22"/>
        </w:rPr>
        <w:t>November</w:t>
      </w:r>
      <w:r w:rsidR="00AA08EF" w:rsidRPr="00477D10">
        <w:rPr>
          <w:sz w:val="22"/>
          <w:szCs w:val="22"/>
        </w:rPr>
        <w:t xml:space="preserve"> 202</w:t>
      </w:r>
      <w:r w:rsidR="00257B6D" w:rsidRPr="00477D10">
        <w:rPr>
          <w:sz w:val="22"/>
          <w:szCs w:val="22"/>
        </w:rPr>
        <w:t>4</w:t>
      </w:r>
      <w:r w:rsidR="00A06A62" w:rsidRPr="00477D10">
        <w:rPr>
          <w:sz w:val="22"/>
          <w:szCs w:val="22"/>
        </w:rPr>
        <w:t>.</w:t>
      </w:r>
    </w:p>
    <w:p w14:paraId="0DA5F0AA" w14:textId="64FF0B6C" w:rsidR="00A06A62" w:rsidRPr="00477D10" w:rsidRDefault="00A06A62" w:rsidP="004871EF">
      <w:pPr>
        <w:spacing w:before="240"/>
        <w:ind w:left="1418" w:hanging="1418"/>
        <w:rPr>
          <w:b/>
          <w:sz w:val="22"/>
          <w:szCs w:val="22"/>
        </w:rPr>
      </w:pPr>
      <w:r w:rsidRPr="00477D10">
        <w:rPr>
          <w:b/>
          <w:sz w:val="22"/>
          <w:szCs w:val="22"/>
        </w:rPr>
        <w:t>Section 3</w:t>
      </w:r>
      <w:r w:rsidRPr="00477D10">
        <w:rPr>
          <w:b/>
          <w:sz w:val="22"/>
          <w:szCs w:val="22"/>
        </w:rPr>
        <w:tab/>
      </w:r>
      <w:bookmarkStart w:id="1" w:name="_Hlk79566847"/>
      <w:r w:rsidR="000A470F" w:rsidRPr="00477D10">
        <w:rPr>
          <w:b/>
          <w:sz w:val="22"/>
          <w:szCs w:val="22"/>
        </w:rPr>
        <w:t>Authority</w:t>
      </w:r>
      <w:bookmarkEnd w:id="1"/>
    </w:p>
    <w:p w14:paraId="320E5AB0" w14:textId="7C74F7E3" w:rsidR="00F63F30" w:rsidRPr="00477D10" w:rsidRDefault="000A470F" w:rsidP="0057185A">
      <w:pPr>
        <w:spacing w:before="120"/>
        <w:rPr>
          <w:sz w:val="22"/>
          <w:szCs w:val="22"/>
        </w:rPr>
      </w:pPr>
      <w:r w:rsidRPr="00477D10">
        <w:rPr>
          <w:color w:val="000000"/>
          <w:sz w:val="22"/>
          <w:szCs w:val="19"/>
        </w:rPr>
        <w:t xml:space="preserve">This section </w:t>
      </w:r>
      <w:r w:rsidR="001E5E44" w:rsidRPr="00477D10">
        <w:rPr>
          <w:color w:val="000000"/>
          <w:sz w:val="22"/>
          <w:szCs w:val="19"/>
        </w:rPr>
        <w:t>specifies</w:t>
      </w:r>
      <w:r w:rsidRPr="00477D10">
        <w:rPr>
          <w:color w:val="000000"/>
          <w:sz w:val="22"/>
          <w:szCs w:val="19"/>
        </w:rPr>
        <w:t xml:space="preserve"> that </w:t>
      </w:r>
      <w:r w:rsidRPr="00477D10">
        <w:rPr>
          <w:sz w:val="22"/>
          <w:szCs w:val="22"/>
        </w:rPr>
        <w:t xml:space="preserve">subsection 100(2) </w:t>
      </w:r>
      <w:r w:rsidRPr="00477D10">
        <w:rPr>
          <w:color w:val="000000"/>
          <w:sz w:val="22"/>
          <w:szCs w:val="19"/>
        </w:rPr>
        <w:t xml:space="preserve">of the </w:t>
      </w:r>
      <w:r w:rsidRPr="00477D10">
        <w:rPr>
          <w:i/>
          <w:iCs/>
          <w:color w:val="000000"/>
          <w:sz w:val="22"/>
          <w:szCs w:val="19"/>
        </w:rPr>
        <w:t>National Health Act 1953</w:t>
      </w:r>
      <w:r w:rsidR="001E5E44" w:rsidRPr="00477D10">
        <w:rPr>
          <w:color w:val="000000"/>
          <w:sz w:val="22"/>
          <w:szCs w:val="19"/>
        </w:rPr>
        <w:t xml:space="preserve"> provides </w:t>
      </w:r>
      <w:r w:rsidR="001E5E44" w:rsidRPr="00477D10">
        <w:rPr>
          <w:sz w:val="22"/>
          <w:szCs w:val="22"/>
        </w:rPr>
        <w:t>the authority for the making of this Instrument</w:t>
      </w:r>
      <w:r w:rsidR="00F63F30" w:rsidRPr="00477D10">
        <w:rPr>
          <w:sz w:val="22"/>
          <w:szCs w:val="22"/>
        </w:rPr>
        <w:t>.</w:t>
      </w:r>
    </w:p>
    <w:p w14:paraId="756D20C1" w14:textId="77777777" w:rsidR="000A470F" w:rsidRPr="00477D10" w:rsidRDefault="000A470F" w:rsidP="000A470F">
      <w:pPr>
        <w:spacing w:before="120"/>
        <w:ind w:left="720" w:hanging="720"/>
        <w:rPr>
          <w:b/>
          <w:bCs/>
          <w:sz w:val="22"/>
          <w:szCs w:val="22"/>
        </w:rPr>
      </w:pPr>
      <w:r w:rsidRPr="00477D10">
        <w:rPr>
          <w:b/>
          <w:sz w:val="22"/>
          <w:szCs w:val="22"/>
        </w:rPr>
        <w:t xml:space="preserve">Section 4 </w:t>
      </w:r>
      <w:r w:rsidRPr="00477D10">
        <w:rPr>
          <w:b/>
          <w:sz w:val="22"/>
          <w:szCs w:val="22"/>
        </w:rPr>
        <w:tab/>
      </w:r>
      <w:r w:rsidRPr="00477D10">
        <w:rPr>
          <w:b/>
          <w:bCs/>
          <w:sz w:val="22"/>
          <w:szCs w:val="22"/>
        </w:rPr>
        <w:t>Schedules</w:t>
      </w:r>
    </w:p>
    <w:p w14:paraId="768E936E" w14:textId="65A46485" w:rsidR="000A470F" w:rsidRPr="00477D10" w:rsidRDefault="005B68A9" w:rsidP="000A470F">
      <w:pPr>
        <w:spacing w:before="120"/>
        <w:jc w:val="both"/>
        <w:rPr>
          <w:sz w:val="22"/>
          <w:szCs w:val="22"/>
        </w:rPr>
      </w:pPr>
      <w:r w:rsidRPr="00477D10">
        <w:rPr>
          <w:sz w:val="22"/>
          <w:szCs w:val="22"/>
        </w:rPr>
        <w:t>This section</w:t>
      </w:r>
      <w:r w:rsidR="000A470F" w:rsidRPr="00477D10">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6BB9DCDD" w14:textId="78747259" w:rsidR="00F63F30" w:rsidRPr="00477D10" w:rsidRDefault="00F63F30" w:rsidP="003B4EF2">
      <w:pPr>
        <w:tabs>
          <w:tab w:val="left" w:pos="1418"/>
        </w:tabs>
        <w:spacing w:before="120"/>
        <w:rPr>
          <w:b/>
          <w:sz w:val="22"/>
          <w:szCs w:val="22"/>
        </w:rPr>
      </w:pPr>
      <w:r w:rsidRPr="00477D10">
        <w:rPr>
          <w:b/>
          <w:sz w:val="22"/>
          <w:szCs w:val="22"/>
        </w:rPr>
        <w:t>Schedule 1</w:t>
      </w:r>
      <w:r w:rsidRPr="00477D10">
        <w:rPr>
          <w:b/>
          <w:sz w:val="22"/>
          <w:szCs w:val="22"/>
        </w:rPr>
        <w:tab/>
        <w:t>Amendments</w:t>
      </w:r>
    </w:p>
    <w:p w14:paraId="66DE6650" w14:textId="1B75DD49" w:rsidR="006E6213" w:rsidRPr="00477D10" w:rsidRDefault="006E6213" w:rsidP="006E6213">
      <w:pPr>
        <w:spacing w:before="120"/>
        <w:jc w:val="both"/>
        <w:rPr>
          <w:sz w:val="22"/>
          <w:szCs w:val="22"/>
        </w:rPr>
      </w:pPr>
      <w:r w:rsidRPr="00477D10">
        <w:rPr>
          <w:sz w:val="22"/>
          <w:szCs w:val="22"/>
        </w:rPr>
        <w:t xml:space="preserve">The amendments made by this Instrument involve the </w:t>
      </w:r>
      <w:r w:rsidR="00977212" w:rsidRPr="00477D10">
        <w:rPr>
          <w:sz w:val="22"/>
          <w:szCs w:val="22"/>
        </w:rPr>
        <w:t xml:space="preserve">alteration of responsible person code for a brand of </w:t>
      </w:r>
      <w:r w:rsidR="006B6165" w:rsidRPr="00477D10">
        <w:rPr>
          <w:sz w:val="22"/>
          <w:szCs w:val="22"/>
        </w:rPr>
        <w:t xml:space="preserve">an </w:t>
      </w:r>
      <w:r w:rsidR="00977212" w:rsidRPr="00477D10">
        <w:rPr>
          <w:sz w:val="22"/>
          <w:szCs w:val="22"/>
        </w:rPr>
        <w:t xml:space="preserve">existing pharmaceutical item and </w:t>
      </w:r>
      <w:r w:rsidR="006B6165" w:rsidRPr="00477D10">
        <w:rPr>
          <w:sz w:val="22"/>
          <w:szCs w:val="22"/>
        </w:rPr>
        <w:t xml:space="preserve">the </w:t>
      </w:r>
      <w:r w:rsidRPr="00477D10">
        <w:rPr>
          <w:sz w:val="22"/>
          <w:szCs w:val="22"/>
        </w:rPr>
        <w:t>deletion of a</w:t>
      </w:r>
      <w:r w:rsidR="00257B6D" w:rsidRPr="00477D10">
        <w:rPr>
          <w:sz w:val="22"/>
          <w:szCs w:val="22"/>
        </w:rPr>
        <w:t xml:space="preserve"> </w:t>
      </w:r>
      <w:r w:rsidR="00977212" w:rsidRPr="00477D10">
        <w:rPr>
          <w:sz w:val="22"/>
          <w:szCs w:val="22"/>
        </w:rPr>
        <w:t xml:space="preserve">brand </w:t>
      </w:r>
      <w:r w:rsidR="00257B6D" w:rsidRPr="00477D10">
        <w:rPr>
          <w:sz w:val="22"/>
          <w:szCs w:val="22"/>
        </w:rPr>
        <w:t>of a</w:t>
      </w:r>
      <w:r w:rsidRPr="00477D10">
        <w:rPr>
          <w:sz w:val="22"/>
          <w:szCs w:val="22"/>
        </w:rPr>
        <w:t xml:space="preserve"> listed drug from Schedule 1, and the </w:t>
      </w:r>
      <w:r w:rsidR="00977212" w:rsidRPr="00477D10">
        <w:rPr>
          <w:sz w:val="22"/>
          <w:szCs w:val="22"/>
        </w:rPr>
        <w:t xml:space="preserve">addition and </w:t>
      </w:r>
      <w:r w:rsidR="00257B6D" w:rsidRPr="00477D10">
        <w:rPr>
          <w:sz w:val="22"/>
          <w:szCs w:val="22"/>
        </w:rPr>
        <w:t>deletion</w:t>
      </w:r>
      <w:r w:rsidRPr="00477D10">
        <w:rPr>
          <w:sz w:val="22"/>
          <w:szCs w:val="22"/>
        </w:rPr>
        <w:t xml:space="preserve"> of responsible person</w:t>
      </w:r>
      <w:r w:rsidR="00977212" w:rsidRPr="00477D10">
        <w:rPr>
          <w:sz w:val="22"/>
          <w:szCs w:val="22"/>
        </w:rPr>
        <w:t>s</w:t>
      </w:r>
      <w:r w:rsidR="00257B6D" w:rsidRPr="00477D10">
        <w:rPr>
          <w:sz w:val="22"/>
          <w:szCs w:val="22"/>
        </w:rPr>
        <w:t xml:space="preserve"> </w:t>
      </w:r>
      <w:r w:rsidRPr="00477D10">
        <w:rPr>
          <w:sz w:val="22"/>
          <w:szCs w:val="22"/>
        </w:rPr>
        <w:t>listed in Schedule 2 of the Special Arrangement. These changes are summarised below.</w:t>
      </w:r>
    </w:p>
    <w:p w14:paraId="419D46F4" w14:textId="77777777" w:rsidR="00F63F30" w:rsidRPr="00477D10" w:rsidRDefault="00F63F30" w:rsidP="00F63F30">
      <w:pPr>
        <w:rPr>
          <w:sz w:val="22"/>
          <w:szCs w:val="22"/>
        </w:rPr>
      </w:pPr>
    </w:p>
    <w:p w14:paraId="49B7D602" w14:textId="5918C3E4" w:rsidR="00F63F30" w:rsidRPr="00477D10" w:rsidRDefault="00F63F30" w:rsidP="009E1467">
      <w:pPr>
        <w:spacing w:before="120"/>
        <w:jc w:val="center"/>
        <w:rPr>
          <w:b/>
          <w:sz w:val="22"/>
          <w:szCs w:val="22"/>
        </w:rPr>
      </w:pPr>
      <w:r w:rsidRPr="00477D10">
        <w:rPr>
          <w:b/>
          <w:sz w:val="22"/>
          <w:szCs w:val="22"/>
        </w:rPr>
        <w:t>SUMMARY OF CHANGES</w:t>
      </w:r>
      <w:r w:rsidR="003B4EF2" w:rsidRPr="00477D10">
        <w:rPr>
          <w:b/>
          <w:sz w:val="22"/>
          <w:szCs w:val="22"/>
        </w:rPr>
        <w:t xml:space="preserve"> </w:t>
      </w:r>
      <w:r w:rsidR="001E5E44" w:rsidRPr="00477D10">
        <w:rPr>
          <w:b/>
          <w:sz w:val="22"/>
          <w:szCs w:val="22"/>
        </w:rPr>
        <w:t xml:space="preserve">TO THE </w:t>
      </w:r>
      <w:r w:rsidR="001E5E44" w:rsidRPr="00477D10">
        <w:rPr>
          <w:b/>
          <w:i/>
          <w:iCs/>
          <w:sz w:val="22"/>
          <w:szCs w:val="22"/>
        </w:rPr>
        <w:t>NATIONAL HEALTH (PARAPLEGIC AND QUADRIPLEGIC PROGRAM) SPECIAL ARRANGEMENT 2021</w:t>
      </w:r>
      <w:r w:rsidR="001E5E44" w:rsidRPr="00477D10">
        <w:rPr>
          <w:b/>
          <w:sz w:val="22"/>
          <w:szCs w:val="22"/>
        </w:rPr>
        <w:t xml:space="preserve"> </w:t>
      </w:r>
      <w:r w:rsidR="003B4EF2" w:rsidRPr="00477D10">
        <w:rPr>
          <w:b/>
          <w:sz w:val="22"/>
          <w:szCs w:val="22"/>
        </w:rPr>
        <w:t>MADE BY THIS INSTRUMENT</w:t>
      </w:r>
    </w:p>
    <w:p w14:paraId="2B2B074E" w14:textId="458AF241" w:rsidR="009C577D" w:rsidRPr="00477D10" w:rsidRDefault="00977212" w:rsidP="009C577D">
      <w:pPr>
        <w:widowControl w:val="0"/>
        <w:spacing w:before="240"/>
        <w:rPr>
          <w:b/>
          <w:sz w:val="22"/>
          <w:szCs w:val="22"/>
        </w:rPr>
      </w:pPr>
      <w:r w:rsidRPr="00477D10">
        <w:rPr>
          <w:b/>
          <w:sz w:val="22"/>
          <w:szCs w:val="22"/>
        </w:rPr>
        <w:t>Brand</w:t>
      </w:r>
      <w:r w:rsidR="009C577D" w:rsidRPr="00477D10">
        <w:rPr>
          <w:b/>
          <w:sz w:val="22"/>
          <w:szCs w:val="22"/>
        </w:rPr>
        <w:t xml:space="preserve"> Deleted</w:t>
      </w:r>
    </w:p>
    <w:tbl>
      <w:tblPr>
        <w:tblStyle w:val="TableGrid"/>
        <w:tblW w:w="9781" w:type="dxa"/>
        <w:tblLayout w:type="fixed"/>
        <w:tblCellMar>
          <w:top w:w="57" w:type="dxa"/>
          <w:left w:w="57" w:type="dxa"/>
          <w:bottom w:w="57" w:type="dxa"/>
          <w:right w:w="57" w:type="dxa"/>
        </w:tblCellMar>
        <w:tblLook w:val="04A0" w:firstRow="1" w:lastRow="0" w:firstColumn="1" w:lastColumn="0" w:noHBand="0" w:noVBand="1"/>
      </w:tblPr>
      <w:tblGrid>
        <w:gridCol w:w="1843"/>
        <w:gridCol w:w="7938"/>
      </w:tblGrid>
      <w:tr w:rsidR="00643847" w:rsidRPr="00477D10" w14:paraId="5854C3D2" w14:textId="4B79ECD2" w:rsidTr="006733D4">
        <w:trPr>
          <w:trHeight w:val="295"/>
        </w:trPr>
        <w:tc>
          <w:tcPr>
            <w:tcW w:w="1843" w:type="dxa"/>
          </w:tcPr>
          <w:p w14:paraId="3FCA8B74" w14:textId="1F3E7ACA" w:rsidR="00643847" w:rsidRPr="00477D10" w:rsidRDefault="00643847" w:rsidP="00EB086F">
            <w:pPr>
              <w:spacing w:before="60" w:after="60"/>
              <w:ind w:left="-62"/>
              <w:rPr>
                <w:rFonts w:ascii="Arial" w:hAnsi="Arial" w:cs="Arial"/>
                <w:sz w:val="22"/>
                <w:szCs w:val="22"/>
              </w:rPr>
            </w:pPr>
            <w:r w:rsidRPr="00477D10">
              <w:rPr>
                <w:b/>
                <w:i/>
                <w:sz w:val="22"/>
                <w:szCs w:val="22"/>
              </w:rPr>
              <w:t>Listed Drug</w:t>
            </w:r>
          </w:p>
        </w:tc>
        <w:tc>
          <w:tcPr>
            <w:tcW w:w="7938" w:type="dxa"/>
          </w:tcPr>
          <w:p w14:paraId="1F7F12ED" w14:textId="3AF95739" w:rsidR="00643847" w:rsidRPr="00477D10" w:rsidRDefault="00643847" w:rsidP="00EB086F">
            <w:pPr>
              <w:spacing w:before="60" w:after="60"/>
              <w:rPr>
                <w:sz w:val="22"/>
                <w:szCs w:val="22"/>
              </w:rPr>
            </w:pPr>
            <w:r w:rsidRPr="00477D10">
              <w:rPr>
                <w:b/>
                <w:i/>
                <w:sz w:val="22"/>
                <w:szCs w:val="22"/>
              </w:rPr>
              <w:t>Form</w:t>
            </w:r>
          </w:p>
        </w:tc>
      </w:tr>
      <w:tr w:rsidR="00643847" w:rsidRPr="00477D10" w14:paraId="7090F23D" w14:textId="77777777" w:rsidTr="006733D4">
        <w:trPr>
          <w:trHeight w:val="295"/>
        </w:trPr>
        <w:tc>
          <w:tcPr>
            <w:tcW w:w="1843" w:type="dxa"/>
          </w:tcPr>
          <w:p w14:paraId="630B435A" w14:textId="1D430EF1" w:rsidR="00643847" w:rsidRPr="00477D10" w:rsidRDefault="00977212" w:rsidP="00643847">
            <w:pPr>
              <w:spacing w:before="60" w:after="60"/>
              <w:ind w:left="-62"/>
              <w:rPr>
                <w:b/>
                <w:i/>
                <w:sz w:val="22"/>
                <w:szCs w:val="22"/>
              </w:rPr>
            </w:pPr>
            <w:r w:rsidRPr="00477D10">
              <w:rPr>
                <w:sz w:val="22"/>
                <w:szCs w:val="22"/>
              </w:rPr>
              <w:t>Macrogol 3350</w:t>
            </w:r>
          </w:p>
        </w:tc>
        <w:tc>
          <w:tcPr>
            <w:tcW w:w="7938" w:type="dxa"/>
          </w:tcPr>
          <w:p w14:paraId="4223C031" w14:textId="4946AF69" w:rsidR="00643847" w:rsidRPr="00477D10" w:rsidRDefault="00977212" w:rsidP="00936E00">
            <w:pPr>
              <w:spacing w:before="60" w:after="60"/>
              <w:ind w:left="-62"/>
              <w:rPr>
                <w:b/>
                <w:i/>
                <w:sz w:val="22"/>
                <w:szCs w:val="22"/>
              </w:rPr>
            </w:pPr>
            <w:r w:rsidRPr="00477D10">
              <w:rPr>
                <w:sz w:val="22"/>
                <w:szCs w:val="22"/>
              </w:rPr>
              <w:t xml:space="preserve">Sachets containing powder for oral solution 13.125g with electrolytes, 30 </w:t>
            </w:r>
            <w:r w:rsidRPr="00477D10">
              <w:rPr>
                <w:i/>
                <w:iCs/>
                <w:sz w:val="22"/>
                <w:szCs w:val="22"/>
              </w:rPr>
              <w:t>(Movicol)</w:t>
            </w:r>
          </w:p>
        </w:tc>
      </w:tr>
    </w:tbl>
    <w:p w14:paraId="599105FC" w14:textId="77777777" w:rsidR="006733D4" w:rsidRPr="00477D10" w:rsidRDefault="006733D4" w:rsidP="006733D4">
      <w:pPr>
        <w:widowControl w:val="0"/>
        <w:spacing w:before="240"/>
        <w:rPr>
          <w:b/>
          <w:sz w:val="22"/>
          <w:szCs w:val="22"/>
        </w:rPr>
      </w:pPr>
      <w:r w:rsidRPr="00477D10">
        <w:rPr>
          <w:b/>
          <w:sz w:val="22"/>
          <w:szCs w:val="22"/>
        </w:rPr>
        <w:t>Alteration of Responsible Person Code</w:t>
      </w:r>
    </w:p>
    <w:tbl>
      <w:tblPr>
        <w:tblStyle w:val="TableGrid"/>
        <w:tblW w:w="5148" w:type="pct"/>
        <w:tblLayout w:type="fixed"/>
        <w:tblCellMar>
          <w:top w:w="57" w:type="dxa"/>
          <w:left w:w="57" w:type="dxa"/>
          <w:bottom w:w="57" w:type="dxa"/>
          <w:right w:w="57" w:type="dxa"/>
        </w:tblCellMar>
        <w:tblLook w:val="01E0" w:firstRow="1" w:lastRow="1" w:firstColumn="1" w:lastColumn="1" w:noHBand="0" w:noVBand="0"/>
      </w:tblPr>
      <w:tblGrid>
        <w:gridCol w:w="1900"/>
        <w:gridCol w:w="4107"/>
        <w:gridCol w:w="1551"/>
        <w:gridCol w:w="1254"/>
        <w:gridCol w:w="1111"/>
      </w:tblGrid>
      <w:tr w:rsidR="006733D4" w:rsidRPr="00477D10" w14:paraId="48BD0A2E" w14:textId="77777777" w:rsidTr="00605406">
        <w:trPr>
          <w:trHeight w:val="295"/>
        </w:trPr>
        <w:tc>
          <w:tcPr>
            <w:tcW w:w="957" w:type="pct"/>
          </w:tcPr>
          <w:p w14:paraId="2B9F78E1" w14:textId="77777777" w:rsidR="006733D4" w:rsidRPr="00477D10" w:rsidRDefault="006733D4" w:rsidP="00605406">
            <w:pPr>
              <w:spacing w:before="60"/>
              <w:ind w:left="-62"/>
              <w:rPr>
                <w:b/>
                <w:i/>
                <w:sz w:val="22"/>
                <w:szCs w:val="22"/>
              </w:rPr>
            </w:pPr>
            <w:r w:rsidRPr="00477D10">
              <w:rPr>
                <w:b/>
                <w:i/>
                <w:sz w:val="22"/>
                <w:szCs w:val="22"/>
              </w:rPr>
              <w:t>Listed Drug</w:t>
            </w:r>
          </w:p>
        </w:tc>
        <w:tc>
          <w:tcPr>
            <w:tcW w:w="2069" w:type="pct"/>
          </w:tcPr>
          <w:p w14:paraId="1FED0B89" w14:textId="77777777" w:rsidR="006733D4" w:rsidRPr="00477D10" w:rsidRDefault="006733D4" w:rsidP="00605406">
            <w:pPr>
              <w:spacing w:before="60"/>
              <w:ind w:left="-62"/>
              <w:rPr>
                <w:b/>
                <w:i/>
                <w:sz w:val="22"/>
                <w:szCs w:val="22"/>
              </w:rPr>
            </w:pPr>
            <w:r w:rsidRPr="00477D10">
              <w:rPr>
                <w:b/>
                <w:i/>
                <w:sz w:val="22"/>
                <w:szCs w:val="22"/>
              </w:rPr>
              <w:t>Form</w:t>
            </w:r>
          </w:p>
        </w:tc>
        <w:tc>
          <w:tcPr>
            <w:tcW w:w="781" w:type="pct"/>
          </w:tcPr>
          <w:p w14:paraId="63E0384C" w14:textId="77777777" w:rsidR="006733D4" w:rsidRPr="00477D10" w:rsidRDefault="006733D4" w:rsidP="00605406">
            <w:pPr>
              <w:spacing w:before="60"/>
              <w:ind w:left="-62"/>
              <w:rPr>
                <w:b/>
                <w:i/>
                <w:sz w:val="22"/>
                <w:szCs w:val="22"/>
              </w:rPr>
            </w:pPr>
            <w:r w:rsidRPr="00477D10">
              <w:rPr>
                <w:b/>
                <w:i/>
                <w:sz w:val="22"/>
                <w:szCs w:val="22"/>
              </w:rPr>
              <w:t>Brand Name</w:t>
            </w:r>
          </w:p>
        </w:tc>
        <w:tc>
          <w:tcPr>
            <w:tcW w:w="1192" w:type="pct"/>
            <w:gridSpan w:val="2"/>
          </w:tcPr>
          <w:p w14:paraId="2BDC97EC" w14:textId="77777777" w:rsidR="006733D4" w:rsidRPr="00477D10" w:rsidRDefault="006733D4" w:rsidP="00605406">
            <w:pPr>
              <w:spacing w:before="60"/>
              <w:ind w:left="-62"/>
              <w:rPr>
                <w:b/>
                <w:i/>
                <w:sz w:val="22"/>
                <w:szCs w:val="22"/>
              </w:rPr>
            </w:pPr>
            <w:r w:rsidRPr="00477D10">
              <w:rPr>
                <w:b/>
                <w:i/>
                <w:sz w:val="22"/>
                <w:szCs w:val="22"/>
              </w:rPr>
              <w:t>Responsible Person</w:t>
            </w:r>
          </w:p>
        </w:tc>
      </w:tr>
      <w:tr w:rsidR="006733D4" w:rsidRPr="00477D10" w14:paraId="56AC374D" w14:textId="77777777" w:rsidTr="00605406">
        <w:trPr>
          <w:trHeight w:val="295"/>
        </w:trPr>
        <w:tc>
          <w:tcPr>
            <w:tcW w:w="957" w:type="pct"/>
          </w:tcPr>
          <w:p w14:paraId="173C7190" w14:textId="386C6BB9" w:rsidR="006733D4" w:rsidRPr="00477D10" w:rsidRDefault="006733D4" w:rsidP="00605406">
            <w:pPr>
              <w:spacing w:before="60" w:after="60"/>
              <w:ind w:left="-62"/>
              <w:rPr>
                <w:color w:val="000000"/>
                <w:sz w:val="22"/>
                <w:szCs w:val="22"/>
              </w:rPr>
            </w:pPr>
            <w:r w:rsidRPr="00477D10">
              <w:rPr>
                <w:sz w:val="22"/>
                <w:szCs w:val="22"/>
              </w:rPr>
              <w:t>Macrogol 3350</w:t>
            </w:r>
          </w:p>
        </w:tc>
        <w:tc>
          <w:tcPr>
            <w:tcW w:w="2069" w:type="pct"/>
          </w:tcPr>
          <w:p w14:paraId="04DD558B" w14:textId="4DA8FBAC" w:rsidR="006733D4" w:rsidRPr="00477D10" w:rsidRDefault="006733D4" w:rsidP="00605406">
            <w:pPr>
              <w:spacing w:before="60" w:after="60"/>
              <w:ind w:left="-62"/>
              <w:rPr>
                <w:color w:val="000000"/>
                <w:sz w:val="22"/>
                <w:szCs w:val="22"/>
              </w:rPr>
            </w:pPr>
            <w:r w:rsidRPr="00477D10">
              <w:rPr>
                <w:sz w:val="22"/>
                <w:szCs w:val="22"/>
              </w:rPr>
              <w:t>Sachets containing powder for oral solution 13.125g with electrolytes, 30</w:t>
            </w:r>
          </w:p>
        </w:tc>
        <w:tc>
          <w:tcPr>
            <w:tcW w:w="781" w:type="pct"/>
          </w:tcPr>
          <w:p w14:paraId="3A2759C3" w14:textId="4515AF29" w:rsidR="006733D4" w:rsidRPr="00477D10" w:rsidRDefault="006733D4" w:rsidP="00605406">
            <w:pPr>
              <w:spacing w:before="60" w:after="60"/>
              <w:ind w:left="-62"/>
              <w:rPr>
                <w:i/>
                <w:iCs/>
                <w:sz w:val="22"/>
                <w:szCs w:val="22"/>
              </w:rPr>
            </w:pPr>
            <w:proofErr w:type="spellStart"/>
            <w:r w:rsidRPr="00477D10">
              <w:rPr>
                <w:i/>
                <w:sz w:val="22"/>
                <w:szCs w:val="22"/>
              </w:rPr>
              <w:t>Molaxole</w:t>
            </w:r>
            <w:proofErr w:type="spellEnd"/>
          </w:p>
        </w:tc>
        <w:tc>
          <w:tcPr>
            <w:tcW w:w="632" w:type="pct"/>
          </w:tcPr>
          <w:p w14:paraId="12AB6463" w14:textId="6CB81D31" w:rsidR="006733D4" w:rsidRPr="00477D10" w:rsidRDefault="006733D4" w:rsidP="00605406">
            <w:pPr>
              <w:spacing w:before="60" w:after="60"/>
              <w:ind w:left="-62"/>
              <w:rPr>
                <w:b/>
                <w:bCs/>
                <w:i/>
                <w:iCs/>
                <w:sz w:val="22"/>
                <w:szCs w:val="22"/>
              </w:rPr>
            </w:pPr>
            <w:r w:rsidRPr="00477D10">
              <w:rPr>
                <w:b/>
                <w:bCs/>
                <w:i/>
                <w:iCs/>
                <w:sz w:val="22"/>
                <w:szCs w:val="22"/>
              </w:rPr>
              <w:t xml:space="preserve">From: </w:t>
            </w:r>
            <w:r w:rsidRPr="00477D10">
              <w:rPr>
                <w:rFonts w:eastAsia="Calibri"/>
                <w:i/>
                <w:iCs/>
                <w:sz w:val="22"/>
                <w:szCs w:val="22"/>
                <w:lang w:val="en-US" w:eastAsia="en-US"/>
              </w:rPr>
              <w:t>GO</w:t>
            </w:r>
          </w:p>
        </w:tc>
        <w:tc>
          <w:tcPr>
            <w:tcW w:w="560" w:type="pct"/>
          </w:tcPr>
          <w:p w14:paraId="5436D592" w14:textId="1B789729" w:rsidR="006733D4" w:rsidRPr="00477D10" w:rsidRDefault="006733D4" w:rsidP="00605406">
            <w:pPr>
              <w:spacing w:before="60" w:after="60"/>
              <w:ind w:left="-62"/>
              <w:rPr>
                <w:b/>
                <w:bCs/>
                <w:i/>
                <w:iCs/>
                <w:sz w:val="22"/>
                <w:szCs w:val="22"/>
              </w:rPr>
            </w:pPr>
            <w:r w:rsidRPr="00477D10">
              <w:rPr>
                <w:b/>
                <w:bCs/>
                <w:i/>
                <w:iCs/>
                <w:sz w:val="22"/>
                <w:szCs w:val="22"/>
              </w:rPr>
              <w:t>To:</w:t>
            </w:r>
            <w:r w:rsidRPr="00477D10">
              <w:rPr>
                <w:i/>
                <w:iCs/>
                <w:sz w:val="22"/>
                <w:szCs w:val="22"/>
              </w:rPr>
              <w:t xml:space="preserve"> XT</w:t>
            </w:r>
          </w:p>
        </w:tc>
      </w:tr>
    </w:tbl>
    <w:p w14:paraId="5F4287DB" w14:textId="77777777" w:rsidR="00977212" w:rsidRPr="00477D10" w:rsidRDefault="00977212" w:rsidP="00977212">
      <w:pPr>
        <w:spacing w:before="240"/>
        <w:rPr>
          <w:b/>
          <w:sz w:val="22"/>
          <w:szCs w:val="22"/>
        </w:rPr>
      </w:pPr>
      <w:r w:rsidRPr="00477D10">
        <w:rPr>
          <w:b/>
          <w:sz w:val="22"/>
          <w:szCs w:val="22"/>
        </w:rPr>
        <w:t>Deletion of Responsible Person</w:t>
      </w:r>
    </w:p>
    <w:tbl>
      <w:tblPr>
        <w:tblStyle w:val="TableGrid"/>
        <w:tblW w:w="4706" w:type="pct"/>
        <w:tblCellMar>
          <w:top w:w="57" w:type="dxa"/>
          <w:left w:w="57" w:type="dxa"/>
          <w:bottom w:w="57" w:type="dxa"/>
          <w:right w:w="57" w:type="dxa"/>
        </w:tblCellMar>
        <w:tblLook w:val="01E0" w:firstRow="1" w:lastRow="1" w:firstColumn="1" w:lastColumn="1" w:noHBand="0" w:noVBand="0"/>
      </w:tblPr>
      <w:tblGrid>
        <w:gridCol w:w="9071"/>
      </w:tblGrid>
      <w:tr w:rsidR="00977212" w:rsidRPr="00477D10" w14:paraId="6909BE87" w14:textId="77777777" w:rsidTr="006E0E6D">
        <w:trPr>
          <w:trHeight w:val="295"/>
        </w:trPr>
        <w:tc>
          <w:tcPr>
            <w:tcW w:w="5000" w:type="pct"/>
          </w:tcPr>
          <w:p w14:paraId="1662D81E" w14:textId="77777777" w:rsidR="00977212" w:rsidRPr="00477D10" w:rsidRDefault="00977212" w:rsidP="006E0E6D">
            <w:pPr>
              <w:spacing w:before="60"/>
              <w:ind w:left="-62"/>
              <w:rPr>
                <w:b/>
                <w:i/>
                <w:iCs/>
                <w:sz w:val="22"/>
                <w:szCs w:val="22"/>
              </w:rPr>
            </w:pPr>
            <w:r w:rsidRPr="00477D10">
              <w:rPr>
                <w:b/>
                <w:bCs/>
                <w:i/>
                <w:iCs/>
                <w:color w:val="000000"/>
                <w:sz w:val="22"/>
                <w:szCs w:val="22"/>
              </w:rPr>
              <w:t>Responsible Person</w:t>
            </w:r>
          </w:p>
        </w:tc>
      </w:tr>
      <w:tr w:rsidR="00977212" w:rsidRPr="00477D10" w14:paraId="4ED176D6" w14:textId="77777777" w:rsidTr="006E0E6D">
        <w:trPr>
          <w:trHeight w:val="315"/>
        </w:trPr>
        <w:tc>
          <w:tcPr>
            <w:tcW w:w="5000" w:type="pct"/>
          </w:tcPr>
          <w:p w14:paraId="35DF33C2" w14:textId="0DED3E1C" w:rsidR="00977212" w:rsidRPr="00477D10" w:rsidRDefault="00977212" w:rsidP="006E0E6D">
            <w:pPr>
              <w:spacing w:before="60" w:after="60"/>
              <w:ind w:left="-62"/>
              <w:rPr>
                <w:b/>
                <w:i/>
                <w:iCs/>
                <w:sz w:val="22"/>
                <w:szCs w:val="22"/>
              </w:rPr>
            </w:pPr>
            <w:proofErr w:type="spellStart"/>
            <w:r w:rsidRPr="00477D10">
              <w:rPr>
                <w:sz w:val="22"/>
                <w:szCs w:val="22"/>
              </w:rPr>
              <w:t>Viatris</w:t>
            </w:r>
            <w:proofErr w:type="spellEnd"/>
            <w:r w:rsidRPr="00477D10">
              <w:rPr>
                <w:sz w:val="22"/>
                <w:szCs w:val="22"/>
              </w:rPr>
              <w:t xml:space="preserve"> Pty Ltd</w:t>
            </w:r>
            <w:r w:rsidRPr="00477D10">
              <w:rPr>
                <w:i/>
                <w:iCs/>
                <w:sz w:val="22"/>
                <w:szCs w:val="22"/>
              </w:rPr>
              <w:t xml:space="preserve"> (GO)</w:t>
            </w:r>
          </w:p>
        </w:tc>
      </w:tr>
    </w:tbl>
    <w:p w14:paraId="2E74CF0F" w14:textId="77777777" w:rsidR="006733D4" w:rsidRPr="00477D10" w:rsidRDefault="006733D4">
      <w:pPr>
        <w:rPr>
          <w:b/>
          <w:sz w:val="22"/>
          <w:szCs w:val="22"/>
        </w:rPr>
      </w:pPr>
      <w:r w:rsidRPr="00477D10">
        <w:rPr>
          <w:b/>
          <w:sz w:val="22"/>
          <w:szCs w:val="22"/>
        </w:rPr>
        <w:br w:type="page"/>
      </w:r>
    </w:p>
    <w:p w14:paraId="37F8BDCA" w14:textId="7F670697" w:rsidR="00977212" w:rsidRPr="00477D10" w:rsidRDefault="00977212" w:rsidP="00977212">
      <w:pPr>
        <w:spacing w:before="240"/>
        <w:rPr>
          <w:b/>
          <w:sz w:val="22"/>
          <w:szCs w:val="22"/>
        </w:rPr>
      </w:pPr>
      <w:r w:rsidRPr="00477D10">
        <w:rPr>
          <w:b/>
          <w:sz w:val="22"/>
          <w:szCs w:val="22"/>
        </w:rPr>
        <w:lastRenderedPageBreak/>
        <w:t>Add</w:t>
      </w:r>
      <w:r w:rsidR="006733D4" w:rsidRPr="00477D10">
        <w:rPr>
          <w:b/>
          <w:sz w:val="22"/>
          <w:szCs w:val="22"/>
        </w:rPr>
        <w:t>i</w:t>
      </w:r>
      <w:r w:rsidRPr="00477D10">
        <w:rPr>
          <w:b/>
          <w:sz w:val="22"/>
          <w:szCs w:val="22"/>
        </w:rPr>
        <w:t>tion of Responsible Person</w:t>
      </w:r>
    </w:p>
    <w:tbl>
      <w:tblPr>
        <w:tblStyle w:val="TableGrid"/>
        <w:tblW w:w="4706" w:type="pct"/>
        <w:tblCellMar>
          <w:top w:w="57" w:type="dxa"/>
          <w:left w:w="57" w:type="dxa"/>
          <w:bottom w:w="57" w:type="dxa"/>
          <w:right w:w="57" w:type="dxa"/>
        </w:tblCellMar>
        <w:tblLook w:val="01E0" w:firstRow="1" w:lastRow="1" w:firstColumn="1" w:lastColumn="1" w:noHBand="0" w:noVBand="0"/>
      </w:tblPr>
      <w:tblGrid>
        <w:gridCol w:w="9071"/>
      </w:tblGrid>
      <w:tr w:rsidR="00977212" w:rsidRPr="00477D10" w14:paraId="753B31E6" w14:textId="77777777" w:rsidTr="00605406">
        <w:trPr>
          <w:trHeight w:val="295"/>
        </w:trPr>
        <w:tc>
          <w:tcPr>
            <w:tcW w:w="5000" w:type="pct"/>
          </w:tcPr>
          <w:p w14:paraId="5C95ADD8" w14:textId="77777777" w:rsidR="00977212" w:rsidRPr="00477D10" w:rsidRDefault="00977212" w:rsidP="00605406">
            <w:pPr>
              <w:spacing w:before="60"/>
              <w:ind w:left="-62"/>
              <w:rPr>
                <w:b/>
                <w:i/>
                <w:iCs/>
                <w:sz w:val="22"/>
                <w:szCs w:val="22"/>
              </w:rPr>
            </w:pPr>
            <w:r w:rsidRPr="00477D10">
              <w:rPr>
                <w:b/>
                <w:bCs/>
                <w:i/>
                <w:iCs/>
                <w:color w:val="000000"/>
                <w:sz w:val="22"/>
                <w:szCs w:val="22"/>
              </w:rPr>
              <w:t>Responsible Person</w:t>
            </w:r>
          </w:p>
        </w:tc>
      </w:tr>
      <w:tr w:rsidR="00977212" w:rsidRPr="00477D10" w14:paraId="5393656A" w14:textId="77777777" w:rsidTr="00605406">
        <w:trPr>
          <w:trHeight w:val="315"/>
        </w:trPr>
        <w:tc>
          <w:tcPr>
            <w:tcW w:w="5000" w:type="pct"/>
          </w:tcPr>
          <w:p w14:paraId="7AF63D1C" w14:textId="523EF5B8" w:rsidR="00977212" w:rsidRPr="00477D10" w:rsidRDefault="00977212" w:rsidP="006733D4">
            <w:pPr>
              <w:spacing w:before="60" w:after="60"/>
              <w:ind w:left="-62"/>
              <w:rPr>
                <w:b/>
                <w:i/>
                <w:iCs/>
                <w:sz w:val="22"/>
                <w:szCs w:val="22"/>
              </w:rPr>
            </w:pPr>
            <w:proofErr w:type="spellStart"/>
            <w:r w:rsidRPr="00477D10">
              <w:rPr>
                <w:sz w:val="22"/>
                <w:szCs w:val="22"/>
              </w:rPr>
              <w:t>Arrotex</w:t>
            </w:r>
            <w:proofErr w:type="spellEnd"/>
            <w:r w:rsidRPr="00477D10">
              <w:rPr>
                <w:sz w:val="22"/>
                <w:szCs w:val="22"/>
              </w:rPr>
              <w:t xml:space="preserve"> Pharmaceuticals Pty Ltd</w:t>
            </w:r>
            <w:r w:rsidRPr="00477D10">
              <w:rPr>
                <w:i/>
                <w:iCs/>
                <w:sz w:val="22"/>
                <w:szCs w:val="22"/>
              </w:rPr>
              <w:t xml:space="preserve"> (XT)</w:t>
            </w:r>
          </w:p>
        </w:tc>
      </w:tr>
    </w:tbl>
    <w:p w14:paraId="7DC21DF5" w14:textId="77777777" w:rsidR="0081221A" w:rsidRPr="00477D10" w:rsidRDefault="0081221A" w:rsidP="0081221A">
      <w:pPr>
        <w:spacing w:before="240"/>
        <w:rPr>
          <w:b/>
          <w:sz w:val="26"/>
          <w:szCs w:val="26"/>
        </w:rPr>
      </w:pPr>
      <w:r w:rsidRPr="00477D10">
        <w:rPr>
          <w:b/>
          <w:sz w:val="26"/>
          <w:szCs w:val="26"/>
        </w:rPr>
        <w:br w:type="page"/>
      </w:r>
    </w:p>
    <w:p w14:paraId="18B833FD" w14:textId="77777777" w:rsidR="00996348" w:rsidRPr="00477D10" w:rsidRDefault="00996348" w:rsidP="00996348">
      <w:pPr>
        <w:jc w:val="center"/>
        <w:rPr>
          <w:b/>
          <w:sz w:val="26"/>
          <w:szCs w:val="26"/>
        </w:rPr>
      </w:pPr>
      <w:bookmarkStart w:id="2" w:name="_Hlk88812263"/>
      <w:bookmarkStart w:id="3" w:name="_Hlk88811434"/>
      <w:r w:rsidRPr="00477D10">
        <w:rPr>
          <w:b/>
          <w:sz w:val="26"/>
          <w:szCs w:val="26"/>
        </w:rPr>
        <w:lastRenderedPageBreak/>
        <w:t>Statement of Compatibility with Human Rights</w:t>
      </w:r>
    </w:p>
    <w:bookmarkEnd w:id="2"/>
    <w:p w14:paraId="6DAF22E3" w14:textId="77777777" w:rsidR="00996348" w:rsidRPr="00477D10" w:rsidRDefault="00996348" w:rsidP="00996348">
      <w:pPr>
        <w:spacing w:before="120"/>
        <w:jc w:val="center"/>
        <w:rPr>
          <w:i/>
          <w:sz w:val="22"/>
          <w:szCs w:val="22"/>
        </w:rPr>
      </w:pPr>
      <w:r w:rsidRPr="00477D10">
        <w:rPr>
          <w:i/>
          <w:sz w:val="22"/>
          <w:szCs w:val="22"/>
        </w:rPr>
        <w:t>Prepared in accordance with Part 3 of the Human Rights (Parliamentary Scrutiny) Act 2011</w:t>
      </w:r>
    </w:p>
    <w:p w14:paraId="72DA3E38" w14:textId="09E017DA" w:rsidR="00996348" w:rsidRPr="00477D10" w:rsidRDefault="0076185A" w:rsidP="0066413C">
      <w:pPr>
        <w:spacing w:before="360"/>
        <w:jc w:val="center"/>
        <w:rPr>
          <w:b/>
          <w:i/>
          <w:sz w:val="22"/>
          <w:szCs w:val="22"/>
        </w:rPr>
      </w:pPr>
      <w:r w:rsidRPr="00477D10">
        <w:rPr>
          <w:b/>
          <w:i/>
          <w:sz w:val="22"/>
          <w:szCs w:val="22"/>
        </w:rPr>
        <w:t>National Health (Paraplegic and Quadriplegic Program) Special Arrangement</w:t>
      </w:r>
      <w:r w:rsidR="0066413C" w:rsidRPr="00477D10">
        <w:rPr>
          <w:b/>
          <w:i/>
          <w:sz w:val="22"/>
          <w:szCs w:val="22"/>
        </w:rPr>
        <w:br/>
      </w:r>
      <w:r w:rsidRPr="00477D10">
        <w:rPr>
          <w:b/>
          <w:i/>
          <w:sz w:val="22"/>
          <w:szCs w:val="22"/>
        </w:rPr>
        <w:t>Amendment Instrument 202</w:t>
      </w:r>
      <w:r w:rsidR="006C380B" w:rsidRPr="00477D10">
        <w:rPr>
          <w:b/>
          <w:i/>
          <w:sz w:val="22"/>
          <w:szCs w:val="22"/>
        </w:rPr>
        <w:t>4</w:t>
      </w:r>
      <w:r w:rsidRPr="00477D10">
        <w:rPr>
          <w:b/>
          <w:i/>
          <w:sz w:val="22"/>
          <w:szCs w:val="22"/>
        </w:rPr>
        <w:t xml:space="preserve"> (No. </w:t>
      </w:r>
      <w:r w:rsidR="006D08CD" w:rsidRPr="00477D10">
        <w:rPr>
          <w:b/>
          <w:i/>
          <w:sz w:val="22"/>
          <w:szCs w:val="22"/>
        </w:rPr>
        <w:t>2</w:t>
      </w:r>
      <w:r w:rsidRPr="00477D10">
        <w:rPr>
          <w:b/>
          <w:i/>
          <w:sz w:val="22"/>
          <w:szCs w:val="22"/>
        </w:rPr>
        <w:t>)</w:t>
      </w:r>
    </w:p>
    <w:p w14:paraId="3991EFF1" w14:textId="29731801" w:rsidR="00996348" w:rsidRPr="00477D10" w:rsidRDefault="00996348" w:rsidP="00996348">
      <w:pPr>
        <w:spacing w:before="120"/>
        <w:jc w:val="center"/>
        <w:rPr>
          <w:b/>
          <w:sz w:val="22"/>
          <w:szCs w:val="22"/>
        </w:rPr>
      </w:pPr>
      <w:r w:rsidRPr="00477D10">
        <w:rPr>
          <w:b/>
          <w:sz w:val="22"/>
          <w:szCs w:val="22"/>
        </w:rPr>
        <w:t>(</w:t>
      </w:r>
      <w:r w:rsidR="00E97C40" w:rsidRPr="00477D10">
        <w:rPr>
          <w:b/>
          <w:sz w:val="22"/>
          <w:szCs w:val="22"/>
        </w:rPr>
        <w:t>PB 118</w:t>
      </w:r>
      <w:r w:rsidRPr="00477D10">
        <w:rPr>
          <w:b/>
          <w:sz w:val="22"/>
          <w:szCs w:val="22"/>
        </w:rPr>
        <w:t xml:space="preserve"> of 202</w:t>
      </w:r>
      <w:r w:rsidR="006C380B" w:rsidRPr="00477D10">
        <w:rPr>
          <w:b/>
          <w:sz w:val="22"/>
          <w:szCs w:val="22"/>
        </w:rPr>
        <w:t>4</w:t>
      </w:r>
      <w:r w:rsidRPr="00477D10">
        <w:rPr>
          <w:b/>
          <w:sz w:val="22"/>
          <w:szCs w:val="22"/>
        </w:rPr>
        <w:t>)</w:t>
      </w:r>
    </w:p>
    <w:p w14:paraId="2EAEC54C" w14:textId="77777777" w:rsidR="00996348" w:rsidRPr="00477D10" w:rsidRDefault="00996348" w:rsidP="00996348">
      <w:pPr>
        <w:spacing w:before="360"/>
        <w:jc w:val="both"/>
        <w:rPr>
          <w:sz w:val="22"/>
          <w:szCs w:val="22"/>
        </w:rPr>
      </w:pPr>
      <w:r w:rsidRPr="00477D10">
        <w:rPr>
          <w:sz w:val="22"/>
          <w:szCs w:val="22"/>
        </w:rPr>
        <w:t xml:space="preserve">This Instrument is compatible with the human rights and freedoms recognised or declared in the international instruments listed in section 3 of the </w:t>
      </w:r>
      <w:r w:rsidRPr="00477D10">
        <w:rPr>
          <w:i/>
          <w:sz w:val="22"/>
          <w:szCs w:val="22"/>
        </w:rPr>
        <w:t>Human Rights (Parliamentary Scrutiny) Act 2011</w:t>
      </w:r>
      <w:r w:rsidRPr="00477D10">
        <w:rPr>
          <w:sz w:val="22"/>
          <w:szCs w:val="22"/>
        </w:rPr>
        <w:t>.</w:t>
      </w:r>
    </w:p>
    <w:p w14:paraId="01D3B8CC" w14:textId="77777777" w:rsidR="00996348" w:rsidRPr="00477D10" w:rsidRDefault="00996348" w:rsidP="00996348">
      <w:pPr>
        <w:spacing w:before="240"/>
        <w:jc w:val="both"/>
        <w:rPr>
          <w:b/>
          <w:sz w:val="22"/>
          <w:szCs w:val="22"/>
        </w:rPr>
      </w:pPr>
      <w:r w:rsidRPr="00477D10">
        <w:rPr>
          <w:b/>
          <w:sz w:val="22"/>
          <w:szCs w:val="22"/>
        </w:rPr>
        <w:t>Overview of the Instrument</w:t>
      </w:r>
    </w:p>
    <w:p w14:paraId="3E25B976" w14:textId="4F46E493" w:rsidR="002204ED" w:rsidRPr="00477D10" w:rsidRDefault="002204ED" w:rsidP="002204ED">
      <w:pPr>
        <w:spacing w:before="60"/>
        <w:rPr>
          <w:sz w:val="22"/>
          <w:szCs w:val="22"/>
        </w:rPr>
      </w:pPr>
      <w:r w:rsidRPr="00477D10">
        <w:rPr>
          <w:sz w:val="22"/>
          <w:szCs w:val="22"/>
        </w:rPr>
        <w:t xml:space="preserve">The purpose of this </w:t>
      </w:r>
      <w:r w:rsidR="005933F8" w:rsidRPr="00477D10">
        <w:rPr>
          <w:sz w:val="22"/>
          <w:szCs w:val="22"/>
        </w:rPr>
        <w:t>I</w:t>
      </w:r>
      <w:r w:rsidRPr="00477D10">
        <w:rPr>
          <w:sz w:val="22"/>
          <w:szCs w:val="22"/>
        </w:rPr>
        <w:t xml:space="preserve">nstrument, made under subsection 100(2) of the </w:t>
      </w:r>
      <w:r w:rsidRPr="00477D10">
        <w:rPr>
          <w:i/>
          <w:sz w:val="22"/>
          <w:szCs w:val="22"/>
        </w:rPr>
        <w:t>National Health Act 1953</w:t>
      </w:r>
      <w:r w:rsidRPr="00477D10">
        <w:rPr>
          <w:sz w:val="22"/>
          <w:szCs w:val="22"/>
        </w:rPr>
        <w:t xml:space="preserve"> (the Act), is to amend the </w:t>
      </w:r>
      <w:r w:rsidRPr="00477D10">
        <w:rPr>
          <w:i/>
          <w:sz w:val="22"/>
          <w:szCs w:val="22"/>
        </w:rPr>
        <w:t>National Health (Paraplegic and Quadriplegic Program) Special Arrangement 20</w:t>
      </w:r>
      <w:r w:rsidR="00091476" w:rsidRPr="00477D10">
        <w:rPr>
          <w:i/>
          <w:sz w:val="22"/>
          <w:szCs w:val="22"/>
        </w:rPr>
        <w:t>21</w:t>
      </w:r>
      <w:r w:rsidRPr="00477D10">
        <w:rPr>
          <w:sz w:val="22"/>
          <w:szCs w:val="22"/>
        </w:rPr>
        <w:t xml:space="preserve"> (PB </w:t>
      </w:r>
      <w:r w:rsidR="00091476" w:rsidRPr="00477D10">
        <w:rPr>
          <w:sz w:val="22"/>
          <w:szCs w:val="22"/>
        </w:rPr>
        <w:t>31</w:t>
      </w:r>
      <w:r w:rsidRPr="00477D10">
        <w:rPr>
          <w:sz w:val="22"/>
          <w:szCs w:val="22"/>
        </w:rPr>
        <w:t xml:space="preserve"> of 20</w:t>
      </w:r>
      <w:r w:rsidR="00091476" w:rsidRPr="00477D10">
        <w:rPr>
          <w:sz w:val="22"/>
          <w:szCs w:val="22"/>
        </w:rPr>
        <w:t>21</w:t>
      </w:r>
      <w:r w:rsidRPr="00477D10">
        <w:rPr>
          <w:sz w:val="22"/>
          <w:szCs w:val="22"/>
        </w:rPr>
        <w:t>) (the Special Arrangement)</w:t>
      </w:r>
      <w:r w:rsidR="0066413C" w:rsidRPr="00477D10">
        <w:rPr>
          <w:sz w:val="22"/>
          <w:szCs w:val="22"/>
        </w:rPr>
        <w:t>,</w:t>
      </w:r>
      <w:r w:rsidRPr="00477D10">
        <w:rPr>
          <w:sz w:val="22"/>
          <w:szCs w:val="22"/>
        </w:rPr>
        <w:t xml:space="preserve"> to make changes to the </w:t>
      </w:r>
      <w:r w:rsidR="0066413C" w:rsidRPr="00477D10">
        <w:rPr>
          <w:sz w:val="22"/>
          <w:szCs w:val="22"/>
        </w:rPr>
        <w:t>S</w:t>
      </w:r>
      <w:r w:rsidRPr="00477D10">
        <w:rPr>
          <w:sz w:val="22"/>
          <w:szCs w:val="22"/>
        </w:rPr>
        <w:t xml:space="preserve">pecial </w:t>
      </w:r>
      <w:r w:rsidR="0066413C" w:rsidRPr="00477D10">
        <w:rPr>
          <w:sz w:val="22"/>
          <w:szCs w:val="22"/>
        </w:rPr>
        <w:t>A</w:t>
      </w:r>
      <w:r w:rsidRPr="00477D10">
        <w:rPr>
          <w:sz w:val="22"/>
          <w:szCs w:val="22"/>
        </w:rPr>
        <w:t>rrangement relating to the Paraplegic and Quadriplegic Program.</w:t>
      </w:r>
    </w:p>
    <w:p w14:paraId="4848C3C6" w14:textId="2FF2E8A1" w:rsidR="002204ED" w:rsidRPr="00477D10" w:rsidRDefault="002204ED" w:rsidP="002204ED">
      <w:pPr>
        <w:spacing w:before="120"/>
        <w:rPr>
          <w:sz w:val="22"/>
          <w:szCs w:val="22"/>
        </w:rPr>
      </w:pPr>
      <w:r w:rsidRPr="00477D10">
        <w:rPr>
          <w:sz w:val="22"/>
          <w:szCs w:val="22"/>
        </w:rPr>
        <w:t>The Paraplegic and Quadriplegic Program Special Arrangement provides for ‘authorised associations’ to supply pharmaceutical benefits available under the Special Arrangement to ‘eligible persons’ requiring treatment with bowel management medicines. A person is an ‘eligible person’ for the purposes of the Special Arrangement if they:</w:t>
      </w:r>
    </w:p>
    <w:p w14:paraId="2A8B6FF4" w14:textId="77777777" w:rsidR="002204ED" w:rsidRPr="00477D10" w:rsidRDefault="002204ED" w:rsidP="002204ED">
      <w:pPr>
        <w:pStyle w:val="ListParagraph"/>
        <w:keepLines w:val="0"/>
        <w:numPr>
          <w:ilvl w:val="0"/>
          <w:numId w:val="5"/>
        </w:numPr>
        <w:tabs>
          <w:tab w:val="left" w:pos="851"/>
        </w:tabs>
        <w:spacing w:before="60" w:after="0"/>
        <w:ind w:left="851" w:hanging="567"/>
        <w:jc w:val="left"/>
        <w:rPr>
          <w:sz w:val="22"/>
          <w:szCs w:val="22"/>
        </w:rPr>
      </w:pPr>
      <w:r w:rsidRPr="00477D10">
        <w:rPr>
          <w:sz w:val="22"/>
          <w:szCs w:val="22"/>
        </w:rPr>
        <w:t xml:space="preserve">are an ‘eligible person’ within the meaning of the </w:t>
      </w:r>
      <w:r w:rsidRPr="00477D10">
        <w:rPr>
          <w:i/>
          <w:sz w:val="22"/>
          <w:szCs w:val="22"/>
        </w:rPr>
        <w:t>Health Insurance Act 1973</w:t>
      </w:r>
      <w:r w:rsidRPr="00477D10">
        <w:rPr>
          <w:sz w:val="22"/>
          <w:szCs w:val="22"/>
        </w:rPr>
        <w:t>; and</w:t>
      </w:r>
    </w:p>
    <w:p w14:paraId="4252A222" w14:textId="77777777" w:rsidR="002204ED" w:rsidRPr="00477D10" w:rsidRDefault="002204ED" w:rsidP="002204ED">
      <w:pPr>
        <w:pStyle w:val="ListParagraph"/>
        <w:keepLines w:val="0"/>
        <w:numPr>
          <w:ilvl w:val="0"/>
          <w:numId w:val="5"/>
        </w:numPr>
        <w:tabs>
          <w:tab w:val="left" w:pos="851"/>
        </w:tabs>
        <w:spacing w:before="60" w:after="0"/>
        <w:ind w:left="851" w:hanging="567"/>
        <w:jc w:val="left"/>
        <w:rPr>
          <w:sz w:val="22"/>
          <w:szCs w:val="22"/>
        </w:rPr>
      </w:pPr>
      <w:r w:rsidRPr="00477D10">
        <w:rPr>
          <w:sz w:val="22"/>
          <w:szCs w:val="22"/>
        </w:rPr>
        <w:t>have paraplegia or quadriplegia; and</w:t>
      </w:r>
    </w:p>
    <w:p w14:paraId="7722B88E" w14:textId="77777777" w:rsidR="002204ED" w:rsidRPr="00477D10" w:rsidRDefault="002204ED" w:rsidP="002204ED">
      <w:pPr>
        <w:pStyle w:val="ListParagraph"/>
        <w:keepLines w:val="0"/>
        <w:numPr>
          <w:ilvl w:val="0"/>
          <w:numId w:val="5"/>
        </w:numPr>
        <w:tabs>
          <w:tab w:val="left" w:pos="851"/>
        </w:tabs>
        <w:spacing w:before="60" w:after="0"/>
        <w:ind w:left="851" w:hanging="567"/>
        <w:jc w:val="left"/>
        <w:rPr>
          <w:sz w:val="22"/>
          <w:szCs w:val="22"/>
        </w:rPr>
      </w:pPr>
      <w:r w:rsidRPr="00477D10">
        <w:rPr>
          <w:sz w:val="22"/>
          <w:szCs w:val="22"/>
        </w:rPr>
        <w:t>are a member of an ‘authorised association’.</w:t>
      </w:r>
    </w:p>
    <w:p w14:paraId="0A0F275C" w14:textId="77777777" w:rsidR="002204ED" w:rsidRPr="00477D10" w:rsidRDefault="002204ED" w:rsidP="002204ED">
      <w:pPr>
        <w:spacing w:before="120"/>
        <w:rPr>
          <w:sz w:val="22"/>
          <w:szCs w:val="22"/>
        </w:rPr>
      </w:pPr>
      <w:r w:rsidRPr="00477D10">
        <w:rPr>
          <w:sz w:val="22"/>
          <w:szCs w:val="22"/>
        </w:rPr>
        <w:t>Restrictions on the provision of this treatment mean that these pharmaceutical benefits can more conveniently or efficiently be supplied under a special arrangement.</w:t>
      </w:r>
    </w:p>
    <w:p w14:paraId="2B106E4E" w14:textId="101C876E" w:rsidR="00D46E95" w:rsidRPr="00477D10" w:rsidRDefault="00D46E95" w:rsidP="00D46E95">
      <w:pPr>
        <w:spacing w:before="120"/>
        <w:jc w:val="both"/>
        <w:rPr>
          <w:sz w:val="22"/>
          <w:szCs w:val="22"/>
        </w:rPr>
      </w:pPr>
      <w:r w:rsidRPr="00477D10">
        <w:rPr>
          <w:sz w:val="22"/>
          <w:szCs w:val="22"/>
        </w:rPr>
        <w:t xml:space="preserve">This Instrument provides for amendments to the Special Arrangement to ensure that the Special Arrangement accurately reflects changes to the </w:t>
      </w:r>
      <w:r w:rsidRPr="00477D10">
        <w:rPr>
          <w:i/>
          <w:sz w:val="22"/>
          <w:szCs w:val="22"/>
        </w:rPr>
        <w:t xml:space="preserve">National Health (Listing of Pharmaceutical Benefits) Instrument </w:t>
      </w:r>
      <w:r w:rsidR="00643847" w:rsidRPr="00477D10">
        <w:rPr>
          <w:i/>
          <w:sz w:val="22"/>
          <w:szCs w:val="22"/>
        </w:rPr>
        <w:t>2024</w:t>
      </w:r>
      <w:r w:rsidRPr="00477D10">
        <w:rPr>
          <w:i/>
          <w:sz w:val="22"/>
          <w:szCs w:val="22"/>
        </w:rPr>
        <w:t xml:space="preserve"> </w:t>
      </w:r>
      <w:r w:rsidRPr="00477D10">
        <w:rPr>
          <w:iCs/>
          <w:sz w:val="22"/>
          <w:szCs w:val="22"/>
        </w:rPr>
        <w:t>(t</w:t>
      </w:r>
      <w:r w:rsidRPr="00477D10">
        <w:rPr>
          <w:sz w:val="22"/>
          <w:szCs w:val="22"/>
        </w:rPr>
        <w:t>he Listing Instrument), made under sections 84AF, 84AK, 85, 85A, 88 and 101 of the Act, which commences on the same day.</w:t>
      </w:r>
    </w:p>
    <w:p w14:paraId="6DDC01C4" w14:textId="2F254B34" w:rsidR="00996348" w:rsidRPr="00477D10" w:rsidRDefault="00996348" w:rsidP="00996348">
      <w:pPr>
        <w:spacing w:before="240"/>
        <w:jc w:val="both"/>
        <w:rPr>
          <w:b/>
          <w:sz w:val="22"/>
          <w:szCs w:val="22"/>
        </w:rPr>
      </w:pPr>
      <w:r w:rsidRPr="00477D10">
        <w:rPr>
          <w:b/>
          <w:sz w:val="22"/>
          <w:szCs w:val="22"/>
        </w:rPr>
        <w:t>Human rights implications</w:t>
      </w:r>
    </w:p>
    <w:p w14:paraId="4E4D06AC" w14:textId="77777777" w:rsidR="00D46E95" w:rsidRPr="00477D10" w:rsidRDefault="00D46E95" w:rsidP="00D46E95">
      <w:pPr>
        <w:spacing w:before="120"/>
        <w:rPr>
          <w:sz w:val="22"/>
          <w:szCs w:val="22"/>
        </w:rPr>
      </w:pPr>
      <w:r w:rsidRPr="00477D10">
        <w:rPr>
          <w:sz w:val="22"/>
          <w:szCs w:val="22"/>
        </w:rPr>
        <w:t>This Instrument engages Articles 9 and 12 of the International Covenant on Economic Social and Cultural Rights (ICESCR), specifically the rights to social security and health.</w:t>
      </w:r>
    </w:p>
    <w:p w14:paraId="7C05C986" w14:textId="77777777" w:rsidR="00D46E95" w:rsidRPr="00477D10" w:rsidRDefault="00D46E95" w:rsidP="00D46E95">
      <w:pPr>
        <w:spacing w:before="120"/>
        <w:rPr>
          <w:i/>
          <w:iCs/>
          <w:sz w:val="22"/>
          <w:szCs w:val="22"/>
        </w:rPr>
      </w:pPr>
      <w:r w:rsidRPr="00477D10">
        <w:rPr>
          <w:i/>
          <w:iCs/>
          <w:sz w:val="22"/>
          <w:szCs w:val="22"/>
        </w:rPr>
        <w:t>The Right to Social Security</w:t>
      </w:r>
    </w:p>
    <w:p w14:paraId="0511201B" w14:textId="4207A2D8" w:rsidR="00D46E95" w:rsidRPr="00477D10" w:rsidRDefault="00D46E95" w:rsidP="00D46E95">
      <w:pPr>
        <w:spacing w:before="120"/>
        <w:rPr>
          <w:sz w:val="22"/>
          <w:szCs w:val="22"/>
        </w:rPr>
      </w:pPr>
      <w:r w:rsidRPr="00477D10">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9FEFD8E" w14:textId="0651F633" w:rsidR="0066413C" w:rsidRPr="00477D10" w:rsidRDefault="0066413C" w:rsidP="00D46E95">
      <w:pPr>
        <w:spacing w:before="120"/>
        <w:rPr>
          <w:sz w:val="22"/>
          <w:szCs w:val="22"/>
        </w:rPr>
      </w:pPr>
      <w:r w:rsidRPr="00477D10">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477D10">
        <w:rPr>
          <w:sz w:val="22"/>
          <w:szCs w:val="22"/>
        </w:rPr>
        <w:t>Government</w:t>
      </w:r>
      <w:proofErr w:type="gramEnd"/>
      <w:r w:rsidRPr="00477D10">
        <w:rPr>
          <w:sz w:val="22"/>
          <w:szCs w:val="22"/>
        </w:rPr>
        <w:t xml:space="preserve"> to re-direct its limited resources in ways that it considers to be more effective at meeting the general health needs of all society, particularly the needs of the more disadvantaged members of society.</w:t>
      </w:r>
    </w:p>
    <w:p w14:paraId="7D095A30" w14:textId="77777777" w:rsidR="00D46E95" w:rsidRPr="00477D10" w:rsidRDefault="00D46E95" w:rsidP="00D46E95">
      <w:pPr>
        <w:spacing w:before="120"/>
        <w:rPr>
          <w:i/>
          <w:iCs/>
          <w:sz w:val="22"/>
          <w:szCs w:val="22"/>
        </w:rPr>
      </w:pPr>
      <w:r w:rsidRPr="00477D10">
        <w:rPr>
          <w:i/>
          <w:iCs/>
          <w:sz w:val="22"/>
          <w:szCs w:val="22"/>
        </w:rPr>
        <w:t>The Right to Health</w:t>
      </w:r>
    </w:p>
    <w:p w14:paraId="6AD5CDFC" w14:textId="77777777" w:rsidR="00D46E95" w:rsidRPr="00477D10" w:rsidRDefault="00D46E95" w:rsidP="00D46E95">
      <w:pPr>
        <w:spacing w:before="120"/>
        <w:rPr>
          <w:sz w:val="22"/>
          <w:szCs w:val="22"/>
        </w:rPr>
      </w:pPr>
      <w:r w:rsidRPr="00477D10">
        <w:rPr>
          <w:sz w:val="22"/>
          <w:szCs w:val="22"/>
        </w:rPr>
        <w:t xml:space="preserve">The right to the enjoyment of the highest attainable standard of physical and mental health is contained in Article 12(1) of the ICESCR. The UN Committee on Economic Social and Cultural Rights (the Committee) </w:t>
      </w:r>
      <w:r w:rsidRPr="00477D10">
        <w:rPr>
          <w:sz w:val="22"/>
          <w:szCs w:val="22"/>
        </w:rPr>
        <w:lastRenderedPageBreak/>
        <w:t xml:space="preserve">has stated that the right to health is not a right for each individual to be </w:t>
      </w:r>
      <w:proofErr w:type="gramStart"/>
      <w:r w:rsidRPr="00477D10">
        <w:rPr>
          <w:sz w:val="22"/>
          <w:szCs w:val="22"/>
        </w:rPr>
        <w:t>healthy, but</w:t>
      </w:r>
      <w:proofErr w:type="gramEnd"/>
      <w:r w:rsidRPr="00477D10">
        <w:rPr>
          <w:sz w:val="22"/>
          <w:szCs w:val="22"/>
        </w:rPr>
        <w:t xml:space="preserve"> is a right to a system of health protection which provides equality of opportunity for people to enjoy the highest attainable level of health.</w:t>
      </w:r>
    </w:p>
    <w:p w14:paraId="274C21C7" w14:textId="77777777" w:rsidR="00D46E95" w:rsidRPr="00477D10" w:rsidRDefault="00D46E95" w:rsidP="00D46E95">
      <w:pPr>
        <w:spacing w:before="120"/>
        <w:jc w:val="both"/>
        <w:rPr>
          <w:sz w:val="22"/>
          <w:szCs w:val="22"/>
        </w:rPr>
      </w:pPr>
      <w:r w:rsidRPr="00477D10">
        <w:rPr>
          <w:sz w:val="22"/>
          <w:szCs w:val="22"/>
        </w:rPr>
        <w:t xml:space="preserve">The Committee reports that the ‘highest attainable standard of health’ </w:t>
      </w:r>
      <w:proofErr w:type="gramStart"/>
      <w:r w:rsidRPr="00477D10">
        <w:rPr>
          <w:sz w:val="22"/>
          <w:szCs w:val="22"/>
        </w:rPr>
        <w:t>takes into account</w:t>
      </w:r>
      <w:proofErr w:type="gramEnd"/>
      <w:r w:rsidRPr="00477D10">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25C070F1" w14:textId="77777777" w:rsidR="00D46E95" w:rsidRPr="00477D10" w:rsidRDefault="00D46E95" w:rsidP="00D46E95">
      <w:pPr>
        <w:spacing w:before="120"/>
        <w:rPr>
          <w:b/>
          <w:bCs/>
          <w:sz w:val="22"/>
          <w:szCs w:val="22"/>
        </w:rPr>
      </w:pPr>
      <w:bookmarkStart w:id="4" w:name="_Hlk95462641"/>
      <w:r w:rsidRPr="00477D10">
        <w:rPr>
          <w:b/>
          <w:bCs/>
          <w:sz w:val="22"/>
          <w:szCs w:val="22"/>
        </w:rPr>
        <w:t>Analysis</w:t>
      </w:r>
    </w:p>
    <w:p w14:paraId="5B32B45F" w14:textId="6C892CB7" w:rsidR="006E6213" w:rsidRPr="00477D10" w:rsidRDefault="001255CC" w:rsidP="009F6424">
      <w:pPr>
        <w:spacing w:before="120"/>
        <w:jc w:val="both"/>
        <w:rPr>
          <w:sz w:val="22"/>
          <w:szCs w:val="22"/>
        </w:rPr>
      </w:pPr>
      <w:r w:rsidRPr="00477D10">
        <w:rPr>
          <w:sz w:val="22"/>
          <w:szCs w:val="22"/>
        </w:rPr>
        <w:t xml:space="preserve">This Instrument advances the right to health and the right to social security by ensuring that the amendments to the </w:t>
      </w:r>
      <w:r w:rsidRPr="00477D10">
        <w:rPr>
          <w:i/>
          <w:iCs/>
          <w:sz w:val="22"/>
          <w:szCs w:val="22"/>
        </w:rPr>
        <w:t>National Health (Listing of Pharmaceutical Benefits) Instrument 20</w:t>
      </w:r>
      <w:r w:rsidR="00643847" w:rsidRPr="00477D10">
        <w:rPr>
          <w:i/>
          <w:iCs/>
          <w:sz w:val="22"/>
          <w:szCs w:val="22"/>
        </w:rPr>
        <w:t>24</w:t>
      </w:r>
      <w:r w:rsidRPr="00477D10">
        <w:rPr>
          <w:sz w:val="22"/>
          <w:szCs w:val="22"/>
        </w:rPr>
        <w:t xml:space="preserve"> (the Listing Instrument), that affect the pharmaceutical benefits that may be supplied under the Special Arrangement, are made concurrently</w:t>
      </w:r>
      <w:r w:rsidR="00D46E95" w:rsidRPr="00477D10">
        <w:rPr>
          <w:sz w:val="22"/>
          <w:szCs w:val="22"/>
        </w:rPr>
        <w:t xml:space="preserve">. </w:t>
      </w:r>
      <w:bookmarkStart w:id="5" w:name="_Hlk95462817"/>
      <w:bookmarkEnd w:id="4"/>
      <w:r w:rsidR="006E6213" w:rsidRPr="00477D10">
        <w:rPr>
          <w:sz w:val="22"/>
          <w:szCs w:val="22"/>
        </w:rPr>
        <w:t xml:space="preserve">This Instrument provides for the deletion of </w:t>
      </w:r>
      <w:r w:rsidR="006C380B" w:rsidRPr="00477D10">
        <w:rPr>
          <w:sz w:val="22"/>
          <w:szCs w:val="22"/>
        </w:rPr>
        <w:t>a</w:t>
      </w:r>
      <w:r w:rsidR="006733D4" w:rsidRPr="00477D10">
        <w:rPr>
          <w:sz w:val="22"/>
          <w:szCs w:val="22"/>
        </w:rPr>
        <w:t xml:space="preserve"> brand of the listed drug macrogol 3350 from Schedule 1 </w:t>
      </w:r>
      <w:r w:rsidR="006E6213" w:rsidRPr="00477D10">
        <w:rPr>
          <w:sz w:val="22"/>
          <w:szCs w:val="22"/>
        </w:rPr>
        <w:t>of the Special Arrangement</w:t>
      </w:r>
      <w:r w:rsidR="001A720C" w:rsidRPr="00477D10">
        <w:rPr>
          <w:sz w:val="22"/>
          <w:szCs w:val="22"/>
        </w:rPr>
        <w:t>.</w:t>
      </w:r>
    </w:p>
    <w:p w14:paraId="01F3B715" w14:textId="07A8362B" w:rsidR="00D46E95" w:rsidRPr="00477D10" w:rsidRDefault="00D46E95" w:rsidP="00E80ECF">
      <w:pPr>
        <w:spacing w:before="120"/>
        <w:jc w:val="both"/>
        <w:rPr>
          <w:sz w:val="22"/>
          <w:szCs w:val="22"/>
        </w:rPr>
      </w:pPr>
      <w:r w:rsidRPr="00477D10">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110B2290" w14:textId="77777777" w:rsidR="006733D4" w:rsidRPr="00477D10" w:rsidRDefault="006733D4" w:rsidP="006733D4">
      <w:pPr>
        <w:spacing w:before="120"/>
        <w:rPr>
          <w:sz w:val="22"/>
          <w:szCs w:val="22"/>
        </w:rPr>
      </w:pPr>
      <w:r w:rsidRPr="00477D10">
        <w:rPr>
          <w:sz w:val="22"/>
          <w:szCs w:val="22"/>
        </w:rPr>
        <w:t xml:space="preserve">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w:t>
      </w:r>
      <w:proofErr w:type="spellStart"/>
      <w:r w:rsidRPr="00477D10">
        <w:rPr>
          <w:sz w:val="22"/>
          <w:szCs w:val="22"/>
        </w:rPr>
        <w:t>delistings</w:t>
      </w:r>
      <w:proofErr w:type="spellEnd"/>
      <w:r w:rsidRPr="00477D10">
        <w:rPr>
          <w:sz w:val="22"/>
          <w:szCs w:val="22"/>
        </w:rPr>
        <w:t xml:space="preserve"> in this instrument do not result in an unmet clinical need. Note that delisting of maximum quantities, number of repeats, and pack sizes are equivalent to brand </w:t>
      </w:r>
      <w:proofErr w:type="spellStart"/>
      <w:r w:rsidRPr="00477D10">
        <w:rPr>
          <w:sz w:val="22"/>
          <w:szCs w:val="22"/>
        </w:rPr>
        <w:t>delistings</w:t>
      </w:r>
      <w:proofErr w:type="spellEnd"/>
      <w:r w:rsidRPr="00477D10">
        <w:rPr>
          <w:sz w:val="22"/>
          <w:szCs w:val="22"/>
        </w:rPr>
        <w:t>.</w:t>
      </w:r>
      <w:bookmarkStart w:id="6" w:name="_Hlk125112529"/>
    </w:p>
    <w:bookmarkEnd w:id="5"/>
    <w:bookmarkEnd w:id="6"/>
    <w:p w14:paraId="150E7C54" w14:textId="35F29824" w:rsidR="00996348" w:rsidRPr="00477D10" w:rsidRDefault="00996348" w:rsidP="006E6213">
      <w:pPr>
        <w:spacing w:before="120"/>
        <w:rPr>
          <w:b/>
          <w:sz w:val="22"/>
          <w:szCs w:val="22"/>
        </w:rPr>
      </w:pPr>
      <w:r w:rsidRPr="00477D10">
        <w:rPr>
          <w:b/>
          <w:sz w:val="22"/>
          <w:szCs w:val="22"/>
        </w:rPr>
        <w:t>Conclusion</w:t>
      </w:r>
    </w:p>
    <w:p w14:paraId="67C4607B" w14:textId="77777777" w:rsidR="00996348" w:rsidRPr="00477D10" w:rsidRDefault="00996348" w:rsidP="00996348">
      <w:pPr>
        <w:spacing w:before="120"/>
        <w:rPr>
          <w:sz w:val="22"/>
          <w:szCs w:val="22"/>
        </w:rPr>
      </w:pPr>
      <w:r w:rsidRPr="00477D10">
        <w:rPr>
          <w:sz w:val="22"/>
          <w:szCs w:val="22"/>
        </w:rPr>
        <w:t>This Instrument is compatible with human rights because it advances the protection of human rights.</w:t>
      </w:r>
    </w:p>
    <w:bookmarkEnd w:id="3"/>
    <w:p w14:paraId="36DDFBF6" w14:textId="77777777" w:rsidR="00D46E95" w:rsidRPr="00477D10" w:rsidRDefault="00D46E95" w:rsidP="00D4734B">
      <w:pPr>
        <w:spacing w:before="360"/>
        <w:jc w:val="center"/>
        <w:rPr>
          <w:b/>
          <w:sz w:val="22"/>
          <w:szCs w:val="22"/>
        </w:rPr>
      </w:pPr>
      <w:r w:rsidRPr="00477D10">
        <w:rPr>
          <w:b/>
          <w:sz w:val="22"/>
          <w:szCs w:val="22"/>
        </w:rPr>
        <w:t>Nikolai Tsyganov</w:t>
      </w:r>
    </w:p>
    <w:p w14:paraId="6C3ADE7D" w14:textId="7E53F800" w:rsidR="00D46E95" w:rsidRPr="00477D10" w:rsidRDefault="00D46E95" w:rsidP="00D46E95">
      <w:pPr>
        <w:jc w:val="center"/>
        <w:rPr>
          <w:b/>
          <w:sz w:val="22"/>
          <w:szCs w:val="22"/>
        </w:rPr>
      </w:pPr>
      <w:r w:rsidRPr="00477D10">
        <w:rPr>
          <w:b/>
          <w:sz w:val="22"/>
          <w:szCs w:val="22"/>
        </w:rPr>
        <w:t>Assistant Secretary</w:t>
      </w:r>
    </w:p>
    <w:p w14:paraId="29765F71" w14:textId="77777777" w:rsidR="00D46E95" w:rsidRPr="00477D10" w:rsidRDefault="00D46E95" w:rsidP="00D46E95">
      <w:pPr>
        <w:jc w:val="center"/>
        <w:rPr>
          <w:b/>
          <w:sz w:val="22"/>
          <w:szCs w:val="22"/>
        </w:rPr>
      </w:pPr>
      <w:r w:rsidRPr="00477D10">
        <w:rPr>
          <w:b/>
          <w:sz w:val="22"/>
          <w:szCs w:val="22"/>
        </w:rPr>
        <w:t>Pricing and PBS Policy Branch</w:t>
      </w:r>
    </w:p>
    <w:p w14:paraId="3D38399C" w14:textId="77777777" w:rsidR="00D46E95" w:rsidRPr="00477D10" w:rsidRDefault="00D46E95" w:rsidP="00D46E95">
      <w:pPr>
        <w:jc w:val="center"/>
        <w:rPr>
          <w:b/>
          <w:sz w:val="22"/>
          <w:szCs w:val="22"/>
        </w:rPr>
      </w:pPr>
      <w:r w:rsidRPr="00477D10">
        <w:rPr>
          <w:b/>
          <w:sz w:val="22"/>
          <w:szCs w:val="22"/>
        </w:rPr>
        <w:t>Technology Assessment and Access Division</w:t>
      </w:r>
    </w:p>
    <w:p w14:paraId="5665B522" w14:textId="6810D1D3" w:rsidR="00FF78FB" w:rsidRPr="00E80ECF" w:rsidRDefault="00D46E95" w:rsidP="00220C02">
      <w:pPr>
        <w:jc w:val="center"/>
        <w:rPr>
          <w:b/>
          <w:sz w:val="22"/>
          <w:szCs w:val="22"/>
        </w:rPr>
      </w:pPr>
      <w:r w:rsidRPr="00477D10">
        <w:rPr>
          <w:b/>
          <w:sz w:val="22"/>
          <w:szCs w:val="22"/>
        </w:rPr>
        <w:t>Department of Health and Aged Care</w:t>
      </w:r>
    </w:p>
    <w:sectPr w:rsidR="00FF78FB" w:rsidRPr="00E80ECF" w:rsidSect="00996348">
      <w:headerReference w:type="default" r:id="rId7"/>
      <w:footerReference w:type="default" r:id="rId8"/>
      <w:footerReference w:type="first" r:id="rId9"/>
      <w:pgSz w:w="11906" w:h="16838"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3A50" w14:textId="77777777" w:rsidR="00AB27E7" w:rsidRDefault="00AB27E7" w:rsidP="0078019A">
      <w:r>
        <w:separator/>
      </w:r>
    </w:p>
  </w:endnote>
  <w:endnote w:type="continuationSeparator" w:id="0">
    <w:p w14:paraId="549EE867" w14:textId="77777777" w:rsidR="00AB27E7" w:rsidRDefault="00AB27E7" w:rsidP="0078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071844"/>
      <w:docPartObj>
        <w:docPartGallery w:val="Page Numbers (Bottom of Page)"/>
        <w:docPartUnique/>
      </w:docPartObj>
    </w:sdtPr>
    <w:sdtEndPr>
      <w:rPr>
        <w:noProof/>
        <w:sz w:val="20"/>
        <w:szCs w:val="20"/>
      </w:rPr>
    </w:sdtEndPr>
    <w:sdtContent>
      <w:p w14:paraId="4E017BE3" w14:textId="77777777" w:rsidR="007F0B8C" w:rsidRPr="007F0B8C" w:rsidRDefault="007F0B8C" w:rsidP="007F0B8C">
        <w:pPr>
          <w:pStyle w:val="Footer"/>
          <w:jc w:val="center"/>
          <w:rPr>
            <w:sz w:val="20"/>
            <w:szCs w:val="20"/>
          </w:rPr>
        </w:pPr>
        <w:r w:rsidRPr="007F0B8C">
          <w:rPr>
            <w:sz w:val="20"/>
            <w:szCs w:val="20"/>
          </w:rPr>
          <w:fldChar w:fldCharType="begin"/>
        </w:r>
        <w:r w:rsidRPr="007F0B8C">
          <w:rPr>
            <w:sz w:val="20"/>
            <w:szCs w:val="20"/>
          </w:rPr>
          <w:instrText xml:space="preserve"> PAGE   \* MERGEFORMAT </w:instrText>
        </w:r>
        <w:r w:rsidRPr="007F0B8C">
          <w:rPr>
            <w:sz w:val="20"/>
            <w:szCs w:val="20"/>
          </w:rPr>
          <w:fldChar w:fldCharType="separate"/>
        </w:r>
        <w:r w:rsidR="00303447">
          <w:rPr>
            <w:noProof/>
            <w:sz w:val="20"/>
            <w:szCs w:val="20"/>
          </w:rPr>
          <w:t>3</w:t>
        </w:r>
        <w:r w:rsidRPr="007F0B8C">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864571"/>
      <w:docPartObj>
        <w:docPartGallery w:val="Page Numbers (Bottom of Page)"/>
        <w:docPartUnique/>
      </w:docPartObj>
    </w:sdtPr>
    <w:sdtEndPr>
      <w:rPr>
        <w:noProof/>
        <w:sz w:val="20"/>
        <w:szCs w:val="20"/>
      </w:rPr>
    </w:sdtEndPr>
    <w:sdtContent>
      <w:p w14:paraId="0BCF5DBA" w14:textId="77777777" w:rsidR="007F0B8C" w:rsidRPr="007F0B8C" w:rsidRDefault="007F0B8C" w:rsidP="007F0B8C">
        <w:pPr>
          <w:pStyle w:val="Footer"/>
          <w:jc w:val="center"/>
          <w:rPr>
            <w:sz w:val="20"/>
            <w:szCs w:val="20"/>
          </w:rPr>
        </w:pPr>
        <w:r w:rsidRPr="007F0B8C">
          <w:rPr>
            <w:sz w:val="20"/>
            <w:szCs w:val="20"/>
          </w:rPr>
          <w:fldChar w:fldCharType="begin"/>
        </w:r>
        <w:r w:rsidRPr="007F0B8C">
          <w:rPr>
            <w:sz w:val="20"/>
            <w:szCs w:val="20"/>
          </w:rPr>
          <w:instrText xml:space="preserve"> PAGE   \* MERGEFORMAT </w:instrText>
        </w:r>
        <w:r w:rsidRPr="007F0B8C">
          <w:rPr>
            <w:sz w:val="20"/>
            <w:szCs w:val="20"/>
          </w:rPr>
          <w:fldChar w:fldCharType="separate"/>
        </w:r>
        <w:r w:rsidR="00303447">
          <w:rPr>
            <w:noProof/>
            <w:sz w:val="20"/>
            <w:szCs w:val="20"/>
          </w:rPr>
          <w:t>1</w:t>
        </w:r>
        <w:r w:rsidRPr="007F0B8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03C9A" w14:textId="77777777" w:rsidR="00AB27E7" w:rsidRDefault="00AB27E7" w:rsidP="0078019A">
      <w:r>
        <w:separator/>
      </w:r>
    </w:p>
  </w:footnote>
  <w:footnote w:type="continuationSeparator" w:id="0">
    <w:p w14:paraId="43F51506" w14:textId="77777777" w:rsidR="00AB27E7" w:rsidRDefault="00AB27E7" w:rsidP="0078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FD226" w14:textId="77777777" w:rsidR="00AA0F54" w:rsidRDefault="00AA0F54">
    <w:pPr>
      <w:pStyle w:val="Header"/>
      <w:jc w:val="center"/>
    </w:pPr>
  </w:p>
  <w:p w14:paraId="18FDC84F" w14:textId="77777777" w:rsidR="0078019A" w:rsidRDefault="00780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A82939"/>
    <w:multiLevelType w:val="hybridMultilevel"/>
    <w:tmpl w:val="1346E92E"/>
    <w:lvl w:ilvl="0" w:tplc="73E0E8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E233E4"/>
    <w:multiLevelType w:val="hybridMultilevel"/>
    <w:tmpl w:val="1346E92E"/>
    <w:lvl w:ilvl="0" w:tplc="73E0E8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7828278">
    <w:abstractNumId w:val="1"/>
  </w:num>
  <w:num w:numId="2" w16cid:durableId="1436360169">
    <w:abstractNumId w:val="2"/>
  </w:num>
  <w:num w:numId="3" w16cid:durableId="2096046745">
    <w:abstractNumId w:val="0"/>
  </w:num>
  <w:num w:numId="4" w16cid:durableId="1774398209">
    <w:abstractNumId w:val="3"/>
  </w:num>
  <w:num w:numId="5" w16cid:durableId="308048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1D4C"/>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11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1C6A"/>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665"/>
    <w:rsid w:val="00065955"/>
    <w:rsid w:val="00065981"/>
    <w:rsid w:val="00065C4B"/>
    <w:rsid w:val="00065DEC"/>
    <w:rsid w:val="00065F71"/>
    <w:rsid w:val="00066048"/>
    <w:rsid w:val="00066162"/>
    <w:rsid w:val="000664C6"/>
    <w:rsid w:val="000666DC"/>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44"/>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476"/>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70F"/>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C5"/>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5DB"/>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78"/>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4EB"/>
    <w:rsid w:val="000E1770"/>
    <w:rsid w:val="000E1C07"/>
    <w:rsid w:val="000E1E5D"/>
    <w:rsid w:val="000E20C1"/>
    <w:rsid w:val="000E2268"/>
    <w:rsid w:val="000E2295"/>
    <w:rsid w:val="000E27D7"/>
    <w:rsid w:val="000E32D7"/>
    <w:rsid w:val="000E38DD"/>
    <w:rsid w:val="000E3BD0"/>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670"/>
    <w:rsid w:val="000F2CB8"/>
    <w:rsid w:val="000F3118"/>
    <w:rsid w:val="000F328A"/>
    <w:rsid w:val="000F38B5"/>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5CC"/>
    <w:rsid w:val="00125682"/>
    <w:rsid w:val="00125890"/>
    <w:rsid w:val="00125FF0"/>
    <w:rsid w:val="001261F6"/>
    <w:rsid w:val="00126478"/>
    <w:rsid w:val="0012686D"/>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0C0"/>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1C9"/>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20C"/>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5E44"/>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9F7"/>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317"/>
    <w:rsid w:val="002166A0"/>
    <w:rsid w:val="0021692A"/>
    <w:rsid w:val="00216D66"/>
    <w:rsid w:val="002170B6"/>
    <w:rsid w:val="00217965"/>
    <w:rsid w:val="00217AC4"/>
    <w:rsid w:val="00217B97"/>
    <w:rsid w:val="00217CAA"/>
    <w:rsid w:val="00217DBF"/>
    <w:rsid w:val="002204ED"/>
    <w:rsid w:val="002206EE"/>
    <w:rsid w:val="00220C02"/>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7E"/>
    <w:rsid w:val="002372CE"/>
    <w:rsid w:val="00237AB6"/>
    <w:rsid w:val="00237C7F"/>
    <w:rsid w:val="00237DA4"/>
    <w:rsid w:val="00240046"/>
    <w:rsid w:val="002401CF"/>
    <w:rsid w:val="002402BF"/>
    <w:rsid w:val="002405FD"/>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6AB3"/>
    <w:rsid w:val="002570B1"/>
    <w:rsid w:val="0025720B"/>
    <w:rsid w:val="00257977"/>
    <w:rsid w:val="00257B6D"/>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3AB1"/>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76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447"/>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5F17"/>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4A8"/>
    <w:rsid w:val="0035085C"/>
    <w:rsid w:val="00350A7F"/>
    <w:rsid w:val="00350BDE"/>
    <w:rsid w:val="00350D32"/>
    <w:rsid w:val="00351231"/>
    <w:rsid w:val="003516CA"/>
    <w:rsid w:val="003517E8"/>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4C38"/>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725"/>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58E"/>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2C5"/>
    <w:rsid w:val="003B3559"/>
    <w:rsid w:val="003B3E2B"/>
    <w:rsid w:val="003B4EA3"/>
    <w:rsid w:val="003B4EF2"/>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DFC"/>
    <w:rsid w:val="003C2E57"/>
    <w:rsid w:val="003C32E9"/>
    <w:rsid w:val="003C3394"/>
    <w:rsid w:val="003C3AA3"/>
    <w:rsid w:val="003C3B7F"/>
    <w:rsid w:val="003C4084"/>
    <w:rsid w:val="003C45A9"/>
    <w:rsid w:val="003C465B"/>
    <w:rsid w:val="003C4BCB"/>
    <w:rsid w:val="003C54CC"/>
    <w:rsid w:val="003C559D"/>
    <w:rsid w:val="003C5A9A"/>
    <w:rsid w:val="003C5BD9"/>
    <w:rsid w:val="003C5D02"/>
    <w:rsid w:val="003C5E8E"/>
    <w:rsid w:val="003C615B"/>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3F6A"/>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E34"/>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FB"/>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45D"/>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D10"/>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184"/>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1EF"/>
    <w:rsid w:val="0048730C"/>
    <w:rsid w:val="00487EEA"/>
    <w:rsid w:val="00490D6A"/>
    <w:rsid w:val="00490F24"/>
    <w:rsid w:val="0049116B"/>
    <w:rsid w:val="004916DD"/>
    <w:rsid w:val="00491728"/>
    <w:rsid w:val="00491D51"/>
    <w:rsid w:val="004926CC"/>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76C"/>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6F12"/>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B34"/>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185A"/>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3F8"/>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15D"/>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33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68A9"/>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C7DD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4CFA"/>
    <w:rsid w:val="005D52BF"/>
    <w:rsid w:val="005D54C3"/>
    <w:rsid w:val="005D60F4"/>
    <w:rsid w:val="005D64FB"/>
    <w:rsid w:val="005D68DC"/>
    <w:rsid w:val="005D695A"/>
    <w:rsid w:val="005D6AB8"/>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6F9"/>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4DD"/>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847"/>
    <w:rsid w:val="00643CD1"/>
    <w:rsid w:val="006440C1"/>
    <w:rsid w:val="006441F9"/>
    <w:rsid w:val="00644262"/>
    <w:rsid w:val="006447F3"/>
    <w:rsid w:val="006450B4"/>
    <w:rsid w:val="006451A8"/>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3A9"/>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13C"/>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3D4"/>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CD8"/>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7B5"/>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2D4"/>
    <w:rsid w:val="006A69C3"/>
    <w:rsid w:val="006A6C9F"/>
    <w:rsid w:val="006A7793"/>
    <w:rsid w:val="006B0346"/>
    <w:rsid w:val="006B1170"/>
    <w:rsid w:val="006B1F65"/>
    <w:rsid w:val="006B25DD"/>
    <w:rsid w:val="006B2954"/>
    <w:rsid w:val="006B2F1A"/>
    <w:rsid w:val="006B3B5D"/>
    <w:rsid w:val="006B3C1E"/>
    <w:rsid w:val="006B4959"/>
    <w:rsid w:val="006B5089"/>
    <w:rsid w:val="006B5147"/>
    <w:rsid w:val="006B5926"/>
    <w:rsid w:val="006B602C"/>
    <w:rsid w:val="006B6165"/>
    <w:rsid w:val="006B6B1A"/>
    <w:rsid w:val="006B6B37"/>
    <w:rsid w:val="006B704D"/>
    <w:rsid w:val="006B7303"/>
    <w:rsid w:val="006B777A"/>
    <w:rsid w:val="006C0240"/>
    <w:rsid w:val="006C0310"/>
    <w:rsid w:val="006C0322"/>
    <w:rsid w:val="006C046C"/>
    <w:rsid w:val="006C05EE"/>
    <w:rsid w:val="006C1194"/>
    <w:rsid w:val="006C15D5"/>
    <w:rsid w:val="006C15E6"/>
    <w:rsid w:val="006C16B5"/>
    <w:rsid w:val="006C1728"/>
    <w:rsid w:val="006C17C6"/>
    <w:rsid w:val="006C188D"/>
    <w:rsid w:val="006C1A1B"/>
    <w:rsid w:val="006C1BE9"/>
    <w:rsid w:val="006C1F56"/>
    <w:rsid w:val="006C380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8CD"/>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527"/>
    <w:rsid w:val="006E4687"/>
    <w:rsid w:val="006E47B4"/>
    <w:rsid w:val="006E5467"/>
    <w:rsid w:val="006E5E21"/>
    <w:rsid w:val="006E5F12"/>
    <w:rsid w:val="006E6213"/>
    <w:rsid w:val="006E639B"/>
    <w:rsid w:val="006E65EF"/>
    <w:rsid w:val="006E66B4"/>
    <w:rsid w:val="006E6752"/>
    <w:rsid w:val="006E68BB"/>
    <w:rsid w:val="006E6BC3"/>
    <w:rsid w:val="006E6D04"/>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6EF"/>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3EE2"/>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2B"/>
    <w:rsid w:val="00727BDF"/>
    <w:rsid w:val="00727D4C"/>
    <w:rsid w:val="00727E8F"/>
    <w:rsid w:val="00727F5D"/>
    <w:rsid w:val="00730759"/>
    <w:rsid w:val="00731166"/>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030"/>
    <w:rsid w:val="007545DC"/>
    <w:rsid w:val="00755337"/>
    <w:rsid w:val="00755708"/>
    <w:rsid w:val="00755C95"/>
    <w:rsid w:val="00755ECA"/>
    <w:rsid w:val="007562B6"/>
    <w:rsid w:val="007569F1"/>
    <w:rsid w:val="00756D41"/>
    <w:rsid w:val="007571F9"/>
    <w:rsid w:val="00757494"/>
    <w:rsid w:val="007574D7"/>
    <w:rsid w:val="00757801"/>
    <w:rsid w:val="00757A18"/>
    <w:rsid w:val="00760B37"/>
    <w:rsid w:val="00760BC5"/>
    <w:rsid w:val="00760CC3"/>
    <w:rsid w:val="00760F71"/>
    <w:rsid w:val="00761484"/>
    <w:rsid w:val="007615FE"/>
    <w:rsid w:val="0076185A"/>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19A"/>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1F17"/>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7A3"/>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5B7"/>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25F"/>
    <w:rsid w:val="007D640C"/>
    <w:rsid w:val="007D6A88"/>
    <w:rsid w:val="007D6BE8"/>
    <w:rsid w:val="007D6C4F"/>
    <w:rsid w:val="007D6D49"/>
    <w:rsid w:val="007D704C"/>
    <w:rsid w:val="007D7245"/>
    <w:rsid w:val="007D72D5"/>
    <w:rsid w:val="007D7BB3"/>
    <w:rsid w:val="007E06F6"/>
    <w:rsid w:val="007E0906"/>
    <w:rsid w:val="007E091F"/>
    <w:rsid w:val="007E096A"/>
    <w:rsid w:val="007E1978"/>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B8C"/>
    <w:rsid w:val="007F0C1E"/>
    <w:rsid w:val="007F0F20"/>
    <w:rsid w:val="007F1579"/>
    <w:rsid w:val="007F17D2"/>
    <w:rsid w:val="007F1E07"/>
    <w:rsid w:val="007F201F"/>
    <w:rsid w:val="007F2147"/>
    <w:rsid w:val="007F23F1"/>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21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47F57"/>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5D5E"/>
    <w:rsid w:val="0087612D"/>
    <w:rsid w:val="00876D49"/>
    <w:rsid w:val="008774B3"/>
    <w:rsid w:val="00877B0C"/>
    <w:rsid w:val="0088037B"/>
    <w:rsid w:val="008806DB"/>
    <w:rsid w:val="00880A79"/>
    <w:rsid w:val="0088102C"/>
    <w:rsid w:val="008811C7"/>
    <w:rsid w:val="0088155A"/>
    <w:rsid w:val="00881DF8"/>
    <w:rsid w:val="00881E72"/>
    <w:rsid w:val="00881EA7"/>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AD1"/>
    <w:rsid w:val="008A6F1A"/>
    <w:rsid w:val="008A7005"/>
    <w:rsid w:val="008A71DA"/>
    <w:rsid w:val="008A7523"/>
    <w:rsid w:val="008A780F"/>
    <w:rsid w:val="008A7D11"/>
    <w:rsid w:val="008A7F7A"/>
    <w:rsid w:val="008B036E"/>
    <w:rsid w:val="008B05C9"/>
    <w:rsid w:val="008B0928"/>
    <w:rsid w:val="008B0D64"/>
    <w:rsid w:val="008B0DEB"/>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011"/>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23B"/>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07F5E"/>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3FC5"/>
    <w:rsid w:val="009341A0"/>
    <w:rsid w:val="00934896"/>
    <w:rsid w:val="00934E47"/>
    <w:rsid w:val="00934EDD"/>
    <w:rsid w:val="00935418"/>
    <w:rsid w:val="00935AD2"/>
    <w:rsid w:val="00936A26"/>
    <w:rsid w:val="00936C0A"/>
    <w:rsid w:val="00936E00"/>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597"/>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212"/>
    <w:rsid w:val="00977370"/>
    <w:rsid w:val="00977566"/>
    <w:rsid w:val="00977DE9"/>
    <w:rsid w:val="00980112"/>
    <w:rsid w:val="009808AE"/>
    <w:rsid w:val="00980983"/>
    <w:rsid w:val="00980ED2"/>
    <w:rsid w:val="00981D6A"/>
    <w:rsid w:val="0098200C"/>
    <w:rsid w:val="00982017"/>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AEE"/>
    <w:rsid w:val="00995C41"/>
    <w:rsid w:val="00996348"/>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02D"/>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577D"/>
    <w:rsid w:val="009C68B7"/>
    <w:rsid w:val="009C6C29"/>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467"/>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424"/>
    <w:rsid w:val="009F66D1"/>
    <w:rsid w:val="009F6CDE"/>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6A62"/>
    <w:rsid w:val="00A0703D"/>
    <w:rsid w:val="00A0743E"/>
    <w:rsid w:val="00A07616"/>
    <w:rsid w:val="00A076BC"/>
    <w:rsid w:val="00A078A4"/>
    <w:rsid w:val="00A079B8"/>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2C24"/>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3DB"/>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A03"/>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8EF"/>
    <w:rsid w:val="00AA0E75"/>
    <w:rsid w:val="00AA0F54"/>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7E7"/>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C7D26"/>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6FDA"/>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BA6"/>
    <w:rsid w:val="00AE5F25"/>
    <w:rsid w:val="00AE61C2"/>
    <w:rsid w:val="00AE62DD"/>
    <w:rsid w:val="00AE67FC"/>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5D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24B"/>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19C"/>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57"/>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878EF"/>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440"/>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4F8"/>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6D"/>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C29"/>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6CB"/>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3DE"/>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0D38"/>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9CB"/>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2E3"/>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7CE"/>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4F6"/>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E95"/>
    <w:rsid w:val="00D46FB2"/>
    <w:rsid w:val="00D471FC"/>
    <w:rsid w:val="00D4734B"/>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2EEC"/>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5E8"/>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97F5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5E20"/>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2F45"/>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6E2C"/>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16"/>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28F5"/>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095"/>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04F"/>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BF6"/>
    <w:rsid w:val="00E45CF0"/>
    <w:rsid w:val="00E45DF3"/>
    <w:rsid w:val="00E46613"/>
    <w:rsid w:val="00E4687F"/>
    <w:rsid w:val="00E46919"/>
    <w:rsid w:val="00E46B43"/>
    <w:rsid w:val="00E470F9"/>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0ECF"/>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495"/>
    <w:rsid w:val="00E95729"/>
    <w:rsid w:val="00E95E93"/>
    <w:rsid w:val="00E96A53"/>
    <w:rsid w:val="00E96BAF"/>
    <w:rsid w:val="00E96CCB"/>
    <w:rsid w:val="00E96EBA"/>
    <w:rsid w:val="00E96FAD"/>
    <w:rsid w:val="00E975D8"/>
    <w:rsid w:val="00E977D6"/>
    <w:rsid w:val="00E97C40"/>
    <w:rsid w:val="00EA009E"/>
    <w:rsid w:val="00EA0A2B"/>
    <w:rsid w:val="00EA0D8A"/>
    <w:rsid w:val="00EA1314"/>
    <w:rsid w:val="00EA148E"/>
    <w:rsid w:val="00EA14C6"/>
    <w:rsid w:val="00EA16F8"/>
    <w:rsid w:val="00EA17BF"/>
    <w:rsid w:val="00EA19E2"/>
    <w:rsid w:val="00EA1AE4"/>
    <w:rsid w:val="00EA1BD2"/>
    <w:rsid w:val="00EA1DF1"/>
    <w:rsid w:val="00EA1EA5"/>
    <w:rsid w:val="00EA23DF"/>
    <w:rsid w:val="00EA259D"/>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86F"/>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6F68"/>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46F"/>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3F30"/>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D4A"/>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3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6D9"/>
    <w:rsid w:val="00FD19B9"/>
    <w:rsid w:val="00FD1A39"/>
    <w:rsid w:val="00FD23B7"/>
    <w:rsid w:val="00FD2708"/>
    <w:rsid w:val="00FD2776"/>
    <w:rsid w:val="00FD2CE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D8E"/>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6C7"/>
    <w:rsid w:val="00FF59A8"/>
    <w:rsid w:val="00FF60BD"/>
    <w:rsid w:val="00FF6548"/>
    <w:rsid w:val="00FF6998"/>
    <w:rsid w:val="00FF6F5E"/>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6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Heading4">
    <w:name w:val="Heading4"/>
    <w:basedOn w:val="Normal"/>
    <w:rsid w:val="00995AEE"/>
    <w:pPr>
      <w:keepNext/>
      <w:keepLines/>
      <w:suppressAutoHyphens/>
      <w:spacing w:after="120"/>
      <w:jc w:val="center"/>
    </w:pPr>
    <w:rPr>
      <w:b/>
      <w:sz w:val="20"/>
      <w:szCs w:val="20"/>
    </w:rPr>
  </w:style>
  <w:style w:type="paragraph" w:customStyle="1" w:styleId="Heading5">
    <w:name w:val="Heading5"/>
    <w:basedOn w:val="Normal"/>
    <w:rsid w:val="00995AEE"/>
    <w:pPr>
      <w:keepNext/>
      <w:keepLines/>
      <w:suppressAutoHyphens/>
      <w:spacing w:after="120"/>
      <w:jc w:val="center"/>
    </w:pPr>
    <w:rPr>
      <w:i/>
      <w:sz w:val="20"/>
      <w:szCs w:val="20"/>
    </w:rPr>
  </w:style>
  <w:style w:type="paragraph" w:styleId="ListParagraph">
    <w:name w:val="List Paragraph"/>
    <w:basedOn w:val="Normal"/>
    <w:uiPriority w:val="34"/>
    <w:qFormat/>
    <w:rsid w:val="00995AEE"/>
    <w:pPr>
      <w:keepLines/>
      <w:spacing w:after="120"/>
      <w:ind w:left="720"/>
      <w:contextualSpacing/>
      <w:jc w:val="both"/>
    </w:pPr>
    <w:rPr>
      <w:sz w:val="20"/>
      <w:szCs w:val="20"/>
    </w:rPr>
  </w:style>
  <w:style w:type="paragraph" w:customStyle="1" w:styleId="Heading6">
    <w:name w:val="Heading6"/>
    <w:basedOn w:val="Normal"/>
    <w:link w:val="Heading6Char"/>
    <w:rsid w:val="00995AEE"/>
    <w:pPr>
      <w:keepNext/>
      <w:keepLines/>
      <w:suppressAutoHyphens/>
      <w:spacing w:after="120"/>
      <w:jc w:val="both"/>
    </w:pPr>
    <w:rPr>
      <w:b/>
      <w:sz w:val="20"/>
      <w:szCs w:val="20"/>
    </w:rPr>
  </w:style>
  <w:style w:type="paragraph" w:styleId="Header">
    <w:name w:val="header"/>
    <w:basedOn w:val="Normal"/>
    <w:link w:val="HeaderChar"/>
    <w:uiPriority w:val="99"/>
    <w:rsid w:val="0078019A"/>
    <w:pPr>
      <w:tabs>
        <w:tab w:val="center" w:pos="4513"/>
        <w:tab w:val="right" w:pos="9026"/>
      </w:tabs>
    </w:pPr>
  </w:style>
  <w:style w:type="character" w:customStyle="1" w:styleId="HeaderChar">
    <w:name w:val="Header Char"/>
    <w:basedOn w:val="DefaultParagraphFont"/>
    <w:link w:val="Header"/>
    <w:uiPriority w:val="99"/>
    <w:rsid w:val="0078019A"/>
    <w:rPr>
      <w:sz w:val="24"/>
      <w:szCs w:val="24"/>
    </w:rPr>
  </w:style>
  <w:style w:type="paragraph" w:styleId="Footer">
    <w:name w:val="footer"/>
    <w:basedOn w:val="Normal"/>
    <w:link w:val="FooterChar"/>
    <w:uiPriority w:val="99"/>
    <w:rsid w:val="0078019A"/>
    <w:pPr>
      <w:tabs>
        <w:tab w:val="center" w:pos="4513"/>
        <w:tab w:val="right" w:pos="9026"/>
      </w:tabs>
    </w:pPr>
  </w:style>
  <w:style w:type="character" w:customStyle="1" w:styleId="FooterChar">
    <w:name w:val="Footer Char"/>
    <w:basedOn w:val="DefaultParagraphFont"/>
    <w:link w:val="Footer"/>
    <w:uiPriority w:val="99"/>
    <w:rsid w:val="0078019A"/>
    <w:rPr>
      <w:sz w:val="24"/>
      <w:szCs w:val="24"/>
    </w:rPr>
  </w:style>
  <w:style w:type="character" w:customStyle="1" w:styleId="Heading6Char">
    <w:name w:val="Heading6 Char"/>
    <w:link w:val="Heading6"/>
    <w:rsid w:val="00FF56C7"/>
    <w:rPr>
      <w:b/>
    </w:rPr>
  </w:style>
  <w:style w:type="character" w:customStyle="1" w:styleId="A0">
    <w:name w:val="A0"/>
    <w:uiPriority w:val="99"/>
    <w:rsid w:val="007D625F"/>
    <w:rPr>
      <w:rFonts w:cs="YOUZZP+HelveticaNeue"/>
      <w:color w:val="221E1F"/>
      <w:sz w:val="20"/>
      <w:szCs w:val="20"/>
    </w:rPr>
  </w:style>
  <w:style w:type="table" w:styleId="TableGrid">
    <w:name w:val="Table Grid"/>
    <w:basedOn w:val="TableNormal"/>
    <w:rsid w:val="0023727E"/>
    <w:tblPr/>
  </w:style>
  <w:style w:type="character" w:styleId="CommentReference">
    <w:name w:val="annotation reference"/>
    <w:basedOn w:val="DefaultParagraphFont"/>
    <w:unhideWhenUsed/>
    <w:rsid w:val="00D46E95"/>
    <w:rPr>
      <w:sz w:val="16"/>
      <w:szCs w:val="16"/>
    </w:rPr>
  </w:style>
  <w:style w:type="paragraph" w:styleId="CommentText">
    <w:name w:val="annotation text"/>
    <w:basedOn w:val="Normal"/>
    <w:link w:val="CommentTextChar"/>
    <w:unhideWhenUsed/>
    <w:rsid w:val="00D46E95"/>
    <w:rPr>
      <w:sz w:val="20"/>
      <w:szCs w:val="20"/>
    </w:rPr>
  </w:style>
  <w:style w:type="character" w:customStyle="1" w:styleId="CommentTextChar">
    <w:name w:val="Comment Text Char"/>
    <w:basedOn w:val="DefaultParagraphFont"/>
    <w:link w:val="CommentText"/>
    <w:rsid w:val="00D46E95"/>
  </w:style>
  <w:style w:type="paragraph" w:styleId="CommentSubject">
    <w:name w:val="annotation subject"/>
    <w:basedOn w:val="CommentText"/>
    <w:next w:val="CommentText"/>
    <w:link w:val="CommentSubjectChar"/>
    <w:semiHidden/>
    <w:unhideWhenUsed/>
    <w:rsid w:val="00D46E95"/>
    <w:rPr>
      <w:b/>
      <w:bCs/>
    </w:rPr>
  </w:style>
  <w:style w:type="character" w:customStyle="1" w:styleId="CommentSubjectChar">
    <w:name w:val="Comment Subject Char"/>
    <w:basedOn w:val="CommentTextChar"/>
    <w:link w:val="CommentSubject"/>
    <w:semiHidden/>
    <w:rsid w:val="00D46E95"/>
    <w:rPr>
      <w:b/>
      <w:bCs/>
    </w:rPr>
  </w:style>
  <w:style w:type="paragraph" w:customStyle="1" w:styleId="Default">
    <w:name w:val="Default"/>
    <w:rsid w:val="00E128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72371">
      <w:bodyDiv w:val="1"/>
      <w:marLeft w:val="0"/>
      <w:marRight w:val="0"/>
      <w:marTop w:val="0"/>
      <w:marBottom w:val="0"/>
      <w:divBdr>
        <w:top w:val="none" w:sz="0" w:space="0" w:color="auto"/>
        <w:left w:val="none" w:sz="0" w:space="0" w:color="auto"/>
        <w:bottom w:val="none" w:sz="0" w:space="0" w:color="auto"/>
        <w:right w:val="none" w:sz="0" w:space="0" w:color="auto"/>
      </w:divBdr>
    </w:div>
    <w:div w:id="38811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2024-05-28T01:04:00Z</dcterms:created>
  <dcterms:modified xsi:type="dcterms:W3CDTF">2024-10-31T01:37:00Z</dcterms:modified>
</cp:coreProperties>
</file>