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9D457" w14:textId="77777777" w:rsidR="00FB640B" w:rsidRPr="008B24C8" w:rsidRDefault="0057002B" w:rsidP="00BB0CF2">
      <w:pPr>
        <w:pStyle w:val="ESTitleHeader"/>
      </w:pPr>
      <w:r w:rsidRPr="008B24C8">
        <w:t>EXPLANATORY STATEMENT</w:t>
      </w:r>
    </w:p>
    <w:p w14:paraId="1B83FCCD" w14:textId="3B094CD6" w:rsidR="0057002B" w:rsidRPr="008B24C8" w:rsidRDefault="0057002B" w:rsidP="00BB0CF2">
      <w:pPr>
        <w:pStyle w:val="ESTitleDecisionMaker"/>
      </w:pPr>
      <w:r w:rsidRPr="008B24C8">
        <w:t xml:space="preserve">Issued by authority of the </w:t>
      </w:r>
      <w:r w:rsidR="003244FC">
        <w:t>Minister for Immigration</w:t>
      </w:r>
      <w:r w:rsidR="00A95DF8">
        <w:t xml:space="preserve"> and Multicultural Affairs</w:t>
      </w:r>
    </w:p>
    <w:p w14:paraId="31860D3B" w14:textId="77777777" w:rsidR="0057002B" w:rsidRPr="008B24C8" w:rsidRDefault="003244FC" w:rsidP="00BB0CF2">
      <w:pPr>
        <w:pStyle w:val="ESTitleEnablingLegislation"/>
      </w:pPr>
      <w:r>
        <w:t>Migration Regulations 1994</w:t>
      </w:r>
    </w:p>
    <w:p w14:paraId="7EB65238" w14:textId="08DAD292" w:rsidR="003244FC" w:rsidRPr="00EB2F5D" w:rsidRDefault="003F33E7" w:rsidP="003244FC">
      <w:pPr>
        <w:pStyle w:val="ESParagraph"/>
        <w:jc w:val="center"/>
        <w:rPr>
          <w:b/>
        </w:rPr>
      </w:pPr>
      <w:r w:rsidRPr="00D16D3D">
        <w:rPr>
          <w:i/>
          <w:color w:val="000000" w:themeColor="text1"/>
        </w:rPr>
        <w:t>Migration (</w:t>
      </w:r>
      <w:r w:rsidRPr="00D16D3D">
        <w:rPr>
          <w:i/>
          <w:color w:val="000000" w:themeColor="text1"/>
          <w:shd w:val="clear" w:color="auto" w:fill="FFFFFF"/>
        </w:rPr>
        <w:t xml:space="preserve">Arrangements for </w:t>
      </w:r>
      <w:r w:rsidRPr="00EB2F5D">
        <w:rPr>
          <w:i/>
          <w:shd w:val="clear" w:color="auto" w:fill="FFFFFF"/>
        </w:rPr>
        <w:t>certain business skills visas</w:t>
      </w:r>
      <w:r w:rsidRPr="00EB2F5D">
        <w:rPr>
          <w:i/>
        </w:rPr>
        <w:t>) Amendment (LIN 24/0</w:t>
      </w:r>
      <w:r w:rsidR="00B9580A" w:rsidRPr="00EB2F5D">
        <w:rPr>
          <w:i/>
        </w:rPr>
        <w:t>78</w:t>
      </w:r>
      <w:r w:rsidRPr="00EB2F5D">
        <w:rPr>
          <w:i/>
        </w:rPr>
        <w:t>) Instrument 2024</w:t>
      </w:r>
    </w:p>
    <w:p w14:paraId="337D1A9E" w14:textId="73B8F9D4" w:rsidR="0057002B" w:rsidRPr="008B24C8" w:rsidRDefault="00A95DF8" w:rsidP="00A95DF8">
      <w:pPr>
        <w:pStyle w:val="ESPara"/>
      </w:pPr>
      <w:r>
        <w:t>This</w:t>
      </w:r>
      <w:r w:rsidR="0057002B" w:rsidRPr="008B24C8">
        <w:t xml:space="preserve"> inst</w:t>
      </w:r>
      <w:r w:rsidR="003244FC">
        <w:t xml:space="preserve">rument, </w:t>
      </w:r>
      <w:r w:rsidR="00EB2F5D">
        <w:t>d</w:t>
      </w:r>
      <w:r w:rsidR="003244FC">
        <w:t xml:space="preserve">epartmental reference LIN </w:t>
      </w:r>
      <w:r w:rsidR="00B9580A">
        <w:t>24/078</w:t>
      </w:r>
      <w:r w:rsidR="0057002B" w:rsidRPr="008B24C8">
        <w:t>, is made under</w:t>
      </w:r>
      <w:r w:rsidR="003244FC">
        <w:t xml:space="preserve"> subregulation 2.07(5)</w:t>
      </w:r>
      <w:r w:rsidR="0057002B" w:rsidRPr="008B24C8">
        <w:t xml:space="preserve"> of the </w:t>
      </w:r>
      <w:r w:rsidR="0057002B" w:rsidRPr="008B24C8">
        <w:rPr>
          <w:i/>
        </w:rPr>
        <w:t>Migration Regulations 1994</w:t>
      </w:r>
      <w:r w:rsidR="003244FC">
        <w:t xml:space="preserve"> (the Migration Regulations).</w:t>
      </w:r>
    </w:p>
    <w:p w14:paraId="6172E501" w14:textId="77777777" w:rsidR="00EA12C9" w:rsidRPr="008B24C8" w:rsidRDefault="00EA12C9" w:rsidP="00A95DF8">
      <w:pPr>
        <w:pStyle w:val="ESPara"/>
      </w:pPr>
      <w:r w:rsidRPr="008B24C8">
        <w:t xml:space="preserve">The </w:t>
      </w:r>
      <w:r w:rsidRPr="00A95DF8">
        <w:t xml:space="preserve">instrument </w:t>
      </w:r>
      <w:r w:rsidR="00ED2F43" w:rsidRPr="00A95DF8">
        <w:t xml:space="preserve">amends </w:t>
      </w:r>
      <w:bookmarkStart w:id="0" w:name="_Toc175739259"/>
      <w:r w:rsidR="00ED2F43" w:rsidRPr="00A95DF8">
        <w:rPr>
          <w:i/>
        </w:rPr>
        <w:t>Migration (Arrangements for certain business skills visas) Instrument (LIN 21/026) 2021</w:t>
      </w:r>
      <w:bookmarkEnd w:id="0"/>
      <w:r w:rsidR="00ED2F43" w:rsidRPr="00A95DF8">
        <w:t xml:space="preserve"> (</w:t>
      </w:r>
      <w:r w:rsidR="00ED2F43" w:rsidRPr="00A95DF8">
        <w:rPr>
          <w:color w:val="2D2D31"/>
          <w:shd w:val="clear" w:color="auto" w:fill="FFFFFF"/>
        </w:rPr>
        <w:t xml:space="preserve">F2021L00171) </w:t>
      </w:r>
      <w:r w:rsidRPr="00A95DF8">
        <w:t xml:space="preserve">in accordance with subsection 33(3) of the </w:t>
      </w:r>
      <w:r w:rsidRPr="00A95DF8">
        <w:rPr>
          <w:i/>
        </w:rPr>
        <w:t>Acts Interpretation Act 1901</w:t>
      </w:r>
      <w:r w:rsidR="00BD598E" w:rsidRPr="00A95DF8">
        <w:rPr>
          <w:i/>
        </w:rPr>
        <w:t xml:space="preserve"> </w:t>
      </w:r>
      <w:r w:rsidR="00BD598E" w:rsidRPr="00A95DF8">
        <w:t>(the Acts Interpretation Act)</w:t>
      </w:r>
      <w:r w:rsidRPr="00A95DF8">
        <w:t xml:space="preserve">.  That subsection provides that </w:t>
      </w:r>
      <w:r w:rsidR="00100DFC" w:rsidRPr="00A95DF8">
        <w:t>a power to make a legislative instrument includes a power to amend</w:t>
      </w:r>
      <w:r w:rsidR="00100DFC">
        <w:t xml:space="preserve"> or repeal that instrument in the same manner, and subject to the same conditions</w:t>
      </w:r>
      <w:r w:rsidR="001201B2">
        <w:t xml:space="preserve"> that apply to the initial instrument-making power.</w:t>
      </w:r>
      <w:r w:rsidR="00BD598E" w:rsidRPr="008B24C8">
        <w:t xml:space="preserve">  </w:t>
      </w:r>
    </w:p>
    <w:p w14:paraId="0FC84DC1" w14:textId="0D0875C1" w:rsidR="00BD598E" w:rsidRPr="008B24C8" w:rsidRDefault="00AA4557" w:rsidP="00A95DF8">
      <w:pPr>
        <w:pStyle w:val="ESPara"/>
      </w:pPr>
      <w:r>
        <w:t>The instrument commences</w:t>
      </w:r>
      <w:r w:rsidR="001201B2">
        <w:t xml:space="preserve"> </w:t>
      </w:r>
      <w:r w:rsidR="00BC1DB5">
        <w:t>at the same time as</w:t>
      </w:r>
      <w:r w:rsidR="001201B2">
        <w:t xml:space="preserve"> the </w:t>
      </w:r>
      <w:r w:rsidR="001201B2">
        <w:rPr>
          <w:i/>
        </w:rPr>
        <w:t xml:space="preserve">Migration Amendment (National Innovation Visa) Regulations 2024 </w:t>
      </w:r>
      <w:r w:rsidR="001201B2">
        <w:t>(National Innovation Visa Regulations)</w:t>
      </w:r>
      <w:r w:rsidR="00EB2F5D">
        <w:t>. It</w:t>
      </w:r>
      <w:r>
        <w:t xml:space="preserve">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125B984B" w14:textId="77777777" w:rsidR="00EA12C9" w:rsidRPr="00EB2F5D" w:rsidRDefault="00BD598E" w:rsidP="00100DFC">
      <w:pPr>
        <w:pStyle w:val="ESHeading"/>
      </w:pPr>
      <w:r w:rsidRPr="00EB2F5D">
        <w:t>Purpose</w:t>
      </w:r>
      <w:r w:rsidR="00BB0CF2" w:rsidRPr="00EB2F5D">
        <w:t xml:space="preserve"> </w:t>
      </w:r>
    </w:p>
    <w:p w14:paraId="5EEE2B0B" w14:textId="7770D095" w:rsidR="00B75478" w:rsidRDefault="000C55CF" w:rsidP="0001414C">
      <w:pPr>
        <w:pStyle w:val="ESPara"/>
      </w:pPr>
      <w:r>
        <w:t>Subr</w:t>
      </w:r>
      <w:r w:rsidR="001201B2">
        <w:t>egulation 2.07(5) of the Migration Regulations provide</w:t>
      </w:r>
      <w:r w:rsidR="00FF7252">
        <w:t>s</w:t>
      </w:r>
      <w:r w:rsidR="001201B2">
        <w:t xml:space="preserve"> that </w:t>
      </w:r>
      <w:r w:rsidR="00FF7252">
        <w:t xml:space="preserve">if an item in Schedule 1 to the Migration Regulations prescribes criteria or requirements by reference to a legislative instrument made under subregulation 2.07(5), </w:t>
      </w:r>
      <w:r w:rsidR="001201B2">
        <w:t>the Minister may specify, the approved form, place and manner for an application for a visa of a specified class.</w:t>
      </w:r>
      <w:r w:rsidR="0001414C">
        <w:t xml:space="preserve"> Paragraph 1113(3)(a) of Schedule 1 to the Migration Regulations relevantly provides that an a</w:t>
      </w:r>
      <w:r w:rsidR="0001414C" w:rsidRPr="0001414C">
        <w:t xml:space="preserve">pplication </w:t>
      </w:r>
      <w:r w:rsidR="0001414C">
        <w:t xml:space="preserve">for a National Innovation (Class BX) visa </w:t>
      </w:r>
      <w:r w:rsidR="0001414C" w:rsidRPr="0001414C">
        <w:t>must be made at the pl</w:t>
      </w:r>
      <w:r w:rsidR="0001414C">
        <w:t>ace</w:t>
      </w:r>
      <w:r w:rsidR="0001414C" w:rsidRPr="0001414C">
        <w:t xml:space="preserve"> and in the manner (if any) specified by the Minister in a legislative instrument made for </w:t>
      </w:r>
      <w:r w:rsidR="0001414C">
        <w:t>item 1113 of Schedule 1</w:t>
      </w:r>
      <w:r w:rsidR="0001414C" w:rsidRPr="0001414C">
        <w:t xml:space="preserve"> under subregulation 2.07(5)</w:t>
      </w:r>
      <w:r w:rsidR="0001414C">
        <w:t>.</w:t>
      </w:r>
    </w:p>
    <w:p w14:paraId="71F62EDE" w14:textId="2605370F" w:rsidR="001201B2" w:rsidRPr="00A95DF8" w:rsidRDefault="00FF7252" w:rsidP="005A093D">
      <w:pPr>
        <w:pStyle w:val="ESPara"/>
      </w:pPr>
      <w:r>
        <w:t xml:space="preserve">The </w:t>
      </w:r>
      <w:r w:rsidR="001201B2">
        <w:t xml:space="preserve">National Innovation Visa Regulations </w:t>
      </w:r>
      <w:r>
        <w:t xml:space="preserve">will </w:t>
      </w:r>
      <w:r w:rsidR="001201B2">
        <w:t xml:space="preserve">commence </w:t>
      </w:r>
      <w:r w:rsidR="001201B2" w:rsidRPr="00797F0F">
        <w:rPr>
          <w:color w:val="000000" w:themeColor="text1"/>
        </w:rPr>
        <w:t xml:space="preserve">on </w:t>
      </w:r>
      <w:r w:rsidR="00797F0F" w:rsidRPr="00797F0F">
        <w:rPr>
          <w:color w:val="000000" w:themeColor="text1"/>
        </w:rPr>
        <w:t>6 December 2024</w:t>
      </w:r>
      <w:r w:rsidR="00E42F23">
        <w:rPr>
          <w:color w:val="000000" w:themeColor="text1"/>
        </w:rPr>
        <w:t xml:space="preserve">, </w:t>
      </w:r>
      <w:r w:rsidR="00E42F23" w:rsidRPr="00797F0F">
        <w:rPr>
          <w:color w:val="000000" w:themeColor="text1"/>
        </w:rPr>
        <w:t>replacing</w:t>
      </w:r>
      <w:r w:rsidR="00CD1769">
        <w:t xml:space="preserve"> the</w:t>
      </w:r>
      <w:r w:rsidR="005A093D">
        <w:t xml:space="preserve"> </w:t>
      </w:r>
      <w:r w:rsidR="0001356A">
        <w:t>Subclass 858 (</w:t>
      </w:r>
      <w:r w:rsidR="005A093D">
        <w:t xml:space="preserve">Global Talent) visa </w:t>
      </w:r>
      <w:r w:rsidR="00A95DF8">
        <w:t>with</w:t>
      </w:r>
      <w:r w:rsidR="001201B2">
        <w:t xml:space="preserve"> </w:t>
      </w:r>
      <w:r w:rsidR="00CD1769">
        <w:t xml:space="preserve">the </w:t>
      </w:r>
      <w:r w:rsidR="0001356A">
        <w:t>Subclass 858 (</w:t>
      </w:r>
      <w:r w:rsidR="001201B2">
        <w:t>National Innovation) visa</w:t>
      </w:r>
      <w:r w:rsidR="00EB2F5D">
        <w:t>. A</w:t>
      </w:r>
      <w:r w:rsidR="003F33E7">
        <w:t xml:space="preserve">n applicant for the National Innovation visa must be invited to apply for the visa by the Minister in order to </w:t>
      </w:r>
      <w:r w:rsidR="00CD1769">
        <w:t xml:space="preserve">make </w:t>
      </w:r>
      <w:r w:rsidR="003F33E7">
        <w:t xml:space="preserve">a valid </w:t>
      </w:r>
      <w:r w:rsidR="00EB2F5D">
        <w:t xml:space="preserve">visa </w:t>
      </w:r>
      <w:r w:rsidR="003F33E7">
        <w:t>application</w:t>
      </w:r>
      <w:r w:rsidR="001201B2">
        <w:t>.</w:t>
      </w:r>
      <w:r w:rsidR="00A95DF8">
        <w:t xml:space="preserve"> </w:t>
      </w:r>
      <w:r w:rsidR="001201B2">
        <w:t xml:space="preserve"> The purpose and objective of the National Innovation Visa Regulations is to ensure that Australia continues to attract the best a</w:t>
      </w:r>
      <w:r w:rsidR="00A95DF8">
        <w:t>nd brightest global talents</w:t>
      </w:r>
      <w:r w:rsidR="001201B2">
        <w:t xml:space="preserve"> and to drive growth in sectors of national importance as specified under paragraph 858.212(2)(a) of Schedule 2 to the Migration Regulations. </w:t>
      </w:r>
    </w:p>
    <w:p w14:paraId="0C70EDBE" w14:textId="3E50E77D" w:rsidR="001201B2" w:rsidRPr="00A95DF8" w:rsidRDefault="000C55CF" w:rsidP="00EB2F5D">
      <w:pPr>
        <w:pStyle w:val="ESPara"/>
      </w:pPr>
      <w:r w:rsidRPr="00A95DF8">
        <w:t>LIN 24/</w:t>
      </w:r>
      <w:r w:rsidR="00B9580A" w:rsidRPr="00A95DF8">
        <w:t xml:space="preserve">078 </w:t>
      </w:r>
      <w:r w:rsidRPr="00A95DF8">
        <w:t>amends LIN 21/026</w:t>
      </w:r>
      <w:r w:rsidR="00393AA6" w:rsidRPr="00A95DF8">
        <w:t xml:space="preserve"> as a consequence of</w:t>
      </w:r>
      <w:r w:rsidR="00A95DF8" w:rsidRPr="00A95DF8">
        <w:t xml:space="preserve"> this new statutory requirement</w:t>
      </w:r>
      <w:r w:rsidR="00DB6488">
        <w:t>,</w:t>
      </w:r>
      <w:r w:rsidRPr="00A95DF8">
        <w:t xml:space="preserve"> to specify the relevant approved form for application for a </w:t>
      </w:r>
      <w:r w:rsidR="0001356A">
        <w:t>Subclass 858 (</w:t>
      </w:r>
      <w:r w:rsidRPr="00A95DF8">
        <w:t>National Innovation) visa</w:t>
      </w:r>
      <w:r w:rsidR="00EB2F5D">
        <w:t xml:space="preserve">. It also amends LIN 21/026 to specify </w:t>
      </w:r>
      <w:r w:rsidRPr="00A95DF8">
        <w:t>the way in, and the place at</w:t>
      </w:r>
      <w:r w:rsidR="00393AA6" w:rsidRPr="00A95DF8">
        <w:t>,</w:t>
      </w:r>
      <w:r w:rsidRPr="00A95DF8">
        <w:t xml:space="preserve"> which a</w:t>
      </w:r>
      <w:r w:rsidRPr="00A95DF8">
        <w:rPr>
          <w:color w:val="000000"/>
          <w:shd w:val="clear" w:color="auto" w:fill="FFFFFF"/>
        </w:rPr>
        <w:t xml:space="preserve">n application for a </w:t>
      </w:r>
      <w:r w:rsidR="00EB2F5D" w:rsidRPr="00EB2F5D">
        <w:rPr>
          <w:color w:val="000000"/>
          <w:shd w:val="clear" w:color="auto" w:fill="FFFFFF"/>
        </w:rPr>
        <w:t xml:space="preserve">Subclass 858 </w:t>
      </w:r>
      <w:r w:rsidRPr="00A95DF8">
        <w:rPr>
          <w:color w:val="000000"/>
          <w:shd w:val="clear" w:color="auto" w:fill="FFFFFF"/>
        </w:rPr>
        <w:t xml:space="preserve">visa </w:t>
      </w:r>
      <w:r w:rsidR="00393AA6" w:rsidRPr="00A95DF8">
        <w:rPr>
          <w:color w:val="000000"/>
          <w:shd w:val="clear" w:color="auto" w:fill="FFFFFF"/>
        </w:rPr>
        <w:t xml:space="preserve">must be made </w:t>
      </w:r>
      <w:r w:rsidRPr="00A95DF8">
        <w:rPr>
          <w:color w:val="000000"/>
          <w:shd w:val="clear" w:color="auto" w:fill="FFFFFF"/>
        </w:rPr>
        <w:t>pursuant to subregulation 2</w:t>
      </w:r>
      <w:r w:rsidRPr="00A95DF8">
        <w:t>.07(5) of the Migration Regulations.</w:t>
      </w:r>
    </w:p>
    <w:p w14:paraId="635D457F" w14:textId="77777777" w:rsidR="008B24C8" w:rsidRDefault="008B24C8" w:rsidP="00100DFC">
      <w:pPr>
        <w:pStyle w:val="ESHeading"/>
      </w:pPr>
      <w:r w:rsidRPr="008B24C8">
        <w:t>Consultation</w:t>
      </w:r>
    </w:p>
    <w:p w14:paraId="157A5B23" w14:textId="2DC2C6FB" w:rsidR="00433938" w:rsidRPr="008B24C8" w:rsidRDefault="00433938" w:rsidP="00EB2F5D">
      <w:pPr>
        <w:pStyle w:val="ESPara"/>
      </w:pPr>
      <w:r>
        <w:t xml:space="preserve">Consultation was undertaken as part of the </w:t>
      </w:r>
      <w:r w:rsidR="00EB2F5D">
        <w:t xml:space="preserve">development of the </w:t>
      </w:r>
      <w:r w:rsidR="002D2244">
        <w:t>National Innovation Visa Regulations</w:t>
      </w:r>
      <w:r w:rsidR="00EB2F5D">
        <w:t xml:space="preserve">. No specific consultation was undertaken in relation to </w:t>
      </w:r>
      <w:r>
        <w:t xml:space="preserve">this legislative instrument </w:t>
      </w:r>
      <w:r w:rsidR="00A95DF8">
        <w:t>as it</w:t>
      </w:r>
      <w:r>
        <w:t xml:space="preserve"> was deemed not necessary </w:t>
      </w:r>
      <w:r w:rsidR="00A95DF8">
        <w:t>due to the change being</w:t>
      </w:r>
      <w:r>
        <w:t xml:space="preserve"> </w:t>
      </w:r>
      <w:r>
        <w:rPr>
          <w:color w:val="000000"/>
        </w:rPr>
        <w:t>of a minor or machinery nature</w:t>
      </w:r>
      <w:r w:rsidR="00EB2F5D">
        <w:rPr>
          <w:color w:val="000000"/>
        </w:rPr>
        <w:t xml:space="preserve">. Aside from amending </w:t>
      </w:r>
      <w:r w:rsidR="00EB2F5D" w:rsidRPr="00EB2F5D">
        <w:rPr>
          <w:color w:val="000000"/>
        </w:rPr>
        <w:t>LIN 21/026</w:t>
      </w:r>
      <w:r w:rsidR="00EB2F5D">
        <w:rPr>
          <w:color w:val="000000"/>
        </w:rPr>
        <w:t xml:space="preserve"> to reflect the new visa subclass and associated application lodgement arrangements, the amending instrument </w:t>
      </w:r>
      <w:r>
        <w:rPr>
          <w:color w:val="000000"/>
        </w:rPr>
        <w:t>does not alter other existing arrangements </w:t>
      </w:r>
      <w:r w:rsidR="00EB2F5D">
        <w:rPr>
          <w:color w:val="000000"/>
        </w:rPr>
        <w:t>specified</w:t>
      </w:r>
      <w:r>
        <w:rPr>
          <w:color w:val="000000"/>
        </w:rPr>
        <w:t> by LIN 21/026.</w:t>
      </w:r>
    </w:p>
    <w:p w14:paraId="10DF9E61" w14:textId="4A917AA0" w:rsidR="008B24C8" w:rsidRPr="008B24C8" w:rsidRDefault="008B24C8" w:rsidP="00620481">
      <w:pPr>
        <w:pStyle w:val="ESPara"/>
      </w:pPr>
      <w:r w:rsidRPr="008B24C8">
        <w:lastRenderedPageBreak/>
        <w:t xml:space="preserve">The Office of </w:t>
      </w:r>
      <w:r w:rsidR="00620481">
        <w:t>Impact Analysis (OIA) was</w:t>
      </w:r>
      <w:r w:rsidRPr="008B24C8">
        <w:t xml:space="preserve"> </w:t>
      </w:r>
      <w:r w:rsidR="00393AA6">
        <w:t xml:space="preserve">not consulted on the development of this specific legislative instrument, but was </w:t>
      </w:r>
      <w:r w:rsidRPr="008B24C8">
        <w:t xml:space="preserve">consulted </w:t>
      </w:r>
      <w:r w:rsidR="00620481">
        <w:t>on the Natio</w:t>
      </w:r>
      <w:r w:rsidR="00A95DF8">
        <w:t xml:space="preserve">nal Innovation Visa Regulations. OIA </w:t>
      </w:r>
      <w:r w:rsidRPr="008B24C8">
        <w:t xml:space="preserve">considered no regulatory </w:t>
      </w:r>
      <w:r w:rsidR="00A95DF8">
        <w:t>impact statement was required</w:t>
      </w:r>
      <w:r w:rsidR="00DB6488">
        <w:t xml:space="preserve"> for the National Innovation Visa Regulations</w:t>
      </w:r>
      <w:r w:rsidR="00A95DF8">
        <w:t xml:space="preserve"> (</w:t>
      </w:r>
      <w:r>
        <w:t>OBPR reference num</w:t>
      </w:r>
      <w:r w:rsidR="00A95DF8">
        <w:t xml:space="preserve">ber: </w:t>
      </w:r>
      <w:r w:rsidR="00620481" w:rsidRPr="00620481">
        <w:t>OIA24-07084</w:t>
      </w:r>
      <w:r w:rsidR="00A95DF8">
        <w:t>)</w:t>
      </w:r>
      <w:r w:rsidR="00620481">
        <w:t>.</w:t>
      </w:r>
    </w:p>
    <w:p w14:paraId="6DCB9719" w14:textId="77777777" w:rsidR="00AA4557" w:rsidRDefault="00464080" w:rsidP="00100DFC">
      <w:pPr>
        <w:pStyle w:val="ESHeading"/>
      </w:pPr>
      <w:r>
        <w:t>Details</w:t>
      </w:r>
      <w:r w:rsidR="00AA4557">
        <w:t xml:space="preserve"> of the instrument</w:t>
      </w:r>
    </w:p>
    <w:p w14:paraId="36708C33" w14:textId="77777777" w:rsidR="00AA4557" w:rsidRDefault="00AA4557" w:rsidP="002D167E">
      <w:pPr>
        <w:pStyle w:val="ESPara"/>
      </w:pPr>
      <w:r>
        <w:t>Section 1 sets out</w:t>
      </w:r>
      <w:r w:rsidR="00E03DCC">
        <w:t xml:space="preserve"> the name of the instrument. </w:t>
      </w:r>
    </w:p>
    <w:p w14:paraId="16BF4C95" w14:textId="26B00348" w:rsidR="00AA4557" w:rsidRDefault="00AA4557" w:rsidP="002D167E">
      <w:pPr>
        <w:pStyle w:val="ESPara"/>
      </w:pPr>
      <w:r>
        <w:t xml:space="preserve">Section 2 provides </w:t>
      </w:r>
      <w:r w:rsidR="003C25D1">
        <w:t>that</w:t>
      </w:r>
      <w:r>
        <w:t xml:space="preserve"> the instrument</w:t>
      </w:r>
      <w:r w:rsidR="00EB2F5D">
        <w:t xml:space="preserve"> commences</w:t>
      </w:r>
      <w:r>
        <w:t xml:space="preserve"> </w:t>
      </w:r>
      <w:r w:rsidR="006F2D77">
        <w:t xml:space="preserve">at the same time as the </w:t>
      </w:r>
      <w:r w:rsidR="003C3EE8">
        <w:rPr>
          <w:color w:val="000000"/>
        </w:rPr>
        <w:t>National Innovation Visa Regulations</w:t>
      </w:r>
      <w:r w:rsidR="002D2244">
        <w:t>.</w:t>
      </w:r>
    </w:p>
    <w:p w14:paraId="43E9B19E" w14:textId="4EDF1ADB" w:rsidR="00AA4F77" w:rsidRDefault="00AA4F77" w:rsidP="00E42F23">
      <w:pPr>
        <w:pStyle w:val="ESPara"/>
      </w:pPr>
      <w:r>
        <w:t xml:space="preserve">Section 3 </w:t>
      </w:r>
      <w:r w:rsidR="006F2D77">
        <w:t>specifies the authorising provision of this legislative instrument</w:t>
      </w:r>
      <w:r>
        <w:t xml:space="preserve">. </w:t>
      </w:r>
      <w:r w:rsidR="00E42F23">
        <w:t>This instrument is made under subregulation 2.07(5) of the Migration Regulations for the purposes of p</w:t>
      </w:r>
      <w:r w:rsidR="00E42F23" w:rsidRPr="00E42F23">
        <w:t>aragraph 1113(3)(a) of Schedule 1 to the Regulations</w:t>
      </w:r>
      <w:r w:rsidR="00E42F23">
        <w:t>.</w:t>
      </w:r>
      <w:bookmarkStart w:id="1" w:name="_GoBack"/>
      <w:bookmarkEnd w:id="1"/>
    </w:p>
    <w:p w14:paraId="774FCACB" w14:textId="08FD206F" w:rsidR="00AA4F77" w:rsidRDefault="00E03DCC" w:rsidP="00AA4F77">
      <w:pPr>
        <w:pStyle w:val="ESPara"/>
      </w:pPr>
      <w:r>
        <w:t>Section 4</w:t>
      </w:r>
      <w:r w:rsidR="006F2D77">
        <w:t xml:space="preserve"> </w:t>
      </w:r>
      <w:r w:rsidR="003C25D1">
        <w:rPr>
          <w:iCs/>
        </w:rPr>
        <w:t>provides for how the amendments in LIN 24/</w:t>
      </w:r>
      <w:r w:rsidR="00B9580A">
        <w:t xml:space="preserve">078 </w:t>
      </w:r>
      <w:r w:rsidR="003C25D1">
        <w:rPr>
          <w:iCs/>
        </w:rPr>
        <w:t>operate, which</w:t>
      </w:r>
      <w:r w:rsidR="003C25D1">
        <w:rPr>
          <w:color w:val="000000"/>
        </w:rPr>
        <w:t> indicates that Schedule 1 to LIN 24/</w:t>
      </w:r>
      <w:r w:rsidR="00B9580A">
        <w:t xml:space="preserve">078 </w:t>
      </w:r>
      <w:r w:rsidR="00DB6488">
        <w:rPr>
          <w:color w:val="000000"/>
        </w:rPr>
        <w:t>will provide a list of item</w:t>
      </w:r>
      <w:r w:rsidR="003C25D1">
        <w:rPr>
          <w:color w:val="000000"/>
        </w:rPr>
        <w:t xml:space="preserve"> </w:t>
      </w:r>
      <w:r w:rsidR="001B26A6">
        <w:rPr>
          <w:color w:val="000000"/>
        </w:rPr>
        <w:t>that amend</w:t>
      </w:r>
      <w:r w:rsidR="003C25D1">
        <w:rPr>
          <w:color w:val="000000"/>
        </w:rPr>
        <w:t xml:space="preserve"> LIN 21/026.  </w:t>
      </w:r>
    </w:p>
    <w:p w14:paraId="370E1B8C" w14:textId="6A5C7DBE" w:rsidR="003C25D1" w:rsidRPr="00510EFB" w:rsidRDefault="003C25D1" w:rsidP="00AA4F77">
      <w:pPr>
        <w:pStyle w:val="ESPara"/>
      </w:pPr>
      <w:r>
        <w:t xml:space="preserve">Item </w:t>
      </w:r>
      <w:r w:rsidR="00DB6488">
        <w:t>[</w:t>
      </w:r>
      <w:r w:rsidR="00433938">
        <w:t>1</w:t>
      </w:r>
      <w:r w:rsidR="00DB6488">
        <w:t>]</w:t>
      </w:r>
      <w:r>
        <w:t xml:space="preserve"> of Schedule 1 to LIN 24/</w:t>
      </w:r>
      <w:r w:rsidR="00B9580A">
        <w:t xml:space="preserve">078 </w:t>
      </w:r>
      <w:r>
        <w:t>insert</w:t>
      </w:r>
      <w:r w:rsidR="001B26A6">
        <w:t>s</w:t>
      </w:r>
      <w:r>
        <w:t xml:space="preserve"> a new item 5 to Schedule 1 to LIN 21/026, to specify the approved form, place and manner</w:t>
      </w:r>
      <w:r w:rsidR="001B26A6">
        <w:t xml:space="preserve"> of how</w:t>
      </w:r>
      <w:r>
        <w:t xml:space="preserve"> </w:t>
      </w:r>
      <w:r w:rsidR="006E2BBD">
        <w:t xml:space="preserve">an </w:t>
      </w:r>
      <w:r w:rsidR="001B26A6">
        <w:t xml:space="preserve">application for </w:t>
      </w:r>
      <w:r w:rsidR="006E2BBD">
        <w:t xml:space="preserve">a </w:t>
      </w:r>
      <w:r>
        <w:t>National Innovation</w:t>
      </w:r>
      <w:r w:rsidR="001B26A6">
        <w:t xml:space="preserve"> (Class BX</w:t>
      </w:r>
      <w:r>
        <w:t>) visa can be mad</w:t>
      </w:r>
      <w:r w:rsidR="001B26A6">
        <w:t>e. The new item 5</w:t>
      </w:r>
      <w:r>
        <w:t xml:space="preserve"> provides tha</w:t>
      </w:r>
      <w:r w:rsidR="009758BE">
        <w:t xml:space="preserve">t for </w:t>
      </w:r>
      <w:r w:rsidR="001B26A6">
        <w:t>Class BX</w:t>
      </w:r>
      <w:r w:rsidR="009758BE">
        <w:t xml:space="preserve"> applications, the approved form is Form 47NI (Internet) or Form 47NI if authorised in an authorising email. ‘Authorising email’ will continue to have the same meaning as specified in LIN 21/026, to mean </w:t>
      </w:r>
      <w:r w:rsidR="009758BE">
        <w:rPr>
          <w:color w:val="000000"/>
        </w:rPr>
        <w:t>an email sent by an officer of the Department of Home Affairs, authorising an applicant to make an application using an alternative form, in an alternative place or in an alternative manner.</w:t>
      </w:r>
    </w:p>
    <w:p w14:paraId="33438F3E" w14:textId="0437C0F0" w:rsidR="00510EFB" w:rsidRDefault="001B26A6" w:rsidP="00AA4F77">
      <w:pPr>
        <w:pStyle w:val="ESPara"/>
      </w:pPr>
      <w:r>
        <w:rPr>
          <w:color w:val="000000"/>
        </w:rPr>
        <w:t>I</w:t>
      </w:r>
      <w:r w:rsidR="00A14829">
        <w:rPr>
          <w:color w:val="000000"/>
        </w:rPr>
        <w:t xml:space="preserve">f </w:t>
      </w:r>
      <w:r w:rsidR="00510EFB">
        <w:rPr>
          <w:color w:val="000000"/>
        </w:rPr>
        <w:t>Form 47NI (Internet) is used, then</w:t>
      </w:r>
      <w:r w:rsidR="0093437F">
        <w:rPr>
          <w:color w:val="000000"/>
        </w:rPr>
        <w:t xml:space="preserve"> an</w:t>
      </w:r>
      <w:r w:rsidR="00510EFB">
        <w:rPr>
          <w:color w:val="000000"/>
        </w:rPr>
        <w:t xml:space="preserve"> internet application must be </w:t>
      </w:r>
      <w:r w:rsidR="006E2BBD">
        <w:rPr>
          <w:color w:val="000000"/>
        </w:rPr>
        <w:t xml:space="preserve">made </w:t>
      </w:r>
      <w:r w:rsidR="00510EFB">
        <w:rPr>
          <w:color w:val="000000"/>
        </w:rPr>
        <w:t>for</w:t>
      </w:r>
      <w:r w:rsidR="006E2BBD">
        <w:rPr>
          <w:color w:val="000000"/>
        </w:rPr>
        <w:t xml:space="preserve"> a</w:t>
      </w:r>
      <w:r w:rsidR="00510EFB">
        <w:rPr>
          <w:color w:val="000000"/>
        </w:rPr>
        <w:t xml:space="preserve"> National Innovation</w:t>
      </w:r>
      <w:r>
        <w:rPr>
          <w:color w:val="000000"/>
        </w:rPr>
        <w:t xml:space="preserve"> (Class BX</w:t>
      </w:r>
      <w:r w:rsidR="00510EFB">
        <w:rPr>
          <w:color w:val="000000"/>
        </w:rPr>
        <w:t xml:space="preserve">) visa. Alternatively, if </w:t>
      </w:r>
      <w:r w:rsidR="006E2BBD">
        <w:rPr>
          <w:color w:val="000000"/>
        </w:rPr>
        <w:t xml:space="preserve">the applicant is </w:t>
      </w:r>
      <w:r w:rsidR="0093437F">
        <w:rPr>
          <w:color w:val="000000"/>
        </w:rPr>
        <w:t xml:space="preserve">authorised </w:t>
      </w:r>
      <w:r w:rsidR="006E2BBD">
        <w:rPr>
          <w:color w:val="000000"/>
        </w:rPr>
        <w:t xml:space="preserve">to use </w:t>
      </w:r>
      <w:r w:rsidR="00510EFB">
        <w:rPr>
          <w:color w:val="000000"/>
        </w:rPr>
        <w:t xml:space="preserve">Form 47NI, </w:t>
      </w:r>
      <w:r w:rsidR="0093437F">
        <w:rPr>
          <w:color w:val="000000"/>
        </w:rPr>
        <w:t xml:space="preserve">the </w:t>
      </w:r>
      <w:r w:rsidR="003C3EE8">
        <w:rPr>
          <w:color w:val="000000"/>
        </w:rPr>
        <w:t xml:space="preserve">application must be made by an email to </w:t>
      </w:r>
      <w:r w:rsidR="006E2BBD">
        <w:rPr>
          <w:color w:val="000000"/>
        </w:rPr>
        <w:t xml:space="preserve">the </w:t>
      </w:r>
      <w:r w:rsidR="003C3EE8">
        <w:rPr>
          <w:color w:val="000000"/>
        </w:rPr>
        <w:t xml:space="preserve">official email address </w:t>
      </w:r>
      <w:r w:rsidR="006E2BBD">
        <w:rPr>
          <w:color w:val="000000"/>
        </w:rPr>
        <w:t xml:space="preserve">stated in the authorising email </w:t>
      </w:r>
      <w:r w:rsidR="0093437F">
        <w:rPr>
          <w:color w:val="000000"/>
        </w:rPr>
        <w:t xml:space="preserve">and the application </w:t>
      </w:r>
      <w:r w:rsidR="003C3EE8">
        <w:rPr>
          <w:color w:val="000000"/>
        </w:rPr>
        <w:t xml:space="preserve">must be made before the end of the period stated in the </w:t>
      </w:r>
      <w:r w:rsidR="0093437F">
        <w:rPr>
          <w:color w:val="000000"/>
        </w:rPr>
        <w:t xml:space="preserve">authorising </w:t>
      </w:r>
      <w:r w:rsidR="003C3EE8">
        <w:rPr>
          <w:color w:val="000000"/>
        </w:rPr>
        <w:t>email</w:t>
      </w:r>
      <w:r w:rsidR="0093437F">
        <w:rPr>
          <w:color w:val="000000"/>
        </w:rPr>
        <w:t xml:space="preserve">. </w:t>
      </w:r>
    </w:p>
    <w:p w14:paraId="41DB1F01" w14:textId="77777777" w:rsidR="00AA4557" w:rsidRPr="00AA4557" w:rsidRDefault="00AA4557" w:rsidP="00100DFC">
      <w:pPr>
        <w:pStyle w:val="ESHeading"/>
      </w:pPr>
      <w:r>
        <w:t xml:space="preserve">Parliamentary scrutiny etc.  </w:t>
      </w:r>
    </w:p>
    <w:p w14:paraId="0E414F45" w14:textId="77777777" w:rsidR="003C3EE8" w:rsidRPr="003C3EE8" w:rsidRDefault="003C3EE8" w:rsidP="002D167E">
      <w:pPr>
        <w:pStyle w:val="ESPara"/>
      </w:pPr>
      <w:r>
        <w:rPr>
          <w:color w:val="000000"/>
        </w:rPr>
        <w:t>The instrument is exempt from disallowance under section 42 of the Legislation Act. This is because it is an instrument made under Part 2 of the Migration Regulations, which is prescribed in paragraph (b) of item 20 of the table in section 10 of the </w:t>
      </w:r>
      <w:r>
        <w:rPr>
          <w:i/>
          <w:iCs/>
          <w:color w:val="000000"/>
        </w:rPr>
        <w:t>Legislation (Exemptions and Other Matters) Regulation 2015</w:t>
      </w:r>
      <w:r>
        <w:rPr>
          <w:color w:val="000000"/>
        </w:rPr>
        <w:t>.</w:t>
      </w:r>
      <w:r w:rsidRPr="00B75478">
        <w:rPr>
          <w:b/>
          <w:color w:val="806000" w:themeColor="accent4" w:themeShade="80"/>
        </w:rPr>
        <w:t xml:space="preserve"> </w:t>
      </w:r>
    </w:p>
    <w:p w14:paraId="7A8ABEBD" w14:textId="40D94A7A" w:rsidR="00B75478" w:rsidRDefault="00B75478" w:rsidP="002D167E">
      <w:pPr>
        <w:pStyle w:val="ESPara"/>
      </w:pPr>
      <w:r w:rsidRPr="00B75478">
        <w:t xml:space="preserve">The </w:t>
      </w:r>
      <w:r>
        <w:t xml:space="preserve">instrument was made by </w:t>
      </w:r>
      <w:r w:rsidR="003C3EE8">
        <w:t>the Minister for Immigration</w:t>
      </w:r>
      <w:r w:rsidR="001B26A6">
        <w:t xml:space="preserve"> and Multicultural Affairs</w:t>
      </w:r>
      <w:r w:rsidR="003C3EE8" w:rsidRPr="003C3EE8">
        <w:rPr>
          <w:color w:val="000000"/>
        </w:rPr>
        <w:t xml:space="preserve"> </w:t>
      </w:r>
      <w:r w:rsidR="003C3EE8">
        <w:rPr>
          <w:color w:val="000000"/>
        </w:rPr>
        <w:t>in accordance with subregulation 2.07(5) of the Migration Regulations.</w:t>
      </w:r>
    </w:p>
    <w:p w14:paraId="37C44D19" w14:textId="4B752DF6" w:rsidR="007E4691" w:rsidRDefault="007E4691" w:rsidP="00915032">
      <w:pPr>
        <w:rPr>
          <w:rFonts w:ascii="Times New Roman" w:hAnsi="Times New Roman" w:cs="Times New Roman"/>
        </w:rPr>
      </w:pPr>
    </w:p>
    <w:sectPr w:rsidR="007E4691" w:rsidSect="004F5CE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D11BC" w14:textId="77777777" w:rsidR="009B6D5A" w:rsidRDefault="009B6D5A" w:rsidP="009B6D5A">
      <w:pPr>
        <w:spacing w:after="0" w:line="240" w:lineRule="auto"/>
      </w:pPr>
      <w:r>
        <w:separator/>
      </w:r>
    </w:p>
  </w:endnote>
  <w:endnote w:type="continuationSeparator" w:id="0">
    <w:p w14:paraId="2D6155B8" w14:textId="77777777" w:rsidR="009B6D5A" w:rsidRDefault="009B6D5A" w:rsidP="009B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0465" w14:textId="77777777" w:rsidR="009B6D5A" w:rsidRDefault="009B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D5A1" w14:textId="77777777" w:rsidR="009B6D5A" w:rsidRDefault="009B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312F" w14:textId="77777777" w:rsidR="009B6D5A" w:rsidRDefault="009B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B2E6F" w14:textId="77777777" w:rsidR="009B6D5A" w:rsidRDefault="009B6D5A" w:rsidP="009B6D5A">
      <w:pPr>
        <w:spacing w:after="0" w:line="240" w:lineRule="auto"/>
      </w:pPr>
      <w:r>
        <w:separator/>
      </w:r>
    </w:p>
  </w:footnote>
  <w:footnote w:type="continuationSeparator" w:id="0">
    <w:p w14:paraId="0C51E85B" w14:textId="77777777" w:rsidR="009B6D5A" w:rsidRDefault="009B6D5A" w:rsidP="009B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F6BD" w14:textId="77777777" w:rsidR="009B6D5A" w:rsidRDefault="009B6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AB06" w14:textId="77777777" w:rsidR="009B6D5A" w:rsidRDefault="009B6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4359" w14:textId="77777777" w:rsidR="009B6D5A" w:rsidRDefault="009B6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B"/>
    <w:rsid w:val="0001356A"/>
    <w:rsid w:val="0001414C"/>
    <w:rsid w:val="000C55CF"/>
    <w:rsid w:val="000D014F"/>
    <w:rsid w:val="00100DFC"/>
    <w:rsid w:val="001201B2"/>
    <w:rsid w:val="0019164E"/>
    <w:rsid w:val="001B26A6"/>
    <w:rsid w:val="001F3B0B"/>
    <w:rsid w:val="002402E0"/>
    <w:rsid w:val="002D167E"/>
    <w:rsid w:val="002D2244"/>
    <w:rsid w:val="002D57E0"/>
    <w:rsid w:val="003244FC"/>
    <w:rsid w:val="00393AA6"/>
    <w:rsid w:val="003C25D1"/>
    <w:rsid w:val="003C3EE8"/>
    <w:rsid w:val="003F33E7"/>
    <w:rsid w:val="00433938"/>
    <w:rsid w:val="00457D4A"/>
    <w:rsid w:val="00464080"/>
    <w:rsid w:val="004F5CE4"/>
    <w:rsid w:val="00510EFB"/>
    <w:rsid w:val="00560B24"/>
    <w:rsid w:val="0057002B"/>
    <w:rsid w:val="005A093D"/>
    <w:rsid w:val="005A3733"/>
    <w:rsid w:val="00604E06"/>
    <w:rsid w:val="00620481"/>
    <w:rsid w:val="006E2BBD"/>
    <w:rsid w:val="006F2D77"/>
    <w:rsid w:val="007543CC"/>
    <w:rsid w:val="00797F0F"/>
    <w:rsid w:val="007E4691"/>
    <w:rsid w:val="0088407D"/>
    <w:rsid w:val="008B24C8"/>
    <w:rsid w:val="008E1DDA"/>
    <w:rsid w:val="008E4510"/>
    <w:rsid w:val="008F3CE7"/>
    <w:rsid w:val="00915032"/>
    <w:rsid w:val="0093437F"/>
    <w:rsid w:val="009758BE"/>
    <w:rsid w:val="009B6D5A"/>
    <w:rsid w:val="00A07299"/>
    <w:rsid w:val="00A14829"/>
    <w:rsid w:val="00A95DF8"/>
    <w:rsid w:val="00AA4557"/>
    <w:rsid w:val="00AA4F77"/>
    <w:rsid w:val="00B445D9"/>
    <w:rsid w:val="00B65A06"/>
    <w:rsid w:val="00B75478"/>
    <w:rsid w:val="00B9580A"/>
    <w:rsid w:val="00BB0CF2"/>
    <w:rsid w:val="00BC1DB5"/>
    <w:rsid w:val="00BD598E"/>
    <w:rsid w:val="00BE3E7F"/>
    <w:rsid w:val="00C74955"/>
    <w:rsid w:val="00C81A5E"/>
    <w:rsid w:val="00C930F2"/>
    <w:rsid w:val="00CD1769"/>
    <w:rsid w:val="00D40E1E"/>
    <w:rsid w:val="00DB6488"/>
    <w:rsid w:val="00E02D0A"/>
    <w:rsid w:val="00E03DCC"/>
    <w:rsid w:val="00E14DD4"/>
    <w:rsid w:val="00E42F23"/>
    <w:rsid w:val="00E45FE2"/>
    <w:rsid w:val="00EA12C9"/>
    <w:rsid w:val="00EB2F5D"/>
    <w:rsid w:val="00ED2F43"/>
    <w:rsid w:val="00F147E8"/>
    <w:rsid w:val="00FC7D38"/>
    <w:rsid w:val="00FE0FEE"/>
    <w:rsid w:val="00FF7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38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1DD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FF7252"/>
    <w:rPr>
      <w:sz w:val="16"/>
      <w:szCs w:val="16"/>
    </w:rPr>
  </w:style>
  <w:style w:type="paragraph" w:styleId="CommentText">
    <w:name w:val="annotation text"/>
    <w:basedOn w:val="Normal"/>
    <w:link w:val="CommentTextChar"/>
    <w:uiPriority w:val="99"/>
    <w:semiHidden/>
    <w:unhideWhenUsed/>
    <w:rsid w:val="00FF7252"/>
    <w:pPr>
      <w:spacing w:line="240" w:lineRule="auto"/>
    </w:pPr>
    <w:rPr>
      <w:sz w:val="20"/>
      <w:szCs w:val="20"/>
    </w:rPr>
  </w:style>
  <w:style w:type="character" w:customStyle="1" w:styleId="CommentTextChar">
    <w:name w:val="Comment Text Char"/>
    <w:basedOn w:val="DefaultParagraphFont"/>
    <w:link w:val="CommentText"/>
    <w:uiPriority w:val="99"/>
    <w:semiHidden/>
    <w:rsid w:val="00FF7252"/>
    <w:rPr>
      <w:sz w:val="20"/>
      <w:szCs w:val="20"/>
    </w:rPr>
  </w:style>
  <w:style w:type="paragraph" w:styleId="CommentSubject">
    <w:name w:val="annotation subject"/>
    <w:basedOn w:val="CommentText"/>
    <w:next w:val="CommentText"/>
    <w:link w:val="CommentSubjectChar"/>
    <w:uiPriority w:val="99"/>
    <w:semiHidden/>
    <w:unhideWhenUsed/>
    <w:rsid w:val="00FF7252"/>
    <w:rPr>
      <w:b/>
      <w:bCs/>
    </w:rPr>
  </w:style>
  <w:style w:type="character" w:customStyle="1" w:styleId="CommentSubjectChar">
    <w:name w:val="Comment Subject Char"/>
    <w:basedOn w:val="CommentTextChar"/>
    <w:link w:val="CommentSubject"/>
    <w:uiPriority w:val="99"/>
    <w:semiHidden/>
    <w:rsid w:val="00FF7252"/>
    <w:rPr>
      <w:b/>
      <w:bCs/>
      <w:sz w:val="20"/>
      <w:szCs w:val="20"/>
    </w:rPr>
  </w:style>
  <w:style w:type="paragraph" w:styleId="BalloonText">
    <w:name w:val="Balloon Text"/>
    <w:basedOn w:val="Normal"/>
    <w:link w:val="BalloonTextChar"/>
    <w:uiPriority w:val="99"/>
    <w:semiHidden/>
    <w:unhideWhenUsed/>
    <w:rsid w:val="00FF7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52"/>
    <w:rPr>
      <w:rFonts w:ascii="Segoe UI" w:hAnsi="Segoe UI" w:cs="Segoe UI"/>
      <w:sz w:val="18"/>
      <w:szCs w:val="18"/>
    </w:rPr>
  </w:style>
  <w:style w:type="character" w:styleId="Hyperlink">
    <w:name w:val="Hyperlink"/>
    <w:basedOn w:val="DefaultParagraphFont"/>
    <w:uiPriority w:val="99"/>
    <w:semiHidden/>
    <w:unhideWhenUsed/>
    <w:rsid w:val="00A14829"/>
    <w:rPr>
      <w:color w:val="0000FF"/>
      <w:u w:val="single"/>
    </w:rPr>
  </w:style>
  <w:style w:type="character" w:styleId="FollowedHyperlink">
    <w:name w:val="FollowedHyperlink"/>
    <w:basedOn w:val="DefaultParagraphFont"/>
    <w:uiPriority w:val="99"/>
    <w:semiHidden/>
    <w:unhideWhenUsed/>
    <w:rsid w:val="003F33E7"/>
    <w:rPr>
      <w:color w:val="954F72" w:themeColor="followedHyperlink"/>
      <w:u w:val="single"/>
    </w:rPr>
  </w:style>
  <w:style w:type="character" w:customStyle="1" w:styleId="Heading2Char">
    <w:name w:val="Heading 2 Char"/>
    <w:basedOn w:val="DefaultParagraphFont"/>
    <w:link w:val="Heading2"/>
    <w:uiPriority w:val="9"/>
    <w:rsid w:val="008E1DDA"/>
    <w:rPr>
      <w:rFonts w:ascii="Times New Roman" w:eastAsia="Times New Roman" w:hAnsi="Times New Roman" w:cs="Times New Roman"/>
      <w:b/>
      <w:bCs/>
      <w:sz w:val="36"/>
      <w:szCs w:val="36"/>
      <w:lang w:eastAsia="en-AU"/>
    </w:rPr>
  </w:style>
  <w:style w:type="paragraph" w:styleId="Header">
    <w:name w:val="header"/>
    <w:basedOn w:val="Normal"/>
    <w:link w:val="HeaderChar"/>
    <w:uiPriority w:val="99"/>
    <w:unhideWhenUsed/>
    <w:rsid w:val="009B6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D5A"/>
  </w:style>
  <w:style w:type="paragraph" w:styleId="Footer">
    <w:name w:val="footer"/>
    <w:basedOn w:val="Normal"/>
    <w:link w:val="FooterChar"/>
    <w:uiPriority w:val="99"/>
    <w:unhideWhenUsed/>
    <w:rsid w:val="009B6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82974">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D8B8BF-C423-43FE-A1FE-E6183CF97E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BD78274C8A4649B20E02423DA133FA" ma:contentTypeVersion="" ma:contentTypeDescription="PDMS Document Site Content Type" ma:contentTypeScope="" ma:versionID="998e57699ecc086abb57fe5f78d50f3b">
  <xsd:schema xmlns:xsd="http://www.w3.org/2001/XMLSchema" xmlns:xs="http://www.w3.org/2001/XMLSchema" xmlns:p="http://schemas.microsoft.com/office/2006/metadata/properties" xmlns:ns2="26D8B8BF-C423-43FE-A1FE-E6183CF97E60" targetNamespace="http://schemas.microsoft.com/office/2006/metadata/properties" ma:root="true" ma:fieldsID="ede5e22c6a35bc09a006fae7b267ec45" ns2:_="">
    <xsd:import namespace="26D8B8BF-C423-43FE-A1FE-E6183CF97E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8B8BF-C423-43FE-A1FE-E6183CF97E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11224-D0AA-4260-86F4-FBBB21D6BA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D8B8BF-C423-43FE-A1FE-E6183CF97E60"/>
    <ds:schemaRef ds:uri="http://www.w3.org/XML/1998/namespace"/>
    <ds:schemaRef ds:uri="http://purl.org/dc/dcmitype/"/>
  </ds:schemaRefs>
</ds:datastoreItem>
</file>

<file path=customXml/itemProps2.xml><?xml version="1.0" encoding="utf-8"?>
<ds:datastoreItem xmlns:ds="http://schemas.openxmlformats.org/officeDocument/2006/customXml" ds:itemID="{77BCCA55-EEF9-4A5B-B7C1-E68B0DC1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8B8BF-C423-43FE-A1FE-E6183CF9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CD51E-E191-4531-B2CB-43BEB5645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2024-10-09T01:27:00Z</dcterms:created>
  <dcterms:modified xsi:type="dcterms:W3CDTF">2024-10-14T00:01:00Z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0x010100266966F133664895A6EE3632470D45F5007EBD78274C8A4649B20E02423DA133FA</vt:lpwstr>
  </property>
</Properties>
</file>