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00298" w14:textId="28299DE1" w:rsidR="004B073C" w:rsidRPr="005D3BC6" w:rsidRDefault="004B073C" w:rsidP="004B073C">
      <w:pPr>
        <w:shd w:val="clear" w:color="auto" w:fill="FFFFFF"/>
        <w:spacing w:after="2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D3BC6">
        <w:rPr>
          <w:rFonts w:ascii="Times New Roman" w:hAnsi="Times New Roman" w:cs="Times New Roman"/>
          <w:b/>
          <w:sz w:val="24"/>
          <w:szCs w:val="24"/>
          <w:u w:val="single"/>
        </w:rPr>
        <w:t>THE LODGE HERITAGE MANAGEMENT PLAN 2024–2029</w:t>
      </w:r>
    </w:p>
    <w:p w14:paraId="2013219F" w14:textId="719089EF" w:rsidR="005601A7" w:rsidRPr="005D3BC6" w:rsidRDefault="004B073C" w:rsidP="0052372D">
      <w:pPr>
        <w:pStyle w:val="Heading2"/>
        <w:rPr>
          <w:u w:val="single"/>
        </w:rPr>
      </w:pPr>
      <w:r w:rsidRPr="004B073C">
        <w:rPr>
          <w:u w:val="single"/>
        </w:rPr>
        <w:t>EXPLANATORY STATEMENT</w:t>
      </w:r>
    </w:p>
    <w:p w14:paraId="5267B714" w14:textId="77777777" w:rsidR="00C414BD" w:rsidRDefault="00C414BD" w:rsidP="00F412AE">
      <w:pPr>
        <w:shd w:val="clear" w:color="auto" w:fill="FFFFFF"/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0E632" w14:textId="77777777" w:rsidR="00B02D4C" w:rsidRDefault="00B02D4C" w:rsidP="00F412AE">
      <w:pPr>
        <w:shd w:val="clear" w:color="auto" w:fill="FFFFFF"/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14:paraId="26BBCC14" w14:textId="2CBBA949" w:rsidR="00F412AE" w:rsidRPr="007159AF" w:rsidRDefault="007159AF" w:rsidP="00F412AE">
      <w:pPr>
        <w:shd w:val="clear" w:color="auto" w:fill="FFFFFF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</w:t>
      </w:r>
      <w:r w:rsidRPr="007159AF">
        <w:rPr>
          <w:rFonts w:ascii="Times New Roman" w:hAnsi="Times New Roman" w:cs="Times New Roman"/>
          <w:sz w:val="24"/>
          <w:szCs w:val="24"/>
        </w:rPr>
        <w:t xml:space="preserve"> by </w:t>
      </w:r>
      <w:r w:rsidR="0057101B">
        <w:rPr>
          <w:rFonts w:ascii="Times New Roman" w:hAnsi="Times New Roman" w:cs="Times New Roman"/>
          <w:sz w:val="24"/>
          <w:szCs w:val="24"/>
        </w:rPr>
        <w:t xml:space="preserve">authority of </w:t>
      </w:r>
      <w:r w:rsidRPr="007159AF">
        <w:rPr>
          <w:rFonts w:ascii="Times New Roman" w:hAnsi="Times New Roman" w:cs="Times New Roman"/>
          <w:sz w:val="24"/>
          <w:szCs w:val="24"/>
        </w:rPr>
        <w:t xml:space="preserve">the </w:t>
      </w:r>
      <w:r w:rsidR="0057101B">
        <w:rPr>
          <w:rFonts w:ascii="Times New Roman" w:hAnsi="Times New Roman" w:cs="Times New Roman"/>
          <w:sz w:val="24"/>
          <w:szCs w:val="24"/>
        </w:rPr>
        <w:t>Prime Minister</w:t>
      </w:r>
    </w:p>
    <w:p w14:paraId="37CCC85F" w14:textId="365A12D0" w:rsidR="004B073C" w:rsidRPr="00EF7BAF" w:rsidRDefault="004B073C" w:rsidP="004B073C">
      <w:pPr>
        <w:shd w:val="clear" w:color="auto" w:fill="FFFFFF"/>
        <w:spacing w:after="20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3BC6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5D3BC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7BAF">
        <w:rPr>
          <w:rFonts w:ascii="Times New Roman" w:hAnsi="Times New Roman" w:cs="Times New Roman"/>
          <w:i/>
          <w:sz w:val="24"/>
          <w:szCs w:val="24"/>
        </w:rPr>
        <w:t>Environment Protection and Biodiversity Conservation Act 1999</w:t>
      </w:r>
    </w:p>
    <w:p w14:paraId="0D90F2C9" w14:textId="77777777" w:rsidR="007159AF" w:rsidRDefault="007159AF" w:rsidP="00307CF4"/>
    <w:p w14:paraId="0CBEC27E" w14:textId="77777777" w:rsidR="000419D2" w:rsidRPr="00EF7BAF" w:rsidRDefault="000419D2" w:rsidP="000419D2">
      <w:pPr>
        <w:pStyle w:val="Heading3"/>
      </w:pPr>
      <w:r w:rsidRPr="00EF7BAF">
        <w:t>Purpose and Overview of the Legislative Instrument</w:t>
      </w:r>
    </w:p>
    <w:p w14:paraId="3C8266D8" w14:textId="77777777" w:rsidR="00775040" w:rsidRPr="00EF7BAF" w:rsidRDefault="00775040" w:rsidP="0009316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Section </w:t>
      </w:r>
      <w:r w:rsidR="0009316A" w:rsidRPr="00EF7BAF">
        <w:rPr>
          <w:rFonts w:ascii="Times New Roman" w:hAnsi="Times New Roman" w:cs="Times New Roman"/>
          <w:color w:val="000000"/>
          <w:sz w:val="24"/>
          <w:szCs w:val="24"/>
        </w:rPr>
        <w:t>341S of the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AF">
        <w:rPr>
          <w:rFonts w:ascii="Times New Roman" w:hAnsi="Times New Roman" w:cs="Times New Roman"/>
          <w:i/>
          <w:color w:val="000000"/>
          <w:sz w:val="24"/>
          <w:szCs w:val="24"/>
        </w:rPr>
        <w:t>Environment Protection and Biodiversity Conservation</w:t>
      </w:r>
      <w:r w:rsidR="0009316A" w:rsidRPr="00EF7BAF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09316A" w:rsidRPr="00EF7BAF">
        <w:rPr>
          <w:rFonts w:ascii="Times New Roman" w:hAnsi="Times New Roman" w:cs="Times New Roman"/>
          <w:bCs/>
          <w:i/>
          <w:color w:val="000000"/>
          <w:sz w:val="24"/>
          <w:szCs w:val="24"/>
        </w:rPr>
        <w:t>Act</w:t>
      </w:r>
      <w:r w:rsidRPr="00EF7BA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1999</w:t>
      </w:r>
      <w:r w:rsidRPr="00EF7B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EF7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EPBC Act</w:t>
      </w:r>
      <w:r w:rsidRPr="00EF7BAF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09316A" w:rsidRPr="00EF7B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requires that the</w:t>
      </w:r>
      <w:r w:rsidR="0009316A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Commonwealth agency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that owns or controls a Commonwealth Heritage place must make a written management plan to provide for the protection and management of the values of the Commonwealth Heritage place</w:t>
      </w:r>
      <w:r w:rsidR="00011148">
        <w:rPr>
          <w:rFonts w:ascii="Times New Roman" w:hAnsi="Times New Roman" w:cs="Times New Roman"/>
          <w:color w:val="000000"/>
          <w:sz w:val="24"/>
          <w:szCs w:val="24"/>
        </w:rPr>
        <w:t>, within the period mentioned in the agency’s heritage strategy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B0324D" w14:textId="77777777" w:rsidR="005601A7" w:rsidRPr="00EF7BAF" w:rsidRDefault="001E182B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F5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01A7" w:rsidRPr="00EF7BAF">
        <w:rPr>
          <w:rFonts w:ascii="Times New Roman" w:hAnsi="Times New Roman" w:cs="Times New Roman"/>
          <w:color w:val="000000"/>
          <w:sz w:val="24"/>
          <w:szCs w:val="24"/>
        </w:rPr>
        <w:t>Department of the Prime Minister and Cabinet (</w:t>
      </w:r>
      <w:r w:rsidR="005601A7" w:rsidRPr="00EF7BAF">
        <w:rPr>
          <w:rFonts w:ascii="Times New Roman" w:hAnsi="Times New Roman" w:cs="Times New Roman"/>
          <w:b/>
          <w:color w:val="000000"/>
          <w:sz w:val="24"/>
          <w:szCs w:val="24"/>
        </w:rPr>
        <w:t>PM&amp;C</w:t>
      </w:r>
      <w:r w:rsidR="005601A7" w:rsidRPr="00EF7BAF">
        <w:rPr>
          <w:rFonts w:ascii="Times New Roman" w:hAnsi="Times New Roman" w:cs="Times New Roman"/>
          <w:color w:val="000000"/>
          <w:sz w:val="24"/>
          <w:szCs w:val="24"/>
        </w:rPr>
        <w:t>) owns and manages The Lodge, located at 5 Adelaide Ave, Deakin</w:t>
      </w:r>
      <w:r w:rsidR="00E175EE" w:rsidRPr="00EF7B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01A7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175EE" w:rsidRPr="00EF7BAF">
        <w:rPr>
          <w:rFonts w:ascii="Times New Roman" w:hAnsi="Times New Roman" w:cs="Times New Roman"/>
          <w:color w:val="000000"/>
          <w:sz w:val="24"/>
          <w:szCs w:val="24"/>
        </w:rPr>
        <w:t>ustralian Capital T</w:t>
      </w:r>
      <w:r w:rsidR="00EB5B5C" w:rsidRPr="00EF7BAF">
        <w:rPr>
          <w:rFonts w:ascii="Times New Roman" w:hAnsi="Times New Roman" w:cs="Times New Roman"/>
          <w:color w:val="000000"/>
          <w:sz w:val="24"/>
          <w:szCs w:val="24"/>
        </w:rPr>
        <w:t>erritory</w:t>
      </w:r>
      <w:r w:rsidR="0005532B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2600. The Lodge </w:t>
      </w:r>
      <w:r w:rsidR="005601A7" w:rsidRPr="00EF7BAF">
        <w:rPr>
          <w:rFonts w:ascii="Times New Roman" w:hAnsi="Times New Roman" w:cs="Times New Roman"/>
          <w:color w:val="000000"/>
          <w:sz w:val="24"/>
          <w:szCs w:val="24"/>
        </w:rPr>
        <w:t>was listed as a Commonwealth Heritage Place on 22 June 2004.</w:t>
      </w:r>
    </w:p>
    <w:p w14:paraId="39A4A32B" w14:textId="16406836" w:rsidR="005209F2" w:rsidRPr="004B073C" w:rsidRDefault="00775040" w:rsidP="005D3BC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This Explanatory Statement relates </w:t>
      </w:r>
      <w:r w:rsidRPr="00EF7BAF">
        <w:rPr>
          <w:rFonts w:ascii="Times New Roman" w:hAnsi="Times New Roman" w:cs="Times New Roman"/>
          <w:sz w:val="24"/>
          <w:szCs w:val="24"/>
        </w:rPr>
        <w:t xml:space="preserve">to </w:t>
      </w:r>
      <w:r w:rsidRPr="00EF7BAF">
        <w:rPr>
          <w:rFonts w:ascii="Times New Roman" w:hAnsi="Times New Roman" w:cs="Times New Roman"/>
          <w:i/>
          <w:sz w:val="24"/>
          <w:szCs w:val="24"/>
        </w:rPr>
        <w:t>The Lodg</w:t>
      </w:r>
      <w:r w:rsidR="00E21460">
        <w:rPr>
          <w:rFonts w:ascii="Times New Roman" w:hAnsi="Times New Roman" w:cs="Times New Roman"/>
          <w:i/>
          <w:sz w:val="24"/>
          <w:szCs w:val="24"/>
        </w:rPr>
        <w:t>e Heritage Management Plan 2024–</w:t>
      </w:r>
      <w:r w:rsidRPr="00EF7BAF">
        <w:rPr>
          <w:rFonts w:ascii="Times New Roman" w:hAnsi="Times New Roman" w:cs="Times New Roman"/>
          <w:i/>
          <w:sz w:val="24"/>
          <w:szCs w:val="24"/>
        </w:rPr>
        <w:t>2029</w:t>
      </w:r>
      <w:r w:rsidRPr="00EF7BAF">
        <w:rPr>
          <w:rFonts w:ascii="Times New Roman" w:hAnsi="Times New Roman" w:cs="Times New Roman"/>
          <w:sz w:val="24"/>
          <w:szCs w:val="24"/>
        </w:rPr>
        <w:t xml:space="preserve"> </w:t>
      </w:r>
      <w:r w:rsidR="00C2191D" w:rsidRPr="00EF7BAF">
        <w:rPr>
          <w:rFonts w:ascii="Times New Roman" w:hAnsi="Times New Roman" w:cs="Times New Roman"/>
          <w:color w:val="000000"/>
          <w:sz w:val="24"/>
          <w:szCs w:val="24"/>
        </w:rPr>
        <w:t>which is a legislative instrument,</w:t>
      </w:r>
      <w:r w:rsidR="00EB5B5C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pursuant to subsection 341S (8) of the EPBC Act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6D4890" w14:textId="77777777" w:rsidR="005601A7" w:rsidRPr="00EF7BAF" w:rsidRDefault="005601A7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The </w:t>
      </w:r>
      <w:r w:rsidR="00C96BF1" w:rsidRPr="00EF7BAF">
        <w:rPr>
          <w:rFonts w:ascii="Times New Roman" w:hAnsi="Times New Roman" w:cs="Times New Roman"/>
          <w:i/>
          <w:color w:val="000000"/>
          <w:sz w:val="24"/>
          <w:szCs w:val="24"/>
        </w:rPr>
        <w:t>Lodge Heritage M</w:t>
      </w:r>
      <w:r w:rsidR="00C2191D" w:rsidRPr="00EF7B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anagement Plan 2024–2029 </w:t>
      </w:r>
      <w:r w:rsidR="00C2191D" w:rsidRPr="005D3B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191D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2191D" w:rsidRPr="00EF7BAF">
        <w:rPr>
          <w:rFonts w:ascii="Times New Roman" w:hAnsi="Times New Roman" w:cs="Times New Roman"/>
          <w:b/>
          <w:color w:val="000000"/>
          <w:sz w:val="24"/>
          <w:szCs w:val="24"/>
        </w:rPr>
        <w:t>legislative instrument</w:t>
      </w:r>
      <w:r w:rsidR="00C2191D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provide</w:t>
      </w:r>
      <w:r w:rsidR="00C61AB9" w:rsidRPr="00EF7BAF">
        <w:rPr>
          <w:rFonts w:ascii="Times New Roman" w:hAnsi="Times New Roman" w:cs="Times New Roman"/>
          <w:color w:val="000000"/>
          <w:sz w:val="24"/>
          <w:szCs w:val="24"/>
        </w:rPr>
        <w:t>s for the future management of The Lodge,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AB9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with the objective to identify,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protect, conserve</w:t>
      </w:r>
      <w:r w:rsidR="00C61AB9" w:rsidRPr="00EF7B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AB9" w:rsidRPr="00EF7BAF">
        <w:rPr>
          <w:rFonts w:ascii="Times New Roman" w:hAnsi="Times New Roman" w:cs="Times New Roman"/>
          <w:color w:val="000000"/>
          <w:sz w:val="24"/>
          <w:szCs w:val="24"/>
        </w:rPr>
        <w:t>present and transmit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C61AB9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place’s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8E79B5" w:rsidRPr="00EF7BAF">
        <w:rPr>
          <w:rFonts w:ascii="Times New Roman" w:hAnsi="Times New Roman" w:cs="Times New Roman"/>
          <w:color w:val="000000"/>
          <w:sz w:val="24"/>
          <w:szCs w:val="24"/>
        </w:rPr>
        <w:t>entified Commonwealth Heritage v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alues.</w:t>
      </w:r>
      <w:r w:rsidR="00C61AB9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859866" w14:textId="07EB7E29" w:rsidR="005601A7" w:rsidRDefault="008D34C8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Volume One</w:t>
      </w:r>
      <w:r w:rsidR="005601A7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contains a detailed description of the history and cultural significance of The Lodge as well as its physical elements and condition. </w:t>
      </w:r>
      <w:r w:rsidR="00870D85" w:rsidRPr="00EF7BAF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5601A7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sets out the operational requirements for the management of the place with policies to guide the future management and protection of its Commonwealth Heritage values.</w:t>
      </w:r>
      <w:r w:rsidR="0004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53A470" w14:textId="18223DC1" w:rsidR="0075135B" w:rsidRPr="00EF7BAF" w:rsidRDefault="0075135B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Volume Two contains a number of relevant reports and information to support the management frameworks in Volume One.</w:t>
      </w:r>
    </w:p>
    <w:p w14:paraId="223463F6" w14:textId="77777777" w:rsidR="005601A7" w:rsidRPr="00EF7BAF" w:rsidRDefault="005601A7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9316A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legislative instrument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meets the requirements under s</w:t>
      </w:r>
      <w:r w:rsidR="003F7915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ubsection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341S (4) of the</w:t>
      </w:r>
      <w:r w:rsidR="003F7915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EPBC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Act. Specifically, it addresses </w:t>
      </w:r>
      <w:r w:rsidR="00EE2998" w:rsidRPr="00EF7BAF">
        <w:rPr>
          <w:rFonts w:ascii="Times New Roman" w:hAnsi="Times New Roman" w:cs="Times New Roman"/>
          <w:color w:val="000000"/>
          <w:sz w:val="24"/>
          <w:szCs w:val="24"/>
        </w:rPr>
        <w:t>all matters pre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scribed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by 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>reg</w:t>
      </w:r>
      <w:r w:rsidR="003F7915" w:rsidRPr="00EF7BAF">
        <w:rPr>
          <w:rFonts w:ascii="Times New Roman" w:hAnsi="Times New Roman" w:cs="Times New Roman"/>
          <w:color w:val="000000"/>
          <w:sz w:val="24"/>
          <w:szCs w:val="24"/>
        </w:rPr>
        <w:t>ulation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10.03B and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Schedule 7A of </w:t>
      </w:r>
      <w:proofErr w:type="gramStart"/>
      <w:r w:rsidRPr="00EF7BA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F7BA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7B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Environment Protection and Biodiversity Conservation Regulations 2000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 (the </w:t>
      </w:r>
      <w:r w:rsidRPr="00EF7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Regulations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) and is not inconsistent </w:t>
      </w:r>
      <w:r w:rsidR="00564685" w:rsidRPr="00EF7BAF">
        <w:rPr>
          <w:rFonts w:ascii="Times New Roman" w:hAnsi="Times New Roman" w:cs="Times New Roman"/>
          <w:color w:val="000000"/>
          <w:sz w:val="24"/>
          <w:szCs w:val="24"/>
        </w:rPr>
        <w:t>with the Commonwealth Heritage Management P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rinciples</w:t>
      </w:r>
      <w:r w:rsidR="00564685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set out in Schedule 7B of those regulations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2E0872" w14:textId="77777777" w:rsidR="005209F2" w:rsidRPr="00F77B43" w:rsidRDefault="005209F2" w:rsidP="00F77B43">
      <w:pPr>
        <w:pStyle w:val="Heading3"/>
      </w:pPr>
      <w:r w:rsidRPr="00EF7BAF">
        <w:t xml:space="preserve">Documents </w:t>
      </w:r>
      <w:r w:rsidR="000B3BE4">
        <w:t xml:space="preserve">Incorporated by </w:t>
      </w:r>
      <w:r w:rsidRPr="00EF7BAF">
        <w:t>Referenced</w:t>
      </w:r>
    </w:p>
    <w:p w14:paraId="1E06D29C" w14:textId="77777777" w:rsidR="005209F2" w:rsidRPr="00EF7BAF" w:rsidRDefault="005209F2" w:rsidP="00D72A12">
      <w:pPr>
        <w:pStyle w:val="nd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F7BAF">
        <w:rPr>
          <w:rFonts w:eastAsiaTheme="minorHAnsi"/>
          <w:lang w:eastAsia="en-US"/>
        </w:rPr>
        <w:t>The following documents are incorporated by reference in the legislative instrument. They comprise non-statutory guidelines for best practice heritage methodologies, processes and strategies. The documents may be freely accessed and are available to members of the public through the provided links.</w:t>
      </w:r>
    </w:p>
    <w:p w14:paraId="06CA724F" w14:textId="77777777" w:rsidR="005209F2" w:rsidRPr="00EF7BAF" w:rsidRDefault="005209F2" w:rsidP="00D72A12">
      <w:pPr>
        <w:pStyle w:val="nd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1F8FE6B1" w14:textId="77777777" w:rsidR="005209F2" w:rsidRPr="00EF7BAF" w:rsidRDefault="005209F2" w:rsidP="004E12F8">
      <w:pPr>
        <w:pStyle w:val="nd"/>
        <w:keepNext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EF7BAF">
        <w:rPr>
          <w:rFonts w:eastAsiaTheme="minorHAnsi"/>
          <w:i/>
          <w:lang w:eastAsia="en-US"/>
        </w:rPr>
        <w:t>The Burra Charter: the Australia ICOMOS Charter for Places of Cultural Significance, 2013</w:t>
      </w:r>
    </w:p>
    <w:p w14:paraId="6E91CB4C" w14:textId="77777777" w:rsidR="005209F2" w:rsidRPr="00EF7BAF" w:rsidRDefault="005209F2" w:rsidP="004E12F8">
      <w:pPr>
        <w:pStyle w:val="nd"/>
        <w:keepNext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F7BAF">
        <w:rPr>
          <w:rFonts w:eastAsiaTheme="minorHAnsi"/>
          <w:lang w:eastAsia="en-US"/>
        </w:rPr>
        <w:t xml:space="preserve">Accessed from: </w:t>
      </w:r>
      <w:hyperlink r:id="rId11" w:history="1">
        <w:r w:rsidRPr="00EF7BAF">
          <w:rPr>
            <w:rStyle w:val="Hyperlink"/>
            <w:rFonts w:eastAsiaTheme="minorHAnsi"/>
            <w:lang w:eastAsia="en-US"/>
          </w:rPr>
          <w:t>Burra Charter &amp; Practice Notes | Australia ICOMOS</w:t>
        </w:r>
      </w:hyperlink>
    </w:p>
    <w:p w14:paraId="6A3108E2" w14:textId="77777777" w:rsidR="005209F2" w:rsidRPr="00EF7BAF" w:rsidRDefault="005209F2" w:rsidP="00D72A12">
      <w:pPr>
        <w:pStyle w:val="nd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762EC40E" w14:textId="77777777" w:rsidR="005209F2" w:rsidRPr="00EF7BAF" w:rsidRDefault="005209F2" w:rsidP="00161576">
      <w:pPr>
        <w:pStyle w:val="nd"/>
        <w:keepNext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EF7BAF">
        <w:rPr>
          <w:rFonts w:eastAsiaTheme="minorHAnsi"/>
          <w:i/>
          <w:lang w:eastAsia="en-US"/>
        </w:rPr>
        <w:t>Engage Early</w:t>
      </w:r>
      <w:r w:rsidR="00161576" w:rsidRPr="00EF7BAF">
        <w:rPr>
          <w:rFonts w:eastAsiaTheme="minorHAnsi"/>
          <w:i/>
          <w:lang w:eastAsia="en-US"/>
        </w:rPr>
        <w:t xml:space="preserve"> – Guidance for proponents on best practice Indigenous engagement for environmental assessments under the EPBC Act</w:t>
      </w:r>
    </w:p>
    <w:p w14:paraId="7B2433E2" w14:textId="77777777" w:rsidR="00161576" w:rsidRPr="00EF7BAF" w:rsidRDefault="00161576" w:rsidP="00161576">
      <w:pPr>
        <w:pStyle w:val="nd"/>
        <w:keepNext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F7BAF">
        <w:rPr>
          <w:rFonts w:eastAsiaTheme="minorHAnsi"/>
          <w:lang w:eastAsia="en-US"/>
        </w:rPr>
        <w:t xml:space="preserve">Accessed from: </w:t>
      </w:r>
      <w:hyperlink r:id="rId12" w:history="1">
        <w:r w:rsidRPr="00EF7BAF">
          <w:rPr>
            <w:rStyle w:val="Hyperlink"/>
            <w:rFonts w:eastAsiaTheme="minorHAnsi"/>
            <w:lang w:eastAsia="en-US"/>
          </w:rPr>
          <w:t>Draft policy statement: Engage Early - Guidance for proponents on best practice Indigenous engagement for environmental assessments under the EPBC Act - DCCEEW</w:t>
        </w:r>
      </w:hyperlink>
    </w:p>
    <w:p w14:paraId="36E76D66" w14:textId="77777777" w:rsidR="005209F2" w:rsidRPr="00EF7BAF" w:rsidRDefault="005209F2" w:rsidP="00D72A12">
      <w:pPr>
        <w:pStyle w:val="nd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675CA51D" w14:textId="77777777" w:rsidR="005209F2" w:rsidRPr="00EF7BAF" w:rsidRDefault="005C5F4D" w:rsidP="00D72A12">
      <w:pPr>
        <w:pStyle w:val="nd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eastAsia="en-US"/>
        </w:rPr>
      </w:pPr>
      <w:r w:rsidRPr="00EF7BAF">
        <w:rPr>
          <w:rFonts w:eastAsiaTheme="minorHAnsi"/>
          <w:i/>
          <w:lang w:eastAsia="en-US"/>
        </w:rPr>
        <w:t xml:space="preserve">The </w:t>
      </w:r>
      <w:r w:rsidR="005209F2" w:rsidRPr="00EF7BAF">
        <w:rPr>
          <w:rFonts w:eastAsiaTheme="minorHAnsi"/>
          <w:i/>
          <w:lang w:eastAsia="en-US"/>
        </w:rPr>
        <w:t>Interim Engaging with First Nations People and Communities</w:t>
      </w:r>
      <w:r w:rsidRPr="00EF7BAF">
        <w:rPr>
          <w:rFonts w:eastAsiaTheme="minorHAnsi"/>
          <w:i/>
          <w:lang w:eastAsia="en-US"/>
        </w:rPr>
        <w:t xml:space="preserve"> on Assessments and Approvals under Environment Protection and Biodiversity Conservation Act 1999 (interim guidance)</w:t>
      </w:r>
    </w:p>
    <w:p w14:paraId="6837392D" w14:textId="77777777" w:rsidR="005C5F4D" w:rsidRPr="00EF7BAF" w:rsidRDefault="005C5F4D" w:rsidP="00D72A12">
      <w:pPr>
        <w:pStyle w:val="nd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F7BAF">
        <w:rPr>
          <w:rFonts w:eastAsiaTheme="minorHAnsi"/>
          <w:lang w:eastAsia="en-US"/>
        </w:rPr>
        <w:t xml:space="preserve">Accessed </w:t>
      </w:r>
      <w:r w:rsidR="009B650E">
        <w:rPr>
          <w:rFonts w:eastAsiaTheme="minorHAnsi"/>
          <w:lang w:eastAsia="en-US"/>
        </w:rPr>
        <w:t>from</w:t>
      </w:r>
      <w:r w:rsidRPr="00EF7BAF">
        <w:rPr>
          <w:rFonts w:eastAsiaTheme="minorHAnsi"/>
          <w:lang w:eastAsia="en-US"/>
        </w:rPr>
        <w:t xml:space="preserve">: </w:t>
      </w:r>
      <w:hyperlink r:id="rId13" w:history="1">
        <w:r w:rsidRPr="00EF7BAF">
          <w:rPr>
            <w:rStyle w:val="Hyperlink"/>
            <w:rFonts w:eastAsiaTheme="minorHAnsi"/>
            <w:lang w:eastAsia="en-US"/>
          </w:rPr>
          <w:t>The Interim Engaging with First Nations People and Communities on Assessments and Approvals under Environment Protection and Biodiversity Conservation Act 1999 (interim guidance) - DCCEEW</w:t>
        </w:r>
      </w:hyperlink>
    </w:p>
    <w:p w14:paraId="299965EA" w14:textId="77777777" w:rsidR="005209F2" w:rsidRPr="00EF7BAF" w:rsidRDefault="005209F2" w:rsidP="00D72A12">
      <w:pPr>
        <w:pStyle w:val="nd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7CE7916E" w14:textId="77777777" w:rsidR="005209F2" w:rsidRPr="00EF7BAF" w:rsidRDefault="005209F2" w:rsidP="00D72A12">
      <w:pPr>
        <w:pStyle w:val="nd"/>
        <w:shd w:val="clear" w:color="auto" w:fill="FFFFFF"/>
        <w:spacing w:before="0" w:beforeAutospacing="0" w:after="0" w:afterAutospacing="0"/>
        <w:jc w:val="both"/>
      </w:pPr>
      <w:r w:rsidRPr="00EF7BAF">
        <w:rPr>
          <w:rFonts w:eastAsiaTheme="minorHAnsi"/>
          <w:lang w:eastAsia="en-US"/>
        </w:rPr>
        <w:t xml:space="preserve">The incorporation of these documents is authorised by subsection 14(1) of the </w:t>
      </w:r>
      <w:r w:rsidRPr="00EF7BAF">
        <w:rPr>
          <w:rFonts w:eastAsiaTheme="minorHAnsi"/>
          <w:i/>
          <w:lang w:eastAsia="en-US"/>
        </w:rPr>
        <w:t>Legislation Act 2003</w:t>
      </w:r>
      <w:r w:rsidRPr="00EF7BAF">
        <w:rPr>
          <w:rFonts w:eastAsiaTheme="minorHAnsi"/>
          <w:lang w:eastAsia="en-US"/>
        </w:rPr>
        <w:t>.</w:t>
      </w:r>
      <w:r w:rsidR="000419D2">
        <w:rPr>
          <w:rFonts w:eastAsiaTheme="minorHAnsi"/>
          <w:lang w:eastAsia="en-US"/>
        </w:rPr>
        <w:t xml:space="preserve"> All of these documents are incorporated as in force as at a particular time, being the time when the legislative instrument comes into force.</w:t>
      </w:r>
    </w:p>
    <w:p w14:paraId="5AC3177B" w14:textId="77777777" w:rsidR="005209F2" w:rsidRPr="00EF7BAF" w:rsidRDefault="005209F2" w:rsidP="00D72A1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68A087" w14:textId="77777777" w:rsidR="005601A7" w:rsidRPr="00EF7BAF" w:rsidRDefault="008B47CE" w:rsidP="00F77B43">
      <w:pPr>
        <w:pStyle w:val="Heading3"/>
      </w:pPr>
      <w:r w:rsidRPr="00EF7BAF">
        <w:t>C</w:t>
      </w:r>
      <w:r w:rsidR="00B640C2" w:rsidRPr="00EF7BAF">
        <w:t>onsultation</w:t>
      </w:r>
    </w:p>
    <w:p w14:paraId="0DE32287" w14:textId="77777777" w:rsidR="004C4661" w:rsidRPr="00EF7BAF" w:rsidRDefault="005601A7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In accordance with the consultation requirements specified in </w:t>
      </w:r>
      <w:r w:rsidR="00870D85" w:rsidRPr="00EF7BA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6BF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ubsection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341S (6)(b) of the </w:t>
      </w:r>
      <w:r w:rsidR="00C96BF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EPBC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Act and </w:t>
      </w:r>
      <w:r w:rsidR="00870D85" w:rsidRPr="00EF7BAF">
        <w:rPr>
          <w:rFonts w:ascii="Times New Roman" w:hAnsi="Times New Roman" w:cs="Times New Roman"/>
          <w:color w:val="000000"/>
          <w:sz w:val="24"/>
          <w:szCs w:val="24"/>
        </w:rPr>
        <w:t>reg</w:t>
      </w:r>
      <w:r w:rsidR="00C96BF1" w:rsidRPr="00EF7BAF">
        <w:rPr>
          <w:rFonts w:ascii="Times New Roman" w:hAnsi="Times New Roman" w:cs="Times New Roman"/>
          <w:color w:val="000000"/>
          <w:sz w:val="24"/>
          <w:szCs w:val="24"/>
        </w:rPr>
        <w:t>ulation</w:t>
      </w:r>
      <w:r w:rsidR="00870D85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10.03</w:t>
      </w:r>
      <w:r w:rsidR="00870D85" w:rsidRPr="00EF7BA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of the Regulations, 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PM&amp;C sought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comment </w:t>
      </w:r>
      <w:r w:rsidR="00FF51D6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from members of the public and Indigenous people with rights and interests in the place 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>in relation to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the draft </w:t>
      </w:r>
      <w:r w:rsidR="00C96BF1" w:rsidRPr="00EF7BAF">
        <w:rPr>
          <w:rFonts w:ascii="Times New Roman" w:hAnsi="Times New Roman" w:cs="Times New Roman"/>
          <w:color w:val="000000"/>
          <w:sz w:val="24"/>
          <w:szCs w:val="24"/>
        </w:rPr>
        <w:t>legislative i</w:t>
      </w:r>
      <w:r w:rsidR="00CF5B1A" w:rsidRPr="00EF7BAF">
        <w:rPr>
          <w:rFonts w:ascii="Times New Roman" w:hAnsi="Times New Roman" w:cs="Times New Roman"/>
          <w:color w:val="000000"/>
          <w:sz w:val="24"/>
          <w:szCs w:val="24"/>
        </w:rPr>
        <w:t>nstrument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>. Pursuant to reg</w:t>
      </w:r>
      <w:r w:rsidR="00C96BF1" w:rsidRPr="00EF7BAF">
        <w:rPr>
          <w:rFonts w:ascii="Times New Roman" w:hAnsi="Times New Roman" w:cs="Times New Roman"/>
          <w:color w:val="000000"/>
          <w:sz w:val="24"/>
          <w:szCs w:val="24"/>
        </w:rPr>
        <w:t>ulation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10.03C, consultation occurred</w:t>
      </w:r>
      <w:r w:rsidR="00CF5B1A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for a </w:t>
      </w:r>
      <w:r w:rsidR="00704351" w:rsidRPr="00EF7BAF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="00CF5B1A" w:rsidRPr="00EF7BAF">
        <w:rPr>
          <w:rFonts w:ascii="Times New Roman" w:hAnsi="Times New Roman" w:cs="Times New Roman"/>
          <w:color w:val="000000"/>
          <w:sz w:val="24"/>
          <w:szCs w:val="24"/>
        </w:rPr>
        <w:t>scribed period of no less than 20 days</w:t>
      </w:r>
      <w:r w:rsidR="0013624E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after the last day on which the notice was published</w:t>
      </w:r>
      <w:r w:rsidR="00CF5B1A" w:rsidRPr="00EF7B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from 12 October 2022 to 9 November 2022, via notices placed in </w:t>
      </w:r>
      <w:r w:rsidRPr="00EF7BAF">
        <w:rPr>
          <w:rFonts w:ascii="Times New Roman" w:hAnsi="Times New Roman" w:cs="Times New Roman"/>
          <w:i/>
          <w:color w:val="000000"/>
          <w:sz w:val="24"/>
          <w:szCs w:val="24"/>
        </w:rPr>
        <w:t>The Australian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51D6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on the PM&amp;C website. No submissions were received </w:t>
      </w:r>
      <w:r w:rsidR="00406470" w:rsidRPr="00EF7BA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the public comment phase. </w:t>
      </w:r>
    </w:p>
    <w:p w14:paraId="5DB05375" w14:textId="77777777" w:rsidR="005601A7" w:rsidRPr="00EF7BAF" w:rsidRDefault="00406470" w:rsidP="005601A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>PM&amp;C undertook two rounds of consultation with</w:t>
      </w:r>
      <w:r w:rsidR="005601A7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officials at the Department of Climate Change, Energy, the Environment and Water (DCCEEW) prior to advice being sought </w:t>
      </w:r>
      <w:r w:rsidR="005601A7" w:rsidRPr="00EF7BAF">
        <w:rPr>
          <w:rFonts w:ascii="Times New Roman" w:hAnsi="Times New Roman" w:cs="Times New Roman"/>
          <w:sz w:val="24"/>
          <w:szCs w:val="24"/>
        </w:rPr>
        <w:t>from the Minister for the Environment and Water (the </w:t>
      </w:r>
      <w:r w:rsidR="005601A7" w:rsidRPr="00EF7BAF">
        <w:rPr>
          <w:rFonts w:ascii="Times New Roman" w:hAnsi="Times New Roman" w:cs="Times New Roman"/>
          <w:b/>
          <w:bCs/>
          <w:sz w:val="24"/>
          <w:szCs w:val="24"/>
        </w:rPr>
        <w:t>Minister</w:t>
      </w:r>
      <w:r w:rsidR="00FF51D6" w:rsidRPr="00EF7BAF">
        <w:rPr>
          <w:rFonts w:ascii="Times New Roman" w:hAnsi="Times New Roman" w:cs="Times New Roman"/>
          <w:sz w:val="24"/>
          <w:szCs w:val="24"/>
        </w:rPr>
        <w:t>) on the d</w:t>
      </w:r>
      <w:r w:rsidR="005601A7" w:rsidRPr="00EF7BAF">
        <w:rPr>
          <w:rFonts w:ascii="Times New Roman" w:hAnsi="Times New Roman" w:cs="Times New Roman"/>
          <w:sz w:val="24"/>
          <w:szCs w:val="24"/>
        </w:rPr>
        <w:t>raft</w:t>
      </w:r>
      <w:r w:rsidR="00FF51D6" w:rsidRPr="00EF7BAF">
        <w:rPr>
          <w:rFonts w:ascii="Times New Roman" w:hAnsi="Times New Roman" w:cs="Times New Roman"/>
          <w:sz w:val="24"/>
          <w:szCs w:val="24"/>
        </w:rPr>
        <w:t xml:space="preserve"> </w:t>
      </w:r>
      <w:r w:rsidR="003978C4" w:rsidRPr="00EF7BAF">
        <w:rPr>
          <w:rFonts w:ascii="Times New Roman" w:hAnsi="Times New Roman" w:cs="Times New Roman"/>
          <w:sz w:val="24"/>
          <w:szCs w:val="24"/>
        </w:rPr>
        <w:t>legislative i</w:t>
      </w:r>
      <w:r w:rsidR="004C4661" w:rsidRPr="00EF7BAF">
        <w:rPr>
          <w:rFonts w:ascii="Times New Roman" w:hAnsi="Times New Roman" w:cs="Times New Roman"/>
          <w:sz w:val="24"/>
          <w:szCs w:val="24"/>
        </w:rPr>
        <w:t>nstrument</w:t>
      </w:r>
      <w:r w:rsidR="005601A7" w:rsidRPr="00EF7BAF">
        <w:rPr>
          <w:rFonts w:ascii="Times New Roman" w:hAnsi="Times New Roman" w:cs="Times New Roman"/>
          <w:sz w:val="24"/>
          <w:szCs w:val="24"/>
        </w:rPr>
        <w:t xml:space="preserve">. </w:t>
      </w:r>
      <w:r w:rsidR="004C4661" w:rsidRPr="00EF7BAF">
        <w:rPr>
          <w:rFonts w:ascii="Times New Roman" w:hAnsi="Times New Roman" w:cs="Times New Roman"/>
          <w:color w:val="000000"/>
          <w:sz w:val="24"/>
          <w:szCs w:val="24"/>
        </w:rPr>
        <w:t>PM&amp;C addressed</w:t>
      </w:r>
      <w:r w:rsidR="005601A7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all comments received from DCCEEW </w:t>
      </w:r>
      <w:r w:rsidR="00A91181" w:rsidRPr="00EF7BAF">
        <w:rPr>
          <w:rFonts w:ascii="Times New Roman" w:hAnsi="Times New Roman" w:cs="Times New Roman"/>
          <w:color w:val="000000"/>
          <w:sz w:val="24"/>
          <w:szCs w:val="24"/>
        </w:rPr>
        <w:t>before submission of the draft legislative i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nstrument to the Minister</w:t>
      </w:r>
      <w:r w:rsidR="0013624E" w:rsidRPr="00EF7BAF">
        <w:rPr>
          <w:rFonts w:ascii="Times New Roman" w:hAnsi="Times New Roman" w:cs="Times New Roman"/>
          <w:color w:val="000000"/>
          <w:sz w:val="24"/>
          <w:szCs w:val="24"/>
        </w:rPr>
        <w:t>, the latter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satisfy</w:t>
      </w:r>
      <w:r w:rsidR="0013624E" w:rsidRPr="00EF7BAF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A9118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ubsection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341S (6</w:t>
      </w:r>
      <w:proofErr w:type="gramStart"/>
      <w:r w:rsidRPr="00EF7BAF"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 w:rsidRPr="00EF7BAF">
        <w:rPr>
          <w:rFonts w:ascii="Times New Roman" w:hAnsi="Times New Roman" w:cs="Times New Roman"/>
          <w:color w:val="000000"/>
          <w:sz w:val="24"/>
          <w:szCs w:val="24"/>
        </w:rPr>
        <w:t>a) of the</w:t>
      </w:r>
      <w:r w:rsidR="00A91181"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EPBC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Act. </w:t>
      </w:r>
    </w:p>
    <w:p w14:paraId="507E951B" w14:textId="77777777" w:rsidR="00802B39" w:rsidRDefault="005601A7" w:rsidP="00D72A1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7BAF">
        <w:rPr>
          <w:rFonts w:ascii="Times New Roman" w:hAnsi="Times New Roman" w:cs="Times New Roman"/>
          <w:sz w:val="24"/>
          <w:szCs w:val="24"/>
        </w:rPr>
        <w:t xml:space="preserve">The </w:t>
      </w:r>
      <w:r w:rsidR="001522BF" w:rsidRPr="00EF7BAF">
        <w:rPr>
          <w:rFonts w:ascii="Times New Roman" w:hAnsi="Times New Roman" w:cs="Times New Roman"/>
          <w:sz w:val="24"/>
          <w:szCs w:val="24"/>
        </w:rPr>
        <w:t>draft legislative i</w:t>
      </w:r>
      <w:r w:rsidR="00252918" w:rsidRPr="00EF7BAF">
        <w:rPr>
          <w:rFonts w:ascii="Times New Roman" w:hAnsi="Times New Roman" w:cs="Times New Roman"/>
          <w:sz w:val="24"/>
          <w:szCs w:val="24"/>
        </w:rPr>
        <w:t>nstrument</w:t>
      </w:r>
      <w:r w:rsidRPr="00EF7BAF">
        <w:rPr>
          <w:rFonts w:ascii="Times New Roman" w:hAnsi="Times New Roman" w:cs="Times New Roman"/>
          <w:sz w:val="24"/>
          <w:szCs w:val="24"/>
        </w:rPr>
        <w:t xml:space="preserve"> was considered by the Australian Heritage Council in</w:t>
      </w:r>
      <w:r w:rsidR="00FF51D6" w:rsidRPr="00EF7BAF">
        <w:rPr>
          <w:rFonts w:ascii="Times New Roman" w:hAnsi="Times New Roman" w:cs="Times New Roman"/>
          <w:sz w:val="24"/>
          <w:szCs w:val="24"/>
        </w:rPr>
        <w:t xml:space="preserve"> an out of session meeting in June 2024,</w:t>
      </w:r>
      <w:r w:rsidRPr="00EF7BAF">
        <w:rPr>
          <w:rFonts w:ascii="Times New Roman" w:hAnsi="Times New Roman" w:cs="Times New Roman"/>
          <w:sz w:val="24"/>
          <w:szCs w:val="24"/>
        </w:rPr>
        <w:t xml:space="preserve"> and advice was provided by that Council to the </w:t>
      </w:r>
      <w:r w:rsidR="0082343B">
        <w:rPr>
          <w:rFonts w:ascii="Times New Roman" w:hAnsi="Times New Roman" w:cs="Times New Roman"/>
          <w:sz w:val="24"/>
          <w:szCs w:val="24"/>
        </w:rPr>
        <w:t xml:space="preserve">Minister’s </w:t>
      </w:r>
      <w:r w:rsidRPr="00EF7BAF">
        <w:rPr>
          <w:rFonts w:ascii="Times New Roman" w:hAnsi="Times New Roman" w:cs="Times New Roman"/>
          <w:sz w:val="24"/>
          <w:szCs w:val="24"/>
        </w:rPr>
        <w:t xml:space="preserve">delegate. </w:t>
      </w:r>
      <w:r w:rsidR="00252918" w:rsidRPr="00EF7BAF">
        <w:rPr>
          <w:rFonts w:ascii="Times New Roman" w:hAnsi="Times New Roman" w:cs="Times New Roman"/>
          <w:sz w:val="24"/>
          <w:szCs w:val="24"/>
        </w:rPr>
        <w:t>On 24 June 2024, t</w:t>
      </w:r>
      <w:r w:rsidRPr="00EF7BAF">
        <w:rPr>
          <w:rFonts w:ascii="Times New Roman" w:hAnsi="Times New Roman" w:cs="Times New Roman"/>
          <w:sz w:val="24"/>
          <w:szCs w:val="24"/>
        </w:rPr>
        <w:t xml:space="preserve">he delegate confirmed that the </w:t>
      </w:r>
      <w:r w:rsidR="00B4605A">
        <w:rPr>
          <w:rFonts w:ascii="Times New Roman" w:hAnsi="Times New Roman" w:cs="Times New Roman"/>
          <w:sz w:val="24"/>
          <w:szCs w:val="24"/>
        </w:rPr>
        <w:t>legislative i</w:t>
      </w:r>
      <w:r w:rsidR="00252918" w:rsidRPr="00EF7BAF">
        <w:rPr>
          <w:rFonts w:ascii="Times New Roman" w:hAnsi="Times New Roman" w:cs="Times New Roman"/>
          <w:sz w:val="24"/>
          <w:szCs w:val="24"/>
        </w:rPr>
        <w:t>nstrument</w:t>
      </w:r>
      <w:r w:rsidRPr="00EF7BAF">
        <w:rPr>
          <w:rFonts w:ascii="Times New Roman" w:hAnsi="Times New Roman" w:cs="Times New Roman"/>
          <w:sz w:val="24"/>
          <w:szCs w:val="24"/>
        </w:rPr>
        <w:t xml:space="preserve"> addresses the matters prescribed by the </w:t>
      </w:r>
      <w:r w:rsidR="006E7385" w:rsidRPr="00EF7BAF">
        <w:rPr>
          <w:rFonts w:ascii="Times New Roman" w:hAnsi="Times New Roman" w:cs="Times New Roman"/>
          <w:sz w:val="24"/>
          <w:szCs w:val="24"/>
        </w:rPr>
        <w:t xml:space="preserve">EPBC </w:t>
      </w:r>
      <w:r w:rsidRPr="00EF7BAF">
        <w:rPr>
          <w:rFonts w:ascii="Times New Roman" w:hAnsi="Times New Roman" w:cs="Times New Roman"/>
          <w:sz w:val="24"/>
          <w:szCs w:val="24"/>
        </w:rPr>
        <w:t>Act and the Regulations, and is not inconsistent with the Commonwealth Heritage Management Principles.</w:t>
      </w:r>
    </w:p>
    <w:p w14:paraId="466B4BCD" w14:textId="77777777" w:rsidR="00C2191D" w:rsidRPr="00EF7BAF" w:rsidRDefault="00C2191D" w:rsidP="00F77B43">
      <w:pPr>
        <w:pStyle w:val="Heading3"/>
      </w:pPr>
      <w:r w:rsidRPr="00EF7BAF">
        <w:t>Period of Operation</w:t>
      </w:r>
    </w:p>
    <w:p w14:paraId="1D47DA28" w14:textId="77777777" w:rsidR="00C2191D" w:rsidRPr="00EF7BAF" w:rsidRDefault="00C2191D" w:rsidP="00D72A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92A7E" w:rsidRPr="00EF7BAF">
        <w:rPr>
          <w:rFonts w:ascii="Times New Roman" w:hAnsi="Times New Roman" w:cs="Times New Roman"/>
          <w:color w:val="000000"/>
          <w:sz w:val="24"/>
          <w:szCs w:val="24"/>
        </w:rPr>
        <w:t>legislative i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nstrument commenced on </w:t>
      </w:r>
      <w:r w:rsidRPr="00EF7BAF">
        <w:rPr>
          <w:rFonts w:ascii="Times New Roman" w:hAnsi="Times New Roman" w:cs="Times New Roman"/>
          <w:sz w:val="24"/>
          <w:szCs w:val="24"/>
        </w:rPr>
        <w:t>the day after it was registered on the Federal Register of Legislation.</w:t>
      </w:r>
    </w:p>
    <w:p w14:paraId="6888EC79" w14:textId="77777777" w:rsidR="00C2191D" w:rsidRPr="00EF7BAF" w:rsidRDefault="00C2191D" w:rsidP="00D72A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accordance with s</w:t>
      </w:r>
      <w:r w:rsidR="00FB5F03" w:rsidRPr="00EF7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ection </w:t>
      </w:r>
      <w:r w:rsidRPr="00EF7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341X of the </w:t>
      </w:r>
      <w:r w:rsidR="006E7385" w:rsidRPr="00EF7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EPBC </w:t>
      </w:r>
      <w:r w:rsidRPr="00EF7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Act, a review must be carried out within five years of the legislative instrument being made.</w:t>
      </w:r>
    </w:p>
    <w:p w14:paraId="4E37CA17" w14:textId="77777777" w:rsidR="005601A7" w:rsidRPr="00EF7BAF" w:rsidRDefault="005601A7" w:rsidP="00F77B43">
      <w:pPr>
        <w:pStyle w:val="Heading3"/>
        <w:rPr>
          <w:color w:val="000000"/>
        </w:rPr>
      </w:pPr>
      <w:r w:rsidRPr="00EF7BAF">
        <w:rPr>
          <w:bCs/>
          <w:color w:val="000000"/>
        </w:rPr>
        <w:lastRenderedPageBreak/>
        <w:t>Regulatory Impact</w:t>
      </w:r>
      <w:r w:rsidR="00EE2998" w:rsidRPr="00EF7BAF">
        <w:rPr>
          <w:bCs/>
          <w:color w:val="000000"/>
        </w:rPr>
        <w:t xml:space="preserve"> Statement</w:t>
      </w:r>
    </w:p>
    <w:p w14:paraId="4D50A68D" w14:textId="34EBB8E5" w:rsidR="0005784E" w:rsidRDefault="005601A7" w:rsidP="0005784E">
      <w:pPr>
        <w:keepNext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68F">
        <w:rPr>
          <w:rFonts w:ascii="Times New Roman" w:hAnsi="Times New Roman" w:cs="Times New Roman"/>
          <w:sz w:val="24"/>
          <w:szCs w:val="24"/>
        </w:rPr>
        <w:t>The Office of Best Practice Regulation has advised</w:t>
      </w:r>
      <w:r w:rsidR="005D3BC6">
        <w:rPr>
          <w:rFonts w:ascii="Times New Roman" w:hAnsi="Times New Roman" w:cs="Times New Roman"/>
          <w:sz w:val="24"/>
          <w:szCs w:val="24"/>
        </w:rPr>
        <w:t xml:space="preserve">, under reference number OIA24-07721, </w:t>
      </w:r>
      <w:r w:rsidRPr="0091268F">
        <w:rPr>
          <w:rFonts w:ascii="Times New Roman" w:hAnsi="Times New Roman" w:cs="Times New Roman"/>
          <w:sz w:val="24"/>
          <w:szCs w:val="24"/>
        </w:rPr>
        <w:t xml:space="preserve">that the proposal is unlikely to have </w:t>
      </w:r>
      <w:r w:rsidRPr="0091268F">
        <w:rPr>
          <w:rFonts w:ascii="Times New Roman" w:hAnsi="Times New Roman" w:cs="Times New Roman"/>
          <w:color w:val="000000"/>
          <w:sz w:val="24"/>
          <w:szCs w:val="24"/>
        </w:rPr>
        <w:t>a more than minor regulatory impact. Therefore, the preparation of a Regulation Impact Statement is</w:t>
      </w:r>
      <w:r w:rsidR="00274BBC" w:rsidRPr="0091268F">
        <w:rPr>
          <w:rFonts w:ascii="Times New Roman" w:hAnsi="Times New Roman" w:cs="Times New Roman"/>
          <w:color w:val="000000"/>
          <w:sz w:val="24"/>
          <w:szCs w:val="24"/>
        </w:rPr>
        <w:t xml:space="preserve"> not required for the proposal.</w:t>
      </w:r>
    </w:p>
    <w:p w14:paraId="2A125307" w14:textId="77777777" w:rsidR="00F412AE" w:rsidRPr="00EF7BAF" w:rsidRDefault="00274BBC" w:rsidP="00F77B43">
      <w:pPr>
        <w:pStyle w:val="Heading3"/>
      </w:pPr>
      <w:r w:rsidRPr="00EF7BAF">
        <w:br/>
      </w:r>
      <w:r w:rsidR="00F412AE" w:rsidRPr="00EF7BAF">
        <w:t>Making the</w:t>
      </w:r>
      <w:r w:rsidR="00E7555D" w:rsidRPr="00EF7BAF">
        <w:t xml:space="preserve"> Legislative</w:t>
      </w:r>
      <w:r w:rsidR="00F412AE" w:rsidRPr="00EF7BAF">
        <w:t xml:space="preserve"> Instrument</w:t>
      </w:r>
    </w:p>
    <w:p w14:paraId="1C080B49" w14:textId="77777777" w:rsidR="00F412AE" w:rsidRPr="00EF7BAF" w:rsidRDefault="00F412AE" w:rsidP="00D72A1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This legislative instrument has been made by the </w:t>
      </w:r>
      <w:r w:rsidR="005726F8">
        <w:rPr>
          <w:rFonts w:ascii="Times New Roman" w:hAnsi="Times New Roman" w:cs="Times New Roman"/>
          <w:color w:val="000000"/>
          <w:sz w:val="24"/>
          <w:szCs w:val="24"/>
        </w:rPr>
        <w:t>Secretary of the Department of the Prime Minister and Cabinet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in accordance w</w:t>
      </w:r>
      <w:r w:rsidRPr="0093411E">
        <w:rPr>
          <w:rFonts w:ascii="Times New Roman" w:hAnsi="Times New Roman" w:cs="Times New Roman"/>
          <w:color w:val="000000"/>
          <w:sz w:val="24"/>
          <w:szCs w:val="24"/>
        </w:rPr>
        <w:t xml:space="preserve">ith </w:t>
      </w:r>
      <w:r w:rsidR="002606A5" w:rsidRPr="0093411E">
        <w:rPr>
          <w:rFonts w:ascii="Times New Roman" w:hAnsi="Times New Roman" w:cs="Times New Roman"/>
          <w:color w:val="000000"/>
          <w:sz w:val="24"/>
          <w:szCs w:val="24"/>
        </w:rPr>
        <w:t>section 6</w:t>
      </w:r>
      <w:r w:rsidRPr="0093411E">
        <w:rPr>
          <w:rFonts w:ascii="Times New Roman" w:hAnsi="Times New Roman" w:cs="Times New Roman"/>
          <w:color w:val="000000"/>
          <w:sz w:val="24"/>
          <w:szCs w:val="24"/>
        </w:rPr>
        <w:t xml:space="preserve"> of the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BAF">
        <w:rPr>
          <w:rFonts w:ascii="Times New Roman" w:hAnsi="Times New Roman" w:cs="Times New Roman"/>
          <w:i/>
          <w:color w:val="000000"/>
          <w:sz w:val="24"/>
          <w:szCs w:val="24"/>
        </w:rPr>
        <w:t>Legislation Act 2003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A5BDE4" w14:textId="77777777" w:rsidR="00EF7BAF" w:rsidRPr="00EF7BAF" w:rsidRDefault="00EF7BAF" w:rsidP="00F412A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sectPr w:rsidR="00EF7BAF" w:rsidRPr="00EF7BAF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72D3E2" w14:textId="77777777" w:rsidR="00EF7BAF" w:rsidRPr="0052372D" w:rsidRDefault="00EF7BAF" w:rsidP="0052372D">
      <w:pPr>
        <w:pStyle w:val="Heading2"/>
      </w:pPr>
      <w:r w:rsidRPr="0052372D">
        <w:lastRenderedPageBreak/>
        <w:t>Statement of Compatibility with Human Rights</w:t>
      </w:r>
    </w:p>
    <w:p w14:paraId="703748E9" w14:textId="77777777" w:rsidR="00EF7BAF" w:rsidRPr="00EF7BAF" w:rsidRDefault="00EF7BAF" w:rsidP="00EF7BA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BAF">
        <w:rPr>
          <w:rFonts w:ascii="Times New Roman" w:hAnsi="Times New Roman" w:cs="Times New Roman"/>
          <w:i/>
          <w:sz w:val="24"/>
          <w:szCs w:val="24"/>
        </w:rPr>
        <w:t>Prepared in accordance with Part 3 of the Human Rights (Parliamentary Scrutiny) Act 2011</w:t>
      </w:r>
    </w:p>
    <w:p w14:paraId="13F4FB3F" w14:textId="77777777" w:rsidR="00EF7BAF" w:rsidRPr="00EF7BAF" w:rsidRDefault="00EF7BAF" w:rsidP="00EF7BA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7693E" w14:textId="77777777" w:rsidR="00EF7BAF" w:rsidRPr="00EF7BAF" w:rsidRDefault="00EF7BAF" w:rsidP="00EF7BA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Lodge Heritage Management Plan 2024–2029</w:t>
      </w:r>
    </w:p>
    <w:p w14:paraId="0C6D42B3" w14:textId="77777777" w:rsidR="00EF7BAF" w:rsidRPr="00EF7BAF" w:rsidRDefault="00EF7BAF" w:rsidP="00EF7BA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A471F7" w14:textId="77777777" w:rsidR="00EF7BAF" w:rsidRPr="00EF7BAF" w:rsidRDefault="00EF7BAF" w:rsidP="00EF7BA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EF7BAF">
        <w:rPr>
          <w:rFonts w:ascii="Times New Roman" w:hAnsi="Times New Roman" w:cs="Times New Roman"/>
          <w:sz w:val="24"/>
          <w:szCs w:val="24"/>
        </w:rPr>
        <w:t xml:space="preserve">Disallowable Legislative Instrument is compatible with the human rights and freedoms recognised or declared in the international instruments listed in section 3 of the </w:t>
      </w:r>
      <w:r w:rsidRPr="00EF7BAF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EF7BAF">
        <w:rPr>
          <w:rFonts w:ascii="Times New Roman" w:hAnsi="Times New Roman" w:cs="Times New Roman"/>
          <w:sz w:val="24"/>
          <w:szCs w:val="24"/>
        </w:rPr>
        <w:t>.</w:t>
      </w:r>
    </w:p>
    <w:p w14:paraId="7DB4FF9F" w14:textId="77777777" w:rsidR="00EF7BAF" w:rsidRPr="00EF7BAF" w:rsidRDefault="00EF7BAF" w:rsidP="00EF7B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3BF705F" w14:textId="77777777" w:rsidR="00EF7BAF" w:rsidRPr="00EF7BAF" w:rsidRDefault="00EF7BAF" w:rsidP="00EF7BAF">
      <w:pPr>
        <w:pStyle w:val="Heading3"/>
        <w:rPr>
          <w:rFonts w:cs="Times New Roman"/>
        </w:rPr>
      </w:pPr>
      <w:r w:rsidRPr="00EF7BAF">
        <w:rPr>
          <w:rFonts w:cs="Times New Roman"/>
        </w:rPr>
        <w:t>Overview of the Disallowable Legislative Instrument</w:t>
      </w:r>
    </w:p>
    <w:p w14:paraId="0246BEDD" w14:textId="77777777" w:rsidR="00EF7BAF" w:rsidRDefault="00A044D9" w:rsidP="00A044D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BAF">
        <w:rPr>
          <w:rFonts w:ascii="Times New Roman" w:hAnsi="Times New Roman" w:cs="Times New Roman"/>
          <w:color w:val="000000"/>
          <w:sz w:val="24"/>
          <w:szCs w:val="24"/>
        </w:rPr>
        <w:t xml:space="preserve">Section 341S of the </w:t>
      </w:r>
      <w:r w:rsidRPr="00EF7BAF">
        <w:rPr>
          <w:rFonts w:ascii="Times New Roman" w:hAnsi="Times New Roman" w:cs="Times New Roman"/>
          <w:i/>
          <w:color w:val="000000"/>
          <w:sz w:val="24"/>
          <w:szCs w:val="24"/>
        </w:rPr>
        <w:t>Environment Protection and Biodiversity Conservation </w:t>
      </w:r>
      <w:r w:rsidRPr="00EF7BAF">
        <w:rPr>
          <w:rFonts w:ascii="Times New Roman" w:hAnsi="Times New Roman" w:cs="Times New Roman"/>
          <w:bCs/>
          <w:i/>
          <w:color w:val="000000"/>
          <w:sz w:val="24"/>
          <w:szCs w:val="24"/>
        </w:rPr>
        <w:t>Act 1999</w:t>
      </w:r>
      <w:r w:rsidRPr="00EF7B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EF7B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EPBC Act</w:t>
      </w:r>
      <w:r w:rsidRPr="00EF7BAF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EF7B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requires that the Commonwealth agency that owns or controls a Commonwealth Heritage place must make a written management plan to provide for the protection and management of the values of the Commonwealth Heritage place</w:t>
      </w:r>
      <w:r>
        <w:rPr>
          <w:rFonts w:ascii="Times New Roman" w:hAnsi="Times New Roman" w:cs="Times New Roman"/>
          <w:color w:val="000000"/>
          <w:sz w:val="24"/>
          <w:szCs w:val="24"/>
        </w:rPr>
        <w:t>, within the period mentioned in the agency’s heritage strategy.</w:t>
      </w:r>
    </w:p>
    <w:p w14:paraId="6F14C94C" w14:textId="77777777" w:rsidR="00A044D9" w:rsidRPr="00A044D9" w:rsidRDefault="00A044D9" w:rsidP="00A044D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Disallowable Legislative Instrument provides such a framework for The Lodge, located at 5 </w:t>
      </w:r>
      <w:r w:rsidRPr="00EF7BAF">
        <w:rPr>
          <w:rFonts w:ascii="Times New Roman" w:hAnsi="Times New Roman" w:cs="Times New Roman"/>
          <w:color w:val="000000"/>
          <w:sz w:val="24"/>
          <w:szCs w:val="24"/>
        </w:rPr>
        <w:t>Adelaide Ave, Deakin, Australian Capital Territory 2600</w:t>
      </w:r>
      <w:r w:rsidR="00F12E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7B5E7A" w14:textId="77777777" w:rsidR="00EF7BAF" w:rsidRPr="00EF7BAF" w:rsidRDefault="00EF7BAF" w:rsidP="00EF7B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6E42E16" w14:textId="77777777" w:rsidR="00EF7BAF" w:rsidRPr="00EF7BAF" w:rsidRDefault="0057205C" w:rsidP="00EF7BAF">
      <w:pPr>
        <w:pStyle w:val="Heading3"/>
        <w:rPr>
          <w:rFonts w:cs="Times New Roman"/>
        </w:rPr>
      </w:pPr>
      <w:r>
        <w:rPr>
          <w:rFonts w:cs="Times New Roman"/>
        </w:rPr>
        <w:t>Human R</w:t>
      </w:r>
      <w:r w:rsidR="008C1C79">
        <w:rPr>
          <w:rFonts w:cs="Times New Roman"/>
        </w:rPr>
        <w:t>ights I</w:t>
      </w:r>
      <w:r w:rsidR="00EF7BAF" w:rsidRPr="00EF7BAF">
        <w:rPr>
          <w:rFonts w:cs="Times New Roman"/>
        </w:rPr>
        <w:t>mplications</w:t>
      </w:r>
    </w:p>
    <w:p w14:paraId="1436881E" w14:textId="24423BA9" w:rsidR="00433E5D" w:rsidRPr="00EF7BAF" w:rsidRDefault="00EF7BAF" w:rsidP="005D3BC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F7BAF">
        <w:rPr>
          <w:rFonts w:ascii="Times New Roman" w:hAnsi="Times New Roman" w:cs="Times New Roman"/>
          <w:sz w:val="24"/>
          <w:szCs w:val="24"/>
        </w:rPr>
        <w:t>This Disallowable Legislative Instrument does not engage any of the applicable rights or freedoms.</w:t>
      </w:r>
      <w:r w:rsidR="0043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0A5D7" w14:textId="77777777" w:rsidR="00EF7BAF" w:rsidRPr="00EF7BAF" w:rsidRDefault="00EF7BAF" w:rsidP="00EF7BA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8B6F2C3" w14:textId="77777777" w:rsidR="00EF7BAF" w:rsidRPr="00EF7BAF" w:rsidRDefault="00EF7BAF" w:rsidP="00EF7BAF">
      <w:pPr>
        <w:pStyle w:val="Heading3"/>
        <w:rPr>
          <w:rFonts w:cs="Times New Roman"/>
        </w:rPr>
      </w:pPr>
      <w:r w:rsidRPr="00EF7BAF">
        <w:rPr>
          <w:rFonts w:cs="Times New Roman"/>
        </w:rPr>
        <w:t>Conclusion</w:t>
      </w:r>
    </w:p>
    <w:p w14:paraId="0126F342" w14:textId="21B7EFF1" w:rsidR="00F412AE" w:rsidRPr="002F15FC" w:rsidRDefault="00EF7BAF" w:rsidP="002F15F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F7BAF">
        <w:rPr>
          <w:rFonts w:ascii="Times New Roman" w:hAnsi="Times New Roman" w:cs="Times New Roman"/>
          <w:sz w:val="24"/>
          <w:szCs w:val="24"/>
        </w:rPr>
        <w:t>This Disallowable Legislative Instrument is compatible with human rights as it does not raise any human rights issues.</w:t>
      </w:r>
    </w:p>
    <w:sectPr w:rsidR="00F412AE" w:rsidRPr="002F15FC" w:rsidSect="00C24B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E3F51" w14:textId="77777777" w:rsidR="00624FEB" w:rsidRDefault="00624FEB" w:rsidP="00B57C52">
      <w:pPr>
        <w:spacing w:after="0" w:line="240" w:lineRule="auto"/>
      </w:pPr>
      <w:r>
        <w:separator/>
      </w:r>
    </w:p>
  </w:endnote>
  <w:endnote w:type="continuationSeparator" w:id="0">
    <w:p w14:paraId="2ED2042C" w14:textId="77777777" w:rsidR="00624FEB" w:rsidRDefault="00624FEB" w:rsidP="00B5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538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34E55" w14:textId="61ECB862" w:rsidR="00B57C52" w:rsidRDefault="00B57C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B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10D497" w14:textId="77777777" w:rsidR="00B57C52" w:rsidRDefault="00B57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33DC1" w14:textId="77777777" w:rsidR="00280235" w:rsidRDefault="00F94B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439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AA90B4" w14:textId="37513838" w:rsidR="00A43DDD" w:rsidRDefault="00A43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B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7E0195" w14:textId="77777777" w:rsidR="00280235" w:rsidRDefault="00F94B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7C15" w14:textId="77777777" w:rsidR="00280235" w:rsidRDefault="00F94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45CDA" w14:textId="77777777" w:rsidR="00624FEB" w:rsidRDefault="00624FEB" w:rsidP="00B57C52">
      <w:pPr>
        <w:spacing w:after="0" w:line="240" w:lineRule="auto"/>
      </w:pPr>
      <w:r>
        <w:separator/>
      </w:r>
    </w:p>
  </w:footnote>
  <w:footnote w:type="continuationSeparator" w:id="0">
    <w:p w14:paraId="2392F528" w14:textId="77777777" w:rsidR="00624FEB" w:rsidRDefault="00624FEB" w:rsidP="00B5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9108D" w14:textId="77777777" w:rsidR="00280235" w:rsidRDefault="00F94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4BF91" w14:textId="77777777" w:rsidR="00280235" w:rsidRDefault="00F94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60C5D" w14:textId="77777777" w:rsidR="00280235" w:rsidRDefault="00F94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645"/>
    <w:multiLevelType w:val="hybridMultilevel"/>
    <w:tmpl w:val="ED464D28"/>
    <w:lvl w:ilvl="0" w:tplc="437074F8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770869"/>
    <w:multiLevelType w:val="hybridMultilevel"/>
    <w:tmpl w:val="3E909E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A7"/>
    <w:rsid w:val="00011148"/>
    <w:rsid w:val="00025596"/>
    <w:rsid w:val="000419D2"/>
    <w:rsid w:val="00042F83"/>
    <w:rsid w:val="0005532B"/>
    <w:rsid w:val="000564D8"/>
    <w:rsid w:val="0005784E"/>
    <w:rsid w:val="00090AC8"/>
    <w:rsid w:val="0009316A"/>
    <w:rsid w:val="000B3BE4"/>
    <w:rsid w:val="0013624E"/>
    <w:rsid w:val="00151056"/>
    <w:rsid w:val="001522BF"/>
    <w:rsid w:val="00161576"/>
    <w:rsid w:val="001E182B"/>
    <w:rsid w:val="00252918"/>
    <w:rsid w:val="002606A5"/>
    <w:rsid w:val="00274BBC"/>
    <w:rsid w:val="002E2072"/>
    <w:rsid w:val="002F15FC"/>
    <w:rsid w:val="00307CF4"/>
    <w:rsid w:val="003978C4"/>
    <w:rsid w:val="003F7915"/>
    <w:rsid w:val="00406470"/>
    <w:rsid w:val="00433E5D"/>
    <w:rsid w:val="004B073C"/>
    <w:rsid w:val="004C4661"/>
    <w:rsid w:val="004D73B6"/>
    <w:rsid w:val="004E12F8"/>
    <w:rsid w:val="004F5C8C"/>
    <w:rsid w:val="00511014"/>
    <w:rsid w:val="005209F2"/>
    <w:rsid w:val="0052372D"/>
    <w:rsid w:val="00547107"/>
    <w:rsid w:val="005601A7"/>
    <w:rsid w:val="00564685"/>
    <w:rsid w:val="0057101B"/>
    <w:rsid w:val="0057205C"/>
    <w:rsid w:val="005726F8"/>
    <w:rsid w:val="005865D2"/>
    <w:rsid w:val="005B0184"/>
    <w:rsid w:val="005C5F4D"/>
    <w:rsid w:val="005D3BC6"/>
    <w:rsid w:val="00624FEB"/>
    <w:rsid w:val="006569D2"/>
    <w:rsid w:val="006D62DA"/>
    <w:rsid w:val="006E7385"/>
    <w:rsid w:val="00704351"/>
    <w:rsid w:val="007159AF"/>
    <w:rsid w:val="007468C9"/>
    <w:rsid w:val="007510D3"/>
    <w:rsid w:val="0075135B"/>
    <w:rsid w:val="00775040"/>
    <w:rsid w:val="00802B39"/>
    <w:rsid w:val="0082343B"/>
    <w:rsid w:val="00870D85"/>
    <w:rsid w:val="008B47CE"/>
    <w:rsid w:val="008C1C79"/>
    <w:rsid w:val="008D34C8"/>
    <w:rsid w:val="008D360C"/>
    <w:rsid w:val="008E79B5"/>
    <w:rsid w:val="00906792"/>
    <w:rsid w:val="0091268F"/>
    <w:rsid w:val="00915B72"/>
    <w:rsid w:val="0093411E"/>
    <w:rsid w:val="0097786F"/>
    <w:rsid w:val="00991372"/>
    <w:rsid w:val="009A7638"/>
    <w:rsid w:val="009B650E"/>
    <w:rsid w:val="009B66D5"/>
    <w:rsid w:val="009D72FC"/>
    <w:rsid w:val="00A044D9"/>
    <w:rsid w:val="00A43DDD"/>
    <w:rsid w:val="00A8397D"/>
    <w:rsid w:val="00A91181"/>
    <w:rsid w:val="00A96FB4"/>
    <w:rsid w:val="00AF559A"/>
    <w:rsid w:val="00B02D4C"/>
    <w:rsid w:val="00B15060"/>
    <w:rsid w:val="00B4605A"/>
    <w:rsid w:val="00B57C52"/>
    <w:rsid w:val="00B640C2"/>
    <w:rsid w:val="00BE664C"/>
    <w:rsid w:val="00C2191D"/>
    <w:rsid w:val="00C414BD"/>
    <w:rsid w:val="00C61AB9"/>
    <w:rsid w:val="00C653E4"/>
    <w:rsid w:val="00C71E28"/>
    <w:rsid w:val="00C92A7E"/>
    <w:rsid w:val="00C940D1"/>
    <w:rsid w:val="00C96BF1"/>
    <w:rsid w:val="00CE2458"/>
    <w:rsid w:val="00CF5B1A"/>
    <w:rsid w:val="00D104DE"/>
    <w:rsid w:val="00D72A12"/>
    <w:rsid w:val="00E175EE"/>
    <w:rsid w:val="00E21460"/>
    <w:rsid w:val="00E55FF6"/>
    <w:rsid w:val="00E7555D"/>
    <w:rsid w:val="00E85F3E"/>
    <w:rsid w:val="00EB5B5C"/>
    <w:rsid w:val="00EE2998"/>
    <w:rsid w:val="00EF7BAF"/>
    <w:rsid w:val="00F12E86"/>
    <w:rsid w:val="00F412AE"/>
    <w:rsid w:val="00F606C9"/>
    <w:rsid w:val="00F66ED1"/>
    <w:rsid w:val="00F77B43"/>
    <w:rsid w:val="00F94B5A"/>
    <w:rsid w:val="00FB5F03"/>
    <w:rsid w:val="00FB7FF1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6976"/>
  <w15:chartTrackingRefBased/>
  <w15:docId w15:val="{FE5CE211-DB62-465D-9476-777A4C8D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1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BAF"/>
    <w:pPr>
      <w:spacing w:before="360" w:after="12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BAF"/>
    <w:pPr>
      <w:spacing w:before="120" w:after="120" w:line="240" w:lineRule="auto"/>
      <w:jc w:val="both"/>
      <w:outlineLvl w:val="2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1A7"/>
    <w:pPr>
      <w:ind w:left="720"/>
      <w:contextualSpacing/>
    </w:pPr>
  </w:style>
  <w:style w:type="paragraph" w:customStyle="1" w:styleId="nd">
    <w:name w:val="nd"/>
    <w:basedOn w:val="Normal"/>
    <w:rsid w:val="0056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601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0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1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7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52"/>
  </w:style>
  <w:style w:type="paragraph" w:styleId="Footer">
    <w:name w:val="footer"/>
    <w:basedOn w:val="Normal"/>
    <w:link w:val="FooterChar"/>
    <w:uiPriority w:val="99"/>
    <w:unhideWhenUsed/>
    <w:rsid w:val="00B57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52"/>
  </w:style>
  <w:style w:type="character" w:customStyle="1" w:styleId="Heading2Char">
    <w:name w:val="Heading 2 Char"/>
    <w:basedOn w:val="DefaultParagraphFont"/>
    <w:link w:val="Heading2"/>
    <w:uiPriority w:val="9"/>
    <w:rsid w:val="00EF7BAF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7BAF"/>
    <w:rPr>
      <w:rFonts w:ascii="Times New Roman" w:hAnsi="Times New Roman"/>
      <w:b/>
      <w:sz w:val="24"/>
      <w:szCs w:val="24"/>
    </w:rPr>
  </w:style>
  <w:style w:type="paragraph" w:styleId="NoSpacing">
    <w:name w:val="No Spacing"/>
    <w:uiPriority w:val="1"/>
    <w:qFormat/>
    <w:rsid w:val="00F77B4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ceew.gov.au/environment/epbc/publications/engage-early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cceew.gov.au/environment/epbc/consultation/engage-early-indigenous-engageme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tralia.icomos.org/publications/burra-charter-practice-not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6905BA2-2C05-4858-A232-1B221F872B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F9BBFF9BD9EF2418E6E8F23CF8A4B87" ma:contentTypeVersion="" ma:contentTypeDescription="PDMS Document Site Content Type" ma:contentTypeScope="" ma:versionID="528e1fb5187e181b52d5a04506812345">
  <xsd:schema xmlns:xsd="http://www.w3.org/2001/XMLSchema" xmlns:xs="http://www.w3.org/2001/XMLSchema" xmlns:p="http://schemas.microsoft.com/office/2006/metadata/properties" xmlns:ns2="F6905BA2-2C05-4858-A232-1B221F872BCC" targetNamespace="http://schemas.microsoft.com/office/2006/metadata/properties" ma:root="true" ma:fieldsID="c86876a9d23233352435569abd814999" ns2:_="">
    <xsd:import namespace="F6905BA2-2C05-4858-A232-1B221F872BC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05BA2-2C05-4858-A232-1B221F872BC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9FC0-83E8-4288-89FB-CA2BE2AE39B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6905BA2-2C05-4858-A232-1B221F872BC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3E389D-B79E-4F92-BCDA-914EDE7B9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05BA2-2C05-4858-A232-1B221F87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C8A6E-3E1C-43BF-BB9A-3449D0221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47A3E-A737-4D7E-BB42-72CF75D6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McWhinney, Georgia</dc:creator>
  <cp:keywords/>
  <dc:description/>
  <cp:lastModifiedBy>Hancock, Alexandra</cp:lastModifiedBy>
  <cp:revision>3</cp:revision>
  <dcterms:created xsi:type="dcterms:W3CDTF">2024-11-11T03:27:00Z</dcterms:created>
  <dcterms:modified xsi:type="dcterms:W3CDTF">2024-11-11T03:48:00Z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0x010100266966F133664895A6EE3632470D45F500EF9BBFF9BD9EF2418E6E8F23CF8A4B87</vt:lpwstr>
  </property>
</Properties>
</file>