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AC02" w14:textId="11063B49" w:rsidR="00017141" w:rsidRPr="00017141" w:rsidRDefault="00017141" w:rsidP="00BC6A40">
      <w:pPr>
        <w:spacing w:after="240" w:line="259" w:lineRule="auto"/>
        <w:jc w:val="center"/>
        <w:rPr>
          <w:rFonts w:ascii="Times New Roman" w:eastAsia="Calibri" w:hAnsi="Times New Roman"/>
          <w:b/>
          <w:sz w:val="28"/>
          <w:szCs w:val="28"/>
        </w:rPr>
      </w:pPr>
      <w:r w:rsidRPr="00017141">
        <w:rPr>
          <w:rFonts w:ascii="Times New Roman" w:eastAsia="Calibri" w:hAnsi="Times New Roman"/>
          <w:b/>
          <w:sz w:val="28"/>
          <w:szCs w:val="28"/>
        </w:rPr>
        <w:t>EXPLANATORY STATEMENT</w:t>
      </w:r>
    </w:p>
    <w:p w14:paraId="3834CFA0" w14:textId="77777777" w:rsidR="00DA2AA1" w:rsidRPr="00BF6A36" w:rsidRDefault="00DA2AA1" w:rsidP="00C1088D">
      <w:pPr>
        <w:spacing w:after="240" w:line="259" w:lineRule="auto"/>
        <w:jc w:val="center"/>
        <w:rPr>
          <w:rFonts w:ascii="Times New Roman" w:eastAsia="Calibri" w:hAnsi="Times New Roman"/>
          <w:sz w:val="24"/>
        </w:rPr>
      </w:pPr>
      <w:r w:rsidRPr="00C46410">
        <w:rPr>
          <w:rFonts w:ascii="Times New Roman" w:eastAsia="Calibri" w:hAnsi="Times New Roman"/>
          <w:sz w:val="24"/>
        </w:rPr>
        <w:t>Issued by authority of the AUSTRAC CEO</w:t>
      </w:r>
    </w:p>
    <w:p w14:paraId="5D0DF0EF" w14:textId="77777777" w:rsidR="00DA2AA1" w:rsidRPr="00C1088D" w:rsidRDefault="00DA2AA1" w:rsidP="00C1088D">
      <w:pPr>
        <w:spacing w:after="240" w:line="259" w:lineRule="auto"/>
        <w:jc w:val="center"/>
        <w:rPr>
          <w:rFonts w:ascii="Times New Roman" w:eastAsia="Calibri" w:hAnsi="Times New Roman"/>
          <w:i/>
          <w:sz w:val="24"/>
        </w:rPr>
      </w:pPr>
      <w:r w:rsidRPr="00C1088D">
        <w:rPr>
          <w:rFonts w:ascii="Times New Roman" w:eastAsia="Calibri" w:hAnsi="Times New Roman"/>
          <w:i/>
          <w:sz w:val="24"/>
        </w:rPr>
        <w:t>Anti-Money Laundering and Counter-Terrorism Financing Act 2006</w:t>
      </w:r>
    </w:p>
    <w:p w14:paraId="7AE0E96C" w14:textId="7E738AAC" w:rsidR="00DA2AA1" w:rsidRPr="00C46410" w:rsidRDefault="00DA2AA1">
      <w:pPr>
        <w:spacing w:after="240" w:line="259" w:lineRule="auto"/>
        <w:jc w:val="center"/>
        <w:rPr>
          <w:rFonts w:ascii="Times New Roman" w:eastAsia="Calibri" w:hAnsi="Times New Roman"/>
          <w:i/>
          <w:sz w:val="24"/>
        </w:rPr>
      </w:pPr>
      <w:r w:rsidRPr="00C46410">
        <w:rPr>
          <w:rFonts w:ascii="Times New Roman" w:eastAsia="Calibri" w:hAnsi="Times New Roman"/>
          <w:i/>
          <w:sz w:val="24"/>
        </w:rPr>
        <w:t xml:space="preserve">Anti-Money Laundering and Counter-Terrorism Financing Rules Amendment </w:t>
      </w:r>
      <w:r w:rsidR="00D1589F">
        <w:rPr>
          <w:rFonts w:ascii="Times New Roman" w:eastAsia="Calibri" w:hAnsi="Times New Roman"/>
          <w:i/>
          <w:sz w:val="24"/>
        </w:rPr>
        <w:t xml:space="preserve">(Nominee of Custodian) </w:t>
      </w:r>
      <w:r w:rsidRPr="00C46410">
        <w:rPr>
          <w:rFonts w:ascii="Times New Roman" w:eastAsia="Calibri" w:hAnsi="Times New Roman"/>
          <w:i/>
          <w:sz w:val="24"/>
        </w:rPr>
        <w:t>Instrument 202</w:t>
      </w:r>
      <w:r w:rsidR="00F57B04">
        <w:rPr>
          <w:rFonts w:ascii="Times New Roman" w:eastAsia="Calibri" w:hAnsi="Times New Roman"/>
          <w:i/>
          <w:sz w:val="24"/>
        </w:rPr>
        <w:t>4</w:t>
      </w:r>
      <w:r w:rsidRPr="00C46410">
        <w:rPr>
          <w:rFonts w:ascii="Times New Roman" w:eastAsia="Calibri" w:hAnsi="Times New Roman"/>
          <w:i/>
          <w:sz w:val="24"/>
        </w:rPr>
        <w:t xml:space="preserve"> </w:t>
      </w:r>
    </w:p>
    <w:p w14:paraId="02072A80" w14:textId="358F5200" w:rsidR="00017141" w:rsidRPr="00C46410" w:rsidRDefault="004F00BC" w:rsidP="00C1088D">
      <w:pPr>
        <w:spacing w:after="160" w:line="259" w:lineRule="auto"/>
        <w:rPr>
          <w:rFonts w:ascii="Times New Roman" w:eastAsia="Calibri" w:hAnsi="Times New Roman"/>
          <w:sz w:val="24"/>
        </w:rPr>
      </w:pPr>
      <w:r w:rsidRPr="00C46410">
        <w:rPr>
          <w:rFonts w:ascii="Times New Roman" w:eastAsia="Calibri" w:hAnsi="Times New Roman"/>
          <w:b/>
          <w:bCs/>
          <w:sz w:val="24"/>
        </w:rPr>
        <w:t>AUTHORITY</w:t>
      </w:r>
    </w:p>
    <w:p w14:paraId="63C7502B" w14:textId="2E1D09D5" w:rsidR="00FC0371" w:rsidRDefault="00FC0371" w:rsidP="00FC0371">
      <w:pPr>
        <w:pStyle w:val="Style1"/>
        <w:spacing w:line="259" w:lineRule="auto"/>
      </w:pPr>
      <w:r w:rsidRPr="00047C65">
        <w:t>Section 229 of the </w:t>
      </w:r>
      <w:r w:rsidRPr="00047C65">
        <w:rPr>
          <w:i/>
          <w:iCs/>
        </w:rPr>
        <w:t xml:space="preserve">Anti-Money Laundering and Counter-Terrorism Financing Act 2006 </w:t>
      </w:r>
      <w:r w:rsidRPr="00047C65">
        <w:rPr>
          <w:iCs/>
        </w:rPr>
        <w:t>(</w:t>
      </w:r>
      <w:r w:rsidRPr="00FC0371">
        <w:rPr>
          <w:b/>
          <w:iCs/>
        </w:rPr>
        <w:t>AML/CTF Act</w:t>
      </w:r>
      <w:r w:rsidRPr="00047C65">
        <w:rPr>
          <w:iCs/>
        </w:rPr>
        <w:t>)</w:t>
      </w:r>
      <w:r w:rsidRPr="00047C65">
        <w:rPr>
          <w:i/>
          <w:iCs/>
        </w:rPr>
        <w:t xml:space="preserve"> </w:t>
      </w:r>
      <w:r w:rsidRPr="00047C65">
        <w:t>provides that the AUSTRAC CEO may, by legislative instrument, make Anti-Money Laundering and Counter-Terrorism Financing Rules (</w:t>
      </w:r>
      <w:r w:rsidRPr="00826D35">
        <w:rPr>
          <w:b/>
        </w:rPr>
        <w:t>AML/CTF Rules</w:t>
      </w:r>
      <w:r w:rsidRPr="00047C65">
        <w:t xml:space="preserve">). These Rules are set out in the </w:t>
      </w:r>
      <w:r w:rsidRPr="00047C65">
        <w:rPr>
          <w:i/>
        </w:rPr>
        <w:t>Anti-Money Laundering and Counter-Terrorism Financing Rules Instrument 2007 (No. 1)</w:t>
      </w:r>
      <w:r w:rsidRPr="00047C65">
        <w:t>.</w:t>
      </w:r>
    </w:p>
    <w:p w14:paraId="2B0EFD8F" w14:textId="5E267F08" w:rsidR="00826D35" w:rsidRPr="00826D35" w:rsidRDefault="00826D35" w:rsidP="00826D35">
      <w:pPr>
        <w:pStyle w:val="Style1"/>
        <w:numPr>
          <w:ilvl w:val="0"/>
          <w:numId w:val="0"/>
        </w:numPr>
        <w:spacing w:after="160" w:line="259" w:lineRule="auto"/>
        <w:rPr>
          <w:b/>
          <w:caps/>
        </w:rPr>
      </w:pPr>
      <w:r w:rsidRPr="00826D35">
        <w:rPr>
          <w:b/>
          <w:caps/>
        </w:rPr>
        <w:t>Purpose and operation of the instrument</w:t>
      </w:r>
    </w:p>
    <w:p w14:paraId="7F3957B1" w14:textId="0AB57378" w:rsidR="00826D35" w:rsidRDefault="003F2742" w:rsidP="00FC0371">
      <w:pPr>
        <w:pStyle w:val="Style1"/>
        <w:spacing w:line="259" w:lineRule="auto"/>
      </w:pPr>
      <w:r>
        <w:t xml:space="preserve">The </w:t>
      </w:r>
      <w:r w:rsidRPr="00047C65">
        <w:rPr>
          <w:i/>
        </w:rPr>
        <w:t xml:space="preserve">Anti-Money Laundering and Counter-Terrorism Financing Rules </w:t>
      </w:r>
      <w:r>
        <w:rPr>
          <w:i/>
        </w:rPr>
        <w:t xml:space="preserve">Amendment </w:t>
      </w:r>
      <w:r w:rsidR="000F76EF">
        <w:rPr>
          <w:i/>
        </w:rPr>
        <w:t xml:space="preserve">(Nominee of Custodian) </w:t>
      </w:r>
      <w:r>
        <w:rPr>
          <w:i/>
        </w:rPr>
        <w:t>Instrument 202</w:t>
      </w:r>
      <w:r w:rsidR="00235B98">
        <w:rPr>
          <w:i/>
        </w:rPr>
        <w:t>4</w:t>
      </w:r>
      <w:r w:rsidRPr="00047C65">
        <w:rPr>
          <w:i/>
        </w:rPr>
        <w:t xml:space="preserve"> </w:t>
      </w:r>
      <w:r>
        <w:t xml:space="preserve">(the </w:t>
      </w:r>
      <w:r w:rsidRPr="003F2742">
        <w:rPr>
          <w:b/>
        </w:rPr>
        <w:t>Amendment Instrument</w:t>
      </w:r>
      <w:r>
        <w:t xml:space="preserve">) is a legislative instrument for the purposes of the </w:t>
      </w:r>
      <w:r w:rsidRPr="003F2742">
        <w:rPr>
          <w:i/>
        </w:rPr>
        <w:t>Legislation Act 2003</w:t>
      </w:r>
      <w:r>
        <w:t>.</w:t>
      </w:r>
    </w:p>
    <w:p w14:paraId="7E012989" w14:textId="545A0FF9" w:rsidR="003F2742" w:rsidRDefault="005B1F64" w:rsidP="00FC0371">
      <w:pPr>
        <w:pStyle w:val="Style1"/>
        <w:spacing w:line="259" w:lineRule="auto"/>
      </w:pPr>
      <w:r>
        <w:t xml:space="preserve">A Statement of Compatibility with Human Rights (the Statement) is </w:t>
      </w:r>
      <w:r w:rsidR="00741030">
        <w:t xml:space="preserve">included within this </w:t>
      </w:r>
      <w:r w:rsidR="005021B3">
        <w:t xml:space="preserve">Explanatory </w:t>
      </w:r>
      <w:r w:rsidR="00741030">
        <w:t>Statement</w:t>
      </w:r>
      <w:r>
        <w:t xml:space="preserve">. The Statement was completed in accordance with the </w:t>
      </w:r>
      <w:r w:rsidRPr="005B1F64">
        <w:rPr>
          <w:i/>
        </w:rPr>
        <w:t>Human Rights (Parliamentary Scrutiny) Act 2011</w:t>
      </w:r>
      <w:r>
        <w:t xml:space="preserve">. </w:t>
      </w:r>
      <w:r w:rsidR="006D31DE">
        <w:t>The overall assessment is that the Amendment Instrument promotes the realisation of human rights, and as such, is compatible with them.</w:t>
      </w:r>
    </w:p>
    <w:p w14:paraId="65F1B7C7" w14:textId="7962961F" w:rsidR="00575F83" w:rsidRPr="00854D7A" w:rsidRDefault="00575F83" w:rsidP="00575F83">
      <w:pPr>
        <w:pStyle w:val="Style1"/>
        <w:numPr>
          <w:ilvl w:val="0"/>
          <w:numId w:val="0"/>
        </w:numPr>
        <w:spacing w:line="259" w:lineRule="auto"/>
        <w:rPr>
          <w:b/>
          <w:i/>
        </w:rPr>
      </w:pPr>
      <w:r w:rsidRPr="00854D7A">
        <w:rPr>
          <w:b/>
          <w:i/>
        </w:rPr>
        <w:t>Background</w:t>
      </w:r>
    </w:p>
    <w:p w14:paraId="069ABB1F" w14:textId="100FD402" w:rsidR="007C0788" w:rsidRPr="00742A08" w:rsidRDefault="00575F83" w:rsidP="00103692">
      <w:pPr>
        <w:pStyle w:val="Style1"/>
        <w:spacing w:line="259" w:lineRule="auto"/>
      </w:pPr>
      <w:r w:rsidRPr="00742A08">
        <w:t xml:space="preserve">The </w:t>
      </w:r>
      <w:r w:rsidRPr="00742A08">
        <w:rPr>
          <w:i/>
        </w:rPr>
        <w:t>Anti-Money Laundering and Counter-Terrorism Financing Rules Amendment Instrument 20</w:t>
      </w:r>
      <w:r w:rsidR="00AD0007" w:rsidRPr="00742A08">
        <w:rPr>
          <w:i/>
        </w:rPr>
        <w:t>19</w:t>
      </w:r>
      <w:r w:rsidRPr="00742A08">
        <w:rPr>
          <w:i/>
        </w:rPr>
        <w:t xml:space="preserve"> (No. </w:t>
      </w:r>
      <w:r w:rsidR="00AD0007" w:rsidRPr="00742A08">
        <w:rPr>
          <w:i/>
        </w:rPr>
        <w:t>2</w:t>
      </w:r>
      <w:r w:rsidRPr="00742A08">
        <w:rPr>
          <w:i/>
        </w:rPr>
        <w:t xml:space="preserve">) </w:t>
      </w:r>
      <w:r w:rsidR="00AD0007" w:rsidRPr="00742A08">
        <w:t>amended</w:t>
      </w:r>
      <w:r w:rsidRPr="00742A08">
        <w:t xml:space="preserve"> C</w:t>
      </w:r>
      <w:r w:rsidR="007C0788" w:rsidRPr="00742A08">
        <w:t>hapter</w:t>
      </w:r>
      <w:r w:rsidR="00742A08" w:rsidRPr="00742A08">
        <w:t>s</w:t>
      </w:r>
      <w:r w:rsidR="007C0788" w:rsidRPr="00742A08">
        <w:t xml:space="preserve"> </w:t>
      </w:r>
      <w:r w:rsidR="00742A08" w:rsidRPr="00742A08">
        <w:t>4 and 15</w:t>
      </w:r>
      <w:r w:rsidR="007E05AA" w:rsidRPr="00742A08">
        <w:t xml:space="preserve"> of the AML/CTF Rules </w:t>
      </w:r>
      <w:r w:rsidR="00742A08" w:rsidRPr="00742A08">
        <w:t>to</w:t>
      </w:r>
      <w:r w:rsidR="007C0788" w:rsidRPr="00742A08">
        <w:t>:</w:t>
      </w:r>
    </w:p>
    <w:p w14:paraId="2BFBA73F" w14:textId="15B2DC78" w:rsidR="00347725" w:rsidRPr="00347725" w:rsidRDefault="00347725" w:rsidP="00E90347">
      <w:pPr>
        <w:pStyle w:val="Style1"/>
        <w:numPr>
          <w:ilvl w:val="0"/>
          <w:numId w:val="17"/>
        </w:numPr>
        <w:spacing w:line="259" w:lineRule="auto"/>
      </w:pPr>
      <w:r w:rsidRPr="00347725">
        <w:rPr>
          <w:color w:val="000000"/>
        </w:rPr>
        <w:t>provide reporting entities with relief from certain identification requirements in Chapter 4 and Chapter 15 of the AML/CTF Rules for corporate customers who are ‘custodians’ (as defined) by adding subparagraphs 4.4.3(5)(d), 4.4.5(5)(d) and paragraphs 4.4.18 - 4.4.19 to Chapter 4, making minor amendments to subparagraphs 4.4.3(1) and 4.4.5(1), adding two notes to Chapter 15 and some minor amendments in both Part 4.4 and Chapter 15 to cross-reference exemptions listed in paragraph 4.4.18</w:t>
      </w:r>
      <w:r>
        <w:rPr>
          <w:color w:val="000000"/>
        </w:rPr>
        <w:t>.</w:t>
      </w:r>
    </w:p>
    <w:p w14:paraId="09C09E5F" w14:textId="1FEECA21" w:rsidR="00347725" w:rsidRPr="00347725" w:rsidRDefault="00347725" w:rsidP="00E90347">
      <w:pPr>
        <w:pStyle w:val="Style1"/>
        <w:numPr>
          <w:ilvl w:val="0"/>
          <w:numId w:val="17"/>
        </w:numPr>
        <w:spacing w:line="259" w:lineRule="auto"/>
      </w:pPr>
      <w:r w:rsidRPr="00347725">
        <w:rPr>
          <w:color w:val="000000"/>
        </w:rPr>
        <w:t xml:space="preserve">The amendments responded to issues raised by industry regarding practical difficulties encountered in complying with the previous requirements of Part 4.4 (Applicable customer identification procedure with respect to </w:t>
      </w:r>
      <w:r w:rsidRPr="00347725">
        <w:rPr>
          <w:color w:val="000000"/>
        </w:rPr>
        <w:lastRenderedPageBreak/>
        <w:t>trustees) of the AML/CTF Rules, as many custodian-type trust arrangements do not have many features of an ordinary trust such as a full trust name, settlor, or trust deed.</w:t>
      </w:r>
    </w:p>
    <w:p w14:paraId="6F628AA2" w14:textId="32EFA33B" w:rsidR="00347725" w:rsidRPr="00347725" w:rsidRDefault="00347725" w:rsidP="00347725">
      <w:pPr>
        <w:pStyle w:val="Style1"/>
        <w:numPr>
          <w:ilvl w:val="0"/>
          <w:numId w:val="17"/>
        </w:numPr>
        <w:spacing w:line="259" w:lineRule="auto"/>
      </w:pPr>
      <w:r w:rsidRPr="00347725">
        <w:rPr>
          <w:color w:val="000000"/>
        </w:rPr>
        <w:t>These issues were addressed by adding new paragraphs 4.4.18 and 4.4.19 to Part 4.4, which exempt reporting entities from:</w:t>
      </w:r>
    </w:p>
    <w:p w14:paraId="326D6349" w14:textId="259F3182" w:rsidR="00347725" w:rsidRPr="00347725" w:rsidRDefault="00347725" w:rsidP="00347725">
      <w:pPr>
        <w:pStyle w:val="NormalWeb"/>
        <w:numPr>
          <w:ilvl w:val="0"/>
          <w:numId w:val="32"/>
        </w:numPr>
        <w:spacing w:before="240" w:beforeAutospacing="0" w:after="0" w:afterAutospacing="0"/>
        <w:rPr>
          <w:rFonts w:ascii="CG Omega" w:hAnsi="CG Omega"/>
          <w:color w:val="000000"/>
        </w:rPr>
      </w:pPr>
      <w:r w:rsidRPr="00347725">
        <w:rPr>
          <w:color w:val="000000"/>
        </w:rPr>
        <w:t>carrying out specific applicable customer identification and verification requirements in relation to the underlying customers of a custodian when providing designated services to eligible custodians; and</w:t>
      </w:r>
    </w:p>
    <w:p w14:paraId="481D6C98" w14:textId="3F0EF793" w:rsidR="00347725" w:rsidRPr="00347725" w:rsidRDefault="00347725" w:rsidP="00347725">
      <w:pPr>
        <w:pStyle w:val="NormalWeb"/>
        <w:numPr>
          <w:ilvl w:val="0"/>
          <w:numId w:val="32"/>
        </w:numPr>
        <w:spacing w:before="240" w:beforeAutospacing="0" w:after="0" w:afterAutospacing="0"/>
        <w:rPr>
          <w:rFonts w:ascii="CG Omega" w:hAnsi="CG Omega"/>
          <w:color w:val="000000"/>
        </w:rPr>
      </w:pPr>
      <w:r w:rsidRPr="00347725">
        <w:rPr>
          <w:color w:val="000000"/>
        </w:rPr>
        <w:t>conducting certain ongoing customer due diligence requirements in Chapter 15 regarding the collection and verification of beneficial owner information in relation to such underlying customers of custodians (though note that reporting entities still need to comply with obligations in Chapter 15 regarding the collection, verification, update, and review of Know Your Customer (KYC) information on the custodian in its capacity as trustee of the trust).</w:t>
      </w:r>
    </w:p>
    <w:p w14:paraId="3518653D" w14:textId="14993044" w:rsidR="00347725" w:rsidRPr="00195558" w:rsidRDefault="00347725" w:rsidP="00195558">
      <w:pPr>
        <w:pStyle w:val="Style1"/>
        <w:spacing w:line="259" w:lineRule="auto"/>
      </w:pPr>
      <w:r>
        <w:rPr>
          <w:color w:val="000000"/>
        </w:rPr>
        <w:t xml:space="preserve">The omission of </w:t>
      </w:r>
      <w:r w:rsidR="00195558">
        <w:rPr>
          <w:color w:val="000000"/>
        </w:rPr>
        <w:t>nominees of custodians was an oversight.</w:t>
      </w:r>
    </w:p>
    <w:p w14:paraId="0ABAE788" w14:textId="1E2226A6" w:rsidR="00347725" w:rsidRPr="00195558" w:rsidRDefault="00347725" w:rsidP="00195558">
      <w:pPr>
        <w:pStyle w:val="NormalWeb"/>
        <w:spacing w:before="240" w:beforeAutospacing="0" w:after="0" w:afterAutospacing="0"/>
        <w:rPr>
          <w:rFonts w:ascii="CG Omega" w:hAnsi="CG Omega"/>
          <w:color w:val="000000"/>
        </w:rPr>
      </w:pPr>
      <w:r w:rsidRPr="00195558">
        <w:rPr>
          <w:b/>
          <w:bCs/>
          <w:color w:val="000000"/>
        </w:rPr>
        <w:t xml:space="preserve">Amendments to Chapters 4 and 15 </w:t>
      </w:r>
      <w:r w:rsidR="00195558" w:rsidRPr="00195558">
        <w:rPr>
          <w:b/>
          <w:bCs/>
          <w:color w:val="000000"/>
        </w:rPr>
        <w:t>to incorporate a definition nominees of</w:t>
      </w:r>
      <w:r w:rsidRPr="00195558">
        <w:rPr>
          <w:b/>
          <w:bCs/>
          <w:color w:val="000000"/>
        </w:rPr>
        <w:t xml:space="preserve"> custodians</w:t>
      </w:r>
    </w:p>
    <w:p w14:paraId="66F47C48" w14:textId="39576E61" w:rsidR="00235B98" w:rsidRDefault="00235B98" w:rsidP="002A032D">
      <w:pPr>
        <w:pStyle w:val="Style1"/>
        <w:spacing w:line="259" w:lineRule="auto"/>
      </w:pPr>
      <w:r w:rsidRPr="00235B98">
        <w:t xml:space="preserve">The </w:t>
      </w:r>
      <w:r w:rsidR="002A032D">
        <w:t xml:space="preserve">proposed </w:t>
      </w:r>
      <w:r w:rsidRPr="00235B98">
        <w:t>amendment</w:t>
      </w:r>
      <w:r w:rsidR="002A032D">
        <w:t>s</w:t>
      </w:r>
      <w:r w:rsidRPr="00235B98">
        <w:t xml:space="preserve"> provide a definition of </w:t>
      </w:r>
      <w:r w:rsidR="00E90347">
        <w:t>‘</w:t>
      </w:r>
      <w:r w:rsidRPr="00235B98">
        <w:t>nominee of a custodian</w:t>
      </w:r>
      <w:r w:rsidR="00E90347">
        <w:t>’</w:t>
      </w:r>
      <w:r w:rsidRPr="00235B98">
        <w:t xml:space="preserve"> which:</w:t>
      </w:r>
    </w:p>
    <w:p w14:paraId="08F7F794" w14:textId="77777777" w:rsidR="00235B98" w:rsidRPr="00235B98" w:rsidRDefault="00235B98" w:rsidP="002A032D">
      <w:pPr>
        <w:pStyle w:val="ListParagraph"/>
        <w:numPr>
          <w:ilvl w:val="1"/>
          <w:numId w:val="16"/>
        </w:numPr>
        <w:spacing w:before="240" w:after="160" w:line="259" w:lineRule="auto"/>
        <w:ind w:left="1434" w:hanging="357"/>
        <w:rPr>
          <w:rFonts w:ascii="Times New Roman" w:eastAsia="Calibri" w:hAnsi="Times New Roman"/>
          <w:sz w:val="24"/>
        </w:rPr>
      </w:pPr>
      <w:r w:rsidRPr="00235B98">
        <w:rPr>
          <w:rFonts w:ascii="Times New Roman" w:eastAsia="Calibri" w:hAnsi="Times New Roman"/>
          <w:sz w:val="24"/>
          <w:lang w:eastAsia="en-AU"/>
        </w:rPr>
        <w:t xml:space="preserve">is </w:t>
      </w:r>
      <w:r w:rsidRPr="00EF248A">
        <w:rPr>
          <w:rFonts w:ascii="Times New Roman" w:eastAsia="Calibri" w:hAnsi="Times New Roman"/>
          <w:sz w:val="24"/>
          <w:lang w:eastAsia="en-AU"/>
        </w:rPr>
        <w:t xml:space="preserve">limited to a related body corporate of a ‘custodian’ who meets the existing definition under </w:t>
      </w:r>
      <w:r w:rsidRPr="00235B98">
        <w:rPr>
          <w:rFonts w:ascii="Times New Roman" w:eastAsia="Calibri" w:hAnsi="Times New Roman"/>
          <w:sz w:val="24"/>
          <w:lang w:eastAsia="en-AU"/>
        </w:rPr>
        <w:t xml:space="preserve">paragraph </w:t>
      </w:r>
      <w:r w:rsidRPr="00EF248A">
        <w:rPr>
          <w:rFonts w:ascii="Times New Roman" w:eastAsia="Calibri" w:hAnsi="Times New Roman"/>
          <w:sz w:val="24"/>
          <w:lang w:eastAsia="en-AU"/>
        </w:rPr>
        <w:t>4.4.19</w:t>
      </w:r>
      <w:r w:rsidRPr="00235B98">
        <w:rPr>
          <w:rFonts w:ascii="Times New Roman" w:eastAsia="Calibri" w:hAnsi="Times New Roman"/>
          <w:sz w:val="24"/>
          <w:lang w:eastAsia="en-AU"/>
        </w:rPr>
        <w:t xml:space="preserve"> of the </w:t>
      </w:r>
      <w:r w:rsidRPr="00235B98">
        <w:rPr>
          <w:rFonts w:ascii="Times New Roman" w:eastAsia="Calibri" w:hAnsi="Times New Roman"/>
          <w:sz w:val="24"/>
        </w:rPr>
        <w:t>AML/CTF Rules; and</w:t>
      </w:r>
    </w:p>
    <w:p w14:paraId="2BE19F8A" w14:textId="77777777" w:rsidR="00235B98" w:rsidRPr="00235B98" w:rsidRDefault="00235B98" w:rsidP="00235B98">
      <w:pPr>
        <w:pStyle w:val="ListParagraph"/>
        <w:numPr>
          <w:ilvl w:val="1"/>
          <w:numId w:val="16"/>
        </w:numPr>
        <w:spacing w:after="160" w:line="259" w:lineRule="auto"/>
        <w:rPr>
          <w:rFonts w:ascii="Times New Roman" w:eastAsia="Calibri" w:hAnsi="Times New Roman"/>
          <w:sz w:val="24"/>
        </w:rPr>
      </w:pPr>
      <w:r w:rsidRPr="00235B98">
        <w:rPr>
          <w:rFonts w:ascii="Times New Roman" w:eastAsia="Calibri" w:hAnsi="Times New Roman"/>
          <w:sz w:val="24"/>
        </w:rPr>
        <w:t xml:space="preserve">includes </w:t>
      </w:r>
      <w:r w:rsidRPr="00EF248A">
        <w:rPr>
          <w:rFonts w:ascii="Times New Roman" w:eastAsia="Calibri" w:hAnsi="Times New Roman"/>
          <w:sz w:val="24"/>
          <w:lang w:eastAsia="en-AU"/>
        </w:rPr>
        <w:t>a requirement for the nominee to provide the relevant reporting entity with certification that their appointing custodian has given them certification that they</w:t>
      </w:r>
      <w:r w:rsidRPr="00235B98">
        <w:rPr>
          <w:rFonts w:ascii="Times New Roman" w:eastAsia="Calibri" w:hAnsi="Times New Roman"/>
          <w:sz w:val="24"/>
          <w:lang w:eastAsia="en-AU"/>
        </w:rPr>
        <w:t>:</w:t>
      </w:r>
    </w:p>
    <w:p w14:paraId="09B24282" w14:textId="77777777" w:rsidR="00235B98" w:rsidRPr="00235B98" w:rsidRDefault="00235B98" w:rsidP="00235B98">
      <w:pPr>
        <w:pStyle w:val="ListParagraph"/>
        <w:numPr>
          <w:ilvl w:val="2"/>
          <w:numId w:val="16"/>
        </w:numPr>
        <w:spacing w:after="160" w:line="259" w:lineRule="auto"/>
        <w:rPr>
          <w:rFonts w:ascii="Times New Roman" w:eastAsia="Calibri" w:hAnsi="Times New Roman"/>
          <w:sz w:val="24"/>
        </w:rPr>
      </w:pPr>
      <w:r w:rsidRPr="00EF248A">
        <w:rPr>
          <w:rFonts w:ascii="Times New Roman" w:eastAsia="Calibri" w:hAnsi="Times New Roman"/>
          <w:sz w:val="24"/>
          <w:lang w:eastAsia="en-AU"/>
        </w:rPr>
        <w:t>satisfy the geographical link or are on the Reporting Entity Roll; and</w:t>
      </w:r>
    </w:p>
    <w:p w14:paraId="16AE32BF" w14:textId="77777777" w:rsidR="00235B98" w:rsidRPr="00235B98" w:rsidRDefault="00235B98" w:rsidP="00235B98">
      <w:pPr>
        <w:pStyle w:val="ListParagraph"/>
        <w:numPr>
          <w:ilvl w:val="2"/>
          <w:numId w:val="16"/>
        </w:numPr>
        <w:spacing w:after="160" w:line="259" w:lineRule="auto"/>
        <w:rPr>
          <w:rFonts w:ascii="Times New Roman" w:eastAsia="Calibri" w:hAnsi="Times New Roman"/>
          <w:sz w:val="24"/>
        </w:rPr>
      </w:pPr>
      <w:proofErr w:type="gramStart"/>
      <w:r w:rsidRPr="00EF248A">
        <w:rPr>
          <w:rFonts w:ascii="Times New Roman" w:eastAsia="Calibri" w:hAnsi="Times New Roman"/>
          <w:sz w:val="24"/>
          <w:lang w:eastAsia="en-AU"/>
        </w:rPr>
        <w:t>have</w:t>
      </w:r>
      <w:proofErr w:type="gramEnd"/>
      <w:r w:rsidRPr="00EF248A">
        <w:rPr>
          <w:rFonts w:ascii="Times New Roman" w:eastAsia="Calibri" w:hAnsi="Times New Roman"/>
          <w:sz w:val="24"/>
          <w:lang w:eastAsia="en-AU"/>
        </w:rPr>
        <w:t xml:space="preserve"> carried out all applicable customer identification procedures in relation to their underlying customers</w:t>
      </w:r>
      <w:r w:rsidRPr="00235B98">
        <w:rPr>
          <w:rFonts w:ascii="Times New Roman" w:eastAsia="Calibri" w:hAnsi="Times New Roman"/>
          <w:sz w:val="24"/>
          <w:lang w:eastAsia="en-AU"/>
        </w:rPr>
        <w:t>.</w:t>
      </w:r>
    </w:p>
    <w:p w14:paraId="50CCCF0A" w14:textId="616D3519" w:rsidR="00235B98" w:rsidRPr="00235B98" w:rsidRDefault="00235B98" w:rsidP="00235B98">
      <w:pPr>
        <w:pStyle w:val="Style1"/>
        <w:spacing w:line="259" w:lineRule="auto"/>
      </w:pPr>
      <w:r w:rsidRPr="00235B98">
        <w:t xml:space="preserve">The </w:t>
      </w:r>
      <w:r w:rsidR="002A032D">
        <w:t xml:space="preserve">proposed </w:t>
      </w:r>
      <w:r w:rsidRPr="00235B98">
        <w:t>amendments to Chapters 4 and 15 apply the same customer due diligence relief afforded to customers who are custodians, to customers who are nominees of custodians.</w:t>
      </w:r>
    </w:p>
    <w:p w14:paraId="7A5E06A6" w14:textId="747A90A7" w:rsidR="00F85AFF" w:rsidRDefault="002A032D" w:rsidP="00A53221">
      <w:pPr>
        <w:pStyle w:val="Style1"/>
        <w:numPr>
          <w:ilvl w:val="0"/>
          <w:numId w:val="0"/>
        </w:numPr>
        <w:spacing w:line="259" w:lineRule="auto"/>
      </w:pPr>
      <w:r>
        <w:rPr>
          <w:b/>
          <w:caps/>
        </w:rPr>
        <w:t>IMPACT ANALYSIS</w:t>
      </w:r>
    </w:p>
    <w:p w14:paraId="052FBEBF" w14:textId="79D172F2" w:rsidR="00F85AFF" w:rsidRDefault="002A032D" w:rsidP="00FC0371">
      <w:pPr>
        <w:pStyle w:val="Style1"/>
        <w:spacing w:line="259" w:lineRule="auto"/>
      </w:pPr>
      <w:r>
        <w:t>These proposed</w:t>
      </w:r>
      <w:r w:rsidRPr="00BF5792">
        <w:t xml:space="preserve"> </w:t>
      </w:r>
      <w:r w:rsidR="00F85AFF" w:rsidRPr="00BF5792">
        <w:t xml:space="preserve">amendments to the AML/CTF Rules </w:t>
      </w:r>
      <w:r w:rsidR="00F85AFF">
        <w:t xml:space="preserve">are </w:t>
      </w:r>
      <w:r w:rsidR="00F85AFF" w:rsidRPr="00044B95">
        <w:t>unlikely to have a more than minor regulatory impact.</w:t>
      </w:r>
    </w:p>
    <w:p w14:paraId="1B1A1F16" w14:textId="75EE13F3" w:rsidR="00F80B20" w:rsidRPr="006D680B" w:rsidRDefault="00F80B20" w:rsidP="006D680B">
      <w:pPr>
        <w:pStyle w:val="Style1"/>
        <w:numPr>
          <w:ilvl w:val="0"/>
          <w:numId w:val="0"/>
        </w:numPr>
        <w:spacing w:line="259" w:lineRule="auto"/>
        <w:rPr>
          <w:b/>
        </w:rPr>
      </w:pPr>
      <w:r w:rsidRPr="006D680B">
        <w:rPr>
          <w:b/>
        </w:rPr>
        <w:t>SUNSETTING</w:t>
      </w:r>
    </w:p>
    <w:p w14:paraId="35524E2E" w14:textId="10B9C055" w:rsidR="00F80B20" w:rsidRPr="00F80B20" w:rsidRDefault="00F80B20" w:rsidP="006D680B">
      <w:pPr>
        <w:pStyle w:val="Style1"/>
        <w:spacing w:line="259" w:lineRule="auto"/>
      </w:pPr>
      <w:r w:rsidRPr="00F80B20">
        <w:lastRenderedPageBreak/>
        <w:t xml:space="preserve">Under item 6 of Regulation 12 of the </w:t>
      </w:r>
      <w:r w:rsidRPr="00F80B20">
        <w:rPr>
          <w:i/>
          <w:iCs/>
        </w:rPr>
        <w:t>Legislation (Exemptions and Other Matters) Regulation 2015</w:t>
      </w:r>
      <w:r w:rsidRPr="00F80B20">
        <w:t xml:space="preserve"> this </w:t>
      </w:r>
      <w:r w:rsidR="002A032D">
        <w:t xml:space="preserve">draft </w:t>
      </w:r>
      <w:r w:rsidRPr="00F80B20">
        <w:t>Instrument</w:t>
      </w:r>
      <w:r w:rsidR="002A032D">
        <w:t>, if made,</w:t>
      </w:r>
      <w:r w:rsidR="00EF22BA">
        <w:t xml:space="preserve"> </w:t>
      </w:r>
      <w:r w:rsidR="002A032D">
        <w:t>will</w:t>
      </w:r>
      <w:r w:rsidR="002A032D" w:rsidRPr="00F80B20">
        <w:t xml:space="preserve"> </w:t>
      </w:r>
      <w:r w:rsidRPr="00F80B20">
        <w:t xml:space="preserve">not </w:t>
      </w:r>
      <w:r w:rsidR="002A032D">
        <w:t xml:space="preserve">be </w:t>
      </w:r>
      <w:r w:rsidRPr="00F80B20">
        <w:t xml:space="preserve">subject to </w:t>
      </w:r>
      <w:proofErr w:type="spellStart"/>
      <w:r w:rsidRPr="00F80B20">
        <w:t>sunsetting</w:t>
      </w:r>
      <w:proofErr w:type="spellEnd"/>
      <w:r w:rsidRPr="00F80B20">
        <w:t>.</w:t>
      </w:r>
    </w:p>
    <w:p w14:paraId="318E1A9F" w14:textId="77777777" w:rsidR="00F80B20" w:rsidRPr="00F80B20" w:rsidRDefault="00F80B20" w:rsidP="006D680B">
      <w:pPr>
        <w:pStyle w:val="Style1"/>
      </w:pPr>
      <w:r w:rsidRPr="00F80B20">
        <w:t xml:space="preserve">The AML/CTF Rules are designed to be enduring because they: </w:t>
      </w:r>
    </w:p>
    <w:p w14:paraId="33A00C6C" w14:textId="77777777" w:rsidR="00F80B20" w:rsidRPr="00F80B20" w:rsidRDefault="00F80B20" w:rsidP="00F80B20">
      <w:pPr>
        <w:numPr>
          <w:ilvl w:val="0"/>
          <w:numId w:val="24"/>
        </w:numPr>
        <w:spacing w:before="240"/>
        <w:rPr>
          <w:rFonts w:ascii="Times New Roman" w:eastAsia="Calibri" w:hAnsi="Times New Roman"/>
          <w:sz w:val="24"/>
          <w:lang w:eastAsia="en-AU"/>
        </w:rPr>
      </w:pPr>
      <w:r w:rsidRPr="00F80B20">
        <w:rPr>
          <w:rFonts w:ascii="Times New Roman" w:eastAsia="Calibri" w:hAnsi="Times New Roman"/>
          <w:sz w:val="24"/>
          <w:lang w:eastAsia="en-AU"/>
        </w:rPr>
        <w:t>complement and provide the detail for the broader obligations set out in the AML/CTF Act, aid in meeting Australia’s international obligations and matters of international concern, and support the combatting of money laundering and terrorism financing</w:t>
      </w:r>
    </w:p>
    <w:p w14:paraId="1E0949BA" w14:textId="77777777" w:rsidR="00F80B20" w:rsidRPr="00F80B20" w:rsidRDefault="00F80B20" w:rsidP="00F80B20">
      <w:pPr>
        <w:numPr>
          <w:ilvl w:val="0"/>
          <w:numId w:val="24"/>
        </w:numPr>
        <w:spacing w:before="240"/>
        <w:rPr>
          <w:rFonts w:ascii="Times New Roman" w:eastAsia="Calibri" w:hAnsi="Times New Roman"/>
          <w:sz w:val="24"/>
          <w:lang w:eastAsia="en-AU"/>
        </w:rPr>
      </w:pPr>
      <w:r w:rsidRPr="00F80B20">
        <w:rPr>
          <w:rFonts w:ascii="Times New Roman" w:eastAsia="Calibri" w:hAnsi="Times New Roman"/>
          <w:sz w:val="24"/>
          <w:lang w:eastAsia="en-AU"/>
        </w:rPr>
        <w:t>assist industry in fulfilling their compliance with the AML/CTF Act and provide commercial and regulatory certainty for industry, and</w:t>
      </w:r>
    </w:p>
    <w:p w14:paraId="655E2AC7" w14:textId="77777777" w:rsidR="00F80B20" w:rsidRPr="00F80B20" w:rsidRDefault="00F80B20" w:rsidP="00F80B20">
      <w:pPr>
        <w:numPr>
          <w:ilvl w:val="0"/>
          <w:numId w:val="24"/>
        </w:numPr>
        <w:spacing w:before="240"/>
        <w:rPr>
          <w:rFonts w:ascii="Times New Roman" w:eastAsia="Calibri" w:hAnsi="Times New Roman"/>
          <w:sz w:val="24"/>
          <w:lang w:eastAsia="en-AU"/>
        </w:rPr>
      </w:pPr>
      <w:proofErr w:type="gramStart"/>
      <w:r w:rsidRPr="00F80B20">
        <w:rPr>
          <w:rFonts w:ascii="Times New Roman" w:eastAsia="Calibri" w:hAnsi="Times New Roman"/>
          <w:sz w:val="24"/>
          <w:lang w:eastAsia="en-AU"/>
        </w:rPr>
        <w:t>are</w:t>
      </w:r>
      <w:proofErr w:type="gramEnd"/>
      <w:r w:rsidRPr="00F80B20">
        <w:rPr>
          <w:rFonts w:ascii="Times New Roman" w:eastAsia="Calibri" w:hAnsi="Times New Roman"/>
          <w:sz w:val="24"/>
          <w:lang w:eastAsia="en-AU"/>
        </w:rPr>
        <w:t xml:space="preserve"> subject to an ongoing process of development, refinement and review, involving scrutiny and feedback from a wide range of stakeholders including industry, the Financial Action Task Force, Australian Government agencies, law enforcement agencies, and other interested parties.</w:t>
      </w:r>
    </w:p>
    <w:p w14:paraId="25C295C3" w14:textId="77777777" w:rsidR="00F80B20" w:rsidRPr="00047C65" w:rsidRDefault="00F80B20" w:rsidP="006D680B">
      <w:pPr>
        <w:pStyle w:val="Style1"/>
        <w:numPr>
          <w:ilvl w:val="0"/>
          <w:numId w:val="0"/>
        </w:numPr>
        <w:spacing w:line="259" w:lineRule="auto"/>
      </w:pPr>
    </w:p>
    <w:p w14:paraId="0A62BAC0" w14:textId="58460CF5" w:rsidR="00FC0371" w:rsidRDefault="00FC0371" w:rsidP="00C1088D">
      <w:pPr>
        <w:spacing w:after="160" w:line="259" w:lineRule="auto"/>
        <w:rPr>
          <w:rFonts w:ascii="Times New Roman" w:eastAsia="Calibri" w:hAnsi="Times New Roman"/>
          <w:iCs/>
          <w:sz w:val="24"/>
        </w:rPr>
      </w:pPr>
    </w:p>
    <w:p w14:paraId="126BF5D6" w14:textId="4F58B39A" w:rsidR="002836B6" w:rsidRPr="000C0915" w:rsidRDefault="002836B6" w:rsidP="00C1088D">
      <w:pPr>
        <w:spacing w:after="160" w:line="259" w:lineRule="auto"/>
        <w:rPr>
          <w:rFonts w:ascii="Times New Roman" w:eastAsia="Calibri" w:hAnsi="Times New Roman"/>
          <w:b/>
          <w:iCs/>
          <w:sz w:val="24"/>
        </w:rPr>
      </w:pPr>
    </w:p>
    <w:p w14:paraId="46B9247B" w14:textId="77777777" w:rsidR="00575F83" w:rsidRDefault="00575F83" w:rsidP="00C1088D">
      <w:pPr>
        <w:spacing w:after="160" w:line="259" w:lineRule="auto"/>
        <w:rPr>
          <w:rFonts w:ascii="Times New Roman" w:eastAsia="Calibri" w:hAnsi="Times New Roman"/>
          <w:iCs/>
          <w:sz w:val="24"/>
        </w:rPr>
      </w:pPr>
    </w:p>
    <w:p w14:paraId="57377164" w14:textId="77777777" w:rsidR="00017141" w:rsidRPr="00733D11" w:rsidRDefault="00017141" w:rsidP="00733D11">
      <w:pPr>
        <w:spacing w:line="276" w:lineRule="auto"/>
        <w:rPr>
          <w:rFonts w:ascii="Times New Roman" w:eastAsia="Calibri" w:hAnsi="Times New Roman"/>
          <w:sz w:val="24"/>
          <w:szCs w:val="22"/>
        </w:rPr>
      </w:pPr>
    </w:p>
    <w:p w14:paraId="5D3C82B2" w14:textId="5A11A74E" w:rsidR="005B44C5" w:rsidRPr="005B44C5" w:rsidRDefault="009B309E" w:rsidP="00741030">
      <w:pPr>
        <w:spacing w:after="160" w:line="360" w:lineRule="auto"/>
        <w:jc w:val="right"/>
        <w:rPr>
          <w:rFonts w:ascii="Times New Roman" w:eastAsia="Calibri" w:hAnsi="Times New Roman"/>
          <w:sz w:val="24"/>
          <w:u w:val="single"/>
        </w:rPr>
      </w:pPr>
      <w:r w:rsidRPr="00733D11">
        <w:rPr>
          <w:rFonts w:ascii="Times New Roman" w:eastAsia="Calibri" w:hAnsi="Times New Roman"/>
          <w:b/>
          <w:caps/>
          <w:sz w:val="24"/>
        </w:rPr>
        <w:br w:type="page"/>
      </w:r>
    </w:p>
    <w:p w14:paraId="19974919" w14:textId="77777777" w:rsidR="004A1634" w:rsidRPr="004A1634" w:rsidRDefault="004A1634" w:rsidP="004A1634">
      <w:pPr>
        <w:rPr>
          <w:lang w:eastAsia="en-AU"/>
        </w:rPr>
      </w:pPr>
    </w:p>
    <w:p w14:paraId="4AF4F136" w14:textId="77777777" w:rsidR="00733D11" w:rsidRDefault="00733D11" w:rsidP="00017141">
      <w:pPr>
        <w:spacing w:after="160" w:line="360" w:lineRule="auto"/>
        <w:rPr>
          <w:rFonts w:ascii="Times New Roman" w:eastAsia="Calibri" w:hAnsi="Times New Roman"/>
          <w:b/>
          <w:caps/>
          <w:sz w:val="24"/>
        </w:rPr>
      </w:pPr>
    </w:p>
    <w:p w14:paraId="729ACADF" w14:textId="77777777" w:rsidR="00E96B54" w:rsidRPr="00047C65" w:rsidRDefault="00E96B54" w:rsidP="00E96B54">
      <w:pPr>
        <w:spacing w:after="160" w:line="360" w:lineRule="auto"/>
        <w:jc w:val="center"/>
        <w:rPr>
          <w:rFonts w:ascii="Times New Roman" w:eastAsia="Calibri" w:hAnsi="Times New Roman"/>
          <w:b/>
          <w:caps/>
          <w:sz w:val="24"/>
        </w:rPr>
      </w:pPr>
      <w:r w:rsidRPr="00047C65">
        <w:rPr>
          <w:rFonts w:ascii="Times New Roman" w:eastAsia="Calibri" w:hAnsi="Times New Roman"/>
          <w:b/>
          <w:caps/>
          <w:sz w:val="24"/>
        </w:rPr>
        <w:t>Statement of Compatibility with Human Rights</w:t>
      </w:r>
    </w:p>
    <w:p w14:paraId="3765C81F" w14:textId="77777777" w:rsidR="00E96B54" w:rsidRPr="00047C65" w:rsidRDefault="00E96B54" w:rsidP="00E96B54">
      <w:pPr>
        <w:spacing w:after="160" w:line="360" w:lineRule="auto"/>
        <w:jc w:val="center"/>
        <w:rPr>
          <w:rFonts w:ascii="Times New Roman" w:eastAsia="Calibri" w:hAnsi="Times New Roman"/>
          <w:sz w:val="24"/>
        </w:rPr>
      </w:pPr>
      <w:r w:rsidRPr="00047C65">
        <w:rPr>
          <w:rFonts w:ascii="Times New Roman" w:eastAsia="Calibri" w:hAnsi="Times New Roman"/>
          <w:i/>
          <w:iCs/>
          <w:sz w:val="24"/>
        </w:rPr>
        <w:t>Prepared in accordance with Part 3 of the Human Rights (Parliamentary Scrutiny) Act 2011</w:t>
      </w:r>
    </w:p>
    <w:p w14:paraId="56BB1185" w14:textId="77777777" w:rsidR="00E96B54" w:rsidRPr="00047C65" w:rsidRDefault="00E96B54" w:rsidP="00E96B54">
      <w:pPr>
        <w:spacing w:after="160" w:line="360" w:lineRule="auto"/>
        <w:rPr>
          <w:rFonts w:ascii="Times New Roman" w:eastAsia="Calibri" w:hAnsi="Times New Roman"/>
          <w:b/>
          <w:i/>
          <w:sz w:val="24"/>
        </w:rPr>
      </w:pPr>
      <w:r w:rsidRPr="00047C65">
        <w:rPr>
          <w:rFonts w:ascii="Times New Roman" w:eastAsia="Calibri" w:hAnsi="Times New Roman"/>
          <w:b/>
          <w:i/>
          <w:sz w:val="24"/>
        </w:rPr>
        <w:t xml:space="preserve">Australian Human Rights Commission Regulations 2019 </w:t>
      </w:r>
    </w:p>
    <w:p w14:paraId="619C075C" w14:textId="142B8219" w:rsidR="00E96B54" w:rsidRPr="00784484" w:rsidRDefault="00E96B54" w:rsidP="00E96B54">
      <w:pPr>
        <w:pStyle w:val="ListParagraph"/>
        <w:numPr>
          <w:ilvl w:val="0"/>
          <w:numId w:val="19"/>
        </w:numPr>
        <w:spacing w:after="160" w:line="259" w:lineRule="auto"/>
        <w:ind w:left="0" w:firstLine="0"/>
        <w:rPr>
          <w:rFonts w:ascii="Times New Roman" w:eastAsia="Calibri" w:hAnsi="Times New Roman"/>
          <w:sz w:val="24"/>
        </w:rPr>
      </w:pPr>
      <w:r w:rsidRPr="00784484">
        <w:rPr>
          <w:rFonts w:ascii="Times New Roman" w:eastAsia="Calibri" w:hAnsi="Times New Roman"/>
          <w:sz w:val="24"/>
        </w:rPr>
        <w:t xml:space="preserve">This </w:t>
      </w:r>
      <w:r w:rsidR="002A032D">
        <w:rPr>
          <w:rFonts w:ascii="Times New Roman" w:eastAsia="Calibri" w:hAnsi="Times New Roman"/>
          <w:sz w:val="24"/>
        </w:rPr>
        <w:t xml:space="preserve">draft </w:t>
      </w:r>
      <w:r w:rsidRPr="00784484">
        <w:rPr>
          <w:rFonts w:ascii="Times New Roman" w:eastAsia="Calibri" w:hAnsi="Times New Roman"/>
          <w:sz w:val="24"/>
        </w:rPr>
        <w:t xml:space="preserve">Disallowable Legislative Instrument (the </w:t>
      </w:r>
      <w:r w:rsidR="002A032D" w:rsidRPr="00EF22BA">
        <w:rPr>
          <w:rFonts w:ascii="Times New Roman" w:eastAsia="Calibri" w:hAnsi="Times New Roman"/>
          <w:b/>
          <w:sz w:val="24"/>
        </w:rPr>
        <w:t>draft</w:t>
      </w:r>
      <w:r w:rsidR="002A032D">
        <w:rPr>
          <w:rFonts w:ascii="Times New Roman" w:eastAsia="Calibri" w:hAnsi="Times New Roman"/>
          <w:sz w:val="24"/>
        </w:rPr>
        <w:t xml:space="preserve"> </w:t>
      </w:r>
      <w:r w:rsidRPr="00E96B54">
        <w:rPr>
          <w:rFonts w:ascii="Times New Roman" w:eastAsia="Calibri" w:hAnsi="Times New Roman"/>
          <w:b/>
          <w:sz w:val="24"/>
        </w:rPr>
        <w:t>Instrument</w:t>
      </w:r>
      <w:r w:rsidRPr="00784484">
        <w:rPr>
          <w:rFonts w:ascii="Times New Roman" w:eastAsia="Calibri" w:hAnsi="Times New Roman"/>
          <w:sz w:val="24"/>
        </w:rPr>
        <w:t xml:space="preserve">) is compatible with the human rights and freedoms recognised or declared in the international instruments listed in section 3 of the </w:t>
      </w:r>
      <w:r w:rsidRPr="000166D7">
        <w:rPr>
          <w:rFonts w:ascii="Times New Roman" w:eastAsia="Calibri" w:hAnsi="Times New Roman"/>
          <w:i/>
          <w:sz w:val="24"/>
        </w:rPr>
        <w:t>Human Rights (Parliamentary Scrutiny) Act 2011</w:t>
      </w:r>
      <w:r w:rsidRPr="00784484">
        <w:rPr>
          <w:rFonts w:ascii="Times New Roman" w:eastAsia="Calibri" w:hAnsi="Times New Roman"/>
          <w:sz w:val="24"/>
        </w:rPr>
        <w:t>.</w:t>
      </w:r>
    </w:p>
    <w:p w14:paraId="39D351C7" w14:textId="77777777" w:rsidR="00E96B54" w:rsidRPr="00047C65" w:rsidRDefault="00E96B54" w:rsidP="00E96B54">
      <w:pPr>
        <w:spacing w:after="160" w:line="360" w:lineRule="auto"/>
        <w:rPr>
          <w:rFonts w:ascii="Times New Roman" w:eastAsia="Calibri" w:hAnsi="Times New Roman"/>
          <w:b/>
          <w:sz w:val="24"/>
        </w:rPr>
      </w:pPr>
      <w:r w:rsidRPr="00047C65">
        <w:rPr>
          <w:rFonts w:ascii="Times New Roman" w:eastAsia="Calibri" w:hAnsi="Times New Roman"/>
          <w:b/>
          <w:sz w:val="24"/>
        </w:rPr>
        <w:t>Overview of the Instrument</w:t>
      </w:r>
    </w:p>
    <w:p w14:paraId="36806473" w14:textId="3E53EA4C" w:rsidR="00EF248A" w:rsidRPr="00E90347" w:rsidRDefault="00E96B54" w:rsidP="00195558">
      <w:pPr>
        <w:pStyle w:val="ListParagraph"/>
        <w:numPr>
          <w:ilvl w:val="0"/>
          <w:numId w:val="19"/>
        </w:numPr>
        <w:spacing w:after="160" w:line="259" w:lineRule="auto"/>
        <w:ind w:left="0" w:firstLine="0"/>
        <w:rPr>
          <w:rFonts w:ascii="Times New Roman" w:eastAsia="Calibri" w:hAnsi="Times New Roman"/>
          <w:sz w:val="24"/>
        </w:rPr>
      </w:pPr>
      <w:r w:rsidRPr="00E90347">
        <w:rPr>
          <w:rFonts w:ascii="Times New Roman" w:eastAsia="Calibri" w:hAnsi="Times New Roman"/>
          <w:sz w:val="24"/>
        </w:rPr>
        <w:t xml:space="preserve">The </w:t>
      </w:r>
      <w:r w:rsidR="002A032D">
        <w:rPr>
          <w:rFonts w:ascii="Times New Roman" w:eastAsia="Calibri" w:hAnsi="Times New Roman"/>
          <w:sz w:val="24"/>
        </w:rPr>
        <w:t xml:space="preserve">draft </w:t>
      </w:r>
      <w:r w:rsidRPr="00E90347">
        <w:rPr>
          <w:rFonts w:ascii="Times New Roman" w:eastAsia="Calibri" w:hAnsi="Times New Roman"/>
          <w:sz w:val="24"/>
        </w:rPr>
        <w:t>Instrument amends Chapter</w:t>
      </w:r>
      <w:r w:rsidR="00EF5769" w:rsidRPr="00E90347">
        <w:rPr>
          <w:rFonts w:ascii="Times New Roman" w:eastAsia="Calibri" w:hAnsi="Times New Roman"/>
          <w:sz w:val="24"/>
        </w:rPr>
        <w:t>s</w:t>
      </w:r>
      <w:r w:rsidRPr="00E90347">
        <w:rPr>
          <w:rFonts w:ascii="Times New Roman" w:eastAsia="Calibri" w:hAnsi="Times New Roman"/>
          <w:sz w:val="24"/>
        </w:rPr>
        <w:t xml:space="preserve"> </w:t>
      </w:r>
      <w:r w:rsidR="00EF5769" w:rsidRPr="00E90347">
        <w:rPr>
          <w:rFonts w:ascii="Times New Roman" w:eastAsia="Calibri" w:hAnsi="Times New Roman"/>
          <w:sz w:val="24"/>
        </w:rPr>
        <w:t>4 and 15</w:t>
      </w:r>
      <w:r w:rsidRPr="00E90347">
        <w:rPr>
          <w:rFonts w:ascii="Times New Roman" w:eastAsia="Calibri" w:hAnsi="Times New Roman"/>
          <w:sz w:val="24"/>
        </w:rPr>
        <w:t xml:space="preserve"> of the </w:t>
      </w:r>
      <w:r w:rsidRPr="00E90347">
        <w:rPr>
          <w:rFonts w:ascii="Times New Roman" w:eastAsia="Calibri" w:hAnsi="Times New Roman"/>
          <w:i/>
          <w:sz w:val="24"/>
        </w:rPr>
        <w:t xml:space="preserve">Anti-Money Laundering and Counter-Terrorism Financing Rules Instrument 2007 (No. 1) </w:t>
      </w:r>
      <w:r w:rsidRPr="00E90347">
        <w:rPr>
          <w:rFonts w:ascii="Times New Roman" w:eastAsia="Calibri" w:hAnsi="Times New Roman"/>
          <w:sz w:val="24"/>
        </w:rPr>
        <w:t>(</w:t>
      </w:r>
      <w:r w:rsidRPr="00E90347">
        <w:rPr>
          <w:rFonts w:ascii="Times New Roman" w:eastAsia="Calibri" w:hAnsi="Times New Roman"/>
          <w:b/>
          <w:sz w:val="24"/>
        </w:rPr>
        <w:t>AML/CTF Rules</w:t>
      </w:r>
      <w:r w:rsidRPr="00E90347">
        <w:rPr>
          <w:rFonts w:ascii="Times New Roman" w:eastAsia="Calibri" w:hAnsi="Times New Roman"/>
          <w:sz w:val="24"/>
        </w:rPr>
        <w:t xml:space="preserve">). The amendment </w:t>
      </w:r>
      <w:r w:rsidR="00EF5769" w:rsidRPr="00E90347">
        <w:rPr>
          <w:rFonts w:ascii="Times New Roman" w:eastAsia="Calibri" w:hAnsi="Times New Roman"/>
          <w:sz w:val="24"/>
        </w:rPr>
        <w:t>provides for a definition of nominee of a custodian</w:t>
      </w:r>
      <w:r w:rsidR="00195558">
        <w:rPr>
          <w:rFonts w:ascii="Times New Roman" w:hAnsi="Times New Roman"/>
          <w:sz w:val="24"/>
        </w:rPr>
        <w:t>.</w:t>
      </w:r>
    </w:p>
    <w:p w14:paraId="114AE4D1" w14:textId="7001B162" w:rsidR="00E90347" w:rsidRPr="00EF248A" w:rsidRDefault="00E90347" w:rsidP="00EF248A">
      <w:pPr>
        <w:pStyle w:val="ListParagraph"/>
        <w:numPr>
          <w:ilvl w:val="0"/>
          <w:numId w:val="19"/>
        </w:numPr>
        <w:spacing w:after="160" w:line="259" w:lineRule="auto"/>
        <w:ind w:left="0" w:firstLine="0"/>
        <w:rPr>
          <w:rFonts w:ascii="Times New Roman" w:eastAsia="Calibri" w:hAnsi="Times New Roman"/>
          <w:sz w:val="24"/>
        </w:rPr>
      </w:pPr>
      <w:r>
        <w:rPr>
          <w:rFonts w:ascii="Times New Roman" w:eastAsia="Calibri" w:hAnsi="Times New Roman"/>
          <w:sz w:val="24"/>
        </w:rPr>
        <w:t xml:space="preserve">In </w:t>
      </w:r>
      <w:r w:rsidRPr="00E90347">
        <w:rPr>
          <w:rFonts w:ascii="Times New Roman" w:eastAsia="Calibri" w:hAnsi="Times New Roman"/>
          <w:sz w:val="24"/>
        </w:rPr>
        <w:t xml:space="preserve">the absence of this amendment </w:t>
      </w:r>
      <w:r w:rsidRPr="00E90347">
        <w:rPr>
          <w:rFonts w:ascii="Times New Roman" w:hAnsi="Times New Roman"/>
          <w:sz w:val="24"/>
        </w:rPr>
        <w:t>there will be an unequal regulatory burden between custodians who do not use nominees, and those who do</w:t>
      </w:r>
      <w:r w:rsidR="00BE2895">
        <w:rPr>
          <w:rFonts w:ascii="Times New Roman" w:hAnsi="Times New Roman"/>
          <w:sz w:val="24"/>
        </w:rPr>
        <w:t>.</w:t>
      </w:r>
    </w:p>
    <w:p w14:paraId="272866A8" w14:textId="77777777" w:rsidR="00E96B54" w:rsidRPr="00047C65" w:rsidRDefault="00E96B54" w:rsidP="00E96B54">
      <w:pPr>
        <w:spacing w:after="160" w:line="360" w:lineRule="auto"/>
        <w:rPr>
          <w:rFonts w:ascii="Times New Roman" w:eastAsia="Calibri" w:hAnsi="Times New Roman"/>
          <w:b/>
          <w:sz w:val="24"/>
        </w:rPr>
      </w:pPr>
      <w:r w:rsidRPr="00047C65">
        <w:rPr>
          <w:rFonts w:ascii="Times New Roman" w:eastAsia="Calibri" w:hAnsi="Times New Roman"/>
          <w:b/>
          <w:sz w:val="24"/>
        </w:rPr>
        <w:t>Human rights implications</w:t>
      </w:r>
    </w:p>
    <w:p w14:paraId="06A2F198" w14:textId="06BFC4E4" w:rsidR="00AD4B11" w:rsidRDefault="00E96B54" w:rsidP="00AD4B11">
      <w:pPr>
        <w:pStyle w:val="ListParagraph"/>
        <w:numPr>
          <w:ilvl w:val="0"/>
          <w:numId w:val="19"/>
        </w:numP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w:t>
      </w:r>
      <w:r w:rsidRPr="006D4D39">
        <w:rPr>
          <w:rFonts w:ascii="Times New Roman" w:eastAsia="Calibri" w:hAnsi="Times New Roman"/>
          <w:i/>
          <w:sz w:val="24"/>
        </w:rPr>
        <w:t>Human Rights (Parliamentary Scrutiny) Act 2011</w:t>
      </w:r>
      <w:r w:rsidRPr="00047C65">
        <w:rPr>
          <w:rFonts w:ascii="Times New Roman" w:eastAsia="Calibri" w:hAnsi="Times New Roman"/>
          <w:sz w:val="24"/>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73DEC4E6" w14:textId="4862F628" w:rsidR="00AD4B11" w:rsidRPr="00AD4B11" w:rsidRDefault="00AD4B11" w:rsidP="00AD4B11">
      <w:pPr>
        <w:pStyle w:val="ListParagraph"/>
        <w:numPr>
          <w:ilvl w:val="0"/>
          <w:numId w:val="19"/>
        </w:numPr>
        <w:spacing w:after="160" w:line="259" w:lineRule="auto"/>
        <w:ind w:left="0" w:firstLine="0"/>
        <w:rPr>
          <w:rFonts w:ascii="Times New Roman" w:eastAsia="Calibri" w:hAnsi="Times New Roman"/>
          <w:sz w:val="24"/>
        </w:rPr>
      </w:pPr>
      <w:r w:rsidRPr="00AD4B11">
        <w:rPr>
          <w:rFonts w:ascii="Times New Roman" w:hAnsi="Times New Roman"/>
          <w:sz w:val="24"/>
        </w:rPr>
        <w:t xml:space="preserve">Because the amendment to Chapter </w:t>
      </w:r>
      <w:r>
        <w:rPr>
          <w:rFonts w:ascii="Times New Roman" w:hAnsi="Times New Roman"/>
          <w:sz w:val="24"/>
        </w:rPr>
        <w:t>4 and Chapter 15</w:t>
      </w:r>
      <w:r w:rsidRPr="00AD4B11">
        <w:rPr>
          <w:rFonts w:ascii="Times New Roman" w:hAnsi="Times New Roman"/>
          <w:sz w:val="24"/>
        </w:rPr>
        <w:t xml:space="preserve"> are machinery changes the </w:t>
      </w:r>
      <w:r w:rsidR="002A032D">
        <w:rPr>
          <w:rFonts w:ascii="Times New Roman" w:hAnsi="Times New Roman"/>
          <w:sz w:val="24"/>
        </w:rPr>
        <w:t xml:space="preserve">draft </w:t>
      </w:r>
      <w:r w:rsidRPr="00AD4B11">
        <w:rPr>
          <w:rFonts w:ascii="Times New Roman" w:hAnsi="Times New Roman"/>
          <w:sz w:val="24"/>
        </w:rPr>
        <w:t xml:space="preserve">Instrument </w:t>
      </w:r>
      <w:r w:rsidR="002A032D">
        <w:rPr>
          <w:rFonts w:ascii="Times New Roman" w:hAnsi="Times New Roman"/>
          <w:sz w:val="24"/>
        </w:rPr>
        <w:t>will</w:t>
      </w:r>
      <w:r w:rsidR="002A032D" w:rsidRPr="00AD4B11">
        <w:rPr>
          <w:rFonts w:ascii="Times New Roman" w:hAnsi="Times New Roman"/>
          <w:sz w:val="24"/>
        </w:rPr>
        <w:t xml:space="preserve"> </w:t>
      </w:r>
      <w:r w:rsidRPr="00AD4B11">
        <w:rPr>
          <w:rFonts w:ascii="Times New Roman" w:hAnsi="Times New Roman"/>
          <w:sz w:val="24"/>
        </w:rPr>
        <w:t xml:space="preserve">not engage any of the applicable rights or freedoms, including the right to privacy and reputation contemplated by </w:t>
      </w:r>
      <w:r w:rsidRPr="00AD4B11">
        <w:rPr>
          <w:rFonts w:ascii="Times New Roman" w:eastAsia="Calibri" w:hAnsi="Times New Roman"/>
          <w:sz w:val="24"/>
        </w:rPr>
        <w:t xml:space="preserve">Article 17 of the </w:t>
      </w:r>
      <w:r w:rsidRPr="00AD4B11">
        <w:rPr>
          <w:rFonts w:ascii="Times New Roman" w:eastAsia="Calibri" w:hAnsi="Times New Roman"/>
          <w:i/>
          <w:sz w:val="24"/>
        </w:rPr>
        <w:t>International Covenant on Civil and Political Right</w:t>
      </w:r>
      <w:r w:rsidRPr="00AD4B11">
        <w:rPr>
          <w:rFonts w:ascii="Times New Roman" w:eastAsia="Calibri" w:hAnsi="Times New Roman"/>
          <w:sz w:val="24"/>
        </w:rPr>
        <w:t>s</w:t>
      </w:r>
      <w:r w:rsidRPr="00AD4B11">
        <w:rPr>
          <w:rFonts w:ascii="Times New Roman" w:hAnsi="Times New Roman"/>
          <w:sz w:val="24"/>
        </w:rPr>
        <w:t xml:space="preserve">. </w:t>
      </w:r>
    </w:p>
    <w:p w14:paraId="47E20CE4" w14:textId="77777777" w:rsidR="00E96B54" w:rsidRPr="003530DB" w:rsidRDefault="00E96B54" w:rsidP="00E96B54">
      <w:pPr>
        <w:spacing w:after="160" w:line="360" w:lineRule="auto"/>
        <w:rPr>
          <w:rFonts w:ascii="Times New Roman" w:eastAsia="Calibri" w:hAnsi="Times New Roman"/>
          <w:b/>
          <w:sz w:val="24"/>
        </w:rPr>
      </w:pPr>
      <w:r w:rsidRPr="003530DB">
        <w:rPr>
          <w:rFonts w:ascii="Times New Roman" w:eastAsia="Calibri" w:hAnsi="Times New Roman"/>
          <w:b/>
          <w:sz w:val="24"/>
        </w:rPr>
        <w:t>Conclusion</w:t>
      </w:r>
    </w:p>
    <w:p w14:paraId="67719495" w14:textId="33DF7E17" w:rsidR="007F18B0" w:rsidRPr="003E329A" w:rsidRDefault="00E96B54" w:rsidP="00E96B54">
      <w:pPr>
        <w:spacing w:before="240"/>
        <w:rPr>
          <w:rFonts w:ascii="Times New Roman" w:hAnsi="Times New Roman"/>
          <w:sz w:val="24"/>
        </w:rPr>
      </w:pPr>
      <w:r w:rsidRPr="003530DB">
        <w:rPr>
          <w:rFonts w:ascii="Times New Roman" w:eastAsia="Calibri" w:hAnsi="Times New Roman"/>
          <w:sz w:val="24"/>
        </w:rPr>
        <w:t xml:space="preserve">This </w:t>
      </w:r>
      <w:r w:rsidR="002A032D">
        <w:rPr>
          <w:rFonts w:ascii="Times New Roman" w:eastAsia="Calibri" w:hAnsi="Times New Roman"/>
          <w:sz w:val="24"/>
        </w:rPr>
        <w:t xml:space="preserve">draft </w:t>
      </w:r>
      <w:r w:rsidRPr="00047C65">
        <w:rPr>
          <w:rFonts w:ascii="Times New Roman" w:eastAsia="Calibri" w:hAnsi="Times New Roman"/>
          <w:sz w:val="24"/>
        </w:rPr>
        <w:t xml:space="preserve">Instrument </w:t>
      </w:r>
      <w:r w:rsidRPr="003530DB">
        <w:rPr>
          <w:rFonts w:ascii="Times New Roman" w:eastAsia="Calibri" w:hAnsi="Times New Roman"/>
          <w:sz w:val="24"/>
        </w:rPr>
        <w:t>is compatible with human rights</w:t>
      </w:r>
      <w:r>
        <w:rPr>
          <w:rFonts w:ascii="Times New Roman" w:eastAsia="Calibri" w:hAnsi="Times New Roman"/>
          <w:sz w:val="24"/>
        </w:rPr>
        <w:t xml:space="preserve">. To the extent that the </w:t>
      </w:r>
      <w:r w:rsidR="002A032D">
        <w:rPr>
          <w:rFonts w:ascii="Times New Roman" w:eastAsia="Calibri" w:hAnsi="Times New Roman"/>
          <w:sz w:val="24"/>
        </w:rPr>
        <w:t xml:space="preserve">draft </w:t>
      </w:r>
      <w:r>
        <w:rPr>
          <w:rFonts w:ascii="Times New Roman" w:eastAsia="Calibri" w:hAnsi="Times New Roman"/>
          <w:sz w:val="24"/>
        </w:rPr>
        <w:t>Instrument</w:t>
      </w:r>
      <w:r w:rsidRPr="003530DB">
        <w:rPr>
          <w:rFonts w:ascii="Times New Roman" w:eastAsia="Calibri" w:hAnsi="Times New Roman"/>
          <w:sz w:val="24"/>
        </w:rPr>
        <w:t xml:space="preserve"> may limit human rights, those limitations are reasonable, necessary and proportionate.</w:t>
      </w:r>
    </w:p>
    <w:p w14:paraId="51C40289" w14:textId="41058B6E" w:rsidR="00A97B24" w:rsidRDefault="00A97B24" w:rsidP="009B309E">
      <w:pPr>
        <w:rPr>
          <w:rFonts w:ascii="Times New Roman" w:hAnsi="Times New Roman"/>
          <w:sz w:val="24"/>
        </w:rPr>
      </w:pPr>
    </w:p>
    <w:p w14:paraId="3451F56A" w14:textId="77777777" w:rsidR="00B96433" w:rsidRDefault="00B96433" w:rsidP="009B309E">
      <w:pPr>
        <w:rPr>
          <w:rFonts w:ascii="Times New Roman" w:hAnsi="Times New Roman"/>
          <w:sz w:val="24"/>
        </w:rPr>
      </w:pPr>
      <w:bookmarkStart w:id="0" w:name="_GoBack"/>
      <w:r>
        <w:rPr>
          <w:noProof/>
          <w:lang w:eastAsia="en-AU"/>
        </w:rPr>
        <w:drawing>
          <wp:inline distT="0" distB="0" distL="0" distR="0" wp14:anchorId="3A17531E" wp14:editId="20830109">
            <wp:extent cx="1464922" cy="633413"/>
            <wp:effectExtent l="0" t="0" r="2540" b="0"/>
            <wp:docPr id="1" name="Picture 1" descr="This is an image displaying the signature of Brendan Thomas, Chief Exectuive Officer of AUSTRAC." title="CE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9432" cy="635363"/>
                    </a:xfrm>
                    <a:prstGeom prst="rect">
                      <a:avLst/>
                    </a:prstGeom>
                  </pic:spPr>
                </pic:pic>
              </a:graphicData>
            </a:graphic>
          </wp:inline>
        </w:drawing>
      </w:r>
      <w:bookmarkEnd w:id="0"/>
    </w:p>
    <w:p w14:paraId="0F0D2B36" w14:textId="417B5AAA" w:rsidR="009B309E" w:rsidRPr="00BC6A40" w:rsidRDefault="00F57B04" w:rsidP="009B309E">
      <w:pPr>
        <w:rPr>
          <w:rFonts w:ascii="Times New Roman" w:hAnsi="Times New Roman"/>
          <w:sz w:val="24"/>
        </w:rPr>
      </w:pPr>
      <w:r>
        <w:rPr>
          <w:rFonts w:ascii="Times New Roman" w:hAnsi="Times New Roman"/>
          <w:sz w:val="24"/>
        </w:rPr>
        <w:t>Brendan Thomas</w:t>
      </w:r>
    </w:p>
    <w:p w14:paraId="073F635A" w14:textId="77777777" w:rsidR="009B309E" w:rsidRPr="00BC6A40" w:rsidRDefault="009B309E" w:rsidP="009B309E">
      <w:pPr>
        <w:rPr>
          <w:rFonts w:ascii="Times New Roman" w:hAnsi="Times New Roman"/>
          <w:sz w:val="24"/>
        </w:rPr>
      </w:pPr>
      <w:r w:rsidRPr="00BC6A40">
        <w:rPr>
          <w:rFonts w:ascii="Times New Roman" w:hAnsi="Times New Roman"/>
          <w:sz w:val="24"/>
        </w:rPr>
        <w:t>Chief Executive Officer</w:t>
      </w:r>
    </w:p>
    <w:p w14:paraId="25D33808" w14:textId="77777777" w:rsidR="009B309E" w:rsidRPr="00BC6A40" w:rsidRDefault="009B309E" w:rsidP="009B309E">
      <w:pPr>
        <w:rPr>
          <w:rFonts w:ascii="Times New Roman" w:hAnsi="Times New Roman"/>
          <w:sz w:val="24"/>
        </w:rPr>
      </w:pPr>
      <w:r w:rsidRPr="00BC6A40">
        <w:rPr>
          <w:rFonts w:ascii="Times New Roman" w:hAnsi="Times New Roman"/>
          <w:sz w:val="24"/>
        </w:rPr>
        <w:t>Australian Transaction Reports and Analysis Centre</w:t>
      </w:r>
    </w:p>
    <w:sectPr w:rsidR="009B309E" w:rsidRPr="00BC6A40" w:rsidSect="007A53C1">
      <w:headerReference w:type="default" r:id="rId9"/>
      <w:footerReference w:type="even" r:id="rId10"/>
      <w:footerReference w:type="default" r:id="rId1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40EF" w14:textId="77777777" w:rsidR="00C029B0" w:rsidRDefault="00C029B0">
      <w:r>
        <w:separator/>
      </w:r>
    </w:p>
  </w:endnote>
  <w:endnote w:type="continuationSeparator" w:id="0">
    <w:p w14:paraId="1787E0BE" w14:textId="77777777" w:rsidR="00C029B0" w:rsidRDefault="00C0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14D08BBA"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C84E56">
      <w:rPr>
        <w:rStyle w:val="PageNumber"/>
        <w:rFonts w:ascii="Times New Roman" w:hAnsi="Times New Roman"/>
        <w:noProof/>
      </w:rPr>
      <w:t>4</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81FC" w14:textId="77777777" w:rsidR="00C029B0" w:rsidRDefault="00C029B0">
      <w:r>
        <w:separator/>
      </w:r>
    </w:p>
  </w:footnote>
  <w:footnote w:type="continuationSeparator" w:id="0">
    <w:p w14:paraId="18DA4490" w14:textId="77777777" w:rsidR="00C029B0" w:rsidRDefault="00C02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D31E" w14:textId="68A5FED2" w:rsidR="0093562B" w:rsidRDefault="00935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061E4E65"/>
    <w:multiLevelType w:val="hybridMultilevel"/>
    <w:tmpl w:val="6A78F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1EFE1F4E"/>
    <w:multiLevelType w:val="hybridMultilevel"/>
    <w:tmpl w:val="B7E440A6"/>
    <w:lvl w:ilvl="0" w:tplc="A75AD1A8">
      <w:start w:val="1"/>
      <w:numFmt w:val="lowerRoman"/>
      <w:lvlText w:val="(%1)"/>
      <w:lvlJc w:val="left"/>
      <w:pPr>
        <w:ind w:left="1800" w:hanging="720"/>
      </w:pPr>
      <w:rPr>
        <w:rFonts w:ascii="Times New Roman" w:hAnsi="Times New Roman"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26D6C42"/>
    <w:multiLevelType w:val="hybridMultilevel"/>
    <w:tmpl w:val="26328EC4"/>
    <w:lvl w:ilvl="0" w:tplc="6ED67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875998"/>
    <w:multiLevelType w:val="hybridMultilevel"/>
    <w:tmpl w:val="48D2F010"/>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BE7BAC"/>
    <w:multiLevelType w:val="hybridMultilevel"/>
    <w:tmpl w:val="824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C397F"/>
    <w:multiLevelType w:val="hybridMultilevel"/>
    <w:tmpl w:val="F766CC2E"/>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9F7917"/>
    <w:multiLevelType w:val="hybridMultilevel"/>
    <w:tmpl w:val="F4980934"/>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9" w15:restartNumberingAfterBreak="0">
    <w:nsid w:val="3A2E304C"/>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643111"/>
    <w:multiLevelType w:val="hybridMultilevel"/>
    <w:tmpl w:val="85DA919A"/>
    <w:lvl w:ilvl="0" w:tplc="1D4C2D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B46879"/>
    <w:multiLevelType w:val="hybridMultilevel"/>
    <w:tmpl w:val="62EAFECC"/>
    <w:lvl w:ilvl="0" w:tplc="985EC548">
      <w:start w:val="1"/>
      <w:numFmt w:val="decimal"/>
      <w:pStyle w:val="Style1"/>
      <w:lvlText w:val="%1."/>
      <w:lvlJc w:val="left"/>
      <w:pPr>
        <w:ind w:left="720" w:hanging="360"/>
      </w:pPr>
      <w:rPr>
        <w:rFonts w:ascii="Times New Roman" w:hAnsi="Times New Roman" w:cs="Times New Roman" w:hint="default"/>
        <w:b w:val="0"/>
        <w:i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32F1976"/>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E221CF"/>
    <w:multiLevelType w:val="hybridMultilevel"/>
    <w:tmpl w:val="85DA919A"/>
    <w:lvl w:ilvl="0" w:tplc="1D4C2D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5732736A"/>
    <w:multiLevelType w:val="hybridMultilevel"/>
    <w:tmpl w:val="FE3C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598A4560"/>
    <w:multiLevelType w:val="hybridMultilevel"/>
    <w:tmpl w:val="793A2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E80D0D"/>
    <w:multiLevelType w:val="hybridMultilevel"/>
    <w:tmpl w:val="25BE4860"/>
    <w:lvl w:ilvl="0" w:tplc="78ACFE64">
      <w:start w:val="1"/>
      <w:numFmt w:val="decimal"/>
      <w:lvlText w:val="%1."/>
      <w:lvlJc w:val="left"/>
      <w:pPr>
        <w:tabs>
          <w:tab w:val="num" w:pos="720"/>
        </w:tabs>
        <w:ind w:left="720" w:hanging="360"/>
      </w:pPr>
      <w:rPr>
        <w:b w:val="0"/>
        <w:i w:val="0"/>
        <w:sz w:val="24"/>
        <w:szCs w:val="24"/>
      </w:rPr>
    </w:lvl>
    <w:lvl w:ilvl="1" w:tplc="FC107410">
      <w:start w:val="1"/>
      <w:numFmt w:val="lowerLetter"/>
      <w:lvlText w:val="(%2)"/>
      <w:lvlJc w:val="left"/>
      <w:pPr>
        <w:tabs>
          <w:tab w:val="num" w:pos="1080"/>
        </w:tabs>
        <w:ind w:left="1250" w:hanging="170"/>
      </w:pPr>
      <w:rPr>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76D0EC8"/>
    <w:multiLevelType w:val="hybridMultilevel"/>
    <w:tmpl w:val="793A2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963204"/>
    <w:multiLevelType w:val="hybridMultilevel"/>
    <w:tmpl w:val="FB14EAF2"/>
    <w:lvl w:ilvl="0" w:tplc="0C090001">
      <w:start w:val="1"/>
      <w:numFmt w:val="bullet"/>
      <w:lvlText w:val=""/>
      <w:lvlJc w:val="left"/>
      <w:pPr>
        <w:ind w:left="723" w:hanging="360"/>
      </w:pPr>
      <w:rPr>
        <w:rFonts w:ascii="Symbol" w:hAnsi="Symbol" w:hint="default"/>
      </w:rPr>
    </w:lvl>
    <w:lvl w:ilvl="1" w:tplc="0C090003">
      <w:start w:val="1"/>
      <w:numFmt w:val="bullet"/>
      <w:lvlText w:val="o"/>
      <w:lvlJc w:val="left"/>
      <w:pPr>
        <w:ind w:left="1443" w:hanging="360"/>
      </w:pPr>
      <w:rPr>
        <w:rFonts w:ascii="Courier New" w:hAnsi="Courier New" w:cs="Courier New" w:hint="default"/>
      </w:rPr>
    </w:lvl>
    <w:lvl w:ilvl="2" w:tplc="0C090005">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2" w15:restartNumberingAfterBreak="0">
    <w:nsid w:val="6AE65171"/>
    <w:multiLevelType w:val="hybridMultilevel"/>
    <w:tmpl w:val="D3D4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AD3B17"/>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A64D45"/>
    <w:multiLevelType w:val="hybridMultilevel"/>
    <w:tmpl w:val="9B966D8C"/>
    <w:lvl w:ilvl="0" w:tplc="79A4F22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572E57"/>
    <w:multiLevelType w:val="hybridMultilevel"/>
    <w:tmpl w:val="BD4C9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C692AEE"/>
    <w:multiLevelType w:val="hybridMultilevel"/>
    <w:tmpl w:val="3446BBBA"/>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B86663"/>
    <w:multiLevelType w:val="hybridMultilevel"/>
    <w:tmpl w:val="64E8B8B2"/>
    <w:lvl w:ilvl="0" w:tplc="F2DECF1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24"/>
  </w:num>
  <w:num w:numId="2">
    <w:abstractNumId w:val="7"/>
  </w:num>
  <w:num w:numId="3">
    <w:abstractNumId w:val="26"/>
  </w:num>
  <w:num w:numId="4">
    <w:abstractNumId w:val="28"/>
  </w:num>
  <w:num w:numId="5">
    <w:abstractNumId w:val="0"/>
  </w:num>
  <w:num w:numId="6">
    <w:abstractNumId w:val="2"/>
  </w:num>
  <w:num w:numId="7">
    <w:abstractNumId w:val="19"/>
  </w:num>
  <w:num w:numId="8">
    <w:abstractNumId w:val="14"/>
  </w:num>
  <w:num w:numId="9">
    <w:abstractNumId w:val="16"/>
  </w:num>
  <w:num w:numId="10">
    <w:abstractNumId w:val="6"/>
  </w:num>
  <w:num w:numId="11">
    <w:abstractNumId w:val="12"/>
  </w:num>
  <w:num w:numId="12">
    <w:abstractNumId w:val="9"/>
  </w:num>
  <w:num w:numId="13">
    <w:abstractNumId w:val="23"/>
  </w:num>
  <w:num w:numId="14">
    <w:abstractNumId w:val="15"/>
  </w:num>
  <w:num w:numId="15">
    <w:abstractNumId w:val="2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7"/>
  </w:num>
  <w:num w:numId="20">
    <w:abstractNumId w:val="1"/>
  </w:num>
  <w:num w:numId="21">
    <w:abstractNumId w:val="25"/>
  </w:num>
  <w:num w:numId="22">
    <w:abstractNumId w:val="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5"/>
  </w:num>
  <w:num w:numId="30">
    <w:abstractNumId w:val="27"/>
  </w:num>
  <w:num w:numId="31">
    <w:abstractNumId w:val="13"/>
  </w:num>
  <w:num w:numId="32">
    <w:abstractNumId w:val="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24"/>
    <w:rsid w:val="0000129C"/>
    <w:rsid w:val="00002D59"/>
    <w:rsid w:val="000041E4"/>
    <w:rsid w:val="00004237"/>
    <w:rsid w:val="00005185"/>
    <w:rsid w:val="00005C87"/>
    <w:rsid w:val="00010CD0"/>
    <w:rsid w:val="0001158F"/>
    <w:rsid w:val="00011BFD"/>
    <w:rsid w:val="00013686"/>
    <w:rsid w:val="00017141"/>
    <w:rsid w:val="0001730D"/>
    <w:rsid w:val="000217EC"/>
    <w:rsid w:val="00021CB1"/>
    <w:rsid w:val="000222A4"/>
    <w:rsid w:val="00024783"/>
    <w:rsid w:val="00024980"/>
    <w:rsid w:val="00024C66"/>
    <w:rsid w:val="00027747"/>
    <w:rsid w:val="0003033B"/>
    <w:rsid w:val="00031690"/>
    <w:rsid w:val="00033B8D"/>
    <w:rsid w:val="00035748"/>
    <w:rsid w:val="00035795"/>
    <w:rsid w:val="000358DA"/>
    <w:rsid w:val="00035AF4"/>
    <w:rsid w:val="00035CF9"/>
    <w:rsid w:val="00037327"/>
    <w:rsid w:val="00042863"/>
    <w:rsid w:val="000430D4"/>
    <w:rsid w:val="00044B95"/>
    <w:rsid w:val="00050B40"/>
    <w:rsid w:val="00050CE5"/>
    <w:rsid w:val="00051713"/>
    <w:rsid w:val="00053A7A"/>
    <w:rsid w:val="00053D86"/>
    <w:rsid w:val="000552BF"/>
    <w:rsid w:val="000572EA"/>
    <w:rsid w:val="00057C98"/>
    <w:rsid w:val="0006328D"/>
    <w:rsid w:val="00064B1E"/>
    <w:rsid w:val="000673A4"/>
    <w:rsid w:val="00072759"/>
    <w:rsid w:val="00075472"/>
    <w:rsid w:val="0008191B"/>
    <w:rsid w:val="00083A52"/>
    <w:rsid w:val="000851F0"/>
    <w:rsid w:val="000869B9"/>
    <w:rsid w:val="000926BD"/>
    <w:rsid w:val="00092891"/>
    <w:rsid w:val="0009363E"/>
    <w:rsid w:val="000942AF"/>
    <w:rsid w:val="0009570F"/>
    <w:rsid w:val="00095CB4"/>
    <w:rsid w:val="000961DD"/>
    <w:rsid w:val="00097839"/>
    <w:rsid w:val="000A0109"/>
    <w:rsid w:val="000A1B36"/>
    <w:rsid w:val="000A25BE"/>
    <w:rsid w:val="000A448C"/>
    <w:rsid w:val="000A53C5"/>
    <w:rsid w:val="000A71FF"/>
    <w:rsid w:val="000B07C2"/>
    <w:rsid w:val="000B3A73"/>
    <w:rsid w:val="000B3D22"/>
    <w:rsid w:val="000B4EE1"/>
    <w:rsid w:val="000B7574"/>
    <w:rsid w:val="000B7D16"/>
    <w:rsid w:val="000C048B"/>
    <w:rsid w:val="000C0915"/>
    <w:rsid w:val="000C26E9"/>
    <w:rsid w:val="000C3669"/>
    <w:rsid w:val="000C4CBB"/>
    <w:rsid w:val="000C4DEC"/>
    <w:rsid w:val="000C5E2A"/>
    <w:rsid w:val="000C6D8B"/>
    <w:rsid w:val="000D0E25"/>
    <w:rsid w:val="000D13F2"/>
    <w:rsid w:val="000D143A"/>
    <w:rsid w:val="000D180A"/>
    <w:rsid w:val="000D1DA2"/>
    <w:rsid w:val="000D261E"/>
    <w:rsid w:val="000D4F84"/>
    <w:rsid w:val="000D658D"/>
    <w:rsid w:val="000E22B7"/>
    <w:rsid w:val="000E63EE"/>
    <w:rsid w:val="000E717E"/>
    <w:rsid w:val="000F0AA0"/>
    <w:rsid w:val="000F76EF"/>
    <w:rsid w:val="00100A29"/>
    <w:rsid w:val="00100E9D"/>
    <w:rsid w:val="00101C26"/>
    <w:rsid w:val="00101CDF"/>
    <w:rsid w:val="0010234E"/>
    <w:rsid w:val="00103692"/>
    <w:rsid w:val="00106221"/>
    <w:rsid w:val="0010649D"/>
    <w:rsid w:val="00112B9E"/>
    <w:rsid w:val="001138C2"/>
    <w:rsid w:val="00114B13"/>
    <w:rsid w:val="00115CA1"/>
    <w:rsid w:val="001161BA"/>
    <w:rsid w:val="00116245"/>
    <w:rsid w:val="001212F7"/>
    <w:rsid w:val="00121FC3"/>
    <w:rsid w:val="00122D9B"/>
    <w:rsid w:val="001261D8"/>
    <w:rsid w:val="00131A1D"/>
    <w:rsid w:val="00133529"/>
    <w:rsid w:val="0013429C"/>
    <w:rsid w:val="0013441F"/>
    <w:rsid w:val="00134CA6"/>
    <w:rsid w:val="00135E20"/>
    <w:rsid w:val="001369B9"/>
    <w:rsid w:val="00142343"/>
    <w:rsid w:val="00142983"/>
    <w:rsid w:val="001434AB"/>
    <w:rsid w:val="0014391A"/>
    <w:rsid w:val="00143BAA"/>
    <w:rsid w:val="00146670"/>
    <w:rsid w:val="00146C29"/>
    <w:rsid w:val="001475BE"/>
    <w:rsid w:val="00151851"/>
    <w:rsid w:val="00151CE0"/>
    <w:rsid w:val="0015491C"/>
    <w:rsid w:val="00156041"/>
    <w:rsid w:val="0015621A"/>
    <w:rsid w:val="00156C39"/>
    <w:rsid w:val="00157B80"/>
    <w:rsid w:val="00160041"/>
    <w:rsid w:val="001602B8"/>
    <w:rsid w:val="001625EF"/>
    <w:rsid w:val="00162CC7"/>
    <w:rsid w:val="00163115"/>
    <w:rsid w:val="001663D5"/>
    <w:rsid w:val="0017034F"/>
    <w:rsid w:val="00173D1C"/>
    <w:rsid w:val="00190C40"/>
    <w:rsid w:val="00193377"/>
    <w:rsid w:val="001941DA"/>
    <w:rsid w:val="00194C14"/>
    <w:rsid w:val="00195558"/>
    <w:rsid w:val="0019595E"/>
    <w:rsid w:val="001970B1"/>
    <w:rsid w:val="00197E8A"/>
    <w:rsid w:val="001A03E1"/>
    <w:rsid w:val="001A11DA"/>
    <w:rsid w:val="001A25CB"/>
    <w:rsid w:val="001A58BA"/>
    <w:rsid w:val="001A63E8"/>
    <w:rsid w:val="001B005E"/>
    <w:rsid w:val="001B3A61"/>
    <w:rsid w:val="001B679A"/>
    <w:rsid w:val="001B6FCC"/>
    <w:rsid w:val="001B7562"/>
    <w:rsid w:val="001B7DCC"/>
    <w:rsid w:val="001C001A"/>
    <w:rsid w:val="001C2371"/>
    <w:rsid w:val="001C37C9"/>
    <w:rsid w:val="001C55AA"/>
    <w:rsid w:val="001C57DA"/>
    <w:rsid w:val="001C5B36"/>
    <w:rsid w:val="001C5B6B"/>
    <w:rsid w:val="001C60F1"/>
    <w:rsid w:val="001C6C6F"/>
    <w:rsid w:val="001C734E"/>
    <w:rsid w:val="001D022F"/>
    <w:rsid w:val="001D3034"/>
    <w:rsid w:val="001D3559"/>
    <w:rsid w:val="001D3968"/>
    <w:rsid w:val="001D3C6E"/>
    <w:rsid w:val="001D5E25"/>
    <w:rsid w:val="001D5F12"/>
    <w:rsid w:val="001D6003"/>
    <w:rsid w:val="001D63FB"/>
    <w:rsid w:val="001E005B"/>
    <w:rsid w:val="001E23BF"/>
    <w:rsid w:val="001E2728"/>
    <w:rsid w:val="001E4D8A"/>
    <w:rsid w:val="001E52A5"/>
    <w:rsid w:val="001E5AAE"/>
    <w:rsid w:val="001F108A"/>
    <w:rsid w:val="001F165F"/>
    <w:rsid w:val="001F396D"/>
    <w:rsid w:val="001F4CE5"/>
    <w:rsid w:val="0020044F"/>
    <w:rsid w:val="002027D7"/>
    <w:rsid w:val="0020292C"/>
    <w:rsid w:val="002041BC"/>
    <w:rsid w:val="00205D35"/>
    <w:rsid w:val="00205D9F"/>
    <w:rsid w:val="00206C4A"/>
    <w:rsid w:val="0020702F"/>
    <w:rsid w:val="00207A4E"/>
    <w:rsid w:val="00207D2A"/>
    <w:rsid w:val="00207D34"/>
    <w:rsid w:val="00210C12"/>
    <w:rsid w:val="002202B1"/>
    <w:rsid w:val="002222BA"/>
    <w:rsid w:val="00222311"/>
    <w:rsid w:val="002227A8"/>
    <w:rsid w:val="00226A90"/>
    <w:rsid w:val="00231302"/>
    <w:rsid w:val="00232C59"/>
    <w:rsid w:val="00234EE9"/>
    <w:rsid w:val="002358FE"/>
    <w:rsid w:val="00235B98"/>
    <w:rsid w:val="0023634B"/>
    <w:rsid w:val="00236988"/>
    <w:rsid w:val="00237735"/>
    <w:rsid w:val="00241858"/>
    <w:rsid w:val="00243298"/>
    <w:rsid w:val="00243B31"/>
    <w:rsid w:val="00243C97"/>
    <w:rsid w:val="00244D95"/>
    <w:rsid w:val="00246666"/>
    <w:rsid w:val="00247043"/>
    <w:rsid w:val="002475AC"/>
    <w:rsid w:val="002526C4"/>
    <w:rsid w:val="00252A86"/>
    <w:rsid w:val="00252D90"/>
    <w:rsid w:val="0025603C"/>
    <w:rsid w:val="00256A5A"/>
    <w:rsid w:val="002570AB"/>
    <w:rsid w:val="00261776"/>
    <w:rsid w:val="002632D9"/>
    <w:rsid w:val="00263EDA"/>
    <w:rsid w:val="002700FC"/>
    <w:rsid w:val="00270F89"/>
    <w:rsid w:val="002715B5"/>
    <w:rsid w:val="00272368"/>
    <w:rsid w:val="0027417D"/>
    <w:rsid w:val="002748A5"/>
    <w:rsid w:val="00276CC0"/>
    <w:rsid w:val="002836B6"/>
    <w:rsid w:val="002848D6"/>
    <w:rsid w:val="00285066"/>
    <w:rsid w:val="00285882"/>
    <w:rsid w:val="00291994"/>
    <w:rsid w:val="00292115"/>
    <w:rsid w:val="002948D1"/>
    <w:rsid w:val="0029686B"/>
    <w:rsid w:val="002A02FC"/>
    <w:rsid w:val="002A032D"/>
    <w:rsid w:val="002A0A5F"/>
    <w:rsid w:val="002A2BE8"/>
    <w:rsid w:val="002A4E4A"/>
    <w:rsid w:val="002A5004"/>
    <w:rsid w:val="002A6852"/>
    <w:rsid w:val="002A6B5F"/>
    <w:rsid w:val="002B0655"/>
    <w:rsid w:val="002B0D2D"/>
    <w:rsid w:val="002B4D5C"/>
    <w:rsid w:val="002C10AE"/>
    <w:rsid w:val="002C2936"/>
    <w:rsid w:val="002C3BD6"/>
    <w:rsid w:val="002C3DDE"/>
    <w:rsid w:val="002C5045"/>
    <w:rsid w:val="002C6AC2"/>
    <w:rsid w:val="002C7537"/>
    <w:rsid w:val="002C75DD"/>
    <w:rsid w:val="002C76AE"/>
    <w:rsid w:val="002D123A"/>
    <w:rsid w:val="002D18EA"/>
    <w:rsid w:val="002D6746"/>
    <w:rsid w:val="002D67A4"/>
    <w:rsid w:val="002D7A9B"/>
    <w:rsid w:val="002E57FE"/>
    <w:rsid w:val="002E5D55"/>
    <w:rsid w:val="002E74AC"/>
    <w:rsid w:val="002F38AD"/>
    <w:rsid w:val="002F4E2A"/>
    <w:rsid w:val="002F525A"/>
    <w:rsid w:val="002F62ED"/>
    <w:rsid w:val="003017CC"/>
    <w:rsid w:val="00301D3F"/>
    <w:rsid w:val="00303AFD"/>
    <w:rsid w:val="00304398"/>
    <w:rsid w:val="0030476E"/>
    <w:rsid w:val="00304ACF"/>
    <w:rsid w:val="00304F89"/>
    <w:rsid w:val="00304F91"/>
    <w:rsid w:val="0030571B"/>
    <w:rsid w:val="00306189"/>
    <w:rsid w:val="00306D9E"/>
    <w:rsid w:val="0030748F"/>
    <w:rsid w:val="003112C7"/>
    <w:rsid w:val="00311815"/>
    <w:rsid w:val="00313095"/>
    <w:rsid w:val="00313FAF"/>
    <w:rsid w:val="00314530"/>
    <w:rsid w:val="00316294"/>
    <w:rsid w:val="003206F6"/>
    <w:rsid w:val="0032216B"/>
    <w:rsid w:val="00322542"/>
    <w:rsid w:val="00322DBF"/>
    <w:rsid w:val="00324521"/>
    <w:rsid w:val="00324BFE"/>
    <w:rsid w:val="00325102"/>
    <w:rsid w:val="00326047"/>
    <w:rsid w:val="00326E01"/>
    <w:rsid w:val="00327A8D"/>
    <w:rsid w:val="00330292"/>
    <w:rsid w:val="00330393"/>
    <w:rsid w:val="003340DB"/>
    <w:rsid w:val="00337B46"/>
    <w:rsid w:val="00341E53"/>
    <w:rsid w:val="00344E15"/>
    <w:rsid w:val="00345884"/>
    <w:rsid w:val="00345CA1"/>
    <w:rsid w:val="0034729E"/>
    <w:rsid w:val="00347725"/>
    <w:rsid w:val="00353910"/>
    <w:rsid w:val="003559A1"/>
    <w:rsid w:val="00356306"/>
    <w:rsid w:val="003568F8"/>
    <w:rsid w:val="00360349"/>
    <w:rsid w:val="00363F21"/>
    <w:rsid w:val="00365FD7"/>
    <w:rsid w:val="003676D9"/>
    <w:rsid w:val="003725B9"/>
    <w:rsid w:val="003747EE"/>
    <w:rsid w:val="00374997"/>
    <w:rsid w:val="00375A0F"/>
    <w:rsid w:val="00384116"/>
    <w:rsid w:val="00387139"/>
    <w:rsid w:val="003911F4"/>
    <w:rsid w:val="003912AD"/>
    <w:rsid w:val="003932F4"/>
    <w:rsid w:val="00393952"/>
    <w:rsid w:val="00393D2A"/>
    <w:rsid w:val="00394650"/>
    <w:rsid w:val="00394850"/>
    <w:rsid w:val="003975CF"/>
    <w:rsid w:val="003A0C67"/>
    <w:rsid w:val="003A1795"/>
    <w:rsid w:val="003A3B0B"/>
    <w:rsid w:val="003A49E8"/>
    <w:rsid w:val="003A72AD"/>
    <w:rsid w:val="003A73B8"/>
    <w:rsid w:val="003B2DDD"/>
    <w:rsid w:val="003B4F88"/>
    <w:rsid w:val="003B5048"/>
    <w:rsid w:val="003B7524"/>
    <w:rsid w:val="003C0500"/>
    <w:rsid w:val="003C1A25"/>
    <w:rsid w:val="003C43B6"/>
    <w:rsid w:val="003C57E7"/>
    <w:rsid w:val="003D1772"/>
    <w:rsid w:val="003D672A"/>
    <w:rsid w:val="003D7390"/>
    <w:rsid w:val="003D75BA"/>
    <w:rsid w:val="003D7A85"/>
    <w:rsid w:val="003D7BC9"/>
    <w:rsid w:val="003E07F4"/>
    <w:rsid w:val="003E13D0"/>
    <w:rsid w:val="003E22BE"/>
    <w:rsid w:val="003E2DC9"/>
    <w:rsid w:val="003E329A"/>
    <w:rsid w:val="003E43EC"/>
    <w:rsid w:val="003E4ADC"/>
    <w:rsid w:val="003E6AA6"/>
    <w:rsid w:val="003F12F1"/>
    <w:rsid w:val="003F166D"/>
    <w:rsid w:val="003F16C9"/>
    <w:rsid w:val="003F250A"/>
    <w:rsid w:val="003F2742"/>
    <w:rsid w:val="003F2F59"/>
    <w:rsid w:val="003F55FC"/>
    <w:rsid w:val="003F5ADD"/>
    <w:rsid w:val="003F623E"/>
    <w:rsid w:val="00402D9E"/>
    <w:rsid w:val="0040415D"/>
    <w:rsid w:val="00404190"/>
    <w:rsid w:val="0040525D"/>
    <w:rsid w:val="004062DD"/>
    <w:rsid w:val="004065F6"/>
    <w:rsid w:val="00407157"/>
    <w:rsid w:val="004076E6"/>
    <w:rsid w:val="00407EE4"/>
    <w:rsid w:val="00410457"/>
    <w:rsid w:val="00412303"/>
    <w:rsid w:val="004132BB"/>
    <w:rsid w:val="00413391"/>
    <w:rsid w:val="00413620"/>
    <w:rsid w:val="0041386C"/>
    <w:rsid w:val="0041387C"/>
    <w:rsid w:val="0041480B"/>
    <w:rsid w:val="004171CA"/>
    <w:rsid w:val="00420679"/>
    <w:rsid w:val="00420F02"/>
    <w:rsid w:val="0042132D"/>
    <w:rsid w:val="004253AB"/>
    <w:rsid w:val="004255A4"/>
    <w:rsid w:val="00425876"/>
    <w:rsid w:val="00426515"/>
    <w:rsid w:val="00426675"/>
    <w:rsid w:val="00430DA3"/>
    <w:rsid w:val="00430E99"/>
    <w:rsid w:val="00431575"/>
    <w:rsid w:val="004321FD"/>
    <w:rsid w:val="00433B24"/>
    <w:rsid w:val="00433C9D"/>
    <w:rsid w:val="00435A0B"/>
    <w:rsid w:val="0043626D"/>
    <w:rsid w:val="004379C6"/>
    <w:rsid w:val="004404EC"/>
    <w:rsid w:val="00442AD4"/>
    <w:rsid w:val="00442CFC"/>
    <w:rsid w:val="004444B7"/>
    <w:rsid w:val="00445B35"/>
    <w:rsid w:val="004479B7"/>
    <w:rsid w:val="00451459"/>
    <w:rsid w:val="004516ED"/>
    <w:rsid w:val="004521B8"/>
    <w:rsid w:val="004571E2"/>
    <w:rsid w:val="00460652"/>
    <w:rsid w:val="00460BA8"/>
    <w:rsid w:val="00460E86"/>
    <w:rsid w:val="004619BB"/>
    <w:rsid w:val="00464460"/>
    <w:rsid w:val="004661D5"/>
    <w:rsid w:val="004671D0"/>
    <w:rsid w:val="00470D86"/>
    <w:rsid w:val="00474718"/>
    <w:rsid w:val="00474DE4"/>
    <w:rsid w:val="00475F7C"/>
    <w:rsid w:val="004760F8"/>
    <w:rsid w:val="0048013E"/>
    <w:rsid w:val="0048014C"/>
    <w:rsid w:val="004811E8"/>
    <w:rsid w:val="00482B80"/>
    <w:rsid w:val="004849C5"/>
    <w:rsid w:val="00484BF4"/>
    <w:rsid w:val="004851BD"/>
    <w:rsid w:val="00486E49"/>
    <w:rsid w:val="0048754E"/>
    <w:rsid w:val="004878CA"/>
    <w:rsid w:val="00487DA3"/>
    <w:rsid w:val="0049116B"/>
    <w:rsid w:val="00492927"/>
    <w:rsid w:val="0049443F"/>
    <w:rsid w:val="0049640F"/>
    <w:rsid w:val="004A034C"/>
    <w:rsid w:val="004A1634"/>
    <w:rsid w:val="004A2AEF"/>
    <w:rsid w:val="004A3E59"/>
    <w:rsid w:val="004A473A"/>
    <w:rsid w:val="004A47D4"/>
    <w:rsid w:val="004A49A4"/>
    <w:rsid w:val="004A4CD9"/>
    <w:rsid w:val="004B06CC"/>
    <w:rsid w:val="004B06F0"/>
    <w:rsid w:val="004B17CA"/>
    <w:rsid w:val="004B231F"/>
    <w:rsid w:val="004B264D"/>
    <w:rsid w:val="004B37C0"/>
    <w:rsid w:val="004B3BB2"/>
    <w:rsid w:val="004B3D32"/>
    <w:rsid w:val="004B5627"/>
    <w:rsid w:val="004B71F7"/>
    <w:rsid w:val="004C1454"/>
    <w:rsid w:val="004C42D1"/>
    <w:rsid w:val="004D1BEF"/>
    <w:rsid w:val="004D29B8"/>
    <w:rsid w:val="004D3937"/>
    <w:rsid w:val="004D4B9B"/>
    <w:rsid w:val="004D6131"/>
    <w:rsid w:val="004E2FA0"/>
    <w:rsid w:val="004E3315"/>
    <w:rsid w:val="004F00BC"/>
    <w:rsid w:val="004F566E"/>
    <w:rsid w:val="004F6865"/>
    <w:rsid w:val="005021B3"/>
    <w:rsid w:val="005039C9"/>
    <w:rsid w:val="00504315"/>
    <w:rsid w:val="00504EFC"/>
    <w:rsid w:val="005063DE"/>
    <w:rsid w:val="00506FF0"/>
    <w:rsid w:val="005073C6"/>
    <w:rsid w:val="00507CCA"/>
    <w:rsid w:val="00507EC4"/>
    <w:rsid w:val="005107A4"/>
    <w:rsid w:val="005114F2"/>
    <w:rsid w:val="005117CC"/>
    <w:rsid w:val="0051246A"/>
    <w:rsid w:val="00512702"/>
    <w:rsid w:val="00512DE8"/>
    <w:rsid w:val="005132E2"/>
    <w:rsid w:val="00514F91"/>
    <w:rsid w:val="00515AE5"/>
    <w:rsid w:val="00515F66"/>
    <w:rsid w:val="00517752"/>
    <w:rsid w:val="00521F8E"/>
    <w:rsid w:val="0052299B"/>
    <w:rsid w:val="00523442"/>
    <w:rsid w:val="00524990"/>
    <w:rsid w:val="00525E3E"/>
    <w:rsid w:val="00527C66"/>
    <w:rsid w:val="005300D6"/>
    <w:rsid w:val="00531FCB"/>
    <w:rsid w:val="005352F5"/>
    <w:rsid w:val="00535FD4"/>
    <w:rsid w:val="0054012A"/>
    <w:rsid w:val="00540572"/>
    <w:rsid w:val="00541242"/>
    <w:rsid w:val="00542129"/>
    <w:rsid w:val="005432EB"/>
    <w:rsid w:val="00543C45"/>
    <w:rsid w:val="00543FD3"/>
    <w:rsid w:val="0054466C"/>
    <w:rsid w:val="0054647D"/>
    <w:rsid w:val="005467A0"/>
    <w:rsid w:val="005472C1"/>
    <w:rsid w:val="005474A0"/>
    <w:rsid w:val="005516F3"/>
    <w:rsid w:val="005522D5"/>
    <w:rsid w:val="00554C4D"/>
    <w:rsid w:val="00555A1B"/>
    <w:rsid w:val="0055701C"/>
    <w:rsid w:val="00560220"/>
    <w:rsid w:val="0056172E"/>
    <w:rsid w:val="0056389C"/>
    <w:rsid w:val="00564C8E"/>
    <w:rsid w:val="00565748"/>
    <w:rsid w:val="00570274"/>
    <w:rsid w:val="00570B58"/>
    <w:rsid w:val="00570F9B"/>
    <w:rsid w:val="00571128"/>
    <w:rsid w:val="005723CF"/>
    <w:rsid w:val="00573FB1"/>
    <w:rsid w:val="00575F3B"/>
    <w:rsid w:val="00575F83"/>
    <w:rsid w:val="00577307"/>
    <w:rsid w:val="00577445"/>
    <w:rsid w:val="0058089B"/>
    <w:rsid w:val="00580BF2"/>
    <w:rsid w:val="00582944"/>
    <w:rsid w:val="00583869"/>
    <w:rsid w:val="0058606F"/>
    <w:rsid w:val="0058695A"/>
    <w:rsid w:val="00586DE2"/>
    <w:rsid w:val="0058710C"/>
    <w:rsid w:val="00592027"/>
    <w:rsid w:val="0059487B"/>
    <w:rsid w:val="00596868"/>
    <w:rsid w:val="005A36E3"/>
    <w:rsid w:val="005A3C8A"/>
    <w:rsid w:val="005A3F83"/>
    <w:rsid w:val="005A489D"/>
    <w:rsid w:val="005A7812"/>
    <w:rsid w:val="005B003B"/>
    <w:rsid w:val="005B0550"/>
    <w:rsid w:val="005B1F64"/>
    <w:rsid w:val="005B43BF"/>
    <w:rsid w:val="005B44C5"/>
    <w:rsid w:val="005B52F4"/>
    <w:rsid w:val="005B548D"/>
    <w:rsid w:val="005B5AD3"/>
    <w:rsid w:val="005B5D9A"/>
    <w:rsid w:val="005B64EA"/>
    <w:rsid w:val="005B6807"/>
    <w:rsid w:val="005B69DB"/>
    <w:rsid w:val="005B7452"/>
    <w:rsid w:val="005C0442"/>
    <w:rsid w:val="005C0E87"/>
    <w:rsid w:val="005C28B5"/>
    <w:rsid w:val="005C3227"/>
    <w:rsid w:val="005C51C8"/>
    <w:rsid w:val="005C60A5"/>
    <w:rsid w:val="005C77BF"/>
    <w:rsid w:val="005D07B2"/>
    <w:rsid w:val="005D1AAB"/>
    <w:rsid w:val="005D4A0E"/>
    <w:rsid w:val="005D51C8"/>
    <w:rsid w:val="005D58B2"/>
    <w:rsid w:val="005D59E2"/>
    <w:rsid w:val="005D650F"/>
    <w:rsid w:val="005D67E7"/>
    <w:rsid w:val="005D7052"/>
    <w:rsid w:val="005E3DCE"/>
    <w:rsid w:val="005E5849"/>
    <w:rsid w:val="005E5E7F"/>
    <w:rsid w:val="005E600A"/>
    <w:rsid w:val="005E7F24"/>
    <w:rsid w:val="005F2719"/>
    <w:rsid w:val="005F2F3D"/>
    <w:rsid w:val="005F4536"/>
    <w:rsid w:val="005F5E52"/>
    <w:rsid w:val="005F5F9C"/>
    <w:rsid w:val="005F6A22"/>
    <w:rsid w:val="005F7110"/>
    <w:rsid w:val="0060028C"/>
    <w:rsid w:val="0060108F"/>
    <w:rsid w:val="006032DC"/>
    <w:rsid w:val="00603BC5"/>
    <w:rsid w:val="00604416"/>
    <w:rsid w:val="00604EF2"/>
    <w:rsid w:val="00605791"/>
    <w:rsid w:val="0060668C"/>
    <w:rsid w:val="00606CF2"/>
    <w:rsid w:val="00607A71"/>
    <w:rsid w:val="00611827"/>
    <w:rsid w:val="00612BA5"/>
    <w:rsid w:val="006138A7"/>
    <w:rsid w:val="00613E6B"/>
    <w:rsid w:val="00617B8E"/>
    <w:rsid w:val="00617ECA"/>
    <w:rsid w:val="00621D05"/>
    <w:rsid w:val="00624DF2"/>
    <w:rsid w:val="00625479"/>
    <w:rsid w:val="006262A1"/>
    <w:rsid w:val="00626E80"/>
    <w:rsid w:val="00627996"/>
    <w:rsid w:val="00627C0B"/>
    <w:rsid w:val="0063048E"/>
    <w:rsid w:val="00631254"/>
    <w:rsid w:val="00631371"/>
    <w:rsid w:val="00633996"/>
    <w:rsid w:val="00633ACE"/>
    <w:rsid w:val="00633BBF"/>
    <w:rsid w:val="006361B8"/>
    <w:rsid w:val="00637851"/>
    <w:rsid w:val="00640917"/>
    <w:rsid w:val="00640C28"/>
    <w:rsid w:val="006412CE"/>
    <w:rsid w:val="00642710"/>
    <w:rsid w:val="006469CC"/>
    <w:rsid w:val="00647174"/>
    <w:rsid w:val="006474D5"/>
    <w:rsid w:val="00650E63"/>
    <w:rsid w:val="006552E8"/>
    <w:rsid w:val="006568C2"/>
    <w:rsid w:val="00656B01"/>
    <w:rsid w:val="00657A4D"/>
    <w:rsid w:val="006613BC"/>
    <w:rsid w:val="00661BFE"/>
    <w:rsid w:val="00662190"/>
    <w:rsid w:val="00662796"/>
    <w:rsid w:val="00673BD1"/>
    <w:rsid w:val="006757A9"/>
    <w:rsid w:val="006760CB"/>
    <w:rsid w:val="006825A8"/>
    <w:rsid w:val="00682BAA"/>
    <w:rsid w:val="00682BC5"/>
    <w:rsid w:val="00684A1B"/>
    <w:rsid w:val="00684C5B"/>
    <w:rsid w:val="00685865"/>
    <w:rsid w:val="00685FBE"/>
    <w:rsid w:val="006867FD"/>
    <w:rsid w:val="00686BF3"/>
    <w:rsid w:val="006906D3"/>
    <w:rsid w:val="006A0527"/>
    <w:rsid w:val="006A21D1"/>
    <w:rsid w:val="006A262A"/>
    <w:rsid w:val="006A400D"/>
    <w:rsid w:val="006A44F1"/>
    <w:rsid w:val="006A5671"/>
    <w:rsid w:val="006B0CA0"/>
    <w:rsid w:val="006B1285"/>
    <w:rsid w:val="006B2497"/>
    <w:rsid w:val="006B2808"/>
    <w:rsid w:val="006B3A2F"/>
    <w:rsid w:val="006B520D"/>
    <w:rsid w:val="006C1ED7"/>
    <w:rsid w:val="006C278C"/>
    <w:rsid w:val="006C3F77"/>
    <w:rsid w:val="006C59D7"/>
    <w:rsid w:val="006C6AC0"/>
    <w:rsid w:val="006D0503"/>
    <w:rsid w:val="006D1068"/>
    <w:rsid w:val="006D1560"/>
    <w:rsid w:val="006D1794"/>
    <w:rsid w:val="006D1C08"/>
    <w:rsid w:val="006D31DE"/>
    <w:rsid w:val="006D41AF"/>
    <w:rsid w:val="006D4D8A"/>
    <w:rsid w:val="006D680B"/>
    <w:rsid w:val="006D7DED"/>
    <w:rsid w:val="006E386A"/>
    <w:rsid w:val="006E438F"/>
    <w:rsid w:val="006E51E2"/>
    <w:rsid w:val="006E5F4D"/>
    <w:rsid w:val="006E645F"/>
    <w:rsid w:val="006E65FD"/>
    <w:rsid w:val="006E6DFF"/>
    <w:rsid w:val="006F0637"/>
    <w:rsid w:val="006F1A65"/>
    <w:rsid w:val="006F4E28"/>
    <w:rsid w:val="006F5D16"/>
    <w:rsid w:val="0070191D"/>
    <w:rsid w:val="0070277B"/>
    <w:rsid w:val="007030C7"/>
    <w:rsid w:val="007037F4"/>
    <w:rsid w:val="00703DE2"/>
    <w:rsid w:val="0070408F"/>
    <w:rsid w:val="00704289"/>
    <w:rsid w:val="00706BE4"/>
    <w:rsid w:val="007102B3"/>
    <w:rsid w:val="007103FF"/>
    <w:rsid w:val="00710EA7"/>
    <w:rsid w:val="00712840"/>
    <w:rsid w:val="00712D1D"/>
    <w:rsid w:val="00713311"/>
    <w:rsid w:val="00713353"/>
    <w:rsid w:val="00713B20"/>
    <w:rsid w:val="00715DED"/>
    <w:rsid w:val="007202F1"/>
    <w:rsid w:val="00720D25"/>
    <w:rsid w:val="00722B4C"/>
    <w:rsid w:val="00722E42"/>
    <w:rsid w:val="00723200"/>
    <w:rsid w:val="007242D1"/>
    <w:rsid w:val="00725474"/>
    <w:rsid w:val="00730049"/>
    <w:rsid w:val="00731178"/>
    <w:rsid w:val="00731CAB"/>
    <w:rsid w:val="00733D11"/>
    <w:rsid w:val="00734A7A"/>
    <w:rsid w:val="007350B4"/>
    <w:rsid w:val="00736E51"/>
    <w:rsid w:val="007402D2"/>
    <w:rsid w:val="00740E05"/>
    <w:rsid w:val="00741030"/>
    <w:rsid w:val="00742927"/>
    <w:rsid w:val="00742A08"/>
    <w:rsid w:val="00743DDD"/>
    <w:rsid w:val="007442E3"/>
    <w:rsid w:val="00745E6D"/>
    <w:rsid w:val="007466A5"/>
    <w:rsid w:val="00746C4A"/>
    <w:rsid w:val="00747409"/>
    <w:rsid w:val="00747548"/>
    <w:rsid w:val="007506AC"/>
    <w:rsid w:val="00752598"/>
    <w:rsid w:val="00753207"/>
    <w:rsid w:val="00753E95"/>
    <w:rsid w:val="00760411"/>
    <w:rsid w:val="00761556"/>
    <w:rsid w:val="00763314"/>
    <w:rsid w:val="00765492"/>
    <w:rsid w:val="0076566A"/>
    <w:rsid w:val="00766E95"/>
    <w:rsid w:val="00774219"/>
    <w:rsid w:val="00775723"/>
    <w:rsid w:val="00775BBE"/>
    <w:rsid w:val="00776474"/>
    <w:rsid w:val="00777624"/>
    <w:rsid w:val="00780E18"/>
    <w:rsid w:val="0078172D"/>
    <w:rsid w:val="00781EFF"/>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3B65"/>
    <w:rsid w:val="007B404C"/>
    <w:rsid w:val="007B717C"/>
    <w:rsid w:val="007C0788"/>
    <w:rsid w:val="007C1E79"/>
    <w:rsid w:val="007C52B3"/>
    <w:rsid w:val="007C6B20"/>
    <w:rsid w:val="007C7671"/>
    <w:rsid w:val="007D0554"/>
    <w:rsid w:val="007D0816"/>
    <w:rsid w:val="007D191E"/>
    <w:rsid w:val="007D1961"/>
    <w:rsid w:val="007D1A54"/>
    <w:rsid w:val="007D2DBB"/>
    <w:rsid w:val="007D32B1"/>
    <w:rsid w:val="007D3E7B"/>
    <w:rsid w:val="007D52F8"/>
    <w:rsid w:val="007D57F7"/>
    <w:rsid w:val="007D5F87"/>
    <w:rsid w:val="007D6927"/>
    <w:rsid w:val="007D7E86"/>
    <w:rsid w:val="007E05AA"/>
    <w:rsid w:val="007E08A2"/>
    <w:rsid w:val="007E2861"/>
    <w:rsid w:val="007E2D73"/>
    <w:rsid w:val="007E32CD"/>
    <w:rsid w:val="007E53E1"/>
    <w:rsid w:val="007E6720"/>
    <w:rsid w:val="007E67BF"/>
    <w:rsid w:val="007E7D66"/>
    <w:rsid w:val="007F18B0"/>
    <w:rsid w:val="007F2F0F"/>
    <w:rsid w:val="007F550C"/>
    <w:rsid w:val="007F6190"/>
    <w:rsid w:val="007F6303"/>
    <w:rsid w:val="007F7874"/>
    <w:rsid w:val="00800032"/>
    <w:rsid w:val="00800383"/>
    <w:rsid w:val="00800465"/>
    <w:rsid w:val="00800B66"/>
    <w:rsid w:val="008017F2"/>
    <w:rsid w:val="008018B5"/>
    <w:rsid w:val="00801D69"/>
    <w:rsid w:val="00802A94"/>
    <w:rsid w:val="00803999"/>
    <w:rsid w:val="00805867"/>
    <w:rsid w:val="0080636F"/>
    <w:rsid w:val="00807BFF"/>
    <w:rsid w:val="00813180"/>
    <w:rsid w:val="00813373"/>
    <w:rsid w:val="008156AC"/>
    <w:rsid w:val="008158AC"/>
    <w:rsid w:val="0081645F"/>
    <w:rsid w:val="008169EF"/>
    <w:rsid w:val="00816F93"/>
    <w:rsid w:val="0082090C"/>
    <w:rsid w:val="008211B5"/>
    <w:rsid w:val="00821DE1"/>
    <w:rsid w:val="00822A17"/>
    <w:rsid w:val="00822B6C"/>
    <w:rsid w:val="008257C6"/>
    <w:rsid w:val="00826D35"/>
    <w:rsid w:val="008275EE"/>
    <w:rsid w:val="008320A3"/>
    <w:rsid w:val="00832FD7"/>
    <w:rsid w:val="00833CEC"/>
    <w:rsid w:val="0083420B"/>
    <w:rsid w:val="008344D1"/>
    <w:rsid w:val="00834E6A"/>
    <w:rsid w:val="00836D05"/>
    <w:rsid w:val="00842441"/>
    <w:rsid w:val="008429C5"/>
    <w:rsid w:val="0084370A"/>
    <w:rsid w:val="00843AD9"/>
    <w:rsid w:val="00844BEE"/>
    <w:rsid w:val="00846965"/>
    <w:rsid w:val="00847D82"/>
    <w:rsid w:val="00850188"/>
    <w:rsid w:val="00850EFB"/>
    <w:rsid w:val="00851AE0"/>
    <w:rsid w:val="00851B71"/>
    <w:rsid w:val="00853BDB"/>
    <w:rsid w:val="00853EB5"/>
    <w:rsid w:val="00854825"/>
    <w:rsid w:val="00854C0D"/>
    <w:rsid w:val="00854D7A"/>
    <w:rsid w:val="00854FDF"/>
    <w:rsid w:val="00856FD6"/>
    <w:rsid w:val="00860109"/>
    <w:rsid w:val="00860B5B"/>
    <w:rsid w:val="00862246"/>
    <w:rsid w:val="00862CF5"/>
    <w:rsid w:val="00862E9E"/>
    <w:rsid w:val="008634E5"/>
    <w:rsid w:val="00866A85"/>
    <w:rsid w:val="00870E6D"/>
    <w:rsid w:val="00871EB9"/>
    <w:rsid w:val="008759D0"/>
    <w:rsid w:val="00876F8A"/>
    <w:rsid w:val="00881FF0"/>
    <w:rsid w:val="0088590B"/>
    <w:rsid w:val="008908C3"/>
    <w:rsid w:val="00890E98"/>
    <w:rsid w:val="008929D0"/>
    <w:rsid w:val="00893479"/>
    <w:rsid w:val="00893E97"/>
    <w:rsid w:val="008944A3"/>
    <w:rsid w:val="00896697"/>
    <w:rsid w:val="008A1912"/>
    <w:rsid w:val="008A4E5F"/>
    <w:rsid w:val="008A5AE5"/>
    <w:rsid w:val="008A602F"/>
    <w:rsid w:val="008A6095"/>
    <w:rsid w:val="008A68C3"/>
    <w:rsid w:val="008B14C4"/>
    <w:rsid w:val="008B2491"/>
    <w:rsid w:val="008B4637"/>
    <w:rsid w:val="008B5AA2"/>
    <w:rsid w:val="008C002C"/>
    <w:rsid w:val="008C3631"/>
    <w:rsid w:val="008C3CEA"/>
    <w:rsid w:val="008C44CE"/>
    <w:rsid w:val="008C67CA"/>
    <w:rsid w:val="008D00E8"/>
    <w:rsid w:val="008D0498"/>
    <w:rsid w:val="008D0E3B"/>
    <w:rsid w:val="008D128E"/>
    <w:rsid w:val="008D1D16"/>
    <w:rsid w:val="008D24F5"/>
    <w:rsid w:val="008D25B6"/>
    <w:rsid w:val="008D2782"/>
    <w:rsid w:val="008E016D"/>
    <w:rsid w:val="008E09CA"/>
    <w:rsid w:val="008E456B"/>
    <w:rsid w:val="008E4A3B"/>
    <w:rsid w:val="008E4D07"/>
    <w:rsid w:val="008E7F86"/>
    <w:rsid w:val="008F238F"/>
    <w:rsid w:val="008F36B9"/>
    <w:rsid w:val="008F5EA5"/>
    <w:rsid w:val="008F6EB6"/>
    <w:rsid w:val="00900F7E"/>
    <w:rsid w:val="00901510"/>
    <w:rsid w:val="00901A26"/>
    <w:rsid w:val="00903128"/>
    <w:rsid w:val="00903A21"/>
    <w:rsid w:val="00906E18"/>
    <w:rsid w:val="009103AC"/>
    <w:rsid w:val="009143FB"/>
    <w:rsid w:val="00915C8B"/>
    <w:rsid w:val="0091656F"/>
    <w:rsid w:val="00920455"/>
    <w:rsid w:val="00922EA2"/>
    <w:rsid w:val="00923554"/>
    <w:rsid w:val="00923713"/>
    <w:rsid w:val="0093152C"/>
    <w:rsid w:val="00935459"/>
    <w:rsid w:val="0093562B"/>
    <w:rsid w:val="009413B8"/>
    <w:rsid w:val="009430AC"/>
    <w:rsid w:val="0094470E"/>
    <w:rsid w:val="009451CB"/>
    <w:rsid w:val="00945CFF"/>
    <w:rsid w:val="009471D1"/>
    <w:rsid w:val="0094760B"/>
    <w:rsid w:val="00951A7D"/>
    <w:rsid w:val="0095227F"/>
    <w:rsid w:val="009531E4"/>
    <w:rsid w:val="00955AF7"/>
    <w:rsid w:val="00956137"/>
    <w:rsid w:val="0096018A"/>
    <w:rsid w:val="00961209"/>
    <w:rsid w:val="00961CA2"/>
    <w:rsid w:val="00961E2A"/>
    <w:rsid w:val="00962024"/>
    <w:rsid w:val="0096237A"/>
    <w:rsid w:val="00965575"/>
    <w:rsid w:val="009671EF"/>
    <w:rsid w:val="00972512"/>
    <w:rsid w:val="0097268A"/>
    <w:rsid w:val="0097373B"/>
    <w:rsid w:val="00976AF8"/>
    <w:rsid w:val="00977E50"/>
    <w:rsid w:val="009808DB"/>
    <w:rsid w:val="00980BB2"/>
    <w:rsid w:val="00981803"/>
    <w:rsid w:val="009823D3"/>
    <w:rsid w:val="00983976"/>
    <w:rsid w:val="0098428C"/>
    <w:rsid w:val="00986F88"/>
    <w:rsid w:val="00987A3A"/>
    <w:rsid w:val="00992FA8"/>
    <w:rsid w:val="00995FE6"/>
    <w:rsid w:val="009A05A7"/>
    <w:rsid w:val="009A188F"/>
    <w:rsid w:val="009A29DA"/>
    <w:rsid w:val="009A5B10"/>
    <w:rsid w:val="009A70D8"/>
    <w:rsid w:val="009A7C0B"/>
    <w:rsid w:val="009B08CB"/>
    <w:rsid w:val="009B0B16"/>
    <w:rsid w:val="009B18E1"/>
    <w:rsid w:val="009B309E"/>
    <w:rsid w:val="009B30D9"/>
    <w:rsid w:val="009B3D69"/>
    <w:rsid w:val="009B6097"/>
    <w:rsid w:val="009B66AA"/>
    <w:rsid w:val="009B74C3"/>
    <w:rsid w:val="009C2AEA"/>
    <w:rsid w:val="009C4EAC"/>
    <w:rsid w:val="009C6D37"/>
    <w:rsid w:val="009C6DD3"/>
    <w:rsid w:val="009C7626"/>
    <w:rsid w:val="009D10EA"/>
    <w:rsid w:val="009D1541"/>
    <w:rsid w:val="009D1CD1"/>
    <w:rsid w:val="009D20F2"/>
    <w:rsid w:val="009D4EDA"/>
    <w:rsid w:val="009D7365"/>
    <w:rsid w:val="009E0B1E"/>
    <w:rsid w:val="009E2403"/>
    <w:rsid w:val="009E3615"/>
    <w:rsid w:val="009E3ABB"/>
    <w:rsid w:val="009E3AD0"/>
    <w:rsid w:val="009E3D62"/>
    <w:rsid w:val="009F0E85"/>
    <w:rsid w:val="009F1526"/>
    <w:rsid w:val="009F24E4"/>
    <w:rsid w:val="009F55D4"/>
    <w:rsid w:val="009F7B8D"/>
    <w:rsid w:val="00A0370A"/>
    <w:rsid w:val="00A040D4"/>
    <w:rsid w:val="00A046E3"/>
    <w:rsid w:val="00A04F48"/>
    <w:rsid w:val="00A05511"/>
    <w:rsid w:val="00A15988"/>
    <w:rsid w:val="00A15D25"/>
    <w:rsid w:val="00A15FD8"/>
    <w:rsid w:val="00A20C5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35EB"/>
    <w:rsid w:val="00A44FB5"/>
    <w:rsid w:val="00A45F3B"/>
    <w:rsid w:val="00A477FB"/>
    <w:rsid w:val="00A52F00"/>
    <w:rsid w:val="00A53221"/>
    <w:rsid w:val="00A55140"/>
    <w:rsid w:val="00A55530"/>
    <w:rsid w:val="00A55E30"/>
    <w:rsid w:val="00A56A87"/>
    <w:rsid w:val="00A57F33"/>
    <w:rsid w:val="00A629AC"/>
    <w:rsid w:val="00A66647"/>
    <w:rsid w:val="00A66E81"/>
    <w:rsid w:val="00A673EB"/>
    <w:rsid w:val="00A67B86"/>
    <w:rsid w:val="00A70225"/>
    <w:rsid w:val="00A70400"/>
    <w:rsid w:val="00A72496"/>
    <w:rsid w:val="00A72603"/>
    <w:rsid w:val="00A73A2F"/>
    <w:rsid w:val="00A743E1"/>
    <w:rsid w:val="00A76C79"/>
    <w:rsid w:val="00A80293"/>
    <w:rsid w:val="00A810CD"/>
    <w:rsid w:val="00A8111F"/>
    <w:rsid w:val="00A81A7B"/>
    <w:rsid w:val="00A825E5"/>
    <w:rsid w:val="00A82F52"/>
    <w:rsid w:val="00A83001"/>
    <w:rsid w:val="00A83FE8"/>
    <w:rsid w:val="00A84F00"/>
    <w:rsid w:val="00A86D6A"/>
    <w:rsid w:val="00A91296"/>
    <w:rsid w:val="00A920E5"/>
    <w:rsid w:val="00A92202"/>
    <w:rsid w:val="00A93FC1"/>
    <w:rsid w:val="00A969F6"/>
    <w:rsid w:val="00A97B24"/>
    <w:rsid w:val="00AA0188"/>
    <w:rsid w:val="00AA28B4"/>
    <w:rsid w:val="00AA6218"/>
    <w:rsid w:val="00AA6A5E"/>
    <w:rsid w:val="00AB3147"/>
    <w:rsid w:val="00AB4A86"/>
    <w:rsid w:val="00AC2B2D"/>
    <w:rsid w:val="00AC3AA5"/>
    <w:rsid w:val="00AC4DF8"/>
    <w:rsid w:val="00AC4EFE"/>
    <w:rsid w:val="00AC605B"/>
    <w:rsid w:val="00AC6B48"/>
    <w:rsid w:val="00AD0007"/>
    <w:rsid w:val="00AD08E1"/>
    <w:rsid w:val="00AD12F4"/>
    <w:rsid w:val="00AD168B"/>
    <w:rsid w:val="00AD1949"/>
    <w:rsid w:val="00AD4B11"/>
    <w:rsid w:val="00AE0609"/>
    <w:rsid w:val="00AE0E61"/>
    <w:rsid w:val="00AE10CB"/>
    <w:rsid w:val="00AE23BF"/>
    <w:rsid w:val="00AE3182"/>
    <w:rsid w:val="00AE52B2"/>
    <w:rsid w:val="00AE63D5"/>
    <w:rsid w:val="00AE7619"/>
    <w:rsid w:val="00AF361F"/>
    <w:rsid w:val="00AF543F"/>
    <w:rsid w:val="00AF6BAB"/>
    <w:rsid w:val="00B00638"/>
    <w:rsid w:val="00B024FE"/>
    <w:rsid w:val="00B0398F"/>
    <w:rsid w:val="00B04F55"/>
    <w:rsid w:val="00B05B5F"/>
    <w:rsid w:val="00B06115"/>
    <w:rsid w:val="00B0751C"/>
    <w:rsid w:val="00B12DE7"/>
    <w:rsid w:val="00B12E5F"/>
    <w:rsid w:val="00B14265"/>
    <w:rsid w:val="00B142A8"/>
    <w:rsid w:val="00B14DFD"/>
    <w:rsid w:val="00B165C0"/>
    <w:rsid w:val="00B177C9"/>
    <w:rsid w:val="00B20C44"/>
    <w:rsid w:val="00B21FD1"/>
    <w:rsid w:val="00B235C2"/>
    <w:rsid w:val="00B26413"/>
    <w:rsid w:val="00B268B2"/>
    <w:rsid w:val="00B26FEF"/>
    <w:rsid w:val="00B3042A"/>
    <w:rsid w:val="00B304FD"/>
    <w:rsid w:val="00B3179F"/>
    <w:rsid w:val="00B319D0"/>
    <w:rsid w:val="00B31F92"/>
    <w:rsid w:val="00B35542"/>
    <w:rsid w:val="00B36E3A"/>
    <w:rsid w:val="00B414A6"/>
    <w:rsid w:val="00B41C9C"/>
    <w:rsid w:val="00B42965"/>
    <w:rsid w:val="00B45933"/>
    <w:rsid w:val="00B45F8C"/>
    <w:rsid w:val="00B4677F"/>
    <w:rsid w:val="00B47D6F"/>
    <w:rsid w:val="00B51AAC"/>
    <w:rsid w:val="00B52D72"/>
    <w:rsid w:val="00B53805"/>
    <w:rsid w:val="00B572B0"/>
    <w:rsid w:val="00B647FD"/>
    <w:rsid w:val="00B65DF4"/>
    <w:rsid w:val="00B66083"/>
    <w:rsid w:val="00B7008F"/>
    <w:rsid w:val="00B70663"/>
    <w:rsid w:val="00B75210"/>
    <w:rsid w:val="00B76175"/>
    <w:rsid w:val="00B77480"/>
    <w:rsid w:val="00B804DA"/>
    <w:rsid w:val="00B85A4C"/>
    <w:rsid w:val="00B85D0F"/>
    <w:rsid w:val="00B8667B"/>
    <w:rsid w:val="00B907A6"/>
    <w:rsid w:val="00B925C6"/>
    <w:rsid w:val="00B936F6"/>
    <w:rsid w:val="00B94373"/>
    <w:rsid w:val="00B94668"/>
    <w:rsid w:val="00B950C0"/>
    <w:rsid w:val="00B95901"/>
    <w:rsid w:val="00B96433"/>
    <w:rsid w:val="00B96862"/>
    <w:rsid w:val="00B969D5"/>
    <w:rsid w:val="00BA0C4A"/>
    <w:rsid w:val="00BA11F5"/>
    <w:rsid w:val="00BA1275"/>
    <w:rsid w:val="00BA12E9"/>
    <w:rsid w:val="00BA2CFE"/>
    <w:rsid w:val="00BA3130"/>
    <w:rsid w:val="00BA6B2D"/>
    <w:rsid w:val="00BA7E86"/>
    <w:rsid w:val="00BB186F"/>
    <w:rsid w:val="00BB454B"/>
    <w:rsid w:val="00BB57CE"/>
    <w:rsid w:val="00BB59CE"/>
    <w:rsid w:val="00BB6C62"/>
    <w:rsid w:val="00BB6FC8"/>
    <w:rsid w:val="00BC0846"/>
    <w:rsid w:val="00BC0F96"/>
    <w:rsid w:val="00BC1C66"/>
    <w:rsid w:val="00BC221B"/>
    <w:rsid w:val="00BC451A"/>
    <w:rsid w:val="00BC5456"/>
    <w:rsid w:val="00BC6A40"/>
    <w:rsid w:val="00BC71EB"/>
    <w:rsid w:val="00BD06AD"/>
    <w:rsid w:val="00BD07E8"/>
    <w:rsid w:val="00BD14DB"/>
    <w:rsid w:val="00BD2466"/>
    <w:rsid w:val="00BD3813"/>
    <w:rsid w:val="00BE0002"/>
    <w:rsid w:val="00BE2895"/>
    <w:rsid w:val="00BE3197"/>
    <w:rsid w:val="00BE3D82"/>
    <w:rsid w:val="00BE509D"/>
    <w:rsid w:val="00BF0E87"/>
    <w:rsid w:val="00BF144D"/>
    <w:rsid w:val="00BF295D"/>
    <w:rsid w:val="00BF4F6F"/>
    <w:rsid w:val="00BF5792"/>
    <w:rsid w:val="00BF59D6"/>
    <w:rsid w:val="00BF6A36"/>
    <w:rsid w:val="00BF7EAB"/>
    <w:rsid w:val="00C00D41"/>
    <w:rsid w:val="00C011CA"/>
    <w:rsid w:val="00C0291D"/>
    <w:rsid w:val="00C029B0"/>
    <w:rsid w:val="00C039F5"/>
    <w:rsid w:val="00C049C9"/>
    <w:rsid w:val="00C07A56"/>
    <w:rsid w:val="00C1088D"/>
    <w:rsid w:val="00C12640"/>
    <w:rsid w:val="00C13200"/>
    <w:rsid w:val="00C13686"/>
    <w:rsid w:val="00C1446B"/>
    <w:rsid w:val="00C14E21"/>
    <w:rsid w:val="00C15252"/>
    <w:rsid w:val="00C15AD7"/>
    <w:rsid w:val="00C16F20"/>
    <w:rsid w:val="00C177CC"/>
    <w:rsid w:val="00C21C37"/>
    <w:rsid w:val="00C2613B"/>
    <w:rsid w:val="00C32017"/>
    <w:rsid w:val="00C320D4"/>
    <w:rsid w:val="00C32255"/>
    <w:rsid w:val="00C3257C"/>
    <w:rsid w:val="00C33980"/>
    <w:rsid w:val="00C33C4F"/>
    <w:rsid w:val="00C34C45"/>
    <w:rsid w:val="00C35234"/>
    <w:rsid w:val="00C3543E"/>
    <w:rsid w:val="00C35547"/>
    <w:rsid w:val="00C37EE6"/>
    <w:rsid w:val="00C40447"/>
    <w:rsid w:val="00C406E5"/>
    <w:rsid w:val="00C40751"/>
    <w:rsid w:val="00C40AA3"/>
    <w:rsid w:val="00C40CB3"/>
    <w:rsid w:val="00C44C32"/>
    <w:rsid w:val="00C44F54"/>
    <w:rsid w:val="00C46410"/>
    <w:rsid w:val="00C46EC0"/>
    <w:rsid w:val="00C47BCA"/>
    <w:rsid w:val="00C47FFC"/>
    <w:rsid w:val="00C50A36"/>
    <w:rsid w:val="00C52C1F"/>
    <w:rsid w:val="00C53B7B"/>
    <w:rsid w:val="00C562F5"/>
    <w:rsid w:val="00C5647C"/>
    <w:rsid w:val="00C57C3B"/>
    <w:rsid w:val="00C6204F"/>
    <w:rsid w:val="00C64858"/>
    <w:rsid w:val="00C66A1A"/>
    <w:rsid w:val="00C672BC"/>
    <w:rsid w:val="00C67BBA"/>
    <w:rsid w:val="00C70146"/>
    <w:rsid w:val="00C74DF5"/>
    <w:rsid w:val="00C813A6"/>
    <w:rsid w:val="00C822A4"/>
    <w:rsid w:val="00C83B9B"/>
    <w:rsid w:val="00C83C74"/>
    <w:rsid w:val="00C84E56"/>
    <w:rsid w:val="00C85B0D"/>
    <w:rsid w:val="00C85E03"/>
    <w:rsid w:val="00C86384"/>
    <w:rsid w:val="00C87509"/>
    <w:rsid w:val="00C878B0"/>
    <w:rsid w:val="00C91A7C"/>
    <w:rsid w:val="00C9657D"/>
    <w:rsid w:val="00CA0D07"/>
    <w:rsid w:val="00CA1878"/>
    <w:rsid w:val="00CA215F"/>
    <w:rsid w:val="00CA239D"/>
    <w:rsid w:val="00CA3485"/>
    <w:rsid w:val="00CA497D"/>
    <w:rsid w:val="00CB020A"/>
    <w:rsid w:val="00CB12E9"/>
    <w:rsid w:val="00CB2871"/>
    <w:rsid w:val="00CB2E92"/>
    <w:rsid w:val="00CB3BA0"/>
    <w:rsid w:val="00CB3DC6"/>
    <w:rsid w:val="00CB435E"/>
    <w:rsid w:val="00CB5002"/>
    <w:rsid w:val="00CB5B8C"/>
    <w:rsid w:val="00CB5CDA"/>
    <w:rsid w:val="00CB6711"/>
    <w:rsid w:val="00CB675F"/>
    <w:rsid w:val="00CC054E"/>
    <w:rsid w:val="00CC0775"/>
    <w:rsid w:val="00CC34D4"/>
    <w:rsid w:val="00CC3776"/>
    <w:rsid w:val="00CC5DDC"/>
    <w:rsid w:val="00CD1629"/>
    <w:rsid w:val="00CD4FA5"/>
    <w:rsid w:val="00CD5822"/>
    <w:rsid w:val="00CD7CBE"/>
    <w:rsid w:val="00CE05AD"/>
    <w:rsid w:val="00CE1E13"/>
    <w:rsid w:val="00CE2AEB"/>
    <w:rsid w:val="00CE3A3D"/>
    <w:rsid w:val="00CE3E37"/>
    <w:rsid w:val="00CE3FFF"/>
    <w:rsid w:val="00CE532B"/>
    <w:rsid w:val="00CE7315"/>
    <w:rsid w:val="00CE7678"/>
    <w:rsid w:val="00CE7F16"/>
    <w:rsid w:val="00CF081A"/>
    <w:rsid w:val="00CF3A4F"/>
    <w:rsid w:val="00CF684B"/>
    <w:rsid w:val="00D008C3"/>
    <w:rsid w:val="00D01CB0"/>
    <w:rsid w:val="00D035FD"/>
    <w:rsid w:val="00D071F3"/>
    <w:rsid w:val="00D07AC3"/>
    <w:rsid w:val="00D1119E"/>
    <w:rsid w:val="00D13DE2"/>
    <w:rsid w:val="00D13F7F"/>
    <w:rsid w:val="00D14754"/>
    <w:rsid w:val="00D1589F"/>
    <w:rsid w:val="00D16B20"/>
    <w:rsid w:val="00D1765D"/>
    <w:rsid w:val="00D17CB5"/>
    <w:rsid w:val="00D202CE"/>
    <w:rsid w:val="00D214A0"/>
    <w:rsid w:val="00D21F50"/>
    <w:rsid w:val="00D25D42"/>
    <w:rsid w:val="00D26799"/>
    <w:rsid w:val="00D300A2"/>
    <w:rsid w:val="00D30F52"/>
    <w:rsid w:val="00D318F4"/>
    <w:rsid w:val="00D330B3"/>
    <w:rsid w:val="00D335F0"/>
    <w:rsid w:val="00D34049"/>
    <w:rsid w:val="00D34262"/>
    <w:rsid w:val="00D342EB"/>
    <w:rsid w:val="00D35C24"/>
    <w:rsid w:val="00D36795"/>
    <w:rsid w:val="00D37860"/>
    <w:rsid w:val="00D37C18"/>
    <w:rsid w:val="00D423C0"/>
    <w:rsid w:val="00D426F8"/>
    <w:rsid w:val="00D4382C"/>
    <w:rsid w:val="00D447B2"/>
    <w:rsid w:val="00D44977"/>
    <w:rsid w:val="00D44DEA"/>
    <w:rsid w:val="00D456F1"/>
    <w:rsid w:val="00D4591E"/>
    <w:rsid w:val="00D52BF2"/>
    <w:rsid w:val="00D548E2"/>
    <w:rsid w:val="00D54B98"/>
    <w:rsid w:val="00D55014"/>
    <w:rsid w:val="00D5606C"/>
    <w:rsid w:val="00D569FC"/>
    <w:rsid w:val="00D575BF"/>
    <w:rsid w:val="00D62B18"/>
    <w:rsid w:val="00D62BC3"/>
    <w:rsid w:val="00D62E3F"/>
    <w:rsid w:val="00D631C4"/>
    <w:rsid w:val="00D65393"/>
    <w:rsid w:val="00D656CC"/>
    <w:rsid w:val="00D70C84"/>
    <w:rsid w:val="00D71B84"/>
    <w:rsid w:val="00D72E28"/>
    <w:rsid w:val="00D736FD"/>
    <w:rsid w:val="00D7416B"/>
    <w:rsid w:val="00D74443"/>
    <w:rsid w:val="00D763EF"/>
    <w:rsid w:val="00D808DA"/>
    <w:rsid w:val="00D80A79"/>
    <w:rsid w:val="00D80B64"/>
    <w:rsid w:val="00D831F7"/>
    <w:rsid w:val="00D852BA"/>
    <w:rsid w:val="00D92A32"/>
    <w:rsid w:val="00D932DB"/>
    <w:rsid w:val="00D94888"/>
    <w:rsid w:val="00DA141C"/>
    <w:rsid w:val="00DA2AA1"/>
    <w:rsid w:val="00DA5511"/>
    <w:rsid w:val="00DA6249"/>
    <w:rsid w:val="00DA6BA2"/>
    <w:rsid w:val="00DA6E85"/>
    <w:rsid w:val="00DA7965"/>
    <w:rsid w:val="00DB2BA3"/>
    <w:rsid w:val="00DB317D"/>
    <w:rsid w:val="00DB32A9"/>
    <w:rsid w:val="00DB46BA"/>
    <w:rsid w:val="00DB59B1"/>
    <w:rsid w:val="00DB626B"/>
    <w:rsid w:val="00DB62BE"/>
    <w:rsid w:val="00DB6EF1"/>
    <w:rsid w:val="00DB7E90"/>
    <w:rsid w:val="00DC0D48"/>
    <w:rsid w:val="00DC3F5A"/>
    <w:rsid w:val="00DC410E"/>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274B"/>
    <w:rsid w:val="00E04E5B"/>
    <w:rsid w:val="00E0591C"/>
    <w:rsid w:val="00E064BE"/>
    <w:rsid w:val="00E06A12"/>
    <w:rsid w:val="00E0705B"/>
    <w:rsid w:val="00E07FA9"/>
    <w:rsid w:val="00E108DB"/>
    <w:rsid w:val="00E11F78"/>
    <w:rsid w:val="00E1250A"/>
    <w:rsid w:val="00E1267D"/>
    <w:rsid w:val="00E13361"/>
    <w:rsid w:val="00E15115"/>
    <w:rsid w:val="00E157F5"/>
    <w:rsid w:val="00E1765C"/>
    <w:rsid w:val="00E22266"/>
    <w:rsid w:val="00E2277B"/>
    <w:rsid w:val="00E2389C"/>
    <w:rsid w:val="00E251AF"/>
    <w:rsid w:val="00E266EA"/>
    <w:rsid w:val="00E32833"/>
    <w:rsid w:val="00E32F27"/>
    <w:rsid w:val="00E33030"/>
    <w:rsid w:val="00E33BDF"/>
    <w:rsid w:val="00E34D58"/>
    <w:rsid w:val="00E36D58"/>
    <w:rsid w:val="00E454F8"/>
    <w:rsid w:val="00E45F28"/>
    <w:rsid w:val="00E462B0"/>
    <w:rsid w:val="00E53131"/>
    <w:rsid w:val="00E5533D"/>
    <w:rsid w:val="00E567C6"/>
    <w:rsid w:val="00E600DC"/>
    <w:rsid w:val="00E61D36"/>
    <w:rsid w:val="00E635EC"/>
    <w:rsid w:val="00E64F1D"/>
    <w:rsid w:val="00E66000"/>
    <w:rsid w:val="00E67FF6"/>
    <w:rsid w:val="00E72232"/>
    <w:rsid w:val="00E773B9"/>
    <w:rsid w:val="00E83DF0"/>
    <w:rsid w:val="00E90347"/>
    <w:rsid w:val="00E90EF9"/>
    <w:rsid w:val="00E9115C"/>
    <w:rsid w:val="00E912AF"/>
    <w:rsid w:val="00E92CBB"/>
    <w:rsid w:val="00E93F84"/>
    <w:rsid w:val="00E943AE"/>
    <w:rsid w:val="00E94B56"/>
    <w:rsid w:val="00E961FB"/>
    <w:rsid w:val="00E96B54"/>
    <w:rsid w:val="00E97BA9"/>
    <w:rsid w:val="00EA1048"/>
    <w:rsid w:val="00EA32FC"/>
    <w:rsid w:val="00EA5F4F"/>
    <w:rsid w:val="00EA774E"/>
    <w:rsid w:val="00EB1C10"/>
    <w:rsid w:val="00EB51D0"/>
    <w:rsid w:val="00EB5A54"/>
    <w:rsid w:val="00EB5C57"/>
    <w:rsid w:val="00EB5F44"/>
    <w:rsid w:val="00EB6E3B"/>
    <w:rsid w:val="00EC4A44"/>
    <w:rsid w:val="00EC51D6"/>
    <w:rsid w:val="00EC58C8"/>
    <w:rsid w:val="00EC638E"/>
    <w:rsid w:val="00ED0231"/>
    <w:rsid w:val="00ED1D2A"/>
    <w:rsid w:val="00ED38BE"/>
    <w:rsid w:val="00ED4B1E"/>
    <w:rsid w:val="00ED6819"/>
    <w:rsid w:val="00ED6C78"/>
    <w:rsid w:val="00ED7333"/>
    <w:rsid w:val="00EE04A8"/>
    <w:rsid w:val="00EE3472"/>
    <w:rsid w:val="00EE7D92"/>
    <w:rsid w:val="00EF1910"/>
    <w:rsid w:val="00EF197E"/>
    <w:rsid w:val="00EF1BAE"/>
    <w:rsid w:val="00EF22BA"/>
    <w:rsid w:val="00EF248A"/>
    <w:rsid w:val="00EF30D3"/>
    <w:rsid w:val="00EF3F73"/>
    <w:rsid w:val="00EF5769"/>
    <w:rsid w:val="00EF7964"/>
    <w:rsid w:val="00F00884"/>
    <w:rsid w:val="00F021D4"/>
    <w:rsid w:val="00F02FC6"/>
    <w:rsid w:val="00F0383E"/>
    <w:rsid w:val="00F03C63"/>
    <w:rsid w:val="00F053E4"/>
    <w:rsid w:val="00F06A0F"/>
    <w:rsid w:val="00F10923"/>
    <w:rsid w:val="00F15258"/>
    <w:rsid w:val="00F17295"/>
    <w:rsid w:val="00F21CB2"/>
    <w:rsid w:val="00F228A0"/>
    <w:rsid w:val="00F22D44"/>
    <w:rsid w:val="00F239B5"/>
    <w:rsid w:val="00F24D4D"/>
    <w:rsid w:val="00F2653B"/>
    <w:rsid w:val="00F26ECE"/>
    <w:rsid w:val="00F30B06"/>
    <w:rsid w:val="00F30D1C"/>
    <w:rsid w:val="00F3174D"/>
    <w:rsid w:val="00F34661"/>
    <w:rsid w:val="00F35A73"/>
    <w:rsid w:val="00F3660E"/>
    <w:rsid w:val="00F36D4C"/>
    <w:rsid w:val="00F3748B"/>
    <w:rsid w:val="00F43694"/>
    <w:rsid w:val="00F43D4C"/>
    <w:rsid w:val="00F44835"/>
    <w:rsid w:val="00F44C21"/>
    <w:rsid w:val="00F45001"/>
    <w:rsid w:val="00F474CA"/>
    <w:rsid w:val="00F47B4B"/>
    <w:rsid w:val="00F53284"/>
    <w:rsid w:val="00F55412"/>
    <w:rsid w:val="00F55C52"/>
    <w:rsid w:val="00F57B04"/>
    <w:rsid w:val="00F62392"/>
    <w:rsid w:val="00F62A16"/>
    <w:rsid w:val="00F65A0D"/>
    <w:rsid w:val="00F72014"/>
    <w:rsid w:val="00F7392E"/>
    <w:rsid w:val="00F74E13"/>
    <w:rsid w:val="00F76DE0"/>
    <w:rsid w:val="00F7776E"/>
    <w:rsid w:val="00F80B20"/>
    <w:rsid w:val="00F81405"/>
    <w:rsid w:val="00F82B9F"/>
    <w:rsid w:val="00F83A54"/>
    <w:rsid w:val="00F83DEF"/>
    <w:rsid w:val="00F8508D"/>
    <w:rsid w:val="00F85165"/>
    <w:rsid w:val="00F85AFF"/>
    <w:rsid w:val="00F86738"/>
    <w:rsid w:val="00F90296"/>
    <w:rsid w:val="00F905A2"/>
    <w:rsid w:val="00F910C0"/>
    <w:rsid w:val="00F927A7"/>
    <w:rsid w:val="00F92905"/>
    <w:rsid w:val="00FA17AB"/>
    <w:rsid w:val="00FA1EEF"/>
    <w:rsid w:val="00FA2372"/>
    <w:rsid w:val="00FA4351"/>
    <w:rsid w:val="00FA45DE"/>
    <w:rsid w:val="00FA4A39"/>
    <w:rsid w:val="00FA5793"/>
    <w:rsid w:val="00FA5799"/>
    <w:rsid w:val="00FA7AE1"/>
    <w:rsid w:val="00FB3096"/>
    <w:rsid w:val="00FB5536"/>
    <w:rsid w:val="00FC0371"/>
    <w:rsid w:val="00FC34E7"/>
    <w:rsid w:val="00FC3DE0"/>
    <w:rsid w:val="00FC3E55"/>
    <w:rsid w:val="00FC42B9"/>
    <w:rsid w:val="00FC480D"/>
    <w:rsid w:val="00FC504D"/>
    <w:rsid w:val="00FC6595"/>
    <w:rsid w:val="00FC730B"/>
    <w:rsid w:val="00FD0BB4"/>
    <w:rsid w:val="00FD3177"/>
    <w:rsid w:val="00FD557A"/>
    <w:rsid w:val="00FD5727"/>
    <w:rsid w:val="00FD5819"/>
    <w:rsid w:val="00FD6954"/>
    <w:rsid w:val="00FE31BF"/>
    <w:rsid w:val="00FE38AB"/>
    <w:rsid w:val="00FE415A"/>
    <w:rsid w:val="00FE5A97"/>
    <w:rsid w:val="00FE78D3"/>
    <w:rsid w:val="00FF299A"/>
    <w:rsid w:val="00FF3C57"/>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67"/>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link w:val="CommentTextChar"/>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paragraph" w:customStyle="1" w:styleId="paragraph0">
    <w:name w:val="paragraph"/>
    <w:basedOn w:val="Normal"/>
    <w:rsid w:val="004671D0"/>
    <w:pPr>
      <w:spacing w:before="100" w:beforeAutospacing="1" w:after="100" w:afterAutospacing="1"/>
    </w:pPr>
    <w:rPr>
      <w:rFonts w:ascii="Times New Roman" w:hAnsi="Times New Roman"/>
      <w:sz w:val="24"/>
      <w:lang w:eastAsia="en-AU"/>
    </w:rPr>
  </w:style>
  <w:style w:type="paragraph" w:customStyle="1" w:styleId="ItemHead">
    <w:name w:val="ItemHead"/>
    <w:aliases w:val="ih"/>
    <w:basedOn w:val="Normal"/>
    <w:next w:val="Normal"/>
    <w:rsid w:val="00684A1B"/>
    <w:pPr>
      <w:keepNext/>
      <w:keepLines/>
      <w:spacing w:before="220"/>
      <w:ind w:left="709" w:hanging="709"/>
    </w:pPr>
    <w:rPr>
      <w:rFonts w:ascii="Arial" w:hAnsi="Arial"/>
      <w:b/>
      <w:kern w:val="28"/>
      <w:sz w:val="24"/>
      <w:szCs w:val="20"/>
      <w:lang w:eastAsia="en-AU"/>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AD08E1"/>
    <w:rPr>
      <w:rFonts w:ascii="CG Omega" w:hAnsi="CG Omega"/>
      <w:sz w:val="22"/>
      <w:szCs w:val="24"/>
      <w:lang w:eastAsia="en-US"/>
    </w:rPr>
  </w:style>
  <w:style w:type="paragraph" w:customStyle="1" w:styleId="Item">
    <w:name w:val="Item"/>
    <w:aliases w:val="i"/>
    <w:basedOn w:val="Normal"/>
    <w:next w:val="ItemHead"/>
    <w:rsid w:val="0013441F"/>
    <w:pPr>
      <w:keepLines/>
      <w:spacing w:before="80"/>
      <w:ind w:left="709"/>
    </w:pPr>
    <w:rPr>
      <w:rFonts w:ascii="Times New Roman" w:hAnsi="Times New Roman"/>
      <w:szCs w:val="20"/>
      <w:lang w:eastAsia="en-AU"/>
    </w:rPr>
  </w:style>
  <w:style w:type="character" w:customStyle="1" w:styleId="Style1Char">
    <w:name w:val="Style1 Char"/>
    <w:basedOn w:val="DefaultParagraphFont"/>
    <w:link w:val="Style1"/>
    <w:locked/>
    <w:rsid w:val="00FC0371"/>
    <w:rPr>
      <w:rFonts w:eastAsia="Calibri"/>
      <w:sz w:val="24"/>
      <w:szCs w:val="24"/>
    </w:rPr>
  </w:style>
  <w:style w:type="paragraph" w:customStyle="1" w:styleId="Style1">
    <w:name w:val="Style1"/>
    <w:basedOn w:val="ListParagraph"/>
    <w:link w:val="Style1Char"/>
    <w:qFormat/>
    <w:rsid w:val="00FC0371"/>
    <w:pPr>
      <w:numPr>
        <w:numId w:val="16"/>
      </w:numPr>
      <w:spacing w:before="240"/>
    </w:pPr>
    <w:rPr>
      <w:rFonts w:ascii="Times New Roman" w:eastAsia="Calibri" w:hAnsi="Times New Roman"/>
      <w:sz w:val="24"/>
      <w:lang w:eastAsia="en-AU"/>
    </w:rPr>
  </w:style>
  <w:style w:type="paragraph" w:styleId="FootnoteText">
    <w:name w:val="footnote text"/>
    <w:link w:val="FootnoteTextChar"/>
    <w:uiPriority w:val="99"/>
    <w:semiHidden/>
    <w:unhideWhenUsed/>
    <w:qFormat/>
    <w:rsid w:val="00D34262"/>
    <w:pPr>
      <w:tabs>
        <w:tab w:val="left" w:pos="284"/>
      </w:tabs>
      <w:spacing w:after="20" w:line="260" w:lineRule="atLeast"/>
    </w:pPr>
    <w:rPr>
      <w:rFonts w:ascii="Arial" w:hAnsi="Arial"/>
      <w:color w:val="4B5869"/>
      <w:sz w:val="15"/>
      <w:lang w:eastAsia="en-US"/>
    </w:rPr>
  </w:style>
  <w:style w:type="character" w:customStyle="1" w:styleId="FootnoteTextChar">
    <w:name w:val="Footnote Text Char"/>
    <w:basedOn w:val="DefaultParagraphFont"/>
    <w:link w:val="FootnoteText"/>
    <w:uiPriority w:val="99"/>
    <w:semiHidden/>
    <w:rsid w:val="00D34262"/>
    <w:rPr>
      <w:rFonts w:ascii="Arial" w:hAnsi="Arial"/>
      <w:color w:val="4B5869"/>
      <w:sz w:val="15"/>
      <w:lang w:eastAsia="en-US"/>
    </w:rPr>
  </w:style>
  <w:style w:type="character" w:styleId="FootnoteReference">
    <w:name w:val="footnote reference"/>
    <w:uiPriority w:val="99"/>
    <w:semiHidden/>
    <w:unhideWhenUsed/>
    <w:rsid w:val="00D34262"/>
    <w:rPr>
      <w:vertAlign w:val="superscript"/>
    </w:rPr>
  </w:style>
  <w:style w:type="paragraph" w:styleId="NormalWeb">
    <w:name w:val="Normal (Web)"/>
    <w:basedOn w:val="Normal"/>
    <w:uiPriority w:val="99"/>
    <w:unhideWhenUsed/>
    <w:rsid w:val="00742A08"/>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15172733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429199015">
      <w:bodyDiv w:val="1"/>
      <w:marLeft w:val="0"/>
      <w:marRight w:val="0"/>
      <w:marTop w:val="0"/>
      <w:marBottom w:val="0"/>
      <w:divBdr>
        <w:top w:val="none" w:sz="0" w:space="0" w:color="auto"/>
        <w:left w:val="none" w:sz="0" w:space="0" w:color="auto"/>
        <w:bottom w:val="none" w:sz="0" w:space="0" w:color="auto"/>
        <w:right w:val="none" w:sz="0" w:space="0" w:color="auto"/>
      </w:divBdr>
    </w:div>
    <w:div w:id="548028190">
      <w:bodyDiv w:val="1"/>
      <w:marLeft w:val="0"/>
      <w:marRight w:val="0"/>
      <w:marTop w:val="0"/>
      <w:marBottom w:val="0"/>
      <w:divBdr>
        <w:top w:val="none" w:sz="0" w:space="0" w:color="auto"/>
        <w:left w:val="none" w:sz="0" w:space="0" w:color="auto"/>
        <w:bottom w:val="none" w:sz="0" w:space="0" w:color="auto"/>
        <w:right w:val="none" w:sz="0" w:space="0" w:color="auto"/>
      </w:divBdr>
    </w:div>
    <w:div w:id="786316868">
      <w:bodyDiv w:val="1"/>
      <w:marLeft w:val="0"/>
      <w:marRight w:val="0"/>
      <w:marTop w:val="0"/>
      <w:marBottom w:val="0"/>
      <w:divBdr>
        <w:top w:val="none" w:sz="0" w:space="0" w:color="auto"/>
        <w:left w:val="none" w:sz="0" w:space="0" w:color="auto"/>
        <w:bottom w:val="none" w:sz="0" w:space="0" w:color="auto"/>
        <w:right w:val="none" w:sz="0" w:space="0" w:color="auto"/>
      </w:divBdr>
    </w:div>
    <w:div w:id="919800982">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44056451">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77001127">
      <w:bodyDiv w:val="1"/>
      <w:marLeft w:val="0"/>
      <w:marRight w:val="0"/>
      <w:marTop w:val="0"/>
      <w:marBottom w:val="0"/>
      <w:divBdr>
        <w:top w:val="none" w:sz="0" w:space="0" w:color="auto"/>
        <w:left w:val="none" w:sz="0" w:space="0" w:color="auto"/>
        <w:bottom w:val="none" w:sz="0" w:space="0" w:color="auto"/>
        <w:right w:val="none" w:sz="0" w:space="0" w:color="auto"/>
      </w:divBdr>
    </w:div>
    <w:div w:id="1899437229">
      <w:bodyDiv w:val="1"/>
      <w:marLeft w:val="0"/>
      <w:marRight w:val="0"/>
      <w:marTop w:val="0"/>
      <w:marBottom w:val="0"/>
      <w:divBdr>
        <w:top w:val="none" w:sz="0" w:space="0" w:color="auto"/>
        <w:left w:val="none" w:sz="0" w:space="0" w:color="auto"/>
        <w:bottom w:val="none" w:sz="0" w:space="0" w:color="auto"/>
        <w:right w:val="none" w:sz="0" w:space="0" w:color="auto"/>
      </w:divBdr>
    </w:div>
    <w:div w:id="1942451353">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48F51-4A76-4E03-B3F9-167C9EFD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Christine Dunne</cp:lastModifiedBy>
  <cp:revision>3</cp:revision>
  <cp:lastPrinted>2021-06-15T03:26:00Z</cp:lastPrinted>
  <dcterms:created xsi:type="dcterms:W3CDTF">2024-11-20T23:38:00Z</dcterms:created>
  <dcterms:modified xsi:type="dcterms:W3CDTF">2024-11-21T01:37:00Z</dcterms:modified>
</cp:coreProperties>
</file>