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A249" w14:textId="77777777" w:rsidR="00BE0DAD" w:rsidRDefault="00BE0DAD" w:rsidP="00BE0DAD">
      <w:pPr>
        <w:spacing w:before="280" w:after="240"/>
        <w:rPr>
          <w:b/>
          <w:sz w:val="32"/>
          <w:szCs w:val="32"/>
        </w:rPr>
      </w:pPr>
    </w:p>
    <w:p w14:paraId="28289F6A" w14:textId="3C625D55" w:rsidR="00BE0DAD" w:rsidRPr="008664E1" w:rsidRDefault="00BE0DAD" w:rsidP="00BE0DAD">
      <w:pPr>
        <w:spacing w:before="280" w:after="240"/>
        <w:rPr>
          <w:b/>
          <w:sz w:val="32"/>
          <w:szCs w:val="32"/>
        </w:rPr>
      </w:pPr>
      <w:r w:rsidRPr="008664E1">
        <w:rPr>
          <w:noProof/>
        </w:rPr>
        <w:drawing>
          <wp:anchor distT="0" distB="0" distL="114300" distR="114300" simplePos="0" relativeHeight="251658240" behindDoc="0" locked="0" layoutInCell="1" allowOverlap="1" wp14:anchorId="0710B73F" wp14:editId="0F0432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1" name="Picture 1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877A1" w14:textId="77777777" w:rsidR="00BE0DAD" w:rsidRPr="008664E1" w:rsidRDefault="00BE0DAD" w:rsidP="00BE0DAD">
      <w:pPr>
        <w:pStyle w:val="LI-Title"/>
        <w:pBdr>
          <w:top w:val="none" w:sz="0" w:space="0" w:color="auto"/>
        </w:pBdr>
        <w:jc w:val="center"/>
      </w:pPr>
    </w:p>
    <w:p w14:paraId="5D923853" w14:textId="77777777" w:rsidR="00BE0DAD" w:rsidRPr="008664E1" w:rsidRDefault="00BE0DAD" w:rsidP="00BE0DAD">
      <w:pPr>
        <w:pStyle w:val="LI-Title"/>
        <w:pBdr>
          <w:top w:val="none" w:sz="0" w:space="0" w:color="auto"/>
        </w:pBdr>
        <w:jc w:val="center"/>
      </w:pPr>
      <w:r w:rsidRPr="008664E1">
        <w:t>Explanatory Statement</w:t>
      </w:r>
    </w:p>
    <w:p w14:paraId="4D87A404" w14:textId="77777777" w:rsidR="00BE0DAD" w:rsidRPr="008664E1" w:rsidRDefault="00BE0DAD" w:rsidP="00BE0DAD">
      <w:pPr>
        <w:rPr>
          <w:lang w:eastAsia="en-AU"/>
        </w:rPr>
      </w:pPr>
    </w:p>
    <w:p w14:paraId="67ABFB74" w14:textId="609BD8C5" w:rsidR="00BE0DAD" w:rsidRPr="008664E1" w:rsidRDefault="00372786" w:rsidP="00BE0DAD">
      <w:pPr>
        <w:jc w:val="center"/>
        <w:rPr>
          <w:b/>
          <w:i/>
          <w:sz w:val="28"/>
          <w:szCs w:val="28"/>
          <w:lang w:eastAsia="en-AU"/>
        </w:rPr>
      </w:pPr>
      <w:r w:rsidRPr="008664E1">
        <w:rPr>
          <w:b/>
          <w:i/>
          <w:sz w:val="28"/>
          <w:szCs w:val="28"/>
          <w:lang w:eastAsia="en-AU"/>
        </w:rPr>
        <w:t>ASIC Corporations (</w:t>
      </w:r>
      <w:r w:rsidR="00610A05" w:rsidRPr="008664E1">
        <w:rPr>
          <w:b/>
          <w:i/>
          <w:sz w:val="28"/>
          <w:szCs w:val="28"/>
          <w:lang w:eastAsia="en-AU"/>
        </w:rPr>
        <w:t>Amendment</w:t>
      </w:r>
      <w:r w:rsidRPr="008664E1">
        <w:rPr>
          <w:b/>
          <w:i/>
          <w:sz w:val="28"/>
          <w:szCs w:val="28"/>
          <w:lang w:eastAsia="en-AU"/>
        </w:rPr>
        <w:t>) Instrument 202</w:t>
      </w:r>
      <w:r w:rsidR="00B85004" w:rsidRPr="008664E1">
        <w:rPr>
          <w:b/>
          <w:i/>
          <w:sz w:val="28"/>
          <w:szCs w:val="28"/>
          <w:lang w:eastAsia="en-AU"/>
        </w:rPr>
        <w:t>4</w:t>
      </w:r>
      <w:r w:rsidRPr="008664E1">
        <w:rPr>
          <w:b/>
          <w:i/>
          <w:sz w:val="28"/>
          <w:szCs w:val="28"/>
          <w:lang w:eastAsia="en-AU"/>
        </w:rPr>
        <w:t>/</w:t>
      </w:r>
      <w:r w:rsidR="003C741B" w:rsidRPr="008664E1">
        <w:rPr>
          <w:b/>
          <w:i/>
          <w:sz w:val="28"/>
          <w:szCs w:val="28"/>
          <w:lang w:eastAsia="en-AU"/>
        </w:rPr>
        <w:t>883</w:t>
      </w:r>
    </w:p>
    <w:p w14:paraId="4BDA6E5A" w14:textId="55D7F7A0" w:rsidR="00BE0DAD" w:rsidRPr="008664E1" w:rsidRDefault="00BE0DAD" w:rsidP="00BE0DAD">
      <w:pPr>
        <w:pStyle w:val="LI-BodyTextParaa"/>
        <w:ind w:left="0" w:firstLine="0"/>
      </w:pPr>
      <w:r w:rsidRPr="008664E1">
        <w:t>This is the Explanatory Statement for</w:t>
      </w:r>
      <w:r w:rsidR="00372786" w:rsidRPr="008664E1">
        <w:t xml:space="preserve"> </w:t>
      </w:r>
      <w:r w:rsidR="00372786" w:rsidRPr="008664E1">
        <w:rPr>
          <w:i/>
          <w:iCs/>
        </w:rPr>
        <w:t>ASIC Corporations (</w:t>
      </w:r>
      <w:r w:rsidR="00610A05" w:rsidRPr="008664E1">
        <w:rPr>
          <w:i/>
          <w:iCs/>
        </w:rPr>
        <w:t>Amendment</w:t>
      </w:r>
      <w:r w:rsidR="00372786" w:rsidRPr="008664E1">
        <w:rPr>
          <w:i/>
          <w:iCs/>
        </w:rPr>
        <w:t>) Instrument 202</w:t>
      </w:r>
      <w:r w:rsidR="00B85004" w:rsidRPr="008664E1">
        <w:rPr>
          <w:i/>
          <w:iCs/>
        </w:rPr>
        <w:t>4</w:t>
      </w:r>
      <w:r w:rsidR="00372786" w:rsidRPr="008664E1">
        <w:rPr>
          <w:i/>
          <w:iCs/>
        </w:rPr>
        <w:t>/</w:t>
      </w:r>
      <w:r w:rsidR="003C741B" w:rsidRPr="008664E1">
        <w:rPr>
          <w:i/>
          <w:iCs/>
        </w:rPr>
        <w:t>883</w:t>
      </w:r>
      <w:r w:rsidR="00473275" w:rsidRPr="008664E1">
        <w:t xml:space="preserve"> (the </w:t>
      </w:r>
      <w:r w:rsidR="00304F7A" w:rsidRPr="008664E1">
        <w:rPr>
          <w:b/>
          <w:bCs/>
          <w:i/>
          <w:iCs/>
        </w:rPr>
        <w:t>i</w:t>
      </w:r>
      <w:r w:rsidR="00473275" w:rsidRPr="008664E1">
        <w:rPr>
          <w:b/>
          <w:bCs/>
          <w:i/>
          <w:iCs/>
        </w:rPr>
        <w:t>nstrument</w:t>
      </w:r>
      <w:r w:rsidR="00473275" w:rsidRPr="008664E1">
        <w:t>)</w:t>
      </w:r>
      <w:r w:rsidRPr="008664E1">
        <w:t>.</w:t>
      </w:r>
    </w:p>
    <w:p w14:paraId="15C84B0A" w14:textId="77777777" w:rsidR="00BE0DAD" w:rsidRPr="008664E1" w:rsidRDefault="00BE0DAD" w:rsidP="00BE0DAD">
      <w:pPr>
        <w:pStyle w:val="LI-BodyTextParaa"/>
        <w:ind w:left="0" w:firstLine="0"/>
      </w:pPr>
      <w:r w:rsidRPr="008664E1">
        <w:t>The Explanatory Statement is approved by the Australian Securities and Investments Commission (</w:t>
      </w:r>
      <w:r w:rsidRPr="008664E1">
        <w:rPr>
          <w:b/>
          <w:i/>
        </w:rPr>
        <w:t>ASIC</w:t>
      </w:r>
      <w:r w:rsidRPr="008664E1">
        <w:t>).</w:t>
      </w:r>
    </w:p>
    <w:p w14:paraId="3FF37807" w14:textId="77777777" w:rsidR="00BE0DAD" w:rsidRPr="008664E1" w:rsidRDefault="00BE0DAD" w:rsidP="00BE0DAD">
      <w:pPr>
        <w:pStyle w:val="LI-BodyTextNumbered"/>
        <w:ind w:left="0" w:firstLine="0"/>
        <w:rPr>
          <w:b/>
        </w:rPr>
      </w:pPr>
      <w:r w:rsidRPr="008664E1">
        <w:rPr>
          <w:b/>
        </w:rPr>
        <w:t>Summary</w:t>
      </w:r>
    </w:p>
    <w:p w14:paraId="7C23FA2A" w14:textId="06A5ED2F" w:rsidR="00163A85" w:rsidRPr="008664E1" w:rsidRDefault="00610A05" w:rsidP="00885129">
      <w:pPr>
        <w:pStyle w:val="LI-BodyTextParaa"/>
        <w:numPr>
          <w:ilvl w:val="0"/>
          <w:numId w:val="2"/>
        </w:numPr>
      </w:pPr>
      <w:r w:rsidRPr="008664E1">
        <w:t xml:space="preserve">This instrument amends </w:t>
      </w:r>
      <w:r w:rsidRPr="008664E1">
        <w:rPr>
          <w:i/>
          <w:iCs/>
        </w:rPr>
        <w:t xml:space="preserve">ASIC Corporations (Cash Settlement Fact Sheet) Instrument 2022/59 </w:t>
      </w:r>
      <w:r w:rsidR="0041798E" w:rsidRPr="008664E1">
        <w:t>(</w:t>
      </w:r>
      <w:r w:rsidR="0041798E" w:rsidRPr="008664E1">
        <w:rPr>
          <w:b/>
          <w:bCs/>
          <w:i/>
          <w:iCs/>
        </w:rPr>
        <w:t>principal legislative instrument</w:t>
      </w:r>
      <w:r w:rsidR="0041798E" w:rsidRPr="008664E1">
        <w:t>) to extend the</w:t>
      </w:r>
      <w:r w:rsidR="001C630B" w:rsidRPr="008664E1">
        <w:t xml:space="preserve"> operation of the conditional relief </w:t>
      </w:r>
      <w:r w:rsidR="00925AFF" w:rsidRPr="008664E1">
        <w:t xml:space="preserve">for a further 5 years </w:t>
      </w:r>
      <w:r w:rsidR="001C630B" w:rsidRPr="008664E1">
        <w:t>and to amend the</w:t>
      </w:r>
      <w:r w:rsidR="0041798E" w:rsidRPr="008664E1">
        <w:t xml:space="preserve"> </w:t>
      </w:r>
      <w:r w:rsidR="00FD669F" w:rsidRPr="008664E1">
        <w:t xml:space="preserve">exemption </w:t>
      </w:r>
      <w:r w:rsidR="0041798E" w:rsidRPr="008664E1">
        <w:t>period</w:t>
      </w:r>
      <w:r w:rsidR="005069D8" w:rsidRPr="008664E1">
        <w:t xml:space="preserve"> that </w:t>
      </w:r>
      <w:r w:rsidR="007A7F19" w:rsidRPr="008664E1">
        <w:t>a</w:t>
      </w:r>
      <w:r w:rsidR="005069D8" w:rsidRPr="008664E1">
        <w:t xml:space="preserve">llows </w:t>
      </w:r>
      <w:r w:rsidR="00FD669F" w:rsidRPr="008664E1">
        <w:t xml:space="preserve">a providing entity </w:t>
      </w:r>
      <w:r w:rsidR="005069D8" w:rsidRPr="008664E1">
        <w:t xml:space="preserve">to give emergency payments to consumers in certain circumstances without first </w:t>
      </w:r>
      <w:r w:rsidR="00F64677" w:rsidRPr="008664E1">
        <w:t>giving them a Cash Settlement Fact Sheet (</w:t>
      </w:r>
      <w:r w:rsidR="00F64677" w:rsidRPr="008664E1">
        <w:rPr>
          <w:b/>
          <w:bCs/>
          <w:i/>
          <w:iCs/>
        </w:rPr>
        <w:t>CSFS</w:t>
      </w:r>
      <w:r w:rsidR="00F64677" w:rsidRPr="008664E1">
        <w:t xml:space="preserve">) from 14 days to 42 days </w:t>
      </w:r>
      <w:r w:rsidR="00B96C0D" w:rsidRPr="008664E1">
        <w:t>after</w:t>
      </w:r>
      <w:r w:rsidR="00B07BFA" w:rsidRPr="008664E1">
        <w:t xml:space="preserve"> the insurable event</w:t>
      </w:r>
      <w:r w:rsidR="00F64677" w:rsidRPr="008664E1">
        <w:t xml:space="preserve">. </w:t>
      </w:r>
      <w:r w:rsidR="0041798E" w:rsidRPr="008664E1">
        <w:t xml:space="preserve"> </w:t>
      </w:r>
    </w:p>
    <w:p w14:paraId="7E3FA037" w14:textId="77777777" w:rsidR="006365C1" w:rsidRPr="008664E1" w:rsidRDefault="006365C1" w:rsidP="006365C1">
      <w:pPr>
        <w:pStyle w:val="LI-BodyTextNumbered"/>
        <w:ind w:hanging="1134"/>
        <w:rPr>
          <w:b/>
        </w:rPr>
      </w:pPr>
      <w:r w:rsidRPr="008664E1">
        <w:rPr>
          <w:b/>
        </w:rPr>
        <w:t>Purpose of the instrument</w:t>
      </w:r>
    </w:p>
    <w:p w14:paraId="6A90035F" w14:textId="5E2CCB42" w:rsidR="00AD3DE7" w:rsidRPr="008664E1" w:rsidRDefault="00150E33" w:rsidP="00885129">
      <w:pPr>
        <w:pStyle w:val="LI-BodyTextParaa"/>
        <w:numPr>
          <w:ilvl w:val="0"/>
          <w:numId w:val="2"/>
        </w:numPr>
      </w:pPr>
      <w:r w:rsidRPr="008664E1">
        <w:t>The princip</w:t>
      </w:r>
      <w:r w:rsidR="0075198A" w:rsidRPr="008664E1">
        <w:t>al</w:t>
      </w:r>
      <w:r w:rsidRPr="008664E1">
        <w:t xml:space="preserve"> legislative instrument </w:t>
      </w:r>
      <w:r w:rsidR="00FD669F" w:rsidRPr="008664E1">
        <w:t xml:space="preserve">exempts </w:t>
      </w:r>
      <w:r w:rsidR="001D1005" w:rsidRPr="008664E1">
        <w:t xml:space="preserve">a providing entity from complying with subsection 948C(1) of the </w:t>
      </w:r>
      <w:r w:rsidR="00B6417A" w:rsidRPr="008664E1">
        <w:t>Corpo</w:t>
      </w:r>
      <w:r w:rsidR="00504D23" w:rsidRPr="008664E1">
        <w:t xml:space="preserve">rations </w:t>
      </w:r>
      <w:r w:rsidR="001D1005" w:rsidRPr="008664E1">
        <w:t>Act</w:t>
      </w:r>
      <w:r w:rsidR="00504D23" w:rsidRPr="008664E1">
        <w:t xml:space="preserve"> 2001 (</w:t>
      </w:r>
      <w:r w:rsidR="00504D23" w:rsidRPr="008664E1">
        <w:rPr>
          <w:b/>
          <w:bCs/>
          <w:i/>
          <w:iCs/>
        </w:rPr>
        <w:t>the Act</w:t>
      </w:r>
      <w:r w:rsidR="00504D23" w:rsidRPr="008664E1">
        <w:t>)</w:t>
      </w:r>
      <w:r w:rsidR="001D1005" w:rsidRPr="008664E1">
        <w:t xml:space="preserve"> to the extent it requires the providing entity </w:t>
      </w:r>
      <w:r w:rsidR="006969AA" w:rsidRPr="008664E1">
        <w:t>to give a CSFS at the time specified in section 948D of the Act.</w:t>
      </w:r>
      <w:r w:rsidR="00885129" w:rsidRPr="008664E1">
        <w:t xml:space="preserve"> </w:t>
      </w:r>
    </w:p>
    <w:p w14:paraId="511DB5AA" w14:textId="59627FD8" w:rsidR="00885129" w:rsidRPr="0018058D" w:rsidRDefault="00AD3DE7" w:rsidP="00885129">
      <w:pPr>
        <w:pStyle w:val="LI-BodyTextParaa"/>
        <w:numPr>
          <w:ilvl w:val="0"/>
          <w:numId w:val="2"/>
        </w:numPr>
      </w:pPr>
      <w:r w:rsidRPr="0018058D">
        <w:t>T</w:t>
      </w:r>
      <w:r w:rsidR="00885129" w:rsidRPr="0018058D">
        <w:t xml:space="preserve">he obligation to provide a written CSFS at the time of the cash settlement offer could sometimes create a delay in the claims handling process, leading to a risk of poor consumer outcomes when insureds need a quick, small-moderate cash payout in urgent or emergency situations (for example, after a fire, flood, or break in and the insured needs funds to purchase essentials such as clothing or food). </w:t>
      </w:r>
    </w:p>
    <w:p w14:paraId="5B36119B" w14:textId="5FC19C2A" w:rsidR="003E1F07" w:rsidRPr="0018058D" w:rsidRDefault="003E1F07" w:rsidP="005A324E">
      <w:pPr>
        <w:pStyle w:val="LI-BodyTextParaa"/>
        <w:numPr>
          <w:ilvl w:val="0"/>
          <w:numId w:val="2"/>
        </w:numPr>
      </w:pPr>
      <w:r w:rsidRPr="0018058D">
        <w:t xml:space="preserve">Impeding such timely provision of urgently needed cash payments to insureds would likely be an adverse, unintended and unforeseen outcome of the </w:t>
      </w:r>
      <w:r w:rsidR="00187F8F" w:rsidRPr="0018058D">
        <w:t>CSFS</w:t>
      </w:r>
      <w:r w:rsidRPr="0018058D">
        <w:t xml:space="preserve"> obligation.  </w:t>
      </w:r>
    </w:p>
    <w:p w14:paraId="056FCB4B" w14:textId="3A5CF7C7" w:rsidR="008503F9" w:rsidRPr="0018058D" w:rsidRDefault="005A324E" w:rsidP="00F81895">
      <w:pPr>
        <w:pStyle w:val="LI-BodyTextParaa"/>
        <w:numPr>
          <w:ilvl w:val="0"/>
          <w:numId w:val="2"/>
        </w:numPr>
      </w:pPr>
      <w:r w:rsidRPr="0018058D">
        <w:t xml:space="preserve">While the </w:t>
      </w:r>
      <w:r w:rsidR="001C630B" w:rsidRPr="0018058D">
        <w:t>princip</w:t>
      </w:r>
      <w:r w:rsidR="0075198A" w:rsidRPr="0018058D">
        <w:t>al</w:t>
      </w:r>
      <w:r w:rsidR="001C630B" w:rsidRPr="0018058D">
        <w:t xml:space="preserve"> legislative instrument </w:t>
      </w:r>
      <w:r w:rsidRPr="0018058D">
        <w:t xml:space="preserve">has the effect of </w:t>
      </w:r>
      <w:r w:rsidR="0067507D" w:rsidRPr="0018058D">
        <w:t xml:space="preserve">exempting </w:t>
      </w:r>
      <w:r w:rsidR="008F5A01" w:rsidRPr="0018058D">
        <w:t xml:space="preserve">providing entities </w:t>
      </w:r>
      <w:r w:rsidR="0067507D" w:rsidRPr="0018058D">
        <w:t xml:space="preserve">from </w:t>
      </w:r>
      <w:r w:rsidRPr="0018058D">
        <w:t xml:space="preserve">the </w:t>
      </w:r>
      <w:r w:rsidR="003E1F07" w:rsidRPr="0018058D">
        <w:t>requirement</w:t>
      </w:r>
      <w:r w:rsidRPr="0018058D">
        <w:t xml:space="preserve"> in </w:t>
      </w:r>
      <w:r w:rsidR="006E36FF" w:rsidRPr="0018058D">
        <w:t xml:space="preserve">subsection 948C(1) of the Act to the extent it requires the providing entity to give the CSFS </w:t>
      </w:r>
      <w:r w:rsidR="006E36FF" w:rsidRPr="0018058D">
        <w:rPr>
          <w:i/>
          <w:iCs/>
        </w:rPr>
        <w:t>when</w:t>
      </w:r>
      <w:r w:rsidR="006E36FF" w:rsidRPr="0018058D">
        <w:t xml:space="preserve"> the cash settlement offer is made in accordance with section </w:t>
      </w:r>
      <w:r w:rsidRPr="0018058D">
        <w:t>948D, it does not have the effect of removing the obligation to give a CSFS</w:t>
      </w:r>
      <w:r w:rsidR="003E1F07" w:rsidRPr="0018058D">
        <w:t xml:space="preserve"> altogether</w:t>
      </w:r>
      <w:r w:rsidRPr="0018058D">
        <w:t xml:space="preserve">. </w:t>
      </w:r>
      <w:r w:rsidR="003E1F07" w:rsidRPr="0018058D">
        <w:t>T</w:t>
      </w:r>
      <w:r w:rsidRPr="0018058D">
        <w:t xml:space="preserve">he conditions set out in the </w:t>
      </w:r>
      <w:r w:rsidR="001C630B" w:rsidRPr="0018058D">
        <w:t>princip</w:t>
      </w:r>
      <w:r w:rsidR="0075198A" w:rsidRPr="0018058D">
        <w:t>al</w:t>
      </w:r>
      <w:r w:rsidR="001C630B" w:rsidRPr="0018058D">
        <w:t xml:space="preserve"> legislative instrument </w:t>
      </w:r>
      <w:r w:rsidRPr="0018058D">
        <w:t xml:space="preserve">ensure that the policy intent of the CSFS obligation is still </w:t>
      </w:r>
      <w:r w:rsidRPr="0018058D">
        <w:lastRenderedPageBreak/>
        <w:t>met by</w:t>
      </w:r>
      <w:r w:rsidR="00F81895" w:rsidRPr="0018058D">
        <w:t xml:space="preserve"> confining the </w:t>
      </w:r>
      <w:r w:rsidR="00FF4474" w:rsidRPr="0018058D">
        <w:t xml:space="preserve">exemption </w:t>
      </w:r>
      <w:r w:rsidR="00F81895" w:rsidRPr="0018058D">
        <w:t>to limited circumstances and</w:t>
      </w:r>
      <w:r w:rsidRPr="0018058D">
        <w:t xml:space="preserve"> requiring </w:t>
      </w:r>
      <w:r w:rsidR="008F5A01" w:rsidRPr="0018058D">
        <w:t xml:space="preserve">providing entities </w:t>
      </w:r>
      <w:r w:rsidR="00F81895" w:rsidRPr="0018058D">
        <w:t xml:space="preserve">to </w:t>
      </w:r>
      <w:r w:rsidR="00230B84" w:rsidRPr="0018058D">
        <w:t xml:space="preserve">meet certain conditions, such as </w:t>
      </w:r>
      <w:r w:rsidR="00F81895" w:rsidRPr="0018058D">
        <w:t>verbally gi</w:t>
      </w:r>
      <w:r w:rsidR="00230B84" w:rsidRPr="0018058D">
        <w:t>ving</w:t>
      </w:r>
      <w:r w:rsidR="00F81895" w:rsidRPr="0018058D">
        <w:t xml:space="preserve"> the insured information </w:t>
      </w:r>
      <w:r w:rsidR="00E60B4F" w:rsidRPr="0018058D">
        <w:t>prescribed</w:t>
      </w:r>
      <w:r w:rsidR="00F81895" w:rsidRPr="0018058D">
        <w:t xml:space="preserve"> by s</w:t>
      </w:r>
      <w:r w:rsidR="00E41AC9" w:rsidRPr="0018058D">
        <w:t>ection</w:t>
      </w:r>
      <w:r w:rsidR="00F81895" w:rsidRPr="0018058D">
        <w:t xml:space="preserve"> 948F</w:t>
      </w:r>
      <w:r w:rsidR="006E36FF" w:rsidRPr="0018058D">
        <w:t>(1)</w:t>
      </w:r>
      <w:r w:rsidR="00F81895" w:rsidRPr="0018058D">
        <w:t>.</w:t>
      </w:r>
    </w:p>
    <w:p w14:paraId="02E8130A" w14:textId="5904DC4C" w:rsidR="00EF3D90" w:rsidRPr="0018058D" w:rsidRDefault="005576F1" w:rsidP="00F81895">
      <w:pPr>
        <w:pStyle w:val="LI-BodyTextParaa"/>
        <w:numPr>
          <w:ilvl w:val="0"/>
          <w:numId w:val="2"/>
        </w:numPr>
      </w:pPr>
      <w:r w:rsidRPr="0018058D">
        <w:t xml:space="preserve">The </w:t>
      </w:r>
      <w:r w:rsidR="0021634D" w:rsidRPr="0018058D">
        <w:t>princip</w:t>
      </w:r>
      <w:r w:rsidR="0075198A" w:rsidRPr="0018058D">
        <w:t>al</w:t>
      </w:r>
      <w:r w:rsidR="0021634D" w:rsidRPr="0018058D">
        <w:t xml:space="preserve"> </w:t>
      </w:r>
      <w:r w:rsidR="00C30465" w:rsidRPr="0018058D">
        <w:t>legislative i</w:t>
      </w:r>
      <w:r w:rsidRPr="0018058D">
        <w:t xml:space="preserve">nstrument </w:t>
      </w:r>
      <w:r w:rsidR="006F27FF" w:rsidRPr="0018058D">
        <w:t xml:space="preserve">previously required </w:t>
      </w:r>
      <w:r w:rsidR="008503F9" w:rsidRPr="0018058D">
        <w:t>that the</w:t>
      </w:r>
      <w:r w:rsidR="006E36FF" w:rsidRPr="0018058D">
        <w:t xml:space="preserve"> verbal</w:t>
      </w:r>
      <w:r w:rsidR="008503F9" w:rsidRPr="0018058D">
        <w:t xml:space="preserve"> cash settlement offer </w:t>
      </w:r>
      <w:r w:rsidRPr="0018058D">
        <w:t>is</w:t>
      </w:r>
      <w:r w:rsidR="00822519" w:rsidRPr="0018058D">
        <w:t xml:space="preserve"> </w:t>
      </w:r>
      <w:r w:rsidR="008503F9" w:rsidRPr="0018058D">
        <w:t xml:space="preserve">made within </w:t>
      </w:r>
      <w:r w:rsidR="00735512" w:rsidRPr="0018058D">
        <w:t>14 days</w:t>
      </w:r>
      <w:r w:rsidR="008503F9" w:rsidRPr="0018058D">
        <w:t xml:space="preserve"> of the insurable event that gave rise to the claim</w:t>
      </w:r>
      <w:r w:rsidR="002D6604" w:rsidRPr="0018058D">
        <w:t>.</w:t>
      </w:r>
      <w:r w:rsidR="008503F9" w:rsidRPr="0018058D">
        <w:t xml:space="preserve">   </w:t>
      </w:r>
      <w:r w:rsidR="00F81895" w:rsidRPr="0018058D">
        <w:t xml:space="preserve"> </w:t>
      </w:r>
    </w:p>
    <w:p w14:paraId="2B96EBCE" w14:textId="2997F81A" w:rsidR="00885129" w:rsidRPr="0018058D" w:rsidRDefault="00504D23" w:rsidP="000B4271">
      <w:pPr>
        <w:pStyle w:val="LI-BodyTextParaa"/>
        <w:numPr>
          <w:ilvl w:val="0"/>
          <w:numId w:val="2"/>
        </w:numPr>
      </w:pPr>
      <w:r w:rsidRPr="0018058D">
        <w:t xml:space="preserve">To </w:t>
      </w:r>
      <w:r w:rsidR="0075198A" w:rsidRPr="0018058D">
        <w:t>enable</w:t>
      </w:r>
      <w:r w:rsidRPr="0018058D">
        <w:t xml:space="preserve"> </w:t>
      </w:r>
      <w:r w:rsidR="004A77A1" w:rsidRPr="0018058D">
        <w:t xml:space="preserve">more consumers </w:t>
      </w:r>
      <w:r w:rsidR="0075198A" w:rsidRPr="0018058D">
        <w:t>to</w:t>
      </w:r>
      <w:r w:rsidR="004A77A1" w:rsidRPr="0018058D">
        <w:t xml:space="preserve"> benefit from the timely payment of a small-moderate cash payout </w:t>
      </w:r>
      <w:r w:rsidR="004A4BB9" w:rsidRPr="0018058D">
        <w:t xml:space="preserve">immediately after an insurable event, the instrument extends the exemption period in the </w:t>
      </w:r>
      <w:r w:rsidR="0021634D" w:rsidRPr="0018058D">
        <w:t>princip</w:t>
      </w:r>
      <w:r w:rsidR="0075198A" w:rsidRPr="0018058D">
        <w:t>al</w:t>
      </w:r>
      <w:r w:rsidR="0021634D" w:rsidRPr="0018058D">
        <w:t xml:space="preserve"> </w:t>
      </w:r>
      <w:r w:rsidR="004A4BB9" w:rsidRPr="0018058D">
        <w:t>legislative instrument from 14 days to 42 days.</w:t>
      </w:r>
      <w:r w:rsidRPr="0018058D">
        <w:t xml:space="preserve"> </w:t>
      </w:r>
      <w:r w:rsidR="005153F8" w:rsidRPr="0018058D">
        <w:t xml:space="preserve">The instrument also extends the operation of the relief for a </w:t>
      </w:r>
      <w:r w:rsidR="00393778" w:rsidRPr="0018058D">
        <w:t xml:space="preserve">period of a further </w:t>
      </w:r>
      <w:r w:rsidR="007E1A5D" w:rsidRPr="0018058D">
        <w:t>5</w:t>
      </w:r>
      <w:r w:rsidR="00393778" w:rsidRPr="0018058D">
        <w:t xml:space="preserve"> years, </w:t>
      </w:r>
      <w:r w:rsidR="001E7A43" w:rsidRPr="0018058D">
        <w:t>until the start of 1 April 2030</w:t>
      </w:r>
      <w:r w:rsidR="00393778" w:rsidRPr="0018058D">
        <w:t>.</w:t>
      </w:r>
    </w:p>
    <w:p w14:paraId="462031C8" w14:textId="77777777" w:rsidR="00BE0DAD" w:rsidRPr="0018058D" w:rsidRDefault="00BE0DAD" w:rsidP="00BE0DAD">
      <w:pPr>
        <w:pStyle w:val="LI-BodyTextNumbered"/>
        <w:ind w:hanging="1134"/>
        <w:rPr>
          <w:b/>
        </w:rPr>
      </w:pPr>
      <w:bookmarkStart w:id="0" w:name="_Hlk534291624"/>
      <w:r w:rsidRPr="0018058D">
        <w:rPr>
          <w:b/>
        </w:rPr>
        <w:t>Consultation</w:t>
      </w:r>
    </w:p>
    <w:p w14:paraId="3AAEFB53" w14:textId="77CFB760" w:rsidR="00473275" w:rsidRPr="0018058D" w:rsidRDefault="00C54632" w:rsidP="00515710">
      <w:pPr>
        <w:pStyle w:val="LI-BodyTextParaa"/>
        <w:numPr>
          <w:ilvl w:val="0"/>
          <w:numId w:val="2"/>
        </w:numPr>
      </w:pPr>
      <w:r w:rsidRPr="0018058D">
        <w:t xml:space="preserve">Before making this </w:t>
      </w:r>
      <w:r w:rsidR="001C630B" w:rsidRPr="0018058D">
        <w:t>i</w:t>
      </w:r>
      <w:r w:rsidRPr="0018058D">
        <w:t xml:space="preserve">nstrument, </w:t>
      </w:r>
      <w:r w:rsidR="00221ABE" w:rsidRPr="0018058D">
        <w:t>ASIC undertook</w:t>
      </w:r>
      <w:r w:rsidR="00F44250" w:rsidRPr="0018058D">
        <w:t xml:space="preserve"> </w:t>
      </w:r>
      <w:r w:rsidR="00221ABE" w:rsidRPr="0018058D">
        <w:t>targeted consultation with</w:t>
      </w:r>
      <w:r w:rsidRPr="0018058D">
        <w:t xml:space="preserve"> a range of</w:t>
      </w:r>
      <w:r w:rsidR="00E23543" w:rsidRPr="0018058D">
        <w:t xml:space="preserve"> stakeholders from industry, the </w:t>
      </w:r>
      <w:r w:rsidR="00E61061" w:rsidRPr="0018058D">
        <w:t>G</w:t>
      </w:r>
      <w:r w:rsidR="00E23543" w:rsidRPr="0018058D">
        <w:t xml:space="preserve">overnment and consumer </w:t>
      </w:r>
      <w:r w:rsidR="00637305" w:rsidRPr="0018058D">
        <w:t>representative bodies</w:t>
      </w:r>
      <w:r w:rsidR="00325BD5" w:rsidRPr="0018058D">
        <w:t xml:space="preserve"> on the </w:t>
      </w:r>
      <w:r w:rsidR="00790F41" w:rsidRPr="0018058D">
        <w:t xml:space="preserve">operation of the </w:t>
      </w:r>
      <w:r w:rsidR="00F86460" w:rsidRPr="0018058D">
        <w:t xml:space="preserve">principal legislative </w:t>
      </w:r>
      <w:r w:rsidR="000B7476" w:rsidRPr="0018058D">
        <w:t>instrument</w:t>
      </w:r>
      <w:r w:rsidR="00325BD5" w:rsidRPr="0018058D">
        <w:t xml:space="preserve"> as well as the</w:t>
      </w:r>
      <w:r w:rsidR="004421D3" w:rsidRPr="0018058D">
        <w:t xml:space="preserve"> continued</w:t>
      </w:r>
      <w:r w:rsidR="00325BD5" w:rsidRPr="0018058D">
        <w:t xml:space="preserve"> need for relief</w:t>
      </w:r>
      <w:r w:rsidRPr="0018058D">
        <w:t>.</w:t>
      </w:r>
      <w:r w:rsidR="00E23543" w:rsidRPr="0018058D">
        <w:t xml:space="preserve"> </w:t>
      </w:r>
      <w:r w:rsidR="00204E77" w:rsidRPr="0018058D">
        <w:t>Feedback</w:t>
      </w:r>
      <w:r w:rsidR="003B5717" w:rsidRPr="0018058D">
        <w:t xml:space="preserve"> </w:t>
      </w:r>
      <w:r w:rsidR="00204E77" w:rsidRPr="0018058D">
        <w:t>was</w:t>
      </w:r>
      <w:r w:rsidR="003B5717" w:rsidRPr="0018058D">
        <w:t xml:space="preserve"> received from </w:t>
      </w:r>
      <w:r w:rsidR="00886C4D" w:rsidRPr="0018058D">
        <w:t>industry, the Government and</w:t>
      </w:r>
      <w:r w:rsidR="00204E77" w:rsidRPr="0018058D">
        <w:t xml:space="preserve"> consumer representative bodies.</w:t>
      </w:r>
    </w:p>
    <w:p w14:paraId="222317F0" w14:textId="4D26FD59" w:rsidR="008453A0" w:rsidRPr="0018058D" w:rsidRDefault="00204E77" w:rsidP="00515710">
      <w:pPr>
        <w:pStyle w:val="LI-BodyTextParaa"/>
        <w:numPr>
          <w:ilvl w:val="0"/>
          <w:numId w:val="2"/>
        </w:numPr>
      </w:pPr>
      <w:r w:rsidRPr="0018058D">
        <w:t>All stakeholders</w:t>
      </w:r>
      <w:r w:rsidR="00511551" w:rsidRPr="0018058D">
        <w:t xml:space="preserve"> </w:t>
      </w:r>
      <w:r w:rsidRPr="0018058D">
        <w:t xml:space="preserve">who provided feedback </w:t>
      </w:r>
      <w:r w:rsidR="00B40039" w:rsidRPr="0018058D">
        <w:t xml:space="preserve">were supportive of </w:t>
      </w:r>
      <w:r w:rsidR="00855F42" w:rsidRPr="0018058D">
        <w:t xml:space="preserve">or did not oppose </w:t>
      </w:r>
      <w:r w:rsidR="00B40039" w:rsidRPr="0018058D">
        <w:t>the continuation of the relief provided by the principal legislative instrument</w:t>
      </w:r>
      <w:r w:rsidR="00E21D60" w:rsidRPr="0018058D">
        <w:t>. B</w:t>
      </w:r>
      <w:r w:rsidR="006D5A49" w:rsidRPr="0018058D">
        <w:t xml:space="preserve">oth industry and consumer representative bodies </w:t>
      </w:r>
      <w:r w:rsidR="00FC0A7D" w:rsidRPr="0018058D">
        <w:t xml:space="preserve">noted that the exemption period for a claim to be lodged was too restrictive. </w:t>
      </w:r>
      <w:r w:rsidR="008453A0" w:rsidRPr="0018058D">
        <w:t xml:space="preserve">The instrument addresses this feedback </w:t>
      </w:r>
      <w:r w:rsidR="000D234B" w:rsidRPr="0018058D">
        <w:t xml:space="preserve">by extending the </w:t>
      </w:r>
      <w:r w:rsidR="002A55D5" w:rsidRPr="0018058D">
        <w:t>exemption period from</w:t>
      </w:r>
      <w:r w:rsidR="00855F42" w:rsidRPr="0018058D">
        <w:t xml:space="preserve"> 14 days of the insurable event to 42 days of the insurable event. </w:t>
      </w:r>
    </w:p>
    <w:p w14:paraId="7A6E0BA8" w14:textId="14ECBA93" w:rsidR="005D1F1E" w:rsidRPr="0018058D" w:rsidRDefault="00C1135A" w:rsidP="00855F42">
      <w:pPr>
        <w:pStyle w:val="LI-BodyTextParaa"/>
        <w:numPr>
          <w:ilvl w:val="0"/>
          <w:numId w:val="2"/>
        </w:numPr>
      </w:pPr>
      <w:r w:rsidRPr="0018058D">
        <w:t xml:space="preserve">The industry body also suggested </w:t>
      </w:r>
      <w:r w:rsidR="00EC1FB2" w:rsidRPr="0018058D">
        <w:t xml:space="preserve">replacing </w:t>
      </w:r>
      <w:r w:rsidR="004F3644" w:rsidRPr="0018058D">
        <w:t xml:space="preserve">some of </w:t>
      </w:r>
      <w:r w:rsidR="00EC1FB2" w:rsidRPr="0018058D">
        <w:t xml:space="preserve">the timeframes </w:t>
      </w:r>
      <w:r w:rsidR="00CF462A" w:rsidRPr="0018058D">
        <w:t xml:space="preserve">in the conditions imposed in the principal </w:t>
      </w:r>
      <w:r w:rsidR="008B074B" w:rsidRPr="0018058D">
        <w:t xml:space="preserve">legislative instrument </w:t>
      </w:r>
      <w:r w:rsidR="00CF462A" w:rsidRPr="0018058D">
        <w:t>with references to business days</w:t>
      </w:r>
      <w:r w:rsidR="005F5606" w:rsidRPr="0018058D">
        <w:t xml:space="preserve"> due to difficulties with compliance </w:t>
      </w:r>
      <w:r w:rsidR="00D83D3B" w:rsidRPr="0018058D">
        <w:t xml:space="preserve">where </w:t>
      </w:r>
      <w:r w:rsidR="00B86E05" w:rsidRPr="0018058D">
        <w:t>the timeframe includes weekends or public holidays.</w:t>
      </w:r>
      <w:r w:rsidR="00855F42" w:rsidRPr="0018058D">
        <w:t xml:space="preserve"> </w:t>
      </w:r>
      <w:r w:rsidR="005D1F1E" w:rsidRPr="0018058D">
        <w:t xml:space="preserve">The instrument does </w:t>
      </w:r>
      <w:r w:rsidR="00AE6C8E" w:rsidRPr="0018058D">
        <w:t xml:space="preserve">not </w:t>
      </w:r>
      <w:r w:rsidR="00B67F7C" w:rsidRPr="0018058D">
        <w:t xml:space="preserve">adopt </w:t>
      </w:r>
      <w:r w:rsidR="00855F42" w:rsidRPr="0018058D">
        <w:t>this suggestion</w:t>
      </w:r>
      <w:r w:rsidR="004F3644" w:rsidRPr="0018058D">
        <w:t xml:space="preserve">, noting that the </w:t>
      </w:r>
      <w:r w:rsidR="0025A61D" w:rsidRPr="0018058D">
        <w:t xml:space="preserve">current </w:t>
      </w:r>
      <w:r w:rsidR="004F3644" w:rsidRPr="0018058D">
        <w:t>con</w:t>
      </w:r>
      <w:r w:rsidR="002E3FD1" w:rsidRPr="0018058D">
        <w:t xml:space="preserve">ditions require the providing entity to take all reasonable steps to </w:t>
      </w:r>
      <w:r w:rsidR="008423C1" w:rsidRPr="0018058D">
        <w:t>comply with those timeframes</w:t>
      </w:r>
      <w:r w:rsidR="14EE4704" w:rsidRPr="0018058D">
        <w:t>, which remains appropriate</w:t>
      </w:r>
      <w:r w:rsidR="008423C1" w:rsidRPr="0018058D">
        <w:t>.</w:t>
      </w:r>
    </w:p>
    <w:p w14:paraId="3989A313" w14:textId="77777777" w:rsidR="00BE0DAD" w:rsidRPr="0018058D" w:rsidRDefault="00BE0DAD" w:rsidP="00BE0DAD">
      <w:pPr>
        <w:pStyle w:val="LI-BodyTextNumbered"/>
        <w:ind w:hanging="1134"/>
        <w:rPr>
          <w:b/>
        </w:rPr>
      </w:pPr>
      <w:r w:rsidRPr="0018058D">
        <w:rPr>
          <w:b/>
        </w:rPr>
        <w:t>Operation of the instrument</w:t>
      </w:r>
    </w:p>
    <w:p w14:paraId="285B5CF5" w14:textId="76E9FE3C" w:rsidR="002F4279" w:rsidRPr="0018058D" w:rsidRDefault="00180A67" w:rsidP="001B3B8F">
      <w:pPr>
        <w:pStyle w:val="LI-BodyTextParaa"/>
        <w:numPr>
          <w:ilvl w:val="0"/>
          <w:numId w:val="2"/>
        </w:numPr>
        <w:ind w:left="567" w:hanging="567"/>
      </w:pPr>
      <w:r w:rsidRPr="0018058D">
        <w:t xml:space="preserve">The instrument amends </w:t>
      </w:r>
      <w:r w:rsidR="00095185" w:rsidRPr="0018058D">
        <w:t>paragraph</w:t>
      </w:r>
      <w:r w:rsidR="002F4279" w:rsidRPr="0018058D">
        <w:t xml:space="preserve"> </w:t>
      </w:r>
      <w:r w:rsidR="007964C3" w:rsidRPr="0018058D">
        <w:t>5</w:t>
      </w:r>
      <w:r w:rsidR="002F4279" w:rsidRPr="0018058D">
        <w:t>(2)</w:t>
      </w:r>
      <w:r w:rsidR="00095185" w:rsidRPr="0018058D">
        <w:t>(b)</w:t>
      </w:r>
      <w:r w:rsidR="003651C5" w:rsidRPr="0018058D">
        <w:t xml:space="preserve"> of the principal legislative instrument. </w:t>
      </w:r>
      <w:r w:rsidR="00766674" w:rsidRPr="0018058D">
        <w:t xml:space="preserve">The effect of this amendment is to extend the operation </w:t>
      </w:r>
      <w:r w:rsidR="00014445" w:rsidRPr="0018058D">
        <w:t>of the relief given by the principal legislative instrument so that</w:t>
      </w:r>
      <w:r w:rsidR="003967D3" w:rsidRPr="0018058D">
        <w:t xml:space="preserve"> it</w:t>
      </w:r>
      <w:r w:rsidR="005F6D10" w:rsidRPr="0018058D">
        <w:t xml:space="preserve"> can</w:t>
      </w:r>
      <w:r w:rsidR="003967D3" w:rsidRPr="0018058D">
        <w:t xml:space="preserve"> appl</w:t>
      </w:r>
      <w:r w:rsidR="005F6D10" w:rsidRPr="0018058D">
        <w:t>y</w:t>
      </w:r>
      <w:r w:rsidR="003967D3" w:rsidRPr="0018058D">
        <w:t xml:space="preserve"> to</w:t>
      </w:r>
      <w:r w:rsidR="001B3B8F" w:rsidRPr="0018058D">
        <w:t xml:space="preserve"> a</w:t>
      </w:r>
      <w:r w:rsidR="005F6D10" w:rsidRPr="0018058D">
        <w:t xml:space="preserve"> </w:t>
      </w:r>
      <w:r w:rsidR="006044A7" w:rsidRPr="0018058D">
        <w:t xml:space="preserve">verbal cash settlement offer made to the insured no later than </w:t>
      </w:r>
      <w:r w:rsidR="009C4612" w:rsidRPr="0018058D">
        <w:t>42</w:t>
      </w:r>
      <w:r w:rsidR="006044A7" w:rsidRPr="0018058D">
        <w:t xml:space="preserve"> days after the insurable event the subject of the claim</w:t>
      </w:r>
      <w:r w:rsidR="001B3B8F" w:rsidRPr="0018058D">
        <w:t>.</w:t>
      </w:r>
      <w:r w:rsidR="008A5687" w:rsidRPr="0018058D">
        <w:t xml:space="preserve"> The instrument also extends the </w:t>
      </w:r>
      <w:r w:rsidR="00AE6C8E" w:rsidRPr="0018058D">
        <w:t>operation of the relief for a period of a further 5 years</w:t>
      </w:r>
      <w:r w:rsidR="008A5687" w:rsidRPr="0018058D">
        <w:t>.</w:t>
      </w:r>
    </w:p>
    <w:p w14:paraId="078D92BF" w14:textId="6279E6AA" w:rsidR="00C740CE" w:rsidRPr="0018058D" w:rsidRDefault="00C740CE" w:rsidP="0018058D">
      <w:pPr>
        <w:pStyle w:val="LI-BodyTextParaa"/>
        <w:numPr>
          <w:ilvl w:val="0"/>
          <w:numId w:val="2"/>
        </w:numPr>
        <w:ind w:left="567" w:hanging="567"/>
      </w:pPr>
      <w:r w:rsidRPr="0018058D">
        <w:t xml:space="preserve">The instrument will </w:t>
      </w:r>
      <w:r w:rsidR="0024612E" w:rsidRPr="0018058D">
        <w:t>take</w:t>
      </w:r>
      <w:r w:rsidRPr="0018058D">
        <w:t xml:space="preserve"> effect from the da</w:t>
      </w:r>
      <w:r w:rsidR="00DB4595" w:rsidRPr="0018058D">
        <w:t xml:space="preserve">y after it is registered on the Federal Register of Legislation </w:t>
      </w:r>
      <w:r w:rsidR="00417957" w:rsidRPr="0018058D">
        <w:t>up to the start of 1 April 2030.</w:t>
      </w:r>
    </w:p>
    <w:p w14:paraId="7C4C652E" w14:textId="4BA62401" w:rsidR="005F6D10" w:rsidRPr="0018058D" w:rsidRDefault="003B590C" w:rsidP="00257F0A">
      <w:pPr>
        <w:pStyle w:val="LI-BodyTextParaa"/>
        <w:numPr>
          <w:ilvl w:val="0"/>
          <w:numId w:val="2"/>
        </w:numPr>
      </w:pPr>
      <w:r w:rsidRPr="0018058D">
        <w:t xml:space="preserve">This relief </w:t>
      </w:r>
      <w:r w:rsidR="001713DD" w:rsidRPr="0018058D">
        <w:t xml:space="preserve">remains subject to all the requirements in </w:t>
      </w:r>
      <w:r w:rsidR="000621E5" w:rsidRPr="0018058D">
        <w:t xml:space="preserve">the </w:t>
      </w:r>
      <w:r w:rsidR="00533FB5" w:rsidRPr="0018058D">
        <w:t>principal</w:t>
      </w:r>
      <w:r w:rsidR="000621E5" w:rsidRPr="0018058D">
        <w:t xml:space="preserve"> legislative instrument.</w:t>
      </w:r>
    </w:p>
    <w:p w14:paraId="46616848" w14:textId="27C2A801" w:rsidR="00555F27" w:rsidRPr="0018058D" w:rsidRDefault="00555F27" w:rsidP="00C90168">
      <w:pPr>
        <w:pStyle w:val="LI-BodyTextParaa"/>
        <w:ind w:left="567"/>
        <w:rPr>
          <w:b/>
          <w:bCs/>
        </w:rPr>
      </w:pPr>
      <w:r w:rsidRPr="0018058D">
        <w:rPr>
          <w:b/>
          <w:bCs/>
        </w:rPr>
        <w:lastRenderedPageBreak/>
        <w:t xml:space="preserve">Legislative instrument and primary legislation  </w:t>
      </w:r>
    </w:p>
    <w:p w14:paraId="111E1420" w14:textId="6286CA27" w:rsidR="00D027C6" w:rsidRPr="0018058D" w:rsidRDefault="000D7C0D" w:rsidP="00D027C6">
      <w:pPr>
        <w:pStyle w:val="LI-BodyTextParaa"/>
        <w:numPr>
          <w:ilvl w:val="0"/>
          <w:numId w:val="2"/>
        </w:numPr>
      </w:pPr>
      <w:r w:rsidRPr="0018058D">
        <w:t xml:space="preserve">The subject matter and policy implemented by this instrument is more appropriate for a legislative instrument rather than primary legislation because the effect of the instrument </w:t>
      </w:r>
      <w:r w:rsidR="00426803" w:rsidRPr="0018058D">
        <w:t>is to extend the operation of the principal legislative instrument.</w:t>
      </w:r>
    </w:p>
    <w:bookmarkEnd w:id="0"/>
    <w:p w14:paraId="6465D6B1" w14:textId="481FC8F0" w:rsidR="00CC3F4E" w:rsidRPr="0018058D" w:rsidRDefault="00CC3F4E" w:rsidP="00CC3F4E">
      <w:pPr>
        <w:pStyle w:val="LI-BodyTextParaa"/>
        <w:ind w:left="0" w:firstLine="0"/>
        <w:rPr>
          <w:b/>
        </w:rPr>
      </w:pPr>
      <w:r w:rsidRPr="0018058D">
        <w:rPr>
          <w:b/>
        </w:rPr>
        <w:t xml:space="preserve">Duration of the </w:t>
      </w:r>
      <w:r w:rsidR="0032352A" w:rsidRPr="0018058D">
        <w:rPr>
          <w:b/>
        </w:rPr>
        <w:t>i</w:t>
      </w:r>
      <w:r w:rsidRPr="0018058D">
        <w:rPr>
          <w:b/>
        </w:rPr>
        <w:t>nstrument</w:t>
      </w:r>
    </w:p>
    <w:p w14:paraId="213E270A" w14:textId="021DF937" w:rsidR="00CC3F4E" w:rsidRPr="0018058D" w:rsidRDefault="00CC3F4E" w:rsidP="00CC3F4E">
      <w:pPr>
        <w:pStyle w:val="LI-BodyTextParaa"/>
        <w:numPr>
          <w:ilvl w:val="0"/>
          <w:numId w:val="2"/>
        </w:numPr>
      </w:pPr>
      <w:r w:rsidRPr="0018058D">
        <w:t xml:space="preserve">The instrument </w:t>
      </w:r>
      <w:r w:rsidR="00482356" w:rsidRPr="0018058D">
        <w:t>extends</w:t>
      </w:r>
      <w:r w:rsidRPr="0018058D">
        <w:t xml:space="preserve"> the operation of the principal </w:t>
      </w:r>
      <w:r w:rsidR="00482356" w:rsidRPr="0018058D">
        <w:t xml:space="preserve">legislative instrument </w:t>
      </w:r>
      <w:r w:rsidR="00DF06B7" w:rsidRPr="0018058D">
        <w:t xml:space="preserve">up to </w:t>
      </w:r>
      <w:r w:rsidR="00DD4C1F" w:rsidRPr="0018058D">
        <w:t>the start of 1 April</w:t>
      </w:r>
      <w:r w:rsidR="00DF06B7" w:rsidRPr="0018058D">
        <w:t xml:space="preserve"> 2030</w:t>
      </w:r>
      <w:r w:rsidR="00482356" w:rsidRPr="0018058D">
        <w:t>.</w:t>
      </w:r>
    </w:p>
    <w:p w14:paraId="1A8E927F" w14:textId="1B1187E9" w:rsidR="00E0158F" w:rsidRPr="0018058D" w:rsidRDefault="00E0158F" w:rsidP="00E0158F">
      <w:pPr>
        <w:pStyle w:val="LI-BodyTextParaa"/>
        <w:numPr>
          <w:ilvl w:val="0"/>
          <w:numId w:val="2"/>
        </w:numPr>
      </w:pPr>
      <w:r w:rsidRPr="0018058D">
        <w:t>The operation of the relief has been extended for a period of a further 5 years rather than incorporat</w:t>
      </w:r>
      <w:r w:rsidR="00944B75" w:rsidRPr="0018058D">
        <w:t>ed</w:t>
      </w:r>
      <w:r w:rsidRPr="0018058D">
        <w:t xml:space="preserve"> into primary legislation to enable ASIC and the Government to monitor the effectiveness of the relief</w:t>
      </w:r>
      <w:r w:rsidR="00703F2C" w:rsidRPr="0018058D">
        <w:t xml:space="preserve"> </w:t>
      </w:r>
      <w:r w:rsidRPr="0018058D">
        <w:t xml:space="preserve">noting the </w:t>
      </w:r>
      <w:r w:rsidR="006D01B7" w:rsidRPr="0018058D">
        <w:t xml:space="preserve">amendment made </w:t>
      </w:r>
      <w:r w:rsidRPr="0018058D">
        <w:t xml:space="preserve">by this instrument. </w:t>
      </w:r>
    </w:p>
    <w:p w14:paraId="5CCA4C67" w14:textId="52EE6076" w:rsidR="00482356" w:rsidRPr="0018058D" w:rsidRDefault="0011655B" w:rsidP="00CC3F4E">
      <w:pPr>
        <w:pStyle w:val="LI-BodyTextParaa"/>
        <w:numPr>
          <w:ilvl w:val="0"/>
          <w:numId w:val="2"/>
        </w:numPr>
      </w:pPr>
      <w:r w:rsidRPr="0018058D">
        <w:t xml:space="preserve">Prior to </w:t>
      </w:r>
      <w:r w:rsidR="002D4EE7" w:rsidRPr="0018058D">
        <w:t>1 April</w:t>
      </w:r>
      <w:r w:rsidRPr="0018058D">
        <w:t xml:space="preserve"> 2030 ASIC will consider whether the primary legislative instrument </w:t>
      </w:r>
      <w:r w:rsidR="00DD4C0F" w:rsidRPr="0018058D">
        <w:t>should be continued, amended, remade or repealed.</w:t>
      </w:r>
    </w:p>
    <w:p w14:paraId="0C63B4A4" w14:textId="7139F57D" w:rsidR="00E0158F" w:rsidRPr="0018058D" w:rsidRDefault="00EA05CB" w:rsidP="00703F2C">
      <w:pPr>
        <w:pStyle w:val="LI-BodyTextParaa"/>
        <w:numPr>
          <w:ilvl w:val="0"/>
          <w:numId w:val="2"/>
        </w:numPr>
      </w:pPr>
      <w:r w:rsidRPr="0018058D">
        <w:t xml:space="preserve">The </w:t>
      </w:r>
      <w:r w:rsidR="00C50D73" w:rsidRPr="0018058D">
        <w:t>i</w:t>
      </w:r>
      <w:r w:rsidRPr="0018058D">
        <w:t>nstrument commences on the day after it is registered on the Federal Register of Legislation. It will be repealed under section 48A of the Legislation Act 2003.</w:t>
      </w:r>
    </w:p>
    <w:p w14:paraId="6D248388" w14:textId="643EA54D" w:rsidR="00BE0DAD" w:rsidRPr="0018058D" w:rsidRDefault="00BE0DAD" w:rsidP="00BE0DAD">
      <w:pPr>
        <w:pStyle w:val="LI-BodyTextParaa"/>
        <w:ind w:left="0" w:firstLine="0"/>
        <w:rPr>
          <w:b/>
        </w:rPr>
      </w:pPr>
      <w:r w:rsidRPr="0018058D">
        <w:rPr>
          <w:b/>
        </w:rPr>
        <w:t>Legislative authority</w:t>
      </w:r>
    </w:p>
    <w:p w14:paraId="31443E39" w14:textId="09336817" w:rsidR="002A1399" w:rsidRPr="0018058D" w:rsidRDefault="002A1399" w:rsidP="00D13A76">
      <w:pPr>
        <w:pStyle w:val="LI-BodyTextParaa"/>
        <w:numPr>
          <w:ilvl w:val="0"/>
          <w:numId w:val="2"/>
        </w:numPr>
      </w:pPr>
      <w:r w:rsidRPr="0018058D">
        <w:t xml:space="preserve">The </w:t>
      </w:r>
      <w:r w:rsidR="00C8510A" w:rsidRPr="0018058D">
        <w:t>i</w:t>
      </w:r>
      <w:r w:rsidRPr="0018058D">
        <w:t>nstrument is made under subsection 951B(1) of the Corporations Act.</w:t>
      </w:r>
    </w:p>
    <w:p w14:paraId="2CD6E8F3" w14:textId="4C0FD035" w:rsidR="00BE0DAD" w:rsidRPr="0018058D" w:rsidRDefault="001A1960" w:rsidP="00D13A76">
      <w:pPr>
        <w:pStyle w:val="LI-BodyTextParaa"/>
        <w:numPr>
          <w:ilvl w:val="0"/>
          <w:numId w:val="2"/>
        </w:numPr>
      </w:pPr>
      <w:r w:rsidRPr="0018058D">
        <w:t>Subsection</w:t>
      </w:r>
      <w:r w:rsidR="00E60B4F" w:rsidRPr="0018058D">
        <w:t xml:space="preserve"> 951B(1) provides that ASIC may </w:t>
      </w:r>
      <w:r w:rsidR="00FD291E" w:rsidRPr="0018058D">
        <w:t>exempt a class of persons from specified provisions of</w:t>
      </w:r>
      <w:r w:rsidR="00E60B4F" w:rsidRPr="0018058D">
        <w:t xml:space="preserve"> Part 7.7 of the Corporations Act</w:t>
      </w:r>
      <w:r w:rsidR="008F5A01" w:rsidRPr="0018058D">
        <w:t xml:space="preserve">, and subsection 951B(3) provides an exemption may be subject to specified conditions. </w:t>
      </w:r>
      <w:r w:rsidR="00E60B4F" w:rsidRPr="0018058D">
        <w:t xml:space="preserve"> </w:t>
      </w:r>
    </w:p>
    <w:p w14:paraId="4418F0AB" w14:textId="77777777" w:rsidR="00833A69" w:rsidRPr="0018058D" w:rsidRDefault="00833A69" w:rsidP="00833A69">
      <w:pPr>
        <w:pStyle w:val="pf0"/>
        <w:numPr>
          <w:ilvl w:val="0"/>
          <w:numId w:val="2"/>
        </w:numPr>
        <w:spacing w:before="240" w:beforeAutospacing="0"/>
        <w:ind w:left="573" w:hanging="573"/>
      </w:pPr>
      <w:r w:rsidRPr="0018058D">
        <w:t>Subsection 33(3) of the </w:t>
      </w:r>
      <w:r w:rsidRPr="0018058D">
        <w:rPr>
          <w:i/>
          <w:iCs/>
        </w:rPr>
        <w:t>Acts Interpretation Act 1901</w:t>
      </w:r>
      <w:r w:rsidRPr="0018058D">
        <w:t xml:space="preserve"> states that where an Act confers a power to make, grant or issue any instrument of a legislative or administrative character, the power shall be construed as including a power to repeal, rescind, revoke, amend or vary any such instrument. </w:t>
      </w:r>
    </w:p>
    <w:p w14:paraId="0C6D500E" w14:textId="60EFD9B4" w:rsidR="00BE0DAD" w:rsidRPr="0018058D" w:rsidRDefault="00E60B4F" w:rsidP="00D13A76">
      <w:pPr>
        <w:pStyle w:val="LI-BodyTextParaa"/>
        <w:numPr>
          <w:ilvl w:val="0"/>
          <w:numId w:val="2"/>
        </w:numPr>
      </w:pPr>
      <w:r w:rsidRPr="0018058D">
        <w:t xml:space="preserve">The </w:t>
      </w:r>
      <w:r w:rsidR="00C8510A" w:rsidRPr="0018058D">
        <w:t>i</w:t>
      </w:r>
      <w:r w:rsidRPr="0018058D">
        <w:t xml:space="preserve">nstrument is a disallowable legislative instrument. </w:t>
      </w:r>
    </w:p>
    <w:p w14:paraId="58A4D657" w14:textId="77777777" w:rsidR="00BE0DAD" w:rsidRPr="0018058D" w:rsidRDefault="00BE0DAD" w:rsidP="00BE0DAD">
      <w:pPr>
        <w:pStyle w:val="LI-BodyTextParaa"/>
        <w:ind w:left="567"/>
        <w:rPr>
          <w:b/>
        </w:rPr>
      </w:pPr>
      <w:r w:rsidRPr="0018058D">
        <w:rPr>
          <w:b/>
        </w:rPr>
        <w:t xml:space="preserve">Statement of Compatibility with Human Rights  </w:t>
      </w:r>
    </w:p>
    <w:p w14:paraId="46BFBCB8" w14:textId="59179D06" w:rsidR="00BE0DAD" w:rsidRPr="0018058D" w:rsidRDefault="00BE0DAD" w:rsidP="00D13A76">
      <w:pPr>
        <w:pStyle w:val="LI-BodyTextParaa"/>
        <w:numPr>
          <w:ilvl w:val="0"/>
          <w:numId w:val="2"/>
        </w:numPr>
      </w:pPr>
      <w:r w:rsidRPr="0018058D">
        <w:t xml:space="preserve">The Explanatory Statement for a disallowable legislative instrument must contain a Statement of Compatibility with Human Rights under subsection 9(1) of the </w:t>
      </w:r>
      <w:r w:rsidRPr="0018058D">
        <w:rPr>
          <w:i/>
          <w:iCs/>
        </w:rPr>
        <w:t>Human Rights (Parliamentary Scrutiny) Act 2011.</w:t>
      </w:r>
      <w:r w:rsidRPr="0018058D">
        <w:rPr>
          <w:iCs/>
        </w:rPr>
        <w:t xml:space="preserve"> </w:t>
      </w:r>
      <w:r w:rsidRPr="0018058D">
        <w:t xml:space="preserve">A Statement of Compatibility with Human Rights is in the </w:t>
      </w:r>
      <w:r w:rsidRPr="0018058D">
        <w:rPr>
          <w:u w:val="single"/>
        </w:rPr>
        <w:t>Attachment</w:t>
      </w:r>
      <w:r w:rsidRPr="0018058D">
        <w:t xml:space="preserve">. </w:t>
      </w:r>
    </w:p>
    <w:p w14:paraId="44B7B503" w14:textId="77777777" w:rsidR="00BE0DAD" w:rsidRPr="0018058D" w:rsidRDefault="00BE0DAD" w:rsidP="00BE0DAD">
      <w:pPr>
        <w:pStyle w:val="LI-BodyTextParaa"/>
        <w:ind w:left="567"/>
        <w:jc w:val="right"/>
        <w:rPr>
          <w:u w:val="single"/>
        </w:rPr>
      </w:pPr>
      <w:r w:rsidRPr="0018058D">
        <w:rPr>
          <w:color w:val="FF0000"/>
        </w:rPr>
        <w:br w:type="page"/>
      </w:r>
      <w:r w:rsidRPr="0018058D">
        <w:rPr>
          <w:u w:val="single"/>
        </w:rPr>
        <w:lastRenderedPageBreak/>
        <w:t xml:space="preserve">Attachment </w:t>
      </w:r>
    </w:p>
    <w:p w14:paraId="56A80995" w14:textId="77777777" w:rsidR="00BE0DAD" w:rsidRPr="0018058D" w:rsidRDefault="00BE0DAD" w:rsidP="00BE0DAD">
      <w:pPr>
        <w:pStyle w:val="LI-BodyTextParaa"/>
        <w:ind w:left="567"/>
        <w:jc w:val="center"/>
        <w:rPr>
          <w:b/>
          <w:sz w:val="28"/>
          <w:szCs w:val="28"/>
        </w:rPr>
      </w:pPr>
      <w:r w:rsidRPr="0018058D">
        <w:rPr>
          <w:b/>
          <w:sz w:val="28"/>
          <w:szCs w:val="28"/>
        </w:rPr>
        <w:t>Statement of Compatibility with Human Rights</w:t>
      </w:r>
    </w:p>
    <w:p w14:paraId="07847CA3" w14:textId="77777777" w:rsidR="00BE0DAD" w:rsidRPr="0018058D" w:rsidRDefault="00BE0DAD" w:rsidP="00BE0DAD">
      <w:pPr>
        <w:pStyle w:val="LI-BodyTextNumbered"/>
        <w:ind w:left="0" w:firstLine="0"/>
        <w:rPr>
          <w:iCs/>
        </w:rPr>
      </w:pPr>
      <w:bookmarkStart w:id="1" w:name="_Hlk534286677"/>
    </w:p>
    <w:p w14:paraId="00AE3516" w14:textId="77777777" w:rsidR="00BE0DAD" w:rsidRPr="0018058D" w:rsidRDefault="00BE0DAD" w:rsidP="00BE0DAD">
      <w:pPr>
        <w:pStyle w:val="LI-BodyTextNumbered"/>
        <w:ind w:left="0" w:firstLine="0"/>
        <w:rPr>
          <w:iCs/>
        </w:rPr>
      </w:pPr>
      <w:r w:rsidRPr="0018058D">
        <w:rPr>
          <w:iCs/>
        </w:rPr>
        <w:t xml:space="preserve">This Statement of Compatibility with Human Rights is prepared in accordance with Part 3 of </w:t>
      </w:r>
      <w:bookmarkStart w:id="2" w:name="_Hlk4054932"/>
      <w:r w:rsidRPr="0018058D">
        <w:rPr>
          <w:iCs/>
        </w:rPr>
        <w:t xml:space="preserve">the </w:t>
      </w:r>
      <w:r w:rsidRPr="0018058D">
        <w:rPr>
          <w:i/>
          <w:iCs/>
        </w:rPr>
        <w:t>Human Rights (Parliamentary Scrutiny) Act 2011</w:t>
      </w:r>
      <w:bookmarkEnd w:id="2"/>
      <w:r w:rsidRPr="0018058D">
        <w:rPr>
          <w:iCs/>
        </w:rPr>
        <w:t xml:space="preserve">.   </w:t>
      </w:r>
    </w:p>
    <w:p w14:paraId="3637457D" w14:textId="59438AD7" w:rsidR="00BE0DAD" w:rsidRPr="0018058D" w:rsidRDefault="00E60B4F" w:rsidP="00BE0DAD">
      <w:pPr>
        <w:pStyle w:val="LI-BodyTextNumbered"/>
        <w:ind w:left="0" w:firstLine="0"/>
        <w:rPr>
          <w:b/>
          <w:i/>
        </w:rPr>
      </w:pPr>
      <w:r w:rsidRPr="0018058D">
        <w:rPr>
          <w:b/>
          <w:i/>
        </w:rPr>
        <w:t>ASIC Corporations (</w:t>
      </w:r>
      <w:r w:rsidR="005153F8" w:rsidRPr="0018058D">
        <w:rPr>
          <w:b/>
          <w:i/>
        </w:rPr>
        <w:t>Amendment</w:t>
      </w:r>
      <w:r w:rsidRPr="0018058D">
        <w:rPr>
          <w:b/>
          <w:i/>
        </w:rPr>
        <w:t>) Instrument 202</w:t>
      </w:r>
      <w:r w:rsidR="00A66A88" w:rsidRPr="0018058D">
        <w:rPr>
          <w:b/>
          <w:i/>
        </w:rPr>
        <w:t>4</w:t>
      </w:r>
      <w:r w:rsidRPr="0018058D">
        <w:rPr>
          <w:b/>
          <w:i/>
        </w:rPr>
        <w:t>/</w:t>
      </w:r>
      <w:r w:rsidR="003C741B">
        <w:rPr>
          <w:b/>
          <w:i/>
        </w:rPr>
        <w:t>883</w:t>
      </w:r>
    </w:p>
    <w:p w14:paraId="0171A49B" w14:textId="77777777" w:rsidR="00BE0DAD" w:rsidRPr="0018058D" w:rsidRDefault="00BE0DAD" w:rsidP="00BE0DAD">
      <w:pPr>
        <w:pStyle w:val="LI-BodyTextNumbered"/>
        <w:ind w:left="567"/>
        <w:rPr>
          <w:u w:val="single"/>
        </w:rPr>
      </w:pPr>
      <w:r w:rsidRPr="0018058D">
        <w:rPr>
          <w:u w:val="single"/>
        </w:rPr>
        <w:t>Overview</w:t>
      </w:r>
    </w:p>
    <w:p w14:paraId="7FC4853A" w14:textId="2319E581" w:rsidR="00BE0DAD" w:rsidRPr="0018058D" w:rsidRDefault="00C8510A" w:rsidP="00756341">
      <w:pPr>
        <w:pStyle w:val="ListParagraph"/>
        <w:numPr>
          <w:ilvl w:val="0"/>
          <w:numId w:val="13"/>
        </w:numPr>
        <w:spacing w:before="240" w:line="240" w:lineRule="auto"/>
        <w:ind w:left="567" w:hanging="567"/>
        <w:rPr>
          <w:sz w:val="24"/>
          <w:szCs w:val="24"/>
        </w:rPr>
      </w:pPr>
      <w:r w:rsidRPr="0018058D">
        <w:rPr>
          <w:rFonts w:eastAsia="Times New Roman"/>
          <w:sz w:val="24"/>
          <w:szCs w:val="24"/>
          <w:lang w:eastAsia="en-AU"/>
        </w:rPr>
        <w:t xml:space="preserve">The purpose of the instrument is to amend </w:t>
      </w:r>
      <w:r w:rsidR="00052D02" w:rsidRPr="0018058D">
        <w:rPr>
          <w:rFonts w:eastAsia="Times New Roman"/>
          <w:i/>
          <w:iCs/>
          <w:sz w:val="24"/>
          <w:szCs w:val="24"/>
          <w:lang w:eastAsia="en-AU"/>
        </w:rPr>
        <w:t>ASIC Corporations (Cash Settlement Fact Sheet) Instrument 2022</w:t>
      </w:r>
      <w:r w:rsidR="00B105CE" w:rsidRPr="0018058D">
        <w:rPr>
          <w:rFonts w:eastAsia="Times New Roman"/>
          <w:i/>
          <w:iCs/>
          <w:sz w:val="24"/>
          <w:szCs w:val="24"/>
          <w:lang w:eastAsia="en-AU"/>
        </w:rPr>
        <w:t>/</w:t>
      </w:r>
      <w:r w:rsidR="00F35756" w:rsidRPr="0018058D">
        <w:rPr>
          <w:rFonts w:eastAsia="Times New Roman"/>
          <w:i/>
          <w:iCs/>
          <w:sz w:val="24"/>
          <w:szCs w:val="24"/>
          <w:lang w:eastAsia="en-AU"/>
        </w:rPr>
        <w:t>59</w:t>
      </w:r>
      <w:r w:rsidR="00F35756" w:rsidRPr="0018058D">
        <w:rPr>
          <w:rFonts w:eastAsia="Times New Roman"/>
          <w:sz w:val="24"/>
          <w:szCs w:val="24"/>
          <w:lang w:eastAsia="en-AU"/>
        </w:rPr>
        <w:t xml:space="preserve"> </w:t>
      </w:r>
      <w:r w:rsidR="0075198A" w:rsidRPr="0018058D">
        <w:rPr>
          <w:rFonts w:eastAsia="Times New Roman"/>
          <w:sz w:val="24"/>
          <w:szCs w:val="24"/>
          <w:lang w:eastAsia="en-AU"/>
        </w:rPr>
        <w:t xml:space="preserve">(the principal legislative instrument). The principal legislative instrument 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allows </w:t>
      </w:r>
      <w:r w:rsidR="0075198A" w:rsidRPr="0018058D">
        <w:rPr>
          <w:rFonts w:eastAsia="Times New Roman"/>
          <w:sz w:val="24"/>
          <w:szCs w:val="24"/>
          <w:lang w:eastAsia="en-AU"/>
        </w:rPr>
        <w:t>providing entities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 that provide claims handling and settling services to give a Cash Settlement Fact Sheet to insureds after a </w:t>
      </w:r>
      <w:r w:rsidR="007F6167" w:rsidRPr="0018058D">
        <w:rPr>
          <w:rFonts w:eastAsia="Times New Roman"/>
          <w:sz w:val="24"/>
          <w:szCs w:val="24"/>
          <w:lang w:eastAsia="en-AU"/>
        </w:rPr>
        <w:t xml:space="preserve">verbal </w:t>
      </w:r>
      <w:r w:rsidR="00052D02" w:rsidRPr="0018058D">
        <w:rPr>
          <w:rFonts w:eastAsia="Times New Roman"/>
          <w:sz w:val="24"/>
          <w:szCs w:val="24"/>
          <w:lang w:eastAsia="en-AU"/>
        </w:rPr>
        <w:t>cash settlement offer has occurred</w:t>
      </w:r>
      <w:r w:rsidR="00816AB6" w:rsidRPr="0018058D">
        <w:rPr>
          <w:rFonts w:eastAsia="Times New Roman"/>
          <w:sz w:val="24"/>
          <w:szCs w:val="24"/>
          <w:lang w:eastAsia="en-AU"/>
        </w:rPr>
        <w:t>,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 in circumstances </w:t>
      </w:r>
      <w:r w:rsidR="00816AB6" w:rsidRPr="0018058D">
        <w:rPr>
          <w:rFonts w:eastAsia="Times New Roman"/>
          <w:sz w:val="24"/>
          <w:szCs w:val="24"/>
          <w:lang w:eastAsia="en-AU"/>
        </w:rPr>
        <w:t>where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 the insured </w:t>
      </w:r>
      <w:r w:rsidR="00816AB6" w:rsidRPr="0018058D">
        <w:rPr>
          <w:rFonts w:eastAsia="Times New Roman"/>
          <w:sz w:val="24"/>
          <w:szCs w:val="24"/>
          <w:lang w:eastAsia="en-AU"/>
        </w:rPr>
        <w:t>is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 in immediate need of financial assistance and the cash payment </w:t>
      </w:r>
      <w:r w:rsidR="00555F27" w:rsidRPr="0018058D">
        <w:rPr>
          <w:rFonts w:eastAsia="Times New Roman"/>
          <w:sz w:val="24"/>
          <w:szCs w:val="24"/>
          <w:lang w:eastAsia="en-AU"/>
        </w:rPr>
        <w:t>does not exceed $5,000</w:t>
      </w:r>
      <w:r w:rsidR="00052D02" w:rsidRPr="0018058D">
        <w:rPr>
          <w:rFonts w:eastAsia="Times New Roman"/>
          <w:sz w:val="24"/>
          <w:szCs w:val="24"/>
          <w:lang w:eastAsia="en-AU"/>
        </w:rPr>
        <w:t xml:space="preserve">. </w:t>
      </w:r>
      <w:r w:rsidR="001D0079" w:rsidRPr="0018058D">
        <w:rPr>
          <w:rFonts w:eastAsia="Times New Roman"/>
          <w:sz w:val="24"/>
          <w:szCs w:val="24"/>
          <w:lang w:eastAsia="en-AU"/>
        </w:rPr>
        <w:t xml:space="preserve">Certain conditions attach to this relief to ensure that insureds are still given sufficient information about whether to accept </w:t>
      </w:r>
      <w:r w:rsidR="001D0079" w:rsidRPr="0018058D">
        <w:rPr>
          <w:sz w:val="24"/>
          <w:szCs w:val="24"/>
        </w:rPr>
        <w:t>a cash settlement offer from an insurer</w:t>
      </w:r>
      <w:r w:rsidR="0038004A" w:rsidRPr="0018058D">
        <w:rPr>
          <w:sz w:val="24"/>
          <w:szCs w:val="24"/>
        </w:rPr>
        <w:t>.</w:t>
      </w:r>
    </w:p>
    <w:p w14:paraId="473298CB" w14:textId="33F1C592" w:rsidR="0075198A" w:rsidRPr="0018058D" w:rsidRDefault="0075198A" w:rsidP="00756341">
      <w:pPr>
        <w:pStyle w:val="LI-BodyTextParaa"/>
        <w:numPr>
          <w:ilvl w:val="0"/>
          <w:numId w:val="13"/>
        </w:numPr>
        <w:ind w:left="567"/>
      </w:pPr>
      <w:r w:rsidRPr="0018058D">
        <w:t>To enable more consumers to benefit from the timely payment of a small-moderate cash payout immediately after an insurable event, the instrument extends the exemption period in the principal legislative instrument from 14 days to 42 days</w:t>
      </w:r>
      <w:r w:rsidR="009C341C" w:rsidRPr="0018058D">
        <w:t xml:space="preserve"> and exte</w:t>
      </w:r>
      <w:r w:rsidR="00B7377C" w:rsidRPr="0018058D">
        <w:t>nds the operation of the relief for a period of a further 5 years</w:t>
      </w:r>
      <w:r w:rsidRPr="0018058D">
        <w:t xml:space="preserve">. </w:t>
      </w:r>
    </w:p>
    <w:p w14:paraId="313807BF" w14:textId="77777777" w:rsidR="00BE0DAD" w:rsidRPr="0018058D" w:rsidRDefault="00BE0DAD" w:rsidP="00BE0DAD">
      <w:pPr>
        <w:pStyle w:val="LI-BodyTextNumbered"/>
        <w:ind w:left="567"/>
        <w:rPr>
          <w:u w:val="single"/>
        </w:rPr>
      </w:pPr>
      <w:bookmarkStart w:id="3" w:name="_Hlk534286807"/>
      <w:bookmarkEnd w:id="1"/>
      <w:r w:rsidRPr="0018058D">
        <w:rPr>
          <w:u w:val="single"/>
        </w:rPr>
        <w:t>Assessment of human rights implications</w:t>
      </w:r>
    </w:p>
    <w:p w14:paraId="4D8DEB33" w14:textId="172CC8C5" w:rsidR="00BE0DAD" w:rsidRPr="0018058D" w:rsidRDefault="0075198A" w:rsidP="00BE0DAD">
      <w:pPr>
        <w:pStyle w:val="LI-BodyTextNumbered"/>
        <w:ind w:left="567"/>
      </w:pPr>
      <w:r w:rsidRPr="0018058D">
        <w:t>3</w:t>
      </w:r>
      <w:r w:rsidR="00BE0DAD" w:rsidRPr="0018058D">
        <w:t>.</w:t>
      </w:r>
      <w:r w:rsidR="00BE0DAD" w:rsidRPr="0018058D">
        <w:tab/>
      </w:r>
      <w:bookmarkEnd w:id="3"/>
      <w:r w:rsidR="00BE0DAD" w:rsidRPr="0018058D">
        <w:t>This instrument does not engage any of the applicable rights or freedoms</w:t>
      </w:r>
      <w:r w:rsidR="00E60B4F" w:rsidRPr="0018058D">
        <w:t>.</w:t>
      </w:r>
      <w:r w:rsidR="00BE0DAD" w:rsidRPr="0018058D">
        <w:t xml:space="preserve">  </w:t>
      </w:r>
    </w:p>
    <w:p w14:paraId="5884E1F0" w14:textId="77777777" w:rsidR="00BE0DAD" w:rsidRPr="0018058D" w:rsidRDefault="00BE0DAD" w:rsidP="00BE0DAD">
      <w:pPr>
        <w:pStyle w:val="LI-BodyTextNumbered"/>
        <w:ind w:left="567"/>
        <w:rPr>
          <w:u w:val="single"/>
        </w:rPr>
      </w:pPr>
      <w:r w:rsidRPr="0018058D">
        <w:rPr>
          <w:u w:val="single"/>
        </w:rPr>
        <w:t>Conclusion</w:t>
      </w:r>
    </w:p>
    <w:p w14:paraId="7CDC88EE" w14:textId="596D419C" w:rsidR="00BE0DAD" w:rsidRPr="00EA17A6" w:rsidRDefault="0075198A" w:rsidP="00BE0DAD">
      <w:pPr>
        <w:pStyle w:val="LI-BodyTextNumbered"/>
        <w:ind w:left="567"/>
      </w:pPr>
      <w:r w:rsidRPr="0018058D">
        <w:t>4</w:t>
      </w:r>
      <w:r w:rsidR="00BE0DAD" w:rsidRPr="0018058D">
        <w:t>.</w:t>
      </w:r>
      <w:r w:rsidR="00BE0DAD" w:rsidRPr="0018058D">
        <w:tab/>
        <w:t xml:space="preserve">This instrument is compatible with the human rights and freedoms recognised or declared in the international instruments listed in section 3 of </w:t>
      </w:r>
      <w:r w:rsidR="00BE0DAD" w:rsidRPr="0018058D">
        <w:rPr>
          <w:iCs/>
        </w:rPr>
        <w:t xml:space="preserve">the </w:t>
      </w:r>
      <w:r w:rsidR="00BE0DAD" w:rsidRPr="0018058D">
        <w:rPr>
          <w:i/>
          <w:iCs/>
        </w:rPr>
        <w:t>Human Rights (Parliamentary Scrutiny) Act 2011</w:t>
      </w:r>
      <w:r w:rsidR="00BE0DAD" w:rsidRPr="0018058D">
        <w:t>.</w:t>
      </w:r>
    </w:p>
    <w:p w14:paraId="337DFD03" w14:textId="77777777" w:rsidR="00BE0DAD" w:rsidRPr="00EA17A6" w:rsidRDefault="00BE0DAD" w:rsidP="00BE0DAD">
      <w:pPr>
        <w:pStyle w:val="LI-BodyTextNumbered"/>
        <w:ind w:left="567"/>
      </w:pPr>
    </w:p>
    <w:p w14:paraId="606854C7" w14:textId="77777777" w:rsidR="009F4FE2" w:rsidRDefault="009F4FE2"/>
    <w:sectPr w:rsidR="009F4FE2" w:rsidSect="00296AAB">
      <w:headerReference w:type="even" r:id="rId14"/>
      <w:headerReference w:type="default" r:id="rId15"/>
      <w:footerReference w:type="default" r:id="rId16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3E16" w14:textId="77777777" w:rsidR="009217E3" w:rsidRDefault="009217E3">
      <w:pPr>
        <w:spacing w:line="240" w:lineRule="auto"/>
      </w:pPr>
      <w:r>
        <w:separator/>
      </w:r>
    </w:p>
  </w:endnote>
  <w:endnote w:type="continuationSeparator" w:id="0">
    <w:p w14:paraId="54553049" w14:textId="77777777" w:rsidR="009217E3" w:rsidRDefault="009217E3">
      <w:pPr>
        <w:spacing w:line="240" w:lineRule="auto"/>
      </w:pPr>
      <w:r>
        <w:continuationSeparator/>
      </w:r>
    </w:p>
  </w:endnote>
  <w:endnote w:type="continuationNotice" w:id="1">
    <w:p w14:paraId="67C2996F" w14:textId="77777777" w:rsidR="009217E3" w:rsidRDefault="00921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DFB0" w14:textId="77777777" w:rsidR="006A7ABA" w:rsidRDefault="006A7A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A2B37C3" w14:textId="77777777" w:rsidR="006A7ABA" w:rsidRDefault="006A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6B8F" w14:textId="77777777" w:rsidR="009217E3" w:rsidRDefault="009217E3">
      <w:pPr>
        <w:spacing w:line="240" w:lineRule="auto"/>
      </w:pPr>
      <w:r>
        <w:separator/>
      </w:r>
    </w:p>
  </w:footnote>
  <w:footnote w:type="continuationSeparator" w:id="0">
    <w:p w14:paraId="616E255E" w14:textId="77777777" w:rsidR="009217E3" w:rsidRDefault="009217E3">
      <w:pPr>
        <w:spacing w:line="240" w:lineRule="auto"/>
      </w:pPr>
      <w:r>
        <w:continuationSeparator/>
      </w:r>
    </w:p>
  </w:footnote>
  <w:footnote w:type="continuationNotice" w:id="1">
    <w:p w14:paraId="631B8F39" w14:textId="77777777" w:rsidR="009217E3" w:rsidRDefault="00921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1AF5" w14:textId="77777777" w:rsidR="006A7ABA" w:rsidRPr="00243EC0" w:rsidRDefault="006A7ABA" w:rsidP="00296AAB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6A7ABA" w:rsidRPr="00E40FF8" w14:paraId="4A243B2A" w14:textId="77777777" w:rsidTr="00296AAB">
      <w:tc>
        <w:tcPr>
          <w:tcW w:w="4253" w:type="dxa"/>
          <w:shd w:val="clear" w:color="auto" w:fill="auto"/>
        </w:tcPr>
        <w:p w14:paraId="53BCB21A" w14:textId="77777777" w:rsidR="006A7ABA" w:rsidRDefault="006A7ABA" w:rsidP="00296AAB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09097042" w14:textId="77777777" w:rsidR="006A7ABA" w:rsidRDefault="006A7ABA" w:rsidP="00296AAB">
          <w:pPr>
            <w:pStyle w:val="LI-BodyTextNumbered"/>
          </w:pPr>
        </w:p>
      </w:tc>
    </w:tr>
  </w:tbl>
  <w:p w14:paraId="6AFE9405" w14:textId="77777777" w:rsidR="006A7ABA" w:rsidRPr="00F4215A" w:rsidRDefault="006A7ABA" w:rsidP="0029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08D"/>
    <w:multiLevelType w:val="hybridMultilevel"/>
    <w:tmpl w:val="F4AE6754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648"/>
    <w:multiLevelType w:val="hybridMultilevel"/>
    <w:tmpl w:val="5BAC6C8E"/>
    <w:lvl w:ilvl="0" w:tplc="E31C6F46">
      <w:start w:val="1"/>
      <w:numFmt w:val="decimal"/>
      <w:lvlText w:val="%1."/>
      <w:lvlJc w:val="left"/>
      <w:pPr>
        <w:ind w:left="930" w:hanging="57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402"/>
    <w:multiLevelType w:val="hybridMultilevel"/>
    <w:tmpl w:val="C34A8764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8ED"/>
    <w:multiLevelType w:val="hybridMultilevel"/>
    <w:tmpl w:val="85709D7E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53C79"/>
    <w:multiLevelType w:val="hybridMultilevel"/>
    <w:tmpl w:val="5E22A2E6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A6A0A"/>
    <w:multiLevelType w:val="hybridMultilevel"/>
    <w:tmpl w:val="3F5E4A4E"/>
    <w:lvl w:ilvl="0" w:tplc="7D4A0048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3316B"/>
    <w:multiLevelType w:val="hybridMultilevel"/>
    <w:tmpl w:val="7DD4CB6C"/>
    <w:lvl w:ilvl="0" w:tplc="B97C48BA">
      <w:start w:val="1"/>
      <w:numFmt w:val="decimal"/>
      <w:pStyle w:val="ListPara1"/>
      <w:lvlText w:val="%1."/>
      <w:lvlJc w:val="left"/>
      <w:pPr>
        <w:ind w:left="720" w:hanging="360"/>
      </w:pPr>
      <w:rPr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023B"/>
    <w:multiLevelType w:val="hybridMultilevel"/>
    <w:tmpl w:val="EE56F4FE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679E"/>
    <w:multiLevelType w:val="hybridMultilevel"/>
    <w:tmpl w:val="F7F2C0CC"/>
    <w:lvl w:ilvl="0" w:tplc="9A0E7DE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755866"/>
    <w:multiLevelType w:val="hybridMultilevel"/>
    <w:tmpl w:val="F59AC088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D686A"/>
    <w:multiLevelType w:val="hybridMultilevel"/>
    <w:tmpl w:val="D95C5092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E25B5"/>
    <w:multiLevelType w:val="hybridMultilevel"/>
    <w:tmpl w:val="B93226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33A7F"/>
    <w:multiLevelType w:val="hybridMultilevel"/>
    <w:tmpl w:val="9264AB96"/>
    <w:lvl w:ilvl="0" w:tplc="A6BCE8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2054">
    <w:abstractNumId w:val="11"/>
  </w:num>
  <w:num w:numId="2" w16cid:durableId="2046633971">
    <w:abstractNumId w:val="3"/>
  </w:num>
  <w:num w:numId="3" w16cid:durableId="349916133">
    <w:abstractNumId w:val="2"/>
  </w:num>
  <w:num w:numId="4" w16cid:durableId="1639415719">
    <w:abstractNumId w:val="9"/>
  </w:num>
  <w:num w:numId="5" w16cid:durableId="1914663263">
    <w:abstractNumId w:val="12"/>
  </w:num>
  <w:num w:numId="6" w16cid:durableId="1015426993">
    <w:abstractNumId w:val="0"/>
  </w:num>
  <w:num w:numId="7" w16cid:durableId="1137453888">
    <w:abstractNumId w:val="7"/>
  </w:num>
  <w:num w:numId="8" w16cid:durableId="1986814346">
    <w:abstractNumId w:val="4"/>
  </w:num>
  <w:num w:numId="9" w16cid:durableId="231620361">
    <w:abstractNumId w:val="10"/>
  </w:num>
  <w:num w:numId="10" w16cid:durableId="1511868751">
    <w:abstractNumId w:val="8"/>
  </w:num>
  <w:num w:numId="11" w16cid:durableId="905260262">
    <w:abstractNumId w:val="6"/>
  </w:num>
  <w:num w:numId="12" w16cid:durableId="393964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73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AD"/>
    <w:rsid w:val="00001419"/>
    <w:rsid w:val="00001E79"/>
    <w:rsid w:val="00005561"/>
    <w:rsid w:val="000072BC"/>
    <w:rsid w:val="00014445"/>
    <w:rsid w:val="00022146"/>
    <w:rsid w:val="00035891"/>
    <w:rsid w:val="000471F2"/>
    <w:rsid w:val="00047B5F"/>
    <w:rsid w:val="0005030F"/>
    <w:rsid w:val="00052D02"/>
    <w:rsid w:val="000533C7"/>
    <w:rsid w:val="000621E5"/>
    <w:rsid w:val="00063576"/>
    <w:rsid w:val="00065FF4"/>
    <w:rsid w:val="00070A8E"/>
    <w:rsid w:val="00070F8C"/>
    <w:rsid w:val="00074ED2"/>
    <w:rsid w:val="00077BEA"/>
    <w:rsid w:val="00082389"/>
    <w:rsid w:val="00085FC0"/>
    <w:rsid w:val="00095185"/>
    <w:rsid w:val="000A0B9E"/>
    <w:rsid w:val="000A419D"/>
    <w:rsid w:val="000B1110"/>
    <w:rsid w:val="000B1BC4"/>
    <w:rsid w:val="000B40BE"/>
    <w:rsid w:val="000B4271"/>
    <w:rsid w:val="000B7476"/>
    <w:rsid w:val="000C3D98"/>
    <w:rsid w:val="000C75D8"/>
    <w:rsid w:val="000D0627"/>
    <w:rsid w:val="000D234B"/>
    <w:rsid w:val="000D7C0D"/>
    <w:rsid w:val="000E170A"/>
    <w:rsid w:val="000E324B"/>
    <w:rsid w:val="000E32AB"/>
    <w:rsid w:val="000E7527"/>
    <w:rsid w:val="000F0194"/>
    <w:rsid w:val="000F3636"/>
    <w:rsid w:val="000F3C41"/>
    <w:rsid w:val="00101D22"/>
    <w:rsid w:val="00110395"/>
    <w:rsid w:val="001127E5"/>
    <w:rsid w:val="00113B2F"/>
    <w:rsid w:val="0011655B"/>
    <w:rsid w:val="001166B6"/>
    <w:rsid w:val="001219AE"/>
    <w:rsid w:val="00125625"/>
    <w:rsid w:val="001318F9"/>
    <w:rsid w:val="00131B73"/>
    <w:rsid w:val="001379BC"/>
    <w:rsid w:val="00145D0F"/>
    <w:rsid w:val="00146E3D"/>
    <w:rsid w:val="00150E33"/>
    <w:rsid w:val="001575AD"/>
    <w:rsid w:val="00160BCE"/>
    <w:rsid w:val="00161DC5"/>
    <w:rsid w:val="00161E40"/>
    <w:rsid w:val="00163862"/>
    <w:rsid w:val="00163A68"/>
    <w:rsid w:val="00163A85"/>
    <w:rsid w:val="00166CE9"/>
    <w:rsid w:val="00166D4F"/>
    <w:rsid w:val="001713DD"/>
    <w:rsid w:val="001741BE"/>
    <w:rsid w:val="00174F9D"/>
    <w:rsid w:val="0018058D"/>
    <w:rsid w:val="00180A67"/>
    <w:rsid w:val="00183D93"/>
    <w:rsid w:val="00184BB1"/>
    <w:rsid w:val="00187F3B"/>
    <w:rsid w:val="00187F8F"/>
    <w:rsid w:val="00196141"/>
    <w:rsid w:val="001962C7"/>
    <w:rsid w:val="00197905"/>
    <w:rsid w:val="00197979"/>
    <w:rsid w:val="00197D6B"/>
    <w:rsid w:val="001A0072"/>
    <w:rsid w:val="001A1960"/>
    <w:rsid w:val="001A2461"/>
    <w:rsid w:val="001A31F1"/>
    <w:rsid w:val="001A3C61"/>
    <w:rsid w:val="001A474B"/>
    <w:rsid w:val="001A7633"/>
    <w:rsid w:val="001B1E0B"/>
    <w:rsid w:val="001B3B8F"/>
    <w:rsid w:val="001B462F"/>
    <w:rsid w:val="001B7134"/>
    <w:rsid w:val="001B7E58"/>
    <w:rsid w:val="001C27D8"/>
    <w:rsid w:val="001C630B"/>
    <w:rsid w:val="001D0079"/>
    <w:rsid w:val="001D1005"/>
    <w:rsid w:val="001D12D0"/>
    <w:rsid w:val="001D54F4"/>
    <w:rsid w:val="001D7216"/>
    <w:rsid w:val="001D7F3E"/>
    <w:rsid w:val="001E7A43"/>
    <w:rsid w:val="002013A9"/>
    <w:rsid w:val="002038EE"/>
    <w:rsid w:val="00204E77"/>
    <w:rsid w:val="00206068"/>
    <w:rsid w:val="00206DF4"/>
    <w:rsid w:val="00213EC6"/>
    <w:rsid w:val="0021634D"/>
    <w:rsid w:val="00221ABE"/>
    <w:rsid w:val="00227A04"/>
    <w:rsid w:val="00230B84"/>
    <w:rsid w:val="00241C2F"/>
    <w:rsid w:val="0024612E"/>
    <w:rsid w:val="00246164"/>
    <w:rsid w:val="00247934"/>
    <w:rsid w:val="00247959"/>
    <w:rsid w:val="002558E1"/>
    <w:rsid w:val="00257F0A"/>
    <w:rsid w:val="0025A61D"/>
    <w:rsid w:val="00263A0F"/>
    <w:rsid w:val="0026554F"/>
    <w:rsid w:val="00270CC0"/>
    <w:rsid w:val="00277B68"/>
    <w:rsid w:val="00290658"/>
    <w:rsid w:val="00293018"/>
    <w:rsid w:val="00294BE5"/>
    <w:rsid w:val="00296AAB"/>
    <w:rsid w:val="002A08FA"/>
    <w:rsid w:val="002A1399"/>
    <w:rsid w:val="002A3D66"/>
    <w:rsid w:val="002A55D5"/>
    <w:rsid w:val="002A5F8C"/>
    <w:rsid w:val="002A6362"/>
    <w:rsid w:val="002B28CC"/>
    <w:rsid w:val="002D1102"/>
    <w:rsid w:val="002D4EE7"/>
    <w:rsid w:val="002D5DAF"/>
    <w:rsid w:val="002D6604"/>
    <w:rsid w:val="002E3FD1"/>
    <w:rsid w:val="002F4279"/>
    <w:rsid w:val="002F7B57"/>
    <w:rsid w:val="00304F7A"/>
    <w:rsid w:val="00307D30"/>
    <w:rsid w:val="00314661"/>
    <w:rsid w:val="00321D77"/>
    <w:rsid w:val="0032352A"/>
    <w:rsid w:val="003248BF"/>
    <w:rsid w:val="00325BD5"/>
    <w:rsid w:val="00333A97"/>
    <w:rsid w:val="003510F8"/>
    <w:rsid w:val="003548E6"/>
    <w:rsid w:val="003551C1"/>
    <w:rsid w:val="00361489"/>
    <w:rsid w:val="0036286E"/>
    <w:rsid w:val="003651C5"/>
    <w:rsid w:val="00366E12"/>
    <w:rsid w:val="00371210"/>
    <w:rsid w:val="00372786"/>
    <w:rsid w:val="00372E9E"/>
    <w:rsid w:val="003732B5"/>
    <w:rsid w:val="0038004A"/>
    <w:rsid w:val="0038067F"/>
    <w:rsid w:val="003819F8"/>
    <w:rsid w:val="00385FFC"/>
    <w:rsid w:val="003868E8"/>
    <w:rsid w:val="00391A22"/>
    <w:rsid w:val="00393778"/>
    <w:rsid w:val="003967D3"/>
    <w:rsid w:val="003A0B4E"/>
    <w:rsid w:val="003A2CFF"/>
    <w:rsid w:val="003A591E"/>
    <w:rsid w:val="003A6FBF"/>
    <w:rsid w:val="003B5717"/>
    <w:rsid w:val="003B590C"/>
    <w:rsid w:val="003C4A8B"/>
    <w:rsid w:val="003C68FD"/>
    <w:rsid w:val="003C741B"/>
    <w:rsid w:val="003C7930"/>
    <w:rsid w:val="003D4C05"/>
    <w:rsid w:val="003E1F07"/>
    <w:rsid w:val="003F32DF"/>
    <w:rsid w:val="003F3AAF"/>
    <w:rsid w:val="003F59DF"/>
    <w:rsid w:val="004075A8"/>
    <w:rsid w:val="0041262D"/>
    <w:rsid w:val="00413959"/>
    <w:rsid w:val="00417957"/>
    <w:rsid w:val="0041798E"/>
    <w:rsid w:val="00420415"/>
    <w:rsid w:val="004259C9"/>
    <w:rsid w:val="00426803"/>
    <w:rsid w:val="00430DC9"/>
    <w:rsid w:val="0043632C"/>
    <w:rsid w:val="004421D3"/>
    <w:rsid w:val="00444EEB"/>
    <w:rsid w:val="0044657B"/>
    <w:rsid w:val="0045009D"/>
    <w:rsid w:val="00452033"/>
    <w:rsid w:val="00466FD7"/>
    <w:rsid w:val="004700BE"/>
    <w:rsid w:val="00473275"/>
    <w:rsid w:val="00473612"/>
    <w:rsid w:val="00482267"/>
    <w:rsid w:val="00482356"/>
    <w:rsid w:val="00490C46"/>
    <w:rsid w:val="00491876"/>
    <w:rsid w:val="00491ABF"/>
    <w:rsid w:val="004A4BB9"/>
    <w:rsid w:val="004A5A41"/>
    <w:rsid w:val="004A6DE8"/>
    <w:rsid w:val="004A71E5"/>
    <w:rsid w:val="004A77A1"/>
    <w:rsid w:val="004B4F93"/>
    <w:rsid w:val="004B5B94"/>
    <w:rsid w:val="004E470B"/>
    <w:rsid w:val="004E4DFB"/>
    <w:rsid w:val="004F298B"/>
    <w:rsid w:val="004F3644"/>
    <w:rsid w:val="004F7AFF"/>
    <w:rsid w:val="0050241F"/>
    <w:rsid w:val="00504D23"/>
    <w:rsid w:val="005069D8"/>
    <w:rsid w:val="00511551"/>
    <w:rsid w:val="00514F19"/>
    <w:rsid w:val="005153F8"/>
    <w:rsid w:val="00515710"/>
    <w:rsid w:val="00522523"/>
    <w:rsid w:val="00531068"/>
    <w:rsid w:val="005311AC"/>
    <w:rsid w:val="00533680"/>
    <w:rsid w:val="00533FB5"/>
    <w:rsid w:val="005502FD"/>
    <w:rsid w:val="00550A76"/>
    <w:rsid w:val="00550BBE"/>
    <w:rsid w:val="00555F27"/>
    <w:rsid w:val="005576F1"/>
    <w:rsid w:val="00574B99"/>
    <w:rsid w:val="00584984"/>
    <w:rsid w:val="00584F4A"/>
    <w:rsid w:val="00585188"/>
    <w:rsid w:val="00591EA0"/>
    <w:rsid w:val="00595B15"/>
    <w:rsid w:val="005A324E"/>
    <w:rsid w:val="005A48E1"/>
    <w:rsid w:val="005C50CB"/>
    <w:rsid w:val="005C5378"/>
    <w:rsid w:val="005D0978"/>
    <w:rsid w:val="005D1F1E"/>
    <w:rsid w:val="005D4F94"/>
    <w:rsid w:val="005E39AE"/>
    <w:rsid w:val="005F1F95"/>
    <w:rsid w:val="005F3BC0"/>
    <w:rsid w:val="005F5606"/>
    <w:rsid w:val="005F6D10"/>
    <w:rsid w:val="005F71DB"/>
    <w:rsid w:val="006007C0"/>
    <w:rsid w:val="00602901"/>
    <w:rsid w:val="006044A7"/>
    <w:rsid w:val="00610A05"/>
    <w:rsid w:val="00610C62"/>
    <w:rsid w:val="00610FDB"/>
    <w:rsid w:val="00611C2C"/>
    <w:rsid w:val="0061493F"/>
    <w:rsid w:val="00615EF6"/>
    <w:rsid w:val="0061721C"/>
    <w:rsid w:val="006217C5"/>
    <w:rsid w:val="00621E16"/>
    <w:rsid w:val="006355ED"/>
    <w:rsid w:val="006357E2"/>
    <w:rsid w:val="00635B23"/>
    <w:rsid w:val="006365C1"/>
    <w:rsid w:val="00637305"/>
    <w:rsid w:val="00644962"/>
    <w:rsid w:val="00650414"/>
    <w:rsid w:val="00651183"/>
    <w:rsid w:val="006648D3"/>
    <w:rsid w:val="006731AF"/>
    <w:rsid w:val="006736EE"/>
    <w:rsid w:val="0067507D"/>
    <w:rsid w:val="00680623"/>
    <w:rsid w:val="00681729"/>
    <w:rsid w:val="006940A8"/>
    <w:rsid w:val="006952E2"/>
    <w:rsid w:val="0069546D"/>
    <w:rsid w:val="00696331"/>
    <w:rsid w:val="006969AA"/>
    <w:rsid w:val="006A0850"/>
    <w:rsid w:val="006A13FF"/>
    <w:rsid w:val="006A7ABA"/>
    <w:rsid w:val="006B113A"/>
    <w:rsid w:val="006B11EC"/>
    <w:rsid w:val="006C3690"/>
    <w:rsid w:val="006C5840"/>
    <w:rsid w:val="006C592C"/>
    <w:rsid w:val="006D01B7"/>
    <w:rsid w:val="006D5A49"/>
    <w:rsid w:val="006E0547"/>
    <w:rsid w:val="006E0A00"/>
    <w:rsid w:val="006E2405"/>
    <w:rsid w:val="006E36FF"/>
    <w:rsid w:val="006F1EB6"/>
    <w:rsid w:val="006F27FF"/>
    <w:rsid w:val="00703F2C"/>
    <w:rsid w:val="007049A3"/>
    <w:rsid w:val="00713920"/>
    <w:rsid w:val="0072269B"/>
    <w:rsid w:val="00722C63"/>
    <w:rsid w:val="00734389"/>
    <w:rsid w:val="00735512"/>
    <w:rsid w:val="00743D5C"/>
    <w:rsid w:val="00751904"/>
    <w:rsid w:val="0075198A"/>
    <w:rsid w:val="007549D3"/>
    <w:rsid w:val="00756341"/>
    <w:rsid w:val="00763D8C"/>
    <w:rsid w:val="00764F46"/>
    <w:rsid w:val="00766674"/>
    <w:rsid w:val="007715A0"/>
    <w:rsid w:val="00772B05"/>
    <w:rsid w:val="00777F6E"/>
    <w:rsid w:val="00790F41"/>
    <w:rsid w:val="007932A5"/>
    <w:rsid w:val="007964C3"/>
    <w:rsid w:val="007A7F19"/>
    <w:rsid w:val="007D33C5"/>
    <w:rsid w:val="007D6E91"/>
    <w:rsid w:val="007D7E21"/>
    <w:rsid w:val="007E12EF"/>
    <w:rsid w:val="007E1A5D"/>
    <w:rsid w:val="007E2F6E"/>
    <w:rsid w:val="007E3AB3"/>
    <w:rsid w:val="007F05AE"/>
    <w:rsid w:val="007F1438"/>
    <w:rsid w:val="007F6167"/>
    <w:rsid w:val="00800B8E"/>
    <w:rsid w:val="0080674E"/>
    <w:rsid w:val="00816AB6"/>
    <w:rsid w:val="00822519"/>
    <w:rsid w:val="00822AF5"/>
    <w:rsid w:val="008323DE"/>
    <w:rsid w:val="00833A69"/>
    <w:rsid w:val="00835267"/>
    <w:rsid w:val="008354C6"/>
    <w:rsid w:val="008358CC"/>
    <w:rsid w:val="00841E82"/>
    <w:rsid w:val="008423C1"/>
    <w:rsid w:val="0084245E"/>
    <w:rsid w:val="008453A0"/>
    <w:rsid w:val="00846B9D"/>
    <w:rsid w:val="008503F9"/>
    <w:rsid w:val="00850B3D"/>
    <w:rsid w:val="00855F20"/>
    <w:rsid w:val="00855F42"/>
    <w:rsid w:val="00856AA4"/>
    <w:rsid w:val="008579CC"/>
    <w:rsid w:val="00857F2A"/>
    <w:rsid w:val="00863A70"/>
    <w:rsid w:val="008657FE"/>
    <w:rsid w:val="008664E1"/>
    <w:rsid w:val="00871CB2"/>
    <w:rsid w:val="00885129"/>
    <w:rsid w:val="00886C4D"/>
    <w:rsid w:val="008A3BDF"/>
    <w:rsid w:val="008A529E"/>
    <w:rsid w:val="008A5687"/>
    <w:rsid w:val="008B074B"/>
    <w:rsid w:val="008B1902"/>
    <w:rsid w:val="008B30B2"/>
    <w:rsid w:val="008C3951"/>
    <w:rsid w:val="008C3C44"/>
    <w:rsid w:val="008D29BB"/>
    <w:rsid w:val="008E53E2"/>
    <w:rsid w:val="008E63D7"/>
    <w:rsid w:val="008F1374"/>
    <w:rsid w:val="008F2AD7"/>
    <w:rsid w:val="008F5A01"/>
    <w:rsid w:val="00901E59"/>
    <w:rsid w:val="0090497A"/>
    <w:rsid w:val="0090615C"/>
    <w:rsid w:val="00916BB2"/>
    <w:rsid w:val="009217E3"/>
    <w:rsid w:val="00922588"/>
    <w:rsid w:val="00924098"/>
    <w:rsid w:val="00925AFF"/>
    <w:rsid w:val="00926960"/>
    <w:rsid w:val="00944B75"/>
    <w:rsid w:val="0094736A"/>
    <w:rsid w:val="00955C98"/>
    <w:rsid w:val="0096149C"/>
    <w:rsid w:val="0096171F"/>
    <w:rsid w:val="009619FF"/>
    <w:rsid w:val="00965DCA"/>
    <w:rsid w:val="0097043F"/>
    <w:rsid w:val="00992E4B"/>
    <w:rsid w:val="00994277"/>
    <w:rsid w:val="00994608"/>
    <w:rsid w:val="009A5629"/>
    <w:rsid w:val="009B4C9B"/>
    <w:rsid w:val="009C341C"/>
    <w:rsid w:val="009C4612"/>
    <w:rsid w:val="009D76BB"/>
    <w:rsid w:val="009E0104"/>
    <w:rsid w:val="009E0316"/>
    <w:rsid w:val="009E19E8"/>
    <w:rsid w:val="009E204E"/>
    <w:rsid w:val="009E3AF4"/>
    <w:rsid w:val="009E6392"/>
    <w:rsid w:val="009E6FB5"/>
    <w:rsid w:val="009F4FE2"/>
    <w:rsid w:val="009F714D"/>
    <w:rsid w:val="00A0243C"/>
    <w:rsid w:val="00A30CDE"/>
    <w:rsid w:val="00A35EBF"/>
    <w:rsid w:val="00A37568"/>
    <w:rsid w:val="00A376DA"/>
    <w:rsid w:val="00A3789A"/>
    <w:rsid w:val="00A4317A"/>
    <w:rsid w:val="00A47679"/>
    <w:rsid w:val="00A52470"/>
    <w:rsid w:val="00A55647"/>
    <w:rsid w:val="00A62E0B"/>
    <w:rsid w:val="00A66A88"/>
    <w:rsid w:val="00A77132"/>
    <w:rsid w:val="00A8305C"/>
    <w:rsid w:val="00A843EC"/>
    <w:rsid w:val="00A8533F"/>
    <w:rsid w:val="00A86D99"/>
    <w:rsid w:val="00A9238F"/>
    <w:rsid w:val="00A924D1"/>
    <w:rsid w:val="00A96EC9"/>
    <w:rsid w:val="00AA4249"/>
    <w:rsid w:val="00AA578B"/>
    <w:rsid w:val="00AB673E"/>
    <w:rsid w:val="00AD02B1"/>
    <w:rsid w:val="00AD1EBB"/>
    <w:rsid w:val="00AD2128"/>
    <w:rsid w:val="00AD3DE7"/>
    <w:rsid w:val="00AD5DAA"/>
    <w:rsid w:val="00AE02DC"/>
    <w:rsid w:val="00AE2E63"/>
    <w:rsid w:val="00AE3B14"/>
    <w:rsid w:val="00AE6C8E"/>
    <w:rsid w:val="00AF0AB1"/>
    <w:rsid w:val="00AF40A1"/>
    <w:rsid w:val="00AF451B"/>
    <w:rsid w:val="00AF5663"/>
    <w:rsid w:val="00AF6FCD"/>
    <w:rsid w:val="00B05BBE"/>
    <w:rsid w:val="00B07BFA"/>
    <w:rsid w:val="00B105CE"/>
    <w:rsid w:val="00B3022A"/>
    <w:rsid w:val="00B303D3"/>
    <w:rsid w:val="00B355CB"/>
    <w:rsid w:val="00B40039"/>
    <w:rsid w:val="00B40474"/>
    <w:rsid w:val="00B41D57"/>
    <w:rsid w:val="00B46D67"/>
    <w:rsid w:val="00B524C5"/>
    <w:rsid w:val="00B6417A"/>
    <w:rsid w:val="00B657D9"/>
    <w:rsid w:val="00B67F7C"/>
    <w:rsid w:val="00B7377C"/>
    <w:rsid w:val="00B73FA1"/>
    <w:rsid w:val="00B76CFB"/>
    <w:rsid w:val="00B848C7"/>
    <w:rsid w:val="00B85004"/>
    <w:rsid w:val="00B86E05"/>
    <w:rsid w:val="00B87853"/>
    <w:rsid w:val="00B93380"/>
    <w:rsid w:val="00B95072"/>
    <w:rsid w:val="00B96C0D"/>
    <w:rsid w:val="00BA3AF6"/>
    <w:rsid w:val="00BD3C22"/>
    <w:rsid w:val="00BD5AA5"/>
    <w:rsid w:val="00BE0DAD"/>
    <w:rsid w:val="00BE52EC"/>
    <w:rsid w:val="00BF0DF7"/>
    <w:rsid w:val="00BF35A7"/>
    <w:rsid w:val="00BF7E05"/>
    <w:rsid w:val="00C112AE"/>
    <w:rsid w:val="00C1135A"/>
    <w:rsid w:val="00C128C0"/>
    <w:rsid w:val="00C17DB9"/>
    <w:rsid w:val="00C20BA6"/>
    <w:rsid w:val="00C22EDC"/>
    <w:rsid w:val="00C26782"/>
    <w:rsid w:val="00C30465"/>
    <w:rsid w:val="00C304DD"/>
    <w:rsid w:val="00C30D1E"/>
    <w:rsid w:val="00C337F8"/>
    <w:rsid w:val="00C41DE6"/>
    <w:rsid w:val="00C420C1"/>
    <w:rsid w:val="00C42549"/>
    <w:rsid w:val="00C46E43"/>
    <w:rsid w:val="00C50D73"/>
    <w:rsid w:val="00C52E6F"/>
    <w:rsid w:val="00C54632"/>
    <w:rsid w:val="00C5498C"/>
    <w:rsid w:val="00C55095"/>
    <w:rsid w:val="00C610DF"/>
    <w:rsid w:val="00C64443"/>
    <w:rsid w:val="00C70A71"/>
    <w:rsid w:val="00C740CE"/>
    <w:rsid w:val="00C7517A"/>
    <w:rsid w:val="00C8196D"/>
    <w:rsid w:val="00C828DB"/>
    <w:rsid w:val="00C8510A"/>
    <w:rsid w:val="00C87570"/>
    <w:rsid w:val="00C90168"/>
    <w:rsid w:val="00C93C31"/>
    <w:rsid w:val="00C95157"/>
    <w:rsid w:val="00C96BFB"/>
    <w:rsid w:val="00C974CC"/>
    <w:rsid w:val="00C97AB0"/>
    <w:rsid w:val="00CB2754"/>
    <w:rsid w:val="00CB7E17"/>
    <w:rsid w:val="00CC3F4E"/>
    <w:rsid w:val="00CE3F81"/>
    <w:rsid w:val="00CE69A4"/>
    <w:rsid w:val="00CF26E9"/>
    <w:rsid w:val="00CF462A"/>
    <w:rsid w:val="00D027C6"/>
    <w:rsid w:val="00D02C6B"/>
    <w:rsid w:val="00D07C8B"/>
    <w:rsid w:val="00D13A76"/>
    <w:rsid w:val="00D15A9C"/>
    <w:rsid w:val="00D203E8"/>
    <w:rsid w:val="00D24897"/>
    <w:rsid w:val="00D31038"/>
    <w:rsid w:val="00D41F73"/>
    <w:rsid w:val="00D4273D"/>
    <w:rsid w:val="00D42A36"/>
    <w:rsid w:val="00D45036"/>
    <w:rsid w:val="00D47D2B"/>
    <w:rsid w:val="00D51648"/>
    <w:rsid w:val="00D53300"/>
    <w:rsid w:val="00D76AD0"/>
    <w:rsid w:val="00D76E92"/>
    <w:rsid w:val="00D773DC"/>
    <w:rsid w:val="00D7773B"/>
    <w:rsid w:val="00D83D3B"/>
    <w:rsid w:val="00D87C59"/>
    <w:rsid w:val="00D92112"/>
    <w:rsid w:val="00D92235"/>
    <w:rsid w:val="00D97293"/>
    <w:rsid w:val="00DB4595"/>
    <w:rsid w:val="00DB6909"/>
    <w:rsid w:val="00DC0F1B"/>
    <w:rsid w:val="00DD05A6"/>
    <w:rsid w:val="00DD20E3"/>
    <w:rsid w:val="00DD4C0F"/>
    <w:rsid w:val="00DD4C1F"/>
    <w:rsid w:val="00DE14D4"/>
    <w:rsid w:val="00DE65AE"/>
    <w:rsid w:val="00DF0378"/>
    <w:rsid w:val="00DF06B7"/>
    <w:rsid w:val="00DF49F4"/>
    <w:rsid w:val="00E00961"/>
    <w:rsid w:val="00E0158F"/>
    <w:rsid w:val="00E01FEB"/>
    <w:rsid w:val="00E033BE"/>
    <w:rsid w:val="00E05E42"/>
    <w:rsid w:val="00E155FC"/>
    <w:rsid w:val="00E21D60"/>
    <w:rsid w:val="00E23543"/>
    <w:rsid w:val="00E311DF"/>
    <w:rsid w:val="00E32964"/>
    <w:rsid w:val="00E41AC9"/>
    <w:rsid w:val="00E458D7"/>
    <w:rsid w:val="00E54F03"/>
    <w:rsid w:val="00E57491"/>
    <w:rsid w:val="00E60B4F"/>
    <w:rsid w:val="00E61061"/>
    <w:rsid w:val="00E73A2E"/>
    <w:rsid w:val="00E801F7"/>
    <w:rsid w:val="00E8386C"/>
    <w:rsid w:val="00E84242"/>
    <w:rsid w:val="00E9320E"/>
    <w:rsid w:val="00EA05CB"/>
    <w:rsid w:val="00EA4AA1"/>
    <w:rsid w:val="00EA7605"/>
    <w:rsid w:val="00EB3116"/>
    <w:rsid w:val="00EB5217"/>
    <w:rsid w:val="00EC13F5"/>
    <w:rsid w:val="00EC14D3"/>
    <w:rsid w:val="00EC1FB2"/>
    <w:rsid w:val="00ED7965"/>
    <w:rsid w:val="00EE321B"/>
    <w:rsid w:val="00EE76B3"/>
    <w:rsid w:val="00EF3D90"/>
    <w:rsid w:val="00EF49DF"/>
    <w:rsid w:val="00EF4F8C"/>
    <w:rsid w:val="00EF53A8"/>
    <w:rsid w:val="00EF5D79"/>
    <w:rsid w:val="00F0502E"/>
    <w:rsid w:val="00F10D20"/>
    <w:rsid w:val="00F10D7C"/>
    <w:rsid w:val="00F2455D"/>
    <w:rsid w:val="00F27FAC"/>
    <w:rsid w:val="00F346E1"/>
    <w:rsid w:val="00F35756"/>
    <w:rsid w:val="00F3686F"/>
    <w:rsid w:val="00F43BAE"/>
    <w:rsid w:val="00F44250"/>
    <w:rsid w:val="00F46AAA"/>
    <w:rsid w:val="00F505C7"/>
    <w:rsid w:val="00F54110"/>
    <w:rsid w:val="00F6134E"/>
    <w:rsid w:val="00F64677"/>
    <w:rsid w:val="00F659D5"/>
    <w:rsid w:val="00F71F09"/>
    <w:rsid w:val="00F7309C"/>
    <w:rsid w:val="00F7702A"/>
    <w:rsid w:val="00F80EB5"/>
    <w:rsid w:val="00F81895"/>
    <w:rsid w:val="00F86460"/>
    <w:rsid w:val="00F9075E"/>
    <w:rsid w:val="00F9408C"/>
    <w:rsid w:val="00FA0B85"/>
    <w:rsid w:val="00FA3D06"/>
    <w:rsid w:val="00FB30BB"/>
    <w:rsid w:val="00FC0A7D"/>
    <w:rsid w:val="00FC2276"/>
    <w:rsid w:val="00FC319C"/>
    <w:rsid w:val="00FD291E"/>
    <w:rsid w:val="00FD65DE"/>
    <w:rsid w:val="00FD669F"/>
    <w:rsid w:val="00FE2A35"/>
    <w:rsid w:val="00FE6474"/>
    <w:rsid w:val="00FF4474"/>
    <w:rsid w:val="00FF58FA"/>
    <w:rsid w:val="0784B62F"/>
    <w:rsid w:val="0D394BB9"/>
    <w:rsid w:val="14EE4704"/>
    <w:rsid w:val="3ABB9452"/>
    <w:rsid w:val="490D6088"/>
    <w:rsid w:val="4E165BE6"/>
    <w:rsid w:val="550F817F"/>
    <w:rsid w:val="5B881D0B"/>
    <w:rsid w:val="5E6B987F"/>
    <w:rsid w:val="611AF51A"/>
    <w:rsid w:val="674DF284"/>
    <w:rsid w:val="705E6883"/>
    <w:rsid w:val="7F45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E3F7"/>
  <w15:chartTrackingRefBased/>
  <w15:docId w15:val="{492E9BE6-CD41-484E-ABAF-1E8F683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DAD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BE0DAD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BE0DA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E0DA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BE0DAD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Footer">
    <w:name w:val="footer"/>
    <w:link w:val="FooterChar"/>
    <w:uiPriority w:val="99"/>
    <w:rsid w:val="00BE0D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E0D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LI-BodyTextParaaChar">
    <w:name w:val="LI - Body Text Para (a) Char"/>
    <w:link w:val="LI-BodyTextParaa"/>
    <w:rsid w:val="00BE0DA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BE0DAD"/>
    <w:pPr>
      <w:spacing w:before="240" w:line="240" w:lineRule="auto"/>
      <w:ind w:left="1134" w:hanging="567"/>
    </w:pPr>
    <w:rPr>
      <w:rFonts w:eastAsia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BE0DA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NumberedChar">
    <w:name w:val="LI - Body Text Numbered Char"/>
    <w:link w:val="LI-BodyTextNumbered"/>
    <w:rsid w:val="00BE0DA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BE0DAD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Header">
    <w:name w:val="LI - Header"/>
    <w:basedOn w:val="LI-Footer"/>
    <w:link w:val="LI-HeaderChar"/>
    <w:qFormat/>
    <w:rsid w:val="00BE0DAD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BE0DAD"/>
    <w:rPr>
      <w:rFonts w:ascii="Times New Roman" w:eastAsia="Calibri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D1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E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EB5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B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ListPara1">
    <w:name w:val="List Para 1"/>
    <w:basedOn w:val="Normal"/>
    <w:link w:val="ListPara1Char"/>
    <w:uiPriority w:val="4"/>
    <w:qFormat/>
    <w:rsid w:val="0097043F"/>
    <w:pPr>
      <w:numPr>
        <w:numId w:val="11"/>
      </w:numPr>
      <w:spacing w:after="200" w:line="276" w:lineRule="auto"/>
    </w:pPr>
    <w:rPr>
      <w:rFonts w:ascii="Century Gothic" w:eastAsia="Times New Roman" w:hAnsi="Century Gothic" w:cs="Arial"/>
      <w:lang w:val="en-US" w:eastAsia="en-AU"/>
    </w:rPr>
  </w:style>
  <w:style w:type="character" w:customStyle="1" w:styleId="ListPara1Char">
    <w:name w:val="List Para 1 Char"/>
    <w:basedOn w:val="DefaultParagraphFont"/>
    <w:link w:val="ListPara1"/>
    <w:uiPriority w:val="4"/>
    <w:rsid w:val="0097043F"/>
    <w:rPr>
      <w:rFonts w:ascii="Century Gothic" w:eastAsia="Times New Roman" w:hAnsi="Century Gothic" w:cs="Arial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F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6909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B1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E0B"/>
    <w:rPr>
      <w:color w:val="605E5C"/>
      <w:shd w:val="clear" w:color="auto" w:fill="E1DFDD"/>
    </w:rPr>
  </w:style>
  <w:style w:type="paragraph" w:customStyle="1" w:styleId="pf0">
    <w:name w:val="pf0"/>
    <w:basedOn w:val="Normal"/>
    <w:rsid w:val="00833A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33A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33A6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833A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RNoticeID xmlns="9f6cbcb7-a54c-416d-bcf0-ed1c81b8c115" xsi:nil="true"/>
    <RCRParentRecordTitle xmlns="9f6cbcb7-a54c-416d-bcf0-ed1c81b8c115" xsi:nil="true"/>
    <TaxCatchAll xmlns="db2b92ca-6ed0-4085-802d-4c686a2e8c3f">
      <Value>5</Value>
      <Value>1</Value>
    </TaxCatchAll>
    <RCRIndividualNum xmlns="9f6cbcb7-a54c-416d-bcf0-ed1c81b8c115" xsi:nil="true"/>
    <RCRContext xmlns="9f6cbcb7-a54c-416d-bcf0-ed1c81b8c115" xsi:nil="true"/>
    <RCRParentRecordURI xmlns="9f6cbcb7-a54c-416d-bcf0-ed1c81b8c115" xsi:nil="true"/>
    <RCREntityNames xmlns="9f6cbcb7-a54c-416d-bcf0-ed1c81b8c115" xsi:nil="true"/>
    <RCRCorrespondenceID xmlns="9f6cbcb7-a54c-416d-bcf0-ed1c81b8c115" xsi:nil="true"/>
    <RCRABN xmlns="9f6cbcb7-a54c-416d-bcf0-ed1c81b8c115" xsi:nil="true"/>
    <RCRSourceRecordURI xmlns="9f6cbcb7-a54c-416d-bcf0-ed1c81b8c115" xsi:nil="true"/>
    <RCRAttachedBy xmlns="9f6cbcb7-a54c-416d-bcf0-ed1c81b8c115" xsi:nil="true"/>
    <RCRAttachedOn xmlns="9f6cbcb7-a54c-416d-bcf0-ed1c81b8c115" xsi:nil="true"/>
    <RCRSourceRecordIdentifier xmlns="9f6cbcb7-a54c-416d-bcf0-ed1c81b8c115" xsi:nil="true"/>
    <SPLinkLabel xmlns="9f6cbcb7-a54c-416d-bcf0-ed1c81b8c115" xsi:nil="true"/>
    <RCRSourceRecordTitle xmlns="9f6cbcb7-a54c-416d-bcf0-ed1c81b8c115" xsi:nil="true"/>
    <RCRNoticeResponseID xmlns="9f6cbcb7-a54c-416d-bcf0-ed1c81b8c115" xsi:nil="true"/>
    <RCRAttachmentsLinksID xmlns="9f6cbcb7-a54c-416d-bcf0-ed1c81b8c115" xsi:nil="true"/>
    <RCROrganisationNum xmlns="9f6cbcb7-a54c-416d-bcf0-ed1c81b8c115" xsi:nil="true"/>
    <ECMSP13CreatedBy xmlns="9f6cbcb7-a54c-416d-bcf0-ed1c81b8c115">Rachel Lamb</ECMSP13Creat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RTText xmlns="9f6cbcb7-a54c-416d-bcf0-ed1c81b8c115" xsi:nil="true"/>
    <ECMSP13SecurityClassification xmlns="9f6cbcb7-a54c-416d-bcf0-ed1c81b8c115">OFFICIAL - Sensitive</ECMSP13SecurityClassification>
    <RCRCaseType xmlns="9f6cbcb7-a54c-416d-bcf0-ed1c81b8c115">Public Enquiry</RCRCaseType>
    <RCRRecordNumber xmlns="9f6cbcb7-a54c-416d-bcf0-ed1c81b8c115">CAS-147106-P1H5W9</RCRRecordNumber>
    <RCRRegulatoryConsiderationSubType xmlns="9f6cbcb7-a54c-416d-bcf0-ed1c81b8c115">Financial services disclosure;#Financial services disclosure</RCRRegulatoryConsiderationSubType>
    <RCR13CaseType xmlns="9f6cbcb7-a54c-416d-bcf0-ed1c81b8c115">Public Enquiry</RCR13CaseType>
    <RCRDisclosureExported xmlns="9f6cbcb7-a54c-416d-bcf0-ed1c81b8c115" xsi:nil="true"/>
    <RCRSourceRecordType xmlns="9f6cbcb7-a54c-416d-bcf0-ed1c81b8c115" xsi:nil="true"/>
    <RCRRegulatoryTopics xmlns="9f6cbcb7-a54c-416d-bcf0-ed1c81b8c115">Financial Services;#Financial Services</RCRRegulatoryTopics>
    <RCRDisclosure xmlns="9f6cbcb7-a54c-416d-bcf0-ed1c81b8c115" xsi:nil="true"/>
    <RCRFolder xmlns="9f6cbcb7-a54c-416d-bcf0-ed1c81b8c115">Working Documents</RCRFolder>
    <RCRRegulatoryRole xmlns="9f6cbcb7-a54c-416d-bcf0-ed1c81b8c115" xsi:nil="true"/>
    <RCRMetadataUpdate xmlns="9f6cbcb7-a54c-416d-bcf0-ed1c81b8c115">Pending</RCRMetadataUpdate>
    <ECMSP13DocumentID xmlns="9f6cbcb7-a54c-416d-bcf0-ed1c81b8c115" xsi:nil="true"/>
    <RCRBusinessProcessPattern xmlns="9f6cbcb7-a54c-416d-bcf0-ed1c81b8c115" xsi:nil="true"/>
    <RCRParentRecordType xmlns="9f6cbcb7-a54c-416d-bcf0-ed1c81b8c115" xsi:nil="true"/>
    <RCRRegulatoryConsiderationType xmlns="9f6cbcb7-a54c-416d-bcf0-ed1c81b8c115">Disclosure;#Disclosure</RCRRegulatoryConsiderationType>
    <RCRSourceSystem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DocumentSetSource xmlns="9f6cbcb7-a54c-416d-bcf0-ed1c81b8c115" xsi:nil="true"/>
    <RCRDocumentNumber xmlns="9f6cbcb7-a54c-416d-bcf0-ed1c81b8c115" xsi:nil="true"/>
    <RCText xmlns="9f6cbcb7-a54c-416d-bcf0-ed1c81b8c115" xsi:nil="true"/>
    <RCRCfCs xmlns="9f6cbcb7-a54c-416d-bcf0-ed1c81b8c115">Disclosure;#Disclosure</RCRCfCs>
    <RCRMarkAsFinal xmlns="9f6cbcb7-a54c-416d-bcf0-ed1c81b8c115">false</RCRMarkAsFinal>
    <ECMSP13ModifiedBy xmlns="9f6cbcb7-a54c-416d-bcf0-ed1c81b8c115">Rachel Lamb</ECMSP13ModifiedBy>
    <DocumentNotes xmlns="db2b92ca-6ed0-4085-802d-4c686a2e8c3f" xsi:nil="true"/>
    <NAPReason xmlns="db2b92ca-6ed0-4085-802d-4c686a2e8c3f" xsi:nil="true"/>
    <RCRCaseSubType xmlns="9f6cbcb7-a54c-416d-bcf0-ed1c81b8c115">Advice and research</RCRCaseSubType>
    <_dlc_DocId xmlns="9f6cbcb7-a54c-416d-bcf0-ed1c81b8c115">010687r-552450247-3554</_dlc_DocId>
    <_dlc_DocIdUrl xmlns="9f6cbcb7-a54c-416d-bcf0-ed1c81b8c115">
      <Url>https://asiclink.sharepoint.com/sites/010687r/_layouts/15/DocIdRedir.aspx?ID=010687r-552450247-3554</Url>
      <Description>010687r-552450247-3554</Description>
    </_dlc_DocIdUrl>
    <RCRManage xmlns="9f6cbcb7-a54c-416d-bcf0-ed1c81b8c115" xsi:nil="true"/>
    <lcf76f155ced4ddcb4097134ff3c332f xmlns="f0412f44-3b76-4f38-b160-16843a191a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7695CC2F9D9A444983134C71DFA2731" ma:contentTypeVersion="45" ma:contentTypeDescription="Create a new document." ma:contentTypeScope="" ma:versionID="010a46c0b9488266e95d8e31575f28dc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f0412f44-3b76-4f38-b160-16843a191ac0" targetNamespace="http://schemas.microsoft.com/office/2006/metadata/properties" ma:root="true" ma:fieldsID="1ef9d0c37c32e0e76907c3b7ebaee89f" ns2:_="" ns3:_="" ns4:_="">
    <xsd:import namespace="9f6cbcb7-a54c-416d-bcf0-ed1c81b8c115"/>
    <xsd:import namespace="db2b92ca-6ed0-4085-802d-4c686a2e8c3f"/>
    <xsd:import namespace="f0412f44-3b76-4f38-b160-16843a191ac0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9f77134-9b7d-42ee-a3e5-afa9d960fa2f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59f77134-9b7d-42ee-a3e5-afa9d960fa2f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12f44-3b76-4f38-b160-16843a191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60C58-A712-4746-BCE5-3E8C5E0A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1B357-794E-419B-92B7-B81CFA3F58B0}">
  <ds:schemaRefs>
    <ds:schemaRef ds:uri="http://schemas.microsoft.com/office/2006/metadata/properties"/>
    <ds:schemaRef ds:uri="http://schemas.microsoft.com/office/infopath/2007/PartnerControls"/>
    <ds:schemaRef ds:uri="9f6cbcb7-a54c-416d-bcf0-ed1c81b8c115"/>
    <ds:schemaRef ds:uri="db2b92ca-6ed0-4085-802d-4c686a2e8c3f"/>
    <ds:schemaRef ds:uri="f0412f44-3b76-4f38-b160-16843a191ac0"/>
  </ds:schemaRefs>
</ds:datastoreItem>
</file>

<file path=customXml/itemProps3.xml><?xml version="1.0" encoding="utf-8"?>
<ds:datastoreItem xmlns:ds="http://schemas.openxmlformats.org/officeDocument/2006/customXml" ds:itemID="{64FE0AF5-970B-4B8E-A2E1-488FC3CC9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986AC-A2B3-4988-AD61-B1CC6F5513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3F0EA3-6DED-46C1-B5B8-6E4C6621ECC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F9D191-C59D-4EBC-A8EB-22E325D92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f0412f44-3b76-4f38-b160-16843a191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Lamb</dc:creator>
  <cp:keywords/>
  <dc:description/>
  <cp:lastModifiedBy>Narelle Kane</cp:lastModifiedBy>
  <cp:revision>9</cp:revision>
  <dcterms:created xsi:type="dcterms:W3CDTF">2024-11-07T22:13:00Z</dcterms:created>
  <dcterms:modified xsi:type="dcterms:W3CDTF">2024-11-18T23:25:00Z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0x010100B5F685A1365F544391EF8C813B164F3A000C81C2EC954E544A84B92FB87E511BCA0100F7695CC2F9D9A444983134C71DFA2731</vt:lpwstr>
  </property>
  <property fmtid="{D5CDD505-2E9C-101B-9397-08002B2CF9AE}" pid="3" name="RCRRegulatoryConsiderationSubType">
    <vt:lpwstr>211;#Disclosure:Financial Services Disclosure|7f60b76e-1302-e711-8121-005056a8b064</vt:lpwstr>
  </property>
  <property fmtid="{D5CDD505-2E9C-101B-9397-08002B2CF9AE}" pid="4" name="SecurityClassification">
    <vt:lpwstr>1;#OFFICIAL - Sensitive|6eccc17f-024b-41b0-b6b1-faf98d2aff85</vt:lpwstr>
  </property>
  <property fmtid="{D5CDD505-2E9C-101B-9397-08002B2CF9AE}" pid="5" name="RCRSourceSystem">
    <vt:lpwstr/>
  </property>
  <property fmtid="{D5CDD505-2E9C-101B-9397-08002B2CF9AE}" pid="6" name="RCRCaseType">
    <vt:lpwstr>24;#Public Enquiry|13d9aa20-0d9a-e811-812b-005056a82db1</vt:lpwstr>
  </property>
  <property fmtid="{D5CDD505-2E9C-101B-9397-08002B2CF9AE}" pid="7" name="RCRParentRecordType">
    <vt:lpwstr/>
  </property>
  <property fmtid="{D5CDD505-2E9C-101B-9397-08002B2CF9AE}" pid="8" name="RCRRegulatoryTopics">
    <vt:lpwstr>21;#Financial Services|62dbcff1-c4fb-e511-8104-0050569c5e38</vt:lpwstr>
  </property>
  <property fmtid="{D5CDD505-2E9C-101B-9397-08002B2CF9AE}" pid="9" name="RCRRegulatoryConsiderationType">
    <vt:lpwstr>71;#Disclosure|0d60b76e-1302-e711-8121-005056a8b064</vt:lpwstr>
  </property>
  <property fmtid="{D5CDD505-2E9C-101B-9397-08002B2CF9AE}" pid="10" name="RCRCfCs">
    <vt:lpwstr>211;#Disclosure:Financial Services Disclosure|7f60b76e-1302-e711-8121-005056a8b064</vt:lpwstr>
  </property>
  <property fmtid="{D5CDD505-2E9C-101B-9397-08002B2CF9AE}" pid="11" name="RCRCaseSubType">
    <vt:lpwstr>30;#Advice and research|42d6b3ce-2d4d-e911-8133-005056a82db1</vt:lpwstr>
  </property>
  <property fmtid="{D5CDD505-2E9C-101B-9397-08002B2CF9AE}" pid="12" name="RCRRegulatoryRole">
    <vt:lpwstr>220;#Financial Services:Australian Registered Company|2e884c0a-8dd4-eb11-8168-005056a82db1</vt:lpwstr>
  </property>
  <property fmtid="{D5CDD505-2E9C-101B-9397-08002B2CF9AE}" pid="13" name="RCRBusinessProcessPattern">
    <vt:lpwstr/>
  </property>
  <property fmtid="{D5CDD505-2E9C-101B-9397-08002B2CF9AE}" pid="14" name="RCRDocumentType">
    <vt:lpwstr>5;#ASIC DOCUMENT|d6dfe730-960e-4670-85d5-e6d25d9f6901</vt:lpwstr>
  </property>
  <property fmtid="{D5CDD505-2E9C-101B-9397-08002B2CF9AE}" pid="15" name="RCRSourceRecordType">
    <vt:lpwstr/>
  </property>
  <property fmtid="{D5CDD505-2E9C-101B-9397-08002B2CF9AE}" pid="16" name="_docset_NoMedatataSyncRequired">
    <vt:lpwstr>False</vt:lpwstr>
  </property>
  <property fmtid="{D5CDD505-2E9C-101B-9397-08002B2CF9AE}" pid="17" name="MailSubject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In-Reply-To">
    <vt:lpwstr/>
  </property>
  <property fmtid="{D5CDD505-2E9C-101B-9397-08002B2CF9AE}" pid="21" name="MailTo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ailReferences">
    <vt:lpwstr/>
  </property>
  <property fmtid="{D5CDD505-2E9C-101B-9397-08002B2CF9AE}" pid="27" name="MailReply-To">
    <vt:lpwstr/>
  </property>
  <property fmtid="{D5CDD505-2E9C-101B-9397-08002B2CF9AE}" pid="28" name="_dlc_DocIdItemGuid">
    <vt:lpwstr>a1ed15c5-9071-4e29-89e3-af1c2099b5ae</vt:lpwstr>
  </property>
  <property fmtid="{D5CDD505-2E9C-101B-9397-08002B2CF9AE}" pid="29" name="MSIP_Label_a6aead41-07f8-4767-ac8e-ef1c9c793766_Enabled">
    <vt:lpwstr>true</vt:lpwstr>
  </property>
  <property fmtid="{D5CDD505-2E9C-101B-9397-08002B2CF9AE}" pid="30" name="MSIP_Label_a6aead41-07f8-4767-ac8e-ef1c9c793766_SetDate">
    <vt:lpwstr>2024-10-15T00:15:13Z</vt:lpwstr>
  </property>
  <property fmtid="{D5CDD505-2E9C-101B-9397-08002B2CF9AE}" pid="31" name="MSIP_Label_a6aead41-07f8-4767-ac8e-ef1c9c793766_Method">
    <vt:lpwstr>Standard</vt:lpwstr>
  </property>
  <property fmtid="{D5CDD505-2E9C-101B-9397-08002B2CF9AE}" pid="32" name="MSIP_Label_a6aead41-07f8-4767-ac8e-ef1c9c793766_Name">
    <vt:lpwstr>OFFICIAL</vt:lpwstr>
  </property>
  <property fmtid="{D5CDD505-2E9C-101B-9397-08002B2CF9AE}" pid="33" name="MSIP_Label_a6aead41-07f8-4767-ac8e-ef1c9c793766_SiteId">
    <vt:lpwstr>5f1de7c6-55cd-4bb2-902d-514c78cf10f4</vt:lpwstr>
  </property>
  <property fmtid="{D5CDD505-2E9C-101B-9397-08002B2CF9AE}" pid="34" name="MSIP_Label_a6aead41-07f8-4767-ac8e-ef1c9c793766_ActionId">
    <vt:lpwstr>df63018b-17da-4548-9771-5f52fc5aeeea</vt:lpwstr>
  </property>
  <property fmtid="{D5CDD505-2E9C-101B-9397-08002B2CF9AE}" pid="35" name="MSIP_Label_a6aead41-07f8-4767-ac8e-ef1c9c793766_ContentBits">
    <vt:lpwstr>0</vt:lpwstr>
  </property>
  <property fmtid="{D5CDD505-2E9C-101B-9397-08002B2CF9AE}" pid="36" name="MediaServiceImageTags">
    <vt:lpwstr/>
  </property>
</Properties>
</file>