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horzAnchor="margin" w:tblpYSpec="top"/>
        <w:tblOverlap w:val="never"/>
        <w:tblW w:w="9322" w:type="dxa"/>
        <w:tblLayout w:type="fixed"/>
        <w:tblLook w:val="0000" w:firstRow="0" w:lastRow="0" w:firstColumn="0" w:lastColumn="0" w:noHBand="0" w:noVBand="0"/>
        <w:tblCaption w:val="Cover page header for AASB Standard"/>
        <w:tblDescription w:val="Identification that the pronouncement is an AASB Standard, the Standard number, month of issue and title of the AASB Standard"/>
      </w:tblPr>
      <w:tblGrid>
        <w:gridCol w:w="3794"/>
        <w:gridCol w:w="5528"/>
      </w:tblGrid>
      <w:tr w:rsidR="00090A6F" w14:paraId="7C18A64D" w14:textId="77777777" w:rsidTr="3605B28E">
        <w:tc>
          <w:tcPr>
            <w:tcW w:w="3794" w:type="dxa"/>
            <w:tcMar>
              <w:top w:w="57" w:type="dxa"/>
            </w:tcMar>
          </w:tcPr>
          <w:p w14:paraId="61C57C4E" w14:textId="64DC3AD8" w:rsidR="00090A6F" w:rsidRPr="003E4D40" w:rsidRDefault="00090A6F" w:rsidP="00FE6B43">
            <w:pPr>
              <w:pStyle w:val="CoverStandard"/>
            </w:pPr>
            <w:proofErr w:type="spellStart"/>
            <w:r>
              <w:t>A</w:t>
            </w:r>
            <w:r w:rsidR="009033ED">
              <w:t>ASB</w:t>
            </w:r>
            <w:proofErr w:type="spellEnd"/>
            <w:r>
              <w:t xml:space="preserve"> Standard</w:t>
            </w:r>
          </w:p>
        </w:tc>
        <w:tc>
          <w:tcPr>
            <w:tcW w:w="5528" w:type="dxa"/>
            <w:tcMar>
              <w:top w:w="57" w:type="dxa"/>
            </w:tcMar>
          </w:tcPr>
          <w:p w14:paraId="703EA097" w14:textId="0D624C46" w:rsidR="00090A6F" w:rsidRPr="003E4D40" w:rsidRDefault="00090A6F" w:rsidP="00FE6B43">
            <w:pPr>
              <w:pStyle w:val="CoverNumber"/>
              <w:rPr>
                <w:rFonts w:ascii="HelveticaNeueLT Std" w:hAnsi="HelveticaNeueLT Std"/>
              </w:rPr>
            </w:pPr>
            <w:proofErr w:type="spellStart"/>
            <w:r w:rsidRPr="003E4D40">
              <w:rPr>
                <w:rFonts w:ascii="HelveticaNeueLT Std" w:hAnsi="HelveticaNeueLT Std"/>
              </w:rPr>
              <w:t>AASB</w:t>
            </w:r>
            <w:proofErr w:type="spellEnd"/>
            <w:r w:rsidRPr="003E4D40">
              <w:rPr>
                <w:rFonts w:ascii="HelveticaNeueLT Std" w:hAnsi="HelveticaNeueLT Std"/>
              </w:rPr>
              <w:t xml:space="preserve"> </w:t>
            </w:r>
            <w:bookmarkStart w:id="0" w:name="DocNo"/>
            <w:bookmarkStart w:id="1" w:name="AASBNo"/>
            <w:r w:rsidR="0094647E" w:rsidRPr="003E4D40">
              <w:rPr>
                <w:rFonts w:ascii="HelveticaNeueLT Std" w:hAnsi="HelveticaNeueLT Std"/>
              </w:rPr>
              <w:t>1048</w:t>
            </w:r>
            <w:bookmarkEnd w:id="0"/>
            <w:bookmarkEnd w:id="1"/>
          </w:p>
          <w:p w14:paraId="2DA3B30C" w14:textId="15167571" w:rsidR="00090A6F" w:rsidRPr="00592FEB" w:rsidRDefault="0094647E" w:rsidP="00FE6B43">
            <w:pPr>
              <w:pStyle w:val="CoverDate"/>
              <w:rPr>
                <w:rFonts w:ascii="HelveticaNeueLT Std Lt" w:hAnsi="HelveticaNeueLT Std Lt"/>
              </w:rPr>
            </w:pPr>
            <w:bookmarkStart w:id="2" w:name="DocDate"/>
            <w:r w:rsidRPr="00172551">
              <w:rPr>
                <w:rFonts w:ascii="HelveticaNeueLT Std Lt" w:hAnsi="HelveticaNeueLT Std Lt"/>
              </w:rPr>
              <w:t>Novembe</w:t>
            </w:r>
            <w:r w:rsidR="00177EE6" w:rsidRPr="00172551">
              <w:rPr>
                <w:rFonts w:ascii="HelveticaNeueLT Std Lt" w:hAnsi="HelveticaNeueLT Std Lt"/>
              </w:rPr>
              <w:t>r</w:t>
            </w:r>
            <w:r w:rsidR="00177EE6" w:rsidRPr="001746B8">
              <w:rPr>
                <w:rFonts w:ascii="HelveticaNeueLT Std Lt" w:hAnsi="HelveticaNeueLT Std Lt"/>
              </w:rPr>
              <w:t xml:space="preserve"> 2024</w:t>
            </w:r>
            <w:bookmarkEnd w:id="2"/>
          </w:p>
        </w:tc>
      </w:tr>
      <w:tr w:rsidR="0061599A" w14:paraId="13D22321" w14:textId="77777777" w:rsidTr="3605B28E">
        <w:trPr>
          <w:trHeight w:hRule="exact" w:val="2552"/>
        </w:trPr>
        <w:tc>
          <w:tcPr>
            <w:tcW w:w="9322" w:type="dxa"/>
            <w:gridSpan w:val="2"/>
            <w:vAlign w:val="bottom"/>
          </w:tcPr>
          <w:p w14:paraId="58B0DB19" w14:textId="37A9E30E" w:rsidR="0061599A" w:rsidRPr="00AE2BE6" w:rsidRDefault="0094647E" w:rsidP="00AE2BE6">
            <w:pPr>
              <w:pStyle w:val="CoverTitle"/>
            </w:pPr>
            <w:bookmarkStart w:id="3" w:name="DocTitle"/>
            <w:r w:rsidRPr="003E4D40">
              <w:t>Interpretation of Standards</w:t>
            </w:r>
            <w:bookmarkEnd w:id="3"/>
          </w:p>
        </w:tc>
      </w:tr>
    </w:tbl>
    <w:p w14:paraId="7F9A62AE" w14:textId="77777777" w:rsidR="00090A6F" w:rsidRDefault="00D473D6" w:rsidP="003E4D40">
      <w:pPr>
        <w:spacing w:before="9000"/>
      </w:pPr>
      <w:r>
        <w:rPr>
          <w:noProof/>
        </w:rPr>
        <w:drawing>
          <wp:inline distT="0" distB="0" distL="0" distR="0" wp14:anchorId="34C3039D" wp14:editId="57F08969">
            <wp:extent cx="1468800" cy="1166400"/>
            <wp:effectExtent l="0" t="0" r="0" b="0"/>
            <wp:docPr id="1" name="Picture 1" descr="AASB logo with Australian crest and text identifying the Australian Government and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ASB logo with Australian crest and text identifying the Australian Government and the Australian Accounting Standards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8800" cy="1166400"/>
                    </a:xfrm>
                    <a:prstGeom prst="rect">
                      <a:avLst/>
                    </a:prstGeom>
                  </pic:spPr>
                </pic:pic>
              </a:graphicData>
            </a:graphic>
          </wp:inline>
        </w:drawing>
      </w:r>
    </w:p>
    <w:p w14:paraId="60C8A82B" w14:textId="77777777" w:rsidR="00090A6F" w:rsidRDefault="00090A6F" w:rsidP="00F56527">
      <w:pPr>
        <w:sectPr w:rsidR="00090A6F" w:rsidSect="00FE6B43">
          <w:headerReference w:type="default" r:id="rId12"/>
          <w:pgSz w:w="11907" w:h="16840" w:code="9"/>
          <w:pgMar w:top="1418" w:right="1418" w:bottom="1418" w:left="1418" w:header="709" w:footer="709" w:gutter="0"/>
          <w:paperSrc w:first="7" w:other="7"/>
          <w:cols w:space="720"/>
        </w:sectPr>
      </w:pPr>
    </w:p>
    <w:p w14:paraId="0CE85650" w14:textId="77777777" w:rsidR="00090A6F" w:rsidRDefault="00090A6F" w:rsidP="00D21576">
      <w:pPr>
        <w:pStyle w:val="Heading2NoBorder"/>
      </w:pPr>
      <w:r>
        <w:lastRenderedPageBreak/>
        <w:t xml:space="preserve">Obtaining a </w:t>
      </w:r>
      <w:r w:rsidR="0013537E">
        <w:t>c</w:t>
      </w:r>
      <w:r>
        <w:t>opy of this A</w:t>
      </w:r>
      <w:bookmarkStart w:id="4" w:name="_GoBack"/>
      <w:bookmarkEnd w:id="4"/>
      <w:r>
        <w:t>ccounting Standard</w:t>
      </w:r>
    </w:p>
    <w:p w14:paraId="4843E2A0" w14:textId="77777777" w:rsidR="00090A6F" w:rsidRDefault="00090A6F" w:rsidP="0013537E">
      <w:pPr>
        <w:spacing w:after="200"/>
      </w:pPr>
      <w:r>
        <w:t>This Standard is available o</w:t>
      </w:r>
      <w:r w:rsidR="00700CD1">
        <w:t xml:space="preserve">n the </w:t>
      </w:r>
      <w:proofErr w:type="spellStart"/>
      <w:r w:rsidR="00700CD1">
        <w:t>AASB</w:t>
      </w:r>
      <w:proofErr w:type="spellEnd"/>
      <w:r w:rsidR="00700CD1">
        <w:t xml:space="preserve"> website: www.aasb.gov</w:t>
      </w:r>
      <w:r>
        <w:t>.au.</w:t>
      </w:r>
    </w:p>
    <w:p w14:paraId="6F59EA5D" w14:textId="77777777" w:rsidR="0013537E" w:rsidRDefault="0013537E" w:rsidP="0013537E">
      <w:r>
        <w:t>Australian Accounting Standards Board</w:t>
      </w:r>
    </w:p>
    <w:p w14:paraId="6780F49C" w14:textId="77777777" w:rsidR="0013537E" w:rsidRDefault="0013537E" w:rsidP="0013537E">
      <w:r>
        <w:t>PO Box 204</w:t>
      </w:r>
    </w:p>
    <w:p w14:paraId="5934E434" w14:textId="77777777" w:rsidR="0013537E" w:rsidRDefault="0013537E" w:rsidP="0013537E">
      <w:r>
        <w:t>Collins Street West</w:t>
      </w:r>
    </w:p>
    <w:p w14:paraId="5D238F6E" w14:textId="77777777" w:rsidR="0013537E" w:rsidRDefault="0013537E" w:rsidP="0013537E">
      <w:r>
        <w:t>Victoria   8007</w:t>
      </w:r>
    </w:p>
    <w:p w14:paraId="3842686C" w14:textId="77777777" w:rsidR="0013537E" w:rsidRDefault="0013537E" w:rsidP="0013537E">
      <w:pPr>
        <w:pStyle w:val="CoverContact"/>
        <w:spacing w:after="200"/>
      </w:pPr>
      <w:r>
        <w:t>AUSTRALIA</w:t>
      </w:r>
    </w:p>
    <w:p w14:paraId="66ACBB91" w14:textId="77777777" w:rsidR="00090A6F" w:rsidRPr="00DE4E67" w:rsidRDefault="001D6CFB">
      <w:pPr>
        <w:pStyle w:val="CoverContact"/>
      </w:pPr>
      <w:r>
        <w:t>Phone:</w:t>
      </w:r>
      <w:r>
        <w:tab/>
        <w:t>(03) 9617 7600</w:t>
      </w:r>
    </w:p>
    <w:p w14:paraId="0BA49CB2" w14:textId="77777777" w:rsidR="00090A6F" w:rsidRPr="00DE4E67" w:rsidRDefault="00700CD1">
      <w:pPr>
        <w:pStyle w:val="CoverContact"/>
      </w:pPr>
      <w:r>
        <w:t>E-mail:</w:t>
      </w:r>
      <w:r>
        <w:tab/>
      </w:r>
      <w:r w:rsidR="001D6CFB">
        <w:t>standard</w:t>
      </w:r>
      <w:r>
        <w:t>@aasb.gov</w:t>
      </w:r>
      <w:r w:rsidR="00090A6F" w:rsidRPr="00DE4E67">
        <w:t>.au</w:t>
      </w:r>
    </w:p>
    <w:p w14:paraId="451C052C" w14:textId="77777777" w:rsidR="00090A6F" w:rsidRPr="00DE4E67" w:rsidRDefault="00090A6F" w:rsidP="00791B49">
      <w:pPr>
        <w:pStyle w:val="CoverContact"/>
        <w:spacing w:after="200"/>
      </w:pPr>
      <w:r w:rsidRPr="00DE4E67">
        <w:t>W</w:t>
      </w:r>
      <w:r w:rsidR="00700CD1">
        <w:t>ebsite:</w:t>
      </w:r>
      <w:r w:rsidR="00700CD1">
        <w:tab/>
        <w:t>www.aasb.gov</w:t>
      </w:r>
      <w:r w:rsidRPr="00DE4E67">
        <w:t>.au</w:t>
      </w:r>
    </w:p>
    <w:p w14:paraId="5EFF3EC7" w14:textId="77777777" w:rsidR="00090A6F" w:rsidRPr="00DE4E67" w:rsidRDefault="00090A6F" w:rsidP="00D21576">
      <w:pPr>
        <w:pStyle w:val="Heading2NoBorder"/>
      </w:pPr>
      <w:r w:rsidRPr="00DE4E67">
        <w:t xml:space="preserve">Other </w:t>
      </w:r>
      <w:r w:rsidR="0013537E">
        <w:t>e</w:t>
      </w:r>
      <w:r w:rsidR="00E37829">
        <w:t>nquiries</w:t>
      </w:r>
    </w:p>
    <w:p w14:paraId="01183150" w14:textId="77777777" w:rsidR="00090A6F" w:rsidRPr="00DE4E67" w:rsidRDefault="00090A6F">
      <w:pPr>
        <w:pStyle w:val="CoverContact"/>
      </w:pPr>
      <w:r w:rsidRPr="00DE4E67">
        <w:t>Phone:</w:t>
      </w:r>
      <w:r w:rsidRPr="00DE4E67">
        <w:tab/>
        <w:t>(03) 9617 7600</w:t>
      </w:r>
    </w:p>
    <w:p w14:paraId="18287573" w14:textId="77777777" w:rsidR="00090A6F" w:rsidRPr="00DE4E67" w:rsidRDefault="00700CD1" w:rsidP="004C2A3A">
      <w:pPr>
        <w:pStyle w:val="CoverContact"/>
      </w:pPr>
      <w:r>
        <w:t>E-mail:</w:t>
      </w:r>
      <w:r>
        <w:tab/>
        <w:t>standard@aasb.gov</w:t>
      </w:r>
      <w:r w:rsidR="00090A6F" w:rsidRPr="00DE4E67">
        <w:t>.au</w:t>
      </w:r>
    </w:p>
    <w:p w14:paraId="632E76C5" w14:textId="77777777" w:rsidR="00090A6F" w:rsidRPr="00DE4E67" w:rsidRDefault="00090A6F" w:rsidP="004C2A3A">
      <w:pPr>
        <w:pStyle w:val="NoNumPlain1"/>
        <w:spacing w:before="7200" w:after="200"/>
      </w:pPr>
      <w:r w:rsidRPr="00DE4E67">
        <w:t>COPYRIGHT</w:t>
      </w:r>
    </w:p>
    <w:p w14:paraId="088F5F8A" w14:textId="21421701" w:rsidR="00090A6F" w:rsidRPr="00DE4E67" w:rsidRDefault="008052F2" w:rsidP="00494C29">
      <w:pPr>
        <w:pStyle w:val="NoNumPlain1"/>
        <w:spacing w:before="0" w:after="200"/>
      </w:pPr>
      <w:r>
        <w:t xml:space="preserve">© </w:t>
      </w:r>
      <w:r w:rsidR="00090A6F" w:rsidRPr="00DE4E67">
        <w:t>Commonwealth of Australia</w:t>
      </w:r>
      <w:r>
        <w:t xml:space="preserve"> </w:t>
      </w:r>
      <w:bookmarkStart w:id="5" w:name="Year"/>
      <w:r w:rsidR="0094647E">
        <w:t>202</w:t>
      </w:r>
      <w:bookmarkEnd w:id="5"/>
      <w:r w:rsidR="0041765D">
        <w:t>4</w:t>
      </w:r>
    </w:p>
    <w:p w14:paraId="5D8464A9" w14:textId="269A6D11" w:rsidR="00090A6F" w:rsidRPr="00DE4E67" w:rsidRDefault="00AA6C7A" w:rsidP="00494C29">
      <w:pPr>
        <w:spacing w:after="200"/>
      </w:pPr>
      <w:r w:rsidRPr="001F769A">
        <w:t xml:space="preserve">This work is copyright. Apart from any use as permitted under the </w:t>
      </w:r>
      <w:r w:rsidRPr="001F769A">
        <w:rPr>
          <w:i/>
        </w:rPr>
        <w:t>Copyright Act 1968</w:t>
      </w:r>
      <w:r w:rsidRPr="001F769A">
        <w:t xml:space="preserve">, no part may be reproduced by any process without prior written permission. </w:t>
      </w:r>
      <w:r w:rsidRPr="00110AE4">
        <w:t>Reproduction within Australia in unaltered form (retaining this notice) is permitted for personal and non-commercial use subject to the inclusion of an acknowledgement of the source</w:t>
      </w:r>
      <w:r w:rsidRPr="007F16EE">
        <w:t xml:space="preserve">. Requests </w:t>
      </w:r>
      <w:r w:rsidRPr="001F769A">
        <w:t>and enquiries concerning reproduction and ri</w:t>
      </w:r>
      <w:r>
        <w:t xml:space="preserve">ghts should be addressed to The </w:t>
      </w:r>
      <w:r w:rsidR="003056E0">
        <w:t xml:space="preserve">Managing </w:t>
      </w:r>
      <w:r w:rsidRPr="001D39C9">
        <w:t>Director</w:t>
      </w:r>
      <w:r w:rsidRPr="001F769A">
        <w:t>, Australian Accounting Standards Board, PO Box 204, Collins Street West, Victoria 8007.</w:t>
      </w:r>
    </w:p>
    <w:p w14:paraId="3B169803" w14:textId="77777777" w:rsidR="00090A6F" w:rsidRPr="00DE4E67" w:rsidRDefault="00090A6F">
      <w:r w:rsidRPr="00DE4E67">
        <w:t xml:space="preserve">ISSN </w:t>
      </w:r>
      <w:bookmarkStart w:id="6" w:name="ISSN"/>
      <w:r w:rsidR="0094647E">
        <w:t>1036-4803</w:t>
      </w:r>
      <w:bookmarkEnd w:id="6"/>
    </w:p>
    <w:p w14:paraId="6CD28527" w14:textId="77777777" w:rsidR="00090A6F" w:rsidRPr="00DE4E67" w:rsidRDefault="00090A6F">
      <w:pPr>
        <w:sectPr w:rsidR="00090A6F" w:rsidRPr="00DE4E67" w:rsidSect="00FE6B43">
          <w:headerReference w:type="default" r:id="rId13"/>
          <w:footerReference w:type="default" r:id="rId14"/>
          <w:pgSz w:w="11907" w:h="16840" w:code="9"/>
          <w:pgMar w:top="1418" w:right="1418" w:bottom="1418" w:left="1418" w:header="709" w:footer="709" w:gutter="0"/>
          <w:paperSrc w:first="7" w:other="7"/>
          <w:cols w:space="720"/>
        </w:sectPr>
      </w:pPr>
    </w:p>
    <w:p w14:paraId="13CC6D32" w14:textId="77777777" w:rsidR="0072638F" w:rsidRPr="001F769A" w:rsidRDefault="0072638F" w:rsidP="00A73351">
      <w:pPr>
        <w:pStyle w:val="ConvSectionTitle"/>
      </w:pPr>
      <w:r>
        <w:lastRenderedPageBreak/>
        <w:t>Contents</w:t>
      </w:r>
    </w:p>
    <w:p w14:paraId="2485D641" w14:textId="77777777" w:rsidR="0072638F" w:rsidRDefault="0072638F" w:rsidP="001E6309">
      <w:pPr>
        <w:pStyle w:val="ContentsCapsPlain"/>
        <w:spacing w:before="400"/>
      </w:pPr>
      <w:r w:rsidRPr="001F769A">
        <w:t>Preface</w:t>
      </w:r>
    </w:p>
    <w:p w14:paraId="3D795334" w14:textId="77777777" w:rsidR="0072638F" w:rsidRPr="00C24987" w:rsidRDefault="0072638F" w:rsidP="0072638F">
      <w:pPr>
        <w:pStyle w:val="ContentsCapsPlain"/>
      </w:pPr>
      <w:r>
        <w:t>comparison with international pronouncements</w:t>
      </w:r>
    </w:p>
    <w:p w14:paraId="7279D8B1" w14:textId="77777777" w:rsidR="0072638F" w:rsidRPr="00084EC2" w:rsidRDefault="0072638F" w:rsidP="0072638F">
      <w:pPr>
        <w:pStyle w:val="AASBBase"/>
        <w:rPr>
          <w:b/>
        </w:rPr>
      </w:pPr>
      <w:r w:rsidRPr="00084EC2">
        <w:rPr>
          <w:b/>
        </w:rPr>
        <w:t>ACCOUNTING STANDARD</w:t>
      </w:r>
    </w:p>
    <w:p w14:paraId="477AE03B" w14:textId="6512110E" w:rsidR="0072638F" w:rsidRPr="00084EC2" w:rsidRDefault="0072638F" w:rsidP="0072638F">
      <w:pPr>
        <w:pStyle w:val="AASBPara"/>
        <w:rPr>
          <w:b/>
        </w:rPr>
      </w:pPr>
      <w:proofErr w:type="spellStart"/>
      <w:r w:rsidRPr="00084EC2">
        <w:rPr>
          <w:b/>
        </w:rPr>
        <w:t>AASB</w:t>
      </w:r>
      <w:proofErr w:type="spellEnd"/>
      <w:r w:rsidRPr="00084EC2">
        <w:rPr>
          <w:b/>
        </w:rPr>
        <w:t xml:space="preserve"> </w:t>
      </w:r>
      <w:r w:rsidRPr="00084EC2">
        <w:rPr>
          <w:b/>
        </w:rPr>
        <w:fldChar w:fldCharType="begin" w:fldLock="1"/>
      </w:r>
      <w:r w:rsidRPr="00084EC2">
        <w:rPr>
          <w:b/>
        </w:rPr>
        <w:instrText xml:space="preserve"> REF DocNo \* charformat  \* MERGEFORMAT </w:instrText>
      </w:r>
      <w:r w:rsidRPr="00084EC2">
        <w:rPr>
          <w:b/>
        </w:rPr>
        <w:fldChar w:fldCharType="separate"/>
      </w:r>
      <w:r w:rsidR="00315095" w:rsidRPr="00315095">
        <w:rPr>
          <w:b/>
        </w:rPr>
        <w:t>1048</w:t>
      </w:r>
      <w:r w:rsidRPr="00084EC2">
        <w:rPr>
          <w:b/>
        </w:rPr>
        <w:fldChar w:fldCharType="end"/>
      </w:r>
      <w:r w:rsidRPr="00084EC2">
        <w:rPr>
          <w:b/>
        </w:rPr>
        <w:t xml:space="preserve"> </w:t>
      </w:r>
      <w:r w:rsidRPr="00084EC2">
        <w:rPr>
          <w:b/>
          <w:i/>
          <w:iCs/>
        </w:rPr>
        <w:fldChar w:fldCharType="begin" w:fldLock="1"/>
      </w:r>
      <w:r w:rsidRPr="00084EC2">
        <w:rPr>
          <w:b/>
          <w:i/>
          <w:iCs/>
        </w:rPr>
        <w:instrText xml:space="preserve"> REF DocTitle \* charformat  \* MERGEFORMAT </w:instrText>
      </w:r>
      <w:r w:rsidRPr="00084EC2">
        <w:rPr>
          <w:b/>
          <w:i/>
          <w:iCs/>
        </w:rPr>
        <w:fldChar w:fldCharType="separate"/>
      </w:r>
      <w:r w:rsidR="00FA596A" w:rsidRPr="00315095">
        <w:rPr>
          <w:b/>
          <w:i/>
          <w:iCs/>
        </w:rPr>
        <w:t>INTERPRETATION OF STANDARDS</w:t>
      </w:r>
      <w:r w:rsidRPr="00084EC2">
        <w:rPr>
          <w:b/>
          <w:i/>
          <w:iCs/>
        </w:rPr>
        <w:fldChar w:fldCharType="end"/>
      </w:r>
    </w:p>
    <w:p w14:paraId="4FF920DB" w14:textId="77777777" w:rsidR="0072638F" w:rsidRPr="001F769A" w:rsidRDefault="0072638F" w:rsidP="0072638F">
      <w:pPr>
        <w:pStyle w:val="ContentsParaHead"/>
      </w:pPr>
      <w:r>
        <w:t>from p</w:t>
      </w:r>
      <w:r w:rsidRPr="001F769A">
        <w:t>aragraph</w:t>
      </w:r>
    </w:p>
    <w:p w14:paraId="236E6134" w14:textId="77777777" w:rsidR="0072638F" w:rsidRDefault="0072638F" w:rsidP="0072638F">
      <w:pPr>
        <w:pStyle w:val="ContentsLevel1"/>
      </w:pPr>
      <w:bookmarkStart w:id="7" w:name="TOCRange"/>
      <w:r>
        <w:t>Objective</w:t>
      </w:r>
      <w:r>
        <w:tab/>
        <w:t>1</w:t>
      </w:r>
    </w:p>
    <w:p w14:paraId="5C93D417" w14:textId="77777777" w:rsidR="0072638F" w:rsidRDefault="0072638F" w:rsidP="0072638F">
      <w:pPr>
        <w:pStyle w:val="ContentsLevel1"/>
      </w:pPr>
      <w:r>
        <w:t>Application</w:t>
      </w:r>
      <w:r>
        <w:tab/>
        <w:t>2</w:t>
      </w:r>
    </w:p>
    <w:p w14:paraId="2E3C6C25" w14:textId="77777777" w:rsidR="0072638F" w:rsidRDefault="0072638F" w:rsidP="0072638F">
      <w:pPr>
        <w:pStyle w:val="ContentsLevel1"/>
      </w:pPr>
      <w:r>
        <w:t>Interpretations</w:t>
      </w:r>
      <w:r>
        <w:tab/>
        <w:t>4</w:t>
      </w:r>
    </w:p>
    <w:p w14:paraId="5F0D8F99" w14:textId="77777777" w:rsidR="0072638F" w:rsidRDefault="0072638F" w:rsidP="0072638F">
      <w:pPr>
        <w:pStyle w:val="ContentsLevel2"/>
      </w:pPr>
      <w:r>
        <w:t>Australian Interpretations corresponding to IASB Interpretations</w:t>
      </w:r>
      <w:r>
        <w:tab/>
        <w:t>6</w:t>
      </w:r>
    </w:p>
    <w:p w14:paraId="264AB75A" w14:textId="77777777" w:rsidR="0072638F" w:rsidRDefault="0072638F" w:rsidP="0072638F">
      <w:pPr>
        <w:pStyle w:val="ContentsLevel2"/>
      </w:pPr>
      <w:r>
        <w:t>Other Australian Interpretations</w:t>
      </w:r>
      <w:r>
        <w:tab/>
        <w:t>8</w:t>
      </w:r>
    </w:p>
    <w:p w14:paraId="1B68B836" w14:textId="77777777" w:rsidR="0072638F" w:rsidRPr="005776EF" w:rsidRDefault="0072638F" w:rsidP="0072638F">
      <w:pPr>
        <w:pStyle w:val="ContentsLevel1"/>
      </w:pPr>
      <w:r w:rsidRPr="005776EF">
        <w:t>Conceptual Framework</w:t>
      </w:r>
      <w:r w:rsidRPr="005776EF">
        <w:tab/>
        <w:t>10</w:t>
      </w:r>
    </w:p>
    <w:p w14:paraId="1B6FB228" w14:textId="77777777" w:rsidR="0072638F" w:rsidRPr="005776EF" w:rsidRDefault="0072638F" w:rsidP="0072638F">
      <w:pPr>
        <w:pStyle w:val="ContentsLevel1"/>
      </w:pPr>
      <w:r>
        <w:t>Commencement of the legislative instrument</w:t>
      </w:r>
      <w:r>
        <w:tab/>
      </w:r>
      <w:r w:rsidRPr="005776EF">
        <w:t>12</w:t>
      </w:r>
    </w:p>
    <w:p w14:paraId="27126766" w14:textId="77777777" w:rsidR="0072638F" w:rsidRDefault="0072638F" w:rsidP="0072638F">
      <w:pPr>
        <w:pStyle w:val="ContentsLevel1"/>
      </w:pPr>
      <w:r w:rsidRPr="005776EF">
        <w:t xml:space="preserve">Withdrawal of </w:t>
      </w:r>
      <w:proofErr w:type="spellStart"/>
      <w:r w:rsidRPr="005776EF">
        <w:t>AASB</w:t>
      </w:r>
      <w:proofErr w:type="spellEnd"/>
      <w:r w:rsidRPr="005776EF">
        <w:t xml:space="preserve"> pronouncements</w:t>
      </w:r>
      <w:r w:rsidRPr="005776EF">
        <w:tab/>
        <w:t>13</w:t>
      </w:r>
      <w:bookmarkEnd w:id="7"/>
    </w:p>
    <w:p w14:paraId="081576BF" w14:textId="77777777" w:rsidR="0072638F" w:rsidRDefault="0072638F" w:rsidP="0072638F">
      <w:pPr>
        <w:pStyle w:val="ContentsLevel1"/>
      </w:pPr>
    </w:p>
    <w:p w14:paraId="3A7923D3" w14:textId="77777777" w:rsidR="0072638F" w:rsidRPr="001F769A" w:rsidRDefault="0072638F" w:rsidP="0072638F">
      <w:pPr>
        <w:pStyle w:val="ContentsLevel1"/>
      </w:pPr>
    </w:p>
    <w:p w14:paraId="54603675" w14:textId="6AC83737" w:rsidR="0072638F" w:rsidRPr="001F769A" w:rsidRDefault="0072638F" w:rsidP="0072638F">
      <w:pPr>
        <w:pStyle w:val="ContentsBox"/>
      </w:pPr>
      <w:r w:rsidRPr="001F769A">
        <w:t xml:space="preserve">Australian Accounting Standard </w:t>
      </w:r>
      <w:proofErr w:type="spellStart"/>
      <w:r w:rsidRPr="001F769A">
        <w:t>AASB</w:t>
      </w:r>
      <w:proofErr w:type="spellEnd"/>
      <w:r w:rsidRPr="001F769A">
        <w:t xml:space="preserve"> </w:t>
      </w:r>
      <w:fldSimple w:instr=" REF DocNo \* charformat " w:fldLock="1">
        <w:r w:rsidR="00315095" w:rsidRPr="00315095">
          <w:t>1048</w:t>
        </w:r>
      </w:fldSimple>
      <w:r w:rsidRPr="001F769A">
        <w:t xml:space="preserve"> </w:t>
      </w:r>
      <w:r w:rsidRPr="001F769A">
        <w:rPr>
          <w:i/>
          <w:iCs/>
        </w:rPr>
        <w:fldChar w:fldCharType="begin" w:fldLock="1"/>
      </w:r>
      <w:r w:rsidRPr="001F769A">
        <w:rPr>
          <w:i/>
          <w:iCs/>
        </w:rPr>
        <w:instrText xml:space="preserve"> REF DocTitle \* charformat </w:instrText>
      </w:r>
      <w:r w:rsidRPr="001F769A">
        <w:rPr>
          <w:i/>
          <w:iCs/>
        </w:rPr>
        <w:fldChar w:fldCharType="separate"/>
      </w:r>
      <w:r w:rsidR="00315095" w:rsidRPr="00315095">
        <w:rPr>
          <w:i/>
          <w:iCs/>
        </w:rPr>
        <w:t>Interpretation of Standards</w:t>
      </w:r>
      <w:r w:rsidRPr="001F769A">
        <w:rPr>
          <w:i/>
          <w:iCs/>
        </w:rPr>
        <w:fldChar w:fldCharType="end"/>
      </w:r>
      <w:r w:rsidRPr="001F769A">
        <w:rPr>
          <w:i/>
          <w:iCs/>
        </w:rPr>
        <w:t xml:space="preserve"> </w:t>
      </w:r>
      <w:r w:rsidR="004136CD" w:rsidRPr="004136CD">
        <w:rPr>
          <w:iCs/>
        </w:rPr>
        <w:t>(</w:t>
      </w:r>
      <w:r w:rsidR="004136CD">
        <w:rPr>
          <w:iCs/>
        </w:rPr>
        <w:t xml:space="preserve">November 2024) </w:t>
      </w:r>
      <w:r w:rsidRPr="001F769A">
        <w:t xml:space="preserve">is set out in </w:t>
      </w:r>
      <w:r w:rsidRPr="00693791">
        <w:t>paragraphs 1–13.</w:t>
      </w:r>
      <w:r w:rsidRPr="001F769A">
        <w:t xml:space="preserve"> All the paragraphs have equal authority. Paragraphs in </w:t>
      </w:r>
      <w:r w:rsidRPr="001F769A">
        <w:rPr>
          <w:b/>
          <w:bCs/>
        </w:rPr>
        <w:t xml:space="preserve">bold type </w:t>
      </w:r>
      <w:r w:rsidRPr="001F769A">
        <w:t xml:space="preserve">state the main principles. </w:t>
      </w:r>
      <w:proofErr w:type="spellStart"/>
      <w:r>
        <w:t>AASB</w:t>
      </w:r>
      <w:proofErr w:type="spellEnd"/>
      <w:r>
        <w:t> </w:t>
      </w:r>
      <w:fldSimple w:instr=" REF DocNo \* charformat " w:fldLock="1">
        <w:r w:rsidR="00315095" w:rsidRPr="00315095">
          <w:t>1048</w:t>
        </w:r>
      </w:fldSimple>
      <w:r>
        <w:t xml:space="preserve"> </w:t>
      </w:r>
      <w:r w:rsidRPr="00103CE9">
        <w:t>is to be read in the context of other Australian Accou</w:t>
      </w:r>
      <w:r>
        <w:t xml:space="preserve">nting Standards, including </w:t>
      </w:r>
      <w:proofErr w:type="spellStart"/>
      <w:r>
        <w:t>AASB</w:t>
      </w:r>
      <w:proofErr w:type="spellEnd"/>
      <w:r>
        <w:t xml:space="preserve"> 1057 </w:t>
      </w:r>
      <w:r w:rsidRPr="00050F2D">
        <w:rPr>
          <w:i/>
        </w:rPr>
        <w:t>Application of Australian Accounting Standards</w:t>
      </w:r>
      <w:r w:rsidRPr="00103CE9">
        <w:t>.</w:t>
      </w:r>
      <w:r>
        <w:t xml:space="preserve"> </w:t>
      </w:r>
      <w:r w:rsidRPr="001F769A">
        <w:t xml:space="preserve">In the absence of explicit guidance, </w:t>
      </w:r>
      <w:proofErr w:type="spellStart"/>
      <w:r w:rsidRPr="001F769A">
        <w:t>AASB</w:t>
      </w:r>
      <w:proofErr w:type="spellEnd"/>
      <w:r>
        <w:t xml:space="preserve"> </w:t>
      </w:r>
      <w:r w:rsidRPr="001F769A">
        <w:t xml:space="preserve">108 </w:t>
      </w:r>
      <w:r w:rsidR="00FA596A">
        <w:rPr>
          <w:i/>
          <w:iCs/>
        </w:rPr>
        <w:t xml:space="preserve">Accounting Policies, Changes in Accounting Estimates and Errors </w:t>
      </w:r>
      <w:r w:rsidRPr="001F769A">
        <w:t>provides a basis for selecting and applying accounting policies.</w:t>
      </w:r>
    </w:p>
    <w:p w14:paraId="5D200D24" w14:textId="77777777" w:rsidR="00090A6F" w:rsidRDefault="00090A6F" w:rsidP="00CD1BD3">
      <w:pPr>
        <w:pStyle w:val="ContentsBox"/>
        <w:pBdr>
          <w:top w:val="none" w:sz="0" w:space="0" w:color="auto"/>
          <w:left w:val="none" w:sz="0" w:space="0" w:color="auto"/>
          <w:bottom w:val="none" w:sz="0" w:space="0" w:color="auto"/>
          <w:right w:val="none" w:sz="0" w:space="0" w:color="auto"/>
        </w:pBdr>
        <w:spacing w:after="0"/>
      </w:pPr>
    </w:p>
    <w:p w14:paraId="31A4F346" w14:textId="77777777" w:rsidR="00090A6F" w:rsidRDefault="00090A6F">
      <w:pPr>
        <w:sectPr w:rsidR="00090A6F" w:rsidSect="00FE6B43">
          <w:footerReference w:type="default" r:id="rId15"/>
          <w:pgSz w:w="11907" w:h="16840" w:code="9"/>
          <w:pgMar w:top="1418" w:right="1418" w:bottom="1418" w:left="1418" w:header="709" w:footer="709" w:gutter="0"/>
          <w:paperSrc w:first="7" w:other="7"/>
          <w:cols w:space="720"/>
        </w:sectPr>
      </w:pPr>
    </w:p>
    <w:p w14:paraId="0BF8C8ED" w14:textId="77777777" w:rsidR="00AA1B50" w:rsidRPr="001F769A" w:rsidRDefault="00AA1B50" w:rsidP="00AA1B50">
      <w:pPr>
        <w:pStyle w:val="IASBSectionTitle1NonInd"/>
        <w:pBdr>
          <w:bottom w:val="none" w:sz="0" w:space="0" w:color="auto"/>
        </w:pBdr>
      </w:pPr>
      <w:r>
        <w:lastRenderedPageBreak/>
        <w:t>Preface</w:t>
      </w:r>
    </w:p>
    <w:p w14:paraId="6240D1C9" w14:textId="77777777" w:rsidR="00AA1B50" w:rsidRPr="001F769A" w:rsidRDefault="00AA1B50" w:rsidP="00AA1B50">
      <w:pPr>
        <w:pStyle w:val="IASBSectionTitle1NonInd"/>
        <w:pBdr>
          <w:bottom w:val="single" w:sz="4" w:space="1" w:color="auto"/>
        </w:pBdr>
      </w:pPr>
      <w:r w:rsidRPr="001F769A">
        <w:t>Introduction</w:t>
      </w:r>
    </w:p>
    <w:p w14:paraId="6BBCF3DE" w14:textId="03C8EFC5" w:rsidR="00AA1B50" w:rsidRPr="001F769A" w:rsidRDefault="00AA1B50" w:rsidP="00AA1B50">
      <w:pPr>
        <w:pStyle w:val="NoNumPlain1"/>
      </w:pPr>
      <w:r w:rsidRPr="001F769A">
        <w:t>The Australian Accounting Standards Board (</w:t>
      </w:r>
      <w:proofErr w:type="spellStart"/>
      <w:r w:rsidRPr="001F769A">
        <w:t>AASB</w:t>
      </w:r>
      <w:proofErr w:type="spellEnd"/>
      <w:r w:rsidRPr="001F769A">
        <w:t>)</w:t>
      </w:r>
      <w:r>
        <w:t xml:space="preserve"> is an Australian Government </w:t>
      </w:r>
      <w:r w:rsidRPr="001D39C9">
        <w:t>entity</w:t>
      </w:r>
      <w:r>
        <w:t xml:space="preserve"> under the </w:t>
      </w:r>
      <w:r>
        <w:rPr>
          <w:i/>
        </w:rPr>
        <w:t>Australian Securities and Investments Commission Act 2001</w:t>
      </w:r>
      <w:r>
        <w:t xml:space="preserve">. The </w:t>
      </w:r>
      <w:proofErr w:type="spellStart"/>
      <w:r>
        <w:t>AASB</w:t>
      </w:r>
      <w:proofErr w:type="spellEnd"/>
      <w:r>
        <w:t xml:space="preserve"> develops, issues and maintains </w:t>
      </w:r>
      <w:r w:rsidRPr="001F769A">
        <w:t>Australian Accounting Standards, including Interpretations</w:t>
      </w:r>
      <w:r>
        <w:t>. These are to be</w:t>
      </w:r>
      <w:r w:rsidRPr="001F769A">
        <w:t xml:space="preserve"> applied by:</w:t>
      </w:r>
    </w:p>
    <w:p w14:paraId="4AE48269" w14:textId="77777777" w:rsidR="00AA1B50" w:rsidRPr="001F769A" w:rsidRDefault="00AA1B50" w:rsidP="004C2A3A">
      <w:pPr>
        <w:pStyle w:val="NumPlainA"/>
      </w:pPr>
      <w:r w:rsidRPr="001F769A">
        <w:t xml:space="preserve">entities required by the </w:t>
      </w:r>
      <w:r w:rsidRPr="001F769A">
        <w:rPr>
          <w:i/>
        </w:rPr>
        <w:t>Corporations Act 2001</w:t>
      </w:r>
      <w:r w:rsidRPr="001F769A">
        <w:t xml:space="preserve"> to prepare financial reports; </w:t>
      </w:r>
    </w:p>
    <w:p w14:paraId="3B6BCC3D" w14:textId="77777777" w:rsidR="00AA1B50" w:rsidRPr="001F769A" w:rsidRDefault="00AA1B50" w:rsidP="004C2A3A">
      <w:pPr>
        <w:pStyle w:val="NumPlainA"/>
      </w:pPr>
      <w:r w:rsidRPr="001F769A">
        <w:t>governments in preparing financial statements for the whole of government and the General Government Sector (GGS); and</w:t>
      </w:r>
    </w:p>
    <w:p w14:paraId="31870EB0" w14:textId="77777777" w:rsidR="00AA1B50" w:rsidRPr="001F769A" w:rsidRDefault="00AA1B50" w:rsidP="004C2A3A">
      <w:pPr>
        <w:pStyle w:val="NumPlainA"/>
      </w:pPr>
      <w:r w:rsidRPr="001F769A">
        <w:t>entities in the private or public for-profit or not-for-profit sectors that are reporting entities or that prepare general purpose financial statements.</w:t>
      </w:r>
    </w:p>
    <w:p w14:paraId="254B3734" w14:textId="77777777" w:rsidR="00AA1B50" w:rsidRPr="001F769A" w:rsidRDefault="00AA1B50" w:rsidP="00AA1B50">
      <w:pPr>
        <w:pStyle w:val="NoNumPlain1"/>
      </w:pPr>
      <w:proofErr w:type="spellStart"/>
      <w:r w:rsidRPr="001F769A">
        <w:t>AASB</w:t>
      </w:r>
      <w:proofErr w:type="spellEnd"/>
      <w:r w:rsidRPr="001F769A">
        <w:t xml:space="preserve"> 1053 </w:t>
      </w:r>
      <w:r w:rsidRPr="001F769A">
        <w:rPr>
          <w:i/>
        </w:rPr>
        <w:t>Application of Tiers of Australian Accounting Standards</w:t>
      </w:r>
      <w:r w:rsidRPr="001F769A">
        <w:t xml:space="preserve"> establishes a differential reporting framework consisting of two tiers of reporting requirements for preparing general purpose financial statements:</w:t>
      </w:r>
    </w:p>
    <w:p w14:paraId="51918162" w14:textId="77777777" w:rsidR="00AA1B50" w:rsidRPr="001F769A" w:rsidRDefault="00AA1B50" w:rsidP="004C2A3A">
      <w:pPr>
        <w:pStyle w:val="NumPlainA"/>
        <w:numPr>
          <w:ilvl w:val="0"/>
          <w:numId w:val="24"/>
        </w:numPr>
      </w:pPr>
      <w:r w:rsidRPr="001F769A">
        <w:t>Tier 1: Australian Accounting Standards; and</w:t>
      </w:r>
    </w:p>
    <w:p w14:paraId="66359021" w14:textId="4B1EB938" w:rsidR="00AA1B50" w:rsidRPr="001F769A" w:rsidRDefault="00AA1B50" w:rsidP="004C2A3A">
      <w:pPr>
        <w:pStyle w:val="NumPlainA"/>
      </w:pPr>
      <w:r w:rsidRPr="001F769A">
        <w:t>Tier 2: Australian Accounting Standards –</w:t>
      </w:r>
      <w:r>
        <w:t xml:space="preserve"> Simplified </w:t>
      </w:r>
      <w:r w:rsidRPr="001F769A">
        <w:t>Disclosure</w:t>
      </w:r>
      <w:r>
        <w:t>s</w:t>
      </w:r>
      <w:r w:rsidRPr="001F769A">
        <w:t>.</w:t>
      </w:r>
    </w:p>
    <w:p w14:paraId="2FE73AED" w14:textId="77777777" w:rsidR="00AA1B50" w:rsidRPr="001F769A" w:rsidRDefault="00AA1B50" w:rsidP="00AA1B50">
      <w:pPr>
        <w:pStyle w:val="IASBSectionTitle1NonInd"/>
      </w:pPr>
      <w:bookmarkStart w:id="8" w:name="SSDiffHead"/>
      <w:r>
        <w:t>What does this Standard require?</w:t>
      </w:r>
    </w:p>
    <w:p w14:paraId="54CC5004" w14:textId="74B48131" w:rsidR="00AA1B50" w:rsidRPr="001F769A" w:rsidRDefault="00AA1B50" w:rsidP="00AA1B50">
      <w:pPr>
        <w:pStyle w:val="NoNumPlain1"/>
      </w:pPr>
      <w:r w:rsidRPr="001F769A">
        <w:t>This Standard identifies the Australian Interpretations and classifies them into two groups: those that correspond to an</w:t>
      </w:r>
      <w:r>
        <w:t xml:space="preserve"> International Accounting Standards Board</w:t>
      </w:r>
      <w:r w:rsidRPr="001F769A">
        <w:t xml:space="preserve"> </w:t>
      </w:r>
      <w:r>
        <w:t>(</w:t>
      </w:r>
      <w:r w:rsidRPr="001F769A">
        <w:t>IASB</w:t>
      </w:r>
      <w:r>
        <w:t>)</w:t>
      </w:r>
      <w:r w:rsidRPr="001F769A">
        <w:t xml:space="preserve"> Interpretation and those that do not. Entities are required to apply each relevant Australian Interpretation in preparing financial statements that are within the scope of the Standard.</w:t>
      </w:r>
    </w:p>
    <w:p w14:paraId="3D2692F4" w14:textId="4BCD2B90" w:rsidR="00AA1B50" w:rsidRPr="001F769A" w:rsidRDefault="00AA1B50" w:rsidP="00AA1B50">
      <w:pPr>
        <w:pStyle w:val="NoNumPlain1"/>
      </w:pPr>
      <w:r w:rsidRPr="001F769A">
        <w:t xml:space="preserve">In respect of the first group (Table 1), it is necessary for those Australian Interpretations, where relevant, to be applied in order for an entity to be able to make an explicit and unreserved statement of compliance with </w:t>
      </w:r>
      <w:r>
        <w:t>International Financial Reporting Standards (</w:t>
      </w:r>
      <w:r w:rsidRPr="001F769A">
        <w:t>IFRS</w:t>
      </w:r>
      <w:r>
        <w:t xml:space="preserve"> </w:t>
      </w:r>
      <w:r w:rsidR="00784C35">
        <w:t xml:space="preserve">Accounting </w:t>
      </w:r>
      <w:r w:rsidRPr="001D39C9">
        <w:t>Standards</w:t>
      </w:r>
      <w:r>
        <w:t>)</w:t>
      </w:r>
      <w:r w:rsidRPr="001F769A">
        <w:t>. The IASB defines IFRS</w:t>
      </w:r>
      <w:r w:rsidR="00784C35">
        <w:t xml:space="preserve"> Accounting</w:t>
      </w:r>
      <w:r>
        <w:t xml:space="preserve"> </w:t>
      </w:r>
      <w:r w:rsidRPr="001D39C9">
        <w:t>Standards</w:t>
      </w:r>
      <w:r w:rsidRPr="001F769A">
        <w:t xml:space="preserve"> to include </w:t>
      </w:r>
      <w:r>
        <w:t>both</w:t>
      </w:r>
      <w:r w:rsidRPr="001F769A">
        <w:t xml:space="preserve"> </w:t>
      </w:r>
      <w:proofErr w:type="spellStart"/>
      <w:r w:rsidRPr="001F769A">
        <w:t>IFRIC</w:t>
      </w:r>
      <w:proofErr w:type="spellEnd"/>
      <w:r w:rsidRPr="001F769A">
        <w:t xml:space="preserve"> and SIC Interpretations.</w:t>
      </w:r>
    </w:p>
    <w:p w14:paraId="0BE06AE4" w14:textId="77777777" w:rsidR="00AA1B50" w:rsidRPr="001F769A" w:rsidRDefault="00AA1B50" w:rsidP="00AA1B50">
      <w:pPr>
        <w:pStyle w:val="NoNumPlain1"/>
      </w:pPr>
      <w:r w:rsidRPr="001F769A">
        <w:t>In the second group (Table 2), this Standard lists the other Australian Interpretations, which do not correspond to the IASB Interpretations, to assist financial statement preparers and users to identify the other authoritative pronouncements necessary for compliance in the Australian context.</w:t>
      </w:r>
    </w:p>
    <w:p w14:paraId="3B7174E9" w14:textId="1780D62E" w:rsidR="00AA1B50" w:rsidRPr="001D3554" w:rsidRDefault="00AA1B50" w:rsidP="00AA1B50">
      <w:pPr>
        <w:pStyle w:val="NoNumPlain1"/>
      </w:pPr>
      <w:r w:rsidRPr="001D3554">
        <w:t>This Standard (see Table</w:t>
      </w:r>
      <w:r w:rsidR="00DC0C65">
        <w:t>s</w:t>
      </w:r>
      <w:r w:rsidRPr="001D3554">
        <w:t xml:space="preserve"> 3</w:t>
      </w:r>
      <w:r w:rsidR="00DC0C65">
        <w:t xml:space="preserve"> and AusCF3</w:t>
      </w:r>
      <w:r w:rsidRPr="001D3554">
        <w:t xml:space="preserve">) also updates references to </w:t>
      </w:r>
      <w:r>
        <w:t xml:space="preserve">conceptual framework pronouncements </w:t>
      </w:r>
      <w:r w:rsidRPr="001D3554">
        <w:t xml:space="preserve">in other Standards to refer to amended </w:t>
      </w:r>
      <w:r>
        <w:t xml:space="preserve">versions </w:t>
      </w:r>
      <w:r w:rsidRPr="001D3554">
        <w:t>of the</w:t>
      </w:r>
      <w:r w:rsidRPr="008C3238">
        <w:rPr>
          <w:iCs/>
        </w:rPr>
        <w:t xml:space="preserve"> </w:t>
      </w:r>
      <w:r>
        <w:t>pronounce</w:t>
      </w:r>
      <w:r w:rsidRPr="008C3238">
        <w:rPr>
          <w:iCs/>
        </w:rPr>
        <w:t>ments</w:t>
      </w:r>
      <w:r w:rsidRPr="001D3554">
        <w:t>, as identified in this Standard.</w:t>
      </w:r>
    </w:p>
    <w:p w14:paraId="0A9EDE72" w14:textId="77777777" w:rsidR="00AA1B50" w:rsidRPr="001F769A" w:rsidRDefault="00AA1B50" w:rsidP="00AA1B50">
      <w:pPr>
        <w:pStyle w:val="NoNumPlain1"/>
      </w:pPr>
      <w:r w:rsidRPr="001F769A">
        <w:t xml:space="preserve">The Standard will be reissued </w:t>
      </w:r>
      <w:r>
        <w:t xml:space="preserve">or amended </w:t>
      </w:r>
      <w:r w:rsidRPr="001F769A">
        <w:t>when necessary to keep the Tables up to date.</w:t>
      </w:r>
    </w:p>
    <w:p w14:paraId="0BC8800D" w14:textId="77777777" w:rsidR="00AA1B50" w:rsidRPr="00BC05FD" w:rsidRDefault="00AA1B50" w:rsidP="00AA1B50">
      <w:pPr>
        <w:pStyle w:val="IASBSectionTitle2Ind"/>
      </w:pPr>
      <w:r w:rsidRPr="00BC05FD">
        <w:t>When does it apply?</w:t>
      </w:r>
    </w:p>
    <w:p w14:paraId="25E534E3" w14:textId="2F63E773" w:rsidR="00AA1B50" w:rsidRDefault="00AA1B50" w:rsidP="00AA1B50">
      <w:pPr>
        <w:pStyle w:val="NoNumPlain1"/>
      </w:pPr>
      <w:r w:rsidRPr="001F769A">
        <w:t xml:space="preserve">This Standard is applicable to annual reporting periods </w:t>
      </w:r>
      <w:r w:rsidR="00DC0C65">
        <w:t xml:space="preserve">ending </w:t>
      </w:r>
      <w:r>
        <w:t xml:space="preserve">on or after </w:t>
      </w:r>
      <w:r w:rsidR="00DC0C65">
        <w:t xml:space="preserve">31 December 2024 </w:t>
      </w:r>
      <w:r w:rsidRPr="001F769A">
        <w:t xml:space="preserve">(see paragraph </w:t>
      </w:r>
      <w:r>
        <w:t>2</w:t>
      </w:r>
      <w:r w:rsidRPr="001F769A">
        <w:t xml:space="preserve">). </w:t>
      </w:r>
      <w:r>
        <w:t>E</w:t>
      </w:r>
      <w:r w:rsidRPr="001F769A">
        <w:t>arl</w:t>
      </w:r>
      <w:r>
        <w:t>ier</w:t>
      </w:r>
      <w:r w:rsidRPr="001F769A">
        <w:t xml:space="preserve"> </w:t>
      </w:r>
      <w:r>
        <w:t>application</w:t>
      </w:r>
      <w:r w:rsidRPr="001F769A">
        <w:t xml:space="preserve"> is permitted as specified in paragraph </w:t>
      </w:r>
      <w:r>
        <w:t>3</w:t>
      </w:r>
      <w:r w:rsidRPr="001F769A">
        <w:t xml:space="preserve">, subject to paragraphs </w:t>
      </w:r>
      <w:r>
        <w:t>7</w:t>
      </w:r>
      <w:r w:rsidRPr="001F769A">
        <w:t xml:space="preserve">, </w:t>
      </w:r>
      <w:r>
        <w:t>9,</w:t>
      </w:r>
      <w:r w:rsidRPr="001F769A">
        <w:t xml:space="preserve"> 1</w:t>
      </w:r>
      <w:r>
        <w:t>1</w:t>
      </w:r>
      <w:r w:rsidRPr="001F769A">
        <w:t xml:space="preserve"> </w:t>
      </w:r>
      <w:r>
        <w:t xml:space="preserve">and AusCF11 </w:t>
      </w:r>
      <w:r w:rsidRPr="001F769A">
        <w:t>of this Standard.</w:t>
      </w:r>
    </w:p>
    <w:p w14:paraId="652AAAD9" w14:textId="77777777" w:rsidR="00AA1B50" w:rsidRDefault="00AA1B50" w:rsidP="00AA1B50">
      <w:pPr>
        <w:pStyle w:val="IASBSectionTitle2Ind"/>
      </w:pPr>
      <w:r>
        <w:t>What are the changes?</w:t>
      </w:r>
    </w:p>
    <w:p w14:paraId="30E9447D" w14:textId="1E71EEE8" w:rsidR="00AA1B50" w:rsidRDefault="00AA1B50" w:rsidP="00AA1B50">
      <w:pPr>
        <w:pStyle w:val="NoNumPlain1"/>
      </w:pPr>
      <w:r w:rsidRPr="001F769A">
        <w:t xml:space="preserve">This Standard (issued in </w:t>
      </w:r>
      <w:r>
        <w:t>November 2024</w:t>
      </w:r>
      <w:r w:rsidRPr="001F769A">
        <w:t xml:space="preserve">) supersedes the previous version of </w:t>
      </w:r>
      <w:proofErr w:type="spellStart"/>
      <w:r w:rsidRPr="001F769A">
        <w:t>AASB</w:t>
      </w:r>
      <w:proofErr w:type="spellEnd"/>
      <w:r w:rsidRPr="001F769A">
        <w:t> 1048, issued in</w:t>
      </w:r>
      <w:r>
        <w:t xml:space="preserve"> December 2020.</w:t>
      </w:r>
    </w:p>
    <w:p w14:paraId="49529C3E" w14:textId="13E6F4E1" w:rsidR="00FC0C94" w:rsidRDefault="00AA1B50" w:rsidP="00AA1B50">
      <w:pPr>
        <w:pStyle w:val="NoNumPlain1"/>
      </w:pPr>
      <w:r w:rsidRPr="001F769A">
        <w:t xml:space="preserve">The main differences between the </w:t>
      </w:r>
      <w:r>
        <w:t>previous</w:t>
      </w:r>
      <w:r w:rsidRPr="001F769A">
        <w:t xml:space="preserve"> version</w:t>
      </w:r>
      <w:r>
        <w:t xml:space="preserve"> </w:t>
      </w:r>
      <w:r w:rsidRPr="001F769A">
        <w:t>and this version include</w:t>
      </w:r>
      <w:r w:rsidR="00FC0C94">
        <w:t>:</w:t>
      </w:r>
    </w:p>
    <w:p w14:paraId="54E95D92" w14:textId="5C1ED1A8" w:rsidR="00CF0569" w:rsidRDefault="00CF0569" w:rsidP="00CF0569">
      <w:pPr>
        <w:pStyle w:val="NoNumPlain1"/>
        <w:numPr>
          <w:ilvl w:val="0"/>
          <w:numId w:val="23"/>
        </w:numPr>
        <w:ind w:left="782" w:hanging="782"/>
      </w:pPr>
      <w:r>
        <w:t xml:space="preserve">the removal from </w:t>
      </w:r>
      <w:r w:rsidR="00082090">
        <w:t xml:space="preserve">the tables </w:t>
      </w:r>
      <w:r>
        <w:t xml:space="preserve">of versions of Interpretations </w:t>
      </w:r>
      <w:r w:rsidR="008379E3">
        <w:t xml:space="preserve">and conceptual framework pronouncements </w:t>
      </w:r>
      <w:r>
        <w:t>that do not apply to any of the reporting periods to which this Standard mandatorily applies (see paragraph 2)</w:t>
      </w:r>
      <w:r w:rsidR="008379E3">
        <w:t xml:space="preserve">, including Interpretation 1047 </w:t>
      </w:r>
      <w:r w:rsidR="008379E3" w:rsidRPr="004C2A3A">
        <w:rPr>
          <w:i/>
          <w:iCs/>
        </w:rPr>
        <w:t>Professional Indemnity Claims Liabilities in Medical Defence Organisations</w:t>
      </w:r>
      <w:r w:rsidR="008379E3">
        <w:t xml:space="preserve">, which has been superseded by </w:t>
      </w:r>
      <w:proofErr w:type="spellStart"/>
      <w:r w:rsidR="008379E3">
        <w:t>AASB</w:t>
      </w:r>
      <w:proofErr w:type="spellEnd"/>
      <w:r w:rsidR="008379E3">
        <w:t xml:space="preserve"> 17 </w:t>
      </w:r>
      <w:r w:rsidR="008379E3" w:rsidRPr="004C2A3A">
        <w:rPr>
          <w:i/>
          <w:iCs/>
        </w:rPr>
        <w:t>Insurance Contracts</w:t>
      </w:r>
      <w:r>
        <w:t>;</w:t>
      </w:r>
    </w:p>
    <w:p w14:paraId="30CC2DC3" w14:textId="6BD4B707" w:rsidR="00FC0C94" w:rsidRDefault="00AA1B50" w:rsidP="00FC0C94">
      <w:pPr>
        <w:pStyle w:val="NoNumPlain1"/>
        <w:numPr>
          <w:ilvl w:val="0"/>
          <w:numId w:val="23"/>
        </w:numPr>
        <w:ind w:left="782" w:hanging="782"/>
      </w:pPr>
      <w:r w:rsidRPr="00E37B23">
        <w:t>the addition of amended versions</w:t>
      </w:r>
      <w:r w:rsidRPr="001F769A">
        <w:t xml:space="preserve"> of Interpretations in Tables 1 and 2, where applicable to any reporting period to which this Standard mandatorily applies. This reflects amended versions of Interpretations arising </w:t>
      </w:r>
      <w:r w:rsidRPr="001D39C9">
        <w:t xml:space="preserve">as a result of </w:t>
      </w:r>
      <w:r w:rsidR="00DC0C65">
        <w:t xml:space="preserve">the </w:t>
      </w:r>
      <w:r w:rsidR="00DC0C65" w:rsidRPr="001D39C9">
        <w:t>consequential amendment</w:t>
      </w:r>
      <w:r w:rsidR="00DC0C65">
        <w:t>s</w:t>
      </w:r>
      <w:r w:rsidR="00DC0C65" w:rsidRPr="00775D4D">
        <w:t xml:space="preserve"> </w:t>
      </w:r>
      <w:r w:rsidR="00DC0C65">
        <w:t xml:space="preserve">in Appendix D of </w:t>
      </w:r>
      <w:proofErr w:type="spellStart"/>
      <w:r w:rsidRPr="00775D4D">
        <w:t>AASB</w:t>
      </w:r>
      <w:proofErr w:type="spellEnd"/>
      <w:r w:rsidRPr="00775D4D">
        <w:t xml:space="preserve"> 1</w:t>
      </w:r>
      <w:r>
        <w:t>8</w:t>
      </w:r>
      <w:r>
        <w:rPr>
          <w:i/>
        </w:rPr>
        <w:t xml:space="preserve"> Presentation and Disclosure in Financial Statements</w:t>
      </w:r>
      <w:r w:rsidRPr="00A5668B">
        <w:t xml:space="preserve"> </w:t>
      </w:r>
      <w:r w:rsidRPr="001D39C9">
        <w:t>and</w:t>
      </w:r>
      <w:r w:rsidR="00CF0569">
        <w:t xml:space="preserve"> the editorial corrections set out in </w:t>
      </w:r>
      <w:proofErr w:type="spellStart"/>
      <w:r w:rsidR="00CF0569">
        <w:t>AASB</w:t>
      </w:r>
      <w:proofErr w:type="spellEnd"/>
      <w:r w:rsidR="00CF0569">
        <w:t xml:space="preserve"> 2021-</w:t>
      </w:r>
      <w:r w:rsidR="00CF0569" w:rsidRPr="00CF0569">
        <w:rPr>
          <w:szCs w:val="19"/>
        </w:rPr>
        <w:t xml:space="preserve">7 </w:t>
      </w:r>
      <w:r w:rsidR="00CF0569" w:rsidRPr="00CF0569">
        <w:rPr>
          <w:i/>
          <w:iCs/>
          <w:szCs w:val="19"/>
        </w:rPr>
        <w:t xml:space="preserve">Amendments to Australian Accounting Standards – Effective Date of Amendments to </w:t>
      </w:r>
      <w:proofErr w:type="spellStart"/>
      <w:r w:rsidR="00CF0569" w:rsidRPr="00CF0569">
        <w:rPr>
          <w:i/>
          <w:iCs/>
          <w:szCs w:val="19"/>
        </w:rPr>
        <w:t>AASB</w:t>
      </w:r>
      <w:proofErr w:type="spellEnd"/>
      <w:r w:rsidR="00CF0569" w:rsidRPr="00CF0569">
        <w:rPr>
          <w:i/>
          <w:iCs/>
          <w:szCs w:val="19"/>
        </w:rPr>
        <w:t xml:space="preserve"> 10 and </w:t>
      </w:r>
      <w:proofErr w:type="spellStart"/>
      <w:r w:rsidR="00CF0569" w:rsidRPr="00CF0569">
        <w:rPr>
          <w:i/>
          <w:iCs/>
          <w:szCs w:val="19"/>
        </w:rPr>
        <w:t>AASB</w:t>
      </w:r>
      <w:proofErr w:type="spellEnd"/>
      <w:r w:rsidR="00CF0569" w:rsidRPr="00CF0569">
        <w:rPr>
          <w:i/>
          <w:iCs/>
          <w:szCs w:val="19"/>
        </w:rPr>
        <w:t xml:space="preserve"> 128 and Editorial Corrections</w:t>
      </w:r>
      <w:r w:rsidR="00FC0C94">
        <w:t>; and</w:t>
      </w:r>
    </w:p>
    <w:p w14:paraId="574FBB47" w14:textId="66C106DA" w:rsidR="00AA1B50" w:rsidRPr="001D3554" w:rsidRDefault="00FC0C94" w:rsidP="004C2A3A">
      <w:pPr>
        <w:pStyle w:val="NoNumPlain1"/>
        <w:numPr>
          <w:ilvl w:val="0"/>
          <w:numId w:val="23"/>
        </w:numPr>
        <w:ind w:left="782" w:hanging="782"/>
      </w:pPr>
      <w:r>
        <w:lastRenderedPageBreak/>
        <w:t>the</w:t>
      </w:r>
      <w:r w:rsidR="00CB1CE8" w:rsidRPr="00CB1CE8">
        <w:t xml:space="preserve"> </w:t>
      </w:r>
      <w:r w:rsidR="00CB1CE8" w:rsidRPr="00E37B23">
        <w:t xml:space="preserve">addition of </w:t>
      </w:r>
      <w:r w:rsidR="002A6852">
        <w:t xml:space="preserve">an </w:t>
      </w:r>
      <w:r w:rsidR="00CB1CE8" w:rsidRPr="00E37B23">
        <w:t>amended version</w:t>
      </w:r>
      <w:r w:rsidR="00CB1CE8" w:rsidRPr="001F769A">
        <w:t xml:space="preserve"> of</w:t>
      </w:r>
      <w:r w:rsidR="002A6852">
        <w:t xml:space="preserve"> the </w:t>
      </w:r>
      <w:r w:rsidR="002A6852" w:rsidRPr="002A6852">
        <w:rPr>
          <w:i/>
          <w:iCs/>
        </w:rPr>
        <w:t>Conceptual Framework for Financial Reporting</w:t>
      </w:r>
      <w:r w:rsidR="002A6852">
        <w:t xml:space="preserve"> in Table 3 as a result of </w:t>
      </w:r>
      <w:r w:rsidR="00A055DD">
        <w:t xml:space="preserve">an </w:t>
      </w:r>
      <w:r w:rsidR="009D04B0">
        <w:t xml:space="preserve">editorial correction set out in </w:t>
      </w:r>
      <w:proofErr w:type="spellStart"/>
      <w:r w:rsidR="009D04B0">
        <w:t>AASB</w:t>
      </w:r>
      <w:proofErr w:type="spellEnd"/>
      <w:r w:rsidR="009D04B0">
        <w:t xml:space="preserve"> 2021-7</w:t>
      </w:r>
      <w:r w:rsidR="00AA1B50">
        <w:t>.</w:t>
      </w:r>
    </w:p>
    <w:p w14:paraId="28D07CF8" w14:textId="77777777" w:rsidR="00AA1B50" w:rsidRPr="001F769A" w:rsidRDefault="00AA1B50" w:rsidP="00AA1B50">
      <w:pPr>
        <w:pStyle w:val="IASBSectionTitle1NonInd"/>
      </w:pPr>
      <w:r>
        <w:t>Why have we issued this Standard?</w:t>
      </w:r>
    </w:p>
    <w:p w14:paraId="6156F854" w14:textId="631E3887" w:rsidR="00AA1B50" w:rsidRPr="001F769A" w:rsidRDefault="00AA1B50" w:rsidP="00AA1B50">
      <w:pPr>
        <w:pStyle w:val="NoNumPlain1"/>
      </w:pPr>
      <w:r w:rsidRPr="001F769A">
        <w:t>This Standard clarifies that all Australian Interpretations have the same authoritative status. Those that incorporate the IASB Interpretations must be applied to achieve compliance with IFRS</w:t>
      </w:r>
      <w:r>
        <w:t xml:space="preserve"> </w:t>
      </w:r>
      <w:r w:rsidR="00CA53DB">
        <w:t xml:space="preserve">Accounting </w:t>
      </w:r>
      <w:r w:rsidRPr="001D39C9">
        <w:t>Standards</w:t>
      </w:r>
      <w:r w:rsidRPr="001F769A">
        <w:t xml:space="preserve">. Australian Interpretations issued by the </w:t>
      </w:r>
      <w:proofErr w:type="spellStart"/>
      <w:r w:rsidRPr="001F769A">
        <w:t>AASB</w:t>
      </w:r>
      <w:proofErr w:type="spellEnd"/>
      <w:r w:rsidRPr="001F769A">
        <w:t xml:space="preserve"> comprise both </w:t>
      </w:r>
      <w:proofErr w:type="spellStart"/>
      <w:r w:rsidRPr="001F769A">
        <w:t>AASB</w:t>
      </w:r>
      <w:proofErr w:type="spellEnd"/>
      <w:r w:rsidRPr="001F769A">
        <w:t xml:space="preserve"> and </w:t>
      </w:r>
      <w:proofErr w:type="spellStart"/>
      <w:r w:rsidRPr="001F769A">
        <w:t>UIG</w:t>
      </w:r>
      <w:proofErr w:type="spellEnd"/>
      <w:r w:rsidRPr="001F769A">
        <w:t xml:space="preserve"> Interpretations. </w:t>
      </w:r>
      <w:proofErr w:type="spellStart"/>
      <w:r w:rsidRPr="001F769A">
        <w:t>UIG</w:t>
      </w:r>
      <w:proofErr w:type="spellEnd"/>
      <w:r w:rsidRPr="001F769A">
        <w:t xml:space="preserve"> Interpretations were developed by the Urgent Issues Group, a former committee of the </w:t>
      </w:r>
      <w:proofErr w:type="spellStart"/>
      <w:r w:rsidRPr="001F769A">
        <w:t>AASB</w:t>
      </w:r>
      <w:proofErr w:type="spellEnd"/>
      <w:r w:rsidRPr="001F769A">
        <w:t>.</w:t>
      </w:r>
    </w:p>
    <w:p w14:paraId="60819E3B" w14:textId="77777777" w:rsidR="00AA1B50" w:rsidRPr="001F769A" w:rsidRDefault="00AA1B50" w:rsidP="00AA1B50">
      <w:pPr>
        <w:pStyle w:val="NoNumPlain1"/>
      </w:pPr>
      <w:r w:rsidRPr="001F769A">
        <w:t xml:space="preserve">This Standard also updates references in other Standards to </w:t>
      </w:r>
      <w:r>
        <w:rPr>
          <w:iCs/>
        </w:rPr>
        <w:t xml:space="preserve">the </w:t>
      </w:r>
      <w:r w:rsidRPr="00D51F0D">
        <w:rPr>
          <w:i/>
        </w:rPr>
        <w:t>Conceptual Framework for Financial Reporting</w:t>
      </w:r>
      <w:r>
        <w:rPr>
          <w:iCs/>
        </w:rPr>
        <w:t xml:space="preserve"> and </w:t>
      </w:r>
      <w:r w:rsidRPr="001F769A">
        <w:t xml:space="preserve">the </w:t>
      </w:r>
      <w:r w:rsidRPr="001F769A">
        <w:rPr>
          <w:i/>
        </w:rPr>
        <w:t xml:space="preserve">Framework for the Preparation and Presentation of Financial Statements </w:t>
      </w:r>
      <w:r w:rsidRPr="001F769A">
        <w:t>to subsequent versions.</w:t>
      </w:r>
    </w:p>
    <w:p w14:paraId="67A036F7" w14:textId="77777777" w:rsidR="00AA1B50" w:rsidRPr="001F769A" w:rsidRDefault="00AA1B50" w:rsidP="00AA1B50">
      <w:pPr>
        <w:pStyle w:val="IASBSectionTitle2Ind"/>
      </w:pPr>
      <w:r w:rsidRPr="001F769A">
        <w:t>Need for a Service Standard</w:t>
      </w:r>
    </w:p>
    <w:p w14:paraId="08699367" w14:textId="77777777" w:rsidR="00AA1B50" w:rsidRPr="001F769A" w:rsidRDefault="00AA1B50" w:rsidP="00AA1B50">
      <w:pPr>
        <w:pStyle w:val="IASBSectionTitle3Ind"/>
      </w:pPr>
      <w:r w:rsidRPr="001F769A">
        <w:t>Australian Interpretations</w:t>
      </w:r>
    </w:p>
    <w:p w14:paraId="55487896" w14:textId="491EF5D2" w:rsidR="00AA1B50" w:rsidRPr="001F769A" w:rsidRDefault="00AA1B50" w:rsidP="00AA1B50">
      <w:pPr>
        <w:pStyle w:val="NoNumPlain1"/>
      </w:pPr>
      <w:r w:rsidRPr="001F769A">
        <w:t xml:space="preserve">In the Australian context, Australian Interpretations do not have the same legal status as Standards (delegated legislation) and are treated as ‘external documents’ by the </w:t>
      </w:r>
      <w:r w:rsidRPr="001F769A">
        <w:rPr>
          <w:i/>
        </w:rPr>
        <w:t>Acts Interpretation Act 1901</w:t>
      </w:r>
      <w:r w:rsidRPr="001F769A">
        <w:t xml:space="preserve"> and the </w:t>
      </w:r>
      <w:r w:rsidRPr="001D39C9">
        <w:rPr>
          <w:i/>
        </w:rPr>
        <w:t>Legislation Act 2003</w:t>
      </w:r>
      <w:r w:rsidRPr="001F769A">
        <w:t>. Although references in one Standard to a second Standard are ambulatory (automatically moving forward to refer to the most recently-issued version of the second Standard), references in a Standard to external documents are stationary (being fixed in time to refer to the contents of the external document when the Standard was issued). A simple reference to an Australian Interpretation in a Standard can refer only to the Interpretation that existed when the Standard was issued. It cannot refer to any revised version of the Interpretation that may exist at a later reporting date. However, a Standard can refer to a second Standard and, when the first Standard is applied at a later reporting date, the reference will be to the then-current version of the second Standard, even if it has been reissued since the first Standard was issued.</w:t>
      </w:r>
    </w:p>
    <w:p w14:paraId="5846E5BD" w14:textId="43C95B85" w:rsidR="00AA1B50" w:rsidRPr="001F769A" w:rsidRDefault="00AA1B50" w:rsidP="00AA1B50">
      <w:pPr>
        <w:pStyle w:val="NoNumPlain1"/>
      </w:pPr>
      <w:r w:rsidRPr="001F769A">
        <w:t xml:space="preserve">The service Standard approach, as applied to Australian Interpretations, involves issuing this Standard to list the </w:t>
      </w:r>
      <w:r>
        <w:t xml:space="preserve">versions of </w:t>
      </w:r>
      <w:r w:rsidRPr="001F769A">
        <w:t>Australian Interpretations, and referring to this Standard in every other Standard where necessary to refer to an Interpretation. This enables references to the Interpretations in all other Standards to be updated by reissuing the service Standard.</w:t>
      </w:r>
    </w:p>
    <w:p w14:paraId="32E855EF" w14:textId="6B21ACF7" w:rsidR="00AA1B50" w:rsidRPr="001F769A" w:rsidRDefault="00AA1B50" w:rsidP="00AA1B50">
      <w:pPr>
        <w:pStyle w:val="NoNumPlain1"/>
      </w:pPr>
      <w:r w:rsidRPr="001F769A">
        <w:t xml:space="preserve">This approach preserves the status of Australian Interpretations as ‘external documents’ referred to in a Standard. It does not treat the Interpretations as delegated legislation or confer ambulatory status on the reference. In each Standard where there is a need to refer to an Australian Interpretation, the reference will be to this Standard, phrased as “Interpretation [number] [title] as identified in </w:t>
      </w:r>
      <w:proofErr w:type="spellStart"/>
      <w:r w:rsidRPr="001F769A">
        <w:t>AASB</w:t>
      </w:r>
      <w:proofErr w:type="spellEnd"/>
      <w:r w:rsidRPr="001F769A">
        <w:t xml:space="preserve"> 1048” (or similar). This reference, being to another Standard, is ambulatory and will refer to the version of this Standard that is in force from time to time. </w:t>
      </w:r>
      <w:proofErr w:type="spellStart"/>
      <w:r w:rsidRPr="001F769A">
        <w:t>AASB</w:t>
      </w:r>
      <w:proofErr w:type="spellEnd"/>
      <w:r w:rsidRPr="001F769A">
        <w:t xml:space="preserve"> 1048 itself will contain the direct references to the external documents and will be reissued periodically.</w:t>
      </w:r>
    </w:p>
    <w:p w14:paraId="1635763D" w14:textId="62AC4D38" w:rsidR="00AA1B50" w:rsidRPr="001F769A" w:rsidRDefault="00AA1B50" w:rsidP="00AA1B50">
      <w:pPr>
        <w:pStyle w:val="NoNumPlain1"/>
      </w:pPr>
      <w:r w:rsidRPr="001F769A">
        <w:t xml:space="preserve">This approach to clarifying the status of Australian Interpretations ensures there is no difference between the status in the hierarchy accorded to Interpretations in IAS 8 </w:t>
      </w:r>
      <w:r w:rsidR="002A6852">
        <w:rPr>
          <w:i/>
          <w:iCs/>
        </w:rPr>
        <w:t xml:space="preserve">Accounting Policies, Changes in Accounting Estimates and Errors </w:t>
      </w:r>
      <w:r w:rsidRPr="001F769A">
        <w:t xml:space="preserve">compared with </w:t>
      </w:r>
      <w:proofErr w:type="spellStart"/>
      <w:r w:rsidR="007779C9" w:rsidRPr="001F769A">
        <w:t>AASB</w:t>
      </w:r>
      <w:proofErr w:type="spellEnd"/>
      <w:r w:rsidR="007779C9">
        <w:t> </w:t>
      </w:r>
      <w:r w:rsidRPr="001F769A">
        <w:t>108</w:t>
      </w:r>
      <w:r w:rsidR="002A6852">
        <w:rPr>
          <w:i/>
          <w:iCs/>
        </w:rPr>
        <w:t xml:space="preserve"> Accounting Policies, Changes in Accounting Estimates and Errors</w:t>
      </w:r>
      <w:r w:rsidRPr="001F769A">
        <w:t>.</w:t>
      </w:r>
    </w:p>
    <w:p w14:paraId="1C05AF6B" w14:textId="77777777" w:rsidR="00AA1B50" w:rsidRPr="001F769A" w:rsidRDefault="00AA1B50" w:rsidP="00AA1B50">
      <w:pPr>
        <w:pStyle w:val="IASBSectionTitle3Ind"/>
      </w:pPr>
      <w:r>
        <w:t>Australian c</w:t>
      </w:r>
      <w:r w:rsidRPr="001F769A">
        <w:t xml:space="preserve">onceptual </w:t>
      </w:r>
      <w:r>
        <w:t>f</w:t>
      </w:r>
      <w:r w:rsidRPr="001F769A">
        <w:t>ramework</w:t>
      </w:r>
    </w:p>
    <w:p w14:paraId="21276A9F" w14:textId="280B9EEE" w:rsidR="00AA1B50" w:rsidRPr="001F769A" w:rsidRDefault="00AA1B50" w:rsidP="00AA1B50">
      <w:pPr>
        <w:pStyle w:val="NoNumPlain1"/>
      </w:pPr>
      <w:r w:rsidRPr="001F769A">
        <w:t xml:space="preserve">In the Australian context, an Australian conceptual framework pronouncement, such as </w:t>
      </w:r>
      <w:r>
        <w:t xml:space="preserve">the </w:t>
      </w:r>
      <w:r w:rsidRPr="00D51F0D">
        <w:rPr>
          <w:i/>
        </w:rPr>
        <w:t>Conceptual Framework for Financial Reporting</w:t>
      </w:r>
      <w:r w:rsidRPr="001F769A">
        <w:t xml:space="preserve"> </w:t>
      </w:r>
      <w:r>
        <w:t>and</w:t>
      </w:r>
      <w:r w:rsidRPr="001F769A">
        <w:t xml:space="preserve"> the </w:t>
      </w:r>
      <w:r w:rsidRPr="001F769A">
        <w:rPr>
          <w:i/>
        </w:rPr>
        <w:t>Framework for the Preparation and Presentation of Financial Statements</w:t>
      </w:r>
      <w:r w:rsidRPr="001F769A">
        <w:t xml:space="preserve">, also does not have the same legal status as a Standard (delegated legislation) and, like Interpretations, is treated as an ‘external document’ by the </w:t>
      </w:r>
      <w:r w:rsidRPr="001F769A">
        <w:rPr>
          <w:i/>
        </w:rPr>
        <w:t>Acts Interpretation Act 1901</w:t>
      </w:r>
      <w:r w:rsidRPr="001F769A">
        <w:t xml:space="preserve"> and the </w:t>
      </w:r>
      <w:r w:rsidRPr="001D39C9">
        <w:rPr>
          <w:i/>
        </w:rPr>
        <w:t>Legislation Act 2003</w:t>
      </w:r>
      <w:r w:rsidRPr="001F769A">
        <w:t>.</w:t>
      </w:r>
    </w:p>
    <w:p w14:paraId="00322BEF" w14:textId="4F09209B" w:rsidR="00AA1B50" w:rsidRPr="001F769A" w:rsidRDefault="00AA1B50" w:rsidP="00AA1B50">
      <w:pPr>
        <w:pStyle w:val="NoNumPlain1"/>
      </w:pPr>
      <w:r w:rsidRPr="001F769A">
        <w:t xml:space="preserve">The service Standard approach, as applied to the Australian conceptual framework, involves issuing this Standard to update references to </w:t>
      </w:r>
      <w:r>
        <w:t xml:space="preserve">conceptual framework pronouncements </w:t>
      </w:r>
      <w:r w:rsidRPr="001F769A">
        <w:t xml:space="preserve">in other Standards. This approach preserves the status of </w:t>
      </w:r>
      <w:r>
        <w:t xml:space="preserve">such pronouncements </w:t>
      </w:r>
      <w:r w:rsidRPr="001F769A">
        <w:t>as ‘external document</w:t>
      </w:r>
      <w:r>
        <w:t>s</w:t>
      </w:r>
      <w:r w:rsidRPr="001F769A">
        <w:t xml:space="preserve">’ referred to in a Standard. It does not treat the </w:t>
      </w:r>
      <w:r>
        <w:t xml:space="preserve">pronouncements </w:t>
      </w:r>
      <w:r w:rsidRPr="001F769A">
        <w:t>as delegated legislation or confer ambulatory status on the reference.</w:t>
      </w:r>
    </w:p>
    <w:bookmarkEnd w:id="8"/>
    <w:p w14:paraId="4A82090A" w14:textId="77777777" w:rsidR="002B229A" w:rsidRDefault="002B229A"/>
    <w:p w14:paraId="79A19135" w14:textId="77777777" w:rsidR="00090A6F" w:rsidRDefault="00090A6F">
      <w:pPr>
        <w:sectPr w:rsidR="00090A6F" w:rsidSect="00FE6B43">
          <w:footerReference w:type="default" r:id="rId16"/>
          <w:pgSz w:w="11907" w:h="16840" w:code="9"/>
          <w:pgMar w:top="1418" w:right="1418" w:bottom="1418" w:left="1418" w:header="709" w:footer="709" w:gutter="0"/>
          <w:paperSrc w:first="7" w:other="7"/>
          <w:cols w:space="720"/>
        </w:sectPr>
      </w:pPr>
    </w:p>
    <w:p w14:paraId="62C7E2A7" w14:textId="77777777" w:rsidR="0028449C" w:rsidRPr="001F769A" w:rsidRDefault="0028449C" w:rsidP="0028449C">
      <w:pPr>
        <w:pStyle w:val="IASBSectionTitle1NonInd"/>
        <w:pBdr>
          <w:bottom w:val="none" w:sz="0" w:space="0" w:color="auto"/>
        </w:pBdr>
      </w:pPr>
      <w:r>
        <w:lastRenderedPageBreak/>
        <w:t>Comparison with i</w:t>
      </w:r>
      <w:r w:rsidRPr="001F769A">
        <w:t xml:space="preserve">nternational </w:t>
      </w:r>
      <w:r>
        <w:t>p</w:t>
      </w:r>
      <w:r w:rsidRPr="001F769A">
        <w:t>ronouncements</w:t>
      </w:r>
    </w:p>
    <w:p w14:paraId="294F14A9" w14:textId="222D9C9D" w:rsidR="0028449C" w:rsidRPr="001F769A" w:rsidRDefault="0028449C" w:rsidP="0028449C">
      <w:pPr>
        <w:pStyle w:val="NoNumPlain1"/>
      </w:pPr>
      <w:r w:rsidRPr="001F769A">
        <w:t xml:space="preserve">There is no International Accounting Standards Board (IASB) Standard that directly corresponds to </w:t>
      </w:r>
      <w:proofErr w:type="spellStart"/>
      <w:r w:rsidRPr="001F769A">
        <w:t>AASB</w:t>
      </w:r>
      <w:proofErr w:type="spellEnd"/>
      <w:r w:rsidRPr="001F769A">
        <w:t xml:space="preserve"> 1048. However, Table 1 in </w:t>
      </w:r>
      <w:proofErr w:type="spellStart"/>
      <w:r w:rsidRPr="001F769A">
        <w:t>AASB</w:t>
      </w:r>
      <w:proofErr w:type="spellEnd"/>
      <w:r>
        <w:t xml:space="preserve"> </w:t>
      </w:r>
      <w:r w:rsidRPr="001F769A">
        <w:t>1048 (see paragraph</w:t>
      </w:r>
      <w:r>
        <w:t xml:space="preserve"> 6</w:t>
      </w:r>
      <w:r w:rsidRPr="001F769A">
        <w:t>) contains a list of Australian Interpretations identifying the corresponding IASB Interpretations.</w:t>
      </w:r>
    </w:p>
    <w:p w14:paraId="59D851C3" w14:textId="77777777" w:rsidR="0028449C" w:rsidRPr="001F769A" w:rsidRDefault="0028449C" w:rsidP="0028449C">
      <w:pPr>
        <w:pStyle w:val="IASBSectionTitle2NonInd"/>
        <w:spacing w:after="0"/>
      </w:pPr>
      <w:r>
        <w:t>Tier 1</w:t>
      </w:r>
    </w:p>
    <w:p w14:paraId="5AC592C9" w14:textId="658E9DB1" w:rsidR="0028449C" w:rsidRDefault="0028449C" w:rsidP="0028449C">
      <w:pPr>
        <w:pStyle w:val="NoNumPlain1"/>
      </w:pPr>
      <w:r w:rsidRPr="001F769A">
        <w:t xml:space="preserve">For-profit entities </w:t>
      </w:r>
      <w:r>
        <w:t>complying</w:t>
      </w:r>
      <w:r w:rsidRPr="001F769A">
        <w:t xml:space="preserve"> with the Australian Interpretations designated in this Standard as corresponding to the IASB Interpretations </w:t>
      </w:r>
      <w:r>
        <w:t>also comply</w:t>
      </w:r>
      <w:r w:rsidRPr="001F769A">
        <w:t xml:space="preserve"> with the Interpretations referred to by the IASB in its definition of International Financial Reporting Standards (IFRS</w:t>
      </w:r>
      <w:r w:rsidR="001E1CAE">
        <w:t xml:space="preserve"> Accounting</w:t>
      </w:r>
      <w:r>
        <w:t xml:space="preserve"> </w:t>
      </w:r>
      <w:r w:rsidRPr="001D39C9">
        <w:t>Standards</w:t>
      </w:r>
      <w:r w:rsidRPr="001F769A">
        <w:t>).</w:t>
      </w:r>
    </w:p>
    <w:p w14:paraId="689D06E7" w14:textId="77777777" w:rsidR="0028449C" w:rsidRDefault="0028449C" w:rsidP="0028449C">
      <w:pPr>
        <w:pStyle w:val="NoNumPlain1"/>
      </w:pPr>
      <w:r>
        <w:t>Not-for-profit entities’ compliance with IASB Interpretations will depend on whether any “</w:t>
      </w:r>
      <w:proofErr w:type="spellStart"/>
      <w:r>
        <w:t>Aus</w:t>
      </w:r>
      <w:proofErr w:type="spellEnd"/>
      <w:r>
        <w:t>” paragraphs or Interpretations that specifically apply to not-for-profit entities provide additional guidance or contain applicable requirements that are inconsistent with IASB Interpretations.</w:t>
      </w:r>
    </w:p>
    <w:p w14:paraId="6B1EBC9C" w14:textId="77777777" w:rsidR="0028449C" w:rsidRDefault="0028449C" w:rsidP="0028449C">
      <w:pPr>
        <w:pStyle w:val="IASBSectionTitle2NonInd"/>
        <w:spacing w:after="0"/>
      </w:pPr>
      <w:r>
        <w:t>Tier 2</w:t>
      </w:r>
    </w:p>
    <w:p w14:paraId="15368DB5" w14:textId="3EEC553C" w:rsidR="0028449C" w:rsidRDefault="0028449C" w:rsidP="0028449C">
      <w:pPr>
        <w:pStyle w:val="NoNumPlain1"/>
      </w:pPr>
      <w:r w:rsidRPr="001F769A">
        <w:t>Entities preparing general purp</w:t>
      </w:r>
      <w:r>
        <w:t>ose financial statements under Australian Accounting Standards – Simplified Disclosures (Tier 2)</w:t>
      </w:r>
      <w:r w:rsidRPr="001F769A">
        <w:t xml:space="preserve"> </w:t>
      </w:r>
      <w:r>
        <w:t>will</w:t>
      </w:r>
      <w:r w:rsidRPr="001F769A">
        <w:t xml:space="preserve"> not be in compliance with</w:t>
      </w:r>
      <w:r>
        <w:t xml:space="preserve"> all</w:t>
      </w:r>
      <w:r w:rsidRPr="001F769A">
        <w:t xml:space="preserve"> IASB Interpretations.</w:t>
      </w:r>
    </w:p>
    <w:p w14:paraId="68E714EB" w14:textId="77777777" w:rsidR="0028449C" w:rsidRDefault="0028449C" w:rsidP="0028449C">
      <w:pPr>
        <w:pStyle w:val="NoNumPlain1"/>
      </w:pPr>
      <w:proofErr w:type="spellStart"/>
      <w:r>
        <w:t>AASB</w:t>
      </w:r>
      <w:proofErr w:type="spellEnd"/>
      <w:r>
        <w:t xml:space="preserve"> 1053 </w:t>
      </w:r>
      <w:r>
        <w:rPr>
          <w:i/>
        </w:rPr>
        <w:t>Application of Tiers of Australian Accounting Standards</w:t>
      </w:r>
      <w:r>
        <w:t xml:space="preserve"> explains the two tiers of reporting requirements.</w:t>
      </w:r>
    </w:p>
    <w:p w14:paraId="041A761C" w14:textId="77777777" w:rsidR="0028449C" w:rsidRPr="00352043" w:rsidRDefault="0028449C" w:rsidP="0028449C">
      <w:pPr>
        <w:pStyle w:val="IASBSectionTitle2NonInd"/>
        <w:spacing w:after="0"/>
      </w:pPr>
      <w:r>
        <w:t>Conceptual frameworks</w:t>
      </w:r>
    </w:p>
    <w:p w14:paraId="0631B185" w14:textId="7E21CFAE" w:rsidR="0028449C" w:rsidRPr="001F769A" w:rsidRDefault="0028449C" w:rsidP="0028449C">
      <w:pPr>
        <w:pStyle w:val="NoNumPlain1"/>
      </w:pPr>
      <w:r w:rsidRPr="001F769A">
        <w:t xml:space="preserve">In relation to references to </w:t>
      </w:r>
      <w:r>
        <w:t xml:space="preserve">the </w:t>
      </w:r>
      <w:r w:rsidRPr="00EE0E86">
        <w:rPr>
          <w:bCs/>
          <w:i/>
          <w:szCs w:val="19"/>
        </w:rPr>
        <w:t>Conceptual Framework for Financial Reporting</w:t>
      </w:r>
      <w:r w:rsidRPr="00AA1B89">
        <w:rPr>
          <w:bCs/>
          <w:iCs/>
          <w:szCs w:val="19"/>
        </w:rPr>
        <w:t xml:space="preserve"> </w:t>
      </w:r>
      <w:r>
        <w:t xml:space="preserve">and </w:t>
      </w:r>
      <w:r w:rsidRPr="001F769A">
        <w:t xml:space="preserve">the </w:t>
      </w:r>
      <w:r w:rsidRPr="001F769A">
        <w:rPr>
          <w:i/>
        </w:rPr>
        <w:t xml:space="preserve">Framework for the Preparation and Presentation of Financial Statements </w:t>
      </w:r>
      <w:r w:rsidRPr="001F769A">
        <w:t>in other Standards,</w:t>
      </w:r>
      <w:r w:rsidRPr="001F769A">
        <w:rPr>
          <w:i/>
        </w:rPr>
        <w:t xml:space="preserve"> </w:t>
      </w:r>
      <w:r w:rsidRPr="001F769A">
        <w:t xml:space="preserve">the approach taken in this Standard to clarifying the applicable framework pronouncement ensures there is no difference between the version of the conceptual framework referred to in IAS 8 </w:t>
      </w:r>
      <w:r w:rsidR="00AA1B89">
        <w:rPr>
          <w:i/>
          <w:iCs/>
        </w:rPr>
        <w:t xml:space="preserve">Accounting Policies, Changes in Accounting Estimates and Errors </w:t>
      </w:r>
      <w:r w:rsidRPr="001F769A">
        <w:t xml:space="preserve">and </w:t>
      </w:r>
      <w:r>
        <w:t xml:space="preserve">in </w:t>
      </w:r>
      <w:proofErr w:type="spellStart"/>
      <w:r w:rsidRPr="001F769A">
        <w:t>AASB</w:t>
      </w:r>
      <w:proofErr w:type="spellEnd"/>
      <w:r w:rsidRPr="001F769A">
        <w:t> 108</w:t>
      </w:r>
      <w:r w:rsidR="00AA1B89">
        <w:rPr>
          <w:i/>
          <w:iCs/>
        </w:rPr>
        <w:t xml:space="preserve"> Accounting Policies, Changes in Accounting Estimates and Errors</w:t>
      </w:r>
      <w:r w:rsidRPr="001F769A">
        <w:rPr>
          <w:iCs/>
        </w:rPr>
        <w:t>, and in other Standards</w:t>
      </w:r>
      <w:r w:rsidRPr="001F769A">
        <w:rPr>
          <w:i/>
          <w:iCs/>
        </w:rPr>
        <w:t>.</w:t>
      </w:r>
    </w:p>
    <w:p w14:paraId="160D20F8" w14:textId="77777777" w:rsidR="00A04937" w:rsidRDefault="00A04937" w:rsidP="00A04937"/>
    <w:p w14:paraId="10B67D33" w14:textId="77777777" w:rsidR="00A04937" w:rsidRDefault="00A04937" w:rsidP="00A04937">
      <w:pPr>
        <w:sectPr w:rsidR="00A04937" w:rsidSect="00FE6B43">
          <w:footerReference w:type="default" r:id="rId17"/>
          <w:pgSz w:w="11907" w:h="16840" w:code="9"/>
          <w:pgMar w:top="1418" w:right="1418" w:bottom="1418" w:left="1418" w:header="709" w:footer="709" w:gutter="0"/>
          <w:paperSrc w:first="7" w:other="7"/>
          <w:cols w:space="720"/>
        </w:sectPr>
      </w:pPr>
    </w:p>
    <w:p w14:paraId="0F31D33E" w14:textId="202297F4" w:rsidR="0033479F" w:rsidRPr="001F769A" w:rsidRDefault="0033479F" w:rsidP="0033479F">
      <w:pPr>
        <w:pStyle w:val="ConvSectionTitle"/>
      </w:pPr>
      <w:r>
        <w:lastRenderedPageBreak/>
        <w:t>Accounting Standard</w:t>
      </w:r>
      <w:r w:rsidRPr="001F769A">
        <w:t xml:space="preserve"> </w:t>
      </w:r>
      <w:proofErr w:type="spellStart"/>
      <w:r w:rsidRPr="001F769A">
        <w:t>AASB</w:t>
      </w:r>
      <w:proofErr w:type="spellEnd"/>
      <w:r w:rsidRPr="001F769A">
        <w:t xml:space="preserve"> </w:t>
      </w:r>
      <w:fldSimple w:instr=" REF DocNo  \* charformat  \* MERGEFORMAT " w:fldLock="1">
        <w:r w:rsidR="00315095" w:rsidRPr="00315095">
          <w:t>1048</w:t>
        </w:r>
      </w:fldSimple>
    </w:p>
    <w:p w14:paraId="05819F29" w14:textId="6BFCDBA5" w:rsidR="0033479F" w:rsidRDefault="0033479F" w:rsidP="0033479F">
      <w:pPr>
        <w:spacing w:before="100" w:after="100"/>
      </w:pPr>
      <w:r w:rsidRPr="001F769A">
        <w:t xml:space="preserve">The Australian Accounting Standards Board makes Accounting Standard </w:t>
      </w:r>
      <w:proofErr w:type="spellStart"/>
      <w:r w:rsidRPr="001F769A">
        <w:t>AASB</w:t>
      </w:r>
      <w:proofErr w:type="spellEnd"/>
      <w:r w:rsidR="00823281">
        <w:t xml:space="preserve"> </w:t>
      </w:r>
      <w:fldSimple w:instr=" REF DocNo  \* charformat " w:fldLock="1">
        <w:r w:rsidR="00315095" w:rsidRPr="00315095">
          <w:t>1048</w:t>
        </w:r>
      </w:fldSimple>
      <w:r w:rsidRPr="001F769A">
        <w:t xml:space="preserve"> </w:t>
      </w:r>
      <w:r w:rsidRPr="001F769A">
        <w:rPr>
          <w:i/>
          <w:iCs/>
        </w:rPr>
        <w:fldChar w:fldCharType="begin" w:fldLock="1"/>
      </w:r>
      <w:r w:rsidRPr="001F769A">
        <w:rPr>
          <w:i/>
          <w:iCs/>
        </w:rPr>
        <w:instrText xml:space="preserve"> REF DocTitle  \* charformat </w:instrText>
      </w:r>
      <w:r w:rsidRPr="001F769A">
        <w:rPr>
          <w:i/>
          <w:iCs/>
        </w:rPr>
        <w:fldChar w:fldCharType="separate"/>
      </w:r>
      <w:r w:rsidR="00315095" w:rsidRPr="00315095">
        <w:rPr>
          <w:i/>
          <w:iCs/>
        </w:rPr>
        <w:t>Interpretation of Standards</w:t>
      </w:r>
      <w:r w:rsidRPr="001F769A">
        <w:rPr>
          <w:i/>
          <w:iCs/>
        </w:rPr>
        <w:fldChar w:fldCharType="end"/>
      </w:r>
      <w:r w:rsidR="00823281">
        <w:t xml:space="preserve"> </w:t>
      </w:r>
      <w:r w:rsidR="005722D1">
        <w:t xml:space="preserve">(November 2024) </w:t>
      </w:r>
      <w:r w:rsidRPr="001F769A">
        <w:t xml:space="preserve">under section 334 of the </w:t>
      </w:r>
      <w:r w:rsidRPr="001F769A">
        <w:rPr>
          <w:i/>
          <w:iCs/>
        </w:rPr>
        <w:t>Corporations Act 2001</w:t>
      </w:r>
      <w:r w:rsidRPr="001F769A">
        <w:t>.</w:t>
      </w:r>
    </w:p>
    <w:p w14:paraId="58C38CC2" w14:textId="72294E5A" w:rsidR="0033479F" w:rsidRDefault="0033479F" w:rsidP="0033479F">
      <w:pPr>
        <w:spacing w:before="100"/>
        <w:jc w:val="right"/>
      </w:pPr>
      <w:r>
        <w:t>Keith Kendall</w:t>
      </w:r>
    </w:p>
    <w:p w14:paraId="60FBD667" w14:textId="2EA8B819" w:rsidR="0033479F" w:rsidRPr="001F769A" w:rsidRDefault="0033479F" w:rsidP="0033479F">
      <w:pPr>
        <w:tabs>
          <w:tab w:val="right" w:pos="9027"/>
        </w:tabs>
        <w:spacing w:after="100"/>
        <w:jc w:val="left"/>
      </w:pPr>
      <w:r w:rsidRPr="001F769A">
        <w:t>Dated</w:t>
      </w:r>
      <w:r w:rsidR="00AA1B89">
        <w:t xml:space="preserve"> </w:t>
      </w:r>
      <w:r w:rsidR="00D76436" w:rsidRPr="00D76436">
        <w:t>7 November 2024</w:t>
      </w:r>
      <w:r>
        <w:tab/>
      </w:r>
      <w:r w:rsidRPr="001F769A">
        <w:t xml:space="preserve">Chair – </w:t>
      </w:r>
      <w:proofErr w:type="spellStart"/>
      <w:r w:rsidRPr="001F769A">
        <w:t>AASB</w:t>
      </w:r>
      <w:proofErr w:type="spellEnd"/>
    </w:p>
    <w:p w14:paraId="34CCB93B" w14:textId="76463ED7" w:rsidR="0033479F" w:rsidRPr="001F769A" w:rsidRDefault="0033479F" w:rsidP="0033479F">
      <w:pPr>
        <w:pStyle w:val="ConvStandardTitle1"/>
      </w:pPr>
      <w:r>
        <w:t>Accounting Standard</w:t>
      </w:r>
      <w:r w:rsidRPr="001F769A">
        <w:t xml:space="preserve"> </w:t>
      </w:r>
      <w:proofErr w:type="spellStart"/>
      <w:r w:rsidRPr="001F769A">
        <w:t>AASB</w:t>
      </w:r>
      <w:proofErr w:type="spellEnd"/>
      <w:r w:rsidRPr="001F769A">
        <w:t xml:space="preserve"> </w:t>
      </w:r>
      <w:fldSimple w:instr=" REF DocNo  \* charformat  \* MERGEFORMAT " w:fldLock="1">
        <w:r w:rsidR="00315095" w:rsidRPr="00315095">
          <w:t>1048</w:t>
        </w:r>
      </w:fldSimple>
    </w:p>
    <w:p w14:paraId="2CEACF7F" w14:textId="0619D94C" w:rsidR="0033479F" w:rsidRPr="00A53371" w:rsidRDefault="0033479F" w:rsidP="004C2A3A">
      <w:pPr>
        <w:pStyle w:val="ConvStandardTitle1"/>
        <w:spacing w:before="0" w:after="200"/>
        <w:rPr>
          <w:i/>
        </w:rPr>
      </w:pPr>
      <w:r w:rsidRPr="00A53371">
        <w:rPr>
          <w:i/>
        </w:rPr>
        <w:fldChar w:fldCharType="begin" w:fldLock="1"/>
      </w:r>
      <w:r w:rsidRPr="00A53371">
        <w:rPr>
          <w:i/>
        </w:rPr>
        <w:instrText xml:space="preserve"> REF DocTitle  \* charformat  \* MERGEFORMAT </w:instrText>
      </w:r>
      <w:r w:rsidRPr="00A53371">
        <w:rPr>
          <w:i/>
        </w:rPr>
        <w:fldChar w:fldCharType="separate"/>
      </w:r>
      <w:r w:rsidR="00315095" w:rsidRPr="00315095">
        <w:rPr>
          <w:i/>
        </w:rPr>
        <w:t>Interpretation of Standards</w:t>
      </w:r>
      <w:r w:rsidRPr="00A53371">
        <w:rPr>
          <w:i/>
        </w:rPr>
        <w:fldChar w:fldCharType="end"/>
      </w:r>
    </w:p>
    <w:p w14:paraId="4727046B" w14:textId="77777777" w:rsidR="0033479F" w:rsidRPr="001F769A" w:rsidRDefault="0033479F" w:rsidP="0033479F">
      <w:pPr>
        <w:pStyle w:val="IASBSectionTitle1NonInd"/>
      </w:pPr>
      <w:bookmarkStart w:id="9" w:name="TOCStart"/>
      <w:bookmarkEnd w:id="9"/>
      <w:r w:rsidRPr="001F769A">
        <w:t>Objective</w:t>
      </w:r>
    </w:p>
    <w:p w14:paraId="3EE14913" w14:textId="2322EDF4" w:rsidR="0033479F" w:rsidRDefault="0033479F" w:rsidP="0033479F">
      <w:pPr>
        <w:pStyle w:val="IASBNormalnpara"/>
      </w:pPr>
      <w:r>
        <w:t>1</w:t>
      </w:r>
      <w:r>
        <w:tab/>
      </w:r>
      <w:r w:rsidRPr="001F769A">
        <w:t xml:space="preserve">The objective of this Standard is to provide an up-to-date listing of Australian Interpretations and </w:t>
      </w:r>
      <w:r w:rsidR="00C96C4B">
        <w:t xml:space="preserve">conceptual framework pronouncements </w:t>
      </w:r>
      <w:r w:rsidRPr="001F769A">
        <w:t xml:space="preserve">to ensure the effectiveness of references in Australian Accounting Standards to Australian Interpretations and to the </w:t>
      </w:r>
      <w:r w:rsidRPr="000447D0">
        <w:rPr>
          <w:i/>
        </w:rPr>
        <w:t>Framework for the Preparation and Presentation of Financial Statements</w:t>
      </w:r>
      <w:r w:rsidRPr="001F769A">
        <w:t xml:space="preserve"> (</w:t>
      </w:r>
      <w:r w:rsidRPr="000447D0">
        <w:rPr>
          <w:i/>
        </w:rPr>
        <w:t>Framework</w:t>
      </w:r>
      <w:r w:rsidRPr="001F769A">
        <w:t>)</w:t>
      </w:r>
      <w:r w:rsidRPr="0062051A">
        <w:t xml:space="preserve"> </w:t>
      </w:r>
      <w:r>
        <w:t xml:space="preserve">and the </w:t>
      </w:r>
      <w:r w:rsidRPr="005F3128">
        <w:rPr>
          <w:i/>
          <w:szCs w:val="19"/>
        </w:rPr>
        <w:t>Conceptual Framework for Financial Reporting</w:t>
      </w:r>
      <w:r w:rsidRPr="005F3128">
        <w:rPr>
          <w:szCs w:val="19"/>
        </w:rPr>
        <w:t xml:space="preserve"> (</w:t>
      </w:r>
      <w:r w:rsidRPr="005F3128">
        <w:rPr>
          <w:i/>
          <w:szCs w:val="19"/>
        </w:rPr>
        <w:t>Conceptual Framework</w:t>
      </w:r>
      <w:r w:rsidRPr="005F3128">
        <w:rPr>
          <w:szCs w:val="19"/>
        </w:rPr>
        <w:t>)</w:t>
      </w:r>
      <w:r w:rsidRPr="001F769A">
        <w:t xml:space="preserve">. </w:t>
      </w:r>
      <w:proofErr w:type="spellStart"/>
      <w:r w:rsidRPr="001F769A">
        <w:t>AASB</w:t>
      </w:r>
      <w:proofErr w:type="spellEnd"/>
      <w:r w:rsidRPr="001F769A">
        <w:t xml:space="preserve"> and </w:t>
      </w:r>
      <w:proofErr w:type="spellStart"/>
      <w:r w:rsidRPr="001F769A">
        <w:t>UIG</w:t>
      </w:r>
      <w:proofErr w:type="spellEnd"/>
      <w:r w:rsidRPr="001F769A">
        <w:t xml:space="preserve"> Interpretations are referred to collectively in this Standard as Australian Interpretations.</w:t>
      </w:r>
    </w:p>
    <w:p w14:paraId="63BD2D53" w14:textId="77777777" w:rsidR="0033479F" w:rsidRPr="00984DF0" w:rsidRDefault="0033479F" w:rsidP="0033479F">
      <w:pPr>
        <w:pStyle w:val="IASBNormalnpara"/>
        <w:ind w:left="1565" w:hanging="1565"/>
        <w:rPr>
          <w:szCs w:val="19"/>
        </w:rPr>
      </w:pPr>
      <w:r w:rsidRPr="00984DF0">
        <w:rPr>
          <w:szCs w:val="19"/>
        </w:rPr>
        <w:t>AusCF1</w:t>
      </w:r>
      <w:r w:rsidRPr="00984DF0">
        <w:rPr>
          <w:szCs w:val="19"/>
        </w:rPr>
        <w:tab/>
      </w:r>
      <w:proofErr w:type="spellStart"/>
      <w:r w:rsidRPr="00984DF0">
        <w:rPr>
          <w:szCs w:val="19"/>
        </w:rPr>
        <w:t>AusCF</w:t>
      </w:r>
      <w:proofErr w:type="spellEnd"/>
      <w:r w:rsidRPr="00984DF0">
        <w:rPr>
          <w:szCs w:val="19"/>
        </w:rPr>
        <w:t xml:space="preserve"> paragraphs included in this Standard apply only to:</w:t>
      </w:r>
    </w:p>
    <w:p w14:paraId="6B80B7AB" w14:textId="77777777" w:rsidR="0033479F" w:rsidRPr="00984DF0" w:rsidRDefault="0033479F" w:rsidP="0033479F">
      <w:pPr>
        <w:pStyle w:val="IASBNormalnparaL1"/>
        <w:ind w:left="2347"/>
        <w:rPr>
          <w:szCs w:val="19"/>
        </w:rPr>
      </w:pPr>
      <w:r w:rsidRPr="00984DF0">
        <w:rPr>
          <w:szCs w:val="19"/>
        </w:rPr>
        <w:t>(a)</w:t>
      </w:r>
      <w:r w:rsidRPr="00984DF0">
        <w:rPr>
          <w:szCs w:val="19"/>
        </w:rPr>
        <w:tab/>
        <w:t>not-for-profit entities; and</w:t>
      </w:r>
    </w:p>
    <w:p w14:paraId="44131840" w14:textId="77777777" w:rsidR="0033479F" w:rsidRPr="00984DF0" w:rsidRDefault="0033479F" w:rsidP="0033479F">
      <w:pPr>
        <w:pStyle w:val="IASBNormalnparaL1"/>
        <w:ind w:left="2347"/>
        <w:rPr>
          <w:szCs w:val="19"/>
        </w:rPr>
      </w:pPr>
      <w:r w:rsidRPr="00984DF0">
        <w:rPr>
          <w:szCs w:val="19"/>
        </w:rPr>
        <w:t>(b)</w:t>
      </w:r>
      <w:r w:rsidRPr="00984DF0">
        <w:rPr>
          <w:szCs w:val="19"/>
        </w:rPr>
        <w:tab/>
        <w:t xml:space="preserve">for-profit entities that are not applying the </w:t>
      </w:r>
      <w:r w:rsidRPr="00984DF0">
        <w:rPr>
          <w:i/>
          <w:szCs w:val="19"/>
        </w:rPr>
        <w:t xml:space="preserve">Conceptual Framework for Financial Reporting </w:t>
      </w:r>
      <w:r w:rsidRPr="00984DF0">
        <w:rPr>
          <w:szCs w:val="19"/>
        </w:rPr>
        <w:t>(as identified in this Standard).</w:t>
      </w:r>
    </w:p>
    <w:p w14:paraId="2B963647" w14:textId="355BDC47" w:rsidR="0033479F" w:rsidRPr="00984DF0" w:rsidRDefault="0033479F" w:rsidP="0033479F">
      <w:pPr>
        <w:pStyle w:val="IASBNormalL1P"/>
        <w:ind w:left="1565"/>
        <w:rPr>
          <w:szCs w:val="19"/>
        </w:rPr>
      </w:pPr>
      <w:r w:rsidRPr="00984DF0">
        <w:rPr>
          <w:szCs w:val="19"/>
        </w:rPr>
        <w:t>Such entities are referred to as ‘</w:t>
      </w:r>
      <w:proofErr w:type="spellStart"/>
      <w:r w:rsidRPr="00984DF0">
        <w:rPr>
          <w:szCs w:val="19"/>
        </w:rPr>
        <w:t>AusCF</w:t>
      </w:r>
      <w:proofErr w:type="spellEnd"/>
      <w:r w:rsidRPr="00984DF0">
        <w:rPr>
          <w:szCs w:val="19"/>
        </w:rPr>
        <w:t xml:space="preserve"> entities’. For </w:t>
      </w:r>
      <w:proofErr w:type="spellStart"/>
      <w:r w:rsidRPr="00984DF0">
        <w:rPr>
          <w:szCs w:val="19"/>
        </w:rPr>
        <w:t>AusCF</w:t>
      </w:r>
      <w:proofErr w:type="spellEnd"/>
      <w:r w:rsidRPr="00984DF0">
        <w:rPr>
          <w:szCs w:val="19"/>
        </w:rPr>
        <w:t xml:space="preserve"> entities, the term ‘reporting entity’ is defined in </w:t>
      </w:r>
      <w:proofErr w:type="spellStart"/>
      <w:r w:rsidRPr="00984DF0">
        <w:rPr>
          <w:szCs w:val="19"/>
        </w:rPr>
        <w:t>AASB</w:t>
      </w:r>
      <w:proofErr w:type="spellEnd"/>
      <w:r w:rsidRPr="00984DF0">
        <w:rPr>
          <w:szCs w:val="19"/>
        </w:rPr>
        <w:t xml:space="preserve"> 1057 </w:t>
      </w:r>
      <w:r w:rsidRPr="00984DF0">
        <w:rPr>
          <w:i/>
          <w:szCs w:val="19"/>
        </w:rPr>
        <w:t>Application of Australian Accounting Standards</w:t>
      </w:r>
      <w:r w:rsidRPr="00984DF0">
        <w:rPr>
          <w:szCs w:val="19"/>
        </w:rPr>
        <w:t xml:space="preserve"> and Statement of Accounting Concepts SAC 1 </w:t>
      </w:r>
      <w:r w:rsidRPr="00984DF0">
        <w:rPr>
          <w:i/>
          <w:szCs w:val="19"/>
        </w:rPr>
        <w:t>Definition of the Reporting Entity</w:t>
      </w:r>
      <w:r w:rsidRPr="00984DF0">
        <w:rPr>
          <w:szCs w:val="19"/>
        </w:rPr>
        <w:t xml:space="preserve"> also applies. For-profit entities applying the </w:t>
      </w:r>
      <w:r w:rsidRPr="00984DF0">
        <w:rPr>
          <w:i/>
          <w:szCs w:val="19"/>
        </w:rPr>
        <w:t>Conceptual Framework for Financial Reporting</w:t>
      </w:r>
      <w:r w:rsidRPr="00984DF0">
        <w:rPr>
          <w:szCs w:val="19"/>
        </w:rPr>
        <w:t xml:space="preserve"> (as set out in paragraph Aus1.1 of the </w:t>
      </w:r>
      <w:r w:rsidRPr="00984DF0">
        <w:rPr>
          <w:i/>
          <w:szCs w:val="19"/>
        </w:rPr>
        <w:t>Conceptual Framework</w:t>
      </w:r>
      <w:r w:rsidRPr="00984DF0">
        <w:rPr>
          <w:szCs w:val="19"/>
        </w:rPr>
        <w:t xml:space="preserve">) shall not apply </w:t>
      </w:r>
      <w:proofErr w:type="spellStart"/>
      <w:r w:rsidRPr="00984DF0">
        <w:rPr>
          <w:szCs w:val="19"/>
        </w:rPr>
        <w:t>AusCF</w:t>
      </w:r>
      <w:proofErr w:type="spellEnd"/>
      <w:r w:rsidRPr="00984DF0">
        <w:rPr>
          <w:szCs w:val="19"/>
        </w:rPr>
        <w:t xml:space="preserve"> paragraphs.</w:t>
      </w:r>
    </w:p>
    <w:p w14:paraId="3CAD1244" w14:textId="77777777" w:rsidR="0033479F" w:rsidRPr="001F769A" w:rsidRDefault="0033479F" w:rsidP="0033479F">
      <w:pPr>
        <w:pStyle w:val="IASBSectionTitle1NonInd"/>
      </w:pPr>
      <w:r w:rsidRPr="001F769A">
        <w:t>Application</w:t>
      </w:r>
    </w:p>
    <w:p w14:paraId="56A297B0" w14:textId="70D37D77" w:rsidR="0033479F" w:rsidRPr="000A2B29" w:rsidRDefault="0033479F" w:rsidP="00C96C4B">
      <w:pPr>
        <w:pStyle w:val="IASBNormalnpara"/>
        <w:rPr>
          <w:b/>
        </w:rPr>
      </w:pPr>
      <w:bookmarkStart w:id="10" w:name="AppDateSpecified"/>
      <w:r w:rsidRPr="000A2B29">
        <w:rPr>
          <w:b/>
        </w:rPr>
        <w:t>2</w:t>
      </w:r>
      <w:r w:rsidRPr="000A2B29">
        <w:rPr>
          <w:b/>
        </w:rPr>
        <w:tab/>
        <w:t xml:space="preserve">This Standard applies to annual reporting periods </w:t>
      </w:r>
      <w:r w:rsidR="00C96C4B">
        <w:rPr>
          <w:b/>
        </w:rPr>
        <w:t xml:space="preserve">ending </w:t>
      </w:r>
      <w:r w:rsidRPr="000A2B29">
        <w:rPr>
          <w:b/>
        </w:rPr>
        <w:t xml:space="preserve">on or after </w:t>
      </w:r>
      <w:bookmarkStart w:id="11" w:name="ApplyDate"/>
      <w:r w:rsidR="00C96C4B">
        <w:rPr>
          <w:b/>
        </w:rPr>
        <w:t>3</w:t>
      </w:r>
      <w:r w:rsidRPr="00207589">
        <w:rPr>
          <w:b/>
        </w:rPr>
        <w:t>1</w:t>
      </w:r>
      <w:bookmarkEnd w:id="11"/>
      <w:r w:rsidR="00C96C4B">
        <w:rPr>
          <w:b/>
        </w:rPr>
        <w:t xml:space="preserve"> December 2024</w:t>
      </w:r>
      <w:r w:rsidRPr="000A2B29">
        <w:rPr>
          <w:b/>
        </w:rPr>
        <w:t>.</w:t>
      </w:r>
    </w:p>
    <w:p w14:paraId="36A224BD" w14:textId="2B7E49D1" w:rsidR="0033479F" w:rsidRPr="000A2B29" w:rsidRDefault="0033479F" w:rsidP="0033479F">
      <w:pPr>
        <w:pStyle w:val="IASBNormalnpara"/>
        <w:rPr>
          <w:b/>
        </w:rPr>
      </w:pPr>
      <w:bookmarkStart w:id="12" w:name="EarlyYesPara"/>
      <w:r w:rsidRPr="000A2B29">
        <w:rPr>
          <w:b/>
        </w:rPr>
        <w:t>3</w:t>
      </w:r>
      <w:r w:rsidRPr="000A2B29">
        <w:rPr>
          <w:b/>
        </w:rPr>
        <w:tab/>
        <w:t xml:space="preserve">This Standard may be applied to annual reporting periods </w:t>
      </w:r>
      <w:bookmarkStart w:id="13" w:name="EarlyWord"/>
      <w:r w:rsidRPr="000A2B29">
        <w:rPr>
          <w:b/>
        </w:rPr>
        <w:t xml:space="preserve">that </w:t>
      </w:r>
      <w:r w:rsidR="00C96C4B">
        <w:rPr>
          <w:b/>
        </w:rPr>
        <w:t xml:space="preserve">end </w:t>
      </w:r>
      <w:bookmarkEnd w:id="13"/>
      <w:r w:rsidRPr="000A2B29">
        <w:rPr>
          <w:b/>
        </w:rPr>
        <w:t>before</w:t>
      </w:r>
      <w:r>
        <w:rPr>
          <w:b/>
        </w:rPr>
        <w:t xml:space="preserve"> </w:t>
      </w:r>
      <w:r w:rsidR="00C96C4B">
        <w:rPr>
          <w:b/>
        </w:rPr>
        <w:t>3</w:t>
      </w:r>
      <w:r>
        <w:rPr>
          <w:b/>
        </w:rPr>
        <w:t>1</w:t>
      </w:r>
      <w:r w:rsidR="00C96C4B">
        <w:rPr>
          <w:b/>
        </w:rPr>
        <w:t xml:space="preserve"> December 2024</w:t>
      </w:r>
      <w:r>
        <w:rPr>
          <w:b/>
        </w:rPr>
        <w:t>.</w:t>
      </w:r>
    </w:p>
    <w:bookmarkEnd w:id="10"/>
    <w:bookmarkEnd w:id="12"/>
    <w:p w14:paraId="05682C6C" w14:textId="77777777" w:rsidR="0033479F" w:rsidRPr="001F769A" w:rsidRDefault="0033479F" w:rsidP="0033479F">
      <w:pPr>
        <w:pStyle w:val="IASBSectionTitle1NonInd"/>
      </w:pPr>
      <w:r w:rsidRPr="001F769A">
        <w:t>Interpretations</w:t>
      </w:r>
    </w:p>
    <w:p w14:paraId="087CE2D6" w14:textId="77777777" w:rsidR="0033479F" w:rsidRPr="001F769A" w:rsidRDefault="0033479F" w:rsidP="0033479F">
      <w:pPr>
        <w:pStyle w:val="IASBNormalnpara"/>
      </w:pPr>
      <w:r>
        <w:t>4</w:t>
      </w:r>
      <w:r>
        <w:tab/>
      </w:r>
      <w:r w:rsidRPr="006B514D">
        <w:t xml:space="preserve">This Standard refers to all Australian Interpretations currently approved by the </w:t>
      </w:r>
      <w:proofErr w:type="spellStart"/>
      <w:r w:rsidRPr="006B514D">
        <w:t>AASB</w:t>
      </w:r>
      <w:proofErr w:type="spellEnd"/>
      <w:r w:rsidRPr="006B514D">
        <w:t xml:space="preserve"> and applicable to any period</w:t>
      </w:r>
      <w:r w:rsidRPr="006B514D">
        <w:rPr>
          <w:rStyle w:val="FootnoteReference"/>
        </w:rPr>
        <w:footnoteReference w:id="2"/>
      </w:r>
      <w:r w:rsidRPr="006B514D">
        <w:t xml:space="preserve"> specified</w:t>
      </w:r>
      <w:r w:rsidRPr="001F769A">
        <w:t xml:space="preserve"> in paragraph </w:t>
      </w:r>
      <w:r>
        <w:t>2 (by either mandatory or early application)</w:t>
      </w:r>
      <w:r w:rsidRPr="001F769A">
        <w:t>, classified according to whether they correspond to Interpretations adopted by the International Accounting Standards Board (IASB).</w:t>
      </w:r>
    </w:p>
    <w:p w14:paraId="3A16D6AD" w14:textId="26E2A42E" w:rsidR="0033479F" w:rsidRPr="001F769A" w:rsidRDefault="0033479F" w:rsidP="0033479F">
      <w:pPr>
        <w:pStyle w:val="IASBNormalnpara"/>
      </w:pPr>
      <w:r>
        <w:t>5</w:t>
      </w:r>
      <w:r>
        <w:tab/>
      </w:r>
      <w:r w:rsidRPr="001F769A">
        <w:t>For ease of presentation, the Australian Interpretations are set out in two sep</w:t>
      </w:r>
      <w:r>
        <w:t>arate tables: in paragraph 6, Table </w:t>
      </w:r>
      <w:r w:rsidRPr="001F769A">
        <w:t xml:space="preserve">1 lists those corresponding to IASB Interpretations and, in paragraph </w:t>
      </w:r>
      <w:r>
        <w:t>8, Table </w:t>
      </w:r>
      <w:r w:rsidRPr="001F769A">
        <w:t>2 lists the other Interpretations. Each row in each of the Tables 1 and 2 is to be treated as a separate provision of this Standard.</w:t>
      </w:r>
    </w:p>
    <w:p w14:paraId="193687C3" w14:textId="77777777" w:rsidR="0033479F" w:rsidRPr="001F769A" w:rsidRDefault="0033479F" w:rsidP="0033479F">
      <w:pPr>
        <w:pStyle w:val="IASBSectionTitle2Ind"/>
      </w:pPr>
      <w:r w:rsidRPr="001F769A">
        <w:t>Australian Interpretations corresponding to IASB Interpretations</w:t>
      </w:r>
    </w:p>
    <w:p w14:paraId="5C03004E" w14:textId="77777777" w:rsidR="0033479F" w:rsidRPr="000A2B29" w:rsidRDefault="0033479F" w:rsidP="0033479F">
      <w:pPr>
        <w:pStyle w:val="IASBNormalnpara"/>
        <w:rPr>
          <w:b/>
        </w:rPr>
      </w:pPr>
      <w:r w:rsidRPr="000A2B29">
        <w:rPr>
          <w:b/>
        </w:rPr>
        <w:t>6</w:t>
      </w:r>
      <w:r w:rsidRPr="000A2B29">
        <w:rPr>
          <w:b/>
        </w:rPr>
        <w:tab/>
        <w:t>An entity shall apply each relevant Australian Interpretation listed in Table 1 below.</w:t>
      </w:r>
    </w:p>
    <w:tbl>
      <w:tblPr>
        <w:tblW w:w="4572" w:type="pct"/>
        <w:tblInd w:w="782" w:type="dxa"/>
        <w:tblCellMar>
          <w:top w:w="57" w:type="dxa"/>
          <w:left w:w="57" w:type="dxa"/>
          <w:bottom w:w="57" w:type="dxa"/>
          <w:right w:w="57" w:type="dxa"/>
        </w:tblCellMar>
        <w:tblLook w:val="0000" w:firstRow="0" w:lastRow="0" w:firstColumn="0" w:lastColumn="0" w:noHBand="0" w:noVBand="0"/>
        <w:tblCaption w:val="Table 1: Australian Interpretations corresponding to IASB Interpretations"/>
        <w:tblDescription w:val="This table lists Australian Interpretations by Interpretation number and application date. It provides the issue date of the principal or amended Interpretation, the title of the Interpretation, the date from which application of the Interpretation is mandatory and the corresponding IFRIC or SIC Interpretation number."/>
      </w:tblPr>
      <w:tblGrid>
        <w:gridCol w:w="1461"/>
        <w:gridCol w:w="4106"/>
        <w:gridCol w:w="1457"/>
        <w:gridCol w:w="1271"/>
      </w:tblGrid>
      <w:tr w:rsidR="0033479F" w:rsidRPr="001F769A" w14:paraId="10302B5B" w14:textId="77777777" w:rsidTr="005722D1">
        <w:trPr>
          <w:cantSplit/>
          <w:tblHeader/>
        </w:trPr>
        <w:tc>
          <w:tcPr>
            <w:tcW w:w="5000" w:type="pct"/>
            <w:gridSpan w:val="4"/>
            <w:tcBorders>
              <w:bottom w:val="double" w:sz="4" w:space="0" w:color="auto"/>
            </w:tcBorders>
            <w:shd w:val="clear" w:color="auto" w:fill="auto"/>
          </w:tcPr>
          <w:p w14:paraId="7A2FA093" w14:textId="77777777" w:rsidR="0033479F" w:rsidRPr="002839B6" w:rsidRDefault="0033479F" w:rsidP="005722D1">
            <w:pPr>
              <w:pStyle w:val="IASBTableBoldTNR"/>
              <w:rPr>
                <w:i/>
                <w:szCs w:val="19"/>
              </w:rPr>
            </w:pPr>
            <w:r w:rsidRPr="002839B6">
              <w:rPr>
                <w:i/>
                <w:szCs w:val="19"/>
              </w:rPr>
              <w:lastRenderedPageBreak/>
              <w:t>Table 1: Australian Interpretations corresponding to IASB Interpretations</w:t>
            </w:r>
          </w:p>
        </w:tc>
      </w:tr>
      <w:tr w:rsidR="0033479F" w:rsidRPr="001F769A" w14:paraId="4EC0C86E" w14:textId="77777777" w:rsidTr="005722D1">
        <w:trPr>
          <w:cantSplit/>
          <w:tblHeader/>
        </w:trPr>
        <w:tc>
          <w:tcPr>
            <w:tcW w:w="881" w:type="pct"/>
            <w:tcBorders>
              <w:top w:val="double" w:sz="4" w:space="0" w:color="auto"/>
              <w:bottom w:val="double" w:sz="4" w:space="0" w:color="auto"/>
              <w:right w:val="single" w:sz="4" w:space="0" w:color="auto"/>
            </w:tcBorders>
            <w:shd w:val="clear" w:color="auto" w:fill="auto"/>
          </w:tcPr>
          <w:p w14:paraId="22FBF097" w14:textId="77777777" w:rsidR="0033479F" w:rsidRPr="002839B6" w:rsidRDefault="0033479F" w:rsidP="005722D1">
            <w:pPr>
              <w:jc w:val="left"/>
              <w:rPr>
                <w:b/>
                <w:szCs w:val="19"/>
              </w:rPr>
            </w:pPr>
            <w:r w:rsidRPr="002839B6">
              <w:rPr>
                <w:b/>
                <w:szCs w:val="19"/>
              </w:rPr>
              <w:t>Interpretation</w:t>
            </w:r>
          </w:p>
          <w:p w14:paraId="3649A2FA" w14:textId="77777777" w:rsidR="0033479F" w:rsidRPr="002839B6" w:rsidRDefault="0033479F" w:rsidP="005722D1">
            <w:pPr>
              <w:jc w:val="left"/>
              <w:rPr>
                <w:i/>
                <w:szCs w:val="19"/>
              </w:rPr>
            </w:pPr>
            <w:r w:rsidRPr="002839B6">
              <w:rPr>
                <w:i/>
                <w:szCs w:val="19"/>
              </w:rPr>
              <w:t>Issue Date</w:t>
            </w:r>
          </w:p>
        </w:tc>
        <w:tc>
          <w:tcPr>
            <w:tcW w:w="2475" w:type="pct"/>
            <w:tcBorders>
              <w:top w:val="double" w:sz="4" w:space="0" w:color="auto"/>
              <w:left w:val="single" w:sz="4" w:space="0" w:color="auto"/>
              <w:bottom w:val="double" w:sz="4" w:space="0" w:color="auto"/>
              <w:right w:val="single" w:sz="4" w:space="0" w:color="auto"/>
            </w:tcBorders>
            <w:shd w:val="clear" w:color="auto" w:fill="auto"/>
          </w:tcPr>
          <w:p w14:paraId="41FE2DA8" w14:textId="77777777" w:rsidR="0033479F" w:rsidRPr="002839B6" w:rsidRDefault="0033479F" w:rsidP="005722D1">
            <w:pPr>
              <w:jc w:val="left"/>
              <w:rPr>
                <w:b/>
                <w:szCs w:val="19"/>
              </w:rPr>
            </w:pPr>
            <w:r w:rsidRPr="002839B6">
              <w:rPr>
                <w:b/>
                <w:szCs w:val="19"/>
              </w:rPr>
              <w:t>Title</w:t>
            </w:r>
          </w:p>
        </w:tc>
        <w:tc>
          <w:tcPr>
            <w:tcW w:w="878" w:type="pct"/>
            <w:tcBorders>
              <w:top w:val="double" w:sz="4" w:space="0" w:color="auto"/>
              <w:left w:val="single" w:sz="4" w:space="0" w:color="auto"/>
              <w:bottom w:val="double" w:sz="4" w:space="0" w:color="auto"/>
              <w:right w:val="single" w:sz="4" w:space="0" w:color="auto"/>
            </w:tcBorders>
            <w:shd w:val="clear" w:color="auto" w:fill="auto"/>
          </w:tcPr>
          <w:p w14:paraId="4F2A61E5" w14:textId="77777777" w:rsidR="0033479F" w:rsidRPr="002839B6" w:rsidRDefault="0033479F" w:rsidP="005722D1">
            <w:pPr>
              <w:jc w:val="left"/>
              <w:rPr>
                <w:b/>
                <w:szCs w:val="19"/>
              </w:rPr>
            </w:pPr>
            <w:r w:rsidRPr="002839B6">
              <w:rPr>
                <w:b/>
                <w:szCs w:val="19"/>
              </w:rPr>
              <w:t>Application Date</w:t>
            </w:r>
          </w:p>
          <w:p w14:paraId="27FA5C32" w14:textId="77777777" w:rsidR="0033479F" w:rsidRPr="002839B6" w:rsidRDefault="0033479F" w:rsidP="005722D1">
            <w:pPr>
              <w:jc w:val="left"/>
              <w:rPr>
                <w:szCs w:val="19"/>
              </w:rPr>
            </w:pPr>
            <w:r w:rsidRPr="002839B6">
              <w:rPr>
                <w:szCs w:val="19"/>
              </w:rPr>
              <w:t>(annual reporting periods)</w:t>
            </w:r>
          </w:p>
        </w:tc>
        <w:tc>
          <w:tcPr>
            <w:tcW w:w="766" w:type="pct"/>
            <w:tcBorders>
              <w:top w:val="double" w:sz="4" w:space="0" w:color="auto"/>
              <w:left w:val="single" w:sz="4" w:space="0" w:color="auto"/>
              <w:bottom w:val="double" w:sz="4" w:space="0" w:color="auto"/>
            </w:tcBorders>
            <w:shd w:val="clear" w:color="auto" w:fill="auto"/>
          </w:tcPr>
          <w:p w14:paraId="4AAFA103" w14:textId="77777777" w:rsidR="0033479F" w:rsidRPr="002839B6" w:rsidRDefault="0033479F" w:rsidP="005722D1">
            <w:pPr>
              <w:jc w:val="left"/>
              <w:rPr>
                <w:b/>
                <w:szCs w:val="19"/>
              </w:rPr>
            </w:pPr>
            <w:proofErr w:type="spellStart"/>
            <w:r w:rsidRPr="002839B6">
              <w:rPr>
                <w:b/>
                <w:szCs w:val="19"/>
              </w:rPr>
              <w:t>IFRIC</w:t>
            </w:r>
            <w:proofErr w:type="spellEnd"/>
            <w:r w:rsidRPr="002839B6">
              <w:rPr>
                <w:b/>
                <w:szCs w:val="19"/>
              </w:rPr>
              <w:t xml:space="preserve"> or SIC </w:t>
            </w:r>
            <w:proofErr w:type="spellStart"/>
            <w:r w:rsidRPr="002839B6">
              <w:rPr>
                <w:b/>
                <w:szCs w:val="19"/>
              </w:rPr>
              <w:t>Interp’n</w:t>
            </w:r>
            <w:proofErr w:type="spellEnd"/>
          </w:p>
        </w:tc>
      </w:tr>
      <w:tr w:rsidR="0033479F" w:rsidRPr="001F769A" w14:paraId="1AB37315" w14:textId="77777777" w:rsidTr="003F2156">
        <w:trPr>
          <w:cantSplit/>
        </w:trPr>
        <w:tc>
          <w:tcPr>
            <w:tcW w:w="881" w:type="pct"/>
            <w:tcBorders>
              <w:top w:val="double" w:sz="4" w:space="0" w:color="auto"/>
              <w:bottom w:val="single" w:sz="4" w:space="0" w:color="auto"/>
              <w:right w:val="single" w:sz="4" w:space="0" w:color="auto"/>
            </w:tcBorders>
            <w:shd w:val="clear" w:color="auto" w:fill="auto"/>
          </w:tcPr>
          <w:p w14:paraId="54D603B8" w14:textId="77777777" w:rsidR="0033479F" w:rsidRPr="002839B6" w:rsidRDefault="0033479F" w:rsidP="005722D1">
            <w:pPr>
              <w:jc w:val="left"/>
              <w:rPr>
                <w:szCs w:val="19"/>
              </w:rPr>
            </w:pPr>
            <w:r w:rsidRPr="002839B6">
              <w:rPr>
                <w:szCs w:val="19"/>
              </w:rPr>
              <w:t>1</w:t>
            </w:r>
          </w:p>
          <w:p w14:paraId="315988EE" w14:textId="77777777" w:rsidR="0033479F" w:rsidRPr="002839B6" w:rsidRDefault="0033479F" w:rsidP="005722D1">
            <w:pPr>
              <w:jc w:val="left"/>
              <w:rPr>
                <w:i/>
                <w:szCs w:val="19"/>
              </w:rPr>
            </w:pPr>
            <w:r w:rsidRPr="002839B6">
              <w:rPr>
                <w:i/>
                <w:szCs w:val="19"/>
              </w:rPr>
              <w:t>June 2024</w:t>
            </w:r>
          </w:p>
          <w:p w14:paraId="52E6D931" w14:textId="77777777" w:rsidR="0033479F" w:rsidRPr="002839B6" w:rsidRDefault="0033479F" w:rsidP="005722D1">
            <w:pPr>
              <w:jc w:val="left"/>
              <w:rPr>
                <w:szCs w:val="19"/>
              </w:rPr>
            </w:pPr>
            <w:r w:rsidRPr="002839B6">
              <w:rPr>
                <w:szCs w:val="19"/>
              </w:rPr>
              <w:t>[as amended to]</w:t>
            </w:r>
          </w:p>
        </w:tc>
        <w:tc>
          <w:tcPr>
            <w:tcW w:w="2475" w:type="pct"/>
            <w:tcBorders>
              <w:top w:val="double" w:sz="4" w:space="0" w:color="auto"/>
              <w:left w:val="single" w:sz="4" w:space="0" w:color="auto"/>
              <w:bottom w:val="single" w:sz="4" w:space="0" w:color="auto"/>
              <w:right w:val="single" w:sz="4" w:space="0" w:color="auto"/>
            </w:tcBorders>
            <w:shd w:val="clear" w:color="auto" w:fill="auto"/>
          </w:tcPr>
          <w:p w14:paraId="7D27189F" w14:textId="77777777" w:rsidR="0033479F" w:rsidRPr="002839B6" w:rsidRDefault="0033479F" w:rsidP="005722D1">
            <w:pPr>
              <w:jc w:val="left"/>
              <w:rPr>
                <w:szCs w:val="19"/>
              </w:rPr>
            </w:pPr>
            <w:r w:rsidRPr="002839B6">
              <w:rPr>
                <w:szCs w:val="19"/>
              </w:rPr>
              <w:t>Changes in Existing Decommissioning, Restoration and Similar Liabilities</w:t>
            </w:r>
          </w:p>
        </w:tc>
        <w:tc>
          <w:tcPr>
            <w:tcW w:w="878" w:type="pct"/>
            <w:tcBorders>
              <w:top w:val="double" w:sz="4" w:space="0" w:color="auto"/>
              <w:left w:val="single" w:sz="4" w:space="0" w:color="auto"/>
              <w:bottom w:val="single" w:sz="4" w:space="0" w:color="auto"/>
              <w:right w:val="single" w:sz="4" w:space="0" w:color="auto"/>
            </w:tcBorders>
            <w:shd w:val="clear" w:color="auto" w:fill="auto"/>
          </w:tcPr>
          <w:p w14:paraId="5FE87436" w14:textId="77777777" w:rsidR="0033479F" w:rsidRPr="002839B6" w:rsidRDefault="0033479F" w:rsidP="005722D1">
            <w:pPr>
              <w:jc w:val="left"/>
              <w:rPr>
                <w:szCs w:val="19"/>
              </w:rPr>
            </w:pPr>
            <w:r w:rsidRPr="002839B6">
              <w:rPr>
                <w:szCs w:val="19"/>
              </w:rPr>
              <w:t>(beginning)</w:t>
            </w:r>
          </w:p>
          <w:p w14:paraId="73BF1D8C" w14:textId="77777777" w:rsidR="0033479F" w:rsidRPr="002839B6" w:rsidRDefault="0033479F" w:rsidP="005722D1">
            <w:pPr>
              <w:jc w:val="left"/>
              <w:rPr>
                <w:szCs w:val="19"/>
              </w:rPr>
            </w:pPr>
            <w:r w:rsidRPr="002839B6">
              <w:rPr>
                <w:szCs w:val="19"/>
              </w:rPr>
              <w:t>1 January 2027</w:t>
            </w:r>
          </w:p>
        </w:tc>
        <w:tc>
          <w:tcPr>
            <w:tcW w:w="766" w:type="pct"/>
            <w:tcBorders>
              <w:top w:val="double" w:sz="4" w:space="0" w:color="auto"/>
              <w:left w:val="single" w:sz="4" w:space="0" w:color="auto"/>
              <w:bottom w:val="single" w:sz="4" w:space="0" w:color="auto"/>
            </w:tcBorders>
            <w:shd w:val="clear" w:color="auto" w:fill="auto"/>
          </w:tcPr>
          <w:p w14:paraId="05DD6D36"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1</w:t>
            </w:r>
          </w:p>
        </w:tc>
      </w:tr>
      <w:tr w:rsidR="0033479F" w:rsidRPr="001F769A" w14:paraId="1AA881BC" w14:textId="77777777" w:rsidTr="003F2156">
        <w:trPr>
          <w:cantSplit/>
        </w:trPr>
        <w:tc>
          <w:tcPr>
            <w:tcW w:w="881" w:type="pct"/>
            <w:tcBorders>
              <w:top w:val="single" w:sz="4" w:space="0" w:color="auto"/>
              <w:bottom w:val="single" w:sz="4" w:space="0" w:color="auto"/>
              <w:right w:val="single" w:sz="4" w:space="0" w:color="auto"/>
            </w:tcBorders>
            <w:shd w:val="clear" w:color="auto" w:fill="auto"/>
          </w:tcPr>
          <w:p w14:paraId="7152A486" w14:textId="77777777" w:rsidR="0033479F" w:rsidRPr="002839B6" w:rsidRDefault="0033479F" w:rsidP="005722D1">
            <w:pPr>
              <w:jc w:val="left"/>
              <w:rPr>
                <w:szCs w:val="19"/>
              </w:rPr>
            </w:pPr>
            <w:r w:rsidRPr="002839B6">
              <w:rPr>
                <w:szCs w:val="19"/>
              </w:rPr>
              <w:t>1</w:t>
            </w:r>
          </w:p>
          <w:p w14:paraId="0A7E95DB" w14:textId="77777777" w:rsidR="0033479F" w:rsidRPr="002839B6" w:rsidRDefault="0033479F" w:rsidP="005722D1">
            <w:pPr>
              <w:jc w:val="left"/>
              <w:rPr>
                <w:i/>
                <w:szCs w:val="19"/>
              </w:rPr>
            </w:pPr>
            <w:r w:rsidRPr="002839B6">
              <w:rPr>
                <w:i/>
                <w:szCs w:val="19"/>
              </w:rPr>
              <w:t>February 2016</w:t>
            </w:r>
          </w:p>
          <w:p w14:paraId="354798B3" w14:textId="77777777" w:rsidR="0033479F" w:rsidRPr="002839B6" w:rsidRDefault="0033479F" w:rsidP="005722D1">
            <w:pPr>
              <w:jc w:val="left"/>
              <w:rPr>
                <w:i/>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16B9CFF7" w14:textId="77777777" w:rsidR="0033479F" w:rsidRPr="002839B6" w:rsidRDefault="0033479F" w:rsidP="005722D1">
            <w:pPr>
              <w:jc w:val="left"/>
              <w:rPr>
                <w:szCs w:val="19"/>
              </w:rPr>
            </w:pPr>
            <w:r w:rsidRPr="002839B6">
              <w:rPr>
                <w:szCs w:val="19"/>
              </w:rPr>
              <w:t>Changes in Existing Decommissioning, Restoration and Similar Liabilities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716BEE66" w14:textId="77777777" w:rsidR="0033479F" w:rsidRPr="002839B6" w:rsidRDefault="0033479F" w:rsidP="005722D1">
            <w:pPr>
              <w:jc w:val="left"/>
              <w:rPr>
                <w:szCs w:val="19"/>
              </w:rPr>
            </w:pPr>
            <w:r w:rsidRPr="002839B6">
              <w:rPr>
                <w:szCs w:val="19"/>
              </w:rPr>
              <w:t>(beginning)</w:t>
            </w:r>
          </w:p>
          <w:p w14:paraId="54A5BDAF" w14:textId="77777777" w:rsidR="0033479F" w:rsidRPr="002839B6" w:rsidRDefault="0033479F" w:rsidP="005722D1">
            <w:pPr>
              <w:jc w:val="left"/>
              <w:rPr>
                <w:szCs w:val="19"/>
              </w:rPr>
            </w:pPr>
            <w:r w:rsidRPr="002839B6">
              <w:rPr>
                <w:szCs w:val="19"/>
              </w:rPr>
              <w:t>1 January 2019</w:t>
            </w:r>
          </w:p>
        </w:tc>
        <w:tc>
          <w:tcPr>
            <w:tcW w:w="766" w:type="pct"/>
            <w:tcBorders>
              <w:top w:val="single" w:sz="4" w:space="0" w:color="auto"/>
              <w:left w:val="single" w:sz="4" w:space="0" w:color="auto"/>
              <w:bottom w:val="single" w:sz="4" w:space="0" w:color="auto"/>
            </w:tcBorders>
            <w:shd w:val="clear" w:color="auto" w:fill="auto"/>
          </w:tcPr>
          <w:p w14:paraId="756ABB83"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1</w:t>
            </w:r>
          </w:p>
        </w:tc>
      </w:tr>
      <w:tr w:rsidR="007C0E17" w:rsidRPr="001F769A" w14:paraId="12EEC48E"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2DC4F595" w14:textId="77777777" w:rsidR="007C0E17" w:rsidRPr="002839B6" w:rsidRDefault="007C0E17" w:rsidP="005722D1">
            <w:pPr>
              <w:jc w:val="left"/>
              <w:rPr>
                <w:szCs w:val="19"/>
              </w:rPr>
            </w:pPr>
            <w:r w:rsidRPr="002839B6">
              <w:rPr>
                <w:szCs w:val="19"/>
              </w:rPr>
              <w:t>2</w:t>
            </w:r>
          </w:p>
          <w:p w14:paraId="780E2AC5" w14:textId="10BB9260" w:rsidR="007C0E17" w:rsidRPr="002839B6" w:rsidRDefault="006260E9" w:rsidP="005722D1">
            <w:pPr>
              <w:jc w:val="left"/>
              <w:rPr>
                <w:i/>
                <w:szCs w:val="19"/>
              </w:rPr>
            </w:pPr>
            <w:r>
              <w:rPr>
                <w:i/>
                <w:szCs w:val="19"/>
              </w:rPr>
              <w:t>December 2021</w:t>
            </w:r>
          </w:p>
          <w:p w14:paraId="528BB902" w14:textId="77777777" w:rsidR="007C0E17" w:rsidRPr="002839B6" w:rsidRDefault="007C0E17"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55455BDD" w14:textId="77777777" w:rsidR="007C0E17" w:rsidRPr="002839B6" w:rsidRDefault="007C0E17" w:rsidP="005722D1">
            <w:pPr>
              <w:jc w:val="left"/>
              <w:rPr>
                <w:szCs w:val="19"/>
              </w:rPr>
            </w:pPr>
            <w:r w:rsidRPr="002839B6">
              <w:rPr>
                <w:szCs w:val="19"/>
              </w:rPr>
              <w:t>Members’ Shares in Co-operative Entities and Similar Instruments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60E21AD4" w14:textId="77777777" w:rsidR="007C0E17" w:rsidRPr="002839B6" w:rsidRDefault="007C0E17" w:rsidP="005722D1">
            <w:pPr>
              <w:jc w:val="left"/>
              <w:rPr>
                <w:szCs w:val="19"/>
              </w:rPr>
            </w:pPr>
            <w:r w:rsidRPr="002839B6">
              <w:rPr>
                <w:szCs w:val="19"/>
              </w:rPr>
              <w:t>(beginning)</w:t>
            </w:r>
          </w:p>
          <w:p w14:paraId="5D2C2648" w14:textId="0907C778" w:rsidR="007C0E17" w:rsidRPr="002839B6" w:rsidRDefault="007C0E17" w:rsidP="005722D1">
            <w:pPr>
              <w:jc w:val="left"/>
              <w:rPr>
                <w:szCs w:val="19"/>
              </w:rPr>
            </w:pPr>
            <w:r w:rsidRPr="002839B6">
              <w:rPr>
                <w:szCs w:val="19"/>
              </w:rPr>
              <w:t>1 J</w:t>
            </w:r>
            <w:r w:rsidR="00CD1F89">
              <w:rPr>
                <w:szCs w:val="19"/>
              </w:rPr>
              <w:t>anuary 2022</w:t>
            </w:r>
          </w:p>
        </w:tc>
        <w:tc>
          <w:tcPr>
            <w:tcW w:w="766" w:type="pct"/>
            <w:tcBorders>
              <w:top w:val="single" w:sz="4" w:space="0" w:color="auto"/>
              <w:left w:val="single" w:sz="4" w:space="0" w:color="auto"/>
              <w:bottom w:val="single" w:sz="4" w:space="0" w:color="auto"/>
            </w:tcBorders>
            <w:shd w:val="clear" w:color="auto" w:fill="auto"/>
          </w:tcPr>
          <w:p w14:paraId="01C58E3F" w14:textId="77777777" w:rsidR="007C0E17" w:rsidRPr="002839B6" w:rsidRDefault="007C0E17" w:rsidP="005722D1">
            <w:pPr>
              <w:jc w:val="left"/>
              <w:rPr>
                <w:szCs w:val="19"/>
              </w:rPr>
            </w:pPr>
            <w:proofErr w:type="spellStart"/>
            <w:r w:rsidRPr="002839B6">
              <w:rPr>
                <w:szCs w:val="19"/>
              </w:rPr>
              <w:t>IFRIC</w:t>
            </w:r>
            <w:proofErr w:type="spellEnd"/>
            <w:r w:rsidRPr="002839B6">
              <w:rPr>
                <w:szCs w:val="19"/>
              </w:rPr>
              <w:t xml:space="preserve"> 2</w:t>
            </w:r>
          </w:p>
        </w:tc>
      </w:tr>
      <w:tr w:rsidR="0033479F" w:rsidRPr="001F769A" w14:paraId="746EECED"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10293586" w14:textId="77777777" w:rsidR="0033479F" w:rsidRPr="002839B6" w:rsidRDefault="0033479F" w:rsidP="005722D1">
            <w:pPr>
              <w:jc w:val="left"/>
              <w:rPr>
                <w:szCs w:val="19"/>
              </w:rPr>
            </w:pPr>
            <w:r w:rsidRPr="002839B6">
              <w:rPr>
                <w:szCs w:val="19"/>
              </w:rPr>
              <w:t>5</w:t>
            </w:r>
          </w:p>
          <w:p w14:paraId="17F7203C" w14:textId="77777777" w:rsidR="0033479F" w:rsidRPr="002839B6" w:rsidRDefault="0033479F" w:rsidP="005722D1">
            <w:pPr>
              <w:jc w:val="left"/>
              <w:rPr>
                <w:i/>
                <w:szCs w:val="19"/>
              </w:rPr>
            </w:pPr>
            <w:r w:rsidRPr="002839B6">
              <w:rPr>
                <w:i/>
                <w:szCs w:val="19"/>
              </w:rPr>
              <w:t>June 2024</w:t>
            </w:r>
          </w:p>
          <w:p w14:paraId="7E9C6D5E"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521CAB9B" w14:textId="77777777" w:rsidR="0033479F" w:rsidRPr="002839B6" w:rsidRDefault="0033479F" w:rsidP="005722D1">
            <w:pPr>
              <w:jc w:val="left"/>
              <w:rPr>
                <w:szCs w:val="19"/>
              </w:rPr>
            </w:pPr>
            <w:r w:rsidRPr="002839B6">
              <w:rPr>
                <w:szCs w:val="19"/>
              </w:rPr>
              <w:t>Rights to Interests arising from Decommissioning, Restoration and Environmental Rehabilitation Funds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30F027E9" w14:textId="77777777" w:rsidR="0033479F" w:rsidRPr="002839B6" w:rsidRDefault="0033479F" w:rsidP="005722D1">
            <w:pPr>
              <w:jc w:val="left"/>
              <w:rPr>
                <w:szCs w:val="19"/>
              </w:rPr>
            </w:pPr>
            <w:r w:rsidRPr="002839B6">
              <w:rPr>
                <w:szCs w:val="19"/>
              </w:rPr>
              <w:t>(beginning)</w:t>
            </w:r>
          </w:p>
          <w:p w14:paraId="0837DDE1"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6247B81C"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5</w:t>
            </w:r>
          </w:p>
        </w:tc>
      </w:tr>
      <w:tr w:rsidR="001F72BF" w:rsidRPr="001F769A" w14:paraId="5689BD78"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0950EF7E" w14:textId="77777777" w:rsidR="001F72BF" w:rsidRPr="002839B6" w:rsidRDefault="001F72BF" w:rsidP="005722D1">
            <w:pPr>
              <w:jc w:val="left"/>
              <w:rPr>
                <w:szCs w:val="19"/>
              </w:rPr>
            </w:pPr>
            <w:r w:rsidRPr="002839B6">
              <w:rPr>
                <w:szCs w:val="19"/>
              </w:rPr>
              <w:t>5</w:t>
            </w:r>
          </w:p>
          <w:p w14:paraId="010065C8" w14:textId="0FA9D5B1" w:rsidR="001F72BF" w:rsidRPr="002839B6" w:rsidRDefault="001F72BF" w:rsidP="005722D1">
            <w:pPr>
              <w:jc w:val="left"/>
              <w:rPr>
                <w:i/>
                <w:szCs w:val="19"/>
              </w:rPr>
            </w:pPr>
            <w:r>
              <w:rPr>
                <w:i/>
                <w:szCs w:val="19"/>
              </w:rPr>
              <w:t>December 2021</w:t>
            </w:r>
          </w:p>
          <w:p w14:paraId="074D5532" w14:textId="77777777" w:rsidR="001F72BF" w:rsidRPr="002839B6" w:rsidRDefault="001F72B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3CCA00BC" w14:textId="77777777" w:rsidR="001F72BF" w:rsidRPr="002839B6" w:rsidRDefault="001F72BF" w:rsidP="005722D1">
            <w:pPr>
              <w:jc w:val="left"/>
              <w:rPr>
                <w:szCs w:val="19"/>
              </w:rPr>
            </w:pPr>
            <w:r w:rsidRPr="002839B6">
              <w:rPr>
                <w:szCs w:val="19"/>
              </w:rPr>
              <w:t>Rights to Interests arising from Decommissioning, Restoration and Environmental Rehabilitation Funds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2C8AF9A9" w14:textId="77777777" w:rsidR="001F72BF" w:rsidRPr="002839B6" w:rsidRDefault="001F72BF" w:rsidP="005722D1">
            <w:pPr>
              <w:jc w:val="left"/>
              <w:rPr>
                <w:szCs w:val="19"/>
              </w:rPr>
            </w:pPr>
            <w:r w:rsidRPr="002839B6">
              <w:rPr>
                <w:szCs w:val="19"/>
              </w:rPr>
              <w:t>(beginning)</w:t>
            </w:r>
          </w:p>
          <w:p w14:paraId="6A98A3F4" w14:textId="3F868CC6" w:rsidR="001F72BF" w:rsidRPr="002839B6" w:rsidRDefault="001F72BF" w:rsidP="005722D1">
            <w:pPr>
              <w:jc w:val="left"/>
              <w:rPr>
                <w:szCs w:val="19"/>
              </w:rPr>
            </w:pPr>
            <w:r w:rsidRPr="002839B6">
              <w:rPr>
                <w:szCs w:val="19"/>
              </w:rPr>
              <w:t xml:space="preserve">1 </w:t>
            </w:r>
            <w:r>
              <w:rPr>
                <w:szCs w:val="19"/>
              </w:rPr>
              <w:t>January 2022</w:t>
            </w:r>
          </w:p>
        </w:tc>
        <w:tc>
          <w:tcPr>
            <w:tcW w:w="766" w:type="pct"/>
            <w:tcBorders>
              <w:top w:val="single" w:sz="4" w:space="0" w:color="auto"/>
              <w:left w:val="single" w:sz="4" w:space="0" w:color="auto"/>
              <w:bottom w:val="single" w:sz="4" w:space="0" w:color="auto"/>
            </w:tcBorders>
            <w:shd w:val="clear" w:color="auto" w:fill="auto"/>
          </w:tcPr>
          <w:p w14:paraId="7CD6C67E" w14:textId="77777777" w:rsidR="001F72BF" w:rsidRPr="002839B6" w:rsidRDefault="001F72BF" w:rsidP="005722D1">
            <w:pPr>
              <w:jc w:val="left"/>
              <w:rPr>
                <w:szCs w:val="19"/>
              </w:rPr>
            </w:pPr>
            <w:proofErr w:type="spellStart"/>
            <w:r w:rsidRPr="002839B6">
              <w:rPr>
                <w:szCs w:val="19"/>
              </w:rPr>
              <w:t>IFRIC</w:t>
            </w:r>
            <w:proofErr w:type="spellEnd"/>
            <w:r w:rsidRPr="002839B6">
              <w:rPr>
                <w:szCs w:val="19"/>
              </w:rPr>
              <w:t xml:space="preserve"> 5</w:t>
            </w:r>
          </w:p>
        </w:tc>
      </w:tr>
      <w:tr w:rsidR="0033479F" w:rsidRPr="001F769A" w14:paraId="19CC25D0"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0D443DC6" w14:textId="77777777" w:rsidR="0033479F" w:rsidRPr="002839B6" w:rsidRDefault="0033479F" w:rsidP="005722D1">
            <w:pPr>
              <w:jc w:val="left"/>
              <w:rPr>
                <w:szCs w:val="19"/>
              </w:rPr>
            </w:pPr>
            <w:r w:rsidRPr="002839B6">
              <w:rPr>
                <w:szCs w:val="19"/>
              </w:rPr>
              <w:t>6</w:t>
            </w:r>
          </w:p>
          <w:p w14:paraId="0E0298AB" w14:textId="77777777" w:rsidR="0033479F" w:rsidRPr="002839B6" w:rsidRDefault="0033479F" w:rsidP="005722D1">
            <w:pPr>
              <w:jc w:val="left"/>
              <w:rPr>
                <w:i/>
                <w:szCs w:val="19"/>
              </w:rPr>
            </w:pPr>
            <w:r w:rsidRPr="002839B6">
              <w:rPr>
                <w:i/>
                <w:szCs w:val="19"/>
              </w:rPr>
              <w:t>June 2024</w:t>
            </w:r>
          </w:p>
          <w:p w14:paraId="14A79364"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7BCE30CD" w14:textId="77777777" w:rsidR="0033479F" w:rsidRPr="002839B6" w:rsidRDefault="0033479F" w:rsidP="005722D1">
            <w:pPr>
              <w:jc w:val="left"/>
              <w:rPr>
                <w:szCs w:val="19"/>
              </w:rPr>
            </w:pPr>
            <w:r w:rsidRPr="002839B6">
              <w:rPr>
                <w:szCs w:val="19"/>
              </w:rPr>
              <w:t>Liabilities arising from Participating in a Specific Market – Waste Electrical and Electronic Equipment</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303321A2" w14:textId="77777777" w:rsidR="0033479F" w:rsidRPr="002839B6" w:rsidRDefault="0033479F" w:rsidP="005722D1">
            <w:pPr>
              <w:jc w:val="left"/>
              <w:rPr>
                <w:szCs w:val="19"/>
              </w:rPr>
            </w:pPr>
            <w:r w:rsidRPr="002839B6">
              <w:rPr>
                <w:szCs w:val="19"/>
              </w:rPr>
              <w:t>(beginning)</w:t>
            </w:r>
          </w:p>
          <w:p w14:paraId="349E12C1"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2F4233DB"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6</w:t>
            </w:r>
          </w:p>
        </w:tc>
      </w:tr>
      <w:tr w:rsidR="0033479F" w:rsidRPr="001F769A" w14:paraId="41F44EB1"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47D35A74" w14:textId="77777777" w:rsidR="0033479F" w:rsidRPr="002839B6" w:rsidRDefault="0033479F" w:rsidP="005722D1">
            <w:pPr>
              <w:jc w:val="left"/>
              <w:rPr>
                <w:szCs w:val="19"/>
              </w:rPr>
            </w:pPr>
            <w:r w:rsidRPr="002839B6">
              <w:rPr>
                <w:szCs w:val="19"/>
              </w:rPr>
              <w:t>6</w:t>
            </w:r>
          </w:p>
          <w:p w14:paraId="1241EF55" w14:textId="77777777" w:rsidR="0033479F" w:rsidRPr="002839B6" w:rsidRDefault="0033479F" w:rsidP="005722D1">
            <w:pPr>
              <w:jc w:val="left"/>
              <w:rPr>
                <w:i/>
                <w:szCs w:val="19"/>
              </w:rPr>
            </w:pPr>
            <w:r w:rsidRPr="002839B6">
              <w:rPr>
                <w:i/>
                <w:szCs w:val="19"/>
              </w:rPr>
              <w:t>August 2015</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06874588" w14:textId="77777777" w:rsidR="0033479F" w:rsidRPr="002839B6" w:rsidRDefault="0033479F" w:rsidP="005722D1">
            <w:pPr>
              <w:jc w:val="left"/>
              <w:rPr>
                <w:szCs w:val="19"/>
              </w:rPr>
            </w:pPr>
            <w:r w:rsidRPr="002839B6">
              <w:rPr>
                <w:szCs w:val="19"/>
              </w:rPr>
              <w:t>Liabilities arising from Participating in a Specific Market – Waste Electrical and Electronic Equipment</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0E8327FC" w14:textId="77777777" w:rsidR="0033479F" w:rsidRPr="002839B6" w:rsidRDefault="0033479F" w:rsidP="005722D1">
            <w:pPr>
              <w:jc w:val="left"/>
              <w:rPr>
                <w:szCs w:val="19"/>
              </w:rPr>
            </w:pPr>
            <w:r w:rsidRPr="002839B6">
              <w:rPr>
                <w:szCs w:val="19"/>
              </w:rPr>
              <w:t>(beginning)</w:t>
            </w:r>
          </w:p>
          <w:p w14:paraId="58A19D27" w14:textId="77777777" w:rsidR="0033479F" w:rsidRPr="002839B6" w:rsidRDefault="0033479F" w:rsidP="005722D1">
            <w:pPr>
              <w:jc w:val="left"/>
              <w:rPr>
                <w:szCs w:val="19"/>
              </w:rPr>
            </w:pPr>
            <w:r w:rsidRPr="002839B6">
              <w:rPr>
                <w:szCs w:val="19"/>
              </w:rPr>
              <w:t>1 January 2016</w:t>
            </w:r>
          </w:p>
        </w:tc>
        <w:tc>
          <w:tcPr>
            <w:tcW w:w="766" w:type="pct"/>
            <w:tcBorders>
              <w:top w:val="single" w:sz="4" w:space="0" w:color="auto"/>
              <w:left w:val="single" w:sz="4" w:space="0" w:color="auto"/>
              <w:bottom w:val="single" w:sz="4" w:space="0" w:color="auto"/>
            </w:tcBorders>
            <w:shd w:val="clear" w:color="auto" w:fill="auto"/>
          </w:tcPr>
          <w:p w14:paraId="4B16BA42"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6</w:t>
            </w:r>
          </w:p>
        </w:tc>
      </w:tr>
      <w:tr w:rsidR="0033479F" w:rsidRPr="001F769A" w14:paraId="233116B5"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547BB889" w14:textId="77777777" w:rsidR="0033479F" w:rsidRPr="002839B6" w:rsidRDefault="0033479F" w:rsidP="005722D1">
            <w:pPr>
              <w:jc w:val="left"/>
              <w:rPr>
                <w:szCs w:val="19"/>
              </w:rPr>
            </w:pPr>
            <w:r w:rsidRPr="002839B6">
              <w:rPr>
                <w:szCs w:val="19"/>
              </w:rPr>
              <w:t>7</w:t>
            </w:r>
          </w:p>
          <w:p w14:paraId="2963509D" w14:textId="77777777" w:rsidR="0033479F" w:rsidRPr="002839B6" w:rsidRDefault="0033479F" w:rsidP="005722D1">
            <w:pPr>
              <w:jc w:val="left"/>
              <w:rPr>
                <w:i/>
                <w:szCs w:val="19"/>
              </w:rPr>
            </w:pPr>
            <w:r w:rsidRPr="002839B6">
              <w:rPr>
                <w:i/>
                <w:szCs w:val="19"/>
              </w:rPr>
              <w:t>August 2015</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62185FA4" w14:textId="77777777" w:rsidR="0033479F" w:rsidRPr="002839B6" w:rsidRDefault="0033479F" w:rsidP="005722D1">
            <w:pPr>
              <w:jc w:val="left"/>
              <w:rPr>
                <w:szCs w:val="19"/>
              </w:rPr>
            </w:pPr>
            <w:r w:rsidRPr="002839B6">
              <w:rPr>
                <w:szCs w:val="19"/>
              </w:rPr>
              <w:t xml:space="preserve">Applying the Restatement Approach under </w:t>
            </w:r>
            <w:proofErr w:type="spellStart"/>
            <w:r w:rsidRPr="002839B6">
              <w:rPr>
                <w:szCs w:val="19"/>
              </w:rPr>
              <w:t>AASB</w:t>
            </w:r>
            <w:proofErr w:type="spellEnd"/>
            <w:r w:rsidRPr="002839B6">
              <w:rPr>
                <w:szCs w:val="19"/>
              </w:rPr>
              <w:t xml:space="preserve"> 129 </w:t>
            </w:r>
            <w:r w:rsidRPr="002839B6">
              <w:rPr>
                <w:i/>
                <w:szCs w:val="19"/>
              </w:rPr>
              <w:t>Financial Reporting in Hyperinflationary Economies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5C19F0CA" w14:textId="77777777" w:rsidR="0033479F" w:rsidRPr="002839B6" w:rsidRDefault="0033479F" w:rsidP="005722D1">
            <w:pPr>
              <w:jc w:val="left"/>
              <w:rPr>
                <w:szCs w:val="19"/>
              </w:rPr>
            </w:pPr>
            <w:r w:rsidRPr="002839B6">
              <w:rPr>
                <w:szCs w:val="19"/>
              </w:rPr>
              <w:t>(beginning)</w:t>
            </w:r>
          </w:p>
          <w:p w14:paraId="6A3769E5" w14:textId="77777777" w:rsidR="0033479F" w:rsidRPr="002839B6" w:rsidRDefault="0033479F" w:rsidP="005722D1">
            <w:pPr>
              <w:jc w:val="left"/>
              <w:rPr>
                <w:szCs w:val="19"/>
              </w:rPr>
            </w:pPr>
            <w:r w:rsidRPr="002839B6">
              <w:rPr>
                <w:szCs w:val="19"/>
              </w:rPr>
              <w:t>1 January 2016</w:t>
            </w:r>
          </w:p>
        </w:tc>
        <w:tc>
          <w:tcPr>
            <w:tcW w:w="766" w:type="pct"/>
            <w:tcBorders>
              <w:top w:val="single" w:sz="4" w:space="0" w:color="auto"/>
              <w:left w:val="single" w:sz="4" w:space="0" w:color="auto"/>
              <w:bottom w:val="single" w:sz="4" w:space="0" w:color="auto"/>
            </w:tcBorders>
            <w:shd w:val="clear" w:color="auto" w:fill="auto"/>
          </w:tcPr>
          <w:p w14:paraId="6AE66156"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7</w:t>
            </w:r>
          </w:p>
        </w:tc>
      </w:tr>
      <w:tr w:rsidR="0033479F" w:rsidRPr="001F769A" w14:paraId="3E19F4E9"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2D40D7FA" w14:textId="77777777" w:rsidR="0033479F" w:rsidRPr="002839B6" w:rsidRDefault="0033479F" w:rsidP="005722D1">
            <w:pPr>
              <w:jc w:val="left"/>
              <w:rPr>
                <w:szCs w:val="19"/>
              </w:rPr>
            </w:pPr>
            <w:r w:rsidRPr="002839B6">
              <w:rPr>
                <w:szCs w:val="19"/>
              </w:rPr>
              <w:t>10</w:t>
            </w:r>
          </w:p>
          <w:p w14:paraId="2BAA4A78" w14:textId="77777777" w:rsidR="0033479F" w:rsidRPr="002839B6" w:rsidRDefault="0033479F" w:rsidP="005722D1">
            <w:pPr>
              <w:jc w:val="left"/>
              <w:rPr>
                <w:i/>
                <w:szCs w:val="19"/>
              </w:rPr>
            </w:pPr>
            <w:r w:rsidRPr="002839B6">
              <w:rPr>
                <w:i/>
                <w:szCs w:val="19"/>
              </w:rPr>
              <w:t>August 2015</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3EF79D5C" w14:textId="77777777" w:rsidR="0033479F" w:rsidRPr="002839B6" w:rsidRDefault="0033479F" w:rsidP="005722D1">
            <w:pPr>
              <w:jc w:val="left"/>
              <w:rPr>
                <w:szCs w:val="19"/>
              </w:rPr>
            </w:pPr>
            <w:r w:rsidRPr="002839B6">
              <w:rPr>
                <w:szCs w:val="19"/>
              </w:rPr>
              <w:t>Interim Financial Reporting and Impairment</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3C5C9C01" w14:textId="77777777" w:rsidR="0033479F" w:rsidRPr="002839B6" w:rsidRDefault="0033479F" w:rsidP="005722D1">
            <w:pPr>
              <w:jc w:val="left"/>
              <w:rPr>
                <w:szCs w:val="19"/>
              </w:rPr>
            </w:pPr>
            <w:r w:rsidRPr="002839B6">
              <w:rPr>
                <w:szCs w:val="19"/>
              </w:rPr>
              <w:t>(beginning)</w:t>
            </w:r>
          </w:p>
          <w:p w14:paraId="47D99413" w14:textId="77777777" w:rsidR="0033479F" w:rsidRPr="002839B6" w:rsidRDefault="0033479F" w:rsidP="005722D1">
            <w:pPr>
              <w:jc w:val="left"/>
              <w:rPr>
                <w:szCs w:val="19"/>
              </w:rPr>
            </w:pPr>
            <w:r w:rsidRPr="002839B6">
              <w:rPr>
                <w:szCs w:val="19"/>
              </w:rPr>
              <w:t>1 January 2018</w:t>
            </w:r>
          </w:p>
        </w:tc>
        <w:tc>
          <w:tcPr>
            <w:tcW w:w="766" w:type="pct"/>
            <w:tcBorders>
              <w:top w:val="single" w:sz="4" w:space="0" w:color="auto"/>
              <w:left w:val="single" w:sz="4" w:space="0" w:color="auto"/>
              <w:bottom w:val="single" w:sz="4" w:space="0" w:color="auto"/>
            </w:tcBorders>
            <w:shd w:val="clear" w:color="auto" w:fill="auto"/>
          </w:tcPr>
          <w:p w14:paraId="01128236"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10</w:t>
            </w:r>
          </w:p>
        </w:tc>
      </w:tr>
      <w:tr w:rsidR="0033479F" w:rsidRPr="001F769A" w14:paraId="4D8915AB"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3A7775FD" w14:textId="77777777" w:rsidR="00E93B1B" w:rsidRPr="002839B6" w:rsidRDefault="0033479F" w:rsidP="005722D1">
            <w:pPr>
              <w:jc w:val="left"/>
              <w:rPr>
                <w:szCs w:val="19"/>
              </w:rPr>
            </w:pPr>
            <w:r w:rsidRPr="002839B6">
              <w:rPr>
                <w:szCs w:val="19"/>
              </w:rPr>
              <w:t>12</w:t>
            </w:r>
          </w:p>
          <w:p w14:paraId="04D55755" w14:textId="7AAC2E41" w:rsidR="0033479F" w:rsidRPr="002839B6" w:rsidRDefault="0033479F" w:rsidP="005722D1">
            <w:pPr>
              <w:jc w:val="left"/>
              <w:rPr>
                <w:i/>
                <w:szCs w:val="19"/>
              </w:rPr>
            </w:pPr>
            <w:r w:rsidRPr="002839B6">
              <w:rPr>
                <w:i/>
                <w:szCs w:val="19"/>
              </w:rPr>
              <w:t>June 2024</w:t>
            </w:r>
          </w:p>
          <w:p w14:paraId="0783F7CD"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6CC6357B" w14:textId="77777777" w:rsidR="0033479F" w:rsidRPr="002839B6" w:rsidRDefault="0033479F" w:rsidP="005722D1">
            <w:pPr>
              <w:jc w:val="left"/>
              <w:rPr>
                <w:szCs w:val="19"/>
              </w:rPr>
            </w:pPr>
            <w:r w:rsidRPr="002839B6">
              <w:rPr>
                <w:szCs w:val="19"/>
              </w:rPr>
              <w:t>Service Concession Arrangements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0AFEB0DD" w14:textId="77777777" w:rsidR="0033479F" w:rsidRPr="002839B6" w:rsidRDefault="0033479F" w:rsidP="005722D1">
            <w:pPr>
              <w:jc w:val="left"/>
              <w:rPr>
                <w:szCs w:val="19"/>
              </w:rPr>
            </w:pPr>
            <w:r w:rsidRPr="002839B6">
              <w:rPr>
                <w:szCs w:val="19"/>
              </w:rPr>
              <w:t>(beginning)</w:t>
            </w:r>
          </w:p>
          <w:p w14:paraId="67D3C774"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42979DAF"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12</w:t>
            </w:r>
          </w:p>
        </w:tc>
      </w:tr>
      <w:tr w:rsidR="0033479F" w:rsidRPr="001F769A" w14:paraId="580FCD2B"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61785BB3" w14:textId="77777777" w:rsidR="006D3C5E" w:rsidRDefault="0033479F" w:rsidP="005722D1">
            <w:pPr>
              <w:jc w:val="left"/>
              <w:rPr>
                <w:szCs w:val="19"/>
              </w:rPr>
            </w:pPr>
            <w:r w:rsidRPr="002839B6">
              <w:rPr>
                <w:szCs w:val="19"/>
              </w:rPr>
              <w:t>12</w:t>
            </w:r>
          </w:p>
          <w:p w14:paraId="1F112BD2" w14:textId="3816E5BD" w:rsidR="0033479F" w:rsidRPr="002839B6" w:rsidRDefault="0033479F" w:rsidP="005722D1">
            <w:pPr>
              <w:jc w:val="left"/>
              <w:rPr>
                <w:i/>
                <w:szCs w:val="19"/>
              </w:rPr>
            </w:pPr>
            <w:r w:rsidRPr="002839B6">
              <w:rPr>
                <w:i/>
                <w:szCs w:val="19"/>
              </w:rPr>
              <w:t>May 2019</w:t>
            </w:r>
          </w:p>
          <w:p w14:paraId="70CAE3F0"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3297676C" w14:textId="77777777" w:rsidR="0033479F" w:rsidRPr="002839B6" w:rsidRDefault="0033479F" w:rsidP="005722D1">
            <w:pPr>
              <w:jc w:val="left"/>
              <w:rPr>
                <w:szCs w:val="19"/>
              </w:rPr>
            </w:pPr>
            <w:r w:rsidRPr="002839B6">
              <w:rPr>
                <w:szCs w:val="19"/>
              </w:rPr>
              <w:t>Service Concession Arrangements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7567702D" w14:textId="77777777" w:rsidR="0033479F" w:rsidRPr="002839B6" w:rsidRDefault="0033479F" w:rsidP="005722D1">
            <w:pPr>
              <w:jc w:val="left"/>
              <w:rPr>
                <w:szCs w:val="19"/>
              </w:rPr>
            </w:pPr>
            <w:r w:rsidRPr="002839B6">
              <w:rPr>
                <w:szCs w:val="19"/>
              </w:rPr>
              <w:t>(beginning)</w:t>
            </w:r>
          </w:p>
          <w:p w14:paraId="1C47554D" w14:textId="77777777" w:rsidR="0033479F" w:rsidRPr="002839B6" w:rsidRDefault="0033479F" w:rsidP="005722D1">
            <w:pPr>
              <w:jc w:val="left"/>
              <w:rPr>
                <w:szCs w:val="19"/>
              </w:rPr>
            </w:pPr>
            <w:r w:rsidRPr="002839B6">
              <w:rPr>
                <w:szCs w:val="19"/>
              </w:rPr>
              <w:t>1 January 2020</w:t>
            </w:r>
          </w:p>
        </w:tc>
        <w:tc>
          <w:tcPr>
            <w:tcW w:w="766" w:type="pct"/>
            <w:tcBorders>
              <w:top w:val="single" w:sz="4" w:space="0" w:color="auto"/>
              <w:left w:val="single" w:sz="4" w:space="0" w:color="auto"/>
              <w:bottom w:val="single" w:sz="4" w:space="0" w:color="auto"/>
            </w:tcBorders>
            <w:shd w:val="clear" w:color="auto" w:fill="auto"/>
          </w:tcPr>
          <w:p w14:paraId="77A034A0"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12</w:t>
            </w:r>
          </w:p>
        </w:tc>
      </w:tr>
      <w:tr w:rsidR="0033479F" w:rsidRPr="001F769A" w14:paraId="5241D330"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06A2C736" w14:textId="77777777" w:rsidR="0033479F" w:rsidRPr="002839B6" w:rsidRDefault="0033479F" w:rsidP="005722D1">
            <w:pPr>
              <w:jc w:val="left"/>
              <w:rPr>
                <w:szCs w:val="19"/>
              </w:rPr>
            </w:pPr>
            <w:r w:rsidRPr="002839B6">
              <w:rPr>
                <w:szCs w:val="19"/>
              </w:rPr>
              <w:t>14</w:t>
            </w:r>
          </w:p>
          <w:p w14:paraId="2DC126E1" w14:textId="77777777" w:rsidR="0033479F" w:rsidRPr="002839B6" w:rsidRDefault="0033479F" w:rsidP="005722D1">
            <w:pPr>
              <w:jc w:val="left"/>
              <w:rPr>
                <w:i/>
                <w:szCs w:val="19"/>
              </w:rPr>
            </w:pPr>
            <w:r w:rsidRPr="002839B6">
              <w:rPr>
                <w:i/>
                <w:szCs w:val="19"/>
              </w:rPr>
              <w:t>June 2024</w:t>
            </w:r>
          </w:p>
          <w:p w14:paraId="65FD4B6B"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4143453A" w14:textId="77777777" w:rsidR="0033479F" w:rsidRPr="002839B6" w:rsidRDefault="0033479F" w:rsidP="005722D1">
            <w:pPr>
              <w:jc w:val="left"/>
              <w:rPr>
                <w:szCs w:val="19"/>
              </w:rPr>
            </w:pPr>
            <w:proofErr w:type="spellStart"/>
            <w:r w:rsidRPr="002839B6">
              <w:rPr>
                <w:szCs w:val="19"/>
              </w:rPr>
              <w:t>AASB</w:t>
            </w:r>
            <w:proofErr w:type="spellEnd"/>
            <w:r w:rsidRPr="002839B6">
              <w:rPr>
                <w:szCs w:val="19"/>
              </w:rPr>
              <w:t> 119 – The Limit on a Defined Benefit Asset, Minimum Funding Requirements and their Interaction</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4CC3977D" w14:textId="77777777" w:rsidR="0033479F" w:rsidRPr="002839B6" w:rsidRDefault="0033479F" w:rsidP="005722D1">
            <w:pPr>
              <w:jc w:val="left"/>
              <w:rPr>
                <w:szCs w:val="19"/>
              </w:rPr>
            </w:pPr>
            <w:r w:rsidRPr="002839B6">
              <w:rPr>
                <w:szCs w:val="19"/>
              </w:rPr>
              <w:t>(beginning)</w:t>
            </w:r>
          </w:p>
          <w:p w14:paraId="069772F3"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7B219443"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14</w:t>
            </w:r>
          </w:p>
        </w:tc>
      </w:tr>
      <w:tr w:rsidR="0033479F" w:rsidRPr="001F769A" w14:paraId="19768512"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424FB43A" w14:textId="77777777" w:rsidR="0033479F" w:rsidRPr="002839B6" w:rsidRDefault="0033479F" w:rsidP="005722D1">
            <w:pPr>
              <w:jc w:val="left"/>
              <w:rPr>
                <w:szCs w:val="19"/>
              </w:rPr>
            </w:pPr>
            <w:r w:rsidRPr="002839B6">
              <w:rPr>
                <w:szCs w:val="19"/>
              </w:rPr>
              <w:t>14</w:t>
            </w:r>
          </w:p>
          <w:p w14:paraId="06C1DC1B" w14:textId="77777777" w:rsidR="0033479F" w:rsidRPr="002839B6" w:rsidRDefault="0033479F" w:rsidP="005722D1">
            <w:pPr>
              <w:jc w:val="left"/>
              <w:rPr>
                <w:i/>
                <w:szCs w:val="19"/>
              </w:rPr>
            </w:pPr>
            <w:r w:rsidRPr="002839B6">
              <w:rPr>
                <w:i/>
                <w:szCs w:val="19"/>
              </w:rPr>
              <w:t>August 2015</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5625B2C7" w14:textId="77777777" w:rsidR="0033479F" w:rsidRPr="002839B6" w:rsidRDefault="0033479F" w:rsidP="005722D1">
            <w:pPr>
              <w:jc w:val="left"/>
              <w:rPr>
                <w:szCs w:val="19"/>
              </w:rPr>
            </w:pPr>
            <w:proofErr w:type="spellStart"/>
            <w:r w:rsidRPr="002839B6">
              <w:rPr>
                <w:szCs w:val="19"/>
              </w:rPr>
              <w:t>AASB</w:t>
            </w:r>
            <w:proofErr w:type="spellEnd"/>
            <w:r w:rsidRPr="002839B6">
              <w:rPr>
                <w:szCs w:val="19"/>
              </w:rPr>
              <w:t> 119 – The Limit on a Defined Benefit Asset, Minimum Funding Requirements and their Interaction</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7F485441" w14:textId="77777777" w:rsidR="0033479F" w:rsidRPr="002839B6" w:rsidRDefault="0033479F" w:rsidP="005722D1">
            <w:pPr>
              <w:jc w:val="left"/>
              <w:rPr>
                <w:szCs w:val="19"/>
              </w:rPr>
            </w:pPr>
            <w:r w:rsidRPr="002839B6">
              <w:rPr>
                <w:szCs w:val="19"/>
              </w:rPr>
              <w:t>(beginning)</w:t>
            </w:r>
          </w:p>
          <w:p w14:paraId="14D54B42" w14:textId="77777777" w:rsidR="0033479F" w:rsidRPr="002839B6" w:rsidRDefault="0033479F" w:rsidP="005722D1">
            <w:pPr>
              <w:jc w:val="left"/>
              <w:rPr>
                <w:szCs w:val="19"/>
              </w:rPr>
            </w:pPr>
            <w:r w:rsidRPr="002839B6">
              <w:rPr>
                <w:szCs w:val="19"/>
              </w:rPr>
              <w:t>1 January 2016</w:t>
            </w:r>
          </w:p>
        </w:tc>
        <w:tc>
          <w:tcPr>
            <w:tcW w:w="766" w:type="pct"/>
            <w:tcBorders>
              <w:top w:val="single" w:sz="4" w:space="0" w:color="auto"/>
              <w:left w:val="single" w:sz="4" w:space="0" w:color="auto"/>
              <w:bottom w:val="single" w:sz="4" w:space="0" w:color="auto"/>
            </w:tcBorders>
            <w:shd w:val="clear" w:color="auto" w:fill="auto"/>
          </w:tcPr>
          <w:p w14:paraId="55B4F060"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14</w:t>
            </w:r>
          </w:p>
        </w:tc>
      </w:tr>
      <w:tr w:rsidR="0033479F" w:rsidRPr="001F769A" w14:paraId="573BA4FD"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72DBB01E" w14:textId="77777777" w:rsidR="0033479F" w:rsidRPr="002839B6" w:rsidRDefault="0033479F" w:rsidP="005722D1">
            <w:pPr>
              <w:jc w:val="left"/>
              <w:rPr>
                <w:szCs w:val="19"/>
              </w:rPr>
            </w:pPr>
            <w:r w:rsidRPr="002839B6">
              <w:rPr>
                <w:szCs w:val="19"/>
              </w:rPr>
              <w:t>16</w:t>
            </w:r>
          </w:p>
          <w:p w14:paraId="71007205" w14:textId="77777777" w:rsidR="0033479F" w:rsidRPr="002839B6" w:rsidRDefault="0033479F" w:rsidP="005722D1">
            <w:pPr>
              <w:jc w:val="left"/>
              <w:rPr>
                <w:i/>
                <w:szCs w:val="19"/>
              </w:rPr>
            </w:pPr>
            <w:r w:rsidRPr="002839B6">
              <w:rPr>
                <w:i/>
                <w:szCs w:val="19"/>
              </w:rPr>
              <w:t>June 2024</w:t>
            </w:r>
          </w:p>
          <w:p w14:paraId="39232539"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1457DBD8" w14:textId="77777777" w:rsidR="0033479F" w:rsidRPr="002839B6" w:rsidRDefault="0033479F" w:rsidP="005722D1">
            <w:pPr>
              <w:jc w:val="left"/>
              <w:rPr>
                <w:szCs w:val="19"/>
              </w:rPr>
            </w:pPr>
            <w:r w:rsidRPr="002839B6">
              <w:rPr>
                <w:szCs w:val="19"/>
              </w:rPr>
              <w:t>Hedges of a Net Investment in a Foreign Operation</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0999A2AC" w14:textId="77777777" w:rsidR="0033479F" w:rsidRPr="002839B6" w:rsidRDefault="0033479F" w:rsidP="005722D1">
            <w:pPr>
              <w:jc w:val="left"/>
              <w:rPr>
                <w:szCs w:val="19"/>
              </w:rPr>
            </w:pPr>
            <w:r w:rsidRPr="002839B6">
              <w:rPr>
                <w:szCs w:val="19"/>
              </w:rPr>
              <w:t>(beginning)</w:t>
            </w:r>
          </w:p>
          <w:p w14:paraId="6602529C"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0228185F"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16</w:t>
            </w:r>
          </w:p>
        </w:tc>
      </w:tr>
      <w:tr w:rsidR="00974F5D" w:rsidRPr="001F769A" w14:paraId="7481E7AD"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47420EBD" w14:textId="77777777" w:rsidR="00974F5D" w:rsidRPr="002839B6" w:rsidRDefault="00974F5D" w:rsidP="005722D1">
            <w:pPr>
              <w:jc w:val="left"/>
              <w:rPr>
                <w:szCs w:val="19"/>
              </w:rPr>
            </w:pPr>
            <w:r w:rsidRPr="002839B6">
              <w:rPr>
                <w:szCs w:val="19"/>
              </w:rPr>
              <w:t>16</w:t>
            </w:r>
          </w:p>
          <w:p w14:paraId="4C3C4CEA" w14:textId="6A9E9D09" w:rsidR="00974F5D" w:rsidRPr="002839B6" w:rsidRDefault="00974F5D" w:rsidP="005722D1">
            <w:pPr>
              <w:jc w:val="left"/>
              <w:rPr>
                <w:i/>
                <w:szCs w:val="19"/>
              </w:rPr>
            </w:pPr>
            <w:r>
              <w:rPr>
                <w:i/>
                <w:szCs w:val="19"/>
              </w:rPr>
              <w:t>December 2021</w:t>
            </w:r>
          </w:p>
          <w:p w14:paraId="405F8832" w14:textId="77777777" w:rsidR="00974F5D" w:rsidRPr="002839B6" w:rsidRDefault="00974F5D"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2BF8C22D" w14:textId="77777777" w:rsidR="00974F5D" w:rsidRPr="002839B6" w:rsidRDefault="00974F5D" w:rsidP="005722D1">
            <w:pPr>
              <w:jc w:val="left"/>
              <w:rPr>
                <w:szCs w:val="19"/>
              </w:rPr>
            </w:pPr>
            <w:r w:rsidRPr="002839B6">
              <w:rPr>
                <w:szCs w:val="19"/>
              </w:rPr>
              <w:t>Hedges of a Net Investment in a Foreign Operation</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013E144A" w14:textId="77777777" w:rsidR="00974F5D" w:rsidRPr="002839B6" w:rsidRDefault="00974F5D" w:rsidP="005722D1">
            <w:pPr>
              <w:jc w:val="left"/>
              <w:rPr>
                <w:szCs w:val="19"/>
              </w:rPr>
            </w:pPr>
            <w:r w:rsidRPr="002839B6">
              <w:rPr>
                <w:szCs w:val="19"/>
              </w:rPr>
              <w:t>(beginning)</w:t>
            </w:r>
          </w:p>
          <w:p w14:paraId="459D097D" w14:textId="07ED7771" w:rsidR="00974F5D" w:rsidRPr="002839B6" w:rsidRDefault="00974F5D" w:rsidP="005722D1">
            <w:pPr>
              <w:jc w:val="left"/>
              <w:rPr>
                <w:szCs w:val="19"/>
              </w:rPr>
            </w:pPr>
            <w:r w:rsidRPr="002839B6">
              <w:rPr>
                <w:szCs w:val="19"/>
              </w:rPr>
              <w:t>1 January 202</w:t>
            </w:r>
            <w:r>
              <w:rPr>
                <w:szCs w:val="19"/>
              </w:rPr>
              <w:t>2</w:t>
            </w:r>
          </w:p>
        </w:tc>
        <w:tc>
          <w:tcPr>
            <w:tcW w:w="766" w:type="pct"/>
            <w:tcBorders>
              <w:top w:val="single" w:sz="4" w:space="0" w:color="auto"/>
              <w:left w:val="single" w:sz="4" w:space="0" w:color="auto"/>
              <w:bottom w:val="single" w:sz="4" w:space="0" w:color="auto"/>
            </w:tcBorders>
            <w:shd w:val="clear" w:color="auto" w:fill="auto"/>
          </w:tcPr>
          <w:p w14:paraId="3481D981" w14:textId="77777777" w:rsidR="00974F5D" w:rsidRPr="002839B6" w:rsidRDefault="00974F5D" w:rsidP="005722D1">
            <w:pPr>
              <w:jc w:val="left"/>
              <w:rPr>
                <w:szCs w:val="19"/>
              </w:rPr>
            </w:pPr>
            <w:proofErr w:type="spellStart"/>
            <w:r w:rsidRPr="002839B6">
              <w:rPr>
                <w:szCs w:val="19"/>
              </w:rPr>
              <w:t>IFRIC</w:t>
            </w:r>
            <w:proofErr w:type="spellEnd"/>
            <w:r w:rsidRPr="002839B6">
              <w:rPr>
                <w:szCs w:val="19"/>
              </w:rPr>
              <w:t xml:space="preserve"> 16</w:t>
            </w:r>
          </w:p>
        </w:tc>
      </w:tr>
      <w:tr w:rsidR="0033479F" w:rsidRPr="001F769A" w14:paraId="2C785764"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1DE3E636" w14:textId="77777777" w:rsidR="0033479F" w:rsidRPr="002839B6" w:rsidRDefault="0033479F" w:rsidP="005722D1">
            <w:pPr>
              <w:jc w:val="left"/>
              <w:rPr>
                <w:szCs w:val="19"/>
              </w:rPr>
            </w:pPr>
            <w:r w:rsidRPr="002839B6">
              <w:rPr>
                <w:szCs w:val="19"/>
              </w:rPr>
              <w:t>17</w:t>
            </w:r>
          </w:p>
          <w:p w14:paraId="4B03762A" w14:textId="77777777" w:rsidR="0033479F" w:rsidRPr="002839B6" w:rsidRDefault="0033479F" w:rsidP="005722D1">
            <w:pPr>
              <w:jc w:val="left"/>
              <w:rPr>
                <w:i/>
                <w:szCs w:val="19"/>
              </w:rPr>
            </w:pPr>
            <w:r w:rsidRPr="002839B6">
              <w:rPr>
                <w:i/>
                <w:szCs w:val="19"/>
              </w:rPr>
              <w:t>June 2024</w:t>
            </w:r>
          </w:p>
          <w:p w14:paraId="5ED90D36"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47DCB64B" w14:textId="77777777" w:rsidR="0033479F" w:rsidRPr="002839B6" w:rsidRDefault="0033479F" w:rsidP="005722D1">
            <w:pPr>
              <w:jc w:val="left"/>
              <w:rPr>
                <w:szCs w:val="19"/>
              </w:rPr>
            </w:pPr>
            <w:r w:rsidRPr="002839B6">
              <w:rPr>
                <w:szCs w:val="19"/>
              </w:rPr>
              <w:t>Distributions of Non-cash Assets to Owners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794A47BD" w14:textId="77777777" w:rsidR="0033479F" w:rsidRPr="002839B6" w:rsidRDefault="0033479F" w:rsidP="005722D1">
            <w:pPr>
              <w:jc w:val="left"/>
              <w:rPr>
                <w:szCs w:val="19"/>
              </w:rPr>
            </w:pPr>
            <w:r w:rsidRPr="002839B6">
              <w:rPr>
                <w:szCs w:val="19"/>
              </w:rPr>
              <w:t>(beginning)</w:t>
            </w:r>
          </w:p>
          <w:p w14:paraId="31AF1E77"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26307800"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17</w:t>
            </w:r>
          </w:p>
        </w:tc>
      </w:tr>
      <w:tr w:rsidR="00F609EB" w:rsidRPr="001F769A" w14:paraId="766E1DD7"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62ECB34A" w14:textId="77777777" w:rsidR="00F609EB" w:rsidRPr="002839B6" w:rsidRDefault="00F609EB" w:rsidP="005722D1">
            <w:pPr>
              <w:jc w:val="left"/>
              <w:rPr>
                <w:szCs w:val="19"/>
              </w:rPr>
            </w:pPr>
            <w:r w:rsidRPr="002839B6">
              <w:rPr>
                <w:szCs w:val="19"/>
              </w:rPr>
              <w:lastRenderedPageBreak/>
              <w:t>17</w:t>
            </w:r>
          </w:p>
          <w:p w14:paraId="2DA710F9" w14:textId="67B0BCEE" w:rsidR="00F609EB" w:rsidRPr="002839B6" w:rsidRDefault="00F609EB" w:rsidP="005722D1">
            <w:pPr>
              <w:jc w:val="left"/>
              <w:rPr>
                <w:i/>
                <w:szCs w:val="19"/>
              </w:rPr>
            </w:pPr>
            <w:r>
              <w:rPr>
                <w:i/>
                <w:szCs w:val="19"/>
              </w:rPr>
              <w:t>December 2021</w:t>
            </w:r>
          </w:p>
          <w:p w14:paraId="7D42FA4B" w14:textId="77777777" w:rsidR="00F609EB" w:rsidRPr="002839B6" w:rsidRDefault="00F609EB"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0D890749" w14:textId="77777777" w:rsidR="00F609EB" w:rsidRPr="002839B6" w:rsidRDefault="00F609EB" w:rsidP="005722D1">
            <w:pPr>
              <w:jc w:val="left"/>
              <w:rPr>
                <w:szCs w:val="19"/>
              </w:rPr>
            </w:pPr>
            <w:r w:rsidRPr="002839B6">
              <w:rPr>
                <w:szCs w:val="19"/>
              </w:rPr>
              <w:t>Distributions of Non-cash Assets to Owners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5CE92EB2" w14:textId="77777777" w:rsidR="00F609EB" w:rsidRPr="002839B6" w:rsidRDefault="00F609EB" w:rsidP="005722D1">
            <w:pPr>
              <w:jc w:val="left"/>
              <w:rPr>
                <w:szCs w:val="19"/>
              </w:rPr>
            </w:pPr>
            <w:r w:rsidRPr="002839B6">
              <w:rPr>
                <w:szCs w:val="19"/>
              </w:rPr>
              <w:t>(beginning)</w:t>
            </w:r>
          </w:p>
          <w:p w14:paraId="78B13ED3" w14:textId="34AD9218" w:rsidR="00F609EB" w:rsidRPr="002839B6" w:rsidRDefault="00F609EB" w:rsidP="005722D1">
            <w:pPr>
              <w:jc w:val="left"/>
              <w:rPr>
                <w:szCs w:val="19"/>
              </w:rPr>
            </w:pPr>
            <w:r w:rsidRPr="002839B6">
              <w:rPr>
                <w:szCs w:val="19"/>
              </w:rPr>
              <w:t>1 January 202</w:t>
            </w:r>
            <w:r>
              <w:rPr>
                <w:szCs w:val="19"/>
              </w:rPr>
              <w:t>2</w:t>
            </w:r>
          </w:p>
        </w:tc>
        <w:tc>
          <w:tcPr>
            <w:tcW w:w="766" w:type="pct"/>
            <w:tcBorders>
              <w:top w:val="single" w:sz="4" w:space="0" w:color="auto"/>
              <w:left w:val="single" w:sz="4" w:space="0" w:color="auto"/>
              <w:bottom w:val="single" w:sz="4" w:space="0" w:color="auto"/>
            </w:tcBorders>
            <w:shd w:val="clear" w:color="auto" w:fill="auto"/>
          </w:tcPr>
          <w:p w14:paraId="42C40E87" w14:textId="77777777" w:rsidR="00F609EB" w:rsidRPr="002839B6" w:rsidRDefault="00F609EB" w:rsidP="005722D1">
            <w:pPr>
              <w:jc w:val="left"/>
              <w:rPr>
                <w:szCs w:val="19"/>
              </w:rPr>
            </w:pPr>
            <w:proofErr w:type="spellStart"/>
            <w:r w:rsidRPr="002839B6">
              <w:rPr>
                <w:szCs w:val="19"/>
              </w:rPr>
              <w:t>IFRIC</w:t>
            </w:r>
            <w:proofErr w:type="spellEnd"/>
            <w:r w:rsidRPr="002839B6">
              <w:rPr>
                <w:szCs w:val="19"/>
              </w:rPr>
              <w:t xml:space="preserve"> 17</w:t>
            </w:r>
          </w:p>
        </w:tc>
      </w:tr>
      <w:tr w:rsidR="0033479F" w:rsidRPr="001F769A" w14:paraId="40ED7D90"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522D427E" w14:textId="77777777" w:rsidR="0033479F" w:rsidRPr="002839B6" w:rsidRDefault="0033479F" w:rsidP="005722D1">
            <w:pPr>
              <w:jc w:val="left"/>
              <w:rPr>
                <w:szCs w:val="19"/>
              </w:rPr>
            </w:pPr>
            <w:r w:rsidRPr="002839B6">
              <w:rPr>
                <w:szCs w:val="19"/>
              </w:rPr>
              <w:t>19</w:t>
            </w:r>
          </w:p>
          <w:p w14:paraId="2D5CAA73" w14:textId="77777777" w:rsidR="0033479F" w:rsidRPr="002839B6" w:rsidRDefault="0033479F" w:rsidP="005722D1">
            <w:pPr>
              <w:jc w:val="left"/>
              <w:rPr>
                <w:i/>
                <w:szCs w:val="19"/>
              </w:rPr>
            </w:pPr>
            <w:r w:rsidRPr="002839B6">
              <w:rPr>
                <w:i/>
                <w:szCs w:val="19"/>
              </w:rPr>
              <w:t>June 2024</w:t>
            </w:r>
          </w:p>
          <w:p w14:paraId="5703CCFA"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47DB6C6F" w14:textId="77777777" w:rsidR="0033479F" w:rsidRPr="002839B6" w:rsidRDefault="0033479F" w:rsidP="005722D1">
            <w:pPr>
              <w:jc w:val="left"/>
              <w:rPr>
                <w:szCs w:val="19"/>
              </w:rPr>
            </w:pPr>
            <w:r w:rsidRPr="002839B6">
              <w:rPr>
                <w:szCs w:val="19"/>
              </w:rPr>
              <w:t>Extinguishing Financial Liabilities with Equity Instruments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47DBC174" w14:textId="77777777" w:rsidR="0033479F" w:rsidRPr="002839B6" w:rsidRDefault="0033479F" w:rsidP="005722D1">
            <w:pPr>
              <w:jc w:val="left"/>
              <w:rPr>
                <w:szCs w:val="19"/>
              </w:rPr>
            </w:pPr>
            <w:r w:rsidRPr="002839B6">
              <w:rPr>
                <w:szCs w:val="19"/>
              </w:rPr>
              <w:t>(beginning)</w:t>
            </w:r>
          </w:p>
          <w:p w14:paraId="549964E4"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1BC0724C"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19</w:t>
            </w:r>
          </w:p>
        </w:tc>
      </w:tr>
      <w:tr w:rsidR="0033479F" w:rsidRPr="001F769A" w14:paraId="515078FB"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71F6E0BD" w14:textId="77777777" w:rsidR="0033479F" w:rsidRPr="002839B6" w:rsidRDefault="0033479F" w:rsidP="005722D1">
            <w:pPr>
              <w:jc w:val="left"/>
              <w:rPr>
                <w:szCs w:val="19"/>
              </w:rPr>
            </w:pPr>
            <w:r w:rsidRPr="002839B6">
              <w:rPr>
                <w:szCs w:val="19"/>
              </w:rPr>
              <w:t>19</w:t>
            </w:r>
          </w:p>
          <w:p w14:paraId="2718B44A" w14:textId="77777777" w:rsidR="0033479F" w:rsidRPr="002839B6" w:rsidRDefault="0033479F" w:rsidP="005722D1">
            <w:pPr>
              <w:jc w:val="left"/>
              <w:rPr>
                <w:i/>
                <w:szCs w:val="19"/>
              </w:rPr>
            </w:pPr>
            <w:r w:rsidRPr="002839B6">
              <w:rPr>
                <w:i/>
                <w:szCs w:val="19"/>
              </w:rPr>
              <w:t>May 2019</w:t>
            </w:r>
          </w:p>
          <w:p w14:paraId="79C937A5"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3768C10F" w14:textId="77777777" w:rsidR="0033479F" w:rsidRPr="002839B6" w:rsidRDefault="0033479F" w:rsidP="005722D1">
            <w:pPr>
              <w:jc w:val="left"/>
              <w:rPr>
                <w:szCs w:val="19"/>
              </w:rPr>
            </w:pPr>
            <w:r w:rsidRPr="002839B6">
              <w:rPr>
                <w:szCs w:val="19"/>
              </w:rPr>
              <w:t>Extinguishing Financial Liabilities with Equity Instruments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48C329B3" w14:textId="77777777" w:rsidR="0033479F" w:rsidRPr="002839B6" w:rsidRDefault="0033479F" w:rsidP="005722D1">
            <w:pPr>
              <w:jc w:val="left"/>
              <w:rPr>
                <w:szCs w:val="19"/>
              </w:rPr>
            </w:pPr>
            <w:r w:rsidRPr="002839B6">
              <w:rPr>
                <w:szCs w:val="19"/>
              </w:rPr>
              <w:t>(beginning)</w:t>
            </w:r>
          </w:p>
          <w:p w14:paraId="02239C49" w14:textId="77777777" w:rsidR="0033479F" w:rsidRPr="002839B6" w:rsidRDefault="0033479F" w:rsidP="005722D1">
            <w:pPr>
              <w:jc w:val="left"/>
              <w:rPr>
                <w:szCs w:val="19"/>
              </w:rPr>
            </w:pPr>
            <w:r w:rsidRPr="002839B6">
              <w:rPr>
                <w:szCs w:val="19"/>
              </w:rPr>
              <w:t>1 January 2020</w:t>
            </w:r>
          </w:p>
        </w:tc>
        <w:tc>
          <w:tcPr>
            <w:tcW w:w="766" w:type="pct"/>
            <w:tcBorders>
              <w:top w:val="single" w:sz="4" w:space="0" w:color="auto"/>
              <w:left w:val="single" w:sz="4" w:space="0" w:color="auto"/>
              <w:bottom w:val="single" w:sz="4" w:space="0" w:color="auto"/>
            </w:tcBorders>
            <w:shd w:val="clear" w:color="auto" w:fill="auto"/>
          </w:tcPr>
          <w:p w14:paraId="2B2F5158"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19</w:t>
            </w:r>
          </w:p>
        </w:tc>
      </w:tr>
      <w:tr w:rsidR="0033479F" w:rsidRPr="001F769A" w14:paraId="6DEC5C3B"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1B2D8C24" w14:textId="77777777" w:rsidR="0033479F" w:rsidRPr="002839B6" w:rsidRDefault="0033479F" w:rsidP="005722D1">
            <w:pPr>
              <w:jc w:val="left"/>
              <w:rPr>
                <w:szCs w:val="19"/>
              </w:rPr>
            </w:pPr>
            <w:r w:rsidRPr="002839B6">
              <w:rPr>
                <w:szCs w:val="19"/>
              </w:rPr>
              <w:t>20</w:t>
            </w:r>
          </w:p>
          <w:p w14:paraId="3D65FD79" w14:textId="77777777" w:rsidR="0033479F" w:rsidRPr="002839B6" w:rsidRDefault="0033479F" w:rsidP="005722D1">
            <w:pPr>
              <w:jc w:val="left"/>
              <w:rPr>
                <w:i/>
                <w:szCs w:val="19"/>
              </w:rPr>
            </w:pPr>
            <w:r w:rsidRPr="002839B6">
              <w:rPr>
                <w:i/>
                <w:szCs w:val="19"/>
              </w:rPr>
              <w:t>June 2024</w:t>
            </w:r>
          </w:p>
          <w:p w14:paraId="0CB9CDDF"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4F1B9F5B" w14:textId="77777777" w:rsidR="0033479F" w:rsidRPr="002839B6" w:rsidRDefault="0033479F" w:rsidP="005722D1">
            <w:pPr>
              <w:jc w:val="left"/>
              <w:rPr>
                <w:szCs w:val="19"/>
              </w:rPr>
            </w:pPr>
            <w:r w:rsidRPr="002839B6">
              <w:rPr>
                <w:szCs w:val="19"/>
              </w:rPr>
              <w:t>Stripping Costs in the Production Phase of a Surface Mine</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71BD3A80" w14:textId="77777777" w:rsidR="0033479F" w:rsidRPr="002839B6" w:rsidRDefault="0033479F" w:rsidP="005722D1">
            <w:pPr>
              <w:jc w:val="left"/>
              <w:rPr>
                <w:szCs w:val="19"/>
              </w:rPr>
            </w:pPr>
            <w:r w:rsidRPr="002839B6">
              <w:rPr>
                <w:szCs w:val="19"/>
              </w:rPr>
              <w:t>(beginning)</w:t>
            </w:r>
          </w:p>
          <w:p w14:paraId="037A358B"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0264BE7C"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20</w:t>
            </w:r>
          </w:p>
        </w:tc>
      </w:tr>
      <w:tr w:rsidR="0033479F" w:rsidRPr="001F769A" w14:paraId="00163B53"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1F9B44B1" w14:textId="77777777" w:rsidR="0033479F" w:rsidRPr="002839B6" w:rsidRDefault="0033479F" w:rsidP="005722D1">
            <w:pPr>
              <w:jc w:val="left"/>
              <w:rPr>
                <w:szCs w:val="19"/>
              </w:rPr>
            </w:pPr>
            <w:r w:rsidRPr="002839B6">
              <w:rPr>
                <w:szCs w:val="19"/>
              </w:rPr>
              <w:t>20</w:t>
            </w:r>
          </w:p>
          <w:p w14:paraId="22A6EB15" w14:textId="77777777" w:rsidR="0033479F" w:rsidRPr="002839B6" w:rsidRDefault="0033479F" w:rsidP="005722D1">
            <w:pPr>
              <w:jc w:val="left"/>
              <w:rPr>
                <w:i/>
                <w:szCs w:val="19"/>
              </w:rPr>
            </w:pPr>
            <w:r w:rsidRPr="002839B6">
              <w:rPr>
                <w:i/>
                <w:szCs w:val="19"/>
              </w:rPr>
              <w:t xml:space="preserve">May 2019 </w:t>
            </w:r>
          </w:p>
          <w:p w14:paraId="7895419E"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1103450F" w14:textId="77777777" w:rsidR="0033479F" w:rsidRPr="002839B6" w:rsidRDefault="0033479F" w:rsidP="005722D1">
            <w:pPr>
              <w:jc w:val="left"/>
              <w:rPr>
                <w:szCs w:val="19"/>
              </w:rPr>
            </w:pPr>
            <w:r w:rsidRPr="002839B6">
              <w:rPr>
                <w:szCs w:val="19"/>
              </w:rPr>
              <w:t>Stripping Costs in the Production Phase of a Surface Mine</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457D1143" w14:textId="77777777" w:rsidR="0033479F" w:rsidRPr="002839B6" w:rsidRDefault="0033479F" w:rsidP="005722D1">
            <w:pPr>
              <w:jc w:val="left"/>
              <w:rPr>
                <w:szCs w:val="19"/>
              </w:rPr>
            </w:pPr>
            <w:r w:rsidRPr="002839B6">
              <w:rPr>
                <w:szCs w:val="19"/>
              </w:rPr>
              <w:t>(beginning)</w:t>
            </w:r>
          </w:p>
          <w:p w14:paraId="6A0C15BF" w14:textId="77777777" w:rsidR="0033479F" w:rsidRPr="002839B6" w:rsidRDefault="0033479F" w:rsidP="005722D1">
            <w:pPr>
              <w:jc w:val="left"/>
              <w:rPr>
                <w:szCs w:val="19"/>
              </w:rPr>
            </w:pPr>
            <w:r w:rsidRPr="002839B6">
              <w:rPr>
                <w:szCs w:val="19"/>
              </w:rPr>
              <w:t>1 January 2020</w:t>
            </w:r>
          </w:p>
        </w:tc>
        <w:tc>
          <w:tcPr>
            <w:tcW w:w="766" w:type="pct"/>
            <w:tcBorders>
              <w:top w:val="single" w:sz="4" w:space="0" w:color="auto"/>
              <w:left w:val="single" w:sz="4" w:space="0" w:color="auto"/>
              <w:bottom w:val="single" w:sz="4" w:space="0" w:color="auto"/>
            </w:tcBorders>
            <w:shd w:val="clear" w:color="auto" w:fill="auto"/>
          </w:tcPr>
          <w:p w14:paraId="6CAB3B7E"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20</w:t>
            </w:r>
          </w:p>
        </w:tc>
      </w:tr>
      <w:tr w:rsidR="0033479F" w:rsidRPr="001F769A" w14:paraId="5EB186D1"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5C166673" w14:textId="77777777" w:rsidR="0033479F" w:rsidRPr="002839B6" w:rsidRDefault="0033479F" w:rsidP="005722D1">
            <w:pPr>
              <w:jc w:val="left"/>
              <w:rPr>
                <w:szCs w:val="19"/>
              </w:rPr>
            </w:pPr>
            <w:r w:rsidRPr="002839B6">
              <w:rPr>
                <w:szCs w:val="19"/>
              </w:rPr>
              <w:t>21</w:t>
            </w:r>
          </w:p>
          <w:p w14:paraId="62653526" w14:textId="77777777" w:rsidR="0033479F" w:rsidRPr="002839B6" w:rsidRDefault="0033479F" w:rsidP="005722D1">
            <w:pPr>
              <w:jc w:val="left"/>
              <w:rPr>
                <w:i/>
                <w:szCs w:val="19"/>
              </w:rPr>
            </w:pPr>
            <w:r w:rsidRPr="002839B6">
              <w:rPr>
                <w:i/>
                <w:szCs w:val="19"/>
              </w:rPr>
              <w:t>June 2024</w:t>
            </w:r>
          </w:p>
          <w:p w14:paraId="5FB4D7CE"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37C7F458" w14:textId="77777777" w:rsidR="0033479F" w:rsidRPr="002839B6" w:rsidRDefault="0033479F" w:rsidP="005722D1">
            <w:pPr>
              <w:jc w:val="left"/>
              <w:rPr>
                <w:szCs w:val="19"/>
              </w:rPr>
            </w:pPr>
            <w:r w:rsidRPr="002839B6">
              <w:rPr>
                <w:szCs w:val="19"/>
              </w:rPr>
              <w:t>Levies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0CF5AD23" w14:textId="77777777" w:rsidR="0033479F" w:rsidRPr="002839B6" w:rsidRDefault="0033479F" w:rsidP="005722D1">
            <w:pPr>
              <w:jc w:val="left"/>
              <w:rPr>
                <w:szCs w:val="19"/>
              </w:rPr>
            </w:pPr>
            <w:r w:rsidRPr="002839B6">
              <w:rPr>
                <w:szCs w:val="19"/>
              </w:rPr>
              <w:t>(beginning)</w:t>
            </w:r>
          </w:p>
          <w:p w14:paraId="47FFD109"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3C031E63"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21</w:t>
            </w:r>
          </w:p>
        </w:tc>
      </w:tr>
      <w:tr w:rsidR="0033479F" w:rsidRPr="001F769A" w14:paraId="1AC35A94"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5B8DEB5F" w14:textId="77777777" w:rsidR="0033479F" w:rsidRPr="002839B6" w:rsidRDefault="0033479F" w:rsidP="005722D1">
            <w:pPr>
              <w:jc w:val="left"/>
              <w:rPr>
                <w:szCs w:val="19"/>
              </w:rPr>
            </w:pPr>
            <w:r w:rsidRPr="002839B6">
              <w:rPr>
                <w:szCs w:val="19"/>
              </w:rPr>
              <w:t>21</w:t>
            </w:r>
          </w:p>
          <w:p w14:paraId="6E8B877B" w14:textId="77777777" w:rsidR="0033479F" w:rsidRPr="002839B6" w:rsidRDefault="0033479F" w:rsidP="005722D1">
            <w:pPr>
              <w:jc w:val="left"/>
              <w:rPr>
                <w:i/>
                <w:szCs w:val="19"/>
              </w:rPr>
            </w:pPr>
            <w:r w:rsidRPr="002839B6">
              <w:rPr>
                <w:i/>
                <w:szCs w:val="19"/>
              </w:rPr>
              <w:t>August 2015</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79D97011" w14:textId="77777777" w:rsidR="0033479F" w:rsidRPr="002839B6" w:rsidRDefault="0033479F" w:rsidP="005722D1">
            <w:pPr>
              <w:jc w:val="left"/>
              <w:rPr>
                <w:szCs w:val="19"/>
              </w:rPr>
            </w:pPr>
            <w:r w:rsidRPr="002839B6">
              <w:rPr>
                <w:szCs w:val="19"/>
              </w:rPr>
              <w:t>Levies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25AD3C15" w14:textId="77777777" w:rsidR="0033479F" w:rsidRPr="002839B6" w:rsidRDefault="0033479F" w:rsidP="005722D1">
            <w:pPr>
              <w:jc w:val="left"/>
              <w:rPr>
                <w:szCs w:val="19"/>
              </w:rPr>
            </w:pPr>
            <w:r w:rsidRPr="002839B6">
              <w:rPr>
                <w:szCs w:val="19"/>
              </w:rPr>
              <w:t>(beginning)</w:t>
            </w:r>
          </w:p>
          <w:p w14:paraId="01E6A782" w14:textId="77777777" w:rsidR="0033479F" w:rsidRPr="002839B6" w:rsidRDefault="0033479F" w:rsidP="005722D1">
            <w:pPr>
              <w:jc w:val="left"/>
              <w:rPr>
                <w:szCs w:val="19"/>
              </w:rPr>
            </w:pPr>
            <w:r w:rsidRPr="002839B6">
              <w:rPr>
                <w:szCs w:val="19"/>
              </w:rPr>
              <w:t>1 January 2016</w:t>
            </w:r>
          </w:p>
        </w:tc>
        <w:tc>
          <w:tcPr>
            <w:tcW w:w="766" w:type="pct"/>
            <w:tcBorders>
              <w:top w:val="single" w:sz="4" w:space="0" w:color="auto"/>
              <w:left w:val="single" w:sz="4" w:space="0" w:color="auto"/>
              <w:bottom w:val="single" w:sz="4" w:space="0" w:color="auto"/>
            </w:tcBorders>
            <w:shd w:val="clear" w:color="auto" w:fill="auto"/>
          </w:tcPr>
          <w:p w14:paraId="08B4CA59"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21</w:t>
            </w:r>
          </w:p>
        </w:tc>
      </w:tr>
      <w:tr w:rsidR="0033479F" w:rsidRPr="001D39C9" w14:paraId="4C68E75B"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5376AA9C" w14:textId="77777777" w:rsidR="0033479F" w:rsidRPr="002839B6" w:rsidRDefault="0033479F" w:rsidP="005722D1">
            <w:pPr>
              <w:jc w:val="left"/>
              <w:rPr>
                <w:szCs w:val="19"/>
              </w:rPr>
            </w:pPr>
            <w:r w:rsidRPr="002839B6">
              <w:rPr>
                <w:szCs w:val="19"/>
              </w:rPr>
              <w:t>22</w:t>
            </w:r>
          </w:p>
          <w:p w14:paraId="0A7BFEE0" w14:textId="77777777" w:rsidR="0033479F" w:rsidRPr="002839B6" w:rsidRDefault="0033479F" w:rsidP="005722D1">
            <w:pPr>
              <w:jc w:val="left"/>
              <w:rPr>
                <w:i/>
                <w:szCs w:val="19"/>
              </w:rPr>
            </w:pPr>
            <w:r w:rsidRPr="002839B6">
              <w:rPr>
                <w:i/>
                <w:szCs w:val="19"/>
              </w:rPr>
              <w:t>June 2024</w:t>
            </w:r>
          </w:p>
          <w:p w14:paraId="51ED8B3A"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2102FE39" w14:textId="77777777" w:rsidR="0033479F" w:rsidRPr="002839B6" w:rsidRDefault="0033479F" w:rsidP="005722D1">
            <w:pPr>
              <w:jc w:val="left"/>
              <w:rPr>
                <w:szCs w:val="19"/>
              </w:rPr>
            </w:pPr>
            <w:r w:rsidRPr="002839B6">
              <w:rPr>
                <w:szCs w:val="19"/>
              </w:rPr>
              <w:t>Foreign Currency Transactions and Advance Consideration</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0ADF957F" w14:textId="77777777" w:rsidR="0033479F" w:rsidRPr="002839B6" w:rsidRDefault="0033479F" w:rsidP="005722D1">
            <w:pPr>
              <w:jc w:val="left"/>
              <w:rPr>
                <w:szCs w:val="19"/>
              </w:rPr>
            </w:pPr>
            <w:r w:rsidRPr="002839B6">
              <w:rPr>
                <w:szCs w:val="19"/>
              </w:rPr>
              <w:t>(beginning)</w:t>
            </w:r>
          </w:p>
          <w:p w14:paraId="3E76D2DF"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6F849584"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22</w:t>
            </w:r>
          </w:p>
        </w:tc>
      </w:tr>
      <w:tr w:rsidR="0033479F" w:rsidRPr="001D39C9" w14:paraId="01666E94"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6F807861" w14:textId="77777777" w:rsidR="0033479F" w:rsidRPr="002839B6" w:rsidRDefault="0033479F" w:rsidP="005722D1">
            <w:pPr>
              <w:jc w:val="left"/>
              <w:rPr>
                <w:szCs w:val="19"/>
              </w:rPr>
            </w:pPr>
            <w:r w:rsidRPr="002839B6">
              <w:rPr>
                <w:szCs w:val="19"/>
              </w:rPr>
              <w:t>22</w:t>
            </w:r>
          </w:p>
          <w:p w14:paraId="2E9717C7" w14:textId="77777777" w:rsidR="0033479F" w:rsidRPr="002839B6" w:rsidRDefault="0033479F" w:rsidP="005722D1">
            <w:pPr>
              <w:jc w:val="left"/>
              <w:rPr>
                <w:i/>
                <w:szCs w:val="19"/>
              </w:rPr>
            </w:pPr>
            <w:r w:rsidRPr="002839B6">
              <w:rPr>
                <w:i/>
                <w:szCs w:val="19"/>
              </w:rPr>
              <w:t>May 2019</w:t>
            </w:r>
          </w:p>
          <w:p w14:paraId="7577EE8D"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15079F72" w14:textId="77777777" w:rsidR="0033479F" w:rsidRPr="002839B6" w:rsidRDefault="0033479F" w:rsidP="005722D1">
            <w:pPr>
              <w:jc w:val="left"/>
              <w:rPr>
                <w:szCs w:val="19"/>
              </w:rPr>
            </w:pPr>
            <w:r w:rsidRPr="002839B6">
              <w:rPr>
                <w:szCs w:val="19"/>
              </w:rPr>
              <w:t>Foreign Currency Transactions and Advance Consideration</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607C9494" w14:textId="77777777" w:rsidR="0033479F" w:rsidRPr="002839B6" w:rsidRDefault="0033479F" w:rsidP="005722D1">
            <w:pPr>
              <w:jc w:val="left"/>
              <w:rPr>
                <w:szCs w:val="19"/>
              </w:rPr>
            </w:pPr>
            <w:r w:rsidRPr="002839B6">
              <w:rPr>
                <w:szCs w:val="19"/>
              </w:rPr>
              <w:t>(beginning)</w:t>
            </w:r>
          </w:p>
          <w:p w14:paraId="265CEC80" w14:textId="77777777" w:rsidR="0033479F" w:rsidRPr="002839B6" w:rsidRDefault="0033479F" w:rsidP="005722D1">
            <w:pPr>
              <w:jc w:val="left"/>
              <w:rPr>
                <w:szCs w:val="19"/>
              </w:rPr>
            </w:pPr>
            <w:r w:rsidRPr="002839B6">
              <w:rPr>
                <w:szCs w:val="19"/>
              </w:rPr>
              <w:t>1 January 2020</w:t>
            </w:r>
          </w:p>
        </w:tc>
        <w:tc>
          <w:tcPr>
            <w:tcW w:w="766" w:type="pct"/>
            <w:tcBorders>
              <w:top w:val="single" w:sz="4" w:space="0" w:color="auto"/>
              <w:left w:val="single" w:sz="4" w:space="0" w:color="auto"/>
              <w:bottom w:val="single" w:sz="4" w:space="0" w:color="auto"/>
            </w:tcBorders>
            <w:shd w:val="clear" w:color="auto" w:fill="auto"/>
          </w:tcPr>
          <w:p w14:paraId="55E9B235"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22</w:t>
            </w:r>
          </w:p>
        </w:tc>
      </w:tr>
      <w:tr w:rsidR="0033479F" w:rsidRPr="001D39C9" w14:paraId="0C6A0C22"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6DB88BBB" w14:textId="77777777" w:rsidR="0033479F" w:rsidRPr="002839B6" w:rsidRDefault="0033479F" w:rsidP="005722D1">
            <w:pPr>
              <w:jc w:val="left"/>
              <w:rPr>
                <w:szCs w:val="19"/>
              </w:rPr>
            </w:pPr>
            <w:r w:rsidRPr="002839B6">
              <w:rPr>
                <w:szCs w:val="19"/>
              </w:rPr>
              <w:t>23</w:t>
            </w:r>
          </w:p>
          <w:p w14:paraId="5BD578D9" w14:textId="77777777" w:rsidR="0033479F" w:rsidRPr="002839B6" w:rsidRDefault="0033479F" w:rsidP="005722D1">
            <w:pPr>
              <w:jc w:val="left"/>
              <w:rPr>
                <w:i/>
                <w:szCs w:val="19"/>
              </w:rPr>
            </w:pPr>
            <w:r w:rsidRPr="002839B6">
              <w:rPr>
                <w:i/>
                <w:szCs w:val="19"/>
              </w:rPr>
              <w:t>June 2024</w:t>
            </w:r>
          </w:p>
          <w:p w14:paraId="2789F6AC"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72C8F627" w14:textId="77777777" w:rsidR="0033479F" w:rsidRPr="002839B6" w:rsidRDefault="0033479F" w:rsidP="005722D1">
            <w:pPr>
              <w:jc w:val="left"/>
              <w:rPr>
                <w:szCs w:val="19"/>
              </w:rPr>
            </w:pPr>
            <w:r w:rsidRPr="002839B6">
              <w:rPr>
                <w:szCs w:val="19"/>
              </w:rPr>
              <w:t>Uncertainty over Income Tax Treatments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229835EC" w14:textId="77777777" w:rsidR="0033479F" w:rsidRPr="002839B6" w:rsidRDefault="0033479F" w:rsidP="005722D1">
            <w:pPr>
              <w:jc w:val="left"/>
              <w:rPr>
                <w:szCs w:val="19"/>
              </w:rPr>
            </w:pPr>
            <w:r w:rsidRPr="002839B6">
              <w:rPr>
                <w:szCs w:val="19"/>
              </w:rPr>
              <w:t>(beginning)</w:t>
            </w:r>
          </w:p>
          <w:p w14:paraId="44596D09"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35B8C4FE" w14:textId="77777777" w:rsidR="0033479F" w:rsidRPr="002839B6" w:rsidRDefault="0033479F" w:rsidP="005722D1">
            <w:pPr>
              <w:jc w:val="left"/>
              <w:rPr>
                <w:szCs w:val="19"/>
              </w:rPr>
            </w:pPr>
            <w:proofErr w:type="spellStart"/>
            <w:r w:rsidRPr="002839B6">
              <w:rPr>
                <w:szCs w:val="19"/>
              </w:rPr>
              <w:t>IFRIC</w:t>
            </w:r>
            <w:proofErr w:type="spellEnd"/>
            <w:r w:rsidRPr="002839B6">
              <w:rPr>
                <w:szCs w:val="19"/>
              </w:rPr>
              <w:t xml:space="preserve"> 23</w:t>
            </w:r>
          </w:p>
        </w:tc>
      </w:tr>
      <w:tr w:rsidR="00F609EB" w:rsidRPr="001D39C9" w14:paraId="3B1750BA"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1942DFEE" w14:textId="77777777" w:rsidR="00F609EB" w:rsidRPr="002839B6" w:rsidRDefault="00F609EB" w:rsidP="005722D1">
            <w:pPr>
              <w:jc w:val="left"/>
              <w:rPr>
                <w:szCs w:val="19"/>
              </w:rPr>
            </w:pPr>
            <w:r w:rsidRPr="002839B6">
              <w:rPr>
                <w:szCs w:val="19"/>
              </w:rPr>
              <w:t>23</w:t>
            </w:r>
          </w:p>
          <w:p w14:paraId="359559BF" w14:textId="43605BD3" w:rsidR="00F609EB" w:rsidRPr="002839B6" w:rsidRDefault="00F609EB" w:rsidP="005722D1">
            <w:pPr>
              <w:jc w:val="left"/>
              <w:rPr>
                <w:i/>
                <w:szCs w:val="19"/>
              </w:rPr>
            </w:pPr>
            <w:r>
              <w:rPr>
                <w:i/>
                <w:szCs w:val="19"/>
              </w:rPr>
              <w:t>December 2021</w:t>
            </w:r>
          </w:p>
          <w:p w14:paraId="3DA0B546" w14:textId="77777777" w:rsidR="00F609EB" w:rsidRPr="002839B6" w:rsidRDefault="00F609EB"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595723CE" w14:textId="77777777" w:rsidR="00F609EB" w:rsidRPr="002839B6" w:rsidRDefault="00F609EB" w:rsidP="005722D1">
            <w:pPr>
              <w:jc w:val="left"/>
              <w:rPr>
                <w:szCs w:val="19"/>
              </w:rPr>
            </w:pPr>
            <w:r w:rsidRPr="002839B6">
              <w:rPr>
                <w:szCs w:val="19"/>
              </w:rPr>
              <w:t>Uncertainty over Income Tax Treatments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7F058CD2" w14:textId="77777777" w:rsidR="00F609EB" w:rsidRPr="002839B6" w:rsidRDefault="00F609EB" w:rsidP="005722D1">
            <w:pPr>
              <w:jc w:val="left"/>
              <w:rPr>
                <w:szCs w:val="19"/>
              </w:rPr>
            </w:pPr>
            <w:r w:rsidRPr="002839B6">
              <w:rPr>
                <w:szCs w:val="19"/>
              </w:rPr>
              <w:t>(beginning)</w:t>
            </w:r>
          </w:p>
          <w:p w14:paraId="12F83F37" w14:textId="4D5058C4" w:rsidR="00F609EB" w:rsidRPr="002839B6" w:rsidRDefault="00F609EB" w:rsidP="005722D1">
            <w:pPr>
              <w:jc w:val="left"/>
              <w:rPr>
                <w:szCs w:val="19"/>
              </w:rPr>
            </w:pPr>
            <w:r w:rsidRPr="002839B6">
              <w:rPr>
                <w:szCs w:val="19"/>
              </w:rPr>
              <w:t>1 January 202</w:t>
            </w:r>
            <w:r>
              <w:rPr>
                <w:szCs w:val="19"/>
              </w:rPr>
              <w:t>2</w:t>
            </w:r>
          </w:p>
        </w:tc>
        <w:tc>
          <w:tcPr>
            <w:tcW w:w="766" w:type="pct"/>
            <w:tcBorders>
              <w:top w:val="single" w:sz="4" w:space="0" w:color="auto"/>
              <w:left w:val="single" w:sz="4" w:space="0" w:color="auto"/>
              <w:bottom w:val="single" w:sz="4" w:space="0" w:color="auto"/>
            </w:tcBorders>
            <w:shd w:val="clear" w:color="auto" w:fill="auto"/>
          </w:tcPr>
          <w:p w14:paraId="589DDC3F" w14:textId="77777777" w:rsidR="00F609EB" w:rsidRPr="002839B6" w:rsidRDefault="00F609EB" w:rsidP="005722D1">
            <w:pPr>
              <w:jc w:val="left"/>
              <w:rPr>
                <w:szCs w:val="19"/>
              </w:rPr>
            </w:pPr>
            <w:proofErr w:type="spellStart"/>
            <w:r w:rsidRPr="002839B6">
              <w:rPr>
                <w:szCs w:val="19"/>
              </w:rPr>
              <w:t>IFRIC</w:t>
            </w:r>
            <w:proofErr w:type="spellEnd"/>
            <w:r w:rsidRPr="002839B6">
              <w:rPr>
                <w:szCs w:val="19"/>
              </w:rPr>
              <w:t xml:space="preserve"> 23</w:t>
            </w:r>
          </w:p>
        </w:tc>
      </w:tr>
      <w:tr w:rsidR="0033479F" w:rsidRPr="001F769A" w14:paraId="6A4CEC35"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3C411262" w14:textId="77777777" w:rsidR="0033479F" w:rsidRPr="002839B6" w:rsidRDefault="0033479F" w:rsidP="005722D1">
            <w:pPr>
              <w:jc w:val="left"/>
              <w:rPr>
                <w:szCs w:val="19"/>
              </w:rPr>
            </w:pPr>
            <w:r w:rsidRPr="002839B6">
              <w:rPr>
                <w:szCs w:val="19"/>
              </w:rPr>
              <w:t>107</w:t>
            </w:r>
          </w:p>
          <w:p w14:paraId="276B0AAD" w14:textId="77777777" w:rsidR="0033479F" w:rsidRPr="002839B6" w:rsidRDefault="0033479F" w:rsidP="005722D1">
            <w:pPr>
              <w:jc w:val="left"/>
              <w:rPr>
                <w:i/>
                <w:szCs w:val="19"/>
              </w:rPr>
            </w:pPr>
            <w:r w:rsidRPr="002839B6">
              <w:rPr>
                <w:i/>
                <w:szCs w:val="19"/>
              </w:rPr>
              <w:t>June 2024</w:t>
            </w:r>
          </w:p>
          <w:p w14:paraId="508556DA"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2661D864" w14:textId="77777777" w:rsidR="0033479F" w:rsidRPr="002839B6" w:rsidRDefault="0033479F" w:rsidP="005722D1">
            <w:pPr>
              <w:jc w:val="left"/>
              <w:rPr>
                <w:szCs w:val="19"/>
              </w:rPr>
            </w:pPr>
            <w:r w:rsidRPr="002839B6">
              <w:rPr>
                <w:szCs w:val="19"/>
              </w:rPr>
              <w:t>Introduction of the Euro</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12B73D16" w14:textId="77777777" w:rsidR="0033479F" w:rsidRPr="002839B6" w:rsidRDefault="0033479F" w:rsidP="005722D1">
            <w:pPr>
              <w:jc w:val="left"/>
              <w:rPr>
                <w:szCs w:val="19"/>
              </w:rPr>
            </w:pPr>
            <w:r w:rsidRPr="002839B6">
              <w:rPr>
                <w:szCs w:val="19"/>
              </w:rPr>
              <w:t>(beginning)</w:t>
            </w:r>
          </w:p>
          <w:p w14:paraId="1AAF36C8"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4ED55C90" w14:textId="77777777" w:rsidR="0033479F" w:rsidRPr="002839B6" w:rsidRDefault="0033479F" w:rsidP="005722D1">
            <w:pPr>
              <w:jc w:val="left"/>
              <w:rPr>
                <w:szCs w:val="19"/>
              </w:rPr>
            </w:pPr>
            <w:r w:rsidRPr="002839B6">
              <w:rPr>
                <w:szCs w:val="19"/>
              </w:rPr>
              <w:t>SIC-7</w:t>
            </w:r>
          </w:p>
        </w:tc>
      </w:tr>
      <w:tr w:rsidR="0033479F" w:rsidRPr="001F769A" w14:paraId="45D1E613"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240E9CAD" w14:textId="77777777" w:rsidR="0033479F" w:rsidRPr="002839B6" w:rsidRDefault="0033479F" w:rsidP="005722D1">
            <w:pPr>
              <w:jc w:val="left"/>
              <w:rPr>
                <w:szCs w:val="19"/>
              </w:rPr>
            </w:pPr>
            <w:r w:rsidRPr="002839B6">
              <w:rPr>
                <w:szCs w:val="19"/>
              </w:rPr>
              <w:t>107</w:t>
            </w:r>
          </w:p>
          <w:p w14:paraId="5F9D5025" w14:textId="77777777" w:rsidR="0033479F" w:rsidRPr="002839B6" w:rsidRDefault="0033479F" w:rsidP="005722D1">
            <w:pPr>
              <w:jc w:val="left"/>
              <w:rPr>
                <w:i/>
                <w:szCs w:val="19"/>
              </w:rPr>
            </w:pPr>
            <w:r w:rsidRPr="002839B6">
              <w:rPr>
                <w:i/>
                <w:szCs w:val="19"/>
              </w:rPr>
              <w:t>August 2015</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3118773B" w14:textId="77777777" w:rsidR="0033479F" w:rsidRPr="002839B6" w:rsidRDefault="0033479F" w:rsidP="005722D1">
            <w:pPr>
              <w:jc w:val="left"/>
              <w:rPr>
                <w:szCs w:val="19"/>
              </w:rPr>
            </w:pPr>
            <w:r w:rsidRPr="002839B6">
              <w:rPr>
                <w:szCs w:val="19"/>
              </w:rPr>
              <w:t>Introduction of the Euro</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12A2D978" w14:textId="77777777" w:rsidR="0033479F" w:rsidRPr="002839B6" w:rsidRDefault="0033479F" w:rsidP="005722D1">
            <w:pPr>
              <w:jc w:val="left"/>
              <w:rPr>
                <w:szCs w:val="19"/>
              </w:rPr>
            </w:pPr>
            <w:r w:rsidRPr="002839B6">
              <w:rPr>
                <w:szCs w:val="19"/>
              </w:rPr>
              <w:t>(beginning)</w:t>
            </w:r>
          </w:p>
          <w:p w14:paraId="0C7D8B91" w14:textId="77777777" w:rsidR="0033479F" w:rsidRPr="002839B6" w:rsidRDefault="0033479F" w:rsidP="005722D1">
            <w:pPr>
              <w:jc w:val="left"/>
              <w:rPr>
                <w:szCs w:val="19"/>
              </w:rPr>
            </w:pPr>
            <w:r w:rsidRPr="002839B6">
              <w:rPr>
                <w:szCs w:val="19"/>
              </w:rPr>
              <w:t>1 January 2018</w:t>
            </w:r>
          </w:p>
        </w:tc>
        <w:tc>
          <w:tcPr>
            <w:tcW w:w="766" w:type="pct"/>
            <w:tcBorders>
              <w:top w:val="single" w:sz="4" w:space="0" w:color="auto"/>
              <w:left w:val="single" w:sz="4" w:space="0" w:color="auto"/>
              <w:bottom w:val="single" w:sz="4" w:space="0" w:color="auto"/>
            </w:tcBorders>
            <w:shd w:val="clear" w:color="auto" w:fill="auto"/>
          </w:tcPr>
          <w:p w14:paraId="475FEB47" w14:textId="77777777" w:rsidR="0033479F" w:rsidRPr="002839B6" w:rsidRDefault="0033479F" w:rsidP="005722D1">
            <w:pPr>
              <w:jc w:val="left"/>
              <w:rPr>
                <w:szCs w:val="19"/>
              </w:rPr>
            </w:pPr>
            <w:r w:rsidRPr="002839B6">
              <w:rPr>
                <w:szCs w:val="19"/>
              </w:rPr>
              <w:t>SIC-7</w:t>
            </w:r>
          </w:p>
        </w:tc>
      </w:tr>
      <w:tr w:rsidR="0033479F" w:rsidRPr="001F769A" w14:paraId="393A50D6"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2074343B" w14:textId="77777777" w:rsidR="0033479F" w:rsidRPr="002839B6" w:rsidRDefault="0033479F" w:rsidP="005722D1">
            <w:pPr>
              <w:jc w:val="left"/>
              <w:rPr>
                <w:szCs w:val="19"/>
              </w:rPr>
            </w:pPr>
            <w:r w:rsidRPr="002839B6">
              <w:rPr>
                <w:szCs w:val="19"/>
              </w:rPr>
              <w:t>110</w:t>
            </w:r>
          </w:p>
          <w:p w14:paraId="2504804B" w14:textId="77777777" w:rsidR="0033479F" w:rsidRPr="002839B6" w:rsidRDefault="0033479F" w:rsidP="005722D1">
            <w:pPr>
              <w:jc w:val="left"/>
              <w:rPr>
                <w:i/>
                <w:szCs w:val="19"/>
              </w:rPr>
            </w:pPr>
            <w:r w:rsidRPr="002839B6">
              <w:rPr>
                <w:i/>
                <w:szCs w:val="19"/>
              </w:rPr>
              <w:t>June 2024</w:t>
            </w:r>
          </w:p>
          <w:p w14:paraId="38BA9450"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68D89D72" w14:textId="77777777" w:rsidR="0033479F" w:rsidRPr="002839B6" w:rsidRDefault="0033479F" w:rsidP="005722D1">
            <w:pPr>
              <w:jc w:val="left"/>
              <w:rPr>
                <w:szCs w:val="19"/>
              </w:rPr>
            </w:pPr>
            <w:r w:rsidRPr="002839B6">
              <w:rPr>
                <w:szCs w:val="19"/>
              </w:rPr>
              <w:t>Government Assistance – No Specific Relation to Operating Activities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591D1D31" w14:textId="77777777" w:rsidR="0033479F" w:rsidRPr="002839B6" w:rsidRDefault="0033479F" w:rsidP="005722D1">
            <w:pPr>
              <w:jc w:val="left"/>
              <w:rPr>
                <w:szCs w:val="19"/>
              </w:rPr>
            </w:pPr>
            <w:r w:rsidRPr="002839B6">
              <w:rPr>
                <w:szCs w:val="19"/>
              </w:rPr>
              <w:t>(beginning)</w:t>
            </w:r>
          </w:p>
          <w:p w14:paraId="4CF5C787"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0BF46102" w14:textId="77777777" w:rsidR="0033479F" w:rsidRPr="002839B6" w:rsidRDefault="0033479F" w:rsidP="005722D1">
            <w:pPr>
              <w:jc w:val="left"/>
              <w:rPr>
                <w:szCs w:val="19"/>
              </w:rPr>
            </w:pPr>
            <w:r w:rsidRPr="002839B6">
              <w:rPr>
                <w:szCs w:val="19"/>
              </w:rPr>
              <w:t>SIC-10</w:t>
            </w:r>
          </w:p>
        </w:tc>
      </w:tr>
      <w:tr w:rsidR="0033479F" w:rsidRPr="001F769A" w14:paraId="44A53887"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0D3BE3AF" w14:textId="77777777" w:rsidR="0033479F" w:rsidRPr="002839B6" w:rsidRDefault="0033479F" w:rsidP="005722D1">
            <w:pPr>
              <w:jc w:val="left"/>
              <w:rPr>
                <w:szCs w:val="19"/>
              </w:rPr>
            </w:pPr>
            <w:r w:rsidRPr="002839B6">
              <w:rPr>
                <w:szCs w:val="19"/>
              </w:rPr>
              <w:t>110</w:t>
            </w:r>
          </w:p>
          <w:p w14:paraId="4D9A5E0E" w14:textId="77777777" w:rsidR="0033479F" w:rsidRPr="002839B6" w:rsidRDefault="0033479F" w:rsidP="005722D1">
            <w:pPr>
              <w:jc w:val="left"/>
              <w:rPr>
                <w:i/>
                <w:szCs w:val="19"/>
              </w:rPr>
            </w:pPr>
            <w:r w:rsidRPr="002839B6">
              <w:rPr>
                <w:i/>
                <w:szCs w:val="19"/>
              </w:rPr>
              <w:t>August 2015</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361722BE" w14:textId="77777777" w:rsidR="0033479F" w:rsidRPr="002839B6" w:rsidRDefault="0033479F" w:rsidP="005722D1">
            <w:pPr>
              <w:jc w:val="left"/>
              <w:rPr>
                <w:szCs w:val="19"/>
              </w:rPr>
            </w:pPr>
            <w:r w:rsidRPr="002839B6">
              <w:rPr>
                <w:szCs w:val="19"/>
              </w:rPr>
              <w:t>Government Assistance – No Specific Relation to Operating Activities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309C9CD4" w14:textId="77777777" w:rsidR="0033479F" w:rsidRPr="002839B6" w:rsidRDefault="0033479F" w:rsidP="005722D1">
            <w:pPr>
              <w:jc w:val="left"/>
              <w:rPr>
                <w:szCs w:val="19"/>
              </w:rPr>
            </w:pPr>
            <w:r w:rsidRPr="002839B6">
              <w:rPr>
                <w:szCs w:val="19"/>
              </w:rPr>
              <w:t>(beginning)</w:t>
            </w:r>
          </w:p>
          <w:p w14:paraId="033947A3" w14:textId="77777777" w:rsidR="0033479F" w:rsidRPr="002839B6" w:rsidRDefault="0033479F" w:rsidP="005722D1">
            <w:pPr>
              <w:jc w:val="left"/>
              <w:rPr>
                <w:szCs w:val="19"/>
              </w:rPr>
            </w:pPr>
            <w:r w:rsidRPr="002839B6">
              <w:rPr>
                <w:szCs w:val="19"/>
              </w:rPr>
              <w:t>1 January 2016</w:t>
            </w:r>
          </w:p>
        </w:tc>
        <w:tc>
          <w:tcPr>
            <w:tcW w:w="766" w:type="pct"/>
            <w:tcBorders>
              <w:top w:val="single" w:sz="4" w:space="0" w:color="auto"/>
              <w:left w:val="single" w:sz="4" w:space="0" w:color="auto"/>
              <w:bottom w:val="single" w:sz="4" w:space="0" w:color="auto"/>
            </w:tcBorders>
            <w:shd w:val="clear" w:color="auto" w:fill="auto"/>
          </w:tcPr>
          <w:p w14:paraId="477DEACB" w14:textId="77777777" w:rsidR="0033479F" w:rsidRPr="002839B6" w:rsidRDefault="0033479F" w:rsidP="005722D1">
            <w:pPr>
              <w:jc w:val="left"/>
              <w:rPr>
                <w:szCs w:val="19"/>
              </w:rPr>
            </w:pPr>
            <w:r w:rsidRPr="002839B6">
              <w:rPr>
                <w:szCs w:val="19"/>
              </w:rPr>
              <w:t>SIC-10</w:t>
            </w:r>
          </w:p>
        </w:tc>
      </w:tr>
      <w:tr w:rsidR="0033479F" w:rsidRPr="001F769A" w14:paraId="01B19BFF"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1176682A" w14:textId="77777777" w:rsidR="0033479F" w:rsidRPr="002839B6" w:rsidRDefault="0033479F" w:rsidP="005722D1">
            <w:pPr>
              <w:jc w:val="left"/>
              <w:rPr>
                <w:szCs w:val="19"/>
              </w:rPr>
            </w:pPr>
            <w:r w:rsidRPr="002839B6">
              <w:rPr>
                <w:szCs w:val="19"/>
              </w:rPr>
              <w:t>125</w:t>
            </w:r>
          </w:p>
          <w:p w14:paraId="0686D3ED" w14:textId="77777777" w:rsidR="0033479F" w:rsidRPr="002839B6" w:rsidRDefault="0033479F" w:rsidP="005722D1">
            <w:pPr>
              <w:jc w:val="left"/>
              <w:rPr>
                <w:i/>
                <w:szCs w:val="19"/>
              </w:rPr>
            </w:pPr>
            <w:r w:rsidRPr="002839B6">
              <w:rPr>
                <w:i/>
                <w:szCs w:val="19"/>
              </w:rPr>
              <w:t>June 2024</w:t>
            </w:r>
          </w:p>
          <w:p w14:paraId="7D7CD534"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390C2F3E" w14:textId="77777777" w:rsidR="0033479F" w:rsidRPr="002839B6" w:rsidRDefault="0033479F" w:rsidP="005722D1">
            <w:pPr>
              <w:jc w:val="left"/>
              <w:rPr>
                <w:szCs w:val="19"/>
              </w:rPr>
            </w:pPr>
            <w:r w:rsidRPr="002839B6">
              <w:rPr>
                <w:szCs w:val="19"/>
              </w:rPr>
              <w:t>Income Taxes – Changes in the Tax Status of an Entity or its Shareholders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237D2109" w14:textId="77777777" w:rsidR="0033479F" w:rsidRPr="002839B6" w:rsidRDefault="0033479F" w:rsidP="005722D1">
            <w:pPr>
              <w:jc w:val="left"/>
              <w:rPr>
                <w:szCs w:val="19"/>
              </w:rPr>
            </w:pPr>
            <w:r w:rsidRPr="002839B6">
              <w:rPr>
                <w:szCs w:val="19"/>
              </w:rPr>
              <w:t>(beginning)</w:t>
            </w:r>
          </w:p>
          <w:p w14:paraId="12692300"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66706A79" w14:textId="77777777" w:rsidR="0033479F" w:rsidRPr="002839B6" w:rsidRDefault="0033479F" w:rsidP="005722D1">
            <w:pPr>
              <w:jc w:val="left"/>
              <w:rPr>
                <w:szCs w:val="19"/>
              </w:rPr>
            </w:pPr>
            <w:r w:rsidRPr="002839B6">
              <w:rPr>
                <w:szCs w:val="19"/>
              </w:rPr>
              <w:t>SIC-25</w:t>
            </w:r>
          </w:p>
        </w:tc>
      </w:tr>
      <w:tr w:rsidR="0033479F" w:rsidRPr="001F769A" w14:paraId="60275B52"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15BA38AA" w14:textId="77777777" w:rsidR="0033479F" w:rsidRPr="002839B6" w:rsidRDefault="0033479F" w:rsidP="005722D1">
            <w:pPr>
              <w:jc w:val="left"/>
              <w:rPr>
                <w:szCs w:val="19"/>
              </w:rPr>
            </w:pPr>
            <w:r w:rsidRPr="002839B6">
              <w:rPr>
                <w:szCs w:val="19"/>
              </w:rPr>
              <w:t>125</w:t>
            </w:r>
          </w:p>
          <w:p w14:paraId="241C9FFD" w14:textId="77777777" w:rsidR="0033479F" w:rsidRPr="002839B6" w:rsidRDefault="0033479F" w:rsidP="005722D1">
            <w:pPr>
              <w:jc w:val="left"/>
              <w:rPr>
                <w:i/>
                <w:szCs w:val="19"/>
              </w:rPr>
            </w:pPr>
            <w:r w:rsidRPr="002839B6">
              <w:rPr>
                <w:i/>
                <w:szCs w:val="19"/>
              </w:rPr>
              <w:t>August 2015</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7932694D" w14:textId="77777777" w:rsidR="0033479F" w:rsidRPr="002839B6" w:rsidRDefault="0033479F" w:rsidP="005722D1">
            <w:pPr>
              <w:jc w:val="left"/>
              <w:rPr>
                <w:szCs w:val="19"/>
              </w:rPr>
            </w:pPr>
            <w:r w:rsidRPr="002839B6">
              <w:rPr>
                <w:szCs w:val="19"/>
              </w:rPr>
              <w:t>Income Taxes – Changes in the Tax Status of an Entity or its Shareholders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1DFE9840" w14:textId="77777777" w:rsidR="0033479F" w:rsidRPr="002839B6" w:rsidRDefault="0033479F" w:rsidP="005722D1">
            <w:pPr>
              <w:jc w:val="left"/>
              <w:rPr>
                <w:szCs w:val="19"/>
              </w:rPr>
            </w:pPr>
            <w:r w:rsidRPr="002839B6">
              <w:rPr>
                <w:szCs w:val="19"/>
              </w:rPr>
              <w:t>(beginning)</w:t>
            </w:r>
          </w:p>
          <w:p w14:paraId="4B238AAB" w14:textId="77777777" w:rsidR="0033479F" w:rsidRPr="002839B6" w:rsidRDefault="0033479F" w:rsidP="005722D1">
            <w:pPr>
              <w:jc w:val="left"/>
              <w:rPr>
                <w:szCs w:val="19"/>
              </w:rPr>
            </w:pPr>
            <w:r w:rsidRPr="002839B6">
              <w:rPr>
                <w:szCs w:val="19"/>
              </w:rPr>
              <w:t>1 January 2016</w:t>
            </w:r>
          </w:p>
        </w:tc>
        <w:tc>
          <w:tcPr>
            <w:tcW w:w="766" w:type="pct"/>
            <w:tcBorders>
              <w:top w:val="single" w:sz="4" w:space="0" w:color="auto"/>
              <w:left w:val="single" w:sz="4" w:space="0" w:color="auto"/>
              <w:bottom w:val="single" w:sz="4" w:space="0" w:color="auto"/>
            </w:tcBorders>
            <w:shd w:val="clear" w:color="auto" w:fill="auto"/>
          </w:tcPr>
          <w:p w14:paraId="2D8B9D89" w14:textId="77777777" w:rsidR="0033479F" w:rsidRPr="002839B6" w:rsidRDefault="0033479F" w:rsidP="005722D1">
            <w:pPr>
              <w:jc w:val="left"/>
              <w:rPr>
                <w:szCs w:val="19"/>
              </w:rPr>
            </w:pPr>
            <w:r w:rsidRPr="002839B6">
              <w:rPr>
                <w:szCs w:val="19"/>
              </w:rPr>
              <w:t>SIC-25</w:t>
            </w:r>
          </w:p>
        </w:tc>
      </w:tr>
      <w:tr w:rsidR="0033479F" w:rsidRPr="001D39C9" w14:paraId="0F8A2590"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60E74EB9" w14:textId="77777777" w:rsidR="0033479F" w:rsidRPr="002839B6" w:rsidRDefault="0033479F" w:rsidP="005722D1">
            <w:pPr>
              <w:jc w:val="left"/>
              <w:rPr>
                <w:szCs w:val="19"/>
              </w:rPr>
            </w:pPr>
            <w:r w:rsidRPr="002839B6">
              <w:rPr>
                <w:szCs w:val="19"/>
              </w:rPr>
              <w:lastRenderedPageBreak/>
              <w:t>129</w:t>
            </w:r>
          </w:p>
          <w:p w14:paraId="24C40BAA" w14:textId="77777777" w:rsidR="0033479F" w:rsidRPr="002839B6" w:rsidRDefault="0033479F" w:rsidP="005722D1">
            <w:pPr>
              <w:jc w:val="left"/>
              <w:rPr>
                <w:i/>
                <w:szCs w:val="19"/>
              </w:rPr>
            </w:pPr>
            <w:r w:rsidRPr="002839B6">
              <w:rPr>
                <w:i/>
                <w:szCs w:val="19"/>
              </w:rPr>
              <w:t>June 2024</w:t>
            </w:r>
          </w:p>
          <w:p w14:paraId="10004749"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75BB7CC7" w14:textId="77777777" w:rsidR="0033479F" w:rsidRPr="002839B6" w:rsidRDefault="0033479F" w:rsidP="005722D1">
            <w:pPr>
              <w:jc w:val="left"/>
              <w:rPr>
                <w:szCs w:val="19"/>
              </w:rPr>
            </w:pPr>
            <w:r w:rsidRPr="002839B6">
              <w:rPr>
                <w:szCs w:val="19"/>
              </w:rPr>
              <w:t>Service Concession Arrangements: Disclosures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34AEE683" w14:textId="77777777" w:rsidR="0033479F" w:rsidRPr="002839B6" w:rsidRDefault="0033479F" w:rsidP="005722D1">
            <w:pPr>
              <w:jc w:val="left"/>
              <w:rPr>
                <w:szCs w:val="19"/>
              </w:rPr>
            </w:pPr>
            <w:r w:rsidRPr="002839B6">
              <w:rPr>
                <w:szCs w:val="19"/>
              </w:rPr>
              <w:t>(beginning)</w:t>
            </w:r>
          </w:p>
          <w:p w14:paraId="34CE121F"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609A03A1" w14:textId="77777777" w:rsidR="0033479F" w:rsidRPr="002839B6" w:rsidRDefault="0033479F" w:rsidP="005722D1">
            <w:pPr>
              <w:jc w:val="left"/>
              <w:rPr>
                <w:szCs w:val="19"/>
              </w:rPr>
            </w:pPr>
            <w:r w:rsidRPr="002839B6">
              <w:rPr>
                <w:szCs w:val="19"/>
              </w:rPr>
              <w:t>SIC-29</w:t>
            </w:r>
          </w:p>
        </w:tc>
      </w:tr>
      <w:tr w:rsidR="00F609EB" w:rsidRPr="001D39C9" w14:paraId="6F3454BD"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34C8A805" w14:textId="77777777" w:rsidR="00F609EB" w:rsidRPr="002839B6" w:rsidRDefault="00F609EB" w:rsidP="005722D1">
            <w:pPr>
              <w:jc w:val="left"/>
              <w:rPr>
                <w:szCs w:val="19"/>
              </w:rPr>
            </w:pPr>
            <w:r w:rsidRPr="002839B6">
              <w:rPr>
                <w:szCs w:val="19"/>
              </w:rPr>
              <w:t>129</w:t>
            </w:r>
          </w:p>
          <w:p w14:paraId="10E2A328" w14:textId="69DA7E10" w:rsidR="00F609EB" w:rsidRPr="002839B6" w:rsidRDefault="00F609EB" w:rsidP="005722D1">
            <w:pPr>
              <w:jc w:val="left"/>
              <w:rPr>
                <w:i/>
                <w:szCs w:val="19"/>
              </w:rPr>
            </w:pPr>
            <w:r>
              <w:rPr>
                <w:i/>
                <w:szCs w:val="19"/>
              </w:rPr>
              <w:t>December 2021</w:t>
            </w:r>
          </w:p>
          <w:p w14:paraId="6199F91D" w14:textId="77777777" w:rsidR="00F609EB" w:rsidRPr="002839B6" w:rsidRDefault="00F609EB"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6AF6C797" w14:textId="77777777" w:rsidR="00F609EB" w:rsidRPr="002839B6" w:rsidRDefault="00F609EB" w:rsidP="005722D1">
            <w:pPr>
              <w:jc w:val="left"/>
              <w:rPr>
                <w:szCs w:val="19"/>
              </w:rPr>
            </w:pPr>
            <w:r w:rsidRPr="002839B6">
              <w:rPr>
                <w:szCs w:val="19"/>
              </w:rPr>
              <w:t>Service Concession Arrangements: Disclosures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1853E7F1" w14:textId="77777777" w:rsidR="00F609EB" w:rsidRPr="002839B6" w:rsidRDefault="00F609EB" w:rsidP="005722D1">
            <w:pPr>
              <w:jc w:val="left"/>
              <w:rPr>
                <w:szCs w:val="19"/>
              </w:rPr>
            </w:pPr>
            <w:r w:rsidRPr="002839B6">
              <w:rPr>
                <w:szCs w:val="19"/>
              </w:rPr>
              <w:t>(beginning)</w:t>
            </w:r>
          </w:p>
          <w:p w14:paraId="65F5B43B" w14:textId="0982A3C9" w:rsidR="00F609EB" w:rsidRPr="002839B6" w:rsidRDefault="00F609EB" w:rsidP="005722D1">
            <w:pPr>
              <w:jc w:val="left"/>
              <w:rPr>
                <w:szCs w:val="19"/>
              </w:rPr>
            </w:pPr>
            <w:r w:rsidRPr="002839B6">
              <w:rPr>
                <w:szCs w:val="19"/>
              </w:rPr>
              <w:t>1 January 202</w:t>
            </w:r>
            <w:r>
              <w:rPr>
                <w:szCs w:val="19"/>
              </w:rPr>
              <w:t>2</w:t>
            </w:r>
          </w:p>
        </w:tc>
        <w:tc>
          <w:tcPr>
            <w:tcW w:w="766" w:type="pct"/>
            <w:tcBorders>
              <w:top w:val="single" w:sz="4" w:space="0" w:color="auto"/>
              <w:left w:val="single" w:sz="4" w:space="0" w:color="auto"/>
              <w:bottom w:val="single" w:sz="4" w:space="0" w:color="auto"/>
            </w:tcBorders>
            <w:shd w:val="clear" w:color="auto" w:fill="auto"/>
          </w:tcPr>
          <w:p w14:paraId="1E1037AB" w14:textId="77777777" w:rsidR="00F609EB" w:rsidRPr="002839B6" w:rsidRDefault="00F609EB" w:rsidP="005722D1">
            <w:pPr>
              <w:jc w:val="left"/>
              <w:rPr>
                <w:szCs w:val="19"/>
              </w:rPr>
            </w:pPr>
            <w:r w:rsidRPr="002839B6">
              <w:rPr>
                <w:szCs w:val="19"/>
              </w:rPr>
              <w:t>SIC-29</w:t>
            </w:r>
          </w:p>
        </w:tc>
      </w:tr>
      <w:tr w:rsidR="0033479F" w:rsidRPr="001D39C9" w14:paraId="3ECA4343"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6D8DC8A3" w14:textId="77777777" w:rsidR="0033479F" w:rsidRPr="002839B6" w:rsidRDefault="0033479F" w:rsidP="005722D1">
            <w:pPr>
              <w:jc w:val="left"/>
              <w:rPr>
                <w:szCs w:val="19"/>
              </w:rPr>
            </w:pPr>
            <w:r w:rsidRPr="002839B6">
              <w:rPr>
                <w:szCs w:val="19"/>
              </w:rPr>
              <w:t>132</w:t>
            </w:r>
          </w:p>
          <w:p w14:paraId="7356FABD" w14:textId="77777777" w:rsidR="0033479F" w:rsidRPr="002839B6" w:rsidRDefault="0033479F" w:rsidP="005722D1">
            <w:pPr>
              <w:jc w:val="left"/>
              <w:rPr>
                <w:i/>
                <w:szCs w:val="19"/>
              </w:rPr>
            </w:pPr>
            <w:r w:rsidRPr="002839B6">
              <w:rPr>
                <w:i/>
                <w:szCs w:val="19"/>
              </w:rPr>
              <w:t>June 2024</w:t>
            </w:r>
          </w:p>
          <w:p w14:paraId="6ADE29A8" w14:textId="77777777" w:rsidR="0033479F" w:rsidRPr="002839B6" w:rsidRDefault="0033479F"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67F0FBC1" w14:textId="77777777" w:rsidR="0033479F" w:rsidRPr="002839B6" w:rsidRDefault="0033479F" w:rsidP="005722D1">
            <w:pPr>
              <w:jc w:val="left"/>
              <w:rPr>
                <w:szCs w:val="19"/>
              </w:rPr>
            </w:pPr>
            <w:r w:rsidRPr="002839B6">
              <w:rPr>
                <w:szCs w:val="19"/>
              </w:rPr>
              <w:t>Intangible Assets – Web Site Costs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22F70058" w14:textId="77777777" w:rsidR="0033479F" w:rsidRPr="002839B6" w:rsidRDefault="0033479F" w:rsidP="005722D1">
            <w:pPr>
              <w:jc w:val="left"/>
              <w:rPr>
                <w:szCs w:val="19"/>
              </w:rPr>
            </w:pPr>
            <w:r w:rsidRPr="002839B6">
              <w:rPr>
                <w:szCs w:val="19"/>
              </w:rPr>
              <w:t>(beginning)</w:t>
            </w:r>
          </w:p>
          <w:p w14:paraId="78D4F2A7" w14:textId="77777777" w:rsidR="0033479F" w:rsidRPr="002839B6" w:rsidRDefault="0033479F" w:rsidP="005722D1">
            <w:pPr>
              <w:jc w:val="left"/>
              <w:rPr>
                <w:szCs w:val="19"/>
              </w:rPr>
            </w:pPr>
            <w:r w:rsidRPr="002839B6">
              <w:rPr>
                <w:szCs w:val="19"/>
              </w:rPr>
              <w:t>1 January 2027</w:t>
            </w:r>
          </w:p>
        </w:tc>
        <w:tc>
          <w:tcPr>
            <w:tcW w:w="766" w:type="pct"/>
            <w:tcBorders>
              <w:top w:val="single" w:sz="4" w:space="0" w:color="auto"/>
              <w:left w:val="single" w:sz="4" w:space="0" w:color="auto"/>
              <w:bottom w:val="single" w:sz="4" w:space="0" w:color="auto"/>
            </w:tcBorders>
            <w:shd w:val="clear" w:color="auto" w:fill="auto"/>
          </w:tcPr>
          <w:p w14:paraId="1C6DE3D6" w14:textId="77777777" w:rsidR="0033479F" w:rsidRPr="002839B6" w:rsidRDefault="0033479F" w:rsidP="005722D1">
            <w:pPr>
              <w:jc w:val="left"/>
              <w:rPr>
                <w:szCs w:val="19"/>
              </w:rPr>
            </w:pPr>
            <w:r w:rsidRPr="002839B6">
              <w:rPr>
                <w:szCs w:val="19"/>
              </w:rPr>
              <w:t>SIC-32</w:t>
            </w:r>
          </w:p>
        </w:tc>
      </w:tr>
      <w:tr w:rsidR="00F609EB" w:rsidRPr="001D39C9" w14:paraId="633232E0" w14:textId="77777777" w:rsidTr="005722D1">
        <w:trPr>
          <w:cantSplit/>
        </w:trPr>
        <w:tc>
          <w:tcPr>
            <w:tcW w:w="881" w:type="pct"/>
            <w:tcBorders>
              <w:top w:val="single" w:sz="4" w:space="0" w:color="auto"/>
              <w:bottom w:val="single" w:sz="4" w:space="0" w:color="auto"/>
              <w:right w:val="single" w:sz="4" w:space="0" w:color="auto"/>
            </w:tcBorders>
            <w:shd w:val="clear" w:color="auto" w:fill="auto"/>
          </w:tcPr>
          <w:p w14:paraId="3760BC97" w14:textId="77777777" w:rsidR="00F609EB" w:rsidRPr="002839B6" w:rsidRDefault="00F609EB" w:rsidP="005722D1">
            <w:pPr>
              <w:jc w:val="left"/>
              <w:rPr>
                <w:szCs w:val="19"/>
              </w:rPr>
            </w:pPr>
            <w:r w:rsidRPr="002839B6">
              <w:rPr>
                <w:szCs w:val="19"/>
              </w:rPr>
              <w:t>132</w:t>
            </w:r>
          </w:p>
          <w:p w14:paraId="152FC37A" w14:textId="230751B0" w:rsidR="00F609EB" w:rsidRPr="002839B6" w:rsidRDefault="00F609EB" w:rsidP="005722D1">
            <w:pPr>
              <w:jc w:val="left"/>
              <w:rPr>
                <w:i/>
                <w:szCs w:val="19"/>
              </w:rPr>
            </w:pPr>
            <w:r>
              <w:rPr>
                <w:i/>
                <w:szCs w:val="19"/>
              </w:rPr>
              <w:t>December 2021</w:t>
            </w:r>
          </w:p>
          <w:p w14:paraId="646AD1E5" w14:textId="77777777" w:rsidR="00F609EB" w:rsidRPr="002839B6" w:rsidRDefault="00F609EB" w:rsidP="005722D1">
            <w:pPr>
              <w:jc w:val="left"/>
              <w:rPr>
                <w:szCs w:val="19"/>
              </w:rPr>
            </w:pPr>
            <w:r w:rsidRPr="002839B6">
              <w:rPr>
                <w:szCs w:val="19"/>
              </w:rPr>
              <w:t>[as amended to]</w:t>
            </w:r>
          </w:p>
        </w:tc>
        <w:tc>
          <w:tcPr>
            <w:tcW w:w="2475" w:type="pct"/>
            <w:tcBorders>
              <w:top w:val="single" w:sz="4" w:space="0" w:color="auto"/>
              <w:left w:val="single" w:sz="4" w:space="0" w:color="auto"/>
              <w:bottom w:val="single" w:sz="4" w:space="0" w:color="auto"/>
              <w:right w:val="single" w:sz="4" w:space="0" w:color="auto"/>
            </w:tcBorders>
            <w:shd w:val="clear" w:color="auto" w:fill="auto"/>
          </w:tcPr>
          <w:p w14:paraId="71032F55" w14:textId="77777777" w:rsidR="00F609EB" w:rsidRPr="002839B6" w:rsidRDefault="00F609EB" w:rsidP="005722D1">
            <w:pPr>
              <w:jc w:val="left"/>
              <w:rPr>
                <w:szCs w:val="19"/>
              </w:rPr>
            </w:pPr>
            <w:r w:rsidRPr="002839B6">
              <w:rPr>
                <w:szCs w:val="19"/>
              </w:rPr>
              <w:t>Intangible Assets – Web Site Costs</w:t>
            </w:r>
          </w:p>
        </w:tc>
        <w:tc>
          <w:tcPr>
            <w:tcW w:w="878" w:type="pct"/>
            <w:tcBorders>
              <w:top w:val="single" w:sz="4" w:space="0" w:color="auto"/>
              <w:left w:val="single" w:sz="4" w:space="0" w:color="auto"/>
              <w:bottom w:val="single" w:sz="4" w:space="0" w:color="auto"/>
              <w:right w:val="single" w:sz="4" w:space="0" w:color="auto"/>
            </w:tcBorders>
            <w:shd w:val="clear" w:color="auto" w:fill="auto"/>
          </w:tcPr>
          <w:p w14:paraId="223BB45C" w14:textId="77777777" w:rsidR="00F609EB" w:rsidRPr="002839B6" w:rsidRDefault="00F609EB" w:rsidP="005722D1">
            <w:pPr>
              <w:jc w:val="left"/>
              <w:rPr>
                <w:szCs w:val="19"/>
              </w:rPr>
            </w:pPr>
            <w:r w:rsidRPr="002839B6">
              <w:rPr>
                <w:szCs w:val="19"/>
              </w:rPr>
              <w:t>(beginning)</w:t>
            </w:r>
          </w:p>
          <w:p w14:paraId="6782F739" w14:textId="63A7FFD0" w:rsidR="00F609EB" w:rsidRPr="002839B6" w:rsidRDefault="00F609EB" w:rsidP="005722D1">
            <w:pPr>
              <w:jc w:val="left"/>
              <w:rPr>
                <w:szCs w:val="19"/>
              </w:rPr>
            </w:pPr>
            <w:r w:rsidRPr="002839B6">
              <w:rPr>
                <w:szCs w:val="19"/>
              </w:rPr>
              <w:t>1 January 202</w:t>
            </w:r>
            <w:r>
              <w:rPr>
                <w:szCs w:val="19"/>
              </w:rPr>
              <w:t>2</w:t>
            </w:r>
          </w:p>
        </w:tc>
        <w:tc>
          <w:tcPr>
            <w:tcW w:w="766" w:type="pct"/>
            <w:tcBorders>
              <w:top w:val="single" w:sz="4" w:space="0" w:color="auto"/>
              <w:left w:val="single" w:sz="4" w:space="0" w:color="auto"/>
              <w:bottom w:val="single" w:sz="4" w:space="0" w:color="auto"/>
            </w:tcBorders>
            <w:shd w:val="clear" w:color="auto" w:fill="auto"/>
          </w:tcPr>
          <w:p w14:paraId="265342B0" w14:textId="77777777" w:rsidR="00F609EB" w:rsidRPr="002839B6" w:rsidRDefault="00F609EB" w:rsidP="005722D1">
            <w:pPr>
              <w:jc w:val="left"/>
              <w:rPr>
                <w:szCs w:val="19"/>
              </w:rPr>
            </w:pPr>
            <w:r w:rsidRPr="002839B6">
              <w:rPr>
                <w:szCs w:val="19"/>
              </w:rPr>
              <w:t>SIC-32</w:t>
            </w:r>
          </w:p>
        </w:tc>
      </w:tr>
    </w:tbl>
    <w:p w14:paraId="107B7704" w14:textId="2F88BAC7" w:rsidR="0033479F" w:rsidRPr="001F769A" w:rsidRDefault="0033479F" w:rsidP="0033479F">
      <w:pPr>
        <w:pStyle w:val="IASBNormalnpara"/>
        <w:spacing w:before="240"/>
      </w:pPr>
      <w:r>
        <w:t>7</w:t>
      </w:r>
      <w:r>
        <w:tab/>
      </w:r>
      <w:r w:rsidRPr="001F769A">
        <w:t>The principal application date listed in Table</w:t>
      </w:r>
      <w:r>
        <w:t xml:space="preserve"> </w:t>
      </w:r>
      <w:r w:rsidRPr="001F769A">
        <w:t>1 for each Interpretation is a reference to annual reporting periods beginning or ending (as indicated) on or after the date specified. An entity may elect to apply an individual Interpretation to annual reporting periods in advance of that stated for the Interpretation in Table</w:t>
      </w:r>
      <w:r>
        <w:t> </w:t>
      </w:r>
      <w:r w:rsidRPr="001F769A">
        <w:t xml:space="preserve">1, subject to </w:t>
      </w:r>
      <w:r w:rsidR="004F675D">
        <w:t xml:space="preserve">any </w:t>
      </w:r>
      <w:r w:rsidRPr="001F769A">
        <w:t>early application requirements of the Interpretation.</w:t>
      </w:r>
    </w:p>
    <w:p w14:paraId="6B918D2C" w14:textId="77777777" w:rsidR="0033479F" w:rsidRPr="001F769A" w:rsidRDefault="0033479F" w:rsidP="0033479F">
      <w:pPr>
        <w:pStyle w:val="IASBSectionTitle2Ind"/>
      </w:pPr>
      <w:r w:rsidRPr="001F769A">
        <w:t>Other Australian Interpretations</w:t>
      </w:r>
    </w:p>
    <w:p w14:paraId="49E1BE14" w14:textId="77777777" w:rsidR="0033479F" w:rsidRPr="000A2B29" w:rsidRDefault="0033479F" w:rsidP="0033479F">
      <w:pPr>
        <w:pStyle w:val="IASBNormalnpara"/>
        <w:rPr>
          <w:b/>
        </w:rPr>
      </w:pPr>
      <w:r w:rsidRPr="000A2B29">
        <w:rPr>
          <w:b/>
        </w:rPr>
        <w:t>8</w:t>
      </w:r>
      <w:r w:rsidRPr="000A2B29">
        <w:rPr>
          <w:b/>
        </w:rPr>
        <w:tab/>
        <w:t>An entity shall apply each relevant Australian Interpretation listed in Table 2 below.</w:t>
      </w:r>
    </w:p>
    <w:tbl>
      <w:tblPr>
        <w:tblW w:w="4572" w:type="pct"/>
        <w:tblInd w:w="782" w:type="dxa"/>
        <w:tblCellMar>
          <w:top w:w="57" w:type="dxa"/>
          <w:left w:w="57" w:type="dxa"/>
          <w:bottom w:w="57" w:type="dxa"/>
          <w:right w:w="57" w:type="dxa"/>
        </w:tblCellMar>
        <w:tblLook w:val="0000" w:firstRow="0" w:lastRow="0" w:firstColumn="0" w:lastColumn="0" w:noHBand="0" w:noVBand="0"/>
        <w:tblCaption w:val="Table 2: Other Australian Interpretations"/>
        <w:tblDescription w:val="This table lists Australian Interpretations that do not correspond to an IFRIC or SIC Interpretation by Interpretation number and application date. It provides the issue date of the principal or amended Interpretation, the title of the Interpretation, and the date from which application of the Interpretation is mandatory."/>
      </w:tblPr>
      <w:tblGrid>
        <w:gridCol w:w="1533"/>
        <w:gridCol w:w="5204"/>
        <w:gridCol w:w="1558"/>
      </w:tblGrid>
      <w:tr w:rsidR="0033479F" w:rsidRPr="001F769A" w14:paraId="3A3EC171" w14:textId="77777777" w:rsidTr="005722D1">
        <w:trPr>
          <w:cantSplit/>
          <w:tblHeader/>
        </w:trPr>
        <w:tc>
          <w:tcPr>
            <w:tcW w:w="5000" w:type="pct"/>
            <w:gridSpan w:val="3"/>
            <w:tcBorders>
              <w:bottom w:val="double" w:sz="4" w:space="0" w:color="auto"/>
            </w:tcBorders>
            <w:shd w:val="clear" w:color="auto" w:fill="auto"/>
          </w:tcPr>
          <w:p w14:paraId="7445F116" w14:textId="77777777" w:rsidR="0033479F" w:rsidRPr="000447D0" w:rsidRDefault="0033479F" w:rsidP="005722D1">
            <w:pPr>
              <w:pStyle w:val="IASBTableBoldTNR"/>
              <w:keepNext/>
              <w:keepLines/>
              <w:rPr>
                <w:i/>
              </w:rPr>
            </w:pPr>
            <w:r w:rsidRPr="006B514D">
              <w:rPr>
                <w:i/>
              </w:rPr>
              <w:t>Table 2: Other Australian Interpretations</w:t>
            </w:r>
          </w:p>
        </w:tc>
      </w:tr>
      <w:tr w:rsidR="0033479F" w:rsidRPr="001F769A" w14:paraId="31C9DCDF" w14:textId="77777777" w:rsidTr="005722D1">
        <w:trPr>
          <w:cantSplit/>
          <w:tblHeader/>
        </w:trPr>
        <w:tc>
          <w:tcPr>
            <w:tcW w:w="924" w:type="pct"/>
            <w:tcBorders>
              <w:top w:val="double" w:sz="4" w:space="0" w:color="auto"/>
              <w:bottom w:val="double" w:sz="4" w:space="0" w:color="auto"/>
              <w:right w:val="single" w:sz="4" w:space="0" w:color="auto"/>
            </w:tcBorders>
            <w:shd w:val="clear" w:color="auto" w:fill="auto"/>
          </w:tcPr>
          <w:p w14:paraId="148FEDFC" w14:textId="77777777" w:rsidR="0033479F" w:rsidRPr="001F769A" w:rsidRDefault="0033479F" w:rsidP="005722D1">
            <w:pPr>
              <w:keepNext/>
              <w:keepLines/>
              <w:jc w:val="left"/>
              <w:rPr>
                <w:b/>
              </w:rPr>
            </w:pPr>
            <w:r w:rsidRPr="001F769A">
              <w:rPr>
                <w:b/>
              </w:rPr>
              <w:t>Interpretation</w:t>
            </w:r>
          </w:p>
          <w:p w14:paraId="70A99F88" w14:textId="77777777" w:rsidR="0033479F" w:rsidRPr="001F769A" w:rsidRDefault="0033479F" w:rsidP="005722D1">
            <w:pPr>
              <w:keepNext/>
              <w:keepLines/>
              <w:jc w:val="left"/>
              <w:rPr>
                <w:i/>
              </w:rPr>
            </w:pPr>
            <w:r w:rsidRPr="001F769A">
              <w:rPr>
                <w:i/>
              </w:rPr>
              <w:t>Issue Date</w:t>
            </w:r>
          </w:p>
        </w:tc>
        <w:tc>
          <w:tcPr>
            <w:tcW w:w="3137" w:type="pct"/>
            <w:tcBorders>
              <w:top w:val="double" w:sz="4" w:space="0" w:color="auto"/>
              <w:left w:val="single" w:sz="4" w:space="0" w:color="auto"/>
              <w:bottom w:val="double" w:sz="4" w:space="0" w:color="auto"/>
              <w:right w:val="single" w:sz="4" w:space="0" w:color="auto"/>
            </w:tcBorders>
            <w:shd w:val="clear" w:color="auto" w:fill="auto"/>
          </w:tcPr>
          <w:p w14:paraId="365A0D15" w14:textId="77777777" w:rsidR="0033479F" w:rsidRPr="001F769A" w:rsidRDefault="0033479F" w:rsidP="005722D1">
            <w:pPr>
              <w:keepNext/>
              <w:keepLines/>
              <w:jc w:val="left"/>
              <w:rPr>
                <w:b/>
              </w:rPr>
            </w:pPr>
            <w:r w:rsidRPr="001F769A">
              <w:rPr>
                <w:b/>
              </w:rPr>
              <w:t>Title</w:t>
            </w:r>
          </w:p>
        </w:tc>
        <w:tc>
          <w:tcPr>
            <w:tcW w:w="939" w:type="pct"/>
            <w:tcBorders>
              <w:top w:val="double" w:sz="4" w:space="0" w:color="auto"/>
              <w:left w:val="single" w:sz="4" w:space="0" w:color="auto"/>
              <w:bottom w:val="double" w:sz="4" w:space="0" w:color="auto"/>
            </w:tcBorders>
            <w:shd w:val="clear" w:color="auto" w:fill="auto"/>
          </w:tcPr>
          <w:p w14:paraId="37B4AF07" w14:textId="77777777" w:rsidR="0033479F" w:rsidRPr="001F769A" w:rsidRDefault="0033479F" w:rsidP="005722D1">
            <w:pPr>
              <w:keepNext/>
              <w:keepLines/>
              <w:jc w:val="left"/>
              <w:rPr>
                <w:b/>
              </w:rPr>
            </w:pPr>
            <w:r w:rsidRPr="001F769A">
              <w:rPr>
                <w:b/>
              </w:rPr>
              <w:t>Application Date</w:t>
            </w:r>
          </w:p>
          <w:p w14:paraId="29AB7590" w14:textId="77777777" w:rsidR="0033479F" w:rsidRPr="001F769A" w:rsidRDefault="0033479F" w:rsidP="005722D1">
            <w:pPr>
              <w:keepNext/>
              <w:keepLines/>
              <w:jc w:val="left"/>
            </w:pPr>
            <w:r w:rsidRPr="001F769A">
              <w:t>(annual reporting periods)</w:t>
            </w:r>
          </w:p>
        </w:tc>
      </w:tr>
      <w:tr w:rsidR="0033479F" w:rsidRPr="001F769A" w14:paraId="07DD035F" w14:textId="77777777" w:rsidTr="004C2A3A">
        <w:trPr>
          <w:cantSplit/>
        </w:trPr>
        <w:tc>
          <w:tcPr>
            <w:tcW w:w="924" w:type="pct"/>
            <w:tcBorders>
              <w:top w:val="double" w:sz="4" w:space="0" w:color="auto"/>
              <w:bottom w:val="single" w:sz="4" w:space="0" w:color="auto"/>
              <w:right w:val="single" w:sz="4" w:space="0" w:color="auto"/>
            </w:tcBorders>
            <w:shd w:val="clear" w:color="auto" w:fill="auto"/>
          </w:tcPr>
          <w:p w14:paraId="282B1C66" w14:textId="77777777" w:rsidR="0033479F" w:rsidRPr="001F769A" w:rsidRDefault="0033479F" w:rsidP="005722D1">
            <w:pPr>
              <w:jc w:val="left"/>
            </w:pPr>
            <w:r w:rsidRPr="001F769A">
              <w:t>1003</w:t>
            </w:r>
          </w:p>
          <w:p w14:paraId="18ED302D" w14:textId="77777777" w:rsidR="0033479F" w:rsidRPr="001F769A" w:rsidRDefault="0033479F" w:rsidP="005722D1">
            <w:pPr>
              <w:jc w:val="left"/>
            </w:pPr>
            <w:r>
              <w:rPr>
                <w:i/>
              </w:rPr>
              <w:t>June 2024</w:t>
            </w:r>
          </w:p>
          <w:p w14:paraId="5E5DEDE3" w14:textId="77777777" w:rsidR="0033479F" w:rsidRPr="001F769A" w:rsidRDefault="0033479F" w:rsidP="005722D1">
            <w:pPr>
              <w:jc w:val="left"/>
            </w:pPr>
            <w:r w:rsidRPr="001F769A">
              <w:t>[as amended to]</w:t>
            </w:r>
          </w:p>
        </w:tc>
        <w:tc>
          <w:tcPr>
            <w:tcW w:w="3137" w:type="pct"/>
            <w:tcBorders>
              <w:top w:val="double" w:sz="4" w:space="0" w:color="auto"/>
              <w:left w:val="single" w:sz="4" w:space="0" w:color="auto"/>
              <w:bottom w:val="single" w:sz="4" w:space="0" w:color="auto"/>
              <w:right w:val="single" w:sz="4" w:space="0" w:color="auto"/>
            </w:tcBorders>
            <w:shd w:val="clear" w:color="auto" w:fill="auto"/>
          </w:tcPr>
          <w:p w14:paraId="547BF880" w14:textId="77777777" w:rsidR="0033479F" w:rsidRPr="001F769A" w:rsidRDefault="0033479F" w:rsidP="005722D1">
            <w:pPr>
              <w:jc w:val="left"/>
            </w:pPr>
            <w:r w:rsidRPr="001F769A">
              <w:t>Australian Petroleum Resource Rent Tax</w:t>
            </w:r>
          </w:p>
        </w:tc>
        <w:tc>
          <w:tcPr>
            <w:tcW w:w="939" w:type="pct"/>
            <w:tcBorders>
              <w:top w:val="double" w:sz="4" w:space="0" w:color="auto"/>
              <w:left w:val="single" w:sz="4" w:space="0" w:color="auto"/>
              <w:bottom w:val="single" w:sz="4" w:space="0" w:color="auto"/>
            </w:tcBorders>
            <w:shd w:val="clear" w:color="auto" w:fill="auto"/>
          </w:tcPr>
          <w:p w14:paraId="32F93AF1" w14:textId="77777777" w:rsidR="0033479F" w:rsidRPr="001F769A" w:rsidRDefault="0033479F" w:rsidP="005722D1">
            <w:pPr>
              <w:jc w:val="left"/>
            </w:pPr>
            <w:r w:rsidRPr="001F769A">
              <w:t>(beginning)</w:t>
            </w:r>
          </w:p>
          <w:p w14:paraId="1E56ED5E" w14:textId="77777777" w:rsidR="0033479F" w:rsidRPr="001F769A" w:rsidRDefault="0033479F" w:rsidP="005722D1">
            <w:pPr>
              <w:jc w:val="left"/>
            </w:pPr>
            <w:r w:rsidRPr="001F769A">
              <w:t>1 January 20</w:t>
            </w:r>
            <w:r>
              <w:t>27</w:t>
            </w:r>
          </w:p>
        </w:tc>
      </w:tr>
      <w:tr w:rsidR="0033479F" w:rsidRPr="001F769A" w14:paraId="3AC053ED" w14:textId="77777777" w:rsidTr="004C2A3A">
        <w:trPr>
          <w:cantSplit/>
        </w:trPr>
        <w:tc>
          <w:tcPr>
            <w:tcW w:w="924" w:type="pct"/>
            <w:tcBorders>
              <w:top w:val="single" w:sz="4" w:space="0" w:color="auto"/>
              <w:bottom w:val="single" w:sz="4" w:space="0" w:color="auto"/>
              <w:right w:val="single" w:sz="4" w:space="0" w:color="auto"/>
            </w:tcBorders>
            <w:shd w:val="clear" w:color="auto" w:fill="auto"/>
          </w:tcPr>
          <w:p w14:paraId="44D70D48" w14:textId="77777777" w:rsidR="0033479F" w:rsidRPr="001F769A" w:rsidRDefault="0033479F" w:rsidP="005722D1">
            <w:pPr>
              <w:jc w:val="left"/>
            </w:pPr>
            <w:r w:rsidRPr="001F769A">
              <w:t>1003</w:t>
            </w:r>
          </w:p>
          <w:p w14:paraId="09255EB9" w14:textId="77777777" w:rsidR="0033479F" w:rsidRPr="001F769A" w:rsidRDefault="0033479F" w:rsidP="005722D1">
            <w:pPr>
              <w:jc w:val="left"/>
            </w:pPr>
            <w:r>
              <w:rPr>
                <w:i/>
              </w:rPr>
              <w:t>May 2019</w:t>
            </w:r>
          </w:p>
          <w:p w14:paraId="79AF9155" w14:textId="77777777" w:rsidR="0033479F" w:rsidRPr="001F769A" w:rsidRDefault="0033479F" w:rsidP="005722D1">
            <w:pPr>
              <w:jc w:val="left"/>
            </w:pPr>
            <w:r w:rsidRPr="001F769A">
              <w:t>[as amended to]</w:t>
            </w:r>
          </w:p>
        </w:tc>
        <w:tc>
          <w:tcPr>
            <w:tcW w:w="3137" w:type="pct"/>
            <w:tcBorders>
              <w:top w:val="single" w:sz="4" w:space="0" w:color="auto"/>
              <w:left w:val="single" w:sz="4" w:space="0" w:color="auto"/>
              <w:bottom w:val="single" w:sz="4" w:space="0" w:color="auto"/>
              <w:right w:val="single" w:sz="4" w:space="0" w:color="auto"/>
            </w:tcBorders>
            <w:shd w:val="clear" w:color="auto" w:fill="auto"/>
          </w:tcPr>
          <w:p w14:paraId="5F675793" w14:textId="77777777" w:rsidR="0033479F" w:rsidRPr="001F769A" w:rsidRDefault="0033479F" w:rsidP="005722D1">
            <w:pPr>
              <w:jc w:val="left"/>
            </w:pPr>
            <w:r w:rsidRPr="001F769A">
              <w:t>Australian Petroleum Resource Rent Tax</w:t>
            </w:r>
          </w:p>
        </w:tc>
        <w:tc>
          <w:tcPr>
            <w:tcW w:w="939" w:type="pct"/>
            <w:tcBorders>
              <w:top w:val="single" w:sz="4" w:space="0" w:color="auto"/>
              <w:left w:val="single" w:sz="4" w:space="0" w:color="auto"/>
              <w:bottom w:val="single" w:sz="4" w:space="0" w:color="auto"/>
            </w:tcBorders>
            <w:shd w:val="clear" w:color="auto" w:fill="auto"/>
          </w:tcPr>
          <w:p w14:paraId="1A97793F" w14:textId="77777777" w:rsidR="0033479F" w:rsidRPr="001F769A" w:rsidRDefault="0033479F" w:rsidP="005722D1">
            <w:pPr>
              <w:jc w:val="left"/>
            </w:pPr>
            <w:r w:rsidRPr="001F769A">
              <w:t>(beginning)</w:t>
            </w:r>
          </w:p>
          <w:p w14:paraId="40132D5E" w14:textId="77777777" w:rsidR="0033479F" w:rsidRPr="001F769A" w:rsidRDefault="0033479F" w:rsidP="005722D1">
            <w:pPr>
              <w:jc w:val="left"/>
            </w:pPr>
            <w:r w:rsidRPr="001F769A">
              <w:t>1 January 20</w:t>
            </w:r>
            <w:r>
              <w:t>20</w:t>
            </w:r>
          </w:p>
        </w:tc>
      </w:tr>
      <w:tr w:rsidR="0033479F" w:rsidRPr="006815A4" w14:paraId="1CEBCB6A" w14:textId="77777777" w:rsidTr="005722D1">
        <w:trPr>
          <w:cantSplit/>
        </w:trPr>
        <w:tc>
          <w:tcPr>
            <w:tcW w:w="924" w:type="pct"/>
            <w:tcBorders>
              <w:top w:val="single" w:sz="4" w:space="0" w:color="auto"/>
              <w:bottom w:val="single" w:sz="4" w:space="0" w:color="auto"/>
              <w:right w:val="single" w:sz="4" w:space="0" w:color="auto"/>
            </w:tcBorders>
            <w:shd w:val="clear" w:color="auto" w:fill="auto"/>
          </w:tcPr>
          <w:p w14:paraId="4EE474ED" w14:textId="77777777" w:rsidR="0033479F" w:rsidRPr="006815A4" w:rsidRDefault="0033479F" w:rsidP="005722D1">
            <w:pPr>
              <w:jc w:val="left"/>
            </w:pPr>
            <w:r w:rsidRPr="006815A4">
              <w:t>1019</w:t>
            </w:r>
          </w:p>
          <w:p w14:paraId="2D668DC7" w14:textId="77777777" w:rsidR="0033479F" w:rsidRPr="006815A4" w:rsidRDefault="0033479F" w:rsidP="005722D1">
            <w:pPr>
              <w:jc w:val="left"/>
            </w:pPr>
            <w:r>
              <w:rPr>
                <w:i/>
              </w:rPr>
              <w:t>May 2019</w:t>
            </w:r>
          </w:p>
          <w:p w14:paraId="5259D16D" w14:textId="77777777" w:rsidR="0033479F" w:rsidRPr="006815A4" w:rsidRDefault="0033479F" w:rsidP="005722D1">
            <w:pPr>
              <w:jc w:val="left"/>
            </w:pPr>
            <w:r w:rsidRPr="006815A4">
              <w:t>[as amended to]</w:t>
            </w:r>
          </w:p>
        </w:tc>
        <w:tc>
          <w:tcPr>
            <w:tcW w:w="3137" w:type="pct"/>
            <w:tcBorders>
              <w:top w:val="single" w:sz="4" w:space="0" w:color="auto"/>
              <w:left w:val="single" w:sz="4" w:space="0" w:color="auto"/>
              <w:bottom w:val="single" w:sz="4" w:space="0" w:color="auto"/>
              <w:right w:val="single" w:sz="4" w:space="0" w:color="auto"/>
            </w:tcBorders>
            <w:shd w:val="clear" w:color="auto" w:fill="auto"/>
          </w:tcPr>
          <w:p w14:paraId="5AC41D09" w14:textId="77777777" w:rsidR="0033479F" w:rsidRPr="006815A4" w:rsidRDefault="0033479F" w:rsidP="005722D1">
            <w:pPr>
              <w:jc w:val="left"/>
            </w:pPr>
            <w:r w:rsidRPr="006815A4">
              <w:t>The Superannuation Contributions Surcharge</w:t>
            </w:r>
          </w:p>
        </w:tc>
        <w:tc>
          <w:tcPr>
            <w:tcW w:w="939" w:type="pct"/>
            <w:tcBorders>
              <w:top w:val="single" w:sz="4" w:space="0" w:color="auto"/>
              <w:left w:val="single" w:sz="4" w:space="0" w:color="auto"/>
              <w:bottom w:val="single" w:sz="4" w:space="0" w:color="auto"/>
            </w:tcBorders>
            <w:shd w:val="clear" w:color="auto" w:fill="auto"/>
          </w:tcPr>
          <w:p w14:paraId="309AC553" w14:textId="77777777" w:rsidR="0033479F" w:rsidRPr="006815A4" w:rsidRDefault="0033479F" w:rsidP="005722D1">
            <w:pPr>
              <w:jc w:val="left"/>
            </w:pPr>
            <w:r w:rsidRPr="006815A4">
              <w:t>(beginning)</w:t>
            </w:r>
          </w:p>
          <w:p w14:paraId="3C90DFF0" w14:textId="77777777" w:rsidR="0033479F" w:rsidRPr="006815A4" w:rsidRDefault="0033479F" w:rsidP="005722D1">
            <w:pPr>
              <w:jc w:val="left"/>
            </w:pPr>
            <w:r w:rsidRPr="006815A4">
              <w:t>1 January 20</w:t>
            </w:r>
            <w:r>
              <w:t>20</w:t>
            </w:r>
          </w:p>
        </w:tc>
      </w:tr>
      <w:tr w:rsidR="0033479F" w:rsidRPr="001F769A" w14:paraId="5556EF4D" w14:textId="77777777" w:rsidTr="005722D1">
        <w:trPr>
          <w:cantSplit/>
        </w:trPr>
        <w:tc>
          <w:tcPr>
            <w:tcW w:w="924" w:type="pct"/>
            <w:tcBorders>
              <w:top w:val="single" w:sz="4" w:space="0" w:color="auto"/>
              <w:bottom w:val="single" w:sz="4" w:space="0" w:color="auto"/>
              <w:right w:val="single" w:sz="4" w:space="0" w:color="auto"/>
            </w:tcBorders>
            <w:shd w:val="clear" w:color="auto" w:fill="auto"/>
          </w:tcPr>
          <w:p w14:paraId="3D95A198" w14:textId="77777777" w:rsidR="0033479F" w:rsidRPr="001F769A" w:rsidRDefault="0033479F" w:rsidP="005722D1">
            <w:pPr>
              <w:jc w:val="left"/>
            </w:pPr>
            <w:r w:rsidRPr="001F769A">
              <w:t>1030</w:t>
            </w:r>
          </w:p>
          <w:p w14:paraId="30652C25" w14:textId="77777777" w:rsidR="0033479F" w:rsidRPr="001F769A" w:rsidRDefault="0033479F" w:rsidP="005722D1">
            <w:pPr>
              <w:jc w:val="left"/>
              <w:rPr>
                <w:i/>
              </w:rPr>
            </w:pPr>
            <w:r w:rsidRPr="001F769A">
              <w:rPr>
                <w:i/>
              </w:rPr>
              <w:t>December 2013</w:t>
            </w:r>
          </w:p>
          <w:p w14:paraId="345B5ECF" w14:textId="77777777" w:rsidR="0033479F" w:rsidRPr="001F769A" w:rsidRDefault="0033479F" w:rsidP="005722D1">
            <w:pPr>
              <w:jc w:val="left"/>
            </w:pPr>
            <w:r w:rsidRPr="001F769A">
              <w:t>[as amended to]</w:t>
            </w:r>
          </w:p>
        </w:tc>
        <w:tc>
          <w:tcPr>
            <w:tcW w:w="3137" w:type="pct"/>
            <w:tcBorders>
              <w:top w:val="single" w:sz="4" w:space="0" w:color="auto"/>
              <w:left w:val="single" w:sz="4" w:space="0" w:color="auto"/>
              <w:bottom w:val="single" w:sz="4" w:space="0" w:color="auto"/>
              <w:right w:val="single" w:sz="4" w:space="0" w:color="auto"/>
            </w:tcBorders>
            <w:shd w:val="clear" w:color="auto" w:fill="auto"/>
          </w:tcPr>
          <w:p w14:paraId="3050FD19" w14:textId="77777777" w:rsidR="0033479F" w:rsidRPr="001F769A" w:rsidRDefault="0033479F" w:rsidP="005722D1">
            <w:pPr>
              <w:jc w:val="left"/>
            </w:pPr>
            <w:r w:rsidRPr="001F769A">
              <w:t>Depreciation of Long-Lived Physical Assets: Condition-Based Depreciation and Related Methods</w:t>
            </w:r>
          </w:p>
        </w:tc>
        <w:tc>
          <w:tcPr>
            <w:tcW w:w="939" w:type="pct"/>
            <w:tcBorders>
              <w:top w:val="single" w:sz="4" w:space="0" w:color="auto"/>
              <w:left w:val="single" w:sz="4" w:space="0" w:color="auto"/>
              <w:bottom w:val="single" w:sz="4" w:space="0" w:color="auto"/>
            </w:tcBorders>
            <w:shd w:val="clear" w:color="auto" w:fill="auto"/>
          </w:tcPr>
          <w:p w14:paraId="2E0A7004" w14:textId="77777777" w:rsidR="0033479F" w:rsidRPr="001F769A" w:rsidRDefault="0033479F" w:rsidP="005722D1">
            <w:pPr>
              <w:jc w:val="left"/>
            </w:pPr>
            <w:r w:rsidRPr="001F769A">
              <w:t>(beginning)</w:t>
            </w:r>
          </w:p>
          <w:p w14:paraId="61780B50" w14:textId="77777777" w:rsidR="0033479F" w:rsidRPr="001F769A" w:rsidRDefault="0033479F" w:rsidP="005722D1">
            <w:pPr>
              <w:jc w:val="left"/>
            </w:pPr>
            <w:r w:rsidRPr="001F769A">
              <w:t>1 January 2014</w:t>
            </w:r>
          </w:p>
        </w:tc>
      </w:tr>
      <w:tr w:rsidR="0033479F" w:rsidRPr="001D39C9" w14:paraId="72D82D89" w14:textId="77777777" w:rsidTr="005722D1">
        <w:trPr>
          <w:cantSplit/>
        </w:trPr>
        <w:tc>
          <w:tcPr>
            <w:tcW w:w="924" w:type="pct"/>
            <w:tcBorders>
              <w:top w:val="single" w:sz="4" w:space="0" w:color="auto"/>
              <w:bottom w:val="single" w:sz="4" w:space="0" w:color="auto"/>
              <w:right w:val="single" w:sz="4" w:space="0" w:color="auto"/>
            </w:tcBorders>
            <w:shd w:val="clear" w:color="auto" w:fill="auto"/>
          </w:tcPr>
          <w:p w14:paraId="032744C1" w14:textId="77777777" w:rsidR="0033479F" w:rsidRPr="001D39C9" w:rsidRDefault="0033479F" w:rsidP="005722D1">
            <w:pPr>
              <w:jc w:val="left"/>
            </w:pPr>
            <w:r w:rsidRPr="001D39C9">
              <w:t>1031</w:t>
            </w:r>
          </w:p>
          <w:p w14:paraId="1485432F" w14:textId="77777777" w:rsidR="0033479F" w:rsidRPr="001D39C9" w:rsidRDefault="0033479F" w:rsidP="005722D1">
            <w:pPr>
              <w:jc w:val="left"/>
            </w:pPr>
            <w:r>
              <w:rPr>
                <w:i/>
              </w:rPr>
              <w:t>June 2024</w:t>
            </w:r>
          </w:p>
          <w:p w14:paraId="576F15DA" w14:textId="77777777" w:rsidR="0033479F" w:rsidRPr="001D39C9" w:rsidRDefault="0033479F" w:rsidP="005722D1">
            <w:pPr>
              <w:jc w:val="left"/>
            </w:pPr>
            <w:r w:rsidRPr="001D39C9">
              <w:t>[as amended to]</w:t>
            </w:r>
          </w:p>
        </w:tc>
        <w:tc>
          <w:tcPr>
            <w:tcW w:w="3137" w:type="pct"/>
            <w:tcBorders>
              <w:top w:val="single" w:sz="4" w:space="0" w:color="auto"/>
              <w:left w:val="single" w:sz="4" w:space="0" w:color="auto"/>
              <w:bottom w:val="single" w:sz="4" w:space="0" w:color="auto"/>
              <w:right w:val="single" w:sz="4" w:space="0" w:color="auto"/>
            </w:tcBorders>
            <w:shd w:val="clear" w:color="auto" w:fill="auto"/>
          </w:tcPr>
          <w:p w14:paraId="5BA62A61" w14:textId="77777777" w:rsidR="0033479F" w:rsidRPr="001D39C9" w:rsidRDefault="0033479F" w:rsidP="005722D1">
            <w:pPr>
              <w:jc w:val="left"/>
            </w:pPr>
            <w:r w:rsidRPr="001D39C9">
              <w:t>Accounting for the Goods and Services Tax (GST)</w:t>
            </w:r>
          </w:p>
        </w:tc>
        <w:tc>
          <w:tcPr>
            <w:tcW w:w="939" w:type="pct"/>
            <w:tcBorders>
              <w:top w:val="single" w:sz="4" w:space="0" w:color="auto"/>
              <w:left w:val="single" w:sz="4" w:space="0" w:color="auto"/>
              <w:bottom w:val="single" w:sz="4" w:space="0" w:color="auto"/>
            </w:tcBorders>
            <w:shd w:val="clear" w:color="auto" w:fill="auto"/>
          </w:tcPr>
          <w:p w14:paraId="10B4B172" w14:textId="77777777" w:rsidR="0033479F" w:rsidRPr="001D39C9" w:rsidRDefault="0033479F" w:rsidP="005722D1">
            <w:pPr>
              <w:jc w:val="left"/>
            </w:pPr>
            <w:r w:rsidRPr="001D39C9">
              <w:t>(beginning)</w:t>
            </w:r>
          </w:p>
          <w:p w14:paraId="7F080C98" w14:textId="77777777" w:rsidR="0033479F" w:rsidRPr="001D39C9" w:rsidRDefault="0033479F" w:rsidP="005722D1">
            <w:pPr>
              <w:jc w:val="left"/>
            </w:pPr>
            <w:r w:rsidRPr="001D39C9">
              <w:t>1 January 20</w:t>
            </w:r>
            <w:r>
              <w:t>27</w:t>
            </w:r>
          </w:p>
        </w:tc>
      </w:tr>
      <w:tr w:rsidR="0033479F" w:rsidRPr="001D39C9" w14:paraId="4E6D5D19" w14:textId="77777777" w:rsidTr="005722D1">
        <w:trPr>
          <w:cantSplit/>
        </w:trPr>
        <w:tc>
          <w:tcPr>
            <w:tcW w:w="924" w:type="pct"/>
            <w:tcBorders>
              <w:top w:val="single" w:sz="4" w:space="0" w:color="auto"/>
              <w:bottom w:val="single" w:sz="4" w:space="0" w:color="auto"/>
              <w:right w:val="single" w:sz="4" w:space="0" w:color="auto"/>
            </w:tcBorders>
            <w:shd w:val="clear" w:color="auto" w:fill="auto"/>
          </w:tcPr>
          <w:p w14:paraId="6A57C698" w14:textId="77777777" w:rsidR="0033479F" w:rsidRPr="001D39C9" w:rsidRDefault="0033479F" w:rsidP="005722D1">
            <w:pPr>
              <w:jc w:val="left"/>
            </w:pPr>
            <w:r w:rsidRPr="001D39C9">
              <w:t>1031</w:t>
            </w:r>
          </w:p>
          <w:p w14:paraId="446AAFBA" w14:textId="77777777" w:rsidR="0033479F" w:rsidRPr="001D39C9" w:rsidRDefault="0033479F" w:rsidP="005722D1">
            <w:pPr>
              <w:jc w:val="left"/>
            </w:pPr>
            <w:r>
              <w:rPr>
                <w:i/>
              </w:rPr>
              <w:t>May 2019</w:t>
            </w:r>
          </w:p>
          <w:p w14:paraId="4BE44BBC" w14:textId="77777777" w:rsidR="0033479F" w:rsidRPr="001D39C9" w:rsidRDefault="0033479F" w:rsidP="005722D1">
            <w:pPr>
              <w:jc w:val="left"/>
            </w:pPr>
            <w:r w:rsidRPr="001D39C9">
              <w:t>[as amended to]</w:t>
            </w:r>
          </w:p>
        </w:tc>
        <w:tc>
          <w:tcPr>
            <w:tcW w:w="3137" w:type="pct"/>
            <w:tcBorders>
              <w:top w:val="single" w:sz="4" w:space="0" w:color="auto"/>
              <w:left w:val="single" w:sz="4" w:space="0" w:color="auto"/>
              <w:bottom w:val="single" w:sz="4" w:space="0" w:color="auto"/>
              <w:right w:val="single" w:sz="4" w:space="0" w:color="auto"/>
            </w:tcBorders>
            <w:shd w:val="clear" w:color="auto" w:fill="auto"/>
          </w:tcPr>
          <w:p w14:paraId="103A4AFC" w14:textId="77777777" w:rsidR="0033479F" w:rsidRPr="001D39C9" w:rsidRDefault="0033479F" w:rsidP="005722D1">
            <w:pPr>
              <w:jc w:val="left"/>
            </w:pPr>
            <w:r w:rsidRPr="001D39C9">
              <w:t>Accounting for the Goods and Services Tax (GST)</w:t>
            </w:r>
          </w:p>
        </w:tc>
        <w:tc>
          <w:tcPr>
            <w:tcW w:w="939" w:type="pct"/>
            <w:tcBorders>
              <w:top w:val="single" w:sz="4" w:space="0" w:color="auto"/>
              <w:left w:val="single" w:sz="4" w:space="0" w:color="auto"/>
              <w:bottom w:val="single" w:sz="4" w:space="0" w:color="auto"/>
            </w:tcBorders>
            <w:shd w:val="clear" w:color="auto" w:fill="auto"/>
          </w:tcPr>
          <w:p w14:paraId="275B574D" w14:textId="77777777" w:rsidR="0033479F" w:rsidRPr="001D39C9" w:rsidRDefault="0033479F" w:rsidP="005722D1">
            <w:pPr>
              <w:jc w:val="left"/>
            </w:pPr>
            <w:r w:rsidRPr="001D39C9">
              <w:t>(beginning)</w:t>
            </w:r>
          </w:p>
          <w:p w14:paraId="7630EFD3" w14:textId="77777777" w:rsidR="0033479F" w:rsidRPr="001D39C9" w:rsidRDefault="0033479F" w:rsidP="005722D1">
            <w:pPr>
              <w:jc w:val="left"/>
            </w:pPr>
            <w:r w:rsidRPr="001D39C9">
              <w:t>1 January 20</w:t>
            </w:r>
            <w:r>
              <w:t>20</w:t>
            </w:r>
          </w:p>
        </w:tc>
      </w:tr>
      <w:tr w:rsidR="0033479F" w:rsidRPr="0031211C" w14:paraId="66B029A2" w14:textId="77777777" w:rsidTr="005722D1">
        <w:trPr>
          <w:cantSplit/>
        </w:trPr>
        <w:tc>
          <w:tcPr>
            <w:tcW w:w="924" w:type="pct"/>
            <w:tcBorders>
              <w:top w:val="single" w:sz="4" w:space="0" w:color="auto"/>
              <w:bottom w:val="single" w:sz="4" w:space="0" w:color="auto"/>
              <w:right w:val="single" w:sz="4" w:space="0" w:color="auto"/>
            </w:tcBorders>
            <w:shd w:val="clear" w:color="auto" w:fill="auto"/>
          </w:tcPr>
          <w:p w14:paraId="6CADDB00" w14:textId="77777777" w:rsidR="0033479F" w:rsidRPr="0031211C" w:rsidRDefault="0033479F" w:rsidP="005722D1">
            <w:pPr>
              <w:jc w:val="left"/>
            </w:pPr>
            <w:r w:rsidRPr="0031211C">
              <w:t>1038</w:t>
            </w:r>
          </w:p>
          <w:p w14:paraId="64B78084" w14:textId="77777777" w:rsidR="0033479F" w:rsidRPr="0031211C" w:rsidRDefault="0033479F" w:rsidP="005722D1">
            <w:pPr>
              <w:jc w:val="left"/>
            </w:pPr>
            <w:r>
              <w:rPr>
                <w:i/>
              </w:rPr>
              <w:t>May 2019</w:t>
            </w:r>
          </w:p>
          <w:p w14:paraId="6ECA28FC" w14:textId="77777777" w:rsidR="0033479F" w:rsidRPr="0031211C" w:rsidRDefault="0033479F" w:rsidP="005722D1">
            <w:pPr>
              <w:jc w:val="left"/>
            </w:pPr>
            <w:r w:rsidRPr="0031211C">
              <w:t>[as amended to]</w:t>
            </w:r>
          </w:p>
        </w:tc>
        <w:tc>
          <w:tcPr>
            <w:tcW w:w="3137" w:type="pct"/>
            <w:tcBorders>
              <w:top w:val="single" w:sz="4" w:space="0" w:color="auto"/>
              <w:left w:val="single" w:sz="4" w:space="0" w:color="auto"/>
              <w:bottom w:val="single" w:sz="4" w:space="0" w:color="auto"/>
              <w:right w:val="single" w:sz="4" w:space="0" w:color="auto"/>
            </w:tcBorders>
            <w:shd w:val="clear" w:color="auto" w:fill="auto"/>
          </w:tcPr>
          <w:p w14:paraId="5C932E00" w14:textId="77777777" w:rsidR="0033479F" w:rsidRPr="0031211C" w:rsidRDefault="0033479F" w:rsidP="005722D1">
            <w:pPr>
              <w:jc w:val="left"/>
            </w:pPr>
            <w:r w:rsidRPr="0031211C">
              <w:t>Contributions by Owners Made to Wholly-Owned Public Sector Entities</w:t>
            </w:r>
          </w:p>
        </w:tc>
        <w:tc>
          <w:tcPr>
            <w:tcW w:w="939" w:type="pct"/>
            <w:tcBorders>
              <w:top w:val="single" w:sz="4" w:space="0" w:color="auto"/>
              <w:left w:val="single" w:sz="4" w:space="0" w:color="auto"/>
              <w:bottom w:val="single" w:sz="4" w:space="0" w:color="auto"/>
            </w:tcBorders>
            <w:shd w:val="clear" w:color="auto" w:fill="auto"/>
          </w:tcPr>
          <w:p w14:paraId="1558A9EB" w14:textId="77777777" w:rsidR="0033479F" w:rsidRPr="0031211C" w:rsidRDefault="0033479F" w:rsidP="005722D1">
            <w:pPr>
              <w:jc w:val="left"/>
            </w:pPr>
            <w:r w:rsidRPr="0031211C">
              <w:t>(beginning)</w:t>
            </w:r>
          </w:p>
          <w:p w14:paraId="057B4FC7" w14:textId="77777777" w:rsidR="0033479F" w:rsidRPr="0031211C" w:rsidRDefault="0033479F" w:rsidP="005722D1">
            <w:pPr>
              <w:jc w:val="left"/>
            </w:pPr>
            <w:r w:rsidRPr="0031211C">
              <w:t>1 January 20</w:t>
            </w:r>
            <w:r>
              <w:t>20</w:t>
            </w:r>
          </w:p>
        </w:tc>
      </w:tr>
      <w:tr w:rsidR="00CF1647" w:rsidRPr="0031211C" w14:paraId="4DD3BA50" w14:textId="77777777" w:rsidTr="005722D1">
        <w:trPr>
          <w:cantSplit/>
        </w:trPr>
        <w:tc>
          <w:tcPr>
            <w:tcW w:w="924" w:type="pct"/>
            <w:tcBorders>
              <w:top w:val="single" w:sz="4" w:space="0" w:color="auto"/>
              <w:bottom w:val="single" w:sz="4" w:space="0" w:color="auto"/>
              <w:right w:val="single" w:sz="4" w:space="0" w:color="auto"/>
            </w:tcBorders>
            <w:shd w:val="clear" w:color="auto" w:fill="auto"/>
          </w:tcPr>
          <w:p w14:paraId="37A75F49" w14:textId="77777777" w:rsidR="00CF1647" w:rsidRPr="0031211C" w:rsidRDefault="00CF1647" w:rsidP="005722D1">
            <w:pPr>
              <w:jc w:val="left"/>
            </w:pPr>
            <w:r w:rsidRPr="0031211C">
              <w:lastRenderedPageBreak/>
              <w:t>1052</w:t>
            </w:r>
          </w:p>
          <w:p w14:paraId="2AFF5142" w14:textId="4CF38430" w:rsidR="00CF1647" w:rsidRPr="0031211C" w:rsidRDefault="00CF1647" w:rsidP="005722D1">
            <w:pPr>
              <w:jc w:val="left"/>
              <w:rPr>
                <w:i/>
              </w:rPr>
            </w:pPr>
            <w:r>
              <w:rPr>
                <w:i/>
              </w:rPr>
              <w:t>December 2021</w:t>
            </w:r>
          </w:p>
          <w:p w14:paraId="1FDD0D5F" w14:textId="77777777" w:rsidR="00CF1647" w:rsidRPr="0031211C" w:rsidRDefault="00CF1647" w:rsidP="005722D1">
            <w:pPr>
              <w:jc w:val="left"/>
            </w:pPr>
            <w:r w:rsidRPr="0031211C">
              <w:t>[as amended to]</w:t>
            </w:r>
          </w:p>
        </w:tc>
        <w:tc>
          <w:tcPr>
            <w:tcW w:w="3137" w:type="pct"/>
            <w:tcBorders>
              <w:top w:val="single" w:sz="4" w:space="0" w:color="auto"/>
              <w:left w:val="single" w:sz="4" w:space="0" w:color="auto"/>
              <w:bottom w:val="single" w:sz="4" w:space="0" w:color="auto"/>
              <w:right w:val="single" w:sz="4" w:space="0" w:color="auto"/>
            </w:tcBorders>
            <w:shd w:val="clear" w:color="auto" w:fill="auto"/>
          </w:tcPr>
          <w:p w14:paraId="7E56B86B" w14:textId="77777777" w:rsidR="00CF1647" w:rsidRPr="0031211C" w:rsidRDefault="00CF1647" w:rsidP="005722D1">
            <w:pPr>
              <w:jc w:val="left"/>
            </w:pPr>
            <w:r w:rsidRPr="0031211C">
              <w:t>Tax Consolidation Accounting</w:t>
            </w:r>
          </w:p>
        </w:tc>
        <w:tc>
          <w:tcPr>
            <w:tcW w:w="939" w:type="pct"/>
            <w:tcBorders>
              <w:top w:val="single" w:sz="4" w:space="0" w:color="auto"/>
              <w:left w:val="single" w:sz="4" w:space="0" w:color="auto"/>
              <w:bottom w:val="single" w:sz="4" w:space="0" w:color="auto"/>
            </w:tcBorders>
            <w:shd w:val="clear" w:color="auto" w:fill="auto"/>
          </w:tcPr>
          <w:p w14:paraId="5FEDE8F0" w14:textId="77777777" w:rsidR="00CF1647" w:rsidRPr="0031211C" w:rsidRDefault="00CF1647" w:rsidP="005722D1">
            <w:pPr>
              <w:jc w:val="left"/>
            </w:pPr>
            <w:r w:rsidRPr="0031211C">
              <w:t>(beginning)</w:t>
            </w:r>
          </w:p>
          <w:p w14:paraId="450E39FF" w14:textId="1D13F45D" w:rsidR="00CF1647" w:rsidRPr="0031211C" w:rsidRDefault="00CF1647" w:rsidP="005722D1">
            <w:pPr>
              <w:jc w:val="left"/>
            </w:pPr>
            <w:r>
              <w:t>1 January 2022</w:t>
            </w:r>
          </w:p>
        </w:tc>
      </w:tr>
      <w:tr w:rsidR="0033479F" w:rsidRPr="001F769A" w14:paraId="30C04904" w14:textId="77777777" w:rsidTr="005722D1">
        <w:trPr>
          <w:cantSplit/>
        </w:trPr>
        <w:tc>
          <w:tcPr>
            <w:tcW w:w="924" w:type="pct"/>
            <w:tcBorders>
              <w:top w:val="single" w:sz="4" w:space="0" w:color="auto"/>
              <w:bottom w:val="single" w:sz="4" w:space="0" w:color="auto"/>
              <w:right w:val="single" w:sz="4" w:space="0" w:color="auto"/>
            </w:tcBorders>
            <w:shd w:val="clear" w:color="auto" w:fill="auto"/>
          </w:tcPr>
          <w:p w14:paraId="421802F2" w14:textId="77777777" w:rsidR="0033479F" w:rsidRPr="001F769A" w:rsidRDefault="0033479F" w:rsidP="005722D1">
            <w:pPr>
              <w:jc w:val="left"/>
            </w:pPr>
            <w:r w:rsidRPr="001F769A">
              <w:t>1055</w:t>
            </w:r>
          </w:p>
          <w:p w14:paraId="2E35D8A8" w14:textId="77777777" w:rsidR="0033479F" w:rsidRPr="001F769A" w:rsidRDefault="0033479F" w:rsidP="005722D1">
            <w:pPr>
              <w:jc w:val="left"/>
            </w:pPr>
            <w:r>
              <w:rPr>
                <w:i/>
              </w:rPr>
              <w:t>June 2024</w:t>
            </w:r>
          </w:p>
          <w:p w14:paraId="62C562B2" w14:textId="77777777" w:rsidR="0033479F" w:rsidRPr="001F769A" w:rsidRDefault="0033479F" w:rsidP="005722D1">
            <w:pPr>
              <w:jc w:val="left"/>
            </w:pPr>
            <w:r w:rsidRPr="001F769A">
              <w:t>[as amended to]</w:t>
            </w:r>
          </w:p>
        </w:tc>
        <w:tc>
          <w:tcPr>
            <w:tcW w:w="3137" w:type="pct"/>
            <w:tcBorders>
              <w:top w:val="single" w:sz="4" w:space="0" w:color="auto"/>
              <w:left w:val="single" w:sz="4" w:space="0" w:color="auto"/>
              <w:bottom w:val="single" w:sz="4" w:space="0" w:color="auto"/>
              <w:right w:val="single" w:sz="4" w:space="0" w:color="auto"/>
            </w:tcBorders>
            <w:shd w:val="clear" w:color="auto" w:fill="auto"/>
          </w:tcPr>
          <w:p w14:paraId="4968334F" w14:textId="77777777" w:rsidR="0033479F" w:rsidRPr="001F769A" w:rsidRDefault="0033479F" w:rsidP="005722D1">
            <w:pPr>
              <w:jc w:val="left"/>
            </w:pPr>
            <w:r w:rsidRPr="001F769A">
              <w:t>Accounting for Road Earthworks</w:t>
            </w:r>
          </w:p>
        </w:tc>
        <w:tc>
          <w:tcPr>
            <w:tcW w:w="939" w:type="pct"/>
            <w:tcBorders>
              <w:top w:val="single" w:sz="4" w:space="0" w:color="auto"/>
              <w:left w:val="single" w:sz="4" w:space="0" w:color="auto"/>
              <w:bottom w:val="single" w:sz="4" w:space="0" w:color="auto"/>
            </w:tcBorders>
            <w:shd w:val="clear" w:color="auto" w:fill="auto"/>
          </w:tcPr>
          <w:p w14:paraId="3D854613" w14:textId="77777777" w:rsidR="0033479F" w:rsidRPr="001F769A" w:rsidRDefault="0033479F" w:rsidP="005722D1">
            <w:pPr>
              <w:jc w:val="left"/>
            </w:pPr>
            <w:r w:rsidRPr="001F769A">
              <w:t>(beginning)</w:t>
            </w:r>
          </w:p>
          <w:p w14:paraId="3CDE21B7" w14:textId="77777777" w:rsidR="0033479F" w:rsidRPr="001F769A" w:rsidRDefault="0033479F" w:rsidP="005722D1">
            <w:pPr>
              <w:jc w:val="left"/>
            </w:pPr>
            <w:r w:rsidRPr="001F769A">
              <w:t>1 January 20</w:t>
            </w:r>
            <w:r>
              <w:t>27</w:t>
            </w:r>
          </w:p>
        </w:tc>
      </w:tr>
      <w:tr w:rsidR="0033479F" w:rsidRPr="001F769A" w14:paraId="4223574A" w14:textId="77777777" w:rsidTr="005722D1">
        <w:trPr>
          <w:cantSplit/>
        </w:trPr>
        <w:tc>
          <w:tcPr>
            <w:tcW w:w="924" w:type="pct"/>
            <w:tcBorders>
              <w:top w:val="single" w:sz="4" w:space="0" w:color="auto"/>
              <w:bottom w:val="single" w:sz="4" w:space="0" w:color="auto"/>
              <w:right w:val="single" w:sz="4" w:space="0" w:color="auto"/>
            </w:tcBorders>
            <w:shd w:val="clear" w:color="auto" w:fill="auto"/>
          </w:tcPr>
          <w:p w14:paraId="5BBDE8A1" w14:textId="77777777" w:rsidR="0033479F" w:rsidRPr="001F769A" w:rsidRDefault="0033479F" w:rsidP="005722D1">
            <w:pPr>
              <w:jc w:val="left"/>
            </w:pPr>
            <w:r w:rsidRPr="001F769A">
              <w:t>1055</w:t>
            </w:r>
          </w:p>
          <w:p w14:paraId="1F9261F3" w14:textId="77777777" w:rsidR="0033479F" w:rsidRPr="001F769A" w:rsidRDefault="0033479F" w:rsidP="005722D1">
            <w:pPr>
              <w:jc w:val="left"/>
            </w:pPr>
            <w:r w:rsidRPr="001F769A">
              <w:rPr>
                <w:i/>
              </w:rPr>
              <w:t>December 2013</w:t>
            </w:r>
          </w:p>
          <w:p w14:paraId="4DC46B9D" w14:textId="77777777" w:rsidR="0033479F" w:rsidRPr="001F769A" w:rsidRDefault="0033479F" w:rsidP="005722D1">
            <w:pPr>
              <w:jc w:val="left"/>
            </w:pPr>
            <w:r w:rsidRPr="001F769A">
              <w:t>[as amended to]</w:t>
            </w:r>
          </w:p>
        </w:tc>
        <w:tc>
          <w:tcPr>
            <w:tcW w:w="3137" w:type="pct"/>
            <w:tcBorders>
              <w:top w:val="single" w:sz="4" w:space="0" w:color="auto"/>
              <w:left w:val="single" w:sz="4" w:space="0" w:color="auto"/>
              <w:bottom w:val="single" w:sz="4" w:space="0" w:color="auto"/>
              <w:right w:val="single" w:sz="4" w:space="0" w:color="auto"/>
            </w:tcBorders>
            <w:shd w:val="clear" w:color="auto" w:fill="auto"/>
          </w:tcPr>
          <w:p w14:paraId="036132B1" w14:textId="77777777" w:rsidR="0033479F" w:rsidRPr="001F769A" w:rsidRDefault="0033479F" w:rsidP="005722D1">
            <w:pPr>
              <w:jc w:val="left"/>
            </w:pPr>
            <w:r w:rsidRPr="001F769A">
              <w:t>Accounting for Road Earthworks</w:t>
            </w:r>
          </w:p>
        </w:tc>
        <w:tc>
          <w:tcPr>
            <w:tcW w:w="939" w:type="pct"/>
            <w:tcBorders>
              <w:top w:val="single" w:sz="4" w:space="0" w:color="auto"/>
              <w:left w:val="single" w:sz="4" w:space="0" w:color="auto"/>
              <w:bottom w:val="single" w:sz="4" w:space="0" w:color="auto"/>
            </w:tcBorders>
            <w:shd w:val="clear" w:color="auto" w:fill="auto"/>
          </w:tcPr>
          <w:p w14:paraId="42E25CCF" w14:textId="77777777" w:rsidR="0033479F" w:rsidRPr="001F769A" w:rsidRDefault="0033479F" w:rsidP="005722D1">
            <w:pPr>
              <w:jc w:val="left"/>
            </w:pPr>
            <w:r w:rsidRPr="001F769A">
              <w:t>(beginning)</w:t>
            </w:r>
          </w:p>
          <w:p w14:paraId="010F46FF" w14:textId="77777777" w:rsidR="0033479F" w:rsidRPr="001F769A" w:rsidRDefault="0033479F" w:rsidP="005722D1">
            <w:pPr>
              <w:jc w:val="left"/>
            </w:pPr>
            <w:r w:rsidRPr="001F769A">
              <w:t>1 January 2014</w:t>
            </w:r>
          </w:p>
        </w:tc>
      </w:tr>
    </w:tbl>
    <w:p w14:paraId="60D883A1" w14:textId="69CD81E5" w:rsidR="0033479F" w:rsidRDefault="0033479F" w:rsidP="0033479F">
      <w:pPr>
        <w:pStyle w:val="IASBNormalnpara"/>
        <w:spacing w:before="240"/>
      </w:pPr>
      <w:r>
        <w:t>9</w:t>
      </w:r>
      <w:r>
        <w:tab/>
      </w:r>
      <w:r w:rsidRPr="001F769A">
        <w:t>The principal application date listed in Tabl</w:t>
      </w:r>
      <w:r>
        <w:t xml:space="preserve">e </w:t>
      </w:r>
      <w:r w:rsidRPr="001F769A">
        <w:t>2 for each Interpretation is a reference to annual reporting periods beginning or ending (as indicated) on or after the date specified. An entity may elect to apply an individual Interpretation to annual reporting periods in advance of that stated for the Interpretation in Table</w:t>
      </w:r>
      <w:r>
        <w:t> </w:t>
      </w:r>
      <w:r w:rsidRPr="001F769A">
        <w:t xml:space="preserve">2, subject to </w:t>
      </w:r>
      <w:r w:rsidR="004F675D">
        <w:t xml:space="preserve">any </w:t>
      </w:r>
      <w:r w:rsidRPr="001F769A">
        <w:t>early application requ</w:t>
      </w:r>
      <w:r>
        <w:t>irements of the Interpretation</w:t>
      </w:r>
      <w:r w:rsidRPr="001F769A">
        <w:t>.</w:t>
      </w:r>
    </w:p>
    <w:p w14:paraId="6D3EA34F" w14:textId="77777777" w:rsidR="0033479F" w:rsidRPr="001D3554" w:rsidRDefault="0033479F" w:rsidP="0033479F">
      <w:pPr>
        <w:pStyle w:val="IASBSectionTitle1NonInd"/>
      </w:pPr>
      <w:r w:rsidRPr="001D3554">
        <w:t>Conceptual framework</w:t>
      </w:r>
    </w:p>
    <w:p w14:paraId="170BF627" w14:textId="6A110C02" w:rsidR="0033479F" w:rsidRDefault="0033479F" w:rsidP="0033479F">
      <w:pPr>
        <w:pStyle w:val="IASBNormalnpara"/>
        <w:rPr>
          <w:b/>
        </w:rPr>
      </w:pPr>
      <w:r w:rsidRPr="001D3554">
        <w:rPr>
          <w:b/>
        </w:rPr>
        <w:t>10</w:t>
      </w:r>
      <w:r w:rsidRPr="001D3554">
        <w:rPr>
          <w:b/>
        </w:rPr>
        <w:tab/>
        <w:t xml:space="preserve">Each reference to the </w:t>
      </w:r>
      <w:r w:rsidRPr="005F3128">
        <w:rPr>
          <w:b/>
          <w:bCs/>
          <w:i/>
          <w:szCs w:val="19"/>
        </w:rPr>
        <w:t>Conceptual Framework for Financial Reporting</w:t>
      </w:r>
      <w:r w:rsidRPr="00B857A0">
        <w:rPr>
          <w:b/>
          <w:i/>
          <w:szCs w:val="19"/>
        </w:rPr>
        <w:t xml:space="preserve"> </w:t>
      </w:r>
      <w:r w:rsidRPr="00B857A0">
        <w:rPr>
          <w:b/>
          <w:szCs w:val="19"/>
        </w:rPr>
        <w:t xml:space="preserve">(or </w:t>
      </w:r>
      <w:r w:rsidRPr="005F3128">
        <w:rPr>
          <w:b/>
          <w:bCs/>
          <w:i/>
          <w:szCs w:val="19"/>
        </w:rPr>
        <w:t>Conceptual</w:t>
      </w:r>
      <w:r w:rsidRPr="005F3128">
        <w:rPr>
          <w:b/>
          <w:szCs w:val="19"/>
        </w:rPr>
        <w:t xml:space="preserve"> </w:t>
      </w:r>
      <w:r w:rsidRPr="00B857A0">
        <w:rPr>
          <w:b/>
          <w:i/>
          <w:szCs w:val="19"/>
        </w:rPr>
        <w:t>Framework</w:t>
      </w:r>
      <w:r w:rsidRPr="0067049C">
        <w:rPr>
          <w:b/>
          <w:szCs w:val="19"/>
        </w:rPr>
        <w:t>)</w:t>
      </w:r>
      <w:r>
        <w:rPr>
          <w:b/>
          <w:szCs w:val="19"/>
        </w:rPr>
        <w:t xml:space="preserve"> </w:t>
      </w:r>
      <w:r w:rsidRPr="001D3554">
        <w:rPr>
          <w:b/>
        </w:rPr>
        <w:t>in other Australian Accounting Standards (including Interpretations) is taken to be a reference to the relevant pronouncement listed in Table 3 below. Each row in Table 3 is to be treated as a separate provision of this Standard.</w:t>
      </w:r>
    </w:p>
    <w:tbl>
      <w:tblPr>
        <w:tblW w:w="8250" w:type="dxa"/>
        <w:tblInd w:w="782" w:type="dxa"/>
        <w:tblCellMar>
          <w:top w:w="57" w:type="dxa"/>
          <w:left w:w="57" w:type="dxa"/>
          <w:bottom w:w="57" w:type="dxa"/>
          <w:right w:w="57" w:type="dxa"/>
        </w:tblCellMar>
        <w:tblLook w:val="0000" w:firstRow="0" w:lastRow="0" w:firstColumn="0" w:lastColumn="0" w:noHBand="0" w:noVBand="0"/>
        <w:tblCaption w:val="Table 3: Australian Conceptual Framework pronouncements"/>
        <w:tblDescription w:val="This table lists amended versions of the Australian conceptual framework document &quot;Framework for the Preparation and Presentation of Financial Statements&quot; by application date. It provides the issue date of the principal or amended pronouncement, the title of the pronouncement, and the date from which the pronouncement applies."/>
      </w:tblPr>
      <w:tblGrid>
        <w:gridCol w:w="1523"/>
        <w:gridCol w:w="5178"/>
        <w:gridCol w:w="1549"/>
      </w:tblGrid>
      <w:tr w:rsidR="0033479F" w:rsidRPr="001D3554" w14:paraId="29BCA2A6" w14:textId="77777777" w:rsidTr="005722D1">
        <w:trPr>
          <w:cantSplit/>
          <w:tblHeader/>
        </w:trPr>
        <w:tc>
          <w:tcPr>
            <w:tcW w:w="5000" w:type="pct"/>
            <w:gridSpan w:val="3"/>
            <w:tcBorders>
              <w:bottom w:val="double" w:sz="4" w:space="0" w:color="auto"/>
            </w:tcBorders>
            <w:shd w:val="clear" w:color="auto" w:fill="auto"/>
          </w:tcPr>
          <w:p w14:paraId="40EEF1BC" w14:textId="77777777" w:rsidR="0033479F" w:rsidRPr="001D3554" w:rsidRDefault="0033479F" w:rsidP="005722D1">
            <w:pPr>
              <w:pStyle w:val="IASBTableBoldTNR"/>
              <w:keepNext/>
              <w:keepLines/>
              <w:rPr>
                <w:i/>
              </w:rPr>
            </w:pPr>
            <w:r w:rsidRPr="001D3554">
              <w:rPr>
                <w:i/>
              </w:rPr>
              <w:t>Table 3: Australian conceptual framework pronouncements</w:t>
            </w:r>
          </w:p>
        </w:tc>
      </w:tr>
      <w:tr w:rsidR="0033479F" w:rsidRPr="001D3554" w14:paraId="6C7AD9E9" w14:textId="77777777" w:rsidTr="005722D1">
        <w:trPr>
          <w:cantSplit/>
          <w:tblHeader/>
        </w:trPr>
        <w:tc>
          <w:tcPr>
            <w:tcW w:w="923" w:type="pct"/>
            <w:tcBorders>
              <w:top w:val="double" w:sz="4" w:space="0" w:color="auto"/>
              <w:bottom w:val="double" w:sz="4" w:space="0" w:color="auto"/>
              <w:right w:val="single" w:sz="4" w:space="0" w:color="auto"/>
            </w:tcBorders>
            <w:shd w:val="clear" w:color="auto" w:fill="auto"/>
          </w:tcPr>
          <w:p w14:paraId="44B87C9E" w14:textId="77777777" w:rsidR="0033479F" w:rsidRPr="00A84AB9" w:rsidRDefault="0033479F" w:rsidP="005722D1">
            <w:pPr>
              <w:keepNext/>
              <w:keepLines/>
              <w:jc w:val="left"/>
              <w:rPr>
                <w:b/>
              </w:rPr>
            </w:pPr>
            <w:r>
              <w:rPr>
                <w:b/>
              </w:rPr>
              <w:t>Issue Date</w:t>
            </w:r>
          </w:p>
        </w:tc>
        <w:tc>
          <w:tcPr>
            <w:tcW w:w="3138" w:type="pct"/>
            <w:tcBorders>
              <w:top w:val="double" w:sz="4" w:space="0" w:color="auto"/>
              <w:left w:val="single" w:sz="4" w:space="0" w:color="auto"/>
              <w:bottom w:val="double" w:sz="4" w:space="0" w:color="auto"/>
              <w:right w:val="single" w:sz="4" w:space="0" w:color="auto"/>
            </w:tcBorders>
            <w:shd w:val="clear" w:color="auto" w:fill="auto"/>
          </w:tcPr>
          <w:p w14:paraId="749189B8" w14:textId="77777777" w:rsidR="0033479F" w:rsidRPr="001D3554" w:rsidRDefault="0033479F" w:rsidP="005722D1">
            <w:pPr>
              <w:keepNext/>
              <w:keepLines/>
              <w:jc w:val="left"/>
              <w:rPr>
                <w:b/>
              </w:rPr>
            </w:pPr>
            <w:r w:rsidRPr="001D3554">
              <w:rPr>
                <w:b/>
              </w:rPr>
              <w:t>Title</w:t>
            </w:r>
          </w:p>
        </w:tc>
        <w:tc>
          <w:tcPr>
            <w:tcW w:w="939" w:type="pct"/>
            <w:tcBorders>
              <w:top w:val="double" w:sz="4" w:space="0" w:color="auto"/>
              <w:left w:val="single" w:sz="4" w:space="0" w:color="auto"/>
              <w:bottom w:val="double" w:sz="4" w:space="0" w:color="auto"/>
            </w:tcBorders>
            <w:shd w:val="clear" w:color="auto" w:fill="auto"/>
          </w:tcPr>
          <w:p w14:paraId="0E5D4D42" w14:textId="77777777" w:rsidR="0033479F" w:rsidRPr="001D3554" w:rsidRDefault="0033479F" w:rsidP="005722D1">
            <w:pPr>
              <w:keepNext/>
              <w:keepLines/>
              <w:jc w:val="left"/>
              <w:rPr>
                <w:b/>
              </w:rPr>
            </w:pPr>
            <w:r w:rsidRPr="001D3554">
              <w:rPr>
                <w:b/>
              </w:rPr>
              <w:t>Application Date</w:t>
            </w:r>
          </w:p>
          <w:p w14:paraId="2C69A8BB" w14:textId="77777777" w:rsidR="0033479F" w:rsidRPr="001D3554" w:rsidRDefault="0033479F" w:rsidP="005722D1">
            <w:pPr>
              <w:keepNext/>
              <w:keepLines/>
              <w:jc w:val="left"/>
            </w:pPr>
            <w:r w:rsidRPr="001D3554">
              <w:t>(annual reporting periods)</w:t>
            </w:r>
          </w:p>
        </w:tc>
      </w:tr>
      <w:tr w:rsidR="002E1390" w:rsidRPr="00823AE8" w14:paraId="5D5422C5" w14:textId="77777777" w:rsidTr="005722D1">
        <w:trPr>
          <w:cantSplit/>
        </w:trPr>
        <w:tc>
          <w:tcPr>
            <w:tcW w:w="923" w:type="pct"/>
            <w:tcBorders>
              <w:top w:val="single" w:sz="4" w:space="0" w:color="auto"/>
              <w:bottom w:val="single" w:sz="4" w:space="0" w:color="auto"/>
              <w:right w:val="single" w:sz="4" w:space="0" w:color="auto"/>
            </w:tcBorders>
            <w:shd w:val="clear" w:color="auto" w:fill="auto"/>
          </w:tcPr>
          <w:p w14:paraId="2C62CB41" w14:textId="39526B0D" w:rsidR="002E1390" w:rsidRPr="00823AE8" w:rsidRDefault="002E1390" w:rsidP="005722D1">
            <w:pPr>
              <w:jc w:val="left"/>
              <w:rPr>
                <w:szCs w:val="19"/>
              </w:rPr>
            </w:pPr>
            <w:r>
              <w:rPr>
                <w:szCs w:val="19"/>
              </w:rPr>
              <w:t>December 2021</w:t>
            </w:r>
          </w:p>
          <w:p w14:paraId="651C5627" w14:textId="77777777" w:rsidR="002E1390" w:rsidRPr="00823AE8" w:rsidRDefault="002E1390" w:rsidP="005722D1">
            <w:pPr>
              <w:jc w:val="left"/>
              <w:rPr>
                <w:szCs w:val="19"/>
              </w:rPr>
            </w:pPr>
            <w:r w:rsidRPr="00823AE8">
              <w:rPr>
                <w:szCs w:val="19"/>
              </w:rPr>
              <w:t>[as amended to]</w:t>
            </w:r>
          </w:p>
        </w:tc>
        <w:tc>
          <w:tcPr>
            <w:tcW w:w="3138" w:type="pct"/>
            <w:tcBorders>
              <w:top w:val="single" w:sz="4" w:space="0" w:color="auto"/>
              <w:left w:val="single" w:sz="4" w:space="0" w:color="auto"/>
              <w:bottom w:val="single" w:sz="4" w:space="0" w:color="auto"/>
              <w:right w:val="single" w:sz="4" w:space="0" w:color="auto"/>
            </w:tcBorders>
            <w:shd w:val="clear" w:color="auto" w:fill="auto"/>
          </w:tcPr>
          <w:p w14:paraId="0B21F255" w14:textId="77777777" w:rsidR="002E1390" w:rsidRPr="00823AE8" w:rsidRDefault="002E1390" w:rsidP="005722D1">
            <w:pPr>
              <w:pStyle w:val="Default"/>
              <w:rPr>
                <w:color w:val="auto"/>
                <w:sz w:val="19"/>
                <w:szCs w:val="19"/>
              </w:rPr>
            </w:pPr>
            <w:r w:rsidRPr="00823AE8">
              <w:rPr>
                <w:color w:val="auto"/>
                <w:sz w:val="19"/>
                <w:szCs w:val="19"/>
              </w:rPr>
              <w:t>Conceptual Framework for Financial Reporting (or Conceptual Framework)</w:t>
            </w:r>
          </w:p>
          <w:p w14:paraId="305A6A64" w14:textId="77777777" w:rsidR="002E1390" w:rsidRPr="00823AE8" w:rsidRDefault="002E1390" w:rsidP="005722D1">
            <w:pPr>
              <w:pStyle w:val="Default"/>
              <w:rPr>
                <w:color w:val="auto"/>
                <w:sz w:val="19"/>
                <w:szCs w:val="19"/>
              </w:rPr>
            </w:pPr>
            <w:r w:rsidRPr="00823AE8">
              <w:rPr>
                <w:i/>
                <w:sz w:val="19"/>
                <w:szCs w:val="19"/>
              </w:rPr>
              <w:t>Note</w:t>
            </w:r>
            <w:r w:rsidRPr="00823AE8">
              <w:rPr>
                <w:sz w:val="19"/>
                <w:szCs w:val="19"/>
              </w:rPr>
              <w:t xml:space="preserve"> – for-profit entities applying the </w:t>
            </w:r>
            <w:r w:rsidRPr="00823AE8">
              <w:rPr>
                <w:color w:val="auto"/>
                <w:sz w:val="19"/>
                <w:szCs w:val="19"/>
              </w:rPr>
              <w:t xml:space="preserve">Conceptual </w:t>
            </w:r>
            <w:r w:rsidRPr="00823AE8">
              <w:rPr>
                <w:sz w:val="19"/>
                <w:szCs w:val="19"/>
              </w:rPr>
              <w:t>Framework</w:t>
            </w:r>
            <w:r w:rsidRPr="00823AE8">
              <w:rPr>
                <w:color w:val="auto"/>
                <w:sz w:val="19"/>
                <w:szCs w:val="19"/>
              </w:rPr>
              <w:t xml:space="preserve"> are set out in paragraph Aus1.1. of the Conceptual </w:t>
            </w:r>
            <w:r w:rsidRPr="00823AE8">
              <w:rPr>
                <w:sz w:val="19"/>
                <w:szCs w:val="19"/>
              </w:rPr>
              <w:t>Framework</w:t>
            </w:r>
          </w:p>
        </w:tc>
        <w:tc>
          <w:tcPr>
            <w:tcW w:w="939" w:type="pct"/>
            <w:tcBorders>
              <w:top w:val="single" w:sz="4" w:space="0" w:color="auto"/>
              <w:left w:val="single" w:sz="4" w:space="0" w:color="auto"/>
              <w:bottom w:val="single" w:sz="4" w:space="0" w:color="auto"/>
            </w:tcBorders>
            <w:shd w:val="clear" w:color="auto" w:fill="auto"/>
          </w:tcPr>
          <w:p w14:paraId="17B04B0F" w14:textId="77777777" w:rsidR="002E1390" w:rsidRPr="00823AE8" w:rsidRDefault="002E1390" w:rsidP="005722D1">
            <w:pPr>
              <w:pStyle w:val="Default"/>
              <w:jc w:val="both"/>
              <w:rPr>
                <w:color w:val="auto"/>
                <w:sz w:val="19"/>
                <w:szCs w:val="19"/>
              </w:rPr>
            </w:pPr>
            <w:r w:rsidRPr="00823AE8">
              <w:rPr>
                <w:color w:val="auto"/>
                <w:sz w:val="19"/>
                <w:szCs w:val="19"/>
              </w:rPr>
              <w:t xml:space="preserve">(beginning) </w:t>
            </w:r>
          </w:p>
          <w:p w14:paraId="613C31EC" w14:textId="5DB081C3" w:rsidR="002E1390" w:rsidRPr="00823AE8" w:rsidRDefault="002E1390" w:rsidP="005722D1">
            <w:pPr>
              <w:pStyle w:val="Default"/>
              <w:jc w:val="both"/>
              <w:rPr>
                <w:color w:val="auto"/>
                <w:sz w:val="19"/>
                <w:szCs w:val="19"/>
              </w:rPr>
            </w:pPr>
            <w:r w:rsidRPr="00823AE8">
              <w:rPr>
                <w:sz w:val="19"/>
                <w:szCs w:val="19"/>
              </w:rPr>
              <w:t xml:space="preserve">1 </w:t>
            </w:r>
            <w:r w:rsidR="0053350D">
              <w:rPr>
                <w:sz w:val="19"/>
                <w:szCs w:val="19"/>
              </w:rPr>
              <w:t>January 2022</w:t>
            </w:r>
          </w:p>
        </w:tc>
      </w:tr>
    </w:tbl>
    <w:p w14:paraId="1E830716" w14:textId="05469051" w:rsidR="0033479F" w:rsidRDefault="0033479F" w:rsidP="0033479F">
      <w:pPr>
        <w:pStyle w:val="IASBNormalnpara"/>
        <w:spacing w:before="240"/>
        <w:ind w:left="1565" w:hanging="1565"/>
        <w:rPr>
          <w:b/>
          <w:bCs/>
          <w:szCs w:val="19"/>
        </w:rPr>
      </w:pPr>
      <w:r w:rsidRPr="005F3128">
        <w:rPr>
          <w:b/>
          <w:bCs/>
          <w:szCs w:val="19"/>
        </w:rPr>
        <w:t>AusCF10</w:t>
      </w:r>
      <w:r w:rsidRPr="00B857A0">
        <w:rPr>
          <w:b/>
          <w:bCs/>
          <w:szCs w:val="19"/>
        </w:rPr>
        <w:tab/>
      </w:r>
      <w:r w:rsidRPr="005F3128">
        <w:rPr>
          <w:b/>
          <w:szCs w:val="19"/>
        </w:rPr>
        <w:t xml:space="preserve">Notwithstanding paragraph 10, in respect of </w:t>
      </w:r>
      <w:proofErr w:type="spellStart"/>
      <w:r w:rsidRPr="005F3128">
        <w:rPr>
          <w:b/>
          <w:szCs w:val="19"/>
        </w:rPr>
        <w:t>AusCF</w:t>
      </w:r>
      <w:proofErr w:type="spellEnd"/>
      <w:r w:rsidRPr="005F3128">
        <w:rPr>
          <w:b/>
          <w:szCs w:val="19"/>
        </w:rPr>
        <w:t xml:space="preserve"> entities, </w:t>
      </w:r>
      <w:r w:rsidRPr="005F3128">
        <w:rPr>
          <w:b/>
          <w:bCs/>
          <w:szCs w:val="19"/>
        </w:rPr>
        <w:t xml:space="preserve">each reference to the </w:t>
      </w:r>
      <w:r w:rsidRPr="005F3128">
        <w:rPr>
          <w:b/>
          <w:bCs/>
          <w:i/>
          <w:szCs w:val="19"/>
        </w:rPr>
        <w:t xml:space="preserve">Framework for the Preparation and Presentation of Financial Statements </w:t>
      </w:r>
      <w:r w:rsidRPr="005F3128">
        <w:rPr>
          <w:b/>
          <w:bCs/>
          <w:szCs w:val="19"/>
        </w:rPr>
        <w:t xml:space="preserve">(or </w:t>
      </w:r>
      <w:r w:rsidRPr="005F3128">
        <w:rPr>
          <w:b/>
          <w:bCs/>
          <w:i/>
          <w:szCs w:val="19"/>
        </w:rPr>
        <w:t>Framework</w:t>
      </w:r>
      <w:r w:rsidRPr="005F3128">
        <w:rPr>
          <w:b/>
          <w:bCs/>
          <w:szCs w:val="19"/>
        </w:rPr>
        <w:t xml:space="preserve">) in other Australian Accounting Standards (including Interpretations) is taken to be a reference to the relevant pronouncement listed in Table </w:t>
      </w:r>
      <w:r w:rsidR="00354353">
        <w:rPr>
          <w:b/>
          <w:bCs/>
          <w:szCs w:val="19"/>
        </w:rPr>
        <w:t>AusCF</w:t>
      </w:r>
      <w:r w:rsidRPr="005F3128">
        <w:rPr>
          <w:b/>
          <w:bCs/>
          <w:szCs w:val="19"/>
        </w:rPr>
        <w:t xml:space="preserve">3 below. Each row in Table </w:t>
      </w:r>
      <w:r w:rsidR="00354353">
        <w:rPr>
          <w:b/>
          <w:bCs/>
          <w:szCs w:val="19"/>
        </w:rPr>
        <w:t>AusCF</w:t>
      </w:r>
      <w:r w:rsidRPr="005F3128">
        <w:rPr>
          <w:b/>
          <w:bCs/>
          <w:szCs w:val="19"/>
        </w:rPr>
        <w:t>3 is to be treated as a separate provision of this Standard.</w:t>
      </w:r>
    </w:p>
    <w:tbl>
      <w:tblPr>
        <w:tblW w:w="4572" w:type="pct"/>
        <w:tblInd w:w="782" w:type="dxa"/>
        <w:tblCellMar>
          <w:top w:w="57" w:type="dxa"/>
          <w:left w:w="57" w:type="dxa"/>
          <w:bottom w:w="57" w:type="dxa"/>
          <w:right w:w="57" w:type="dxa"/>
        </w:tblCellMar>
        <w:tblLook w:val="0000" w:firstRow="0" w:lastRow="0" w:firstColumn="0" w:lastColumn="0" w:noHBand="0" w:noVBand="0"/>
        <w:tblCaption w:val="Table 3: Australian Conceptual Framework pronouncements"/>
        <w:tblDescription w:val="This table lists amended versions of the Australian conceptual framework document &quot;Framework for the Preparation and Presentation of Financial Statements&quot; by application date. It provides the issue date of the principal or amended pronouncement, the title of the pronouncement, and the date from which the pronouncement applies."/>
      </w:tblPr>
      <w:tblGrid>
        <w:gridCol w:w="1533"/>
        <w:gridCol w:w="5204"/>
        <w:gridCol w:w="1558"/>
      </w:tblGrid>
      <w:tr w:rsidR="0033479F" w:rsidRPr="001D3554" w14:paraId="394CD558" w14:textId="77777777" w:rsidTr="005722D1">
        <w:trPr>
          <w:cantSplit/>
          <w:tblHeader/>
        </w:trPr>
        <w:tc>
          <w:tcPr>
            <w:tcW w:w="5000" w:type="pct"/>
            <w:gridSpan w:val="3"/>
            <w:tcBorders>
              <w:bottom w:val="double" w:sz="4" w:space="0" w:color="auto"/>
            </w:tcBorders>
            <w:shd w:val="clear" w:color="auto" w:fill="auto"/>
          </w:tcPr>
          <w:p w14:paraId="23B386F3" w14:textId="62634BD0" w:rsidR="0033479F" w:rsidRPr="001D3554" w:rsidRDefault="0033479F" w:rsidP="005722D1">
            <w:pPr>
              <w:pStyle w:val="IASBTableBoldTNR"/>
              <w:keepNext/>
              <w:keepLines/>
              <w:rPr>
                <w:i/>
              </w:rPr>
            </w:pPr>
            <w:r w:rsidRPr="001D3554">
              <w:rPr>
                <w:i/>
              </w:rPr>
              <w:t xml:space="preserve">Table </w:t>
            </w:r>
            <w:r w:rsidR="00354353">
              <w:rPr>
                <w:i/>
              </w:rPr>
              <w:t>AusCF</w:t>
            </w:r>
            <w:r w:rsidRPr="001D3554">
              <w:rPr>
                <w:i/>
              </w:rPr>
              <w:t>3: Australian conceptual framework pronouncements</w:t>
            </w:r>
          </w:p>
        </w:tc>
      </w:tr>
      <w:tr w:rsidR="0033479F" w:rsidRPr="001D3554" w14:paraId="5B84D1DD" w14:textId="77777777" w:rsidTr="005722D1">
        <w:trPr>
          <w:cantSplit/>
          <w:tblHeader/>
        </w:trPr>
        <w:tc>
          <w:tcPr>
            <w:tcW w:w="924" w:type="pct"/>
            <w:tcBorders>
              <w:top w:val="double" w:sz="4" w:space="0" w:color="auto"/>
              <w:bottom w:val="double" w:sz="4" w:space="0" w:color="auto"/>
              <w:right w:val="single" w:sz="4" w:space="0" w:color="auto"/>
            </w:tcBorders>
            <w:shd w:val="clear" w:color="auto" w:fill="auto"/>
          </w:tcPr>
          <w:p w14:paraId="53A16C3B" w14:textId="77777777" w:rsidR="0033479F" w:rsidRPr="001D3554" w:rsidRDefault="0033479F" w:rsidP="005722D1">
            <w:pPr>
              <w:keepNext/>
              <w:keepLines/>
              <w:jc w:val="left"/>
              <w:rPr>
                <w:b/>
              </w:rPr>
            </w:pPr>
            <w:r w:rsidRPr="001D3554">
              <w:rPr>
                <w:b/>
              </w:rPr>
              <w:t>Issue Date</w:t>
            </w:r>
          </w:p>
          <w:p w14:paraId="72C1F669" w14:textId="77777777" w:rsidR="0033479F" w:rsidRPr="001D3554" w:rsidRDefault="0033479F" w:rsidP="005722D1">
            <w:pPr>
              <w:keepNext/>
              <w:keepLines/>
              <w:jc w:val="left"/>
              <w:rPr>
                <w:i/>
              </w:rPr>
            </w:pPr>
          </w:p>
        </w:tc>
        <w:tc>
          <w:tcPr>
            <w:tcW w:w="3137" w:type="pct"/>
            <w:tcBorders>
              <w:top w:val="double" w:sz="4" w:space="0" w:color="auto"/>
              <w:left w:val="single" w:sz="4" w:space="0" w:color="auto"/>
              <w:bottom w:val="double" w:sz="4" w:space="0" w:color="auto"/>
              <w:right w:val="single" w:sz="4" w:space="0" w:color="auto"/>
            </w:tcBorders>
            <w:shd w:val="clear" w:color="auto" w:fill="auto"/>
          </w:tcPr>
          <w:p w14:paraId="16171854" w14:textId="77777777" w:rsidR="0033479F" w:rsidRPr="001D3554" w:rsidRDefault="0033479F" w:rsidP="005722D1">
            <w:pPr>
              <w:keepNext/>
              <w:keepLines/>
              <w:jc w:val="left"/>
              <w:rPr>
                <w:b/>
              </w:rPr>
            </w:pPr>
            <w:r w:rsidRPr="001D3554">
              <w:rPr>
                <w:b/>
              </w:rPr>
              <w:t>Title</w:t>
            </w:r>
          </w:p>
        </w:tc>
        <w:tc>
          <w:tcPr>
            <w:tcW w:w="939" w:type="pct"/>
            <w:tcBorders>
              <w:top w:val="double" w:sz="4" w:space="0" w:color="auto"/>
              <w:left w:val="single" w:sz="4" w:space="0" w:color="auto"/>
              <w:bottom w:val="double" w:sz="4" w:space="0" w:color="auto"/>
            </w:tcBorders>
            <w:shd w:val="clear" w:color="auto" w:fill="auto"/>
          </w:tcPr>
          <w:p w14:paraId="0F0CFD80" w14:textId="77777777" w:rsidR="0033479F" w:rsidRPr="001D3554" w:rsidRDefault="0033479F" w:rsidP="005722D1">
            <w:pPr>
              <w:keepNext/>
              <w:keepLines/>
              <w:jc w:val="left"/>
              <w:rPr>
                <w:b/>
              </w:rPr>
            </w:pPr>
            <w:r w:rsidRPr="001D3554">
              <w:rPr>
                <w:b/>
              </w:rPr>
              <w:t>Application Date</w:t>
            </w:r>
          </w:p>
          <w:p w14:paraId="0065C6B6" w14:textId="77777777" w:rsidR="0033479F" w:rsidRPr="001D3554" w:rsidRDefault="0033479F" w:rsidP="005722D1">
            <w:pPr>
              <w:keepNext/>
              <w:keepLines/>
              <w:jc w:val="left"/>
            </w:pPr>
            <w:r w:rsidRPr="001D3554">
              <w:t>(annual reporting periods)</w:t>
            </w:r>
          </w:p>
        </w:tc>
      </w:tr>
      <w:tr w:rsidR="0033479F" w:rsidRPr="001D3554" w14:paraId="15110026" w14:textId="77777777" w:rsidTr="005722D1">
        <w:trPr>
          <w:cantSplit/>
        </w:trPr>
        <w:tc>
          <w:tcPr>
            <w:tcW w:w="924" w:type="pct"/>
            <w:tcBorders>
              <w:top w:val="single" w:sz="4" w:space="0" w:color="auto"/>
              <w:bottom w:val="single" w:sz="4" w:space="0" w:color="auto"/>
              <w:right w:val="single" w:sz="4" w:space="0" w:color="auto"/>
            </w:tcBorders>
            <w:shd w:val="clear" w:color="auto" w:fill="auto"/>
          </w:tcPr>
          <w:p w14:paraId="1173E966" w14:textId="77777777" w:rsidR="0033479F" w:rsidRPr="00187219" w:rsidRDefault="0033479F" w:rsidP="005722D1">
            <w:pPr>
              <w:jc w:val="left"/>
            </w:pPr>
            <w:r>
              <w:t>March 2020</w:t>
            </w:r>
          </w:p>
          <w:p w14:paraId="26CDB550" w14:textId="77777777" w:rsidR="0033479F" w:rsidRPr="00187219" w:rsidRDefault="0033479F" w:rsidP="005722D1">
            <w:pPr>
              <w:jc w:val="left"/>
            </w:pPr>
            <w:r w:rsidRPr="00187219">
              <w:t>[as amended to]</w:t>
            </w:r>
          </w:p>
        </w:tc>
        <w:tc>
          <w:tcPr>
            <w:tcW w:w="3137" w:type="pct"/>
            <w:tcBorders>
              <w:top w:val="single" w:sz="4" w:space="0" w:color="auto"/>
              <w:left w:val="single" w:sz="4" w:space="0" w:color="auto"/>
              <w:bottom w:val="single" w:sz="4" w:space="0" w:color="auto"/>
              <w:right w:val="single" w:sz="4" w:space="0" w:color="auto"/>
            </w:tcBorders>
            <w:shd w:val="clear" w:color="auto" w:fill="auto"/>
          </w:tcPr>
          <w:p w14:paraId="3CB18DF0" w14:textId="77777777" w:rsidR="0033479F" w:rsidRPr="00187219" w:rsidRDefault="0033479F" w:rsidP="005722D1">
            <w:pPr>
              <w:jc w:val="left"/>
            </w:pPr>
            <w:r w:rsidRPr="00187219">
              <w:t>Framework for the Preparation and Presentation of Financial Statements (or Framework)</w:t>
            </w:r>
          </w:p>
        </w:tc>
        <w:tc>
          <w:tcPr>
            <w:tcW w:w="939" w:type="pct"/>
            <w:tcBorders>
              <w:top w:val="single" w:sz="4" w:space="0" w:color="auto"/>
              <w:left w:val="single" w:sz="4" w:space="0" w:color="auto"/>
              <w:bottom w:val="single" w:sz="4" w:space="0" w:color="auto"/>
            </w:tcBorders>
            <w:shd w:val="clear" w:color="auto" w:fill="auto"/>
          </w:tcPr>
          <w:p w14:paraId="029EFBCB" w14:textId="77777777" w:rsidR="0033479F" w:rsidRPr="00823AE8" w:rsidRDefault="0033479F" w:rsidP="005722D1">
            <w:pPr>
              <w:pStyle w:val="Default"/>
              <w:jc w:val="both"/>
              <w:rPr>
                <w:color w:val="auto"/>
                <w:sz w:val="19"/>
                <w:szCs w:val="19"/>
              </w:rPr>
            </w:pPr>
            <w:r w:rsidRPr="00823AE8">
              <w:rPr>
                <w:color w:val="auto"/>
                <w:sz w:val="19"/>
                <w:szCs w:val="19"/>
              </w:rPr>
              <w:t xml:space="preserve">(beginning) </w:t>
            </w:r>
          </w:p>
          <w:p w14:paraId="282E58CA" w14:textId="77777777" w:rsidR="0033479F" w:rsidRPr="00187219" w:rsidRDefault="0033479F" w:rsidP="005722D1">
            <w:pPr>
              <w:jc w:val="left"/>
            </w:pPr>
            <w:r w:rsidRPr="00823AE8">
              <w:rPr>
                <w:szCs w:val="19"/>
              </w:rPr>
              <w:t>1 J</w:t>
            </w:r>
            <w:r>
              <w:rPr>
                <w:szCs w:val="19"/>
              </w:rPr>
              <w:t>ul</w:t>
            </w:r>
            <w:r w:rsidRPr="00823AE8">
              <w:rPr>
                <w:szCs w:val="19"/>
              </w:rPr>
              <w:t>y 202</w:t>
            </w:r>
            <w:r>
              <w:rPr>
                <w:szCs w:val="19"/>
              </w:rPr>
              <w:t>1</w:t>
            </w:r>
          </w:p>
        </w:tc>
      </w:tr>
    </w:tbl>
    <w:p w14:paraId="1C4B7CAE" w14:textId="56C1E2DA" w:rsidR="0033479F" w:rsidRPr="001D3554" w:rsidRDefault="0033479F" w:rsidP="0033479F">
      <w:pPr>
        <w:pStyle w:val="IASBNormalnpara"/>
        <w:spacing w:before="240"/>
      </w:pPr>
      <w:r w:rsidRPr="001D3554">
        <w:t>11</w:t>
      </w:r>
      <w:r w:rsidRPr="001D3554">
        <w:tab/>
        <w:t xml:space="preserve">This Standard updates references to the </w:t>
      </w:r>
      <w:r w:rsidRPr="00F2626E">
        <w:rPr>
          <w:i/>
          <w:szCs w:val="19"/>
        </w:rPr>
        <w:t>Conceptual</w:t>
      </w:r>
      <w:r w:rsidRPr="00F2626E">
        <w:rPr>
          <w:szCs w:val="19"/>
        </w:rPr>
        <w:t xml:space="preserve"> </w:t>
      </w:r>
      <w:r w:rsidRPr="00F2626E">
        <w:rPr>
          <w:i/>
        </w:rPr>
        <w:t>F</w:t>
      </w:r>
      <w:r w:rsidRPr="001D3554">
        <w:rPr>
          <w:i/>
        </w:rPr>
        <w:t>ramework</w:t>
      </w:r>
      <w:r w:rsidRPr="001D3554">
        <w:t xml:space="preserve"> in Australian Accounting Standards (including Interpretations) to the relevant amended version of the </w:t>
      </w:r>
      <w:r w:rsidRPr="00F2626E">
        <w:rPr>
          <w:i/>
          <w:szCs w:val="19"/>
        </w:rPr>
        <w:t>Conceptual</w:t>
      </w:r>
      <w:r w:rsidRPr="00F2626E">
        <w:rPr>
          <w:szCs w:val="19"/>
        </w:rPr>
        <w:t xml:space="preserve"> </w:t>
      </w:r>
      <w:r w:rsidRPr="00F2626E">
        <w:rPr>
          <w:i/>
        </w:rPr>
        <w:t>Framework</w:t>
      </w:r>
      <w:r w:rsidRPr="001D3554">
        <w:t>. The principal application date listed in each row of Table 3 is a reference to annual reporting periods beginning or ending (as indicated) on or after the date specified. An entity may elect to apply an amended version of the pronouncement to annual reporting periods in advance of that stated in Table 3, subject to any early application paragraphs.</w:t>
      </w:r>
    </w:p>
    <w:p w14:paraId="16FAE13A" w14:textId="619BA1BB" w:rsidR="0033479F" w:rsidRPr="00F2626E" w:rsidRDefault="0033479F" w:rsidP="0033479F">
      <w:pPr>
        <w:pStyle w:val="IASBNormalnpara"/>
        <w:ind w:left="1565" w:hanging="1565"/>
        <w:rPr>
          <w:szCs w:val="19"/>
        </w:rPr>
      </w:pPr>
      <w:r w:rsidRPr="00F2626E">
        <w:rPr>
          <w:szCs w:val="19"/>
        </w:rPr>
        <w:t>AusCF11</w:t>
      </w:r>
      <w:r w:rsidRPr="00F2626E">
        <w:rPr>
          <w:szCs w:val="19"/>
        </w:rPr>
        <w:tab/>
        <w:t xml:space="preserve">Notwithstanding paragraph 11, in respect of </w:t>
      </w:r>
      <w:proofErr w:type="spellStart"/>
      <w:r w:rsidRPr="00F2626E">
        <w:rPr>
          <w:szCs w:val="19"/>
        </w:rPr>
        <w:t>AusCF</w:t>
      </w:r>
      <w:proofErr w:type="spellEnd"/>
      <w:r w:rsidRPr="00F2626E">
        <w:rPr>
          <w:szCs w:val="19"/>
        </w:rPr>
        <w:t xml:space="preserve"> entities, this Standard updates references to the </w:t>
      </w:r>
      <w:r w:rsidRPr="00F2626E">
        <w:rPr>
          <w:i/>
          <w:szCs w:val="19"/>
        </w:rPr>
        <w:t>Framework</w:t>
      </w:r>
      <w:r w:rsidRPr="00F2626E">
        <w:rPr>
          <w:szCs w:val="19"/>
        </w:rPr>
        <w:t xml:space="preserve"> in Australian Accounting Standards (including Interpretations) to the relevant amended </w:t>
      </w:r>
      <w:r w:rsidRPr="00F2626E">
        <w:rPr>
          <w:szCs w:val="19"/>
        </w:rPr>
        <w:lastRenderedPageBreak/>
        <w:t xml:space="preserve">version of the </w:t>
      </w:r>
      <w:r w:rsidRPr="00F2626E">
        <w:rPr>
          <w:i/>
          <w:szCs w:val="19"/>
        </w:rPr>
        <w:t>Framework</w:t>
      </w:r>
      <w:r w:rsidRPr="00F2626E">
        <w:rPr>
          <w:szCs w:val="19"/>
        </w:rPr>
        <w:t xml:space="preserve">. The principal application date listed in each row of Table </w:t>
      </w:r>
      <w:r w:rsidR="004F675D">
        <w:rPr>
          <w:szCs w:val="19"/>
        </w:rPr>
        <w:t>AusCF</w:t>
      </w:r>
      <w:r w:rsidRPr="00F2626E">
        <w:rPr>
          <w:szCs w:val="19"/>
        </w:rPr>
        <w:t xml:space="preserve">3 is a reference to annual reporting periods beginning or ending (as indicated) on or after the date specified. An entity may elect to apply an amended version of the pronouncement to annual reporting periods in advance of that stated in Table </w:t>
      </w:r>
      <w:r w:rsidR="004F675D">
        <w:rPr>
          <w:szCs w:val="19"/>
        </w:rPr>
        <w:t>AusCF</w:t>
      </w:r>
      <w:r w:rsidRPr="00F2626E">
        <w:rPr>
          <w:szCs w:val="19"/>
        </w:rPr>
        <w:t>3, subject to any early application paragraphs.</w:t>
      </w:r>
    </w:p>
    <w:p w14:paraId="319F2285" w14:textId="77777777" w:rsidR="0033479F" w:rsidRPr="001F769A" w:rsidRDefault="0033479F" w:rsidP="0033479F">
      <w:pPr>
        <w:pStyle w:val="IASBSectionTitle1NonInd"/>
      </w:pPr>
      <w:r w:rsidRPr="001F769A">
        <w:t>Commencement</w:t>
      </w:r>
      <w:r>
        <w:t xml:space="preserve"> of the legislative instrument</w:t>
      </w:r>
    </w:p>
    <w:p w14:paraId="40FC27DA" w14:textId="6CFC44D1" w:rsidR="0033479F" w:rsidRDefault="0033479F" w:rsidP="0033479F">
      <w:pPr>
        <w:pStyle w:val="IASBNormalnpara"/>
      </w:pPr>
      <w:r>
        <w:t>12</w:t>
      </w:r>
      <w:r>
        <w:tab/>
        <w:t>For legal purposes, this legislative instrument</w:t>
      </w:r>
      <w:r w:rsidRPr="00177555">
        <w:t xml:space="preserve"> commences on </w:t>
      </w:r>
      <w:r w:rsidR="004F675D">
        <w:t xml:space="preserve">30 </w:t>
      </w:r>
      <w:r w:rsidRPr="0031211C">
        <w:t>December</w:t>
      </w:r>
      <w:r w:rsidR="004F675D">
        <w:t xml:space="preserve"> 2024</w:t>
      </w:r>
      <w:r w:rsidRPr="001F769A">
        <w:t>.</w:t>
      </w:r>
    </w:p>
    <w:p w14:paraId="2491A060" w14:textId="77777777" w:rsidR="0033479F" w:rsidRDefault="0033479F" w:rsidP="0033479F">
      <w:pPr>
        <w:pStyle w:val="IASBSectionTitle1NonInd"/>
      </w:pPr>
      <w:r>
        <w:t xml:space="preserve">Withdrawal of </w:t>
      </w:r>
      <w:proofErr w:type="spellStart"/>
      <w:r>
        <w:t>AASB</w:t>
      </w:r>
      <w:proofErr w:type="spellEnd"/>
      <w:r>
        <w:t xml:space="preserve"> pronouncements</w:t>
      </w:r>
    </w:p>
    <w:p w14:paraId="01C255F9" w14:textId="43E55814" w:rsidR="0033479F" w:rsidRDefault="0033479F" w:rsidP="0033479F">
      <w:pPr>
        <w:pStyle w:val="IASBNormalnpara"/>
      </w:pPr>
      <w:r>
        <w:t>13</w:t>
      </w:r>
      <w:r>
        <w:tab/>
        <w:t xml:space="preserve">This Standard repeals </w:t>
      </w:r>
      <w:proofErr w:type="spellStart"/>
      <w:r>
        <w:t>AASB</w:t>
      </w:r>
      <w:proofErr w:type="spellEnd"/>
      <w:r>
        <w:t xml:space="preserve"> 1048 </w:t>
      </w:r>
      <w:r>
        <w:rPr>
          <w:i/>
        </w:rPr>
        <w:t>Interpretation of Standards</w:t>
      </w:r>
      <w:r>
        <w:t xml:space="preserve"> issued in December 20</w:t>
      </w:r>
      <w:r w:rsidR="000B4744">
        <w:t>20</w:t>
      </w:r>
      <w:r>
        <w:t>. Despite the repeal, after the time this Standard starts to apply under section 334 of the Corporations Act (either generally or in relation to an individual entity), the repealed Standard continues to apply in relation to any period ending before that time as if the repeal had not occurred.</w:t>
      </w:r>
    </w:p>
    <w:p w14:paraId="1768F5CB" w14:textId="77777777" w:rsidR="0033479F" w:rsidRPr="004C6696" w:rsidRDefault="0033479F" w:rsidP="0033479F">
      <w:pPr>
        <w:pStyle w:val="IASBNormalL1P"/>
      </w:pPr>
      <w:r>
        <w:t>[Note: When this Standard applies under section 334 of the Corporations Act (either generally or in relation to an individual entity), it supersedes the application of the repealed Standard.]</w:t>
      </w:r>
    </w:p>
    <w:p w14:paraId="4A00EBAE" w14:textId="77777777" w:rsidR="00416D54" w:rsidRDefault="00416D54"/>
    <w:p w14:paraId="6088AA9E" w14:textId="1D06D558" w:rsidR="002A5317" w:rsidRPr="00546628" w:rsidRDefault="00546628" w:rsidP="00546628">
      <w:pPr>
        <w:pStyle w:val="BodyParaBullet"/>
        <w:numPr>
          <w:ilvl w:val="0"/>
          <w:numId w:val="0"/>
        </w:numPr>
        <w:tabs>
          <w:tab w:val="clear" w:pos="2160"/>
          <w:tab w:val="left" w:pos="1418"/>
        </w:tabs>
        <w:spacing w:before="8760"/>
        <w:ind w:left="1418" w:hanging="851"/>
        <w:rPr>
          <w:sz w:val="20"/>
        </w:rPr>
      </w:pPr>
      <w:bookmarkStart w:id="14" w:name="TOCEnd"/>
      <w:bookmarkEnd w:id="14"/>
      <w:r w:rsidRPr="00317CA8">
        <w:rPr>
          <w:sz w:val="20"/>
        </w:rPr>
        <w:t>Note:</w:t>
      </w:r>
      <w:r w:rsidRPr="00317CA8">
        <w:rPr>
          <w:sz w:val="20"/>
        </w:rPr>
        <w:tab/>
        <w:t xml:space="preserve">The name of this instrument was amended on registration as the instrument as lodged did not have a unique name (see subsection 10(2), </w:t>
      </w:r>
      <w:r w:rsidRPr="00317CA8">
        <w:rPr>
          <w:i/>
          <w:sz w:val="20"/>
        </w:rPr>
        <w:t>Legislation Rule 2016</w:t>
      </w:r>
      <w:r w:rsidRPr="00317CA8">
        <w:rPr>
          <w:sz w:val="20"/>
        </w:rPr>
        <w:t>).</w:t>
      </w:r>
    </w:p>
    <w:sectPr w:rsidR="002A5317" w:rsidRPr="00546628" w:rsidSect="00832CD7">
      <w:footerReference w:type="default" r:id="rId18"/>
      <w:headerReference w:type="first" r:id="rId19"/>
      <w:footerReference w:type="first" r:id="rId20"/>
      <w:pgSz w:w="11907" w:h="16840" w:code="9"/>
      <w:pgMar w:top="1418" w:right="1418" w:bottom="1418" w:left="1418" w:header="709" w:footer="709"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FC001" w14:textId="77777777" w:rsidR="005722D1" w:rsidRDefault="005722D1">
      <w:r>
        <w:separator/>
      </w:r>
    </w:p>
  </w:endnote>
  <w:endnote w:type="continuationSeparator" w:id="0">
    <w:p w14:paraId="54FD331F" w14:textId="77777777" w:rsidR="005722D1" w:rsidRDefault="005722D1">
      <w:r>
        <w:continuationSeparator/>
      </w:r>
    </w:p>
  </w:endnote>
  <w:endnote w:type="continuationNotice" w:id="1">
    <w:p w14:paraId="40917B6B" w14:textId="77777777" w:rsidR="005722D1" w:rsidRDefault="005722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Blk">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1E723" w14:textId="0F7344C8" w:rsidR="005722D1" w:rsidRDefault="005722D1">
    <w:pPr>
      <w:pStyle w:val="Footer"/>
      <w:rPr>
        <w:b/>
      </w:rPr>
    </w:pPr>
    <w:proofErr w:type="spellStart"/>
    <w:r>
      <w:rPr>
        <w:b/>
      </w:rPr>
      <w:t>AASB</w:t>
    </w:r>
    <w:proofErr w:type="spellEnd"/>
    <w:r>
      <w:rPr>
        <w:b/>
      </w:rPr>
      <w:t xml:space="preserve"> </w:t>
    </w:r>
    <w:r>
      <w:rPr>
        <w:b/>
      </w:rPr>
      <w:fldChar w:fldCharType="begin" w:fldLock="1"/>
    </w:r>
    <w:r>
      <w:rPr>
        <w:b/>
      </w:rPr>
      <w:instrText xml:space="preserve"> REF DocNo  \* charformat </w:instrText>
    </w:r>
    <w:r>
      <w:rPr>
        <w:b/>
      </w:rPr>
      <w:fldChar w:fldCharType="separate"/>
    </w:r>
    <w:r w:rsidRPr="00315095">
      <w:rPr>
        <w:b/>
      </w:rPr>
      <w:t>1048</w:t>
    </w:r>
    <w:r>
      <w:rPr>
        <w:b/>
      </w:rPr>
      <w:fldChar w:fldCharType="end"/>
    </w:r>
    <w:r>
      <w:rPr>
        <w:b/>
      </w:rPr>
      <w:tab/>
    </w:r>
    <w:r>
      <w:fldChar w:fldCharType="begin"/>
    </w:r>
    <w:r>
      <w:instrText>PAGE</w:instrText>
    </w:r>
    <w:r>
      <w:fldChar w:fldCharType="separate"/>
    </w:r>
    <w:r>
      <w:rPr>
        <w:noProof/>
      </w:rPr>
      <w:t>2</w:t>
    </w:r>
    <w:r>
      <w:fldChar w:fldCharType="end"/>
    </w:r>
    <w:r>
      <w:tab/>
    </w:r>
    <w:r>
      <w:rPr>
        <w:b/>
        <w:bCs/>
      </w:rPr>
      <w:t>COPYRIGHT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FAFF2" w14:textId="21552B79" w:rsidR="005722D1" w:rsidRDefault="005722D1">
    <w:pPr>
      <w:pStyle w:val="Footer"/>
      <w:rPr>
        <w:b/>
      </w:rPr>
    </w:pPr>
    <w:proofErr w:type="spellStart"/>
    <w:r>
      <w:rPr>
        <w:b/>
      </w:rPr>
      <w:t>AASB</w:t>
    </w:r>
    <w:proofErr w:type="spellEnd"/>
    <w:r>
      <w:rPr>
        <w:b/>
      </w:rPr>
      <w:t xml:space="preserve"> </w:t>
    </w:r>
    <w:r>
      <w:rPr>
        <w:b/>
      </w:rPr>
      <w:fldChar w:fldCharType="begin" w:fldLock="1"/>
    </w:r>
    <w:r>
      <w:rPr>
        <w:b/>
      </w:rPr>
      <w:instrText xml:space="preserve"> REF DocNo  \* charformat </w:instrText>
    </w:r>
    <w:r>
      <w:rPr>
        <w:b/>
      </w:rPr>
      <w:fldChar w:fldCharType="separate"/>
    </w:r>
    <w:r w:rsidRPr="00315095">
      <w:rPr>
        <w:b/>
      </w:rPr>
      <w:t>1048</w:t>
    </w:r>
    <w:r>
      <w:rPr>
        <w:b/>
      </w:rPr>
      <w:fldChar w:fldCharType="end"/>
    </w:r>
    <w:r>
      <w:rPr>
        <w:b/>
      </w:rPr>
      <w:tab/>
    </w:r>
    <w:r>
      <w:fldChar w:fldCharType="begin"/>
    </w:r>
    <w:r>
      <w:instrText>PAGE</w:instrText>
    </w:r>
    <w:r>
      <w:fldChar w:fldCharType="separate"/>
    </w:r>
    <w:r>
      <w:rPr>
        <w:noProof/>
      </w:rPr>
      <w:t>3</w:t>
    </w:r>
    <w:r>
      <w:fldChar w:fldCharType="end"/>
    </w:r>
    <w:r>
      <w:tab/>
    </w:r>
    <w:r>
      <w:rPr>
        <w:b/>
        <w:bCs/>
      </w:rPr>
      <w:t>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193FF" w14:textId="4727420F" w:rsidR="005722D1" w:rsidRDefault="005722D1">
    <w:pPr>
      <w:pStyle w:val="Footer"/>
      <w:rPr>
        <w:b/>
      </w:rPr>
    </w:pPr>
    <w:proofErr w:type="spellStart"/>
    <w:r>
      <w:rPr>
        <w:b/>
      </w:rPr>
      <w:t>AASB</w:t>
    </w:r>
    <w:proofErr w:type="spellEnd"/>
    <w:r>
      <w:rPr>
        <w:b/>
      </w:rPr>
      <w:t xml:space="preserve"> </w:t>
    </w:r>
    <w:r>
      <w:rPr>
        <w:b/>
      </w:rPr>
      <w:fldChar w:fldCharType="begin" w:fldLock="1"/>
    </w:r>
    <w:r>
      <w:rPr>
        <w:b/>
      </w:rPr>
      <w:instrText xml:space="preserve"> REF DocNo  \* charformat </w:instrText>
    </w:r>
    <w:r>
      <w:rPr>
        <w:b/>
      </w:rPr>
      <w:fldChar w:fldCharType="separate"/>
    </w:r>
    <w:r w:rsidRPr="00315095">
      <w:rPr>
        <w:b/>
      </w:rPr>
      <w:t>1048</w:t>
    </w:r>
    <w:r>
      <w:rPr>
        <w:b/>
      </w:rPr>
      <w:fldChar w:fldCharType="end"/>
    </w:r>
    <w:r>
      <w:rPr>
        <w:b/>
      </w:rPr>
      <w:tab/>
    </w:r>
    <w:r>
      <w:fldChar w:fldCharType="begin"/>
    </w:r>
    <w:r>
      <w:instrText>PAGE</w:instrText>
    </w:r>
    <w:r>
      <w:fldChar w:fldCharType="separate"/>
    </w:r>
    <w:r>
      <w:rPr>
        <w:noProof/>
      </w:rPr>
      <w:t>4</w:t>
    </w:r>
    <w:r>
      <w:fldChar w:fldCharType="end"/>
    </w:r>
    <w:r>
      <w:tab/>
    </w:r>
    <w:r>
      <w:rPr>
        <w:b/>
        <w:bCs/>
      </w:rPr>
      <w:t>PREFACE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089D0" w14:textId="2D64FE1E" w:rsidR="005722D1" w:rsidRDefault="005722D1">
    <w:pPr>
      <w:pStyle w:val="Footer"/>
      <w:rPr>
        <w:b/>
      </w:rPr>
    </w:pPr>
    <w:proofErr w:type="spellStart"/>
    <w:r>
      <w:rPr>
        <w:b/>
      </w:rPr>
      <w:t>AASB</w:t>
    </w:r>
    <w:proofErr w:type="spellEnd"/>
    <w:r>
      <w:rPr>
        <w:b/>
      </w:rPr>
      <w:t xml:space="preserve"> </w:t>
    </w:r>
    <w:r>
      <w:rPr>
        <w:b/>
      </w:rPr>
      <w:fldChar w:fldCharType="begin" w:fldLock="1"/>
    </w:r>
    <w:r>
      <w:rPr>
        <w:b/>
      </w:rPr>
      <w:instrText xml:space="preserve"> REF DocNo  \* charformat </w:instrText>
    </w:r>
    <w:r>
      <w:rPr>
        <w:b/>
      </w:rPr>
      <w:fldChar w:fldCharType="separate"/>
    </w:r>
    <w:r w:rsidRPr="00315095">
      <w:rPr>
        <w:b/>
      </w:rPr>
      <w:t>1048</w:t>
    </w:r>
    <w:r>
      <w:rPr>
        <w:b/>
      </w:rPr>
      <w:fldChar w:fldCharType="end"/>
    </w:r>
    <w:r>
      <w:rPr>
        <w:b/>
      </w:rPr>
      <w:tab/>
    </w:r>
    <w:r>
      <w:fldChar w:fldCharType="begin"/>
    </w:r>
    <w:r>
      <w:instrText>PAGE</w:instrText>
    </w:r>
    <w:r>
      <w:fldChar w:fldCharType="separate"/>
    </w:r>
    <w:r>
      <w:rPr>
        <w:noProof/>
      </w:rPr>
      <w:t>5</w:t>
    </w:r>
    <w:r>
      <w:fldChar w:fldCharType="end"/>
    </w:r>
    <w:r>
      <w:tab/>
    </w:r>
    <w:r>
      <w:rPr>
        <w:b/>
        <w:bCs/>
      </w:rPr>
      <w:t>COMPARISON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4CDD" w14:textId="427941F1" w:rsidR="005722D1" w:rsidRDefault="005722D1">
    <w:pPr>
      <w:pStyle w:val="Footer"/>
      <w:rPr>
        <w:b/>
      </w:rPr>
    </w:pPr>
    <w:proofErr w:type="spellStart"/>
    <w:r>
      <w:rPr>
        <w:b/>
      </w:rPr>
      <w:t>AASB</w:t>
    </w:r>
    <w:proofErr w:type="spellEnd"/>
    <w:r>
      <w:rPr>
        <w:b/>
      </w:rPr>
      <w:t xml:space="preserve"> </w:t>
    </w:r>
    <w:r>
      <w:rPr>
        <w:b/>
      </w:rPr>
      <w:fldChar w:fldCharType="begin" w:fldLock="1"/>
    </w:r>
    <w:r>
      <w:rPr>
        <w:b/>
      </w:rPr>
      <w:instrText xml:space="preserve"> REF DocNo  \* charformat </w:instrText>
    </w:r>
    <w:r>
      <w:rPr>
        <w:b/>
      </w:rPr>
      <w:fldChar w:fldCharType="separate"/>
    </w:r>
    <w:r w:rsidRPr="00315095">
      <w:rPr>
        <w:b/>
      </w:rPr>
      <w:t>1048</w:t>
    </w:r>
    <w:r>
      <w:rPr>
        <w:b/>
      </w:rPr>
      <w:fldChar w:fldCharType="end"/>
    </w:r>
    <w:r>
      <w:rPr>
        <w:b/>
      </w:rPr>
      <w:tab/>
    </w:r>
    <w:r>
      <w:fldChar w:fldCharType="begin"/>
    </w:r>
    <w:r>
      <w:instrText>PAGE</w:instrText>
    </w:r>
    <w:r>
      <w:fldChar w:fldCharType="separate"/>
    </w:r>
    <w:r>
      <w:rPr>
        <w:noProof/>
      </w:rPr>
      <w:t>6</w:t>
    </w:r>
    <w:r>
      <w:fldChar w:fldCharType="end"/>
    </w:r>
    <w:r>
      <w:tab/>
    </w:r>
    <w:r>
      <w:rPr>
        <w:b/>
        <w:bCs/>
      </w:rPr>
      <w:t>STANDARD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E386D" w14:textId="77777777" w:rsidR="005722D1" w:rsidRDefault="00572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3CD7E" w14:textId="77777777" w:rsidR="005722D1" w:rsidRDefault="005722D1">
      <w:r>
        <w:separator/>
      </w:r>
    </w:p>
  </w:footnote>
  <w:footnote w:type="continuationSeparator" w:id="0">
    <w:p w14:paraId="416709D8" w14:textId="77777777" w:rsidR="005722D1" w:rsidRDefault="005722D1">
      <w:r>
        <w:continuationSeparator/>
      </w:r>
    </w:p>
  </w:footnote>
  <w:footnote w:type="continuationNotice" w:id="1">
    <w:p w14:paraId="506193E6" w14:textId="77777777" w:rsidR="005722D1" w:rsidRDefault="005722D1"/>
  </w:footnote>
  <w:footnote w:id="2">
    <w:p w14:paraId="30AA3967" w14:textId="77777777" w:rsidR="005722D1" w:rsidRDefault="005722D1" w:rsidP="0033479F">
      <w:pPr>
        <w:pStyle w:val="FootnoteText"/>
      </w:pPr>
      <w:r w:rsidRPr="004C2A3A">
        <w:rPr>
          <w:rStyle w:val="FootnoteReference"/>
          <w:vertAlign w:val="baseline"/>
        </w:rPr>
        <w:footnoteRef/>
      </w:r>
      <w:r>
        <w:tab/>
        <w:t>Periods no longer than 18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C66FC" w14:textId="73EA52F3" w:rsidR="005722D1" w:rsidRDefault="005722D1" w:rsidP="00172551">
    <w:pPr>
      <w:pStyle w:val="Header"/>
      <w:jc w:val="left"/>
    </w:pPr>
    <w:r>
      <w:rPr>
        <w:noProof/>
        <w:lang w:eastAsia="en-AU"/>
      </w:rPr>
      <w:drawing>
        <wp:anchor distT="0" distB="0" distL="114300" distR="114300" simplePos="0" relativeHeight="251658240" behindDoc="1" locked="0" layoutInCell="1" allowOverlap="1" wp14:anchorId="17185222" wp14:editId="1B13A770">
          <wp:simplePos x="0" y="0"/>
          <wp:positionH relativeFrom="page">
            <wp:posOffset>1008380</wp:posOffset>
          </wp:positionH>
          <wp:positionV relativeFrom="page">
            <wp:posOffset>3577590</wp:posOffset>
          </wp:positionV>
          <wp:extent cx="4949825" cy="4342765"/>
          <wp:effectExtent l="0" t="0" r="3175" b="635"/>
          <wp:wrapNone/>
          <wp:docPr id="1855702472" name="CoverImageStandard" descr="Outline map of the world, with Australia highlighted" title="Image for cover page of printed pronounc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ImageStandard" descr="AASB_Cover_Front_Standar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49825" cy="43427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5C72E" w14:textId="025E7855" w:rsidR="005722D1" w:rsidRDefault="005722D1" w:rsidP="00172551">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E94B8" w14:textId="77777777" w:rsidR="005722D1" w:rsidRDefault="00572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2B7A"/>
    <w:multiLevelType w:val="multilevel"/>
    <w:tmpl w:val="72629D22"/>
    <w:styleLink w:val="AusParas"/>
    <w:lvl w:ilvl="0">
      <w:start w:val="1"/>
      <w:numFmt w:val="none"/>
      <w:pStyle w:val="AusPlain1"/>
      <w:suff w:val="nothing"/>
      <w:lvlText w:val=""/>
      <w:lvlJc w:val="left"/>
      <w:pPr>
        <w:ind w:left="1565" w:hanging="1565"/>
      </w:pPr>
      <w:rPr>
        <w:rFonts w:hint="default"/>
      </w:rPr>
    </w:lvl>
    <w:lvl w:ilvl="1">
      <w:start w:val="1"/>
      <w:numFmt w:val="lowerLetter"/>
      <w:pStyle w:val="AusPlain2"/>
      <w:lvlText w:val="(%2)"/>
      <w:lvlJc w:val="left"/>
      <w:pPr>
        <w:ind w:left="2347" w:hanging="782"/>
      </w:pPr>
      <w:rPr>
        <w:rFonts w:hint="default"/>
      </w:rPr>
    </w:lvl>
    <w:lvl w:ilvl="2">
      <w:start w:val="1"/>
      <w:numFmt w:val="lowerRoman"/>
      <w:pStyle w:val="AusPlain3"/>
      <w:lvlText w:val="(%3)"/>
      <w:lvlJc w:val="left"/>
      <w:pPr>
        <w:ind w:left="3130" w:hanging="783"/>
      </w:pPr>
      <w:rPr>
        <w:rFonts w:hint="default"/>
      </w:rPr>
    </w:lvl>
    <w:lvl w:ilvl="3">
      <w:start w:val="1"/>
      <w:numFmt w:val="decimal"/>
      <w:lvlText w:val="(%4)"/>
      <w:lvlJc w:val="left"/>
      <w:pPr>
        <w:tabs>
          <w:tab w:val="num" w:pos="2102"/>
        </w:tabs>
        <w:ind w:left="2102" w:hanging="360"/>
      </w:pPr>
      <w:rPr>
        <w:rFonts w:hint="default"/>
      </w:rPr>
    </w:lvl>
    <w:lvl w:ilvl="4">
      <w:start w:val="1"/>
      <w:numFmt w:val="lowerLetter"/>
      <w:lvlText w:val="(%5)"/>
      <w:lvlJc w:val="left"/>
      <w:pPr>
        <w:tabs>
          <w:tab w:val="num" w:pos="2462"/>
        </w:tabs>
        <w:ind w:left="2462" w:hanging="360"/>
      </w:pPr>
      <w:rPr>
        <w:rFonts w:hint="default"/>
      </w:rPr>
    </w:lvl>
    <w:lvl w:ilvl="5">
      <w:start w:val="1"/>
      <w:numFmt w:val="lowerRoman"/>
      <w:lvlText w:val="(%6)"/>
      <w:lvlJc w:val="left"/>
      <w:pPr>
        <w:tabs>
          <w:tab w:val="num" w:pos="2822"/>
        </w:tabs>
        <w:ind w:left="2822" w:hanging="360"/>
      </w:pPr>
      <w:rPr>
        <w:rFonts w:hint="default"/>
      </w:rPr>
    </w:lvl>
    <w:lvl w:ilvl="6">
      <w:start w:val="1"/>
      <w:numFmt w:val="decimal"/>
      <w:lvlText w:val="%7."/>
      <w:lvlJc w:val="left"/>
      <w:pPr>
        <w:tabs>
          <w:tab w:val="num" w:pos="3182"/>
        </w:tabs>
        <w:ind w:left="3182" w:hanging="360"/>
      </w:pPr>
      <w:rPr>
        <w:rFonts w:hint="default"/>
      </w:rPr>
    </w:lvl>
    <w:lvl w:ilvl="7">
      <w:start w:val="1"/>
      <w:numFmt w:val="lowerLetter"/>
      <w:lvlText w:val="%8."/>
      <w:lvlJc w:val="left"/>
      <w:pPr>
        <w:tabs>
          <w:tab w:val="num" w:pos="3542"/>
        </w:tabs>
        <w:ind w:left="3542" w:hanging="360"/>
      </w:pPr>
      <w:rPr>
        <w:rFonts w:hint="default"/>
      </w:rPr>
    </w:lvl>
    <w:lvl w:ilvl="8">
      <w:start w:val="1"/>
      <w:numFmt w:val="lowerRoman"/>
      <w:lvlText w:val="%9."/>
      <w:lvlJc w:val="left"/>
      <w:pPr>
        <w:tabs>
          <w:tab w:val="num" w:pos="3902"/>
        </w:tabs>
        <w:ind w:left="3902" w:hanging="360"/>
      </w:pPr>
      <w:rPr>
        <w:rFonts w:hint="default"/>
      </w:rPr>
    </w:lvl>
  </w:abstractNum>
  <w:abstractNum w:abstractNumId="1" w15:restartNumberingAfterBreak="0">
    <w:nsid w:val="02C73F5C"/>
    <w:multiLevelType w:val="multilevel"/>
    <w:tmpl w:val="DA7201B8"/>
    <w:styleLink w:val="AppENumbering"/>
    <w:lvl w:ilvl="0">
      <w:start w:val="1"/>
      <w:numFmt w:val="decimal"/>
      <w:pStyle w:val="NumAppE1"/>
      <w:lvlText w:val="AusE%1"/>
      <w:lvlJc w:val="left"/>
      <w:pPr>
        <w:ind w:left="1565" w:hanging="1565"/>
      </w:pPr>
      <w:rPr>
        <w:rFonts w:hint="default"/>
      </w:rPr>
    </w:lvl>
    <w:lvl w:ilvl="1">
      <w:start w:val="1"/>
      <w:numFmt w:val="lowerLetter"/>
      <w:pStyle w:val="NumAppE2"/>
      <w:lvlText w:val="(%2)"/>
      <w:lvlJc w:val="left"/>
      <w:pPr>
        <w:ind w:left="2347" w:hanging="782"/>
      </w:pPr>
      <w:rPr>
        <w:rFonts w:hint="default"/>
      </w:rPr>
    </w:lvl>
    <w:lvl w:ilvl="2">
      <w:start w:val="1"/>
      <w:numFmt w:val="lowerRoman"/>
      <w:pStyle w:val="NumAppE3"/>
      <w:lvlText w:val="(%3)"/>
      <w:lvlJc w:val="left"/>
      <w:pPr>
        <w:ind w:left="3129" w:hanging="782"/>
      </w:pPr>
      <w:rPr>
        <w:rFonts w:hint="default"/>
      </w:rPr>
    </w:lvl>
    <w:lvl w:ilvl="3">
      <w:start w:val="1"/>
      <w:numFmt w:val="upperLetter"/>
      <w:pStyle w:val="NumAppE4"/>
      <w:lvlText w:val="(%4)"/>
      <w:lvlJc w:val="left"/>
      <w:pPr>
        <w:ind w:left="3911" w:hanging="781"/>
      </w:pPr>
      <w:rPr>
        <w:rFonts w:hint="default"/>
      </w:rPr>
    </w:lvl>
    <w:lvl w:ilvl="4">
      <w:start w:val="1"/>
      <w:numFmt w:val="lowerLetter"/>
      <w:lvlText w:val="(%5)"/>
      <w:lvlJc w:val="left"/>
      <w:pPr>
        <w:ind w:left="4693" w:hanging="1565"/>
      </w:pPr>
      <w:rPr>
        <w:rFonts w:hint="default"/>
      </w:rPr>
    </w:lvl>
    <w:lvl w:ilvl="5">
      <w:start w:val="1"/>
      <w:numFmt w:val="lowerRoman"/>
      <w:lvlText w:val="(%6)"/>
      <w:lvlJc w:val="left"/>
      <w:pPr>
        <w:ind w:left="5475" w:hanging="1565"/>
      </w:pPr>
      <w:rPr>
        <w:rFonts w:hint="default"/>
      </w:rPr>
    </w:lvl>
    <w:lvl w:ilvl="6">
      <w:start w:val="1"/>
      <w:numFmt w:val="decimal"/>
      <w:lvlText w:val="%7."/>
      <w:lvlJc w:val="left"/>
      <w:pPr>
        <w:ind w:left="6257" w:hanging="1565"/>
      </w:pPr>
      <w:rPr>
        <w:rFonts w:hint="default"/>
      </w:rPr>
    </w:lvl>
    <w:lvl w:ilvl="7">
      <w:start w:val="1"/>
      <w:numFmt w:val="lowerLetter"/>
      <w:lvlText w:val="%8."/>
      <w:lvlJc w:val="left"/>
      <w:pPr>
        <w:ind w:left="7039" w:hanging="1565"/>
      </w:pPr>
      <w:rPr>
        <w:rFonts w:hint="default"/>
      </w:rPr>
    </w:lvl>
    <w:lvl w:ilvl="8">
      <w:start w:val="1"/>
      <w:numFmt w:val="lowerRoman"/>
      <w:lvlText w:val="%9."/>
      <w:lvlJc w:val="left"/>
      <w:pPr>
        <w:ind w:left="7821" w:hanging="1565"/>
      </w:pPr>
      <w:rPr>
        <w:rFonts w:hint="default"/>
      </w:rPr>
    </w:lvl>
  </w:abstractNum>
  <w:abstractNum w:abstractNumId="2" w15:restartNumberingAfterBreak="0">
    <w:nsid w:val="07847796"/>
    <w:multiLevelType w:val="multilevel"/>
    <w:tmpl w:val="D4BE306E"/>
    <w:styleLink w:val="BulletParas"/>
    <w:lvl w:ilvl="0">
      <w:start w:val="1"/>
      <w:numFmt w:val="bullet"/>
      <w:pStyle w:val="Bullet1"/>
      <w:lvlText w:val=""/>
      <w:lvlJc w:val="left"/>
      <w:pPr>
        <w:ind w:left="782" w:hanging="782"/>
      </w:pPr>
      <w:rPr>
        <w:rFonts w:ascii="Symbol" w:hAnsi="Symbol" w:hint="default"/>
        <w:color w:val="auto"/>
      </w:rPr>
    </w:lvl>
    <w:lvl w:ilvl="1">
      <w:start w:val="1"/>
      <w:numFmt w:val="bullet"/>
      <w:pStyle w:val="Bullet2"/>
      <w:lvlText w:val=""/>
      <w:lvlJc w:val="left"/>
      <w:pPr>
        <w:ind w:left="1564" w:hanging="782"/>
      </w:pPr>
      <w:rPr>
        <w:rFonts w:ascii="Symbol" w:hAnsi="Symbol" w:hint="default"/>
        <w:color w:val="auto"/>
      </w:rPr>
    </w:lvl>
    <w:lvl w:ilvl="2">
      <w:start w:val="1"/>
      <w:numFmt w:val="bullet"/>
      <w:pStyle w:val="Bullet3"/>
      <w:lvlText w:val=""/>
      <w:lvlJc w:val="left"/>
      <w:pPr>
        <w:ind w:left="2346" w:hanging="782"/>
      </w:pPr>
      <w:rPr>
        <w:rFonts w:ascii="Symbol" w:hAnsi="Symbol" w:hint="default"/>
        <w:color w:val="auto"/>
      </w:rPr>
    </w:lvl>
    <w:lvl w:ilvl="3">
      <w:start w:val="1"/>
      <w:numFmt w:val="bullet"/>
      <w:pStyle w:val="Bullet4"/>
      <w:lvlText w:val=""/>
      <w:lvlJc w:val="left"/>
      <w:pPr>
        <w:ind w:left="3128" w:hanging="782"/>
      </w:pPr>
      <w:rPr>
        <w:rFonts w:ascii="Symbol" w:hAnsi="Symbol" w:hint="default"/>
        <w:color w:val="auto"/>
      </w:rPr>
    </w:lvl>
    <w:lvl w:ilvl="4">
      <w:start w:val="1"/>
      <w:numFmt w:val="none"/>
      <w:lvlText w:val=""/>
      <w:lvlJc w:val="left"/>
      <w:pPr>
        <w:ind w:left="3910" w:hanging="782"/>
      </w:pPr>
      <w:rPr>
        <w:rFonts w:hint="default"/>
      </w:rPr>
    </w:lvl>
    <w:lvl w:ilvl="5">
      <w:start w:val="1"/>
      <w:numFmt w:val="none"/>
      <w:lvlText w:val=""/>
      <w:lvlJc w:val="left"/>
      <w:pPr>
        <w:ind w:left="4692" w:hanging="782"/>
      </w:pPr>
      <w:rPr>
        <w:rFonts w:hint="default"/>
      </w:rPr>
    </w:lvl>
    <w:lvl w:ilvl="6">
      <w:start w:val="1"/>
      <w:numFmt w:val="none"/>
      <w:lvlText w:val=""/>
      <w:lvlJc w:val="left"/>
      <w:pPr>
        <w:ind w:left="5474" w:hanging="782"/>
      </w:pPr>
      <w:rPr>
        <w:rFonts w:hint="default"/>
      </w:rPr>
    </w:lvl>
    <w:lvl w:ilvl="7">
      <w:start w:val="1"/>
      <w:numFmt w:val="none"/>
      <w:lvlText w:val=""/>
      <w:lvlJc w:val="left"/>
      <w:pPr>
        <w:ind w:left="6256" w:hanging="782"/>
      </w:pPr>
      <w:rPr>
        <w:rFonts w:hint="default"/>
      </w:rPr>
    </w:lvl>
    <w:lvl w:ilvl="8">
      <w:start w:val="1"/>
      <w:numFmt w:val="none"/>
      <w:lvlText w:val=""/>
      <w:lvlJc w:val="left"/>
      <w:pPr>
        <w:ind w:left="7038" w:hanging="782"/>
      </w:pPr>
      <w:rPr>
        <w:rFonts w:hint="default"/>
      </w:rPr>
    </w:lvl>
  </w:abstractNum>
  <w:abstractNum w:abstractNumId="3" w15:restartNumberingAfterBreak="0">
    <w:nsid w:val="099D744C"/>
    <w:multiLevelType w:val="multilevel"/>
    <w:tmpl w:val="994A36A6"/>
    <w:styleLink w:val="NumbersOnly"/>
    <w:lvl w:ilvl="0">
      <w:start w:val="1"/>
      <w:numFmt w:val="decimal"/>
      <w:lvlRestart w:val="0"/>
      <w:pStyle w:val="NumberedList"/>
      <w:lvlText w:val="%1."/>
      <w:lvlJc w:val="left"/>
      <w:pPr>
        <w:ind w:left="782" w:hanging="78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06410F0"/>
    <w:multiLevelType w:val="multilevel"/>
    <w:tmpl w:val="FB128956"/>
    <w:numStyleLink w:val="BCNumbers"/>
  </w:abstractNum>
  <w:abstractNum w:abstractNumId="5" w15:restartNumberingAfterBreak="0">
    <w:nsid w:val="11D01EC8"/>
    <w:multiLevelType w:val="multilevel"/>
    <w:tmpl w:val="FB128956"/>
    <w:styleLink w:val="BCNumbers"/>
    <w:lvl w:ilvl="0">
      <w:start w:val="1"/>
      <w:numFmt w:val="decimal"/>
      <w:pStyle w:val="NumBC1"/>
      <w:lvlText w:val="BC%1"/>
      <w:lvlJc w:val="left"/>
      <w:pPr>
        <w:ind w:left="782" w:hanging="782"/>
      </w:pPr>
      <w:rPr>
        <w:rFonts w:hint="default"/>
        <w:b w:val="0"/>
        <w:bCs w:val="0"/>
        <w:u w:val="none"/>
      </w:rPr>
    </w:lvl>
    <w:lvl w:ilvl="1">
      <w:start w:val="1"/>
      <w:numFmt w:val="lowerLetter"/>
      <w:pStyle w:val="NumBC2"/>
      <w:lvlText w:val="(%2)"/>
      <w:lvlJc w:val="left"/>
      <w:pPr>
        <w:ind w:left="1564" w:hanging="782"/>
      </w:pPr>
      <w:rPr>
        <w:rFonts w:hint="default"/>
        <w:b w:val="0"/>
        <w:bCs w:val="0"/>
        <w:u w:val="none"/>
      </w:rPr>
    </w:lvl>
    <w:lvl w:ilvl="2">
      <w:start w:val="1"/>
      <w:numFmt w:val="lowerRoman"/>
      <w:pStyle w:val="NumBC3"/>
      <w:lvlText w:val="(%3)"/>
      <w:lvlJc w:val="left"/>
      <w:pPr>
        <w:ind w:left="2346" w:hanging="782"/>
      </w:pPr>
      <w:rPr>
        <w:rFonts w:hint="default"/>
        <w:b w:val="0"/>
        <w:bCs w:val="0"/>
        <w:u w:val="none"/>
      </w:rPr>
    </w:lvl>
    <w:lvl w:ilvl="3">
      <w:start w:val="1"/>
      <w:numFmt w:val="upperLetter"/>
      <w:pStyle w:val="NumBC4"/>
      <w:lvlText w:val="(%4)"/>
      <w:lvlJc w:val="left"/>
      <w:pPr>
        <w:ind w:left="3128" w:hanging="782"/>
      </w:pPr>
      <w:rPr>
        <w:rFonts w:hint="default"/>
        <w:b w:val="0"/>
        <w:bCs w:val="0"/>
        <w:u w:val="none"/>
      </w:rPr>
    </w:lvl>
    <w:lvl w:ilvl="4">
      <w:start w:val="1"/>
      <w:numFmt w:val="upperRoman"/>
      <w:lvlText w:val="%5"/>
      <w:lvlJc w:val="left"/>
      <w:pPr>
        <w:tabs>
          <w:tab w:val="num" w:pos="3752"/>
        </w:tabs>
        <w:ind w:left="3910" w:hanging="782"/>
      </w:pPr>
      <w:rPr>
        <w:rFonts w:hint="default"/>
        <w:b w:val="0"/>
        <w:bCs w:val="0"/>
        <w:u w:val="none"/>
      </w:rPr>
    </w:lvl>
    <w:lvl w:ilvl="5">
      <w:start w:val="1"/>
      <w:numFmt w:val="decimal"/>
      <w:lvlText w:val="%6"/>
      <w:lvlJc w:val="left"/>
      <w:pPr>
        <w:tabs>
          <w:tab w:val="num" w:pos="4534"/>
        </w:tabs>
        <w:ind w:left="4692" w:hanging="782"/>
      </w:pPr>
      <w:rPr>
        <w:rFonts w:hint="default"/>
      </w:rPr>
    </w:lvl>
    <w:lvl w:ilvl="6">
      <w:start w:val="1"/>
      <w:numFmt w:val="lowerLetter"/>
      <w:lvlText w:val="%7)"/>
      <w:lvlJc w:val="left"/>
      <w:pPr>
        <w:tabs>
          <w:tab w:val="num" w:pos="5316"/>
        </w:tabs>
        <w:ind w:left="5474" w:hanging="782"/>
      </w:pPr>
      <w:rPr>
        <w:rFonts w:hint="default"/>
      </w:rPr>
    </w:lvl>
    <w:lvl w:ilvl="7">
      <w:start w:val="1"/>
      <w:numFmt w:val="lowerRoman"/>
      <w:lvlText w:val="%8)"/>
      <w:lvlJc w:val="left"/>
      <w:pPr>
        <w:tabs>
          <w:tab w:val="num" w:pos="6098"/>
        </w:tabs>
        <w:ind w:left="6256" w:hanging="782"/>
      </w:pPr>
      <w:rPr>
        <w:rFonts w:hint="default"/>
      </w:rPr>
    </w:lvl>
    <w:lvl w:ilvl="8">
      <w:start w:val="1"/>
      <w:numFmt w:val="lowerRoman"/>
      <w:lvlText w:val="%9)"/>
      <w:lvlJc w:val="left"/>
      <w:pPr>
        <w:tabs>
          <w:tab w:val="num" w:pos="6880"/>
        </w:tabs>
        <w:ind w:left="7038" w:hanging="782"/>
      </w:pPr>
      <w:rPr>
        <w:rFonts w:hint="default"/>
      </w:rPr>
    </w:lvl>
  </w:abstractNum>
  <w:abstractNum w:abstractNumId="6" w15:restartNumberingAfterBreak="0">
    <w:nsid w:val="13E035C2"/>
    <w:multiLevelType w:val="multilevel"/>
    <w:tmpl w:val="A1EA04A2"/>
    <w:lvl w:ilvl="0">
      <w:start w:val="1"/>
      <w:numFmt w:val="decimal"/>
      <w:lvlText w:val="BC%1"/>
      <w:lvlJc w:val="left"/>
      <w:pPr>
        <w:tabs>
          <w:tab w:val="num" w:pos="624"/>
        </w:tabs>
        <w:ind w:left="624" w:hanging="624"/>
      </w:pPr>
      <w:rPr>
        <w:rFonts w:hint="default"/>
        <w:b w:val="0"/>
        <w:bCs w:val="0"/>
        <w:u w:val="none"/>
      </w:rPr>
    </w:lvl>
    <w:lvl w:ilvl="1">
      <w:start w:val="1"/>
      <w:numFmt w:val="lowerLetter"/>
      <w:lvlText w:val="(%2)"/>
      <w:lvlJc w:val="left"/>
      <w:pPr>
        <w:tabs>
          <w:tab w:val="num" w:pos="1247"/>
        </w:tabs>
        <w:ind w:left="1247" w:hanging="623"/>
      </w:pPr>
      <w:rPr>
        <w:rFonts w:hint="default"/>
        <w:b w:val="0"/>
        <w:bCs w:val="0"/>
        <w:u w:val="none"/>
      </w:rPr>
    </w:lvl>
    <w:lvl w:ilvl="2">
      <w:start w:val="1"/>
      <w:numFmt w:val="lowerRoman"/>
      <w:lvlText w:val="(%3)"/>
      <w:lvlJc w:val="left"/>
      <w:pPr>
        <w:tabs>
          <w:tab w:val="num" w:pos="1871"/>
        </w:tabs>
        <w:ind w:left="1871" w:hanging="624"/>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7" w15:restartNumberingAfterBreak="0">
    <w:nsid w:val="16FE326E"/>
    <w:multiLevelType w:val="multilevel"/>
    <w:tmpl w:val="CE68E8AE"/>
    <w:styleLink w:val="AppCNumbering"/>
    <w:lvl w:ilvl="0">
      <w:start w:val="1"/>
      <w:numFmt w:val="decimal"/>
      <w:pStyle w:val="NumAppC1"/>
      <w:lvlText w:val="C%1"/>
      <w:lvlJc w:val="left"/>
      <w:pPr>
        <w:ind w:left="782" w:hanging="782"/>
      </w:pPr>
      <w:rPr>
        <w:rFonts w:hint="default"/>
      </w:rPr>
    </w:lvl>
    <w:lvl w:ilvl="1">
      <w:start w:val="1"/>
      <w:numFmt w:val="lowerLetter"/>
      <w:pStyle w:val="NumAppC2"/>
      <w:lvlText w:val="(%2)"/>
      <w:lvlJc w:val="left"/>
      <w:pPr>
        <w:ind w:left="1564" w:hanging="782"/>
      </w:pPr>
      <w:rPr>
        <w:rFonts w:hint="default"/>
      </w:rPr>
    </w:lvl>
    <w:lvl w:ilvl="2">
      <w:start w:val="1"/>
      <w:numFmt w:val="lowerRoman"/>
      <w:pStyle w:val="NumAppC3"/>
      <w:lvlText w:val="(%3)"/>
      <w:lvlJc w:val="left"/>
      <w:pPr>
        <w:ind w:left="2346" w:hanging="782"/>
      </w:pPr>
      <w:rPr>
        <w:rFonts w:hint="default"/>
      </w:rPr>
    </w:lvl>
    <w:lvl w:ilvl="3">
      <w:start w:val="1"/>
      <w:numFmt w:val="upperLetter"/>
      <w:pStyle w:val="NumAppC4"/>
      <w:lvlText w:val="(%4)"/>
      <w:lvlJc w:val="left"/>
      <w:pPr>
        <w:ind w:left="3128" w:hanging="782"/>
      </w:pPr>
      <w:rPr>
        <w:rFonts w:hint="default"/>
      </w:rPr>
    </w:lvl>
    <w:lvl w:ilvl="4">
      <w:start w:val="1"/>
      <w:numFmt w:val="lowerLetter"/>
      <w:lvlText w:val="(%5)"/>
      <w:lvlJc w:val="left"/>
      <w:pPr>
        <w:ind w:left="3910" w:hanging="782"/>
      </w:pPr>
      <w:rPr>
        <w:rFonts w:hint="default"/>
      </w:rPr>
    </w:lvl>
    <w:lvl w:ilvl="5">
      <w:start w:val="1"/>
      <w:numFmt w:val="lowerRoman"/>
      <w:lvlText w:val="(%6)"/>
      <w:lvlJc w:val="left"/>
      <w:pPr>
        <w:ind w:left="4692" w:hanging="782"/>
      </w:pPr>
      <w:rPr>
        <w:rFonts w:hint="default"/>
      </w:rPr>
    </w:lvl>
    <w:lvl w:ilvl="6">
      <w:start w:val="1"/>
      <w:numFmt w:val="decimal"/>
      <w:lvlText w:val="%7."/>
      <w:lvlJc w:val="left"/>
      <w:pPr>
        <w:ind w:left="5474" w:hanging="782"/>
      </w:pPr>
      <w:rPr>
        <w:rFonts w:hint="default"/>
      </w:rPr>
    </w:lvl>
    <w:lvl w:ilvl="7">
      <w:start w:val="1"/>
      <w:numFmt w:val="lowerLetter"/>
      <w:lvlText w:val="%8."/>
      <w:lvlJc w:val="left"/>
      <w:pPr>
        <w:ind w:left="6256" w:hanging="782"/>
      </w:pPr>
      <w:rPr>
        <w:rFonts w:hint="default"/>
      </w:rPr>
    </w:lvl>
    <w:lvl w:ilvl="8">
      <w:start w:val="1"/>
      <w:numFmt w:val="lowerRoman"/>
      <w:lvlText w:val="%9."/>
      <w:lvlJc w:val="left"/>
      <w:pPr>
        <w:ind w:left="7038" w:hanging="782"/>
      </w:pPr>
      <w:rPr>
        <w:rFonts w:hint="default"/>
      </w:r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4123"/>
        </w:tabs>
        <w:ind w:left="4123"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EB36F5"/>
    <w:multiLevelType w:val="multilevel"/>
    <w:tmpl w:val="26D07796"/>
    <w:styleLink w:val="BCNumParas"/>
    <w:lvl w:ilvl="0">
      <w:start w:val="1"/>
      <w:numFmt w:val="decimal"/>
      <w:lvlText w:val="BC%1"/>
      <w:lvlJc w:val="left"/>
      <w:pPr>
        <w:ind w:left="782" w:hanging="782"/>
      </w:pPr>
      <w:rPr>
        <w:rFonts w:hint="default"/>
        <w:b w:val="0"/>
        <w:bCs w:val="0"/>
        <w:u w:val="none"/>
      </w:rPr>
    </w:lvl>
    <w:lvl w:ilvl="1">
      <w:start w:val="1"/>
      <w:numFmt w:val="lowerLetter"/>
      <w:lvlText w:val="(%2)"/>
      <w:lvlJc w:val="left"/>
      <w:pPr>
        <w:ind w:left="1564" w:hanging="782"/>
      </w:pPr>
      <w:rPr>
        <w:rFonts w:hint="default"/>
        <w:b w:val="0"/>
        <w:bCs w:val="0"/>
        <w:u w:val="none"/>
      </w:rPr>
    </w:lvl>
    <w:lvl w:ilvl="2">
      <w:start w:val="1"/>
      <w:numFmt w:val="lowerRoman"/>
      <w:lvlText w:val="(%3)"/>
      <w:lvlJc w:val="left"/>
      <w:pPr>
        <w:ind w:left="2346" w:hanging="782"/>
      </w:pPr>
      <w:rPr>
        <w:rFonts w:hint="default"/>
        <w:b w:val="0"/>
        <w:bCs w:val="0"/>
        <w:u w:val="none"/>
      </w:rPr>
    </w:lvl>
    <w:lvl w:ilvl="3">
      <w:start w:val="1"/>
      <w:numFmt w:val="upperLetter"/>
      <w:lvlText w:val="(%4)"/>
      <w:lvlJc w:val="left"/>
      <w:pPr>
        <w:ind w:left="3128" w:hanging="782"/>
      </w:pPr>
      <w:rPr>
        <w:rFonts w:hint="default"/>
        <w:b w:val="0"/>
        <w:bCs w:val="0"/>
        <w:u w:val="none"/>
      </w:rPr>
    </w:lvl>
    <w:lvl w:ilvl="4">
      <w:start w:val="1"/>
      <w:numFmt w:val="upperRoman"/>
      <w:lvlText w:val="%5"/>
      <w:lvlJc w:val="left"/>
      <w:pPr>
        <w:ind w:left="3910" w:hanging="782"/>
      </w:pPr>
      <w:rPr>
        <w:rFonts w:hint="default"/>
        <w:b w:val="0"/>
        <w:bCs w:val="0"/>
        <w:u w:val="none"/>
      </w:rPr>
    </w:lvl>
    <w:lvl w:ilvl="5">
      <w:start w:val="1"/>
      <w:numFmt w:val="decimal"/>
      <w:lvlText w:val="%6"/>
      <w:lvlJc w:val="left"/>
      <w:pPr>
        <w:tabs>
          <w:tab w:val="num" w:pos="4534"/>
        </w:tabs>
        <w:ind w:left="4692" w:hanging="782"/>
      </w:pPr>
      <w:rPr>
        <w:rFonts w:hint="default"/>
      </w:rPr>
    </w:lvl>
    <w:lvl w:ilvl="6">
      <w:start w:val="1"/>
      <w:numFmt w:val="lowerLetter"/>
      <w:lvlText w:val="%7)"/>
      <w:lvlJc w:val="left"/>
      <w:pPr>
        <w:tabs>
          <w:tab w:val="num" w:pos="5316"/>
        </w:tabs>
        <w:ind w:left="5474" w:hanging="782"/>
      </w:pPr>
      <w:rPr>
        <w:rFonts w:hint="default"/>
      </w:rPr>
    </w:lvl>
    <w:lvl w:ilvl="7">
      <w:start w:val="1"/>
      <w:numFmt w:val="lowerRoman"/>
      <w:lvlText w:val="%8)"/>
      <w:lvlJc w:val="left"/>
      <w:pPr>
        <w:tabs>
          <w:tab w:val="num" w:pos="6098"/>
        </w:tabs>
        <w:ind w:left="6256" w:hanging="782"/>
      </w:pPr>
      <w:rPr>
        <w:rFonts w:hint="default"/>
      </w:rPr>
    </w:lvl>
    <w:lvl w:ilvl="8">
      <w:start w:val="1"/>
      <w:numFmt w:val="lowerRoman"/>
      <w:lvlText w:val="%9)"/>
      <w:lvlJc w:val="left"/>
      <w:pPr>
        <w:tabs>
          <w:tab w:val="num" w:pos="6880"/>
        </w:tabs>
        <w:ind w:left="7038" w:hanging="782"/>
      </w:pPr>
      <w:rPr>
        <w:rFonts w:hint="default"/>
      </w:rPr>
    </w:lvl>
  </w:abstractNum>
  <w:abstractNum w:abstractNumId="10"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11" w15:restartNumberingAfterBreak="0">
    <w:nsid w:val="26890D58"/>
    <w:multiLevelType w:val="multilevel"/>
    <w:tmpl w:val="ED9656AC"/>
    <w:styleLink w:val="AppBNumbering"/>
    <w:lvl w:ilvl="0">
      <w:start w:val="1"/>
      <w:numFmt w:val="decimal"/>
      <w:pStyle w:val="NumAppB1"/>
      <w:lvlText w:val="B%1"/>
      <w:lvlJc w:val="left"/>
      <w:pPr>
        <w:ind w:left="782" w:hanging="782"/>
      </w:pPr>
      <w:rPr>
        <w:rFonts w:hint="default"/>
      </w:rPr>
    </w:lvl>
    <w:lvl w:ilvl="1">
      <w:start w:val="1"/>
      <w:numFmt w:val="lowerLetter"/>
      <w:pStyle w:val="NumAppB2"/>
      <w:lvlText w:val="(%2)"/>
      <w:lvlJc w:val="left"/>
      <w:pPr>
        <w:ind w:left="1564" w:hanging="782"/>
      </w:pPr>
      <w:rPr>
        <w:rFonts w:hint="default"/>
      </w:rPr>
    </w:lvl>
    <w:lvl w:ilvl="2">
      <w:start w:val="1"/>
      <w:numFmt w:val="lowerRoman"/>
      <w:pStyle w:val="NumAppB3"/>
      <w:lvlText w:val="(%3)"/>
      <w:lvlJc w:val="left"/>
      <w:pPr>
        <w:ind w:left="2346" w:hanging="782"/>
      </w:pPr>
      <w:rPr>
        <w:rFonts w:hint="default"/>
      </w:rPr>
    </w:lvl>
    <w:lvl w:ilvl="3">
      <w:start w:val="1"/>
      <w:numFmt w:val="upperLetter"/>
      <w:pStyle w:val="NumAppB4"/>
      <w:lvlText w:val="(%4)"/>
      <w:lvlJc w:val="left"/>
      <w:pPr>
        <w:ind w:left="3128" w:hanging="782"/>
      </w:pPr>
      <w:rPr>
        <w:rFonts w:hint="default"/>
      </w:rPr>
    </w:lvl>
    <w:lvl w:ilvl="4">
      <w:start w:val="1"/>
      <w:numFmt w:val="lowerLetter"/>
      <w:lvlText w:val="(%5)"/>
      <w:lvlJc w:val="left"/>
      <w:pPr>
        <w:ind w:left="3910" w:hanging="782"/>
      </w:pPr>
      <w:rPr>
        <w:rFonts w:hint="default"/>
      </w:rPr>
    </w:lvl>
    <w:lvl w:ilvl="5">
      <w:start w:val="1"/>
      <w:numFmt w:val="lowerRoman"/>
      <w:lvlText w:val="(%6)"/>
      <w:lvlJc w:val="left"/>
      <w:pPr>
        <w:ind w:left="4692" w:hanging="782"/>
      </w:pPr>
      <w:rPr>
        <w:rFonts w:hint="default"/>
      </w:rPr>
    </w:lvl>
    <w:lvl w:ilvl="6">
      <w:start w:val="1"/>
      <w:numFmt w:val="decimal"/>
      <w:lvlText w:val="%7."/>
      <w:lvlJc w:val="left"/>
      <w:pPr>
        <w:ind w:left="5474" w:hanging="782"/>
      </w:pPr>
      <w:rPr>
        <w:rFonts w:hint="default"/>
      </w:rPr>
    </w:lvl>
    <w:lvl w:ilvl="7">
      <w:start w:val="1"/>
      <w:numFmt w:val="lowerLetter"/>
      <w:lvlText w:val="%8."/>
      <w:lvlJc w:val="left"/>
      <w:pPr>
        <w:ind w:left="6256" w:hanging="782"/>
      </w:pPr>
      <w:rPr>
        <w:rFonts w:hint="default"/>
      </w:rPr>
    </w:lvl>
    <w:lvl w:ilvl="8">
      <w:start w:val="1"/>
      <w:numFmt w:val="lowerRoman"/>
      <w:lvlText w:val="%9."/>
      <w:lvlJc w:val="left"/>
      <w:pPr>
        <w:ind w:left="7038" w:hanging="782"/>
      </w:pPr>
      <w:rPr>
        <w:rFonts w:hint="default"/>
      </w:rPr>
    </w:lvl>
  </w:abstractNum>
  <w:abstractNum w:abstractNumId="12" w15:restartNumberingAfterBreak="0">
    <w:nsid w:val="2AA1279B"/>
    <w:multiLevelType w:val="multilevel"/>
    <w:tmpl w:val="7994A7A2"/>
    <w:styleLink w:val="NumPlainAlpha"/>
    <w:lvl w:ilvl="0">
      <w:start w:val="1"/>
      <w:numFmt w:val="lowerLetter"/>
      <w:pStyle w:val="NumPlainA"/>
      <w:lvlText w:val="(%1)"/>
      <w:lvlJc w:val="left"/>
      <w:pPr>
        <w:ind w:left="782" w:hanging="782"/>
      </w:pPr>
      <w:rPr>
        <w:rFonts w:hint="default"/>
      </w:rPr>
    </w:lvl>
    <w:lvl w:ilvl="1">
      <w:start w:val="1"/>
      <w:numFmt w:val="lowerRoman"/>
      <w:pStyle w:val="NumPlainA2"/>
      <w:lvlText w:val="(%2)"/>
      <w:lvlJc w:val="left"/>
      <w:pPr>
        <w:ind w:left="1564" w:hanging="782"/>
      </w:pPr>
      <w:rPr>
        <w:rFonts w:hint="default"/>
      </w:rPr>
    </w:lvl>
    <w:lvl w:ilvl="2">
      <w:start w:val="1"/>
      <w:numFmt w:val="lowerRoman"/>
      <w:lvlText w:val="%3."/>
      <w:lvlJc w:val="right"/>
      <w:pPr>
        <w:tabs>
          <w:tab w:val="num" w:pos="2074"/>
        </w:tabs>
        <w:ind w:left="2346" w:hanging="782"/>
      </w:pPr>
      <w:rPr>
        <w:rFonts w:hint="default"/>
      </w:rPr>
    </w:lvl>
    <w:lvl w:ilvl="3">
      <w:start w:val="1"/>
      <w:numFmt w:val="decimal"/>
      <w:lvlText w:val="%4."/>
      <w:lvlJc w:val="left"/>
      <w:pPr>
        <w:tabs>
          <w:tab w:val="num" w:pos="2856"/>
        </w:tabs>
        <w:ind w:left="3128" w:hanging="782"/>
      </w:pPr>
      <w:rPr>
        <w:rFonts w:hint="default"/>
      </w:rPr>
    </w:lvl>
    <w:lvl w:ilvl="4">
      <w:start w:val="1"/>
      <w:numFmt w:val="lowerLetter"/>
      <w:lvlText w:val="%5."/>
      <w:lvlJc w:val="left"/>
      <w:pPr>
        <w:tabs>
          <w:tab w:val="num" w:pos="3638"/>
        </w:tabs>
        <w:ind w:left="3910" w:hanging="782"/>
      </w:pPr>
      <w:rPr>
        <w:rFonts w:hint="default"/>
      </w:rPr>
    </w:lvl>
    <w:lvl w:ilvl="5">
      <w:start w:val="1"/>
      <w:numFmt w:val="lowerRoman"/>
      <w:lvlText w:val="%6."/>
      <w:lvlJc w:val="right"/>
      <w:pPr>
        <w:tabs>
          <w:tab w:val="num" w:pos="4420"/>
        </w:tabs>
        <w:ind w:left="4692" w:hanging="782"/>
      </w:pPr>
      <w:rPr>
        <w:rFonts w:hint="default"/>
      </w:rPr>
    </w:lvl>
    <w:lvl w:ilvl="6">
      <w:start w:val="1"/>
      <w:numFmt w:val="decimal"/>
      <w:lvlText w:val="%7."/>
      <w:lvlJc w:val="left"/>
      <w:pPr>
        <w:tabs>
          <w:tab w:val="num" w:pos="5202"/>
        </w:tabs>
        <w:ind w:left="5474" w:hanging="782"/>
      </w:pPr>
      <w:rPr>
        <w:rFonts w:hint="default"/>
      </w:rPr>
    </w:lvl>
    <w:lvl w:ilvl="7">
      <w:start w:val="1"/>
      <w:numFmt w:val="lowerLetter"/>
      <w:lvlText w:val="%8."/>
      <w:lvlJc w:val="left"/>
      <w:pPr>
        <w:tabs>
          <w:tab w:val="num" w:pos="5984"/>
        </w:tabs>
        <w:ind w:left="6256" w:hanging="782"/>
      </w:pPr>
      <w:rPr>
        <w:rFonts w:hint="default"/>
      </w:rPr>
    </w:lvl>
    <w:lvl w:ilvl="8">
      <w:start w:val="1"/>
      <w:numFmt w:val="lowerRoman"/>
      <w:lvlText w:val="%9."/>
      <w:lvlJc w:val="right"/>
      <w:pPr>
        <w:tabs>
          <w:tab w:val="num" w:pos="6766"/>
        </w:tabs>
        <w:ind w:left="7038" w:hanging="782"/>
      </w:pPr>
      <w:rPr>
        <w:rFonts w:hint="default"/>
      </w:rPr>
    </w:lvl>
  </w:abstractNum>
  <w:abstractNum w:abstractNumId="13" w15:restartNumberingAfterBreak="0">
    <w:nsid w:val="34DD4E67"/>
    <w:multiLevelType w:val="multilevel"/>
    <w:tmpl w:val="ED9656AC"/>
    <w:numStyleLink w:val="AppBNumbering"/>
  </w:abstractNum>
  <w:abstractNum w:abstractNumId="14" w15:restartNumberingAfterBreak="0">
    <w:nsid w:val="4C2278F7"/>
    <w:multiLevelType w:val="multilevel"/>
    <w:tmpl w:val="D8EA2116"/>
    <w:styleLink w:val="NumPlainParas"/>
    <w:lvl w:ilvl="0">
      <w:start w:val="1"/>
      <w:numFmt w:val="decimal"/>
      <w:pStyle w:val="NumPlain1"/>
      <w:lvlText w:val="%1"/>
      <w:lvlJc w:val="left"/>
      <w:pPr>
        <w:ind w:left="782" w:hanging="782"/>
      </w:pPr>
      <w:rPr>
        <w:rFonts w:hint="default"/>
      </w:rPr>
    </w:lvl>
    <w:lvl w:ilvl="1">
      <w:start w:val="1"/>
      <w:numFmt w:val="lowerLetter"/>
      <w:pStyle w:val="NumPlain2"/>
      <w:lvlText w:val="(%2)"/>
      <w:lvlJc w:val="left"/>
      <w:pPr>
        <w:ind w:left="1564" w:hanging="782"/>
      </w:pPr>
      <w:rPr>
        <w:rFonts w:hint="default"/>
      </w:rPr>
    </w:lvl>
    <w:lvl w:ilvl="2">
      <w:start w:val="1"/>
      <w:numFmt w:val="lowerRoman"/>
      <w:pStyle w:val="NumPlain3"/>
      <w:lvlText w:val="(%3)"/>
      <w:lvlJc w:val="left"/>
      <w:pPr>
        <w:ind w:left="2346" w:hanging="782"/>
      </w:pPr>
      <w:rPr>
        <w:rFonts w:hint="default"/>
      </w:rPr>
    </w:lvl>
    <w:lvl w:ilvl="3">
      <w:start w:val="1"/>
      <w:numFmt w:val="upperLetter"/>
      <w:pStyle w:val="NumPlain4"/>
      <w:lvlText w:val="(%4)"/>
      <w:lvlJc w:val="left"/>
      <w:pPr>
        <w:ind w:left="3128" w:hanging="782"/>
      </w:pPr>
      <w:rPr>
        <w:rFonts w:hint="default"/>
      </w:rPr>
    </w:lvl>
    <w:lvl w:ilvl="4">
      <w:start w:val="1"/>
      <w:numFmt w:val="lowerLetter"/>
      <w:lvlText w:val="(%5)"/>
      <w:lvlJc w:val="left"/>
      <w:pPr>
        <w:tabs>
          <w:tab w:val="num" w:pos="2651"/>
        </w:tabs>
        <w:ind w:left="3910" w:hanging="782"/>
      </w:pPr>
      <w:rPr>
        <w:rFonts w:hint="default"/>
      </w:rPr>
    </w:lvl>
    <w:lvl w:ilvl="5">
      <w:start w:val="1"/>
      <w:numFmt w:val="lowerRoman"/>
      <w:lvlText w:val="(%6)"/>
      <w:lvlJc w:val="left"/>
      <w:pPr>
        <w:tabs>
          <w:tab w:val="num" w:pos="3011"/>
        </w:tabs>
        <w:ind w:left="4692" w:hanging="782"/>
      </w:pPr>
      <w:rPr>
        <w:rFonts w:hint="default"/>
      </w:rPr>
    </w:lvl>
    <w:lvl w:ilvl="6">
      <w:start w:val="1"/>
      <w:numFmt w:val="decimal"/>
      <w:lvlText w:val="%7."/>
      <w:lvlJc w:val="left"/>
      <w:pPr>
        <w:tabs>
          <w:tab w:val="num" w:pos="3371"/>
        </w:tabs>
        <w:ind w:left="5474" w:hanging="782"/>
      </w:pPr>
      <w:rPr>
        <w:rFonts w:hint="default"/>
      </w:rPr>
    </w:lvl>
    <w:lvl w:ilvl="7">
      <w:start w:val="1"/>
      <w:numFmt w:val="lowerLetter"/>
      <w:lvlText w:val="%8."/>
      <w:lvlJc w:val="left"/>
      <w:pPr>
        <w:tabs>
          <w:tab w:val="num" w:pos="3731"/>
        </w:tabs>
        <w:ind w:left="6256" w:hanging="782"/>
      </w:pPr>
      <w:rPr>
        <w:rFonts w:hint="default"/>
      </w:rPr>
    </w:lvl>
    <w:lvl w:ilvl="8">
      <w:start w:val="1"/>
      <w:numFmt w:val="lowerRoman"/>
      <w:lvlText w:val="%9."/>
      <w:lvlJc w:val="left"/>
      <w:pPr>
        <w:tabs>
          <w:tab w:val="num" w:pos="4091"/>
        </w:tabs>
        <w:ind w:left="7038" w:hanging="782"/>
      </w:pPr>
      <w:rPr>
        <w:rFonts w:hint="default"/>
      </w:rPr>
    </w:lvl>
  </w:abstractNum>
  <w:abstractNum w:abstractNumId="15" w15:restartNumberingAfterBreak="0">
    <w:nsid w:val="4F5122A0"/>
    <w:multiLevelType w:val="multilevel"/>
    <w:tmpl w:val="AA1CA6E6"/>
    <w:styleLink w:val="RDRParas"/>
    <w:lvl w:ilvl="0">
      <w:start w:val="1"/>
      <w:numFmt w:val="none"/>
      <w:pStyle w:val="RDRPlain1"/>
      <w:lvlText w:val=""/>
      <w:lvlJc w:val="left"/>
      <w:pPr>
        <w:ind w:left="1565" w:hanging="1565"/>
      </w:pPr>
      <w:rPr>
        <w:rFonts w:hint="default"/>
      </w:rPr>
    </w:lvl>
    <w:lvl w:ilvl="1">
      <w:start w:val="1"/>
      <w:numFmt w:val="lowerLetter"/>
      <w:pStyle w:val="RDRPlain2"/>
      <w:lvlText w:val="(%2)"/>
      <w:lvlJc w:val="left"/>
      <w:pPr>
        <w:tabs>
          <w:tab w:val="num" w:pos="1565"/>
        </w:tabs>
        <w:ind w:left="2347" w:hanging="782"/>
      </w:pPr>
      <w:rPr>
        <w:rFonts w:hint="default"/>
      </w:rPr>
    </w:lvl>
    <w:lvl w:ilvl="2">
      <w:start w:val="1"/>
      <w:numFmt w:val="lowerRoman"/>
      <w:pStyle w:val="RDRPlain3"/>
      <w:lvlText w:val="(%3)"/>
      <w:lvlJc w:val="left"/>
      <w:pPr>
        <w:ind w:left="3130" w:hanging="7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5D515FB"/>
    <w:multiLevelType w:val="hybridMultilevel"/>
    <w:tmpl w:val="DE76DC70"/>
    <w:lvl w:ilvl="0" w:tplc="95BA7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2767C8"/>
    <w:multiLevelType w:val="hybridMultilevel"/>
    <w:tmpl w:val="6CAA0E9A"/>
    <w:lvl w:ilvl="0" w:tplc="B8FAED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6"/>
  </w:num>
  <w:num w:numId="3">
    <w:abstractNumId w:val="14"/>
  </w:num>
  <w:num w:numId="4">
    <w:abstractNumId w:val="12"/>
  </w:num>
  <w:num w:numId="5">
    <w:abstractNumId w:val="3"/>
  </w:num>
  <w:num w:numId="6">
    <w:abstractNumId w:val="0"/>
  </w:num>
  <w:num w:numId="7">
    <w:abstractNumId w:val="9"/>
  </w:num>
  <w:num w:numId="8">
    <w:abstractNumId w:val="2"/>
  </w:num>
  <w:num w:numId="9">
    <w:abstractNumId w:val="15"/>
  </w:num>
  <w:num w:numId="10">
    <w:abstractNumId w:val="11"/>
  </w:num>
  <w:num w:numId="11">
    <w:abstractNumId w:val="13"/>
  </w:num>
  <w:num w:numId="12">
    <w:abstractNumId w:val="7"/>
  </w:num>
  <w:num w:numId="13">
    <w:abstractNumId w:val="1"/>
  </w:num>
  <w:num w:numId="14">
    <w:abstractNumId w:val="5"/>
  </w:num>
  <w:num w:numId="15">
    <w:abstractNumId w:val="9"/>
  </w:num>
  <w:num w:numId="16">
    <w:abstractNumId w:val="6"/>
  </w:num>
  <w:num w:numId="17">
    <w:abstractNumId w:val="5"/>
  </w:num>
  <w:num w:numId="18">
    <w:abstractNumId w:val="5"/>
  </w:num>
  <w:num w:numId="19">
    <w:abstractNumId w:val="5"/>
  </w:num>
  <w:num w:numId="20">
    <w:abstractNumId w:val="4"/>
  </w:num>
  <w:num w:numId="21">
    <w:abstractNumId w:val="16"/>
  </w:num>
  <w:num w:numId="22">
    <w:abstractNumId w:val="12"/>
  </w:num>
  <w:num w:numId="23">
    <w:abstractNumId w:val="17"/>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activeWritingStyle w:appName="MSWord" w:lang="en-US" w:vendorID="64" w:dllVersion="0" w:nlCheck="1" w:checkStyle="0"/>
  <w:activeWritingStyle w:appName="MSWord" w:lang="en-AU"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82"/>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3NjQ1sTAyN7QwNbBU0lEKTi0uzszPAykwrwUAQCXKkywAAAA="/>
  </w:docVars>
  <w:rsids>
    <w:rsidRoot w:val="0094647E"/>
    <w:rsid w:val="00001593"/>
    <w:rsid w:val="00043248"/>
    <w:rsid w:val="00044C5E"/>
    <w:rsid w:val="000730FC"/>
    <w:rsid w:val="00081F5D"/>
    <w:rsid w:val="00082090"/>
    <w:rsid w:val="00086B81"/>
    <w:rsid w:val="00087544"/>
    <w:rsid w:val="00087631"/>
    <w:rsid w:val="00090A6F"/>
    <w:rsid w:val="00095162"/>
    <w:rsid w:val="000A1915"/>
    <w:rsid w:val="000A3FB7"/>
    <w:rsid w:val="000B4744"/>
    <w:rsid w:val="000C39E5"/>
    <w:rsid w:val="000D5C47"/>
    <w:rsid w:val="000D5D9F"/>
    <w:rsid w:val="000D6567"/>
    <w:rsid w:val="000D74F3"/>
    <w:rsid w:val="000E03C9"/>
    <w:rsid w:val="000F3088"/>
    <w:rsid w:val="00107E9C"/>
    <w:rsid w:val="00112667"/>
    <w:rsid w:val="00115847"/>
    <w:rsid w:val="00116872"/>
    <w:rsid w:val="001177F8"/>
    <w:rsid w:val="001276B8"/>
    <w:rsid w:val="00133803"/>
    <w:rsid w:val="00134E73"/>
    <w:rsid w:val="0013537E"/>
    <w:rsid w:val="00145AEE"/>
    <w:rsid w:val="00172551"/>
    <w:rsid w:val="001746B8"/>
    <w:rsid w:val="00175B08"/>
    <w:rsid w:val="001771F9"/>
    <w:rsid w:val="00177EE6"/>
    <w:rsid w:val="001813B5"/>
    <w:rsid w:val="00186FC0"/>
    <w:rsid w:val="0019246A"/>
    <w:rsid w:val="001A0D34"/>
    <w:rsid w:val="001C5822"/>
    <w:rsid w:val="001C6252"/>
    <w:rsid w:val="001D6CFB"/>
    <w:rsid w:val="001E1CAE"/>
    <w:rsid w:val="001E2D09"/>
    <w:rsid w:val="001E6309"/>
    <w:rsid w:val="001F72BF"/>
    <w:rsid w:val="002022C1"/>
    <w:rsid w:val="002122A6"/>
    <w:rsid w:val="00214B88"/>
    <w:rsid w:val="002215C7"/>
    <w:rsid w:val="00243EC8"/>
    <w:rsid w:val="00244DF0"/>
    <w:rsid w:val="002564BC"/>
    <w:rsid w:val="00272962"/>
    <w:rsid w:val="00272AE5"/>
    <w:rsid w:val="002823B6"/>
    <w:rsid w:val="002839B6"/>
    <w:rsid w:val="0028449C"/>
    <w:rsid w:val="002947B3"/>
    <w:rsid w:val="002A5317"/>
    <w:rsid w:val="002A6852"/>
    <w:rsid w:val="002A752C"/>
    <w:rsid w:val="002B0BA7"/>
    <w:rsid w:val="002B229A"/>
    <w:rsid w:val="002B5811"/>
    <w:rsid w:val="002B6F86"/>
    <w:rsid w:val="002C27AB"/>
    <w:rsid w:val="002C5E6B"/>
    <w:rsid w:val="002D04F4"/>
    <w:rsid w:val="002E1390"/>
    <w:rsid w:val="002F7470"/>
    <w:rsid w:val="00302427"/>
    <w:rsid w:val="003056E0"/>
    <w:rsid w:val="00307B3A"/>
    <w:rsid w:val="00310F7D"/>
    <w:rsid w:val="00311F8D"/>
    <w:rsid w:val="00315095"/>
    <w:rsid w:val="00322633"/>
    <w:rsid w:val="00324F0F"/>
    <w:rsid w:val="003334A7"/>
    <w:rsid w:val="0033479F"/>
    <w:rsid w:val="003420CF"/>
    <w:rsid w:val="0035054D"/>
    <w:rsid w:val="00354353"/>
    <w:rsid w:val="003744DF"/>
    <w:rsid w:val="00377E37"/>
    <w:rsid w:val="003835DE"/>
    <w:rsid w:val="003936CF"/>
    <w:rsid w:val="00396023"/>
    <w:rsid w:val="003A4465"/>
    <w:rsid w:val="003B25D6"/>
    <w:rsid w:val="003B49BC"/>
    <w:rsid w:val="003B6276"/>
    <w:rsid w:val="003C23D0"/>
    <w:rsid w:val="003C37E0"/>
    <w:rsid w:val="003C4A17"/>
    <w:rsid w:val="003C52F1"/>
    <w:rsid w:val="003C77F5"/>
    <w:rsid w:val="003E4D40"/>
    <w:rsid w:val="003E5D51"/>
    <w:rsid w:val="003F089D"/>
    <w:rsid w:val="003F2156"/>
    <w:rsid w:val="00400A48"/>
    <w:rsid w:val="00401B5F"/>
    <w:rsid w:val="00403997"/>
    <w:rsid w:val="004136CD"/>
    <w:rsid w:val="00415D06"/>
    <w:rsid w:val="00416D54"/>
    <w:rsid w:val="0041765D"/>
    <w:rsid w:val="00436A43"/>
    <w:rsid w:val="00437F51"/>
    <w:rsid w:val="00462F7D"/>
    <w:rsid w:val="00465DEE"/>
    <w:rsid w:val="00494C29"/>
    <w:rsid w:val="004A116B"/>
    <w:rsid w:val="004A43DA"/>
    <w:rsid w:val="004C2A3A"/>
    <w:rsid w:val="004C2A72"/>
    <w:rsid w:val="004C5228"/>
    <w:rsid w:val="004E1B88"/>
    <w:rsid w:val="004E6394"/>
    <w:rsid w:val="004F675D"/>
    <w:rsid w:val="004F6E42"/>
    <w:rsid w:val="00501543"/>
    <w:rsid w:val="00503F03"/>
    <w:rsid w:val="00520E2B"/>
    <w:rsid w:val="00522B1A"/>
    <w:rsid w:val="0053350D"/>
    <w:rsid w:val="00541866"/>
    <w:rsid w:val="00546628"/>
    <w:rsid w:val="00547D85"/>
    <w:rsid w:val="00550B7B"/>
    <w:rsid w:val="00555354"/>
    <w:rsid w:val="00567213"/>
    <w:rsid w:val="005722D1"/>
    <w:rsid w:val="0058081B"/>
    <w:rsid w:val="00592FEB"/>
    <w:rsid w:val="005A01A2"/>
    <w:rsid w:val="005E15D6"/>
    <w:rsid w:val="0061599A"/>
    <w:rsid w:val="00616AB4"/>
    <w:rsid w:val="00617156"/>
    <w:rsid w:val="0061799C"/>
    <w:rsid w:val="00622089"/>
    <w:rsid w:val="006235F8"/>
    <w:rsid w:val="00625873"/>
    <w:rsid w:val="006260E9"/>
    <w:rsid w:val="006319A8"/>
    <w:rsid w:val="00644317"/>
    <w:rsid w:val="00651A11"/>
    <w:rsid w:val="00654C65"/>
    <w:rsid w:val="00664DF3"/>
    <w:rsid w:val="00666999"/>
    <w:rsid w:val="00667C93"/>
    <w:rsid w:val="0067132D"/>
    <w:rsid w:val="00672C61"/>
    <w:rsid w:val="00672D5D"/>
    <w:rsid w:val="0067522E"/>
    <w:rsid w:val="0068158A"/>
    <w:rsid w:val="00693791"/>
    <w:rsid w:val="00696FF7"/>
    <w:rsid w:val="006B201E"/>
    <w:rsid w:val="006B65E3"/>
    <w:rsid w:val="006B7C9F"/>
    <w:rsid w:val="006C76E1"/>
    <w:rsid w:val="006D0D79"/>
    <w:rsid w:val="006D3C5E"/>
    <w:rsid w:val="006D43C0"/>
    <w:rsid w:val="006E5B75"/>
    <w:rsid w:val="00700CD1"/>
    <w:rsid w:val="007071B8"/>
    <w:rsid w:val="007135F2"/>
    <w:rsid w:val="0072638F"/>
    <w:rsid w:val="0074789E"/>
    <w:rsid w:val="00751231"/>
    <w:rsid w:val="00751F70"/>
    <w:rsid w:val="00752C9E"/>
    <w:rsid w:val="00761E04"/>
    <w:rsid w:val="00767225"/>
    <w:rsid w:val="0077251B"/>
    <w:rsid w:val="00776382"/>
    <w:rsid w:val="007779C9"/>
    <w:rsid w:val="00780CDC"/>
    <w:rsid w:val="00784C35"/>
    <w:rsid w:val="0078653C"/>
    <w:rsid w:val="00786C08"/>
    <w:rsid w:val="00791B49"/>
    <w:rsid w:val="007978DC"/>
    <w:rsid w:val="007A1626"/>
    <w:rsid w:val="007A6254"/>
    <w:rsid w:val="007A6DBE"/>
    <w:rsid w:val="007B6135"/>
    <w:rsid w:val="007C0E17"/>
    <w:rsid w:val="007C3745"/>
    <w:rsid w:val="007E20D2"/>
    <w:rsid w:val="007F67DE"/>
    <w:rsid w:val="007F7C39"/>
    <w:rsid w:val="00803535"/>
    <w:rsid w:val="008052F2"/>
    <w:rsid w:val="00820FE5"/>
    <w:rsid w:val="00823281"/>
    <w:rsid w:val="00824A72"/>
    <w:rsid w:val="00825397"/>
    <w:rsid w:val="00827021"/>
    <w:rsid w:val="008277D2"/>
    <w:rsid w:val="00832CD7"/>
    <w:rsid w:val="008379E3"/>
    <w:rsid w:val="008726A0"/>
    <w:rsid w:val="00874D90"/>
    <w:rsid w:val="00876903"/>
    <w:rsid w:val="00887462"/>
    <w:rsid w:val="008912E7"/>
    <w:rsid w:val="0089260D"/>
    <w:rsid w:val="00896EDF"/>
    <w:rsid w:val="008A6451"/>
    <w:rsid w:val="008B23F7"/>
    <w:rsid w:val="008E0B1F"/>
    <w:rsid w:val="008F60DD"/>
    <w:rsid w:val="009020A0"/>
    <w:rsid w:val="009033ED"/>
    <w:rsid w:val="00903EE1"/>
    <w:rsid w:val="00913611"/>
    <w:rsid w:val="00923FFE"/>
    <w:rsid w:val="009246C2"/>
    <w:rsid w:val="0094647E"/>
    <w:rsid w:val="00974F5D"/>
    <w:rsid w:val="00983299"/>
    <w:rsid w:val="00986997"/>
    <w:rsid w:val="00994EB0"/>
    <w:rsid w:val="009A4B8B"/>
    <w:rsid w:val="009B42C0"/>
    <w:rsid w:val="009D04B0"/>
    <w:rsid w:val="009D1EA0"/>
    <w:rsid w:val="009F7EC5"/>
    <w:rsid w:val="00A00434"/>
    <w:rsid w:val="00A04937"/>
    <w:rsid w:val="00A055DD"/>
    <w:rsid w:val="00A0678E"/>
    <w:rsid w:val="00A17D4D"/>
    <w:rsid w:val="00A23920"/>
    <w:rsid w:val="00A252C6"/>
    <w:rsid w:val="00A312BB"/>
    <w:rsid w:val="00A35C58"/>
    <w:rsid w:val="00A431BF"/>
    <w:rsid w:val="00A663F8"/>
    <w:rsid w:val="00A73351"/>
    <w:rsid w:val="00A821A9"/>
    <w:rsid w:val="00A8582C"/>
    <w:rsid w:val="00A868AD"/>
    <w:rsid w:val="00A876C1"/>
    <w:rsid w:val="00A9542E"/>
    <w:rsid w:val="00A956DE"/>
    <w:rsid w:val="00AA1B50"/>
    <w:rsid w:val="00AA1B89"/>
    <w:rsid w:val="00AA2735"/>
    <w:rsid w:val="00AA6C7A"/>
    <w:rsid w:val="00AB0555"/>
    <w:rsid w:val="00AB0C1C"/>
    <w:rsid w:val="00AC2FE5"/>
    <w:rsid w:val="00AC6B13"/>
    <w:rsid w:val="00AE0D92"/>
    <w:rsid w:val="00AE2016"/>
    <w:rsid w:val="00AE2BE6"/>
    <w:rsid w:val="00AE481E"/>
    <w:rsid w:val="00B02E0B"/>
    <w:rsid w:val="00B05F03"/>
    <w:rsid w:val="00B17E17"/>
    <w:rsid w:val="00B21CBD"/>
    <w:rsid w:val="00B2272E"/>
    <w:rsid w:val="00B308C1"/>
    <w:rsid w:val="00B43B9F"/>
    <w:rsid w:val="00B43E50"/>
    <w:rsid w:val="00B62987"/>
    <w:rsid w:val="00B65271"/>
    <w:rsid w:val="00B665E2"/>
    <w:rsid w:val="00B66B80"/>
    <w:rsid w:val="00B67E49"/>
    <w:rsid w:val="00B71817"/>
    <w:rsid w:val="00B73EA2"/>
    <w:rsid w:val="00B80B46"/>
    <w:rsid w:val="00B80C28"/>
    <w:rsid w:val="00B82B5D"/>
    <w:rsid w:val="00B84608"/>
    <w:rsid w:val="00B90074"/>
    <w:rsid w:val="00B92770"/>
    <w:rsid w:val="00B92FFC"/>
    <w:rsid w:val="00BA20C3"/>
    <w:rsid w:val="00BA5504"/>
    <w:rsid w:val="00BB39EB"/>
    <w:rsid w:val="00BB4A92"/>
    <w:rsid w:val="00BB5F59"/>
    <w:rsid w:val="00BC64E9"/>
    <w:rsid w:val="00BE2F68"/>
    <w:rsid w:val="00BF30C9"/>
    <w:rsid w:val="00BF35DD"/>
    <w:rsid w:val="00C014D7"/>
    <w:rsid w:val="00C14556"/>
    <w:rsid w:val="00C30C58"/>
    <w:rsid w:val="00C32A53"/>
    <w:rsid w:val="00C6240F"/>
    <w:rsid w:val="00C64DCA"/>
    <w:rsid w:val="00C67B47"/>
    <w:rsid w:val="00C94BAB"/>
    <w:rsid w:val="00C96C4B"/>
    <w:rsid w:val="00CA5298"/>
    <w:rsid w:val="00CA53DB"/>
    <w:rsid w:val="00CB0197"/>
    <w:rsid w:val="00CB1CE8"/>
    <w:rsid w:val="00CB511E"/>
    <w:rsid w:val="00CB5DFE"/>
    <w:rsid w:val="00CB73CA"/>
    <w:rsid w:val="00CC6937"/>
    <w:rsid w:val="00CD0C28"/>
    <w:rsid w:val="00CD1BD3"/>
    <w:rsid w:val="00CD1F89"/>
    <w:rsid w:val="00CD3E19"/>
    <w:rsid w:val="00CD5D39"/>
    <w:rsid w:val="00CF0569"/>
    <w:rsid w:val="00CF1647"/>
    <w:rsid w:val="00CF7B43"/>
    <w:rsid w:val="00CF7FCF"/>
    <w:rsid w:val="00D10905"/>
    <w:rsid w:val="00D1365A"/>
    <w:rsid w:val="00D14175"/>
    <w:rsid w:val="00D21576"/>
    <w:rsid w:val="00D22D0B"/>
    <w:rsid w:val="00D257A0"/>
    <w:rsid w:val="00D27835"/>
    <w:rsid w:val="00D403A1"/>
    <w:rsid w:val="00D473D6"/>
    <w:rsid w:val="00D54123"/>
    <w:rsid w:val="00D6712B"/>
    <w:rsid w:val="00D705A4"/>
    <w:rsid w:val="00D741DA"/>
    <w:rsid w:val="00D76436"/>
    <w:rsid w:val="00D85853"/>
    <w:rsid w:val="00D87D18"/>
    <w:rsid w:val="00D93001"/>
    <w:rsid w:val="00D97587"/>
    <w:rsid w:val="00DA0D37"/>
    <w:rsid w:val="00DA182C"/>
    <w:rsid w:val="00DB0F2D"/>
    <w:rsid w:val="00DB68E0"/>
    <w:rsid w:val="00DB7859"/>
    <w:rsid w:val="00DC0C65"/>
    <w:rsid w:val="00DD1396"/>
    <w:rsid w:val="00DD1F72"/>
    <w:rsid w:val="00DE4E67"/>
    <w:rsid w:val="00E20741"/>
    <w:rsid w:val="00E2398A"/>
    <w:rsid w:val="00E37829"/>
    <w:rsid w:val="00E56C2C"/>
    <w:rsid w:val="00E6029B"/>
    <w:rsid w:val="00E66B35"/>
    <w:rsid w:val="00E77F56"/>
    <w:rsid w:val="00E80076"/>
    <w:rsid w:val="00E93B1B"/>
    <w:rsid w:val="00EA0775"/>
    <w:rsid w:val="00EA7A3D"/>
    <w:rsid w:val="00EB63D8"/>
    <w:rsid w:val="00EC1454"/>
    <w:rsid w:val="00EC2986"/>
    <w:rsid w:val="00EE0FE6"/>
    <w:rsid w:val="00EF11F0"/>
    <w:rsid w:val="00EF4DB0"/>
    <w:rsid w:val="00F039AA"/>
    <w:rsid w:val="00F11944"/>
    <w:rsid w:val="00F2168A"/>
    <w:rsid w:val="00F260B3"/>
    <w:rsid w:val="00F4635F"/>
    <w:rsid w:val="00F46CE4"/>
    <w:rsid w:val="00F55771"/>
    <w:rsid w:val="00F56527"/>
    <w:rsid w:val="00F609EB"/>
    <w:rsid w:val="00F67514"/>
    <w:rsid w:val="00F77734"/>
    <w:rsid w:val="00F80EAE"/>
    <w:rsid w:val="00F85527"/>
    <w:rsid w:val="00F864F6"/>
    <w:rsid w:val="00FA0E7E"/>
    <w:rsid w:val="00FA136B"/>
    <w:rsid w:val="00FA596A"/>
    <w:rsid w:val="00FB50C0"/>
    <w:rsid w:val="00FC0C94"/>
    <w:rsid w:val="00FD6FB7"/>
    <w:rsid w:val="00FD7AD3"/>
    <w:rsid w:val="00FE67B2"/>
    <w:rsid w:val="00FE690C"/>
    <w:rsid w:val="00FE6B43"/>
    <w:rsid w:val="00FF3078"/>
    <w:rsid w:val="00FF71A0"/>
    <w:rsid w:val="3605B28E"/>
    <w:rsid w:val="46DD250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13F09938"/>
  <w15:docId w15:val="{82138A91-BC48-459F-AE44-0108C5608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215C7"/>
    <w:pPr>
      <w:jc w:val="both"/>
    </w:pPr>
    <w:rPr>
      <w:sz w:val="19"/>
      <w:lang w:eastAsia="en-US"/>
    </w:rPr>
  </w:style>
  <w:style w:type="paragraph" w:styleId="Heading1">
    <w:name w:val="heading 1"/>
    <w:basedOn w:val="Normal"/>
    <w:next w:val="Normal"/>
    <w:qFormat/>
    <w:rsid w:val="002215C7"/>
    <w:pPr>
      <w:keepNext/>
      <w:spacing w:before="400" w:after="200"/>
      <w:jc w:val="left"/>
      <w:outlineLvl w:val="0"/>
    </w:pPr>
    <w:rPr>
      <w:rFonts w:ascii="Arial" w:hAnsi="Arial" w:cs="Arial"/>
      <w:b/>
      <w:bCs/>
      <w:sz w:val="26"/>
      <w:szCs w:val="32"/>
    </w:rPr>
  </w:style>
  <w:style w:type="paragraph" w:styleId="Heading2">
    <w:name w:val="heading 2"/>
    <w:basedOn w:val="Heading1"/>
    <w:next w:val="Normal"/>
    <w:qFormat/>
    <w:rsid w:val="00D21576"/>
    <w:pPr>
      <w:pBdr>
        <w:bottom w:val="single" w:sz="4" w:space="1" w:color="auto"/>
      </w:pBdr>
      <w:outlineLvl w:val="1"/>
    </w:pPr>
    <w:rPr>
      <w:bCs w:val="0"/>
      <w:iCs/>
      <w:szCs w:val="28"/>
    </w:rPr>
  </w:style>
  <w:style w:type="paragraph" w:styleId="Heading3">
    <w:name w:val="heading 3"/>
    <w:basedOn w:val="Heading2"/>
    <w:next w:val="Normal"/>
    <w:qFormat/>
    <w:rsid w:val="002215C7"/>
    <w:pPr>
      <w:spacing w:before="100"/>
      <w:outlineLvl w:val="2"/>
    </w:pPr>
    <w:rPr>
      <w:bCs/>
      <w:szCs w:val="26"/>
    </w:rPr>
  </w:style>
  <w:style w:type="paragraph" w:styleId="Heading4">
    <w:name w:val="heading 4"/>
    <w:basedOn w:val="Heading3"/>
    <w:next w:val="Normal"/>
    <w:qFormat/>
    <w:rsid w:val="002215C7"/>
    <w:pPr>
      <w:pBdr>
        <w:bottom w:val="none" w:sz="0" w:space="0" w:color="auto"/>
      </w:pBdr>
      <w:outlineLvl w:val="3"/>
    </w:pPr>
    <w:rPr>
      <w:bCs w:val="0"/>
      <w:sz w:val="18"/>
      <w:szCs w:val="28"/>
    </w:rPr>
  </w:style>
  <w:style w:type="paragraph" w:styleId="Heading5">
    <w:name w:val="heading 5"/>
    <w:basedOn w:val="Heading4"/>
    <w:next w:val="Normal"/>
    <w:qFormat/>
    <w:rsid w:val="002215C7"/>
    <w:pPr>
      <w:outlineLvl w:val="4"/>
    </w:pPr>
    <w:rPr>
      <w:bCs/>
      <w:i/>
      <w:iCs w:val="0"/>
      <w:szCs w:val="26"/>
    </w:rPr>
  </w:style>
  <w:style w:type="paragraph" w:styleId="Heading6">
    <w:name w:val="heading 6"/>
    <w:basedOn w:val="Heading5"/>
    <w:next w:val="Normal"/>
    <w:qFormat/>
    <w:rsid w:val="002215C7"/>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215C7"/>
    <w:pPr>
      <w:spacing w:line="160" w:lineRule="exact"/>
      <w:ind w:left="340" w:hanging="340"/>
    </w:pPr>
    <w:rPr>
      <w:sz w:val="16"/>
    </w:rPr>
  </w:style>
  <w:style w:type="paragraph" w:customStyle="1" w:styleId="Heading1Italic">
    <w:name w:val="Heading 1 Italic"/>
    <w:basedOn w:val="Heading1"/>
    <w:next w:val="Normal"/>
    <w:rsid w:val="002215C7"/>
    <w:pPr>
      <w:spacing w:before="240"/>
    </w:pPr>
    <w:rPr>
      <w:i/>
    </w:rPr>
  </w:style>
  <w:style w:type="paragraph" w:customStyle="1" w:styleId="Heading2Indent1">
    <w:name w:val="Heading 2 Indent1"/>
    <w:basedOn w:val="Heading2"/>
    <w:next w:val="Normal"/>
    <w:rsid w:val="006D0D79"/>
    <w:pPr>
      <w:pBdr>
        <w:bottom w:val="none" w:sz="0" w:space="0" w:color="auto"/>
      </w:pBdr>
      <w:spacing w:before="240"/>
      <w:ind w:left="782"/>
    </w:pPr>
  </w:style>
  <w:style w:type="paragraph" w:customStyle="1" w:styleId="Heading3Indent1">
    <w:name w:val="Heading 3 Indent1"/>
    <w:basedOn w:val="Heading3"/>
    <w:next w:val="Normal"/>
    <w:rsid w:val="00A252C6"/>
    <w:pPr>
      <w:pBdr>
        <w:bottom w:val="none" w:sz="0" w:space="0" w:color="auto"/>
      </w:pBdr>
      <w:ind w:left="782"/>
    </w:pPr>
  </w:style>
  <w:style w:type="paragraph" w:customStyle="1" w:styleId="Heading4Indent1">
    <w:name w:val="Heading 4 Indent1"/>
    <w:basedOn w:val="Heading4"/>
    <w:next w:val="Normal"/>
    <w:rsid w:val="00A252C6"/>
    <w:pPr>
      <w:ind w:left="782"/>
    </w:pPr>
  </w:style>
  <w:style w:type="paragraph" w:customStyle="1" w:styleId="Heading5Indent1">
    <w:name w:val="Heading 5 Indent1"/>
    <w:basedOn w:val="Heading5"/>
    <w:next w:val="Normal"/>
    <w:rsid w:val="00A252C6"/>
    <w:pPr>
      <w:ind w:left="782"/>
    </w:pPr>
  </w:style>
  <w:style w:type="paragraph" w:customStyle="1" w:styleId="Heading6Indent1">
    <w:name w:val="Heading 6 Indent1"/>
    <w:basedOn w:val="Heading6"/>
    <w:next w:val="Normal"/>
    <w:rsid w:val="00A252C6"/>
    <w:pPr>
      <w:ind w:left="782"/>
    </w:pPr>
  </w:style>
  <w:style w:type="paragraph" w:styleId="Header">
    <w:name w:val="header"/>
    <w:basedOn w:val="Normal"/>
    <w:link w:val="HeaderChar"/>
    <w:rsid w:val="002215C7"/>
    <w:pPr>
      <w:tabs>
        <w:tab w:val="center" w:pos="4536"/>
        <w:tab w:val="right" w:pos="9072"/>
      </w:tabs>
    </w:pPr>
  </w:style>
  <w:style w:type="paragraph" w:styleId="Footer">
    <w:name w:val="footer"/>
    <w:basedOn w:val="Normal"/>
    <w:rsid w:val="002215C7"/>
    <w:pPr>
      <w:tabs>
        <w:tab w:val="center" w:pos="4536"/>
        <w:tab w:val="right" w:pos="9072"/>
      </w:tabs>
    </w:pPr>
  </w:style>
  <w:style w:type="paragraph" w:customStyle="1" w:styleId="CoverStandard">
    <w:name w:val="Cover Standard"/>
    <w:basedOn w:val="Normal"/>
    <w:next w:val="Normal"/>
    <w:rsid w:val="0013537E"/>
    <w:rPr>
      <w:rFonts w:ascii="HelveticaNeueLT Std" w:hAnsi="HelveticaNeueLT Std"/>
      <w:b/>
      <w:color w:val="25408F"/>
      <w:sz w:val="28"/>
    </w:rPr>
  </w:style>
  <w:style w:type="paragraph" w:customStyle="1" w:styleId="CoverNumber">
    <w:name w:val="Cover Number"/>
    <w:basedOn w:val="Normal"/>
    <w:next w:val="Normal"/>
    <w:rsid w:val="0013537E"/>
    <w:pPr>
      <w:ind w:right="57"/>
      <w:jc w:val="right"/>
    </w:pPr>
    <w:rPr>
      <w:rFonts w:ascii="HelveticaNeueLT Std Blk" w:hAnsi="HelveticaNeueLT Std Blk"/>
      <w:b/>
      <w:caps/>
      <w:color w:val="25408F"/>
      <w:sz w:val="24"/>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rsid w:val="0013537E"/>
    <w:pPr>
      <w:ind w:right="57"/>
      <w:jc w:val="right"/>
    </w:pPr>
    <w:rPr>
      <w:rFonts w:ascii="HelveticaNeueLT Std" w:hAnsi="HelveticaNeueLT Std"/>
      <w:color w:val="25408F"/>
      <w:sz w:val="24"/>
    </w:rPr>
  </w:style>
  <w:style w:type="paragraph" w:customStyle="1" w:styleId="CoverTitle">
    <w:name w:val="Cover Title"/>
    <w:basedOn w:val="Normal"/>
    <w:rsid w:val="0013537E"/>
    <w:pPr>
      <w:spacing w:before="800"/>
    </w:pPr>
    <w:rPr>
      <w:rFonts w:ascii="HelveticaNeueLT Std" w:hAnsi="HelveticaNeueLT Std"/>
      <w:color w:val="25408F"/>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rsid w:val="002215C7"/>
    <w:pPr>
      <w:tabs>
        <w:tab w:val="right" w:pos="6237"/>
      </w:tabs>
      <w:spacing w:after="200"/>
      <w:ind w:left="170" w:right="1134" w:hanging="170"/>
    </w:pPr>
  </w:style>
  <w:style w:type="paragraph" w:customStyle="1" w:styleId="ContentsLevel1">
    <w:name w:val="Contents Level1"/>
    <w:basedOn w:val="Normal"/>
    <w:qFormat/>
    <w:rsid w:val="00494C29"/>
    <w:pPr>
      <w:tabs>
        <w:tab w:val="right" w:pos="9072"/>
      </w:tabs>
      <w:spacing w:after="60"/>
      <w:ind w:left="170" w:hanging="170"/>
      <w:jc w:val="left"/>
    </w:pPr>
    <w:rPr>
      <w:b/>
      <w:caps/>
    </w:rPr>
  </w:style>
  <w:style w:type="paragraph" w:customStyle="1" w:styleId="ContentsCapsBoldPg">
    <w:name w:val="Contents CapsBoldPg"/>
    <w:basedOn w:val="ContentsCapsPlainPg"/>
    <w:next w:val="ContentsLevel1"/>
    <w:rsid w:val="002215C7"/>
    <w:rPr>
      <w:b/>
    </w:rPr>
  </w:style>
  <w:style w:type="paragraph" w:customStyle="1" w:styleId="ContentsLevel2">
    <w:name w:val="Contents Level2"/>
    <w:basedOn w:val="ContentsLevel1"/>
    <w:uiPriority w:val="7"/>
    <w:qFormat/>
    <w:rsid w:val="00494C29"/>
    <w:rPr>
      <w:caps w:val="0"/>
    </w:rPr>
  </w:style>
  <w:style w:type="paragraph" w:customStyle="1" w:styleId="ContentsLevel3">
    <w:name w:val="Contents Level3"/>
    <w:basedOn w:val="ContentsLevel2"/>
    <w:rsid w:val="00494C29"/>
    <w:pPr>
      <w:ind w:left="510"/>
    </w:pPr>
    <w:rPr>
      <w:b w:val="0"/>
    </w:rPr>
  </w:style>
  <w:style w:type="paragraph" w:customStyle="1" w:styleId="ContentsLevel4">
    <w:name w:val="Contents Level4"/>
    <w:basedOn w:val="ContentsLevel3"/>
    <w:rsid w:val="00494C29"/>
    <w:pPr>
      <w:ind w:left="850"/>
    </w:pPr>
  </w:style>
  <w:style w:type="paragraph" w:customStyle="1" w:styleId="ContentsBox">
    <w:name w:val="Contents Box"/>
    <w:basedOn w:val="Normal"/>
    <w:rsid w:val="002215C7"/>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rsid w:val="00A252C6"/>
    <w:pPr>
      <w:ind w:left="782"/>
    </w:pPr>
  </w:style>
  <w:style w:type="paragraph" w:customStyle="1" w:styleId="AusPlain1">
    <w:name w:val="Aus Plain1"/>
    <w:basedOn w:val="Normal"/>
    <w:rsid w:val="00F77734"/>
    <w:pPr>
      <w:numPr>
        <w:numId w:val="6"/>
      </w:numPr>
      <w:spacing w:after="200"/>
      <w:outlineLvl w:val="0"/>
    </w:pPr>
  </w:style>
  <w:style w:type="paragraph" w:customStyle="1" w:styleId="AusBold1">
    <w:name w:val="Aus Bold1"/>
    <w:basedOn w:val="AusPlain1"/>
    <w:rsid w:val="00F56527"/>
    <w:rPr>
      <w:b/>
    </w:rPr>
  </w:style>
  <w:style w:type="paragraph" w:customStyle="1" w:styleId="NoNumPlain1">
    <w:name w:val="NoNum Plain1"/>
    <w:basedOn w:val="Normal"/>
    <w:link w:val="NoNumPlain1Char"/>
    <w:qFormat/>
    <w:rsid w:val="002215C7"/>
    <w:pPr>
      <w:spacing w:before="100" w:after="100"/>
    </w:pPr>
  </w:style>
  <w:style w:type="paragraph" w:customStyle="1" w:styleId="NoNumPlain2">
    <w:name w:val="NoNum Plain2"/>
    <w:basedOn w:val="NoNumPlain1"/>
    <w:rsid w:val="00D403A1"/>
    <w:pPr>
      <w:ind w:left="782"/>
    </w:pPr>
  </w:style>
  <w:style w:type="paragraph" w:customStyle="1" w:styleId="NoNumPlain3">
    <w:name w:val="NoNum Plain3"/>
    <w:basedOn w:val="NoNumPlain2"/>
    <w:rsid w:val="00D403A1"/>
    <w:pPr>
      <w:ind w:left="1565"/>
    </w:pPr>
  </w:style>
  <w:style w:type="paragraph" w:customStyle="1" w:styleId="NoNumPlain4">
    <w:name w:val="NoNum Plain4"/>
    <w:basedOn w:val="NoNumPlain3"/>
    <w:rsid w:val="00D403A1"/>
    <w:pPr>
      <w:ind w:left="2347"/>
    </w:pPr>
  </w:style>
  <w:style w:type="paragraph" w:customStyle="1" w:styleId="NoNumBold1">
    <w:name w:val="NoNum Bold1"/>
    <w:basedOn w:val="Normal"/>
    <w:qFormat/>
    <w:rsid w:val="002215C7"/>
    <w:pPr>
      <w:spacing w:before="100" w:after="100"/>
    </w:pPr>
    <w:rPr>
      <w:b/>
    </w:rPr>
  </w:style>
  <w:style w:type="paragraph" w:customStyle="1" w:styleId="NoNumBold2">
    <w:name w:val="NoNum Bold2"/>
    <w:basedOn w:val="NoNumBold1"/>
    <w:rsid w:val="00D403A1"/>
    <w:pPr>
      <w:ind w:left="782"/>
    </w:pPr>
  </w:style>
  <w:style w:type="paragraph" w:customStyle="1" w:styleId="NoNumBold3">
    <w:name w:val="NoNum Bold3"/>
    <w:basedOn w:val="NoNumBold2"/>
    <w:rsid w:val="00D403A1"/>
    <w:pPr>
      <w:ind w:left="1565"/>
    </w:pPr>
  </w:style>
  <w:style w:type="paragraph" w:customStyle="1" w:styleId="NoNumBold4">
    <w:name w:val="NoNum Bold4"/>
    <w:basedOn w:val="NoNumBold3"/>
    <w:rsid w:val="00D403A1"/>
    <w:pPr>
      <w:ind w:left="2347"/>
    </w:pPr>
  </w:style>
  <w:style w:type="paragraph" w:customStyle="1" w:styleId="NumPlain1">
    <w:name w:val="Num Plain1"/>
    <w:basedOn w:val="Normal"/>
    <w:link w:val="NumPlain1Char"/>
    <w:qFormat/>
    <w:rsid w:val="00F77734"/>
    <w:pPr>
      <w:numPr>
        <w:numId w:val="3"/>
      </w:numPr>
      <w:spacing w:before="100" w:after="100"/>
    </w:pPr>
  </w:style>
  <w:style w:type="paragraph" w:customStyle="1" w:styleId="NumPlain2">
    <w:name w:val="Num Plain2"/>
    <w:basedOn w:val="NumPlain1"/>
    <w:rsid w:val="00F77734"/>
    <w:pPr>
      <w:numPr>
        <w:ilvl w:val="1"/>
      </w:numPr>
    </w:pPr>
  </w:style>
  <w:style w:type="paragraph" w:customStyle="1" w:styleId="NumPlain3">
    <w:name w:val="Num Plain3"/>
    <w:basedOn w:val="NumPlain2"/>
    <w:rsid w:val="00F77734"/>
    <w:pPr>
      <w:numPr>
        <w:ilvl w:val="2"/>
      </w:numPr>
    </w:pPr>
  </w:style>
  <w:style w:type="paragraph" w:customStyle="1" w:styleId="NumPlain4">
    <w:name w:val="Num Plain4"/>
    <w:basedOn w:val="NumPlain3"/>
    <w:rsid w:val="00F77734"/>
    <w:pPr>
      <w:numPr>
        <w:ilvl w:val="3"/>
      </w:numPr>
    </w:pPr>
  </w:style>
  <w:style w:type="paragraph" w:customStyle="1" w:styleId="NumBold1">
    <w:name w:val="Num Bold1"/>
    <w:basedOn w:val="NumPlain1"/>
    <w:qFormat/>
    <w:rsid w:val="002B6F86"/>
    <w:rPr>
      <w:b/>
    </w:rPr>
  </w:style>
  <w:style w:type="paragraph" w:customStyle="1" w:styleId="NumBold2">
    <w:name w:val="Num Bold2"/>
    <w:basedOn w:val="NumPlain2"/>
    <w:rsid w:val="002B6F86"/>
    <w:rPr>
      <w:b/>
    </w:rPr>
  </w:style>
  <w:style w:type="paragraph" w:customStyle="1" w:styleId="NumBold3">
    <w:name w:val="Num Bold3"/>
    <w:basedOn w:val="NumPlain3"/>
    <w:rsid w:val="002B6F86"/>
    <w:rPr>
      <w:b/>
    </w:rPr>
  </w:style>
  <w:style w:type="paragraph" w:customStyle="1" w:styleId="NumBold4">
    <w:name w:val="Num Bold4"/>
    <w:basedOn w:val="NumPlain4"/>
    <w:rsid w:val="002B6F86"/>
    <w:rPr>
      <w:b/>
    </w:rPr>
  </w:style>
  <w:style w:type="paragraph" w:customStyle="1" w:styleId="Bullet1">
    <w:name w:val="Bullet1"/>
    <w:basedOn w:val="Normal"/>
    <w:qFormat/>
    <w:rsid w:val="002215C7"/>
    <w:pPr>
      <w:numPr>
        <w:numId w:val="8"/>
      </w:numPr>
      <w:spacing w:before="100" w:after="100"/>
    </w:pPr>
  </w:style>
  <w:style w:type="paragraph" w:customStyle="1" w:styleId="Bullet2">
    <w:name w:val="Bullet2"/>
    <w:basedOn w:val="Normal"/>
    <w:rsid w:val="002215C7"/>
    <w:pPr>
      <w:numPr>
        <w:ilvl w:val="1"/>
        <w:numId w:val="8"/>
      </w:numPr>
      <w:spacing w:after="200"/>
    </w:pPr>
  </w:style>
  <w:style w:type="paragraph" w:customStyle="1" w:styleId="Bullet3">
    <w:name w:val="Bullet3"/>
    <w:basedOn w:val="Normal"/>
    <w:rsid w:val="002215C7"/>
    <w:pPr>
      <w:numPr>
        <w:ilvl w:val="2"/>
        <w:numId w:val="8"/>
      </w:numPr>
      <w:spacing w:after="200"/>
    </w:pPr>
  </w:style>
  <w:style w:type="paragraph" w:customStyle="1" w:styleId="CommentsPage">
    <w:name w:val="CommentsPage"/>
    <w:basedOn w:val="Normal"/>
    <w:next w:val="Normal"/>
    <w:rsid w:val="002215C7"/>
  </w:style>
  <w:style w:type="paragraph" w:customStyle="1" w:styleId="Bullet4">
    <w:name w:val="Bullet4"/>
    <w:basedOn w:val="Normal"/>
    <w:rsid w:val="002215C7"/>
    <w:pPr>
      <w:numPr>
        <w:ilvl w:val="3"/>
        <w:numId w:val="8"/>
      </w:numPr>
      <w:spacing w:after="200"/>
    </w:pPr>
  </w:style>
  <w:style w:type="paragraph" w:customStyle="1" w:styleId="ContentsCapsPlain">
    <w:name w:val="Contents CapsPlain"/>
    <w:basedOn w:val="Normal"/>
    <w:next w:val="ContentsLevel1"/>
    <w:rsid w:val="00CD1BD3"/>
    <w:pPr>
      <w:spacing w:after="200"/>
      <w:jc w:val="left"/>
    </w:pPr>
    <w:rPr>
      <w:caps/>
    </w:rPr>
  </w:style>
  <w:style w:type="paragraph" w:customStyle="1" w:styleId="ContentsCapsBold">
    <w:name w:val="Contents CapsBold"/>
    <w:basedOn w:val="ContentsCapsPlain"/>
    <w:next w:val="ContentsLevel1"/>
    <w:rsid w:val="00494C29"/>
    <w:pPr>
      <w:spacing w:after="0"/>
    </w:pPr>
    <w:rPr>
      <w:b/>
    </w:rPr>
  </w:style>
  <w:style w:type="paragraph" w:customStyle="1" w:styleId="ContentsParaHead">
    <w:name w:val="Contents ParaHead"/>
    <w:basedOn w:val="Normal"/>
    <w:next w:val="Normal"/>
    <w:rsid w:val="002215C7"/>
    <w:pPr>
      <w:spacing w:after="60"/>
      <w:jc w:val="right"/>
    </w:pPr>
    <w:rPr>
      <w:i/>
    </w:rPr>
  </w:style>
  <w:style w:type="paragraph" w:styleId="DocumentMap">
    <w:name w:val="Document Map"/>
    <w:basedOn w:val="Normal"/>
    <w:semiHidden/>
    <w:rsid w:val="002215C7"/>
    <w:pPr>
      <w:shd w:val="clear" w:color="auto" w:fill="000080"/>
    </w:pPr>
    <w:rPr>
      <w:rFonts w:ascii="Tahoma" w:hAnsi="Tahoma" w:cs="Tahoma"/>
    </w:rPr>
  </w:style>
  <w:style w:type="paragraph" w:customStyle="1" w:styleId="BCHanging0">
    <w:name w:val="BC Hanging0"/>
    <w:basedOn w:val="NoNumPlain1"/>
    <w:qFormat/>
    <w:rsid w:val="00107E9C"/>
    <w:pPr>
      <w:ind w:left="782" w:hanging="782"/>
    </w:pPr>
  </w:style>
  <w:style w:type="paragraph" w:customStyle="1" w:styleId="NoNumBC2">
    <w:name w:val="NoNum BC2"/>
    <w:basedOn w:val="NoNumPlain1"/>
    <w:rsid w:val="00A252C6"/>
    <w:pPr>
      <w:ind w:left="782"/>
    </w:pPr>
  </w:style>
  <w:style w:type="paragraph" w:customStyle="1" w:styleId="BCHanging1">
    <w:name w:val="BC Hanging1"/>
    <w:basedOn w:val="NoNumBC2"/>
    <w:rsid w:val="00107E9C"/>
    <w:pPr>
      <w:ind w:left="1564" w:hanging="782"/>
    </w:pPr>
  </w:style>
  <w:style w:type="paragraph" w:customStyle="1" w:styleId="BCHanging2">
    <w:name w:val="BC Hanging2"/>
    <w:basedOn w:val="BCHanging1"/>
    <w:rsid w:val="00107E9C"/>
    <w:pPr>
      <w:ind w:left="2347"/>
    </w:pPr>
  </w:style>
  <w:style w:type="paragraph" w:customStyle="1" w:styleId="ContentsLevel1NoIndent">
    <w:name w:val="Contents Level1 NoIndent"/>
    <w:basedOn w:val="ContentsLevel1"/>
    <w:rsid w:val="002215C7"/>
    <w:pPr>
      <w:ind w:left="0" w:firstLine="0"/>
    </w:pPr>
  </w:style>
  <w:style w:type="paragraph" w:customStyle="1" w:styleId="PlainHanging1">
    <w:name w:val="Plain Hanging1"/>
    <w:basedOn w:val="NoNumPlain2"/>
    <w:rsid w:val="00D403A1"/>
    <w:pPr>
      <w:ind w:left="1564" w:hanging="782"/>
    </w:pPr>
  </w:style>
  <w:style w:type="paragraph" w:customStyle="1" w:styleId="PlainHanging2">
    <w:name w:val="Plain Hanging2"/>
    <w:basedOn w:val="PlainHanging1"/>
    <w:rsid w:val="00D403A1"/>
    <w:pPr>
      <w:ind w:left="2347"/>
    </w:pPr>
  </w:style>
  <w:style w:type="paragraph" w:customStyle="1" w:styleId="PlainHanging3">
    <w:name w:val="Plain Hanging3"/>
    <w:basedOn w:val="PlainHanging1"/>
    <w:rsid w:val="00D403A1"/>
    <w:pPr>
      <w:ind w:left="3129"/>
    </w:pPr>
  </w:style>
  <w:style w:type="paragraph" w:customStyle="1" w:styleId="PlainHanging4">
    <w:name w:val="Plain Hanging4"/>
    <w:basedOn w:val="PlainHanging1"/>
    <w:rsid w:val="00D403A1"/>
    <w:pPr>
      <w:ind w:left="3912"/>
    </w:pPr>
  </w:style>
  <w:style w:type="paragraph" w:customStyle="1" w:styleId="BoldHanging1">
    <w:name w:val="Bold Hanging1"/>
    <w:basedOn w:val="PlainHanging1"/>
    <w:rsid w:val="002215C7"/>
    <w:rPr>
      <w:b/>
    </w:rPr>
  </w:style>
  <w:style w:type="paragraph" w:customStyle="1" w:styleId="BoldHanging2">
    <w:name w:val="Bold Hanging2"/>
    <w:basedOn w:val="PlainHanging2"/>
    <w:rsid w:val="002215C7"/>
    <w:rPr>
      <w:b/>
    </w:rPr>
  </w:style>
  <w:style w:type="paragraph" w:customStyle="1" w:styleId="BoldHanging3">
    <w:name w:val="Bold Hanging3"/>
    <w:basedOn w:val="PlainHanging3"/>
    <w:rsid w:val="002215C7"/>
    <w:rPr>
      <w:b/>
    </w:rPr>
  </w:style>
  <w:style w:type="paragraph" w:customStyle="1" w:styleId="BoldHanging4">
    <w:name w:val="Bold Hanging4"/>
    <w:basedOn w:val="PlainHanging4"/>
    <w:rsid w:val="002215C7"/>
    <w:rPr>
      <w:b/>
    </w:rPr>
  </w:style>
  <w:style w:type="paragraph" w:customStyle="1" w:styleId="NumberedList">
    <w:name w:val="NumberedList"/>
    <w:basedOn w:val="Normal"/>
    <w:qFormat/>
    <w:rsid w:val="002215C7"/>
    <w:pPr>
      <w:numPr>
        <w:numId w:val="5"/>
      </w:numPr>
      <w:spacing w:before="100" w:after="100"/>
    </w:pPr>
  </w:style>
  <w:style w:type="paragraph" w:customStyle="1" w:styleId="NumPlainA">
    <w:name w:val="Num PlainA"/>
    <w:basedOn w:val="Normal"/>
    <w:qFormat/>
    <w:rsid w:val="002215C7"/>
    <w:pPr>
      <w:numPr>
        <w:numId w:val="4"/>
      </w:numPr>
      <w:spacing w:before="100" w:after="100"/>
    </w:pPr>
  </w:style>
  <w:style w:type="paragraph" w:customStyle="1" w:styleId="NumPlainA2">
    <w:name w:val="Num PlainA2"/>
    <w:basedOn w:val="NumPlainA"/>
    <w:rsid w:val="002215C7"/>
    <w:pPr>
      <w:numPr>
        <w:ilvl w:val="1"/>
      </w:numPr>
      <w:outlineLvl w:val="1"/>
    </w:pPr>
  </w:style>
  <w:style w:type="paragraph" w:customStyle="1" w:styleId="PlainHanging0">
    <w:name w:val="Plain Hanging0"/>
    <w:basedOn w:val="PlainHanging1"/>
    <w:qFormat/>
    <w:rsid w:val="00D403A1"/>
    <w:pPr>
      <w:ind w:left="782"/>
    </w:pPr>
  </w:style>
  <w:style w:type="paragraph" w:customStyle="1" w:styleId="BoldHanging0">
    <w:name w:val="Bold Hanging0"/>
    <w:basedOn w:val="PlainHanging0"/>
    <w:qFormat/>
    <w:rsid w:val="002215C7"/>
    <w:rPr>
      <w:b/>
    </w:rPr>
  </w:style>
  <w:style w:type="paragraph" w:customStyle="1" w:styleId="BCHanging3">
    <w:name w:val="BC Hanging3"/>
    <w:basedOn w:val="BCHanging1"/>
    <w:rsid w:val="00107E9C"/>
    <w:pPr>
      <w:ind w:left="3129"/>
    </w:pPr>
  </w:style>
  <w:style w:type="paragraph" w:customStyle="1" w:styleId="BCHanging4">
    <w:name w:val="BC Hanging4"/>
    <w:basedOn w:val="BCHanging1"/>
    <w:rsid w:val="00107E9C"/>
    <w:pPr>
      <w:ind w:left="3912"/>
    </w:pPr>
  </w:style>
  <w:style w:type="paragraph" w:customStyle="1" w:styleId="NoNumBC3">
    <w:name w:val="NoNum BC3"/>
    <w:basedOn w:val="NoNumBC2"/>
    <w:rsid w:val="00A252C6"/>
    <w:pPr>
      <w:ind w:left="1565"/>
    </w:pPr>
  </w:style>
  <w:style w:type="paragraph" w:customStyle="1" w:styleId="NoNumBC4">
    <w:name w:val="NoNum BC4"/>
    <w:basedOn w:val="NoNumBC3"/>
    <w:rsid w:val="00A252C6"/>
    <w:pPr>
      <w:ind w:left="2347"/>
    </w:pPr>
  </w:style>
  <w:style w:type="paragraph" w:customStyle="1" w:styleId="NumBC1">
    <w:name w:val="Num BC1"/>
    <w:basedOn w:val="Normal"/>
    <w:qFormat/>
    <w:rsid w:val="000D5D9F"/>
    <w:pPr>
      <w:numPr>
        <w:numId w:val="20"/>
      </w:numPr>
      <w:spacing w:before="100" w:after="100"/>
    </w:pPr>
  </w:style>
  <w:style w:type="paragraph" w:customStyle="1" w:styleId="NumBC2">
    <w:name w:val="Num BC2"/>
    <w:basedOn w:val="NumBC1"/>
    <w:rsid w:val="000D5D9F"/>
    <w:pPr>
      <w:numPr>
        <w:ilvl w:val="1"/>
      </w:numPr>
    </w:pPr>
  </w:style>
  <w:style w:type="paragraph" w:customStyle="1" w:styleId="NumBC3">
    <w:name w:val="Num BC3"/>
    <w:basedOn w:val="NumBC2"/>
    <w:rsid w:val="000D5D9F"/>
    <w:pPr>
      <w:numPr>
        <w:ilvl w:val="2"/>
      </w:numPr>
    </w:pPr>
  </w:style>
  <w:style w:type="paragraph" w:customStyle="1" w:styleId="NumBC4">
    <w:name w:val="Num BC4"/>
    <w:basedOn w:val="NumBC3"/>
    <w:rsid w:val="000D5D9F"/>
    <w:pPr>
      <w:numPr>
        <w:ilvl w:val="3"/>
      </w:numPr>
    </w:pPr>
  </w:style>
  <w:style w:type="paragraph" w:customStyle="1" w:styleId="AusPlain2">
    <w:name w:val="Aus Plain2"/>
    <w:basedOn w:val="PlainHanging2"/>
    <w:rsid w:val="00F77734"/>
    <w:pPr>
      <w:numPr>
        <w:ilvl w:val="1"/>
        <w:numId w:val="6"/>
      </w:numPr>
      <w:outlineLvl w:val="1"/>
    </w:pPr>
  </w:style>
  <w:style w:type="paragraph" w:customStyle="1" w:styleId="AusBold2">
    <w:name w:val="Aus Bold2"/>
    <w:basedOn w:val="AusPlain2"/>
    <w:rsid w:val="00F56527"/>
    <w:rPr>
      <w:b/>
    </w:rPr>
  </w:style>
  <w:style w:type="paragraph" w:customStyle="1" w:styleId="AusPlain3">
    <w:name w:val="Aus Plain3"/>
    <w:basedOn w:val="PlainHanging3"/>
    <w:rsid w:val="00F77734"/>
    <w:pPr>
      <w:numPr>
        <w:ilvl w:val="2"/>
        <w:numId w:val="6"/>
      </w:numPr>
      <w:outlineLvl w:val="2"/>
    </w:pPr>
  </w:style>
  <w:style w:type="paragraph" w:customStyle="1" w:styleId="AusBold3">
    <w:name w:val="Aus Bold3"/>
    <w:basedOn w:val="AusPlain3"/>
    <w:rsid w:val="00F56527"/>
    <w:rPr>
      <w:b/>
    </w:rPr>
  </w:style>
  <w:style w:type="paragraph" w:customStyle="1" w:styleId="RDRPlain1">
    <w:name w:val="RDR Plain1"/>
    <w:basedOn w:val="AusPlain1"/>
    <w:rsid w:val="002B229A"/>
    <w:pPr>
      <w:numPr>
        <w:numId w:val="9"/>
      </w:numPr>
    </w:pPr>
  </w:style>
  <w:style w:type="paragraph" w:customStyle="1" w:styleId="RDRPlain2">
    <w:name w:val="RDR Plain2"/>
    <w:basedOn w:val="AusPlain2"/>
    <w:rsid w:val="002B229A"/>
    <w:pPr>
      <w:numPr>
        <w:numId w:val="9"/>
      </w:numPr>
    </w:pPr>
  </w:style>
  <w:style w:type="paragraph" w:customStyle="1" w:styleId="RDRPlain3">
    <w:name w:val="RDR Plain3"/>
    <w:basedOn w:val="AusPlain3"/>
    <w:rsid w:val="002B229A"/>
    <w:pPr>
      <w:numPr>
        <w:numId w:val="9"/>
      </w:numPr>
    </w:pPr>
  </w:style>
  <w:style w:type="paragraph" w:customStyle="1" w:styleId="RDRBold1">
    <w:name w:val="RDR Bold1"/>
    <w:basedOn w:val="RDRPlain1"/>
    <w:rsid w:val="002B229A"/>
    <w:rPr>
      <w:b/>
    </w:rPr>
  </w:style>
  <w:style w:type="paragraph" w:customStyle="1" w:styleId="RDRBold2">
    <w:name w:val="RDR Bold2"/>
    <w:basedOn w:val="RDRPlain2"/>
    <w:rsid w:val="002B229A"/>
    <w:rPr>
      <w:b/>
    </w:rPr>
  </w:style>
  <w:style w:type="paragraph" w:customStyle="1" w:styleId="RDRBold3">
    <w:name w:val="RDR Bold3"/>
    <w:basedOn w:val="RDRPlain3"/>
    <w:rsid w:val="002B229A"/>
    <w:rPr>
      <w:b/>
    </w:rPr>
  </w:style>
  <w:style w:type="paragraph" w:customStyle="1" w:styleId="AppendixText">
    <w:name w:val="AppendixText"/>
    <w:basedOn w:val="Normal"/>
    <w:rsid w:val="002215C7"/>
    <w:pPr>
      <w:spacing w:before="100" w:after="100"/>
    </w:pPr>
  </w:style>
  <w:style w:type="table" w:styleId="TableGrid">
    <w:name w:val="Table Grid"/>
    <w:basedOn w:val="TableNormal"/>
    <w:rsid w:val="0022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No">
    <w:name w:val="AppendixNo"/>
    <w:basedOn w:val="Normal"/>
    <w:next w:val="Normal"/>
    <w:rsid w:val="002215C7"/>
    <w:pPr>
      <w:keepNext/>
      <w:spacing w:after="200"/>
      <w:jc w:val="left"/>
      <w:outlineLvl w:val="0"/>
    </w:pPr>
    <w:rPr>
      <w:rFonts w:ascii="Arial" w:hAnsi="Arial"/>
      <w:b/>
      <w:sz w:val="26"/>
      <w:szCs w:val="28"/>
    </w:rPr>
  </w:style>
  <w:style w:type="paragraph" w:customStyle="1" w:styleId="AppendixNote">
    <w:name w:val="AppendixNote"/>
    <w:basedOn w:val="Normal"/>
    <w:next w:val="Normal"/>
    <w:rsid w:val="002215C7"/>
    <w:pPr>
      <w:spacing w:after="200"/>
    </w:pPr>
    <w:rPr>
      <w:i/>
      <w:iCs/>
    </w:rPr>
  </w:style>
  <w:style w:type="paragraph" w:customStyle="1" w:styleId="AppendixTitle">
    <w:name w:val="AppendixTitle"/>
    <w:basedOn w:val="Normal"/>
    <w:next w:val="AppendixNote"/>
    <w:rsid w:val="002215C7"/>
    <w:pPr>
      <w:keepNext/>
      <w:spacing w:after="200"/>
      <w:jc w:val="left"/>
      <w:outlineLvl w:val="0"/>
    </w:pPr>
    <w:rPr>
      <w:rFonts w:ascii="Arial" w:hAnsi="Arial"/>
      <w:b/>
      <w:sz w:val="26"/>
      <w:szCs w:val="28"/>
    </w:rPr>
  </w:style>
  <w:style w:type="numbering" w:customStyle="1" w:styleId="Bullets">
    <w:name w:val="Bullets"/>
    <w:uiPriority w:val="99"/>
    <w:rsid w:val="002215C7"/>
    <w:pPr>
      <w:numPr>
        <w:numId w:val="1"/>
      </w:numPr>
    </w:pPr>
  </w:style>
  <w:style w:type="character" w:styleId="Hyperlink">
    <w:name w:val="Hyperlink"/>
    <w:basedOn w:val="DefaultParagraphFont"/>
    <w:rsid w:val="002215C7"/>
    <w:rPr>
      <w:color w:val="0000FF"/>
      <w:u w:val="single"/>
    </w:rPr>
  </w:style>
  <w:style w:type="character" w:customStyle="1" w:styleId="NumPlain1Char">
    <w:name w:val="Num Plain1 Char"/>
    <w:basedOn w:val="DefaultParagraphFont"/>
    <w:link w:val="NumPlain1"/>
    <w:rsid w:val="00F77734"/>
    <w:rPr>
      <w:sz w:val="19"/>
      <w:lang w:eastAsia="en-US"/>
    </w:rPr>
  </w:style>
  <w:style w:type="paragraph" w:styleId="TOC1">
    <w:name w:val="toc 1"/>
    <w:basedOn w:val="Normal"/>
    <w:next w:val="Normal"/>
    <w:autoRedefine/>
    <w:rsid w:val="002215C7"/>
  </w:style>
  <w:style w:type="paragraph" w:customStyle="1" w:styleId="ContentsLevel1NoCaps">
    <w:name w:val="Contents Level1 NoCaps"/>
    <w:basedOn w:val="ContentsLevel1"/>
    <w:qFormat/>
    <w:rsid w:val="00CD1BD3"/>
    <w:rPr>
      <w:caps w:val="0"/>
    </w:rPr>
  </w:style>
  <w:style w:type="paragraph" w:customStyle="1" w:styleId="Heading2NoBorder">
    <w:name w:val="Heading 2 NoBorder"/>
    <w:basedOn w:val="Heading2"/>
    <w:qFormat/>
    <w:rsid w:val="00D21576"/>
    <w:pPr>
      <w:pBdr>
        <w:bottom w:val="none" w:sz="0" w:space="0" w:color="auto"/>
      </w:pBdr>
      <w:spacing w:before="300"/>
    </w:pPr>
  </w:style>
  <w:style w:type="numbering" w:customStyle="1" w:styleId="NumPlainParas">
    <w:name w:val="NumPlainParas"/>
    <w:uiPriority w:val="99"/>
    <w:rsid w:val="006B65E3"/>
    <w:pPr>
      <w:numPr>
        <w:numId w:val="3"/>
      </w:numPr>
    </w:pPr>
  </w:style>
  <w:style w:type="numbering" w:customStyle="1" w:styleId="NumPlainAlpha">
    <w:name w:val="NumPlainAlpha"/>
    <w:uiPriority w:val="99"/>
    <w:rsid w:val="006B65E3"/>
    <w:pPr>
      <w:numPr>
        <w:numId w:val="4"/>
      </w:numPr>
    </w:pPr>
  </w:style>
  <w:style w:type="numbering" w:customStyle="1" w:styleId="NumbersOnly">
    <w:name w:val="NumbersOnly"/>
    <w:uiPriority w:val="99"/>
    <w:rsid w:val="006B65E3"/>
    <w:pPr>
      <w:numPr>
        <w:numId w:val="5"/>
      </w:numPr>
    </w:pPr>
  </w:style>
  <w:style w:type="numbering" w:customStyle="1" w:styleId="AusParas">
    <w:name w:val="AusParas"/>
    <w:uiPriority w:val="99"/>
    <w:rsid w:val="00887462"/>
    <w:pPr>
      <w:numPr>
        <w:numId w:val="6"/>
      </w:numPr>
    </w:pPr>
  </w:style>
  <w:style w:type="numbering" w:customStyle="1" w:styleId="BCNumParas">
    <w:name w:val="BCNumParas"/>
    <w:uiPriority w:val="99"/>
    <w:rsid w:val="000D5D9F"/>
    <w:pPr>
      <w:numPr>
        <w:numId w:val="7"/>
      </w:numPr>
    </w:pPr>
  </w:style>
  <w:style w:type="numbering" w:customStyle="1" w:styleId="BulletParas">
    <w:name w:val="BulletParas"/>
    <w:uiPriority w:val="99"/>
    <w:rsid w:val="00107E9C"/>
    <w:pPr>
      <w:numPr>
        <w:numId w:val="8"/>
      </w:numPr>
    </w:pPr>
  </w:style>
  <w:style w:type="numbering" w:customStyle="1" w:styleId="RDRParas">
    <w:name w:val="RDRParas"/>
    <w:uiPriority w:val="99"/>
    <w:rsid w:val="00A252C6"/>
    <w:pPr>
      <w:numPr>
        <w:numId w:val="9"/>
      </w:numPr>
    </w:pPr>
  </w:style>
  <w:style w:type="paragraph" w:customStyle="1" w:styleId="NumAppB1">
    <w:name w:val="Num AppB1"/>
    <w:basedOn w:val="Normal"/>
    <w:qFormat/>
    <w:rsid w:val="00FF3078"/>
    <w:pPr>
      <w:numPr>
        <w:numId w:val="11"/>
      </w:numPr>
      <w:spacing w:before="100" w:after="100"/>
    </w:pPr>
  </w:style>
  <w:style w:type="paragraph" w:customStyle="1" w:styleId="NumAppB2">
    <w:name w:val="Num AppB2"/>
    <w:basedOn w:val="NumAppB1"/>
    <w:qFormat/>
    <w:rsid w:val="00B17E17"/>
    <w:pPr>
      <w:numPr>
        <w:ilvl w:val="1"/>
      </w:numPr>
    </w:pPr>
  </w:style>
  <w:style w:type="paragraph" w:customStyle="1" w:styleId="NumAppB3">
    <w:name w:val="Num AppB3"/>
    <w:basedOn w:val="NumAppB2"/>
    <w:qFormat/>
    <w:rsid w:val="00B17E17"/>
    <w:pPr>
      <w:numPr>
        <w:ilvl w:val="2"/>
      </w:numPr>
    </w:pPr>
  </w:style>
  <w:style w:type="paragraph" w:customStyle="1" w:styleId="NumAppB4">
    <w:name w:val="Num AppB4"/>
    <w:basedOn w:val="NumAppB3"/>
    <w:qFormat/>
    <w:rsid w:val="00B17E17"/>
    <w:pPr>
      <w:numPr>
        <w:ilvl w:val="3"/>
      </w:numPr>
    </w:pPr>
  </w:style>
  <w:style w:type="numbering" w:customStyle="1" w:styleId="AppBNumbering">
    <w:name w:val="AppB Numbering"/>
    <w:uiPriority w:val="99"/>
    <w:rsid w:val="00B17E17"/>
    <w:pPr>
      <w:numPr>
        <w:numId w:val="10"/>
      </w:numPr>
    </w:pPr>
  </w:style>
  <w:style w:type="paragraph" w:customStyle="1" w:styleId="NumAppC1">
    <w:name w:val="Num AppC1"/>
    <w:basedOn w:val="Normal"/>
    <w:qFormat/>
    <w:rsid w:val="00B17E17"/>
    <w:pPr>
      <w:numPr>
        <w:numId w:val="12"/>
      </w:numPr>
      <w:spacing w:before="100" w:after="100"/>
    </w:pPr>
  </w:style>
  <w:style w:type="paragraph" w:customStyle="1" w:styleId="NumAppC2">
    <w:name w:val="Num AppC2"/>
    <w:basedOn w:val="NumAppC1"/>
    <w:qFormat/>
    <w:rsid w:val="00B17E17"/>
    <w:pPr>
      <w:numPr>
        <w:ilvl w:val="1"/>
      </w:numPr>
    </w:pPr>
  </w:style>
  <w:style w:type="paragraph" w:customStyle="1" w:styleId="NumAppC3">
    <w:name w:val="Num AppC3"/>
    <w:basedOn w:val="NumAppC2"/>
    <w:qFormat/>
    <w:rsid w:val="00B17E17"/>
    <w:pPr>
      <w:numPr>
        <w:ilvl w:val="2"/>
      </w:numPr>
    </w:pPr>
  </w:style>
  <w:style w:type="paragraph" w:customStyle="1" w:styleId="NumAppC4">
    <w:name w:val="Num AppC4"/>
    <w:basedOn w:val="NumAppC3"/>
    <w:qFormat/>
    <w:rsid w:val="00B17E17"/>
    <w:pPr>
      <w:numPr>
        <w:ilvl w:val="3"/>
      </w:numPr>
    </w:pPr>
  </w:style>
  <w:style w:type="numbering" w:customStyle="1" w:styleId="AppCNumbering">
    <w:name w:val="AppC Numbering"/>
    <w:uiPriority w:val="99"/>
    <w:rsid w:val="00B17E17"/>
    <w:pPr>
      <w:numPr>
        <w:numId w:val="12"/>
      </w:numPr>
    </w:pPr>
  </w:style>
  <w:style w:type="paragraph" w:customStyle="1" w:styleId="IASBTableArial">
    <w:name w:val="IASB Table Arial"/>
    <w:basedOn w:val="Normal"/>
    <w:qFormat/>
    <w:rsid w:val="006B201E"/>
    <w:pPr>
      <w:spacing w:before="120"/>
      <w:jc w:val="left"/>
    </w:pPr>
    <w:rPr>
      <w:rFonts w:ascii="Arial" w:hAnsi="Arial"/>
      <w:sz w:val="18"/>
    </w:rPr>
  </w:style>
  <w:style w:type="paragraph" w:customStyle="1" w:styleId="NumAppE1">
    <w:name w:val="Num AppE1"/>
    <w:basedOn w:val="Normal"/>
    <w:qFormat/>
    <w:rsid w:val="002022C1"/>
    <w:pPr>
      <w:numPr>
        <w:numId w:val="13"/>
      </w:numPr>
      <w:spacing w:before="100" w:after="100"/>
    </w:pPr>
  </w:style>
  <w:style w:type="paragraph" w:customStyle="1" w:styleId="NumAppE2">
    <w:name w:val="Num AppE2"/>
    <w:basedOn w:val="NumAppE1"/>
    <w:qFormat/>
    <w:rsid w:val="002022C1"/>
    <w:pPr>
      <w:numPr>
        <w:ilvl w:val="1"/>
      </w:numPr>
    </w:pPr>
  </w:style>
  <w:style w:type="paragraph" w:customStyle="1" w:styleId="NumAppE3">
    <w:name w:val="Num AppE3"/>
    <w:basedOn w:val="NumAppE2"/>
    <w:qFormat/>
    <w:rsid w:val="002022C1"/>
    <w:pPr>
      <w:numPr>
        <w:ilvl w:val="2"/>
      </w:numPr>
    </w:pPr>
  </w:style>
  <w:style w:type="paragraph" w:customStyle="1" w:styleId="NumAppE4">
    <w:name w:val="Num AppE4"/>
    <w:basedOn w:val="NumAppE3"/>
    <w:qFormat/>
    <w:rsid w:val="002022C1"/>
    <w:pPr>
      <w:numPr>
        <w:ilvl w:val="3"/>
      </w:numPr>
    </w:pPr>
  </w:style>
  <w:style w:type="numbering" w:customStyle="1" w:styleId="AppENumbering">
    <w:name w:val="AppE Numbering"/>
    <w:uiPriority w:val="99"/>
    <w:rsid w:val="002022C1"/>
    <w:pPr>
      <w:numPr>
        <w:numId w:val="13"/>
      </w:numPr>
    </w:pPr>
  </w:style>
  <w:style w:type="numbering" w:customStyle="1" w:styleId="BCNumbers">
    <w:name w:val="BC Numbers"/>
    <w:uiPriority w:val="99"/>
    <w:rsid w:val="000D5D9F"/>
    <w:pPr>
      <w:numPr>
        <w:numId w:val="14"/>
      </w:numPr>
    </w:pPr>
  </w:style>
  <w:style w:type="paragraph" w:customStyle="1" w:styleId="ConvSectionTitle">
    <w:name w:val="Conv Section Title"/>
    <w:basedOn w:val="Normal"/>
    <w:uiPriority w:val="9"/>
    <w:qFormat/>
    <w:rsid w:val="0072638F"/>
    <w:pPr>
      <w:keepNext/>
      <w:keepLines/>
      <w:spacing w:before="400" w:after="200"/>
      <w:jc w:val="left"/>
      <w:outlineLvl w:val="0"/>
    </w:pPr>
    <w:rPr>
      <w:rFonts w:ascii="Arial" w:hAnsi="Arial" w:cs="Arial"/>
      <w:b/>
      <w:sz w:val="26"/>
    </w:rPr>
  </w:style>
  <w:style w:type="paragraph" w:customStyle="1" w:styleId="AASBBase">
    <w:name w:val="AASB Base"/>
    <w:qFormat/>
    <w:rsid w:val="0072638F"/>
    <w:pPr>
      <w:jc w:val="both"/>
    </w:pPr>
    <w:rPr>
      <w:sz w:val="19"/>
      <w:lang w:eastAsia="en-US"/>
    </w:rPr>
  </w:style>
  <w:style w:type="paragraph" w:customStyle="1" w:styleId="AASBPara">
    <w:name w:val="AASB Para"/>
    <w:basedOn w:val="AASBBase"/>
    <w:qFormat/>
    <w:rsid w:val="0072638F"/>
    <w:pPr>
      <w:spacing w:after="200"/>
    </w:pPr>
  </w:style>
  <w:style w:type="character" w:customStyle="1" w:styleId="NoNumPlain1Char">
    <w:name w:val="NoNum Plain1 Char"/>
    <w:link w:val="NoNumPlain1"/>
    <w:locked/>
    <w:rsid w:val="00AA1B50"/>
    <w:rPr>
      <w:sz w:val="19"/>
      <w:lang w:eastAsia="en-US"/>
    </w:rPr>
  </w:style>
  <w:style w:type="paragraph" w:customStyle="1" w:styleId="IASBSectionTitle3Ind">
    <w:name w:val="IASB Section Title 3 Ind"/>
    <w:basedOn w:val="Normal"/>
    <w:link w:val="IASBSectionTitle3IndChar"/>
    <w:uiPriority w:val="8"/>
    <w:rsid w:val="00AA1B50"/>
    <w:pPr>
      <w:keepNext/>
      <w:keepLines/>
      <w:spacing w:before="240" w:after="200"/>
      <w:ind w:left="782"/>
      <w:jc w:val="left"/>
      <w:outlineLvl w:val="2"/>
    </w:pPr>
    <w:rPr>
      <w:rFonts w:ascii="Arial" w:hAnsi="Arial" w:cs="Arial"/>
      <w:b/>
      <w:sz w:val="22"/>
    </w:rPr>
  </w:style>
  <w:style w:type="paragraph" w:customStyle="1" w:styleId="IASBSectionTitle1NonInd">
    <w:name w:val="IASB Section Title 1 NonInd"/>
    <w:basedOn w:val="Normal"/>
    <w:uiPriority w:val="8"/>
    <w:rsid w:val="00AA1B50"/>
    <w:pPr>
      <w:keepNext/>
      <w:keepLines/>
      <w:pBdr>
        <w:bottom w:val="single" w:sz="4" w:space="0" w:color="auto"/>
      </w:pBdr>
      <w:spacing w:before="400" w:after="200"/>
      <w:jc w:val="left"/>
      <w:outlineLvl w:val="0"/>
    </w:pPr>
    <w:rPr>
      <w:rFonts w:ascii="Arial" w:hAnsi="Arial" w:cs="Arial"/>
      <w:b/>
      <w:sz w:val="26"/>
    </w:rPr>
  </w:style>
  <w:style w:type="character" w:customStyle="1" w:styleId="IASBSectionTitle3IndChar">
    <w:name w:val="IASB Section Title 3 Ind Char"/>
    <w:basedOn w:val="DefaultParagraphFont"/>
    <w:link w:val="IASBSectionTitle3Ind"/>
    <w:uiPriority w:val="8"/>
    <w:rsid w:val="00AA1B50"/>
    <w:rPr>
      <w:rFonts w:ascii="Arial" w:hAnsi="Arial" w:cs="Arial"/>
      <w:b/>
      <w:sz w:val="22"/>
      <w:lang w:eastAsia="en-US"/>
    </w:rPr>
  </w:style>
  <w:style w:type="paragraph" w:customStyle="1" w:styleId="IASBSectionTitle2Ind">
    <w:name w:val="IASB Section Title 2 Ind"/>
    <w:basedOn w:val="Normal"/>
    <w:uiPriority w:val="8"/>
    <w:rsid w:val="00AA1B50"/>
    <w:pPr>
      <w:keepNext/>
      <w:keepLines/>
      <w:spacing w:before="240" w:after="200"/>
      <w:ind w:left="782"/>
      <w:jc w:val="left"/>
      <w:outlineLvl w:val="1"/>
    </w:pPr>
    <w:rPr>
      <w:rFonts w:ascii="Arial" w:hAnsi="Arial" w:cs="Arial"/>
      <w:b/>
      <w:sz w:val="26"/>
    </w:rPr>
  </w:style>
  <w:style w:type="character" w:styleId="CommentReference">
    <w:name w:val="annotation reference"/>
    <w:basedOn w:val="DefaultParagraphFont"/>
    <w:semiHidden/>
    <w:unhideWhenUsed/>
    <w:rsid w:val="00AA1B50"/>
    <w:rPr>
      <w:sz w:val="16"/>
      <w:szCs w:val="16"/>
    </w:rPr>
  </w:style>
  <w:style w:type="paragraph" w:styleId="CommentText">
    <w:name w:val="annotation text"/>
    <w:basedOn w:val="Normal"/>
    <w:link w:val="CommentTextChar"/>
    <w:unhideWhenUsed/>
    <w:rsid w:val="00AA1B50"/>
    <w:rPr>
      <w:sz w:val="20"/>
    </w:rPr>
  </w:style>
  <w:style w:type="character" w:customStyle="1" w:styleId="CommentTextChar">
    <w:name w:val="Comment Text Char"/>
    <w:basedOn w:val="DefaultParagraphFont"/>
    <w:link w:val="CommentText"/>
    <w:rsid w:val="00AA1B50"/>
    <w:rPr>
      <w:lang w:eastAsia="en-US"/>
    </w:rPr>
  </w:style>
  <w:style w:type="paragraph" w:customStyle="1" w:styleId="IASBSectionTitle2NonInd">
    <w:name w:val="IASB Section Title 2 NonInd"/>
    <w:basedOn w:val="Normal"/>
    <w:link w:val="IASBSectionTitle2NonIndChar"/>
    <w:uiPriority w:val="8"/>
    <w:rsid w:val="0028449C"/>
    <w:pPr>
      <w:keepNext/>
      <w:keepLines/>
      <w:spacing w:before="300" w:after="200"/>
      <w:jc w:val="left"/>
      <w:outlineLvl w:val="1"/>
    </w:pPr>
    <w:rPr>
      <w:rFonts w:ascii="Arial" w:hAnsi="Arial" w:cs="Arial"/>
      <w:b/>
      <w:sz w:val="26"/>
    </w:rPr>
  </w:style>
  <w:style w:type="character" w:customStyle="1" w:styleId="IASBSectionTitle2NonIndChar">
    <w:name w:val="IASB Section Title 2 NonInd Char"/>
    <w:basedOn w:val="DefaultParagraphFont"/>
    <w:link w:val="IASBSectionTitle2NonInd"/>
    <w:uiPriority w:val="8"/>
    <w:rsid w:val="0028449C"/>
    <w:rPr>
      <w:rFonts w:ascii="Arial" w:hAnsi="Arial" w:cs="Arial"/>
      <w:b/>
      <w:sz w:val="26"/>
      <w:lang w:eastAsia="en-US"/>
    </w:rPr>
  </w:style>
  <w:style w:type="character" w:styleId="FootnoteReference">
    <w:name w:val="footnote reference"/>
    <w:basedOn w:val="DefaultParagraphFont"/>
    <w:rsid w:val="0033479F"/>
    <w:rPr>
      <w:vertAlign w:val="superscript"/>
    </w:rPr>
  </w:style>
  <w:style w:type="paragraph" w:customStyle="1" w:styleId="ConvStandardTitle1">
    <w:name w:val="Conv Standard Title 1"/>
    <w:basedOn w:val="Normal"/>
    <w:next w:val="Normal"/>
    <w:uiPriority w:val="9"/>
    <w:qFormat/>
    <w:rsid w:val="0033479F"/>
    <w:pPr>
      <w:spacing w:before="300"/>
      <w:jc w:val="left"/>
    </w:pPr>
    <w:rPr>
      <w:rFonts w:ascii="Arial" w:hAnsi="Arial"/>
      <w:b/>
      <w:sz w:val="26"/>
      <w:szCs w:val="24"/>
    </w:rPr>
  </w:style>
  <w:style w:type="paragraph" w:customStyle="1" w:styleId="IASBNormalnpara">
    <w:name w:val="IASB Normal npara"/>
    <w:basedOn w:val="Normal"/>
    <w:uiPriority w:val="8"/>
    <w:rsid w:val="0033479F"/>
    <w:pPr>
      <w:spacing w:before="100"/>
      <w:ind w:left="782" w:hanging="782"/>
    </w:pPr>
  </w:style>
  <w:style w:type="paragraph" w:customStyle="1" w:styleId="IASBNormalL1P">
    <w:name w:val="IASB Normal L1P"/>
    <w:basedOn w:val="Normal"/>
    <w:uiPriority w:val="8"/>
    <w:qFormat/>
    <w:rsid w:val="0033479F"/>
    <w:pPr>
      <w:spacing w:before="100"/>
      <w:ind w:left="782"/>
    </w:pPr>
  </w:style>
  <w:style w:type="paragraph" w:customStyle="1" w:styleId="IASBNormalnparaL1">
    <w:name w:val="IASB Normal nparaL1"/>
    <w:basedOn w:val="IASBNormalnpara"/>
    <w:uiPriority w:val="8"/>
    <w:rsid w:val="0033479F"/>
    <w:pPr>
      <w:ind w:left="1564"/>
    </w:pPr>
  </w:style>
  <w:style w:type="paragraph" w:customStyle="1" w:styleId="IASBTableBoldTNR">
    <w:name w:val="IASB Table Bold TNR"/>
    <w:basedOn w:val="Normal"/>
    <w:uiPriority w:val="8"/>
    <w:qFormat/>
    <w:rsid w:val="0033479F"/>
    <w:pPr>
      <w:spacing w:before="120"/>
      <w:jc w:val="left"/>
    </w:pPr>
    <w:rPr>
      <w:b/>
      <w:lang w:eastAsia="en-GB"/>
    </w:rPr>
  </w:style>
  <w:style w:type="paragraph" w:customStyle="1" w:styleId="Default">
    <w:name w:val="Default"/>
    <w:rsid w:val="0033479F"/>
    <w:pPr>
      <w:autoSpaceDE w:val="0"/>
      <w:autoSpaceDN w:val="0"/>
      <w:adjustRightInd w:val="0"/>
    </w:pPr>
    <w:rPr>
      <w:rFonts w:eastAsiaTheme="minorHAnsi"/>
      <w:color w:val="000000"/>
      <w:sz w:val="24"/>
      <w:szCs w:val="24"/>
      <w:lang w:eastAsia="en-US"/>
    </w:rPr>
  </w:style>
  <w:style w:type="paragraph" w:styleId="Revision">
    <w:name w:val="Revision"/>
    <w:hidden/>
    <w:uiPriority w:val="99"/>
    <w:semiHidden/>
    <w:rsid w:val="0041765D"/>
    <w:rPr>
      <w:sz w:val="19"/>
      <w:lang w:eastAsia="en-US"/>
    </w:rPr>
  </w:style>
  <w:style w:type="paragraph" w:styleId="CommentSubject">
    <w:name w:val="annotation subject"/>
    <w:basedOn w:val="CommentText"/>
    <w:next w:val="CommentText"/>
    <w:link w:val="CommentSubjectChar"/>
    <w:semiHidden/>
    <w:unhideWhenUsed/>
    <w:rsid w:val="004C2A72"/>
    <w:rPr>
      <w:b/>
      <w:bCs/>
    </w:rPr>
  </w:style>
  <w:style w:type="character" w:customStyle="1" w:styleId="CommentSubjectChar">
    <w:name w:val="Comment Subject Char"/>
    <w:basedOn w:val="CommentTextChar"/>
    <w:link w:val="CommentSubject"/>
    <w:semiHidden/>
    <w:rsid w:val="004C2A72"/>
    <w:rPr>
      <w:b/>
      <w:bCs/>
      <w:lang w:eastAsia="en-US"/>
    </w:rPr>
  </w:style>
  <w:style w:type="character" w:customStyle="1" w:styleId="HeaderChar">
    <w:name w:val="Header Char"/>
    <w:basedOn w:val="DefaultParagraphFont"/>
    <w:link w:val="Header"/>
    <w:rsid w:val="007A6DBE"/>
    <w:rPr>
      <w:sz w:val="19"/>
      <w:lang w:eastAsia="en-US"/>
    </w:rPr>
  </w:style>
  <w:style w:type="character" w:styleId="PlaceholderText">
    <w:name w:val="Placeholder Text"/>
    <w:basedOn w:val="DefaultParagraphFont"/>
    <w:uiPriority w:val="99"/>
    <w:semiHidden/>
    <w:rsid w:val="00315095"/>
    <w:rPr>
      <w:color w:val="666666"/>
    </w:rPr>
  </w:style>
  <w:style w:type="paragraph" w:customStyle="1" w:styleId="BodyNum">
    <w:name w:val="BodyNum"/>
    <w:aliases w:val="b1"/>
    <w:basedOn w:val="Normal"/>
    <w:rsid w:val="00546628"/>
    <w:pPr>
      <w:numPr>
        <w:numId w:val="25"/>
      </w:numPr>
      <w:spacing w:before="240"/>
      <w:jc w:val="left"/>
    </w:pPr>
    <w:rPr>
      <w:sz w:val="24"/>
      <w:lang w:eastAsia="en-AU"/>
    </w:rPr>
  </w:style>
  <w:style w:type="paragraph" w:customStyle="1" w:styleId="BodyPara">
    <w:name w:val="BodyPara"/>
    <w:aliases w:val="ba"/>
    <w:basedOn w:val="Normal"/>
    <w:rsid w:val="00546628"/>
    <w:pPr>
      <w:numPr>
        <w:ilvl w:val="1"/>
        <w:numId w:val="25"/>
      </w:numPr>
      <w:spacing w:before="240"/>
      <w:jc w:val="left"/>
    </w:pPr>
    <w:rPr>
      <w:sz w:val="24"/>
      <w:lang w:eastAsia="en-AU"/>
    </w:rPr>
  </w:style>
  <w:style w:type="paragraph" w:customStyle="1" w:styleId="BodyParaBullet">
    <w:name w:val="BodyParaBullet"/>
    <w:aliases w:val="bpb"/>
    <w:basedOn w:val="Normal"/>
    <w:rsid w:val="00546628"/>
    <w:pPr>
      <w:numPr>
        <w:ilvl w:val="2"/>
        <w:numId w:val="25"/>
      </w:numPr>
      <w:tabs>
        <w:tab w:val="left" w:pos="2160"/>
      </w:tabs>
      <w:spacing w:before="240"/>
      <w:jc w:val="left"/>
    </w:pPr>
    <w:rPr>
      <w:sz w:val="24"/>
      <w:lang w:eastAsia="en-AU"/>
    </w:rPr>
  </w:style>
  <w:style w:type="paragraph" w:customStyle="1" w:styleId="BodySubPara">
    <w:name w:val="BodySubPara"/>
    <w:aliases w:val="bi"/>
    <w:basedOn w:val="Normal"/>
    <w:rsid w:val="00546628"/>
    <w:pPr>
      <w:numPr>
        <w:ilvl w:val="3"/>
        <w:numId w:val="25"/>
      </w:numPr>
      <w:tabs>
        <w:tab w:val="clear" w:pos="4123"/>
        <w:tab w:val="num" w:pos="2160"/>
      </w:tabs>
      <w:spacing w:before="240"/>
      <w:ind w:left="2160"/>
      <w:jc w:val="left"/>
    </w:pPr>
    <w:rPr>
      <w:sz w:val="24"/>
      <w:lang w:eastAsia="en-AU"/>
    </w:rPr>
  </w:style>
  <w:style w:type="numbering" w:customStyle="1" w:styleId="OPCBodyList">
    <w:name w:val="OPCBodyList"/>
    <w:uiPriority w:val="99"/>
    <w:rsid w:val="00546628"/>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stis\AUSTRALIAN%20ACCOUNTING%20STANDARDS%20-%20AUDITING%20AND%20ASSURANCE%20STANDARDS%20BOARD\OfficeTemplates%20-%20Documents\Templates\AASBIFRS_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2" ma:contentTypeDescription="Create a new document." ma:contentTypeScope="" ma:versionID="1af8892b87a24bd1894bfe8ab8be90cd">
  <xsd:schema xmlns:xsd="http://www.w3.org/2001/XMLSchema" xmlns:xs="http://www.w3.org/2001/XMLSchema" xmlns:p="http://schemas.microsoft.com/office/2006/metadata/properties" xmlns:ns2="4e2d1ddd-4ff2-4144-ad72-d941cc701c35" targetNamespace="http://schemas.microsoft.com/office/2006/metadata/properties" ma:root="true" ma:fieldsID="2885e049d223e860e3d7cee3cf39b381" ns2:_="">
    <xsd:import namespace="4e2d1ddd-4ff2-4144-ad72-d941cc701c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105AD-5A83-41DB-9FF0-68F6FCD756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e2d1ddd-4ff2-4144-ad72-d941cc701c35"/>
    <ds:schemaRef ds:uri="http://www.w3.org/XML/1998/namespace"/>
    <ds:schemaRef ds:uri="http://purl.org/dc/dcmitype/"/>
  </ds:schemaRefs>
</ds:datastoreItem>
</file>

<file path=customXml/itemProps2.xml><?xml version="1.0" encoding="utf-8"?>
<ds:datastoreItem xmlns:ds="http://schemas.openxmlformats.org/officeDocument/2006/customXml" ds:itemID="{EA05DD34-BC45-4D66-99B8-386471058FBB}">
  <ds:schemaRefs>
    <ds:schemaRef ds:uri="http://schemas.microsoft.com/sharepoint/v3/contenttype/forms"/>
  </ds:schemaRefs>
</ds:datastoreItem>
</file>

<file path=customXml/itemProps3.xml><?xml version="1.0" encoding="utf-8"?>
<ds:datastoreItem xmlns:ds="http://schemas.openxmlformats.org/officeDocument/2006/customXml" ds:itemID="{F7DE9995-97B0-4558-8321-22FE9DBEB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78539-C0F8-40F5-AD1B-2D68F52B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AASBIFRS_A4.dotx</Template>
  <TotalTime>2</TotalTime>
  <Pages>12</Pages>
  <Words>3558</Words>
  <Characters>21102</Characters>
  <Application>Microsoft Office Word</Application>
  <DocSecurity>0</DocSecurity>
  <Lines>680</Lines>
  <Paragraphs>493</Paragraphs>
  <ScaleCrop>false</ScaleCrop>
  <HeadingPairs>
    <vt:vector size="2" baseType="variant">
      <vt:variant>
        <vt:lpstr>Title</vt:lpstr>
      </vt:variant>
      <vt:variant>
        <vt:i4>1</vt:i4>
      </vt:variant>
    </vt:vector>
  </HeadingPairs>
  <TitlesOfParts>
    <vt:vector size="1" baseType="lpstr">
      <vt:lpstr>AASB1048_11-24</vt:lpstr>
    </vt:vector>
  </TitlesOfParts>
  <Company>Australian Accounting Standards Board</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AASB1048_11-24</dc:title>
  <dc:subject/>
  <dc:creator>.</dc:creator>
  <cp:keywords/>
  <dc:description/>
  <cp:lastModifiedBy>Leriche, Marsy</cp:lastModifiedBy>
  <cp:revision>3</cp:revision>
  <cp:lastPrinted>2024-10-24T05:00:00Z</cp:lastPrinted>
  <dcterms:created xsi:type="dcterms:W3CDTF">2024-11-28T00:04:00Z</dcterms:created>
  <dcterms:modified xsi:type="dcterms:W3CDTF">2024-11-28T01:17:00Z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GrammarlyDocumentId">
    <vt:lpwstr>3499e54b-e2ad-4082-ba7a-1ae49e7d9a16</vt:lpwstr>
  </property>
  <property fmtid="{D5CDD505-2E9C-101B-9397-08002B2CF9AE}" pid="4" name="SecurityClassification">
    <vt:lpwstr>Official</vt:lpwstr>
  </property>
</Properties>
</file>