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4A37C02" w14:textId="77777777" w:rsidR="00527773" w:rsidRPr="00267527" w:rsidRDefault="00527773" w:rsidP="00527773">
      <w:pPr>
        <w:pStyle w:val="Heading1"/>
        <w:spacing w:before="0" w:after="0" w:line="240" w:lineRule="auto"/>
        <w:jc w:val="center"/>
        <w:rPr>
          <w:rFonts w:ascii="Times New Roman" w:hAnsi="Times New Roman"/>
          <w:b/>
          <w:sz w:val="24"/>
          <w:szCs w:val="24"/>
          <w:u w:val="single"/>
        </w:rPr>
      </w:pPr>
      <w:r w:rsidRPr="00267527">
        <w:rPr>
          <w:rFonts w:ascii="Times New Roman" w:hAnsi="Times New Roman"/>
          <w:b/>
          <w:sz w:val="24"/>
          <w:szCs w:val="24"/>
          <w:u w:val="single"/>
        </w:rPr>
        <w:t>Legislation (Exemptions and Other Matters) Amendment (202</w:t>
      </w:r>
      <w:r>
        <w:rPr>
          <w:rFonts w:ascii="Times New Roman" w:hAnsi="Times New Roman"/>
          <w:b/>
          <w:sz w:val="24"/>
          <w:szCs w:val="24"/>
          <w:u w:val="single"/>
        </w:rPr>
        <w:t>4 </w:t>
      </w:r>
      <w:r w:rsidRPr="00267527">
        <w:rPr>
          <w:rFonts w:ascii="Times New Roman" w:hAnsi="Times New Roman"/>
          <w:b/>
          <w:sz w:val="24"/>
          <w:szCs w:val="24"/>
          <w:u w:val="single"/>
        </w:rPr>
        <w:t xml:space="preserve">Measures No. </w:t>
      </w:r>
      <w:r>
        <w:rPr>
          <w:rFonts w:ascii="Times New Roman" w:hAnsi="Times New Roman"/>
          <w:b/>
          <w:sz w:val="24"/>
          <w:szCs w:val="24"/>
          <w:u w:val="single"/>
        </w:rPr>
        <w:t>2</w:t>
      </w:r>
      <w:r w:rsidRPr="00267527">
        <w:rPr>
          <w:rFonts w:ascii="Times New Roman" w:hAnsi="Times New Roman"/>
          <w:b/>
          <w:sz w:val="24"/>
          <w:szCs w:val="24"/>
          <w:u w:val="single"/>
        </w:rPr>
        <w:t>) Regulations 202</w:t>
      </w:r>
      <w:r>
        <w:rPr>
          <w:rFonts w:ascii="Times New Roman" w:hAnsi="Times New Roman"/>
          <w:b/>
          <w:sz w:val="24"/>
          <w:szCs w:val="24"/>
          <w:u w:val="single"/>
        </w:rPr>
        <w:t>4</w:t>
      </w:r>
    </w:p>
    <w:p w14:paraId="4ED9217B" w14:textId="77777777" w:rsidR="00527773" w:rsidRPr="00267527" w:rsidRDefault="00527773" w:rsidP="00527773">
      <w:pPr>
        <w:pStyle w:val="Heading1"/>
        <w:spacing w:before="0" w:after="0" w:line="240" w:lineRule="auto"/>
        <w:jc w:val="center"/>
        <w:rPr>
          <w:rFonts w:ascii="Times New Roman" w:hAnsi="Times New Roman"/>
          <w:b/>
          <w:sz w:val="24"/>
          <w:szCs w:val="24"/>
          <w:u w:val="single"/>
        </w:rPr>
      </w:pPr>
    </w:p>
    <w:p w14:paraId="7AE653D5" w14:textId="77777777" w:rsidR="00527773" w:rsidRPr="00267527" w:rsidRDefault="00527773" w:rsidP="00527773">
      <w:pPr>
        <w:pStyle w:val="Heading1"/>
        <w:spacing w:before="0" w:after="0" w:line="240" w:lineRule="auto"/>
        <w:jc w:val="center"/>
        <w:rPr>
          <w:rFonts w:ascii="Times New Roman" w:hAnsi="Times New Roman"/>
          <w:caps w:val="0"/>
          <w:sz w:val="24"/>
          <w:szCs w:val="24"/>
        </w:rPr>
      </w:pPr>
      <w:r w:rsidRPr="00267527">
        <w:rPr>
          <w:rFonts w:ascii="Times New Roman" w:hAnsi="Times New Roman"/>
          <w:b/>
          <w:sz w:val="24"/>
          <w:szCs w:val="24"/>
        </w:rPr>
        <w:t xml:space="preserve">EXPLANATORY STATEMENT </w:t>
      </w:r>
      <w:r w:rsidRPr="00267527">
        <w:rPr>
          <w:rFonts w:ascii="Times New Roman" w:hAnsi="Times New Roman"/>
          <w:b/>
          <w:sz w:val="24"/>
          <w:szCs w:val="24"/>
        </w:rPr>
        <w:br/>
      </w:r>
    </w:p>
    <w:p w14:paraId="712AFEA6" w14:textId="77777777" w:rsidR="00527773" w:rsidRPr="00267527" w:rsidRDefault="00527773" w:rsidP="00527773">
      <w:pPr>
        <w:spacing w:after="0" w:line="360" w:lineRule="auto"/>
        <w:jc w:val="center"/>
        <w:rPr>
          <w:rFonts w:ascii="Times New Roman" w:hAnsi="Times New Roman" w:cs="Times New Roman"/>
          <w:sz w:val="24"/>
          <w:szCs w:val="24"/>
        </w:rPr>
      </w:pPr>
      <w:r w:rsidRPr="00267527">
        <w:rPr>
          <w:rFonts w:ascii="Times New Roman" w:hAnsi="Times New Roman" w:cs="Times New Roman"/>
          <w:sz w:val="24"/>
          <w:szCs w:val="24"/>
        </w:rPr>
        <w:t xml:space="preserve">Issued by authority of the Attorney-General </w:t>
      </w:r>
    </w:p>
    <w:p w14:paraId="19781247" w14:textId="77777777" w:rsidR="00527773" w:rsidRPr="00267527" w:rsidRDefault="00527773" w:rsidP="00527773">
      <w:pPr>
        <w:pStyle w:val="NoSpacing"/>
        <w:rPr>
          <w:sz w:val="24"/>
          <w:szCs w:val="24"/>
        </w:rPr>
      </w:pPr>
    </w:p>
    <w:p w14:paraId="2E61FDE5" w14:textId="77777777" w:rsidR="00527773" w:rsidRPr="00267527" w:rsidRDefault="00527773" w:rsidP="00527773">
      <w:pPr>
        <w:rPr>
          <w:rFonts w:ascii="Times New Roman" w:hAnsi="Times New Roman" w:cs="Times New Roman"/>
          <w:b/>
          <w:caps/>
          <w:sz w:val="24"/>
          <w:szCs w:val="24"/>
        </w:rPr>
      </w:pPr>
      <w:r w:rsidRPr="00267527">
        <w:rPr>
          <w:rFonts w:ascii="Times New Roman" w:hAnsi="Times New Roman" w:cs="Times New Roman"/>
          <w:b/>
          <w:caps/>
          <w:sz w:val="24"/>
          <w:szCs w:val="24"/>
        </w:rPr>
        <w:t>Purpose and operation of the Instrument</w:t>
      </w:r>
    </w:p>
    <w:p w14:paraId="0055F457" w14:textId="77777777" w:rsidR="00527773" w:rsidRPr="00267527" w:rsidRDefault="00527773" w:rsidP="00527773">
      <w:pPr>
        <w:pStyle w:val="Basetext"/>
        <w:spacing w:before="240" w:after="200"/>
        <w:rPr>
          <w:color w:val="000000"/>
          <w:sz w:val="24"/>
          <w:szCs w:val="24"/>
          <w:lang w:eastAsia="en-AU"/>
        </w:rPr>
      </w:pPr>
      <w:r w:rsidRPr="00267527">
        <w:rPr>
          <w:color w:val="000000"/>
          <w:sz w:val="24"/>
          <w:szCs w:val="24"/>
          <w:lang w:eastAsia="en-AU"/>
        </w:rPr>
        <w:t>The </w:t>
      </w:r>
      <w:r w:rsidRPr="00267527">
        <w:rPr>
          <w:i/>
          <w:iCs/>
          <w:color w:val="000000"/>
          <w:sz w:val="24"/>
          <w:szCs w:val="24"/>
          <w:lang w:eastAsia="en-AU"/>
        </w:rPr>
        <w:t>Legislation Act 2003</w:t>
      </w:r>
      <w:r w:rsidRPr="00267527">
        <w:rPr>
          <w:color w:val="000000"/>
          <w:sz w:val="24"/>
          <w:szCs w:val="24"/>
          <w:lang w:eastAsia="en-AU"/>
        </w:rPr>
        <w:t> (Legislation Act) establishes a comprehensive regime for the publication of Commonwealth Acts and instruments. It also provides for the registration, tabling, parliamentary scrutiny, disallowance and sunsetting of instruments.</w:t>
      </w:r>
    </w:p>
    <w:p w14:paraId="7C8B5F48" w14:textId="77777777" w:rsidR="00527773" w:rsidRPr="00267527" w:rsidRDefault="00527773" w:rsidP="00527773">
      <w:pPr>
        <w:shd w:val="clear" w:color="auto" w:fill="FFFFFF"/>
        <w:spacing w:after="0"/>
        <w:ind w:right="91"/>
        <w:rPr>
          <w:rFonts w:ascii="Calibri" w:eastAsia="Times New Roman" w:hAnsi="Calibri" w:cs="Calibri"/>
          <w:color w:val="000000"/>
          <w:sz w:val="24"/>
          <w:szCs w:val="24"/>
          <w:lang w:eastAsia="en-AU"/>
        </w:rPr>
      </w:pPr>
      <w:r w:rsidRPr="00267527">
        <w:rPr>
          <w:rFonts w:ascii="Times New Roman" w:eastAsia="Times New Roman" w:hAnsi="Times New Roman" w:cs="Times New Roman"/>
          <w:color w:val="000000"/>
          <w:sz w:val="24"/>
          <w:szCs w:val="24"/>
          <w:lang w:eastAsia="en-AU"/>
        </w:rPr>
        <w:t>Section 62 of the Legislation Act provides that the Governor-General may make regulations prescribing matters required or permitted by the Act to be prescribed, or necessary or convenient to be prescribed, for carrying out or giving effect to that Act.</w:t>
      </w:r>
    </w:p>
    <w:p w14:paraId="09D33769" w14:textId="77777777" w:rsidR="00527773" w:rsidRPr="00267527" w:rsidRDefault="00527773" w:rsidP="00527773">
      <w:pPr>
        <w:pStyle w:val="Basetext"/>
        <w:spacing w:before="240" w:after="200"/>
        <w:rPr>
          <w:snapToGrid/>
          <w:color w:val="000000"/>
          <w:sz w:val="24"/>
          <w:szCs w:val="24"/>
          <w:lang w:eastAsia="en-AU"/>
        </w:rPr>
      </w:pPr>
      <w:r w:rsidRPr="00267527">
        <w:rPr>
          <w:color w:val="000000"/>
          <w:sz w:val="24"/>
          <w:szCs w:val="24"/>
          <w:lang w:eastAsia="en-AU"/>
        </w:rPr>
        <w:t>Part 4 of Chapter 3 of the Legislation Act provides for the sunsetting of legislative instruments. Sunsetting is the process by which instruments are automatically repealed 10</w:t>
      </w:r>
      <w:r>
        <w:rPr>
          <w:color w:val="000000"/>
          <w:sz w:val="24"/>
          <w:szCs w:val="24"/>
          <w:lang w:eastAsia="en-AU"/>
        </w:rPr>
        <w:t> </w:t>
      </w:r>
      <w:r w:rsidRPr="00267527">
        <w:rPr>
          <w:color w:val="000000"/>
          <w:sz w:val="24"/>
          <w:szCs w:val="24"/>
          <w:lang w:eastAsia="en-AU"/>
        </w:rPr>
        <w:t>years after they are made unless steps are taken to preserve their operation, or the instruments are exempt from sunsetting</w:t>
      </w:r>
      <w:r w:rsidRPr="00267527">
        <w:rPr>
          <w:snapToGrid/>
          <w:color w:val="000000"/>
          <w:sz w:val="24"/>
          <w:szCs w:val="24"/>
          <w:lang w:eastAsia="en-AU"/>
        </w:rPr>
        <w:t>.</w:t>
      </w:r>
      <w:r>
        <w:rPr>
          <w:snapToGrid/>
          <w:color w:val="000000"/>
          <w:sz w:val="24"/>
          <w:szCs w:val="24"/>
          <w:lang w:eastAsia="en-AU"/>
        </w:rPr>
        <w:t xml:space="preserve"> </w:t>
      </w:r>
      <w:r w:rsidRPr="005C6F3A">
        <w:rPr>
          <w:snapToGrid/>
          <w:color w:val="000000"/>
          <w:sz w:val="24"/>
          <w:szCs w:val="24"/>
          <w:lang w:eastAsia="en-AU"/>
        </w:rPr>
        <w:t xml:space="preserve">As </w:t>
      </w:r>
      <w:r>
        <w:rPr>
          <w:snapToGrid/>
          <w:color w:val="000000"/>
          <w:sz w:val="24"/>
          <w:szCs w:val="24"/>
          <w:lang w:eastAsia="en-AU"/>
        </w:rPr>
        <w:t>set out</w:t>
      </w:r>
      <w:r w:rsidRPr="005C6F3A">
        <w:rPr>
          <w:snapToGrid/>
          <w:color w:val="000000"/>
          <w:sz w:val="24"/>
          <w:szCs w:val="24"/>
          <w:lang w:eastAsia="en-AU"/>
        </w:rPr>
        <w:t xml:space="preserve"> in section 49 of the Legislation Act, the purpose of sunsetting is to ensure that legislative instruments continue to be fit-for-purpose and are kept up to date through regular review.</w:t>
      </w:r>
    </w:p>
    <w:p w14:paraId="07016860" w14:textId="77777777" w:rsidR="00527773" w:rsidRPr="00267527" w:rsidRDefault="00527773" w:rsidP="00527773">
      <w:pPr>
        <w:pStyle w:val="Basetext"/>
        <w:spacing w:before="240" w:after="200"/>
        <w:rPr>
          <w:color w:val="000000"/>
          <w:sz w:val="24"/>
          <w:szCs w:val="24"/>
          <w:lang w:eastAsia="en-AU"/>
        </w:rPr>
      </w:pPr>
      <w:r w:rsidRPr="00267527">
        <w:rPr>
          <w:color w:val="000000"/>
          <w:sz w:val="24"/>
          <w:szCs w:val="24"/>
          <w:lang w:eastAsia="en-AU"/>
        </w:rPr>
        <w:t xml:space="preserve">Section 54 of the Legislation Act provides for instruments to which the sunsetting regime in Part 4 of Chapter 3 does not apply. Instruments which are prescribed by the regulations for the purposes of paragraph 54(2)(b) of the Legislation Act are exempt from sunsetting. </w:t>
      </w:r>
    </w:p>
    <w:p w14:paraId="5C0DEB50" w14:textId="77777777" w:rsidR="00527773" w:rsidRPr="00267527" w:rsidRDefault="00527773" w:rsidP="00527773">
      <w:pPr>
        <w:pStyle w:val="Basetext"/>
        <w:keepLines/>
        <w:spacing w:before="240" w:after="200"/>
        <w:rPr>
          <w:color w:val="000000"/>
          <w:sz w:val="24"/>
          <w:szCs w:val="24"/>
          <w:lang w:eastAsia="en-AU"/>
        </w:rPr>
      </w:pPr>
      <w:r w:rsidRPr="00267527">
        <w:rPr>
          <w:color w:val="000000"/>
          <w:sz w:val="24"/>
          <w:szCs w:val="24"/>
          <w:lang w:eastAsia="en-AU"/>
        </w:rPr>
        <w:t xml:space="preserve">The </w:t>
      </w:r>
      <w:r w:rsidRPr="00267527">
        <w:rPr>
          <w:i/>
          <w:color w:val="000000"/>
          <w:sz w:val="24"/>
          <w:szCs w:val="24"/>
          <w:lang w:eastAsia="en-AU"/>
        </w:rPr>
        <w:t xml:space="preserve">Legislation (Exemptions and Other Matters) Regulation 2015 </w:t>
      </w:r>
      <w:r w:rsidRPr="00267527">
        <w:rPr>
          <w:color w:val="000000"/>
          <w:sz w:val="24"/>
          <w:szCs w:val="24"/>
          <w:lang w:eastAsia="en-AU"/>
        </w:rPr>
        <w:t xml:space="preserve">(the Principal Regulations) prescribes instruments that are exempt from sunsetting. </w:t>
      </w:r>
      <w:r>
        <w:rPr>
          <w:color w:val="000000"/>
          <w:sz w:val="24"/>
          <w:szCs w:val="24"/>
          <w:lang w:eastAsia="en-AU"/>
        </w:rPr>
        <w:t>The Principal Regulations prescribe classes of legislative instruments (at section 11) and particular instruments (at s</w:t>
      </w:r>
      <w:r w:rsidRPr="00267527">
        <w:rPr>
          <w:color w:val="000000"/>
          <w:sz w:val="24"/>
          <w:szCs w:val="24"/>
          <w:lang w:eastAsia="en-AU"/>
        </w:rPr>
        <w:t>ection 12</w:t>
      </w:r>
      <w:r>
        <w:rPr>
          <w:color w:val="000000"/>
          <w:sz w:val="24"/>
          <w:szCs w:val="24"/>
          <w:lang w:eastAsia="en-AU"/>
        </w:rPr>
        <w:t>)</w:t>
      </w:r>
      <w:r w:rsidRPr="00267527">
        <w:rPr>
          <w:color w:val="000000"/>
          <w:sz w:val="24"/>
          <w:szCs w:val="24"/>
          <w:lang w:eastAsia="en-AU"/>
        </w:rPr>
        <w:t xml:space="preserve"> that are exempt from sunsetting under paragraph 54(2)(b) of the Act.</w:t>
      </w:r>
      <w:r>
        <w:rPr>
          <w:color w:val="000000"/>
          <w:sz w:val="24"/>
          <w:szCs w:val="24"/>
          <w:lang w:eastAsia="en-AU"/>
        </w:rPr>
        <w:t xml:space="preserve"> In this way, the Principal Regulations serve</w:t>
      </w:r>
      <w:r w:rsidRPr="006B7345">
        <w:rPr>
          <w:color w:val="000000"/>
          <w:sz w:val="24"/>
          <w:szCs w:val="24"/>
          <w:lang w:eastAsia="en-AU"/>
        </w:rPr>
        <w:t xml:space="preserve"> as a central source of sunsetting exemptions</w:t>
      </w:r>
      <w:r>
        <w:rPr>
          <w:color w:val="000000"/>
          <w:sz w:val="24"/>
          <w:szCs w:val="24"/>
          <w:lang w:eastAsia="en-AU"/>
        </w:rPr>
        <w:t>,</w:t>
      </w:r>
      <w:r w:rsidRPr="006B7345">
        <w:rPr>
          <w:color w:val="000000"/>
          <w:sz w:val="24"/>
          <w:szCs w:val="24"/>
          <w:lang w:eastAsia="en-AU"/>
        </w:rPr>
        <w:t xml:space="preserve"> facilitat</w:t>
      </w:r>
      <w:r>
        <w:rPr>
          <w:color w:val="000000"/>
          <w:sz w:val="24"/>
          <w:szCs w:val="24"/>
          <w:lang w:eastAsia="en-AU"/>
        </w:rPr>
        <w:t>ing</w:t>
      </w:r>
      <w:r w:rsidRPr="006B7345">
        <w:rPr>
          <w:color w:val="000000"/>
          <w:sz w:val="24"/>
          <w:szCs w:val="24"/>
          <w:lang w:eastAsia="en-AU"/>
        </w:rPr>
        <w:t xml:space="preserve"> </w:t>
      </w:r>
      <w:r>
        <w:rPr>
          <w:color w:val="000000"/>
          <w:sz w:val="24"/>
          <w:szCs w:val="24"/>
          <w:lang w:eastAsia="en-AU"/>
        </w:rPr>
        <w:t>their</w:t>
      </w:r>
      <w:r w:rsidRPr="006B7345">
        <w:rPr>
          <w:color w:val="000000"/>
          <w:sz w:val="24"/>
          <w:szCs w:val="24"/>
          <w:lang w:eastAsia="en-AU"/>
        </w:rPr>
        <w:t xml:space="preserve"> whole-of-government management and ensur</w:t>
      </w:r>
      <w:r>
        <w:rPr>
          <w:color w:val="000000"/>
          <w:sz w:val="24"/>
          <w:szCs w:val="24"/>
          <w:lang w:eastAsia="en-AU"/>
        </w:rPr>
        <w:t>ing</w:t>
      </w:r>
      <w:r w:rsidRPr="006B7345">
        <w:rPr>
          <w:color w:val="000000"/>
          <w:sz w:val="24"/>
          <w:szCs w:val="24"/>
          <w:lang w:eastAsia="en-AU"/>
        </w:rPr>
        <w:t xml:space="preserve"> that accurate sunsetting information can be readily provided to </w:t>
      </w:r>
      <w:r>
        <w:rPr>
          <w:color w:val="000000"/>
          <w:sz w:val="24"/>
          <w:szCs w:val="24"/>
          <w:lang w:eastAsia="en-AU"/>
        </w:rPr>
        <w:t xml:space="preserve">Australian Government </w:t>
      </w:r>
      <w:r w:rsidRPr="006B7345">
        <w:rPr>
          <w:color w:val="000000"/>
          <w:sz w:val="24"/>
          <w:szCs w:val="24"/>
          <w:lang w:eastAsia="en-AU"/>
        </w:rPr>
        <w:t>agencies, the Parliament and the general public.</w:t>
      </w:r>
    </w:p>
    <w:p w14:paraId="1D093DFF" w14:textId="77777777" w:rsidR="00527773" w:rsidRPr="00267527" w:rsidRDefault="00527773" w:rsidP="00527773">
      <w:pPr>
        <w:pStyle w:val="Basetext"/>
        <w:spacing w:before="240" w:after="200"/>
        <w:rPr>
          <w:color w:val="000000"/>
          <w:sz w:val="24"/>
          <w:szCs w:val="24"/>
          <w:lang w:eastAsia="en-AU"/>
        </w:rPr>
      </w:pPr>
      <w:r w:rsidRPr="00267527">
        <w:rPr>
          <w:i/>
          <w:color w:val="000000"/>
          <w:sz w:val="24"/>
          <w:szCs w:val="24"/>
          <w:lang w:eastAsia="en-AU"/>
        </w:rPr>
        <w:t>The Legislation (Exemptions and Other Matters) Amendment (202</w:t>
      </w:r>
      <w:r>
        <w:rPr>
          <w:i/>
          <w:color w:val="000000"/>
          <w:sz w:val="24"/>
          <w:szCs w:val="24"/>
          <w:lang w:eastAsia="en-AU"/>
        </w:rPr>
        <w:t>4</w:t>
      </w:r>
      <w:r w:rsidRPr="00267527">
        <w:rPr>
          <w:i/>
          <w:color w:val="000000"/>
          <w:sz w:val="24"/>
          <w:szCs w:val="24"/>
          <w:lang w:eastAsia="en-AU"/>
        </w:rPr>
        <w:t xml:space="preserve"> Measures No. </w:t>
      </w:r>
      <w:r>
        <w:rPr>
          <w:i/>
          <w:color w:val="000000"/>
          <w:sz w:val="24"/>
          <w:szCs w:val="24"/>
          <w:lang w:eastAsia="en-AU"/>
        </w:rPr>
        <w:t>2</w:t>
      </w:r>
      <w:r w:rsidRPr="00267527">
        <w:rPr>
          <w:i/>
          <w:color w:val="000000"/>
          <w:sz w:val="24"/>
          <w:szCs w:val="24"/>
          <w:lang w:eastAsia="en-AU"/>
        </w:rPr>
        <w:t>) Regulations 202</w:t>
      </w:r>
      <w:r>
        <w:rPr>
          <w:i/>
          <w:color w:val="000000"/>
          <w:sz w:val="24"/>
          <w:szCs w:val="24"/>
          <w:lang w:eastAsia="en-AU"/>
        </w:rPr>
        <w:t>4</w:t>
      </w:r>
      <w:r w:rsidRPr="00267527">
        <w:rPr>
          <w:color w:val="000000"/>
          <w:sz w:val="24"/>
          <w:szCs w:val="24"/>
          <w:lang w:eastAsia="en-AU"/>
        </w:rPr>
        <w:t xml:space="preserve"> (Amendment Regulations) prescribe two additional instruments to be exempt from sunsetting under section 12 of the Principal Regulations. </w:t>
      </w:r>
    </w:p>
    <w:p w14:paraId="069C22A0" w14:textId="77777777" w:rsidR="00527773" w:rsidRPr="00795974" w:rsidRDefault="00527773" w:rsidP="00527773">
      <w:pPr>
        <w:pStyle w:val="Basetext"/>
        <w:spacing w:before="240" w:after="200"/>
        <w:rPr>
          <w:b/>
          <w:i/>
          <w:sz w:val="24"/>
          <w:szCs w:val="24"/>
        </w:rPr>
      </w:pPr>
      <w:r w:rsidRPr="00795974">
        <w:rPr>
          <w:b/>
          <w:i/>
          <w:sz w:val="24"/>
          <w:szCs w:val="24"/>
        </w:rPr>
        <w:t xml:space="preserve">Exemption from sunsetting – </w:t>
      </w:r>
      <w:r>
        <w:rPr>
          <w:b/>
          <w:i/>
          <w:sz w:val="24"/>
          <w:szCs w:val="24"/>
        </w:rPr>
        <w:t>Public Governance, Performance and Accountability (Financial Reporting) Rule 2015</w:t>
      </w:r>
    </w:p>
    <w:p w14:paraId="2EE91670" w14:textId="3E3B5C6E" w:rsidR="00527773" w:rsidRDefault="00527773" w:rsidP="00527773">
      <w:pPr>
        <w:pStyle w:val="Basetext"/>
        <w:spacing w:before="240" w:after="200"/>
        <w:rPr>
          <w:sz w:val="24"/>
          <w:szCs w:val="24"/>
        </w:rPr>
      </w:pPr>
      <w:r w:rsidRPr="00267527">
        <w:rPr>
          <w:color w:val="000000"/>
          <w:sz w:val="24"/>
          <w:szCs w:val="24"/>
          <w:lang w:eastAsia="en-AU"/>
        </w:rPr>
        <w:t>The</w:t>
      </w:r>
      <w:r>
        <w:rPr>
          <w:color w:val="000000"/>
          <w:sz w:val="24"/>
          <w:szCs w:val="24"/>
          <w:lang w:eastAsia="en-AU"/>
        </w:rPr>
        <w:t xml:space="preserve"> Amendment </w:t>
      </w:r>
      <w:r w:rsidR="00F46908">
        <w:rPr>
          <w:color w:val="000000"/>
          <w:sz w:val="24"/>
          <w:szCs w:val="24"/>
          <w:lang w:eastAsia="en-AU"/>
        </w:rPr>
        <w:t xml:space="preserve">Regulations </w:t>
      </w:r>
      <w:r>
        <w:rPr>
          <w:color w:val="000000"/>
          <w:sz w:val="24"/>
          <w:szCs w:val="24"/>
          <w:lang w:eastAsia="en-AU"/>
        </w:rPr>
        <w:t>exempt the</w:t>
      </w:r>
      <w:r w:rsidRPr="00267527">
        <w:rPr>
          <w:i/>
          <w:sz w:val="24"/>
          <w:szCs w:val="24"/>
        </w:rPr>
        <w:t xml:space="preserve"> </w:t>
      </w:r>
      <w:r w:rsidRPr="00795974">
        <w:rPr>
          <w:i/>
          <w:sz w:val="24"/>
          <w:szCs w:val="24"/>
        </w:rPr>
        <w:t>Public Governance, Performance and Accountability (Financial Reporting) Rule 2015</w:t>
      </w:r>
      <w:r w:rsidRPr="00267527">
        <w:rPr>
          <w:sz w:val="24"/>
          <w:szCs w:val="24"/>
        </w:rPr>
        <w:t xml:space="preserve"> (</w:t>
      </w:r>
      <w:r w:rsidR="00F46908">
        <w:rPr>
          <w:sz w:val="24"/>
          <w:szCs w:val="24"/>
        </w:rPr>
        <w:t>commonly referred to as the Financial Reporting Rule (FRR)</w:t>
      </w:r>
      <w:r w:rsidRPr="00267527">
        <w:rPr>
          <w:sz w:val="24"/>
          <w:szCs w:val="24"/>
        </w:rPr>
        <w:t>) from sunsetting under section 12 of the Principal Regulations</w:t>
      </w:r>
      <w:r>
        <w:rPr>
          <w:sz w:val="24"/>
          <w:szCs w:val="24"/>
        </w:rPr>
        <w:t>.</w:t>
      </w:r>
    </w:p>
    <w:p w14:paraId="3F0E9703" w14:textId="4B17861B" w:rsidR="00527773" w:rsidRPr="00267527" w:rsidRDefault="00527773" w:rsidP="00527773">
      <w:pPr>
        <w:pStyle w:val="Basetext"/>
        <w:spacing w:before="240" w:after="200"/>
        <w:rPr>
          <w:sz w:val="24"/>
          <w:szCs w:val="24"/>
          <w:lang w:eastAsia="en-AU"/>
        </w:rPr>
      </w:pPr>
      <w:r w:rsidRPr="00267527">
        <w:rPr>
          <w:sz w:val="24"/>
          <w:szCs w:val="24"/>
        </w:rPr>
        <w:lastRenderedPageBreak/>
        <w:t xml:space="preserve">The </w:t>
      </w:r>
      <w:r w:rsidR="00F46908">
        <w:rPr>
          <w:sz w:val="24"/>
          <w:szCs w:val="24"/>
        </w:rPr>
        <w:t>FRR</w:t>
      </w:r>
      <w:r w:rsidRPr="00267527">
        <w:rPr>
          <w:color w:val="000000"/>
          <w:sz w:val="24"/>
          <w:szCs w:val="24"/>
          <w:lang w:eastAsia="en-AU"/>
        </w:rPr>
        <w:t xml:space="preserve"> is made under section </w:t>
      </w:r>
      <w:r>
        <w:rPr>
          <w:color w:val="000000"/>
          <w:sz w:val="24"/>
          <w:szCs w:val="24"/>
          <w:lang w:eastAsia="en-AU"/>
        </w:rPr>
        <w:t>101</w:t>
      </w:r>
      <w:r w:rsidRPr="00267527">
        <w:rPr>
          <w:color w:val="000000"/>
          <w:sz w:val="24"/>
          <w:szCs w:val="24"/>
          <w:lang w:eastAsia="en-AU"/>
        </w:rPr>
        <w:t xml:space="preserve"> of </w:t>
      </w:r>
      <w:r>
        <w:rPr>
          <w:color w:val="000000"/>
          <w:sz w:val="24"/>
          <w:szCs w:val="24"/>
          <w:lang w:eastAsia="en-AU"/>
        </w:rPr>
        <w:t xml:space="preserve">the </w:t>
      </w:r>
      <w:r>
        <w:rPr>
          <w:i/>
          <w:color w:val="000000"/>
          <w:sz w:val="24"/>
          <w:szCs w:val="24"/>
          <w:lang w:eastAsia="en-AU"/>
        </w:rPr>
        <w:t>Public Governance, Performance and Accountability Act 201</w:t>
      </w:r>
      <w:r w:rsidRPr="00267527">
        <w:rPr>
          <w:i/>
          <w:color w:val="000000"/>
          <w:sz w:val="24"/>
          <w:szCs w:val="24"/>
          <w:lang w:eastAsia="en-AU"/>
        </w:rPr>
        <w:t xml:space="preserve">3 </w:t>
      </w:r>
      <w:r w:rsidRPr="00267527">
        <w:rPr>
          <w:color w:val="000000"/>
          <w:sz w:val="24"/>
          <w:szCs w:val="24"/>
          <w:lang w:eastAsia="en-AU"/>
        </w:rPr>
        <w:t>(</w:t>
      </w:r>
      <w:r>
        <w:rPr>
          <w:color w:val="000000"/>
          <w:sz w:val="24"/>
          <w:szCs w:val="24"/>
          <w:lang w:eastAsia="en-AU"/>
        </w:rPr>
        <w:t>PGPA</w:t>
      </w:r>
      <w:r w:rsidRPr="00267527">
        <w:rPr>
          <w:color w:val="000000"/>
          <w:sz w:val="24"/>
          <w:szCs w:val="24"/>
          <w:lang w:eastAsia="en-AU"/>
        </w:rPr>
        <w:t xml:space="preserve"> Act)</w:t>
      </w:r>
      <w:r w:rsidRPr="00267527">
        <w:rPr>
          <w:i/>
          <w:color w:val="000000"/>
          <w:sz w:val="24"/>
          <w:szCs w:val="24"/>
          <w:lang w:eastAsia="en-AU"/>
        </w:rPr>
        <w:t xml:space="preserve">. </w:t>
      </w:r>
      <w:r w:rsidRPr="00267527">
        <w:rPr>
          <w:color w:val="000000"/>
          <w:sz w:val="24"/>
          <w:szCs w:val="24"/>
          <w:lang w:eastAsia="en-AU"/>
        </w:rPr>
        <w:t>This section provides that</w:t>
      </w:r>
      <w:r w:rsidRPr="00267527">
        <w:rPr>
          <w:sz w:val="24"/>
          <w:szCs w:val="24"/>
        </w:rPr>
        <w:t xml:space="preserve"> </w:t>
      </w:r>
      <w:r w:rsidRPr="00267527">
        <w:rPr>
          <w:color w:val="000000"/>
          <w:sz w:val="24"/>
          <w:szCs w:val="24"/>
          <w:lang w:eastAsia="en-AU"/>
        </w:rPr>
        <w:t xml:space="preserve">the Minister has the authority to make </w:t>
      </w:r>
      <w:r>
        <w:rPr>
          <w:color w:val="000000"/>
          <w:sz w:val="24"/>
          <w:szCs w:val="24"/>
          <w:lang w:eastAsia="en-AU"/>
        </w:rPr>
        <w:t>rules by legislative instrument to prescribe matters necessary or convenient to be prescribed for carrying out or giving effect to the PGPA Act.</w:t>
      </w:r>
      <w:r w:rsidRPr="00267527">
        <w:rPr>
          <w:color w:val="000000"/>
          <w:sz w:val="24"/>
          <w:szCs w:val="24"/>
          <w:lang w:eastAsia="en-AU"/>
        </w:rPr>
        <w:t xml:space="preserve"> The </w:t>
      </w:r>
      <w:r w:rsidR="00F46908">
        <w:rPr>
          <w:color w:val="000000"/>
          <w:sz w:val="24"/>
          <w:szCs w:val="24"/>
          <w:lang w:eastAsia="en-AU"/>
        </w:rPr>
        <w:t>FRR</w:t>
      </w:r>
      <w:r w:rsidRPr="00267527">
        <w:rPr>
          <w:color w:val="000000"/>
          <w:sz w:val="24"/>
          <w:szCs w:val="24"/>
          <w:lang w:eastAsia="en-AU"/>
        </w:rPr>
        <w:t xml:space="preserve"> </w:t>
      </w:r>
      <w:r>
        <w:rPr>
          <w:sz w:val="24"/>
          <w:szCs w:val="24"/>
        </w:rPr>
        <w:t xml:space="preserve">sets out the financial reporting requirements for the preparation of annual financial statements and provides consistent financial reporting across the Commonwealth to facilitate comparison between entities. This also allows for the consolidation of the Commonwealth’s </w:t>
      </w:r>
      <w:r w:rsidR="008C1C0A">
        <w:rPr>
          <w:sz w:val="24"/>
          <w:szCs w:val="24"/>
        </w:rPr>
        <w:t>c</w:t>
      </w:r>
      <w:r>
        <w:rPr>
          <w:sz w:val="24"/>
          <w:szCs w:val="24"/>
        </w:rPr>
        <w:t xml:space="preserve">onsolidated </w:t>
      </w:r>
      <w:r w:rsidR="008C1C0A">
        <w:rPr>
          <w:sz w:val="24"/>
          <w:szCs w:val="24"/>
        </w:rPr>
        <w:t>f</w:t>
      </w:r>
      <w:r>
        <w:rPr>
          <w:sz w:val="24"/>
          <w:szCs w:val="24"/>
        </w:rPr>
        <w:t xml:space="preserve">inancial </w:t>
      </w:r>
      <w:r w:rsidR="008C1C0A">
        <w:rPr>
          <w:sz w:val="24"/>
          <w:szCs w:val="24"/>
        </w:rPr>
        <w:t>s</w:t>
      </w:r>
      <w:r>
        <w:rPr>
          <w:sz w:val="24"/>
          <w:szCs w:val="24"/>
        </w:rPr>
        <w:t>tatements</w:t>
      </w:r>
      <w:r w:rsidRPr="00267527">
        <w:rPr>
          <w:sz w:val="24"/>
          <w:szCs w:val="24"/>
        </w:rPr>
        <w:t>.</w:t>
      </w:r>
    </w:p>
    <w:p w14:paraId="2DC41D24" w14:textId="38CFD1CD" w:rsidR="00527773" w:rsidRPr="00267527" w:rsidRDefault="00527773" w:rsidP="00527773">
      <w:pPr>
        <w:pStyle w:val="Basetext"/>
        <w:spacing w:before="240" w:after="200"/>
        <w:rPr>
          <w:i/>
          <w:sz w:val="24"/>
          <w:szCs w:val="24"/>
        </w:rPr>
      </w:pPr>
      <w:r w:rsidRPr="00267527">
        <w:rPr>
          <w:sz w:val="24"/>
          <w:szCs w:val="24"/>
        </w:rPr>
        <w:t xml:space="preserve">It is appropriate that the </w:t>
      </w:r>
      <w:r w:rsidR="00F46908">
        <w:rPr>
          <w:sz w:val="24"/>
          <w:szCs w:val="24"/>
        </w:rPr>
        <w:t>FRR</w:t>
      </w:r>
      <w:r w:rsidRPr="00267527">
        <w:rPr>
          <w:sz w:val="24"/>
          <w:szCs w:val="24"/>
        </w:rPr>
        <w:t xml:space="preserve"> be exempt from sunsetting</w:t>
      </w:r>
      <w:r>
        <w:rPr>
          <w:sz w:val="24"/>
          <w:szCs w:val="24"/>
        </w:rPr>
        <w:t xml:space="preserve"> because it meets the following criteria provided in the Attorney</w:t>
      </w:r>
      <w:r>
        <w:rPr>
          <w:sz w:val="24"/>
          <w:szCs w:val="24"/>
        </w:rPr>
        <w:noBreakHyphen/>
        <w:t xml:space="preserve">General’s Department’s </w:t>
      </w:r>
      <w:r>
        <w:rPr>
          <w:i/>
          <w:sz w:val="24"/>
          <w:szCs w:val="24"/>
        </w:rPr>
        <w:t>Guide to managing sunsetting of legislative instruments</w:t>
      </w:r>
      <w:r w:rsidRPr="00267527">
        <w:rPr>
          <w:sz w:val="24"/>
          <w:szCs w:val="24"/>
        </w:rPr>
        <w:t>:</w:t>
      </w:r>
    </w:p>
    <w:p w14:paraId="579EB9C1" w14:textId="77777777" w:rsidR="00527773" w:rsidRPr="00267527" w:rsidRDefault="00527773" w:rsidP="00527773">
      <w:pPr>
        <w:pStyle w:val="Basetext"/>
        <w:numPr>
          <w:ilvl w:val="0"/>
          <w:numId w:val="1"/>
        </w:numPr>
        <w:spacing w:before="240" w:after="200"/>
        <w:rPr>
          <w:i/>
          <w:color w:val="000000"/>
          <w:sz w:val="24"/>
          <w:szCs w:val="24"/>
          <w:lang w:eastAsia="en-AU"/>
        </w:rPr>
      </w:pPr>
      <w:r w:rsidRPr="00267527">
        <w:rPr>
          <w:sz w:val="24"/>
          <w:szCs w:val="24"/>
        </w:rPr>
        <w:t>sufficiently large and complex that the administrative burden associated with remaking the instrument would outweigh any regulatory benefit</w:t>
      </w:r>
    </w:p>
    <w:p w14:paraId="7F490C7B" w14:textId="77777777" w:rsidR="00527773" w:rsidRPr="00267527" w:rsidRDefault="00527773" w:rsidP="00527773">
      <w:pPr>
        <w:pStyle w:val="Basetext"/>
        <w:numPr>
          <w:ilvl w:val="0"/>
          <w:numId w:val="1"/>
        </w:numPr>
        <w:spacing w:before="240" w:after="200"/>
        <w:rPr>
          <w:i/>
          <w:color w:val="000000"/>
          <w:sz w:val="24"/>
          <w:szCs w:val="24"/>
          <w:lang w:eastAsia="en-AU"/>
        </w:rPr>
      </w:pPr>
      <w:r w:rsidRPr="00267527">
        <w:rPr>
          <w:sz w:val="24"/>
          <w:szCs w:val="24"/>
        </w:rPr>
        <w:t>subject to regular review, and</w:t>
      </w:r>
    </w:p>
    <w:p w14:paraId="3070D60D" w14:textId="77777777" w:rsidR="00527773" w:rsidRPr="00267527" w:rsidRDefault="00527773" w:rsidP="00527773">
      <w:pPr>
        <w:pStyle w:val="Basetext"/>
        <w:numPr>
          <w:ilvl w:val="0"/>
          <w:numId w:val="1"/>
        </w:numPr>
        <w:spacing w:before="240" w:after="200"/>
        <w:rPr>
          <w:i/>
          <w:color w:val="000000"/>
          <w:sz w:val="24"/>
          <w:szCs w:val="24"/>
          <w:lang w:eastAsia="en-AU"/>
        </w:rPr>
      </w:pPr>
      <w:r w:rsidRPr="00267527">
        <w:rPr>
          <w:sz w:val="24"/>
          <w:szCs w:val="24"/>
        </w:rPr>
        <w:t>subject to regular amendment.</w:t>
      </w:r>
    </w:p>
    <w:p w14:paraId="73D084DD" w14:textId="77777777" w:rsidR="00527773" w:rsidRPr="00267527" w:rsidRDefault="00527773" w:rsidP="00527773">
      <w:pPr>
        <w:rPr>
          <w:rFonts w:ascii="Times New Roman" w:eastAsia="Times New Roman" w:hAnsi="Times New Roman" w:cs="Times New Roman"/>
          <w:snapToGrid w:val="0"/>
          <w:sz w:val="24"/>
          <w:szCs w:val="24"/>
          <w:u w:val="single"/>
          <w:lang w:eastAsia="en-AU"/>
        </w:rPr>
      </w:pPr>
      <w:r w:rsidRPr="00267527">
        <w:rPr>
          <w:rFonts w:ascii="Times New Roman" w:eastAsia="Times New Roman" w:hAnsi="Times New Roman" w:cs="Times New Roman"/>
          <w:snapToGrid w:val="0"/>
          <w:sz w:val="24"/>
          <w:szCs w:val="24"/>
          <w:u w:val="single"/>
          <w:lang w:eastAsia="en-AU"/>
        </w:rPr>
        <w:t>Sufficiently large and complex</w:t>
      </w:r>
    </w:p>
    <w:p w14:paraId="218611D1" w14:textId="4CA1F226" w:rsidR="00527773" w:rsidRDefault="00527773" w:rsidP="00527773">
      <w:pPr>
        <w:rPr>
          <w:rFonts w:ascii="Times New Roman" w:eastAsia="Times New Roman" w:hAnsi="Times New Roman" w:cs="Times New Roman"/>
          <w:snapToGrid w:val="0"/>
          <w:sz w:val="24"/>
          <w:szCs w:val="24"/>
          <w:lang w:eastAsia="en-AU"/>
        </w:rPr>
      </w:pPr>
      <w:r w:rsidRPr="00267527">
        <w:rPr>
          <w:rFonts w:ascii="Times New Roman" w:eastAsia="Times New Roman" w:hAnsi="Times New Roman" w:cs="Times New Roman"/>
          <w:snapToGrid w:val="0"/>
          <w:sz w:val="24"/>
          <w:szCs w:val="24"/>
          <w:lang w:eastAsia="en-AU"/>
        </w:rPr>
        <w:t xml:space="preserve">The </w:t>
      </w:r>
      <w:r w:rsidR="00F46908">
        <w:rPr>
          <w:rFonts w:ascii="Times New Roman" w:eastAsia="Times New Roman" w:hAnsi="Times New Roman" w:cs="Times New Roman"/>
          <w:snapToGrid w:val="0"/>
          <w:sz w:val="24"/>
          <w:szCs w:val="24"/>
          <w:lang w:eastAsia="en-AU"/>
        </w:rPr>
        <w:t>FRR</w:t>
      </w:r>
      <w:r>
        <w:rPr>
          <w:rFonts w:ascii="Times New Roman" w:eastAsia="Times New Roman" w:hAnsi="Times New Roman" w:cs="Times New Roman"/>
          <w:snapToGrid w:val="0"/>
          <w:sz w:val="24"/>
          <w:szCs w:val="24"/>
          <w:lang w:eastAsia="en-AU"/>
        </w:rPr>
        <w:t xml:space="preserve"> is a large and complex instrument and remaking the instrument would impose considerable demand on the resources of the Department of Finance and the Office of Parliamentary Counsel in drafting the instrument, and on the resources of Commonwealth reporting entities (175 </w:t>
      </w:r>
      <w:r w:rsidR="00E20066">
        <w:rPr>
          <w:rFonts w:ascii="Times New Roman" w:eastAsia="Times New Roman" w:hAnsi="Times New Roman" w:cs="Times New Roman"/>
          <w:snapToGrid w:val="0"/>
          <w:sz w:val="24"/>
          <w:szCs w:val="24"/>
          <w:lang w:eastAsia="en-AU"/>
        </w:rPr>
        <w:t xml:space="preserve">as </w:t>
      </w:r>
      <w:r>
        <w:rPr>
          <w:rFonts w:ascii="Times New Roman" w:eastAsia="Times New Roman" w:hAnsi="Times New Roman" w:cs="Times New Roman"/>
          <w:snapToGrid w:val="0"/>
          <w:sz w:val="24"/>
          <w:szCs w:val="24"/>
          <w:lang w:eastAsia="en-AU"/>
        </w:rPr>
        <w:t xml:space="preserve">at 1 July 2024) in reviewing their systems and processes, with limited to no regulatory benefit. </w:t>
      </w:r>
    </w:p>
    <w:p w14:paraId="2F663866" w14:textId="0D6D5D37" w:rsidR="00527773" w:rsidRDefault="00527773" w:rsidP="00527773">
      <w:pPr>
        <w:rPr>
          <w:rFonts w:ascii="Times New Roman" w:eastAsia="Times New Roman" w:hAnsi="Times New Roman" w:cs="Times New Roman"/>
          <w:snapToGrid w:val="0"/>
          <w:sz w:val="24"/>
          <w:szCs w:val="24"/>
          <w:lang w:eastAsia="en-AU"/>
        </w:rPr>
      </w:pPr>
      <w:r>
        <w:rPr>
          <w:rFonts w:ascii="Times New Roman" w:eastAsia="Times New Roman" w:hAnsi="Times New Roman" w:cs="Times New Roman"/>
          <w:snapToGrid w:val="0"/>
          <w:sz w:val="24"/>
          <w:szCs w:val="24"/>
          <w:lang w:eastAsia="en-AU"/>
        </w:rPr>
        <w:t xml:space="preserve">Amendments to the </w:t>
      </w:r>
      <w:r w:rsidR="00F46908">
        <w:rPr>
          <w:rFonts w:ascii="Times New Roman" w:eastAsia="Times New Roman" w:hAnsi="Times New Roman" w:cs="Times New Roman"/>
          <w:snapToGrid w:val="0"/>
          <w:sz w:val="24"/>
          <w:szCs w:val="24"/>
          <w:lang w:eastAsia="en-AU"/>
        </w:rPr>
        <w:t>FRR</w:t>
      </w:r>
      <w:r>
        <w:rPr>
          <w:rFonts w:ascii="Times New Roman" w:eastAsia="Times New Roman" w:hAnsi="Times New Roman" w:cs="Times New Roman"/>
          <w:snapToGrid w:val="0"/>
          <w:sz w:val="24"/>
          <w:szCs w:val="24"/>
          <w:lang w:eastAsia="en-AU"/>
        </w:rPr>
        <w:t xml:space="preserve"> require reporting entities to update their financial reporting requirements, systems, processes, and policy documents. Progressive amendments to the </w:t>
      </w:r>
      <w:r w:rsidR="00F46908">
        <w:rPr>
          <w:rFonts w:ascii="Times New Roman" w:eastAsia="Times New Roman" w:hAnsi="Times New Roman" w:cs="Times New Roman"/>
          <w:snapToGrid w:val="0"/>
          <w:sz w:val="24"/>
          <w:szCs w:val="24"/>
          <w:lang w:eastAsia="en-AU"/>
        </w:rPr>
        <w:t>FRR</w:t>
      </w:r>
      <w:r>
        <w:rPr>
          <w:rFonts w:ascii="Times New Roman" w:eastAsia="Times New Roman" w:hAnsi="Times New Roman" w:cs="Times New Roman"/>
          <w:snapToGrid w:val="0"/>
          <w:sz w:val="24"/>
          <w:szCs w:val="24"/>
          <w:lang w:eastAsia="en-AU"/>
        </w:rPr>
        <w:t xml:space="preserve"> are highly beneficial to stakeholders and are better suited to the operational context by continually maintaining the health and overall currency of the instrument.</w:t>
      </w:r>
    </w:p>
    <w:p w14:paraId="7F8E60BD" w14:textId="379DAE65" w:rsidR="00527773" w:rsidRDefault="00527773" w:rsidP="00527773">
      <w:pPr>
        <w:rPr>
          <w:rFonts w:ascii="Times New Roman" w:eastAsia="Times New Roman" w:hAnsi="Times New Roman" w:cs="Times New Roman"/>
          <w:snapToGrid w:val="0"/>
          <w:sz w:val="24"/>
          <w:szCs w:val="24"/>
          <w:lang w:eastAsia="en-AU"/>
        </w:rPr>
      </w:pPr>
      <w:r>
        <w:rPr>
          <w:rFonts w:ascii="Times New Roman" w:eastAsia="Times New Roman" w:hAnsi="Times New Roman" w:cs="Times New Roman"/>
          <w:snapToGrid w:val="0"/>
          <w:sz w:val="24"/>
          <w:szCs w:val="24"/>
          <w:lang w:eastAsia="en-AU"/>
        </w:rPr>
        <w:t xml:space="preserve">Assurance that the operation and requirements prescribed by the </w:t>
      </w:r>
      <w:r w:rsidR="00F46908">
        <w:rPr>
          <w:rFonts w:ascii="Times New Roman" w:eastAsia="Times New Roman" w:hAnsi="Times New Roman" w:cs="Times New Roman"/>
          <w:snapToGrid w:val="0"/>
          <w:sz w:val="24"/>
          <w:szCs w:val="24"/>
          <w:lang w:eastAsia="en-AU"/>
        </w:rPr>
        <w:t>FRR</w:t>
      </w:r>
      <w:r>
        <w:rPr>
          <w:rFonts w:ascii="Times New Roman" w:eastAsia="Times New Roman" w:hAnsi="Times New Roman" w:cs="Times New Roman"/>
          <w:snapToGrid w:val="0"/>
          <w:sz w:val="24"/>
          <w:szCs w:val="24"/>
          <w:lang w:eastAsia="en-AU"/>
        </w:rPr>
        <w:t xml:space="preserve"> remain beyond ten years would further provide certainty to reporting entities that the requirements for financial statements will continue without adding to the administrative burden and considerable demand on resources caused by new legislative instruments at the time of sunsetting. As the governance framework of the instrument has now reached maturation, greater efficiencies could be gained by requiring entities to experience this burden only when required as opposed to every ten years for the foreseeable future.</w:t>
      </w:r>
    </w:p>
    <w:p w14:paraId="14224200" w14:textId="77777777" w:rsidR="00527773" w:rsidRPr="00267527" w:rsidRDefault="00527773" w:rsidP="00527773">
      <w:pPr>
        <w:rPr>
          <w:rFonts w:ascii="Times New Roman" w:eastAsia="Times New Roman" w:hAnsi="Times New Roman" w:cs="Times New Roman"/>
          <w:snapToGrid w:val="0"/>
          <w:sz w:val="24"/>
          <w:szCs w:val="24"/>
          <w:u w:val="single"/>
          <w:lang w:eastAsia="en-AU"/>
        </w:rPr>
      </w:pPr>
      <w:r w:rsidRPr="00267527">
        <w:rPr>
          <w:rFonts w:ascii="Times New Roman" w:eastAsia="Times New Roman" w:hAnsi="Times New Roman" w:cs="Times New Roman"/>
          <w:snapToGrid w:val="0"/>
          <w:sz w:val="24"/>
          <w:szCs w:val="24"/>
          <w:u w:val="single"/>
          <w:lang w:eastAsia="en-AU"/>
        </w:rPr>
        <w:t>Subject to regular review</w:t>
      </w:r>
    </w:p>
    <w:p w14:paraId="014ABFEA" w14:textId="37382100" w:rsidR="00527773" w:rsidRDefault="00527773" w:rsidP="00527773">
      <w:pPr>
        <w:pStyle w:val="Basetext"/>
        <w:spacing w:before="240" w:after="200"/>
        <w:rPr>
          <w:sz w:val="24"/>
          <w:szCs w:val="24"/>
          <w:lang w:eastAsia="en-AU"/>
        </w:rPr>
      </w:pPr>
      <w:r>
        <w:rPr>
          <w:sz w:val="24"/>
          <w:szCs w:val="24"/>
          <w:lang w:eastAsia="en-AU"/>
        </w:rPr>
        <w:t xml:space="preserve">The </w:t>
      </w:r>
      <w:r w:rsidR="00F46908">
        <w:rPr>
          <w:sz w:val="24"/>
          <w:szCs w:val="24"/>
          <w:lang w:eastAsia="en-AU"/>
        </w:rPr>
        <w:t>FRR</w:t>
      </w:r>
      <w:r>
        <w:rPr>
          <w:sz w:val="24"/>
          <w:szCs w:val="24"/>
          <w:lang w:eastAsia="en-AU"/>
        </w:rPr>
        <w:t xml:space="preserve"> is the subject of at least annual review to ensure that it is maintained and remains responsive to the expectations of Parliament, the changing operational environment of the Commonwealth entities and companies, and complies with the Australian Accounting Standards. This includes annual independent reviews by the Auditor-General through the </w:t>
      </w:r>
      <w:r>
        <w:rPr>
          <w:sz w:val="24"/>
          <w:szCs w:val="24"/>
          <w:lang w:eastAsia="en-AU"/>
        </w:rPr>
        <w:lastRenderedPageBreak/>
        <w:t>Australian National Audit Office and annual surveys undertaken by the Department of Finance involving the Chief Financial Officers (CFOs) of Commonwealth reporting entities.</w:t>
      </w:r>
    </w:p>
    <w:p w14:paraId="2BB1132E" w14:textId="2EF14082" w:rsidR="00527773" w:rsidRPr="0090510B" w:rsidRDefault="00527773" w:rsidP="00527773">
      <w:pPr>
        <w:pStyle w:val="Basetext"/>
        <w:spacing w:before="240"/>
        <w:rPr>
          <w:i/>
          <w:sz w:val="24"/>
          <w:szCs w:val="24"/>
          <w:lang w:eastAsia="en-AU"/>
        </w:rPr>
      </w:pPr>
      <w:r>
        <w:rPr>
          <w:i/>
          <w:sz w:val="24"/>
          <w:szCs w:val="24"/>
          <w:lang w:eastAsia="en-AU"/>
        </w:rPr>
        <w:t>Annual i</w:t>
      </w:r>
      <w:r w:rsidRPr="0090510B">
        <w:rPr>
          <w:i/>
          <w:sz w:val="24"/>
          <w:szCs w:val="24"/>
          <w:lang w:eastAsia="en-AU"/>
        </w:rPr>
        <w:t>ndependent reviews</w:t>
      </w:r>
      <w:r>
        <w:rPr>
          <w:i/>
          <w:sz w:val="24"/>
          <w:szCs w:val="24"/>
          <w:lang w:eastAsia="en-AU"/>
        </w:rPr>
        <w:br/>
      </w:r>
      <w:r w:rsidRPr="0090510B">
        <w:rPr>
          <w:sz w:val="24"/>
          <w:szCs w:val="24"/>
          <w:lang w:eastAsia="en-AU"/>
        </w:rPr>
        <w:t>The Australian National Audit Office annually publishes results from the Auditor-General’s audits</w:t>
      </w:r>
      <w:r>
        <w:rPr>
          <w:sz w:val="24"/>
          <w:szCs w:val="24"/>
          <w:lang w:eastAsia="en-AU"/>
        </w:rPr>
        <w:t xml:space="preserve"> </w:t>
      </w:r>
      <w:r w:rsidRPr="0090510B">
        <w:rPr>
          <w:sz w:val="24"/>
          <w:szCs w:val="24"/>
          <w:lang w:eastAsia="en-AU"/>
        </w:rPr>
        <w:t>of the financial statements of Australian Government entities. The J</w:t>
      </w:r>
      <w:r>
        <w:rPr>
          <w:sz w:val="24"/>
          <w:szCs w:val="24"/>
          <w:lang w:eastAsia="en-AU"/>
        </w:rPr>
        <w:t>oint Committee of Public Accounts and Audit (J</w:t>
      </w:r>
      <w:r w:rsidRPr="0090510B">
        <w:rPr>
          <w:sz w:val="24"/>
          <w:szCs w:val="24"/>
          <w:lang w:eastAsia="en-AU"/>
        </w:rPr>
        <w:t>CPAA</w:t>
      </w:r>
      <w:r>
        <w:rPr>
          <w:sz w:val="24"/>
          <w:szCs w:val="24"/>
          <w:lang w:eastAsia="en-AU"/>
        </w:rPr>
        <w:t>)</w:t>
      </w:r>
      <w:r w:rsidRPr="0090510B">
        <w:rPr>
          <w:sz w:val="24"/>
          <w:szCs w:val="24"/>
          <w:lang w:eastAsia="en-AU"/>
        </w:rPr>
        <w:t xml:space="preserve"> has a duty to examine all</w:t>
      </w:r>
      <w:r>
        <w:rPr>
          <w:sz w:val="24"/>
          <w:szCs w:val="24"/>
          <w:lang w:eastAsia="en-AU"/>
        </w:rPr>
        <w:t xml:space="preserve"> </w:t>
      </w:r>
      <w:r w:rsidRPr="0090510B">
        <w:rPr>
          <w:sz w:val="24"/>
          <w:szCs w:val="24"/>
          <w:lang w:eastAsia="en-AU"/>
        </w:rPr>
        <w:t>reports of the Auditor-General that are tabled in Parliament and to report on any matters</w:t>
      </w:r>
      <w:r>
        <w:rPr>
          <w:sz w:val="24"/>
          <w:szCs w:val="24"/>
          <w:lang w:eastAsia="en-AU"/>
        </w:rPr>
        <w:t xml:space="preserve"> </w:t>
      </w:r>
      <w:r w:rsidRPr="0090510B">
        <w:rPr>
          <w:sz w:val="24"/>
          <w:szCs w:val="24"/>
          <w:lang w:eastAsia="en-AU"/>
        </w:rPr>
        <w:t>connected with those reports that the Committee determines should be drawn to the attention of</w:t>
      </w:r>
      <w:r>
        <w:rPr>
          <w:sz w:val="24"/>
          <w:szCs w:val="24"/>
          <w:lang w:eastAsia="en-AU"/>
        </w:rPr>
        <w:t xml:space="preserve"> </w:t>
      </w:r>
      <w:r w:rsidRPr="0090510B">
        <w:rPr>
          <w:sz w:val="24"/>
          <w:szCs w:val="24"/>
          <w:lang w:eastAsia="en-AU"/>
        </w:rPr>
        <w:t>the Parliament. This review may include recommendations to amend financial reporting</w:t>
      </w:r>
      <w:r>
        <w:rPr>
          <w:sz w:val="24"/>
          <w:szCs w:val="24"/>
          <w:lang w:eastAsia="en-AU"/>
        </w:rPr>
        <w:t xml:space="preserve"> </w:t>
      </w:r>
      <w:r w:rsidRPr="0090510B">
        <w:rPr>
          <w:sz w:val="24"/>
          <w:szCs w:val="24"/>
          <w:lang w:eastAsia="en-AU"/>
        </w:rPr>
        <w:t xml:space="preserve">requirements which may involve changes in policy guidance or in the </w:t>
      </w:r>
      <w:r w:rsidR="00F46908">
        <w:rPr>
          <w:sz w:val="24"/>
          <w:szCs w:val="24"/>
          <w:lang w:eastAsia="en-AU"/>
        </w:rPr>
        <w:t>FRR</w:t>
      </w:r>
      <w:r w:rsidRPr="0090510B">
        <w:rPr>
          <w:sz w:val="24"/>
          <w:szCs w:val="24"/>
          <w:lang w:eastAsia="en-AU"/>
        </w:rPr>
        <w:t>. For example, a</w:t>
      </w:r>
      <w:r>
        <w:rPr>
          <w:sz w:val="24"/>
          <w:szCs w:val="24"/>
          <w:lang w:eastAsia="en-AU"/>
        </w:rPr>
        <w:t xml:space="preserve"> </w:t>
      </w:r>
      <w:r w:rsidRPr="0090510B">
        <w:rPr>
          <w:sz w:val="24"/>
          <w:szCs w:val="24"/>
          <w:lang w:eastAsia="en-AU"/>
        </w:rPr>
        <w:t xml:space="preserve">recommendation from the JCPAA’s </w:t>
      </w:r>
      <w:r w:rsidRPr="0090510B">
        <w:rPr>
          <w:i/>
          <w:sz w:val="24"/>
          <w:szCs w:val="24"/>
          <w:lang w:eastAsia="en-AU"/>
        </w:rPr>
        <w:t>Report 463: Commonwealth Financial Statements</w:t>
      </w:r>
      <w:r w:rsidRPr="0090510B">
        <w:rPr>
          <w:sz w:val="24"/>
          <w:szCs w:val="24"/>
          <w:lang w:eastAsia="en-AU"/>
        </w:rPr>
        <w:t xml:space="preserve"> resulted in</w:t>
      </w:r>
      <w:r>
        <w:rPr>
          <w:sz w:val="24"/>
          <w:szCs w:val="24"/>
          <w:lang w:eastAsia="en-AU"/>
        </w:rPr>
        <w:t xml:space="preserve"> </w:t>
      </w:r>
      <w:r w:rsidRPr="0090510B">
        <w:rPr>
          <w:sz w:val="24"/>
          <w:szCs w:val="24"/>
          <w:lang w:eastAsia="en-AU"/>
        </w:rPr>
        <w:t xml:space="preserve">an amendment to the FRR in 2019 (see </w:t>
      </w:r>
      <w:r w:rsidRPr="0090510B">
        <w:rPr>
          <w:i/>
          <w:sz w:val="24"/>
          <w:szCs w:val="24"/>
          <w:lang w:eastAsia="en-AU"/>
        </w:rPr>
        <w:t xml:space="preserve">PGPA (Financial Reporting) Amendment Rule 2019 </w:t>
      </w:r>
      <w:r w:rsidRPr="0090510B">
        <w:rPr>
          <w:sz w:val="24"/>
          <w:szCs w:val="24"/>
          <w:lang w:eastAsia="en-AU"/>
        </w:rPr>
        <w:t>(C04),</w:t>
      </w:r>
      <w:r>
        <w:rPr>
          <w:sz w:val="24"/>
          <w:szCs w:val="24"/>
          <w:lang w:eastAsia="en-AU"/>
        </w:rPr>
        <w:t xml:space="preserve"> </w:t>
      </w:r>
      <w:r w:rsidRPr="0090510B">
        <w:rPr>
          <w:sz w:val="24"/>
          <w:szCs w:val="24"/>
          <w:lang w:eastAsia="en-AU"/>
        </w:rPr>
        <w:t>effective 26</w:t>
      </w:r>
      <w:r>
        <w:rPr>
          <w:sz w:val="24"/>
          <w:szCs w:val="24"/>
          <w:lang w:eastAsia="en-AU"/>
        </w:rPr>
        <w:t> </w:t>
      </w:r>
      <w:r w:rsidRPr="0090510B">
        <w:rPr>
          <w:sz w:val="24"/>
          <w:szCs w:val="24"/>
          <w:lang w:eastAsia="en-AU"/>
        </w:rPr>
        <w:t>Mar</w:t>
      </w:r>
      <w:r>
        <w:rPr>
          <w:sz w:val="24"/>
          <w:szCs w:val="24"/>
          <w:lang w:eastAsia="en-AU"/>
        </w:rPr>
        <w:t>ch</w:t>
      </w:r>
      <w:r w:rsidRPr="0090510B">
        <w:rPr>
          <w:sz w:val="24"/>
          <w:szCs w:val="24"/>
          <w:lang w:eastAsia="en-AU"/>
        </w:rPr>
        <w:t xml:space="preserve"> 2019 to 4 March 2020).</w:t>
      </w:r>
    </w:p>
    <w:p w14:paraId="433994C4" w14:textId="541728E2" w:rsidR="00527773" w:rsidRPr="0090510B" w:rsidRDefault="00527773" w:rsidP="00527773">
      <w:pPr>
        <w:pStyle w:val="Basetext"/>
        <w:spacing w:before="240"/>
        <w:rPr>
          <w:sz w:val="24"/>
          <w:szCs w:val="24"/>
          <w:lang w:eastAsia="en-AU"/>
        </w:rPr>
      </w:pPr>
      <w:r w:rsidRPr="0090510B">
        <w:rPr>
          <w:sz w:val="24"/>
          <w:szCs w:val="24"/>
          <w:lang w:eastAsia="en-AU"/>
        </w:rPr>
        <w:t xml:space="preserve">The </w:t>
      </w:r>
      <w:r w:rsidR="00F46908">
        <w:rPr>
          <w:sz w:val="24"/>
          <w:szCs w:val="24"/>
          <w:lang w:eastAsia="en-AU"/>
        </w:rPr>
        <w:t>FRR</w:t>
      </w:r>
      <w:r w:rsidRPr="0090510B">
        <w:rPr>
          <w:sz w:val="24"/>
          <w:szCs w:val="24"/>
          <w:lang w:eastAsia="en-AU"/>
        </w:rPr>
        <w:t xml:space="preserve"> is also reviewed as a result of changes to the Australian Accounting Standards. The</w:t>
      </w:r>
      <w:r>
        <w:rPr>
          <w:sz w:val="24"/>
          <w:szCs w:val="24"/>
          <w:lang w:eastAsia="en-AU"/>
        </w:rPr>
        <w:t xml:space="preserve"> </w:t>
      </w:r>
      <w:r w:rsidRPr="0090510B">
        <w:rPr>
          <w:sz w:val="24"/>
          <w:szCs w:val="24"/>
          <w:lang w:eastAsia="en-AU"/>
        </w:rPr>
        <w:t>Australian Accounting Standards Board (AASB) is responsible for developing, issuing and</w:t>
      </w:r>
      <w:r>
        <w:rPr>
          <w:sz w:val="24"/>
          <w:szCs w:val="24"/>
          <w:lang w:eastAsia="en-AU"/>
        </w:rPr>
        <w:t xml:space="preserve"> </w:t>
      </w:r>
      <w:r w:rsidRPr="0090510B">
        <w:rPr>
          <w:sz w:val="24"/>
          <w:szCs w:val="24"/>
          <w:lang w:eastAsia="en-AU"/>
        </w:rPr>
        <w:t xml:space="preserve">maintaining accounting standards. For example, one of the 2021-22 amendments to the </w:t>
      </w:r>
      <w:r w:rsidR="00F46908">
        <w:rPr>
          <w:sz w:val="24"/>
          <w:szCs w:val="24"/>
          <w:lang w:eastAsia="en-AU"/>
        </w:rPr>
        <w:t>FRR</w:t>
      </w:r>
      <w:r>
        <w:rPr>
          <w:sz w:val="24"/>
          <w:szCs w:val="24"/>
          <w:lang w:eastAsia="en-AU"/>
        </w:rPr>
        <w:t xml:space="preserve"> </w:t>
      </w:r>
      <w:r w:rsidRPr="0090510B">
        <w:rPr>
          <w:sz w:val="24"/>
          <w:szCs w:val="24"/>
          <w:lang w:eastAsia="en-AU"/>
        </w:rPr>
        <w:t xml:space="preserve">related to additional disclosure requirements as a result of the introduction of AASB 1060 </w:t>
      </w:r>
      <w:r w:rsidRPr="0090510B">
        <w:rPr>
          <w:i/>
          <w:sz w:val="24"/>
          <w:szCs w:val="24"/>
          <w:lang w:eastAsia="en-AU"/>
        </w:rPr>
        <w:t>General Purpose Financial Statements – Simplified Disclosures for For-Profit and Not-for Profit Tier 2 Entities</w:t>
      </w:r>
      <w:r w:rsidRPr="0090510B">
        <w:rPr>
          <w:sz w:val="24"/>
          <w:szCs w:val="24"/>
          <w:lang w:eastAsia="en-AU"/>
        </w:rPr>
        <w:t>.</w:t>
      </w:r>
    </w:p>
    <w:p w14:paraId="130D0C5E" w14:textId="17884B42" w:rsidR="00527773" w:rsidRPr="0090510B" w:rsidRDefault="00527773" w:rsidP="00527773">
      <w:pPr>
        <w:pStyle w:val="Basetext"/>
        <w:spacing w:before="240" w:after="200"/>
        <w:rPr>
          <w:i/>
          <w:sz w:val="24"/>
          <w:szCs w:val="24"/>
          <w:lang w:eastAsia="en-AU"/>
        </w:rPr>
      </w:pPr>
      <w:r w:rsidRPr="0090510B">
        <w:rPr>
          <w:i/>
          <w:sz w:val="24"/>
          <w:szCs w:val="24"/>
          <w:lang w:eastAsia="en-AU"/>
        </w:rPr>
        <w:t>Annual survey</w:t>
      </w:r>
      <w:r>
        <w:rPr>
          <w:i/>
          <w:sz w:val="24"/>
          <w:szCs w:val="24"/>
          <w:lang w:eastAsia="en-AU"/>
        </w:rPr>
        <w:br/>
      </w:r>
      <w:r w:rsidRPr="0090510B">
        <w:rPr>
          <w:sz w:val="24"/>
          <w:szCs w:val="24"/>
          <w:lang w:eastAsia="en-AU"/>
        </w:rPr>
        <w:t>Since 2015, an annual survey has been conducted by the Department of Finance inviting the CFOs</w:t>
      </w:r>
      <w:r>
        <w:rPr>
          <w:sz w:val="24"/>
          <w:szCs w:val="24"/>
          <w:lang w:eastAsia="en-AU"/>
        </w:rPr>
        <w:t xml:space="preserve"> </w:t>
      </w:r>
      <w:r w:rsidRPr="0090510B">
        <w:rPr>
          <w:sz w:val="24"/>
          <w:szCs w:val="24"/>
          <w:lang w:eastAsia="en-AU"/>
        </w:rPr>
        <w:t>of Commonwealth reporting entities and the Australian National Audit Office to provide feedback</w:t>
      </w:r>
      <w:r>
        <w:rPr>
          <w:sz w:val="24"/>
          <w:szCs w:val="24"/>
          <w:lang w:eastAsia="en-AU"/>
        </w:rPr>
        <w:t xml:space="preserve"> </w:t>
      </w:r>
      <w:r w:rsidRPr="0090510B">
        <w:rPr>
          <w:sz w:val="24"/>
          <w:szCs w:val="24"/>
          <w:lang w:eastAsia="en-AU"/>
        </w:rPr>
        <w:t xml:space="preserve">on implementation challenges they may have encountered in applying the </w:t>
      </w:r>
      <w:r w:rsidR="00F46908">
        <w:rPr>
          <w:sz w:val="24"/>
          <w:szCs w:val="24"/>
          <w:lang w:eastAsia="en-AU"/>
        </w:rPr>
        <w:t>FRR</w:t>
      </w:r>
      <w:r w:rsidRPr="0090510B">
        <w:rPr>
          <w:sz w:val="24"/>
          <w:szCs w:val="24"/>
          <w:lang w:eastAsia="en-AU"/>
        </w:rPr>
        <w:t xml:space="preserve"> and to ensure that</w:t>
      </w:r>
      <w:r>
        <w:rPr>
          <w:sz w:val="24"/>
          <w:szCs w:val="24"/>
          <w:lang w:eastAsia="en-AU"/>
        </w:rPr>
        <w:t xml:space="preserve"> </w:t>
      </w:r>
      <w:r w:rsidRPr="0090510B">
        <w:rPr>
          <w:sz w:val="24"/>
          <w:szCs w:val="24"/>
          <w:lang w:eastAsia="en-AU"/>
        </w:rPr>
        <w:t>the instrument remains current and fit-for-purpose.</w:t>
      </w:r>
    </w:p>
    <w:p w14:paraId="76A0362E" w14:textId="4837A990" w:rsidR="00527773" w:rsidRPr="0090510B" w:rsidRDefault="00527773" w:rsidP="00527773">
      <w:pPr>
        <w:pStyle w:val="Basetext"/>
        <w:spacing w:before="240"/>
        <w:rPr>
          <w:sz w:val="24"/>
          <w:szCs w:val="24"/>
          <w:lang w:eastAsia="en-AU"/>
        </w:rPr>
      </w:pPr>
      <w:r w:rsidRPr="0090510B">
        <w:rPr>
          <w:sz w:val="24"/>
          <w:szCs w:val="24"/>
          <w:lang w:eastAsia="en-AU"/>
        </w:rPr>
        <w:t xml:space="preserve">In accordance with section 17 of the </w:t>
      </w:r>
      <w:r w:rsidRPr="0090510B">
        <w:rPr>
          <w:i/>
          <w:sz w:val="24"/>
          <w:szCs w:val="24"/>
          <w:lang w:eastAsia="en-AU"/>
        </w:rPr>
        <w:t>Legislation Act 2003</w:t>
      </w:r>
      <w:r w:rsidRPr="0090510B">
        <w:rPr>
          <w:sz w:val="24"/>
          <w:szCs w:val="24"/>
          <w:lang w:eastAsia="en-AU"/>
        </w:rPr>
        <w:t>, Commonwealth reporting entities</w:t>
      </w:r>
      <w:r>
        <w:rPr>
          <w:sz w:val="24"/>
          <w:szCs w:val="24"/>
          <w:lang w:eastAsia="en-AU"/>
        </w:rPr>
        <w:t xml:space="preserve"> </w:t>
      </w:r>
      <w:r w:rsidRPr="0090510B">
        <w:rPr>
          <w:sz w:val="24"/>
          <w:szCs w:val="24"/>
          <w:lang w:eastAsia="en-AU"/>
        </w:rPr>
        <w:t xml:space="preserve">required to apply the </w:t>
      </w:r>
      <w:r w:rsidR="00F46908">
        <w:rPr>
          <w:sz w:val="24"/>
          <w:szCs w:val="24"/>
          <w:lang w:eastAsia="en-AU"/>
        </w:rPr>
        <w:t>FRR</w:t>
      </w:r>
      <w:r w:rsidRPr="0090510B">
        <w:rPr>
          <w:sz w:val="24"/>
          <w:szCs w:val="24"/>
          <w:lang w:eastAsia="en-AU"/>
        </w:rPr>
        <w:t xml:space="preserve"> in preparing their financial statements, including the Australian National</w:t>
      </w:r>
      <w:r>
        <w:rPr>
          <w:sz w:val="24"/>
          <w:szCs w:val="24"/>
          <w:lang w:eastAsia="en-AU"/>
        </w:rPr>
        <w:t xml:space="preserve"> </w:t>
      </w:r>
      <w:r w:rsidRPr="0090510B">
        <w:rPr>
          <w:sz w:val="24"/>
          <w:szCs w:val="24"/>
          <w:lang w:eastAsia="en-AU"/>
        </w:rPr>
        <w:t xml:space="preserve">Audit Office, have been consulted each year since the </w:t>
      </w:r>
      <w:r w:rsidR="00F46908">
        <w:rPr>
          <w:sz w:val="24"/>
          <w:szCs w:val="24"/>
          <w:lang w:eastAsia="en-AU"/>
        </w:rPr>
        <w:t>FRR</w:t>
      </w:r>
      <w:r w:rsidRPr="0090510B">
        <w:rPr>
          <w:sz w:val="24"/>
          <w:szCs w:val="24"/>
          <w:lang w:eastAsia="en-AU"/>
        </w:rPr>
        <w:t xml:space="preserve"> commenced in 2015. This arrangement</w:t>
      </w:r>
      <w:r>
        <w:rPr>
          <w:sz w:val="24"/>
          <w:szCs w:val="24"/>
          <w:lang w:eastAsia="en-AU"/>
        </w:rPr>
        <w:t xml:space="preserve"> </w:t>
      </w:r>
      <w:r w:rsidRPr="0090510B">
        <w:rPr>
          <w:sz w:val="24"/>
          <w:szCs w:val="24"/>
          <w:lang w:eastAsia="en-AU"/>
        </w:rPr>
        <w:t xml:space="preserve">ensures the </w:t>
      </w:r>
      <w:r w:rsidR="00F46908">
        <w:rPr>
          <w:sz w:val="24"/>
          <w:szCs w:val="24"/>
          <w:lang w:eastAsia="en-AU"/>
        </w:rPr>
        <w:t>FRR</w:t>
      </w:r>
      <w:r w:rsidRPr="0090510B">
        <w:rPr>
          <w:sz w:val="24"/>
          <w:szCs w:val="24"/>
          <w:lang w:eastAsia="en-AU"/>
        </w:rPr>
        <w:t xml:space="preserve"> aligns with the current Australian Accounting Standards,</w:t>
      </w:r>
      <w:r w:rsidR="008C1C0A">
        <w:rPr>
          <w:sz w:val="24"/>
          <w:szCs w:val="24"/>
          <w:lang w:eastAsia="en-AU"/>
        </w:rPr>
        <w:t xml:space="preserve"> and</w:t>
      </w:r>
      <w:r w:rsidRPr="0090510B">
        <w:rPr>
          <w:sz w:val="24"/>
          <w:szCs w:val="24"/>
          <w:lang w:eastAsia="en-AU"/>
        </w:rPr>
        <w:t xml:space="preserve"> is kept up-to-date in the future.</w:t>
      </w:r>
    </w:p>
    <w:p w14:paraId="7B4B8036" w14:textId="77777777" w:rsidR="00527773" w:rsidRDefault="00527773" w:rsidP="00527773">
      <w:pPr>
        <w:pStyle w:val="Basetext"/>
        <w:spacing w:before="240"/>
        <w:rPr>
          <w:sz w:val="24"/>
          <w:szCs w:val="24"/>
          <w:lang w:eastAsia="en-AU"/>
        </w:rPr>
      </w:pPr>
      <w:r w:rsidRPr="00784F8C" w:rsidDel="00863CDD">
        <w:rPr>
          <w:sz w:val="24"/>
          <w:szCs w:val="24"/>
          <w:u w:val="single"/>
          <w:lang w:eastAsia="en-AU"/>
        </w:rPr>
        <w:t>Subject to regular amendments</w:t>
      </w:r>
    </w:p>
    <w:p w14:paraId="1A82A16A" w14:textId="109399FE" w:rsidR="00527773" w:rsidRPr="00D3566A" w:rsidDel="00863CDD" w:rsidRDefault="00527773" w:rsidP="00527773">
      <w:pPr>
        <w:pStyle w:val="Basetext"/>
        <w:spacing w:before="240"/>
        <w:rPr>
          <w:i/>
          <w:sz w:val="24"/>
          <w:szCs w:val="24"/>
          <w:lang w:eastAsia="en-AU"/>
        </w:rPr>
      </w:pPr>
      <w:r w:rsidRPr="00784F8C">
        <w:rPr>
          <w:sz w:val="24"/>
          <w:szCs w:val="24"/>
          <w:lang w:eastAsia="en-AU"/>
        </w:rPr>
        <w:t>Since its commencement in 2015,</w:t>
      </w:r>
      <w:r>
        <w:rPr>
          <w:i/>
          <w:sz w:val="24"/>
          <w:szCs w:val="24"/>
          <w:lang w:eastAsia="en-AU"/>
        </w:rPr>
        <w:t xml:space="preserve"> </w:t>
      </w:r>
      <w:r>
        <w:rPr>
          <w:sz w:val="24"/>
          <w:szCs w:val="24"/>
          <w:lang w:eastAsia="en-AU"/>
        </w:rPr>
        <w:t>t</w:t>
      </w:r>
      <w:r w:rsidDel="00863CDD">
        <w:rPr>
          <w:sz w:val="24"/>
          <w:szCs w:val="24"/>
          <w:lang w:eastAsia="en-AU"/>
        </w:rPr>
        <w:t xml:space="preserve">he </w:t>
      </w:r>
      <w:r w:rsidR="00F46908">
        <w:rPr>
          <w:sz w:val="24"/>
          <w:szCs w:val="24"/>
          <w:lang w:eastAsia="en-AU"/>
        </w:rPr>
        <w:t>FRR</w:t>
      </w:r>
      <w:r w:rsidRPr="0090510B" w:rsidDel="00863CDD">
        <w:rPr>
          <w:sz w:val="24"/>
          <w:szCs w:val="24"/>
          <w:lang w:eastAsia="en-AU"/>
        </w:rPr>
        <w:t xml:space="preserve"> has been amended </w:t>
      </w:r>
      <w:r w:rsidDel="00863CDD">
        <w:rPr>
          <w:sz w:val="24"/>
          <w:szCs w:val="24"/>
          <w:lang w:eastAsia="en-AU"/>
        </w:rPr>
        <w:t xml:space="preserve">8 </w:t>
      </w:r>
      <w:r w:rsidRPr="0090510B" w:rsidDel="00863CDD">
        <w:rPr>
          <w:sz w:val="24"/>
          <w:szCs w:val="24"/>
          <w:lang w:eastAsia="en-AU"/>
        </w:rPr>
        <w:t>times</w:t>
      </w:r>
      <w:r>
        <w:rPr>
          <w:sz w:val="24"/>
          <w:szCs w:val="24"/>
          <w:lang w:eastAsia="en-AU"/>
        </w:rPr>
        <w:t xml:space="preserve"> as a result of regular reviews.</w:t>
      </w:r>
    </w:p>
    <w:p w14:paraId="2077147C" w14:textId="27D2437A" w:rsidR="00527773" w:rsidRDefault="00527773" w:rsidP="00527773">
      <w:pPr>
        <w:pStyle w:val="Basetext"/>
        <w:spacing w:before="240"/>
        <w:rPr>
          <w:sz w:val="24"/>
          <w:szCs w:val="24"/>
        </w:rPr>
      </w:pPr>
      <w:r>
        <w:rPr>
          <w:sz w:val="24"/>
          <w:szCs w:val="24"/>
          <w:lang w:eastAsia="en-AU"/>
        </w:rPr>
        <w:t xml:space="preserve">For the reasons outlined above, it is not suitable to subject the </w:t>
      </w:r>
      <w:r w:rsidR="00F46908">
        <w:rPr>
          <w:sz w:val="24"/>
          <w:szCs w:val="24"/>
          <w:lang w:eastAsia="en-AU"/>
        </w:rPr>
        <w:t>FRR</w:t>
      </w:r>
      <w:r>
        <w:rPr>
          <w:sz w:val="24"/>
          <w:szCs w:val="24"/>
          <w:lang w:eastAsia="en-AU"/>
        </w:rPr>
        <w:t xml:space="preserve"> to the requirements of sunsetting given the instrument is </w:t>
      </w:r>
      <w:r w:rsidRPr="00267527">
        <w:rPr>
          <w:sz w:val="24"/>
          <w:szCs w:val="24"/>
        </w:rPr>
        <w:t>sufficiently large and complex that the administrative burden associated with remaking the instrument would outweigh any regulatory benefit</w:t>
      </w:r>
      <w:r>
        <w:rPr>
          <w:sz w:val="24"/>
          <w:szCs w:val="24"/>
        </w:rPr>
        <w:t xml:space="preserve">, and it is </w:t>
      </w:r>
      <w:r w:rsidRPr="00267527">
        <w:rPr>
          <w:sz w:val="24"/>
          <w:szCs w:val="24"/>
        </w:rPr>
        <w:t>subject to regular review and</w:t>
      </w:r>
      <w:r>
        <w:rPr>
          <w:sz w:val="24"/>
          <w:szCs w:val="24"/>
        </w:rPr>
        <w:t xml:space="preserve"> </w:t>
      </w:r>
      <w:r w:rsidRPr="00267527">
        <w:rPr>
          <w:sz w:val="24"/>
          <w:szCs w:val="24"/>
        </w:rPr>
        <w:t>amendment.</w:t>
      </w:r>
    </w:p>
    <w:p w14:paraId="48736C1F" w14:textId="77777777" w:rsidR="00E20066" w:rsidRPr="004671A4" w:rsidRDefault="00E20066" w:rsidP="00527773">
      <w:pPr>
        <w:pStyle w:val="Basetext"/>
        <w:spacing w:before="240"/>
        <w:rPr>
          <w:i/>
          <w:color w:val="000000"/>
          <w:sz w:val="24"/>
          <w:szCs w:val="24"/>
          <w:lang w:eastAsia="en-AU"/>
        </w:rPr>
      </w:pPr>
    </w:p>
    <w:p w14:paraId="6FDAC68B" w14:textId="77777777" w:rsidR="00527773" w:rsidRPr="0090510B" w:rsidRDefault="00527773" w:rsidP="00527773">
      <w:pPr>
        <w:pStyle w:val="Basetext"/>
        <w:keepNext/>
        <w:spacing w:before="240"/>
        <w:rPr>
          <w:b/>
          <w:i/>
          <w:color w:val="000000"/>
          <w:sz w:val="24"/>
          <w:szCs w:val="24"/>
          <w:lang w:eastAsia="en-AU"/>
        </w:rPr>
      </w:pPr>
      <w:r w:rsidRPr="0090510B">
        <w:rPr>
          <w:b/>
          <w:i/>
          <w:color w:val="000000"/>
          <w:sz w:val="24"/>
          <w:szCs w:val="24"/>
          <w:lang w:eastAsia="en-AU"/>
        </w:rPr>
        <w:lastRenderedPageBreak/>
        <w:t xml:space="preserve">Exemption from sunsetting – </w:t>
      </w:r>
      <w:r>
        <w:rPr>
          <w:b/>
          <w:i/>
          <w:color w:val="000000"/>
          <w:sz w:val="24"/>
          <w:szCs w:val="24"/>
          <w:lang w:eastAsia="en-AU"/>
        </w:rPr>
        <w:t>A regulation made under the Public Health (Tobacco and Other Products) Act 2023</w:t>
      </w:r>
    </w:p>
    <w:p w14:paraId="36FFBE94" w14:textId="6FBB890B" w:rsidR="00527773" w:rsidRDefault="00527773" w:rsidP="00527773">
      <w:pPr>
        <w:pStyle w:val="Basetext"/>
        <w:keepNext/>
        <w:spacing w:before="240"/>
        <w:rPr>
          <w:color w:val="000000"/>
          <w:sz w:val="24"/>
          <w:szCs w:val="24"/>
          <w:lang w:eastAsia="en-AU"/>
        </w:rPr>
      </w:pPr>
      <w:r w:rsidRPr="00267527">
        <w:rPr>
          <w:color w:val="000000"/>
          <w:sz w:val="24"/>
          <w:szCs w:val="24"/>
          <w:lang w:eastAsia="en-AU"/>
        </w:rPr>
        <w:t>The</w:t>
      </w:r>
      <w:r>
        <w:rPr>
          <w:color w:val="000000"/>
          <w:sz w:val="24"/>
          <w:szCs w:val="24"/>
          <w:lang w:eastAsia="en-AU"/>
        </w:rPr>
        <w:t xml:space="preserve"> Amendment Regulations exempt a regulation made under the </w:t>
      </w:r>
      <w:r>
        <w:rPr>
          <w:i/>
          <w:color w:val="000000"/>
          <w:sz w:val="24"/>
          <w:szCs w:val="24"/>
          <w:lang w:eastAsia="en-AU"/>
        </w:rPr>
        <w:t xml:space="preserve">Public Health (Tobacco and Other Products) Act 2023 </w:t>
      </w:r>
      <w:r w:rsidRPr="00784F8C">
        <w:rPr>
          <w:color w:val="000000"/>
          <w:sz w:val="24"/>
          <w:szCs w:val="24"/>
          <w:lang w:eastAsia="en-AU"/>
        </w:rPr>
        <w:t xml:space="preserve">(the </w:t>
      </w:r>
      <w:r w:rsidR="000747A8">
        <w:rPr>
          <w:color w:val="000000"/>
          <w:sz w:val="24"/>
          <w:szCs w:val="24"/>
          <w:lang w:eastAsia="en-AU"/>
        </w:rPr>
        <w:t>Tobacco</w:t>
      </w:r>
      <w:r>
        <w:rPr>
          <w:color w:val="000000"/>
          <w:sz w:val="24"/>
          <w:szCs w:val="24"/>
          <w:lang w:eastAsia="en-AU"/>
        </w:rPr>
        <w:t xml:space="preserve"> Act)</w:t>
      </w:r>
      <w:r>
        <w:rPr>
          <w:i/>
          <w:color w:val="000000"/>
          <w:sz w:val="24"/>
          <w:szCs w:val="24"/>
          <w:lang w:eastAsia="en-AU"/>
        </w:rPr>
        <w:t xml:space="preserve"> </w:t>
      </w:r>
      <w:r>
        <w:rPr>
          <w:color w:val="000000"/>
          <w:sz w:val="24"/>
          <w:szCs w:val="24"/>
          <w:lang w:eastAsia="en-AU"/>
        </w:rPr>
        <w:t>from sunsetting under section 12 of the Principal Regulations. The</w:t>
      </w:r>
      <w:r w:rsidRPr="00267527">
        <w:rPr>
          <w:color w:val="000000"/>
          <w:sz w:val="24"/>
          <w:szCs w:val="24"/>
          <w:lang w:eastAsia="en-AU"/>
        </w:rPr>
        <w:t xml:space="preserve"> </w:t>
      </w:r>
      <w:r>
        <w:rPr>
          <w:i/>
          <w:color w:val="000000"/>
          <w:sz w:val="24"/>
          <w:szCs w:val="24"/>
          <w:lang w:eastAsia="en-AU"/>
        </w:rPr>
        <w:t>Public Health (Tobacco and Other Products) Regulations 2024</w:t>
      </w:r>
      <w:r>
        <w:rPr>
          <w:color w:val="000000"/>
          <w:sz w:val="24"/>
          <w:szCs w:val="24"/>
          <w:lang w:eastAsia="en-AU"/>
        </w:rPr>
        <w:t xml:space="preserve"> (</w:t>
      </w:r>
      <w:r w:rsidR="000747A8">
        <w:rPr>
          <w:color w:val="000000"/>
          <w:sz w:val="24"/>
          <w:szCs w:val="24"/>
          <w:lang w:eastAsia="en-AU"/>
        </w:rPr>
        <w:t>Tobacco</w:t>
      </w:r>
      <w:r>
        <w:rPr>
          <w:color w:val="000000"/>
          <w:sz w:val="24"/>
          <w:szCs w:val="24"/>
          <w:lang w:eastAsia="en-AU"/>
        </w:rPr>
        <w:t xml:space="preserve"> Regulations) </w:t>
      </w:r>
      <w:r w:rsidR="00D62CBB">
        <w:rPr>
          <w:color w:val="000000"/>
          <w:sz w:val="24"/>
          <w:szCs w:val="24"/>
          <w:lang w:eastAsia="en-AU"/>
        </w:rPr>
        <w:t>are</w:t>
      </w:r>
      <w:r>
        <w:rPr>
          <w:color w:val="000000"/>
          <w:sz w:val="24"/>
          <w:szCs w:val="24"/>
          <w:lang w:eastAsia="en-AU"/>
        </w:rPr>
        <w:t xml:space="preserve"> made under the </w:t>
      </w:r>
      <w:r w:rsidR="000747A8">
        <w:rPr>
          <w:color w:val="000000"/>
          <w:sz w:val="24"/>
          <w:szCs w:val="24"/>
          <w:lang w:eastAsia="en-AU"/>
        </w:rPr>
        <w:t>Tobacco</w:t>
      </w:r>
      <w:r>
        <w:rPr>
          <w:color w:val="000000"/>
          <w:sz w:val="24"/>
          <w:szCs w:val="24"/>
          <w:lang w:eastAsia="en-AU"/>
        </w:rPr>
        <w:t xml:space="preserve"> Act. The </w:t>
      </w:r>
      <w:r w:rsidR="000747A8">
        <w:rPr>
          <w:color w:val="000000"/>
          <w:sz w:val="24"/>
          <w:szCs w:val="24"/>
          <w:lang w:eastAsia="en-AU"/>
        </w:rPr>
        <w:t>Tobacco</w:t>
      </w:r>
      <w:r>
        <w:rPr>
          <w:color w:val="000000"/>
          <w:sz w:val="24"/>
          <w:szCs w:val="24"/>
          <w:lang w:eastAsia="en-AU"/>
        </w:rPr>
        <w:t xml:space="preserve"> Regulations give technical effect to the substantive provisions in the </w:t>
      </w:r>
      <w:r w:rsidR="000747A8">
        <w:rPr>
          <w:color w:val="000000"/>
          <w:sz w:val="24"/>
          <w:szCs w:val="24"/>
          <w:lang w:eastAsia="en-AU"/>
        </w:rPr>
        <w:t>Tobacco</w:t>
      </w:r>
      <w:r>
        <w:rPr>
          <w:color w:val="000000"/>
          <w:sz w:val="24"/>
          <w:szCs w:val="24"/>
          <w:lang w:eastAsia="en-AU"/>
        </w:rPr>
        <w:t xml:space="preserve"> Act</w:t>
      </w:r>
      <w:r>
        <w:rPr>
          <w:i/>
          <w:color w:val="000000"/>
          <w:sz w:val="24"/>
          <w:szCs w:val="24"/>
          <w:lang w:eastAsia="en-AU"/>
        </w:rPr>
        <w:t xml:space="preserve">. </w:t>
      </w:r>
      <w:r>
        <w:rPr>
          <w:color w:val="000000"/>
          <w:sz w:val="24"/>
          <w:szCs w:val="24"/>
          <w:lang w:eastAsia="en-AU"/>
        </w:rPr>
        <w:t xml:space="preserve"> </w:t>
      </w:r>
    </w:p>
    <w:p w14:paraId="0C3F05D1" w14:textId="53809AF4" w:rsidR="00527773" w:rsidRPr="00784F8C" w:rsidRDefault="00527773" w:rsidP="00527773">
      <w:pPr>
        <w:pStyle w:val="Basetext"/>
        <w:spacing w:before="240" w:after="200"/>
        <w:rPr>
          <w:sz w:val="24"/>
          <w:szCs w:val="24"/>
        </w:rPr>
      </w:pPr>
      <w:r w:rsidRPr="00267527">
        <w:rPr>
          <w:sz w:val="24"/>
          <w:szCs w:val="24"/>
        </w:rPr>
        <w:t xml:space="preserve">It is appropriate that the </w:t>
      </w:r>
      <w:r w:rsidR="000747A8">
        <w:rPr>
          <w:sz w:val="24"/>
          <w:szCs w:val="24"/>
        </w:rPr>
        <w:t>Tobacco</w:t>
      </w:r>
      <w:r>
        <w:rPr>
          <w:sz w:val="24"/>
          <w:szCs w:val="24"/>
        </w:rPr>
        <w:t xml:space="preserve"> Regulations</w:t>
      </w:r>
      <w:r w:rsidRPr="00267527">
        <w:rPr>
          <w:sz w:val="24"/>
          <w:szCs w:val="24"/>
        </w:rPr>
        <w:t xml:space="preserve"> be exempt from sunsetting</w:t>
      </w:r>
      <w:r>
        <w:rPr>
          <w:sz w:val="24"/>
          <w:szCs w:val="24"/>
        </w:rPr>
        <w:t xml:space="preserve"> because it meets the following criteria provided in the Attorney</w:t>
      </w:r>
      <w:r>
        <w:rPr>
          <w:sz w:val="24"/>
          <w:szCs w:val="24"/>
        </w:rPr>
        <w:noBreakHyphen/>
        <w:t xml:space="preserve">General’s Department’s </w:t>
      </w:r>
      <w:r>
        <w:rPr>
          <w:i/>
          <w:sz w:val="24"/>
          <w:szCs w:val="24"/>
        </w:rPr>
        <w:t>Guide to managing sunsetting of legislative instruments</w:t>
      </w:r>
      <w:r w:rsidRPr="00267527">
        <w:rPr>
          <w:sz w:val="24"/>
          <w:szCs w:val="24"/>
        </w:rPr>
        <w:t>:</w:t>
      </w:r>
    </w:p>
    <w:p w14:paraId="68CED26E" w14:textId="77777777" w:rsidR="00527773" w:rsidRDefault="00527773" w:rsidP="00527773">
      <w:pPr>
        <w:pStyle w:val="Basetext"/>
        <w:numPr>
          <w:ilvl w:val="0"/>
          <w:numId w:val="1"/>
        </w:numPr>
        <w:spacing w:before="240" w:after="200"/>
        <w:rPr>
          <w:sz w:val="24"/>
          <w:szCs w:val="24"/>
        </w:rPr>
      </w:pPr>
      <w:r>
        <w:rPr>
          <w:sz w:val="24"/>
          <w:szCs w:val="24"/>
        </w:rPr>
        <w:t xml:space="preserve">designed to be enduring and not subject to regular review, and </w:t>
      </w:r>
    </w:p>
    <w:p w14:paraId="616BA5F1" w14:textId="77777777" w:rsidR="00527773" w:rsidRPr="00D3566A" w:rsidRDefault="00527773" w:rsidP="00527773">
      <w:pPr>
        <w:pStyle w:val="Basetext"/>
        <w:numPr>
          <w:ilvl w:val="0"/>
          <w:numId w:val="1"/>
        </w:numPr>
        <w:spacing w:before="240" w:after="200"/>
        <w:rPr>
          <w:sz w:val="24"/>
          <w:szCs w:val="24"/>
        </w:rPr>
      </w:pPr>
      <w:r>
        <w:rPr>
          <w:sz w:val="24"/>
          <w:szCs w:val="24"/>
        </w:rPr>
        <w:t xml:space="preserve">commercial certainty would be undermined by sunsetting. </w:t>
      </w:r>
    </w:p>
    <w:p w14:paraId="79CA0289" w14:textId="77777777" w:rsidR="00527773" w:rsidRPr="00784F8C" w:rsidRDefault="00527773" w:rsidP="00527773">
      <w:pPr>
        <w:pStyle w:val="Basetext"/>
        <w:spacing w:before="240"/>
        <w:rPr>
          <w:sz w:val="24"/>
          <w:szCs w:val="24"/>
          <w:u w:val="single"/>
          <w:lang w:eastAsia="en-AU"/>
        </w:rPr>
      </w:pPr>
      <w:r w:rsidRPr="00784F8C">
        <w:rPr>
          <w:sz w:val="24"/>
          <w:szCs w:val="24"/>
          <w:u w:val="single"/>
          <w:lang w:eastAsia="en-AU"/>
        </w:rPr>
        <w:t xml:space="preserve">Enduring and not subject to regular review </w:t>
      </w:r>
    </w:p>
    <w:p w14:paraId="55D048DD" w14:textId="0F07C213" w:rsidR="00527773" w:rsidRPr="004671A4" w:rsidRDefault="00527773" w:rsidP="00527773">
      <w:pPr>
        <w:pStyle w:val="Basetext"/>
        <w:spacing w:before="240"/>
        <w:rPr>
          <w:color w:val="000000"/>
          <w:sz w:val="24"/>
          <w:szCs w:val="24"/>
          <w:lang w:eastAsia="en-AU"/>
        </w:rPr>
      </w:pPr>
      <w:r w:rsidRPr="00D3566A">
        <w:rPr>
          <w:sz w:val="24"/>
          <w:szCs w:val="24"/>
          <w:lang w:eastAsia="en-AU"/>
        </w:rPr>
        <w:t xml:space="preserve">The </w:t>
      </w:r>
      <w:r w:rsidR="000747A8">
        <w:rPr>
          <w:sz w:val="24"/>
          <w:szCs w:val="24"/>
          <w:lang w:eastAsia="en-AU"/>
        </w:rPr>
        <w:t>Tobacco</w:t>
      </w:r>
      <w:r w:rsidRPr="00D3566A">
        <w:rPr>
          <w:sz w:val="24"/>
          <w:szCs w:val="24"/>
          <w:lang w:eastAsia="en-AU"/>
        </w:rPr>
        <w:t xml:space="preserve"> Regulations implement enduring international obligations under the World Health Organisation (WHO) Framework Convention on Tobacco Control (FCTC). These</w:t>
      </w:r>
      <w:r>
        <w:rPr>
          <w:color w:val="000000"/>
          <w:sz w:val="24"/>
          <w:szCs w:val="24"/>
          <w:lang w:eastAsia="en-AU"/>
        </w:rPr>
        <w:t xml:space="preserve"> include, among other matters, detailed tobacco product requirements (including the requirements relating to health warnings). Many of the requirements are considered enduring and will remain unchanged over time as they implement long-standing international agreements, obligations</w:t>
      </w:r>
      <w:r w:rsidR="00E20066">
        <w:rPr>
          <w:color w:val="000000"/>
          <w:sz w:val="24"/>
          <w:szCs w:val="24"/>
          <w:lang w:eastAsia="en-AU"/>
        </w:rPr>
        <w:t>,</w:t>
      </w:r>
      <w:r>
        <w:rPr>
          <w:color w:val="000000"/>
          <w:sz w:val="24"/>
          <w:szCs w:val="24"/>
          <w:lang w:eastAsia="en-AU"/>
        </w:rPr>
        <w:t xml:space="preserve"> and/or standards under the WHO FCTC. </w:t>
      </w:r>
    </w:p>
    <w:p w14:paraId="3288334F" w14:textId="77777777" w:rsidR="00527773" w:rsidRPr="00784F8C" w:rsidRDefault="00527773" w:rsidP="00527773">
      <w:pPr>
        <w:pStyle w:val="Basetext"/>
        <w:spacing w:before="240" w:after="200"/>
        <w:rPr>
          <w:sz w:val="24"/>
          <w:szCs w:val="24"/>
          <w:u w:val="single"/>
        </w:rPr>
      </w:pPr>
      <w:r w:rsidRPr="00784F8C">
        <w:rPr>
          <w:sz w:val="24"/>
          <w:szCs w:val="24"/>
          <w:u w:val="single"/>
        </w:rPr>
        <w:t xml:space="preserve">Commercial certainty </w:t>
      </w:r>
    </w:p>
    <w:p w14:paraId="2E251C31" w14:textId="78447FA2" w:rsidR="00527773" w:rsidRDefault="00527773" w:rsidP="00527773">
      <w:pPr>
        <w:pStyle w:val="Basetext"/>
        <w:spacing w:before="240" w:after="200"/>
        <w:rPr>
          <w:sz w:val="24"/>
          <w:szCs w:val="24"/>
        </w:rPr>
      </w:pPr>
      <w:r>
        <w:rPr>
          <w:sz w:val="24"/>
          <w:szCs w:val="24"/>
        </w:rPr>
        <w:t xml:space="preserve">It is appropriate to exempt the </w:t>
      </w:r>
      <w:r w:rsidR="000747A8">
        <w:rPr>
          <w:sz w:val="24"/>
          <w:szCs w:val="24"/>
        </w:rPr>
        <w:t>Tobacco</w:t>
      </w:r>
      <w:r>
        <w:rPr>
          <w:sz w:val="24"/>
          <w:szCs w:val="24"/>
        </w:rPr>
        <w:t xml:space="preserve"> Regulations from sunsetting to ensure commercial certainty for stakeholders who make decisions in compliance with the Instrument which are intended to be in effect for a longer period than 10 years. In addition, a failure to comply with the </w:t>
      </w:r>
      <w:r w:rsidR="000747A8">
        <w:rPr>
          <w:sz w:val="24"/>
          <w:szCs w:val="24"/>
        </w:rPr>
        <w:t>Tobacco</w:t>
      </w:r>
      <w:r>
        <w:rPr>
          <w:sz w:val="24"/>
          <w:szCs w:val="24"/>
        </w:rPr>
        <w:t xml:space="preserve"> Regulations may amount to an offence under the </w:t>
      </w:r>
      <w:r w:rsidR="000747A8">
        <w:rPr>
          <w:sz w:val="24"/>
          <w:szCs w:val="24"/>
        </w:rPr>
        <w:t>Tobacco</w:t>
      </w:r>
      <w:r>
        <w:rPr>
          <w:sz w:val="24"/>
          <w:szCs w:val="24"/>
        </w:rPr>
        <w:t xml:space="preserve"> Act and can result in the imposition of significant penalties and other material losses. Changes to the </w:t>
      </w:r>
      <w:r w:rsidR="000747A8">
        <w:rPr>
          <w:sz w:val="24"/>
          <w:szCs w:val="24"/>
        </w:rPr>
        <w:t>Tobacco</w:t>
      </w:r>
      <w:r>
        <w:rPr>
          <w:sz w:val="24"/>
          <w:szCs w:val="24"/>
        </w:rPr>
        <w:t xml:space="preserve"> Regulations as a result of the sunsetting process may therefore be burdensome for stakeholders, particularly where changes in the Instrument require stakeholders to undergo costly and complex transition process including re-designing or re-developing systems and planning of stock management through transitions. As a result, subjecting the </w:t>
      </w:r>
      <w:r w:rsidR="000747A8">
        <w:rPr>
          <w:sz w:val="24"/>
          <w:szCs w:val="24"/>
        </w:rPr>
        <w:t xml:space="preserve">Tobacco </w:t>
      </w:r>
      <w:r>
        <w:rPr>
          <w:sz w:val="24"/>
          <w:szCs w:val="24"/>
        </w:rPr>
        <w:t xml:space="preserve">Regulations to a 10-yearly review and replacement could reduce the stability and predictability of Australia’s tobacco control framework and </w:t>
      </w:r>
      <w:r w:rsidR="000706FE">
        <w:rPr>
          <w:sz w:val="24"/>
          <w:szCs w:val="24"/>
        </w:rPr>
        <w:t>undermine</w:t>
      </w:r>
      <w:r w:rsidR="00D62CBB">
        <w:rPr>
          <w:sz w:val="24"/>
          <w:szCs w:val="24"/>
        </w:rPr>
        <w:t xml:space="preserve"> </w:t>
      </w:r>
      <w:r>
        <w:rPr>
          <w:sz w:val="24"/>
          <w:szCs w:val="24"/>
        </w:rPr>
        <w:t xml:space="preserve">commercial certainty. </w:t>
      </w:r>
    </w:p>
    <w:p w14:paraId="60B74A02" w14:textId="5BE5F3E0" w:rsidR="00527773" w:rsidRPr="004671A4" w:rsidRDefault="00527773" w:rsidP="00527773">
      <w:pPr>
        <w:pStyle w:val="Basetext"/>
        <w:spacing w:before="240" w:after="200"/>
        <w:rPr>
          <w:sz w:val="24"/>
          <w:szCs w:val="24"/>
        </w:rPr>
      </w:pPr>
      <w:r>
        <w:rPr>
          <w:sz w:val="24"/>
          <w:szCs w:val="24"/>
          <w:lang w:eastAsia="en-AU"/>
        </w:rPr>
        <w:t>For the reasons outlined above,</w:t>
      </w:r>
      <w:r>
        <w:rPr>
          <w:sz w:val="24"/>
          <w:szCs w:val="24"/>
        </w:rPr>
        <w:t xml:space="preserve"> it is not suitable to subject the </w:t>
      </w:r>
      <w:r w:rsidR="000747A8">
        <w:rPr>
          <w:sz w:val="24"/>
          <w:szCs w:val="24"/>
        </w:rPr>
        <w:t>Tobacco</w:t>
      </w:r>
      <w:r>
        <w:rPr>
          <w:sz w:val="24"/>
          <w:szCs w:val="24"/>
        </w:rPr>
        <w:t xml:space="preserve"> Regulations to the requirements of sunsetting given the instruments are designed to be enduring and not subject to regular review, and commercial certainty would be undermined by sunsetting. </w:t>
      </w:r>
    </w:p>
    <w:p w14:paraId="729F1021" w14:textId="77777777" w:rsidR="00527773" w:rsidRPr="00267527" w:rsidRDefault="00527773" w:rsidP="00E20066">
      <w:pPr>
        <w:keepNext/>
        <w:rPr>
          <w:rFonts w:ascii="Times New Roman" w:hAnsi="Times New Roman" w:cs="Times New Roman"/>
          <w:b/>
          <w:caps/>
          <w:sz w:val="24"/>
          <w:szCs w:val="24"/>
        </w:rPr>
      </w:pPr>
      <w:r w:rsidRPr="00267527">
        <w:rPr>
          <w:rFonts w:ascii="Times New Roman" w:hAnsi="Times New Roman" w:cs="Times New Roman"/>
          <w:b/>
          <w:caps/>
          <w:sz w:val="24"/>
          <w:szCs w:val="24"/>
        </w:rPr>
        <w:lastRenderedPageBreak/>
        <w:t>Consultation</w:t>
      </w:r>
    </w:p>
    <w:p w14:paraId="5B3AC749" w14:textId="77777777" w:rsidR="00527773" w:rsidRPr="00267527" w:rsidRDefault="00527773" w:rsidP="00527773">
      <w:pPr>
        <w:pStyle w:val="Basetext"/>
        <w:spacing w:before="240" w:after="200"/>
        <w:rPr>
          <w:rFonts w:eastAsia="Calibri"/>
          <w:sz w:val="24"/>
          <w:szCs w:val="24"/>
          <w:lang w:val="en-GB"/>
        </w:rPr>
      </w:pPr>
      <w:r w:rsidRPr="00267527">
        <w:rPr>
          <w:rFonts w:eastAsia="Calibri"/>
          <w:sz w:val="24"/>
          <w:szCs w:val="24"/>
          <w:lang w:val="en-GB"/>
        </w:rPr>
        <w:t xml:space="preserve">Before the </w:t>
      </w:r>
      <w:r>
        <w:rPr>
          <w:rFonts w:eastAsia="Calibri"/>
          <w:sz w:val="24"/>
          <w:szCs w:val="24"/>
          <w:lang w:val="en-GB"/>
        </w:rPr>
        <w:t>Amendment Regulations were</w:t>
      </w:r>
      <w:r w:rsidRPr="00267527">
        <w:rPr>
          <w:rFonts w:eastAsia="Calibri"/>
          <w:sz w:val="24"/>
          <w:szCs w:val="24"/>
          <w:lang w:val="en-GB"/>
        </w:rPr>
        <w:t xml:space="preserve"> issued, the Attorney</w:t>
      </w:r>
      <w:r w:rsidRPr="00267527">
        <w:rPr>
          <w:rFonts w:eastAsia="Calibri"/>
          <w:sz w:val="24"/>
          <w:szCs w:val="24"/>
          <w:lang w:val="en-GB"/>
        </w:rPr>
        <w:noBreakHyphen/>
        <w:t xml:space="preserve">General considered the general obligation to consult imposed by section 17 of the Legislation Act. </w:t>
      </w:r>
    </w:p>
    <w:p w14:paraId="360ADA81" w14:textId="7942DE76" w:rsidR="00B47EB9" w:rsidRPr="00267527" w:rsidRDefault="00B47EB9" w:rsidP="00B47EB9">
      <w:pPr>
        <w:pStyle w:val="Basetext"/>
        <w:spacing w:before="240"/>
        <w:rPr>
          <w:rFonts w:eastAsia="Calibri"/>
          <w:sz w:val="24"/>
          <w:szCs w:val="24"/>
          <w:lang w:eastAsia="en-AU"/>
        </w:rPr>
      </w:pPr>
      <w:r w:rsidRPr="00267527">
        <w:rPr>
          <w:rFonts w:eastAsia="Calibri"/>
          <w:sz w:val="24"/>
          <w:szCs w:val="24"/>
          <w:lang w:eastAsia="en-AU"/>
        </w:rPr>
        <w:t xml:space="preserve">The Minister for </w:t>
      </w:r>
      <w:r>
        <w:rPr>
          <w:rFonts w:eastAsia="Calibri"/>
          <w:sz w:val="24"/>
          <w:szCs w:val="24"/>
          <w:lang w:eastAsia="en-AU"/>
        </w:rPr>
        <w:t>Finance</w:t>
      </w:r>
      <w:r w:rsidRPr="00267527">
        <w:rPr>
          <w:rFonts w:eastAsia="Calibri"/>
          <w:sz w:val="24"/>
          <w:szCs w:val="24"/>
          <w:lang w:eastAsia="en-AU"/>
        </w:rPr>
        <w:t>,</w:t>
      </w:r>
      <w:r>
        <w:rPr>
          <w:rFonts w:eastAsia="Calibri"/>
          <w:sz w:val="24"/>
          <w:szCs w:val="24"/>
          <w:lang w:eastAsia="en-AU"/>
        </w:rPr>
        <w:t xml:space="preserve"> Senator</w:t>
      </w:r>
      <w:r w:rsidRPr="00267527">
        <w:rPr>
          <w:rFonts w:eastAsia="Calibri"/>
          <w:sz w:val="24"/>
          <w:szCs w:val="24"/>
          <w:lang w:eastAsia="en-AU"/>
        </w:rPr>
        <w:t xml:space="preserve"> the Hon </w:t>
      </w:r>
      <w:r>
        <w:rPr>
          <w:rFonts w:eastAsia="Calibri"/>
          <w:sz w:val="24"/>
          <w:szCs w:val="24"/>
          <w:lang w:eastAsia="en-AU"/>
        </w:rPr>
        <w:t>Katy Gallagher</w:t>
      </w:r>
      <w:r w:rsidRPr="00267527">
        <w:rPr>
          <w:rFonts w:eastAsia="Calibri"/>
          <w:sz w:val="24"/>
          <w:szCs w:val="24"/>
          <w:lang w:eastAsia="en-AU"/>
        </w:rPr>
        <w:t xml:space="preserve">, who has portfolio responsibility for the </w:t>
      </w:r>
      <w:r w:rsidR="00F46908">
        <w:rPr>
          <w:rFonts w:eastAsia="Calibri"/>
          <w:sz w:val="24"/>
          <w:szCs w:val="24"/>
          <w:lang w:eastAsia="en-AU"/>
        </w:rPr>
        <w:t>FRR</w:t>
      </w:r>
      <w:r w:rsidRPr="00267527">
        <w:rPr>
          <w:rFonts w:eastAsia="Calibri"/>
          <w:sz w:val="24"/>
          <w:szCs w:val="24"/>
          <w:lang w:eastAsia="en-AU"/>
        </w:rPr>
        <w:t>, wrote to the Attorney</w:t>
      </w:r>
      <w:r w:rsidRPr="00267527">
        <w:rPr>
          <w:rFonts w:eastAsia="Calibri"/>
          <w:sz w:val="24"/>
          <w:szCs w:val="24"/>
          <w:lang w:eastAsia="en-AU"/>
        </w:rPr>
        <w:noBreakHyphen/>
        <w:t xml:space="preserve">General requesting that the exemption be made. </w:t>
      </w:r>
      <w:r w:rsidRPr="00203E03">
        <w:rPr>
          <w:rFonts w:eastAsia="Calibri"/>
          <w:sz w:val="24"/>
          <w:szCs w:val="24"/>
          <w:lang w:eastAsia="en-AU"/>
        </w:rPr>
        <w:t>The Department of Finance has undertaken consultation with relevant Commonwealth reporting</w:t>
      </w:r>
      <w:r>
        <w:rPr>
          <w:rFonts w:eastAsia="Calibri"/>
          <w:sz w:val="24"/>
          <w:szCs w:val="24"/>
          <w:lang w:eastAsia="en-AU"/>
        </w:rPr>
        <w:t xml:space="preserve"> </w:t>
      </w:r>
      <w:r w:rsidRPr="00203E03">
        <w:rPr>
          <w:rFonts w:eastAsia="Calibri"/>
          <w:sz w:val="24"/>
          <w:szCs w:val="24"/>
          <w:lang w:eastAsia="en-AU"/>
        </w:rPr>
        <w:t>entities and the Australian National Audit Office with a focus on the effectiveness, currency and</w:t>
      </w:r>
      <w:r>
        <w:rPr>
          <w:rFonts w:eastAsia="Calibri"/>
          <w:sz w:val="24"/>
          <w:szCs w:val="24"/>
          <w:lang w:eastAsia="en-AU"/>
        </w:rPr>
        <w:t xml:space="preserve"> </w:t>
      </w:r>
      <w:r w:rsidRPr="00203E03">
        <w:rPr>
          <w:rFonts w:eastAsia="Calibri"/>
          <w:sz w:val="24"/>
          <w:szCs w:val="24"/>
          <w:lang w:eastAsia="en-AU"/>
        </w:rPr>
        <w:t xml:space="preserve">operations of the </w:t>
      </w:r>
      <w:r w:rsidR="00F46908">
        <w:rPr>
          <w:rFonts w:eastAsia="Calibri"/>
          <w:sz w:val="24"/>
          <w:szCs w:val="24"/>
          <w:lang w:eastAsia="en-AU"/>
        </w:rPr>
        <w:t>FRR</w:t>
      </w:r>
      <w:r w:rsidRPr="00203E03">
        <w:rPr>
          <w:rFonts w:eastAsia="Calibri"/>
          <w:sz w:val="24"/>
          <w:szCs w:val="24"/>
          <w:lang w:eastAsia="en-AU"/>
        </w:rPr>
        <w:t xml:space="preserve"> and its impact on the systems, processes and policies of Commonwealth</w:t>
      </w:r>
      <w:r>
        <w:rPr>
          <w:rFonts w:eastAsia="Calibri"/>
          <w:sz w:val="24"/>
          <w:szCs w:val="24"/>
          <w:lang w:eastAsia="en-AU"/>
        </w:rPr>
        <w:t xml:space="preserve"> </w:t>
      </w:r>
      <w:r w:rsidRPr="00203E03">
        <w:rPr>
          <w:rFonts w:eastAsia="Calibri"/>
          <w:sz w:val="24"/>
          <w:szCs w:val="24"/>
          <w:lang w:eastAsia="en-AU"/>
        </w:rPr>
        <w:t>reporting entities</w:t>
      </w:r>
      <w:r>
        <w:rPr>
          <w:rFonts w:eastAsia="Calibri"/>
          <w:sz w:val="24"/>
          <w:szCs w:val="24"/>
          <w:lang w:eastAsia="en-AU"/>
        </w:rPr>
        <w:t xml:space="preserve">. </w:t>
      </w:r>
      <w:r w:rsidRPr="00203E03">
        <w:rPr>
          <w:rFonts w:eastAsia="Calibri"/>
          <w:sz w:val="24"/>
          <w:szCs w:val="24"/>
          <w:lang w:eastAsia="en-AU"/>
        </w:rPr>
        <w:t xml:space="preserve">The Department of Finance </w:t>
      </w:r>
      <w:r>
        <w:rPr>
          <w:rFonts w:eastAsia="Calibri"/>
          <w:sz w:val="24"/>
          <w:szCs w:val="24"/>
          <w:lang w:eastAsia="en-AU"/>
        </w:rPr>
        <w:t xml:space="preserve">also </w:t>
      </w:r>
      <w:r w:rsidRPr="00203E03">
        <w:rPr>
          <w:rFonts w:eastAsia="Calibri"/>
          <w:sz w:val="24"/>
          <w:szCs w:val="24"/>
          <w:lang w:eastAsia="en-AU"/>
        </w:rPr>
        <w:t>continues to consult internally and externally with the CFOs of</w:t>
      </w:r>
      <w:r>
        <w:rPr>
          <w:rFonts w:eastAsia="Calibri"/>
          <w:sz w:val="24"/>
          <w:szCs w:val="24"/>
          <w:lang w:eastAsia="en-AU"/>
        </w:rPr>
        <w:t xml:space="preserve"> </w:t>
      </w:r>
      <w:r w:rsidRPr="00203E03">
        <w:rPr>
          <w:rFonts w:eastAsia="Calibri"/>
          <w:sz w:val="24"/>
          <w:szCs w:val="24"/>
          <w:lang w:eastAsia="en-AU"/>
        </w:rPr>
        <w:t>Commonwealth reporting entities and other entity staff involved in financial reporting. This</w:t>
      </w:r>
      <w:r>
        <w:rPr>
          <w:rFonts w:eastAsia="Calibri"/>
          <w:sz w:val="24"/>
          <w:szCs w:val="24"/>
          <w:lang w:eastAsia="en-AU"/>
        </w:rPr>
        <w:t xml:space="preserve"> </w:t>
      </w:r>
      <w:r w:rsidRPr="00203E03">
        <w:rPr>
          <w:rFonts w:eastAsia="Calibri"/>
          <w:sz w:val="24"/>
          <w:szCs w:val="24"/>
          <w:lang w:eastAsia="en-AU"/>
        </w:rPr>
        <w:t>stakeholder consultation occurs through communication fora (including the Financial Stewardship</w:t>
      </w:r>
      <w:r>
        <w:rPr>
          <w:rFonts w:eastAsia="Calibri"/>
          <w:sz w:val="24"/>
          <w:szCs w:val="24"/>
          <w:lang w:eastAsia="en-AU"/>
        </w:rPr>
        <w:t xml:space="preserve"> </w:t>
      </w:r>
      <w:r w:rsidRPr="00203E03">
        <w:rPr>
          <w:rFonts w:eastAsia="Calibri"/>
          <w:sz w:val="24"/>
          <w:szCs w:val="24"/>
          <w:lang w:eastAsia="en-AU"/>
        </w:rPr>
        <w:t>Forum, the Portfolio Departments CFO Forum and the Australian Public Service Accounting and</w:t>
      </w:r>
      <w:r>
        <w:rPr>
          <w:rFonts w:eastAsia="Calibri"/>
          <w:sz w:val="24"/>
          <w:szCs w:val="24"/>
          <w:lang w:eastAsia="en-AU"/>
        </w:rPr>
        <w:t xml:space="preserve"> </w:t>
      </w:r>
      <w:r w:rsidRPr="00203E03">
        <w:rPr>
          <w:rFonts w:eastAsia="Calibri"/>
          <w:sz w:val="24"/>
          <w:szCs w:val="24"/>
          <w:lang w:eastAsia="en-AU"/>
        </w:rPr>
        <w:t>Finance profession working group).</w:t>
      </w:r>
      <w:r>
        <w:rPr>
          <w:rFonts w:eastAsia="Calibri"/>
          <w:sz w:val="24"/>
          <w:szCs w:val="24"/>
          <w:lang w:eastAsia="en-AU"/>
        </w:rPr>
        <w:t xml:space="preserve"> No issues have been raised</w:t>
      </w:r>
      <w:r w:rsidRPr="00203E03">
        <w:rPr>
          <w:rFonts w:eastAsia="Calibri"/>
          <w:sz w:val="24"/>
          <w:szCs w:val="24"/>
          <w:lang w:eastAsia="en-AU"/>
        </w:rPr>
        <w:t xml:space="preserve"> </w:t>
      </w:r>
      <w:r>
        <w:rPr>
          <w:rFonts w:eastAsia="Calibri"/>
          <w:sz w:val="24"/>
          <w:szCs w:val="24"/>
          <w:lang w:eastAsia="en-AU"/>
        </w:rPr>
        <w:t>by stakeholders in</w:t>
      </w:r>
      <w:r w:rsidRPr="00203E03">
        <w:rPr>
          <w:rFonts w:eastAsia="Calibri"/>
          <w:sz w:val="24"/>
          <w:szCs w:val="24"/>
          <w:lang w:eastAsia="en-AU"/>
        </w:rPr>
        <w:t xml:space="preserve"> relation to th</w:t>
      </w:r>
      <w:r>
        <w:rPr>
          <w:rFonts w:eastAsia="Calibri"/>
          <w:sz w:val="24"/>
          <w:szCs w:val="24"/>
          <w:lang w:eastAsia="en-AU"/>
        </w:rPr>
        <w:t>is</w:t>
      </w:r>
      <w:r w:rsidRPr="00203E03">
        <w:rPr>
          <w:rFonts w:eastAsia="Calibri"/>
          <w:sz w:val="24"/>
          <w:szCs w:val="24"/>
          <w:lang w:eastAsia="en-AU"/>
        </w:rPr>
        <w:t xml:space="preserve"> exemption from sunsetting</w:t>
      </w:r>
      <w:r>
        <w:rPr>
          <w:rFonts w:eastAsia="Calibri"/>
          <w:sz w:val="24"/>
          <w:szCs w:val="24"/>
          <w:lang w:eastAsia="en-AU"/>
        </w:rPr>
        <w:t>.</w:t>
      </w:r>
    </w:p>
    <w:p w14:paraId="7A9B32C7" w14:textId="730DCEF9" w:rsidR="00527773" w:rsidRPr="00267527" w:rsidRDefault="00527773" w:rsidP="00527773">
      <w:pPr>
        <w:pStyle w:val="Basetext"/>
        <w:spacing w:before="240"/>
        <w:rPr>
          <w:rFonts w:eastAsia="Calibri"/>
          <w:sz w:val="24"/>
          <w:szCs w:val="24"/>
          <w:lang w:eastAsia="en-AU"/>
        </w:rPr>
      </w:pPr>
      <w:r w:rsidRPr="00267527">
        <w:rPr>
          <w:rFonts w:eastAsia="Calibri"/>
          <w:sz w:val="24"/>
          <w:szCs w:val="24"/>
          <w:lang w:eastAsia="en-AU"/>
        </w:rPr>
        <w:t xml:space="preserve">The Minister for </w:t>
      </w:r>
      <w:r>
        <w:rPr>
          <w:rFonts w:eastAsia="Calibri"/>
          <w:sz w:val="24"/>
          <w:szCs w:val="24"/>
          <w:lang w:eastAsia="en-AU"/>
        </w:rPr>
        <w:t>Health and Aged Care</w:t>
      </w:r>
      <w:r w:rsidRPr="00267527">
        <w:rPr>
          <w:rFonts w:eastAsia="Calibri"/>
          <w:sz w:val="24"/>
          <w:szCs w:val="24"/>
          <w:lang w:eastAsia="en-AU"/>
        </w:rPr>
        <w:t xml:space="preserve">, the Hon </w:t>
      </w:r>
      <w:r>
        <w:rPr>
          <w:rFonts w:eastAsia="Calibri"/>
          <w:sz w:val="24"/>
          <w:szCs w:val="24"/>
          <w:lang w:eastAsia="en-AU"/>
        </w:rPr>
        <w:t>Mark Butler MP</w:t>
      </w:r>
      <w:r w:rsidRPr="00267527">
        <w:rPr>
          <w:rFonts w:eastAsia="Calibri"/>
          <w:sz w:val="24"/>
          <w:szCs w:val="24"/>
          <w:lang w:eastAsia="en-AU"/>
        </w:rPr>
        <w:t xml:space="preserve">, who has portfolio responsibility for the </w:t>
      </w:r>
      <w:r w:rsidR="000747A8">
        <w:rPr>
          <w:rFonts w:eastAsia="Calibri"/>
          <w:sz w:val="24"/>
          <w:szCs w:val="24"/>
          <w:lang w:eastAsia="en-AU"/>
        </w:rPr>
        <w:t>Tobacco</w:t>
      </w:r>
      <w:r>
        <w:rPr>
          <w:rFonts w:eastAsia="Calibri"/>
          <w:sz w:val="24"/>
          <w:szCs w:val="24"/>
          <w:lang w:eastAsia="en-AU"/>
        </w:rPr>
        <w:t xml:space="preserve"> Regulations</w:t>
      </w:r>
      <w:r w:rsidRPr="00267527">
        <w:rPr>
          <w:rFonts w:eastAsia="Calibri"/>
          <w:sz w:val="24"/>
          <w:szCs w:val="24"/>
          <w:lang w:eastAsia="en-AU"/>
        </w:rPr>
        <w:t>, wrote to the Attorney</w:t>
      </w:r>
      <w:r w:rsidRPr="00267527">
        <w:rPr>
          <w:rFonts w:eastAsia="Calibri"/>
          <w:sz w:val="24"/>
          <w:szCs w:val="24"/>
          <w:lang w:eastAsia="en-AU"/>
        </w:rPr>
        <w:noBreakHyphen/>
        <w:t xml:space="preserve">General requesting that the exemption be made. </w:t>
      </w:r>
      <w:r w:rsidR="000747A8">
        <w:rPr>
          <w:rFonts w:eastAsia="Calibri"/>
          <w:sz w:val="24"/>
          <w:szCs w:val="24"/>
          <w:lang w:eastAsia="en-AU"/>
        </w:rPr>
        <w:t>It was not considered necessary to consult on the proposal for an exe</w:t>
      </w:r>
      <w:r w:rsidR="00EB34A7">
        <w:rPr>
          <w:rFonts w:eastAsia="Calibri"/>
          <w:sz w:val="24"/>
          <w:szCs w:val="24"/>
          <w:lang w:eastAsia="en-AU"/>
        </w:rPr>
        <w:t>m</w:t>
      </w:r>
      <w:r w:rsidR="000747A8">
        <w:rPr>
          <w:rFonts w:eastAsia="Calibri"/>
          <w:sz w:val="24"/>
          <w:szCs w:val="24"/>
          <w:lang w:eastAsia="en-AU"/>
        </w:rPr>
        <w:t xml:space="preserve">ption given the nature of the Tobacco Regulations as reflecting public health policy that </w:t>
      </w:r>
      <w:r w:rsidR="00247CA7">
        <w:rPr>
          <w:rFonts w:eastAsia="Calibri"/>
          <w:sz w:val="24"/>
          <w:szCs w:val="24"/>
          <w:lang w:eastAsia="en-AU"/>
        </w:rPr>
        <w:t>has already been the subject of</w:t>
      </w:r>
      <w:r w:rsidR="000747A8">
        <w:rPr>
          <w:rFonts w:eastAsia="Calibri"/>
          <w:sz w:val="24"/>
          <w:szCs w:val="24"/>
          <w:lang w:eastAsia="en-AU"/>
        </w:rPr>
        <w:t xml:space="preserve"> extensiv</w:t>
      </w:r>
      <w:r w:rsidR="00247CA7">
        <w:rPr>
          <w:rFonts w:eastAsia="Calibri"/>
          <w:sz w:val="24"/>
          <w:szCs w:val="24"/>
          <w:lang w:eastAsia="en-AU"/>
        </w:rPr>
        <w:t>e</w:t>
      </w:r>
      <w:r w:rsidR="000747A8">
        <w:rPr>
          <w:rFonts w:eastAsia="Calibri"/>
          <w:sz w:val="24"/>
          <w:szCs w:val="24"/>
          <w:lang w:eastAsia="en-AU"/>
        </w:rPr>
        <w:t xml:space="preserve"> consult</w:t>
      </w:r>
      <w:r w:rsidR="00247CA7">
        <w:rPr>
          <w:rFonts w:eastAsia="Calibri"/>
          <w:sz w:val="24"/>
          <w:szCs w:val="24"/>
          <w:lang w:eastAsia="en-AU"/>
        </w:rPr>
        <w:t>atio</w:t>
      </w:r>
      <w:r w:rsidR="000747A8">
        <w:rPr>
          <w:rFonts w:eastAsia="Calibri"/>
          <w:sz w:val="24"/>
          <w:szCs w:val="24"/>
          <w:lang w:eastAsia="en-AU"/>
        </w:rPr>
        <w:t>n. In their development</w:t>
      </w:r>
      <w:r w:rsidR="00D62CBB">
        <w:rPr>
          <w:rFonts w:eastAsia="Calibri"/>
          <w:sz w:val="24"/>
          <w:szCs w:val="24"/>
          <w:lang w:eastAsia="en-AU"/>
        </w:rPr>
        <w:t>,</w:t>
      </w:r>
      <w:r w:rsidR="000747A8">
        <w:rPr>
          <w:rFonts w:eastAsia="Calibri"/>
          <w:sz w:val="24"/>
          <w:szCs w:val="24"/>
          <w:lang w:eastAsia="en-AU"/>
        </w:rPr>
        <w:t xml:space="preserve"> the Tobacco Regulations were designed to be enduring. By not sunsetting</w:t>
      </w:r>
      <w:r w:rsidR="00247CA7">
        <w:rPr>
          <w:rFonts w:eastAsia="Calibri"/>
          <w:sz w:val="24"/>
          <w:szCs w:val="24"/>
          <w:lang w:eastAsia="en-AU"/>
        </w:rPr>
        <w:t xml:space="preserve">, </w:t>
      </w:r>
      <w:r w:rsidR="000747A8">
        <w:rPr>
          <w:rFonts w:eastAsia="Calibri"/>
          <w:sz w:val="24"/>
          <w:szCs w:val="24"/>
          <w:lang w:eastAsia="en-AU"/>
        </w:rPr>
        <w:t>the</w:t>
      </w:r>
      <w:r w:rsidR="00247CA7">
        <w:rPr>
          <w:rFonts w:eastAsia="Calibri"/>
          <w:sz w:val="24"/>
          <w:szCs w:val="24"/>
          <w:lang w:eastAsia="en-AU"/>
        </w:rPr>
        <w:t>re</w:t>
      </w:r>
      <w:r w:rsidR="000747A8">
        <w:rPr>
          <w:rFonts w:eastAsia="Calibri"/>
          <w:sz w:val="24"/>
          <w:szCs w:val="24"/>
          <w:lang w:eastAsia="en-AU"/>
        </w:rPr>
        <w:t xml:space="preserve"> will</w:t>
      </w:r>
      <w:r w:rsidR="00247CA7">
        <w:rPr>
          <w:rFonts w:eastAsia="Calibri"/>
          <w:sz w:val="24"/>
          <w:szCs w:val="24"/>
          <w:lang w:eastAsia="en-AU"/>
        </w:rPr>
        <w:t xml:space="preserve"> be a benefit to stakeholders by</w:t>
      </w:r>
      <w:r w:rsidR="000747A8">
        <w:rPr>
          <w:rFonts w:eastAsia="Calibri"/>
          <w:sz w:val="24"/>
          <w:szCs w:val="24"/>
          <w:lang w:eastAsia="en-AU"/>
        </w:rPr>
        <w:t xml:space="preserve"> provid</w:t>
      </w:r>
      <w:r w:rsidR="00247CA7">
        <w:rPr>
          <w:rFonts w:eastAsia="Calibri"/>
          <w:sz w:val="24"/>
          <w:szCs w:val="24"/>
          <w:lang w:eastAsia="en-AU"/>
        </w:rPr>
        <w:t>ing</w:t>
      </w:r>
      <w:r w:rsidR="000747A8">
        <w:rPr>
          <w:rFonts w:eastAsia="Calibri"/>
          <w:sz w:val="24"/>
          <w:szCs w:val="24"/>
          <w:lang w:eastAsia="en-AU"/>
        </w:rPr>
        <w:t xml:space="preserve"> commercial certainty. For these reasons</w:t>
      </w:r>
      <w:r w:rsidR="00247CA7">
        <w:rPr>
          <w:rFonts w:eastAsia="Calibri"/>
          <w:sz w:val="24"/>
          <w:szCs w:val="24"/>
          <w:lang w:eastAsia="en-AU"/>
        </w:rPr>
        <w:t>,</w:t>
      </w:r>
      <w:r w:rsidR="000747A8">
        <w:rPr>
          <w:rFonts w:eastAsia="Calibri"/>
          <w:sz w:val="24"/>
          <w:szCs w:val="24"/>
          <w:lang w:eastAsia="en-AU"/>
        </w:rPr>
        <w:t xml:space="preserve"> wider consultation</w:t>
      </w:r>
      <w:r w:rsidR="00247CA7">
        <w:rPr>
          <w:rFonts w:eastAsia="Calibri"/>
          <w:sz w:val="24"/>
          <w:szCs w:val="24"/>
          <w:lang w:eastAsia="en-AU"/>
        </w:rPr>
        <w:t xml:space="preserve"> on the exemption proposal was not considered necessary</w:t>
      </w:r>
      <w:r w:rsidR="000747A8">
        <w:rPr>
          <w:rFonts w:eastAsia="Calibri"/>
          <w:sz w:val="24"/>
          <w:szCs w:val="24"/>
          <w:lang w:eastAsia="en-AU"/>
        </w:rPr>
        <w:t xml:space="preserve">. </w:t>
      </w:r>
    </w:p>
    <w:p w14:paraId="2EF80663" w14:textId="77777777" w:rsidR="00527773" w:rsidRPr="00267527" w:rsidRDefault="00527773" w:rsidP="00527773">
      <w:pPr>
        <w:keepNext/>
        <w:spacing w:after="0"/>
        <w:ind w:right="748"/>
        <w:rPr>
          <w:rFonts w:ascii="Times New Roman" w:eastAsia="Times New Roman" w:hAnsi="Times New Roman" w:cs="Times New Roman"/>
          <w:sz w:val="24"/>
          <w:szCs w:val="24"/>
          <w:lang w:eastAsia="en-AU"/>
        </w:rPr>
      </w:pPr>
    </w:p>
    <w:p w14:paraId="7C19D4CF" w14:textId="77777777" w:rsidR="00527773" w:rsidRPr="00267527" w:rsidRDefault="00527773" w:rsidP="00527773">
      <w:pPr>
        <w:rPr>
          <w:rFonts w:ascii="Times New Roman" w:hAnsi="Times New Roman" w:cs="Times New Roman"/>
          <w:b/>
          <w:caps/>
          <w:sz w:val="24"/>
          <w:szCs w:val="24"/>
        </w:rPr>
      </w:pPr>
      <w:r w:rsidRPr="00267527">
        <w:rPr>
          <w:rFonts w:ascii="Times New Roman" w:hAnsi="Times New Roman" w:cs="Times New Roman"/>
          <w:b/>
          <w:caps/>
          <w:sz w:val="24"/>
          <w:szCs w:val="24"/>
        </w:rPr>
        <w:t>Regulation Impact Statement</w:t>
      </w:r>
    </w:p>
    <w:p w14:paraId="06060908" w14:textId="77777777" w:rsidR="00527773" w:rsidRPr="00267527" w:rsidRDefault="00527773" w:rsidP="00527773">
      <w:pPr>
        <w:pStyle w:val="Basetext"/>
        <w:spacing w:before="240" w:after="200"/>
        <w:rPr>
          <w:rFonts w:eastAsia="Calibri"/>
          <w:sz w:val="24"/>
          <w:szCs w:val="24"/>
          <w:lang w:eastAsia="en-AU"/>
        </w:rPr>
      </w:pPr>
      <w:r w:rsidRPr="00267527">
        <w:rPr>
          <w:rFonts w:eastAsia="Calibri"/>
          <w:sz w:val="24"/>
          <w:szCs w:val="24"/>
          <w:lang w:eastAsia="en-AU"/>
        </w:rPr>
        <w:t xml:space="preserve">The Amendment Regulations do not have any regulatory impact. The Office of Impact Analysis (OIA) reference is </w:t>
      </w:r>
      <w:r w:rsidRPr="00203E03">
        <w:rPr>
          <w:rFonts w:eastAsia="Calibri"/>
          <w:sz w:val="24"/>
          <w:szCs w:val="24"/>
          <w:lang w:eastAsia="en-AU"/>
        </w:rPr>
        <w:t>OIA24-07965</w:t>
      </w:r>
      <w:r w:rsidRPr="00267527">
        <w:rPr>
          <w:rFonts w:eastAsia="Calibri"/>
          <w:sz w:val="24"/>
          <w:szCs w:val="24"/>
          <w:lang w:eastAsia="en-AU"/>
        </w:rPr>
        <w:t>.</w:t>
      </w:r>
    </w:p>
    <w:p w14:paraId="309526E3" w14:textId="77777777" w:rsidR="00527773" w:rsidRPr="00267527" w:rsidRDefault="00527773" w:rsidP="00527773">
      <w:pPr>
        <w:pStyle w:val="Body"/>
        <w:spacing w:line="276" w:lineRule="auto"/>
        <w:rPr>
          <w:b/>
          <w:szCs w:val="24"/>
        </w:rPr>
      </w:pPr>
      <w:r w:rsidRPr="00267527">
        <w:rPr>
          <w:b/>
          <w:szCs w:val="24"/>
        </w:rPr>
        <w:t>OTHER DETAILS</w:t>
      </w:r>
    </w:p>
    <w:p w14:paraId="6501A808" w14:textId="77777777" w:rsidR="00527773" w:rsidRPr="00267527" w:rsidRDefault="00527773" w:rsidP="00527773">
      <w:pPr>
        <w:pStyle w:val="NoSpacing"/>
        <w:spacing w:line="276" w:lineRule="auto"/>
        <w:rPr>
          <w:rFonts w:ascii="Times New Roman" w:hAnsi="Times New Roman" w:cs="Times New Roman"/>
          <w:sz w:val="24"/>
          <w:szCs w:val="24"/>
        </w:rPr>
      </w:pPr>
    </w:p>
    <w:p w14:paraId="0B982562" w14:textId="77777777" w:rsidR="00527773" w:rsidRPr="00267527" w:rsidRDefault="00527773" w:rsidP="00527773">
      <w:pPr>
        <w:widowControl w:val="0"/>
        <w:spacing w:after="0"/>
        <w:ind w:right="748"/>
        <w:rPr>
          <w:rFonts w:ascii="Times New Roman" w:eastAsia="Times New Roman" w:hAnsi="Times New Roman" w:cs="Times New Roman"/>
          <w:sz w:val="24"/>
          <w:szCs w:val="24"/>
          <w:lang w:eastAsia="en-AU"/>
        </w:rPr>
      </w:pPr>
      <w:r w:rsidRPr="00267527">
        <w:rPr>
          <w:rFonts w:ascii="Times New Roman" w:eastAsia="Times New Roman" w:hAnsi="Times New Roman" w:cs="Times New Roman"/>
          <w:sz w:val="24"/>
          <w:szCs w:val="24"/>
          <w:lang w:eastAsia="en-AU"/>
        </w:rPr>
        <w:t xml:space="preserve">A Statement of Compatibility under subsection 9(1) of the </w:t>
      </w:r>
      <w:r w:rsidRPr="00267527">
        <w:rPr>
          <w:rFonts w:ascii="Times New Roman" w:eastAsia="Times New Roman" w:hAnsi="Times New Roman" w:cs="Times New Roman"/>
          <w:i/>
          <w:sz w:val="24"/>
          <w:szCs w:val="24"/>
          <w:lang w:eastAsia="en-AU"/>
        </w:rPr>
        <w:t xml:space="preserve">Human Rights (Parliamentary Scrutiny) Act 2011 </w:t>
      </w:r>
      <w:r w:rsidRPr="00267527">
        <w:rPr>
          <w:rFonts w:ascii="Times New Roman" w:eastAsia="Times New Roman" w:hAnsi="Times New Roman" w:cs="Times New Roman"/>
          <w:sz w:val="24"/>
          <w:szCs w:val="24"/>
          <w:lang w:eastAsia="en-AU"/>
        </w:rPr>
        <w:t xml:space="preserve">is at </w:t>
      </w:r>
      <w:r w:rsidRPr="00267527">
        <w:rPr>
          <w:rFonts w:ascii="Times New Roman" w:eastAsia="Times New Roman" w:hAnsi="Times New Roman" w:cs="Times New Roman"/>
          <w:sz w:val="24"/>
          <w:szCs w:val="24"/>
          <w:u w:val="single"/>
          <w:lang w:eastAsia="en-AU"/>
        </w:rPr>
        <w:t>Attachment A.</w:t>
      </w:r>
      <w:r w:rsidRPr="00267527">
        <w:rPr>
          <w:rFonts w:ascii="Times New Roman" w:eastAsia="Times New Roman" w:hAnsi="Times New Roman" w:cs="Times New Roman"/>
          <w:sz w:val="24"/>
          <w:szCs w:val="24"/>
          <w:lang w:eastAsia="en-AU"/>
        </w:rPr>
        <w:t xml:space="preserve"> </w:t>
      </w:r>
    </w:p>
    <w:p w14:paraId="66DED859" w14:textId="77777777" w:rsidR="00527773" w:rsidRPr="00267527" w:rsidRDefault="00527773" w:rsidP="00527773">
      <w:pPr>
        <w:widowControl w:val="0"/>
        <w:spacing w:after="0"/>
        <w:ind w:right="748"/>
        <w:rPr>
          <w:rFonts w:ascii="Times New Roman" w:eastAsia="Times New Roman" w:hAnsi="Times New Roman" w:cs="Times New Roman"/>
          <w:sz w:val="24"/>
          <w:szCs w:val="24"/>
          <w:lang w:eastAsia="en-AU"/>
        </w:rPr>
      </w:pPr>
    </w:p>
    <w:p w14:paraId="0E1EAD92" w14:textId="77777777" w:rsidR="00527773" w:rsidRPr="00267527" w:rsidRDefault="00527773" w:rsidP="00527773">
      <w:pPr>
        <w:widowControl w:val="0"/>
        <w:spacing w:after="0"/>
        <w:ind w:right="748"/>
        <w:rPr>
          <w:rFonts w:ascii="Times New Roman" w:eastAsia="Times New Roman" w:hAnsi="Times New Roman" w:cs="Times New Roman"/>
          <w:sz w:val="24"/>
          <w:szCs w:val="24"/>
          <w:lang w:eastAsia="en-AU"/>
        </w:rPr>
      </w:pPr>
      <w:r w:rsidRPr="00267527">
        <w:rPr>
          <w:rFonts w:ascii="Times New Roman" w:eastAsia="Times New Roman" w:hAnsi="Times New Roman" w:cs="Times New Roman"/>
          <w:sz w:val="24"/>
          <w:szCs w:val="24"/>
          <w:lang w:eastAsia="en-AU"/>
        </w:rPr>
        <w:t xml:space="preserve">Details of the Amendment Regulations are set out in </w:t>
      </w:r>
      <w:r w:rsidRPr="00267527">
        <w:rPr>
          <w:rFonts w:ascii="Times New Roman" w:eastAsia="Times New Roman" w:hAnsi="Times New Roman" w:cs="Times New Roman"/>
          <w:sz w:val="24"/>
          <w:szCs w:val="24"/>
          <w:u w:val="single"/>
          <w:lang w:eastAsia="en-AU"/>
        </w:rPr>
        <w:t>Attachment B</w:t>
      </w:r>
      <w:r w:rsidRPr="00267527">
        <w:rPr>
          <w:rFonts w:ascii="Times New Roman" w:eastAsia="Times New Roman" w:hAnsi="Times New Roman" w:cs="Times New Roman"/>
          <w:sz w:val="24"/>
          <w:szCs w:val="24"/>
          <w:lang w:eastAsia="en-AU"/>
        </w:rPr>
        <w:t>.</w:t>
      </w:r>
    </w:p>
    <w:p w14:paraId="49F56858" w14:textId="77777777" w:rsidR="00527773" w:rsidRPr="00267527" w:rsidRDefault="00527773" w:rsidP="00527773">
      <w:pPr>
        <w:widowControl w:val="0"/>
        <w:spacing w:after="0"/>
        <w:ind w:right="748"/>
        <w:rPr>
          <w:rFonts w:ascii="Times New Roman" w:eastAsia="Times New Roman" w:hAnsi="Times New Roman" w:cs="Times New Roman"/>
          <w:sz w:val="24"/>
          <w:szCs w:val="24"/>
          <w:lang w:eastAsia="en-AU"/>
        </w:rPr>
      </w:pPr>
    </w:p>
    <w:p w14:paraId="66B0DB8C" w14:textId="77777777" w:rsidR="00527773" w:rsidRPr="00267527" w:rsidRDefault="00527773" w:rsidP="00527773">
      <w:pPr>
        <w:widowControl w:val="0"/>
        <w:spacing w:after="0"/>
        <w:ind w:right="748"/>
        <w:rPr>
          <w:rFonts w:ascii="Times New Roman" w:eastAsia="Times New Roman" w:hAnsi="Times New Roman" w:cs="Times New Roman"/>
          <w:sz w:val="24"/>
          <w:szCs w:val="24"/>
          <w:lang w:eastAsia="en-AU"/>
        </w:rPr>
      </w:pPr>
      <w:r w:rsidRPr="00267527">
        <w:rPr>
          <w:rFonts w:ascii="Times New Roman" w:eastAsia="Times New Roman" w:hAnsi="Times New Roman" w:cs="Times New Roman"/>
          <w:sz w:val="24"/>
          <w:szCs w:val="24"/>
          <w:lang w:eastAsia="en-AU"/>
        </w:rPr>
        <w:t xml:space="preserve">The Legislation Act specifies no conditions that need to be satisfied before the power to make the proposed </w:t>
      </w:r>
      <w:r>
        <w:rPr>
          <w:rFonts w:ascii="Times New Roman" w:eastAsia="Times New Roman" w:hAnsi="Times New Roman" w:cs="Times New Roman"/>
          <w:sz w:val="24"/>
          <w:szCs w:val="24"/>
          <w:lang w:eastAsia="en-AU"/>
        </w:rPr>
        <w:t xml:space="preserve">Amendment </w:t>
      </w:r>
      <w:r w:rsidRPr="00267527">
        <w:rPr>
          <w:rFonts w:ascii="Times New Roman" w:eastAsia="Times New Roman" w:hAnsi="Times New Roman" w:cs="Times New Roman"/>
          <w:sz w:val="24"/>
          <w:szCs w:val="24"/>
          <w:lang w:eastAsia="en-AU"/>
        </w:rPr>
        <w:t xml:space="preserve">Regulations may be exercised. </w:t>
      </w:r>
    </w:p>
    <w:p w14:paraId="29E3730F" w14:textId="77777777" w:rsidR="00527773" w:rsidRPr="00267527" w:rsidRDefault="00527773" w:rsidP="00527773">
      <w:pPr>
        <w:widowControl w:val="0"/>
        <w:spacing w:after="0"/>
        <w:ind w:right="748"/>
        <w:rPr>
          <w:rFonts w:ascii="Times New Roman" w:eastAsia="Times New Roman" w:hAnsi="Times New Roman" w:cs="Times New Roman"/>
          <w:sz w:val="24"/>
          <w:szCs w:val="24"/>
          <w:lang w:eastAsia="en-AU"/>
        </w:rPr>
      </w:pPr>
    </w:p>
    <w:p w14:paraId="15C1E131" w14:textId="77777777" w:rsidR="00527773" w:rsidRPr="00267527" w:rsidRDefault="00527773" w:rsidP="00527773">
      <w:pPr>
        <w:widowControl w:val="0"/>
        <w:spacing w:after="0"/>
        <w:ind w:right="748"/>
        <w:rPr>
          <w:rFonts w:ascii="Times New Roman" w:eastAsia="Times New Roman" w:hAnsi="Times New Roman" w:cs="Times New Roman"/>
          <w:sz w:val="24"/>
          <w:szCs w:val="24"/>
          <w:lang w:eastAsia="en-AU"/>
        </w:rPr>
      </w:pPr>
      <w:r w:rsidRPr="00267527">
        <w:rPr>
          <w:rFonts w:ascii="Times New Roman" w:eastAsia="Times New Roman" w:hAnsi="Times New Roman" w:cs="Times New Roman"/>
          <w:sz w:val="24"/>
          <w:szCs w:val="24"/>
          <w:lang w:eastAsia="en-AU"/>
        </w:rPr>
        <w:t>The Amendment Regulations are a legislative instrument for the purposes of the Legislation Act.</w:t>
      </w:r>
    </w:p>
    <w:p w14:paraId="49E8C701" w14:textId="77777777" w:rsidR="00527773" w:rsidRPr="00267527" w:rsidRDefault="00527773" w:rsidP="00527773">
      <w:pPr>
        <w:widowControl w:val="0"/>
        <w:spacing w:after="0"/>
        <w:ind w:right="748"/>
        <w:rPr>
          <w:rFonts w:ascii="Times New Roman" w:eastAsia="Times New Roman" w:hAnsi="Times New Roman" w:cs="Times New Roman"/>
          <w:sz w:val="24"/>
          <w:szCs w:val="24"/>
          <w:lang w:eastAsia="en-AU"/>
        </w:rPr>
      </w:pPr>
    </w:p>
    <w:p w14:paraId="02273FAB" w14:textId="77777777" w:rsidR="00527773" w:rsidRPr="00267527" w:rsidRDefault="00527773" w:rsidP="00527773">
      <w:pPr>
        <w:widowControl w:val="0"/>
        <w:spacing w:after="0"/>
        <w:ind w:right="748"/>
        <w:rPr>
          <w:sz w:val="24"/>
          <w:szCs w:val="24"/>
        </w:rPr>
      </w:pPr>
      <w:r w:rsidRPr="00267527">
        <w:rPr>
          <w:rFonts w:ascii="Times New Roman" w:eastAsia="Times New Roman" w:hAnsi="Times New Roman" w:cs="Times New Roman"/>
          <w:sz w:val="24"/>
          <w:szCs w:val="24"/>
          <w:lang w:eastAsia="en-AU"/>
        </w:rPr>
        <w:lastRenderedPageBreak/>
        <w:t xml:space="preserve">The Amendment Regulations commence </w:t>
      </w:r>
      <w:r>
        <w:rPr>
          <w:rFonts w:ascii="Times New Roman" w:eastAsia="Times New Roman" w:hAnsi="Times New Roman" w:cs="Times New Roman"/>
          <w:sz w:val="24"/>
          <w:szCs w:val="24"/>
          <w:lang w:eastAsia="en-AU"/>
        </w:rPr>
        <w:t>the day</w:t>
      </w:r>
      <w:r w:rsidRPr="00267527">
        <w:rPr>
          <w:rFonts w:ascii="Times New Roman" w:eastAsia="Times New Roman" w:hAnsi="Times New Roman" w:cs="Times New Roman"/>
          <w:sz w:val="24"/>
          <w:szCs w:val="24"/>
          <w:lang w:eastAsia="en-AU"/>
        </w:rPr>
        <w:t xml:space="preserve"> after </w:t>
      </w:r>
      <w:r>
        <w:rPr>
          <w:rFonts w:ascii="Times New Roman" w:eastAsia="Times New Roman" w:hAnsi="Times New Roman" w:cs="Times New Roman"/>
          <w:sz w:val="24"/>
          <w:szCs w:val="24"/>
          <w:lang w:eastAsia="en-AU"/>
        </w:rPr>
        <w:t xml:space="preserve">their </w:t>
      </w:r>
      <w:r w:rsidRPr="00267527">
        <w:rPr>
          <w:rFonts w:ascii="Times New Roman" w:eastAsia="Times New Roman" w:hAnsi="Times New Roman" w:cs="Times New Roman"/>
          <w:sz w:val="24"/>
          <w:szCs w:val="24"/>
          <w:lang w:eastAsia="en-AU"/>
        </w:rPr>
        <w:t>registration.</w:t>
      </w:r>
      <w:r w:rsidRPr="00267527">
        <w:rPr>
          <w:rFonts w:ascii="Times New Roman" w:eastAsia="Times New Roman" w:hAnsi="Times New Roman" w:cs="Times New Roman"/>
          <w:sz w:val="24"/>
          <w:szCs w:val="24"/>
          <w:lang w:eastAsia="en-AU"/>
        </w:rPr>
        <w:tab/>
      </w:r>
    </w:p>
    <w:p w14:paraId="36C22F7B" w14:textId="14B171C5" w:rsidR="00527773" w:rsidRPr="00267527" w:rsidRDefault="00527773" w:rsidP="00527773">
      <w:pPr>
        <w:widowControl w:val="0"/>
        <w:spacing w:after="0"/>
        <w:ind w:right="748"/>
        <w:rPr>
          <w:sz w:val="24"/>
          <w:szCs w:val="24"/>
        </w:rPr>
      </w:pPr>
      <w:r w:rsidRPr="00267527">
        <w:rPr>
          <w:rFonts w:ascii="Times New Roman" w:eastAsia="Times New Roman" w:hAnsi="Times New Roman" w:cs="Times New Roman"/>
          <w:sz w:val="24"/>
          <w:szCs w:val="24"/>
          <w:lang w:eastAsia="en-AU"/>
        </w:rPr>
        <w:t xml:space="preserve">The Amendment Regulations, the Principal Regulations and the Legislation Act are available on the Federal Register of Legislation </w:t>
      </w:r>
      <w:r w:rsidRPr="003610EC">
        <w:rPr>
          <w:rFonts w:ascii="Times New Roman" w:hAnsi="Times New Roman" w:cs="Times New Roman"/>
          <w:sz w:val="24"/>
          <w:szCs w:val="24"/>
        </w:rPr>
        <w:t>https://www.legisla</w:t>
      </w:r>
      <w:bookmarkStart w:id="0" w:name="_GoBack"/>
      <w:bookmarkEnd w:id="0"/>
      <w:r w:rsidRPr="003610EC">
        <w:rPr>
          <w:rFonts w:ascii="Times New Roman" w:hAnsi="Times New Roman" w:cs="Times New Roman"/>
          <w:sz w:val="24"/>
          <w:szCs w:val="24"/>
        </w:rPr>
        <w:t>tion.gov.au/</w:t>
      </w:r>
      <w:r w:rsidRPr="00267527">
        <w:rPr>
          <w:rFonts w:ascii="Times New Roman" w:eastAsia="Times New Roman" w:hAnsi="Times New Roman" w:cs="Times New Roman"/>
          <w:sz w:val="24"/>
          <w:szCs w:val="24"/>
          <w:lang w:eastAsia="en-AU"/>
        </w:rPr>
        <w:t>.</w:t>
      </w:r>
    </w:p>
    <w:p w14:paraId="52A4498B" w14:textId="77777777" w:rsidR="00527773" w:rsidRPr="00420A7A" w:rsidRDefault="00527773" w:rsidP="00527773">
      <w:pPr>
        <w:jc w:val="right"/>
        <w:rPr>
          <w:rFonts w:ascii="Times New Roman" w:eastAsia="Calibri" w:hAnsi="Times New Roman" w:cs="Times New Roman"/>
          <w:sz w:val="24"/>
          <w:szCs w:val="24"/>
          <w:lang w:eastAsia="en-AU"/>
        </w:rPr>
      </w:pPr>
      <w:r w:rsidRPr="00267527">
        <w:rPr>
          <w:rFonts w:ascii="Times New Roman" w:hAnsi="Times New Roman" w:cs="Times New Roman"/>
          <w:b/>
          <w:caps/>
          <w:sz w:val="24"/>
          <w:szCs w:val="24"/>
        </w:rPr>
        <w:br w:type="page"/>
      </w:r>
      <w:r>
        <w:rPr>
          <w:rFonts w:ascii="Times New Roman" w:hAnsi="Times New Roman" w:cs="Times New Roman"/>
          <w:b/>
          <w:sz w:val="24"/>
          <w:szCs w:val="24"/>
        </w:rPr>
        <w:lastRenderedPageBreak/>
        <w:t>Attachment A</w:t>
      </w:r>
    </w:p>
    <w:p w14:paraId="03A62B66" w14:textId="77777777" w:rsidR="00527773" w:rsidRDefault="00527773" w:rsidP="00527773">
      <w:pPr>
        <w:spacing w:after="120" w:line="240" w:lineRule="auto"/>
        <w:rPr>
          <w:rFonts w:ascii="Times New Roman" w:hAnsi="Times New Roman" w:cs="Times New Roman"/>
          <w:b/>
          <w:caps/>
          <w:sz w:val="24"/>
          <w:szCs w:val="24"/>
        </w:rPr>
      </w:pPr>
    </w:p>
    <w:p w14:paraId="18DB89A0" w14:textId="77777777" w:rsidR="00527773" w:rsidRDefault="00527773" w:rsidP="00527773">
      <w:pPr>
        <w:spacing w:after="120" w:line="240" w:lineRule="auto"/>
        <w:rPr>
          <w:rFonts w:ascii="Times New Roman" w:hAnsi="Times New Roman" w:cs="Times New Roman"/>
          <w:b/>
          <w:caps/>
          <w:sz w:val="24"/>
          <w:szCs w:val="24"/>
        </w:rPr>
      </w:pPr>
      <w:r>
        <w:rPr>
          <w:rFonts w:ascii="Times New Roman" w:hAnsi="Times New Roman" w:cs="Times New Roman"/>
          <w:b/>
          <w:caps/>
          <w:sz w:val="24"/>
          <w:szCs w:val="24"/>
        </w:rPr>
        <w:t>Statement of Compatibility with Human Rights</w:t>
      </w:r>
    </w:p>
    <w:p w14:paraId="393B80FD" w14:textId="77777777" w:rsidR="00527773" w:rsidRDefault="00527773" w:rsidP="00527773">
      <w:pPr>
        <w:keepNext/>
        <w:spacing w:after="0" w:line="240" w:lineRule="auto"/>
        <w:ind w:right="748"/>
        <w:rPr>
          <w:rFonts w:ascii="Times New Roman" w:eastAsia="Times New Roman" w:hAnsi="Times New Roman" w:cs="Times New Roman"/>
          <w:sz w:val="24"/>
          <w:lang w:eastAsia="en-AU"/>
        </w:rPr>
      </w:pPr>
    </w:p>
    <w:p w14:paraId="3AD036CA" w14:textId="77777777" w:rsidR="00527773" w:rsidRDefault="00527773" w:rsidP="00527773">
      <w:pPr>
        <w:keepNext/>
        <w:spacing w:after="0"/>
        <w:ind w:right="748"/>
        <w:rPr>
          <w:rFonts w:ascii="Times New Roman" w:eastAsia="Times New Roman" w:hAnsi="Times New Roman" w:cs="Times New Roman"/>
          <w:i/>
          <w:sz w:val="24"/>
          <w:lang w:eastAsia="en-AU"/>
        </w:rPr>
      </w:pPr>
      <w:r>
        <w:rPr>
          <w:rFonts w:ascii="Times New Roman" w:eastAsia="Times New Roman" w:hAnsi="Times New Roman" w:cs="Times New Roman"/>
          <w:sz w:val="24"/>
          <w:lang w:eastAsia="en-AU"/>
        </w:rPr>
        <w:t>Prepared in accordance with Part 3 of the</w:t>
      </w:r>
      <w:r>
        <w:rPr>
          <w:rFonts w:ascii="Times New Roman" w:eastAsia="Times New Roman" w:hAnsi="Times New Roman" w:cs="Times New Roman"/>
          <w:i/>
          <w:sz w:val="24"/>
          <w:lang w:eastAsia="en-AU"/>
        </w:rPr>
        <w:t xml:space="preserve"> Human Rights (Parliamentary Scrutiny) Act 2011.</w:t>
      </w:r>
    </w:p>
    <w:p w14:paraId="60D2A4CB" w14:textId="77777777" w:rsidR="00527773" w:rsidRDefault="00527773" w:rsidP="00527773">
      <w:pPr>
        <w:keepNext/>
        <w:spacing w:after="0"/>
        <w:ind w:right="748"/>
        <w:rPr>
          <w:rFonts w:ascii="Times New Roman" w:eastAsia="Times New Roman" w:hAnsi="Times New Roman" w:cs="Times New Roman"/>
          <w:i/>
          <w:sz w:val="20"/>
          <w:lang w:eastAsia="en-AU"/>
        </w:rPr>
      </w:pPr>
    </w:p>
    <w:p w14:paraId="0C08EF8B" w14:textId="77777777" w:rsidR="00527773" w:rsidRDefault="00527773" w:rsidP="00527773">
      <w:pPr>
        <w:pStyle w:val="NoSpacing"/>
        <w:spacing w:line="276" w:lineRule="auto"/>
        <w:rPr>
          <w:rFonts w:ascii="Times New Roman" w:hAnsi="Times New Roman" w:cs="Times New Roman"/>
          <w:b/>
          <w:sz w:val="24"/>
          <w:szCs w:val="24"/>
        </w:rPr>
      </w:pPr>
      <w:r>
        <w:rPr>
          <w:rFonts w:ascii="Times New Roman" w:hAnsi="Times New Roman" w:cs="Times New Roman"/>
          <w:b/>
          <w:i/>
          <w:sz w:val="24"/>
          <w:szCs w:val="24"/>
        </w:rPr>
        <w:t>Legislation (Exemptions and Other Matters) Amendment Regulations 2024</w:t>
      </w:r>
    </w:p>
    <w:p w14:paraId="4DDA5B45" w14:textId="77777777" w:rsidR="00527773" w:rsidRDefault="00527773" w:rsidP="00527773">
      <w:pPr>
        <w:pStyle w:val="NoSpacing"/>
        <w:spacing w:line="276" w:lineRule="auto"/>
        <w:rPr>
          <w:rFonts w:ascii="Times New Roman" w:hAnsi="Times New Roman" w:cs="Times New Roman"/>
          <w:b/>
          <w:sz w:val="16"/>
          <w:szCs w:val="24"/>
        </w:rPr>
      </w:pPr>
    </w:p>
    <w:p w14:paraId="4CEC539C" w14:textId="77777777" w:rsidR="00527773" w:rsidRDefault="00527773" w:rsidP="00527773">
      <w:pPr>
        <w:pStyle w:val="NoSpacing"/>
        <w:spacing w:line="276" w:lineRule="auto"/>
        <w:rPr>
          <w:rFonts w:ascii="Times New Roman" w:hAnsi="Times New Roman" w:cs="Times New Roman"/>
          <w:iCs/>
          <w:sz w:val="24"/>
          <w:szCs w:val="24"/>
        </w:rPr>
      </w:pPr>
      <w:r>
        <w:rPr>
          <w:rFonts w:ascii="Times New Roman" w:hAnsi="Times New Roman" w:cs="Times New Roman"/>
          <w:sz w:val="24"/>
          <w:szCs w:val="24"/>
        </w:rPr>
        <w:t xml:space="preserve">The </w:t>
      </w:r>
      <w:r w:rsidRPr="00944340">
        <w:rPr>
          <w:rFonts w:ascii="Times New Roman" w:hAnsi="Times New Roman" w:cs="Times New Roman"/>
          <w:i/>
          <w:sz w:val="24"/>
          <w:szCs w:val="24"/>
        </w:rPr>
        <w:t>Legislation (Exemptions and Other Matters) Amendment (202</w:t>
      </w:r>
      <w:r>
        <w:rPr>
          <w:rFonts w:ascii="Times New Roman" w:hAnsi="Times New Roman" w:cs="Times New Roman"/>
          <w:i/>
          <w:sz w:val="24"/>
          <w:szCs w:val="24"/>
        </w:rPr>
        <w:t>4</w:t>
      </w:r>
      <w:r w:rsidRPr="00944340">
        <w:rPr>
          <w:rFonts w:ascii="Times New Roman" w:hAnsi="Times New Roman" w:cs="Times New Roman"/>
          <w:i/>
          <w:sz w:val="24"/>
          <w:szCs w:val="24"/>
        </w:rPr>
        <w:t xml:space="preserve"> Measures No. </w:t>
      </w:r>
      <w:r>
        <w:rPr>
          <w:rFonts w:ascii="Times New Roman" w:hAnsi="Times New Roman" w:cs="Times New Roman"/>
          <w:i/>
          <w:sz w:val="24"/>
          <w:szCs w:val="24"/>
        </w:rPr>
        <w:t>2</w:t>
      </w:r>
      <w:r w:rsidRPr="00944340">
        <w:rPr>
          <w:rFonts w:ascii="Times New Roman" w:hAnsi="Times New Roman" w:cs="Times New Roman"/>
          <w:i/>
          <w:sz w:val="24"/>
          <w:szCs w:val="24"/>
        </w:rPr>
        <w:t>) Regulations 202</w:t>
      </w:r>
      <w:r>
        <w:rPr>
          <w:rFonts w:ascii="Times New Roman" w:hAnsi="Times New Roman" w:cs="Times New Roman"/>
          <w:i/>
          <w:sz w:val="24"/>
          <w:szCs w:val="24"/>
        </w:rPr>
        <w:t>4</w:t>
      </w:r>
      <w:r>
        <w:rPr>
          <w:rFonts w:ascii="Times New Roman" w:hAnsi="Times New Roman" w:cs="Times New Roman"/>
          <w:sz w:val="24"/>
          <w:szCs w:val="24"/>
        </w:rPr>
        <w:t xml:space="preserve"> (the Amendment Regulations) are compatible with the human rights and freedoms recognised or declared in the international instruments listed in section 3 of the </w:t>
      </w:r>
      <w:r>
        <w:rPr>
          <w:rFonts w:ascii="Times New Roman" w:hAnsi="Times New Roman" w:cs="Times New Roman"/>
          <w:i/>
          <w:iCs/>
          <w:sz w:val="24"/>
          <w:szCs w:val="24"/>
        </w:rPr>
        <w:t xml:space="preserve">Human Rights (Parliamentary Scrutiny) Act 2011 </w:t>
      </w:r>
      <w:r>
        <w:rPr>
          <w:rFonts w:ascii="Times New Roman" w:hAnsi="Times New Roman" w:cs="Times New Roman"/>
          <w:iCs/>
          <w:sz w:val="24"/>
          <w:szCs w:val="24"/>
        </w:rPr>
        <w:t>(the Human Rights Act)</w:t>
      </w:r>
      <w:r>
        <w:rPr>
          <w:rFonts w:ascii="Times New Roman" w:hAnsi="Times New Roman" w:cs="Times New Roman"/>
          <w:i/>
          <w:iCs/>
          <w:sz w:val="24"/>
          <w:szCs w:val="24"/>
        </w:rPr>
        <w:t>.</w:t>
      </w:r>
    </w:p>
    <w:p w14:paraId="215076F1" w14:textId="77777777" w:rsidR="00527773" w:rsidRDefault="00527773" w:rsidP="00527773">
      <w:pPr>
        <w:pStyle w:val="NoSpacing"/>
        <w:spacing w:line="276" w:lineRule="auto"/>
        <w:rPr>
          <w:rFonts w:ascii="Times New Roman" w:hAnsi="Times New Roman" w:cs="Times New Roman"/>
          <w:iCs/>
          <w:sz w:val="24"/>
          <w:szCs w:val="24"/>
        </w:rPr>
      </w:pPr>
    </w:p>
    <w:p w14:paraId="26EFCB47" w14:textId="77777777" w:rsidR="00527773" w:rsidRDefault="00527773" w:rsidP="00527773">
      <w:pPr>
        <w:pStyle w:val="NoSpacing"/>
        <w:spacing w:line="276" w:lineRule="auto"/>
        <w:rPr>
          <w:rFonts w:ascii="Times New Roman" w:hAnsi="Times New Roman" w:cs="Times New Roman"/>
          <w:iCs/>
          <w:sz w:val="24"/>
          <w:szCs w:val="24"/>
        </w:rPr>
      </w:pPr>
      <w:r>
        <w:rPr>
          <w:rFonts w:ascii="Times New Roman" w:hAnsi="Times New Roman" w:cs="Times New Roman"/>
          <w:b/>
          <w:iCs/>
          <w:sz w:val="24"/>
          <w:szCs w:val="24"/>
        </w:rPr>
        <w:t>Overview</w:t>
      </w:r>
    </w:p>
    <w:p w14:paraId="58562075" w14:textId="77777777" w:rsidR="00527773" w:rsidRDefault="00527773" w:rsidP="00527773">
      <w:pPr>
        <w:pStyle w:val="Paragraph"/>
        <w:tabs>
          <w:tab w:val="left" w:pos="567"/>
        </w:tabs>
        <w:spacing w:before="120" w:line="276" w:lineRule="auto"/>
        <w:rPr>
          <w:szCs w:val="24"/>
        </w:rPr>
      </w:pPr>
      <w:r>
        <w:t xml:space="preserve">The </w:t>
      </w:r>
      <w:r>
        <w:rPr>
          <w:i/>
        </w:rPr>
        <w:t xml:space="preserve">Legislation Act 2003 </w:t>
      </w:r>
      <w:r>
        <w:t xml:space="preserve">(Legislation Act) establishes a comprehensive regime for the publication of Commonwealth Acts and Instruments and provides for the sunsetting of legislative instruments. Sunsetting is the process by which instruments are automatically repealed approximately 10 years after they are made unless steps are taken to preserve their operation or the instruments are exempt from sunsetting. </w:t>
      </w:r>
    </w:p>
    <w:p w14:paraId="7B281526" w14:textId="77777777" w:rsidR="00527773" w:rsidRDefault="00527773" w:rsidP="00527773">
      <w:pPr>
        <w:numPr>
          <w:ilvl w:val="12"/>
          <w:numId w:val="0"/>
        </w:numPr>
        <w:spacing w:before="120" w:after="0"/>
        <w:rPr>
          <w:rFonts w:ascii="Times New Roman" w:eastAsia="Calibri" w:hAnsi="Times New Roman" w:cs="Times New Roman"/>
          <w:sz w:val="24"/>
          <w:szCs w:val="24"/>
          <w:lang w:eastAsia="en-AU"/>
        </w:rPr>
      </w:pPr>
      <w:r>
        <w:rPr>
          <w:rFonts w:ascii="Times New Roman" w:eastAsia="Times New Roman" w:hAnsi="Times New Roman" w:cs="Times New Roman"/>
          <w:color w:val="000000"/>
          <w:sz w:val="24"/>
          <w:szCs w:val="24"/>
          <w:lang w:eastAsia="en-AU"/>
        </w:rPr>
        <w:t xml:space="preserve">The </w:t>
      </w:r>
      <w:r>
        <w:rPr>
          <w:rFonts w:ascii="Times New Roman" w:eastAsia="Times New Roman" w:hAnsi="Times New Roman" w:cs="Times New Roman"/>
          <w:i/>
          <w:color w:val="000000"/>
          <w:sz w:val="24"/>
          <w:szCs w:val="24"/>
          <w:lang w:eastAsia="en-AU"/>
        </w:rPr>
        <w:t>Legislation (Exemptions and Other Matters) Regulation 2015</w:t>
      </w:r>
      <w:r>
        <w:rPr>
          <w:rFonts w:ascii="Times New Roman" w:eastAsia="Times New Roman" w:hAnsi="Times New Roman" w:cs="Times New Roman"/>
          <w:color w:val="000000"/>
          <w:sz w:val="24"/>
          <w:szCs w:val="24"/>
          <w:lang w:eastAsia="en-AU"/>
        </w:rPr>
        <w:t xml:space="preserve"> (the Principal Regulation) prescribe </w:t>
      </w:r>
      <w:r>
        <w:rPr>
          <w:rFonts w:ascii="Times New Roman" w:eastAsia="Calibri" w:hAnsi="Times New Roman" w:cs="Times New Roman"/>
          <w:sz w:val="24"/>
          <w:szCs w:val="24"/>
          <w:lang w:eastAsia="en-AU"/>
        </w:rPr>
        <w:t xml:space="preserve">classes of instruments (at section 11) and particular instruments (at section 12) that are exempt from sunsetting under paragraph 54(2)(b) of the Legislation Act. </w:t>
      </w:r>
    </w:p>
    <w:p w14:paraId="4BC03B2E" w14:textId="77777777" w:rsidR="00527773" w:rsidRDefault="00527773" w:rsidP="00527773">
      <w:pPr>
        <w:pStyle w:val="NoSpacing"/>
        <w:spacing w:line="276" w:lineRule="auto"/>
        <w:rPr>
          <w:rFonts w:ascii="Times New Roman" w:hAnsi="Times New Roman" w:cs="Times New Roman"/>
          <w:sz w:val="20"/>
          <w:szCs w:val="24"/>
        </w:rPr>
      </w:pPr>
    </w:p>
    <w:p w14:paraId="28AB2E9A" w14:textId="75A00411" w:rsidR="00527773" w:rsidRDefault="00527773" w:rsidP="00527773">
      <w:pPr>
        <w:pStyle w:val="NoSpacing"/>
        <w:spacing w:line="276" w:lineRule="auto"/>
        <w:rPr>
          <w:rFonts w:ascii="Times New Roman" w:eastAsia="Times New Roman" w:hAnsi="Times New Roman" w:cs="Times New Roman"/>
          <w:sz w:val="24"/>
          <w:szCs w:val="24"/>
          <w:lang w:eastAsia="en-AU"/>
        </w:rPr>
      </w:pPr>
      <w:r>
        <w:rPr>
          <w:rFonts w:ascii="Times New Roman" w:hAnsi="Times New Roman" w:cs="Times New Roman"/>
          <w:sz w:val="24"/>
          <w:szCs w:val="24"/>
        </w:rPr>
        <w:t xml:space="preserve">The Amendment Regulations are made under section 62 of the Legislation Act and amend the Principal Regulation </w:t>
      </w:r>
      <w:r>
        <w:rPr>
          <w:rFonts w:ascii="Times New Roman" w:eastAsia="Times New Roman" w:hAnsi="Times New Roman" w:cs="Times New Roman"/>
          <w:sz w:val="24"/>
          <w:szCs w:val="24"/>
          <w:lang w:eastAsia="en-AU"/>
        </w:rPr>
        <w:t xml:space="preserve">by adding items 53A and 53B in section 12 of the Principal Regulations to create exemptions from sunsetting for the </w:t>
      </w:r>
      <w:r w:rsidRPr="00944340">
        <w:rPr>
          <w:rFonts w:ascii="Times New Roman" w:eastAsia="Times New Roman" w:hAnsi="Times New Roman" w:cs="Times New Roman"/>
          <w:i/>
          <w:sz w:val="24"/>
          <w:szCs w:val="24"/>
          <w:lang w:eastAsia="en-AU"/>
        </w:rPr>
        <w:t>Public Governance, Performance and Accountability</w:t>
      </w:r>
      <w:r>
        <w:rPr>
          <w:rFonts w:ascii="Times New Roman" w:eastAsia="Times New Roman" w:hAnsi="Times New Roman" w:cs="Times New Roman"/>
          <w:i/>
          <w:sz w:val="24"/>
          <w:szCs w:val="24"/>
          <w:lang w:eastAsia="en-AU"/>
        </w:rPr>
        <w:t xml:space="preserve"> (Financial Reporting)</w:t>
      </w:r>
      <w:r w:rsidRPr="00944340">
        <w:rPr>
          <w:rFonts w:ascii="Times New Roman" w:eastAsia="Times New Roman" w:hAnsi="Times New Roman" w:cs="Times New Roman"/>
          <w:i/>
          <w:sz w:val="24"/>
          <w:szCs w:val="24"/>
          <w:lang w:eastAsia="en-AU"/>
        </w:rPr>
        <w:t xml:space="preserve"> Rule 201</w:t>
      </w:r>
      <w:r>
        <w:rPr>
          <w:rFonts w:ascii="Times New Roman" w:eastAsia="Times New Roman" w:hAnsi="Times New Roman" w:cs="Times New Roman"/>
          <w:i/>
          <w:sz w:val="24"/>
          <w:szCs w:val="24"/>
          <w:lang w:eastAsia="en-AU"/>
        </w:rPr>
        <w:t xml:space="preserve">5 </w:t>
      </w:r>
      <w:r>
        <w:rPr>
          <w:rFonts w:ascii="Times New Roman" w:eastAsia="Times New Roman" w:hAnsi="Times New Roman" w:cs="Times New Roman"/>
          <w:sz w:val="24"/>
          <w:szCs w:val="24"/>
          <w:lang w:eastAsia="en-AU"/>
        </w:rPr>
        <w:t>(</w:t>
      </w:r>
      <w:r w:rsidR="00F46908">
        <w:rPr>
          <w:rFonts w:ascii="Times New Roman" w:eastAsia="Times New Roman" w:hAnsi="Times New Roman" w:cs="Times New Roman"/>
          <w:sz w:val="24"/>
          <w:szCs w:val="24"/>
          <w:lang w:eastAsia="en-AU"/>
        </w:rPr>
        <w:t>FRR</w:t>
      </w:r>
      <w:r>
        <w:rPr>
          <w:rFonts w:ascii="Times New Roman" w:eastAsia="Times New Roman" w:hAnsi="Times New Roman" w:cs="Times New Roman"/>
          <w:sz w:val="24"/>
          <w:szCs w:val="24"/>
          <w:lang w:eastAsia="en-AU"/>
        </w:rPr>
        <w:t>), and a regulation made under t</w:t>
      </w:r>
      <w:r w:rsidRPr="00D75862">
        <w:rPr>
          <w:rFonts w:ascii="Times New Roman" w:eastAsia="Times New Roman" w:hAnsi="Times New Roman" w:cs="Times New Roman"/>
          <w:sz w:val="24"/>
          <w:szCs w:val="24"/>
          <w:lang w:eastAsia="en-AU"/>
        </w:rPr>
        <w:t xml:space="preserve">he </w:t>
      </w:r>
      <w:r w:rsidRPr="00D75862">
        <w:rPr>
          <w:rFonts w:ascii="Times New Roman" w:hAnsi="Times New Roman" w:cs="Times New Roman"/>
          <w:i/>
          <w:sz w:val="24"/>
          <w:szCs w:val="24"/>
        </w:rPr>
        <w:t xml:space="preserve">Public Health (Tobacco and Other Products) </w:t>
      </w:r>
      <w:r>
        <w:rPr>
          <w:rFonts w:ascii="Times New Roman" w:hAnsi="Times New Roman" w:cs="Times New Roman"/>
          <w:i/>
          <w:sz w:val="24"/>
          <w:szCs w:val="24"/>
        </w:rPr>
        <w:t xml:space="preserve">Act 2023 </w:t>
      </w:r>
      <w:r>
        <w:rPr>
          <w:rFonts w:ascii="Times New Roman" w:hAnsi="Times New Roman" w:cs="Times New Roman"/>
          <w:sz w:val="24"/>
          <w:szCs w:val="24"/>
        </w:rPr>
        <w:t>(</w:t>
      </w:r>
      <w:r w:rsidR="00002BB0">
        <w:rPr>
          <w:rFonts w:ascii="Times New Roman" w:hAnsi="Times New Roman" w:cs="Times New Roman"/>
          <w:sz w:val="24"/>
          <w:szCs w:val="24"/>
        </w:rPr>
        <w:t>Tobacco</w:t>
      </w:r>
      <w:r>
        <w:rPr>
          <w:rFonts w:ascii="Times New Roman" w:hAnsi="Times New Roman" w:cs="Times New Roman"/>
          <w:sz w:val="24"/>
          <w:szCs w:val="24"/>
        </w:rPr>
        <w:t xml:space="preserve"> Regulations)</w:t>
      </w:r>
      <w:r w:rsidRPr="00D75862">
        <w:rPr>
          <w:rFonts w:ascii="Times New Roman" w:eastAsia="Times New Roman" w:hAnsi="Times New Roman" w:cs="Times New Roman"/>
          <w:i/>
          <w:sz w:val="24"/>
          <w:szCs w:val="24"/>
          <w:lang w:eastAsia="en-AU"/>
        </w:rPr>
        <w:t>.</w:t>
      </w:r>
    </w:p>
    <w:p w14:paraId="4A278A15" w14:textId="77777777" w:rsidR="00527773" w:rsidRDefault="00527773" w:rsidP="00527773">
      <w:pPr>
        <w:pStyle w:val="NoSpacing"/>
        <w:spacing w:line="276" w:lineRule="auto"/>
        <w:rPr>
          <w:sz w:val="20"/>
        </w:rPr>
      </w:pPr>
    </w:p>
    <w:p w14:paraId="69E9340C" w14:textId="73CA1EDD" w:rsidR="00527773" w:rsidRDefault="00527773" w:rsidP="00527773">
      <w:pPr>
        <w:rPr>
          <w:rFonts w:ascii="Times New Roman" w:hAnsi="Times New Roman" w:cs="Times New Roman"/>
          <w:sz w:val="24"/>
          <w:szCs w:val="24"/>
        </w:rPr>
      </w:pPr>
      <w:r>
        <w:rPr>
          <w:rFonts w:ascii="Times New Roman" w:hAnsi="Times New Roman" w:cs="Times New Roman"/>
          <w:sz w:val="24"/>
          <w:szCs w:val="24"/>
        </w:rPr>
        <w:t>The sunsetting exemptions made by the Amendment Regulations are in accordance with established policy criteria for the granting of exemptions, provided for in the Attorney</w:t>
      </w:r>
      <w:r>
        <w:rPr>
          <w:rFonts w:ascii="Times New Roman" w:hAnsi="Times New Roman" w:cs="Times New Roman"/>
          <w:sz w:val="24"/>
          <w:szCs w:val="24"/>
        </w:rPr>
        <w:noBreakHyphen/>
        <w:t xml:space="preserve">General’s Department’s </w:t>
      </w:r>
      <w:r>
        <w:rPr>
          <w:rFonts w:ascii="Times New Roman" w:hAnsi="Times New Roman" w:cs="Times New Roman"/>
          <w:i/>
          <w:sz w:val="24"/>
          <w:szCs w:val="24"/>
        </w:rPr>
        <w:t>Guide to managing sunsetting of legislative instruments</w:t>
      </w:r>
      <w:r>
        <w:rPr>
          <w:rFonts w:ascii="Times New Roman" w:hAnsi="Times New Roman" w:cs="Times New Roman"/>
          <w:sz w:val="24"/>
          <w:szCs w:val="24"/>
        </w:rPr>
        <w:t xml:space="preserve">. </w:t>
      </w:r>
      <w:r w:rsidRPr="007E4D38">
        <w:t xml:space="preserve"> </w:t>
      </w:r>
      <w:r w:rsidRPr="00784F8C">
        <w:rPr>
          <w:rFonts w:ascii="Times New Roman" w:hAnsi="Times New Roman" w:cs="Times New Roman"/>
          <w:sz w:val="24"/>
        </w:rPr>
        <w:t xml:space="preserve">The </w:t>
      </w:r>
      <w:r w:rsidR="00F46908">
        <w:rPr>
          <w:rFonts w:ascii="Times New Roman" w:hAnsi="Times New Roman" w:cs="Times New Roman"/>
          <w:sz w:val="24"/>
        </w:rPr>
        <w:t>FRR</w:t>
      </w:r>
      <w:r w:rsidRPr="00784F8C">
        <w:rPr>
          <w:rFonts w:ascii="Times New Roman" w:hAnsi="Times New Roman" w:cs="Times New Roman"/>
          <w:sz w:val="24"/>
        </w:rPr>
        <w:t xml:space="preserve"> is</w:t>
      </w:r>
      <w:r w:rsidRPr="00784F8C">
        <w:rPr>
          <w:sz w:val="24"/>
        </w:rPr>
        <w:t xml:space="preserve"> </w:t>
      </w:r>
      <w:r w:rsidRPr="007E4D38">
        <w:rPr>
          <w:rFonts w:ascii="Times New Roman" w:hAnsi="Times New Roman" w:cs="Times New Roman"/>
          <w:sz w:val="24"/>
          <w:szCs w:val="24"/>
        </w:rPr>
        <w:t xml:space="preserve">sufficiently large and complex that the administrative burden associated with remaking the instrument would outweigh any regulatory benefit, and </w:t>
      </w:r>
      <w:r>
        <w:rPr>
          <w:rFonts w:ascii="Times New Roman" w:hAnsi="Times New Roman" w:cs="Times New Roman"/>
          <w:sz w:val="24"/>
          <w:szCs w:val="24"/>
        </w:rPr>
        <w:t>it is</w:t>
      </w:r>
      <w:r w:rsidRPr="007E4D38">
        <w:rPr>
          <w:rFonts w:ascii="Times New Roman" w:hAnsi="Times New Roman" w:cs="Times New Roman"/>
          <w:sz w:val="24"/>
          <w:szCs w:val="24"/>
        </w:rPr>
        <w:t xml:space="preserve"> subject to regular review and to regular amendment.</w:t>
      </w:r>
      <w:r>
        <w:rPr>
          <w:rFonts w:ascii="Times New Roman" w:hAnsi="Times New Roman" w:cs="Times New Roman"/>
          <w:sz w:val="24"/>
          <w:szCs w:val="24"/>
        </w:rPr>
        <w:t xml:space="preserve"> The </w:t>
      </w:r>
      <w:r w:rsidR="00002BB0">
        <w:rPr>
          <w:rFonts w:ascii="Times New Roman" w:hAnsi="Times New Roman" w:cs="Times New Roman"/>
          <w:sz w:val="24"/>
          <w:szCs w:val="24"/>
        </w:rPr>
        <w:t xml:space="preserve">Tobacco </w:t>
      </w:r>
      <w:r>
        <w:rPr>
          <w:rFonts w:ascii="Times New Roman" w:hAnsi="Times New Roman" w:cs="Times New Roman"/>
          <w:sz w:val="24"/>
          <w:szCs w:val="24"/>
        </w:rPr>
        <w:t>Regulations are designed to be enduring and not subject to regular review, and sunsetting would undermine commercial certainty within the relevant tobacco industry.</w:t>
      </w:r>
    </w:p>
    <w:p w14:paraId="327EAA32" w14:textId="77777777" w:rsidR="00527773" w:rsidRDefault="00527773" w:rsidP="00527773">
      <w:r w:rsidRPr="00782043">
        <w:rPr>
          <w:rFonts w:ascii="Times New Roman" w:hAnsi="Times New Roman" w:cs="Times New Roman"/>
          <w:b/>
          <w:sz w:val="24"/>
          <w:szCs w:val="24"/>
        </w:rPr>
        <w:t>Human Rights Implications</w:t>
      </w:r>
    </w:p>
    <w:p w14:paraId="405400FA" w14:textId="0CAA9439" w:rsidR="00527773" w:rsidRDefault="00527773" w:rsidP="00527773">
      <w:pPr>
        <w:spacing w:after="0"/>
        <w:rPr>
          <w:rFonts w:ascii="Times New Roman" w:hAnsi="Times New Roman" w:cs="Times New Roman"/>
          <w:spacing w:val="-2"/>
          <w:sz w:val="24"/>
          <w:szCs w:val="24"/>
        </w:rPr>
      </w:pPr>
      <w:r w:rsidRPr="00267527">
        <w:rPr>
          <w:rFonts w:ascii="Times New Roman" w:hAnsi="Times New Roman" w:cs="Times New Roman"/>
          <w:spacing w:val="-2"/>
          <w:sz w:val="24"/>
          <w:szCs w:val="24"/>
        </w:rPr>
        <w:t>The Amendment Regulations provide exemption</w:t>
      </w:r>
      <w:r>
        <w:rPr>
          <w:rFonts w:ascii="Times New Roman" w:hAnsi="Times New Roman" w:cs="Times New Roman"/>
          <w:spacing w:val="-2"/>
          <w:sz w:val="24"/>
          <w:szCs w:val="24"/>
        </w:rPr>
        <w:t>s</w:t>
      </w:r>
      <w:r w:rsidRPr="00267527">
        <w:rPr>
          <w:rFonts w:ascii="Times New Roman" w:hAnsi="Times New Roman" w:cs="Times New Roman"/>
          <w:spacing w:val="-2"/>
          <w:sz w:val="24"/>
          <w:szCs w:val="24"/>
        </w:rPr>
        <w:t xml:space="preserve"> from sunsetting for the </w:t>
      </w:r>
      <w:r w:rsidR="00F46908">
        <w:rPr>
          <w:rFonts w:ascii="Times New Roman" w:eastAsia="Calibri" w:hAnsi="Times New Roman" w:cs="Times New Roman"/>
          <w:sz w:val="24"/>
          <w:szCs w:val="24"/>
          <w:lang w:eastAsia="en-AU"/>
        </w:rPr>
        <w:t>FRR</w:t>
      </w:r>
      <w:r w:rsidRPr="004671A4">
        <w:rPr>
          <w:rFonts w:ascii="Times New Roman" w:eastAsia="Calibri" w:hAnsi="Times New Roman" w:cs="Times New Roman"/>
          <w:sz w:val="24"/>
          <w:szCs w:val="24"/>
          <w:lang w:eastAsia="en-AU"/>
        </w:rPr>
        <w:t xml:space="preserve"> </w:t>
      </w:r>
      <w:r>
        <w:rPr>
          <w:rFonts w:ascii="Times New Roman" w:eastAsia="Calibri" w:hAnsi="Times New Roman" w:cs="Times New Roman"/>
          <w:sz w:val="24"/>
          <w:szCs w:val="24"/>
          <w:lang w:eastAsia="en-AU"/>
        </w:rPr>
        <w:t xml:space="preserve">and the </w:t>
      </w:r>
      <w:r w:rsidR="00002BB0">
        <w:rPr>
          <w:rFonts w:ascii="Times New Roman" w:eastAsia="Calibri" w:hAnsi="Times New Roman" w:cs="Times New Roman"/>
          <w:sz w:val="24"/>
          <w:szCs w:val="24"/>
          <w:lang w:eastAsia="en-AU"/>
        </w:rPr>
        <w:t>Tobacco</w:t>
      </w:r>
      <w:r>
        <w:rPr>
          <w:rFonts w:ascii="Times New Roman" w:eastAsia="Calibri" w:hAnsi="Times New Roman" w:cs="Times New Roman"/>
          <w:sz w:val="24"/>
          <w:szCs w:val="24"/>
          <w:lang w:eastAsia="en-AU"/>
        </w:rPr>
        <w:t xml:space="preserve"> Regulations. </w:t>
      </w:r>
      <w:r w:rsidRPr="00D75862">
        <w:rPr>
          <w:rFonts w:ascii="Times New Roman" w:hAnsi="Times New Roman" w:cs="Times New Roman"/>
          <w:spacing w:val="-2"/>
          <w:sz w:val="24"/>
          <w:szCs w:val="24"/>
        </w:rPr>
        <w:t xml:space="preserve">The </w:t>
      </w:r>
      <w:r w:rsidRPr="005C6F3A">
        <w:rPr>
          <w:rFonts w:ascii="Times New Roman" w:hAnsi="Times New Roman" w:cs="Times New Roman"/>
          <w:spacing w:val="-2"/>
          <w:sz w:val="24"/>
          <w:szCs w:val="24"/>
        </w:rPr>
        <w:t>exemption</w:t>
      </w:r>
      <w:r>
        <w:rPr>
          <w:rFonts w:ascii="Times New Roman" w:hAnsi="Times New Roman" w:cs="Times New Roman"/>
          <w:spacing w:val="-2"/>
          <w:sz w:val="24"/>
          <w:szCs w:val="24"/>
        </w:rPr>
        <w:t>s</w:t>
      </w:r>
      <w:r w:rsidRPr="005C6F3A">
        <w:rPr>
          <w:rFonts w:ascii="Times New Roman" w:hAnsi="Times New Roman" w:cs="Times New Roman"/>
          <w:spacing w:val="-2"/>
          <w:sz w:val="24"/>
          <w:szCs w:val="24"/>
        </w:rPr>
        <w:t xml:space="preserve"> from sunsetting </w:t>
      </w:r>
      <w:r>
        <w:rPr>
          <w:rFonts w:ascii="Times New Roman" w:hAnsi="Times New Roman" w:cs="Times New Roman"/>
          <w:spacing w:val="-2"/>
          <w:sz w:val="24"/>
          <w:szCs w:val="24"/>
        </w:rPr>
        <w:t xml:space="preserve">of these instruments do not raise human </w:t>
      </w:r>
      <w:r>
        <w:rPr>
          <w:rFonts w:ascii="Times New Roman" w:hAnsi="Times New Roman" w:cs="Times New Roman"/>
          <w:spacing w:val="-2"/>
          <w:sz w:val="24"/>
          <w:szCs w:val="24"/>
        </w:rPr>
        <w:lastRenderedPageBreak/>
        <w:t xml:space="preserve">rights issues as the content of the exempted instruments is not altered, nor do the exemptions affect the rights engaged under the original instruments. All instruments that amend the </w:t>
      </w:r>
      <w:r w:rsidR="00F46908">
        <w:rPr>
          <w:rFonts w:ascii="Times New Roman" w:hAnsi="Times New Roman" w:cs="Times New Roman"/>
          <w:spacing w:val="-2"/>
          <w:sz w:val="24"/>
          <w:szCs w:val="24"/>
        </w:rPr>
        <w:t>FRR</w:t>
      </w:r>
      <w:r>
        <w:rPr>
          <w:rFonts w:ascii="Times New Roman" w:hAnsi="Times New Roman" w:cs="Times New Roman"/>
          <w:spacing w:val="-2"/>
          <w:sz w:val="24"/>
          <w:szCs w:val="24"/>
        </w:rPr>
        <w:t xml:space="preserve"> and the </w:t>
      </w:r>
      <w:r w:rsidR="00002BB0">
        <w:rPr>
          <w:rFonts w:ascii="Times New Roman" w:hAnsi="Times New Roman" w:cs="Times New Roman"/>
          <w:spacing w:val="-2"/>
          <w:sz w:val="24"/>
          <w:szCs w:val="24"/>
        </w:rPr>
        <w:t>Tobacco</w:t>
      </w:r>
      <w:r>
        <w:rPr>
          <w:rFonts w:ascii="Times New Roman" w:hAnsi="Times New Roman" w:cs="Times New Roman"/>
          <w:spacing w:val="-2"/>
          <w:sz w:val="24"/>
          <w:szCs w:val="24"/>
        </w:rPr>
        <w:t xml:space="preserve"> Regulations are assessed for compatibility with human rights and accordingly includes compatibility statements. </w:t>
      </w:r>
    </w:p>
    <w:p w14:paraId="71B6553A" w14:textId="77777777" w:rsidR="00527773" w:rsidRDefault="00527773" w:rsidP="00527773">
      <w:pPr>
        <w:spacing w:before="80" w:after="80"/>
        <w:rPr>
          <w:rFonts w:ascii="Times New Roman" w:eastAsia="Calibri" w:hAnsi="Times New Roman" w:cs="Times New Roman"/>
          <w:sz w:val="24"/>
          <w:szCs w:val="24"/>
          <w:u w:val="single"/>
          <w:lang w:eastAsia="en-AU"/>
        </w:rPr>
      </w:pPr>
    </w:p>
    <w:p w14:paraId="7AF08D2D" w14:textId="77777777" w:rsidR="00527773" w:rsidRPr="00782043" w:rsidRDefault="00527773" w:rsidP="00527773">
      <w:pPr>
        <w:spacing w:after="0"/>
        <w:rPr>
          <w:rFonts w:ascii="Times New Roman" w:eastAsia="Calibri" w:hAnsi="Times New Roman" w:cs="Times New Roman"/>
          <w:i/>
          <w:sz w:val="24"/>
          <w:szCs w:val="24"/>
          <w:lang w:eastAsia="en-AU"/>
        </w:rPr>
      </w:pPr>
      <w:r w:rsidRPr="00782043">
        <w:rPr>
          <w:rFonts w:ascii="Times New Roman" w:eastAsia="Calibri" w:hAnsi="Times New Roman" w:cs="Times New Roman"/>
          <w:i/>
          <w:sz w:val="24"/>
          <w:szCs w:val="24"/>
          <w:lang w:eastAsia="en-AU"/>
        </w:rPr>
        <w:t>Public Governance, Performance and Accountability Rule 201</w:t>
      </w:r>
      <w:r>
        <w:rPr>
          <w:rFonts w:ascii="Times New Roman" w:eastAsia="Calibri" w:hAnsi="Times New Roman" w:cs="Times New Roman"/>
          <w:i/>
          <w:sz w:val="24"/>
          <w:szCs w:val="24"/>
          <w:lang w:eastAsia="en-AU"/>
        </w:rPr>
        <w:t>5</w:t>
      </w:r>
    </w:p>
    <w:p w14:paraId="7964E1F8" w14:textId="77777777" w:rsidR="00527773" w:rsidRDefault="00527773" w:rsidP="00527773">
      <w:pPr>
        <w:spacing w:after="0"/>
        <w:rPr>
          <w:rFonts w:ascii="Times New Roman" w:hAnsi="Times New Roman" w:cs="Times New Roman"/>
          <w:spacing w:val="-2"/>
          <w:sz w:val="24"/>
          <w:szCs w:val="24"/>
        </w:rPr>
      </w:pPr>
    </w:p>
    <w:p w14:paraId="2E3DD337" w14:textId="5FD840EC" w:rsidR="00527773" w:rsidRPr="004E0237" w:rsidRDefault="00527773" w:rsidP="00527773">
      <w:pPr>
        <w:spacing w:after="0"/>
        <w:rPr>
          <w:rFonts w:ascii="Times New Roman" w:hAnsi="Times New Roman" w:cs="Times New Roman"/>
          <w:spacing w:val="-2"/>
          <w:sz w:val="24"/>
          <w:szCs w:val="24"/>
        </w:rPr>
      </w:pPr>
      <w:r>
        <w:rPr>
          <w:rFonts w:ascii="Times New Roman" w:hAnsi="Times New Roman" w:cs="Times New Roman"/>
          <w:spacing w:val="-2"/>
          <w:sz w:val="24"/>
          <w:szCs w:val="24"/>
        </w:rPr>
        <w:t xml:space="preserve">The </w:t>
      </w:r>
      <w:r w:rsidR="00F46908">
        <w:rPr>
          <w:rFonts w:ascii="Times New Roman" w:hAnsi="Times New Roman" w:cs="Times New Roman"/>
          <w:spacing w:val="-2"/>
          <w:sz w:val="24"/>
          <w:szCs w:val="24"/>
        </w:rPr>
        <w:t>FRR</w:t>
      </w:r>
      <w:r>
        <w:rPr>
          <w:rFonts w:ascii="Times New Roman" w:hAnsi="Times New Roman" w:cs="Times New Roman"/>
          <w:spacing w:val="-2"/>
          <w:sz w:val="24"/>
          <w:szCs w:val="24"/>
        </w:rPr>
        <w:t xml:space="preserve"> does not engage any of the applicable rights or freedoms outlined in the </w:t>
      </w:r>
      <w:r>
        <w:rPr>
          <w:rFonts w:ascii="Times New Roman" w:hAnsi="Times New Roman" w:cs="Times New Roman"/>
          <w:i/>
          <w:spacing w:val="-2"/>
          <w:sz w:val="24"/>
          <w:szCs w:val="24"/>
        </w:rPr>
        <w:t>Human Rights (Parliamentary Scrutiny) Act 2011</w:t>
      </w:r>
      <w:r>
        <w:rPr>
          <w:rFonts w:ascii="Times New Roman" w:hAnsi="Times New Roman" w:cs="Times New Roman"/>
          <w:spacing w:val="-2"/>
          <w:sz w:val="24"/>
          <w:szCs w:val="24"/>
        </w:rPr>
        <w:t xml:space="preserve">. It also does not limit any human right, nor propose any offences or penalties. The </w:t>
      </w:r>
      <w:r w:rsidR="00F46908">
        <w:rPr>
          <w:rFonts w:ascii="Times New Roman" w:hAnsi="Times New Roman" w:cs="Times New Roman"/>
          <w:spacing w:val="-2"/>
          <w:sz w:val="24"/>
          <w:szCs w:val="24"/>
        </w:rPr>
        <w:t>FRR</w:t>
      </w:r>
      <w:r>
        <w:rPr>
          <w:rFonts w:ascii="Times New Roman" w:hAnsi="Times New Roman" w:cs="Times New Roman"/>
          <w:spacing w:val="-2"/>
          <w:sz w:val="24"/>
          <w:szCs w:val="24"/>
        </w:rPr>
        <w:t xml:space="preserve"> is therefore compatible with the human rights and freedoms as it does not raise any human right issues. </w:t>
      </w:r>
    </w:p>
    <w:p w14:paraId="14DCC305" w14:textId="77777777" w:rsidR="00527773" w:rsidRDefault="00527773" w:rsidP="00527773">
      <w:pPr>
        <w:pStyle w:val="Basetext"/>
        <w:keepLines/>
        <w:spacing w:before="240" w:afterLines="200" w:after="480"/>
        <w:contextualSpacing/>
        <w:rPr>
          <w:i/>
          <w:sz w:val="24"/>
          <w:szCs w:val="24"/>
        </w:rPr>
      </w:pPr>
      <w:r w:rsidRPr="00D75862">
        <w:rPr>
          <w:i/>
          <w:sz w:val="24"/>
          <w:szCs w:val="24"/>
        </w:rPr>
        <w:t>Public Health (Tobacco and Other Products) Regulations 2024</w:t>
      </w:r>
    </w:p>
    <w:p w14:paraId="743248B7" w14:textId="77777777" w:rsidR="00527773" w:rsidRDefault="00527773" w:rsidP="00527773">
      <w:pPr>
        <w:pStyle w:val="Basetext"/>
        <w:keepLines/>
        <w:spacing w:before="240" w:afterLines="200" w:after="480"/>
        <w:contextualSpacing/>
        <w:rPr>
          <w:sz w:val="24"/>
          <w:szCs w:val="24"/>
          <w:lang w:val="en"/>
        </w:rPr>
      </w:pPr>
    </w:p>
    <w:p w14:paraId="481C93A2" w14:textId="02FDD414" w:rsidR="00527773" w:rsidRDefault="00527773" w:rsidP="00527773">
      <w:pPr>
        <w:pStyle w:val="Basetext"/>
        <w:keepLines/>
        <w:spacing w:before="240" w:afterLines="200" w:after="480"/>
        <w:contextualSpacing/>
        <w:rPr>
          <w:sz w:val="24"/>
          <w:szCs w:val="24"/>
          <w:lang w:val="en"/>
        </w:rPr>
      </w:pPr>
      <w:r>
        <w:rPr>
          <w:sz w:val="24"/>
          <w:szCs w:val="24"/>
          <w:lang w:val="en"/>
        </w:rPr>
        <w:t>The</w:t>
      </w:r>
      <w:r w:rsidRPr="00A9467B">
        <w:rPr>
          <w:sz w:val="24"/>
          <w:szCs w:val="24"/>
          <w:lang w:val="en"/>
        </w:rPr>
        <w:t xml:space="preserve"> </w:t>
      </w:r>
      <w:r w:rsidR="00002BB0">
        <w:rPr>
          <w:sz w:val="24"/>
          <w:szCs w:val="24"/>
          <w:lang w:val="en"/>
        </w:rPr>
        <w:t>Tobacco</w:t>
      </w:r>
      <w:r>
        <w:rPr>
          <w:sz w:val="24"/>
          <w:szCs w:val="24"/>
          <w:lang w:val="en"/>
        </w:rPr>
        <w:t xml:space="preserve"> Regulations</w:t>
      </w:r>
      <w:r w:rsidRPr="00A9467B">
        <w:rPr>
          <w:sz w:val="24"/>
          <w:szCs w:val="24"/>
          <w:lang w:val="en"/>
        </w:rPr>
        <w:t xml:space="preserve"> </w:t>
      </w:r>
      <w:r>
        <w:rPr>
          <w:sz w:val="24"/>
          <w:szCs w:val="24"/>
          <w:lang w:val="en"/>
        </w:rPr>
        <w:t>engage the right to health, the right to freedom of expression, and the right to life.</w:t>
      </w:r>
    </w:p>
    <w:p w14:paraId="0B589123" w14:textId="77777777" w:rsidR="00527773" w:rsidRDefault="00527773" w:rsidP="00527773">
      <w:pPr>
        <w:pStyle w:val="Basetext"/>
        <w:keepLines/>
        <w:spacing w:before="240" w:afterLines="200" w:after="480"/>
        <w:contextualSpacing/>
        <w:rPr>
          <w:sz w:val="24"/>
          <w:szCs w:val="24"/>
          <w:lang w:val="en"/>
        </w:rPr>
      </w:pPr>
    </w:p>
    <w:p w14:paraId="5FC492AD" w14:textId="77777777" w:rsidR="00527773" w:rsidRDefault="00527773" w:rsidP="00527773">
      <w:pPr>
        <w:pStyle w:val="Basetext"/>
        <w:keepLines/>
        <w:spacing w:before="240" w:afterLines="200" w:after="480"/>
        <w:contextualSpacing/>
        <w:rPr>
          <w:sz w:val="24"/>
          <w:szCs w:val="24"/>
          <w:u w:val="single"/>
          <w:lang w:val="en"/>
        </w:rPr>
      </w:pPr>
      <w:r>
        <w:rPr>
          <w:sz w:val="24"/>
          <w:szCs w:val="24"/>
          <w:u w:val="single"/>
          <w:lang w:val="en"/>
        </w:rPr>
        <w:t>Right to health</w:t>
      </w:r>
    </w:p>
    <w:p w14:paraId="133BE213" w14:textId="77777777" w:rsidR="00527773" w:rsidRDefault="00527773" w:rsidP="00527773">
      <w:pPr>
        <w:pStyle w:val="Basetext"/>
        <w:keepLines/>
        <w:spacing w:before="240" w:afterLines="200" w:after="480"/>
        <w:contextualSpacing/>
        <w:rPr>
          <w:sz w:val="24"/>
          <w:szCs w:val="24"/>
          <w:lang w:val="en"/>
        </w:rPr>
      </w:pPr>
      <w:r>
        <w:rPr>
          <w:sz w:val="24"/>
          <w:szCs w:val="24"/>
          <w:lang w:val="en"/>
        </w:rPr>
        <w:t>A</w:t>
      </w:r>
      <w:r w:rsidRPr="004E0237">
        <w:rPr>
          <w:sz w:val="24"/>
          <w:szCs w:val="24"/>
          <w:lang w:val="en"/>
        </w:rPr>
        <w:t>rticle 12(2)(c) of the International Covenant on Economic, Social and Cultural Rights requires States Parties to take steps to achieve the full re</w:t>
      </w:r>
      <w:r>
        <w:rPr>
          <w:sz w:val="24"/>
          <w:szCs w:val="24"/>
          <w:lang w:val="en"/>
        </w:rPr>
        <w:t>a</w:t>
      </w:r>
      <w:r w:rsidRPr="004E0237">
        <w:rPr>
          <w:sz w:val="24"/>
          <w:szCs w:val="24"/>
          <w:lang w:val="en"/>
        </w:rPr>
        <w:t>lisation of the right of everyone to the</w:t>
      </w:r>
      <w:r>
        <w:rPr>
          <w:sz w:val="24"/>
          <w:szCs w:val="24"/>
          <w:lang w:val="en"/>
        </w:rPr>
        <w:t xml:space="preserve"> </w:t>
      </w:r>
      <w:r w:rsidRPr="004E0237">
        <w:rPr>
          <w:sz w:val="24"/>
          <w:szCs w:val="24"/>
          <w:lang w:val="en"/>
        </w:rPr>
        <w:t>enjoyment of the highest attainable standard of physical and mental health, including those steps</w:t>
      </w:r>
      <w:r>
        <w:rPr>
          <w:sz w:val="24"/>
          <w:szCs w:val="24"/>
          <w:lang w:val="en"/>
        </w:rPr>
        <w:t xml:space="preserve"> </w:t>
      </w:r>
      <w:r w:rsidRPr="004E0237">
        <w:rPr>
          <w:sz w:val="24"/>
          <w:szCs w:val="24"/>
          <w:lang w:val="en"/>
        </w:rPr>
        <w:t>necessary for the prevention, treatment and control of diseases. The Committee on Economic,</w:t>
      </w:r>
      <w:r>
        <w:rPr>
          <w:sz w:val="24"/>
          <w:szCs w:val="24"/>
          <w:lang w:val="en"/>
        </w:rPr>
        <w:t xml:space="preserve"> </w:t>
      </w:r>
      <w:r w:rsidRPr="004E0237">
        <w:rPr>
          <w:sz w:val="24"/>
          <w:szCs w:val="24"/>
          <w:lang w:val="en"/>
        </w:rPr>
        <w:t xml:space="preserve">Social and Cultural Rights considers that this </w:t>
      </w:r>
      <w:r>
        <w:rPr>
          <w:sz w:val="24"/>
          <w:szCs w:val="24"/>
          <w:lang w:val="en"/>
        </w:rPr>
        <w:t>“</w:t>
      </w:r>
      <w:r w:rsidRPr="004671A4">
        <w:rPr>
          <w:sz w:val="24"/>
          <w:szCs w:val="24"/>
          <w:lang w:val="en"/>
        </w:rPr>
        <w:t>requires the establishment of prevention and education programmes for behavior-related health concerns... and the promotion of social determinants of good health</w:t>
      </w:r>
      <w:r>
        <w:rPr>
          <w:sz w:val="24"/>
          <w:szCs w:val="24"/>
          <w:lang w:val="en"/>
        </w:rPr>
        <w:t>”</w:t>
      </w:r>
      <w:r w:rsidRPr="009418E6">
        <w:rPr>
          <w:sz w:val="24"/>
          <w:szCs w:val="24"/>
          <w:lang w:val="en"/>
        </w:rPr>
        <w:t>.</w:t>
      </w:r>
    </w:p>
    <w:p w14:paraId="7B5CA39A" w14:textId="77777777" w:rsidR="00527773" w:rsidRPr="004E0237" w:rsidRDefault="00527773" w:rsidP="00527773">
      <w:pPr>
        <w:pStyle w:val="Basetext"/>
        <w:keepLines/>
        <w:spacing w:before="240" w:afterLines="200" w:after="480"/>
        <w:contextualSpacing/>
        <w:rPr>
          <w:sz w:val="24"/>
          <w:szCs w:val="24"/>
          <w:lang w:val="en"/>
        </w:rPr>
      </w:pPr>
    </w:p>
    <w:p w14:paraId="2BFD4DB2" w14:textId="33E89692" w:rsidR="00527773" w:rsidRDefault="00527773" w:rsidP="00527773">
      <w:pPr>
        <w:pStyle w:val="Basetext"/>
        <w:keepLines/>
        <w:spacing w:before="240" w:afterLines="200" w:after="480"/>
        <w:contextualSpacing/>
        <w:rPr>
          <w:sz w:val="24"/>
          <w:szCs w:val="24"/>
          <w:lang w:val="en"/>
        </w:rPr>
      </w:pPr>
      <w:r w:rsidRPr="004E0237">
        <w:rPr>
          <w:sz w:val="24"/>
          <w:szCs w:val="24"/>
          <w:lang w:val="en"/>
        </w:rPr>
        <w:t xml:space="preserve">The </w:t>
      </w:r>
      <w:r w:rsidR="00002BB0">
        <w:rPr>
          <w:sz w:val="24"/>
          <w:szCs w:val="24"/>
          <w:lang w:val="en"/>
        </w:rPr>
        <w:t>Tobacco</w:t>
      </w:r>
      <w:r>
        <w:rPr>
          <w:sz w:val="24"/>
          <w:szCs w:val="24"/>
          <w:lang w:val="en"/>
        </w:rPr>
        <w:t xml:space="preserve"> </w:t>
      </w:r>
      <w:r w:rsidRPr="004E0237">
        <w:rPr>
          <w:sz w:val="24"/>
          <w:szCs w:val="24"/>
          <w:lang w:val="en"/>
        </w:rPr>
        <w:t xml:space="preserve">Regulations promote the right to health by aiming, through the achievement of the </w:t>
      </w:r>
      <w:r w:rsidR="000706FE">
        <w:rPr>
          <w:sz w:val="24"/>
          <w:szCs w:val="24"/>
          <w:lang w:val="en"/>
        </w:rPr>
        <w:t>Act</w:t>
      </w:r>
      <w:r>
        <w:rPr>
          <w:sz w:val="24"/>
          <w:szCs w:val="24"/>
          <w:lang w:val="en"/>
        </w:rPr>
        <w:t>’</w:t>
      </w:r>
      <w:r w:rsidRPr="004E0237">
        <w:rPr>
          <w:sz w:val="24"/>
          <w:szCs w:val="24"/>
          <w:lang w:val="en"/>
        </w:rPr>
        <w:t>s</w:t>
      </w:r>
      <w:r>
        <w:rPr>
          <w:sz w:val="24"/>
          <w:szCs w:val="24"/>
          <w:lang w:val="en"/>
        </w:rPr>
        <w:t xml:space="preserve"> </w:t>
      </w:r>
      <w:r w:rsidRPr="004E0237">
        <w:rPr>
          <w:sz w:val="24"/>
          <w:szCs w:val="24"/>
          <w:lang w:val="en"/>
        </w:rPr>
        <w:t>objectives, and as part of a comprehensive range of tobacco control measures, to contribute to</w:t>
      </w:r>
      <w:r>
        <w:rPr>
          <w:sz w:val="24"/>
          <w:szCs w:val="24"/>
          <w:lang w:val="en"/>
        </w:rPr>
        <w:t xml:space="preserve"> </w:t>
      </w:r>
      <w:r w:rsidRPr="004E0237">
        <w:rPr>
          <w:sz w:val="24"/>
          <w:szCs w:val="24"/>
          <w:lang w:val="en"/>
        </w:rPr>
        <w:t>efforts to reduce smoking rates and thereby reduce the significant health and economic effects of</w:t>
      </w:r>
      <w:r>
        <w:rPr>
          <w:sz w:val="24"/>
          <w:szCs w:val="24"/>
          <w:lang w:val="en"/>
        </w:rPr>
        <w:t xml:space="preserve"> </w:t>
      </w:r>
      <w:r w:rsidRPr="004E0237">
        <w:rPr>
          <w:sz w:val="24"/>
          <w:szCs w:val="24"/>
          <w:lang w:val="en"/>
        </w:rPr>
        <w:t>tobacco usage. The Regulations also seek to address the health risks posed by vaping and e</w:t>
      </w:r>
      <w:r>
        <w:rPr>
          <w:sz w:val="24"/>
          <w:szCs w:val="24"/>
          <w:lang w:val="en"/>
        </w:rPr>
        <w:t>-</w:t>
      </w:r>
      <w:r w:rsidRPr="004E0237">
        <w:rPr>
          <w:sz w:val="24"/>
          <w:szCs w:val="24"/>
          <w:lang w:val="en"/>
        </w:rPr>
        <w:t>cigarette products by</w:t>
      </w:r>
      <w:r w:rsidR="000706FE">
        <w:rPr>
          <w:sz w:val="24"/>
          <w:szCs w:val="24"/>
          <w:lang w:val="en"/>
        </w:rPr>
        <w:t xml:space="preserve"> supporting the Act’s prohibition (with limited exceptions) on</w:t>
      </w:r>
      <w:r w:rsidRPr="004E0237">
        <w:rPr>
          <w:sz w:val="24"/>
          <w:szCs w:val="24"/>
          <w:lang w:val="en"/>
        </w:rPr>
        <w:t xml:space="preserve"> advertising and promotion of e-cigarettes.</w:t>
      </w:r>
      <w:r w:rsidRPr="004E0237">
        <w:rPr>
          <w:sz w:val="24"/>
          <w:szCs w:val="24"/>
          <w:lang w:val="en"/>
        </w:rPr>
        <w:cr/>
      </w:r>
    </w:p>
    <w:p w14:paraId="2F9A7E28" w14:textId="77777777" w:rsidR="00527773" w:rsidRDefault="00527773" w:rsidP="00527773">
      <w:pPr>
        <w:pStyle w:val="Basetext"/>
        <w:keepLines/>
        <w:spacing w:before="240" w:afterLines="200" w:after="480"/>
        <w:contextualSpacing/>
        <w:rPr>
          <w:sz w:val="24"/>
          <w:szCs w:val="24"/>
          <w:u w:val="single"/>
          <w:lang w:val="en"/>
        </w:rPr>
      </w:pPr>
      <w:r>
        <w:rPr>
          <w:sz w:val="24"/>
          <w:szCs w:val="24"/>
          <w:u w:val="single"/>
          <w:lang w:val="en"/>
        </w:rPr>
        <w:t>Right to freedom of expression</w:t>
      </w:r>
    </w:p>
    <w:p w14:paraId="54E68BDD" w14:textId="77777777" w:rsidR="00527773" w:rsidRPr="004E0237" w:rsidRDefault="00527773" w:rsidP="00527773">
      <w:pPr>
        <w:pStyle w:val="Basetext"/>
        <w:keepLines/>
        <w:spacing w:before="240" w:afterLines="200" w:after="480"/>
        <w:contextualSpacing/>
        <w:rPr>
          <w:sz w:val="24"/>
          <w:szCs w:val="24"/>
          <w:lang w:val="en"/>
        </w:rPr>
      </w:pPr>
      <w:r>
        <w:rPr>
          <w:sz w:val="24"/>
          <w:szCs w:val="24"/>
          <w:lang w:val="en"/>
        </w:rPr>
        <w:t>A</w:t>
      </w:r>
      <w:r w:rsidRPr="004E0237">
        <w:rPr>
          <w:sz w:val="24"/>
          <w:szCs w:val="24"/>
          <w:lang w:val="en"/>
        </w:rPr>
        <w:t>rticle 19(2) of the International Covenant on Civil and Political Rights (ICCPR) protects the right</w:t>
      </w:r>
      <w:r>
        <w:rPr>
          <w:sz w:val="24"/>
          <w:szCs w:val="24"/>
          <w:lang w:val="en"/>
        </w:rPr>
        <w:t xml:space="preserve"> </w:t>
      </w:r>
      <w:r w:rsidRPr="004E0237">
        <w:rPr>
          <w:sz w:val="24"/>
          <w:szCs w:val="24"/>
          <w:lang w:val="en"/>
        </w:rPr>
        <w:t>to freedom of expression, which extends to any medium, including written and oral</w:t>
      </w:r>
    </w:p>
    <w:p w14:paraId="2B907421" w14:textId="77777777" w:rsidR="00527773" w:rsidRPr="004E0237" w:rsidRDefault="00527773" w:rsidP="00527773">
      <w:pPr>
        <w:pStyle w:val="Basetext"/>
        <w:keepLines/>
        <w:spacing w:before="240" w:afterLines="200" w:after="480"/>
        <w:contextualSpacing/>
        <w:rPr>
          <w:sz w:val="24"/>
          <w:szCs w:val="24"/>
          <w:lang w:val="en"/>
        </w:rPr>
      </w:pPr>
      <w:r w:rsidRPr="004E0237">
        <w:rPr>
          <w:sz w:val="24"/>
          <w:szCs w:val="24"/>
          <w:lang w:val="en"/>
        </w:rPr>
        <w:t>communications, the media, public protest, broadcasting and artistic works, and may include</w:t>
      </w:r>
    </w:p>
    <w:p w14:paraId="5FC3DD78" w14:textId="77777777" w:rsidR="00527773" w:rsidRDefault="00527773" w:rsidP="00527773">
      <w:pPr>
        <w:pStyle w:val="Basetext"/>
        <w:keepLines/>
        <w:spacing w:before="240" w:afterLines="200" w:after="480"/>
        <w:contextualSpacing/>
        <w:rPr>
          <w:sz w:val="24"/>
          <w:szCs w:val="24"/>
          <w:lang w:val="en"/>
        </w:rPr>
      </w:pPr>
      <w:r w:rsidRPr="004E0237">
        <w:rPr>
          <w:sz w:val="24"/>
          <w:szCs w:val="24"/>
          <w:lang w:val="en"/>
        </w:rPr>
        <w:t>commercial advertising.</w:t>
      </w:r>
    </w:p>
    <w:p w14:paraId="7814295F" w14:textId="77777777" w:rsidR="00527773" w:rsidRPr="004E0237" w:rsidRDefault="00527773" w:rsidP="00527773">
      <w:pPr>
        <w:pStyle w:val="Basetext"/>
        <w:keepLines/>
        <w:spacing w:before="240" w:afterLines="200" w:after="480"/>
        <w:contextualSpacing/>
        <w:rPr>
          <w:sz w:val="24"/>
          <w:szCs w:val="24"/>
          <w:lang w:val="en"/>
        </w:rPr>
      </w:pPr>
    </w:p>
    <w:p w14:paraId="3884071E" w14:textId="258F7CCC" w:rsidR="00527773" w:rsidRPr="004E0237" w:rsidRDefault="00527773" w:rsidP="00527773">
      <w:pPr>
        <w:pStyle w:val="Basetext"/>
        <w:keepLines/>
        <w:spacing w:before="240" w:afterLines="200" w:after="480"/>
        <w:contextualSpacing/>
        <w:rPr>
          <w:sz w:val="24"/>
          <w:szCs w:val="24"/>
          <w:lang w:val="en"/>
        </w:rPr>
      </w:pPr>
      <w:r w:rsidRPr="004E0237">
        <w:rPr>
          <w:sz w:val="24"/>
          <w:szCs w:val="24"/>
          <w:lang w:val="en"/>
        </w:rPr>
        <w:t>Article 19(3)(b) of the ICCPR states that public health is a basis on which the right to freedom of</w:t>
      </w:r>
      <w:r>
        <w:rPr>
          <w:sz w:val="24"/>
          <w:szCs w:val="24"/>
          <w:lang w:val="en"/>
        </w:rPr>
        <w:t xml:space="preserve"> </w:t>
      </w:r>
      <w:r w:rsidRPr="004E0237">
        <w:rPr>
          <w:sz w:val="24"/>
          <w:szCs w:val="24"/>
          <w:lang w:val="en"/>
        </w:rPr>
        <w:t>expression can be limited. This right may be limited as provided for by law and when necessary for</w:t>
      </w:r>
      <w:r>
        <w:rPr>
          <w:sz w:val="24"/>
          <w:szCs w:val="24"/>
          <w:lang w:val="en"/>
        </w:rPr>
        <w:t xml:space="preserve"> </w:t>
      </w:r>
      <w:r w:rsidRPr="004E0237">
        <w:rPr>
          <w:sz w:val="24"/>
          <w:szCs w:val="24"/>
          <w:lang w:val="en"/>
        </w:rPr>
        <w:t>respect of the rights or reputations of others, for the protection of national security, public order,</w:t>
      </w:r>
      <w:r>
        <w:rPr>
          <w:sz w:val="24"/>
          <w:szCs w:val="24"/>
          <w:lang w:val="en"/>
        </w:rPr>
        <w:t xml:space="preserve"> </w:t>
      </w:r>
      <w:r w:rsidRPr="004E0237">
        <w:rPr>
          <w:sz w:val="24"/>
          <w:szCs w:val="24"/>
          <w:lang w:val="en"/>
        </w:rPr>
        <w:t>or of public health or morals. Limitations must be prescribed by legislation necessary to achieve</w:t>
      </w:r>
      <w:r>
        <w:rPr>
          <w:sz w:val="24"/>
          <w:szCs w:val="24"/>
          <w:lang w:val="en"/>
        </w:rPr>
        <w:t xml:space="preserve"> </w:t>
      </w:r>
      <w:r w:rsidRPr="004E0237">
        <w:rPr>
          <w:sz w:val="24"/>
          <w:szCs w:val="24"/>
          <w:lang w:val="en"/>
        </w:rPr>
        <w:t>the desired purpose and proportionate to the need on which the limitation is predicated.</w:t>
      </w:r>
      <w:r>
        <w:rPr>
          <w:sz w:val="24"/>
          <w:szCs w:val="24"/>
          <w:lang w:val="en"/>
        </w:rPr>
        <w:t xml:space="preserve"> </w:t>
      </w:r>
      <w:r w:rsidRPr="004E0237">
        <w:rPr>
          <w:sz w:val="24"/>
          <w:szCs w:val="24"/>
          <w:lang w:val="en"/>
        </w:rPr>
        <w:t>It is possible that, by restricting the appearance of tobacco products and their retail packaging</w:t>
      </w:r>
      <w:r>
        <w:rPr>
          <w:sz w:val="24"/>
          <w:szCs w:val="24"/>
          <w:lang w:val="en"/>
        </w:rPr>
        <w:t xml:space="preserve"> </w:t>
      </w:r>
      <w:r w:rsidRPr="004E0237">
        <w:rPr>
          <w:sz w:val="24"/>
          <w:szCs w:val="24"/>
          <w:lang w:val="en"/>
        </w:rPr>
        <w:t xml:space="preserve">(Chapter 3 of the </w:t>
      </w:r>
      <w:r w:rsidR="000706FE">
        <w:rPr>
          <w:sz w:val="24"/>
          <w:szCs w:val="24"/>
          <w:lang w:val="en"/>
        </w:rPr>
        <w:t xml:space="preserve">Tobacco </w:t>
      </w:r>
      <w:r w:rsidRPr="004E0237">
        <w:rPr>
          <w:sz w:val="24"/>
          <w:szCs w:val="24"/>
          <w:lang w:val="en"/>
        </w:rPr>
        <w:t xml:space="preserve">Regulations), the </w:t>
      </w:r>
      <w:r w:rsidR="000706FE">
        <w:rPr>
          <w:sz w:val="24"/>
          <w:szCs w:val="24"/>
          <w:lang w:val="en"/>
        </w:rPr>
        <w:t xml:space="preserve">Act </w:t>
      </w:r>
      <w:r w:rsidRPr="004E0237">
        <w:rPr>
          <w:sz w:val="24"/>
          <w:szCs w:val="24"/>
          <w:lang w:val="en"/>
        </w:rPr>
        <w:t>limits the right to freedom of expression. This may also be</w:t>
      </w:r>
      <w:r>
        <w:rPr>
          <w:sz w:val="24"/>
          <w:szCs w:val="24"/>
          <w:lang w:val="en"/>
        </w:rPr>
        <w:t xml:space="preserve"> </w:t>
      </w:r>
      <w:r w:rsidRPr="004E0237">
        <w:rPr>
          <w:sz w:val="24"/>
          <w:szCs w:val="24"/>
          <w:lang w:val="en"/>
        </w:rPr>
        <w:t>the case in relation to the restrictions on online point-of-sale advertising of tobacco and e</w:t>
      </w:r>
      <w:r>
        <w:rPr>
          <w:sz w:val="24"/>
          <w:szCs w:val="24"/>
          <w:lang w:val="en"/>
        </w:rPr>
        <w:t>-</w:t>
      </w:r>
      <w:r w:rsidRPr="004E0237">
        <w:rPr>
          <w:sz w:val="24"/>
          <w:szCs w:val="24"/>
          <w:lang w:val="en"/>
        </w:rPr>
        <w:t xml:space="preserve">cigarette products (Chapter 2 of the </w:t>
      </w:r>
      <w:r w:rsidR="000706FE">
        <w:rPr>
          <w:sz w:val="24"/>
          <w:szCs w:val="24"/>
          <w:lang w:val="en"/>
        </w:rPr>
        <w:t xml:space="preserve">Tobacco </w:t>
      </w:r>
      <w:r w:rsidRPr="004E0237">
        <w:rPr>
          <w:sz w:val="24"/>
          <w:szCs w:val="24"/>
          <w:lang w:val="en"/>
        </w:rPr>
        <w:t>Regulations).</w:t>
      </w:r>
    </w:p>
    <w:p w14:paraId="3C11C910" w14:textId="77777777" w:rsidR="00527773" w:rsidRDefault="00527773" w:rsidP="00527773">
      <w:pPr>
        <w:pStyle w:val="Basetext"/>
        <w:keepLines/>
        <w:spacing w:before="240" w:afterLines="200" w:after="480"/>
        <w:contextualSpacing/>
        <w:rPr>
          <w:sz w:val="24"/>
          <w:szCs w:val="24"/>
          <w:lang w:val="en"/>
        </w:rPr>
      </w:pPr>
    </w:p>
    <w:p w14:paraId="115B4960" w14:textId="77777777" w:rsidR="00527773" w:rsidRPr="004E0237" w:rsidRDefault="00527773" w:rsidP="00527773">
      <w:pPr>
        <w:pStyle w:val="Basetext"/>
        <w:keepLines/>
        <w:spacing w:before="240" w:afterLines="200" w:after="480"/>
        <w:contextualSpacing/>
        <w:rPr>
          <w:sz w:val="24"/>
          <w:szCs w:val="24"/>
          <w:lang w:val="en"/>
        </w:rPr>
      </w:pPr>
      <w:r w:rsidRPr="004E0237">
        <w:rPr>
          <w:sz w:val="24"/>
          <w:szCs w:val="24"/>
          <w:lang w:val="en"/>
        </w:rPr>
        <w:t>However, these restrictions are directed to the desired purpose of reducing tobacco and</w:t>
      </w:r>
      <w:r>
        <w:rPr>
          <w:sz w:val="24"/>
          <w:szCs w:val="24"/>
          <w:lang w:val="en"/>
        </w:rPr>
        <w:t xml:space="preserve"> e</w:t>
      </w:r>
      <w:r>
        <w:rPr>
          <w:sz w:val="24"/>
          <w:szCs w:val="24"/>
          <w:lang w:val="en"/>
        </w:rPr>
        <w:noBreakHyphen/>
      </w:r>
      <w:r w:rsidRPr="004E0237">
        <w:rPr>
          <w:sz w:val="24"/>
          <w:szCs w:val="24"/>
          <w:lang w:val="en"/>
        </w:rPr>
        <w:t>cigarette uptake and supporting those who already smoke to quit. This is a legitimate public</w:t>
      </w:r>
    </w:p>
    <w:p w14:paraId="761AA430" w14:textId="77777777" w:rsidR="00527773" w:rsidRDefault="00527773" w:rsidP="00527773">
      <w:pPr>
        <w:pStyle w:val="Basetext"/>
        <w:keepLines/>
        <w:spacing w:before="240" w:afterLines="200" w:after="480"/>
        <w:contextualSpacing/>
        <w:rPr>
          <w:sz w:val="24"/>
          <w:szCs w:val="24"/>
          <w:lang w:val="en"/>
        </w:rPr>
      </w:pPr>
      <w:r w:rsidRPr="004E0237">
        <w:rPr>
          <w:sz w:val="24"/>
          <w:szCs w:val="24"/>
          <w:lang w:val="en"/>
        </w:rPr>
        <w:t xml:space="preserve">health objective consistent with the </w:t>
      </w:r>
      <w:r>
        <w:rPr>
          <w:color w:val="000000"/>
          <w:sz w:val="24"/>
          <w:szCs w:val="24"/>
          <w:lang w:eastAsia="en-AU"/>
        </w:rPr>
        <w:t>World Health Organisation Framework Convention on Tobacco Control</w:t>
      </w:r>
      <w:r w:rsidRPr="004E0237" w:rsidDel="009418E6">
        <w:rPr>
          <w:sz w:val="24"/>
          <w:szCs w:val="24"/>
          <w:lang w:val="en"/>
        </w:rPr>
        <w:t xml:space="preserve"> </w:t>
      </w:r>
      <w:r w:rsidRPr="004E0237">
        <w:rPr>
          <w:sz w:val="24"/>
          <w:szCs w:val="24"/>
          <w:lang w:val="en"/>
        </w:rPr>
        <w:t>and accordingly the prohibition is necessary to</w:t>
      </w:r>
      <w:r>
        <w:rPr>
          <w:sz w:val="24"/>
          <w:szCs w:val="24"/>
          <w:lang w:val="en"/>
        </w:rPr>
        <w:t xml:space="preserve"> </w:t>
      </w:r>
      <w:r w:rsidRPr="004E0237">
        <w:rPr>
          <w:sz w:val="24"/>
          <w:szCs w:val="24"/>
          <w:lang w:val="en"/>
        </w:rPr>
        <w:t>achieve the desired purpose and proportionate to the need on which the limitation is predicated.</w:t>
      </w:r>
      <w:r w:rsidRPr="004E0237">
        <w:rPr>
          <w:sz w:val="24"/>
          <w:szCs w:val="24"/>
          <w:lang w:val="en"/>
        </w:rPr>
        <w:cr/>
      </w:r>
    </w:p>
    <w:p w14:paraId="7719CE1B" w14:textId="77777777" w:rsidR="00527773" w:rsidRDefault="00527773" w:rsidP="00527773">
      <w:pPr>
        <w:pStyle w:val="Basetext"/>
        <w:keepLines/>
        <w:spacing w:before="240" w:afterLines="200" w:after="480"/>
        <w:contextualSpacing/>
        <w:rPr>
          <w:sz w:val="24"/>
          <w:szCs w:val="24"/>
          <w:u w:val="single"/>
          <w:lang w:val="en"/>
        </w:rPr>
      </w:pPr>
      <w:r>
        <w:rPr>
          <w:sz w:val="24"/>
          <w:szCs w:val="24"/>
          <w:u w:val="single"/>
          <w:lang w:val="en"/>
        </w:rPr>
        <w:t>Right to life</w:t>
      </w:r>
    </w:p>
    <w:p w14:paraId="3404C7A3" w14:textId="77777777" w:rsidR="00527773" w:rsidRPr="004E0237" w:rsidRDefault="00527773" w:rsidP="00527773">
      <w:pPr>
        <w:pStyle w:val="Basetext"/>
        <w:keepLines/>
        <w:spacing w:before="240" w:afterLines="200" w:after="480"/>
        <w:contextualSpacing/>
        <w:rPr>
          <w:sz w:val="24"/>
          <w:szCs w:val="24"/>
          <w:lang w:val="en"/>
        </w:rPr>
      </w:pPr>
      <w:r w:rsidRPr="004E0237">
        <w:rPr>
          <w:sz w:val="24"/>
          <w:szCs w:val="24"/>
          <w:lang w:val="en"/>
        </w:rPr>
        <w:t xml:space="preserve">Article 6(1) of the ICCPR recognises that </w:t>
      </w:r>
      <w:r>
        <w:rPr>
          <w:sz w:val="24"/>
          <w:szCs w:val="24"/>
          <w:lang w:val="en"/>
        </w:rPr>
        <w:t>“e</w:t>
      </w:r>
      <w:r w:rsidRPr="004671A4">
        <w:rPr>
          <w:sz w:val="24"/>
          <w:szCs w:val="24"/>
          <w:lang w:val="en"/>
        </w:rPr>
        <w:t>very human being has the inherent right to life. This right shall be protected by law. No one shall be arbitrarily deprived of his life</w:t>
      </w:r>
      <w:r>
        <w:rPr>
          <w:sz w:val="24"/>
          <w:szCs w:val="24"/>
          <w:lang w:val="en"/>
        </w:rPr>
        <w:t>”</w:t>
      </w:r>
      <w:r w:rsidRPr="004671A4">
        <w:rPr>
          <w:sz w:val="24"/>
          <w:szCs w:val="24"/>
          <w:lang w:val="en"/>
        </w:rPr>
        <w:t>.</w:t>
      </w:r>
      <w:r w:rsidRPr="004E0237">
        <w:rPr>
          <w:sz w:val="24"/>
          <w:szCs w:val="24"/>
          <w:lang w:val="en"/>
        </w:rPr>
        <w:t xml:space="preserve"> By</w:t>
      </w:r>
      <w:r>
        <w:rPr>
          <w:sz w:val="24"/>
          <w:szCs w:val="24"/>
          <w:lang w:val="en"/>
        </w:rPr>
        <w:t xml:space="preserve"> s</w:t>
      </w:r>
      <w:r w:rsidRPr="004E0237">
        <w:rPr>
          <w:sz w:val="24"/>
          <w:szCs w:val="24"/>
          <w:lang w:val="en"/>
        </w:rPr>
        <w:t>eeking to</w:t>
      </w:r>
      <w:r>
        <w:rPr>
          <w:sz w:val="24"/>
          <w:szCs w:val="24"/>
          <w:lang w:val="en"/>
        </w:rPr>
        <w:t xml:space="preserve"> </w:t>
      </w:r>
      <w:r w:rsidRPr="004E0237">
        <w:rPr>
          <w:sz w:val="24"/>
          <w:szCs w:val="24"/>
          <w:lang w:val="en"/>
        </w:rPr>
        <w:t>reduce the incidence of smoking and vaping, and thereby reducing the associated health risks, the</w:t>
      </w:r>
      <w:r>
        <w:rPr>
          <w:sz w:val="24"/>
          <w:szCs w:val="24"/>
          <w:lang w:val="en"/>
        </w:rPr>
        <w:t xml:space="preserve"> </w:t>
      </w:r>
      <w:r w:rsidRPr="004E0237">
        <w:rPr>
          <w:sz w:val="24"/>
          <w:szCs w:val="24"/>
          <w:lang w:val="en"/>
        </w:rPr>
        <w:t>Regulations promote the right to life.</w:t>
      </w:r>
    </w:p>
    <w:p w14:paraId="366B8C5C" w14:textId="77777777" w:rsidR="00527773" w:rsidRDefault="00527773" w:rsidP="00527773">
      <w:pPr>
        <w:spacing w:after="0"/>
        <w:rPr>
          <w:rFonts w:ascii="Times New Roman" w:hAnsi="Times New Roman" w:cs="Times New Roman"/>
          <w:b/>
          <w:sz w:val="24"/>
          <w:szCs w:val="24"/>
        </w:rPr>
      </w:pPr>
      <w:r>
        <w:rPr>
          <w:rFonts w:ascii="Times New Roman" w:hAnsi="Times New Roman" w:cs="Times New Roman"/>
          <w:b/>
          <w:sz w:val="24"/>
          <w:szCs w:val="24"/>
        </w:rPr>
        <w:t xml:space="preserve">Conclusion </w:t>
      </w:r>
    </w:p>
    <w:p w14:paraId="56F47E96" w14:textId="5506836B" w:rsidR="00527773" w:rsidRDefault="00527773" w:rsidP="00527773">
      <w:pPr>
        <w:spacing w:after="0"/>
        <w:rPr>
          <w:rFonts w:ascii="Times New Roman" w:eastAsia="Calibri" w:hAnsi="Times New Roman" w:cs="Times New Roman"/>
          <w:sz w:val="24"/>
          <w:szCs w:val="24"/>
          <w:lang w:eastAsia="en-AU"/>
        </w:rPr>
      </w:pPr>
      <w:r>
        <w:rPr>
          <w:rFonts w:ascii="Times New Roman" w:hAnsi="Times New Roman" w:cs="Times New Roman"/>
          <w:sz w:val="24"/>
          <w:szCs w:val="24"/>
        </w:rPr>
        <w:t xml:space="preserve">Exemptions from sunsetting do not alter the content of the laws to which those exemptions apply. Sunsetting exemptions merely ensure that the legislative instruments in question are </w:t>
      </w:r>
      <w:r w:rsidRPr="00A9467B">
        <w:rPr>
          <w:rFonts w:ascii="Times New Roman" w:hAnsi="Times New Roman" w:cs="Times New Roman"/>
          <w:sz w:val="24"/>
          <w:szCs w:val="24"/>
        </w:rPr>
        <w:t xml:space="preserve">not automatically repealed on the first 1 April or 1 October that falls on or after the tenth anniversary of their registration. </w:t>
      </w:r>
      <w:r w:rsidRPr="00A9467B">
        <w:rPr>
          <w:rFonts w:ascii="Times New Roman" w:eastAsia="Times New Roman" w:hAnsi="Times New Roman" w:cs="Times New Roman"/>
          <w:sz w:val="24"/>
          <w:lang w:eastAsia="en-AU"/>
        </w:rPr>
        <w:t xml:space="preserve">The </w:t>
      </w:r>
      <w:r>
        <w:rPr>
          <w:rFonts w:ascii="Times New Roman" w:eastAsia="Times New Roman" w:hAnsi="Times New Roman" w:cs="Times New Roman"/>
          <w:sz w:val="24"/>
          <w:lang w:eastAsia="en-AU"/>
        </w:rPr>
        <w:t>Amendment Regulation</w:t>
      </w:r>
      <w:r w:rsidRPr="00A9467B">
        <w:rPr>
          <w:rFonts w:ascii="Times New Roman" w:eastAsia="Times New Roman" w:hAnsi="Times New Roman" w:cs="Times New Roman"/>
          <w:sz w:val="24"/>
          <w:lang w:eastAsia="en-AU"/>
        </w:rPr>
        <w:t xml:space="preserve"> </w:t>
      </w:r>
      <w:r>
        <w:rPr>
          <w:rFonts w:ascii="Times New Roman" w:eastAsia="Times New Roman" w:hAnsi="Times New Roman" w:cs="Times New Roman"/>
          <w:sz w:val="24"/>
          <w:lang w:eastAsia="en-AU"/>
        </w:rPr>
        <w:t>is</w:t>
      </w:r>
      <w:r w:rsidRPr="00A9467B">
        <w:rPr>
          <w:rFonts w:ascii="Times New Roman" w:eastAsia="Times New Roman" w:hAnsi="Times New Roman" w:cs="Times New Roman"/>
          <w:sz w:val="24"/>
          <w:lang w:eastAsia="en-AU"/>
        </w:rPr>
        <w:t xml:space="preserve"> compatible with human rights </w:t>
      </w:r>
      <w:r>
        <w:rPr>
          <w:rFonts w:ascii="Times New Roman" w:eastAsia="Times New Roman" w:hAnsi="Times New Roman" w:cs="Times New Roman"/>
          <w:sz w:val="24"/>
          <w:lang w:eastAsia="en-AU"/>
        </w:rPr>
        <w:t xml:space="preserve">or </w:t>
      </w:r>
      <w:r w:rsidRPr="00A9467B">
        <w:rPr>
          <w:rFonts w:ascii="Times New Roman" w:eastAsia="Times New Roman" w:hAnsi="Times New Roman" w:cs="Times New Roman"/>
          <w:sz w:val="24"/>
          <w:lang w:eastAsia="en-AU"/>
        </w:rPr>
        <w:t xml:space="preserve">freedoms recognised or declared </w:t>
      </w:r>
      <w:r w:rsidRPr="00A9467B">
        <w:rPr>
          <w:rFonts w:ascii="Times New Roman" w:hAnsi="Times New Roman" w:cs="Times New Roman"/>
          <w:sz w:val="24"/>
          <w:szCs w:val="24"/>
        </w:rPr>
        <w:t xml:space="preserve">in the international instruments listed in section 3 of the </w:t>
      </w:r>
      <w:r w:rsidRPr="00A9467B">
        <w:rPr>
          <w:rFonts w:ascii="Times New Roman" w:hAnsi="Times New Roman" w:cs="Times New Roman"/>
          <w:i/>
          <w:sz w:val="24"/>
          <w:szCs w:val="24"/>
        </w:rPr>
        <w:t>Human Rights (Parliamentary Scrutiny) Act 2011</w:t>
      </w:r>
      <w:r w:rsidRPr="00A9467B">
        <w:rPr>
          <w:rFonts w:ascii="Times New Roman" w:hAnsi="Times New Roman" w:cs="Times New Roman"/>
          <w:sz w:val="24"/>
          <w:szCs w:val="24"/>
        </w:rPr>
        <w:t xml:space="preserve">. </w:t>
      </w:r>
      <w:r>
        <w:rPr>
          <w:rFonts w:ascii="Times New Roman" w:hAnsi="Times New Roman" w:cs="Times New Roman"/>
          <w:sz w:val="24"/>
          <w:szCs w:val="24"/>
        </w:rPr>
        <w:t xml:space="preserve">This is </w:t>
      </w:r>
      <w:r w:rsidRPr="00A9467B">
        <w:rPr>
          <w:rFonts w:ascii="Times New Roman" w:eastAsia="Times New Roman" w:hAnsi="Times New Roman" w:cs="Times New Roman"/>
          <w:sz w:val="24"/>
          <w:lang w:eastAsia="en-AU"/>
        </w:rPr>
        <w:t xml:space="preserve">because </w:t>
      </w:r>
      <w:r>
        <w:rPr>
          <w:rFonts w:ascii="Times New Roman" w:eastAsia="Times New Roman" w:hAnsi="Times New Roman" w:cs="Times New Roman"/>
          <w:sz w:val="24"/>
          <w:lang w:eastAsia="en-AU"/>
        </w:rPr>
        <w:t xml:space="preserve">where the instruments exempt from sunsetting engage with human rights, they promote the protection of human rights and, to the extent that they may also limit human rights, those limitations are reasonable, necessary and proportionate. </w:t>
      </w:r>
      <w:r>
        <w:rPr>
          <w:rFonts w:ascii="Times New Roman" w:hAnsi="Times New Roman" w:cs="Times New Roman"/>
          <w:sz w:val="24"/>
          <w:szCs w:val="24"/>
        </w:rPr>
        <w:t>As amending instruments are assessed for compatibility with human rights, t</w:t>
      </w:r>
      <w:r w:rsidRPr="00A9467B">
        <w:rPr>
          <w:rFonts w:ascii="Times New Roman" w:hAnsi="Times New Roman" w:cs="Times New Roman"/>
          <w:sz w:val="24"/>
          <w:szCs w:val="24"/>
        </w:rPr>
        <w:t xml:space="preserve">he compatibility with human rights of any replacement instrument for the </w:t>
      </w:r>
      <w:r w:rsidR="00F46908">
        <w:rPr>
          <w:rFonts w:ascii="Times New Roman" w:hAnsi="Times New Roman" w:cs="Times New Roman"/>
          <w:sz w:val="24"/>
          <w:szCs w:val="24"/>
        </w:rPr>
        <w:t>FRR</w:t>
      </w:r>
      <w:r w:rsidRPr="00A9467B">
        <w:rPr>
          <w:rFonts w:ascii="Times New Roman" w:hAnsi="Times New Roman" w:cs="Times New Roman"/>
          <w:sz w:val="24"/>
          <w:szCs w:val="24"/>
        </w:rPr>
        <w:t xml:space="preserve"> or the </w:t>
      </w:r>
      <w:r w:rsidR="00002BB0">
        <w:rPr>
          <w:rFonts w:ascii="Times New Roman" w:hAnsi="Times New Roman" w:cs="Times New Roman"/>
          <w:sz w:val="24"/>
          <w:szCs w:val="24"/>
        </w:rPr>
        <w:t>Tobacco</w:t>
      </w:r>
      <w:r>
        <w:rPr>
          <w:rFonts w:ascii="Times New Roman" w:hAnsi="Times New Roman" w:cs="Times New Roman"/>
          <w:sz w:val="24"/>
          <w:szCs w:val="24"/>
        </w:rPr>
        <w:t xml:space="preserve"> Regulations</w:t>
      </w:r>
      <w:r w:rsidRPr="00A9467B">
        <w:rPr>
          <w:rFonts w:ascii="Times New Roman" w:eastAsia="Calibri" w:hAnsi="Times New Roman" w:cs="Times New Roman"/>
          <w:sz w:val="24"/>
          <w:szCs w:val="24"/>
          <w:lang w:eastAsia="en-AU"/>
        </w:rPr>
        <w:t xml:space="preserve"> will be assessed if such an instrument is made.</w:t>
      </w:r>
      <w:r>
        <w:rPr>
          <w:rFonts w:ascii="Times New Roman" w:eastAsia="Calibri" w:hAnsi="Times New Roman" w:cs="Times New Roman"/>
          <w:sz w:val="24"/>
          <w:szCs w:val="24"/>
          <w:lang w:eastAsia="en-AU"/>
        </w:rPr>
        <w:t xml:space="preserve">  </w:t>
      </w:r>
      <w:r>
        <w:rPr>
          <w:rFonts w:ascii="Times New Roman" w:eastAsia="Calibri" w:hAnsi="Times New Roman" w:cs="Times New Roman"/>
          <w:sz w:val="24"/>
          <w:szCs w:val="24"/>
          <w:lang w:eastAsia="en-AU"/>
        </w:rPr>
        <w:tab/>
      </w:r>
      <w:r>
        <w:rPr>
          <w:rFonts w:ascii="Times New Roman" w:eastAsia="Calibri" w:hAnsi="Times New Roman" w:cs="Times New Roman"/>
          <w:sz w:val="24"/>
          <w:szCs w:val="24"/>
          <w:lang w:eastAsia="en-AU"/>
        </w:rPr>
        <w:tab/>
      </w:r>
      <w:r>
        <w:rPr>
          <w:rFonts w:ascii="Times New Roman" w:eastAsia="Calibri" w:hAnsi="Times New Roman" w:cs="Times New Roman"/>
          <w:sz w:val="24"/>
          <w:szCs w:val="24"/>
          <w:lang w:eastAsia="en-AU"/>
        </w:rPr>
        <w:tab/>
      </w:r>
      <w:r>
        <w:rPr>
          <w:rFonts w:ascii="Times New Roman" w:eastAsia="Calibri" w:hAnsi="Times New Roman" w:cs="Times New Roman"/>
          <w:sz w:val="24"/>
          <w:szCs w:val="24"/>
          <w:lang w:eastAsia="en-AU"/>
        </w:rPr>
        <w:tab/>
      </w:r>
      <w:r>
        <w:rPr>
          <w:rFonts w:ascii="Times New Roman" w:eastAsia="Calibri" w:hAnsi="Times New Roman" w:cs="Times New Roman"/>
          <w:sz w:val="24"/>
          <w:szCs w:val="24"/>
          <w:lang w:eastAsia="en-AU"/>
        </w:rPr>
        <w:tab/>
      </w:r>
      <w:r>
        <w:rPr>
          <w:rFonts w:ascii="Times New Roman" w:eastAsia="Calibri" w:hAnsi="Times New Roman" w:cs="Times New Roman"/>
          <w:sz w:val="24"/>
          <w:szCs w:val="24"/>
          <w:lang w:eastAsia="en-AU"/>
        </w:rPr>
        <w:tab/>
      </w:r>
      <w:r>
        <w:rPr>
          <w:rFonts w:ascii="Times New Roman" w:eastAsia="Calibri" w:hAnsi="Times New Roman" w:cs="Times New Roman"/>
          <w:sz w:val="24"/>
          <w:szCs w:val="24"/>
          <w:lang w:eastAsia="en-AU"/>
        </w:rPr>
        <w:tab/>
      </w:r>
      <w:r>
        <w:rPr>
          <w:rFonts w:ascii="Times New Roman" w:eastAsia="Calibri" w:hAnsi="Times New Roman" w:cs="Times New Roman"/>
          <w:sz w:val="24"/>
          <w:szCs w:val="24"/>
          <w:lang w:eastAsia="en-AU"/>
        </w:rPr>
        <w:tab/>
      </w:r>
    </w:p>
    <w:p w14:paraId="7CA9202C" w14:textId="77777777" w:rsidR="00527773" w:rsidRDefault="00527773" w:rsidP="00527773">
      <w:pPr>
        <w:spacing w:after="160"/>
        <w:rPr>
          <w:rFonts w:ascii="Times New Roman" w:hAnsi="Times New Roman" w:cs="Times New Roman"/>
          <w:b/>
          <w:sz w:val="24"/>
          <w:szCs w:val="24"/>
        </w:rPr>
      </w:pPr>
      <w:r>
        <w:rPr>
          <w:rFonts w:ascii="Times New Roman" w:hAnsi="Times New Roman" w:cs="Times New Roman"/>
          <w:b/>
          <w:sz w:val="24"/>
          <w:szCs w:val="24"/>
        </w:rPr>
        <w:br w:type="page"/>
      </w:r>
    </w:p>
    <w:p w14:paraId="7F443676" w14:textId="77777777" w:rsidR="00527773" w:rsidRPr="00420A7A" w:rsidRDefault="00527773" w:rsidP="00527773">
      <w:pPr>
        <w:spacing w:after="0" w:line="240" w:lineRule="auto"/>
        <w:ind w:left="6480" w:firstLine="720"/>
        <w:rPr>
          <w:rFonts w:ascii="Times New Roman" w:eastAsia="Calibri" w:hAnsi="Times New Roman" w:cs="Times New Roman"/>
          <w:sz w:val="24"/>
          <w:szCs w:val="24"/>
          <w:lang w:eastAsia="en-AU"/>
        </w:rPr>
      </w:pPr>
      <w:r>
        <w:rPr>
          <w:rFonts w:ascii="Times New Roman" w:hAnsi="Times New Roman" w:cs="Times New Roman"/>
          <w:b/>
          <w:sz w:val="24"/>
          <w:szCs w:val="24"/>
        </w:rPr>
        <w:t>Attachment B</w:t>
      </w:r>
    </w:p>
    <w:p w14:paraId="76EA3E15" w14:textId="77777777" w:rsidR="00527773" w:rsidRDefault="00527773" w:rsidP="00527773">
      <w:pPr>
        <w:spacing w:line="360" w:lineRule="auto"/>
        <w:rPr>
          <w:rFonts w:ascii="Times New Roman" w:hAnsi="Times New Roman" w:cs="Times New Roman"/>
          <w:b/>
          <w:caps/>
          <w:sz w:val="24"/>
          <w:szCs w:val="24"/>
        </w:rPr>
      </w:pPr>
      <w:r>
        <w:rPr>
          <w:rFonts w:ascii="Times New Roman" w:hAnsi="Times New Roman" w:cs="Times New Roman"/>
          <w:b/>
          <w:caps/>
          <w:sz w:val="24"/>
          <w:szCs w:val="24"/>
        </w:rPr>
        <w:t>NOTES ON SECTIONS</w:t>
      </w:r>
    </w:p>
    <w:p w14:paraId="135C9727" w14:textId="77777777" w:rsidR="00527773" w:rsidRDefault="00527773" w:rsidP="00527773">
      <w:pPr>
        <w:rPr>
          <w:rFonts w:ascii="Times New Roman" w:hAnsi="Times New Roman" w:cs="Times New Roman"/>
          <w:b/>
          <w:i/>
          <w:sz w:val="24"/>
          <w:szCs w:val="24"/>
          <w:u w:val="single"/>
        </w:rPr>
      </w:pPr>
      <w:r w:rsidRPr="00754F07">
        <w:rPr>
          <w:rFonts w:ascii="Times New Roman" w:hAnsi="Times New Roman" w:cs="Times New Roman"/>
          <w:b/>
          <w:sz w:val="24"/>
          <w:szCs w:val="24"/>
        </w:rPr>
        <w:t xml:space="preserve">Details of the proposed </w:t>
      </w:r>
      <w:r w:rsidRPr="009D4623">
        <w:rPr>
          <w:rFonts w:ascii="Times New Roman" w:hAnsi="Times New Roman" w:cs="Times New Roman"/>
          <w:b/>
          <w:i/>
          <w:sz w:val="24"/>
          <w:szCs w:val="24"/>
          <w:u w:val="single"/>
        </w:rPr>
        <w:t>Legislation (Exemptions and Other Matters) Amendment (202</w:t>
      </w:r>
      <w:r>
        <w:rPr>
          <w:rFonts w:ascii="Times New Roman" w:hAnsi="Times New Roman" w:cs="Times New Roman"/>
          <w:b/>
          <w:i/>
          <w:sz w:val="24"/>
          <w:szCs w:val="24"/>
          <w:u w:val="single"/>
        </w:rPr>
        <w:t>4 </w:t>
      </w:r>
      <w:r w:rsidRPr="009D4623">
        <w:rPr>
          <w:rFonts w:ascii="Times New Roman" w:hAnsi="Times New Roman" w:cs="Times New Roman"/>
          <w:b/>
          <w:i/>
          <w:sz w:val="24"/>
          <w:szCs w:val="24"/>
          <w:u w:val="single"/>
        </w:rPr>
        <w:t xml:space="preserve">Measures No. </w:t>
      </w:r>
      <w:r>
        <w:rPr>
          <w:rFonts w:ascii="Times New Roman" w:hAnsi="Times New Roman" w:cs="Times New Roman"/>
          <w:b/>
          <w:i/>
          <w:sz w:val="24"/>
          <w:szCs w:val="24"/>
          <w:u w:val="single"/>
        </w:rPr>
        <w:t>2</w:t>
      </w:r>
      <w:r w:rsidRPr="009D4623">
        <w:rPr>
          <w:rFonts w:ascii="Times New Roman" w:hAnsi="Times New Roman" w:cs="Times New Roman"/>
          <w:b/>
          <w:i/>
          <w:sz w:val="24"/>
          <w:szCs w:val="24"/>
          <w:u w:val="single"/>
        </w:rPr>
        <w:t>) Regulations 202</w:t>
      </w:r>
      <w:r>
        <w:rPr>
          <w:rFonts w:ascii="Times New Roman" w:hAnsi="Times New Roman" w:cs="Times New Roman"/>
          <w:b/>
          <w:i/>
          <w:sz w:val="24"/>
          <w:szCs w:val="24"/>
          <w:u w:val="single"/>
        </w:rPr>
        <w:t>4</w:t>
      </w:r>
    </w:p>
    <w:p w14:paraId="621F7FD1" w14:textId="77777777" w:rsidR="00527773" w:rsidRPr="00144E05" w:rsidRDefault="00527773" w:rsidP="00527773">
      <w:pPr>
        <w:rPr>
          <w:rFonts w:ascii="Times New Roman" w:eastAsia="Calibri" w:hAnsi="Times New Roman" w:cs="Times New Roman"/>
          <w:sz w:val="24"/>
          <w:szCs w:val="24"/>
          <w:u w:val="single"/>
        </w:rPr>
      </w:pPr>
      <w:r w:rsidRPr="00144E05">
        <w:rPr>
          <w:rFonts w:ascii="Times New Roman" w:eastAsia="Calibri" w:hAnsi="Times New Roman" w:cs="Times New Roman"/>
          <w:sz w:val="24"/>
          <w:szCs w:val="24"/>
          <w:u w:val="single"/>
        </w:rPr>
        <w:t>Section 1</w:t>
      </w:r>
      <w:r>
        <w:rPr>
          <w:rFonts w:ascii="Times New Roman" w:eastAsia="Calibri" w:hAnsi="Times New Roman" w:cs="Times New Roman"/>
          <w:sz w:val="24"/>
          <w:szCs w:val="24"/>
          <w:u w:val="single"/>
        </w:rPr>
        <w:t xml:space="preserve"> </w:t>
      </w:r>
      <w:r>
        <w:rPr>
          <w:rFonts w:ascii="Times New Roman" w:eastAsia="Calibri" w:hAnsi="Times New Roman" w:cs="Times New Roman"/>
          <w:sz w:val="24"/>
          <w:szCs w:val="24"/>
          <w:u w:val="single"/>
        </w:rPr>
        <w:noBreakHyphen/>
        <w:t xml:space="preserve"> </w:t>
      </w:r>
      <w:r w:rsidRPr="00144E05">
        <w:rPr>
          <w:rFonts w:ascii="Times New Roman" w:eastAsia="Calibri" w:hAnsi="Times New Roman" w:cs="Times New Roman"/>
          <w:sz w:val="24"/>
          <w:szCs w:val="24"/>
          <w:u w:val="single"/>
        </w:rPr>
        <w:t xml:space="preserve">Name </w:t>
      </w:r>
    </w:p>
    <w:p w14:paraId="6D776E28" w14:textId="2C0F0098" w:rsidR="00527773" w:rsidRPr="000E4C9C" w:rsidRDefault="00527773" w:rsidP="00527773">
      <w:pPr>
        <w:spacing w:before="240" w:after="0"/>
        <w:rPr>
          <w:rFonts w:ascii="Times New Roman" w:eastAsia="Calibri" w:hAnsi="Times New Roman" w:cs="Times New Roman"/>
          <w:sz w:val="24"/>
          <w:szCs w:val="24"/>
        </w:rPr>
      </w:pPr>
      <w:r w:rsidRPr="007D698E">
        <w:rPr>
          <w:rFonts w:ascii="Times New Roman" w:eastAsia="Calibri" w:hAnsi="Times New Roman" w:cs="Times New Roman"/>
          <w:sz w:val="24"/>
          <w:szCs w:val="24"/>
        </w:rPr>
        <w:t>This section provide</w:t>
      </w:r>
      <w:r w:rsidR="00247CA7">
        <w:rPr>
          <w:rFonts w:ascii="Times New Roman" w:eastAsia="Calibri" w:hAnsi="Times New Roman" w:cs="Times New Roman"/>
          <w:sz w:val="24"/>
          <w:szCs w:val="24"/>
        </w:rPr>
        <w:t>s</w:t>
      </w:r>
      <w:r w:rsidRPr="007D698E">
        <w:rPr>
          <w:rFonts w:ascii="Times New Roman" w:eastAsia="Calibri" w:hAnsi="Times New Roman" w:cs="Times New Roman"/>
          <w:sz w:val="24"/>
          <w:szCs w:val="24"/>
        </w:rPr>
        <w:t xml:space="preserve"> that the </w:t>
      </w:r>
      <w:r>
        <w:rPr>
          <w:rFonts w:ascii="Times New Roman" w:eastAsia="Calibri" w:hAnsi="Times New Roman" w:cs="Times New Roman"/>
          <w:sz w:val="24"/>
          <w:szCs w:val="24"/>
        </w:rPr>
        <w:t xml:space="preserve">title of </w:t>
      </w:r>
      <w:r w:rsidRPr="008C06A0">
        <w:rPr>
          <w:rFonts w:ascii="Times New Roman" w:eastAsia="Calibri" w:hAnsi="Times New Roman" w:cs="Times New Roman"/>
          <w:sz w:val="24"/>
          <w:szCs w:val="24"/>
        </w:rPr>
        <w:t xml:space="preserve">the </w:t>
      </w:r>
      <w:r>
        <w:rPr>
          <w:rFonts w:ascii="Times New Roman" w:eastAsia="Calibri" w:hAnsi="Times New Roman" w:cs="Times New Roman"/>
          <w:sz w:val="24"/>
          <w:szCs w:val="24"/>
        </w:rPr>
        <w:t>instrument</w:t>
      </w:r>
      <w:r w:rsidRPr="008C06A0">
        <w:rPr>
          <w:rFonts w:ascii="Times New Roman" w:eastAsia="Calibri" w:hAnsi="Times New Roman" w:cs="Times New Roman"/>
          <w:sz w:val="24"/>
          <w:szCs w:val="24"/>
        </w:rPr>
        <w:t xml:space="preserve"> is the </w:t>
      </w:r>
      <w:r w:rsidRPr="008C06A0">
        <w:rPr>
          <w:rFonts w:ascii="Times New Roman" w:eastAsia="Calibri" w:hAnsi="Times New Roman" w:cs="Times New Roman"/>
          <w:i/>
          <w:sz w:val="24"/>
          <w:szCs w:val="24"/>
        </w:rPr>
        <w:t>Legislation (Exemptions and Other Matters) Amendment (202</w:t>
      </w:r>
      <w:r>
        <w:rPr>
          <w:rFonts w:ascii="Times New Roman" w:eastAsia="Calibri" w:hAnsi="Times New Roman" w:cs="Times New Roman"/>
          <w:i/>
          <w:sz w:val="24"/>
          <w:szCs w:val="24"/>
        </w:rPr>
        <w:t>4</w:t>
      </w:r>
      <w:r w:rsidRPr="008C06A0">
        <w:rPr>
          <w:rFonts w:ascii="Times New Roman" w:eastAsia="Calibri" w:hAnsi="Times New Roman" w:cs="Times New Roman"/>
          <w:i/>
          <w:sz w:val="24"/>
          <w:szCs w:val="24"/>
        </w:rPr>
        <w:t xml:space="preserve"> Measures No. </w:t>
      </w:r>
      <w:r>
        <w:rPr>
          <w:rFonts w:ascii="Times New Roman" w:eastAsia="Calibri" w:hAnsi="Times New Roman" w:cs="Times New Roman"/>
          <w:i/>
          <w:sz w:val="24"/>
          <w:szCs w:val="24"/>
        </w:rPr>
        <w:t>2</w:t>
      </w:r>
      <w:r w:rsidRPr="008C06A0">
        <w:rPr>
          <w:rFonts w:ascii="Times New Roman" w:eastAsia="Calibri" w:hAnsi="Times New Roman" w:cs="Times New Roman"/>
          <w:i/>
          <w:sz w:val="24"/>
          <w:szCs w:val="24"/>
        </w:rPr>
        <w:t>) Regulations 202</w:t>
      </w:r>
      <w:r>
        <w:rPr>
          <w:rFonts w:ascii="Times New Roman" w:eastAsia="Calibri" w:hAnsi="Times New Roman" w:cs="Times New Roman"/>
          <w:i/>
          <w:sz w:val="24"/>
          <w:szCs w:val="24"/>
        </w:rPr>
        <w:t xml:space="preserve">4 </w:t>
      </w:r>
      <w:r>
        <w:rPr>
          <w:rFonts w:ascii="Times New Roman" w:eastAsia="Calibri" w:hAnsi="Times New Roman" w:cs="Times New Roman"/>
          <w:sz w:val="24"/>
          <w:szCs w:val="24"/>
        </w:rPr>
        <w:t>(Amendment Regulations).</w:t>
      </w:r>
    </w:p>
    <w:p w14:paraId="19C9F0B1" w14:textId="77777777" w:rsidR="00527773" w:rsidRPr="00144E05" w:rsidRDefault="00527773" w:rsidP="00527773">
      <w:pPr>
        <w:spacing w:before="240" w:after="0"/>
        <w:rPr>
          <w:rFonts w:ascii="Times New Roman" w:eastAsia="Calibri" w:hAnsi="Times New Roman" w:cs="Times New Roman"/>
          <w:sz w:val="24"/>
          <w:szCs w:val="24"/>
          <w:u w:val="single"/>
        </w:rPr>
      </w:pPr>
      <w:r w:rsidRPr="00144E05">
        <w:rPr>
          <w:rFonts w:ascii="Times New Roman" w:eastAsia="Calibri" w:hAnsi="Times New Roman" w:cs="Times New Roman"/>
          <w:sz w:val="24"/>
          <w:szCs w:val="24"/>
          <w:u w:val="single"/>
        </w:rPr>
        <w:t xml:space="preserve">Section 2 </w:t>
      </w:r>
      <w:r>
        <w:rPr>
          <w:rFonts w:ascii="Times New Roman" w:eastAsia="Calibri" w:hAnsi="Times New Roman" w:cs="Times New Roman"/>
          <w:sz w:val="24"/>
          <w:szCs w:val="24"/>
          <w:u w:val="single"/>
        </w:rPr>
        <w:noBreakHyphen/>
        <w:t xml:space="preserve"> </w:t>
      </w:r>
      <w:r w:rsidRPr="00144E05">
        <w:rPr>
          <w:rFonts w:ascii="Times New Roman" w:eastAsia="Calibri" w:hAnsi="Times New Roman" w:cs="Times New Roman"/>
          <w:sz w:val="24"/>
          <w:szCs w:val="24"/>
          <w:u w:val="single"/>
        </w:rPr>
        <w:t>Commencement</w:t>
      </w:r>
    </w:p>
    <w:p w14:paraId="73236906" w14:textId="569687E1" w:rsidR="00527773" w:rsidRPr="005E60CD" w:rsidRDefault="00527773" w:rsidP="00527773">
      <w:pPr>
        <w:spacing w:before="240" w:after="0"/>
        <w:rPr>
          <w:rFonts w:ascii="Times New Roman" w:eastAsia="Calibri" w:hAnsi="Times New Roman" w:cs="Times New Roman"/>
          <w:sz w:val="24"/>
          <w:szCs w:val="24"/>
        </w:rPr>
      </w:pPr>
      <w:r w:rsidRPr="005E60CD">
        <w:rPr>
          <w:rFonts w:ascii="Times New Roman" w:eastAsia="Calibri" w:hAnsi="Times New Roman" w:cs="Times New Roman"/>
          <w:sz w:val="24"/>
          <w:szCs w:val="24"/>
        </w:rPr>
        <w:t>This section provide</w:t>
      </w:r>
      <w:r w:rsidR="00247CA7">
        <w:rPr>
          <w:rFonts w:ascii="Times New Roman" w:eastAsia="Calibri" w:hAnsi="Times New Roman" w:cs="Times New Roman"/>
          <w:sz w:val="24"/>
          <w:szCs w:val="24"/>
        </w:rPr>
        <w:t>s</w:t>
      </w:r>
      <w:r>
        <w:rPr>
          <w:rFonts w:ascii="Times New Roman" w:eastAsia="Calibri" w:hAnsi="Times New Roman" w:cs="Times New Roman"/>
          <w:sz w:val="24"/>
          <w:szCs w:val="24"/>
        </w:rPr>
        <w:t xml:space="preserve"> that</w:t>
      </w:r>
      <w:r w:rsidRPr="005E60CD">
        <w:rPr>
          <w:rFonts w:ascii="Times New Roman" w:eastAsia="Calibri" w:hAnsi="Times New Roman" w:cs="Times New Roman"/>
          <w:sz w:val="24"/>
          <w:szCs w:val="24"/>
        </w:rPr>
        <w:t xml:space="preserve"> the </w:t>
      </w:r>
      <w:r>
        <w:rPr>
          <w:rFonts w:ascii="Times New Roman" w:eastAsia="Calibri" w:hAnsi="Times New Roman" w:cs="Times New Roman"/>
          <w:sz w:val="24"/>
          <w:szCs w:val="24"/>
        </w:rPr>
        <w:t>instrument</w:t>
      </w:r>
      <w:r w:rsidRPr="005E60CD">
        <w:rPr>
          <w:rFonts w:ascii="Times New Roman" w:eastAsia="Calibri" w:hAnsi="Times New Roman" w:cs="Times New Roman"/>
          <w:sz w:val="24"/>
          <w:szCs w:val="24"/>
        </w:rPr>
        <w:t xml:space="preserve"> </w:t>
      </w:r>
      <w:r>
        <w:rPr>
          <w:rFonts w:ascii="Times New Roman" w:eastAsia="Calibri" w:hAnsi="Times New Roman" w:cs="Times New Roman"/>
          <w:sz w:val="24"/>
          <w:szCs w:val="24"/>
        </w:rPr>
        <w:t xml:space="preserve">is </w:t>
      </w:r>
      <w:r w:rsidRPr="005E60CD">
        <w:rPr>
          <w:rFonts w:ascii="Times New Roman" w:eastAsia="Calibri" w:hAnsi="Times New Roman" w:cs="Times New Roman"/>
          <w:sz w:val="24"/>
          <w:szCs w:val="24"/>
        </w:rPr>
        <w:t xml:space="preserve">to commence </w:t>
      </w:r>
      <w:r>
        <w:rPr>
          <w:rFonts w:ascii="Times New Roman" w:eastAsia="Calibri" w:hAnsi="Times New Roman" w:cs="Times New Roman"/>
          <w:sz w:val="24"/>
          <w:szCs w:val="24"/>
        </w:rPr>
        <w:t>on the day</w:t>
      </w:r>
      <w:r w:rsidRPr="005E60CD">
        <w:rPr>
          <w:rFonts w:ascii="Times New Roman" w:eastAsia="Calibri" w:hAnsi="Times New Roman" w:cs="Times New Roman"/>
          <w:sz w:val="24"/>
          <w:szCs w:val="24"/>
        </w:rPr>
        <w:t xml:space="preserve"> after it is registered. </w:t>
      </w:r>
    </w:p>
    <w:p w14:paraId="30810A42" w14:textId="77777777" w:rsidR="00527773" w:rsidRPr="00144E05" w:rsidRDefault="00527773" w:rsidP="00527773">
      <w:pPr>
        <w:spacing w:before="240" w:after="0"/>
        <w:rPr>
          <w:rFonts w:ascii="Times New Roman" w:eastAsia="Calibri" w:hAnsi="Times New Roman" w:cs="Times New Roman"/>
          <w:sz w:val="24"/>
          <w:szCs w:val="24"/>
          <w:u w:val="single"/>
        </w:rPr>
      </w:pPr>
      <w:r w:rsidRPr="00144E05">
        <w:rPr>
          <w:rFonts w:ascii="Times New Roman" w:eastAsia="Calibri" w:hAnsi="Times New Roman" w:cs="Times New Roman"/>
          <w:sz w:val="24"/>
          <w:szCs w:val="24"/>
          <w:u w:val="single"/>
        </w:rPr>
        <w:t>Section 3</w:t>
      </w:r>
      <w:r>
        <w:rPr>
          <w:rFonts w:ascii="Times New Roman" w:eastAsia="Calibri" w:hAnsi="Times New Roman" w:cs="Times New Roman"/>
          <w:sz w:val="24"/>
          <w:szCs w:val="24"/>
          <w:u w:val="single"/>
        </w:rPr>
        <w:t xml:space="preserve"> </w:t>
      </w:r>
      <w:r>
        <w:rPr>
          <w:rFonts w:ascii="Times New Roman" w:eastAsia="Calibri" w:hAnsi="Times New Roman" w:cs="Times New Roman"/>
          <w:sz w:val="24"/>
          <w:szCs w:val="24"/>
          <w:u w:val="single"/>
        </w:rPr>
        <w:noBreakHyphen/>
        <w:t xml:space="preserve"> </w:t>
      </w:r>
      <w:r w:rsidRPr="00144E05">
        <w:rPr>
          <w:rFonts w:ascii="Times New Roman" w:eastAsia="Calibri" w:hAnsi="Times New Roman" w:cs="Times New Roman"/>
          <w:sz w:val="24"/>
          <w:szCs w:val="24"/>
          <w:u w:val="single"/>
        </w:rPr>
        <w:t>Authority</w:t>
      </w:r>
    </w:p>
    <w:p w14:paraId="61736236" w14:textId="66104353" w:rsidR="00527773" w:rsidRPr="005E60CD" w:rsidRDefault="00527773" w:rsidP="00527773">
      <w:pPr>
        <w:spacing w:before="240" w:after="0"/>
        <w:rPr>
          <w:rFonts w:ascii="Times New Roman" w:eastAsia="Calibri" w:hAnsi="Times New Roman" w:cs="Times New Roman"/>
          <w:sz w:val="24"/>
          <w:szCs w:val="24"/>
        </w:rPr>
      </w:pPr>
      <w:r w:rsidRPr="005E60CD">
        <w:rPr>
          <w:rFonts w:ascii="Times New Roman" w:eastAsia="Calibri" w:hAnsi="Times New Roman" w:cs="Times New Roman"/>
          <w:sz w:val="24"/>
          <w:szCs w:val="24"/>
        </w:rPr>
        <w:t xml:space="preserve">This section </w:t>
      </w:r>
      <w:r>
        <w:rPr>
          <w:rFonts w:ascii="Times New Roman" w:eastAsia="Calibri" w:hAnsi="Times New Roman" w:cs="Times New Roman"/>
          <w:sz w:val="24"/>
          <w:szCs w:val="24"/>
        </w:rPr>
        <w:t>provide</w:t>
      </w:r>
      <w:r w:rsidR="00E26F4E">
        <w:rPr>
          <w:rFonts w:ascii="Times New Roman" w:eastAsia="Calibri" w:hAnsi="Times New Roman" w:cs="Times New Roman"/>
          <w:sz w:val="24"/>
          <w:szCs w:val="24"/>
        </w:rPr>
        <w:t>s</w:t>
      </w:r>
      <w:r w:rsidRPr="005E60CD">
        <w:rPr>
          <w:rFonts w:ascii="Times New Roman" w:eastAsia="Calibri" w:hAnsi="Times New Roman" w:cs="Times New Roman"/>
          <w:sz w:val="24"/>
          <w:szCs w:val="24"/>
        </w:rPr>
        <w:t xml:space="preserve"> that the instrument is made under the </w:t>
      </w:r>
      <w:r w:rsidRPr="00B813AC">
        <w:rPr>
          <w:rFonts w:ascii="Times New Roman" w:eastAsia="Calibri" w:hAnsi="Times New Roman" w:cs="Times New Roman"/>
          <w:i/>
          <w:sz w:val="24"/>
          <w:szCs w:val="24"/>
        </w:rPr>
        <w:t>Legislation Act 2003</w:t>
      </w:r>
      <w:r w:rsidRPr="005E60CD">
        <w:rPr>
          <w:rFonts w:ascii="Times New Roman" w:eastAsia="Calibri" w:hAnsi="Times New Roman" w:cs="Times New Roman"/>
          <w:sz w:val="24"/>
          <w:szCs w:val="24"/>
        </w:rPr>
        <w:t xml:space="preserve">. </w:t>
      </w:r>
    </w:p>
    <w:p w14:paraId="228BA276" w14:textId="77777777" w:rsidR="00527773" w:rsidRPr="00144E05" w:rsidRDefault="00527773" w:rsidP="00527773">
      <w:pPr>
        <w:spacing w:before="240" w:after="0"/>
        <w:rPr>
          <w:rFonts w:ascii="Times New Roman" w:eastAsia="Calibri" w:hAnsi="Times New Roman" w:cs="Times New Roman"/>
          <w:sz w:val="24"/>
          <w:szCs w:val="24"/>
          <w:u w:val="single"/>
        </w:rPr>
      </w:pPr>
      <w:r w:rsidRPr="00144E05">
        <w:rPr>
          <w:rFonts w:ascii="Times New Roman" w:eastAsia="Calibri" w:hAnsi="Times New Roman" w:cs="Times New Roman"/>
          <w:sz w:val="24"/>
          <w:szCs w:val="24"/>
          <w:u w:val="single"/>
        </w:rPr>
        <w:t>Section 4</w:t>
      </w:r>
      <w:r>
        <w:rPr>
          <w:rFonts w:ascii="Times New Roman" w:eastAsia="Calibri" w:hAnsi="Times New Roman" w:cs="Times New Roman"/>
          <w:sz w:val="24"/>
          <w:szCs w:val="24"/>
          <w:u w:val="single"/>
        </w:rPr>
        <w:t xml:space="preserve"> </w:t>
      </w:r>
      <w:r>
        <w:rPr>
          <w:rFonts w:ascii="Times New Roman" w:eastAsia="Calibri" w:hAnsi="Times New Roman" w:cs="Times New Roman"/>
          <w:sz w:val="24"/>
          <w:szCs w:val="24"/>
          <w:u w:val="single"/>
        </w:rPr>
        <w:noBreakHyphen/>
        <w:t xml:space="preserve"> </w:t>
      </w:r>
      <w:r w:rsidRPr="00144E05">
        <w:rPr>
          <w:rFonts w:ascii="Times New Roman" w:eastAsia="Calibri" w:hAnsi="Times New Roman" w:cs="Times New Roman"/>
          <w:sz w:val="24"/>
          <w:szCs w:val="24"/>
          <w:u w:val="single"/>
        </w:rPr>
        <w:t xml:space="preserve">Schedules </w:t>
      </w:r>
    </w:p>
    <w:p w14:paraId="61E45179" w14:textId="59EC0E79" w:rsidR="00527773" w:rsidRPr="002932BE" w:rsidRDefault="00527773" w:rsidP="00527773">
      <w:pPr>
        <w:spacing w:before="240" w:after="0"/>
        <w:rPr>
          <w:rFonts w:ascii="Times New Roman" w:eastAsia="Calibri" w:hAnsi="Times New Roman" w:cs="Times New Roman"/>
          <w:sz w:val="24"/>
          <w:szCs w:val="24"/>
        </w:rPr>
      </w:pPr>
      <w:r w:rsidRPr="005E60CD">
        <w:rPr>
          <w:rFonts w:ascii="Times New Roman" w:eastAsia="Calibri" w:hAnsi="Times New Roman" w:cs="Times New Roman"/>
          <w:sz w:val="24"/>
          <w:szCs w:val="24"/>
        </w:rPr>
        <w:t xml:space="preserve">This section </w:t>
      </w:r>
      <w:r>
        <w:rPr>
          <w:rFonts w:ascii="Times New Roman" w:hAnsi="Times New Roman" w:cs="Times New Roman"/>
          <w:sz w:val="24"/>
          <w:szCs w:val="24"/>
        </w:rPr>
        <w:t>provide</w:t>
      </w:r>
      <w:r w:rsidR="00E26F4E">
        <w:rPr>
          <w:rFonts w:ascii="Times New Roman" w:hAnsi="Times New Roman" w:cs="Times New Roman"/>
          <w:sz w:val="24"/>
          <w:szCs w:val="24"/>
        </w:rPr>
        <w:t>s</w:t>
      </w:r>
      <w:r>
        <w:rPr>
          <w:rFonts w:ascii="Times New Roman" w:hAnsi="Times New Roman" w:cs="Times New Roman"/>
          <w:sz w:val="24"/>
          <w:szCs w:val="24"/>
        </w:rPr>
        <w:t xml:space="preserve"> that each instrument that is specified in a Schedule to the Amendment Regulations is amended or repealed as set out in the applicable items in the </w:t>
      </w:r>
      <w:r w:rsidRPr="002932BE">
        <w:rPr>
          <w:rFonts w:ascii="Times New Roman" w:hAnsi="Times New Roman" w:cs="Times New Roman"/>
          <w:sz w:val="24"/>
          <w:szCs w:val="24"/>
        </w:rPr>
        <w:t>Schedule concerned, and any other item in a Schedule to the instrument has effect according to its terms.</w:t>
      </w:r>
    </w:p>
    <w:p w14:paraId="0F16692D" w14:textId="77777777" w:rsidR="00527773" w:rsidRPr="002932BE" w:rsidRDefault="00527773" w:rsidP="00527773">
      <w:pPr>
        <w:spacing w:before="240"/>
        <w:rPr>
          <w:rFonts w:ascii="Times New Roman" w:eastAsia="Calibri" w:hAnsi="Times New Roman" w:cs="Times New Roman"/>
          <w:sz w:val="24"/>
          <w:szCs w:val="24"/>
          <w:u w:val="single"/>
        </w:rPr>
      </w:pPr>
      <w:r w:rsidRPr="002932BE">
        <w:rPr>
          <w:rFonts w:ascii="Times New Roman" w:eastAsia="Calibri" w:hAnsi="Times New Roman" w:cs="Times New Roman"/>
          <w:sz w:val="24"/>
          <w:szCs w:val="24"/>
          <w:u w:val="single"/>
        </w:rPr>
        <w:t xml:space="preserve">Schedule 1 </w:t>
      </w:r>
      <w:r w:rsidRPr="002932BE">
        <w:rPr>
          <w:rFonts w:ascii="Times New Roman" w:eastAsia="Calibri" w:hAnsi="Times New Roman" w:cs="Times New Roman"/>
          <w:sz w:val="24"/>
          <w:szCs w:val="24"/>
          <w:u w:val="single"/>
        </w:rPr>
        <w:noBreakHyphen/>
        <w:t xml:space="preserve"> Amendments </w:t>
      </w:r>
    </w:p>
    <w:p w14:paraId="69CD8B22" w14:textId="62B48143" w:rsidR="00527773" w:rsidRDefault="00527773" w:rsidP="00527773">
      <w:pPr>
        <w:rPr>
          <w:rFonts w:ascii="Times New Roman" w:eastAsia="Calibri" w:hAnsi="Times New Roman" w:cs="Times New Roman"/>
          <w:sz w:val="24"/>
          <w:szCs w:val="24"/>
        </w:rPr>
      </w:pPr>
      <w:r w:rsidRPr="002932BE">
        <w:rPr>
          <w:rFonts w:ascii="Times New Roman" w:eastAsia="Calibri" w:hAnsi="Times New Roman" w:cs="Times New Roman"/>
          <w:sz w:val="24"/>
          <w:szCs w:val="24"/>
        </w:rPr>
        <w:t>Schedule 1 amend</w:t>
      </w:r>
      <w:r w:rsidR="00E26F4E">
        <w:rPr>
          <w:rFonts w:ascii="Times New Roman" w:eastAsia="Calibri" w:hAnsi="Times New Roman" w:cs="Times New Roman"/>
          <w:sz w:val="24"/>
          <w:szCs w:val="24"/>
        </w:rPr>
        <w:t>s</w:t>
      </w:r>
      <w:r w:rsidRPr="002932BE">
        <w:rPr>
          <w:rFonts w:ascii="Times New Roman" w:eastAsia="Calibri" w:hAnsi="Times New Roman" w:cs="Times New Roman"/>
          <w:sz w:val="24"/>
          <w:szCs w:val="24"/>
        </w:rPr>
        <w:t xml:space="preserve"> section 12 of the </w:t>
      </w:r>
      <w:r w:rsidRPr="007E0D3B">
        <w:rPr>
          <w:rFonts w:ascii="Times New Roman" w:eastAsia="Calibri" w:hAnsi="Times New Roman" w:cs="Times New Roman"/>
          <w:i/>
          <w:sz w:val="24"/>
          <w:szCs w:val="24"/>
        </w:rPr>
        <w:t>Legislation (Exemptions and Other Matters) Regulation 201</w:t>
      </w:r>
      <w:r>
        <w:rPr>
          <w:rFonts w:ascii="Times New Roman" w:eastAsia="Calibri" w:hAnsi="Times New Roman" w:cs="Times New Roman"/>
          <w:i/>
          <w:sz w:val="24"/>
          <w:szCs w:val="24"/>
        </w:rPr>
        <w:t>5</w:t>
      </w:r>
      <w:r w:rsidRPr="00D44D41">
        <w:rPr>
          <w:rFonts w:ascii="Times New Roman" w:eastAsia="Calibri" w:hAnsi="Times New Roman" w:cs="Times New Roman"/>
          <w:sz w:val="24"/>
          <w:szCs w:val="24"/>
        </w:rPr>
        <w:t xml:space="preserve"> </w:t>
      </w:r>
      <w:r>
        <w:rPr>
          <w:rFonts w:ascii="Times New Roman" w:eastAsia="Calibri" w:hAnsi="Times New Roman" w:cs="Times New Roman"/>
          <w:sz w:val="24"/>
          <w:szCs w:val="24"/>
        </w:rPr>
        <w:t xml:space="preserve">(the </w:t>
      </w:r>
      <w:r w:rsidRPr="002932BE">
        <w:rPr>
          <w:rFonts w:ascii="Times New Roman" w:eastAsia="Calibri" w:hAnsi="Times New Roman" w:cs="Times New Roman"/>
          <w:sz w:val="24"/>
          <w:szCs w:val="24"/>
        </w:rPr>
        <w:t>Principal Regulations</w:t>
      </w:r>
      <w:r>
        <w:rPr>
          <w:rFonts w:ascii="Times New Roman" w:eastAsia="Calibri" w:hAnsi="Times New Roman" w:cs="Times New Roman"/>
          <w:sz w:val="24"/>
          <w:szCs w:val="24"/>
        </w:rPr>
        <w:t>)</w:t>
      </w:r>
      <w:r w:rsidRPr="002932BE">
        <w:rPr>
          <w:rFonts w:ascii="Times New Roman" w:eastAsia="Calibri" w:hAnsi="Times New Roman" w:cs="Times New Roman"/>
          <w:sz w:val="24"/>
          <w:szCs w:val="24"/>
        </w:rPr>
        <w:t xml:space="preserve"> to insert </w:t>
      </w:r>
      <w:r>
        <w:rPr>
          <w:rFonts w:ascii="Times New Roman" w:eastAsia="Calibri" w:hAnsi="Times New Roman" w:cs="Times New Roman"/>
          <w:sz w:val="24"/>
          <w:szCs w:val="24"/>
        </w:rPr>
        <w:t>two</w:t>
      </w:r>
      <w:r w:rsidRPr="002932BE">
        <w:rPr>
          <w:rFonts w:ascii="Times New Roman" w:eastAsia="Calibri" w:hAnsi="Times New Roman" w:cs="Times New Roman"/>
          <w:sz w:val="24"/>
          <w:szCs w:val="24"/>
        </w:rPr>
        <w:t xml:space="preserve"> new exemption</w:t>
      </w:r>
      <w:r>
        <w:rPr>
          <w:rFonts w:ascii="Times New Roman" w:eastAsia="Calibri" w:hAnsi="Times New Roman" w:cs="Times New Roman"/>
          <w:sz w:val="24"/>
          <w:szCs w:val="24"/>
        </w:rPr>
        <w:t>s</w:t>
      </w:r>
      <w:r w:rsidRPr="002932BE">
        <w:rPr>
          <w:rFonts w:ascii="Times New Roman" w:eastAsia="Calibri" w:hAnsi="Times New Roman" w:cs="Times New Roman"/>
          <w:sz w:val="24"/>
          <w:szCs w:val="24"/>
        </w:rPr>
        <w:t xml:space="preserve"> from sunsetting. </w:t>
      </w:r>
    </w:p>
    <w:p w14:paraId="0D5F8281" w14:textId="77777777" w:rsidR="00527773" w:rsidRPr="004671A4" w:rsidRDefault="00527773" w:rsidP="00527773">
      <w:pPr>
        <w:pStyle w:val="Celltext"/>
        <w:spacing w:after="60" w:line="276" w:lineRule="auto"/>
        <w:rPr>
          <w:szCs w:val="24"/>
        </w:rPr>
      </w:pPr>
      <w:r>
        <w:rPr>
          <w:szCs w:val="24"/>
        </w:rPr>
        <w:t xml:space="preserve">For the purposes of paragraph 54(2)(b) of the Legislation Act, section 12 of the Principal Regulations provides that instruments contained in the table to that section are not subject to sunsetting. </w:t>
      </w:r>
    </w:p>
    <w:p w14:paraId="241E389A" w14:textId="3F5B745C" w:rsidR="00527773" w:rsidRPr="002932BE" w:rsidRDefault="00527773" w:rsidP="00527773">
      <w:pPr>
        <w:spacing w:before="240" w:after="0"/>
        <w:rPr>
          <w:rFonts w:ascii="Times New Roman" w:eastAsia="Calibri" w:hAnsi="Times New Roman" w:cs="Times New Roman"/>
          <w:sz w:val="24"/>
          <w:szCs w:val="24"/>
          <w:u w:val="single"/>
        </w:rPr>
      </w:pPr>
      <w:r w:rsidRPr="002932BE">
        <w:rPr>
          <w:rFonts w:ascii="Times New Roman" w:eastAsia="Calibri" w:hAnsi="Times New Roman" w:cs="Times New Roman"/>
          <w:sz w:val="24"/>
          <w:szCs w:val="24"/>
          <w:u w:val="single"/>
        </w:rPr>
        <w:t xml:space="preserve">Item 1: Section 12 (table item </w:t>
      </w:r>
      <w:r>
        <w:rPr>
          <w:rFonts w:ascii="Times New Roman" w:eastAsia="Calibri" w:hAnsi="Times New Roman" w:cs="Times New Roman"/>
          <w:sz w:val="24"/>
          <w:szCs w:val="24"/>
          <w:u w:val="single"/>
        </w:rPr>
        <w:t>53A</w:t>
      </w:r>
      <w:r w:rsidRPr="002932BE">
        <w:rPr>
          <w:rFonts w:ascii="Times New Roman" w:eastAsia="Calibri" w:hAnsi="Times New Roman" w:cs="Times New Roman"/>
          <w:sz w:val="24"/>
          <w:szCs w:val="24"/>
          <w:u w:val="single"/>
        </w:rPr>
        <w:t>)</w:t>
      </w:r>
    </w:p>
    <w:p w14:paraId="366E2617" w14:textId="5195811D" w:rsidR="00527773" w:rsidRDefault="00527773" w:rsidP="00527773">
      <w:pPr>
        <w:pStyle w:val="Paragraph"/>
        <w:numPr>
          <w:ilvl w:val="0"/>
          <w:numId w:val="0"/>
        </w:numPr>
        <w:tabs>
          <w:tab w:val="left" w:pos="567"/>
        </w:tabs>
        <w:spacing w:line="276" w:lineRule="auto"/>
        <w:rPr>
          <w:szCs w:val="24"/>
        </w:rPr>
      </w:pPr>
      <w:r w:rsidRPr="002932BE">
        <w:rPr>
          <w:szCs w:val="24"/>
        </w:rPr>
        <w:t xml:space="preserve">Item 1 </w:t>
      </w:r>
      <w:r>
        <w:rPr>
          <w:szCs w:val="24"/>
        </w:rPr>
        <w:t>repeal</w:t>
      </w:r>
      <w:r w:rsidR="00E26F4E">
        <w:rPr>
          <w:szCs w:val="24"/>
        </w:rPr>
        <w:t>s</w:t>
      </w:r>
      <w:r>
        <w:rPr>
          <w:szCs w:val="24"/>
        </w:rPr>
        <w:t xml:space="preserve"> and substitute</w:t>
      </w:r>
      <w:r w:rsidR="00E26F4E">
        <w:rPr>
          <w:szCs w:val="24"/>
        </w:rPr>
        <w:t>s</w:t>
      </w:r>
      <w:r>
        <w:rPr>
          <w:szCs w:val="24"/>
        </w:rPr>
        <w:t xml:space="preserve"> </w:t>
      </w:r>
      <w:r w:rsidRPr="002932BE">
        <w:rPr>
          <w:szCs w:val="24"/>
        </w:rPr>
        <w:t xml:space="preserve">table item </w:t>
      </w:r>
      <w:r>
        <w:rPr>
          <w:szCs w:val="24"/>
        </w:rPr>
        <w:t>53A</w:t>
      </w:r>
      <w:r w:rsidRPr="002932BE">
        <w:rPr>
          <w:szCs w:val="24"/>
        </w:rPr>
        <w:t xml:space="preserve"> </w:t>
      </w:r>
      <w:r>
        <w:rPr>
          <w:szCs w:val="24"/>
        </w:rPr>
        <w:t>in</w:t>
      </w:r>
      <w:r w:rsidRPr="002932BE">
        <w:rPr>
          <w:szCs w:val="24"/>
        </w:rPr>
        <w:t xml:space="preserve"> the table at section 12 of the Principal Regulations.</w:t>
      </w:r>
      <w:r>
        <w:rPr>
          <w:szCs w:val="24"/>
        </w:rPr>
        <w:t xml:space="preserve"> </w:t>
      </w:r>
      <w:r w:rsidR="00247CA7">
        <w:rPr>
          <w:szCs w:val="24"/>
        </w:rPr>
        <w:t>N</w:t>
      </w:r>
      <w:r>
        <w:rPr>
          <w:szCs w:val="24"/>
        </w:rPr>
        <w:t>ew table item 53A reinsert</w:t>
      </w:r>
      <w:r w:rsidR="00E26F4E">
        <w:rPr>
          <w:szCs w:val="24"/>
        </w:rPr>
        <w:t>s</w:t>
      </w:r>
      <w:r>
        <w:rPr>
          <w:szCs w:val="24"/>
        </w:rPr>
        <w:t xml:space="preserve"> the previous item 53A as (a) the </w:t>
      </w:r>
      <w:r w:rsidRPr="008E1466">
        <w:rPr>
          <w:i/>
          <w:szCs w:val="24"/>
        </w:rPr>
        <w:t>Public Governance, Performance and Accountability Rule 2014</w:t>
      </w:r>
      <w:r>
        <w:rPr>
          <w:szCs w:val="24"/>
        </w:rPr>
        <w:t>, and insert</w:t>
      </w:r>
      <w:r w:rsidR="00E26F4E">
        <w:rPr>
          <w:szCs w:val="24"/>
        </w:rPr>
        <w:t>s</w:t>
      </w:r>
      <w:r>
        <w:rPr>
          <w:szCs w:val="24"/>
        </w:rPr>
        <w:t xml:space="preserve"> the new exemption from sunsetting at (b), being </w:t>
      </w:r>
      <w:r w:rsidRPr="002932BE">
        <w:rPr>
          <w:szCs w:val="24"/>
        </w:rPr>
        <w:t xml:space="preserve">the </w:t>
      </w:r>
      <w:r>
        <w:rPr>
          <w:rFonts w:eastAsia="Calibri"/>
          <w:i/>
          <w:szCs w:val="24"/>
        </w:rPr>
        <w:t xml:space="preserve">Public Governance, Performance and Accountability (Financial Reporting) Rule 2015 </w:t>
      </w:r>
      <w:r>
        <w:rPr>
          <w:rFonts w:eastAsia="Calibri"/>
          <w:szCs w:val="24"/>
        </w:rPr>
        <w:t>(</w:t>
      </w:r>
      <w:r w:rsidR="00F46908">
        <w:rPr>
          <w:rFonts w:eastAsia="Calibri"/>
          <w:szCs w:val="24"/>
        </w:rPr>
        <w:t>FRR</w:t>
      </w:r>
      <w:r>
        <w:rPr>
          <w:rFonts w:eastAsia="Calibri"/>
          <w:szCs w:val="24"/>
        </w:rPr>
        <w:t>)</w:t>
      </w:r>
      <w:r>
        <w:rPr>
          <w:rFonts w:eastAsia="Calibri"/>
          <w:i/>
          <w:szCs w:val="24"/>
        </w:rPr>
        <w:t xml:space="preserve">. </w:t>
      </w:r>
    </w:p>
    <w:p w14:paraId="3AB81866" w14:textId="594F5B72" w:rsidR="00527773" w:rsidRPr="002932BE" w:rsidRDefault="00527773" w:rsidP="00527773">
      <w:pPr>
        <w:pStyle w:val="Celltext"/>
        <w:spacing w:after="60" w:line="276" w:lineRule="auto"/>
        <w:rPr>
          <w:szCs w:val="24"/>
        </w:rPr>
      </w:pPr>
      <w:bookmarkStart w:id="1" w:name="_Hlk176442256"/>
      <w:r>
        <w:rPr>
          <w:szCs w:val="24"/>
        </w:rPr>
        <w:t xml:space="preserve">Pursuant to the policy criteria provided for in the Attorney-General’s Department’s </w:t>
      </w:r>
      <w:r w:rsidRPr="004671A4">
        <w:rPr>
          <w:i/>
          <w:szCs w:val="24"/>
        </w:rPr>
        <w:t>Guide to managing sunsetting of legislative instruments</w:t>
      </w:r>
      <w:r>
        <w:rPr>
          <w:szCs w:val="24"/>
        </w:rPr>
        <w:t xml:space="preserve">, the exemption is appropriate </w:t>
      </w:r>
      <w:bookmarkEnd w:id="1"/>
      <w:r>
        <w:rPr>
          <w:szCs w:val="24"/>
        </w:rPr>
        <w:t xml:space="preserve">as the </w:t>
      </w:r>
      <w:r w:rsidR="00F46908">
        <w:rPr>
          <w:szCs w:val="24"/>
        </w:rPr>
        <w:t>FRR</w:t>
      </w:r>
      <w:r>
        <w:rPr>
          <w:szCs w:val="24"/>
        </w:rPr>
        <w:t xml:space="preserve"> </w:t>
      </w:r>
      <w:r w:rsidRPr="002932BE">
        <w:rPr>
          <w:szCs w:val="24"/>
        </w:rPr>
        <w:t>is:</w:t>
      </w:r>
    </w:p>
    <w:p w14:paraId="438CC4F1" w14:textId="77777777" w:rsidR="00527773" w:rsidRPr="002932BE" w:rsidRDefault="00527773" w:rsidP="00527773">
      <w:pPr>
        <w:pStyle w:val="Celltext"/>
        <w:numPr>
          <w:ilvl w:val="0"/>
          <w:numId w:val="2"/>
        </w:numPr>
        <w:spacing w:after="120" w:line="276" w:lineRule="auto"/>
        <w:rPr>
          <w:szCs w:val="24"/>
        </w:rPr>
      </w:pPr>
      <w:r w:rsidRPr="002932BE">
        <w:rPr>
          <w:szCs w:val="24"/>
        </w:rPr>
        <w:t>sufficiently large and complex that the administrative burden associated with remaking the instrument would outweigh any regulatory benefit,</w:t>
      </w:r>
    </w:p>
    <w:p w14:paraId="0A6C1AC2" w14:textId="77777777" w:rsidR="00527773" w:rsidRPr="002932BE" w:rsidRDefault="00527773" w:rsidP="00527773">
      <w:pPr>
        <w:pStyle w:val="Celltext"/>
        <w:numPr>
          <w:ilvl w:val="0"/>
          <w:numId w:val="2"/>
        </w:numPr>
        <w:spacing w:after="120" w:line="276" w:lineRule="auto"/>
        <w:rPr>
          <w:szCs w:val="24"/>
        </w:rPr>
      </w:pPr>
      <w:r w:rsidRPr="002932BE">
        <w:rPr>
          <w:szCs w:val="24"/>
        </w:rPr>
        <w:t>subject to regular review, and</w:t>
      </w:r>
    </w:p>
    <w:p w14:paraId="704B49B5" w14:textId="77777777" w:rsidR="00527773" w:rsidRDefault="00527773" w:rsidP="00527773">
      <w:pPr>
        <w:pStyle w:val="Celltext"/>
        <w:numPr>
          <w:ilvl w:val="0"/>
          <w:numId w:val="2"/>
        </w:numPr>
        <w:spacing w:after="120" w:line="276" w:lineRule="auto"/>
        <w:rPr>
          <w:szCs w:val="24"/>
        </w:rPr>
      </w:pPr>
      <w:r w:rsidRPr="002932BE">
        <w:rPr>
          <w:szCs w:val="24"/>
        </w:rPr>
        <w:t>subject to regular amendment.</w:t>
      </w:r>
    </w:p>
    <w:p w14:paraId="13579EAA" w14:textId="77777777" w:rsidR="00527773" w:rsidRDefault="00527773" w:rsidP="00527773">
      <w:pPr>
        <w:pStyle w:val="Celltext"/>
        <w:spacing w:after="120" w:line="276" w:lineRule="auto"/>
        <w:rPr>
          <w:szCs w:val="24"/>
        </w:rPr>
      </w:pPr>
      <w:r>
        <w:rPr>
          <w:szCs w:val="24"/>
        </w:rPr>
        <w:t xml:space="preserve">The sunsetting exemption created by the Amendment Regulations is justified on this basis. </w:t>
      </w:r>
    </w:p>
    <w:p w14:paraId="236EA79E" w14:textId="77777777" w:rsidR="00527773" w:rsidRPr="002932BE" w:rsidRDefault="00527773" w:rsidP="00527773">
      <w:pPr>
        <w:keepNext/>
        <w:spacing w:before="240" w:after="0"/>
        <w:rPr>
          <w:rFonts w:ascii="Times New Roman" w:eastAsia="Calibri" w:hAnsi="Times New Roman" w:cs="Times New Roman"/>
          <w:sz w:val="24"/>
          <w:szCs w:val="24"/>
          <w:u w:val="single"/>
        </w:rPr>
      </w:pPr>
      <w:r w:rsidRPr="002932BE">
        <w:rPr>
          <w:rFonts w:ascii="Times New Roman" w:eastAsia="Calibri" w:hAnsi="Times New Roman" w:cs="Times New Roman"/>
          <w:sz w:val="24"/>
          <w:szCs w:val="24"/>
          <w:u w:val="single"/>
        </w:rPr>
        <w:t xml:space="preserve">Item 2: Section 12 (after table item </w:t>
      </w:r>
      <w:r>
        <w:rPr>
          <w:rFonts w:ascii="Times New Roman" w:eastAsia="Calibri" w:hAnsi="Times New Roman" w:cs="Times New Roman"/>
          <w:sz w:val="24"/>
          <w:szCs w:val="24"/>
          <w:u w:val="single"/>
        </w:rPr>
        <w:t>53A)</w:t>
      </w:r>
    </w:p>
    <w:p w14:paraId="6721134A" w14:textId="11BDB660" w:rsidR="00527773" w:rsidRPr="002932BE" w:rsidRDefault="00527773" w:rsidP="00527773">
      <w:pPr>
        <w:pStyle w:val="Paragraph"/>
        <w:numPr>
          <w:ilvl w:val="0"/>
          <w:numId w:val="0"/>
        </w:numPr>
        <w:tabs>
          <w:tab w:val="left" w:pos="567"/>
        </w:tabs>
        <w:spacing w:line="276" w:lineRule="auto"/>
        <w:rPr>
          <w:szCs w:val="24"/>
        </w:rPr>
      </w:pPr>
      <w:r w:rsidRPr="002932BE">
        <w:rPr>
          <w:szCs w:val="24"/>
        </w:rPr>
        <w:t xml:space="preserve">Item </w:t>
      </w:r>
      <w:r>
        <w:rPr>
          <w:szCs w:val="24"/>
        </w:rPr>
        <w:t>2</w:t>
      </w:r>
      <w:r w:rsidRPr="002932BE">
        <w:rPr>
          <w:szCs w:val="24"/>
        </w:rPr>
        <w:t xml:space="preserve"> insert</w:t>
      </w:r>
      <w:r w:rsidR="00E26F4E">
        <w:rPr>
          <w:szCs w:val="24"/>
        </w:rPr>
        <w:t>s</w:t>
      </w:r>
      <w:r w:rsidRPr="002932BE">
        <w:rPr>
          <w:szCs w:val="24"/>
        </w:rPr>
        <w:t xml:space="preserve"> new table item </w:t>
      </w:r>
      <w:r w:rsidRPr="004671A4">
        <w:rPr>
          <w:szCs w:val="24"/>
        </w:rPr>
        <w:t>53B</w:t>
      </w:r>
      <w:r w:rsidRPr="002932BE">
        <w:rPr>
          <w:szCs w:val="24"/>
        </w:rPr>
        <w:t xml:space="preserve"> into the table at section 12 of the Principal Regulations.</w:t>
      </w:r>
      <w:r>
        <w:rPr>
          <w:szCs w:val="24"/>
        </w:rPr>
        <w:t xml:space="preserve"> </w:t>
      </w:r>
      <w:r w:rsidRPr="002932BE">
        <w:rPr>
          <w:szCs w:val="24"/>
        </w:rPr>
        <w:t xml:space="preserve">New item </w:t>
      </w:r>
      <w:r w:rsidRPr="004671A4">
        <w:rPr>
          <w:szCs w:val="24"/>
        </w:rPr>
        <w:t>53B</w:t>
      </w:r>
      <w:r w:rsidRPr="002932BE">
        <w:rPr>
          <w:szCs w:val="24"/>
        </w:rPr>
        <w:t xml:space="preserve"> provide</w:t>
      </w:r>
      <w:r w:rsidR="00E26F4E">
        <w:rPr>
          <w:szCs w:val="24"/>
        </w:rPr>
        <w:t>s</w:t>
      </w:r>
      <w:r w:rsidRPr="002932BE">
        <w:rPr>
          <w:szCs w:val="24"/>
        </w:rPr>
        <w:t xml:space="preserve"> an exemption from sunsetting for </w:t>
      </w:r>
      <w:r>
        <w:rPr>
          <w:szCs w:val="24"/>
        </w:rPr>
        <w:t xml:space="preserve">a regulation made under the </w:t>
      </w:r>
      <w:r w:rsidRPr="000F7EF6">
        <w:rPr>
          <w:i/>
          <w:color w:val="000000"/>
          <w:szCs w:val="24"/>
        </w:rPr>
        <w:t xml:space="preserve">Public </w:t>
      </w:r>
      <w:r>
        <w:rPr>
          <w:i/>
          <w:color w:val="000000"/>
          <w:szCs w:val="24"/>
        </w:rPr>
        <w:t>Health (Tobacco and Other Products) Act 2023</w:t>
      </w:r>
      <w:r w:rsidRPr="002932BE">
        <w:rPr>
          <w:szCs w:val="24"/>
        </w:rPr>
        <w:t>.</w:t>
      </w:r>
      <w:r>
        <w:rPr>
          <w:szCs w:val="24"/>
        </w:rPr>
        <w:t xml:space="preserve"> The</w:t>
      </w:r>
      <w:r w:rsidRPr="002932BE">
        <w:rPr>
          <w:szCs w:val="24"/>
        </w:rPr>
        <w:t xml:space="preserve"> </w:t>
      </w:r>
      <w:r>
        <w:rPr>
          <w:i/>
          <w:szCs w:val="24"/>
        </w:rPr>
        <w:t>Public Health (Tobacco and Other Products) Regulations 2024</w:t>
      </w:r>
      <w:r w:rsidRPr="002932BE">
        <w:rPr>
          <w:i/>
          <w:szCs w:val="24"/>
        </w:rPr>
        <w:t xml:space="preserve"> </w:t>
      </w:r>
      <w:r w:rsidRPr="002932BE">
        <w:rPr>
          <w:szCs w:val="24"/>
        </w:rPr>
        <w:t>(</w:t>
      </w:r>
      <w:r w:rsidR="00002BB0">
        <w:rPr>
          <w:szCs w:val="24"/>
        </w:rPr>
        <w:t>Tobacco</w:t>
      </w:r>
      <w:r>
        <w:rPr>
          <w:szCs w:val="24"/>
        </w:rPr>
        <w:t xml:space="preserve"> Regulations</w:t>
      </w:r>
      <w:r w:rsidRPr="002932BE">
        <w:rPr>
          <w:szCs w:val="24"/>
        </w:rPr>
        <w:t>)</w:t>
      </w:r>
      <w:r>
        <w:rPr>
          <w:szCs w:val="24"/>
        </w:rPr>
        <w:t xml:space="preserve"> is made under the </w:t>
      </w:r>
      <w:r w:rsidRPr="000F7EF6">
        <w:rPr>
          <w:i/>
          <w:color w:val="000000"/>
          <w:szCs w:val="24"/>
        </w:rPr>
        <w:t xml:space="preserve">Public </w:t>
      </w:r>
      <w:r>
        <w:rPr>
          <w:i/>
          <w:color w:val="000000"/>
          <w:szCs w:val="24"/>
        </w:rPr>
        <w:t>Health (Tobacco and Other Products) Act 2023.</w:t>
      </w:r>
    </w:p>
    <w:p w14:paraId="7AEDF53E" w14:textId="360A4762" w:rsidR="00527773" w:rsidRPr="00234BAF" w:rsidRDefault="00527773" w:rsidP="00527773">
      <w:pPr>
        <w:pStyle w:val="Celltext"/>
        <w:spacing w:after="60" w:line="276" w:lineRule="auto"/>
        <w:rPr>
          <w:rFonts w:eastAsia="Calibri"/>
          <w:szCs w:val="24"/>
        </w:rPr>
      </w:pPr>
      <w:r>
        <w:rPr>
          <w:szCs w:val="24"/>
        </w:rPr>
        <w:t xml:space="preserve">Pursuant to the policy criteria provided for in the Attorney-General’s Department’s </w:t>
      </w:r>
      <w:r w:rsidRPr="00290F9F">
        <w:rPr>
          <w:i/>
          <w:szCs w:val="24"/>
        </w:rPr>
        <w:t>Guide to managing sunsetting of legislative instruments</w:t>
      </w:r>
      <w:r>
        <w:rPr>
          <w:szCs w:val="24"/>
        </w:rPr>
        <w:t xml:space="preserve">, the exemption is appropriate </w:t>
      </w:r>
      <w:r w:rsidRPr="002932BE">
        <w:rPr>
          <w:szCs w:val="24"/>
        </w:rPr>
        <w:t>on the basis that it is</w:t>
      </w:r>
      <w:r>
        <w:rPr>
          <w:szCs w:val="24"/>
        </w:rPr>
        <w:t xml:space="preserve"> designed to be </w:t>
      </w:r>
      <w:r w:rsidRPr="005C0108">
        <w:rPr>
          <w:szCs w:val="24"/>
        </w:rPr>
        <w:t>enduring</w:t>
      </w:r>
      <w:r>
        <w:rPr>
          <w:szCs w:val="24"/>
        </w:rPr>
        <w:t xml:space="preserve"> and not subject to regular review and to ensure commercial certainty is not undermined for stakeholders who make decisions in compliance with the Instrument which are intended to be in effect for a longer period than 10 years. </w:t>
      </w:r>
      <w:r>
        <w:rPr>
          <w:rFonts w:eastAsia="Calibri"/>
          <w:szCs w:val="24"/>
        </w:rPr>
        <w:t>In particular</w:t>
      </w:r>
      <w:r w:rsidRPr="00234BAF">
        <w:rPr>
          <w:rFonts w:eastAsia="Calibri"/>
          <w:szCs w:val="24"/>
        </w:rPr>
        <w:t xml:space="preserve">, </w:t>
      </w:r>
      <w:r>
        <w:rPr>
          <w:rFonts w:eastAsia="Calibri"/>
          <w:szCs w:val="24"/>
        </w:rPr>
        <w:t xml:space="preserve">the </w:t>
      </w:r>
      <w:r w:rsidR="00002BB0">
        <w:rPr>
          <w:rFonts w:eastAsia="Calibri"/>
          <w:szCs w:val="24"/>
        </w:rPr>
        <w:t xml:space="preserve">Tobacco </w:t>
      </w:r>
      <w:r>
        <w:rPr>
          <w:rFonts w:eastAsia="Calibri"/>
          <w:szCs w:val="24"/>
        </w:rPr>
        <w:t>Regulations implement longstanding international obligations under the World Health Organisation Framework Convention on Tobacco Control and are integral to long</w:t>
      </w:r>
      <w:r w:rsidR="00247CA7">
        <w:rPr>
          <w:rFonts w:eastAsia="Calibri"/>
          <w:szCs w:val="24"/>
        </w:rPr>
        <w:noBreakHyphen/>
      </w:r>
      <w:r>
        <w:rPr>
          <w:rFonts w:eastAsia="Calibri"/>
          <w:szCs w:val="24"/>
        </w:rPr>
        <w:t xml:space="preserve">term decision-making by stakeholders. The sunsetting exemption created by the Amendment Regulations is justified on this basis. </w:t>
      </w:r>
    </w:p>
    <w:p w14:paraId="15E632ED" w14:textId="77777777" w:rsidR="00527773" w:rsidRDefault="00527773" w:rsidP="00527773">
      <w:pPr>
        <w:spacing w:after="0"/>
        <w:ind w:right="91"/>
        <w:rPr>
          <w:rFonts w:ascii="Times New Roman" w:eastAsia="Times New Roman" w:hAnsi="Times New Roman" w:cs="Times New Roman"/>
          <w:sz w:val="24"/>
          <w:lang w:eastAsia="en-AU"/>
        </w:rPr>
      </w:pPr>
      <w:r w:rsidRPr="00944340">
        <w:rPr>
          <w:rFonts w:ascii="Times New Roman" w:eastAsia="Times New Roman" w:hAnsi="Times New Roman" w:cs="Times New Roman"/>
          <w:sz w:val="24"/>
          <w:lang w:eastAsia="en-AU"/>
        </w:rPr>
        <w:t xml:space="preserve">   </w:t>
      </w:r>
    </w:p>
    <w:p w14:paraId="3B3C7B0D" w14:textId="77777777" w:rsidR="00527773" w:rsidRDefault="00527773" w:rsidP="00527773">
      <w:pPr>
        <w:keepNext/>
        <w:rPr>
          <w:rFonts w:ascii="Times New Roman" w:eastAsia="Times New Roman" w:hAnsi="Times New Roman" w:cs="Times New Roman"/>
          <w:sz w:val="24"/>
          <w:lang w:eastAsia="en-AU"/>
        </w:rPr>
      </w:pPr>
    </w:p>
    <w:p w14:paraId="1A496A1B" w14:textId="77777777" w:rsidR="00527773" w:rsidRDefault="00527773" w:rsidP="00527773"/>
    <w:p w14:paraId="0D78531F" w14:textId="77777777" w:rsidR="00527773" w:rsidRPr="00C303D4" w:rsidRDefault="00527773" w:rsidP="00527773"/>
    <w:p w14:paraId="5C198069" w14:textId="77777777" w:rsidR="00527773" w:rsidRDefault="00527773" w:rsidP="00527773"/>
    <w:p w14:paraId="5960262B" w14:textId="77777777" w:rsidR="00527773" w:rsidRDefault="00527773"/>
    <w:sectPr w:rsidR="00527773">
      <w:footerReference w:type="defaul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85EF243" w14:textId="77777777" w:rsidR="005375C9" w:rsidRDefault="005375C9">
      <w:pPr>
        <w:spacing w:after="0" w:line="240" w:lineRule="auto"/>
      </w:pPr>
      <w:r>
        <w:separator/>
      </w:r>
    </w:p>
  </w:endnote>
  <w:endnote w:type="continuationSeparator" w:id="0">
    <w:p w14:paraId="3D8479A6" w14:textId="77777777" w:rsidR="005375C9" w:rsidRDefault="005375C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604314554"/>
      <w:docPartObj>
        <w:docPartGallery w:val="Page Numbers (Bottom of Page)"/>
        <w:docPartUnique/>
      </w:docPartObj>
    </w:sdtPr>
    <w:sdtEndPr>
      <w:rPr>
        <w:noProof/>
      </w:rPr>
    </w:sdtEndPr>
    <w:sdtContent>
      <w:p w14:paraId="2F1E2AD9" w14:textId="77777777" w:rsidR="0002636A" w:rsidRDefault="00527773">
        <w:pPr>
          <w:pStyle w:val="Footer"/>
          <w:jc w:val="right"/>
        </w:pPr>
        <w:r>
          <w:fldChar w:fldCharType="begin"/>
        </w:r>
        <w:r>
          <w:instrText xml:space="preserve"> PAGE   \* MERGEFORMAT </w:instrText>
        </w:r>
        <w:r>
          <w:fldChar w:fldCharType="separate"/>
        </w:r>
        <w:r>
          <w:rPr>
            <w:noProof/>
          </w:rPr>
          <w:t>1</w:t>
        </w:r>
        <w:r>
          <w:rPr>
            <w:noProof/>
          </w:rPr>
          <w:fldChar w:fldCharType="end"/>
        </w:r>
      </w:p>
    </w:sdtContent>
  </w:sdt>
  <w:p w14:paraId="335E9D60" w14:textId="77777777" w:rsidR="0002636A" w:rsidRDefault="005375C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3A64CE7" w14:textId="77777777" w:rsidR="005375C9" w:rsidRDefault="005375C9">
      <w:pPr>
        <w:spacing w:after="0" w:line="240" w:lineRule="auto"/>
      </w:pPr>
      <w:r>
        <w:separator/>
      </w:r>
    </w:p>
  </w:footnote>
  <w:footnote w:type="continuationSeparator" w:id="0">
    <w:p w14:paraId="561A6EBA" w14:textId="77777777" w:rsidR="005375C9" w:rsidRDefault="005375C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70D02A7"/>
    <w:multiLevelType w:val="hybridMultilevel"/>
    <w:tmpl w:val="CFF0BB0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7915002F"/>
    <w:multiLevelType w:val="hybridMultilevel"/>
    <w:tmpl w:val="7E9E054E"/>
    <w:lvl w:ilvl="0" w:tplc="434E8B22">
      <w:start w:val="1"/>
      <w:numFmt w:val="bullet"/>
      <w:lvlText w:val=""/>
      <w:lvlJc w:val="left"/>
      <w:pPr>
        <w:ind w:left="720" w:hanging="360"/>
      </w:pPr>
      <w:rPr>
        <w:rFonts w:ascii="Symbol" w:hAnsi="Symbol" w:hint="default"/>
      </w:rPr>
    </w:lvl>
    <w:lvl w:ilvl="1" w:tplc="15000F1A" w:tentative="1">
      <w:start w:val="1"/>
      <w:numFmt w:val="bullet"/>
      <w:lvlText w:val="o"/>
      <w:lvlJc w:val="left"/>
      <w:pPr>
        <w:ind w:left="1440" w:hanging="360"/>
      </w:pPr>
      <w:rPr>
        <w:rFonts w:ascii="Courier New" w:hAnsi="Courier New" w:cs="Courier New" w:hint="default"/>
      </w:rPr>
    </w:lvl>
    <w:lvl w:ilvl="2" w:tplc="9360520A" w:tentative="1">
      <w:start w:val="1"/>
      <w:numFmt w:val="bullet"/>
      <w:lvlText w:val=""/>
      <w:lvlJc w:val="left"/>
      <w:pPr>
        <w:ind w:left="2160" w:hanging="360"/>
      </w:pPr>
      <w:rPr>
        <w:rFonts w:ascii="Wingdings" w:hAnsi="Wingdings" w:hint="default"/>
      </w:rPr>
    </w:lvl>
    <w:lvl w:ilvl="3" w:tplc="DDD6D534" w:tentative="1">
      <w:start w:val="1"/>
      <w:numFmt w:val="bullet"/>
      <w:lvlText w:val=""/>
      <w:lvlJc w:val="left"/>
      <w:pPr>
        <w:ind w:left="2880" w:hanging="360"/>
      </w:pPr>
      <w:rPr>
        <w:rFonts w:ascii="Symbol" w:hAnsi="Symbol" w:hint="default"/>
      </w:rPr>
    </w:lvl>
    <w:lvl w:ilvl="4" w:tplc="C884E716" w:tentative="1">
      <w:start w:val="1"/>
      <w:numFmt w:val="bullet"/>
      <w:lvlText w:val="o"/>
      <w:lvlJc w:val="left"/>
      <w:pPr>
        <w:ind w:left="3600" w:hanging="360"/>
      </w:pPr>
      <w:rPr>
        <w:rFonts w:ascii="Courier New" w:hAnsi="Courier New" w:cs="Courier New" w:hint="default"/>
      </w:rPr>
    </w:lvl>
    <w:lvl w:ilvl="5" w:tplc="D9842880" w:tentative="1">
      <w:start w:val="1"/>
      <w:numFmt w:val="bullet"/>
      <w:lvlText w:val=""/>
      <w:lvlJc w:val="left"/>
      <w:pPr>
        <w:ind w:left="4320" w:hanging="360"/>
      </w:pPr>
      <w:rPr>
        <w:rFonts w:ascii="Wingdings" w:hAnsi="Wingdings" w:hint="default"/>
      </w:rPr>
    </w:lvl>
    <w:lvl w:ilvl="6" w:tplc="18F23DE4" w:tentative="1">
      <w:start w:val="1"/>
      <w:numFmt w:val="bullet"/>
      <w:lvlText w:val=""/>
      <w:lvlJc w:val="left"/>
      <w:pPr>
        <w:ind w:left="5040" w:hanging="360"/>
      </w:pPr>
      <w:rPr>
        <w:rFonts w:ascii="Symbol" w:hAnsi="Symbol" w:hint="default"/>
      </w:rPr>
    </w:lvl>
    <w:lvl w:ilvl="7" w:tplc="CAD86AC4" w:tentative="1">
      <w:start w:val="1"/>
      <w:numFmt w:val="bullet"/>
      <w:lvlText w:val="o"/>
      <w:lvlJc w:val="left"/>
      <w:pPr>
        <w:ind w:left="5760" w:hanging="360"/>
      </w:pPr>
      <w:rPr>
        <w:rFonts w:ascii="Courier New" w:hAnsi="Courier New" w:cs="Courier New" w:hint="default"/>
      </w:rPr>
    </w:lvl>
    <w:lvl w:ilvl="8" w:tplc="4D4CF60A"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7773"/>
    <w:rsid w:val="00002BB0"/>
    <w:rsid w:val="00004E8D"/>
    <w:rsid w:val="000706FE"/>
    <w:rsid w:val="000747A8"/>
    <w:rsid w:val="000E730B"/>
    <w:rsid w:val="00247CA7"/>
    <w:rsid w:val="003610EC"/>
    <w:rsid w:val="003C6254"/>
    <w:rsid w:val="00527773"/>
    <w:rsid w:val="005375C9"/>
    <w:rsid w:val="005C4405"/>
    <w:rsid w:val="008C1C0A"/>
    <w:rsid w:val="00991EFB"/>
    <w:rsid w:val="00AE6FE8"/>
    <w:rsid w:val="00B47EB9"/>
    <w:rsid w:val="00D013CF"/>
    <w:rsid w:val="00D62CBB"/>
    <w:rsid w:val="00E20066"/>
    <w:rsid w:val="00E26F4E"/>
    <w:rsid w:val="00EB34A7"/>
    <w:rsid w:val="00F0503E"/>
    <w:rsid w:val="00F4690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F3717F"/>
  <w15:chartTrackingRefBased/>
  <w15:docId w15:val="{575A05E1-6193-4BDF-9DD3-332078E652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27773"/>
    <w:pPr>
      <w:spacing w:after="200" w:line="276" w:lineRule="auto"/>
    </w:pPr>
  </w:style>
  <w:style w:type="paragraph" w:styleId="Heading1">
    <w:name w:val="heading 1"/>
    <w:basedOn w:val="Normal"/>
    <w:next w:val="Normal"/>
    <w:link w:val="Heading1Char"/>
    <w:uiPriority w:val="9"/>
    <w:qFormat/>
    <w:rsid w:val="00527773"/>
    <w:pPr>
      <w:keepNext/>
      <w:spacing w:before="240" w:after="60"/>
      <w:outlineLvl w:val="0"/>
    </w:pPr>
    <w:rPr>
      <w:rFonts w:ascii="Cambria" w:eastAsia="Times New Roman" w:hAnsi="Cambria" w:cs="Times New Roman"/>
      <w:bCs/>
      <w:cap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27773"/>
    <w:rPr>
      <w:rFonts w:ascii="Cambria" w:eastAsia="Times New Roman" w:hAnsi="Cambria" w:cs="Times New Roman"/>
      <w:bCs/>
      <w:caps/>
      <w:kern w:val="32"/>
      <w:sz w:val="32"/>
      <w:szCs w:val="32"/>
    </w:rPr>
  </w:style>
  <w:style w:type="paragraph" w:customStyle="1" w:styleId="Basetext">
    <w:name w:val="Base text"/>
    <w:basedOn w:val="Normal"/>
    <w:link w:val="BasetextChar"/>
    <w:qFormat/>
    <w:rsid w:val="00527773"/>
    <w:pPr>
      <w:widowControl w:val="0"/>
      <w:spacing w:before="180" w:after="0"/>
    </w:pPr>
    <w:rPr>
      <w:rFonts w:ascii="Times New Roman" w:eastAsia="Times New Roman" w:hAnsi="Times New Roman" w:cs="Times New Roman"/>
      <w:snapToGrid w:val="0"/>
    </w:rPr>
  </w:style>
  <w:style w:type="character" w:customStyle="1" w:styleId="BasetextChar">
    <w:name w:val="Base text Char"/>
    <w:basedOn w:val="DefaultParagraphFont"/>
    <w:link w:val="Basetext"/>
    <w:rsid w:val="00527773"/>
    <w:rPr>
      <w:rFonts w:ascii="Times New Roman" w:eastAsia="Times New Roman" w:hAnsi="Times New Roman" w:cs="Times New Roman"/>
      <w:snapToGrid w:val="0"/>
    </w:rPr>
  </w:style>
  <w:style w:type="paragraph" w:styleId="Footer">
    <w:name w:val="footer"/>
    <w:basedOn w:val="Normal"/>
    <w:link w:val="FooterChar"/>
    <w:uiPriority w:val="99"/>
    <w:unhideWhenUsed/>
    <w:rsid w:val="00527773"/>
    <w:pPr>
      <w:tabs>
        <w:tab w:val="center" w:pos="4513"/>
        <w:tab w:val="right" w:pos="9026"/>
      </w:tabs>
      <w:spacing w:after="0" w:line="240" w:lineRule="auto"/>
    </w:pPr>
  </w:style>
  <w:style w:type="character" w:customStyle="1" w:styleId="FooterChar">
    <w:name w:val="Footer Char"/>
    <w:basedOn w:val="DefaultParagraphFont"/>
    <w:link w:val="Footer"/>
    <w:uiPriority w:val="99"/>
    <w:rsid w:val="00527773"/>
  </w:style>
  <w:style w:type="paragraph" w:customStyle="1" w:styleId="Paragraph">
    <w:name w:val="Paragraph"/>
    <w:basedOn w:val="Normal"/>
    <w:link w:val="ParagraphChar"/>
    <w:rsid w:val="00527773"/>
    <w:pPr>
      <w:numPr>
        <w:ilvl w:val="12"/>
      </w:numPr>
      <w:spacing w:before="240" w:after="0" w:line="240" w:lineRule="auto"/>
    </w:pPr>
    <w:rPr>
      <w:rFonts w:ascii="Times New Roman" w:eastAsia="Times New Roman" w:hAnsi="Times New Roman" w:cs="Times New Roman"/>
      <w:sz w:val="24"/>
      <w:szCs w:val="20"/>
      <w:lang w:eastAsia="en-AU"/>
    </w:rPr>
  </w:style>
  <w:style w:type="character" w:styleId="Hyperlink">
    <w:name w:val="Hyperlink"/>
    <w:basedOn w:val="DefaultParagraphFont"/>
    <w:uiPriority w:val="99"/>
    <w:unhideWhenUsed/>
    <w:rsid w:val="00527773"/>
    <w:rPr>
      <w:color w:val="0000FF"/>
      <w:u w:val="single"/>
    </w:rPr>
  </w:style>
  <w:style w:type="paragraph" w:styleId="NoSpacing">
    <w:name w:val="No Spacing"/>
    <w:uiPriority w:val="1"/>
    <w:qFormat/>
    <w:rsid w:val="00527773"/>
    <w:pPr>
      <w:spacing w:after="0" w:line="240" w:lineRule="auto"/>
    </w:pPr>
  </w:style>
  <w:style w:type="character" w:customStyle="1" w:styleId="ParagraphChar">
    <w:name w:val="Paragraph Char"/>
    <w:link w:val="Paragraph"/>
    <w:locked/>
    <w:rsid w:val="00527773"/>
    <w:rPr>
      <w:rFonts w:ascii="Times New Roman" w:eastAsia="Times New Roman" w:hAnsi="Times New Roman" w:cs="Times New Roman"/>
      <w:sz w:val="24"/>
      <w:szCs w:val="20"/>
      <w:lang w:eastAsia="en-AU"/>
    </w:rPr>
  </w:style>
  <w:style w:type="paragraph" w:customStyle="1" w:styleId="Body">
    <w:name w:val="Body"/>
    <w:aliases w:val="b"/>
    <w:basedOn w:val="Normal"/>
    <w:rsid w:val="00527773"/>
    <w:pPr>
      <w:spacing w:before="240" w:after="0" w:line="240" w:lineRule="auto"/>
    </w:pPr>
    <w:rPr>
      <w:rFonts w:ascii="Times New Roman" w:eastAsia="Times New Roman" w:hAnsi="Times New Roman" w:cs="Times New Roman"/>
      <w:sz w:val="24"/>
      <w:szCs w:val="20"/>
      <w:lang w:eastAsia="en-AU"/>
    </w:rPr>
  </w:style>
  <w:style w:type="character" w:styleId="CommentReference">
    <w:name w:val="annotation reference"/>
    <w:basedOn w:val="DefaultParagraphFont"/>
    <w:uiPriority w:val="99"/>
    <w:semiHidden/>
    <w:unhideWhenUsed/>
    <w:rsid w:val="00527773"/>
    <w:rPr>
      <w:sz w:val="16"/>
      <w:szCs w:val="16"/>
    </w:rPr>
  </w:style>
  <w:style w:type="paragraph" w:styleId="CommentText">
    <w:name w:val="annotation text"/>
    <w:basedOn w:val="Normal"/>
    <w:link w:val="CommentTextChar"/>
    <w:uiPriority w:val="99"/>
    <w:semiHidden/>
    <w:unhideWhenUsed/>
    <w:rsid w:val="00527773"/>
    <w:pPr>
      <w:spacing w:line="240" w:lineRule="auto"/>
    </w:pPr>
    <w:rPr>
      <w:sz w:val="20"/>
      <w:szCs w:val="20"/>
    </w:rPr>
  </w:style>
  <w:style w:type="character" w:customStyle="1" w:styleId="CommentTextChar">
    <w:name w:val="Comment Text Char"/>
    <w:basedOn w:val="DefaultParagraphFont"/>
    <w:link w:val="CommentText"/>
    <w:uiPriority w:val="99"/>
    <w:semiHidden/>
    <w:rsid w:val="00527773"/>
    <w:rPr>
      <w:sz w:val="20"/>
      <w:szCs w:val="20"/>
    </w:rPr>
  </w:style>
  <w:style w:type="paragraph" w:customStyle="1" w:styleId="Celltext">
    <w:name w:val="Cell text"/>
    <w:basedOn w:val="Normal"/>
    <w:rsid w:val="00527773"/>
    <w:pPr>
      <w:spacing w:before="120" w:after="0" w:line="240" w:lineRule="auto"/>
    </w:pPr>
    <w:rPr>
      <w:rFonts w:ascii="Times New Roman" w:eastAsia="Times New Roman" w:hAnsi="Times New Roman" w:cs="Times New Roman"/>
      <w:sz w:val="24"/>
      <w:szCs w:val="20"/>
      <w:lang w:eastAsia="en-AU"/>
    </w:rPr>
  </w:style>
  <w:style w:type="paragraph" w:styleId="BalloonText">
    <w:name w:val="Balloon Text"/>
    <w:basedOn w:val="Normal"/>
    <w:link w:val="BalloonTextChar"/>
    <w:uiPriority w:val="99"/>
    <w:semiHidden/>
    <w:unhideWhenUsed/>
    <w:rsid w:val="0052777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27773"/>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AE6FE8"/>
    <w:rPr>
      <w:b/>
      <w:bCs/>
    </w:rPr>
  </w:style>
  <w:style w:type="character" w:customStyle="1" w:styleId="CommentSubjectChar">
    <w:name w:val="Comment Subject Char"/>
    <w:basedOn w:val="CommentTextChar"/>
    <w:link w:val="CommentSubject"/>
    <w:uiPriority w:val="99"/>
    <w:semiHidden/>
    <w:rsid w:val="00AE6FE8"/>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PDMS Document" ma:contentTypeID="0x010100266966F133664895A6EE3632470D45F5008A747647606F56479E0F6C70F4543318" ma:contentTypeVersion="" ma:contentTypeDescription="PDMS Document Site Content Type" ma:contentTypeScope="" ma:versionID="79ac74212b00d2ab469381a6b34dc7d9">
  <xsd:schema xmlns:xsd="http://www.w3.org/2001/XMLSchema" xmlns:xs="http://www.w3.org/2001/XMLSchema" xmlns:p="http://schemas.microsoft.com/office/2006/metadata/properties" xmlns:ns2="993A9DF5-1950-406A-AFEE-E3931BE59F9E" targetNamespace="http://schemas.microsoft.com/office/2006/metadata/properties" ma:root="true" ma:fieldsID="8f18679b09edc48281876f39528f1a02" ns2:_="">
    <xsd:import namespace="993A9DF5-1950-406A-AFEE-E3931BE59F9E"/>
    <xsd:element name="properties">
      <xsd:complexType>
        <xsd:sequence>
          <xsd:element name="documentManagement">
            <xsd:complexType>
              <xsd:all>
                <xsd:element ref="ns2:SecurityClassifi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93A9DF5-1950-406A-AFEE-E3931BE59F9E" elementFormDefault="qualified">
    <xsd:import namespace="http://schemas.microsoft.com/office/2006/documentManagement/types"/>
    <xsd:import namespace="http://schemas.microsoft.com/office/infopath/2007/PartnerControls"/>
    <xsd:element name="SecurityClassification" ma:index="8" nillable="true" ma:displayName="Security Classification" ma:hidden="true" ma:internalName="SecurityClassification">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SecurityClassification xmlns="993A9DF5-1950-406A-AFEE-E3931BE59F9E" xsi:nil="true"/>
  </documentManagement>
</p:properties>
</file>

<file path=customXml/itemProps1.xml><?xml version="1.0" encoding="utf-8"?>
<ds:datastoreItem xmlns:ds="http://schemas.openxmlformats.org/officeDocument/2006/customXml" ds:itemID="{B1A126EC-7CCF-4973-B16F-5A931E2969B1}">
  <ds:schemaRefs>
    <ds:schemaRef ds:uri="http://schemas.microsoft.com/sharepoint/v3/contenttype/forms"/>
  </ds:schemaRefs>
</ds:datastoreItem>
</file>

<file path=customXml/itemProps2.xml><?xml version="1.0" encoding="utf-8"?>
<ds:datastoreItem xmlns:ds="http://schemas.openxmlformats.org/officeDocument/2006/customXml" ds:itemID="{89F83B07-6D7D-4F42-A275-3B0AADF3556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93A9DF5-1950-406A-AFEE-E3931BE59F9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96E6F75-A350-4281-9F21-42C8F4B1DD30}">
  <ds:schemaRefs>
    <ds:schemaRef ds:uri="http://schemas.microsoft.com/office/2006/metadata/properties"/>
    <ds:schemaRef ds:uri="http://schemas.microsoft.com/office/infopath/2007/PartnerControls"/>
    <ds:schemaRef ds:uri="993A9DF5-1950-406A-AFEE-E3931BE59F9E"/>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3624</Words>
  <Characters>20662</Characters>
  <Application>Microsoft Office Word</Application>
  <DocSecurity>0</DocSecurity>
  <Lines>172</Lines>
  <Paragraphs>48</Paragraphs>
  <ScaleCrop>false</ScaleCrop>
  <HeadingPairs>
    <vt:vector size="2" baseType="variant">
      <vt:variant>
        <vt:lpstr>Title</vt:lpstr>
      </vt:variant>
      <vt:variant>
        <vt:i4>1</vt:i4>
      </vt:variant>
    </vt:vector>
  </HeadingPairs>
  <TitlesOfParts>
    <vt:vector size="1" baseType="lpstr">
      <vt:lpstr/>
    </vt:vector>
  </TitlesOfParts>
  <Company>Attorney-General's Department</Company>
  <LinksUpToDate>false</LinksUpToDate>
  <CharactersWithSpaces>24238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Kaur, Arshdeep</dc:creator>
  <cp:keywords/>
  <dc:description/>
  <cp:lastModifiedBy>Kaur, Arshdeep</cp:lastModifiedBy>
  <cp:revision>2</cp:revision>
  <dcterms:created xsi:type="dcterms:W3CDTF">2024-11-25T03:17:00Z</dcterms:created>
  <dcterms:modified xsi:type="dcterms:W3CDTF">2024-11-25T03:17:00Z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0x010100266966F133664895A6EE3632470D45F5008A747647606F56479E0F6C70F4543318</vt:lpwstr>
  </property>
</Properties>
</file>