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85D0" w14:textId="77777777" w:rsidR="00715914" w:rsidRPr="00C23563" w:rsidRDefault="00DA186E" w:rsidP="00715914">
      <w:pPr>
        <w:rPr>
          <w:rFonts w:cs="Times New Roman"/>
          <w:sz w:val="28"/>
        </w:rPr>
      </w:pPr>
      <w:r w:rsidRPr="00C23563">
        <w:rPr>
          <w:rFonts w:cs="Times New Roman"/>
          <w:noProof/>
          <w:lang w:eastAsia="en-AU"/>
        </w:rPr>
        <w:drawing>
          <wp:inline distT="0" distB="0" distL="0" distR="0" wp14:anchorId="3EA256D3" wp14:editId="551979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5C53" w14:textId="77777777" w:rsidR="00715914" w:rsidRPr="00C23563" w:rsidRDefault="00715914" w:rsidP="00715914">
      <w:pPr>
        <w:rPr>
          <w:rFonts w:cs="Times New Roman"/>
          <w:sz w:val="19"/>
        </w:rPr>
      </w:pPr>
    </w:p>
    <w:p w14:paraId="16B694E0" w14:textId="59B45B97" w:rsidR="00554826" w:rsidRPr="00C23563" w:rsidRDefault="006D11FF" w:rsidP="00554826">
      <w:pPr>
        <w:pStyle w:val="ShortT"/>
      </w:pPr>
      <w:r w:rsidRPr="00C23563">
        <w:t>Eastern Tuna and Billfish Fishery</w:t>
      </w:r>
      <w:r w:rsidR="00554826" w:rsidRPr="00C23563">
        <w:t xml:space="preserve"> </w:t>
      </w:r>
      <w:r w:rsidRPr="00C23563">
        <w:t>(</w:t>
      </w:r>
      <w:r w:rsidR="00A32D25">
        <w:t>Overcatch and Undercatch</w:t>
      </w:r>
      <w:r w:rsidRPr="00C23563">
        <w:t>) Determination</w:t>
      </w:r>
      <w:r w:rsidR="00931D19">
        <w:t xml:space="preserve"> </w:t>
      </w:r>
      <w:r w:rsidR="001E519E">
        <w:t>(</w:t>
      </w:r>
      <w:r w:rsidR="00931D19">
        <w:t>No</w:t>
      </w:r>
      <w:r w:rsidR="001E519E">
        <w:t>.</w:t>
      </w:r>
      <w:r w:rsidR="00931D19">
        <w:t xml:space="preserve"> 2</w:t>
      </w:r>
      <w:r w:rsidR="001E519E">
        <w:t>)</w:t>
      </w:r>
      <w:r w:rsidRPr="00C23563">
        <w:t xml:space="preserve"> 202</w:t>
      </w:r>
      <w:r w:rsidR="00A32D25">
        <w:t>4</w:t>
      </w:r>
    </w:p>
    <w:p w14:paraId="757A1C1B" w14:textId="07A9D59E" w:rsidR="00554826" w:rsidRPr="00C23563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7184B087" w14:textId="37A6B4CE" w:rsidR="00CA3BB3" w:rsidRPr="00C23563" w:rsidRDefault="00990F5E" w:rsidP="00CA3BB3">
      <w:pPr>
        <w:rPr>
          <w:rFonts w:cs="Times New Roman"/>
          <w:szCs w:val="22"/>
        </w:rPr>
      </w:pPr>
      <w:r w:rsidRPr="00C23563">
        <w:rPr>
          <w:rFonts w:cs="Times New Roman"/>
          <w:lang w:eastAsia="en-AU"/>
        </w:rPr>
        <w:t xml:space="preserve">The </w:t>
      </w:r>
      <w:r w:rsidR="00377421" w:rsidRPr="00C23563">
        <w:rPr>
          <w:rFonts w:cs="Times New Roman"/>
          <w:lang w:eastAsia="en-AU"/>
        </w:rPr>
        <w:t>Australian</w:t>
      </w:r>
      <w:r w:rsidRPr="00C23563">
        <w:rPr>
          <w:rFonts w:cs="Times New Roman"/>
          <w:lang w:eastAsia="en-AU"/>
        </w:rPr>
        <w:t xml:space="preserve"> </w:t>
      </w:r>
      <w:r w:rsidR="00377421" w:rsidRPr="00C23563">
        <w:rPr>
          <w:rFonts w:cs="Times New Roman"/>
          <w:lang w:eastAsia="en-AU"/>
        </w:rPr>
        <w:t>Fisheries</w:t>
      </w:r>
      <w:r w:rsidRPr="00C23563">
        <w:rPr>
          <w:rFonts w:cs="Times New Roman"/>
          <w:lang w:eastAsia="en-AU"/>
        </w:rPr>
        <w:t xml:space="preserve"> Management Authority makes the following determination</w:t>
      </w:r>
      <w:r w:rsidR="003268F5" w:rsidRPr="00C23563">
        <w:rPr>
          <w:rFonts w:cs="Times New Roman"/>
          <w:lang w:eastAsia="en-AU"/>
        </w:rPr>
        <w:t>.</w:t>
      </w:r>
      <w:r w:rsidRPr="00C23563">
        <w:rPr>
          <w:rFonts w:cs="Times New Roman"/>
          <w:lang w:eastAsia="en-AU"/>
        </w:rPr>
        <w:t xml:space="preserve"> </w:t>
      </w:r>
    </w:p>
    <w:p w14:paraId="5A087F5A" w14:textId="77777777" w:rsidR="00CA3BB3" w:rsidRPr="00C23563" w:rsidRDefault="00CA3BB3" w:rsidP="00CA3BB3">
      <w:pPr>
        <w:rPr>
          <w:rFonts w:cs="Times New Roman"/>
          <w:szCs w:val="22"/>
        </w:rPr>
      </w:pPr>
    </w:p>
    <w:p w14:paraId="1E280E5C" w14:textId="77777777" w:rsidR="005C5051" w:rsidRPr="00C23563" w:rsidRDefault="005C5051" w:rsidP="009D70F8">
      <w:pPr>
        <w:rPr>
          <w:rFonts w:cs="Times New Roman"/>
          <w:szCs w:val="22"/>
        </w:rPr>
      </w:pPr>
    </w:p>
    <w:p w14:paraId="6322DC1B" w14:textId="77777777" w:rsidR="005C5051" w:rsidRPr="00C23563" w:rsidRDefault="005C5051" w:rsidP="009D70F8">
      <w:pPr>
        <w:rPr>
          <w:rFonts w:cs="Times New Roman"/>
          <w:szCs w:val="22"/>
        </w:rPr>
      </w:pPr>
    </w:p>
    <w:p w14:paraId="0CF4707D" w14:textId="1EF3D7F3" w:rsidR="009D70F8" w:rsidRPr="00C23563" w:rsidRDefault="00554826" w:rsidP="009D70F8">
      <w:pPr>
        <w:rPr>
          <w:rFonts w:cs="Times New Roman"/>
          <w:lang w:eastAsia="en-AU"/>
        </w:rPr>
      </w:pPr>
      <w:r w:rsidRPr="00C23563">
        <w:rPr>
          <w:rFonts w:cs="Times New Roman"/>
          <w:szCs w:val="22"/>
        </w:rPr>
        <w:t>Dated</w:t>
      </w:r>
      <w:r w:rsidR="00222957">
        <w:rPr>
          <w:rFonts w:cs="Times New Roman"/>
          <w:szCs w:val="22"/>
        </w:rPr>
        <w:t xml:space="preserve"> 13 </w:t>
      </w:r>
      <w:r w:rsidR="00BF767A" w:rsidRPr="00C23563">
        <w:rPr>
          <w:rFonts w:cs="Times New Roman"/>
          <w:szCs w:val="22"/>
        </w:rPr>
        <w:t>November 20</w:t>
      </w:r>
      <w:r w:rsidR="00CA3BB3" w:rsidRPr="00C23563">
        <w:rPr>
          <w:rFonts w:cs="Times New Roman"/>
          <w:szCs w:val="22"/>
        </w:rPr>
        <w:t>24</w:t>
      </w:r>
    </w:p>
    <w:p w14:paraId="3083DE66" w14:textId="77777777" w:rsidR="00554826" w:rsidRPr="00C23563" w:rsidRDefault="00554826" w:rsidP="00554826">
      <w:pPr>
        <w:rPr>
          <w:rFonts w:cs="Times New Roman"/>
        </w:rPr>
      </w:pPr>
    </w:p>
    <w:tbl>
      <w:tblPr>
        <w:tblpPr w:leftFromText="180" w:rightFromText="180" w:vertAnchor="text" w:horzAnchor="margin" w:tblpY="98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A75C28" w:rsidRPr="00C23563" w14:paraId="129C2F33" w14:textId="77777777" w:rsidTr="00A75C28">
        <w:tc>
          <w:tcPr>
            <w:tcW w:w="1665" w:type="pct"/>
            <w:shd w:val="clear" w:color="auto" w:fill="auto"/>
          </w:tcPr>
          <w:p w14:paraId="7022EB9E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06B6033D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0FA6F1F0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A75C28" w:rsidRPr="00C23563" w14:paraId="798415DD" w14:textId="77777777" w:rsidTr="00A75C28">
        <w:tc>
          <w:tcPr>
            <w:tcW w:w="1665" w:type="pct"/>
            <w:shd w:val="clear" w:color="auto" w:fill="auto"/>
          </w:tcPr>
          <w:p w14:paraId="0CCB750C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745605B4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2325BB03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9B18FC" w:rsidRPr="00C23563" w14:paraId="03877257" w14:textId="77777777" w:rsidTr="00A75C28">
        <w:tc>
          <w:tcPr>
            <w:tcW w:w="1665" w:type="pct"/>
            <w:shd w:val="clear" w:color="auto" w:fill="auto"/>
          </w:tcPr>
          <w:p w14:paraId="5B47ACD4" w14:textId="77777777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67BE306F" w14:textId="107789EC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</w:tcPr>
          <w:p w14:paraId="0654EFFD" w14:textId="77777777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9B18FC" w:rsidRPr="00C23563" w14:paraId="3E4C9456" w14:textId="77777777" w:rsidTr="00A75C28">
        <w:tc>
          <w:tcPr>
            <w:tcW w:w="1665" w:type="pct"/>
            <w:shd w:val="clear" w:color="auto" w:fill="auto"/>
          </w:tcPr>
          <w:p w14:paraId="7E3A1445" w14:textId="77777777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1528A2C4" w14:textId="035E43CD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52F8EAE1" w14:textId="77777777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  <w:p w14:paraId="3257A3FD" w14:textId="77777777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673AEA1D" w14:textId="77777777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5A344622" w14:textId="77777777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227359E6" w14:textId="77777777" w:rsidR="009B18FC" w:rsidRPr="00C23563" w:rsidRDefault="009B18FC" w:rsidP="009B18F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A75C28" w:rsidRPr="00C23563" w14:paraId="0D900A3B" w14:textId="77777777" w:rsidTr="00A75C28">
        <w:tc>
          <w:tcPr>
            <w:tcW w:w="1665" w:type="pct"/>
            <w:shd w:val="clear" w:color="auto" w:fill="auto"/>
          </w:tcPr>
          <w:p w14:paraId="1AE38189" w14:textId="5551CB4A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24ED1387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3612E2B5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A75C28" w:rsidRPr="00C23563" w14:paraId="6D4D4CAA" w14:textId="77777777" w:rsidTr="00A75C28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69E5300E" w14:textId="3DF0BC03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187172E3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3513439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4DF7B9FC" w14:textId="77777777" w:rsidR="00554826" w:rsidRPr="00C23563" w:rsidRDefault="00554826" w:rsidP="00554826">
      <w:pPr>
        <w:rPr>
          <w:rFonts w:cs="Times New Roman"/>
        </w:rPr>
      </w:pPr>
    </w:p>
    <w:p w14:paraId="33A6C49A" w14:textId="77777777" w:rsidR="00F6696E" w:rsidRPr="00C23563" w:rsidRDefault="00F6696E" w:rsidP="00F6696E">
      <w:pPr>
        <w:rPr>
          <w:rFonts w:cs="Times New Roman"/>
        </w:rPr>
      </w:pPr>
    </w:p>
    <w:p w14:paraId="1FD1096F" w14:textId="77777777" w:rsidR="00F6696E" w:rsidRPr="00C23563" w:rsidRDefault="00F6696E" w:rsidP="00F6696E">
      <w:pPr>
        <w:rPr>
          <w:rFonts w:cs="Times New Roman"/>
        </w:rPr>
        <w:sectPr w:rsidR="00F6696E" w:rsidRPr="00C23563" w:rsidSect="00D80F2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37" w:footer="989" w:gutter="0"/>
          <w:pgNumType w:start="1"/>
          <w:cols w:space="708"/>
          <w:titlePg/>
          <w:docGrid w:linePitch="360"/>
        </w:sectPr>
      </w:pPr>
    </w:p>
    <w:p w14:paraId="3163B7B9" w14:textId="77777777" w:rsidR="007500C8" w:rsidRPr="00C23563" w:rsidRDefault="00715914" w:rsidP="00715914">
      <w:pPr>
        <w:outlineLvl w:val="0"/>
        <w:rPr>
          <w:rFonts w:cs="Times New Roman"/>
          <w:sz w:val="36"/>
        </w:rPr>
      </w:pPr>
      <w:r w:rsidRPr="00C23563">
        <w:rPr>
          <w:rFonts w:cs="Times New Roman"/>
          <w:sz w:val="36"/>
        </w:rPr>
        <w:lastRenderedPageBreak/>
        <w:t>Contents</w:t>
      </w:r>
    </w:p>
    <w:p w14:paraId="21521A5F" w14:textId="109E07C0" w:rsidR="00DD325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3563">
        <w:fldChar w:fldCharType="begin"/>
      </w:r>
      <w:r w:rsidRPr="00C23563">
        <w:instrText xml:space="preserve"> TOC \o "1-9" </w:instrText>
      </w:r>
      <w:r w:rsidRPr="00C23563">
        <w:fldChar w:fldCharType="separate"/>
      </w:r>
      <w:r w:rsidR="00DD325B">
        <w:rPr>
          <w:noProof/>
        </w:rPr>
        <w:t>1  Name</w:t>
      </w:r>
      <w:r w:rsidR="00DD325B">
        <w:rPr>
          <w:noProof/>
        </w:rPr>
        <w:tab/>
      </w:r>
      <w:r w:rsidR="00DD325B">
        <w:rPr>
          <w:noProof/>
        </w:rPr>
        <w:fldChar w:fldCharType="begin"/>
      </w:r>
      <w:r w:rsidR="00DD325B">
        <w:rPr>
          <w:noProof/>
        </w:rPr>
        <w:instrText xml:space="preserve"> PAGEREF _Toc179986888 \h </w:instrText>
      </w:r>
      <w:r w:rsidR="00DD325B">
        <w:rPr>
          <w:noProof/>
        </w:rPr>
      </w:r>
      <w:r w:rsidR="00DD325B">
        <w:rPr>
          <w:noProof/>
        </w:rPr>
        <w:fldChar w:fldCharType="separate"/>
      </w:r>
      <w:r w:rsidR="00246E27">
        <w:rPr>
          <w:noProof/>
        </w:rPr>
        <w:t>1</w:t>
      </w:r>
      <w:r w:rsidR="00DD325B">
        <w:rPr>
          <w:noProof/>
        </w:rPr>
        <w:fldChar w:fldCharType="end"/>
      </w:r>
    </w:p>
    <w:p w14:paraId="65CA8534" w14:textId="1354DFFC" w:rsidR="00DD325B" w:rsidRDefault="00DD32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_Toc179986889 \h </w:instrText>
      </w:r>
      <w:r>
        <w:rPr>
          <w:noProof/>
        </w:rPr>
      </w:r>
      <w:r>
        <w:rPr>
          <w:noProof/>
        </w:rPr>
        <w:fldChar w:fldCharType="separate"/>
      </w:r>
      <w:r w:rsidR="00246E27">
        <w:rPr>
          <w:noProof/>
        </w:rPr>
        <w:t>1</w:t>
      </w:r>
      <w:r>
        <w:rPr>
          <w:noProof/>
        </w:rPr>
        <w:fldChar w:fldCharType="end"/>
      </w:r>
    </w:p>
    <w:p w14:paraId="2564FBCD" w14:textId="31CBC46C" w:rsidR="00DD325B" w:rsidRDefault="00DD32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_Toc179986890 \h </w:instrText>
      </w:r>
      <w:r>
        <w:rPr>
          <w:noProof/>
        </w:rPr>
      </w:r>
      <w:r>
        <w:rPr>
          <w:noProof/>
        </w:rPr>
        <w:fldChar w:fldCharType="separate"/>
      </w:r>
      <w:r w:rsidR="00246E27">
        <w:rPr>
          <w:noProof/>
        </w:rPr>
        <w:t>1</w:t>
      </w:r>
      <w:r>
        <w:rPr>
          <w:noProof/>
        </w:rPr>
        <w:fldChar w:fldCharType="end"/>
      </w:r>
    </w:p>
    <w:p w14:paraId="2E1CAE22" w14:textId="05A0763D" w:rsidR="00DD325B" w:rsidRDefault="00DD32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_Toc179986891 \h </w:instrText>
      </w:r>
      <w:r>
        <w:rPr>
          <w:noProof/>
        </w:rPr>
      </w:r>
      <w:r>
        <w:rPr>
          <w:noProof/>
        </w:rPr>
        <w:fldChar w:fldCharType="separate"/>
      </w:r>
      <w:r w:rsidR="00246E27">
        <w:rPr>
          <w:noProof/>
        </w:rPr>
        <w:t>1</w:t>
      </w:r>
      <w:r>
        <w:rPr>
          <w:noProof/>
        </w:rPr>
        <w:fldChar w:fldCharType="end"/>
      </w:r>
    </w:p>
    <w:p w14:paraId="1D510CD8" w14:textId="1AD70E60" w:rsidR="00DD325B" w:rsidRDefault="00DD32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_Toc179986892 \h </w:instrText>
      </w:r>
      <w:r>
        <w:rPr>
          <w:noProof/>
        </w:rPr>
      </w:r>
      <w:r>
        <w:rPr>
          <w:noProof/>
        </w:rPr>
        <w:fldChar w:fldCharType="separate"/>
      </w:r>
      <w:r w:rsidR="00246E27">
        <w:rPr>
          <w:noProof/>
        </w:rPr>
        <w:t>1</w:t>
      </w:r>
      <w:r>
        <w:rPr>
          <w:noProof/>
        </w:rPr>
        <w:fldChar w:fldCharType="end"/>
      </w:r>
    </w:p>
    <w:p w14:paraId="496680AD" w14:textId="4387C8D1" w:rsidR="00DD325B" w:rsidRDefault="00DD32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overcatch and undercatch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_Toc179986893 \h </w:instrText>
      </w:r>
      <w:r>
        <w:rPr>
          <w:noProof/>
        </w:rPr>
      </w:r>
      <w:r>
        <w:rPr>
          <w:noProof/>
        </w:rPr>
        <w:fldChar w:fldCharType="separate"/>
      </w:r>
      <w:r w:rsidR="00246E27">
        <w:rPr>
          <w:noProof/>
        </w:rPr>
        <w:t>1</w:t>
      </w:r>
      <w:r>
        <w:rPr>
          <w:noProof/>
        </w:rPr>
        <w:fldChar w:fldCharType="end"/>
      </w:r>
    </w:p>
    <w:p w14:paraId="527217D5" w14:textId="7C634E40" w:rsidR="00F6696E" w:rsidRPr="00C23563" w:rsidRDefault="00B418CB" w:rsidP="00F6696E">
      <w:pPr>
        <w:outlineLvl w:val="0"/>
        <w:rPr>
          <w:rFonts w:cs="Times New Roman"/>
        </w:rPr>
      </w:pPr>
      <w:r w:rsidRPr="00C23563">
        <w:rPr>
          <w:rFonts w:cs="Times New Roman"/>
        </w:rPr>
        <w:fldChar w:fldCharType="end"/>
      </w:r>
    </w:p>
    <w:p w14:paraId="7E09187F" w14:textId="77777777" w:rsidR="00F6696E" w:rsidRPr="00C23563" w:rsidRDefault="00F6696E" w:rsidP="00F6696E">
      <w:pPr>
        <w:outlineLvl w:val="0"/>
        <w:rPr>
          <w:rFonts w:cs="Times New Roman"/>
          <w:sz w:val="20"/>
        </w:rPr>
      </w:pPr>
    </w:p>
    <w:p w14:paraId="3DFDC356" w14:textId="77777777" w:rsidR="00F6696E" w:rsidRPr="00C23563" w:rsidRDefault="00F6696E" w:rsidP="00F6696E">
      <w:pPr>
        <w:rPr>
          <w:rFonts w:cs="Times New Roman"/>
        </w:rPr>
        <w:sectPr w:rsidR="00F6696E" w:rsidRPr="00C23563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3B962E" w14:textId="77777777" w:rsidR="00554826" w:rsidRPr="00C23563" w:rsidRDefault="00554826" w:rsidP="00554826">
      <w:pPr>
        <w:pStyle w:val="ActHead5"/>
      </w:pPr>
      <w:bookmarkStart w:id="0" w:name="_Toc179986888"/>
      <w:r w:rsidRPr="00C23563">
        <w:lastRenderedPageBreak/>
        <w:t>1  Name</w:t>
      </w:r>
      <w:bookmarkEnd w:id="0"/>
    </w:p>
    <w:p w14:paraId="47FD37AE" w14:textId="6C4DE1EB" w:rsidR="00554826" w:rsidRPr="00C23563" w:rsidRDefault="00554826" w:rsidP="00554826">
      <w:pPr>
        <w:pStyle w:val="subsection"/>
      </w:pPr>
      <w:r w:rsidRPr="00C23563">
        <w:tab/>
      </w:r>
      <w:r w:rsidRPr="00C23563">
        <w:tab/>
        <w:t>This instrument is the</w:t>
      </w:r>
      <w:bookmarkStart w:id="1" w:name="BKCheck15B_3"/>
      <w:bookmarkEnd w:id="1"/>
      <w:r w:rsidR="0071026E" w:rsidRPr="00C23563">
        <w:t xml:space="preserve"> </w:t>
      </w:r>
      <w:r w:rsidR="0071026E" w:rsidRPr="00C23563">
        <w:rPr>
          <w:i/>
          <w:iCs/>
        </w:rPr>
        <w:t>Eastern Tuna and Billfish Fishery (</w:t>
      </w:r>
      <w:r w:rsidR="002B3C2D">
        <w:rPr>
          <w:i/>
          <w:iCs/>
        </w:rPr>
        <w:t>Overcatch and Undercatch</w:t>
      </w:r>
      <w:r w:rsidR="0071026E" w:rsidRPr="00C23563">
        <w:rPr>
          <w:i/>
          <w:iCs/>
        </w:rPr>
        <w:t xml:space="preserve">) Determination </w:t>
      </w:r>
      <w:r w:rsidR="03910900" w:rsidRPr="7E9B08F0">
        <w:rPr>
          <w:i/>
          <w:iCs/>
        </w:rPr>
        <w:t xml:space="preserve">(No.2) </w:t>
      </w:r>
      <w:r w:rsidR="0071026E" w:rsidRPr="00C23563">
        <w:rPr>
          <w:i/>
          <w:iCs/>
        </w:rPr>
        <w:t>202</w:t>
      </w:r>
      <w:r w:rsidR="00D75EEF">
        <w:rPr>
          <w:i/>
          <w:iCs/>
        </w:rPr>
        <w:t>4</w:t>
      </w:r>
      <w:r w:rsidR="00283895" w:rsidRPr="00C23563">
        <w:t>.</w:t>
      </w:r>
    </w:p>
    <w:p w14:paraId="584DE74D" w14:textId="73F1D0DE" w:rsidR="00554826" w:rsidRPr="00C23563" w:rsidRDefault="00554826" w:rsidP="00554826">
      <w:pPr>
        <w:pStyle w:val="ActHead5"/>
      </w:pPr>
      <w:bookmarkStart w:id="2" w:name="_Toc179986889"/>
      <w:r w:rsidRPr="00C23563">
        <w:t>2  Commencemen</w:t>
      </w:r>
      <w:r w:rsidR="0071026E" w:rsidRPr="00C23563">
        <w:t>t</w:t>
      </w:r>
      <w:bookmarkEnd w:id="2"/>
    </w:p>
    <w:p w14:paraId="3FAF4DB0" w14:textId="4A6FAB0B" w:rsidR="00554826" w:rsidRPr="00C23563" w:rsidRDefault="00554826" w:rsidP="00554826">
      <w:pPr>
        <w:pStyle w:val="subsection"/>
      </w:pPr>
      <w:r w:rsidRPr="00C23563">
        <w:tab/>
      </w:r>
      <w:r w:rsidRPr="00C23563">
        <w:tab/>
        <w:t>This instrument commences</w:t>
      </w:r>
      <w:r w:rsidR="00E8378F">
        <w:t xml:space="preserve"> on</w:t>
      </w:r>
      <w:r w:rsidRPr="00C23563">
        <w:t xml:space="preserve"> </w:t>
      </w:r>
      <w:r w:rsidR="00283895" w:rsidRPr="00C23563">
        <w:t>1 January 2025</w:t>
      </w:r>
      <w:r w:rsidR="00385653">
        <w:t>.</w:t>
      </w:r>
    </w:p>
    <w:p w14:paraId="4344352D" w14:textId="77777777" w:rsidR="00554826" w:rsidRPr="00C23563" w:rsidRDefault="00554826" w:rsidP="00554826">
      <w:pPr>
        <w:pStyle w:val="ActHead5"/>
      </w:pPr>
      <w:bookmarkStart w:id="3" w:name="_Toc179986890"/>
      <w:r w:rsidRPr="00C23563">
        <w:t>3  Authority</w:t>
      </w:r>
      <w:bookmarkEnd w:id="3"/>
    </w:p>
    <w:p w14:paraId="2AB8C9D4" w14:textId="00E4F89F" w:rsidR="00554826" w:rsidRPr="00C23563" w:rsidRDefault="00554826" w:rsidP="00554826">
      <w:pPr>
        <w:pStyle w:val="subsection"/>
      </w:pPr>
      <w:r w:rsidRPr="00C23563">
        <w:tab/>
      </w:r>
      <w:r w:rsidRPr="00C23563">
        <w:tab/>
        <w:t xml:space="preserve">This instrument is made </w:t>
      </w:r>
      <w:r w:rsidR="00283895" w:rsidRPr="00C23563">
        <w:t xml:space="preserve">pursuant to paragraph </w:t>
      </w:r>
      <w:r w:rsidR="00C50A44" w:rsidRPr="00C23563">
        <w:t xml:space="preserve">17(6)(aa) of the </w:t>
      </w:r>
      <w:r w:rsidR="00C50A44" w:rsidRPr="00C23563">
        <w:rPr>
          <w:i/>
          <w:iCs/>
        </w:rPr>
        <w:t xml:space="preserve">Fisheries Management Act </w:t>
      </w:r>
      <w:r w:rsidR="004B410B" w:rsidRPr="00C23563">
        <w:rPr>
          <w:i/>
          <w:iCs/>
        </w:rPr>
        <w:t>1991</w:t>
      </w:r>
      <w:r w:rsidR="004B410B" w:rsidRPr="00C23563">
        <w:t xml:space="preserve"> and </w:t>
      </w:r>
      <w:r w:rsidR="00F061A9" w:rsidRPr="00C23563">
        <w:t xml:space="preserve">under </w:t>
      </w:r>
      <w:r w:rsidR="000F15B2" w:rsidRPr="00C23563">
        <w:t xml:space="preserve">sections </w:t>
      </w:r>
      <w:r w:rsidR="004B410B" w:rsidRPr="00C23563">
        <w:t>3.2</w:t>
      </w:r>
      <w:r w:rsidR="00A725F8">
        <w:t>, 4.5 and 4.6</w:t>
      </w:r>
      <w:r w:rsidR="004B410B" w:rsidRPr="00C23563">
        <w:t xml:space="preserve"> of the </w:t>
      </w:r>
      <w:r w:rsidR="00AA73F7" w:rsidRPr="00C23563">
        <w:t>Management Plan.</w:t>
      </w:r>
    </w:p>
    <w:p w14:paraId="67CFBDEF" w14:textId="6744E82B" w:rsidR="00056187" w:rsidRPr="00C23563" w:rsidRDefault="00554826" w:rsidP="008E0466">
      <w:pPr>
        <w:pStyle w:val="ActHead5"/>
      </w:pPr>
      <w:bookmarkStart w:id="4" w:name="_Toc179986891"/>
      <w:r w:rsidRPr="00C23563">
        <w:t>4  Definitions</w:t>
      </w:r>
      <w:bookmarkEnd w:id="4"/>
    </w:p>
    <w:p w14:paraId="1D9F17B0" w14:textId="3E4384BE" w:rsidR="00227C4E" w:rsidRPr="00C23563" w:rsidRDefault="00227C4E" w:rsidP="00227C4E">
      <w:pPr>
        <w:pStyle w:val="notetext"/>
      </w:pPr>
      <w:r w:rsidRPr="00C23563">
        <w:t xml:space="preserve">Note : </w:t>
      </w:r>
      <w:r w:rsidRPr="00C23563">
        <w:tab/>
      </w:r>
      <w:r w:rsidRPr="00FD5657">
        <w:t xml:space="preserve">A </w:t>
      </w:r>
      <w:r w:rsidR="00627096" w:rsidRPr="00FD5657">
        <w:t xml:space="preserve">number of the </w:t>
      </w:r>
      <w:r w:rsidR="00273FB3" w:rsidRPr="00FD5657">
        <w:t xml:space="preserve">expressions used in this instrument are defined in section </w:t>
      </w:r>
      <w:r w:rsidR="009B5C22">
        <w:t>1.3</w:t>
      </w:r>
      <w:r w:rsidR="00273FB3" w:rsidRPr="00FD5657">
        <w:t xml:space="preserve"> of th</w:t>
      </w:r>
      <w:r w:rsidR="00801BC0" w:rsidRPr="00FD5657">
        <w:t>e Management Plan, including the following</w:t>
      </w:r>
      <w:r w:rsidR="00801BC0" w:rsidRPr="00C23563">
        <w:t>:</w:t>
      </w:r>
    </w:p>
    <w:p w14:paraId="7B5C8B1C" w14:textId="77777777" w:rsidR="00227C4E" w:rsidRPr="00F16D5C" w:rsidRDefault="00227C4E" w:rsidP="00227C4E">
      <w:pPr>
        <w:pStyle w:val="notetext"/>
        <w:numPr>
          <w:ilvl w:val="0"/>
          <w:numId w:val="16"/>
        </w:numPr>
      </w:pPr>
      <w:r w:rsidRPr="00F16D5C">
        <w:rPr>
          <w:i/>
          <w:iCs/>
        </w:rPr>
        <w:t>fishing season;</w:t>
      </w:r>
    </w:p>
    <w:p w14:paraId="285198A6" w14:textId="77777777" w:rsidR="00227C4E" w:rsidRPr="00F16D5C" w:rsidRDefault="00227C4E" w:rsidP="00227C4E">
      <w:pPr>
        <w:pStyle w:val="notetext"/>
        <w:numPr>
          <w:ilvl w:val="0"/>
          <w:numId w:val="16"/>
        </w:numPr>
      </w:pPr>
      <w:r w:rsidRPr="00F16D5C">
        <w:rPr>
          <w:i/>
          <w:iCs/>
        </w:rPr>
        <w:t>Eastern Tuna and Billfish Fishery;</w:t>
      </w:r>
    </w:p>
    <w:p w14:paraId="22B6A532" w14:textId="7E8C2004" w:rsidR="00532D4E" w:rsidRPr="00F16D5C" w:rsidRDefault="00227C4E" w:rsidP="00532D4E">
      <w:pPr>
        <w:pStyle w:val="notetext"/>
        <w:numPr>
          <w:ilvl w:val="0"/>
          <w:numId w:val="16"/>
        </w:numPr>
      </w:pPr>
      <w:r w:rsidRPr="00F16D5C">
        <w:rPr>
          <w:i/>
          <w:iCs/>
        </w:rPr>
        <w:t>total allowable commercial catch;</w:t>
      </w:r>
      <w:r w:rsidR="00FD2E05">
        <w:rPr>
          <w:i/>
          <w:iCs/>
        </w:rPr>
        <w:t xml:space="preserve"> and</w:t>
      </w:r>
    </w:p>
    <w:p w14:paraId="11B6910D" w14:textId="125BBC14" w:rsidR="00227C4E" w:rsidRPr="00F16D5C" w:rsidRDefault="00227C4E" w:rsidP="00532D4E">
      <w:pPr>
        <w:pStyle w:val="notetext"/>
        <w:numPr>
          <w:ilvl w:val="0"/>
          <w:numId w:val="16"/>
        </w:numPr>
      </w:pPr>
      <w:r w:rsidRPr="00F16D5C">
        <w:rPr>
          <w:i/>
          <w:iCs/>
        </w:rPr>
        <w:t>quota species</w:t>
      </w:r>
      <w:r w:rsidR="003903DB">
        <w:rPr>
          <w:i/>
          <w:iCs/>
        </w:rPr>
        <w:t>.</w:t>
      </w:r>
    </w:p>
    <w:p w14:paraId="22B9FF1E" w14:textId="5FD88D6E" w:rsidR="007B557E" w:rsidRPr="00C23563" w:rsidRDefault="007B557E" w:rsidP="006D4E6C">
      <w:pPr>
        <w:pStyle w:val="subsection"/>
        <w:ind w:left="2268"/>
      </w:pPr>
      <w:r w:rsidRPr="00C23563">
        <w:t>In this instrument:</w:t>
      </w:r>
    </w:p>
    <w:p w14:paraId="4415D8F0" w14:textId="644AF4A0" w:rsidR="00673337" w:rsidRPr="00C23563" w:rsidRDefault="00673337" w:rsidP="006D4E6C">
      <w:pPr>
        <w:pStyle w:val="subsection"/>
        <w:ind w:left="2268"/>
        <w:rPr>
          <w:i/>
          <w:iCs/>
        </w:rPr>
      </w:pPr>
      <w:r w:rsidRPr="00C23563">
        <w:rPr>
          <w:b/>
          <w:bCs/>
          <w:i/>
          <w:iCs/>
        </w:rPr>
        <w:t>Act</w:t>
      </w:r>
      <w:r w:rsidRPr="00C23563">
        <w:t xml:space="preserve"> means the </w:t>
      </w:r>
      <w:r w:rsidRPr="00C23563">
        <w:rPr>
          <w:i/>
          <w:iCs/>
        </w:rPr>
        <w:t>Fisheries Management Act 1991</w:t>
      </w:r>
      <w:r w:rsidR="003903DB" w:rsidRPr="00683582">
        <w:t>.</w:t>
      </w:r>
    </w:p>
    <w:p w14:paraId="3D42AAA7" w14:textId="2A979086" w:rsidR="00FE629B" w:rsidRPr="00C23563" w:rsidRDefault="00FE629B" w:rsidP="006D4E6C">
      <w:pPr>
        <w:pStyle w:val="subsection"/>
        <w:ind w:firstLine="0"/>
      </w:pPr>
      <w:r w:rsidRPr="00C23563">
        <w:rPr>
          <w:b/>
          <w:bCs/>
          <w:i/>
          <w:iCs/>
        </w:rPr>
        <w:t>Management Plan</w:t>
      </w:r>
      <w:r w:rsidRPr="00C23563">
        <w:t xml:space="preserve"> means the </w:t>
      </w:r>
      <w:r w:rsidRPr="00C23563">
        <w:rPr>
          <w:i/>
          <w:iCs/>
        </w:rPr>
        <w:t>Eastern Tuna and B</w:t>
      </w:r>
      <w:r w:rsidR="00A0172D" w:rsidRPr="00C23563">
        <w:rPr>
          <w:i/>
          <w:iCs/>
        </w:rPr>
        <w:t>illfish Fishery Management Plan 2010</w:t>
      </w:r>
      <w:r w:rsidR="003903DB" w:rsidRPr="00683582">
        <w:t>.</w:t>
      </w:r>
    </w:p>
    <w:p w14:paraId="4F825651" w14:textId="0737B1AB" w:rsidR="00E81D0C" w:rsidRPr="00C23563" w:rsidRDefault="00CA12AD" w:rsidP="00E81D0C">
      <w:pPr>
        <w:pStyle w:val="ActHead5"/>
      </w:pPr>
      <w:bookmarkStart w:id="5" w:name="_Toc179986892"/>
      <w:r w:rsidRPr="00C23563">
        <w:t>5</w:t>
      </w:r>
      <w:r w:rsidR="00E81D0C" w:rsidRPr="00C23563">
        <w:t xml:space="preserve">  </w:t>
      </w:r>
      <w:r w:rsidR="00BE12F8" w:rsidRPr="00C23563">
        <w:t>Cessation</w:t>
      </w:r>
      <w:bookmarkEnd w:id="5"/>
    </w:p>
    <w:p w14:paraId="2106A066" w14:textId="3F91E4EB" w:rsidR="00B91F09" w:rsidRPr="00C23563" w:rsidRDefault="00E81D0C" w:rsidP="005D6808">
      <w:pPr>
        <w:pStyle w:val="subsection"/>
      </w:pPr>
      <w:r w:rsidRPr="00C23563">
        <w:tab/>
      </w:r>
      <w:r w:rsidRPr="00C23563">
        <w:tab/>
        <w:t xml:space="preserve">This instrument </w:t>
      </w:r>
      <w:r w:rsidR="00CE7678" w:rsidRPr="00C23563">
        <w:t xml:space="preserve">ceases </w:t>
      </w:r>
      <w:r w:rsidRPr="00C23563">
        <w:t>on 31 December 202</w:t>
      </w:r>
      <w:r w:rsidR="001206F0">
        <w:t>7</w:t>
      </w:r>
      <w:r w:rsidR="006756EB" w:rsidRPr="00C23563">
        <w:t xml:space="preserve"> </w:t>
      </w:r>
      <w:r w:rsidR="00A2668D" w:rsidRPr="00C23563">
        <w:t xml:space="preserve">unless revoked earlier. </w:t>
      </w:r>
    </w:p>
    <w:p w14:paraId="1CB06940" w14:textId="50AB0B6B" w:rsidR="00554826" w:rsidRDefault="00554826" w:rsidP="00554826">
      <w:pPr>
        <w:pStyle w:val="ActHead5"/>
      </w:pPr>
      <w:bookmarkStart w:id="6" w:name="_Toc179986893"/>
      <w:r w:rsidRPr="00C23563">
        <w:t xml:space="preserve">6  </w:t>
      </w:r>
      <w:r w:rsidR="00A725F8">
        <w:t>Determination of overcatch and undercatch</w:t>
      </w:r>
      <w:bookmarkEnd w:id="6"/>
    </w:p>
    <w:p w14:paraId="4AD21B41" w14:textId="367B2279" w:rsidR="007F31DE" w:rsidRPr="003232AF" w:rsidRDefault="008D5F5A" w:rsidP="00C41010">
      <w:pPr>
        <w:pStyle w:val="subsection"/>
      </w:pPr>
      <w:r w:rsidRPr="003232AF">
        <w:t xml:space="preserve">                    </w:t>
      </w:r>
      <w:r w:rsidR="007F31DE" w:rsidRPr="003232AF">
        <w:t xml:space="preserve">The determined percentage and determined weight, for section 4.5 of the </w:t>
      </w:r>
      <w:r w:rsidR="00693187">
        <w:t xml:space="preserve">Management </w:t>
      </w:r>
      <w:r w:rsidR="007F31DE" w:rsidRPr="003232AF">
        <w:t xml:space="preserve">Plan (Obligations relating to overcatch), and the determined percentage for section 4.6 of the </w:t>
      </w:r>
      <w:r w:rsidR="00693187">
        <w:t xml:space="preserve">Management </w:t>
      </w:r>
      <w:r w:rsidR="007F31DE" w:rsidRPr="003232AF">
        <w:t>Plan (Obligations relating to undercatch) for each quota species in the Eastern Tuna and Billfish Fishery:</w:t>
      </w:r>
    </w:p>
    <w:p w14:paraId="5403823B" w14:textId="6F28281C" w:rsidR="00C47BBB" w:rsidRDefault="162F44E7" w:rsidP="00A47CE7">
      <w:pPr>
        <w:pStyle w:val="subsection"/>
        <w:numPr>
          <w:ilvl w:val="0"/>
          <w:numId w:val="19"/>
        </w:numPr>
      </w:pPr>
      <w:bookmarkStart w:id="7" w:name="_Hlk180745746"/>
      <w:r>
        <w:t>for</w:t>
      </w:r>
      <w:r w:rsidR="00C47BBB" w:rsidRPr="003232AF">
        <w:t xml:space="preserve"> the fishing season commencing on 1 January 202</w:t>
      </w:r>
      <w:r w:rsidR="000A2993" w:rsidRPr="003232AF">
        <w:t>5</w:t>
      </w:r>
      <w:r w:rsidR="00C47BBB" w:rsidRPr="003232AF">
        <w:t xml:space="preserve"> and ending on 31 December 202</w:t>
      </w:r>
      <w:r w:rsidR="000A2993" w:rsidRPr="003232AF">
        <w:t>5</w:t>
      </w:r>
      <w:r w:rsidR="00C47BBB" w:rsidRPr="003232AF">
        <w:t xml:space="preserve">.  </w:t>
      </w:r>
    </w:p>
    <w:p w14:paraId="25A7EBE0" w14:textId="49DAAE30" w:rsidR="00C47BBB" w:rsidRPr="003232AF" w:rsidRDefault="00C47BBB" w:rsidP="00C47BBB">
      <w:pPr>
        <w:pStyle w:val="notetext"/>
        <w:spacing w:before="120" w:after="120"/>
        <w:rPr>
          <w:i/>
        </w:rPr>
      </w:pPr>
      <w:r>
        <w:t>Note:</w:t>
      </w:r>
      <w:r>
        <w:tab/>
        <w:t xml:space="preserve">The total allowable commercial catch (TACC) for each quota species for the fishing season commencing on 1 January </w:t>
      </w:r>
      <w:r w:rsidRPr="003232AF">
        <w:t>20</w:t>
      </w:r>
      <w:r w:rsidR="00A729A1" w:rsidRPr="003232AF">
        <w:t>25</w:t>
      </w:r>
      <w:r>
        <w:t xml:space="preserve"> and ending on 31 December </w:t>
      </w:r>
      <w:r w:rsidRPr="003232AF">
        <w:t>202</w:t>
      </w:r>
      <w:r w:rsidR="00A729A1" w:rsidRPr="003232AF">
        <w:t>5</w:t>
      </w:r>
      <w:r>
        <w:t xml:space="preserve"> is determined by the </w:t>
      </w:r>
      <w:r w:rsidR="00674515" w:rsidRPr="77749543">
        <w:rPr>
          <w:i/>
          <w:iCs/>
        </w:rPr>
        <w:t xml:space="preserve">Eastern Tuna and Billfish Fishery (Fishing Season and Total Allowable Commercial Catch) Determination </w:t>
      </w:r>
      <w:r w:rsidR="43FD9DBD" w:rsidRPr="77749543">
        <w:rPr>
          <w:i/>
          <w:iCs/>
        </w:rPr>
        <w:t xml:space="preserve">(No.2) </w:t>
      </w:r>
      <w:r w:rsidR="00674515" w:rsidRPr="77749543">
        <w:rPr>
          <w:i/>
          <w:iCs/>
        </w:rPr>
        <w:t>2024.</w:t>
      </w:r>
    </w:p>
    <w:p w14:paraId="343426EB" w14:textId="77777777" w:rsidR="001C2907" w:rsidRPr="003232AF" w:rsidRDefault="001C2907" w:rsidP="00C47BBB">
      <w:pPr>
        <w:pStyle w:val="notetext"/>
        <w:spacing w:before="120" w:after="120"/>
        <w:rPr>
          <w:i/>
          <w:iCs/>
        </w:rPr>
      </w:pPr>
      <w:r w:rsidRPr="003232AF">
        <w:rPr>
          <w:i/>
          <w:iCs/>
        </w:rPr>
        <w:t xml:space="preserve">       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160"/>
        <w:gridCol w:w="2183"/>
        <w:gridCol w:w="1440"/>
      </w:tblGrid>
      <w:tr w:rsidR="001C2907" w:rsidRPr="003232AF" w14:paraId="194353FD" w14:textId="77777777" w:rsidTr="74CF7736">
        <w:trPr>
          <w:trHeight w:val="540"/>
          <w:tblHeader/>
          <w:jc w:val="center"/>
        </w:trPr>
        <w:tc>
          <w:tcPr>
            <w:tcW w:w="2517" w:type="dxa"/>
            <w:vAlign w:val="center"/>
          </w:tcPr>
          <w:p w14:paraId="4FC5DE3C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232AF">
              <w:rPr>
                <w:rFonts w:cs="Times New Roman"/>
                <w:b/>
                <w:bCs/>
                <w:i/>
                <w:iCs/>
              </w:rPr>
              <w:lastRenderedPageBreak/>
              <w:t>Quota Species</w:t>
            </w:r>
          </w:p>
        </w:tc>
        <w:tc>
          <w:tcPr>
            <w:tcW w:w="2160" w:type="dxa"/>
            <w:vAlign w:val="bottom"/>
          </w:tcPr>
          <w:p w14:paraId="74EB8DF8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3232AF">
              <w:rPr>
                <w:rFonts w:cs="Times New Roman"/>
                <w:b/>
                <w:bCs/>
                <w:i/>
                <w:iCs/>
                <w:sz w:val="20"/>
              </w:rPr>
              <w:t>Determined Percentage (Overcatch – s4.5)</w:t>
            </w:r>
          </w:p>
        </w:tc>
        <w:tc>
          <w:tcPr>
            <w:tcW w:w="2183" w:type="dxa"/>
            <w:vAlign w:val="center"/>
          </w:tcPr>
          <w:p w14:paraId="0BB24BB2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3232AF">
              <w:rPr>
                <w:rFonts w:cs="Times New Roman"/>
                <w:b/>
                <w:bCs/>
                <w:i/>
                <w:iCs/>
                <w:sz w:val="20"/>
              </w:rPr>
              <w:t>Determined Percentage (Undercatch – s4.6)</w:t>
            </w:r>
          </w:p>
        </w:tc>
        <w:tc>
          <w:tcPr>
            <w:tcW w:w="1440" w:type="dxa"/>
            <w:vAlign w:val="bottom"/>
          </w:tcPr>
          <w:p w14:paraId="520EB505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3232AF">
              <w:rPr>
                <w:rFonts w:cs="Times New Roman"/>
                <w:b/>
                <w:bCs/>
                <w:i/>
                <w:iCs/>
                <w:sz w:val="20"/>
              </w:rPr>
              <w:t xml:space="preserve">Determined weight (s4.5) </w:t>
            </w:r>
          </w:p>
        </w:tc>
      </w:tr>
      <w:tr w:rsidR="001C2907" w:rsidRPr="003232AF" w14:paraId="51EFDFBC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46F9DC37" w14:textId="77777777" w:rsidR="001C2907" w:rsidRPr="003232AF" w:rsidRDefault="001C2907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 xml:space="preserve">Albacore Tuna </w:t>
            </w:r>
          </w:p>
        </w:tc>
        <w:tc>
          <w:tcPr>
            <w:tcW w:w="2160" w:type="dxa"/>
            <w:noWrap/>
            <w:vAlign w:val="center"/>
          </w:tcPr>
          <w:p w14:paraId="7A81F282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14:paraId="66415ED5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14:paraId="74E00A16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  <w:tr w:rsidR="001C2907" w:rsidRPr="003232AF" w14:paraId="581A4305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7A66FEF1" w14:textId="77777777" w:rsidR="001C2907" w:rsidRPr="003232AF" w:rsidRDefault="001C2907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Bigeye Tuna</w:t>
            </w:r>
          </w:p>
        </w:tc>
        <w:tc>
          <w:tcPr>
            <w:tcW w:w="2160" w:type="dxa"/>
            <w:noWrap/>
            <w:vAlign w:val="center"/>
          </w:tcPr>
          <w:p w14:paraId="5C4F66F9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14:paraId="6D2E4F5F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14:paraId="24A7E573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  <w:tr w:rsidR="001C2907" w:rsidRPr="003232AF" w14:paraId="47351094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0289F348" w14:textId="06DFB3D4" w:rsidR="001C2907" w:rsidRPr="003232AF" w:rsidRDefault="00A117A5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Yellowfin Tuna</w:t>
            </w:r>
          </w:p>
        </w:tc>
        <w:tc>
          <w:tcPr>
            <w:tcW w:w="2160" w:type="dxa"/>
            <w:noWrap/>
            <w:vAlign w:val="center"/>
          </w:tcPr>
          <w:p w14:paraId="0146CA2E" w14:textId="57089E74" w:rsidR="001C2907" w:rsidRPr="003232AF" w:rsidRDefault="000C10A2" w:rsidP="74CF773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1C2907" w:rsidRPr="74CF7736">
              <w:rPr>
                <w:rFonts w:cs="Times New Roman"/>
                <w:sz w:val="20"/>
              </w:rPr>
              <w:t>0%</w:t>
            </w:r>
          </w:p>
        </w:tc>
        <w:tc>
          <w:tcPr>
            <w:tcW w:w="2183" w:type="dxa"/>
            <w:noWrap/>
            <w:vAlign w:val="center"/>
          </w:tcPr>
          <w:p w14:paraId="13C702F5" w14:textId="07B89C15" w:rsidR="001C2907" w:rsidRPr="003232AF" w:rsidRDefault="000C10A2" w:rsidP="74CF773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1C2907" w:rsidRPr="74CF7736">
              <w:rPr>
                <w:rFonts w:cs="Times New Roman"/>
                <w:sz w:val="20"/>
              </w:rPr>
              <w:t>0%</w:t>
            </w:r>
          </w:p>
        </w:tc>
        <w:tc>
          <w:tcPr>
            <w:tcW w:w="1440" w:type="dxa"/>
            <w:noWrap/>
            <w:vAlign w:val="bottom"/>
          </w:tcPr>
          <w:p w14:paraId="54C93CF9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  <w:tr w:rsidR="001C2907" w:rsidRPr="003232AF" w14:paraId="15B02AA5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59C9CDF0" w14:textId="77777777" w:rsidR="001C2907" w:rsidRPr="003232AF" w:rsidRDefault="001C2907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Striped Marlin</w:t>
            </w:r>
          </w:p>
        </w:tc>
        <w:tc>
          <w:tcPr>
            <w:tcW w:w="2160" w:type="dxa"/>
            <w:noWrap/>
            <w:vAlign w:val="center"/>
          </w:tcPr>
          <w:p w14:paraId="2DEE57AA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14:paraId="2BA5E8AE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14:paraId="16DC1F79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  <w:tr w:rsidR="001C2907" w:rsidRPr="003232AF" w14:paraId="46DA79E7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2260AC92" w14:textId="4F027154" w:rsidR="001C2907" w:rsidRPr="003232AF" w:rsidRDefault="00A117A5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Broadbill Swordfish</w:t>
            </w:r>
          </w:p>
        </w:tc>
        <w:tc>
          <w:tcPr>
            <w:tcW w:w="2160" w:type="dxa"/>
            <w:noWrap/>
            <w:vAlign w:val="center"/>
          </w:tcPr>
          <w:p w14:paraId="71C93274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14:paraId="4EA18F0A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14:paraId="26F95910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</w:tbl>
    <w:p w14:paraId="1FCEE4CC" w14:textId="77777777" w:rsidR="00AD7A37" w:rsidRPr="003232AF" w:rsidRDefault="00AD7A37" w:rsidP="00D856E7">
      <w:pPr>
        <w:pStyle w:val="notetext"/>
        <w:spacing w:before="120" w:after="120"/>
        <w:ind w:left="0" w:firstLine="0"/>
      </w:pPr>
    </w:p>
    <w:bookmarkEnd w:id="7"/>
    <w:p w14:paraId="2D9C410C" w14:textId="18A5E30C" w:rsidR="002C31BF" w:rsidRPr="003232AF" w:rsidRDefault="006E1B6F" w:rsidP="002C31BF">
      <w:pPr>
        <w:pStyle w:val="subsection"/>
        <w:numPr>
          <w:ilvl w:val="0"/>
          <w:numId w:val="19"/>
        </w:numPr>
      </w:pPr>
      <w:r>
        <w:t xml:space="preserve">for </w:t>
      </w:r>
      <w:r w:rsidR="002C31BF" w:rsidRPr="003232AF">
        <w:t>the fishing season commencing on 1 January 202</w:t>
      </w:r>
      <w:r w:rsidR="004A6DBA" w:rsidRPr="003232AF">
        <w:t>6</w:t>
      </w:r>
      <w:r w:rsidR="002C31BF" w:rsidRPr="003232AF">
        <w:t xml:space="preserve"> and ending on 31 December 202</w:t>
      </w:r>
      <w:r w:rsidR="00AD7A37" w:rsidRPr="003232AF">
        <w:t>6</w:t>
      </w:r>
      <w:r w:rsidR="002C31BF" w:rsidRPr="003232AF">
        <w:t xml:space="preserve">.  </w:t>
      </w:r>
    </w:p>
    <w:p w14:paraId="5E783F86" w14:textId="1C7C19A2" w:rsidR="002C31BF" w:rsidRDefault="002C31BF" w:rsidP="002C31BF">
      <w:pPr>
        <w:pStyle w:val="notetext"/>
        <w:spacing w:before="120" w:after="120"/>
        <w:rPr>
          <w:i/>
          <w:iCs/>
        </w:rPr>
      </w:pPr>
      <w:r w:rsidRPr="003232AF">
        <w:t>Note:</w:t>
      </w:r>
      <w:r w:rsidRPr="003232AF">
        <w:tab/>
        <w:t>The total allowable commercial catch (TACC) for each quota species for the fishing season commencing on 1 January 202</w:t>
      </w:r>
      <w:r w:rsidR="00507EAC" w:rsidRPr="003232AF">
        <w:t>6</w:t>
      </w:r>
      <w:r w:rsidRPr="003232AF">
        <w:t xml:space="preserve"> and ending on 31 December 202</w:t>
      </w:r>
      <w:r w:rsidR="00507EAC" w:rsidRPr="003232AF">
        <w:t>6</w:t>
      </w:r>
      <w:r w:rsidRPr="003232AF">
        <w:t xml:space="preserve"> is determined by the </w:t>
      </w:r>
      <w:r w:rsidRPr="003232AF">
        <w:rPr>
          <w:i/>
          <w:iCs/>
        </w:rPr>
        <w:t>Eastern Tuna and Billfish Fishery (Fishing Season and Total Allowable Commercial Catch) Determination (No.2) 2024.</w:t>
      </w:r>
    </w:p>
    <w:p w14:paraId="1AB8BE79" w14:textId="77777777" w:rsidR="001E539D" w:rsidRPr="003232AF" w:rsidRDefault="001E539D" w:rsidP="002C31BF">
      <w:pPr>
        <w:pStyle w:val="notetext"/>
        <w:spacing w:before="120" w:after="120"/>
        <w:rPr>
          <w:i/>
          <w:iCs/>
        </w:rPr>
      </w:pP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160"/>
        <w:gridCol w:w="2183"/>
        <w:gridCol w:w="1440"/>
      </w:tblGrid>
      <w:tr w:rsidR="001C2907" w:rsidRPr="003232AF" w14:paraId="61930FF5" w14:textId="77777777" w:rsidTr="74CF7736">
        <w:trPr>
          <w:trHeight w:val="540"/>
          <w:tblHeader/>
          <w:jc w:val="center"/>
        </w:trPr>
        <w:tc>
          <w:tcPr>
            <w:tcW w:w="2517" w:type="dxa"/>
            <w:vAlign w:val="center"/>
          </w:tcPr>
          <w:p w14:paraId="6FEB199A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232AF">
              <w:rPr>
                <w:rFonts w:cs="Times New Roman"/>
                <w:b/>
                <w:bCs/>
                <w:i/>
                <w:iCs/>
              </w:rPr>
              <w:t>Quota Species</w:t>
            </w:r>
          </w:p>
        </w:tc>
        <w:tc>
          <w:tcPr>
            <w:tcW w:w="2160" w:type="dxa"/>
            <w:vAlign w:val="bottom"/>
          </w:tcPr>
          <w:p w14:paraId="294213F2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3232AF">
              <w:rPr>
                <w:rFonts w:cs="Times New Roman"/>
                <w:b/>
                <w:bCs/>
                <w:i/>
                <w:iCs/>
                <w:sz w:val="20"/>
              </w:rPr>
              <w:t>Determined Percentage (Overcatch – s4.5)</w:t>
            </w:r>
          </w:p>
        </w:tc>
        <w:tc>
          <w:tcPr>
            <w:tcW w:w="2183" w:type="dxa"/>
            <w:vAlign w:val="center"/>
          </w:tcPr>
          <w:p w14:paraId="6703ED13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3232AF">
              <w:rPr>
                <w:rFonts w:cs="Times New Roman"/>
                <w:b/>
                <w:bCs/>
                <w:i/>
                <w:iCs/>
                <w:sz w:val="20"/>
              </w:rPr>
              <w:t>Determined Percentage (Undercatch – s4.6)</w:t>
            </w:r>
          </w:p>
        </w:tc>
        <w:tc>
          <w:tcPr>
            <w:tcW w:w="1440" w:type="dxa"/>
            <w:vAlign w:val="bottom"/>
          </w:tcPr>
          <w:p w14:paraId="1CAADAA8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3232AF">
              <w:rPr>
                <w:rFonts w:cs="Times New Roman"/>
                <w:b/>
                <w:bCs/>
                <w:i/>
                <w:iCs/>
                <w:sz w:val="20"/>
              </w:rPr>
              <w:t xml:space="preserve">Determined weight (s4.5) </w:t>
            </w:r>
          </w:p>
        </w:tc>
      </w:tr>
      <w:tr w:rsidR="001C2907" w:rsidRPr="003232AF" w14:paraId="2CE2AC8A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61D81B4B" w14:textId="77777777" w:rsidR="001C2907" w:rsidRPr="003232AF" w:rsidRDefault="001C2907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 xml:space="preserve">Albacore Tuna </w:t>
            </w:r>
          </w:p>
        </w:tc>
        <w:tc>
          <w:tcPr>
            <w:tcW w:w="2160" w:type="dxa"/>
            <w:noWrap/>
            <w:vAlign w:val="center"/>
          </w:tcPr>
          <w:p w14:paraId="3A9BFEAA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14:paraId="0D858140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14:paraId="55BC1E49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  <w:tr w:rsidR="001C2907" w:rsidRPr="003232AF" w14:paraId="32E575F3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0F01F1B1" w14:textId="77777777" w:rsidR="001C2907" w:rsidRPr="003232AF" w:rsidRDefault="001C2907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Bigeye Tuna</w:t>
            </w:r>
          </w:p>
        </w:tc>
        <w:tc>
          <w:tcPr>
            <w:tcW w:w="2160" w:type="dxa"/>
            <w:noWrap/>
            <w:vAlign w:val="center"/>
          </w:tcPr>
          <w:p w14:paraId="58A1D8AF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14:paraId="5402930E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14:paraId="01D065FE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  <w:tr w:rsidR="001C2907" w:rsidRPr="003232AF" w14:paraId="6016DDAD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404854F1" w14:textId="77777777" w:rsidR="001C2907" w:rsidRPr="003232AF" w:rsidRDefault="001C2907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Yellowfin Tuna</w:t>
            </w:r>
          </w:p>
        </w:tc>
        <w:tc>
          <w:tcPr>
            <w:tcW w:w="2160" w:type="dxa"/>
            <w:noWrap/>
            <w:vAlign w:val="center"/>
          </w:tcPr>
          <w:p w14:paraId="31EF7EC3" w14:textId="3BBA44AA" w:rsidR="001C2907" w:rsidRPr="003232AF" w:rsidRDefault="000C10A2" w:rsidP="74CF773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1C2907" w:rsidRPr="74CF7736">
              <w:rPr>
                <w:rFonts w:cs="Times New Roman"/>
                <w:sz w:val="20"/>
              </w:rPr>
              <w:t>0%</w:t>
            </w:r>
          </w:p>
        </w:tc>
        <w:tc>
          <w:tcPr>
            <w:tcW w:w="2183" w:type="dxa"/>
            <w:noWrap/>
            <w:vAlign w:val="center"/>
          </w:tcPr>
          <w:p w14:paraId="4BDED72E" w14:textId="4A90CFE3" w:rsidR="001C2907" w:rsidRPr="003232AF" w:rsidRDefault="000C10A2" w:rsidP="74CF773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1C2907" w:rsidRPr="74CF7736">
              <w:rPr>
                <w:rFonts w:cs="Times New Roman"/>
                <w:sz w:val="20"/>
              </w:rPr>
              <w:t>0%</w:t>
            </w:r>
          </w:p>
        </w:tc>
        <w:tc>
          <w:tcPr>
            <w:tcW w:w="1440" w:type="dxa"/>
            <w:noWrap/>
            <w:vAlign w:val="bottom"/>
          </w:tcPr>
          <w:p w14:paraId="3EF1DF78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</w:tbl>
    <w:p w14:paraId="46817826" w14:textId="48B5114D" w:rsidR="001C2907" w:rsidRPr="003232AF" w:rsidRDefault="001C2907" w:rsidP="002C31BF">
      <w:pPr>
        <w:pStyle w:val="notetext"/>
        <w:spacing w:before="120" w:after="120"/>
      </w:pPr>
      <w:r w:rsidRPr="003232AF">
        <w:t xml:space="preserve"> </w:t>
      </w:r>
    </w:p>
    <w:p w14:paraId="37B2AC08" w14:textId="585F0CD8" w:rsidR="002C31BF" w:rsidRPr="003232AF" w:rsidRDefault="006E1B6F" w:rsidP="002C31BF">
      <w:pPr>
        <w:pStyle w:val="subsection"/>
        <w:numPr>
          <w:ilvl w:val="0"/>
          <w:numId w:val="19"/>
        </w:numPr>
      </w:pPr>
      <w:r>
        <w:t>for</w:t>
      </w:r>
      <w:r w:rsidR="002C31BF" w:rsidRPr="003232AF">
        <w:t xml:space="preserve"> the fishing season commencing on 1 January 202</w:t>
      </w:r>
      <w:r w:rsidR="00AD7A37" w:rsidRPr="003232AF">
        <w:t>7</w:t>
      </w:r>
      <w:r w:rsidR="002C31BF" w:rsidRPr="003232AF">
        <w:t xml:space="preserve"> and ending on 31 December 202</w:t>
      </w:r>
      <w:r w:rsidR="00AD7A37" w:rsidRPr="003232AF">
        <w:t>7</w:t>
      </w:r>
      <w:r w:rsidR="002C31BF" w:rsidRPr="003232AF">
        <w:t xml:space="preserve">.  </w:t>
      </w:r>
    </w:p>
    <w:p w14:paraId="5C7E7BC8" w14:textId="4C0EDF5B" w:rsidR="002C31BF" w:rsidRPr="003232AF" w:rsidRDefault="002C31BF" w:rsidP="002C31BF">
      <w:pPr>
        <w:pStyle w:val="notetext"/>
        <w:spacing w:before="120" w:after="120"/>
      </w:pPr>
      <w:r w:rsidRPr="003232AF">
        <w:t>Note:</w:t>
      </w:r>
      <w:r w:rsidRPr="003232AF">
        <w:tab/>
        <w:t>The total allowable commercial catch (TACC) for each quota species for the fishing season commencing on 1 January 202</w:t>
      </w:r>
      <w:r w:rsidR="00507EAC" w:rsidRPr="003232AF">
        <w:t>7</w:t>
      </w:r>
      <w:r w:rsidRPr="003232AF">
        <w:t xml:space="preserve"> and ending on 31 December 202</w:t>
      </w:r>
      <w:r w:rsidR="00507EAC" w:rsidRPr="003232AF">
        <w:t>7</w:t>
      </w:r>
      <w:r w:rsidRPr="003232AF">
        <w:t xml:space="preserve"> is determined by the </w:t>
      </w:r>
      <w:r w:rsidRPr="003232AF">
        <w:rPr>
          <w:i/>
          <w:iCs/>
        </w:rPr>
        <w:t>Eastern Tuna and Billfish Fishery (Fishing Season and Total Allowable Commercial Catch) Determination (No.2) 2024.</w:t>
      </w:r>
    </w:p>
    <w:p w14:paraId="78ED7B24" w14:textId="6ED51B59" w:rsidR="001418FE" w:rsidRPr="003232AF" w:rsidRDefault="001418FE" w:rsidP="002C31BF">
      <w:pPr>
        <w:pStyle w:val="subsection"/>
        <w:ind w:left="1440" w:firstLine="0"/>
      </w:pP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160"/>
        <w:gridCol w:w="2183"/>
        <w:gridCol w:w="1440"/>
      </w:tblGrid>
      <w:tr w:rsidR="001C2907" w:rsidRPr="003232AF" w14:paraId="154A3A56" w14:textId="77777777" w:rsidTr="74CF7736">
        <w:trPr>
          <w:trHeight w:val="540"/>
          <w:tblHeader/>
          <w:jc w:val="center"/>
        </w:trPr>
        <w:tc>
          <w:tcPr>
            <w:tcW w:w="2517" w:type="dxa"/>
            <w:vAlign w:val="center"/>
          </w:tcPr>
          <w:p w14:paraId="65658053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232AF">
              <w:rPr>
                <w:rFonts w:cs="Times New Roman"/>
                <w:b/>
                <w:bCs/>
                <w:i/>
                <w:iCs/>
              </w:rPr>
              <w:t>Quota Species</w:t>
            </w:r>
          </w:p>
        </w:tc>
        <w:tc>
          <w:tcPr>
            <w:tcW w:w="2160" w:type="dxa"/>
            <w:vAlign w:val="bottom"/>
          </w:tcPr>
          <w:p w14:paraId="01F8E9B1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3232AF">
              <w:rPr>
                <w:rFonts w:cs="Times New Roman"/>
                <w:b/>
                <w:bCs/>
                <w:i/>
                <w:iCs/>
                <w:sz w:val="20"/>
              </w:rPr>
              <w:t>Determined Percentage (Overcatch – s4.5)</w:t>
            </w:r>
          </w:p>
        </w:tc>
        <w:tc>
          <w:tcPr>
            <w:tcW w:w="2183" w:type="dxa"/>
            <w:vAlign w:val="center"/>
          </w:tcPr>
          <w:p w14:paraId="4529D03E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3232AF">
              <w:rPr>
                <w:rFonts w:cs="Times New Roman"/>
                <w:b/>
                <w:bCs/>
                <w:i/>
                <w:iCs/>
                <w:sz w:val="20"/>
              </w:rPr>
              <w:t>Determined Percentage (Undercatch – s4.6)</w:t>
            </w:r>
          </w:p>
        </w:tc>
        <w:tc>
          <w:tcPr>
            <w:tcW w:w="1440" w:type="dxa"/>
            <w:vAlign w:val="bottom"/>
          </w:tcPr>
          <w:p w14:paraId="7026A30E" w14:textId="77777777" w:rsidR="001C2907" w:rsidRPr="003232AF" w:rsidRDefault="001C2907" w:rsidP="00111859">
            <w:pPr>
              <w:jc w:val="center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3232AF">
              <w:rPr>
                <w:rFonts w:cs="Times New Roman"/>
                <w:b/>
                <w:bCs/>
                <w:i/>
                <w:iCs/>
                <w:sz w:val="20"/>
              </w:rPr>
              <w:t xml:space="preserve">Determined weight (s4.5) </w:t>
            </w:r>
          </w:p>
        </w:tc>
      </w:tr>
      <w:tr w:rsidR="001C2907" w:rsidRPr="003232AF" w14:paraId="32A1BCAA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5BACBE98" w14:textId="77777777" w:rsidR="001C2907" w:rsidRPr="003232AF" w:rsidRDefault="001C2907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 xml:space="preserve">Albacore Tuna </w:t>
            </w:r>
          </w:p>
        </w:tc>
        <w:tc>
          <w:tcPr>
            <w:tcW w:w="2160" w:type="dxa"/>
            <w:noWrap/>
            <w:vAlign w:val="center"/>
          </w:tcPr>
          <w:p w14:paraId="0D18C6C2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14:paraId="0A8DA56B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14:paraId="770FC266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  <w:tr w:rsidR="001C2907" w:rsidRPr="003232AF" w14:paraId="284A8102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01CF981C" w14:textId="77777777" w:rsidR="001C2907" w:rsidRPr="003232AF" w:rsidRDefault="001C2907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Bigeye Tuna</w:t>
            </w:r>
          </w:p>
        </w:tc>
        <w:tc>
          <w:tcPr>
            <w:tcW w:w="2160" w:type="dxa"/>
            <w:noWrap/>
            <w:vAlign w:val="center"/>
          </w:tcPr>
          <w:p w14:paraId="140B0F31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14:paraId="075273F1" w14:textId="77777777" w:rsidR="001C2907" w:rsidRPr="003232AF" w:rsidRDefault="001C2907" w:rsidP="00111859">
            <w:pPr>
              <w:jc w:val="center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14:paraId="0136A452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  <w:tr w:rsidR="001C2907" w:rsidRPr="003232AF" w14:paraId="3CCB128D" w14:textId="77777777" w:rsidTr="74CF773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14:paraId="1A2C54B0" w14:textId="77777777" w:rsidR="001C2907" w:rsidRPr="003232AF" w:rsidRDefault="001C2907" w:rsidP="00111859">
            <w:pPr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Yellowfin Tuna</w:t>
            </w:r>
          </w:p>
        </w:tc>
        <w:tc>
          <w:tcPr>
            <w:tcW w:w="2160" w:type="dxa"/>
            <w:noWrap/>
            <w:vAlign w:val="center"/>
          </w:tcPr>
          <w:p w14:paraId="31B9A9D9" w14:textId="087AC1BF" w:rsidR="001C2907" w:rsidRPr="003232AF" w:rsidRDefault="000C10A2" w:rsidP="74CF773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1C2907" w:rsidRPr="74CF7736">
              <w:rPr>
                <w:rFonts w:cs="Times New Roman"/>
                <w:sz w:val="20"/>
              </w:rPr>
              <w:t>0%</w:t>
            </w:r>
          </w:p>
        </w:tc>
        <w:tc>
          <w:tcPr>
            <w:tcW w:w="2183" w:type="dxa"/>
            <w:noWrap/>
            <w:vAlign w:val="center"/>
          </w:tcPr>
          <w:p w14:paraId="3AB5AF5E" w14:textId="622A2F3E" w:rsidR="001C2907" w:rsidRPr="003232AF" w:rsidRDefault="000C10A2" w:rsidP="74CF773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1C2907" w:rsidRPr="74CF7736">
              <w:rPr>
                <w:rFonts w:cs="Times New Roman"/>
                <w:sz w:val="20"/>
              </w:rPr>
              <w:t>0%</w:t>
            </w:r>
          </w:p>
        </w:tc>
        <w:tc>
          <w:tcPr>
            <w:tcW w:w="1440" w:type="dxa"/>
            <w:noWrap/>
            <w:vAlign w:val="bottom"/>
          </w:tcPr>
          <w:p w14:paraId="67157234" w14:textId="77777777" w:rsidR="001C2907" w:rsidRPr="003232AF" w:rsidRDefault="001C2907" w:rsidP="00111859">
            <w:pPr>
              <w:jc w:val="right"/>
              <w:rPr>
                <w:rFonts w:cs="Times New Roman"/>
                <w:sz w:val="20"/>
              </w:rPr>
            </w:pPr>
            <w:r w:rsidRPr="003232AF">
              <w:rPr>
                <w:rFonts w:cs="Times New Roman"/>
                <w:sz w:val="20"/>
              </w:rPr>
              <w:t>2,000 Kg</w:t>
            </w:r>
          </w:p>
        </w:tc>
      </w:tr>
    </w:tbl>
    <w:p w14:paraId="2C5A0CE0" w14:textId="77777777" w:rsidR="001418FE" w:rsidRPr="00C23563" w:rsidRDefault="001418FE" w:rsidP="00CE438E">
      <w:pPr>
        <w:pStyle w:val="subsection"/>
        <w:ind w:left="0" w:firstLine="0"/>
      </w:pPr>
    </w:p>
    <w:sectPr w:rsidR="001418FE" w:rsidRPr="00C23563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2A5EC" w14:textId="77777777" w:rsidR="00A44C3A" w:rsidRDefault="00A44C3A" w:rsidP="00715914">
      <w:pPr>
        <w:spacing w:line="240" w:lineRule="auto"/>
      </w:pPr>
      <w:r>
        <w:separator/>
      </w:r>
    </w:p>
  </w:endnote>
  <w:endnote w:type="continuationSeparator" w:id="0">
    <w:p w14:paraId="04CFD2FF" w14:textId="77777777" w:rsidR="00A44C3A" w:rsidRDefault="00A44C3A" w:rsidP="00715914">
      <w:pPr>
        <w:spacing w:line="240" w:lineRule="auto"/>
      </w:pPr>
      <w:r>
        <w:continuationSeparator/>
      </w:r>
    </w:p>
  </w:endnote>
  <w:endnote w:type="continuationNotice" w:id="1">
    <w:p w14:paraId="711CF033" w14:textId="77777777" w:rsidR="00A44C3A" w:rsidRDefault="00A44C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E10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5D7486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86533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3428BF" w14:textId="2E68F76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6E27">
            <w:rPr>
              <w:i/>
              <w:noProof/>
              <w:sz w:val="18"/>
            </w:rPr>
            <w:t>Eastern Tuna and Billfish Fishery (Overcatch and Undercatch) Determination (No.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0BFC3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C33942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019EB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1C7475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FC9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57B98E3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32EB5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7A5573" w14:textId="77DA0B0F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6E27">
            <w:rPr>
              <w:i/>
              <w:noProof/>
              <w:sz w:val="18"/>
            </w:rPr>
            <w:t>Eastern Tuna and Billfish Fishery (Overcatch and Undercatch) Determination (No.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2CDA2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2AC6FA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91A67B" w14:textId="77777777" w:rsidR="0072147A" w:rsidRDefault="0072147A" w:rsidP="00A369E3">
          <w:pPr>
            <w:rPr>
              <w:sz w:val="18"/>
            </w:rPr>
          </w:pPr>
        </w:p>
      </w:tc>
    </w:tr>
  </w:tbl>
  <w:p w14:paraId="0C43877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42F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0C44D4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767B9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0129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870B2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5D69DB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1E5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F68B740" w14:textId="77777777" w:rsidTr="00A87A58">
      <w:tc>
        <w:tcPr>
          <w:tcW w:w="365" w:type="pct"/>
        </w:tcPr>
        <w:p w14:paraId="5E30F1E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BC004F" w14:textId="7C05224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6E27">
            <w:rPr>
              <w:i/>
              <w:noProof/>
              <w:sz w:val="18"/>
            </w:rPr>
            <w:t>Eastern Tuna and Billfish Fishery (Overcatch and Undercatch) Determination (No.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6499A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6E2F073" w14:textId="77777777" w:rsidTr="00A87A58">
      <w:tc>
        <w:tcPr>
          <w:tcW w:w="5000" w:type="pct"/>
          <w:gridSpan w:val="3"/>
        </w:tcPr>
        <w:p w14:paraId="2F4AE29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B2F5DD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769D" w14:textId="2E86061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A45A691" w14:textId="77777777" w:rsidTr="00A87A58">
      <w:tc>
        <w:tcPr>
          <w:tcW w:w="947" w:type="pct"/>
        </w:tcPr>
        <w:p w14:paraId="0F00392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69E72E1" w14:textId="676517D9" w:rsidR="00F6696E" w:rsidRDefault="00D75EEF" w:rsidP="000850AC">
          <w:pPr>
            <w:spacing w:line="0" w:lineRule="atLeast"/>
            <w:jc w:val="center"/>
            <w:rPr>
              <w:sz w:val="18"/>
            </w:rPr>
          </w:pPr>
          <w:r w:rsidRPr="00C23563">
            <w:rPr>
              <w:rFonts w:cs="Times New Roman"/>
              <w:i/>
              <w:iCs/>
            </w:rPr>
            <w:t>Eastern Tuna and Billfish Fishery (</w:t>
          </w:r>
          <w:r w:rsidR="00A32D25">
            <w:rPr>
              <w:rFonts w:cs="Times New Roman"/>
              <w:i/>
              <w:iCs/>
            </w:rPr>
            <w:t>Overcatch and Undercatch</w:t>
          </w:r>
          <w:r w:rsidRPr="00C23563">
            <w:rPr>
              <w:rFonts w:cs="Times New Roman"/>
              <w:i/>
              <w:iCs/>
            </w:rPr>
            <w:t xml:space="preserve">) Determination </w:t>
          </w:r>
          <w:r w:rsidR="00310133">
            <w:rPr>
              <w:rFonts w:cs="Times New Roman"/>
              <w:i/>
              <w:iCs/>
            </w:rPr>
            <w:t>(No.2)</w:t>
          </w:r>
          <w:r w:rsidR="008C606B">
            <w:rPr>
              <w:rFonts w:cs="Times New Roman"/>
              <w:i/>
              <w:iCs/>
            </w:rPr>
            <w:t xml:space="preserve"> </w:t>
          </w:r>
          <w:r w:rsidRPr="00C23563">
            <w:rPr>
              <w:rFonts w:cs="Times New Roman"/>
              <w:i/>
              <w:iCs/>
            </w:rPr>
            <w:t>202</w:t>
          </w:r>
          <w:r>
            <w:rPr>
              <w:i/>
              <w:iCs/>
            </w:rPr>
            <w:t>4</w:t>
          </w:r>
        </w:p>
      </w:tc>
      <w:tc>
        <w:tcPr>
          <w:tcW w:w="365" w:type="pct"/>
        </w:tcPr>
        <w:p w14:paraId="57A9DB0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CA6CD7E" w14:textId="77777777" w:rsidTr="00A87A58">
      <w:tc>
        <w:tcPr>
          <w:tcW w:w="5000" w:type="pct"/>
          <w:gridSpan w:val="3"/>
        </w:tcPr>
        <w:p w14:paraId="4D13D387" w14:textId="77777777" w:rsidR="00F6696E" w:rsidRDefault="00F6696E" w:rsidP="000850AC">
          <w:pPr>
            <w:rPr>
              <w:sz w:val="18"/>
            </w:rPr>
          </w:pPr>
        </w:p>
      </w:tc>
    </w:tr>
  </w:tbl>
  <w:p w14:paraId="76262061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1F9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92114FB" w14:textId="77777777" w:rsidTr="00A87A58">
      <w:tc>
        <w:tcPr>
          <w:tcW w:w="365" w:type="pct"/>
        </w:tcPr>
        <w:p w14:paraId="3925729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CAAE8EB" w14:textId="30803E71" w:rsidR="008C2EAC" w:rsidRDefault="00D75EEF" w:rsidP="000850AC">
          <w:pPr>
            <w:spacing w:line="0" w:lineRule="atLeast"/>
            <w:jc w:val="center"/>
            <w:rPr>
              <w:sz w:val="18"/>
            </w:rPr>
          </w:pPr>
          <w:r w:rsidRPr="00C23563">
            <w:rPr>
              <w:rFonts w:cs="Times New Roman"/>
              <w:i/>
              <w:iCs/>
            </w:rPr>
            <w:t>Eastern Tuna and Billfish Fishery (</w:t>
          </w:r>
          <w:r w:rsidR="00C47BBB">
            <w:rPr>
              <w:rFonts w:cs="Times New Roman"/>
              <w:i/>
              <w:iCs/>
            </w:rPr>
            <w:t>Overcatch and Undercatch</w:t>
          </w:r>
          <w:r w:rsidRPr="00C23563">
            <w:rPr>
              <w:rFonts w:cs="Times New Roman"/>
              <w:i/>
              <w:iCs/>
            </w:rPr>
            <w:t xml:space="preserve">) Determination </w:t>
          </w:r>
          <w:r w:rsidR="00B33065">
            <w:rPr>
              <w:rFonts w:cs="Times New Roman"/>
              <w:i/>
              <w:iCs/>
            </w:rPr>
            <w:t>(No.</w:t>
          </w:r>
          <w:r w:rsidR="00310133">
            <w:rPr>
              <w:rFonts w:cs="Times New Roman"/>
              <w:i/>
              <w:iCs/>
            </w:rPr>
            <w:t xml:space="preserve">2) </w:t>
          </w:r>
          <w:r w:rsidRPr="00C23563">
            <w:rPr>
              <w:rFonts w:cs="Times New Roman"/>
              <w:i/>
              <w:iCs/>
            </w:rPr>
            <w:t>202</w:t>
          </w:r>
          <w:r>
            <w:rPr>
              <w:i/>
              <w:iCs/>
            </w:rPr>
            <w:t>4</w:t>
          </w:r>
        </w:p>
      </w:tc>
      <w:tc>
        <w:tcPr>
          <w:tcW w:w="947" w:type="pct"/>
        </w:tcPr>
        <w:p w14:paraId="73B6712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B9EB44E" w14:textId="77777777" w:rsidTr="00A87A58">
      <w:tc>
        <w:tcPr>
          <w:tcW w:w="5000" w:type="pct"/>
          <w:gridSpan w:val="3"/>
        </w:tcPr>
        <w:p w14:paraId="452EB33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277CDF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EA3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C184679" w14:textId="77777777" w:rsidTr="00A87A58">
      <w:tc>
        <w:tcPr>
          <w:tcW w:w="947" w:type="pct"/>
        </w:tcPr>
        <w:p w14:paraId="75806A4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7A9410" w14:textId="61F4175B" w:rsidR="008C2EAC" w:rsidRDefault="00D75EEF" w:rsidP="000850AC">
          <w:pPr>
            <w:spacing w:line="0" w:lineRule="atLeast"/>
            <w:jc w:val="center"/>
            <w:rPr>
              <w:sz w:val="18"/>
            </w:rPr>
          </w:pPr>
          <w:r w:rsidRPr="00C23563">
            <w:rPr>
              <w:rFonts w:cs="Times New Roman"/>
              <w:i/>
              <w:iCs/>
            </w:rPr>
            <w:t>Eastern Tuna and Billfish Fishery (</w:t>
          </w:r>
          <w:r w:rsidR="00C47BBB">
            <w:rPr>
              <w:rFonts w:cs="Times New Roman"/>
              <w:i/>
              <w:iCs/>
            </w:rPr>
            <w:t>Overcatch and Undercatch</w:t>
          </w:r>
          <w:r w:rsidRPr="00C23563">
            <w:rPr>
              <w:rFonts w:cs="Times New Roman"/>
              <w:i/>
              <w:iCs/>
            </w:rPr>
            <w:t>) Determination</w:t>
          </w:r>
          <w:r w:rsidR="00310133">
            <w:rPr>
              <w:rFonts w:cs="Times New Roman"/>
              <w:i/>
              <w:iCs/>
            </w:rPr>
            <w:t xml:space="preserve"> (No.2)</w:t>
          </w:r>
          <w:r w:rsidR="00B33065">
            <w:rPr>
              <w:rFonts w:cs="Times New Roman"/>
              <w:i/>
              <w:iCs/>
            </w:rPr>
            <w:t xml:space="preserve"> </w:t>
          </w:r>
          <w:r w:rsidRPr="00C23563">
            <w:rPr>
              <w:rFonts w:cs="Times New Roman"/>
              <w:i/>
              <w:iCs/>
            </w:rPr>
            <w:t>202</w:t>
          </w:r>
          <w:r>
            <w:rPr>
              <w:i/>
              <w:iCs/>
            </w:rPr>
            <w:t>4</w:t>
          </w:r>
        </w:p>
      </w:tc>
      <w:tc>
        <w:tcPr>
          <w:tcW w:w="365" w:type="pct"/>
        </w:tcPr>
        <w:p w14:paraId="2B8F1B5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3AAC5EF" w14:textId="77777777" w:rsidTr="00A87A58">
      <w:tc>
        <w:tcPr>
          <w:tcW w:w="5000" w:type="pct"/>
          <w:gridSpan w:val="3"/>
        </w:tcPr>
        <w:p w14:paraId="3A546B72" w14:textId="77777777" w:rsidR="008C2EAC" w:rsidRDefault="008C2EAC" w:rsidP="000850AC">
          <w:pPr>
            <w:rPr>
              <w:sz w:val="18"/>
            </w:rPr>
          </w:pPr>
        </w:p>
      </w:tc>
    </w:tr>
  </w:tbl>
  <w:p w14:paraId="597853A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807A" w14:textId="77777777" w:rsidR="00A44C3A" w:rsidRDefault="00A44C3A" w:rsidP="00715914">
      <w:pPr>
        <w:spacing w:line="240" w:lineRule="auto"/>
      </w:pPr>
      <w:r>
        <w:separator/>
      </w:r>
    </w:p>
  </w:footnote>
  <w:footnote w:type="continuationSeparator" w:id="0">
    <w:p w14:paraId="4DACED89" w14:textId="77777777" w:rsidR="00A44C3A" w:rsidRDefault="00A44C3A" w:rsidP="00715914">
      <w:pPr>
        <w:spacing w:line="240" w:lineRule="auto"/>
      </w:pPr>
      <w:r>
        <w:continuationSeparator/>
      </w:r>
    </w:p>
  </w:footnote>
  <w:footnote w:type="continuationNotice" w:id="1">
    <w:p w14:paraId="65B440FB" w14:textId="77777777" w:rsidR="00A44C3A" w:rsidRDefault="00A44C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2FD9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4C0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318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520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16A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483F" w14:textId="77777777" w:rsidR="004E1307" w:rsidRDefault="004E1307" w:rsidP="00715914">
    <w:pPr>
      <w:rPr>
        <w:sz w:val="20"/>
      </w:rPr>
    </w:pPr>
  </w:p>
  <w:p w14:paraId="1139659E" w14:textId="77777777" w:rsidR="004E1307" w:rsidRDefault="004E1307" w:rsidP="00715914">
    <w:pPr>
      <w:rPr>
        <w:sz w:val="20"/>
      </w:rPr>
    </w:pPr>
  </w:p>
  <w:p w14:paraId="61FC11DF" w14:textId="77777777" w:rsidR="004E1307" w:rsidRPr="007A1328" w:rsidRDefault="004E1307" w:rsidP="00715914">
    <w:pPr>
      <w:rPr>
        <w:sz w:val="20"/>
      </w:rPr>
    </w:pPr>
  </w:p>
  <w:p w14:paraId="1E46900D" w14:textId="77777777" w:rsidR="004E1307" w:rsidRPr="007A1328" w:rsidRDefault="004E1307" w:rsidP="00715914">
    <w:pPr>
      <w:rPr>
        <w:b/>
        <w:sz w:val="24"/>
      </w:rPr>
    </w:pPr>
  </w:p>
  <w:p w14:paraId="1410F5C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0693" w14:textId="77777777" w:rsidR="004E1307" w:rsidRPr="007A1328" w:rsidRDefault="004E1307" w:rsidP="00715914">
    <w:pPr>
      <w:jc w:val="right"/>
      <w:rPr>
        <w:sz w:val="20"/>
      </w:rPr>
    </w:pPr>
  </w:p>
  <w:p w14:paraId="37190161" w14:textId="77777777" w:rsidR="004E1307" w:rsidRPr="007A1328" w:rsidRDefault="004E1307" w:rsidP="00715914">
    <w:pPr>
      <w:jc w:val="right"/>
      <w:rPr>
        <w:sz w:val="20"/>
      </w:rPr>
    </w:pPr>
  </w:p>
  <w:p w14:paraId="5556C71F" w14:textId="77777777" w:rsidR="004E1307" w:rsidRPr="007A1328" w:rsidRDefault="004E1307" w:rsidP="00715914">
    <w:pPr>
      <w:jc w:val="right"/>
      <w:rPr>
        <w:sz w:val="20"/>
      </w:rPr>
    </w:pPr>
  </w:p>
  <w:p w14:paraId="7D21C4C7" w14:textId="77777777" w:rsidR="004E1307" w:rsidRPr="007A1328" w:rsidRDefault="004E1307" w:rsidP="00715914">
    <w:pPr>
      <w:jc w:val="right"/>
      <w:rPr>
        <w:b/>
        <w:sz w:val="24"/>
      </w:rPr>
    </w:pPr>
  </w:p>
  <w:p w14:paraId="1387024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5526"/>
        </w:tabs>
        <w:ind w:left="5526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F764D2"/>
    <w:multiLevelType w:val="hybridMultilevel"/>
    <w:tmpl w:val="24D8D570"/>
    <w:lvl w:ilvl="0" w:tplc="69A0B1A0">
      <w:start w:val="1"/>
      <w:numFmt w:val="lowerLetter"/>
      <w:lvlText w:val="(%1)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3" w15:restartNumberingAfterBreak="0">
    <w:nsid w:val="2964125E"/>
    <w:multiLevelType w:val="hybridMultilevel"/>
    <w:tmpl w:val="D8C2305E"/>
    <w:lvl w:ilvl="0" w:tplc="69A0B1A0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4" w15:restartNumberingAfterBreak="0">
    <w:nsid w:val="2AFF234C"/>
    <w:multiLevelType w:val="hybridMultilevel"/>
    <w:tmpl w:val="16528C4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7D9AE8BC">
      <w:start w:val="1"/>
      <w:numFmt w:val="lowerLetter"/>
      <w:lvlText w:val="(%2)"/>
      <w:lvlJc w:val="left"/>
      <w:pPr>
        <w:ind w:left="2175" w:hanging="37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056C78"/>
    <w:multiLevelType w:val="hybridMultilevel"/>
    <w:tmpl w:val="E2E63E5A"/>
    <w:lvl w:ilvl="0" w:tplc="634CBD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0BD65FE"/>
    <w:multiLevelType w:val="hybridMultilevel"/>
    <w:tmpl w:val="E750995C"/>
    <w:lvl w:ilvl="0" w:tplc="A5ECFBD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8024CE"/>
    <w:multiLevelType w:val="hybridMultilevel"/>
    <w:tmpl w:val="654EF060"/>
    <w:lvl w:ilvl="0" w:tplc="63563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1B4C"/>
    <w:multiLevelType w:val="hybridMultilevel"/>
    <w:tmpl w:val="6DD27B12"/>
    <w:lvl w:ilvl="0" w:tplc="5FDCE2C0">
      <w:start w:val="1"/>
      <w:numFmt w:val="decimal"/>
      <w:lvlText w:val="(%1)"/>
      <w:lvlJc w:val="left"/>
      <w:pPr>
        <w:ind w:left="136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057E38"/>
    <w:multiLevelType w:val="hybridMultilevel"/>
    <w:tmpl w:val="FFF4D31C"/>
    <w:lvl w:ilvl="0" w:tplc="69A0B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69A0B1A0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516FB"/>
    <w:multiLevelType w:val="hybridMultilevel"/>
    <w:tmpl w:val="7C007CC2"/>
    <w:lvl w:ilvl="0" w:tplc="69A0B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E413D"/>
    <w:multiLevelType w:val="hybridMultilevel"/>
    <w:tmpl w:val="D9485DFA"/>
    <w:lvl w:ilvl="0" w:tplc="634CBD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68449965">
    <w:abstractNumId w:val="9"/>
  </w:num>
  <w:num w:numId="2" w16cid:durableId="226112038">
    <w:abstractNumId w:val="7"/>
  </w:num>
  <w:num w:numId="3" w16cid:durableId="1756659451">
    <w:abstractNumId w:val="6"/>
  </w:num>
  <w:num w:numId="4" w16cid:durableId="605574473">
    <w:abstractNumId w:val="5"/>
  </w:num>
  <w:num w:numId="5" w16cid:durableId="1127966726">
    <w:abstractNumId w:val="4"/>
  </w:num>
  <w:num w:numId="6" w16cid:durableId="1495222418">
    <w:abstractNumId w:val="8"/>
  </w:num>
  <w:num w:numId="7" w16cid:durableId="1072891649">
    <w:abstractNumId w:val="3"/>
  </w:num>
  <w:num w:numId="8" w16cid:durableId="1999113792">
    <w:abstractNumId w:val="2"/>
  </w:num>
  <w:num w:numId="9" w16cid:durableId="1730418549">
    <w:abstractNumId w:val="1"/>
  </w:num>
  <w:num w:numId="10" w16cid:durableId="797187400">
    <w:abstractNumId w:val="0"/>
  </w:num>
  <w:num w:numId="11" w16cid:durableId="172762233">
    <w:abstractNumId w:val="16"/>
  </w:num>
  <w:num w:numId="12" w16cid:durableId="91626868">
    <w:abstractNumId w:val="10"/>
  </w:num>
  <w:num w:numId="13" w16cid:durableId="1972900706">
    <w:abstractNumId w:val="11"/>
  </w:num>
  <w:num w:numId="14" w16cid:durableId="424152196">
    <w:abstractNumId w:val="18"/>
  </w:num>
  <w:num w:numId="15" w16cid:durableId="658194703">
    <w:abstractNumId w:val="17"/>
  </w:num>
  <w:num w:numId="16" w16cid:durableId="1903248990">
    <w:abstractNumId w:val="13"/>
  </w:num>
  <w:num w:numId="17" w16cid:durableId="1767530457">
    <w:abstractNumId w:val="15"/>
  </w:num>
  <w:num w:numId="18" w16cid:durableId="908657166">
    <w:abstractNumId w:val="22"/>
  </w:num>
  <w:num w:numId="19" w16cid:durableId="569848496">
    <w:abstractNumId w:val="14"/>
  </w:num>
  <w:num w:numId="20" w16cid:durableId="880557341">
    <w:abstractNumId w:val="19"/>
  </w:num>
  <w:num w:numId="21" w16cid:durableId="1354188976">
    <w:abstractNumId w:val="21"/>
  </w:num>
  <w:num w:numId="22" w16cid:durableId="354429363">
    <w:abstractNumId w:val="20"/>
  </w:num>
  <w:num w:numId="23" w16cid:durableId="2045597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FF"/>
    <w:rsid w:val="00003770"/>
    <w:rsid w:val="00004174"/>
    <w:rsid w:val="00004470"/>
    <w:rsid w:val="000136AF"/>
    <w:rsid w:val="00022246"/>
    <w:rsid w:val="000258B1"/>
    <w:rsid w:val="00036C73"/>
    <w:rsid w:val="00037573"/>
    <w:rsid w:val="00040A89"/>
    <w:rsid w:val="000437C1"/>
    <w:rsid w:val="0004455A"/>
    <w:rsid w:val="0005365D"/>
    <w:rsid w:val="00055B1B"/>
    <w:rsid w:val="00056187"/>
    <w:rsid w:val="000614BF"/>
    <w:rsid w:val="00062A4D"/>
    <w:rsid w:val="00064C31"/>
    <w:rsid w:val="0006709C"/>
    <w:rsid w:val="00074376"/>
    <w:rsid w:val="0009514A"/>
    <w:rsid w:val="000978F5"/>
    <w:rsid w:val="000A2993"/>
    <w:rsid w:val="000A44C9"/>
    <w:rsid w:val="000A535F"/>
    <w:rsid w:val="000B15CD"/>
    <w:rsid w:val="000B35EB"/>
    <w:rsid w:val="000C10A2"/>
    <w:rsid w:val="000C15FD"/>
    <w:rsid w:val="000D05EF"/>
    <w:rsid w:val="000D37BB"/>
    <w:rsid w:val="000E2261"/>
    <w:rsid w:val="000E50BC"/>
    <w:rsid w:val="000E63ED"/>
    <w:rsid w:val="000E78B7"/>
    <w:rsid w:val="000F15B2"/>
    <w:rsid w:val="000F21C1"/>
    <w:rsid w:val="000F5B02"/>
    <w:rsid w:val="0010745C"/>
    <w:rsid w:val="00111859"/>
    <w:rsid w:val="00111F1B"/>
    <w:rsid w:val="001206F0"/>
    <w:rsid w:val="00132907"/>
    <w:rsid w:val="00132CEB"/>
    <w:rsid w:val="001339B0"/>
    <w:rsid w:val="001418FE"/>
    <w:rsid w:val="00142B62"/>
    <w:rsid w:val="001441B7"/>
    <w:rsid w:val="00145EC6"/>
    <w:rsid w:val="00146E62"/>
    <w:rsid w:val="001516CB"/>
    <w:rsid w:val="0015176B"/>
    <w:rsid w:val="00152336"/>
    <w:rsid w:val="00153642"/>
    <w:rsid w:val="00157B8B"/>
    <w:rsid w:val="00166C2F"/>
    <w:rsid w:val="00171E15"/>
    <w:rsid w:val="00175B33"/>
    <w:rsid w:val="001809D7"/>
    <w:rsid w:val="001848BD"/>
    <w:rsid w:val="001939E1"/>
    <w:rsid w:val="00194C3E"/>
    <w:rsid w:val="00195382"/>
    <w:rsid w:val="001A33F4"/>
    <w:rsid w:val="001A35C0"/>
    <w:rsid w:val="001B2CB6"/>
    <w:rsid w:val="001C2907"/>
    <w:rsid w:val="001C61C5"/>
    <w:rsid w:val="001C69C4"/>
    <w:rsid w:val="001D37EF"/>
    <w:rsid w:val="001D3CD4"/>
    <w:rsid w:val="001E3590"/>
    <w:rsid w:val="001E4DF2"/>
    <w:rsid w:val="001E519E"/>
    <w:rsid w:val="001E539D"/>
    <w:rsid w:val="001E7407"/>
    <w:rsid w:val="001F2799"/>
    <w:rsid w:val="001F5D5E"/>
    <w:rsid w:val="001F5FDF"/>
    <w:rsid w:val="001F6219"/>
    <w:rsid w:val="001F6CD4"/>
    <w:rsid w:val="00206C4D"/>
    <w:rsid w:val="00214B3D"/>
    <w:rsid w:val="00215AF1"/>
    <w:rsid w:val="00220FA0"/>
    <w:rsid w:val="00222957"/>
    <w:rsid w:val="00227C4E"/>
    <w:rsid w:val="00230538"/>
    <w:rsid w:val="002321E8"/>
    <w:rsid w:val="00232984"/>
    <w:rsid w:val="0024010F"/>
    <w:rsid w:val="00240749"/>
    <w:rsid w:val="00243018"/>
    <w:rsid w:val="00246E27"/>
    <w:rsid w:val="00247353"/>
    <w:rsid w:val="00250A80"/>
    <w:rsid w:val="002564A4"/>
    <w:rsid w:val="0026736C"/>
    <w:rsid w:val="00270857"/>
    <w:rsid w:val="00273FB3"/>
    <w:rsid w:val="00281308"/>
    <w:rsid w:val="00282A3A"/>
    <w:rsid w:val="00283895"/>
    <w:rsid w:val="00284719"/>
    <w:rsid w:val="002866C5"/>
    <w:rsid w:val="00293669"/>
    <w:rsid w:val="00296B08"/>
    <w:rsid w:val="00297ECB"/>
    <w:rsid w:val="002A7BCF"/>
    <w:rsid w:val="002B3C2D"/>
    <w:rsid w:val="002B6E0F"/>
    <w:rsid w:val="002C31BF"/>
    <w:rsid w:val="002C3FD1"/>
    <w:rsid w:val="002D043A"/>
    <w:rsid w:val="002D266B"/>
    <w:rsid w:val="002D6224"/>
    <w:rsid w:val="002D7FEF"/>
    <w:rsid w:val="002E6A55"/>
    <w:rsid w:val="002F2577"/>
    <w:rsid w:val="00304F8B"/>
    <w:rsid w:val="00310133"/>
    <w:rsid w:val="00315EDD"/>
    <w:rsid w:val="003232AF"/>
    <w:rsid w:val="003268F5"/>
    <w:rsid w:val="00335BC6"/>
    <w:rsid w:val="003415D3"/>
    <w:rsid w:val="0034224C"/>
    <w:rsid w:val="00344338"/>
    <w:rsid w:val="00344701"/>
    <w:rsid w:val="00346462"/>
    <w:rsid w:val="00352B0F"/>
    <w:rsid w:val="003574FB"/>
    <w:rsid w:val="00360459"/>
    <w:rsid w:val="003640EC"/>
    <w:rsid w:val="003735CA"/>
    <w:rsid w:val="00377421"/>
    <w:rsid w:val="0038049F"/>
    <w:rsid w:val="00385653"/>
    <w:rsid w:val="003903DB"/>
    <w:rsid w:val="00396BCF"/>
    <w:rsid w:val="003A649A"/>
    <w:rsid w:val="003A6830"/>
    <w:rsid w:val="003B2589"/>
    <w:rsid w:val="003C6231"/>
    <w:rsid w:val="003C7E11"/>
    <w:rsid w:val="003D0BFE"/>
    <w:rsid w:val="003D5700"/>
    <w:rsid w:val="003E341B"/>
    <w:rsid w:val="003E4D00"/>
    <w:rsid w:val="0040027E"/>
    <w:rsid w:val="00401C60"/>
    <w:rsid w:val="00404239"/>
    <w:rsid w:val="004116CD"/>
    <w:rsid w:val="00417EB9"/>
    <w:rsid w:val="00424CA9"/>
    <w:rsid w:val="00424FEC"/>
    <w:rsid w:val="004254EE"/>
    <w:rsid w:val="004276DF"/>
    <w:rsid w:val="00427FB6"/>
    <w:rsid w:val="00431DB2"/>
    <w:rsid w:val="00431E9B"/>
    <w:rsid w:val="004379E3"/>
    <w:rsid w:val="0044015E"/>
    <w:rsid w:val="0044291A"/>
    <w:rsid w:val="0045110C"/>
    <w:rsid w:val="00460D71"/>
    <w:rsid w:val="00467661"/>
    <w:rsid w:val="00472DBE"/>
    <w:rsid w:val="004738FA"/>
    <w:rsid w:val="00474A19"/>
    <w:rsid w:val="00477830"/>
    <w:rsid w:val="00485DCC"/>
    <w:rsid w:val="00487764"/>
    <w:rsid w:val="004910B8"/>
    <w:rsid w:val="00494319"/>
    <w:rsid w:val="0049656A"/>
    <w:rsid w:val="00496F97"/>
    <w:rsid w:val="004A429F"/>
    <w:rsid w:val="004A6DBA"/>
    <w:rsid w:val="004B410B"/>
    <w:rsid w:val="004B63E6"/>
    <w:rsid w:val="004B6C48"/>
    <w:rsid w:val="004C103E"/>
    <w:rsid w:val="004C1799"/>
    <w:rsid w:val="004C32BF"/>
    <w:rsid w:val="004C4E59"/>
    <w:rsid w:val="004C6809"/>
    <w:rsid w:val="004E063A"/>
    <w:rsid w:val="004E1307"/>
    <w:rsid w:val="004E602B"/>
    <w:rsid w:val="004E7BEC"/>
    <w:rsid w:val="00505D3D"/>
    <w:rsid w:val="00506AF6"/>
    <w:rsid w:val="00507EAC"/>
    <w:rsid w:val="00516B8D"/>
    <w:rsid w:val="00517A1B"/>
    <w:rsid w:val="005266D2"/>
    <w:rsid w:val="005303BA"/>
    <w:rsid w:val="005303C8"/>
    <w:rsid w:val="00531274"/>
    <w:rsid w:val="00532D4E"/>
    <w:rsid w:val="00533C12"/>
    <w:rsid w:val="005370B2"/>
    <w:rsid w:val="00537FBC"/>
    <w:rsid w:val="00544351"/>
    <w:rsid w:val="00554826"/>
    <w:rsid w:val="005556E8"/>
    <w:rsid w:val="00562877"/>
    <w:rsid w:val="005720FA"/>
    <w:rsid w:val="00584811"/>
    <w:rsid w:val="00585784"/>
    <w:rsid w:val="00590C5A"/>
    <w:rsid w:val="00591085"/>
    <w:rsid w:val="00593AA6"/>
    <w:rsid w:val="00594161"/>
    <w:rsid w:val="00594749"/>
    <w:rsid w:val="00595D32"/>
    <w:rsid w:val="00597863"/>
    <w:rsid w:val="005A65D5"/>
    <w:rsid w:val="005B4067"/>
    <w:rsid w:val="005C0984"/>
    <w:rsid w:val="005C3F41"/>
    <w:rsid w:val="005C5051"/>
    <w:rsid w:val="005C7ACA"/>
    <w:rsid w:val="005D1D92"/>
    <w:rsid w:val="005D2D09"/>
    <w:rsid w:val="005D6808"/>
    <w:rsid w:val="005F0416"/>
    <w:rsid w:val="005F3374"/>
    <w:rsid w:val="00600219"/>
    <w:rsid w:val="0060116E"/>
    <w:rsid w:val="00604F2A"/>
    <w:rsid w:val="006062E2"/>
    <w:rsid w:val="006068FB"/>
    <w:rsid w:val="00620076"/>
    <w:rsid w:val="006226A8"/>
    <w:rsid w:val="00625D30"/>
    <w:rsid w:val="00627096"/>
    <w:rsid w:val="00627E0A"/>
    <w:rsid w:val="00632D0F"/>
    <w:rsid w:val="00636410"/>
    <w:rsid w:val="00640C59"/>
    <w:rsid w:val="00643351"/>
    <w:rsid w:val="0065488B"/>
    <w:rsid w:val="006637DD"/>
    <w:rsid w:val="00670EA1"/>
    <w:rsid w:val="006718A2"/>
    <w:rsid w:val="00673337"/>
    <w:rsid w:val="00674515"/>
    <w:rsid w:val="006756EB"/>
    <w:rsid w:val="00677CC2"/>
    <w:rsid w:val="00683582"/>
    <w:rsid w:val="0068744B"/>
    <w:rsid w:val="00687FEA"/>
    <w:rsid w:val="006905DE"/>
    <w:rsid w:val="0069207B"/>
    <w:rsid w:val="00692E20"/>
    <w:rsid w:val="00693187"/>
    <w:rsid w:val="006A154F"/>
    <w:rsid w:val="006A272D"/>
    <w:rsid w:val="006A3225"/>
    <w:rsid w:val="006A437B"/>
    <w:rsid w:val="006A73D1"/>
    <w:rsid w:val="006B0C36"/>
    <w:rsid w:val="006B501F"/>
    <w:rsid w:val="006B5789"/>
    <w:rsid w:val="006C30C5"/>
    <w:rsid w:val="006C4009"/>
    <w:rsid w:val="006C7F8C"/>
    <w:rsid w:val="006D11FF"/>
    <w:rsid w:val="006D4E6C"/>
    <w:rsid w:val="006E0FF7"/>
    <w:rsid w:val="006E1B6F"/>
    <w:rsid w:val="006E2E1C"/>
    <w:rsid w:val="006E6246"/>
    <w:rsid w:val="006E69C2"/>
    <w:rsid w:val="006E6DCC"/>
    <w:rsid w:val="006E7AB5"/>
    <w:rsid w:val="006F318F"/>
    <w:rsid w:val="0070017E"/>
    <w:rsid w:val="00700B2C"/>
    <w:rsid w:val="00703D7A"/>
    <w:rsid w:val="00704ADD"/>
    <w:rsid w:val="007050A2"/>
    <w:rsid w:val="007067E0"/>
    <w:rsid w:val="0071026E"/>
    <w:rsid w:val="00713084"/>
    <w:rsid w:val="00714F20"/>
    <w:rsid w:val="0071590F"/>
    <w:rsid w:val="00715914"/>
    <w:rsid w:val="007161A6"/>
    <w:rsid w:val="00720B46"/>
    <w:rsid w:val="0072147A"/>
    <w:rsid w:val="00723791"/>
    <w:rsid w:val="00731E00"/>
    <w:rsid w:val="007440B7"/>
    <w:rsid w:val="007500C8"/>
    <w:rsid w:val="00754E8A"/>
    <w:rsid w:val="00756272"/>
    <w:rsid w:val="00762D38"/>
    <w:rsid w:val="0076632F"/>
    <w:rsid w:val="007715C9"/>
    <w:rsid w:val="00771613"/>
    <w:rsid w:val="00774EDD"/>
    <w:rsid w:val="007757EC"/>
    <w:rsid w:val="00783E89"/>
    <w:rsid w:val="00793915"/>
    <w:rsid w:val="00795989"/>
    <w:rsid w:val="007B557E"/>
    <w:rsid w:val="007C2253"/>
    <w:rsid w:val="007D7911"/>
    <w:rsid w:val="007E163D"/>
    <w:rsid w:val="007E391A"/>
    <w:rsid w:val="007E667A"/>
    <w:rsid w:val="007F05DF"/>
    <w:rsid w:val="007F28C9"/>
    <w:rsid w:val="007F31DE"/>
    <w:rsid w:val="007F4D93"/>
    <w:rsid w:val="007F51B2"/>
    <w:rsid w:val="00801BC0"/>
    <w:rsid w:val="008029C7"/>
    <w:rsid w:val="008040DD"/>
    <w:rsid w:val="008117E9"/>
    <w:rsid w:val="00824498"/>
    <w:rsid w:val="00826BD1"/>
    <w:rsid w:val="00832339"/>
    <w:rsid w:val="00834E9E"/>
    <w:rsid w:val="0083659D"/>
    <w:rsid w:val="00854D0B"/>
    <w:rsid w:val="00856A31"/>
    <w:rsid w:val="00860B4E"/>
    <w:rsid w:val="00866967"/>
    <w:rsid w:val="00867B37"/>
    <w:rsid w:val="008754D0"/>
    <w:rsid w:val="008758B2"/>
    <w:rsid w:val="00875D13"/>
    <w:rsid w:val="008806B9"/>
    <w:rsid w:val="0088118A"/>
    <w:rsid w:val="008855C9"/>
    <w:rsid w:val="0088581C"/>
    <w:rsid w:val="00886456"/>
    <w:rsid w:val="00896176"/>
    <w:rsid w:val="008A2ADD"/>
    <w:rsid w:val="008A46E1"/>
    <w:rsid w:val="008A4AB0"/>
    <w:rsid w:val="008A4F43"/>
    <w:rsid w:val="008B2706"/>
    <w:rsid w:val="008C2E27"/>
    <w:rsid w:val="008C2EAC"/>
    <w:rsid w:val="008C606B"/>
    <w:rsid w:val="008C61BB"/>
    <w:rsid w:val="008D048A"/>
    <w:rsid w:val="008D0EE0"/>
    <w:rsid w:val="008D26B6"/>
    <w:rsid w:val="008D3341"/>
    <w:rsid w:val="008D5F5A"/>
    <w:rsid w:val="008E0027"/>
    <w:rsid w:val="008E0466"/>
    <w:rsid w:val="008E152E"/>
    <w:rsid w:val="008E1540"/>
    <w:rsid w:val="008E6067"/>
    <w:rsid w:val="008F54E7"/>
    <w:rsid w:val="008F629B"/>
    <w:rsid w:val="00903422"/>
    <w:rsid w:val="009254C3"/>
    <w:rsid w:val="00926315"/>
    <w:rsid w:val="00931D19"/>
    <w:rsid w:val="00932377"/>
    <w:rsid w:val="00941236"/>
    <w:rsid w:val="00943FD5"/>
    <w:rsid w:val="00947D5A"/>
    <w:rsid w:val="009532A5"/>
    <w:rsid w:val="009545BD"/>
    <w:rsid w:val="009601F7"/>
    <w:rsid w:val="0096241C"/>
    <w:rsid w:val="00963595"/>
    <w:rsid w:val="00964CF0"/>
    <w:rsid w:val="00967DE6"/>
    <w:rsid w:val="00977806"/>
    <w:rsid w:val="00982242"/>
    <w:rsid w:val="009868E9"/>
    <w:rsid w:val="009900A3"/>
    <w:rsid w:val="00990C35"/>
    <w:rsid w:val="00990F5E"/>
    <w:rsid w:val="00993488"/>
    <w:rsid w:val="009B18FC"/>
    <w:rsid w:val="009B5C22"/>
    <w:rsid w:val="009C3413"/>
    <w:rsid w:val="009D2A3A"/>
    <w:rsid w:val="009D70F8"/>
    <w:rsid w:val="009D72EC"/>
    <w:rsid w:val="009E555D"/>
    <w:rsid w:val="00A0172D"/>
    <w:rsid w:val="00A0441E"/>
    <w:rsid w:val="00A117A5"/>
    <w:rsid w:val="00A12128"/>
    <w:rsid w:val="00A128CD"/>
    <w:rsid w:val="00A21847"/>
    <w:rsid w:val="00A22C98"/>
    <w:rsid w:val="00A231E2"/>
    <w:rsid w:val="00A261EE"/>
    <w:rsid w:val="00A2668D"/>
    <w:rsid w:val="00A32D25"/>
    <w:rsid w:val="00A369E3"/>
    <w:rsid w:val="00A36DE0"/>
    <w:rsid w:val="00A44C3A"/>
    <w:rsid w:val="00A46E14"/>
    <w:rsid w:val="00A47CE7"/>
    <w:rsid w:val="00A57157"/>
    <w:rsid w:val="00A57600"/>
    <w:rsid w:val="00A64912"/>
    <w:rsid w:val="00A70A74"/>
    <w:rsid w:val="00A725F8"/>
    <w:rsid w:val="00A729A1"/>
    <w:rsid w:val="00A75C28"/>
    <w:rsid w:val="00A75FE9"/>
    <w:rsid w:val="00A9112C"/>
    <w:rsid w:val="00AA73F7"/>
    <w:rsid w:val="00AB0701"/>
    <w:rsid w:val="00AC04E9"/>
    <w:rsid w:val="00AD53CC"/>
    <w:rsid w:val="00AD5641"/>
    <w:rsid w:val="00AD7A37"/>
    <w:rsid w:val="00AE379F"/>
    <w:rsid w:val="00AF06CF"/>
    <w:rsid w:val="00AF1207"/>
    <w:rsid w:val="00B05C2D"/>
    <w:rsid w:val="00B07CDB"/>
    <w:rsid w:val="00B1348F"/>
    <w:rsid w:val="00B16A31"/>
    <w:rsid w:val="00B17DFD"/>
    <w:rsid w:val="00B25306"/>
    <w:rsid w:val="00B27831"/>
    <w:rsid w:val="00B308FE"/>
    <w:rsid w:val="00B30995"/>
    <w:rsid w:val="00B33065"/>
    <w:rsid w:val="00B33709"/>
    <w:rsid w:val="00B33B3C"/>
    <w:rsid w:val="00B36392"/>
    <w:rsid w:val="00B418CB"/>
    <w:rsid w:val="00B4600C"/>
    <w:rsid w:val="00B47444"/>
    <w:rsid w:val="00B50ADC"/>
    <w:rsid w:val="00B566B1"/>
    <w:rsid w:val="00B63834"/>
    <w:rsid w:val="00B66FCB"/>
    <w:rsid w:val="00B67FEA"/>
    <w:rsid w:val="00B80199"/>
    <w:rsid w:val="00B83204"/>
    <w:rsid w:val="00B856E7"/>
    <w:rsid w:val="00B91F09"/>
    <w:rsid w:val="00B92460"/>
    <w:rsid w:val="00BA1CF4"/>
    <w:rsid w:val="00BA220B"/>
    <w:rsid w:val="00BA3A57"/>
    <w:rsid w:val="00BA407A"/>
    <w:rsid w:val="00BB0DB3"/>
    <w:rsid w:val="00BB1533"/>
    <w:rsid w:val="00BB1E19"/>
    <w:rsid w:val="00BB4E1A"/>
    <w:rsid w:val="00BC015E"/>
    <w:rsid w:val="00BC0D1F"/>
    <w:rsid w:val="00BC1440"/>
    <w:rsid w:val="00BC639A"/>
    <w:rsid w:val="00BC76AC"/>
    <w:rsid w:val="00BD0ECB"/>
    <w:rsid w:val="00BD1B64"/>
    <w:rsid w:val="00BD4F33"/>
    <w:rsid w:val="00BE12F8"/>
    <w:rsid w:val="00BE2155"/>
    <w:rsid w:val="00BE61D3"/>
    <w:rsid w:val="00BE719A"/>
    <w:rsid w:val="00BE720A"/>
    <w:rsid w:val="00BF0D73"/>
    <w:rsid w:val="00BF2465"/>
    <w:rsid w:val="00BF2C7A"/>
    <w:rsid w:val="00BF2E49"/>
    <w:rsid w:val="00BF4BB6"/>
    <w:rsid w:val="00BF767A"/>
    <w:rsid w:val="00C12838"/>
    <w:rsid w:val="00C16619"/>
    <w:rsid w:val="00C23563"/>
    <w:rsid w:val="00C25E7F"/>
    <w:rsid w:val="00C2746F"/>
    <w:rsid w:val="00C323D6"/>
    <w:rsid w:val="00C324A0"/>
    <w:rsid w:val="00C41010"/>
    <w:rsid w:val="00C42BF8"/>
    <w:rsid w:val="00C44C72"/>
    <w:rsid w:val="00C47B09"/>
    <w:rsid w:val="00C47BBB"/>
    <w:rsid w:val="00C50043"/>
    <w:rsid w:val="00C50A44"/>
    <w:rsid w:val="00C70549"/>
    <w:rsid w:val="00C72C25"/>
    <w:rsid w:val="00C737C3"/>
    <w:rsid w:val="00C7573B"/>
    <w:rsid w:val="00C87B88"/>
    <w:rsid w:val="00C97A54"/>
    <w:rsid w:val="00CA12AD"/>
    <w:rsid w:val="00CA2E4E"/>
    <w:rsid w:val="00CA3BB3"/>
    <w:rsid w:val="00CA5B23"/>
    <w:rsid w:val="00CA6018"/>
    <w:rsid w:val="00CB1CE9"/>
    <w:rsid w:val="00CB602E"/>
    <w:rsid w:val="00CB7E90"/>
    <w:rsid w:val="00CC0EA3"/>
    <w:rsid w:val="00CC3EE5"/>
    <w:rsid w:val="00CC71C4"/>
    <w:rsid w:val="00CD1283"/>
    <w:rsid w:val="00CD693A"/>
    <w:rsid w:val="00CD7791"/>
    <w:rsid w:val="00CE0069"/>
    <w:rsid w:val="00CE051D"/>
    <w:rsid w:val="00CE1335"/>
    <w:rsid w:val="00CE438E"/>
    <w:rsid w:val="00CE493D"/>
    <w:rsid w:val="00CE7678"/>
    <w:rsid w:val="00CF07FA"/>
    <w:rsid w:val="00CF0BB2"/>
    <w:rsid w:val="00CF3EE8"/>
    <w:rsid w:val="00CF7DFE"/>
    <w:rsid w:val="00D13441"/>
    <w:rsid w:val="00D150E7"/>
    <w:rsid w:val="00D1584B"/>
    <w:rsid w:val="00D37FA2"/>
    <w:rsid w:val="00D52DC2"/>
    <w:rsid w:val="00D53BCC"/>
    <w:rsid w:val="00D54C9E"/>
    <w:rsid w:val="00D62696"/>
    <w:rsid w:val="00D6537E"/>
    <w:rsid w:val="00D70DFB"/>
    <w:rsid w:val="00D75EEF"/>
    <w:rsid w:val="00D766DF"/>
    <w:rsid w:val="00D80F2A"/>
    <w:rsid w:val="00D8206C"/>
    <w:rsid w:val="00D856E7"/>
    <w:rsid w:val="00D91F10"/>
    <w:rsid w:val="00D96A5F"/>
    <w:rsid w:val="00D96BBC"/>
    <w:rsid w:val="00DA0FD1"/>
    <w:rsid w:val="00DA186E"/>
    <w:rsid w:val="00DA4116"/>
    <w:rsid w:val="00DB251C"/>
    <w:rsid w:val="00DB3899"/>
    <w:rsid w:val="00DB4630"/>
    <w:rsid w:val="00DB7F89"/>
    <w:rsid w:val="00DC4F88"/>
    <w:rsid w:val="00DC69AC"/>
    <w:rsid w:val="00DC6D72"/>
    <w:rsid w:val="00DD325B"/>
    <w:rsid w:val="00DE107C"/>
    <w:rsid w:val="00DE69E6"/>
    <w:rsid w:val="00DE7E1B"/>
    <w:rsid w:val="00DF2388"/>
    <w:rsid w:val="00DF6248"/>
    <w:rsid w:val="00E00019"/>
    <w:rsid w:val="00E03DC2"/>
    <w:rsid w:val="00E05704"/>
    <w:rsid w:val="00E11026"/>
    <w:rsid w:val="00E20CB8"/>
    <w:rsid w:val="00E22753"/>
    <w:rsid w:val="00E338EF"/>
    <w:rsid w:val="00E410E8"/>
    <w:rsid w:val="00E544BB"/>
    <w:rsid w:val="00E56DAB"/>
    <w:rsid w:val="00E62020"/>
    <w:rsid w:val="00E74DC7"/>
    <w:rsid w:val="00E8075A"/>
    <w:rsid w:val="00E81D0C"/>
    <w:rsid w:val="00E8378F"/>
    <w:rsid w:val="00E91F31"/>
    <w:rsid w:val="00E940D8"/>
    <w:rsid w:val="00E94D5E"/>
    <w:rsid w:val="00EA7100"/>
    <w:rsid w:val="00EA7F9F"/>
    <w:rsid w:val="00EB1274"/>
    <w:rsid w:val="00EC62A3"/>
    <w:rsid w:val="00ED2BB6"/>
    <w:rsid w:val="00ED34E1"/>
    <w:rsid w:val="00ED3B8D"/>
    <w:rsid w:val="00EE2E47"/>
    <w:rsid w:val="00EE4662"/>
    <w:rsid w:val="00EE5E36"/>
    <w:rsid w:val="00EF2E3A"/>
    <w:rsid w:val="00F02C7C"/>
    <w:rsid w:val="00F05C88"/>
    <w:rsid w:val="00F061A9"/>
    <w:rsid w:val="00F072A7"/>
    <w:rsid w:val="00F078DC"/>
    <w:rsid w:val="00F111ED"/>
    <w:rsid w:val="00F14E33"/>
    <w:rsid w:val="00F14E3A"/>
    <w:rsid w:val="00F16D5C"/>
    <w:rsid w:val="00F25E3B"/>
    <w:rsid w:val="00F279E5"/>
    <w:rsid w:val="00F32BA8"/>
    <w:rsid w:val="00F32EE0"/>
    <w:rsid w:val="00F349F1"/>
    <w:rsid w:val="00F4350D"/>
    <w:rsid w:val="00F479C4"/>
    <w:rsid w:val="00F567F7"/>
    <w:rsid w:val="00F65741"/>
    <w:rsid w:val="00F6696E"/>
    <w:rsid w:val="00F73BD6"/>
    <w:rsid w:val="00F81BFB"/>
    <w:rsid w:val="00F83989"/>
    <w:rsid w:val="00F85099"/>
    <w:rsid w:val="00F920E4"/>
    <w:rsid w:val="00F9379C"/>
    <w:rsid w:val="00F9632C"/>
    <w:rsid w:val="00FA16EA"/>
    <w:rsid w:val="00FA1E52"/>
    <w:rsid w:val="00FB5A08"/>
    <w:rsid w:val="00FC3D4E"/>
    <w:rsid w:val="00FC63CA"/>
    <w:rsid w:val="00FC6A80"/>
    <w:rsid w:val="00FC776C"/>
    <w:rsid w:val="00FD2E05"/>
    <w:rsid w:val="00FD5657"/>
    <w:rsid w:val="00FE1CF6"/>
    <w:rsid w:val="00FE4688"/>
    <w:rsid w:val="00FE629B"/>
    <w:rsid w:val="00FF5704"/>
    <w:rsid w:val="00FF7BEA"/>
    <w:rsid w:val="027F24DA"/>
    <w:rsid w:val="03910900"/>
    <w:rsid w:val="162F44E7"/>
    <w:rsid w:val="192D0BCE"/>
    <w:rsid w:val="1984453C"/>
    <w:rsid w:val="1EC13655"/>
    <w:rsid w:val="240F6FE5"/>
    <w:rsid w:val="43FD9DBD"/>
    <w:rsid w:val="45564D03"/>
    <w:rsid w:val="56BAFAB5"/>
    <w:rsid w:val="57A65955"/>
    <w:rsid w:val="589E7C75"/>
    <w:rsid w:val="58C8D293"/>
    <w:rsid w:val="5B67E8CE"/>
    <w:rsid w:val="74CF7736"/>
    <w:rsid w:val="77749543"/>
    <w:rsid w:val="7E5B1C6C"/>
    <w:rsid w:val="7E9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8071"/>
  <w15:docId w15:val="{22F67F85-02F8-42AB-9C35-DD479FC0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D3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34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3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41"/>
    <w:rPr>
      <w:b/>
      <w:bCs/>
    </w:rPr>
  </w:style>
  <w:style w:type="character" w:styleId="Mention">
    <w:name w:val="Mention"/>
    <w:basedOn w:val="DefaultParagraphFont"/>
    <w:uiPriority w:val="99"/>
    <w:unhideWhenUsed/>
    <w:rsid w:val="00282A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1680\AppData\Local\Temp\MicrosoftEdgeDownloads\b2cb5bdc-d334-4662-9c32-59c2b06c6354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/>
        <AccountId xsi:nil="true"/>
        <AccountType/>
      </UserInfo>
    </SharedWithUsers>
    <_dlc_DocId xmlns="9dc7b98a-aa4a-4582-9fad-77df62eff277">AFMALPS-1462065136-6019</_dlc_DocId>
    <_dlc_DocIdUrl xmlns="9dc7b98a-aa4a-4582-9fad-77df62eff277">
      <Url>https://afmagovau.sharepoint.com/sites/LPS-PROD/_layouts/15/DocIdRedir.aspx?ID=AFMALPS-1462065136-6019</Url>
      <Description>AFMALPS-1462065136-6019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DDB8B-49CD-41C7-9FB9-0B42FB7A2AFC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01b9356-9774-4515-b85f-82788657dd43"/>
    <ds:schemaRef ds:uri="9dc7b98a-aa4a-4582-9fad-77df62eff27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FE8B69-6D39-451E-BB99-970CA1BDBB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26C21B-B1E9-485F-9836-E55636B398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BFB8B3-D8B8-42BB-BF72-B115355448CD}"/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2</TotalTime>
  <Pages>6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JAGGERS, William</dc:creator>
  <cp:lastModifiedBy>AFMA </cp:lastModifiedBy>
  <cp:revision>4</cp:revision>
  <cp:lastPrinted>2024-11-13T00:14:00Z</cp:lastPrinted>
  <dcterms:created xsi:type="dcterms:W3CDTF">2024-11-22T03:53:00Z</dcterms:created>
  <dcterms:modified xsi:type="dcterms:W3CDTF">2024-11-22T03:54:00Z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a1906e61-a707-42fb-affe-5a1656998467</vt:lpwstr>
  </property>
  <property fmtid="{D5CDD505-2E9C-101B-9397-08002B2CF9AE}" pid="3" name="_dlc_DocIdItemGuid">
    <vt:lpwstr>46304169-044c-4a7d-9385-41520aa49dcc</vt:lpwstr>
  </property>
  <property fmtid="{D5CDD505-2E9C-101B-9397-08002B2CF9AE}" pid="4" name="MediaServiceImageTags">
    <vt:lpwstr/>
  </property>
  <property fmtid="{D5CDD505-2E9C-101B-9397-08002B2CF9AE}" pid="5" name="ContentTypeId">
    <vt:lpwstr>0x01010012922EE4DB6956409625CCB71A6EB15A</vt:lpwstr>
  </property>
  <property fmtid="{D5CDD505-2E9C-101B-9397-08002B2CF9AE}" pid="6" name="Order">
    <vt:r8>4988200</vt:r8>
  </property>
  <property fmtid="{D5CDD505-2E9C-101B-9397-08002B2CF9AE}" pid="7" name="DocumentStatus">
    <vt:lpwstr>Draft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