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02ED" w14:textId="77777777" w:rsidR="00AE04E4" w:rsidRDefault="00F26E59">
      <w:pPr>
        <w:spacing w:before="81"/>
        <w:ind w:left="381" w:right="380"/>
        <w:jc w:val="center"/>
        <w:rPr>
          <w:b/>
        </w:rPr>
      </w:pPr>
      <w:r>
        <w:rPr>
          <w:b/>
          <w:u w:val="single"/>
        </w:rPr>
        <w:t>EXPLANATORY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STATEMENT</w:t>
      </w:r>
    </w:p>
    <w:p w14:paraId="6DE502EE" w14:textId="77777777" w:rsidR="00AE04E4" w:rsidRDefault="00AE04E4">
      <w:pPr>
        <w:pStyle w:val="BodyText"/>
        <w:spacing w:before="2"/>
        <w:rPr>
          <w:b/>
          <w:sz w:val="16"/>
        </w:rPr>
      </w:pPr>
    </w:p>
    <w:p w14:paraId="6DE502EF" w14:textId="77777777" w:rsidR="00AE04E4" w:rsidRDefault="00F26E59">
      <w:pPr>
        <w:pStyle w:val="Heading2"/>
        <w:spacing w:before="92"/>
        <w:ind w:right="381"/>
        <w:jc w:val="center"/>
      </w:pP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Fisheries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Authority</w:t>
      </w:r>
    </w:p>
    <w:p w14:paraId="6DE502F0" w14:textId="77777777" w:rsidR="00AE04E4" w:rsidRDefault="00AE04E4">
      <w:pPr>
        <w:pStyle w:val="BodyText"/>
        <w:spacing w:before="1"/>
        <w:rPr>
          <w:b/>
          <w:sz w:val="24"/>
        </w:rPr>
      </w:pPr>
    </w:p>
    <w:p w14:paraId="6DE502F1" w14:textId="77777777" w:rsidR="00AE04E4" w:rsidRDefault="00F26E59">
      <w:pPr>
        <w:ind w:left="381" w:right="378"/>
        <w:jc w:val="center"/>
        <w:rPr>
          <w:i/>
        </w:rPr>
      </w:pPr>
      <w:r>
        <w:rPr>
          <w:i/>
        </w:rPr>
        <w:t>Fisheries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1991</w:t>
      </w:r>
    </w:p>
    <w:p w14:paraId="6DE502F2" w14:textId="77777777" w:rsidR="00AE04E4" w:rsidRDefault="00AE04E4">
      <w:pPr>
        <w:pStyle w:val="BodyText"/>
        <w:spacing w:before="4"/>
        <w:rPr>
          <w:i/>
          <w:sz w:val="24"/>
        </w:rPr>
      </w:pPr>
    </w:p>
    <w:p w14:paraId="6DE502F3" w14:textId="77777777" w:rsidR="00AE04E4" w:rsidRDefault="00F26E59">
      <w:pPr>
        <w:ind w:left="381" w:right="381"/>
        <w:jc w:val="center"/>
        <w:rPr>
          <w:i/>
        </w:rPr>
      </w:pPr>
      <w:r>
        <w:rPr>
          <w:i/>
        </w:rPr>
        <w:t>Southern</w:t>
      </w:r>
      <w:r>
        <w:rPr>
          <w:i/>
          <w:spacing w:val="-1"/>
        </w:rPr>
        <w:t xml:space="preserve"> </w:t>
      </w:r>
      <w:r>
        <w:rPr>
          <w:i/>
        </w:rPr>
        <w:t>Bluefin Tuna Fishery</w:t>
      </w:r>
      <w:r>
        <w:rPr>
          <w:i/>
          <w:spacing w:val="-2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rPr>
          <w:i/>
        </w:rPr>
        <w:t>Plan</w:t>
      </w:r>
      <w:r>
        <w:rPr>
          <w:i/>
          <w:spacing w:val="-2"/>
        </w:rPr>
        <w:t xml:space="preserve"> </w:t>
      </w:r>
      <w:r>
        <w:rPr>
          <w:i/>
        </w:rPr>
        <w:t>1995</w:t>
      </w:r>
    </w:p>
    <w:p w14:paraId="6DE502F4" w14:textId="77777777" w:rsidR="00AE04E4" w:rsidRDefault="00AE04E4">
      <w:pPr>
        <w:pStyle w:val="BodyText"/>
        <w:spacing w:before="11"/>
        <w:rPr>
          <w:i/>
          <w:sz w:val="23"/>
        </w:rPr>
      </w:pPr>
    </w:p>
    <w:p w14:paraId="6DE502F5" w14:textId="77777777" w:rsidR="00AE04E4" w:rsidRDefault="00F26E59">
      <w:pPr>
        <w:pStyle w:val="Heading1"/>
        <w:ind w:left="770"/>
      </w:pPr>
      <w:r>
        <w:t>Southern</w:t>
      </w:r>
      <w:r>
        <w:rPr>
          <w:spacing w:val="-5"/>
        </w:rPr>
        <w:t xml:space="preserve"> </w:t>
      </w:r>
      <w:r>
        <w:t>Bluefin</w:t>
      </w:r>
      <w:r>
        <w:rPr>
          <w:spacing w:val="-3"/>
        </w:rPr>
        <w:t xml:space="preserve"> </w:t>
      </w:r>
      <w:r>
        <w:t>Tuna</w:t>
      </w:r>
      <w:r>
        <w:rPr>
          <w:spacing w:val="-6"/>
        </w:rPr>
        <w:t xml:space="preserve"> </w:t>
      </w:r>
      <w:r>
        <w:t>Fishery</w:t>
      </w:r>
      <w:r>
        <w:rPr>
          <w:spacing w:val="-3"/>
        </w:rPr>
        <w:t xml:space="preserve"> </w:t>
      </w:r>
      <w:r>
        <w:t>(</w:t>
      </w:r>
      <w:proofErr w:type="spellStart"/>
      <w:r>
        <w:t>Undercatch</w:t>
      </w:r>
      <w:proofErr w:type="spellEnd"/>
      <w:r>
        <w:rPr>
          <w:spacing w:val="-3"/>
        </w:rPr>
        <w:t xml:space="preserve"> </w:t>
      </w:r>
      <w:r>
        <w:t xml:space="preserve">and </w:t>
      </w:r>
      <w:proofErr w:type="spellStart"/>
      <w:r>
        <w:t>Overcatch</w:t>
      </w:r>
      <w:proofErr w:type="spellEnd"/>
      <w:r>
        <w:t>)</w:t>
      </w:r>
      <w:r>
        <w:rPr>
          <w:spacing w:val="-2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2024</w:t>
      </w:r>
    </w:p>
    <w:p w14:paraId="6DE502F6" w14:textId="77777777" w:rsidR="00AE04E4" w:rsidRDefault="00AE04E4">
      <w:pPr>
        <w:pStyle w:val="BodyText"/>
        <w:spacing w:before="6"/>
        <w:rPr>
          <w:b/>
          <w:i/>
          <w:sz w:val="24"/>
        </w:rPr>
      </w:pPr>
    </w:p>
    <w:p w14:paraId="6DE502F7" w14:textId="77777777" w:rsidR="00AE04E4" w:rsidRDefault="00F26E59">
      <w:pPr>
        <w:pStyle w:val="BodyText"/>
        <w:spacing w:before="1" w:line="276" w:lineRule="auto"/>
        <w:ind w:left="120" w:right="115"/>
        <w:jc w:val="both"/>
      </w:pPr>
      <w:r>
        <w:t xml:space="preserve">Subsection 17(5) of the </w:t>
      </w:r>
      <w:r>
        <w:rPr>
          <w:i/>
        </w:rPr>
        <w:t xml:space="preserve">Fisheries Management Act 1991 </w:t>
      </w:r>
      <w:r>
        <w:t>(</w:t>
      </w:r>
      <w:r>
        <w:rPr>
          <w:b/>
        </w:rPr>
        <w:t>the Act</w:t>
      </w:r>
      <w:r>
        <w:t>) provides that a plan of management</w:t>
      </w:r>
      <w:r>
        <w:rPr>
          <w:spacing w:val="1"/>
        </w:rPr>
        <w:t xml:space="preserve"> </w:t>
      </w:r>
      <w:r>
        <w:t>made under the Act may provide for the Australian Fisheries Management Authority (</w:t>
      </w:r>
      <w:r>
        <w:rPr>
          <w:b/>
        </w:rPr>
        <w:t>AFMA</w:t>
      </w:r>
      <w:r>
        <w:t>) to give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determinations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management.</w:t>
      </w:r>
    </w:p>
    <w:p w14:paraId="6DE502F8" w14:textId="77777777" w:rsidR="00AE04E4" w:rsidRDefault="00AE04E4">
      <w:pPr>
        <w:pStyle w:val="BodyText"/>
        <w:spacing w:before="11"/>
        <w:rPr>
          <w:sz w:val="20"/>
        </w:rPr>
      </w:pPr>
    </w:p>
    <w:p w14:paraId="6DE502F9" w14:textId="07561582" w:rsidR="00AE04E4" w:rsidRDefault="00F26E59">
      <w:pPr>
        <w:pStyle w:val="BodyText"/>
        <w:spacing w:line="276" w:lineRule="auto"/>
        <w:ind w:left="120" w:right="110"/>
        <w:jc w:val="both"/>
      </w:pPr>
      <w:r>
        <w:t>Subsection 17(6)(aa) of the Act provides that a plan of management may determine or provide for AFMA</w:t>
      </w:r>
      <w:r>
        <w:rPr>
          <w:spacing w:val="1"/>
        </w:rPr>
        <w:t xml:space="preserve"> </w:t>
      </w:r>
      <w:r>
        <w:t>to determine the fishing capacity</w:t>
      </w:r>
      <w:r w:rsidR="009E7EBB">
        <w:t>,</w:t>
      </w:r>
      <w:r>
        <w:t xml:space="preserve"> measured by that method or those methods</w:t>
      </w:r>
      <w:r w:rsidR="009E7EBB">
        <w:t>,</w:t>
      </w:r>
      <w:r>
        <w:t xml:space="preserve"> permitted for the fishery or a</w:t>
      </w:r>
      <w:r>
        <w:rPr>
          <w:spacing w:val="-5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fishery in respect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particular</w:t>
      </w:r>
      <w:r>
        <w:rPr>
          <w:spacing w:val="-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or periods.</w:t>
      </w:r>
    </w:p>
    <w:p w14:paraId="6DE502FA" w14:textId="77777777" w:rsidR="00AE04E4" w:rsidRDefault="00AE04E4">
      <w:pPr>
        <w:pStyle w:val="BodyText"/>
        <w:spacing w:before="8"/>
        <w:rPr>
          <w:sz w:val="20"/>
        </w:rPr>
      </w:pPr>
    </w:p>
    <w:p w14:paraId="6DE502FB" w14:textId="77777777" w:rsidR="00AE04E4" w:rsidRDefault="00F26E59">
      <w:pPr>
        <w:spacing w:before="1" w:line="276" w:lineRule="auto"/>
        <w:ind w:left="120" w:right="115"/>
        <w:jc w:val="both"/>
      </w:pPr>
      <w:r>
        <w:t xml:space="preserve">Subclause 9B.1 of the </w:t>
      </w:r>
      <w:r>
        <w:rPr>
          <w:i/>
        </w:rPr>
        <w:t xml:space="preserve">Southern Bluefin Tuna Fishery Management Plan 1995 </w:t>
      </w:r>
      <w:r>
        <w:t>(</w:t>
      </w:r>
      <w:r>
        <w:rPr>
          <w:b/>
        </w:rPr>
        <w:t>the Plan</w:t>
      </w:r>
      <w:r>
        <w:t>) provides that</w:t>
      </w:r>
      <w:r>
        <w:rPr>
          <w:spacing w:val="1"/>
        </w:rPr>
        <w:t xml:space="preserve"> </w:t>
      </w:r>
      <w:r>
        <w:rPr>
          <w:spacing w:val="-1"/>
        </w:rPr>
        <w:t xml:space="preserve">AFMA may determine for a season </w:t>
      </w:r>
      <w:r>
        <w:t>the determined percentage, the determined amount and the determined</w:t>
      </w:r>
      <w:r>
        <w:rPr>
          <w:spacing w:val="-52"/>
        </w:rPr>
        <w:t xml:space="preserve"> </w:t>
      </w:r>
      <w:r>
        <w:t>additional weight</w:t>
      </w:r>
      <w:r>
        <w:rPr>
          <w:spacing w:val="-2"/>
        </w:rPr>
        <w:t xml:space="preserve"> </w:t>
      </w:r>
      <w:r>
        <w:t xml:space="preserve">in relation to </w:t>
      </w:r>
      <w:proofErr w:type="spellStart"/>
      <w:r>
        <w:t>overcatch</w:t>
      </w:r>
      <w:proofErr w:type="spellEnd"/>
      <w:r>
        <w:t>.</w:t>
      </w:r>
    </w:p>
    <w:p w14:paraId="6DE502FC" w14:textId="77777777" w:rsidR="00AE04E4" w:rsidRDefault="00AE04E4">
      <w:pPr>
        <w:pStyle w:val="BodyText"/>
        <w:spacing w:before="10"/>
        <w:rPr>
          <w:sz w:val="20"/>
        </w:rPr>
      </w:pPr>
    </w:p>
    <w:p w14:paraId="6DE502FD" w14:textId="77777777" w:rsidR="00AE04E4" w:rsidRDefault="00F26E59">
      <w:pPr>
        <w:pStyle w:val="BodyText"/>
        <w:spacing w:line="276" w:lineRule="auto"/>
        <w:ind w:left="120" w:right="124"/>
        <w:jc w:val="both"/>
      </w:pPr>
      <w:r>
        <w:rPr>
          <w:spacing w:val="-1"/>
        </w:rPr>
        <w:t xml:space="preserve">Subclause </w:t>
      </w:r>
      <w:r>
        <w:t>9C.1 of the Plan provides that AFMA may determine for a season the determined percentage of</w:t>
      </w:r>
      <w:r>
        <w:rPr>
          <w:spacing w:val="-52"/>
        </w:rPr>
        <w:t xml:space="preserve"> </w:t>
      </w:r>
      <w:proofErr w:type="spellStart"/>
      <w:r>
        <w:t>undercatch</w:t>
      </w:r>
      <w:proofErr w:type="spellEnd"/>
      <w:r>
        <w:t>.</w:t>
      </w:r>
    </w:p>
    <w:p w14:paraId="6DE502FE" w14:textId="77777777" w:rsidR="00AE04E4" w:rsidRDefault="00AE04E4">
      <w:pPr>
        <w:pStyle w:val="BodyText"/>
        <w:rPr>
          <w:sz w:val="21"/>
        </w:rPr>
      </w:pPr>
    </w:p>
    <w:p w14:paraId="6DE502FF" w14:textId="77777777" w:rsidR="00AE04E4" w:rsidRDefault="00F26E59">
      <w:pPr>
        <w:spacing w:line="276" w:lineRule="auto"/>
        <w:ind w:left="120" w:right="114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i/>
          <w:spacing w:val="-1"/>
        </w:rPr>
        <w:t>Southern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Bluefin</w:t>
      </w:r>
      <w:r>
        <w:rPr>
          <w:i/>
          <w:spacing w:val="-12"/>
        </w:rPr>
        <w:t xml:space="preserve"> </w:t>
      </w:r>
      <w:r>
        <w:rPr>
          <w:i/>
        </w:rPr>
        <w:t>Tuna</w:t>
      </w:r>
      <w:r>
        <w:rPr>
          <w:i/>
          <w:spacing w:val="-13"/>
        </w:rPr>
        <w:t xml:space="preserve"> </w:t>
      </w:r>
      <w:r>
        <w:rPr>
          <w:i/>
        </w:rPr>
        <w:t>Fishery</w:t>
      </w:r>
      <w:r>
        <w:rPr>
          <w:i/>
          <w:spacing w:val="-10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Undercatch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Overcatch</w:t>
      </w:r>
      <w:proofErr w:type="spellEnd"/>
      <w:r>
        <w:rPr>
          <w:i/>
        </w:rPr>
        <w:t>)</w:t>
      </w:r>
      <w:r>
        <w:rPr>
          <w:i/>
          <w:spacing w:val="-10"/>
        </w:rPr>
        <w:t xml:space="preserve"> </w:t>
      </w:r>
      <w:r>
        <w:rPr>
          <w:i/>
        </w:rPr>
        <w:t>Determination</w:t>
      </w:r>
      <w:r>
        <w:rPr>
          <w:i/>
          <w:spacing w:val="-11"/>
        </w:rPr>
        <w:t xml:space="preserve"> </w:t>
      </w:r>
      <w:r>
        <w:rPr>
          <w:i/>
        </w:rPr>
        <w:t>2024</w:t>
      </w:r>
      <w:r>
        <w:rPr>
          <w:i/>
          <w:spacing w:val="-8"/>
        </w:rPr>
        <w:t xml:space="preserve"> </w:t>
      </w:r>
      <w:r>
        <w:t>(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Determination</w:t>
      </w:r>
      <w:r>
        <w:t>)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purposes of the</w:t>
      </w:r>
      <w:r>
        <w:rPr>
          <w:spacing w:val="3"/>
        </w:rPr>
        <w:t xml:space="preserve"> </w:t>
      </w:r>
      <w:r>
        <w:rPr>
          <w:i/>
        </w:rPr>
        <w:t>Legislation</w:t>
      </w:r>
      <w:r>
        <w:rPr>
          <w:i/>
          <w:spacing w:val="-5"/>
        </w:rPr>
        <w:t xml:space="preserve"> </w:t>
      </w:r>
      <w:r>
        <w:rPr>
          <w:i/>
        </w:rPr>
        <w:t>Act 2003</w:t>
      </w:r>
      <w:r>
        <w:t>.</w:t>
      </w:r>
    </w:p>
    <w:p w14:paraId="6DE50300" w14:textId="77777777" w:rsidR="00AE04E4" w:rsidRDefault="00AE04E4">
      <w:pPr>
        <w:pStyle w:val="BodyText"/>
        <w:spacing w:before="9"/>
        <w:rPr>
          <w:sz w:val="20"/>
        </w:rPr>
      </w:pPr>
    </w:p>
    <w:p w14:paraId="6DE50301" w14:textId="1CFE74E9" w:rsidR="00AE04E4" w:rsidRDefault="00F26E59" w:rsidP="00820D40">
      <w:pPr>
        <w:pStyle w:val="BodyText"/>
        <w:spacing w:before="1" w:line="276" w:lineRule="auto"/>
        <w:ind w:left="120" w:right="173"/>
        <w:jc w:val="both"/>
      </w:pPr>
      <w:r>
        <w:t xml:space="preserve">The Determination determines the amounts and percentages for </w:t>
      </w:r>
      <w:proofErr w:type="spellStart"/>
      <w:r>
        <w:t>undercatch</w:t>
      </w:r>
      <w:proofErr w:type="spellEnd"/>
      <w:r>
        <w:t xml:space="preserve"> and </w:t>
      </w:r>
      <w:proofErr w:type="spellStart"/>
      <w:r>
        <w:t>overcatch</w:t>
      </w:r>
      <w:proofErr w:type="spellEnd"/>
      <w:r>
        <w:t xml:space="preserve"> for the fishing</w:t>
      </w:r>
      <w:r>
        <w:rPr>
          <w:spacing w:val="1"/>
        </w:rPr>
        <w:t xml:space="preserve"> </w:t>
      </w:r>
      <w:r>
        <w:t xml:space="preserve">season commencing on 1 December 2024 and ending on 30 November 2025. </w:t>
      </w:r>
      <w:proofErr w:type="spellStart"/>
      <w:r>
        <w:t>Undercatch</w:t>
      </w:r>
      <w:proofErr w:type="spellEnd"/>
      <w:r>
        <w:t xml:space="preserve"> and </w:t>
      </w:r>
      <w:proofErr w:type="spellStart"/>
      <w:r>
        <w:t>overcatch</w:t>
      </w:r>
      <w:proofErr w:type="spellEnd"/>
      <w:r>
        <w:rPr>
          <w:spacing w:val="1"/>
        </w:rPr>
        <w:t xml:space="preserve"> </w:t>
      </w:r>
      <w:r>
        <w:t>provides for ‘carry over’ or ‘carry under’ of a small amount of end of season quota between fishing</w:t>
      </w:r>
      <w:r>
        <w:rPr>
          <w:spacing w:val="1"/>
        </w:rPr>
        <w:t xml:space="preserve"> </w:t>
      </w:r>
      <w:r>
        <w:t>seasons thereby allowing fishers the flexibility to catch a certain amount of fish over or under their quota</w:t>
      </w:r>
      <w:r w:rsidR="004F4317">
        <w:t xml:space="preserve"> </w:t>
      </w:r>
      <w:r>
        <w:t>and</w:t>
      </w:r>
      <w:r>
        <w:rPr>
          <w:spacing w:val="-1"/>
        </w:rPr>
        <w:t xml:space="preserve"> </w:t>
      </w:r>
      <w:r>
        <w:t>debit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credit this</w:t>
      </w:r>
      <w:r>
        <w:rPr>
          <w:spacing w:val="-2"/>
        </w:rPr>
        <w:t xml:space="preserve"> </w:t>
      </w:r>
      <w:r>
        <w:t>to or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season’s quota.</w:t>
      </w:r>
    </w:p>
    <w:p w14:paraId="6DE50302" w14:textId="77777777" w:rsidR="00AE04E4" w:rsidRDefault="00AE04E4">
      <w:pPr>
        <w:pStyle w:val="BodyText"/>
        <w:spacing w:before="9"/>
        <w:rPr>
          <w:sz w:val="20"/>
        </w:rPr>
      </w:pPr>
    </w:p>
    <w:p w14:paraId="6DE50303" w14:textId="77777777" w:rsidR="00AE04E4" w:rsidRDefault="00F26E59">
      <w:pPr>
        <w:pStyle w:val="Heading2"/>
        <w:ind w:left="113"/>
      </w:pPr>
      <w:r>
        <w:t>The</w:t>
      </w:r>
      <w:r>
        <w:rPr>
          <w:spacing w:val="-1"/>
        </w:rPr>
        <w:t xml:space="preserve"> </w:t>
      </w:r>
      <w:r>
        <w:t>Fishery</w:t>
      </w:r>
    </w:p>
    <w:p w14:paraId="6DE50304" w14:textId="77777777" w:rsidR="00AE04E4" w:rsidRDefault="00AE04E4">
      <w:pPr>
        <w:pStyle w:val="BodyText"/>
        <w:spacing w:before="2"/>
        <w:rPr>
          <w:b/>
          <w:sz w:val="24"/>
        </w:rPr>
      </w:pPr>
    </w:p>
    <w:p w14:paraId="6DE50305" w14:textId="77777777" w:rsidR="00AE04E4" w:rsidRDefault="00F26E59">
      <w:pPr>
        <w:pStyle w:val="BodyText"/>
        <w:spacing w:line="276" w:lineRule="auto"/>
        <w:ind w:left="120" w:right="114"/>
        <w:jc w:val="both"/>
      </w:pPr>
      <w:r>
        <w:t>Southern Bluefin Tuna (</w:t>
      </w:r>
      <w:r>
        <w:rPr>
          <w:b/>
        </w:rPr>
        <w:t>SBT</w:t>
      </w:r>
      <w:r>
        <w:t>) is a highly migratory species and is widely distributed throughout waters of</w:t>
      </w:r>
      <w:r>
        <w:rPr>
          <w:spacing w:val="-52"/>
        </w:rPr>
        <w:t xml:space="preserve"> </w:t>
      </w:r>
      <w:r>
        <w:t>the southern oceans, including the Australian Fishing Zone (</w:t>
      </w:r>
      <w:r>
        <w:rPr>
          <w:b/>
        </w:rPr>
        <w:t>AFZ</w:t>
      </w:r>
      <w:r>
        <w:t>). Internationally the fishery is managed</w:t>
      </w:r>
      <w:r>
        <w:rPr>
          <w:spacing w:val="1"/>
        </w:rPr>
        <w:t xml:space="preserve"> </w:t>
      </w:r>
      <w:r>
        <w:t>by the Commission for the Conservation of Southern Bluefin Tuna (</w:t>
      </w:r>
      <w:r>
        <w:rPr>
          <w:b/>
        </w:rPr>
        <w:t>CCSBT</w:t>
      </w:r>
      <w:r>
        <w:t>) of which Australia is a</w:t>
      </w:r>
      <w:r>
        <w:rPr>
          <w:spacing w:val="1"/>
        </w:rPr>
        <w:t xml:space="preserve"> </w:t>
      </w:r>
      <w:r>
        <w:t>member.</w:t>
      </w:r>
      <w:r>
        <w:rPr>
          <w:spacing w:val="1"/>
        </w:rPr>
        <w:t xml:space="preserve"> </w:t>
      </w:r>
      <w:r>
        <w:t>The Australian</w:t>
      </w:r>
      <w:r>
        <w:rPr>
          <w:spacing w:val="1"/>
        </w:rPr>
        <w:t xml:space="preserve"> </w:t>
      </w:r>
      <w:r>
        <w:t>Southern</w:t>
      </w:r>
      <w:r>
        <w:rPr>
          <w:spacing w:val="1"/>
        </w:rPr>
        <w:t xml:space="preserve"> </w:t>
      </w:r>
      <w:r>
        <w:t>Bluefin Tuna</w:t>
      </w:r>
      <w:r>
        <w:rPr>
          <w:spacing w:val="1"/>
        </w:rPr>
        <w:t xml:space="preserve"> </w:t>
      </w:r>
      <w:r>
        <w:t>Fishery</w:t>
      </w:r>
      <w:r>
        <w:rPr>
          <w:spacing w:val="1"/>
        </w:rPr>
        <w:t xml:space="preserve"> </w:t>
      </w:r>
      <w:r>
        <w:t>(</w:t>
      </w:r>
      <w:r>
        <w:rPr>
          <w:b/>
        </w:rPr>
        <w:t>SBT</w:t>
      </w:r>
      <w:r>
        <w:rPr>
          <w:b/>
          <w:spacing w:val="1"/>
        </w:rPr>
        <w:t xml:space="preserve"> </w:t>
      </w:r>
      <w:r>
        <w:rPr>
          <w:b/>
        </w:rPr>
        <w:t>Fishery</w:t>
      </w:r>
      <w:r>
        <w:t>)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SBT</w:t>
      </w:r>
      <w:r>
        <w:rPr>
          <w:spacing w:val="1"/>
        </w:rPr>
        <w:t xml:space="preserve"> </w:t>
      </w:r>
      <w:r>
        <w:t>fishing</w:t>
      </w:r>
      <w:r>
        <w:rPr>
          <w:spacing w:val="1"/>
        </w:rPr>
        <w:t xml:space="preserve"> </w:t>
      </w:r>
      <w:r>
        <w:rPr>
          <w:spacing w:val="-1"/>
        </w:rPr>
        <w:t>operations</w:t>
      </w:r>
      <w:r>
        <w:rPr>
          <w:spacing w:val="-9"/>
        </w:rPr>
        <w:t xml:space="preserve"> </w:t>
      </w:r>
      <w:r>
        <w:rPr>
          <w:spacing w:val="-1"/>
        </w:rPr>
        <w:t>inside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AFZ</w:t>
      </w:r>
      <w:r>
        <w:rPr>
          <w:spacing w:val="-8"/>
        </w:rPr>
        <w:t xml:space="preserve"> </w:t>
      </w:r>
      <w:r>
        <w:t>(i.e.</w:t>
      </w:r>
      <w:r>
        <w:rPr>
          <w:spacing w:val="-7"/>
        </w:rPr>
        <w:t xml:space="preserve"> </w:t>
      </w:r>
      <w:r>
        <w:t>adjacent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nautical</w:t>
      </w:r>
      <w:r>
        <w:rPr>
          <w:spacing w:val="-9"/>
        </w:rPr>
        <w:t xml:space="preserve"> </w:t>
      </w:r>
      <w:r>
        <w:t>miles</w:t>
      </w:r>
      <w:r>
        <w:rPr>
          <w:spacing w:val="-9"/>
        </w:rPr>
        <w:t xml:space="preserve"> </w:t>
      </w:r>
      <w:r>
        <w:t>around</w:t>
      </w:r>
      <w:r>
        <w:rPr>
          <w:spacing w:val="-17"/>
        </w:rPr>
        <w:t xml:space="preserve"> </w:t>
      </w:r>
      <w:r>
        <w:t>Australia)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seas.</w:t>
      </w:r>
      <w:r>
        <w:rPr>
          <w:spacing w:val="-52"/>
        </w:rPr>
        <w:t xml:space="preserve"> </w:t>
      </w:r>
      <w:r>
        <w:t>Aside from</w:t>
      </w:r>
      <w:r>
        <w:rPr>
          <w:spacing w:val="1"/>
        </w:rPr>
        <w:t xml:space="preserve"> </w:t>
      </w:r>
      <w:r>
        <w:t>New South Wales, under an Offshore Constitutional</w:t>
      </w:r>
      <w:r>
        <w:rPr>
          <w:spacing w:val="1"/>
        </w:rPr>
        <w:t xml:space="preserve"> </w:t>
      </w:r>
      <w:r>
        <w:t>Settlement agreement</w:t>
      </w:r>
      <w:r>
        <w:rPr>
          <w:spacing w:val="1"/>
        </w:rPr>
        <w:t xml:space="preserve"> </w:t>
      </w:r>
      <w:r>
        <w:t>between the</w:t>
      </w:r>
      <w:r>
        <w:rPr>
          <w:spacing w:val="1"/>
        </w:rPr>
        <w:t xml:space="preserve"> </w:t>
      </w:r>
      <w:r>
        <w:t>Commonwealth and the States/Territories, management of the SBT Fishery to the area of low water mark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responsibility of the</w:t>
      </w:r>
      <w:r>
        <w:rPr>
          <w:spacing w:val="-2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AFMA.</w:t>
      </w:r>
    </w:p>
    <w:p w14:paraId="6DE50306" w14:textId="77777777" w:rsidR="00AE04E4" w:rsidRDefault="00AE04E4">
      <w:pPr>
        <w:spacing w:line="276" w:lineRule="auto"/>
        <w:jc w:val="both"/>
        <w:sectPr w:rsidR="00AE04E4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6DE50307" w14:textId="77777777" w:rsidR="00AE04E4" w:rsidRDefault="00F26E59">
      <w:pPr>
        <w:pStyle w:val="BodyText"/>
        <w:spacing w:before="81" w:line="276" w:lineRule="auto"/>
        <w:ind w:left="120" w:right="122"/>
        <w:jc w:val="both"/>
      </w:pPr>
      <w:r>
        <w:lastRenderedPageBreak/>
        <w:t>The Plan was amended in 2020 to implement the government’s commitment to set aside five per cent of</w:t>
      </w:r>
      <w:r>
        <w:rPr>
          <w:spacing w:val="1"/>
        </w:rPr>
        <w:t xml:space="preserve"> </w:t>
      </w:r>
      <w:r>
        <w:t>Australia’s</w:t>
      </w:r>
      <w:r>
        <w:rPr>
          <w:spacing w:val="-2"/>
        </w:rPr>
        <w:t xml:space="preserve"> </w:t>
      </w:r>
      <w:r>
        <w:t>CCSBT</w:t>
      </w:r>
      <w:r>
        <w:rPr>
          <w:spacing w:val="-6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recreational fishing</w:t>
      </w:r>
      <w:r>
        <w:rPr>
          <w:spacing w:val="-6"/>
        </w:rPr>
        <w:t xml:space="preserve"> </w:t>
      </w:r>
      <w:r>
        <w:t>mortality.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aside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 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</w:t>
      </w:r>
      <w:r>
        <w:rPr>
          <w:spacing w:val="-5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Australia’s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CCSBT</w:t>
      </w:r>
      <w:r>
        <w:rPr>
          <w:spacing w:val="-4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sector.</w:t>
      </w:r>
    </w:p>
    <w:p w14:paraId="6DE50308" w14:textId="77777777" w:rsidR="00AE04E4" w:rsidRDefault="00AE04E4">
      <w:pPr>
        <w:pStyle w:val="BodyText"/>
        <w:spacing w:before="11"/>
        <w:rPr>
          <w:sz w:val="20"/>
        </w:rPr>
      </w:pPr>
    </w:p>
    <w:p w14:paraId="6DE50309" w14:textId="04C51AF4" w:rsidR="00AE04E4" w:rsidRDefault="00F26E59">
      <w:pPr>
        <w:pStyle w:val="BodyText"/>
        <w:spacing w:line="276" w:lineRule="auto"/>
        <w:ind w:left="120" w:right="114"/>
        <w:jc w:val="both"/>
      </w:pPr>
      <w:r>
        <w:t>The commercial SBT Fishery is managed using Statutory Fishing Rights (</w:t>
      </w:r>
      <w:r w:rsidRPr="009C1D38">
        <w:rPr>
          <w:b/>
          <w:bCs/>
        </w:rPr>
        <w:t>SFRs</w:t>
      </w:r>
      <w:r>
        <w:t xml:space="preserve">) </w:t>
      </w:r>
      <w:r w:rsidR="0028340C">
        <w:t>that</w:t>
      </w:r>
      <w:r>
        <w:t xml:space="preserve"> allow holders to</w:t>
      </w:r>
      <w:r>
        <w:rPr>
          <w:spacing w:val="1"/>
        </w:rPr>
        <w:t xml:space="preserve"> </w:t>
      </w:r>
      <w:r>
        <w:t>fish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SBT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AFZ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seas.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SBT</w:t>
      </w:r>
      <w:r>
        <w:rPr>
          <w:spacing w:val="-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caught</w:t>
      </w:r>
      <w:r>
        <w:rPr>
          <w:spacing w:val="-3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from a</w:t>
      </w:r>
      <w:r>
        <w:rPr>
          <w:spacing w:val="-53"/>
        </w:rPr>
        <w:t xml:space="preserve"> </w:t>
      </w:r>
      <w:r>
        <w:t>tow</w:t>
      </w:r>
      <w:r>
        <w:rPr>
          <w:spacing w:val="-8"/>
        </w:rPr>
        <w:t xml:space="preserve"> </w:t>
      </w:r>
      <w:r>
        <w:t>cage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farm</w:t>
      </w:r>
      <w:r>
        <w:rPr>
          <w:spacing w:val="-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fish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kept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approximate</w:t>
      </w:r>
      <w:r>
        <w:rPr>
          <w:spacing w:val="-8"/>
        </w:rPr>
        <w:t xml:space="preserve"> </w:t>
      </w:r>
      <w:r>
        <w:t>six</w:t>
      </w:r>
      <w:r>
        <w:rPr>
          <w:spacing w:val="-9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grow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period.</w:t>
      </w:r>
      <w:r>
        <w:rPr>
          <w:spacing w:val="-10"/>
        </w:rPr>
        <w:t xml:space="preserve"> </w:t>
      </w:r>
      <w:r>
        <w:t>Fishing</w:t>
      </w:r>
      <w:r>
        <w:rPr>
          <w:spacing w:val="-9"/>
        </w:rPr>
        <w:t xml:space="preserve"> </w:t>
      </w:r>
      <w:r>
        <w:t>occurs</w:t>
      </w:r>
      <w:r>
        <w:rPr>
          <w:spacing w:val="-52"/>
        </w:rPr>
        <w:t xml:space="preserve"> </w:t>
      </w:r>
      <w:r>
        <w:t>in offshore waters adjacent to Kangaroo Island, South Australia. The remainder are caught using longline</w:t>
      </w:r>
      <w:r>
        <w:rPr>
          <w:spacing w:val="1"/>
        </w:rPr>
        <w:t xml:space="preserve"> </w:t>
      </w:r>
      <w:r>
        <w:t>methods, predominantly off south</w:t>
      </w:r>
      <w:r w:rsidR="00ED51BE">
        <w:t>-</w:t>
      </w:r>
      <w:r>
        <w:t>eastern Australia during the winter months. The recreational sector</w:t>
      </w:r>
      <w:r>
        <w:rPr>
          <w:spacing w:val="1"/>
        </w:rPr>
        <w:t xml:space="preserve"> </w:t>
      </w:r>
      <w:r>
        <w:t>continues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managed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relevant </w:t>
      </w:r>
      <w:r w:rsidR="00ED51BE">
        <w:t>S</w:t>
      </w:r>
      <w:r>
        <w:t>tates</w:t>
      </w:r>
      <w:r>
        <w:rPr>
          <w:spacing w:val="-2"/>
        </w:rPr>
        <w:t xml:space="preserve"> </w:t>
      </w:r>
      <w:r>
        <w:t>using bag and size</w:t>
      </w:r>
      <w:r>
        <w:rPr>
          <w:spacing w:val="-2"/>
        </w:rPr>
        <w:t xml:space="preserve"> </w:t>
      </w:r>
      <w:r>
        <w:t>limits.</w:t>
      </w:r>
    </w:p>
    <w:p w14:paraId="6DE5030A" w14:textId="77777777" w:rsidR="00AE04E4" w:rsidRDefault="00AE04E4">
      <w:pPr>
        <w:pStyle w:val="BodyText"/>
        <w:spacing w:before="9"/>
        <w:rPr>
          <w:sz w:val="20"/>
        </w:rPr>
      </w:pPr>
    </w:p>
    <w:p w14:paraId="6DE5030B" w14:textId="77777777" w:rsidR="00AE04E4" w:rsidRDefault="00F26E59">
      <w:pPr>
        <w:pStyle w:val="BodyText"/>
        <w:spacing w:line="276" w:lineRule="auto"/>
        <w:ind w:left="120" w:right="116"/>
        <w:jc w:val="both"/>
      </w:pPr>
      <w:r>
        <w:t xml:space="preserve">The </w:t>
      </w:r>
      <w:proofErr w:type="spellStart"/>
      <w:r>
        <w:t>undercatch</w:t>
      </w:r>
      <w:proofErr w:type="spellEnd"/>
      <w:r>
        <w:t>/</w:t>
      </w:r>
      <w:proofErr w:type="spellStart"/>
      <w:r>
        <w:t>overcatch</w:t>
      </w:r>
      <w:proofErr w:type="spellEnd"/>
      <w:r>
        <w:t xml:space="preserve"> administrative system allows quota holders the option of having unused quota</w:t>
      </w:r>
      <w:r>
        <w:rPr>
          <w:spacing w:val="1"/>
        </w:rPr>
        <w:t xml:space="preserve"> </w:t>
      </w:r>
      <w:r>
        <w:t>entitlement</w:t>
      </w:r>
      <w:r>
        <w:rPr>
          <w:spacing w:val="-6"/>
        </w:rPr>
        <w:t xml:space="preserve"> </w:t>
      </w:r>
      <w:r>
        <w:t>(</w:t>
      </w:r>
      <w:proofErr w:type="spellStart"/>
      <w:r>
        <w:t>undercatch</w:t>
      </w:r>
      <w:proofErr w:type="spellEnd"/>
      <w:r>
        <w:t>)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above-quota</w:t>
      </w:r>
      <w:r>
        <w:rPr>
          <w:spacing w:val="-6"/>
        </w:rPr>
        <w:t xml:space="preserve"> </w:t>
      </w:r>
      <w:r>
        <w:t>catch</w:t>
      </w:r>
      <w:r>
        <w:rPr>
          <w:spacing w:val="-8"/>
        </w:rPr>
        <w:t xml:space="preserve"> </w:t>
      </w:r>
      <w:r>
        <w:t>(</w:t>
      </w:r>
      <w:proofErr w:type="spellStart"/>
      <w:r>
        <w:t>overcatch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percentage,</w:t>
      </w:r>
      <w:r>
        <w:rPr>
          <w:spacing w:val="-9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determined additional weight) in one year taken into account in the following year’s quota entitlement.</w:t>
      </w:r>
      <w:r>
        <w:rPr>
          <w:spacing w:val="1"/>
        </w:rPr>
        <w:t xml:space="preserve"> </w:t>
      </w:r>
      <w:proofErr w:type="spellStart"/>
      <w:r>
        <w:t>Undercatch</w:t>
      </w:r>
      <w:proofErr w:type="spellEnd"/>
      <w:r>
        <w:t>/</w:t>
      </w:r>
      <w:proofErr w:type="spellStart"/>
      <w:r>
        <w:t>overcatch</w:t>
      </w:r>
      <w:proofErr w:type="spellEnd"/>
      <w:r>
        <w:t xml:space="preserve"> arrangements provide concession holders and AFMA with flexibility to manage</w:t>
      </w:r>
      <w:r>
        <w:rPr>
          <w:spacing w:val="1"/>
        </w:rPr>
        <w:t xml:space="preserve"> </w:t>
      </w:r>
      <w:r>
        <w:t>catches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 the fishing season.</w:t>
      </w:r>
    </w:p>
    <w:p w14:paraId="6DE5030C" w14:textId="77777777" w:rsidR="00AE04E4" w:rsidRDefault="00AE04E4">
      <w:pPr>
        <w:pStyle w:val="BodyText"/>
        <w:spacing w:before="10"/>
        <w:rPr>
          <w:sz w:val="20"/>
        </w:rPr>
      </w:pPr>
    </w:p>
    <w:p w14:paraId="6DE5030D" w14:textId="341C4AC4" w:rsidR="00AE04E4" w:rsidRDefault="00F26E59">
      <w:pPr>
        <w:pStyle w:val="BodyText"/>
        <w:spacing w:before="1" w:line="276" w:lineRule="auto"/>
        <w:ind w:left="120" w:right="112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November</w:t>
      </w:r>
      <w:r>
        <w:rPr>
          <w:spacing w:val="-9"/>
        </w:rPr>
        <w:t xml:space="preserve"> </w:t>
      </w:r>
      <w:r>
        <w:rPr>
          <w:spacing w:val="-1"/>
        </w:rPr>
        <w:t>2021,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t>AFMA</w:t>
      </w:r>
      <w:r>
        <w:rPr>
          <w:spacing w:val="-22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agreed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implement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change,</w:t>
      </w:r>
      <w:r>
        <w:rPr>
          <w:spacing w:val="-10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determination,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long-</w:t>
      </w:r>
      <w:r>
        <w:rPr>
          <w:spacing w:val="-53"/>
        </w:rPr>
        <w:t xml:space="preserve"> </w:t>
      </w:r>
      <w:r>
        <w:t>term</w:t>
      </w:r>
      <w:r>
        <w:rPr>
          <w:spacing w:val="1"/>
        </w:rPr>
        <w:t xml:space="preserve"> </w:t>
      </w:r>
      <w:proofErr w:type="spellStart"/>
      <w:r>
        <w:t>undercatch</w:t>
      </w:r>
      <w:proofErr w:type="spellEnd"/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undercatch</w:t>
      </w:r>
      <w:proofErr w:type="spellEnd"/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commercial catch in the SBT fishery (at the end of the season) being either above or below Australia’s</w:t>
      </w:r>
      <w:r>
        <w:rPr>
          <w:spacing w:val="1"/>
        </w:rPr>
        <w:t xml:space="preserve"> </w:t>
      </w:r>
      <w:r>
        <w:t>Effective Commercial Catch Limit</w:t>
      </w:r>
      <w:r w:rsidR="00C70325">
        <w:rPr>
          <w:rStyle w:val="FootnoteReference"/>
        </w:rPr>
        <w:footnoteReference w:id="1"/>
      </w:r>
      <w:r>
        <w:t xml:space="preserve"> minus 20 per cent of the Australian National Catch Allocation. If the</w:t>
      </w:r>
      <w:r>
        <w:rPr>
          <w:spacing w:val="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concession</w:t>
      </w:r>
      <w:r>
        <w:rPr>
          <w:spacing w:val="-7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100</w:t>
      </w:r>
      <w:r>
        <w:rPr>
          <w:spacing w:val="-5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uncaught</w:t>
      </w:r>
      <w:r>
        <w:rPr>
          <w:spacing w:val="-7"/>
        </w:rPr>
        <w:t xml:space="preserve"> </w:t>
      </w:r>
      <w:r>
        <w:t>holdings</w:t>
      </w:r>
      <w:r>
        <w:rPr>
          <w:spacing w:val="-9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season.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number,</w:t>
      </w:r>
      <w:r>
        <w:rPr>
          <w:spacing w:val="-52"/>
        </w:rPr>
        <w:t xml:space="preserve"> </w:t>
      </w:r>
      <w:r>
        <w:t>then concession holders would only be allowed to carry forward 20 per cent of their uncaught holdings.</w:t>
      </w:r>
      <w:r>
        <w:rPr>
          <w:spacing w:val="1"/>
        </w:rPr>
        <w:t xml:space="preserve"> </w:t>
      </w:r>
      <w:r>
        <w:t xml:space="preserve">The change provided options for industry to </w:t>
      </w:r>
      <w:proofErr w:type="spellStart"/>
      <w:r>
        <w:t>maximise</w:t>
      </w:r>
      <w:proofErr w:type="spellEnd"/>
      <w:r>
        <w:t xml:space="preserve"> </w:t>
      </w:r>
      <w:proofErr w:type="spellStart"/>
      <w:r>
        <w:t>undercatch</w:t>
      </w:r>
      <w:proofErr w:type="spellEnd"/>
      <w:r>
        <w:t xml:space="preserve"> allowances while remaining within the</w:t>
      </w:r>
      <w:r>
        <w:rPr>
          <w:spacing w:val="1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treaties.</w:t>
      </w:r>
    </w:p>
    <w:p w14:paraId="6DE5030E" w14:textId="77777777" w:rsidR="00AE04E4" w:rsidRDefault="00AE04E4">
      <w:pPr>
        <w:pStyle w:val="BodyText"/>
        <w:spacing w:before="10"/>
        <w:rPr>
          <w:sz w:val="20"/>
        </w:rPr>
      </w:pPr>
    </w:p>
    <w:p w14:paraId="6DE5030F" w14:textId="77777777" w:rsidR="00AE04E4" w:rsidRDefault="00F26E59">
      <w:pPr>
        <w:pStyle w:val="BodyText"/>
        <w:spacing w:line="276" w:lineRule="auto"/>
        <w:ind w:left="120" w:right="113"/>
        <w:jc w:val="both"/>
      </w:pPr>
      <w:r>
        <w:t xml:space="preserve">The </w:t>
      </w:r>
      <w:proofErr w:type="spellStart"/>
      <w:r>
        <w:t>undercatch</w:t>
      </w:r>
      <w:proofErr w:type="spellEnd"/>
      <w:r>
        <w:t>/</w:t>
      </w:r>
      <w:proofErr w:type="spellStart"/>
      <w:r>
        <w:t>overcatch</w:t>
      </w:r>
      <w:proofErr w:type="spellEnd"/>
      <w:r>
        <w:t xml:space="preserve"> arrangements proposed for the season starting on 1 December 2024 and ending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30 November 2025 are in 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season.</w:t>
      </w:r>
    </w:p>
    <w:p w14:paraId="6DE50310" w14:textId="77777777" w:rsidR="00AE04E4" w:rsidRDefault="00AE04E4">
      <w:pPr>
        <w:pStyle w:val="BodyText"/>
        <w:spacing w:before="9"/>
        <w:rPr>
          <w:sz w:val="20"/>
        </w:rPr>
      </w:pPr>
    </w:p>
    <w:p w14:paraId="6DE50311" w14:textId="77777777" w:rsidR="00AE04E4" w:rsidRDefault="00F26E59">
      <w:pPr>
        <w:pStyle w:val="Heading2"/>
        <w:ind w:left="120"/>
      </w:pPr>
      <w:r>
        <w:t>Consultation</w:t>
      </w:r>
    </w:p>
    <w:p w14:paraId="6DE50312" w14:textId="77777777" w:rsidR="00AE04E4" w:rsidRDefault="00AE04E4">
      <w:pPr>
        <w:pStyle w:val="BodyText"/>
        <w:spacing w:before="4"/>
        <w:rPr>
          <w:b/>
          <w:sz w:val="24"/>
        </w:rPr>
      </w:pPr>
    </w:p>
    <w:p w14:paraId="6DE50313" w14:textId="30ACC428" w:rsidR="00AE04E4" w:rsidRDefault="00F26E59">
      <w:pPr>
        <w:pStyle w:val="BodyText"/>
        <w:spacing w:line="276" w:lineRule="auto"/>
        <w:ind w:left="120" w:right="115"/>
        <w:jc w:val="both"/>
      </w:pPr>
      <w:r>
        <w:t xml:space="preserve">The </w:t>
      </w:r>
      <w:proofErr w:type="spellStart"/>
      <w:r>
        <w:t>undercatch</w:t>
      </w:r>
      <w:proofErr w:type="spellEnd"/>
      <w:r>
        <w:t>/</w:t>
      </w:r>
      <w:proofErr w:type="spellStart"/>
      <w:r>
        <w:t>overcatch</w:t>
      </w:r>
      <w:proofErr w:type="spellEnd"/>
      <w:r>
        <w:t xml:space="preserve"> arrangements have been developed in consultation with the Southern Bluefin</w:t>
      </w:r>
      <w:r>
        <w:rPr>
          <w:spacing w:val="1"/>
        </w:rPr>
        <w:t xml:space="preserve"> </w:t>
      </w:r>
      <w:r>
        <w:t>Tuna Management Advisory Committee (</w:t>
      </w:r>
      <w:r>
        <w:rPr>
          <w:b/>
        </w:rPr>
        <w:t>SBTMAC</w:t>
      </w:r>
      <w:r>
        <w:t>), the Australian Southern Bluefin Tuna Industry</w:t>
      </w:r>
      <w:r>
        <w:rPr>
          <w:spacing w:val="1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(</w:t>
      </w:r>
      <w:r>
        <w:rPr>
          <w:b/>
        </w:rPr>
        <w:t>ASBTIA</w:t>
      </w:r>
      <w:r>
        <w:t>)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Fisheries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Forestry.</w:t>
      </w:r>
      <w:r>
        <w:rPr>
          <w:spacing w:val="-10"/>
        </w:rPr>
        <w:t xml:space="preserve"> </w:t>
      </w:r>
      <w:r>
        <w:t>SBTMAC</w:t>
      </w:r>
      <w:r>
        <w:rPr>
          <w:spacing w:val="-8"/>
        </w:rPr>
        <w:t xml:space="preserve"> </w:t>
      </w:r>
      <w:r>
        <w:t>includes</w:t>
      </w:r>
      <w:r>
        <w:rPr>
          <w:spacing w:val="-52"/>
        </w:rPr>
        <w:t xml:space="preserve"> </w:t>
      </w:r>
      <w:r>
        <w:t>members representing the commercial fishing industry, recreational and environmental sectors, scientific</w:t>
      </w:r>
      <w:r>
        <w:rPr>
          <w:spacing w:val="1"/>
        </w:rPr>
        <w:t xml:space="preserve"> </w:t>
      </w:r>
      <w:r>
        <w:t xml:space="preserve">representatives and invited observers from </w:t>
      </w:r>
      <w:r w:rsidR="006213BE">
        <w:t>i</w:t>
      </w:r>
      <w:r>
        <w:t xml:space="preserve">ndustry </w:t>
      </w:r>
      <w:r w:rsidR="006213BE">
        <w:t>a</w:t>
      </w:r>
      <w:r>
        <w:t>ssociations and the Commonwealth Scientific and</w:t>
      </w:r>
      <w:r>
        <w:rPr>
          <w:spacing w:val="1"/>
        </w:rPr>
        <w:t xml:space="preserve"> </w:t>
      </w:r>
      <w:r>
        <w:t xml:space="preserve">Industrial Research </w:t>
      </w:r>
      <w:proofErr w:type="spellStart"/>
      <w:r>
        <w:t>Organisation</w:t>
      </w:r>
      <w:proofErr w:type="spellEnd"/>
      <w:r>
        <w:t xml:space="preserve">. ASBTIA is the peak body representing the SBT </w:t>
      </w:r>
      <w:proofErr w:type="spellStart"/>
      <w:r>
        <w:t>ndustry</w:t>
      </w:r>
      <w:proofErr w:type="spellEnd"/>
      <w:r>
        <w:t>, inclusive of</w:t>
      </w:r>
      <w:r>
        <w:rPr>
          <w:spacing w:val="1"/>
        </w:rPr>
        <w:t xml:space="preserve"> </w:t>
      </w:r>
      <w:r>
        <w:t>purse seine and long line fishing, and ranching operations for SBT. ASBTIA represents more than 80% of</w:t>
      </w:r>
      <w:r>
        <w:rPr>
          <w:spacing w:val="-52"/>
        </w:rPr>
        <w:t xml:space="preserve"> </w:t>
      </w:r>
      <w:r>
        <w:t>Australia’s</w:t>
      </w:r>
      <w:r>
        <w:rPr>
          <w:spacing w:val="-1"/>
        </w:rPr>
        <w:t xml:space="preserve"> </w:t>
      </w:r>
      <w:r>
        <w:t>SBT quota holdings</w:t>
      </w:r>
      <w:r>
        <w:rPr>
          <w:spacing w:val="-2"/>
        </w:rPr>
        <w:t xml:space="preserve"> </w:t>
      </w:r>
      <w:r>
        <w:t>and 100%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tuna</w:t>
      </w:r>
      <w:r>
        <w:rPr>
          <w:spacing w:val="-2"/>
        </w:rPr>
        <w:t xml:space="preserve"> </w:t>
      </w:r>
      <w:r>
        <w:t>ranching companies.</w:t>
      </w:r>
    </w:p>
    <w:p w14:paraId="6DE50314" w14:textId="77777777" w:rsidR="00AE04E4" w:rsidRDefault="00AE04E4">
      <w:pPr>
        <w:pStyle w:val="BodyText"/>
        <w:spacing w:before="9"/>
        <w:rPr>
          <w:sz w:val="20"/>
        </w:rPr>
      </w:pPr>
    </w:p>
    <w:p w14:paraId="10768B8B" w14:textId="2FF09ED3" w:rsidR="00C70325" w:rsidRDefault="00F26E59" w:rsidP="00CB1C7E">
      <w:pPr>
        <w:pStyle w:val="Heading2"/>
        <w:spacing w:after="240"/>
        <w:ind w:left="120"/>
      </w:pPr>
      <w:r>
        <w:t>The</w:t>
      </w:r>
      <w:r>
        <w:rPr>
          <w:spacing w:val="-6"/>
        </w:rPr>
        <w:t xml:space="preserve"> </w:t>
      </w:r>
      <w:r>
        <w:t>Commission’s</w:t>
      </w:r>
      <w:r>
        <w:rPr>
          <w:spacing w:val="-6"/>
        </w:rPr>
        <w:t xml:space="preserve"> </w:t>
      </w:r>
      <w:r>
        <w:t>Decision</w:t>
      </w:r>
    </w:p>
    <w:p w14:paraId="6DE5031B" w14:textId="4354B112" w:rsidR="00AE04E4" w:rsidRDefault="00F26E59" w:rsidP="00C70325">
      <w:pPr>
        <w:pStyle w:val="BodyText"/>
        <w:spacing w:before="81" w:line="276" w:lineRule="auto"/>
        <w:ind w:right="332"/>
        <w:jc w:val="both"/>
        <w:rPr>
          <w:i/>
        </w:rPr>
      </w:pPr>
      <w:r>
        <w:t xml:space="preserve">The AFMA Commission determined the </w:t>
      </w:r>
      <w:proofErr w:type="spellStart"/>
      <w:r>
        <w:t>undercatch</w:t>
      </w:r>
      <w:proofErr w:type="spellEnd"/>
      <w:r>
        <w:t xml:space="preserve"> and </w:t>
      </w:r>
      <w:proofErr w:type="spellStart"/>
      <w:r>
        <w:t>overcatch</w:t>
      </w:r>
      <w:proofErr w:type="spellEnd"/>
      <w:r>
        <w:t xml:space="preserve"> percentages, amounts and additional</w:t>
      </w:r>
      <w:r>
        <w:rPr>
          <w:spacing w:val="-52"/>
        </w:rPr>
        <w:t xml:space="preserve"> </w:t>
      </w:r>
      <w:r>
        <w:t>weight at its meeting of 11-12 November 2024. The Commission was satisfied that the percentages,</w:t>
      </w:r>
      <w:r>
        <w:rPr>
          <w:spacing w:val="1"/>
        </w:rPr>
        <w:t xml:space="preserve"> </w:t>
      </w:r>
      <w:r>
        <w:t>amount and additional weight it determined were consistent with AFMA’s obligation to pursue its</w:t>
      </w:r>
      <w:r>
        <w:rPr>
          <w:spacing w:val="1"/>
        </w:rPr>
        <w:t xml:space="preserve"> </w:t>
      </w:r>
      <w:r>
        <w:t xml:space="preserve">statutory objectives, specified in section 3 of the Act and section 6 of the </w:t>
      </w:r>
      <w:r>
        <w:rPr>
          <w:i/>
        </w:rPr>
        <w:t>Fisheries Administration Act</w:t>
      </w:r>
      <w:r w:rsidR="00B36C74">
        <w:rPr>
          <w:i/>
          <w:spacing w:val="1"/>
        </w:rPr>
        <w:t xml:space="preserve"> </w:t>
      </w:r>
      <w:r>
        <w:rPr>
          <w:i/>
        </w:rPr>
        <w:lastRenderedPageBreak/>
        <w:t>1991.</w:t>
      </w:r>
    </w:p>
    <w:p w14:paraId="6DE5031C" w14:textId="77777777" w:rsidR="00AE04E4" w:rsidRDefault="00F26E59">
      <w:pPr>
        <w:pStyle w:val="Heading2"/>
        <w:spacing w:before="120"/>
        <w:ind w:left="120"/>
      </w:pPr>
      <w:r>
        <w:t>Impact</w:t>
      </w:r>
      <w:r>
        <w:rPr>
          <w:spacing w:val="-2"/>
        </w:rPr>
        <w:t xml:space="preserve"> </w:t>
      </w:r>
      <w:r>
        <w:t>Assessment</w:t>
      </w:r>
    </w:p>
    <w:p w14:paraId="6DE5031D" w14:textId="77777777" w:rsidR="00AE04E4" w:rsidRDefault="00AE04E4">
      <w:pPr>
        <w:pStyle w:val="BodyText"/>
        <w:spacing w:before="1"/>
        <w:rPr>
          <w:b/>
          <w:sz w:val="24"/>
        </w:rPr>
      </w:pPr>
    </w:p>
    <w:p w14:paraId="6DE5031E" w14:textId="44C1E692" w:rsidR="00AE04E4" w:rsidRDefault="00F26E59">
      <w:pPr>
        <w:pStyle w:val="BodyText"/>
        <w:spacing w:line="276" w:lineRule="auto"/>
        <w:ind w:left="120" w:right="115"/>
        <w:jc w:val="both"/>
      </w:pPr>
      <w:r>
        <w:t>The Office of Impact Analysis (</w:t>
      </w:r>
      <w:r>
        <w:rPr>
          <w:b/>
        </w:rPr>
        <w:t>OIA</w:t>
      </w:r>
      <w:r>
        <w:t>) has previously advised that decisions made by AFMA</w:t>
      </w:r>
      <w:r w:rsidR="00E92516">
        <w:t>,</w:t>
      </w:r>
      <w:r>
        <w:t xml:space="preserve"> including the</w:t>
      </w:r>
      <w:r>
        <w:rPr>
          <w:spacing w:val="-52"/>
        </w:rPr>
        <w:t xml:space="preserve"> </w:t>
      </w:r>
      <w:r>
        <w:t>setting a total allowable catch</w:t>
      </w:r>
      <w:r w:rsidR="00FA2554">
        <w:t xml:space="preserve">, </w:t>
      </w:r>
      <w:r>
        <w:t>setting opening and closing dates for a fishing season</w:t>
      </w:r>
      <w:r w:rsidR="00FA2554">
        <w:t xml:space="preserve"> </w:t>
      </w:r>
      <w:r>
        <w:t>and setting</w:t>
      </w:r>
      <w:r>
        <w:rPr>
          <w:spacing w:val="1"/>
        </w:rPr>
        <w:t xml:space="preserve"> </w:t>
      </w:r>
      <w:proofErr w:type="spellStart"/>
      <w:r>
        <w:t>undercatch</w:t>
      </w:r>
      <w:proofErr w:type="spellEnd"/>
      <w:r>
        <w:t xml:space="preserve"> and </w:t>
      </w:r>
      <w:proofErr w:type="spellStart"/>
      <w:r>
        <w:t>overcatch</w:t>
      </w:r>
      <w:proofErr w:type="spellEnd"/>
      <w:r>
        <w:t xml:space="preserve"> provisions in a fishery, do not require a detailed Impact Analysis</w:t>
      </w:r>
      <w:r w:rsidR="00FA2554">
        <w:t>,</w:t>
      </w:r>
      <w:r>
        <w:t xml:space="preserve"> </w:t>
      </w:r>
      <w:r>
        <w:rPr>
          <w:spacing w:val="-1"/>
        </w:rPr>
        <w:t>consistent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carve-out</w:t>
      </w:r>
      <w:r>
        <w:rPr>
          <w:spacing w:val="-8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cover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regulatory</w:t>
      </w:r>
      <w:r>
        <w:rPr>
          <w:spacing w:val="-12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minor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machinery</w:t>
      </w:r>
      <w:r>
        <w:rPr>
          <w:spacing w:val="-5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(OIA</w:t>
      </w:r>
      <w:r>
        <w:rPr>
          <w:spacing w:val="-1"/>
        </w:rPr>
        <w:t xml:space="preserve"> </w:t>
      </w:r>
      <w:r>
        <w:t>reference no.</w:t>
      </w:r>
      <w:r>
        <w:rPr>
          <w:spacing w:val="-2"/>
        </w:rPr>
        <w:t xml:space="preserve"> </w:t>
      </w:r>
      <w:r>
        <w:t>OIA23-06107).</w:t>
      </w:r>
    </w:p>
    <w:p w14:paraId="6DE5031F" w14:textId="77777777" w:rsidR="00AE04E4" w:rsidRDefault="00AE04E4">
      <w:pPr>
        <w:pStyle w:val="BodyText"/>
        <w:spacing w:before="11"/>
        <w:rPr>
          <w:sz w:val="20"/>
        </w:rPr>
      </w:pPr>
    </w:p>
    <w:p w14:paraId="6DE50320" w14:textId="77777777" w:rsidR="00AE04E4" w:rsidRDefault="00F26E59">
      <w:pPr>
        <w:spacing w:line="278" w:lineRule="auto"/>
        <w:ind w:left="120" w:right="181"/>
        <w:jc w:val="both"/>
        <w:rPr>
          <w:b/>
          <w:i/>
        </w:rPr>
      </w:pPr>
      <w:r>
        <w:rPr>
          <w:b/>
        </w:rPr>
        <w:t xml:space="preserve">Statement of compatibility prepared in accordance with Part 3 of the </w:t>
      </w:r>
      <w:r>
        <w:rPr>
          <w:b/>
          <w:i/>
        </w:rPr>
        <w:t>Human Rights (Parliamentary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Scrutiny) Act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2011</w:t>
      </w:r>
    </w:p>
    <w:p w14:paraId="6DE50321" w14:textId="77777777" w:rsidR="00AE04E4" w:rsidRDefault="00AE04E4">
      <w:pPr>
        <w:pStyle w:val="BodyText"/>
        <w:spacing w:before="6"/>
        <w:rPr>
          <w:b/>
          <w:i/>
          <w:sz w:val="20"/>
        </w:rPr>
      </w:pPr>
    </w:p>
    <w:p w14:paraId="6DE50322" w14:textId="5DB74E1F" w:rsidR="00AE04E4" w:rsidRPr="00FA2554" w:rsidRDefault="00F26E59">
      <w:pPr>
        <w:ind w:left="120"/>
        <w:rPr>
          <w:bCs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set out at </w:t>
      </w:r>
      <w:r>
        <w:rPr>
          <w:b/>
        </w:rPr>
        <w:t>Attachment</w:t>
      </w:r>
      <w:r>
        <w:rPr>
          <w:b/>
          <w:spacing w:val="-3"/>
        </w:rPr>
        <w:t xml:space="preserve"> </w:t>
      </w:r>
      <w:r>
        <w:rPr>
          <w:b/>
        </w:rPr>
        <w:t>A</w:t>
      </w:r>
      <w:r w:rsidR="00FA2554">
        <w:rPr>
          <w:bCs/>
        </w:rPr>
        <w:t>.</w:t>
      </w:r>
    </w:p>
    <w:p w14:paraId="6DE50323" w14:textId="77777777" w:rsidR="00AE04E4" w:rsidRDefault="00AE04E4">
      <w:pPr>
        <w:pStyle w:val="BodyText"/>
        <w:spacing w:before="1"/>
        <w:rPr>
          <w:b/>
          <w:sz w:val="24"/>
        </w:rPr>
      </w:pPr>
    </w:p>
    <w:p w14:paraId="6DE50324" w14:textId="77777777" w:rsidR="00AE04E4" w:rsidRDefault="00F26E59" w:rsidP="00FA2554">
      <w:pPr>
        <w:spacing w:line="276" w:lineRule="auto"/>
        <w:ind w:left="120" w:right="111"/>
        <w:jc w:val="both"/>
      </w:pPr>
      <w:r>
        <w:t xml:space="preserve">AFMA assesses under section 3 of the </w:t>
      </w:r>
      <w:r>
        <w:rPr>
          <w:i/>
        </w:rPr>
        <w:t xml:space="preserve">Human Rights (Parliamentary Scrutiny) Act 2011 </w:t>
      </w:r>
      <w:r>
        <w:t>that this</w:t>
      </w:r>
      <w:r>
        <w:rPr>
          <w:spacing w:val="1"/>
        </w:rPr>
        <w:t xml:space="preserve"> </w:t>
      </w:r>
      <w:r>
        <w:t>legislative instrument is compatible with human rights. AFMA’s Statement of Compatibility is attached at</w:t>
      </w:r>
      <w:r>
        <w:rPr>
          <w:spacing w:val="-52"/>
        </w:rPr>
        <w:t xml:space="preserve"> </w:t>
      </w:r>
      <w:r>
        <w:rPr>
          <w:b/>
        </w:rPr>
        <w:t>Attachment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t>.</w:t>
      </w:r>
    </w:p>
    <w:p w14:paraId="6DE50325" w14:textId="77777777" w:rsidR="00AE04E4" w:rsidRDefault="00AE04E4">
      <w:pPr>
        <w:spacing w:line="276" w:lineRule="auto"/>
        <w:sectPr w:rsidR="00AE04E4">
          <w:pgSz w:w="12240" w:h="15840"/>
          <w:pgMar w:top="1360" w:right="1320" w:bottom="280" w:left="1320" w:header="720" w:footer="720" w:gutter="0"/>
          <w:cols w:space="720"/>
        </w:sectPr>
      </w:pPr>
    </w:p>
    <w:p w14:paraId="6DE50326" w14:textId="77777777" w:rsidR="00AE04E4" w:rsidRDefault="00F26E59">
      <w:pPr>
        <w:spacing w:before="79"/>
        <w:ind w:left="381" w:right="381"/>
        <w:jc w:val="center"/>
        <w:rPr>
          <w:b/>
          <w:sz w:val="24"/>
        </w:rPr>
      </w:pPr>
      <w:r>
        <w:rPr>
          <w:b/>
          <w:sz w:val="24"/>
        </w:rPr>
        <w:lastRenderedPageBreak/>
        <w:t>ATTACHMENT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6DE50327" w14:textId="77777777" w:rsidR="00AE04E4" w:rsidRDefault="00AE04E4">
      <w:pPr>
        <w:pStyle w:val="BodyText"/>
        <w:spacing w:before="5"/>
        <w:rPr>
          <w:b/>
          <w:sz w:val="24"/>
        </w:rPr>
      </w:pPr>
    </w:p>
    <w:p w14:paraId="6DE50328" w14:textId="426D47C7" w:rsidR="00AE04E4" w:rsidRDefault="00F26E59">
      <w:pPr>
        <w:spacing w:line="276" w:lineRule="auto"/>
        <w:ind w:left="120" w:right="543"/>
        <w:rPr>
          <w:b/>
          <w:i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Southern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Bluefin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Tuna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Fishery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Undercatch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Overcatch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Determination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2024</w:t>
      </w:r>
    </w:p>
    <w:p w14:paraId="6DE50329" w14:textId="77777777" w:rsidR="00AE04E4" w:rsidRDefault="00AE04E4">
      <w:pPr>
        <w:pStyle w:val="BodyText"/>
        <w:rPr>
          <w:b/>
          <w:i/>
          <w:sz w:val="20"/>
        </w:rPr>
      </w:pPr>
    </w:p>
    <w:p w14:paraId="6DE5032A" w14:textId="77777777" w:rsidR="00AE04E4" w:rsidRDefault="00AE04E4">
      <w:pPr>
        <w:pStyle w:val="BodyText"/>
        <w:spacing w:before="4"/>
        <w:rPr>
          <w:b/>
          <w:i/>
          <w:sz w:val="1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7147"/>
      </w:tblGrid>
      <w:tr w:rsidR="00AE04E4" w14:paraId="6DE5032D" w14:textId="77777777">
        <w:trPr>
          <w:trHeight w:val="677"/>
        </w:trPr>
        <w:tc>
          <w:tcPr>
            <w:tcW w:w="1107" w:type="dxa"/>
          </w:tcPr>
          <w:p w14:paraId="6DE5032B" w14:textId="77777777" w:rsidR="00AE04E4" w:rsidRDefault="00F26E59">
            <w:pPr>
              <w:pStyle w:val="TableParagraph"/>
              <w:spacing w:before="0"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1</w:t>
            </w:r>
          </w:p>
        </w:tc>
        <w:tc>
          <w:tcPr>
            <w:tcW w:w="7147" w:type="dxa"/>
          </w:tcPr>
          <w:p w14:paraId="6DE5032C" w14:textId="77777777" w:rsidR="00AE04E4" w:rsidRDefault="00F26E59">
            <w:pPr>
              <w:pStyle w:val="TableParagraph"/>
              <w:spacing w:before="0" w:line="276" w:lineRule="auto"/>
              <w:rPr>
                <w:i/>
              </w:rPr>
            </w:pPr>
            <w:r>
              <w:t>Provides</w:t>
            </w:r>
            <w:r>
              <w:rPr>
                <w:spacing w:val="36"/>
              </w:rPr>
              <w:t xml:space="preserve"> </w:t>
            </w:r>
            <w:r>
              <w:t>that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name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Determination</w:t>
            </w:r>
            <w:r>
              <w:rPr>
                <w:spacing w:val="36"/>
              </w:rPr>
              <w:t xml:space="preserve"> </w:t>
            </w:r>
            <w:r>
              <w:t>is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rPr>
                <w:i/>
              </w:rPr>
              <w:t>Southern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Bluefin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Tuna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Fishery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Undercatch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Overcatch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Determination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2024.</w:t>
            </w:r>
          </w:p>
        </w:tc>
      </w:tr>
      <w:tr w:rsidR="00AE04E4" w14:paraId="6DE50330" w14:textId="77777777">
        <w:trPr>
          <w:trHeight w:val="530"/>
        </w:trPr>
        <w:tc>
          <w:tcPr>
            <w:tcW w:w="1107" w:type="dxa"/>
          </w:tcPr>
          <w:p w14:paraId="6DE5032E" w14:textId="77777777" w:rsidR="00AE04E4" w:rsidRDefault="00F26E59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2</w:t>
            </w:r>
          </w:p>
        </w:tc>
        <w:tc>
          <w:tcPr>
            <w:tcW w:w="7147" w:type="dxa"/>
          </w:tcPr>
          <w:p w14:paraId="6DE5032F" w14:textId="77777777" w:rsidR="00AE04E4" w:rsidRDefault="00F26E59">
            <w:pPr>
              <w:pStyle w:val="TableParagraph"/>
            </w:pP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Determination</w:t>
            </w:r>
            <w:r>
              <w:rPr>
                <w:spacing w:val="-1"/>
              </w:rPr>
              <w:t xml:space="preserve"> </w:t>
            </w:r>
            <w:r>
              <w:t>commences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December</w:t>
            </w:r>
            <w:r>
              <w:rPr>
                <w:spacing w:val="-1"/>
              </w:rPr>
              <w:t xml:space="preserve"> </w:t>
            </w:r>
            <w:r>
              <w:t>2024.</w:t>
            </w:r>
          </w:p>
        </w:tc>
      </w:tr>
      <w:tr w:rsidR="00AE04E4" w14:paraId="6DE50333" w14:textId="77777777">
        <w:trPr>
          <w:trHeight w:val="531"/>
        </w:trPr>
        <w:tc>
          <w:tcPr>
            <w:tcW w:w="1107" w:type="dxa"/>
          </w:tcPr>
          <w:p w14:paraId="6DE50331" w14:textId="77777777" w:rsidR="00AE04E4" w:rsidRDefault="00F26E59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3</w:t>
            </w:r>
          </w:p>
        </w:tc>
        <w:tc>
          <w:tcPr>
            <w:tcW w:w="7147" w:type="dxa"/>
          </w:tcPr>
          <w:p w14:paraId="6DE50332" w14:textId="77777777" w:rsidR="00AE04E4" w:rsidRDefault="00F26E59">
            <w:pPr>
              <w:pStyle w:val="TableParagraph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that the</w:t>
            </w:r>
            <w:r>
              <w:rPr>
                <w:spacing w:val="-1"/>
              </w:rPr>
              <w:t xml:space="preserve"> </w:t>
            </w:r>
            <w:r>
              <w:t>Determination</w:t>
            </w:r>
            <w:r>
              <w:rPr>
                <w:spacing w:val="-2"/>
              </w:rPr>
              <w:t xml:space="preserve"> </w:t>
            </w:r>
            <w:r>
              <w:t>ceases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1"/>
              </w:rPr>
              <w:t xml:space="preserve"> </w:t>
            </w:r>
            <w:r>
              <w:t>2025.</w:t>
            </w:r>
          </w:p>
        </w:tc>
      </w:tr>
      <w:tr w:rsidR="00AE04E4" w14:paraId="6DE50336" w14:textId="77777777">
        <w:trPr>
          <w:trHeight w:val="1113"/>
        </w:trPr>
        <w:tc>
          <w:tcPr>
            <w:tcW w:w="1107" w:type="dxa"/>
          </w:tcPr>
          <w:p w14:paraId="6DE50334" w14:textId="77777777" w:rsidR="00AE04E4" w:rsidRDefault="00F26E59">
            <w:pPr>
              <w:pStyle w:val="TableParagraph"/>
              <w:spacing w:before="13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4</w:t>
            </w:r>
          </w:p>
        </w:tc>
        <w:tc>
          <w:tcPr>
            <w:tcW w:w="7147" w:type="dxa"/>
          </w:tcPr>
          <w:p w14:paraId="6DE50335" w14:textId="77777777" w:rsidR="00AE04E4" w:rsidRDefault="00F26E59">
            <w:pPr>
              <w:pStyle w:val="TableParagraph"/>
              <w:spacing w:before="135" w:line="276" w:lineRule="auto"/>
              <w:ind w:right="47"/>
              <w:jc w:val="both"/>
              <w:rPr>
                <w:i/>
              </w:rPr>
            </w:pPr>
            <w:r>
              <w:t>Provides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Determination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made</w:t>
            </w:r>
            <w:r>
              <w:rPr>
                <w:spacing w:val="-8"/>
              </w:rPr>
              <w:t xml:space="preserve"> </w:t>
            </w:r>
            <w:r>
              <w:t>pursuant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paragraph</w:t>
            </w:r>
            <w:r>
              <w:rPr>
                <w:spacing w:val="-7"/>
              </w:rPr>
              <w:t xml:space="preserve"> </w:t>
            </w:r>
            <w:r>
              <w:t>17(6)(aa)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3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and under clauses 9B and 9C of the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Southern Bluefin Tuna Fishery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Management Plan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1995.</w:t>
            </w:r>
          </w:p>
        </w:tc>
      </w:tr>
      <w:tr w:rsidR="00AE04E4" w14:paraId="6DE5033C" w14:textId="77777777">
        <w:trPr>
          <w:trHeight w:val="3218"/>
        </w:trPr>
        <w:tc>
          <w:tcPr>
            <w:tcW w:w="1107" w:type="dxa"/>
          </w:tcPr>
          <w:p w14:paraId="6DE50337" w14:textId="77777777" w:rsidR="00AE04E4" w:rsidRDefault="00F26E59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5</w:t>
            </w:r>
          </w:p>
        </w:tc>
        <w:tc>
          <w:tcPr>
            <w:tcW w:w="7147" w:type="dxa"/>
          </w:tcPr>
          <w:p w14:paraId="6DE50338" w14:textId="77777777" w:rsidR="00AE04E4" w:rsidRDefault="00F26E59">
            <w:pPr>
              <w:pStyle w:val="TableParagraph"/>
              <w:spacing w:line="276" w:lineRule="auto"/>
            </w:pPr>
            <w:r>
              <w:t>Provides</w:t>
            </w:r>
            <w:r>
              <w:rPr>
                <w:spacing w:val="6"/>
              </w:rPr>
              <w:t xml:space="preserve"> </w:t>
            </w:r>
            <w:r>
              <w:t>that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number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expressions</w:t>
            </w:r>
            <w:r>
              <w:rPr>
                <w:spacing w:val="6"/>
              </w:rPr>
              <w:t xml:space="preserve"> </w:t>
            </w:r>
            <w:r>
              <w:t>used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this</w:t>
            </w:r>
            <w:r>
              <w:rPr>
                <w:spacing w:val="5"/>
              </w:rPr>
              <w:t xml:space="preserve"> </w:t>
            </w:r>
            <w:r>
              <w:t>instrument</w:t>
            </w:r>
            <w:r>
              <w:rPr>
                <w:spacing w:val="7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t>defined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clause 3 of</w:t>
            </w:r>
            <w:r>
              <w:rPr>
                <w:spacing w:val="-1"/>
              </w:rPr>
              <w:t xml:space="preserve"> </w:t>
            </w:r>
            <w:r>
              <w:t>the Management</w:t>
            </w:r>
            <w:r>
              <w:rPr>
                <w:spacing w:val="1"/>
              </w:rPr>
              <w:t xml:space="preserve"> </w:t>
            </w:r>
            <w:r>
              <w:t>Plan,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following:</w:t>
            </w:r>
          </w:p>
          <w:p w14:paraId="6DE50339" w14:textId="77777777" w:rsidR="00AE04E4" w:rsidRDefault="00F26E59">
            <w:pPr>
              <w:pStyle w:val="TableParagraph"/>
              <w:spacing w:before="121"/>
              <w:ind w:left="925"/>
              <w:jc w:val="both"/>
            </w:pPr>
            <w:r>
              <w:rPr>
                <w:b/>
                <w:i/>
              </w:rPr>
              <w:t>season</w:t>
            </w:r>
            <w:r>
              <w:rPr>
                <w:b/>
                <w:i/>
                <w:spacing w:val="-3"/>
              </w:rPr>
              <w:t xml:space="preserve"> </w:t>
            </w:r>
            <w:r>
              <w:t>means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period determined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fishing</w:t>
            </w:r>
            <w:r>
              <w:rPr>
                <w:spacing w:val="-4"/>
              </w:rPr>
              <w:t xml:space="preserve"> </w:t>
            </w:r>
            <w:r>
              <w:t>season by AFMA</w:t>
            </w:r>
          </w:p>
          <w:p w14:paraId="6DE5033A" w14:textId="77777777" w:rsidR="00AE04E4" w:rsidRDefault="00F26E59">
            <w:pPr>
              <w:pStyle w:val="TableParagraph"/>
              <w:spacing w:before="158" w:line="276" w:lineRule="auto"/>
              <w:ind w:left="925" w:right="53"/>
              <w:jc w:val="both"/>
            </w:pPr>
            <w:r>
              <w:rPr>
                <w:b/>
                <w:i/>
              </w:rPr>
              <w:t>national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catch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allocation</w:t>
            </w:r>
            <w:r>
              <w:rPr>
                <w:b/>
                <w:i/>
                <w:spacing w:val="1"/>
              </w:rPr>
              <w:t xml:space="preserve"> </w:t>
            </w:r>
            <w:r>
              <w:t>means the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amount (by</w:t>
            </w:r>
            <w:r>
              <w:rPr>
                <w:spacing w:val="1"/>
              </w:rPr>
              <w:t xml:space="preserve"> </w:t>
            </w:r>
            <w:r>
              <w:t>weight)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Southern Bluefin Tuna that may be taken in a season in the SBT</w:t>
            </w:r>
            <w:r>
              <w:rPr>
                <w:spacing w:val="1"/>
              </w:rPr>
              <w:t xml:space="preserve"> </w:t>
            </w:r>
            <w:r>
              <w:t>Fishery.</w:t>
            </w:r>
          </w:p>
          <w:p w14:paraId="6DE5033B" w14:textId="77777777" w:rsidR="00AE04E4" w:rsidRDefault="00F26E59">
            <w:pPr>
              <w:pStyle w:val="TableParagraph"/>
              <w:spacing w:before="121" w:line="276" w:lineRule="auto"/>
              <w:ind w:left="925" w:right="49"/>
              <w:jc w:val="both"/>
            </w:pPr>
            <w:proofErr w:type="spellStart"/>
            <w:r>
              <w:rPr>
                <w:b/>
                <w:i/>
              </w:rPr>
              <w:t>overcatch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in relation to the holder of a SFR and a season, means the</w:t>
            </w:r>
            <w:r>
              <w:rPr>
                <w:spacing w:val="1"/>
              </w:rPr>
              <w:t xml:space="preserve"> </w:t>
            </w:r>
            <w:r>
              <w:t>amount of Southern Bluefin Tuna taken by the holder in the SBT</w:t>
            </w:r>
            <w:r>
              <w:rPr>
                <w:spacing w:val="1"/>
              </w:rPr>
              <w:t xml:space="preserve"> </w:t>
            </w:r>
            <w:r>
              <w:t>Fishery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season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exceeds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holder’s</w:t>
            </w:r>
            <w:r>
              <w:rPr>
                <w:spacing w:val="-3"/>
              </w:rPr>
              <w:t xml:space="preserve"> </w:t>
            </w:r>
            <w:r>
              <w:t>quota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season.</w:t>
            </w:r>
          </w:p>
        </w:tc>
      </w:tr>
      <w:tr w:rsidR="00AE04E4" w14:paraId="6DE50340" w14:textId="77777777">
        <w:trPr>
          <w:trHeight w:val="1551"/>
        </w:trPr>
        <w:tc>
          <w:tcPr>
            <w:tcW w:w="1107" w:type="dxa"/>
          </w:tcPr>
          <w:p w14:paraId="6DE5033D" w14:textId="77777777" w:rsidR="00AE04E4" w:rsidRDefault="00F26E59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Section 6</w:t>
            </w:r>
          </w:p>
        </w:tc>
        <w:tc>
          <w:tcPr>
            <w:tcW w:w="7147" w:type="dxa"/>
          </w:tcPr>
          <w:p w14:paraId="6DE5033E" w14:textId="5302AC85" w:rsidR="00AE04E4" w:rsidRDefault="00F26E59">
            <w:pPr>
              <w:pStyle w:val="TableParagraph"/>
              <w:spacing w:line="276" w:lineRule="auto"/>
              <w:ind w:right="47"/>
              <w:jc w:val="both"/>
            </w:pPr>
            <w:r>
              <w:t>Determines the determined percentage, determined amount and determined</w:t>
            </w:r>
            <w:r>
              <w:rPr>
                <w:spacing w:val="1"/>
              </w:rPr>
              <w:t xml:space="preserve"> </w:t>
            </w:r>
            <w:r>
              <w:t>additional weight for the purposes of subclause 9B.1 of the Plan (</w:t>
            </w:r>
            <w:proofErr w:type="spellStart"/>
            <w:r>
              <w:t>Overcatch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and the determined percentage for the purposes of subclause 9C.1 of the Plan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Undercatch</w:t>
            </w:r>
            <w:proofErr w:type="spellEnd"/>
            <w:r>
              <w:t>)</w:t>
            </w:r>
            <w:r>
              <w:rPr>
                <w:spacing w:val="28"/>
              </w:rPr>
              <w:t xml:space="preserve"> </w:t>
            </w:r>
            <w:r>
              <w:t>for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fishing</w:t>
            </w:r>
            <w:r>
              <w:rPr>
                <w:spacing w:val="31"/>
              </w:rPr>
              <w:t xml:space="preserve"> </w:t>
            </w:r>
            <w:r>
              <w:t>season</w:t>
            </w:r>
            <w:r>
              <w:rPr>
                <w:spacing w:val="30"/>
              </w:rPr>
              <w:t xml:space="preserve"> </w:t>
            </w:r>
            <w:r>
              <w:t>commencing</w:t>
            </w:r>
            <w:r>
              <w:rPr>
                <w:spacing w:val="31"/>
              </w:rPr>
              <w:t xml:space="preserve"> </w:t>
            </w:r>
            <w:r>
              <w:t>on</w:t>
            </w:r>
            <w:r>
              <w:rPr>
                <w:spacing w:val="28"/>
              </w:rPr>
              <w:t xml:space="preserve"> </w:t>
            </w:r>
            <w:r>
              <w:t>1</w:t>
            </w:r>
            <w:r>
              <w:rPr>
                <w:spacing w:val="30"/>
              </w:rPr>
              <w:t xml:space="preserve"> </w:t>
            </w:r>
            <w:r>
              <w:t>December</w:t>
            </w:r>
            <w:r>
              <w:rPr>
                <w:spacing w:val="29"/>
              </w:rPr>
              <w:t xml:space="preserve"> </w:t>
            </w:r>
            <w:r>
              <w:t>2024</w:t>
            </w:r>
            <w:r>
              <w:rPr>
                <w:spacing w:val="31"/>
              </w:rPr>
              <w:t xml:space="preserve"> </w:t>
            </w:r>
            <w:r>
              <w:t>and</w:t>
            </w:r>
          </w:p>
          <w:p w14:paraId="6DE5033F" w14:textId="77777777" w:rsidR="00AE04E4" w:rsidRDefault="00F26E59">
            <w:pPr>
              <w:pStyle w:val="TableParagraph"/>
              <w:spacing w:before="0" w:line="233" w:lineRule="exact"/>
              <w:jc w:val="both"/>
            </w:pPr>
            <w:r>
              <w:t>ending</w:t>
            </w:r>
            <w:r>
              <w:rPr>
                <w:spacing w:val="-3"/>
              </w:rPr>
              <w:t xml:space="preserve"> </w:t>
            </w:r>
            <w:r>
              <w:t>on 30 November</w:t>
            </w:r>
            <w:r>
              <w:rPr>
                <w:spacing w:val="-1"/>
              </w:rPr>
              <w:t xml:space="preserve"> </w:t>
            </w:r>
            <w:r>
              <w:t>2025.</w:t>
            </w:r>
          </w:p>
        </w:tc>
      </w:tr>
    </w:tbl>
    <w:p w14:paraId="6DE50341" w14:textId="77777777" w:rsidR="00AE04E4" w:rsidRDefault="00AE04E4">
      <w:pPr>
        <w:spacing w:line="233" w:lineRule="exact"/>
        <w:jc w:val="both"/>
        <w:sectPr w:rsidR="00AE04E4">
          <w:pgSz w:w="12240" w:h="15840"/>
          <w:pgMar w:top="1360" w:right="1320" w:bottom="280" w:left="1320" w:header="720" w:footer="720" w:gutter="0"/>
          <w:cols w:space="720"/>
        </w:sectPr>
      </w:pPr>
    </w:p>
    <w:p w14:paraId="6DE50342" w14:textId="77777777" w:rsidR="00AE04E4" w:rsidRDefault="00F26E59">
      <w:pPr>
        <w:spacing w:before="60"/>
        <w:ind w:left="381" w:right="377"/>
        <w:jc w:val="center"/>
        <w:rPr>
          <w:b/>
          <w:sz w:val="28"/>
        </w:rPr>
      </w:pPr>
      <w:r>
        <w:rPr>
          <w:b/>
          <w:sz w:val="28"/>
        </w:rPr>
        <w:lastRenderedPageBreak/>
        <w:t>ATTACHMENT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</w:t>
      </w:r>
    </w:p>
    <w:p w14:paraId="6DE50343" w14:textId="77777777" w:rsidR="00AE04E4" w:rsidRDefault="00AE04E4">
      <w:pPr>
        <w:pStyle w:val="BodyText"/>
        <w:spacing w:before="5"/>
        <w:rPr>
          <w:b/>
          <w:sz w:val="35"/>
        </w:rPr>
      </w:pPr>
    </w:p>
    <w:p w14:paraId="6DE50344" w14:textId="77777777" w:rsidR="00AE04E4" w:rsidRDefault="00F26E59">
      <w:pPr>
        <w:ind w:left="381" w:right="382"/>
        <w:jc w:val="center"/>
        <w:rPr>
          <w:b/>
          <w:sz w:val="28"/>
        </w:rPr>
      </w:pPr>
      <w:r>
        <w:rPr>
          <w:b/>
          <w:sz w:val="28"/>
        </w:rPr>
        <w:t>Statement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Compatibility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Human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Rights</w:t>
      </w:r>
    </w:p>
    <w:p w14:paraId="6DE50345" w14:textId="77777777" w:rsidR="00AE04E4" w:rsidRDefault="00F26E59">
      <w:pPr>
        <w:spacing w:before="169"/>
        <w:ind w:left="381" w:right="384"/>
        <w:jc w:val="center"/>
        <w:rPr>
          <w:i/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(Parliamentary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Scrutiny)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2011</w:t>
      </w:r>
    </w:p>
    <w:p w14:paraId="6DE50346" w14:textId="77777777" w:rsidR="00AE04E4" w:rsidRDefault="00F26E59">
      <w:pPr>
        <w:pStyle w:val="Heading1"/>
        <w:spacing w:before="161"/>
        <w:ind w:left="766"/>
      </w:pPr>
      <w:r>
        <w:t>Southern</w:t>
      </w:r>
      <w:r>
        <w:rPr>
          <w:spacing w:val="-4"/>
        </w:rPr>
        <w:t xml:space="preserve"> </w:t>
      </w:r>
      <w:r>
        <w:t>Bluefin</w:t>
      </w:r>
      <w:r>
        <w:rPr>
          <w:spacing w:val="-1"/>
        </w:rPr>
        <w:t xml:space="preserve"> </w:t>
      </w:r>
      <w:r>
        <w:t>Tuna</w:t>
      </w:r>
      <w:r>
        <w:rPr>
          <w:spacing w:val="-4"/>
        </w:rPr>
        <w:t xml:space="preserve"> </w:t>
      </w:r>
      <w:r>
        <w:t>Fishery</w:t>
      </w:r>
      <w:r>
        <w:rPr>
          <w:spacing w:val="-3"/>
        </w:rPr>
        <w:t xml:space="preserve"> </w:t>
      </w:r>
      <w:r>
        <w:t>(</w:t>
      </w:r>
      <w:proofErr w:type="spellStart"/>
      <w:r>
        <w:t>Undercatch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Overcatch</w:t>
      </w:r>
      <w:proofErr w:type="spellEnd"/>
      <w:r>
        <w:t>) Determination</w:t>
      </w:r>
      <w:r>
        <w:rPr>
          <w:spacing w:val="-2"/>
        </w:rPr>
        <w:t xml:space="preserve"> </w:t>
      </w:r>
      <w:r>
        <w:t>2024</w:t>
      </w:r>
    </w:p>
    <w:p w14:paraId="6DE50347" w14:textId="77777777" w:rsidR="00AE04E4" w:rsidRDefault="00F26E59">
      <w:pPr>
        <w:spacing w:before="163" w:line="276" w:lineRule="auto"/>
        <w:ind w:left="120"/>
      </w:pPr>
      <w:r>
        <w:t xml:space="preserve">This Determination is compatible with the human rights and freedoms </w:t>
      </w:r>
      <w:proofErr w:type="spellStart"/>
      <w:r>
        <w:t>recognised</w:t>
      </w:r>
      <w:proofErr w:type="spellEnd"/>
      <w:r>
        <w:t xml:space="preserve"> or declared in the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-2"/>
        </w:rPr>
        <w:t xml:space="preserve"> </w:t>
      </w:r>
      <w:r>
        <w:rPr>
          <w:i/>
        </w:rPr>
        <w:t>Rights</w:t>
      </w:r>
      <w:r>
        <w:rPr>
          <w:i/>
          <w:spacing w:val="-1"/>
        </w:rPr>
        <w:t xml:space="preserve"> </w:t>
      </w:r>
      <w:r>
        <w:rPr>
          <w:i/>
        </w:rPr>
        <w:t>(Parliamentary</w:t>
      </w:r>
      <w:r>
        <w:rPr>
          <w:i/>
          <w:spacing w:val="-4"/>
        </w:rPr>
        <w:t xml:space="preserve"> </w:t>
      </w:r>
      <w:r>
        <w:rPr>
          <w:i/>
        </w:rPr>
        <w:t>Scrutiny)</w:t>
      </w:r>
      <w:r>
        <w:rPr>
          <w:i/>
          <w:spacing w:val="-1"/>
        </w:rPr>
        <w:t xml:space="preserve"> </w:t>
      </w:r>
      <w:r>
        <w:rPr>
          <w:i/>
        </w:rPr>
        <w:t>Act 2011</w:t>
      </w:r>
      <w:r>
        <w:t>.</w:t>
      </w:r>
    </w:p>
    <w:p w14:paraId="6DE50348" w14:textId="77777777" w:rsidR="00AE04E4" w:rsidRDefault="00F26E59">
      <w:pPr>
        <w:pStyle w:val="Heading2"/>
        <w:spacing w:before="119"/>
        <w:ind w:right="382"/>
        <w:jc w:val="center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Instrument</w:t>
      </w:r>
    </w:p>
    <w:p w14:paraId="6DE50349" w14:textId="77777777" w:rsidR="00AE04E4" w:rsidRDefault="00AE04E4">
      <w:pPr>
        <w:pStyle w:val="BodyText"/>
        <w:spacing w:before="4"/>
        <w:rPr>
          <w:b/>
          <w:sz w:val="24"/>
        </w:rPr>
      </w:pPr>
    </w:p>
    <w:p w14:paraId="6DE5034A" w14:textId="77777777" w:rsidR="00AE04E4" w:rsidRDefault="00F26E59">
      <w:pPr>
        <w:pStyle w:val="BodyText"/>
        <w:spacing w:line="276" w:lineRule="auto"/>
        <w:ind w:left="120" w:right="173"/>
        <w:rPr>
          <w:i/>
        </w:rPr>
      </w:pPr>
      <w:r>
        <w:t xml:space="preserve">The Determination determines the amounts and percentages for </w:t>
      </w:r>
      <w:proofErr w:type="spellStart"/>
      <w:r>
        <w:t>undercatch</w:t>
      </w:r>
      <w:proofErr w:type="spellEnd"/>
      <w:r>
        <w:t xml:space="preserve"> and </w:t>
      </w:r>
      <w:proofErr w:type="spellStart"/>
      <w:r>
        <w:t>overcatch</w:t>
      </w:r>
      <w:proofErr w:type="spellEnd"/>
      <w:r>
        <w:t xml:space="preserve"> for the fishing</w:t>
      </w:r>
      <w:r>
        <w:rPr>
          <w:spacing w:val="1"/>
        </w:rPr>
        <w:t xml:space="preserve"> </w:t>
      </w:r>
      <w:r>
        <w:t xml:space="preserve">season commencing on 1 December 2024 and ending on 30 November 2025. </w:t>
      </w:r>
      <w:proofErr w:type="spellStart"/>
      <w:r>
        <w:t>Undercatch</w:t>
      </w:r>
      <w:proofErr w:type="spellEnd"/>
      <w:r>
        <w:t xml:space="preserve"> and </w:t>
      </w:r>
      <w:proofErr w:type="spellStart"/>
      <w:r>
        <w:t>overcatch</w:t>
      </w:r>
      <w:proofErr w:type="spellEnd"/>
      <w:r>
        <w:rPr>
          <w:spacing w:val="1"/>
        </w:rPr>
        <w:t xml:space="preserve"> </w:t>
      </w:r>
      <w:r>
        <w:t>provides for ‘carry over’ or ‘carry under’ of a small amount of end of season quota between fishing</w:t>
      </w:r>
      <w:r>
        <w:rPr>
          <w:spacing w:val="1"/>
        </w:rPr>
        <w:t xml:space="preserve"> </w:t>
      </w:r>
      <w:r>
        <w:t>seasons thereby allowing fishers the flexibility to catch a certain amount of fish over or under their quota,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credit this</w:t>
      </w:r>
      <w:r>
        <w:rPr>
          <w:spacing w:val="-2"/>
        </w:rPr>
        <w:t xml:space="preserve"> </w:t>
      </w:r>
      <w:r>
        <w:t>to or</w:t>
      </w:r>
      <w:r>
        <w:rPr>
          <w:spacing w:val="-2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following season’s</w:t>
      </w:r>
      <w:r>
        <w:rPr>
          <w:spacing w:val="-1"/>
        </w:rPr>
        <w:t xml:space="preserve"> </w:t>
      </w:r>
      <w:r>
        <w:t>quota</w:t>
      </w:r>
      <w:r>
        <w:rPr>
          <w:i/>
        </w:rPr>
        <w:t>.</w:t>
      </w:r>
    </w:p>
    <w:p w14:paraId="6DE5034B" w14:textId="77777777" w:rsidR="00AE04E4" w:rsidRDefault="00F26E59">
      <w:pPr>
        <w:pStyle w:val="Heading2"/>
        <w:spacing w:before="120"/>
        <w:ind w:left="2881"/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implications</w:t>
      </w:r>
    </w:p>
    <w:p w14:paraId="6DE5034C" w14:textId="77777777" w:rsidR="00AE04E4" w:rsidRDefault="00F26E59">
      <w:pPr>
        <w:pStyle w:val="BodyText"/>
        <w:spacing w:before="158" w:line="276" w:lineRule="auto"/>
        <w:ind w:left="120" w:right="173"/>
      </w:pPr>
      <w:r>
        <w:t>As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mechanical nature,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 engage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freedoms.</w:t>
      </w:r>
    </w:p>
    <w:p w14:paraId="6DE5034D" w14:textId="77777777" w:rsidR="00AE04E4" w:rsidRDefault="00F26E59">
      <w:pPr>
        <w:pStyle w:val="Heading2"/>
        <w:spacing w:before="118"/>
        <w:ind w:right="377"/>
        <w:jc w:val="center"/>
      </w:pPr>
      <w:r>
        <w:t>Conclusion</w:t>
      </w:r>
    </w:p>
    <w:p w14:paraId="6DE5034E" w14:textId="77777777" w:rsidR="00AE04E4" w:rsidRDefault="00F26E59">
      <w:pPr>
        <w:pStyle w:val="BodyText"/>
        <w:spacing w:before="160" w:line="276" w:lineRule="auto"/>
        <w:ind w:left="120"/>
      </w:pPr>
      <w:r>
        <w:t>This Determination is compatible with human rights as it does not raise any human rights issues. The</w:t>
      </w:r>
      <w:r>
        <w:rPr>
          <w:spacing w:val="1"/>
        </w:rPr>
        <w:t xml:space="preserve"> </w:t>
      </w:r>
      <w:r>
        <w:t>AFMA</w:t>
      </w:r>
      <w:r>
        <w:rPr>
          <w:spacing w:val="-4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AFMA’s</w:t>
      </w:r>
      <w:r>
        <w:rPr>
          <w:spacing w:val="-3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its</w:t>
      </w:r>
      <w:r>
        <w:rPr>
          <w:spacing w:val="-5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objectives.</w:t>
      </w:r>
    </w:p>
    <w:sectPr w:rsidR="00AE04E4"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6862" w14:textId="77777777" w:rsidR="007018B6" w:rsidRDefault="007018B6" w:rsidP="009E7EBB">
      <w:r>
        <w:separator/>
      </w:r>
    </w:p>
  </w:endnote>
  <w:endnote w:type="continuationSeparator" w:id="0">
    <w:p w14:paraId="53E9F5EE" w14:textId="77777777" w:rsidR="007018B6" w:rsidRDefault="007018B6" w:rsidP="009E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8C8D7" w14:textId="77777777" w:rsidR="007018B6" w:rsidRDefault="007018B6" w:rsidP="009E7EBB">
      <w:r>
        <w:separator/>
      </w:r>
    </w:p>
  </w:footnote>
  <w:footnote w:type="continuationSeparator" w:id="0">
    <w:p w14:paraId="0C71F68F" w14:textId="77777777" w:rsidR="007018B6" w:rsidRDefault="007018B6" w:rsidP="009E7EBB">
      <w:r>
        <w:continuationSeparator/>
      </w:r>
    </w:p>
  </w:footnote>
  <w:footnote w:id="1">
    <w:p w14:paraId="0205EAF7" w14:textId="5F38598D" w:rsidR="00C70325" w:rsidRPr="00C70325" w:rsidRDefault="00C7032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C70325">
        <w:rPr>
          <w:sz w:val="16"/>
          <w:szCs w:val="16"/>
        </w:rPr>
        <w:t xml:space="preserve">Effective Commercial Catch Limit = ANCA for the season plus the total </w:t>
      </w:r>
      <w:proofErr w:type="spellStart"/>
      <w:r w:rsidRPr="00C70325">
        <w:rPr>
          <w:sz w:val="16"/>
          <w:szCs w:val="16"/>
        </w:rPr>
        <w:t>undercatch</w:t>
      </w:r>
      <w:proofErr w:type="spellEnd"/>
      <w:r w:rsidRPr="00C70325">
        <w:rPr>
          <w:sz w:val="16"/>
          <w:szCs w:val="16"/>
        </w:rPr>
        <w:t xml:space="preserve"> amount for the SBT fishery (if any) from the previous fishing season.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4E4"/>
    <w:rsid w:val="000D5E04"/>
    <w:rsid w:val="00117945"/>
    <w:rsid w:val="0028340C"/>
    <w:rsid w:val="004F4317"/>
    <w:rsid w:val="00514CBD"/>
    <w:rsid w:val="006213BE"/>
    <w:rsid w:val="007018B6"/>
    <w:rsid w:val="00707ABB"/>
    <w:rsid w:val="007A759D"/>
    <w:rsid w:val="00820D40"/>
    <w:rsid w:val="008F5179"/>
    <w:rsid w:val="009C1D38"/>
    <w:rsid w:val="009E7EBB"/>
    <w:rsid w:val="00A3753B"/>
    <w:rsid w:val="00AE04E4"/>
    <w:rsid w:val="00B36C74"/>
    <w:rsid w:val="00BD5EEA"/>
    <w:rsid w:val="00C70325"/>
    <w:rsid w:val="00CB1C7E"/>
    <w:rsid w:val="00CC3EBB"/>
    <w:rsid w:val="00E32F73"/>
    <w:rsid w:val="00E92516"/>
    <w:rsid w:val="00ED51BE"/>
    <w:rsid w:val="00F26E59"/>
    <w:rsid w:val="00FA255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E502ED"/>
  <w15:docId w15:val="{990B5F62-7A57-4384-B96D-47102F33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  <w:ind w:left="21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03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3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dlc_DocId xmlns="9dc7b98a-aa4a-4582-9fad-77df62eff277">AFMALPS-1462065136-6038</_dlc_DocId>
    <_dlc_DocIdUrl xmlns="9dc7b98a-aa4a-4582-9fad-77df62eff277">
      <Url>https://afmagovau.sharepoint.com/sites/LPS-PROD/_layouts/15/DocIdRedir.aspx?ID=AFMALPS-1462065136-6038</Url>
      <Description>AFMALPS-1462065136-6038</Description>
    </_dlc_DocIdUrl>
    <SharedWithUsers xmlns="9dc7b98a-aa4a-4582-9fad-77df62eff27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7A15-D231-4055-87EB-6E3A914C4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6577C-FCC2-4562-BE0A-D10E228EB681}">
  <ds:schemaRefs>
    <ds:schemaRef ds:uri="http://schemas.microsoft.com/office/2006/metadata/properties"/>
    <ds:schemaRef ds:uri="http://schemas.microsoft.com/office/infopath/2007/PartnerControls"/>
    <ds:schemaRef ds:uri="9dc7b98a-aa4a-4582-9fad-77df62eff277"/>
    <ds:schemaRef ds:uri="d01b9356-9774-4515-b85f-82788657dd43"/>
  </ds:schemaRefs>
</ds:datastoreItem>
</file>

<file path=customXml/itemProps3.xml><?xml version="1.0" encoding="utf-8"?>
<ds:datastoreItem xmlns:ds="http://schemas.openxmlformats.org/officeDocument/2006/customXml" ds:itemID="{99F67B51-5D00-436E-A0F5-C0AE749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B8648-EB54-4F39-92CE-C6748597AB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C4122E-1D76-456F-A0BF-F593FF72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1467</Words>
  <Characters>8363</Characters>
  <Application>Microsoft Office Word</Application>
  <DocSecurity>0</DocSecurity>
  <Lines>69</Lines>
  <Paragraphs>19</Paragraphs>
  <ScaleCrop>false</ScaleCrop>
  <Company>Australian Fisheries Management Authority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KEARNEY Brendan</dc:creator>
  <cp:lastModifiedBy>AFMA </cp:lastModifiedBy>
  <cp:revision>20</cp:revision>
  <dcterms:created xsi:type="dcterms:W3CDTF">2024-11-04T04:01:00Z</dcterms:created>
  <dcterms:modified xsi:type="dcterms:W3CDTF">2024-11-25T00:04:00Z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ContentTypeId">
    <vt:lpwstr>0x01010012922EE4DB6956409625CCB71A6EB15A</vt:lpwstr>
  </property>
  <property fmtid="{D5CDD505-2E9C-101B-9397-08002B2CF9AE}" pid="6" name="_dlc_DocIdItemGuid">
    <vt:lpwstr>f774cc91-53af-43b7-ada2-c972d52f2284</vt:lpwstr>
  </property>
  <property fmtid="{D5CDD505-2E9C-101B-9397-08002B2CF9AE}" pid="7" name="TitusGUID">
    <vt:lpwstr>0b948930-113c-4064-aec3-7f9ec516a105</vt:lpwstr>
  </property>
  <property fmtid="{D5CDD505-2E9C-101B-9397-08002B2CF9AE}" pid="8" name="SEC">
    <vt:lpwstr>OFFICIAL</vt:lpwstr>
  </property>
  <property fmtid="{D5CDD505-2E9C-101B-9397-08002B2CF9AE}" pid="9" name="ApplyMark">
    <vt:lpwstr>false</vt:lpwstr>
  </property>
  <property fmtid="{D5CDD505-2E9C-101B-9397-08002B2CF9AE}" pid="10" name="MediaServiceImageTags">
    <vt:lpwstr/>
  </property>
  <property fmtid="{D5CDD505-2E9C-101B-9397-08002B2CF9AE}" pid="11" name="Order">
    <vt:r8>3592100</vt:r8>
  </property>
  <property fmtid="{D5CDD505-2E9C-101B-9397-08002B2CF9AE}" pid="12" name="DocumentStatus">
    <vt:lpwstr>CEO Cleared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