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D39A6" w14:textId="77777777" w:rsidR="00AA437A" w:rsidRPr="00EE344B" w:rsidRDefault="0057002B" w:rsidP="008A1465">
      <w:pPr>
        <w:pStyle w:val="ESTitleHeader"/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  <w:r w:rsidRPr="00EE344B">
        <w:rPr>
          <w:b/>
          <w:bCs/>
          <w:sz w:val="24"/>
          <w:szCs w:val="24"/>
        </w:rPr>
        <w:t>EXPLANATORY STATEMENT</w:t>
      </w:r>
    </w:p>
    <w:p w14:paraId="49F95335" w14:textId="77777777" w:rsidR="003A0384" w:rsidRPr="006E5162" w:rsidRDefault="003A0384" w:rsidP="008A1465">
      <w:pPr>
        <w:pStyle w:val="ESTitleHeader"/>
        <w:spacing w:after="0" w:line="240" w:lineRule="auto"/>
        <w:rPr>
          <w:sz w:val="24"/>
          <w:szCs w:val="24"/>
        </w:rPr>
      </w:pPr>
    </w:p>
    <w:p w14:paraId="4A697C55" w14:textId="15B398A2" w:rsidR="0057002B" w:rsidRPr="006E5162" w:rsidRDefault="0057002B" w:rsidP="008A1465">
      <w:pPr>
        <w:pStyle w:val="ESTitleDecisionMaker"/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 xml:space="preserve">Issued by authority of the </w:t>
      </w:r>
      <w:r w:rsidR="007B0BF6" w:rsidRPr="006E5162">
        <w:rPr>
          <w:sz w:val="24"/>
          <w:szCs w:val="24"/>
        </w:rPr>
        <w:t>Minister for Immigration and Multicultural Affairs</w:t>
      </w:r>
    </w:p>
    <w:p w14:paraId="19E0AA61" w14:textId="77777777" w:rsidR="003A0384" w:rsidRPr="006E5162" w:rsidRDefault="003A0384" w:rsidP="008A1465">
      <w:pPr>
        <w:pStyle w:val="ESTitleDecisionMaker"/>
        <w:spacing w:after="0" w:line="240" w:lineRule="auto"/>
        <w:rPr>
          <w:sz w:val="24"/>
          <w:szCs w:val="24"/>
        </w:rPr>
      </w:pPr>
    </w:p>
    <w:p w14:paraId="4BD3995A" w14:textId="437A041D" w:rsidR="0057002B" w:rsidRPr="006E5162" w:rsidRDefault="00A77DF9" w:rsidP="008A1465">
      <w:pPr>
        <w:pStyle w:val="ESTitleEnablingLegislation"/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>Migration Act 1958</w:t>
      </w:r>
    </w:p>
    <w:p w14:paraId="7B63B30A" w14:textId="77777777" w:rsidR="004A476B" w:rsidRDefault="005970DA" w:rsidP="008A1465">
      <w:pPr>
        <w:pStyle w:val="ESTitleInstrumentName"/>
        <w:spacing w:before="240" w:after="0" w:line="240" w:lineRule="auto"/>
        <w:rPr>
          <w:b w:val="0"/>
          <w:bCs/>
          <w:sz w:val="24"/>
          <w:szCs w:val="24"/>
        </w:rPr>
      </w:pPr>
      <w:r w:rsidRPr="005970DA">
        <w:rPr>
          <w:b w:val="0"/>
          <w:bCs/>
          <w:sz w:val="24"/>
          <w:szCs w:val="24"/>
        </w:rPr>
        <w:t>Migration (Arrangements for Visitor (Class FA) visa applications) Amendment (LIN 24/084) Instrument 2024</w:t>
      </w:r>
    </w:p>
    <w:p w14:paraId="650B05CA" w14:textId="2D9F6CEA" w:rsidR="0057002B" w:rsidRPr="006E5162" w:rsidRDefault="0057002B" w:rsidP="0049084A">
      <w:pPr>
        <w:pStyle w:val="ESPar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 xml:space="preserve">The instrument, </w:t>
      </w:r>
      <w:r w:rsidR="008237FF" w:rsidRPr="006E5162">
        <w:rPr>
          <w:sz w:val="24"/>
          <w:szCs w:val="24"/>
        </w:rPr>
        <w:t>d</w:t>
      </w:r>
      <w:r w:rsidRPr="006E5162">
        <w:rPr>
          <w:sz w:val="24"/>
          <w:szCs w:val="24"/>
        </w:rPr>
        <w:t>epartmental reference</w:t>
      </w:r>
      <w:r w:rsidR="002253A2" w:rsidRPr="006E5162">
        <w:rPr>
          <w:sz w:val="24"/>
          <w:szCs w:val="24"/>
        </w:rPr>
        <w:t xml:space="preserve"> LIN 24/084, is made under subregulation 2.07(5) of the </w:t>
      </w:r>
      <w:r w:rsidR="002253A2" w:rsidRPr="006E5162">
        <w:rPr>
          <w:i/>
          <w:iCs/>
          <w:sz w:val="24"/>
          <w:szCs w:val="24"/>
        </w:rPr>
        <w:t>Migration Regulations 1994</w:t>
      </w:r>
      <w:r w:rsidR="002253A2" w:rsidRPr="006E5162">
        <w:rPr>
          <w:sz w:val="24"/>
          <w:szCs w:val="24"/>
        </w:rPr>
        <w:t xml:space="preserve"> (the Migration Regulations) for the purposes of subitem 1236(6A) of Schedule 1 to </w:t>
      </w:r>
      <w:r w:rsidR="00A80683" w:rsidRPr="006E5162">
        <w:rPr>
          <w:sz w:val="24"/>
          <w:szCs w:val="24"/>
        </w:rPr>
        <w:t>the</w:t>
      </w:r>
      <w:r w:rsidR="002253A2" w:rsidRPr="006E5162">
        <w:rPr>
          <w:sz w:val="24"/>
          <w:szCs w:val="24"/>
        </w:rPr>
        <w:t xml:space="preserve"> Regulations.</w:t>
      </w:r>
      <w:r w:rsidRPr="006E5162">
        <w:rPr>
          <w:sz w:val="24"/>
          <w:szCs w:val="24"/>
        </w:rPr>
        <w:t xml:space="preserve"> </w:t>
      </w:r>
    </w:p>
    <w:p w14:paraId="72EA0E0A" w14:textId="1FE8B83F" w:rsidR="00EA12C9" w:rsidRPr="006E5162" w:rsidRDefault="00A52839" w:rsidP="0049084A">
      <w:pPr>
        <w:pStyle w:val="ESPar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 xml:space="preserve">The instrument amends </w:t>
      </w:r>
      <w:r w:rsidRPr="006E5162">
        <w:rPr>
          <w:i/>
          <w:iCs/>
          <w:sz w:val="24"/>
          <w:szCs w:val="24"/>
        </w:rPr>
        <w:t>Migration (Arrangements for Visitor (Class FA) visa applications) Instrument (LIN 21/056) 2021</w:t>
      </w:r>
      <w:r w:rsidRPr="006E5162">
        <w:rPr>
          <w:sz w:val="24"/>
          <w:szCs w:val="24"/>
        </w:rPr>
        <w:t xml:space="preserve"> (LIN 21/056) in accordance with subsection 33(3) of the </w:t>
      </w:r>
      <w:r w:rsidRPr="006E5162">
        <w:rPr>
          <w:i/>
          <w:iCs/>
          <w:sz w:val="24"/>
          <w:szCs w:val="24"/>
        </w:rPr>
        <w:t>Acts Interpretation Act 1901</w:t>
      </w:r>
      <w:r w:rsidRPr="006E5162">
        <w:rPr>
          <w:sz w:val="24"/>
          <w:szCs w:val="24"/>
        </w:rPr>
        <w:t>. That subsection provides that a power to make a legislative instrument includes a power to amend or repeal that instrument in the same manner, and subject to the same conditions, as the power to make the instrument.</w:t>
      </w:r>
    </w:p>
    <w:p w14:paraId="182998E9" w14:textId="360736EC" w:rsidR="00BD598E" w:rsidRPr="006E5162" w:rsidRDefault="00AA4557" w:rsidP="0049084A">
      <w:pPr>
        <w:pStyle w:val="ESPar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>The instrument commences</w:t>
      </w:r>
      <w:r w:rsidR="00A80683" w:rsidRPr="006E5162">
        <w:rPr>
          <w:sz w:val="24"/>
          <w:szCs w:val="24"/>
        </w:rPr>
        <w:t xml:space="preserve"> on</w:t>
      </w:r>
      <w:r w:rsidRPr="006E5162">
        <w:rPr>
          <w:sz w:val="24"/>
          <w:szCs w:val="24"/>
        </w:rPr>
        <w:t xml:space="preserve"> </w:t>
      </w:r>
      <w:r w:rsidR="006F294D" w:rsidRPr="006E5162">
        <w:rPr>
          <w:sz w:val="24"/>
          <w:szCs w:val="24"/>
        </w:rPr>
        <w:t>7 December 2024</w:t>
      </w:r>
      <w:r w:rsidR="004A1E08">
        <w:rPr>
          <w:sz w:val="24"/>
          <w:szCs w:val="24"/>
        </w:rPr>
        <w:t>. It</w:t>
      </w:r>
      <w:r w:rsidRPr="006E5162">
        <w:rPr>
          <w:sz w:val="24"/>
          <w:szCs w:val="24"/>
        </w:rPr>
        <w:t xml:space="preserve"> i</w:t>
      </w:r>
      <w:r w:rsidR="00BD598E" w:rsidRPr="006E5162">
        <w:rPr>
          <w:sz w:val="24"/>
          <w:szCs w:val="24"/>
        </w:rPr>
        <w:t xml:space="preserve">s a </w:t>
      </w:r>
      <w:r w:rsidRPr="006E5162">
        <w:rPr>
          <w:sz w:val="24"/>
          <w:szCs w:val="24"/>
        </w:rPr>
        <w:t>legislative</w:t>
      </w:r>
      <w:r w:rsidR="00BD598E" w:rsidRPr="006E5162">
        <w:rPr>
          <w:sz w:val="24"/>
          <w:szCs w:val="24"/>
        </w:rPr>
        <w:t xml:space="preserve"> instrument for </w:t>
      </w:r>
      <w:r w:rsidR="00B75478" w:rsidRPr="006E5162">
        <w:rPr>
          <w:sz w:val="24"/>
          <w:szCs w:val="24"/>
        </w:rPr>
        <w:t xml:space="preserve">the </w:t>
      </w:r>
      <w:r w:rsidR="00100DFC" w:rsidRPr="006E5162">
        <w:rPr>
          <w:i/>
          <w:sz w:val="24"/>
          <w:szCs w:val="24"/>
        </w:rPr>
        <w:t>Legislation Act 2003</w:t>
      </w:r>
      <w:r w:rsidR="00100DFC" w:rsidRPr="006E5162">
        <w:rPr>
          <w:sz w:val="24"/>
          <w:szCs w:val="24"/>
        </w:rPr>
        <w:t xml:space="preserve"> (the Legislation Act)</w:t>
      </w:r>
      <w:r w:rsidR="00BD598E" w:rsidRPr="006E5162">
        <w:rPr>
          <w:sz w:val="24"/>
          <w:szCs w:val="24"/>
        </w:rPr>
        <w:t xml:space="preserve">.  </w:t>
      </w:r>
    </w:p>
    <w:p w14:paraId="0EDBDF1D" w14:textId="5B2D28D0" w:rsidR="00EA12C9" w:rsidRPr="0049084A" w:rsidRDefault="00BD598E" w:rsidP="00100DFC">
      <w:pPr>
        <w:pStyle w:val="ESHeading"/>
        <w:rPr>
          <w:sz w:val="24"/>
          <w:szCs w:val="24"/>
        </w:rPr>
      </w:pPr>
      <w:r w:rsidRPr="0049084A">
        <w:rPr>
          <w:sz w:val="24"/>
          <w:szCs w:val="24"/>
        </w:rPr>
        <w:t>Purpose</w:t>
      </w:r>
    </w:p>
    <w:p w14:paraId="643233FD" w14:textId="42ADB5AB" w:rsidR="00232C01" w:rsidRPr="006E5162" w:rsidRDefault="00232C01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 xml:space="preserve">The purpose of the instrument is </w:t>
      </w:r>
      <w:r w:rsidR="00F37F03" w:rsidRPr="006E5162">
        <w:rPr>
          <w:sz w:val="24"/>
          <w:szCs w:val="24"/>
        </w:rPr>
        <w:t>to amend the</w:t>
      </w:r>
      <w:r w:rsidRPr="006E5162">
        <w:rPr>
          <w:sz w:val="24"/>
          <w:szCs w:val="24"/>
        </w:rPr>
        <w:t xml:space="preserve"> requirements for making an application for a Visitor (Class FA) visa (Class FA visa). The Subclass 600 (Visitor) visa (subclass 600</w:t>
      </w:r>
      <w:r w:rsidR="00F37F03" w:rsidRPr="006E5162">
        <w:rPr>
          <w:sz w:val="24"/>
          <w:szCs w:val="24"/>
        </w:rPr>
        <w:t xml:space="preserve"> visa</w:t>
      </w:r>
      <w:r w:rsidRPr="006E5162">
        <w:rPr>
          <w:sz w:val="24"/>
          <w:szCs w:val="24"/>
        </w:rPr>
        <w:t xml:space="preserve">) is the only subclass for the Class FA visa and has five streams. This instrument </w:t>
      </w:r>
      <w:r w:rsidR="00F37F03" w:rsidRPr="006E5162">
        <w:rPr>
          <w:sz w:val="24"/>
          <w:szCs w:val="24"/>
        </w:rPr>
        <w:t xml:space="preserve">amends </w:t>
      </w:r>
      <w:r w:rsidRPr="006E5162">
        <w:rPr>
          <w:sz w:val="24"/>
          <w:szCs w:val="24"/>
        </w:rPr>
        <w:t xml:space="preserve">the </w:t>
      </w:r>
      <w:r w:rsidR="00A80683" w:rsidRPr="006E5162">
        <w:rPr>
          <w:sz w:val="24"/>
          <w:szCs w:val="24"/>
        </w:rPr>
        <w:t xml:space="preserve">requirements </w:t>
      </w:r>
      <w:r w:rsidRPr="006E5162">
        <w:rPr>
          <w:sz w:val="24"/>
          <w:szCs w:val="24"/>
        </w:rPr>
        <w:t xml:space="preserve">for </w:t>
      </w:r>
      <w:r w:rsidR="00A80683" w:rsidRPr="006E5162">
        <w:rPr>
          <w:sz w:val="24"/>
          <w:szCs w:val="24"/>
        </w:rPr>
        <w:t>an application for a subclass</w:t>
      </w:r>
      <w:r w:rsidR="00F37F03" w:rsidRPr="006E5162">
        <w:rPr>
          <w:sz w:val="24"/>
          <w:szCs w:val="24"/>
        </w:rPr>
        <w:t xml:space="preserve"> 600</w:t>
      </w:r>
      <w:r w:rsidR="00A80683" w:rsidRPr="006E5162">
        <w:rPr>
          <w:sz w:val="24"/>
          <w:szCs w:val="24"/>
        </w:rPr>
        <w:t xml:space="preserve"> visa in</w:t>
      </w:r>
      <w:r w:rsidRPr="006E5162">
        <w:rPr>
          <w:sz w:val="24"/>
          <w:szCs w:val="24"/>
        </w:rPr>
        <w:t xml:space="preserve"> the Frequent Traveller stream</w:t>
      </w:r>
      <w:r w:rsidR="00A80683" w:rsidRPr="006E5162">
        <w:rPr>
          <w:sz w:val="24"/>
          <w:szCs w:val="24"/>
        </w:rPr>
        <w:t xml:space="preserve"> (FTS)</w:t>
      </w:r>
      <w:r w:rsidRPr="006E5162">
        <w:rPr>
          <w:sz w:val="24"/>
          <w:szCs w:val="24"/>
        </w:rPr>
        <w:t xml:space="preserve">. </w:t>
      </w:r>
      <w:r w:rsidR="00A46A2C" w:rsidRPr="006E5162">
        <w:rPr>
          <w:sz w:val="24"/>
          <w:szCs w:val="24"/>
        </w:rPr>
        <w:t>The subclass 600 visa in the Frequent Traveller stream may be granted for up to 10 years and the holder may stay for up to 3 months each time they enter Australia.</w:t>
      </w:r>
    </w:p>
    <w:p w14:paraId="750154C9" w14:textId="527BFD29" w:rsidR="00232C01" w:rsidRPr="006E5162" w:rsidRDefault="00232C01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>Item 1236 of Schedule 1 to the Regulations prescribes the requirements that an applicant for a Class FA visa must meet to make a valid application.</w:t>
      </w:r>
      <w:r w:rsidR="00A80683" w:rsidRPr="006E5162">
        <w:rPr>
          <w:sz w:val="24"/>
          <w:szCs w:val="24"/>
        </w:rPr>
        <w:t xml:space="preserve"> Subitem 1236(6A) of Schedule 1 prescribes the requirements for applicants in the Frequent Traveller stream, which include:</w:t>
      </w:r>
      <w:r w:rsidRPr="006E5162">
        <w:rPr>
          <w:sz w:val="24"/>
          <w:szCs w:val="24"/>
        </w:rPr>
        <w:t xml:space="preserve"> </w:t>
      </w:r>
    </w:p>
    <w:p w14:paraId="77CBAC85" w14:textId="2825A8C1" w:rsidR="00232C01" w:rsidRPr="006E5162" w:rsidRDefault="00A80683" w:rsidP="0049084A">
      <w:pPr>
        <w:pStyle w:val="ESSubparaList"/>
        <w:spacing w:after="0" w:line="240" w:lineRule="auto"/>
        <w:ind w:left="993" w:hanging="567"/>
        <w:rPr>
          <w:sz w:val="24"/>
          <w:szCs w:val="24"/>
        </w:rPr>
      </w:pPr>
      <w:r w:rsidRPr="006E5162">
        <w:rPr>
          <w:sz w:val="24"/>
          <w:szCs w:val="24"/>
        </w:rPr>
        <w:t xml:space="preserve">where they </w:t>
      </w:r>
      <w:r w:rsidR="00232C01" w:rsidRPr="006E5162">
        <w:rPr>
          <w:sz w:val="24"/>
          <w:szCs w:val="24"/>
        </w:rPr>
        <w:t xml:space="preserve">must be located when </w:t>
      </w:r>
      <w:r w:rsidRPr="006E5162">
        <w:rPr>
          <w:sz w:val="24"/>
          <w:szCs w:val="24"/>
        </w:rPr>
        <w:t>applying</w:t>
      </w:r>
      <w:r w:rsidR="00232C01" w:rsidRPr="006E5162">
        <w:rPr>
          <w:sz w:val="24"/>
          <w:szCs w:val="24"/>
        </w:rPr>
        <w:t>;</w:t>
      </w:r>
      <w:r w:rsidRPr="006E5162">
        <w:rPr>
          <w:sz w:val="24"/>
          <w:szCs w:val="24"/>
        </w:rPr>
        <w:t xml:space="preserve"> and</w:t>
      </w:r>
      <w:r w:rsidR="00232C01" w:rsidRPr="006E5162">
        <w:rPr>
          <w:sz w:val="24"/>
          <w:szCs w:val="24"/>
        </w:rPr>
        <w:t xml:space="preserve"> </w:t>
      </w:r>
    </w:p>
    <w:p w14:paraId="5BA650E4" w14:textId="569102AF" w:rsidR="00232C01" w:rsidRPr="006E5162" w:rsidRDefault="00232C01" w:rsidP="0049084A">
      <w:pPr>
        <w:pStyle w:val="ESSubparaList"/>
        <w:spacing w:after="0" w:line="240" w:lineRule="auto"/>
        <w:ind w:left="993" w:hanging="567"/>
        <w:rPr>
          <w:sz w:val="24"/>
          <w:szCs w:val="24"/>
        </w:rPr>
      </w:pPr>
      <w:r w:rsidRPr="006E5162">
        <w:rPr>
          <w:sz w:val="24"/>
          <w:szCs w:val="24"/>
        </w:rPr>
        <w:t xml:space="preserve">the kind of passport </w:t>
      </w:r>
      <w:r w:rsidR="00A80683" w:rsidRPr="006E5162">
        <w:rPr>
          <w:sz w:val="24"/>
          <w:szCs w:val="24"/>
        </w:rPr>
        <w:t>they must hold</w:t>
      </w:r>
      <w:r w:rsidRPr="006E5162">
        <w:rPr>
          <w:sz w:val="24"/>
          <w:szCs w:val="24"/>
        </w:rPr>
        <w:t>.</w:t>
      </w:r>
    </w:p>
    <w:p w14:paraId="2BE09227" w14:textId="6B7F01BC" w:rsidR="004630ED" w:rsidRPr="006E5162" w:rsidRDefault="00063E7F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 xml:space="preserve">The instrument </w:t>
      </w:r>
      <w:r w:rsidR="004630ED" w:rsidRPr="006E5162">
        <w:rPr>
          <w:sz w:val="24"/>
          <w:szCs w:val="24"/>
        </w:rPr>
        <w:t>removes t</w:t>
      </w:r>
      <w:r w:rsidR="000A0D8B" w:rsidRPr="006E5162">
        <w:rPr>
          <w:sz w:val="24"/>
          <w:szCs w:val="24"/>
        </w:rPr>
        <w:t xml:space="preserve">he </w:t>
      </w:r>
      <w:r w:rsidR="00A80683" w:rsidRPr="006E5162">
        <w:rPr>
          <w:sz w:val="24"/>
          <w:szCs w:val="24"/>
        </w:rPr>
        <w:t xml:space="preserve">requirement </w:t>
      </w:r>
      <w:r w:rsidR="000A0D8B" w:rsidRPr="006E5162">
        <w:rPr>
          <w:sz w:val="24"/>
          <w:szCs w:val="24"/>
        </w:rPr>
        <w:t xml:space="preserve">that </w:t>
      </w:r>
      <w:r w:rsidR="00521D57">
        <w:rPr>
          <w:sz w:val="24"/>
          <w:szCs w:val="24"/>
        </w:rPr>
        <w:t xml:space="preserve">an applicant must be a holder of </w:t>
      </w:r>
      <w:r w:rsidR="004A476B">
        <w:rPr>
          <w:sz w:val="24"/>
          <w:szCs w:val="24"/>
        </w:rPr>
        <w:t>a passport issued by the</w:t>
      </w:r>
      <w:r w:rsidR="00521D57">
        <w:rPr>
          <w:sz w:val="24"/>
          <w:szCs w:val="24"/>
        </w:rPr>
        <w:t xml:space="preserve"> People’s Republic of China (PRC) who is </w:t>
      </w:r>
      <w:r w:rsidR="00097C37" w:rsidRPr="006E5162">
        <w:rPr>
          <w:sz w:val="24"/>
          <w:szCs w:val="24"/>
        </w:rPr>
        <w:t xml:space="preserve">located </w:t>
      </w:r>
      <w:r w:rsidR="000A0D8B" w:rsidRPr="006E5162">
        <w:rPr>
          <w:sz w:val="24"/>
          <w:szCs w:val="24"/>
        </w:rPr>
        <w:t xml:space="preserve">in the </w:t>
      </w:r>
      <w:r w:rsidR="00365D06" w:rsidRPr="006E5162">
        <w:rPr>
          <w:sz w:val="24"/>
          <w:szCs w:val="24"/>
        </w:rPr>
        <w:t>PRC</w:t>
      </w:r>
      <w:r w:rsidR="000A0D8B" w:rsidRPr="006E5162">
        <w:rPr>
          <w:sz w:val="24"/>
          <w:szCs w:val="24"/>
        </w:rPr>
        <w:t xml:space="preserve"> when they make the application</w:t>
      </w:r>
      <w:r w:rsidR="00A80683" w:rsidRPr="006E5162">
        <w:rPr>
          <w:sz w:val="24"/>
          <w:szCs w:val="24"/>
        </w:rPr>
        <w:t>.</w:t>
      </w:r>
    </w:p>
    <w:p w14:paraId="501CD224" w14:textId="4999E3B8" w:rsidR="00CD4ADD" w:rsidRPr="006E5162" w:rsidRDefault="000A0D8B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 xml:space="preserve">The instrument </w:t>
      </w:r>
      <w:r w:rsidR="00A80683" w:rsidRPr="006E5162">
        <w:rPr>
          <w:sz w:val="24"/>
          <w:szCs w:val="24"/>
        </w:rPr>
        <w:t xml:space="preserve">also </w:t>
      </w:r>
      <w:r w:rsidR="00351FED" w:rsidRPr="006E5162">
        <w:rPr>
          <w:sz w:val="24"/>
          <w:szCs w:val="24"/>
        </w:rPr>
        <w:t>expand</w:t>
      </w:r>
      <w:r w:rsidR="00A77F93" w:rsidRPr="006E5162">
        <w:rPr>
          <w:sz w:val="24"/>
          <w:szCs w:val="24"/>
        </w:rPr>
        <w:t>s</w:t>
      </w:r>
      <w:r w:rsidR="00351FED" w:rsidRPr="006E5162">
        <w:rPr>
          <w:sz w:val="24"/>
          <w:szCs w:val="24"/>
        </w:rPr>
        <w:t xml:space="preserve"> </w:t>
      </w:r>
      <w:r w:rsidR="002200B0" w:rsidRPr="006E5162">
        <w:rPr>
          <w:sz w:val="24"/>
          <w:szCs w:val="24"/>
        </w:rPr>
        <w:t xml:space="preserve">the </w:t>
      </w:r>
      <w:r w:rsidR="007903F9" w:rsidRPr="006E5162">
        <w:rPr>
          <w:sz w:val="24"/>
          <w:szCs w:val="24"/>
        </w:rPr>
        <w:t>F</w:t>
      </w:r>
      <w:r w:rsidR="002200B0" w:rsidRPr="006E5162">
        <w:rPr>
          <w:sz w:val="24"/>
          <w:szCs w:val="24"/>
        </w:rPr>
        <w:t xml:space="preserve">requent </w:t>
      </w:r>
      <w:r w:rsidR="007903F9" w:rsidRPr="006E5162">
        <w:rPr>
          <w:sz w:val="24"/>
          <w:szCs w:val="24"/>
        </w:rPr>
        <w:t>T</w:t>
      </w:r>
      <w:r w:rsidR="002200B0" w:rsidRPr="006E5162">
        <w:rPr>
          <w:sz w:val="24"/>
          <w:szCs w:val="24"/>
        </w:rPr>
        <w:t xml:space="preserve">raveller </w:t>
      </w:r>
      <w:r w:rsidR="006C7970" w:rsidRPr="006E5162">
        <w:rPr>
          <w:sz w:val="24"/>
          <w:szCs w:val="24"/>
        </w:rPr>
        <w:t>stream</w:t>
      </w:r>
      <w:r w:rsidR="002200B0" w:rsidRPr="006E5162">
        <w:rPr>
          <w:sz w:val="24"/>
          <w:szCs w:val="24"/>
        </w:rPr>
        <w:t xml:space="preserve"> to </w:t>
      </w:r>
      <w:r w:rsidR="00E72E44">
        <w:rPr>
          <w:sz w:val="24"/>
          <w:szCs w:val="24"/>
        </w:rPr>
        <w:t xml:space="preserve">applicants from </w:t>
      </w:r>
      <w:r w:rsidR="00A80683" w:rsidRPr="006E5162">
        <w:rPr>
          <w:sz w:val="24"/>
          <w:szCs w:val="24"/>
        </w:rPr>
        <w:t xml:space="preserve">the </w:t>
      </w:r>
      <w:r w:rsidR="00A46A2C" w:rsidRPr="006E5162">
        <w:rPr>
          <w:sz w:val="24"/>
          <w:szCs w:val="24"/>
        </w:rPr>
        <w:t>following</w:t>
      </w:r>
      <w:r w:rsidR="00A80683" w:rsidRPr="006E5162">
        <w:rPr>
          <w:sz w:val="24"/>
          <w:szCs w:val="24"/>
        </w:rPr>
        <w:t xml:space="preserve"> </w:t>
      </w:r>
      <w:r w:rsidR="002200B0" w:rsidRPr="006E5162">
        <w:rPr>
          <w:sz w:val="24"/>
          <w:szCs w:val="24"/>
        </w:rPr>
        <w:t>countries</w:t>
      </w:r>
      <w:r w:rsidR="00A46A2C" w:rsidRPr="006E5162">
        <w:rPr>
          <w:sz w:val="24"/>
          <w:szCs w:val="24"/>
        </w:rPr>
        <w:t xml:space="preserve">: </w:t>
      </w:r>
      <w:r w:rsidR="00497EEF" w:rsidRPr="00497EEF">
        <w:rPr>
          <w:sz w:val="24"/>
          <w:szCs w:val="24"/>
        </w:rPr>
        <w:t>Brunei Darussalam</w:t>
      </w:r>
      <w:r w:rsidR="00497EEF">
        <w:rPr>
          <w:sz w:val="24"/>
          <w:szCs w:val="24"/>
        </w:rPr>
        <w:t>,</w:t>
      </w:r>
      <w:r w:rsidR="00497EEF" w:rsidRPr="00497EEF">
        <w:rPr>
          <w:sz w:val="24"/>
          <w:szCs w:val="24"/>
        </w:rPr>
        <w:t xml:space="preserve"> Cambodia</w:t>
      </w:r>
      <w:r w:rsidR="00497EEF">
        <w:rPr>
          <w:sz w:val="24"/>
          <w:szCs w:val="24"/>
        </w:rPr>
        <w:t xml:space="preserve">, </w:t>
      </w:r>
      <w:r w:rsidR="00497EEF" w:rsidRPr="00497EEF">
        <w:rPr>
          <w:sz w:val="24"/>
          <w:szCs w:val="24"/>
        </w:rPr>
        <w:t>Indonesia</w:t>
      </w:r>
      <w:r w:rsidR="00497EEF">
        <w:rPr>
          <w:sz w:val="24"/>
          <w:szCs w:val="24"/>
        </w:rPr>
        <w:t>,</w:t>
      </w:r>
      <w:r w:rsidR="00497EEF" w:rsidRPr="00497EEF">
        <w:rPr>
          <w:sz w:val="24"/>
          <w:szCs w:val="24"/>
        </w:rPr>
        <w:t xml:space="preserve"> Lao People’s Democratic Republic</w:t>
      </w:r>
      <w:r w:rsidR="00497EEF">
        <w:rPr>
          <w:sz w:val="24"/>
          <w:szCs w:val="24"/>
        </w:rPr>
        <w:t>,</w:t>
      </w:r>
      <w:r w:rsidR="00497EEF" w:rsidRPr="00497EEF">
        <w:rPr>
          <w:sz w:val="24"/>
          <w:szCs w:val="24"/>
        </w:rPr>
        <w:t xml:space="preserve"> Malaysia</w:t>
      </w:r>
      <w:r w:rsidR="00497EEF">
        <w:rPr>
          <w:sz w:val="24"/>
          <w:szCs w:val="24"/>
        </w:rPr>
        <w:t xml:space="preserve">, </w:t>
      </w:r>
      <w:r w:rsidR="00497EEF" w:rsidRPr="00497EEF">
        <w:rPr>
          <w:sz w:val="24"/>
          <w:szCs w:val="24"/>
        </w:rPr>
        <w:t>The People’s Republic of China</w:t>
      </w:r>
      <w:r w:rsidR="00497EEF">
        <w:rPr>
          <w:sz w:val="24"/>
          <w:szCs w:val="24"/>
        </w:rPr>
        <w:t xml:space="preserve">, </w:t>
      </w:r>
      <w:r w:rsidR="00497EEF" w:rsidRPr="00497EEF">
        <w:rPr>
          <w:sz w:val="24"/>
          <w:szCs w:val="24"/>
        </w:rPr>
        <w:t>The Philippines</w:t>
      </w:r>
      <w:r w:rsidR="00497EEF">
        <w:rPr>
          <w:sz w:val="24"/>
          <w:szCs w:val="24"/>
        </w:rPr>
        <w:t>,</w:t>
      </w:r>
      <w:r w:rsidR="00497EEF" w:rsidRPr="00497EEF">
        <w:rPr>
          <w:sz w:val="24"/>
          <w:szCs w:val="24"/>
        </w:rPr>
        <w:t xml:space="preserve"> Singapore</w:t>
      </w:r>
      <w:r w:rsidR="00497EEF">
        <w:rPr>
          <w:sz w:val="24"/>
          <w:szCs w:val="24"/>
        </w:rPr>
        <w:t>,</w:t>
      </w:r>
      <w:r w:rsidR="00497EEF" w:rsidRPr="00497EEF">
        <w:rPr>
          <w:sz w:val="24"/>
          <w:szCs w:val="24"/>
        </w:rPr>
        <w:t xml:space="preserve"> Thailand</w:t>
      </w:r>
      <w:r w:rsidR="00497EEF">
        <w:rPr>
          <w:sz w:val="24"/>
          <w:szCs w:val="24"/>
        </w:rPr>
        <w:t>,</w:t>
      </w:r>
      <w:r w:rsidR="00497EEF" w:rsidRPr="00497EEF">
        <w:rPr>
          <w:sz w:val="24"/>
          <w:szCs w:val="24"/>
        </w:rPr>
        <w:t xml:space="preserve"> Timor-Leste</w:t>
      </w:r>
      <w:r w:rsidR="00497EEF">
        <w:rPr>
          <w:sz w:val="24"/>
          <w:szCs w:val="24"/>
        </w:rPr>
        <w:t>, and</w:t>
      </w:r>
      <w:r w:rsidR="00123913">
        <w:rPr>
          <w:sz w:val="24"/>
          <w:szCs w:val="24"/>
        </w:rPr>
        <w:t xml:space="preserve"> Viet Nam.</w:t>
      </w:r>
    </w:p>
    <w:p w14:paraId="60494DA8" w14:textId="77777777" w:rsidR="008B24C8" w:rsidRPr="006E5162" w:rsidRDefault="008B24C8" w:rsidP="00100DFC">
      <w:pPr>
        <w:pStyle w:val="ESHeading"/>
        <w:rPr>
          <w:sz w:val="24"/>
          <w:szCs w:val="24"/>
        </w:rPr>
      </w:pPr>
      <w:r w:rsidRPr="006E5162">
        <w:rPr>
          <w:sz w:val="24"/>
          <w:szCs w:val="24"/>
        </w:rPr>
        <w:t>Consultation</w:t>
      </w:r>
    </w:p>
    <w:p w14:paraId="773522DC" w14:textId="6160BBA4" w:rsidR="008B24C8" w:rsidRPr="006E5162" w:rsidRDefault="00BE7C56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 xml:space="preserve">Consultation was conducted as part of developing the proposal for long validity visas for eligible </w:t>
      </w:r>
      <w:r w:rsidR="00F37F03" w:rsidRPr="006E5162">
        <w:rPr>
          <w:sz w:val="24"/>
          <w:szCs w:val="24"/>
        </w:rPr>
        <w:t>Association of Southeast Asian Nations (</w:t>
      </w:r>
      <w:r w:rsidRPr="006E5162">
        <w:rPr>
          <w:sz w:val="24"/>
          <w:szCs w:val="24"/>
        </w:rPr>
        <w:t>ASEAN</w:t>
      </w:r>
      <w:r w:rsidR="00F37F03" w:rsidRPr="006E5162">
        <w:rPr>
          <w:sz w:val="24"/>
          <w:szCs w:val="24"/>
        </w:rPr>
        <w:t>)</w:t>
      </w:r>
      <w:r w:rsidRPr="006E5162">
        <w:rPr>
          <w:sz w:val="24"/>
          <w:szCs w:val="24"/>
        </w:rPr>
        <w:t xml:space="preserve"> member countries and Timor-Leste. This proposal </w:t>
      </w:r>
      <w:r w:rsidR="00A754E9" w:rsidRPr="006E5162">
        <w:rPr>
          <w:sz w:val="24"/>
          <w:szCs w:val="24"/>
        </w:rPr>
        <w:t>aligns with</w:t>
      </w:r>
      <w:r w:rsidRPr="006E5162">
        <w:rPr>
          <w:sz w:val="24"/>
          <w:szCs w:val="24"/>
        </w:rPr>
        <w:t xml:space="preserve"> the Government</w:t>
      </w:r>
      <w:r w:rsidR="00F37F03" w:rsidRPr="006E5162">
        <w:rPr>
          <w:sz w:val="24"/>
          <w:szCs w:val="24"/>
        </w:rPr>
        <w:t>’s</w:t>
      </w:r>
      <w:r w:rsidRPr="006E5162">
        <w:rPr>
          <w:sz w:val="24"/>
          <w:szCs w:val="24"/>
        </w:rPr>
        <w:t xml:space="preserve"> Migration Strategy, which</w:t>
      </w:r>
      <w:r w:rsidR="00A754E9" w:rsidRPr="006E5162">
        <w:rPr>
          <w:sz w:val="24"/>
          <w:szCs w:val="24"/>
        </w:rPr>
        <w:t xml:space="preserve"> committed to </w:t>
      </w:r>
      <w:r w:rsidR="00A754E9" w:rsidRPr="0049084A">
        <w:rPr>
          <w:sz w:val="24"/>
          <w:szCs w:val="24"/>
        </w:rPr>
        <w:t>making it easier for Southeast Asian businesses and eminent people to travel to Australia</w:t>
      </w:r>
      <w:r w:rsidR="00A754E9" w:rsidRPr="006E5162">
        <w:rPr>
          <w:sz w:val="24"/>
          <w:szCs w:val="24"/>
        </w:rPr>
        <w:t xml:space="preserve">, and </w:t>
      </w:r>
      <w:r w:rsidRPr="006E5162">
        <w:rPr>
          <w:sz w:val="24"/>
          <w:szCs w:val="24"/>
        </w:rPr>
        <w:t xml:space="preserve">was guided by extensive consultation </w:t>
      </w:r>
      <w:r w:rsidRPr="006E5162">
        <w:rPr>
          <w:sz w:val="24"/>
          <w:szCs w:val="24"/>
        </w:rPr>
        <w:lastRenderedPageBreak/>
        <w:t xml:space="preserve">with business, government and the not-for-profit sector across Australia and the </w:t>
      </w:r>
      <w:r w:rsidR="00A754E9" w:rsidRPr="006E5162">
        <w:rPr>
          <w:sz w:val="24"/>
          <w:szCs w:val="24"/>
        </w:rPr>
        <w:t>Southeast</w:t>
      </w:r>
      <w:r w:rsidRPr="006E5162">
        <w:rPr>
          <w:sz w:val="24"/>
          <w:szCs w:val="24"/>
        </w:rPr>
        <w:t xml:space="preserve"> Asia region.</w:t>
      </w:r>
    </w:p>
    <w:p w14:paraId="7C2D40FA" w14:textId="4ACE25AA" w:rsidR="008B24C8" w:rsidRPr="006E5162" w:rsidRDefault="008B24C8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 xml:space="preserve">The Office of </w:t>
      </w:r>
      <w:r w:rsidR="00C23948" w:rsidRPr="006E5162">
        <w:rPr>
          <w:sz w:val="24"/>
          <w:szCs w:val="24"/>
        </w:rPr>
        <w:t>Impact Analysis</w:t>
      </w:r>
      <w:r w:rsidR="00F37F03" w:rsidRPr="006E5162">
        <w:rPr>
          <w:sz w:val="24"/>
          <w:szCs w:val="24"/>
        </w:rPr>
        <w:t xml:space="preserve"> (OIA)</w:t>
      </w:r>
      <w:r w:rsidRPr="006E5162">
        <w:rPr>
          <w:sz w:val="24"/>
          <w:szCs w:val="24"/>
        </w:rPr>
        <w:t xml:space="preserve"> considered that the instrument dealt with matters of a </w:t>
      </w:r>
      <w:r w:rsidR="00D6406B" w:rsidRPr="006E5162">
        <w:rPr>
          <w:sz w:val="24"/>
          <w:szCs w:val="24"/>
        </w:rPr>
        <w:t>minor</w:t>
      </w:r>
      <w:r w:rsidRPr="006E5162">
        <w:rPr>
          <w:sz w:val="24"/>
          <w:szCs w:val="24"/>
        </w:rPr>
        <w:t xml:space="preserve"> nature and no reg</w:t>
      </w:r>
      <w:r w:rsidR="0006215A" w:rsidRPr="006E5162">
        <w:rPr>
          <w:sz w:val="24"/>
          <w:szCs w:val="24"/>
        </w:rPr>
        <w:t>u</w:t>
      </w:r>
      <w:r w:rsidRPr="006E5162">
        <w:rPr>
          <w:sz w:val="24"/>
          <w:szCs w:val="24"/>
        </w:rPr>
        <w:t>latory impact statement was required. The O</w:t>
      </w:r>
      <w:r w:rsidR="0006215A" w:rsidRPr="006E5162">
        <w:rPr>
          <w:sz w:val="24"/>
          <w:szCs w:val="24"/>
        </w:rPr>
        <w:t xml:space="preserve">IA </w:t>
      </w:r>
      <w:r w:rsidRPr="006E5162">
        <w:rPr>
          <w:sz w:val="24"/>
          <w:szCs w:val="24"/>
        </w:rPr>
        <w:t>reference</w:t>
      </w:r>
      <w:r w:rsidR="000B261F" w:rsidRPr="006E5162">
        <w:rPr>
          <w:sz w:val="24"/>
          <w:szCs w:val="24"/>
        </w:rPr>
        <w:t xml:space="preserve"> number is </w:t>
      </w:r>
      <w:r w:rsidR="005D36CA" w:rsidRPr="006E5162">
        <w:rPr>
          <w:sz w:val="24"/>
          <w:szCs w:val="24"/>
        </w:rPr>
        <w:t>OIA24-</w:t>
      </w:r>
      <w:r w:rsidR="004A0315" w:rsidRPr="006E5162">
        <w:rPr>
          <w:sz w:val="24"/>
          <w:szCs w:val="24"/>
        </w:rPr>
        <w:t>07860</w:t>
      </w:r>
      <w:r w:rsidR="005D36CA" w:rsidRPr="006E5162">
        <w:rPr>
          <w:sz w:val="24"/>
          <w:szCs w:val="24"/>
        </w:rPr>
        <w:t>.</w:t>
      </w:r>
    </w:p>
    <w:p w14:paraId="43BEF80A" w14:textId="77777777" w:rsidR="00AA4557" w:rsidRPr="006E5162" w:rsidRDefault="00464080" w:rsidP="00100DFC">
      <w:pPr>
        <w:pStyle w:val="ESHeading"/>
        <w:rPr>
          <w:sz w:val="24"/>
          <w:szCs w:val="24"/>
        </w:rPr>
      </w:pPr>
      <w:r w:rsidRPr="006E5162">
        <w:rPr>
          <w:sz w:val="24"/>
          <w:szCs w:val="24"/>
        </w:rPr>
        <w:t>Details</w:t>
      </w:r>
      <w:r w:rsidR="00AA4557" w:rsidRPr="006E5162">
        <w:rPr>
          <w:sz w:val="24"/>
          <w:szCs w:val="24"/>
        </w:rPr>
        <w:t xml:space="preserve"> of the instrument</w:t>
      </w:r>
    </w:p>
    <w:p w14:paraId="6A1961A8" w14:textId="30FD2269" w:rsidR="003A1251" w:rsidRPr="006E5162" w:rsidRDefault="003A1251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 xml:space="preserve">Section 1 </w:t>
      </w:r>
      <w:r w:rsidR="00F37F03" w:rsidRPr="006E5162">
        <w:rPr>
          <w:sz w:val="24"/>
          <w:szCs w:val="24"/>
        </w:rPr>
        <w:t xml:space="preserve">provides that </w:t>
      </w:r>
      <w:r w:rsidRPr="006E5162">
        <w:rPr>
          <w:sz w:val="24"/>
          <w:szCs w:val="24"/>
        </w:rPr>
        <w:t xml:space="preserve">the name of the instrument </w:t>
      </w:r>
      <w:r w:rsidR="00F37F03" w:rsidRPr="006E5162">
        <w:rPr>
          <w:sz w:val="24"/>
          <w:szCs w:val="24"/>
        </w:rPr>
        <w:t xml:space="preserve">is </w:t>
      </w:r>
      <w:r w:rsidRPr="006E5162">
        <w:rPr>
          <w:sz w:val="24"/>
          <w:szCs w:val="24"/>
        </w:rPr>
        <w:t xml:space="preserve">the </w:t>
      </w:r>
      <w:r w:rsidR="005970DA" w:rsidRPr="005970DA">
        <w:rPr>
          <w:i/>
          <w:iCs/>
          <w:sz w:val="24"/>
          <w:szCs w:val="24"/>
        </w:rPr>
        <w:t>Migration (Arrangements for Visitor (Class FA) visa applications) Amendment (LIN 24/084) Instrument 2024</w:t>
      </w:r>
      <w:r w:rsidR="005970DA" w:rsidRPr="005970DA" w:rsidDel="005970DA">
        <w:rPr>
          <w:i/>
          <w:iCs/>
          <w:sz w:val="24"/>
          <w:szCs w:val="24"/>
        </w:rPr>
        <w:t xml:space="preserve"> </w:t>
      </w:r>
      <w:r w:rsidR="00445707" w:rsidRPr="006E5162">
        <w:rPr>
          <w:iCs/>
          <w:sz w:val="24"/>
          <w:szCs w:val="24"/>
        </w:rPr>
        <w:t>(LIN </w:t>
      </w:r>
      <w:r w:rsidR="00F37F03" w:rsidRPr="006E5162">
        <w:rPr>
          <w:iCs/>
          <w:sz w:val="24"/>
          <w:szCs w:val="24"/>
        </w:rPr>
        <w:t>24/084)</w:t>
      </w:r>
      <w:r w:rsidRPr="006E5162">
        <w:rPr>
          <w:sz w:val="24"/>
          <w:szCs w:val="24"/>
        </w:rPr>
        <w:t>.</w:t>
      </w:r>
    </w:p>
    <w:p w14:paraId="6AC4558D" w14:textId="3489B0B8" w:rsidR="003A1251" w:rsidRPr="006E5162" w:rsidRDefault="003A1251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 xml:space="preserve">Section 2 provides </w:t>
      </w:r>
      <w:r w:rsidR="00F37F03" w:rsidRPr="006E5162">
        <w:rPr>
          <w:sz w:val="24"/>
          <w:szCs w:val="24"/>
        </w:rPr>
        <w:t>that</w:t>
      </w:r>
      <w:r w:rsidRPr="006E5162">
        <w:rPr>
          <w:sz w:val="24"/>
          <w:szCs w:val="24"/>
        </w:rPr>
        <w:t xml:space="preserve"> the instrument</w:t>
      </w:r>
      <w:r w:rsidR="00F37F03" w:rsidRPr="006E5162">
        <w:rPr>
          <w:sz w:val="24"/>
          <w:szCs w:val="24"/>
        </w:rPr>
        <w:t xml:space="preserve"> commences</w:t>
      </w:r>
      <w:r w:rsidRPr="006E5162">
        <w:rPr>
          <w:sz w:val="24"/>
          <w:szCs w:val="24"/>
        </w:rPr>
        <w:t xml:space="preserve"> on 7 December 2024.</w:t>
      </w:r>
    </w:p>
    <w:p w14:paraId="7BA4B028" w14:textId="172CBE91" w:rsidR="00E6079D" w:rsidRPr="006E5162" w:rsidRDefault="003A1251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 xml:space="preserve">Section 3 </w:t>
      </w:r>
      <w:r w:rsidR="0088605B" w:rsidRPr="006E5162">
        <w:rPr>
          <w:sz w:val="24"/>
          <w:szCs w:val="24"/>
        </w:rPr>
        <w:t>provides that the instrument</w:t>
      </w:r>
      <w:r w:rsidR="00E6079D" w:rsidRPr="006E5162">
        <w:rPr>
          <w:sz w:val="24"/>
          <w:szCs w:val="24"/>
        </w:rPr>
        <w:t xml:space="preserve"> is made under subregulation 2.07(5) of the </w:t>
      </w:r>
      <w:r w:rsidR="00E6079D" w:rsidRPr="006E5162">
        <w:rPr>
          <w:i/>
          <w:sz w:val="24"/>
          <w:szCs w:val="24"/>
        </w:rPr>
        <w:t>Migration Regulations</w:t>
      </w:r>
      <w:r w:rsidR="0088605B" w:rsidRPr="006E5162">
        <w:rPr>
          <w:i/>
          <w:sz w:val="24"/>
          <w:szCs w:val="24"/>
        </w:rPr>
        <w:t xml:space="preserve"> 1994</w:t>
      </w:r>
      <w:r w:rsidR="0088605B" w:rsidRPr="006E5162">
        <w:rPr>
          <w:sz w:val="24"/>
          <w:szCs w:val="24"/>
        </w:rPr>
        <w:t xml:space="preserve"> (Migration Regulations)</w:t>
      </w:r>
      <w:r w:rsidR="00E6079D" w:rsidRPr="006E5162">
        <w:rPr>
          <w:sz w:val="24"/>
          <w:szCs w:val="24"/>
        </w:rPr>
        <w:t xml:space="preserve"> for the purposes of subitem 1236(6A) of Schedule 1 to </w:t>
      </w:r>
      <w:r w:rsidR="0088605B" w:rsidRPr="006E5162">
        <w:rPr>
          <w:sz w:val="24"/>
          <w:szCs w:val="24"/>
        </w:rPr>
        <w:t xml:space="preserve">the </w:t>
      </w:r>
      <w:r w:rsidR="00E6079D" w:rsidRPr="006E5162">
        <w:rPr>
          <w:sz w:val="24"/>
          <w:szCs w:val="24"/>
        </w:rPr>
        <w:t>Regulations.</w:t>
      </w:r>
    </w:p>
    <w:p w14:paraId="0E0EFF5D" w14:textId="3DCA2DBF" w:rsidR="00A619FC" w:rsidRPr="006E5162" w:rsidRDefault="0088605B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 xml:space="preserve">Section 4 </w:t>
      </w:r>
      <w:r w:rsidR="00A619FC" w:rsidRPr="006E5162">
        <w:rPr>
          <w:sz w:val="24"/>
          <w:szCs w:val="24"/>
        </w:rPr>
        <w:t xml:space="preserve">provides that each instrument that is specified in a Schedule to this instrument is amended or repealed as set out in the applicable items in the Schedule concerned. </w:t>
      </w:r>
    </w:p>
    <w:p w14:paraId="1049D3F4" w14:textId="7C16FE47" w:rsidR="00365D06" w:rsidRPr="006E5162" w:rsidRDefault="00365D06" w:rsidP="000952A6">
      <w:pPr>
        <w:pStyle w:val="ESPara"/>
        <w:numPr>
          <w:ilvl w:val="0"/>
          <w:numId w:val="0"/>
        </w:numPr>
        <w:rPr>
          <w:b/>
          <w:sz w:val="24"/>
          <w:szCs w:val="24"/>
        </w:rPr>
      </w:pPr>
      <w:r w:rsidRPr="006E5162">
        <w:rPr>
          <w:b/>
          <w:sz w:val="24"/>
          <w:szCs w:val="24"/>
        </w:rPr>
        <w:t>Schedule 1 – amendment of LIN 21/056</w:t>
      </w:r>
    </w:p>
    <w:p w14:paraId="30E33B93" w14:textId="4DD2D8DF" w:rsidR="008841E3" w:rsidRPr="006E5162" w:rsidRDefault="00A619FC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 xml:space="preserve">Schedule 1 </w:t>
      </w:r>
      <w:r w:rsidR="004A1E08">
        <w:rPr>
          <w:sz w:val="24"/>
          <w:szCs w:val="24"/>
        </w:rPr>
        <w:t>to</w:t>
      </w:r>
      <w:r w:rsidRPr="006E5162">
        <w:rPr>
          <w:sz w:val="24"/>
          <w:szCs w:val="24"/>
        </w:rPr>
        <w:t xml:space="preserve"> LIN 24/084 amends </w:t>
      </w:r>
      <w:r w:rsidRPr="006E5162">
        <w:rPr>
          <w:i/>
          <w:iCs/>
          <w:sz w:val="24"/>
          <w:szCs w:val="24"/>
        </w:rPr>
        <w:t>Migration (Arrangements for Visitor (Class FA) visa applications) Instrument (LIN 21/056) 2021</w:t>
      </w:r>
      <w:r w:rsidRPr="006E5162">
        <w:rPr>
          <w:iCs/>
          <w:sz w:val="24"/>
          <w:szCs w:val="24"/>
        </w:rPr>
        <w:t xml:space="preserve"> (LIN 21/056).</w:t>
      </w:r>
    </w:p>
    <w:p w14:paraId="47262A86" w14:textId="7CB796CD" w:rsidR="00A619FC" w:rsidRPr="00C4622E" w:rsidRDefault="008841E3" w:rsidP="000952A6">
      <w:pPr>
        <w:pStyle w:val="ESPara"/>
        <w:numPr>
          <w:ilvl w:val="0"/>
          <w:numId w:val="0"/>
        </w:numPr>
        <w:ind w:left="567" w:hanging="567"/>
        <w:rPr>
          <w:b/>
          <w:sz w:val="24"/>
          <w:szCs w:val="24"/>
        </w:rPr>
      </w:pPr>
      <w:r w:rsidRPr="00C4622E">
        <w:rPr>
          <w:b/>
          <w:sz w:val="24"/>
          <w:szCs w:val="24"/>
        </w:rPr>
        <w:t xml:space="preserve">Item </w:t>
      </w:r>
      <w:r w:rsidR="004A1E08" w:rsidRPr="00C4622E">
        <w:rPr>
          <w:b/>
          <w:sz w:val="24"/>
          <w:szCs w:val="24"/>
        </w:rPr>
        <w:t>[</w:t>
      </w:r>
      <w:r w:rsidRPr="00C4622E">
        <w:rPr>
          <w:b/>
          <w:sz w:val="24"/>
          <w:szCs w:val="24"/>
        </w:rPr>
        <w:t>1</w:t>
      </w:r>
      <w:r w:rsidR="004A1E08" w:rsidRPr="00C4622E">
        <w:rPr>
          <w:b/>
          <w:sz w:val="24"/>
          <w:szCs w:val="24"/>
        </w:rPr>
        <w:t>]</w:t>
      </w:r>
      <w:r w:rsidR="0073656B" w:rsidRPr="00C4622E">
        <w:rPr>
          <w:b/>
          <w:sz w:val="24"/>
          <w:szCs w:val="24"/>
        </w:rPr>
        <w:t xml:space="preserve"> – definition of Regulations</w:t>
      </w:r>
    </w:p>
    <w:p w14:paraId="68524E15" w14:textId="2CD6B463" w:rsidR="008841E3" w:rsidRPr="006E5162" w:rsidRDefault="008841E3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 xml:space="preserve">Item 1 of Schedule 1 </w:t>
      </w:r>
      <w:r w:rsidR="004A1E08">
        <w:rPr>
          <w:sz w:val="24"/>
          <w:szCs w:val="24"/>
        </w:rPr>
        <w:t>to</w:t>
      </w:r>
      <w:r w:rsidR="00976222" w:rsidRPr="006E5162">
        <w:rPr>
          <w:sz w:val="24"/>
          <w:szCs w:val="24"/>
        </w:rPr>
        <w:t xml:space="preserve"> LIN 24/084 </w:t>
      </w:r>
      <w:r w:rsidRPr="006E5162">
        <w:rPr>
          <w:sz w:val="24"/>
          <w:szCs w:val="24"/>
        </w:rPr>
        <w:t xml:space="preserve">inserts a definition of </w:t>
      </w:r>
      <w:r w:rsidRPr="006E5162">
        <w:rPr>
          <w:b/>
          <w:i/>
          <w:sz w:val="24"/>
          <w:szCs w:val="24"/>
        </w:rPr>
        <w:t>Regulations</w:t>
      </w:r>
      <w:r w:rsidR="008B00B4" w:rsidRPr="006E5162">
        <w:rPr>
          <w:sz w:val="24"/>
          <w:szCs w:val="24"/>
        </w:rPr>
        <w:t xml:space="preserve"> in</w:t>
      </w:r>
      <w:r w:rsidRPr="006E5162">
        <w:rPr>
          <w:sz w:val="24"/>
          <w:szCs w:val="24"/>
        </w:rPr>
        <w:t xml:space="preserve"> section 3 of LIN 21/056. Regulations is defined to mean </w:t>
      </w:r>
      <w:r w:rsidRPr="006E5162">
        <w:rPr>
          <w:i/>
          <w:sz w:val="24"/>
          <w:szCs w:val="24"/>
        </w:rPr>
        <w:t>Migration Regulations 1994</w:t>
      </w:r>
      <w:r w:rsidRPr="006E5162">
        <w:rPr>
          <w:sz w:val="24"/>
          <w:szCs w:val="24"/>
        </w:rPr>
        <w:t>.</w:t>
      </w:r>
    </w:p>
    <w:p w14:paraId="47676719" w14:textId="672C7331" w:rsidR="0073656B" w:rsidRPr="00C4622E" w:rsidRDefault="0073656B" w:rsidP="000952A6">
      <w:pPr>
        <w:pStyle w:val="ESPara"/>
        <w:numPr>
          <w:ilvl w:val="0"/>
          <w:numId w:val="0"/>
        </w:numPr>
        <w:rPr>
          <w:b/>
          <w:sz w:val="24"/>
          <w:szCs w:val="24"/>
        </w:rPr>
      </w:pPr>
      <w:r w:rsidRPr="00C4622E">
        <w:rPr>
          <w:b/>
          <w:sz w:val="24"/>
          <w:szCs w:val="24"/>
        </w:rPr>
        <w:t xml:space="preserve">Item </w:t>
      </w:r>
      <w:r w:rsidR="004A1E08" w:rsidRPr="00C4622E">
        <w:rPr>
          <w:b/>
          <w:sz w:val="24"/>
          <w:szCs w:val="24"/>
        </w:rPr>
        <w:t>[</w:t>
      </w:r>
      <w:r w:rsidRPr="00C4622E">
        <w:rPr>
          <w:b/>
          <w:sz w:val="24"/>
          <w:szCs w:val="24"/>
        </w:rPr>
        <w:t>2</w:t>
      </w:r>
      <w:r w:rsidR="004A1E08" w:rsidRPr="00C4622E">
        <w:rPr>
          <w:b/>
          <w:sz w:val="24"/>
          <w:szCs w:val="24"/>
        </w:rPr>
        <w:t>]</w:t>
      </w:r>
      <w:r w:rsidRPr="00C4622E">
        <w:rPr>
          <w:b/>
          <w:sz w:val="24"/>
          <w:szCs w:val="24"/>
        </w:rPr>
        <w:t xml:space="preserve"> – removal of requirement for applicants to be in the PRC</w:t>
      </w:r>
      <w:r w:rsidR="000674CC" w:rsidRPr="00C4622E">
        <w:rPr>
          <w:b/>
          <w:sz w:val="24"/>
          <w:szCs w:val="24"/>
        </w:rPr>
        <w:t xml:space="preserve"> and expansion of stream nationalities</w:t>
      </w:r>
    </w:p>
    <w:p w14:paraId="3B0C7378" w14:textId="43D2F77B" w:rsidR="008B00B4" w:rsidRPr="006E5162" w:rsidRDefault="008841E3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>Item 2 of Schedule 1</w:t>
      </w:r>
      <w:r w:rsidR="00976222" w:rsidRPr="006E5162">
        <w:rPr>
          <w:sz w:val="24"/>
          <w:szCs w:val="24"/>
        </w:rPr>
        <w:t xml:space="preserve"> </w:t>
      </w:r>
      <w:r w:rsidR="004A1E08">
        <w:rPr>
          <w:sz w:val="24"/>
          <w:szCs w:val="24"/>
        </w:rPr>
        <w:t>to</w:t>
      </w:r>
      <w:r w:rsidR="00976222" w:rsidRPr="006E5162">
        <w:rPr>
          <w:sz w:val="24"/>
          <w:szCs w:val="24"/>
        </w:rPr>
        <w:t xml:space="preserve"> LIN 24/084</w:t>
      </w:r>
      <w:r w:rsidRPr="006E5162">
        <w:rPr>
          <w:sz w:val="24"/>
          <w:szCs w:val="24"/>
        </w:rPr>
        <w:t xml:space="preserve"> repeals subsection</w:t>
      </w:r>
      <w:r w:rsidR="0052631F">
        <w:rPr>
          <w:sz w:val="24"/>
          <w:szCs w:val="24"/>
        </w:rPr>
        <w:t>s</w:t>
      </w:r>
      <w:r w:rsidRPr="006E5162">
        <w:rPr>
          <w:sz w:val="24"/>
          <w:szCs w:val="24"/>
        </w:rPr>
        <w:t xml:space="preserve"> 9(2) </w:t>
      </w:r>
      <w:r w:rsidR="0052631F">
        <w:rPr>
          <w:sz w:val="24"/>
          <w:szCs w:val="24"/>
        </w:rPr>
        <w:t xml:space="preserve">and (3) </w:t>
      </w:r>
      <w:r w:rsidRPr="006E5162">
        <w:rPr>
          <w:sz w:val="24"/>
          <w:szCs w:val="24"/>
        </w:rPr>
        <w:t xml:space="preserve">of LIN 21/056. </w:t>
      </w:r>
    </w:p>
    <w:p w14:paraId="05623248" w14:textId="2A7C2786" w:rsidR="008841E3" w:rsidRPr="006E5162" w:rsidRDefault="008841E3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 xml:space="preserve">Item 2 of the table in subitem 1236(6A) </w:t>
      </w:r>
      <w:r w:rsidR="00140F41" w:rsidRPr="006E5162">
        <w:rPr>
          <w:sz w:val="24"/>
          <w:szCs w:val="24"/>
        </w:rPr>
        <w:t>of</w:t>
      </w:r>
      <w:r w:rsidRPr="006E5162">
        <w:rPr>
          <w:sz w:val="24"/>
          <w:szCs w:val="24"/>
        </w:rPr>
        <w:t xml:space="preserve"> Schedule 1 </w:t>
      </w:r>
      <w:r w:rsidR="001C327D" w:rsidRPr="006E5162">
        <w:rPr>
          <w:sz w:val="24"/>
          <w:szCs w:val="24"/>
        </w:rPr>
        <w:t>to</w:t>
      </w:r>
      <w:r w:rsidRPr="006E5162">
        <w:rPr>
          <w:sz w:val="24"/>
          <w:szCs w:val="24"/>
        </w:rPr>
        <w:t xml:space="preserve"> the Migration Regulations provides that an applicant for a subclass 600 visa in the Fr</w:t>
      </w:r>
      <w:r w:rsidR="008B00B4" w:rsidRPr="006E5162">
        <w:rPr>
          <w:sz w:val="24"/>
          <w:szCs w:val="24"/>
        </w:rPr>
        <w:t>equent Traveller stream</w:t>
      </w:r>
      <w:r w:rsidR="00832764" w:rsidRPr="006E5162">
        <w:rPr>
          <w:sz w:val="24"/>
          <w:szCs w:val="24"/>
        </w:rPr>
        <w:t xml:space="preserve"> (FTS)</w:t>
      </w:r>
      <w:r w:rsidR="008B00B4" w:rsidRPr="006E5162">
        <w:rPr>
          <w:sz w:val="24"/>
          <w:szCs w:val="24"/>
        </w:rPr>
        <w:t xml:space="preserve"> must, when making the application, either be outside Australia or</w:t>
      </w:r>
      <w:r w:rsidR="00832764" w:rsidRPr="006E5162">
        <w:rPr>
          <w:sz w:val="24"/>
          <w:szCs w:val="24"/>
        </w:rPr>
        <w:t xml:space="preserve"> be</w:t>
      </w:r>
      <w:r w:rsidR="008B00B4" w:rsidRPr="006E5162">
        <w:rPr>
          <w:sz w:val="24"/>
          <w:szCs w:val="24"/>
        </w:rPr>
        <w:t xml:space="preserve"> in a place specified in a legislative instrument.</w:t>
      </w:r>
    </w:p>
    <w:p w14:paraId="61F92938" w14:textId="53E15A65" w:rsidR="00050FA2" w:rsidRDefault="0015694F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Repealed s</w:t>
      </w:r>
      <w:r w:rsidR="008B00B4" w:rsidRPr="006E5162">
        <w:rPr>
          <w:sz w:val="24"/>
          <w:szCs w:val="24"/>
        </w:rPr>
        <w:t>ubsection 9(2) of LIN 21/056 specified that applicants</w:t>
      </w:r>
      <w:r w:rsidR="001C327D" w:rsidRPr="006E5162">
        <w:rPr>
          <w:sz w:val="24"/>
          <w:szCs w:val="24"/>
        </w:rPr>
        <w:t xml:space="preserve"> for the FTS</w:t>
      </w:r>
      <w:r w:rsidR="008B00B4" w:rsidRPr="006E5162">
        <w:rPr>
          <w:sz w:val="24"/>
          <w:szCs w:val="24"/>
        </w:rPr>
        <w:t xml:space="preserve"> would be required to be in the</w:t>
      </w:r>
      <w:r w:rsidR="00832764" w:rsidRPr="006E5162">
        <w:rPr>
          <w:sz w:val="24"/>
          <w:szCs w:val="24"/>
        </w:rPr>
        <w:t xml:space="preserve"> People’s Republic of China</w:t>
      </w:r>
      <w:r w:rsidR="008B00B4" w:rsidRPr="006E5162">
        <w:rPr>
          <w:sz w:val="24"/>
          <w:szCs w:val="24"/>
        </w:rPr>
        <w:t xml:space="preserve"> </w:t>
      </w:r>
      <w:r w:rsidR="00832764" w:rsidRPr="006E5162">
        <w:rPr>
          <w:sz w:val="24"/>
          <w:szCs w:val="24"/>
        </w:rPr>
        <w:t>(</w:t>
      </w:r>
      <w:r w:rsidR="008B00B4" w:rsidRPr="006E5162">
        <w:rPr>
          <w:sz w:val="24"/>
          <w:szCs w:val="24"/>
        </w:rPr>
        <w:t>PRC</w:t>
      </w:r>
      <w:r w:rsidR="00832764" w:rsidRPr="006E5162">
        <w:rPr>
          <w:sz w:val="24"/>
          <w:szCs w:val="24"/>
        </w:rPr>
        <w:t>)</w:t>
      </w:r>
      <w:r w:rsidR="008B00B4" w:rsidRPr="006E5162">
        <w:rPr>
          <w:sz w:val="24"/>
          <w:szCs w:val="24"/>
        </w:rPr>
        <w:t xml:space="preserve"> when making the application. </w:t>
      </w:r>
      <w:r>
        <w:rPr>
          <w:sz w:val="24"/>
          <w:szCs w:val="24"/>
        </w:rPr>
        <w:t>Repealed s</w:t>
      </w:r>
      <w:r w:rsidR="00266F7A" w:rsidRPr="006E5162">
        <w:rPr>
          <w:sz w:val="24"/>
          <w:szCs w:val="24"/>
        </w:rPr>
        <w:t>ubsection 9(3) provide</w:t>
      </w:r>
      <w:r w:rsidR="00266F7A">
        <w:rPr>
          <w:sz w:val="24"/>
          <w:szCs w:val="24"/>
        </w:rPr>
        <w:t>d</w:t>
      </w:r>
      <w:r w:rsidR="00266F7A" w:rsidRPr="006E5162">
        <w:rPr>
          <w:sz w:val="24"/>
          <w:szCs w:val="24"/>
        </w:rPr>
        <w:t xml:space="preserve"> that applicants must hold a </w:t>
      </w:r>
      <w:r w:rsidR="00266F7A">
        <w:rPr>
          <w:sz w:val="24"/>
          <w:szCs w:val="24"/>
        </w:rPr>
        <w:t xml:space="preserve">passport issued by the </w:t>
      </w:r>
      <w:r w:rsidR="00266F7A" w:rsidRPr="006E5162">
        <w:rPr>
          <w:sz w:val="24"/>
          <w:szCs w:val="24"/>
        </w:rPr>
        <w:t>People’s Republic of China (PRC) indicating the applicant is a national of the PRC.</w:t>
      </w:r>
      <w:r w:rsidR="00266F7A">
        <w:rPr>
          <w:sz w:val="24"/>
          <w:szCs w:val="24"/>
        </w:rPr>
        <w:t xml:space="preserve"> </w:t>
      </w:r>
      <w:r w:rsidR="008B00B4" w:rsidRPr="006E5162">
        <w:rPr>
          <w:sz w:val="24"/>
          <w:szCs w:val="24"/>
        </w:rPr>
        <w:t xml:space="preserve">Item 2 of Schedule 1 removes </w:t>
      </w:r>
      <w:r w:rsidR="00E875B3">
        <w:rPr>
          <w:sz w:val="24"/>
          <w:szCs w:val="24"/>
        </w:rPr>
        <w:t>these</w:t>
      </w:r>
      <w:r w:rsidR="00E875B3" w:rsidRPr="006E5162">
        <w:rPr>
          <w:sz w:val="24"/>
          <w:szCs w:val="24"/>
        </w:rPr>
        <w:t xml:space="preserve"> </w:t>
      </w:r>
      <w:r w:rsidR="008B00B4" w:rsidRPr="006E5162">
        <w:rPr>
          <w:sz w:val="24"/>
          <w:szCs w:val="24"/>
        </w:rPr>
        <w:t>requirement</w:t>
      </w:r>
      <w:r w:rsidR="00E875B3">
        <w:rPr>
          <w:sz w:val="24"/>
          <w:szCs w:val="24"/>
        </w:rPr>
        <w:t>s</w:t>
      </w:r>
      <w:r w:rsidR="008B00B4" w:rsidRPr="006E5162">
        <w:rPr>
          <w:sz w:val="24"/>
          <w:szCs w:val="24"/>
        </w:rPr>
        <w:t>.</w:t>
      </w:r>
      <w:r w:rsidR="00102208" w:rsidRPr="006E5162">
        <w:rPr>
          <w:sz w:val="24"/>
          <w:szCs w:val="24"/>
        </w:rPr>
        <w:t xml:space="preserve"> The effect is that applicants for the FTS from any country </w:t>
      </w:r>
      <w:r w:rsidR="00E875B3">
        <w:rPr>
          <w:sz w:val="24"/>
          <w:szCs w:val="24"/>
        </w:rPr>
        <w:t xml:space="preserve">prescribed in new </w:t>
      </w:r>
      <w:r>
        <w:rPr>
          <w:sz w:val="24"/>
          <w:szCs w:val="24"/>
        </w:rPr>
        <w:t>s</w:t>
      </w:r>
      <w:r w:rsidR="00E875B3">
        <w:rPr>
          <w:sz w:val="24"/>
          <w:szCs w:val="24"/>
        </w:rPr>
        <w:t xml:space="preserve">ubsection 9(2) of LIN 21/056 </w:t>
      </w:r>
      <w:r>
        <w:rPr>
          <w:sz w:val="24"/>
          <w:szCs w:val="24"/>
        </w:rPr>
        <w:t xml:space="preserve">(as amended by LIN 24/084) </w:t>
      </w:r>
      <w:r w:rsidR="00102208" w:rsidRPr="006E5162">
        <w:rPr>
          <w:sz w:val="24"/>
          <w:szCs w:val="24"/>
        </w:rPr>
        <w:t>only need to be outside Australia when they make the application.</w:t>
      </w:r>
      <w:r>
        <w:rPr>
          <w:sz w:val="24"/>
          <w:szCs w:val="24"/>
        </w:rPr>
        <w:t xml:space="preserve"> There is no longer a requirement to be in a particular foreign country, as no country is specified by legislative instrument for the purposes of item 2 of the table in subitem 1236(6A).</w:t>
      </w:r>
    </w:p>
    <w:p w14:paraId="1B18EB49" w14:textId="2C1F82A2" w:rsidR="00832764" w:rsidRPr="006E5162" w:rsidRDefault="001C327D" w:rsidP="00C4622E">
      <w:pPr>
        <w:pStyle w:val="ESPara"/>
        <w:keepNext/>
        <w:keepLines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lastRenderedPageBreak/>
        <w:t xml:space="preserve">Item 3 of the table in subitem 1236(6A) of Schedule 1 to the Migration Regulations provides </w:t>
      </w:r>
      <w:r w:rsidR="00393C65" w:rsidRPr="006E5162">
        <w:rPr>
          <w:sz w:val="24"/>
          <w:szCs w:val="24"/>
        </w:rPr>
        <w:t>that applicants for the FTS must hold a valid passport of a kind specified in a legislative instrument.</w:t>
      </w:r>
    </w:p>
    <w:p w14:paraId="7CED931E" w14:textId="4E9F69B5" w:rsidR="006E5162" w:rsidRPr="00153FC6" w:rsidRDefault="0015694F" w:rsidP="00C4622E">
      <w:pPr>
        <w:pStyle w:val="ESPara"/>
        <w:keepNext/>
        <w:keepLines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102208" w:rsidRPr="006E5162">
        <w:rPr>
          <w:sz w:val="24"/>
          <w:szCs w:val="24"/>
        </w:rPr>
        <w:t>ew subsection 9(</w:t>
      </w:r>
      <w:r w:rsidR="00D9729F">
        <w:rPr>
          <w:sz w:val="24"/>
          <w:szCs w:val="24"/>
        </w:rPr>
        <w:t>2</w:t>
      </w:r>
      <w:r w:rsidR="00102208" w:rsidRPr="006E5162">
        <w:rPr>
          <w:sz w:val="24"/>
          <w:szCs w:val="24"/>
        </w:rPr>
        <w:t xml:space="preserve">) of LIN 21/056 specifies that applicants for the FTS must hold a valid passport of </w:t>
      </w:r>
      <w:r>
        <w:rPr>
          <w:sz w:val="24"/>
          <w:szCs w:val="24"/>
        </w:rPr>
        <w:t xml:space="preserve">any </w:t>
      </w:r>
      <w:r w:rsidR="00102208" w:rsidRPr="006E5162">
        <w:rPr>
          <w:sz w:val="24"/>
          <w:szCs w:val="24"/>
        </w:rPr>
        <w:t xml:space="preserve">one (or more) of the following countries, indicating the applicant is a national of that country: </w:t>
      </w:r>
    </w:p>
    <w:p w14:paraId="33D0553C" w14:textId="77777777" w:rsidR="005460C0" w:rsidRDefault="005460C0" w:rsidP="0049084A">
      <w:pPr>
        <w:pStyle w:val="ESSubparaList"/>
        <w:spacing w:after="0" w:line="240" w:lineRule="auto"/>
        <w:ind w:left="993" w:hanging="567"/>
        <w:rPr>
          <w:sz w:val="24"/>
          <w:szCs w:val="24"/>
        </w:rPr>
      </w:pPr>
      <w:r w:rsidRPr="005460C0">
        <w:rPr>
          <w:sz w:val="24"/>
          <w:szCs w:val="24"/>
        </w:rPr>
        <w:t>Brunei Darussalam</w:t>
      </w:r>
    </w:p>
    <w:p w14:paraId="7A802EB5" w14:textId="77777777" w:rsidR="005460C0" w:rsidRDefault="005460C0" w:rsidP="0049084A">
      <w:pPr>
        <w:pStyle w:val="ESSubparaList"/>
        <w:spacing w:after="0" w:line="240" w:lineRule="auto"/>
        <w:ind w:left="993" w:hanging="567"/>
        <w:rPr>
          <w:sz w:val="24"/>
          <w:szCs w:val="24"/>
        </w:rPr>
      </w:pPr>
      <w:r w:rsidRPr="005460C0">
        <w:rPr>
          <w:sz w:val="24"/>
          <w:szCs w:val="24"/>
        </w:rPr>
        <w:t>Cambodia</w:t>
      </w:r>
    </w:p>
    <w:p w14:paraId="44CC4921" w14:textId="77777777" w:rsidR="005460C0" w:rsidRDefault="005460C0" w:rsidP="0049084A">
      <w:pPr>
        <w:pStyle w:val="ESSubparaList"/>
        <w:spacing w:after="0" w:line="240" w:lineRule="auto"/>
        <w:ind w:left="993" w:hanging="567"/>
        <w:rPr>
          <w:sz w:val="24"/>
          <w:szCs w:val="24"/>
        </w:rPr>
      </w:pPr>
      <w:r w:rsidRPr="005460C0">
        <w:rPr>
          <w:sz w:val="24"/>
          <w:szCs w:val="24"/>
        </w:rPr>
        <w:t>Indonesia</w:t>
      </w:r>
    </w:p>
    <w:p w14:paraId="6F534376" w14:textId="77777777" w:rsidR="005460C0" w:rsidRDefault="005460C0" w:rsidP="0049084A">
      <w:pPr>
        <w:pStyle w:val="ESSubparaList"/>
        <w:spacing w:after="0" w:line="240" w:lineRule="auto"/>
        <w:ind w:left="993" w:hanging="567"/>
        <w:rPr>
          <w:sz w:val="24"/>
          <w:szCs w:val="24"/>
        </w:rPr>
      </w:pPr>
      <w:r w:rsidRPr="005460C0">
        <w:rPr>
          <w:sz w:val="24"/>
          <w:szCs w:val="24"/>
        </w:rPr>
        <w:t>Lao People’s Democratic Republic</w:t>
      </w:r>
    </w:p>
    <w:p w14:paraId="3A34BD22" w14:textId="77777777" w:rsidR="005460C0" w:rsidRDefault="005460C0" w:rsidP="0049084A">
      <w:pPr>
        <w:pStyle w:val="ESSubparaList"/>
        <w:spacing w:after="0" w:line="240" w:lineRule="auto"/>
        <w:ind w:left="993" w:hanging="567"/>
        <w:rPr>
          <w:sz w:val="24"/>
          <w:szCs w:val="24"/>
        </w:rPr>
      </w:pPr>
      <w:r w:rsidRPr="005460C0">
        <w:rPr>
          <w:sz w:val="24"/>
          <w:szCs w:val="24"/>
        </w:rPr>
        <w:t>Malaysia</w:t>
      </w:r>
    </w:p>
    <w:p w14:paraId="2CE5A3DB" w14:textId="77777777" w:rsidR="005460C0" w:rsidRDefault="005460C0" w:rsidP="0049084A">
      <w:pPr>
        <w:pStyle w:val="ESSubparaList"/>
        <w:spacing w:after="0" w:line="240" w:lineRule="auto"/>
        <w:ind w:left="993" w:hanging="567"/>
        <w:rPr>
          <w:sz w:val="24"/>
          <w:szCs w:val="24"/>
        </w:rPr>
      </w:pPr>
      <w:r w:rsidRPr="005460C0">
        <w:rPr>
          <w:sz w:val="24"/>
          <w:szCs w:val="24"/>
        </w:rPr>
        <w:t>The People’s Republic of China</w:t>
      </w:r>
    </w:p>
    <w:p w14:paraId="38F567DA" w14:textId="77777777" w:rsidR="005460C0" w:rsidRDefault="005460C0" w:rsidP="0049084A">
      <w:pPr>
        <w:pStyle w:val="ESSubparaList"/>
        <w:spacing w:after="0" w:line="240" w:lineRule="auto"/>
        <w:ind w:left="993" w:hanging="567"/>
        <w:rPr>
          <w:sz w:val="24"/>
          <w:szCs w:val="24"/>
        </w:rPr>
      </w:pPr>
      <w:r w:rsidRPr="005460C0">
        <w:rPr>
          <w:sz w:val="24"/>
          <w:szCs w:val="24"/>
        </w:rPr>
        <w:t>The Philippines</w:t>
      </w:r>
    </w:p>
    <w:p w14:paraId="1D8D9A8A" w14:textId="77777777" w:rsidR="005460C0" w:rsidRDefault="005460C0" w:rsidP="0049084A">
      <w:pPr>
        <w:pStyle w:val="ESSubparaList"/>
        <w:spacing w:after="0" w:line="240" w:lineRule="auto"/>
        <w:ind w:left="993" w:hanging="567"/>
        <w:rPr>
          <w:sz w:val="24"/>
          <w:szCs w:val="24"/>
        </w:rPr>
      </w:pPr>
      <w:r w:rsidRPr="005460C0">
        <w:rPr>
          <w:sz w:val="24"/>
          <w:szCs w:val="24"/>
        </w:rPr>
        <w:t>Singapore</w:t>
      </w:r>
    </w:p>
    <w:p w14:paraId="31EB4EBC" w14:textId="77777777" w:rsidR="005460C0" w:rsidRDefault="005460C0" w:rsidP="0049084A">
      <w:pPr>
        <w:pStyle w:val="ESSubparaList"/>
        <w:spacing w:after="0" w:line="240" w:lineRule="auto"/>
        <w:ind w:left="993" w:hanging="567"/>
        <w:rPr>
          <w:sz w:val="24"/>
          <w:szCs w:val="24"/>
        </w:rPr>
      </w:pPr>
      <w:r w:rsidRPr="005460C0">
        <w:rPr>
          <w:sz w:val="24"/>
          <w:szCs w:val="24"/>
        </w:rPr>
        <w:t>Thailand</w:t>
      </w:r>
    </w:p>
    <w:p w14:paraId="63720184" w14:textId="77777777" w:rsidR="005460C0" w:rsidRDefault="005460C0" w:rsidP="0049084A">
      <w:pPr>
        <w:pStyle w:val="ESSubparaList"/>
        <w:spacing w:after="0" w:line="240" w:lineRule="auto"/>
        <w:ind w:left="993" w:hanging="567"/>
        <w:rPr>
          <w:sz w:val="24"/>
          <w:szCs w:val="24"/>
        </w:rPr>
      </w:pPr>
      <w:r w:rsidRPr="005460C0">
        <w:rPr>
          <w:sz w:val="24"/>
          <w:szCs w:val="24"/>
        </w:rPr>
        <w:t>Timor-Leste</w:t>
      </w:r>
    </w:p>
    <w:p w14:paraId="7B5B5AA8" w14:textId="4088A4C7" w:rsidR="002B672E" w:rsidRPr="006E5162" w:rsidRDefault="005460C0" w:rsidP="0049084A">
      <w:pPr>
        <w:pStyle w:val="ESSubparaList"/>
        <w:spacing w:after="0" w:line="240" w:lineRule="auto"/>
        <w:ind w:left="993" w:hanging="567"/>
        <w:rPr>
          <w:sz w:val="24"/>
          <w:szCs w:val="24"/>
        </w:rPr>
      </w:pPr>
      <w:r w:rsidRPr="005460C0">
        <w:rPr>
          <w:sz w:val="24"/>
          <w:szCs w:val="24"/>
        </w:rPr>
        <w:t>Viet Nam</w:t>
      </w:r>
      <w:r>
        <w:rPr>
          <w:sz w:val="24"/>
          <w:szCs w:val="24"/>
        </w:rPr>
        <w:t>.</w:t>
      </w:r>
    </w:p>
    <w:p w14:paraId="23A04B35" w14:textId="3D96C683" w:rsidR="00AA4557" w:rsidRPr="006E5162" w:rsidRDefault="00AA4557" w:rsidP="00100DFC">
      <w:pPr>
        <w:pStyle w:val="ESHeading"/>
        <w:rPr>
          <w:sz w:val="24"/>
          <w:szCs w:val="24"/>
        </w:rPr>
      </w:pPr>
      <w:r w:rsidRPr="006E5162">
        <w:rPr>
          <w:sz w:val="24"/>
          <w:szCs w:val="24"/>
        </w:rPr>
        <w:t xml:space="preserve">Parliamentary scrutiny  </w:t>
      </w:r>
    </w:p>
    <w:p w14:paraId="3BD3448D" w14:textId="3B75978D" w:rsidR="0069392A" w:rsidRPr="006E5162" w:rsidRDefault="0069392A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>The instrument is exempt from disallowance under section 42 of the Legislation Act. This is because a legislative instrument made under Part 2</w:t>
      </w:r>
      <w:r w:rsidR="008005F9" w:rsidRPr="006E5162">
        <w:rPr>
          <w:sz w:val="24"/>
          <w:szCs w:val="24"/>
        </w:rPr>
        <w:t xml:space="preserve"> of</w:t>
      </w:r>
      <w:r w:rsidR="00F845EC" w:rsidRPr="006E5162">
        <w:rPr>
          <w:sz w:val="24"/>
          <w:szCs w:val="24"/>
        </w:rPr>
        <w:t>, or</w:t>
      </w:r>
      <w:r w:rsidRPr="006E5162">
        <w:rPr>
          <w:sz w:val="24"/>
          <w:szCs w:val="24"/>
        </w:rPr>
        <w:t xml:space="preserve"> Schedule 1 to</w:t>
      </w:r>
      <w:r w:rsidR="00307048" w:rsidRPr="006E5162">
        <w:rPr>
          <w:sz w:val="24"/>
          <w:szCs w:val="24"/>
        </w:rPr>
        <w:t>,</w:t>
      </w:r>
      <w:r w:rsidRPr="006E5162">
        <w:rPr>
          <w:sz w:val="24"/>
          <w:szCs w:val="24"/>
        </w:rPr>
        <w:t xml:space="preserve"> the Migration Regulations is exempt from disallowance under </w:t>
      </w:r>
      <w:r w:rsidR="008005F9" w:rsidRPr="006E5162">
        <w:rPr>
          <w:sz w:val="24"/>
          <w:szCs w:val="24"/>
        </w:rPr>
        <w:t>paragraph (b)</w:t>
      </w:r>
      <w:r w:rsidRPr="006E5162">
        <w:rPr>
          <w:sz w:val="24"/>
          <w:szCs w:val="24"/>
        </w:rPr>
        <w:t xml:space="preserve"> of</w:t>
      </w:r>
      <w:r w:rsidR="008005F9" w:rsidRPr="006E5162">
        <w:rPr>
          <w:sz w:val="24"/>
          <w:szCs w:val="24"/>
        </w:rPr>
        <w:t xml:space="preserve"> item 20 of</w:t>
      </w:r>
      <w:r w:rsidRPr="006E5162">
        <w:rPr>
          <w:sz w:val="24"/>
          <w:szCs w:val="24"/>
        </w:rPr>
        <w:t xml:space="preserve"> the table in section 10 of the </w:t>
      </w:r>
      <w:r w:rsidRPr="006E5162">
        <w:rPr>
          <w:i/>
          <w:iCs/>
          <w:sz w:val="24"/>
          <w:szCs w:val="24"/>
        </w:rPr>
        <w:t>Legislation (Exemptions and Other Matters) Regulation 2015</w:t>
      </w:r>
      <w:r w:rsidRPr="006E5162">
        <w:rPr>
          <w:sz w:val="24"/>
          <w:szCs w:val="24"/>
        </w:rPr>
        <w:t>.</w:t>
      </w:r>
    </w:p>
    <w:p w14:paraId="1D21CEC6" w14:textId="4759AAE2" w:rsidR="0069392A" w:rsidRPr="006E5162" w:rsidRDefault="0069392A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>As the instrument is exempt from disallowance, a Statement of Compatibility with Human Rights is not required.</w:t>
      </w:r>
    </w:p>
    <w:p w14:paraId="3BAF8D0C" w14:textId="54A71201" w:rsidR="00B75478" w:rsidRPr="006E5162" w:rsidRDefault="003A1251" w:rsidP="0049084A">
      <w:pPr>
        <w:pStyle w:val="ESPar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6E5162">
        <w:rPr>
          <w:sz w:val="24"/>
          <w:szCs w:val="24"/>
        </w:rPr>
        <w:t xml:space="preserve">The instrument was made by </w:t>
      </w:r>
      <w:r w:rsidR="004A1E08">
        <w:rPr>
          <w:sz w:val="24"/>
          <w:szCs w:val="24"/>
        </w:rPr>
        <w:t>the</w:t>
      </w:r>
      <w:r w:rsidRPr="006E5162">
        <w:rPr>
          <w:sz w:val="24"/>
          <w:szCs w:val="24"/>
        </w:rPr>
        <w:t xml:space="preserve"> Minister for Immigration and Multicultural Affairs, in accordance with subregulation 2.07(5) of the Migration Regulations. </w:t>
      </w:r>
    </w:p>
    <w:sectPr w:rsidR="00B75478" w:rsidRPr="006E5162" w:rsidSect="00095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56979" w14:textId="77777777" w:rsidR="005E24DE" w:rsidRDefault="005E24DE" w:rsidP="005E24DE">
      <w:pPr>
        <w:spacing w:after="0" w:line="240" w:lineRule="auto"/>
      </w:pPr>
      <w:r>
        <w:separator/>
      </w:r>
    </w:p>
  </w:endnote>
  <w:endnote w:type="continuationSeparator" w:id="0">
    <w:p w14:paraId="76493FE6" w14:textId="77777777" w:rsidR="005E24DE" w:rsidRDefault="005E24DE" w:rsidP="005E24DE">
      <w:pPr>
        <w:spacing w:after="0" w:line="240" w:lineRule="auto"/>
      </w:pPr>
      <w:r>
        <w:continuationSeparator/>
      </w:r>
    </w:p>
  </w:endnote>
  <w:endnote w:type="continuationNotice" w:id="1">
    <w:p w14:paraId="73410DFF" w14:textId="77777777" w:rsidR="002E6639" w:rsidRDefault="002E6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260B4" w14:textId="68BFDE49" w:rsidR="005E24DE" w:rsidRDefault="00AF5A5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BF91A1" wp14:editId="3580F3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91160"/>
              <wp:effectExtent l="0" t="0" r="0" b="0"/>
              <wp:wrapNone/>
              <wp:docPr id="1247467462" name="Text Box 5" descr="OFFICIAL: Sensitive//Legal-Privileg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1676D" w14:textId="2E4995A5" w:rsidR="00AF5A5E" w:rsidRPr="00AF5A5E" w:rsidRDefault="00AF5A5E" w:rsidP="00AF5A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F5A5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F91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: Sensitive//Legal-Privilege" style="position:absolute;margin-left:0;margin-top:0;width:172.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" filled="f" stroked="f">
              <v:textbox style="mso-fit-shape-to-text:t" inset="0,0,0,15pt">
                <w:txbxContent>
                  <w:p w14:paraId="3CE1676D" w14:textId="2E4995A5" w:rsidR="00AF5A5E" w:rsidRPr="00AF5A5E" w:rsidRDefault="00AF5A5E" w:rsidP="00AF5A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F5A5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EA8ED" w14:textId="7E52AFD2" w:rsidR="00976222" w:rsidRPr="00EE344B" w:rsidRDefault="00B359EC" w:rsidP="00EE344B">
    <w:pPr>
      <w:pStyle w:val="Footer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6771599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76222" w:rsidRPr="00EE34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76222" w:rsidRPr="00EE34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76222" w:rsidRPr="00EE34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976222" w:rsidRPr="00EE34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FEE0" w14:textId="77777777" w:rsidR="00B359EC" w:rsidRDefault="00B35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02C18" w14:textId="77777777" w:rsidR="005E24DE" w:rsidRDefault="005E24DE" w:rsidP="005E24DE">
      <w:pPr>
        <w:spacing w:after="0" w:line="240" w:lineRule="auto"/>
      </w:pPr>
      <w:r>
        <w:separator/>
      </w:r>
    </w:p>
  </w:footnote>
  <w:footnote w:type="continuationSeparator" w:id="0">
    <w:p w14:paraId="08708AC3" w14:textId="77777777" w:rsidR="005E24DE" w:rsidRDefault="005E24DE" w:rsidP="005E24DE">
      <w:pPr>
        <w:spacing w:after="0" w:line="240" w:lineRule="auto"/>
      </w:pPr>
      <w:r>
        <w:continuationSeparator/>
      </w:r>
    </w:p>
  </w:footnote>
  <w:footnote w:type="continuationNotice" w:id="1">
    <w:p w14:paraId="2A20873A" w14:textId="77777777" w:rsidR="002E6639" w:rsidRDefault="002E6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4B92" w14:textId="350B4554" w:rsidR="005E24DE" w:rsidRDefault="00AF5A5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6F7286" wp14:editId="2053E5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91160"/>
              <wp:effectExtent l="0" t="0" r="0" b="8890"/>
              <wp:wrapNone/>
              <wp:docPr id="1605989289" name="Text Box 2" descr="OFFICIAL: Sensitive//Legal-Privileg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065F8" w14:textId="0664D23C" w:rsidR="00AF5A5E" w:rsidRPr="00AF5A5E" w:rsidRDefault="00AF5A5E" w:rsidP="00AF5A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F5A5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F72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//Legal-Privilege" style="position:absolute;margin-left:0;margin-top:0;width:172.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" filled="f" stroked="f">
              <v:textbox style="mso-fit-shape-to-text:t" inset="0,15pt,0,0">
                <w:txbxContent>
                  <w:p w14:paraId="6B5065F8" w14:textId="0664D23C" w:rsidR="00AF5A5E" w:rsidRPr="00AF5A5E" w:rsidRDefault="00AF5A5E" w:rsidP="00AF5A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F5A5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33E97" w14:textId="77777777" w:rsidR="00B359EC" w:rsidRDefault="00B359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59E76" w14:textId="77777777" w:rsidR="00B359EC" w:rsidRDefault="00B35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4EF"/>
    <w:multiLevelType w:val="multilevel"/>
    <w:tmpl w:val="8B1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86D50"/>
    <w:multiLevelType w:val="hybridMultilevel"/>
    <w:tmpl w:val="D71E487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8125D8"/>
    <w:multiLevelType w:val="hybridMultilevel"/>
    <w:tmpl w:val="0BAE6C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77AE9"/>
    <w:multiLevelType w:val="multilevel"/>
    <w:tmpl w:val="3F80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6509A"/>
    <w:multiLevelType w:val="multilevel"/>
    <w:tmpl w:val="C3B6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2165F"/>
    <w:multiLevelType w:val="multilevel"/>
    <w:tmpl w:val="C0DAF0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DE"/>
    <w:rsid w:val="000244B2"/>
    <w:rsid w:val="0004630C"/>
    <w:rsid w:val="00050FA2"/>
    <w:rsid w:val="0006215A"/>
    <w:rsid w:val="00063E7F"/>
    <w:rsid w:val="000674CC"/>
    <w:rsid w:val="00075F4A"/>
    <w:rsid w:val="000868EA"/>
    <w:rsid w:val="000952A6"/>
    <w:rsid w:val="00097C37"/>
    <w:rsid w:val="000A0D8B"/>
    <w:rsid w:val="000A3D48"/>
    <w:rsid w:val="000B261F"/>
    <w:rsid w:val="000D014F"/>
    <w:rsid w:val="000E279D"/>
    <w:rsid w:val="000E7A90"/>
    <w:rsid w:val="00100DFC"/>
    <w:rsid w:val="00102208"/>
    <w:rsid w:val="00123913"/>
    <w:rsid w:val="00140F41"/>
    <w:rsid w:val="0014254C"/>
    <w:rsid w:val="00153FC6"/>
    <w:rsid w:val="0015694F"/>
    <w:rsid w:val="00177DC9"/>
    <w:rsid w:val="00184D04"/>
    <w:rsid w:val="0019164E"/>
    <w:rsid w:val="00192AF2"/>
    <w:rsid w:val="001A0250"/>
    <w:rsid w:val="001C327D"/>
    <w:rsid w:val="001F15DC"/>
    <w:rsid w:val="002200B0"/>
    <w:rsid w:val="002253A2"/>
    <w:rsid w:val="00230B0A"/>
    <w:rsid w:val="00232C01"/>
    <w:rsid w:val="002402E0"/>
    <w:rsid w:val="00245C2D"/>
    <w:rsid w:val="00266F7A"/>
    <w:rsid w:val="002B057A"/>
    <w:rsid w:val="002B0E54"/>
    <w:rsid w:val="002B672E"/>
    <w:rsid w:val="002C2DC6"/>
    <w:rsid w:val="002D167E"/>
    <w:rsid w:val="002E6639"/>
    <w:rsid w:val="002F2D25"/>
    <w:rsid w:val="00307048"/>
    <w:rsid w:val="00335EB6"/>
    <w:rsid w:val="00351FED"/>
    <w:rsid w:val="00365D06"/>
    <w:rsid w:val="00375FCA"/>
    <w:rsid w:val="00393C65"/>
    <w:rsid w:val="003A0384"/>
    <w:rsid w:val="003A1251"/>
    <w:rsid w:val="003B1BFF"/>
    <w:rsid w:val="003B3CDE"/>
    <w:rsid w:val="00445707"/>
    <w:rsid w:val="00457D4A"/>
    <w:rsid w:val="004630ED"/>
    <w:rsid w:val="00464080"/>
    <w:rsid w:val="00475129"/>
    <w:rsid w:val="0049084A"/>
    <w:rsid w:val="00497EEF"/>
    <w:rsid w:val="004A0315"/>
    <w:rsid w:val="004A1E08"/>
    <w:rsid w:val="004A4637"/>
    <w:rsid w:val="004A476B"/>
    <w:rsid w:val="004D5C69"/>
    <w:rsid w:val="004E68D0"/>
    <w:rsid w:val="004F5CE4"/>
    <w:rsid w:val="00521D57"/>
    <w:rsid w:val="0052631F"/>
    <w:rsid w:val="005460C0"/>
    <w:rsid w:val="005520C2"/>
    <w:rsid w:val="005537CA"/>
    <w:rsid w:val="00560B24"/>
    <w:rsid w:val="00561EF8"/>
    <w:rsid w:val="0057002B"/>
    <w:rsid w:val="005970DA"/>
    <w:rsid w:val="005A171E"/>
    <w:rsid w:val="005A3733"/>
    <w:rsid w:val="005D36CA"/>
    <w:rsid w:val="005E24DE"/>
    <w:rsid w:val="005F4D5E"/>
    <w:rsid w:val="0060067C"/>
    <w:rsid w:val="00604E06"/>
    <w:rsid w:val="00670FC1"/>
    <w:rsid w:val="0067478D"/>
    <w:rsid w:val="00686E32"/>
    <w:rsid w:val="00691CCF"/>
    <w:rsid w:val="0069392A"/>
    <w:rsid w:val="006C7970"/>
    <w:rsid w:val="006E5162"/>
    <w:rsid w:val="006F294D"/>
    <w:rsid w:val="00711210"/>
    <w:rsid w:val="00722440"/>
    <w:rsid w:val="00732A86"/>
    <w:rsid w:val="0073656B"/>
    <w:rsid w:val="0076020C"/>
    <w:rsid w:val="007903F9"/>
    <w:rsid w:val="007A0745"/>
    <w:rsid w:val="007B0BF6"/>
    <w:rsid w:val="007C68AF"/>
    <w:rsid w:val="007C71DD"/>
    <w:rsid w:val="007D1AD1"/>
    <w:rsid w:val="007E4691"/>
    <w:rsid w:val="008005F9"/>
    <w:rsid w:val="00810CED"/>
    <w:rsid w:val="008126C5"/>
    <w:rsid w:val="008237FF"/>
    <w:rsid w:val="00823CBD"/>
    <w:rsid w:val="00832764"/>
    <w:rsid w:val="008344C6"/>
    <w:rsid w:val="00834DBC"/>
    <w:rsid w:val="00853860"/>
    <w:rsid w:val="00870C10"/>
    <w:rsid w:val="00877514"/>
    <w:rsid w:val="0088407D"/>
    <w:rsid w:val="008841E3"/>
    <w:rsid w:val="0088605B"/>
    <w:rsid w:val="008A1465"/>
    <w:rsid w:val="008B00B4"/>
    <w:rsid w:val="008B24C8"/>
    <w:rsid w:val="008F4631"/>
    <w:rsid w:val="00914464"/>
    <w:rsid w:val="00915032"/>
    <w:rsid w:val="0094768F"/>
    <w:rsid w:val="009616BD"/>
    <w:rsid w:val="00961AD3"/>
    <w:rsid w:val="00963397"/>
    <w:rsid w:val="00976222"/>
    <w:rsid w:val="009867E0"/>
    <w:rsid w:val="009A35A2"/>
    <w:rsid w:val="009C6215"/>
    <w:rsid w:val="009C6859"/>
    <w:rsid w:val="009E62AD"/>
    <w:rsid w:val="00A014B6"/>
    <w:rsid w:val="00A0502D"/>
    <w:rsid w:val="00A11E0E"/>
    <w:rsid w:val="00A441FD"/>
    <w:rsid w:val="00A46A2C"/>
    <w:rsid w:val="00A5189C"/>
    <w:rsid w:val="00A52839"/>
    <w:rsid w:val="00A619FC"/>
    <w:rsid w:val="00A754E9"/>
    <w:rsid w:val="00A77DF9"/>
    <w:rsid w:val="00A77F93"/>
    <w:rsid w:val="00A80683"/>
    <w:rsid w:val="00AA437A"/>
    <w:rsid w:val="00AA4557"/>
    <w:rsid w:val="00AA4F77"/>
    <w:rsid w:val="00AB5D45"/>
    <w:rsid w:val="00AE43B2"/>
    <w:rsid w:val="00AF5A5E"/>
    <w:rsid w:val="00B0184E"/>
    <w:rsid w:val="00B22AF0"/>
    <w:rsid w:val="00B26780"/>
    <w:rsid w:val="00B359EC"/>
    <w:rsid w:val="00B360F4"/>
    <w:rsid w:val="00B36AB8"/>
    <w:rsid w:val="00B445D9"/>
    <w:rsid w:val="00B55306"/>
    <w:rsid w:val="00B65A06"/>
    <w:rsid w:val="00B65A1C"/>
    <w:rsid w:val="00B70202"/>
    <w:rsid w:val="00B73457"/>
    <w:rsid w:val="00B75478"/>
    <w:rsid w:val="00B9762F"/>
    <w:rsid w:val="00BB0CF2"/>
    <w:rsid w:val="00BC0628"/>
    <w:rsid w:val="00BD598E"/>
    <w:rsid w:val="00BE3E7F"/>
    <w:rsid w:val="00BE7C56"/>
    <w:rsid w:val="00BF4849"/>
    <w:rsid w:val="00C00C29"/>
    <w:rsid w:val="00C23948"/>
    <w:rsid w:val="00C26D72"/>
    <w:rsid w:val="00C32307"/>
    <w:rsid w:val="00C4622E"/>
    <w:rsid w:val="00C81A5E"/>
    <w:rsid w:val="00C84BFB"/>
    <w:rsid w:val="00C930F2"/>
    <w:rsid w:val="00C94AAE"/>
    <w:rsid w:val="00CA2E45"/>
    <w:rsid w:val="00CD4ADD"/>
    <w:rsid w:val="00CD5192"/>
    <w:rsid w:val="00CF2DB4"/>
    <w:rsid w:val="00CF39E7"/>
    <w:rsid w:val="00D31B7A"/>
    <w:rsid w:val="00D40E1E"/>
    <w:rsid w:val="00D46991"/>
    <w:rsid w:val="00D6406B"/>
    <w:rsid w:val="00D94811"/>
    <w:rsid w:val="00D9729F"/>
    <w:rsid w:val="00DA03F3"/>
    <w:rsid w:val="00DF5B4A"/>
    <w:rsid w:val="00E03DCC"/>
    <w:rsid w:val="00E21BFE"/>
    <w:rsid w:val="00E22B6B"/>
    <w:rsid w:val="00E247F6"/>
    <w:rsid w:val="00E45FE2"/>
    <w:rsid w:val="00E476DC"/>
    <w:rsid w:val="00E57A74"/>
    <w:rsid w:val="00E6079D"/>
    <w:rsid w:val="00E72E44"/>
    <w:rsid w:val="00E875B3"/>
    <w:rsid w:val="00E91BD0"/>
    <w:rsid w:val="00EA12C9"/>
    <w:rsid w:val="00EA60C7"/>
    <w:rsid w:val="00EA7C52"/>
    <w:rsid w:val="00EE344B"/>
    <w:rsid w:val="00F37F03"/>
    <w:rsid w:val="00F45B96"/>
    <w:rsid w:val="00F470D9"/>
    <w:rsid w:val="00F57F9D"/>
    <w:rsid w:val="00F71500"/>
    <w:rsid w:val="00F845EC"/>
    <w:rsid w:val="00FA397A"/>
    <w:rsid w:val="00FC1661"/>
    <w:rsid w:val="00FE0FEE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8AAE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  <w:ind w:left="720" w:hanging="36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E2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4DE"/>
  </w:style>
  <w:style w:type="paragraph" w:styleId="Footer">
    <w:name w:val="footer"/>
    <w:basedOn w:val="Normal"/>
    <w:link w:val="FooterChar"/>
    <w:uiPriority w:val="99"/>
    <w:unhideWhenUsed/>
    <w:rsid w:val="005E2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4DE"/>
  </w:style>
  <w:style w:type="character" w:styleId="Hyperlink">
    <w:name w:val="Hyperlink"/>
    <w:basedOn w:val="DefaultParagraphFont"/>
    <w:uiPriority w:val="99"/>
    <w:unhideWhenUsed/>
    <w:rsid w:val="00B65A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A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E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5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D50DA-5E94-4128-8F35-55CFA8F4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2024-11-28T00:23:00Z</dcterms:created>
  <dcterms:modified xsi:type="dcterms:W3CDTF">2024-11-28T00:23:00Z</dcterms:modified>
</cp:coreProperties>
</file>