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E1D46" w14:textId="77777777" w:rsidR="00760CB4" w:rsidRPr="00222ACD" w:rsidRDefault="00760CB4" w:rsidP="00B524B7">
      <w:pPr>
        <w:autoSpaceDE w:val="0"/>
        <w:autoSpaceDN w:val="0"/>
        <w:adjustRightInd w:val="0"/>
        <w:spacing w:after="240" w:line="276" w:lineRule="auto"/>
        <w:jc w:val="center"/>
        <w:rPr>
          <w:b/>
          <w:bCs/>
          <w:sz w:val="22"/>
          <w:szCs w:val="22"/>
          <w:u w:val="single"/>
        </w:rPr>
      </w:pPr>
      <w:r w:rsidRPr="00222ACD">
        <w:rPr>
          <w:b/>
          <w:bCs/>
          <w:sz w:val="22"/>
          <w:szCs w:val="22"/>
          <w:u w:val="single"/>
        </w:rPr>
        <w:t>EXPLANATORY STATEMENT</w:t>
      </w:r>
    </w:p>
    <w:p w14:paraId="6C85CEE2" w14:textId="77777777" w:rsidR="00760CB4" w:rsidRPr="003951CE" w:rsidRDefault="00760CB4" w:rsidP="00B524B7">
      <w:pPr>
        <w:autoSpaceDE w:val="0"/>
        <w:autoSpaceDN w:val="0"/>
        <w:adjustRightInd w:val="0"/>
        <w:spacing w:after="240" w:line="276" w:lineRule="auto"/>
        <w:jc w:val="center"/>
        <w:rPr>
          <w:b/>
          <w:sz w:val="22"/>
          <w:szCs w:val="22"/>
        </w:rPr>
      </w:pPr>
      <w:r w:rsidRPr="003951CE">
        <w:rPr>
          <w:b/>
          <w:sz w:val="22"/>
          <w:szCs w:val="22"/>
        </w:rPr>
        <w:t>Issued by the Authority of the Australian Fisheries Management Authority</w:t>
      </w:r>
    </w:p>
    <w:p w14:paraId="645EA6BD" w14:textId="77777777" w:rsidR="00760CB4" w:rsidRPr="003951CE" w:rsidRDefault="00760CB4" w:rsidP="00B524B7">
      <w:pPr>
        <w:autoSpaceDE w:val="0"/>
        <w:autoSpaceDN w:val="0"/>
        <w:adjustRightInd w:val="0"/>
        <w:spacing w:after="240" w:line="276" w:lineRule="auto"/>
        <w:jc w:val="center"/>
        <w:rPr>
          <w:i/>
          <w:iCs/>
          <w:sz w:val="22"/>
          <w:szCs w:val="22"/>
        </w:rPr>
      </w:pPr>
      <w:r w:rsidRPr="003951CE">
        <w:rPr>
          <w:i/>
          <w:iCs/>
          <w:sz w:val="22"/>
          <w:szCs w:val="22"/>
        </w:rPr>
        <w:t>Fisheries Management Act 1991</w:t>
      </w:r>
    </w:p>
    <w:p w14:paraId="1E2F9D91" w14:textId="77777777" w:rsidR="00760CB4" w:rsidRPr="003951CE" w:rsidRDefault="00760CB4" w:rsidP="00B524B7">
      <w:pPr>
        <w:autoSpaceDE w:val="0"/>
        <w:autoSpaceDN w:val="0"/>
        <w:adjustRightInd w:val="0"/>
        <w:spacing w:after="240" w:line="276" w:lineRule="auto"/>
        <w:jc w:val="center"/>
        <w:rPr>
          <w:i/>
          <w:iCs/>
          <w:sz w:val="22"/>
          <w:szCs w:val="22"/>
        </w:rPr>
      </w:pPr>
      <w:r w:rsidRPr="003951CE">
        <w:rPr>
          <w:i/>
          <w:iCs/>
          <w:sz w:val="22"/>
          <w:szCs w:val="22"/>
        </w:rPr>
        <w:t>Southern Bluefin Tuna Fishery Management Plan 1995</w:t>
      </w:r>
    </w:p>
    <w:p w14:paraId="14C5D035" w14:textId="1A93DF96" w:rsidR="00B524B7" w:rsidRPr="003951CE" w:rsidRDefault="0023174C" w:rsidP="00B524B7">
      <w:pPr>
        <w:spacing w:after="240" w:line="276" w:lineRule="auto"/>
        <w:jc w:val="center"/>
        <w:rPr>
          <w:b/>
          <w:i/>
          <w:sz w:val="22"/>
          <w:szCs w:val="22"/>
        </w:rPr>
      </w:pPr>
      <w:r w:rsidRPr="0023174C">
        <w:rPr>
          <w:b/>
          <w:bCs/>
          <w:i/>
          <w:iCs/>
          <w:sz w:val="22"/>
          <w:szCs w:val="22"/>
        </w:rPr>
        <w:t>Southern Bluefin Tuna Fishery (Transfer Weighing of fish—purse seine method of fishing) Determination 2024</w:t>
      </w:r>
    </w:p>
    <w:p w14:paraId="03D13F00" w14:textId="30A799EC" w:rsidR="003539B0" w:rsidRPr="003951CE" w:rsidRDefault="003539B0" w:rsidP="00B524B7">
      <w:pPr>
        <w:spacing w:after="240" w:line="276" w:lineRule="auto"/>
        <w:jc w:val="both"/>
        <w:rPr>
          <w:i/>
          <w:sz w:val="22"/>
          <w:szCs w:val="22"/>
        </w:rPr>
      </w:pPr>
      <w:r w:rsidRPr="003951CE">
        <w:rPr>
          <w:sz w:val="22"/>
          <w:szCs w:val="22"/>
        </w:rPr>
        <w:t xml:space="preserve">The </w:t>
      </w:r>
      <w:r w:rsidR="0023174C" w:rsidRPr="0023174C">
        <w:rPr>
          <w:i/>
          <w:sz w:val="22"/>
          <w:szCs w:val="22"/>
        </w:rPr>
        <w:t>Southern Bluefin Tuna Fishery (Transfer Weighing of fish—purse seine method of fishing) Determination 2024</w:t>
      </w:r>
      <w:r w:rsidRPr="003951CE">
        <w:rPr>
          <w:i/>
          <w:sz w:val="22"/>
          <w:szCs w:val="22"/>
        </w:rPr>
        <w:t xml:space="preserve"> </w:t>
      </w:r>
      <w:r w:rsidRPr="003951CE">
        <w:rPr>
          <w:sz w:val="22"/>
          <w:szCs w:val="22"/>
        </w:rPr>
        <w:t>(</w:t>
      </w:r>
      <w:r w:rsidRPr="00E82227">
        <w:rPr>
          <w:b/>
          <w:bCs/>
          <w:sz w:val="22"/>
          <w:szCs w:val="22"/>
        </w:rPr>
        <w:t>the Determination</w:t>
      </w:r>
      <w:r w:rsidRPr="003951CE">
        <w:rPr>
          <w:sz w:val="22"/>
          <w:szCs w:val="22"/>
        </w:rPr>
        <w:t xml:space="preserve">) is a legislative instrument for the purposes of the </w:t>
      </w:r>
      <w:r w:rsidRPr="003951CE">
        <w:rPr>
          <w:i/>
          <w:sz w:val="22"/>
          <w:szCs w:val="22"/>
        </w:rPr>
        <w:t>Legislati</w:t>
      </w:r>
      <w:r w:rsidR="000A18DA" w:rsidRPr="003951CE">
        <w:rPr>
          <w:i/>
          <w:sz w:val="22"/>
          <w:szCs w:val="22"/>
        </w:rPr>
        <w:t>on</w:t>
      </w:r>
      <w:r w:rsidRPr="003951CE">
        <w:rPr>
          <w:i/>
          <w:sz w:val="22"/>
          <w:szCs w:val="22"/>
        </w:rPr>
        <w:t xml:space="preserve"> Act 2003</w:t>
      </w:r>
      <w:r w:rsidRPr="003951CE">
        <w:rPr>
          <w:sz w:val="22"/>
          <w:szCs w:val="22"/>
        </w:rPr>
        <w:t>.</w:t>
      </w:r>
    </w:p>
    <w:p w14:paraId="0D6A89E4" w14:textId="41601F6E" w:rsidR="003539B0" w:rsidRPr="003951CE" w:rsidRDefault="003539B0" w:rsidP="00B524B7">
      <w:pPr>
        <w:spacing w:after="240" w:line="276" w:lineRule="auto"/>
        <w:jc w:val="both"/>
        <w:rPr>
          <w:sz w:val="22"/>
          <w:szCs w:val="22"/>
        </w:rPr>
      </w:pPr>
      <w:bookmarkStart w:id="0" w:name="OLE_LINK1"/>
      <w:bookmarkStart w:id="1" w:name="OLE_LINK2"/>
      <w:r w:rsidRPr="003951CE">
        <w:rPr>
          <w:sz w:val="22"/>
          <w:szCs w:val="22"/>
        </w:rPr>
        <w:t>The</w:t>
      </w:r>
      <w:r w:rsidRPr="003951CE">
        <w:rPr>
          <w:i/>
          <w:sz w:val="22"/>
          <w:szCs w:val="22"/>
        </w:rPr>
        <w:t xml:space="preserve"> Southern Bluefin Tuna </w:t>
      </w:r>
      <w:r w:rsidR="00926FBD">
        <w:rPr>
          <w:i/>
          <w:sz w:val="22"/>
          <w:szCs w:val="22"/>
        </w:rPr>
        <w:t xml:space="preserve">Fishery </w:t>
      </w:r>
      <w:r w:rsidRPr="003951CE">
        <w:rPr>
          <w:i/>
          <w:sz w:val="22"/>
          <w:szCs w:val="22"/>
        </w:rPr>
        <w:t>Management Plan 1995</w:t>
      </w:r>
      <w:r w:rsidRPr="003951CE">
        <w:rPr>
          <w:sz w:val="22"/>
          <w:szCs w:val="22"/>
        </w:rPr>
        <w:t xml:space="preserve"> </w:t>
      </w:r>
      <w:r w:rsidRPr="00E82227">
        <w:rPr>
          <w:b/>
          <w:bCs/>
          <w:sz w:val="22"/>
          <w:szCs w:val="22"/>
        </w:rPr>
        <w:t>(the Plan</w:t>
      </w:r>
      <w:r w:rsidRPr="003951CE">
        <w:rPr>
          <w:sz w:val="22"/>
          <w:szCs w:val="22"/>
        </w:rPr>
        <w:t xml:space="preserve">) is </w:t>
      </w:r>
      <w:r w:rsidR="00457699" w:rsidRPr="003951CE">
        <w:rPr>
          <w:sz w:val="22"/>
          <w:szCs w:val="22"/>
        </w:rPr>
        <w:t>made</w:t>
      </w:r>
      <w:r w:rsidRPr="003951CE">
        <w:rPr>
          <w:sz w:val="22"/>
          <w:szCs w:val="22"/>
        </w:rPr>
        <w:t xml:space="preserve"> under section 17 of the </w:t>
      </w:r>
      <w:r w:rsidR="00B524B7" w:rsidRPr="003951CE">
        <w:rPr>
          <w:i/>
          <w:sz w:val="22"/>
          <w:szCs w:val="22"/>
        </w:rPr>
        <w:t>Fisheries Management Act 1991</w:t>
      </w:r>
      <w:r w:rsidR="00B524B7" w:rsidRPr="003951CE">
        <w:rPr>
          <w:sz w:val="22"/>
          <w:szCs w:val="22"/>
        </w:rPr>
        <w:t xml:space="preserve"> (</w:t>
      </w:r>
      <w:r w:rsidR="00B524B7" w:rsidRPr="00E82227">
        <w:rPr>
          <w:b/>
          <w:bCs/>
          <w:sz w:val="22"/>
          <w:szCs w:val="22"/>
        </w:rPr>
        <w:t>the Act</w:t>
      </w:r>
      <w:r w:rsidR="00B524B7" w:rsidRPr="003951CE">
        <w:rPr>
          <w:sz w:val="22"/>
          <w:szCs w:val="22"/>
        </w:rPr>
        <w:t xml:space="preserve">).  </w:t>
      </w:r>
    </w:p>
    <w:p w14:paraId="4B38ADB8" w14:textId="77777777" w:rsidR="00B524B7" w:rsidRPr="003951CE" w:rsidRDefault="00B524B7" w:rsidP="00B524B7">
      <w:pPr>
        <w:pStyle w:val="AFMANormal"/>
        <w:spacing w:before="0" w:after="240" w:line="276" w:lineRule="auto"/>
        <w:rPr>
          <w:sz w:val="22"/>
          <w:szCs w:val="22"/>
        </w:rPr>
      </w:pPr>
      <w:r w:rsidRPr="003951CE">
        <w:rPr>
          <w:sz w:val="22"/>
          <w:szCs w:val="22"/>
        </w:rPr>
        <w:t>Subsection 17(</w:t>
      </w:r>
      <w:proofErr w:type="gramStart"/>
      <w:r w:rsidRPr="003951CE">
        <w:rPr>
          <w:sz w:val="22"/>
          <w:szCs w:val="22"/>
        </w:rPr>
        <w:t>6)(</w:t>
      </w:r>
      <w:proofErr w:type="gramEnd"/>
      <w:r w:rsidRPr="003951CE">
        <w:rPr>
          <w:sz w:val="22"/>
          <w:szCs w:val="22"/>
        </w:rPr>
        <w:t>aa) of the Act provides that a plan of management may determine or provide for AFMA to determine the fishing capacity measured, by that method or those methods permitted for the fishery or a part of the fishery in respect of a particular period or periods.</w:t>
      </w:r>
    </w:p>
    <w:p w14:paraId="586D4708" w14:textId="3F680DA5" w:rsidR="003539B0" w:rsidRPr="003951CE" w:rsidRDefault="00B524B7" w:rsidP="00B524B7">
      <w:pPr>
        <w:spacing w:after="240" w:line="276" w:lineRule="auto"/>
        <w:jc w:val="both"/>
        <w:rPr>
          <w:sz w:val="22"/>
          <w:szCs w:val="22"/>
        </w:rPr>
      </w:pPr>
      <w:r w:rsidRPr="003951CE">
        <w:rPr>
          <w:sz w:val="22"/>
          <w:szCs w:val="22"/>
        </w:rPr>
        <w:t>Sub</w:t>
      </w:r>
      <w:r w:rsidR="00FD668D">
        <w:rPr>
          <w:sz w:val="22"/>
          <w:szCs w:val="22"/>
        </w:rPr>
        <w:t>clause</w:t>
      </w:r>
      <w:r w:rsidR="003539B0" w:rsidRPr="003951CE">
        <w:rPr>
          <w:sz w:val="22"/>
          <w:szCs w:val="22"/>
        </w:rPr>
        <w:t xml:space="preserve"> 22B.2 of the Plan requires the Australian Fisheries Management Authority (</w:t>
      </w:r>
      <w:r w:rsidR="003539B0" w:rsidRPr="00E82227">
        <w:rPr>
          <w:b/>
          <w:bCs/>
          <w:sz w:val="22"/>
          <w:szCs w:val="22"/>
        </w:rPr>
        <w:t>AFMA</w:t>
      </w:r>
      <w:r w:rsidR="003539B0" w:rsidRPr="003951CE">
        <w:rPr>
          <w:sz w:val="22"/>
          <w:szCs w:val="22"/>
        </w:rPr>
        <w:t xml:space="preserve">) to determine the </w:t>
      </w:r>
      <w:proofErr w:type="gramStart"/>
      <w:r w:rsidR="003539B0" w:rsidRPr="003951CE">
        <w:rPr>
          <w:sz w:val="22"/>
          <w:szCs w:val="22"/>
        </w:rPr>
        <w:t>manner in which</w:t>
      </w:r>
      <w:proofErr w:type="gramEnd"/>
      <w:r w:rsidR="003539B0" w:rsidRPr="003951CE">
        <w:rPr>
          <w:sz w:val="22"/>
          <w:szCs w:val="22"/>
        </w:rPr>
        <w:t xml:space="preserve"> the ‘</w:t>
      </w:r>
      <w:r w:rsidR="00C40127" w:rsidRPr="003951CE">
        <w:rPr>
          <w:sz w:val="22"/>
          <w:szCs w:val="22"/>
        </w:rPr>
        <w:t>transfer weighing’</w:t>
      </w:r>
      <w:r w:rsidR="003539B0" w:rsidRPr="003951CE">
        <w:rPr>
          <w:sz w:val="22"/>
          <w:szCs w:val="22"/>
        </w:rPr>
        <w:t xml:space="preserve"> of Southern Bluefin Tuna is to be carried out.</w:t>
      </w:r>
    </w:p>
    <w:p w14:paraId="734AD9EA" w14:textId="1DA78C4B" w:rsidR="003539B0" w:rsidRDefault="003539B0" w:rsidP="00B524B7">
      <w:pPr>
        <w:pStyle w:val="afmabodytext"/>
        <w:spacing w:before="0" w:after="240" w:line="276" w:lineRule="auto"/>
        <w:jc w:val="both"/>
        <w:rPr>
          <w:rFonts w:ascii="Times New Roman" w:hAnsi="Times New Roman" w:cs="Times New Roman"/>
        </w:rPr>
      </w:pPr>
      <w:r w:rsidRPr="003951CE">
        <w:rPr>
          <w:rFonts w:ascii="Times New Roman" w:hAnsi="Times New Roman" w:cs="Times New Roman"/>
        </w:rPr>
        <w:t xml:space="preserve">The Determination determines the </w:t>
      </w:r>
      <w:proofErr w:type="gramStart"/>
      <w:r w:rsidRPr="003951CE">
        <w:rPr>
          <w:rFonts w:ascii="Times New Roman" w:hAnsi="Times New Roman" w:cs="Times New Roman"/>
        </w:rPr>
        <w:t>manner in which</w:t>
      </w:r>
      <w:proofErr w:type="gramEnd"/>
      <w:r w:rsidRPr="003951CE">
        <w:rPr>
          <w:rFonts w:ascii="Times New Roman" w:hAnsi="Times New Roman" w:cs="Times New Roman"/>
        </w:rPr>
        <w:t xml:space="preserve"> the </w:t>
      </w:r>
      <w:r w:rsidR="00C40127" w:rsidRPr="003951CE">
        <w:rPr>
          <w:rFonts w:ascii="Times New Roman" w:hAnsi="Times New Roman" w:cs="Times New Roman"/>
        </w:rPr>
        <w:t>transfer weighing</w:t>
      </w:r>
      <w:r w:rsidRPr="003951CE">
        <w:rPr>
          <w:rFonts w:ascii="Times New Roman" w:hAnsi="Times New Roman" w:cs="Times New Roman"/>
        </w:rPr>
        <w:t xml:space="preserve"> is to be carried out when an operator transfers Southern Bluefin Tuna </w:t>
      </w:r>
      <w:r w:rsidR="00661656">
        <w:rPr>
          <w:rFonts w:ascii="Times New Roman" w:hAnsi="Times New Roman" w:cs="Times New Roman"/>
        </w:rPr>
        <w:t>(</w:t>
      </w:r>
      <w:r w:rsidR="00661656" w:rsidRPr="00661656">
        <w:rPr>
          <w:rFonts w:ascii="Times New Roman" w:hAnsi="Times New Roman" w:cs="Times New Roman"/>
          <w:b/>
          <w:bCs/>
        </w:rPr>
        <w:t>SBT</w:t>
      </w:r>
      <w:r w:rsidR="00661656">
        <w:rPr>
          <w:rFonts w:ascii="Times New Roman" w:hAnsi="Times New Roman" w:cs="Times New Roman"/>
        </w:rPr>
        <w:t xml:space="preserve">) </w:t>
      </w:r>
      <w:r w:rsidRPr="00661656">
        <w:rPr>
          <w:rFonts w:ascii="Times New Roman" w:hAnsi="Times New Roman" w:cs="Times New Roman"/>
        </w:rPr>
        <w:t>from</w:t>
      </w:r>
      <w:r w:rsidRPr="003951CE">
        <w:rPr>
          <w:rFonts w:ascii="Times New Roman" w:hAnsi="Times New Roman" w:cs="Times New Roman"/>
        </w:rPr>
        <w:t xml:space="preserve"> a tow </w:t>
      </w:r>
      <w:r w:rsidR="00E6101B" w:rsidRPr="003951CE">
        <w:rPr>
          <w:rFonts w:ascii="Times New Roman" w:hAnsi="Times New Roman" w:cs="Times New Roman"/>
        </w:rPr>
        <w:t>pontoon</w:t>
      </w:r>
      <w:r w:rsidRPr="003951CE">
        <w:rPr>
          <w:rFonts w:ascii="Times New Roman" w:hAnsi="Times New Roman" w:cs="Times New Roman"/>
        </w:rPr>
        <w:t xml:space="preserve"> to a farm.</w:t>
      </w:r>
    </w:p>
    <w:bookmarkEnd w:id="0"/>
    <w:bookmarkEnd w:id="1"/>
    <w:p w14:paraId="1996E850" w14:textId="77777777" w:rsidR="003539B0" w:rsidRPr="003951CE" w:rsidRDefault="003539B0" w:rsidP="00B524B7">
      <w:pPr>
        <w:pStyle w:val="AFMA123Normal"/>
        <w:numPr>
          <w:ilvl w:val="12"/>
          <w:numId w:val="0"/>
        </w:numPr>
        <w:spacing w:before="0" w:after="240" w:line="276" w:lineRule="auto"/>
        <w:ind w:hanging="6"/>
        <w:rPr>
          <w:b/>
          <w:sz w:val="22"/>
          <w:szCs w:val="22"/>
        </w:rPr>
      </w:pPr>
      <w:r w:rsidRPr="003951CE">
        <w:rPr>
          <w:b/>
          <w:sz w:val="22"/>
          <w:szCs w:val="22"/>
        </w:rPr>
        <w:t>The Fishery</w:t>
      </w:r>
    </w:p>
    <w:p w14:paraId="4D5AF3BE" w14:textId="1D634432" w:rsidR="004F7E87" w:rsidRPr="003951CE" w:rsidRDefault="744B60F7" w:rsidP="0BF03A27">
      <w:pPr>
        <w:pStyle w:val="AFMA123Normal"/>
        <w:spacing w:after="240" w:line="276" w:lineRule="auto"/>
        <w:ind w:hanging="6"/>
        <w:rPr>
          <w:sz w:val="22"/>
          <w:szCs w:val="22"/>
        </w:rPr>
      </w:pPr>
      <w:r w:rsidRPr="0BF03A27">
        <w:rPr>
          <w:sz w:val="22"/>
          <w:szCs w:val="22"/>
        </w:rPr>
        <w:t>SBT</w:t>
      </w:r>
      <w:r w:rsidR="7D5487BC" w:rsidRPr="0BF03A27">
        <w:rPr>
          <w:sz w:val="22"/>
          <w:szCs w:val="22"/>
        </w:rPr>
        <w:t xml:space="preserve"> is a highly migratory species and is widely distributed throughout waters of the southern oceans, including the Australian Fishing Zone (</w:t>
      </w:r>
      <w:r w:rsidR="7D5487BC" w:rsidRPr="0BF03A27">
        <w:rPr>
          <w:b/>
          <w:bCs/>
          <w:sz w:val="22"/>
          <w:szCs w:val="22"/>
        </w:rPr>
        <w:t>AFZ</w:t>
      </w:r>
      <w:r w:rsidR="7D5487BC" w:rsidRPr="0BF03A27">
        <w:rPr>
          <w:sz w:val="22"/>
          <w:szCs w:val="22"/>
        </w:rPr>
        <w:t>). Internationally</w:t>
      </w:r>
      <w:r w:rsidR="2F13420D" w:rsidRPr="0BF03A27">
        <w:rPr>
          <w:sz w:val="22"/>
          <w:szCs w:val="22"/>
        </w:rPr>
        <w:t>,</w:t>
      </w:r>
      <w:r w:rsidR="7D5487BC" w:rsidRPr="0BF03A27">
        <w:rPr>
          <w:sz w:val="22"/>
          <w:szCs w:val="22"/>
        </w:rPr>
        <w:t xml:space="preserve"> </w:t>
      </w:r>
      <w:r w:rsidR="5385023B" w:rsidRPr="0BF03A27">
        <w:rPr>
          <w:sz w:val="22"/>
          <w:szCs w:val="22"/>
        </w:rPr>
        <w:t xml:space="preserve">fishing </w:t>
      </w:r>
      <w:r w:rsidR="6E10E0E7" w:rsidRPr="0BF03A27">
        <w:rPr>
          <w:sz w:val="22"/>
          <w:szCs w:val="22"/>
        </w:rPr>
        <w:t>for SBT</w:t>
      </w:r>
      <w:r w:rsidR="5385023B" w:rsidRPr="0BF03A27">
        <w:rPr>
          <w:sz w:val="22"/>
          <w:szCs w:val="22"/>
        </w:rPr>
        <w:t xml:space="preserve"> </w:t>
      </w:r>
      <w:r w:rsidR="7D5487BC" w:rsidRPr="0BF03A27">
        <w:rPr>
          <w:sz w:val="22"/>
          <w:szCs w:val="22"/>
        </w:rPr>
        <w:t>is managed by the Commission for the Conservation of Southern Bluefin Tuna (</w:t>
      </w:r>
      <w:r w:rsidR="7D5487BC" w:rsidRPr="0BF03A27">
        <w:rPr>
          <w:b/>
          <w:bCs/>
          <w:sz w:val="22"/>
          <w:szCs w:val="22"/>
        </w:rPr>
        <w:t>CCSBT</w:t>
      </w:r>
      <w:r w:rsidR="7D5487BC" w:rsidRPr="0BF03A27">
        <w:rPr>
          <w:sz w:val="22"/>
          <w:szCs w:val="22"/>
        </w:rPr>
        <w:t>) of which Australia is a member.  The Australian Southern Bluefin Tuna Fishery</w:t>
      </w:r>
      <w:r w:rsidR="567BA582" w:rsidRPr="0BF03A27">
        <w:rPr>
          <w:sz w:val="22"/>
          <w:szCs w:val="22"/>
        </w:rPr>
        <w:t xml:space="preserve"> (</w:t>
      </w:r>
      <w:r w:rsidR="567BA582" w:rsidRPr="0BF03A27">
        <w:rPr>
          <w:b/>
          <w:bCs/>
          <w:sz w:val="22"/>
          <w:szCs w:val="22"/>
        </w:rPr>
        <w:t>SBT Fishery</w:t>
      </w:r>
      <w:r w:rsidR="567BA582" w:rsidRPr="0BF03A27">
        <w:rPr>
          <w:sz w:val="22"/>
          <w:szCs w:val="22"/>
        </w:rPr>
        <w:t>)</w:t>
      </w:r>
      <w:r w:rsidR="7D5487BC" w:rsidRPr="0BF03A27">
        <w:rPr>
          <w:sz w:val="22"/>
          <w:szCs w:val="22"/>
        </w:rPr>
        <w:t xml:space="preserve"> encompasses SBT fishing operations inside the AFZ (</w:t>
      </w:r>
      <w:proofErr w:type="gramStart"/>
      <w:r w:rsidR="7D5487BC" w:rsidRPr="0BF03A27">
        <w:rPr>
          <w:sz w:val="22"/>
          <w:szCs w:val="22"/>
        </w:rPr>
        <w:t>i.e.</w:t>
      </w:r>
      <w:proofErr w:type="gramEnd"/>
      <w:r w:rsidR="7D5487BC" w:rsidRPr="0BF03A27">
        <w:rPr>
          <w:sz w:val="22"/>
          <w:szCs w:val="22"/>
        </w:rPr>
        <w:t xml:space="preserve"> adjacent from 3 to 200 nautical miles around Australia) and on the high seas. Aside from New South Wales, under an Offshore Constitutional Settlement </w:t>
      </w:r>
      <w:r w:rsidR="567BA582" w:rsidRPr="0BF03A27">
        <w:rPr>
          <w:sz w:val="22"/>
          <w:szCs w:val="22"/>
        </w:rPr>
        <w:t>arrangement</w:t>
      </w:r>
      <w:r w:rsidR="7D5487BC" w:rsidRPr="0BF03A27">
        <w:rPr>
          <w:sz w:val="22"/>
          <w:szCs w:val="22"/>
        </w:rPr>
        <w:t xml:space="preserve"> between the Commonwealth and the States/Territories, management of the SBT Fishery to the area of low water mark is the responsibility of the Commonwealth through AFMA. The Plan was amended in 2020 to implement the </w:t>
      </w:r>
      <w:r w:rsidR="40B5A3CA" w:rsidRPr="0BF03A27">
        <w:rPr>
          <w:sz w:val="22"/>
          <w:szCs w:val="22"/>
        </w:rPr>
        <w:t>g</w:t>
      </w:r>
      <w:r w:rsidR="7D5487BC" w:rsidRPr="0BF03A27">
        <w:rPr>
          <w:sz w:val="22"/>
          <w:szCs w:val="22"/>
        </w:rPr>
        <w:t>overnment’s commitment to set aside five per cent of Australia’s CCSBT allocation for recreational fishing mortality. The set aside means that up to 95</w:t>
      </w:r>
      <w:r w:rsidR="40B5A3CA" w:rsidRPr="0BF03A27">
        <w:rPr>
          <w:sz w:val="22"/>
          <w:szCs w:val="22"/>
        </w:rPr>
        <w:t xml:space="preserve"> per cent</w:t>
      </w:r>
      <w:r w:rsidR="7D5487BC" w:rsidRPr="0BF03A27">
        <w:rPr>
          <w:sz w:val="22"/>
          <w:szCs w:val="22"/>
        </w:rPr>
        <w:t xml:space="preserve"> of Australia’s annual CCSBT allocation will be available to the commercial sector.</w:t>
      </w:r>
      <w:r w:rsidR="014EE409" w:rsidRPr="0BF03A27">
        <w:rPr>
          <w:sz w:val="22"/>
          <w:szCs w:val="22"/>
        </w:rPr>
        <w:t xml:space="preserve"> </w:t>
      </w:r>
    </w:p>
    <w:p w14:paraId="3545A015" w14:textId="5532D1AD" w:rsidR="004F7E87" w:rsidRPr="003951CE" w:rsidRDefault="004F7E87" w:rsidP="004F7E87">
      <w:pPr>
        <w:pStyle w:val="AFMA123Normal"/>
        <w:numPr>
          <w:ilvl w:val="12"/>
          <w:numId w:val="0"/>
        </w:numPr>
        <w:spacing w:before="0" w:after="240" w:line="276" w:lineRule="auto"/>
        <w:ind w:hanging="6"/>
        <w:rPr>
          <w:sz w:val="22"/>
          <w:szCs w:val="22"/>
        </w:rPr>
      </w:pPr>
      <w:r w:rsidRPr="003951CE">
        <w:rPr>
          <w:sz w:val="22"/>
          <w:szCs w:val="22"/>
        </w:rPr>
        <w:lastRenderedPageBreak/>
        <w:t>The commercial SBT Fishery is managed using Statutory Fishing Rights</w:t>
      </w:r>
      <w:r w:rsidR="00661656">
        <w:rPr>
          <w:sz w:val="22"/>
          <w:szCs w:val="22"/>
        </w:rPr>
        <w:t xml:space="preserve">, </w:t>
      </w:r>
      <w:r w:rsidRPr="003951CE">
        <w:rPr>
          <w:sz w:val="22"/>
          <w:szCs w:val="22"/>
        </w:rPr>
        <w:t>which allow holders to fish for SBT within the AFZ and the high seas. The majority of SBT are caught</w:t>
      </w:r>
      <w:r w:rsidR="007D6807" w:rsidRPr="003951CE">
        <w:t xml:space="preserve"> </w:t>
      </w:r>
      <w:r w:rsidR="007D6807" w:rsidRPr="003951CE">
        <w:rPr>
          <w:sz w:val="22"/>
          <w:szCs w:val="22"/>
        </w:rPr>
        <w:t>in offshore waters adjacent to Kangaroo Island, South Australia. The fish are caught</w:t>
      </w:r>
      <w:r w:rsidRPr="003951CE">
        <w:rPr>
          <w:sz w:val="22"/>
          <w:szCs w:val="22"/>
        </w:rPr>
        <w:t xml:space="preserve"> live </w:t>
      </w:r>
      <w:r w:rsidR="003509D6" w:rsidRPr="003951CE">
        <w:rPr>
          <w:sz w:val="22"/>
          <w:szCs w:val="22"/>
        </w:rPr>
        <w:t xml:space="preserve">using the purse seine method </w:t>
      </w:r>
      <w:r w:rsidRPr="003951CE">
        <w:rPr>
          <w:sz w:val="22"/>
          <w:szCs w:val="22"/>
        </w:rPr>
        <w:t xml:space="preserve">and transferred from a tow </w:t>
      </w:r>
      <w:r w:rsidR="003664DB" w:rsidRPr="003951CE">
        <w:rPr>
          <w:sz w:val="22"/>
          <w:szCs w:val="22"/>
        </w:rPr>
        <w:t>pontoon</w:t>
      </w:r>
      <w:r w:rsidRPr="003951CE">
        <w:rPr>
          <w:sz w:val="22"/>
          <w:szCs w:val="22"/>
        </w:rPr>
        <w:t xml:space="preserve"> into a farm where the fish are kept for an approximate </w:t>
      </w:r>
      <w:r w:rsidR="004B4570" w:rsidRPr="003951CE">
        <w:rPr>
          <w:sz w:val="22"/>
          <w:szCs w:val="22"/>
        </w:rPr>
        <w:t>six</w:t>
      </w:r>
      <w:r w:rsidRPr="003951CE">
        <w:rPr>
          <w:sz w:val="22"/>
          <w:szCs w:val="22"/>
        </w:rPr>
        <w:t xml:space="preserve"> months</w:t>
      </w:r>
      <w:r w:rsidR="007D6807" w:rsidRPr="003951CE">
        <w:rPr>
          <w:sz w:val="22"/>
          <w:szCs w:val="22"/>
        </w:rPr>
        <w:t xml:space="preserve"> grow out period.</w:t>
      </w:r>
      <w:r w:rsidRPr="003951CE">
        <w:rPr>
          <w:sz w:val="22"/>
          <w:szCs w:val="22"/>
        </w:rPr>
        <w:t xml:space="preserve"> The transfer weighing is conducted at the time of transfer to determine the weight of live fish transferred. The remaind</w:t>
      </w:r>
      <w:r w:rsidR="007D6807" w:rsidRPr="003951CE">
        <w:rPr>
          <w:sz w:val="22"/>
          <w:szCs w:val="22"/>
        </w:rPr>
        <w:t>er of the total allowable catch</w:t>
      </w:r>
      <w:r w:rsidRPr="003951CE">
        <w:rPr>
          <w:sz w:val="22"/>
          <w:szCs w:val="22"/>
        </w:rPr>
        <w:t xml:space="preserve"> </w:t>
      </w:r>
      <w:r w:rsidR="007D6807" w:rsidRPr="003951CE">
        <w:rPr>
          <w:sz w:val="22"/>
          <w:szCs w:val="22"/>
        </w:rPr>
        <w:t xml:space="preserve">is taken </w:t>
      </w:r>
      <w:r w:rsidRPr="003951CE">
        <w:rPr>
          <w:sz w:val="22"/>
          <w:szCs w:val="22"/>
        </w:rPr>
        <w:t xml:space="preserve">using longline methods, predominantly off south eastern Australia during the winter months. These fish are landed dead and weighed on registered scales. This weight is used for quota </w:t>
      </w:r>
      <w:proofErr w:type="spellStart"/>
      <w:r w:rsidRPr="003951CE">
        <w:rPr>
          <w:sz w:val="22"/>
          <w:szCs w:val="22"/>
        </w:rPr>
        <w:t>decrementation</w:t>
      </w:r>
      <w:proofErr w:type="spellEnd"/>
      <w:r w:rsidRPr="003951CE">
        <w:rPr>
          <w:sz w:val="22"/>
          <w:szCs w:val="22"/>
        </w:rPr>
        <w:t xml:space="preserve"> purposes. The recreational sector continues to be managed by the relevant states using bag and size limits.</w:t>
      </w:r>
    </w:p>
    <w:p w14:paraId="4B1B1A39" w14:textId="77777777" w:rsidR="009D4735" w:rsidRPr="003951CE" w:rsidRDefault="003539B0" w:rsidP="00B524B7">
      <w:pPr>
        <w:spacing w:after="240" w:line="276" w:lineRule="auto"/>
        <w:jc w:val="both"/>
        <w:rPr>
          <w:b/>
          <w:sz w:val="22"/>
          <w:szCs w:val="22"/>
        </w:rPr>
      </w:pPr>
      <w:r w:rsidRPr="003951CE">
        <w:rPr>
          <w:b/>
          <w:sz w:val="22"/>
          <w:szCs w:val="22"/>
        </w:rPr>
        <w:t>Consultation</w:t>
      </w:r>
    </w:p>
    <w:p w14:paraId="36CA0459" w14:textId="6541F74B" w:rsidR="00AB2A48" w:rsidRPr="003951CE" w:rsidRDefault="009D4735" w:rsidP="00B524B7">
      <w:pPr>
        <w:spacing w:after="240" w:line="276" w:lineRule="auto"/>
        <w:jc w:val="both"/>
        <w:rPr>
          <w:sz w:val="22"/>
          <w:szCs w:val="22"/>
        </w:rPr>
      </w:pPr>
      <w:r w:rsidRPr="003951CE">
        <w:rPr>
          <w:sz w:val="22"/>
          <w:szCs w:val="22"/>
        </w:rPr>
        <w:t xml:space="preserve">The 100 fish sample has been used as the basis for calculating quota in the farm sector of the </w:t>
      </w:r>
      <w:r w:rsidR="003509D6" w:rsidRPr="003951CE">
        <w:rPr>
          <w:sz w:val="22"/>
          <w:szCs w:val="22"/>
        </w:rPr>
        <w:t>SBT F</w:t>
      </w:r>
      <w:r w:rsidRPr="003951CE">
        <w:rPr>
          <w:sz w:val="22"/>
          <w:szCs w:val="22"/>
        </w:rPr>
        <w:t xml:space="preserve">ishery since 2013. </w:t>
      </w:r>
    </w:p>
    <w:p w14:paraId="25D97B08" w14:textId="434C5A30" w:rsidR="00317A07" w:rsidRPr="003951CE" w:rsidRDefault="003509D6" w:rsidP="00B524B7">
      <w:pPr>
        <w:spacing w:after="240" w:line="276" w:lineRule="auto"/>
        <w:jc w:val="both"/>
        <w:rPr>
          <w:sz w:val="22"/>
          <w:szCs w:val="22"/>
        </w:rPr>
      </w:pPr>
      <w:r w:rsidRPr="003951CE">
        <w:rPr>
          <w:sz w:val="22"/>
          <w:szCs w:val="22"/>
        </w:rPr>
        <w:t>S</w:t>
      </w:r>
      <w:r w:rsidR="00317A07" w:rsidRPr="003951CE">
        <w:rPr>
          <w:sz w:val="22"/>
          <w:szCs w:val="22"/>
        </w:rPr>
        <w:t>ub</w:t>
      </w:r>
      <w:r w:rsidR="00FD668D">
        <w:rPr>
          <w:sz w:val="22"/>
          <w:szCs w:val="22"/>
        </w:rPr>
        <w:t>clause</w:t>
      </w:r>
      <w:r w:rsidRPr="003951CE">
        <w:rPr>
          <w:sz w:val="22"/>
          <w:szCs w:val="22"/>
        </w:rPr>
        <w:t xml:space="preserve"> 22B.</w:t>
      </w:r>
      <w:r w:rsidR="00317A07" w:rsidRPr="003951CE">
        <w:rPr>
          <w:sz w:val="22"/>
          <w:szCs w:val="22"/>
        </w:rPr>
        <w:t xml:space="preserve">1 </w:t>
      </w:r>
      <w:r w:rsidRPr="003951CE">
        <w:rPr>
          <w:sz w:val="22"/>
          <w:szCs w:val="22"/>
        </w:rPr>
        <w:t xml:space="preserve">of the Plan </w:t>
      </w:r>
      <w:r w:rsidR="00317A07" w:rsidRPr="003951CE">
        <w:rPr>
          <w:sz w:val="22"/>
          <w:szCs w:val="22"/>
        </w:rPr>
        <w:t xml:space="preserve">stipulates </w:t>
      </w:r>
      <w:r w:rsidR="0053289C">
        <w:rPr>
          <w:sz w:val="22"/>
          <w:szCs w:val="22"/>
        </w:rPr>
        <w:t>SBT</w:t>
      </w:r>
      <w:r w:rsidR="00317A07" w:rsidRPr="003951CE">
        <w:rPr>
          <w:sz w:val="22"/>
          <w:szCs w:val="22"/>
        </w:rPr>
        <w:t xml:space="preserve"> must not be transferred from a tow pontoon to a farm without a transfer weighing of the fish, carried out as determined by AFMA. </w:t>
      </w:r>
    </w:p>
    <w:p w14:paraId="5D526FB3" w14:textId="03CD4883" w:rsidR="00317A07" w:rsidRPr="003951CE" w:rsidRDefault="00317A07" w:rsidP="00317A07">
      <w:pPr>
        <w:spacing w:after="240" w:line="276" w:lineRule="auto"/>
        <w:jc w:val="both"/>
        <w:rPr>
          <w:color w:val="000000"/>
          <w:sz w:val="22"/>
          <w:szCs w:val="22"/>
        </w:rPr>
      </w:pPr>
      <w:r w:rsidRPr="003951CE">
        <w:rPr>
          <w:sz w:val="22"/>
          <w:szCs w:val="22"/>
        </w:rPr>
        <w:t>Sub</w:t>
      </w:r>
      <w:r w:rsidR="00FD668D">
        <w:rPr>
          <w:sz w:val="22"/>
          <w:szCs w:val="22"/>
        </w:rPr>
        <w:t>clause</w:t>
      </w:r>
      <w:r w:rsidRPr="003951CE">
        <w:rPr>
          <w:sz w:val="22"/>
          <w:szCs w:val="22"/>
        </w:rPr>
        <w:t xml:space="preserve"> 22B.2 of Plan further stipulates AFMA must determine the </w:t>
      </w:r>
      <w:proofErr w:type="gramStart"/>
      <w:r w:rsidRPr="003951CE">
        <w:rPr>
          <w:sz w:val="22"/>
          <w:szCs w:val="22"/>
        </w:rPr>
        <w:t>manner in which</w:t>
      </w:r>
      <w:proofErr w:type="gramEnd"/>
      <w:r w:rsidRPr="003951CE">
        <w:rPr>
          <w:sz w:val="22"/>
          <w:szCs w:val="22"/>
        </w:rPr>
        <w:t xml:space="preserve"> the transfer weighing is to be carried out.  Sub</w:t>
      </w:r>
      <w:r w:rsidR="00FD668D">
        <w:rPr>
          <w:sz w:val="22"/>
          <w:szCs w:val="22"/>
        </w:rPr>
        <w:t>clause</w:t>
      </w:r>
      <w:r w:rsidRPr="003951CE">
        <w:rPr>
          <w:sz w:val="22"/>
          <w:szCs w:val="22"/>
        </w:rPr>
        <w:t xml:space="preserve"> 22B.2B says the determination must set out requirements for ascertaining: (a) </w:t>
      </w:r>
      <w:r w:rsidRPr="003951CE">
        <w:rPr>
          <w:color w:val="000000"/>
          <w:sz w:val="22"/>
          <w:szCs w:val="22"/>
        </w:rPr>
        <w:t>the number of fish transferred; and (b) the average weight of fish transferred.</w:t>
      </w:r>
    </w:p>
    <w:p w14:paraId="757F88E4" w14:textId="1E9C854F" w:rsidR="00317A07" w:rsidRPr="003951CE" w:rsidRDefault="00317A07" w:rsidP="00B524B7">
      <w:pPr>
        <w:spacing w:after="240" w:line="276" w:lineRule="auto"/>
        <w:jc w:val="both"/>
        <w:rPr>
          <w:sz w:val="22"/>
          <w:szCs w:val="22"/>
        </w:rPr>
      </w:pPr>
      <w:proofErr w:type="gramStart"/>
      <w:r w:rsidRPr="003951CE">
        <w:rPr>
          <w:sz w:val="22"/>
          <w:szCs w:val="22"/>
        </w:rPr>
        <w:t>With regard to</w:t>
      </w:r>
      <w:proofErr w:type="gramEnd"/>
      <w:r w:rsidRPr="003951CE">
        <w:rPr>
          <w:sz w:val="22"/>
          <w:szCs w:val="22"/>
        </w:rPr>
        <w:t xml:space="preserve"> consultation requirements, </w:t>
      </w:r>
      <w:r w:rsidR="006C1D64">
        <w:rPr>
          <w:sz w:val="22"/>
          <w:szCs w:val="22"/>
        </w:rPr>
        <w:t>sub</w:t>
      </w:r>
      <w:r w:rsidR="00FD668D">
        <w:rPr>
          <w:sz w:val="22"/>
          <w:szCs w:val="22"/>
        </w:rPr>
        <w:t>clause</w:t>
      </w:r>
      <w:r w:rsidRPr="003951CE">
        <w:rPr>
          <w:sz w:val="22"/>
          <w:szCs w:val="22"/>
        </w:rPr>
        <w:t xml:space="preserve"> 22B</w:t>
      </w:r>
      <w:r w:rsidR="006C1D64">
        <w:rPr>
          <w:sz w:val="22"/>
          <w:szCs w:val="22"/>
        </w:rPr>
        <w:t>.2A</w:t>
      </w:r>
      <w:r w:rsidRPr="003951CE">
        <w:rPr>
          <w:sz w:val="22"/>
          <w:szCs w:val="22"/>
        </w:rPr>
        <w:t xml:space="preserve"> requires </w:t>
      </w:r>
      <w:r w:rsidR="00BC05B9">
        <w:rPr>
          <w:sz w:val="22"/>
          <w:szCs w:val="22"/>
        </w:rPr>
        <w:t xml:space="preserve">that, </w:t>
      </w:r>
      <w:r w:rsidRPr="003951CE">
        <w:rPr>
          <w:sz w:val="22"/>
          <w:szCs w:val="22"/>
        </w:rPr>
        <w:t>before making a determination, AFMA must consult the Southern Bluefin Tuna Management Advisory Committee (</w:t>
      </w:r>
      <w:r w:rsidRPr="00E82227">
        <w:rPr>
          <w:b/>
          <w:bCs/>
          <w:sz w:val="22"/>
          <w:szCs w:val="22"/>
        </w:rPr>
        <w:t>SBTMAC</w:t>
      </w:r>
      <w:r w:rsidRPr="003951CE">
        <w:rPr>
          <w:sz w:val="22"/>
          <w:szCs w:val="22"/>
        </w:rPr>
        <w:t xml:space="preserve">). </w:t>
      </w:r>
      <w:r w:rsidR="00BA26C3" w:rsidRPr="00BA26C3">
        <w:rPr>
          <w:sz w:val="22"/>
          <w:szCs w:val="22"/>
        </w:rPr>
        <w:t xml:space="preserve">The SBTMAC includes members representing the commercial fishing industry, recreational and environmental sectors, scientific representatives and invited observers from Industry Associations and the Commonwealth Scientific and Industrial Research </w:t>
      </w:r>
      <w:proofErr w:type="spellStart"/>
      <w:r w:rsidR="00BA26C3" w:rsidRPr="00BA26C3">
        <w:rPr>
          <w:sz w:val="22"/>
          <w:szCs w:val="22"/>
        </w:rPr>
        <w:t>Organisation</w:t>
      </w:r>
      <w:proofErr w:type="spellEnd"/>
      <w:r w:rsidR="00BA26C3" w:rsidRPr="00BA26C3">
        <w:rPr>
          <w:sz w:val="22"/>
          <w:szCs w:val="22"/>
        </w:rPr>
        <w:t>.</w:t>
      </w:r>
    </w:p>
    <w:p w14:paraId="50EEC87B" w14:textId="22767A07" w:rsidR="00FB6B65" w:rsidRPr="003951CE" w:rsidRDefault="00FB6B65" w:rsidP="003A0958">
      <w:pPr>
        <w:spacing w:after="240" w:line="276" w:lineRule="auto"/>
        <w:jc w:val="both"/>
        <w:rPr>
          <w:sz w:val="22"/>
          <w:szCs w:val="22"/>
        </w:rPr>
      </w:pPr>
      <w:r w:rsidRPr="003951CE">
        <w:rPr>
          <w:sz w:val="22"/>
          <w:szCs w:val="22"/>
        </w:rPr>
        <w:t>In 2022</w:t>
      </w:r>
      <w:r w:rsidR="001E5DA6">
        <w:rPr>
          <w:sz w:val="22"/>
          <w:szCs w:val="22"/>
        </w:rPr>
        <w:t>,</w:t>
      </w:r>
      <w:r w:rsidRPr="003951CE">
        <w:rPr>
          <w:sz w:val="22"/>
          <w:szCs w:val="22"/>
        </w:rPr>
        <w:t xml:space="preserve"> the Australian </w:t>
      </w:r>
      <w:r w:rsidR="00F00153" w:rsidRPr="003951CE">
        <w:rPr>
          <w:sz w:val="22"/>
          <w:szCs w:val="22"/>
        </w:rPr>
        <w:t xml:space="preserve">Southern Bluefin Tuna </w:t>
      </w:r>
      <w:r w:rsidRPr="003951CE">
        <w:rPr>
          <w:sz w:val="22"/>
          <w:szCs w:val="22"/>
        </w:rPr>
        <w:t xml:space="preserve">Industry Association </w:t>
      </w:r>
      <w:r w:rsidR="005A4744">
        <w:rPr>
          <w:sz w:val="22"/>
          <w:szCs w:val="22"/>
        </w:rPr>
        <w:t>stated</w:t>
      </w:r>
      <w:r w:rsidRPr="003951CE">
        <w:rPr>
          <w:sz w:val="22"/>
          <w:szCs w:val="22"/>
        </w:rPr>
        <w:t xml:space="preserve"> that the </w:t>
      </w:r>
      <w:r w:rsidR="00AE5F48" w:rsidRPr="003951CE">
        <w:rPr>
          <w:sz w:val="22"/>
          <w:szCs w:val="22"/>
        </w:rPr>
        <w:t xml:space="preserve">weight threshold </w:t>
      </w:r>
      <w:r w:rsidR="00113010" w:rsidRPr="003951CE">
        <w:rPr>
          <w:sz w:val="22"/>
          <w:szCs w:val="22"/>
        </w:rPr>
        <w:t>used in the transfer weighing procedure (</w:t>
      </w:r>
      <w:r w:rsidR="004E15A6">
        <w:rPr>
          <w:sz w:val="22"/>
          <w:szCs w:val="22"/>
        </w:rPr>
        <w:t>previous</w:t>
      </w:r>
      <w:r w:rsidR="00113010" w:rsidRPr="003951CE">
        <w:rPr>
          <w:sz w:val="22"/>
          <w:szCs w:val="22"/>
        </w:rPr>
        <w:t xml:space="preserve">ly 10kg) </w:t>
      </w:r>
      <w:r w:rsidR="009344A9" w:rsidRPr="003951CE">
        <w:rPr>
          <w:sz w:val="22"/>
          <w:szCs w:val="22"/>
        </w:rPr>
        <w:t>was</w:t>
      </w:r>
      <w:r w:rsidR="00113010" w:rsidRPr="003951CE">
        <w:rPr>
          <w:sz w:val="22"/>
          <w:szCs w:val="22"/>
        </w:rPr>
        <w:t xml:space="preserve"> unduly </w:t>
      </w:r>
      <w:proofErr w:type="spellStart"/>
      <w:r w:rsidR="00113010" w:rsidRPr="003951CE">
        <w:rPr>
          <w:sz w:val="22"/>
          <w:szCs w:val="22"/>
        </w:rPr>
        <w:t>penalising</w:t>
      </w:r>
      <w:proofErr w:type="spellEnd"/>
      <w:r w:rsidR="00113010" w:rsidRPr="003951CE">
        <w:rPr>
          <w:sz w:val="22"/>
          <w:szCs w:val="22"/>
        </w:rPr>
        <w:t xml:space="preserve"> industry and requested it be reviewed</w:t>
      </w:r>
      <w:r w:rsidR="009344A9" w:rsidRPr="003951CE">
        <w:rPr>
          <w:sz w:val="22"/>
          <w:szCs w:val="22"/>
        </w:rPr>
        <w:t>.</w:t>
      </w:r>
      <w:r w:rsidR="003A0958" w:rsidRPr="003951CE">
        <w:rPr>
          <w:sz w:val="22"/>
          <w:szCs w:val="22"/>
        </w:rPr>
        <w:t xml:space="preserve"> SBTMAC considered this request at its September 2022 meeting. </w:t>
      </w:r>
      <w:r w:rsidR="006B4574">
        <w:rPr>
          <w:sz w:val="22"/>
          <w:szCs w:val="22"/>
        </w:rPr>
        <w:t>Following</w:t>
      </w:r>
      <w:r w:rsidR="003A0958" w:rsidRPr="003951CE">
        <w:rPr>
          <w:sz w:val="22"/>
          <w:szCs w:val="22"/>
        </w:rPr>
        <w:t xml:space="preserve"> that meeting the Australian Bureau of Agricultural and Resource Economics and Sciences provided further analysis of the impacts of the current rule. SBTMAC considered this analysis and unanimously agreed to recommend to the </w:t>
      </w:r>
      <w:r w:rsidR="00CF4968" w:rsidRPr="003951CE">
        <w:rPr>
          <w:sz w:val="22"/>
          <w:szCs w:val="22"/>
        </w:rPr>
        <w:t xml:space="preserve">AFMA </w:t>
      </w:r>
      <w:r w:rsidR="003A0958" w:rsidRPr="003951CE">
        <w:rPr>
          <w:sz w:val="22"/>
          <w:szCs w:val="22"/>
        </w:rPr>
        <w:t>Commission that the transfer weighing procedure, for the season starting 1 December 2022, specifies a 100 fish sample with a weight threshold of 8kg and a cap of 150 fish.</w:t>
      </w:r>
      <w:r w:rsidR="00CF4968" w:rsidRPr="003951CE">
        <w:rPr>
          <w:sz w:val="22"/>
          <w:szCs w:val="22"/>
        </w:rPr>
        <w:t xml:space="preserve"> The </w:t>
      </w:r>
      <w:r w:rsidR="00ED37EE" w:rsidRPr="003951CE">
        <w:rPr>
          <w:sz w:val="22"/>
          <w:szCs w:val="22"/>
        </w:rPr>
        <w:t>Commission</w:t>
      </w:r>
      <w:r w:rsidR="00CF4968" w:rsidRPr="003951CE">
        <w:rPr>
          <w:sz w:val="22"/>
          <w:szCs w:val="22"/>
        </w:rPr>
        <w:t xml:space="preserve"> endorsed this recommendation at </w:t>
      </w:r>
      <w:r w:rsidR="00ED37EE" w:rsidRPr="003951CE">
        <w:rPr>
          <w:sz w:val="22"/>
          <w:szCs w:val="22"/>
        </w:rPr>
        <w:t xml:space="preserve">its 9-10 November 2022 meeting. </w:t>
      </w:r>
      <w:r w:rsidR="00CC3D75">
        <w:rPr>
          <w:sz w:val="22"/>
          <w:szCs w:val="22"/>
        </w:rPr>
        <w:t>T</w:t>
      </w:r>
      <w:r w:rsidR="00C90A1F">
        <w:rPr>
          <w:sz w:val="22"/>
          <w:szCs w:val="22"/>
        </w:rPr>
        <w:t xml:space="preserve">his measure continued to apply in the 2023-24 fishing season and was again endorsed by </w:t>
      </w:r>
      <w:r w:rsidR="00242305">
        <w:rPr>
          <w:sz w:val="22"/>
          <w:szCs w:val="22"/>
        </w:rPr>
        <w:t xml:space="preserve">SBTMAC </w:t>
      </w:r>
      <w:r w:rsidR="00C90A1F">
        <w:rPr>
          <w:sz w:val="22"/>
          <w:szCs w:val="22"/>
        </w:rPr>
        <w:t>in September 2024 to</w:t>
      </w:r>
      <w:r w:rsidR="0012663A">
        <w:rPr>
          <w:sz w:val="22"/>
          <w:szCs w:val="22"/>
        </w:rPr>
        <w:t xml:space="preserve"> </w:t>
      </w:r>
      <w:r w:rsidR="00FC2561">
        <w:rPr>
          <w:sz w:val="22"/>
          <w:szCs w:val="22"/>
        </w:rPr>
        <w:t xml:space="preserve">continue to be applied in </w:t>
      </w:r>
      <w:r w:rsidR="3211D004" w:rsidRPr="1594CD31">
        <w:rPr>
          <w:sz w:val="22"/>
          <w:szCs w:val="22"/>
        </w:rPr>
        <w:t>202</w:t>
      </w:r>
      <w:r w:rsidR="00C90A1F">
        <w:rPr>
          <w:sz w:val="22"/>
          <w:szCs w:val="22"/>
        </w:rPr>
        <w:t>4</w:t>
      </w:r>
      <w:r w:rsidR="5BC02625" w:rsidRPr="1594CD31">
        <w:rPr>
          <w:sz w:val="22"/>
          <w:szCs w:val="22"/>
        </w:rPr>
        <w:t>-2</w:t>
      </w:r>
      <w:r w:rsidR="00C90A1F">
        <w:rPr>
          <w:sz w:val="22"/>
          <w:szCs w:val="22"/>
        </w:rPr>
        <w:t>5</w:t>
      </w:r>
      <w:r w:rsidR="00CC3D75">
        <w:rPr>
          <w:sz w:val="22"/>
          <w:szCs w:val="22"/>
        </w:rPr>
        <w:t xml:space="preserve"> fishing season</w:t>
      </w:r>
      <w:r w:rsidR="00CB0F8E">
        <w:rPr>
          <w:sz w:val="22"/>
          <w:szCs w:val="22"/>
        </w:rPr>
        <w:t xml:space="preserve">. </w:t>
      </w:r>
      <w:r w:rsidR="00D11813" w:rsidRPr="00CF097B">
        <w:rPr>
          <w:sz w:val="22"/>
          <w:szCs w:val="22"/>
        </w:rPr>
        <w:t xml:space="preserve">AFMA’s Chief Executive Officer </w:t>
      </w:r>
      <w:r w:rsidR="00365E1E" w:rsidRPr="00CF097B">
        <w:rPr>
          <w:sz w:val="22"/>
          <w:szCs w:val="22"/>
        </w:rPr>
        <w:t>endorsed this</w:t>
      </w:r>
      <w:r w:rsidR="00D11813" w:rsidRPr="00CF097B">
        <w:rPr>
          <w:sz w:val="22"/>
          <w:szCs w:val="22"/>
        </w:rPr>
        <w:t xml:space="preserve"> recommendation</w:t>
      </w:r>
      <w:r w:rsidR="008F7028">
        <w:rPr>
          <w:sz w:val="22"/>
          <w:szCs w:val="22"/>
        </w:rPr>
        <w:t xml:space="preserve"> and</w:t>
      </w:r>
      <w:r w:rsidR="00D11813" w:rsidRPr="00CF097B">
        <w:rPr>
          <w:sz w:val="22"/>
          <w:szCs w:val="22"/>
        </w:rPr>
        <w:t>,</w:t>
      </w:r>
      <w:r w:rsidR="00365E1E" w:rsidRPr="00CF097B">
        <w:rPr>
          <w:sz w:val="22"/>
          <w:szCs w:val="22"/>
        </w:rPr>
        <w:t xml:space="preserve"> </w:t>
      </w:r>
      <w:r w:rsidR="00D11813" w:rsidRPr="00CF097B">
        <w:rPr>
          <w:sz w:val="22"/>
          <w:szCs w:val="22"/>
        </w:rPr>
        <w:t>under delegation of the power under subclause 22B.1 of the Plan</w:t>
      </w:r>
      <w:r w:rsidR="008F7028">
        <w:rPr>
          <w:sz w:val="22"/>
          <w:szCs w:val="22"/>
        </w:rPr>
        <w:t>,</w:t>
      </w:r>
      <w:r w:rsidR="00365E1E" w:rsidRPr="00CF097B">
        <w:rPr>
          <w:sz w:val="22"/>
          <w:szCs w:val="22"/>
        </w:rPr>
        <w:t xml:space="preserve"> determined the transfer weighing as set out in the Determination </w:t>
      </w:r>
      <w:r w:rsidR="00D11813" w:rsidRPr="00CF097B">
        <w:rPr>
          <w:sz w:val="22"/>
          <w:szCs w:val="22"/>
        </w:rPr>
        <w:t>in</w:t>
      </w:r>
      <w:r w:rsidR="00365E1E" w:rsidRPr="00CF097B">
        <w:rPr>
          <w:sz w:val="22"/>
          <w:szCs w:val="22"/>
        </w:rPr>
        <w:t xml:space="preserve"> November 202</w:t>
      </w:r>
      <w:r w:rsidR="00C90A1F" w:rsidRPr="00CF097B">
        <w:rPr>
          <w:sz w:val="22"/>
          <w:szCs w:val="22"/>
        </w:rPr>
        <w:t>4</w:t>
      </w:r>
      <w:r w:rsidR="00365E1E" w:rsidRPr="00CF097B">
        <w:rPr>
          <w:sz w:val="22"/>
          <w:szCs w:val="22"/>
        </w:rPr>
        <w:t>.</w:t>
      </w:r>
    </w:p>
    <w:p w14:paraId="7FA2E5BE" w14:textId="4B20C50F" w:rsidR="003539B0" w:rsidRPr="003951CE" w:rsidRDefault="003539B0" w:rsidP="00B524B7">
      <w:pPr>
        <w:autoSpaceDE w:val="0"/>
        <w:autoSpaceDN w:val="0"/>
        <w:spacing w:after="240" w:line="276" w:lineRule="auto"/>
        <w:rPr>
          <w:b/>
          <w:bCs/>
          <w:color w:val="000000"/>
          <w:sz w:val="22"/>
          <w:szCs w:val="22"/>
        </w:rPr>
      </w:pPr>
      <w:r w:rsidRPr="003951CE">
        <w:rPr>
          <w:b/>
          <w:bCs/>
          <w:color w:val="000000"/>
          <w:sz w:val="22"/>
          <w:szCs w:val="22"/>
        </w:rPr>
        <w:t xml:space="preserve">Impact </w:t>
      </w:r>
      <w:r w:rsidR="001E5DA6">
        <w:rPr>
          <w:b/>
          <w:bCs/>
          <w:color w:val="000000"/>
          <w:sz w:val="22"/>
          <w:szCs w:val="22"/>
        </w:rPr>
        <w:t xml:space="preserve">Analysis </w:t>
      </w:r>
    </w:p>
    <w:p w14:paraId="2754AAC1" w14:textId="6364B867" w:rsidR="004B5972" w:rsidRPr="003951CE" w:rsidRDefault="004B5972" w:rsidP="00B524B7">
      <w:pPr>
        <w:pStyle w:val="Default"/>
        <w:spacing w:after="240" w:line="276" w:lineRule="auto"/>
        <w:jc w:val="both"/>
        <w:rPr>
          <w:rFonts w:ascii="Times New Roman" w:hAnsi="Times New Roman" w:cs="Times New Roman"/>
          <w:sz w:val="22"/>
          <w:szCs w:val="22"/>
        </w:rPr>
      </w:pPr>
      <w:r w:rsidRPr="003951CE">
        <w:rPr>
          <w:rFonts w:ascii="Times New Roman" w:hAnsi="Times New Roman" w:cs="Times New Roman"/>
          <w:sz w:val="22"/>
          <w:szCs w:val="22"/>
        </w:rPr>
        <w:t xml:space="preserve">The Office of </w:t>
      </w:r>
      <w:r w:rsidR="3298EC76" w:rsidRPr="1594CD31">
        <w:rPr>
          <w:rFonts w:ascii="Times New Roman" w:hAnsi="Times New Roman" w:cs="Times New Roman"/>
          <w:sz w:val="22"/>
          <w:szCs w:val="22"/>
        </w:rPr>
        <w:t>Impact Analysis</w:t>
      </w:r>
      <w:r w:rsidR="2590886A" w:rsidRPr="1594CD31">
        <w:rPr>
          <w:rFonts w:ascii="Times New Roman" w:hAnsi="Times New Roman" w:cs="Times New Roman"/>
          <w:sz w:val="22"/>
          <w:szCs w:val="22"/>
        </w:rPr>
        <w:t xml:space="preserve"> </w:t>
      </w:r>
      <w:r w:rsidR="3BC7E7DC" w:rsidRPr="1594CD31">
        <w:rPr>
          <w:rFonts w:ascii="Times New Roman" w:hAnsi="Times New Roman" w:cs="Times New Roman"/>
          <w:sz w:val="22"/>
          <w:szCs w:val="22"/>
        </w:rPr>
        <w:t>(O</w:t>
      </w:r>
      <w:r w:rsidR="782B7AE9" w:rsidRPr="1594CD31">
        <w:rPr>
          <w:rFonts w:ascii="Times New Roman" w:hAnsi="Times New Roman" w:cs="Times New Roman"/>
          <w:sz w:val="22"/>
          <w:szCs w:val="22"/>
        </w:rPr>
        <w:t>IA</w:t>
      </w:r>
      <w:r w:rsidR="008F6C94">
        <w:rPr>
          <w:rFonts w:ascii="Times New Roman" w:hAnsi="Times New Roman" w:cs="Times New Roman"/>
          <w:sz w:val="22"/>
          <w:szCs w:val="22"/>
        </w:rPr>
        <w:t xml:space="preserve">) </w:t>
      </w:r>
      <w:r w:rsidRPr="003951CE">
        <w:rPr>
          <w:rFonts w:ascii="Times New Roman" w:hAnsi="Times New Roman" w:cs="Times New Roman"/>
          <w:sz w:val="22"/>
          <w:szCs w:val="22"/>
        </w:rPr>
        <w:t xml:space="preserve">has previously </w:t>
      </w:r>
      <w:r w:rsidR="001E5DA6">
        <w:rPr>
          <w:rFonts w:ascii="Times New Roman" w:hAnsi="Times New Roman" w:cs="Times New Roman"/>
          <w:sz w:val="22"/>
          <w:szCs w:val="22"/>
        </w:rPr>
        <w:t xml:space="preserve">advised </w:t>
      </w:r>
      <w:r w:rsidRPr="003951CE">
        <w:rPr>
          <w:rFonts w:ascii="Times New Roman" w:hAnsi="Times New Roman" w:cs="Times New Roman"/>
          <w:sz w:val="22"/>
          <w:szCs w:val="22"/>
        </w:rPr>
        <w:t xml:space="preserve">that decisions </w:t>
      </w:r>
      <w:r w:rsidR="001E5DA6">
        <w:rPr>
          <w:rFonts w:ascii="Times New Roman" w:hAnsi="Times New Roman" w:cs="Times New Roman"/>
          <w:sz w:val="22"/>
          <w:szCs w:val="22"/>
        </w:rPr>
        <w:t xml:space="preserve">made </w:t>
      </w:r>
      <w:r w:rsidRPr="003951CE">
        <w:rPr>
          <w:rFonts w:ascii="Times New Roman" w:hAnsi="Times New Roman" w:cs="Times New Roman"/>
          <w:sz w:val="22"/>
          <w:szCs w:val="22"/>
        </w:rPr>
        <w:t xml:space="preserve">by AFMA including </w:t>
      </w:r>
      <w:r w:rsidR="003A2E08" w:rsidRPr="003951CE">
        <w:rPr>
          <w:rFonts w:ascii="Times New Roman" w:hAnsi="Times New Roman" w:cs="Times New Roman"/>
          <w:sz w:val="22"/>
          <w:szCs w:val="22"/>
        </w:rPr>
        <w:t>the</w:t>
      </w:r>
      <w:r w:rsidRPr="003951CE">
        <w:rPr>
          <w:rFonts w:ascii="Times New Roman" w:hAnsi="Times New Roman" w:cs="Times New Roman"/>
          <w:sz w:val="22"/>
          <w:szCs w:val="22"/>
        </w:rPr>
        <w:t xml:space="preserve"> s</w:t>
      </w:r>
      <w:r w:rsidRPr="003951CE">
        <w:rPr>
          <w:rFonts w:ascii="Times New Roman" w:hAnsi="Times New Roman" w:cs="Times New Roman"/>
          <w:bCs/>
          <w:sz w:val="22"/>
          <w:szCs w:val="22"/>
        </w:rPr>
        <w:t>etting</w:t>
      </w:r>
      <w:r w:rsidR="003A2E08" w:rsidRPr="003951CE">
        <w:rPr>
          <w:rFonts w:ascii="Times New Roman" w:hAnsi="Times New Roman" w:cs="Times New Roman"/>
          <w:bCs/>
          <w:sz w:val="22"/>
          <w:szCs w:val="22"/>
        </w:rPr>
        <w:t xml:space="preserve"> of a </w:t>
      </w:r>
      <w:r w:rsidRPr="003951CE">
        <w:rPr>
          <w:rFonts w:ascii="Times New Roman" w:hAnsi="Times New Roman" w:cs="Times New Roman"/>
          <w:bCs/>
          <w:sz w:val="22"/>
          <w:szCs w:val="22"/>
        </w:rPr>
        <w:t xml:space="preserve">total allowable catch; setting opening and closing dates for a fishing season; and setting </w:t>
      </w:r>
      <w:proofErr w:type="spellStart"/>
      <w:r w:rsidRPr="003951CE">
        <w:rPr>
          <w:rFonts w:ascii="Times New Roman" w:hAnsi="Times New Roman" w:cs="Times New Roman"/>
          <w:bCs/>
          <w:sz w:val="22"/>
          <w:szCs w:val="22"/>
        </w:rPr>
        <w:t>undercatch</w:t>
      </w:r>
      <w:proofErr w:type="spellEnd"/>
      <w:r w:rsidRPr="003951CE">
        <w:rPr>
          <w:rFonts w:ascii="Times New Roman" w:hAnsi="Times New Roman" w:cs="Times New Roman"/>
          <w:bCs/>
          <w:sz w:val="22"/>
          <w:szCs w:val="22"/>
        </w:rPr>
        <w:t xml:space="preserve"> and </w:t>
      </w:r>
      <w:proofErr w:type="spellStart"/>
      <w:r w:rsidRPr="003951CE">
        <w:rPr>
          <w:rFonts w:ascii="Times New Roman" w:hAnsi="Times New Roman" w:cs="Times New Roman"/>
          <w:bCs/>
          <w:sz w:val="22"/>
          <w:szCs w:val="22"/>
        </w:rPr>
        <w:t>overcatch</w:t>
      </w:r>
      <w:proofErr w:type="spellEnd"/>
      <w:r w:rsidRPr="003951CE">
        <w:rPr>
          <w:rFonts w:ascii="Times New Roman" w:hAnsi="Times New Roman" w:cs="Times New Roman"/>
          <w:bCs/>
          <w:sz w:val="22"/>
          <w:szCs w:val="22"/>
        </w:rPr>
        <w:t xml:space="preserve"> provisions in a fishery, do not require </w:t>
      </w:r>
      <w:r w:rsidRPr="003951CE">
        <w:rPr>
          <w:rFonts w:ascii="Times New Roman" w:hAnsi="Times New Roman" w:cs="Times New Roman"/>
          <w:sz w:val="22"/>
          <w:szCs w:val="22"/>
        </w:rPr>
        <w:t xml:space="preserve">a </w:t>
      </w:r>
      <w:r w:rsidR="007971DD">
        <w:rPr>
          <w:rFonts w:ascii="Times New Roman" w:hAnsi="Times New Roman" w:cs="Times New Roman"/>
          <w:sz w:val="22"/>
          <w:szCs w:val="22"/>
        </w:rPr>
        <w:t xml:space="preserve">detailed </w:t>
      </w:r>
      <w:r w:rsidRPr="003951CE">
        <w:rPr>
          <w:rFonts w:ascii="Times New Roman" w:hAnsi="Times New Roman" w:cs="Times New Roman"/>
          <w:sz w:val="22"/>
          <w:szCs w:val="22"/>
        </w:rPr>
        <w:t xml:space="preserve">Impact </w:t>
      </w:r>
      <w:r w:rsidR="00117B3E">
        <w:rPr>
          <w:rFonts w:ascii="Times New Roman" w:hAnsi="Times New Roman" w:cs="Times New Roman"/>
          <w:sz w:val="22"/>
          <w:szCs w:val="22"/>
        </w:rPr>
        <w:t xml:space="preserve">Analysis </w:t>
      </w:r>
      <w:r w:rsidR="009442F8" w:rsidRPr="009442F8">
        <w:rPr>
          <w:rFonts w:ascii="Times New Roman" w:hAnsi="Times New Roman" w:cs="Times New Roman"/>
          <w:sz w:val="22"/>
          <w:szCs w:val="22"/>
        </w:rPr>
        <w:t xml:space="preserve">which is </w:t>
      </w:r>
      <w:r w:rsidR="009442F8" w:rsidRPr="009442F8">
        <w:rPr>
          <w:rFonts w:ascii="Times New Roman" w:hAnsi="Times New Roman" w:cs="Times New Roman"/>
          <w:sz w:val="22"/>
          <w:szCs w:val="22"/>
        </w:rPr>
        <w:lastRenderedPageBreak/>
        <w:t xml:space="preserve">consistent with the </w:t>
      </w:r>
      <w:r w:rsidR="005E2F7A">
        <w:rPr>
          <w:rFonts w:ascii="Times New Roman" w:hAnsi="Times New Roman" w:cs="Times New Roman"/>
          <w:sz w:val="22"/>
          <w:szCs w:val="22"/>
        </w:rPr>
        <w:t>c</w:t>
      </w:r>
      <w:r w:rsidR="009D4733">
        <w:rPr>
          <w:rFonts w:ascii="Times New Roman" w:hAnsi="Times New Roman" w:cs="Times New Roman"/>
          <w:sz w:val="22"/>
          <w:szCs w:val="22"/>
        </w:rPr>
        <w:t xml:space="preserve">arve-out </w:t>
      </w:r>
      <w:r w:rsidR="009442F8" w:rsidRPr="009442F8">
        <w:rPr>
          <w:rFonts w:ascii="Times New Roman" w:hAnsi="Times New Roman" w:cs="Times New Roman"/>
          <w:sz w:val="22"/>
          <w:szCs w:val="22"/>
        </w:rPr>
        <w:t xml:space="preserve">agreement in place to cover all regulatory changes are of a minor or machinery nature (OIA reference no. OIA23-06107).  </w:t>
      </w:r>
    </w:p>
    <w:p w14:paraId="762763FC" w14:textId="77777777" w:rsidR="003539B0" w:rsidRPr="003951CE" w:rsidRDefault="003539B0" w:rsidP="00B524B7">
      <w:pPr>
        <w:spacing w:after="240" w:line="276" w:lineRule="auto"/>
        <w:rPr>
          <w:b/>
          <w:i/>
          <w:sz w:val="22"/>
          <w:szCs w:val="22"/>
        </w:rPr>
      </w:pPr>
      <w:r w:rsidRPr="003951CE">
        <w:rPr>
          <w:b/>
          <w:sz w:val="22"/>
          <w:szCs w:val="22"/>
        </w:rPr>
        <w:t xml:space="preserve">Statement of compatibility prepared in accordance with Part 3 of the </w:t>
      </w:r>
      <w:r w:rsidRPr="003951CE">
        <w:rPr>
          <w:b/>
          <w:i/>
          <w:sz w:val="22"/>
          <w:szCs w:val="22"/>
        </w:rPr>
        <w:t>Human Rights (Parliamentary Scrutiny) Act 2011</w:t>
      </w:r>
    </w:p>
    <w:p w14:paraId="341DCBE0" w14:textId="77777777" w:rsidR="005A22E7" w:rsidRDefault="005A22E7" w:rsidP="00B524B7">
      <w:pPr>
        <w:spacing w:after="240" w:line="276" w:lineRule="auto"/>
        <w:rPr>
          <w:sz w:val="22"/>
          <w:szCs w:val="22"/>
        </w:rPr>
      </w:pPr>
      <w:r w:rsidRPr="003951CE">
        <w:rPr>
          <w:sz w:val="22"/>
          <w:szCs w:val="22"/>
        </w:rPr>
        <w:t xml:space="preserve">Details of the Determination are set out at </w:t>
      </w:r>
      <w:r w:rsidRPr="003951CE">
        <w:rPr>
          <w:b/>
          <w:bCs/>
          <w:sz w:val="22"/>
          <w:szCs w:val="22"/>
        </w:rPr>
        <w:t>Attachment A</w:t>
      </w:r>
      <w:r w:rsidRPr="003951CE">
        <w:rPr>
          <w:sz w:val="22"/>
          <w:szCs w:val="22"/>
        </w:rPr>
        <w:t>.</w:t>
      </w:r>
    </w:p>
    <w:p w14:paraId="6033AB63" w14:textId="6EA4675A" w:rsidR="003539B0" w:rsidRPr="003951CE" w:rsidRDefault="003539B0" w:rsidP="00B524B7">
      <w:pPr>
        <w:spacing w:after="240" w:line="276" w:lineRule="auto"/>
        <w:rPr>
          <w:b/>
          <w:sz w:val="22"/>
          <w:szCs w:val="22"/>
        </w:rPr>
      </w:pPr>
      <w:r w:rsidRPr="003951CE">
        <w:rPr>
          <w:sz w:val="22"/>
          <w:szCs w:val="22"/>
        </w:rPr>
        <w:t xml:space="preserve">AFMA assesses under section 3 of the </w:t>
      </w:r>
      <w:r w:rsidRPr="003951CE">
        <w:rPr>
          <w:i/>
          <w:sz w:val="22"/>
          <w:szCs w:val="22"/>
        </w:rPr>
        <w:t>Human Rights (Parliamentary Scrutiny) Act 2011</w:t>
      </w:r>
      <w:r w:rsidRPr="003951CE">
        <w:rPr>
          <w:sz w:val="22"/>
          <w:szCs w:val="22"/>
        </w:rPr>
        <w:t xml:space="preserve"> that this legislative instrument is compatible with human rights. AFMA’s Statement of Compatibility is attached </w:t>
      </w:r>
      <w:r w:rsidR="002E0D9F" w:rsidRPr="003951CE">
        <w:rPr>
          <w:sz w:val="22"/>
          <w:szCs w:val="22"/>
        </w:rPr>
        <w:t xml:space="preserve">at </w:t>
      </w:r>
      <w:r w:rsidR="002E0D9F" w:rsidRPr="003951CE">
        <w:rPr>
          <w:b/>
          <w:bCs/>
          <w:sz w:val="22"/>
          <w:szCs w:val="22"/>
        </w:rPr>
        <w:t>Attachment B</w:t>
      </w:r>
      <w:r w:rsidR="002E0D9F" w:rsidRPr="003951CE">
        <w:rPr>
          <w:sz w:val="22"/>
          <w:szCs w:val="22"/>
        </w:rPr>
        <w:t>.</w:t>
      </w:r>
      <w:r w:rsidRPr="003951CE">
        <w:rPr>
          <w:sz w:val="22"/>
          <w:szCs w:val="22"/>
        </w:rPr>
        <w:t xml:space="preserve">  </w:t>
      </w:r>
    </w:p>
    <w:p w14:paraId="3942E416" w14:textId="47FBA3FD" w:rsidR="002E0D9F" w:rsidRPr="003951CE" w:rsidRDefault="002E0D9F" w:rsidP="00B524B7">
      <w:pPr>
        <w:spacing w:after="240" w:line="276" w:lineRule="auto"/>
        <w:jc w:val="both"/>
        <w:rPr>
          <w:sz w:val="22"/>
          <w:szCs w:val="22"/>
        </w:rPr>
      </w:pPr>
    </w:p>
    <w:p w14:paraId="456F2EFC" w14:textId="77777777" w:rsidR="002E0D9F" w:rsidRPr="003951CE" w:rsidRDefault="002E0D9F">
      <w:pPr>
        <w:spacing w:after="200" w:line="276" w:lineRule="auto"/>
        <w:rPr>
          <w:sz w:val="22"/>
          <w:szCs w:val="22"/>
        </w:rPr>
      </w:pPr>
      <w:r w:rsidRPr="003951CE">
        <w:rPr>
          <w:sz w:val="22"/>
          <w:szCs w:val="22"/>
        </w:rPr>
        <w:br w:type="page"/>
      </w:r>
    </w:p>
    <w:p w14:paraId="45C3D3A3" w14:textId="29A55BC7" w:rsidR="003539B0" w:rsidRPr="003951CE" w:rsidRDefault="002E0D9F" w:rsidP="002E0D9F">
      <w:pPr>
        <w:spacing w:after="240" w:line="276" w:lineRule="auto"/>
        <w:jc w:val="center"/>
        <w:rPr>
          <w:b/>
          <w:bCs/>
        </w:rPr>
      </w:pPr>
      <w:r w:rsidRPr="003951CE">
        <w:rPr>
          <w:b/>
          <w:bCs/>
        </w:rPr>
        <w:lastRenderedPageBreak/>
        <w:t>ATTACHMENT A</w:t>
      </w:r>
    </w:p>
    <w:p w14:paraId="47BEB237" w14:textId="4A3A625D" w:rsidR="005D18E4" w:rsidRPr="003951CE" w:rsidRDefault="005D18E4" w:rsidP="003951CE">
      <w:pPr>
        <w:spacing w:after="240" w:line="276" w:lineRule="auto"/>
        <w:rPr>
          <w:b/>
          <w:bCs/>
        </w:rPr>
      </w:pPr>
      <w:r w:rsidRPr="003951CE">
        <w:rPr>
          <w:b/>
          <w:bCs/>
        </w:rPr>
        <w:t xml:space="preserve">Details of the </w:t>
      </w:r>
      <w:r w:rsidR="0061656A" w:rsidRPr="006E0BC1">
        <w:rPr>
          <w:b/>
          <w:bCs/>
          <w:i/>
          <w:iCs/>
        </w:rPr>
        <w:t>Southern Bluefin Tuna Fishery (Transfer Weighing of fish—purse seine method of fishing) Determination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092"/>
      </w:tblGrid>
      <w:tr w:rsidR="005C0629" w:rsidRPr="003951CE" w14:paraId="17B9491C" w14:textId="77777777" w:rsidTr="005D18E4">
        <w:tc>
          <w:tcPr>
            <w:tcW w:w="1275" w:type="dxa"/>
          </w:tcPr>
          <w:p w14:paraId="0E118B72" w14:textId="77777777" w:rsidR="005C0629" w:rsidRPr="003951CE" w:rsidRDefault="005C0629" w:rsidP="005D18E4">
            <w:pPr>
              <w:spacing w:before="120" w:after="120" w:line="276" w:lineRule="auto"/>
              <w:jc w:val="both"/>
              <w:rPr>
                <w:b/>
                <w:i/>
                <w:sz w:val="22"/>
                <w:szCs w:val="22"/>
              </w:rPr>
            </w:pPr>
            <w:r w:rsidRPr="003951CE">
              <w:rPr>
                <w:b/>
                <w:i/>
                <w:sz w:val="22"/>
                <w:szCs w:val="22"/>
              </w:rPr>
              <w:t>Section 1</w:t>
            </w:r>
          </w:p>
        </w:tc>
        <w:tc>
          <w:tcPr>
            <w:tcW w:w="7092" w:type="dxa"/>
          </w:tcPr>
          <w:p w14:paraId="521F597F" w14:textId="6864C352" w:rsidR="005C0629" w:rsidRPr="003951CE" w:rsidRDefault="005C0629" w:rsidP="005D18E4">
            <w:pPr>
              <w:spacing w:before="120" w:after="120" w:line="276" w:lineRule="auto"/>
              <w:jc w:val="both"/>
              <w:rPr>
                <w:bCs/>
                <w:iCs/>
                <w:sz w:val="22"/>
                <w:szCs w:val="22"/>
              </w:rPr>
            </w:pPr>
            <w:r w:rsidRPr="003951CE">
              <w:rPr>
                <w:bCs/>
                <w:iCs/>
                <w:sz w:val="22"/>
                <w:szCs w:val="22"/>
              </w:rPr>
              <w:t xml:space="preserve">Provides that the name of the Determination is the </w:t>
            </w:r>
            <w:r w:rsidR="0023174C" w:rsidRPr="0023174C">
              <w:rPr>
                <w:i/>
                <w:color w:val="000000" w:themeColor="text1"/>
                <w:sz w:val="22"/>
                <w:szCs w:val="22"/>
              </w:rPr>
              <w:t xml:space="preserve">Southern Bluefin Tuna Fishery (Transfer Weighing of fish—purse seine method of fishing) Determination </w:t>
            </w:r>
            <w:r w:rsidR="00E82227" w:rsidRPr="0023174C">
              <w:rPr>
                <w:i/>
                <w:color w:val="000000" w:themeColor="text1"/>
                <w:sz w:val="22"/>
                <w:szCs w:val="22"/>
              </w:rPr>
              <w:t>2024</w:t>
            </w:r>
            <w:r w:rsidR="00E82227">
              <w:rPr>
                <w:i/>
                <w:color w:val="000000" w:themeColor="text1"/>
                <w:sz w:val="22"/>
                <w:szCs w:val="22"/>
              </w:rPr>
              <w:t>.</w:t>
            </w:r>
          </w:p>
        </w:tc>
      </w:tr>
      <w:tr w:rsidR="005C0629" w:rsidRPr="003951CE" w14:paraId="25F06F8E" w14:textId="77777777" w:rsidTr="005D18E4">
        <w:tc>
          <w:tcPr>
            <w:tcW w:w="1275" w:type="dxa"/>
          </w:tcPr>
          <w:p w14:paraId="3A368732" w14:textId="77777777" w:rsidR="005C0629" w:rsidRPr="003951CE" w:rsidRDefault="005C0629" w:rsidP="005D18E4">
            <w:pPr>
              <w:spacing w:before="120" w:after="120" w:line="276" w:lineRule="auto"/>
              <w:jc w:val="both"/>
              <w:rPr>
                <w:b/>
                <w:i/>
                <w:sz w:val="22"/>
                <w:szCs w:val="22"/>
              </w:rPr>
            </w:pPr>
            <w:r w:rsidRPr="003951CE">
              <w:rPr>
                <w:b/>
                <w:i/>
                <w:sz w:val="22"/>
                <w:szCs w:val="22"/>
              </w:rPr>
              <w:t>Section 2</w:t>
            </w:r>
          </w:p>
        </w:tc>
        <w:tc>
          <w:tcPr>
            <w:tcW w:w="7092" w:type="dxa"/>
          </w:tcPr>
          <w:p w14:paraId="58ED62B4" w14:textId="066ACEBE" w:rsidR="005C0629" w:rsidRPr="003951CE" w:rsidRDefault="005C0629" w:rsidP="005D18E4">
            <w:pPr>
              <w:spacing w:before="120" w:after="120" w:line="276" w:lineRule="auto"/>
              <w:jc w:val="both"/>
              <w:rPr>
                <w:bCs/>
                <w:iCs/>
                <w:sz w:val="22"/>
                <w:szCs w:val="22"/>
              </w:rPr>
            </w:pPr>
            <w:r w:rsidRPr="003951CE">
              <w:rPr>
                <w:bCs/>
                <w:iCs/>
                <w:sz w:val="22"/>
                <w:szCs w:val="22"/>
              </w:rPr>
              <w:t>Provides that the Determination commences on</w:t>
            </w:r>
            <w:r w:rsidR="00604204" w:rsidRPr="003951CE">
              <w:rPr>
                <w:bCs/>
                <w:iCs/>
                <w:sz w:val="22"/>
                <w:szCs w:val="22"/>
              </w:rPr>
              <w:t xml:space="preserve"> </w:t>
            </w:r>
            <w:r w:rsidRPr="003951CE">
              <w:rPr>
                <w:bCs/>
                <w:iCs/>
                <w:sz w:val="22"/>
                <w:szCs w:val="22"/>
              </w:rPr>
              <w:t>1 December 202</w:t>
            </w:r>
            <w:r w:rsidR="00C90A1F">
              <w:rPr>
                <w:bCs/>
                <w:iCs/>
                <w:sz w:val="22"/>
                <w:szCs w:val="22"/>
              </w:rPr>
              <w:t>4</w:t>
            </w:r>
            <w:r w:rsidR="000E2EFC" w:rsidRPr="003951CE">
              <w:rPr>
                <w:bCs/>
                <w:iCs/>
                <w:sz w:val="22"/>
                <w:szCs w:val="22"/>
              </w:rPr>
              <w:t>.</w:t>
            </w:r>
          </w:p>
        </w:tc>
      </w:tr>
      <w:tr w:rsidR="005C0629" w:rsidRPr="003951CE" w14:paraId="1B142C0A" w14:textId="77777777" w:rsidTr="005D18E4">
        <w:tc>
          <w:tcPr>
            <w:tcW w:w="1275" w:type="dxa"/>
          </w:tcPr>
          <w:p w14:paraId="13F45E19" w14:textId="77777777" w:rsidR="005C0629" w:rsidRPr="003951CE" w:rsidRDefault="005C0629" w:rsidP="005D18E4">
            <w:pPr>
              <w:spacing w:before="120" w:after="120" w:line="276" w:lineRule="auto"/>
              <w:jc w:val="both"/>
              <w:rPr>
                <w:b/>
                <w:i/>
                <w:sz w:val="22"/>
                <w:szCs w:val="22"/>
              </w:rPr>
            </w:pPr>
            <w:r w:rsidRPr="003951CE">
              <w:rPr>
                <w:b/>
                <w:i/>
                <w:sz w:val="22"/>
                <w:szCs w:val="22"/>
              </w:rPr>
              <w:t>Section 3</w:t>
            </w:r>
          </w:p>
        </w:tc>
        <w:tc>
          <w:tcPr>
            <w:tcW w:w="7092" w:type="dxa"/>
          </w:tcPr>
          <w:p w14:paraId="20CAB1D0" w14:textId="4A8A0100" w:rsidR="005C0629" w:rsidRPr="003951CE" w:rsidRDefault="005C0629" w:rsidP="005D18E4">
            <w:pPr>
              <w:spacing w:before="120" w:after="120" w:line="276" w:lineRule="auto"/>
              <w:jc w:val="both"/>
              <w:rPr>
                <w:b/>
                <w:i/>
                <w:sz w:val="22"/>
                <w:szCs w:val="22"/>
              </w:rPr>
            </w:pPr>
            <w:r w:rsidRPr="003951CE">
              <w:rPr>
                <w:bCs/>
                <w:iCs/>
                <w:sz w:val="22"/>
                <w:szCs w:val="22"/>
              </w:rPr>
              <w:t xml:space="preserve">Provides that the Determination ceases on </w:t>
            </w:r>
            <w:r w:rsidR="00365E1E">
              <w:rPr>
                <w:bCs/>
                <w:iCs/>
                <w:sz w:val="22"/>
                <w:szCs w:val="22"/>
              </w:rPr>
              <w:t>30 November 202</w:t>
            </w:r>
            <w:r w:rsidR="00C90A1F">
              <w:rPr>
                <w:bCs/>
                <w:iCs/>
                <w:sz w:val="22"/>
                <w:szCs w:val="22"/>
              </w:rPr>
              <w:t>5</w:t>
            </w:r>
            <w:r w:rsidR="000E2EFC" w:rsidRPr="003951CE">
              <w:rPr>
                <w:bCs/>
                <w:iCs/>
                <w:sz w:val="22"/>
                <w:szCs w:val="22"/>
              </w:rPr>
              <w:t>.</w:t>
            </w:r>
          </w:p>
        </w:tc>
      </w:tr>
      <w:tr w:rsidR="005C0629" w:rsidRPr="003951CE" w14:paraId="6437E7DE" w14:textId="77777777" w:rsidTr="001045F2">
        <w:tc>
          <w:tcPr>
            <w:tcW w:w="1275" w:type="dxa"/>
          </w:tcPr>
          <w:p w14:paraId="6FEA4D4D" w14:textId="77777777" w:rsidR="005C0629" w:rsidRPr="003951CE" w:rsidRDefault="005C0629" w:rsidP="005D18E4">
            <w:pPr>
              <w:spacing w:before="120" w:after="120" w:line="276" w:lineRule="auto"/>
              <w:jc w:val="both"/>
              <w:rPr>
                <w:b/>
                <w:i/>
                <w:sz w:val="22"/>
                <w:szCs w:val="22"/>
              </w:rPr>
            </w:pPr>
            <w:r w:rsidRPr="003951CE">
              <w:rPr>
                <w:b/>
                <w:i/>
                <w:sz w:val="22"/>
                <w:szCs w:val="22"/>
              </w:rPr>
              <w:t xml:space="preserve">Section 4 </w:t>
            </w:r>
          </w:p>
        </w:tc>
        <w:tc>
          <w:tcPr>
            <w:tcW w:w="7092" w:type="dxa"/>
            <w:shd w:val="clear" w:color="auto" w:fill="auto"/>
          </w:tcPr>
          <w:p w14:paraId="0AA482BB" w14:textId="7CB1F324" w:rsidR="005C0629" w:rsidRPr="003951CE" w:rsidRDefault="005C0629" w:rsidP="005D18E4">
            <w:pPr>
              <w:spacing w:before="120" w:after="120" w:line="276" w:lineRule="auto"/>
              <w:jc w:val="both"/>
              <w:rPr>
                <w:bCs/>
                <w:iCs/>
                <w:sz w:val="22"/>
                <w:szCs w:val="22"/>
              </w:rPr>
            </w:pPr>
            <w:r w:rsidRPr="003951CE">
              <w:rPr>
                <w:bCs/>
                <w:iCs/>
                <w:sz w:val="22"/>
                <w:szCs w:val="22"/>
              </w:rPr>
              <w:t>Provides that the Determination is made pursuant to paragraph 17(</w:t>
            </w:r>
            <w:proofErr w:type="gramStart"/>
            <w:r w:rsidRPr="003951CE">
              <w:rPr>
                <w:bCs/>
                <w:iCs/>
                <w:sz w:val="22"/>
                <w:szCs w:val="22"/>
              </w:rPr>
              <w:t>6)(</w:t>
            </w:r>
            <w:proofErr w:type="gramEnd"/>
            <w:r w:rsidRPr="003951CE">
              <w:rPr>
                <w:bCs/>
                <w:iCs/>
                <w:sz w:val="22"/>
                <w:szCs w:val="22"/>
              </w:rPr>
              <w:t xml:space="preserve">aa) of the </w:t>
            </w:r>
            <w:r w:rsidRPr="003951CE">
              <w:rPr>
                <w:bCs/>
                <w:i/>
                <w:sz w:val="22"/>
                <w:szCs w:val="22"/>
              </w:rPr>
              <w:t>Fisheries Management Act 1991</w:t>
            </w:r>
            <w:r w:rsidRPr="003951CE">
              <w:rPr>
                <w:bCs/>
                <w:iCs/>
                <w:sz w:val="22"/>
                <w:szCs w:val="22"/>
              </w:rPr>
              <w:t xml:space="preserve"> and under sub</w:t>
            </w:r>
            <w:r w:rsidR="00365E1E">
              <w:rPr>
                <w:bCs/>
                <w:iCs/>
                <w:sz w:val="22"/>
                <w:szCs w:val="22"/>
              </w:rPr>
              <w:t>clause</w:t>
            </w:r>
            <w:r w:rsidRPr="003951CE">
              <w:rPr>
                <w:bCs/>
                <w:iCs/>
                <w:sz w:val="22"/>
                <w:szCs w:val="22"/>
              </w:rPr>
              <w:t xml:space="preserve"> 22B.2 of </w:t>
            </w:r>
            <w:r w:rsidRPr="003951CE">
              <w:rPr>
                <w:bCs/>
                <w:i/>
                <w:sz w:val="22"/>
                <w:szCs w:val="22"/>
              </w:rPr>
              <w:t>the</w:t>
            </w:r>
            <w:r w:rsidRPr="003951CE">
              <w:rPr>
                <w:i/>
              </w:rPr>
              <w:t xml:space="preserve"> </w:t>
            </w:r>
            <w:r w:rsidRPr="003951CE">
              <w:rPr>
                <w:bCs/>
                <w:i/>
                <w:sz w:val="22"/>
                <w:szCs w:val="22"/>
              </w:rPr>
              <w:t>Southern Bluefin Tuna Management Plan 1995</w:t>
            </w:r>
            <w:r w:rsidR="00AD670F">
              <w:rPr>
                <w:bCs/>
                <w:iCs/>
                <w:sz w:val="22"/>
                <w:szCs w:val="22"/>
              </w:rPr>
              <w:t>.</w:t>
            </w:r>
          </w:p>
        </w:tc>
      </w:tr>
      <w:tr w:rsidR="005C0629" w:rsidRPr="003951CE" w14:paraId="1111C56E" w14:textId="77777777" w:rsidTr="00CD7F7B">
        <w:tc>
          <w:tcPr>
            <w:tcW w:w="1275" w:type="dxa"/>
          </w:tcPr>
          <w:p w14:paraId="4FC728BB" w14:textId="77777777" w:rsidR="005C0629" w:rsidRPr="003951CE" w:rsidRDefault="005C0629" w:rsidP="005D18E4">
            <w:pPr>
              <w:spacing w:before="120" w:after="120" w:line="276" w:lineRule="auto"/>
              <w:jc w:val="both"/>
              <w:rPr>
                <w:b/>
                <w:i/>
                <w:sz w:val="22"/>
                <w:szCs w:val="22"/>
              </w:rPr>
            </w:pPr>
            <w:r w:rsidRPr="003951CE">
              <w:rPr>
                <w:b/>
                <w:i/>
                <w:sz w:val="22"/>
                <w:szCs w:val="22"/>
              </w:rPr>
              <w:t>Section 5</w:t>
            </w:r>
          </w:p>
        </w:tc>
        <w:tc>
          <w:tcPr>
            <w:tcW w:w="7092" w:type="dxa"/>
            <w:shd w:val="clear" w:color="auto" w:fill="FFFFFF" w:themeFill="background1"/>
          </w:tcPr>
          <w:p w14:paraId="0D0370B0" w14:textId="51C9AF0D" w:rsidR="00200BA2" w:rsidRPr="00200BA2" w:rsidRDefault="00200BA2" w:rsidP="00EE09A8">
            <w:pPr>
              <w:spacing w:before="120" w:after="120" w:line="276" w:lineRule="auto"/>
              <w:jc w:val="both"/>
              <w:rPr>
                <w:bCs/>
                <w:iCs/>
                <w:sz w:val="22"/>
                <w:szCs w:val="22"/>
              </w:rPr>
            </w:pPr>
            <w:r w:rsidRPr="00200BA2">
              <w:rPr>
                <w:bCs/>
                <w:iCs/>
                <w:sz w:val="22"/>
                <w:szCs w:val="22"/>
              </w:rPr>
              <w:t>Provide</w:t>
            </w:r>
            <w:r w:rsidR="008E2181">
              <w:rPr>
                <w:bCs/>
                <w:iCs/>
                <w:sz w:val="22"/>
                <w:szCs w:val="22"/>
              </w:rPr>
              <w:t xml:space="preserve">s that </w:t>
            </w:r>
            <w:proofErr w:type="gramStart"/>
            <w:r w:rsidR="001304D3">
              <w:rPr>
                <w:bCs/>
                <w:iCs/>
                <w:sz w:val="22"/>
                <w:szCs w:val="22"/>
              </w:rPr>
              <w:t>a</w:t>
            </w:r>
            <w:r w:rsidR="001304D3" w:rsidRPr="001304D3">
              <w:rPr>
                <w:bCs/>
                <w:iCs/>
                <w:sz w:val="22"/>
                <w:szCs w:val="22"/>
              </w:rPr>
              <w:t xml:space="preserve"> number of</w:t>
            </w:r>
            <w:proofErr w:type="gramEnd"/>
            <w:r w:rsidR="001304D3" w:rsidRPr="001304D3">
              <w:rPr>
                <w:bCs/>
                <w:iCs/>
                <w:sz w:val="22"/>
                <w:szCs w:val="22"/>
              </w:rPr>
              <w:t xml:space="preserve"> expressions used in this instrument are defined in Clause 3 of the Management Plan, including the following</w:t>
            </w:r>
            <w:r w:rsidR="001304D3">
              <w:rPr>
                <w:bCs/>
                <w:iCs/>
                <w:sz w:val="22"/>
                <w:szCs w:val="22"/>
              </w:rPr>
              <w:t xml:space="preserve">: </w:t>
            </w:r>
            <w:r w:rsidRPr="00200BA2">
              <w:rPr>
                <w:bCs/>
                <w:iCs/>
                <w:sz w:val="22"/>
                <w:szCs w:val="22"/>
              </w:rPr>
              <w:t xml:space="preserve"> </w:t>
            </w:r>
          </w:p>
          <w:p w14:paraId="26727C28" w14:textId="5806CF67" w:rsidR="00B25C6F" w:rsidRPr="003951CE" w:rsidRDefault="00200BA2" w:rsidP="00E82227">
            <w:pPr>
              <w:spacing w:before="120" w:after="120" w:line="276" w:lineRule="auto"/>
              <w:ind w:left="708"/>
              <w:jc w:val="both"/>
              <w:rPr>
                <w:bCs/>
                <w:iCs/>
                <w:sz w:val="22"/>
                <w:szCs w:val="22"/>
              </w:rPr>
            </w:pPr>
            <w:r w:rsidRPr="00E82227">
              <w:rPr>
                <w:b/>
                <w:i/>
                <w:sz w:val="22"/>
                <w:szCs w:val="22"/>
              </w:rPr>
              <w:t>farm representative means</w:t>
            </w:r>
            <w:r w:rsidRPr="00200BA2">
              <w:rPr>
                <w:bCs/>
                <w:iCs/>
                <w:sz w:val="22"/>
                <w:szCs w:val="22"/>
              </w:rPr>
              <w:t>, in relation to a farm, the holder, or a person acting for the holder, of the fish receiver permit for the farm.</w:t>
            </w:r>
          </w:p>
        </w:tc>
      </w:tr>
      <w:tr w:rsidR="005C0629" w:rsidRPr="003951CE" w14:paraId="022085B8" w14:textId="77777777" w:rsidTr="005D18E4">
        <w:tc>
          <w:tcPr>
            <w:tcW w:w="1275" w:type="dxa"/>
          </w:tcPr>
          <w:p w14:paraId="71CFB798" w14:textId="77777777" w:rsidR="005C0629" w:rsidRPr="003951CE" w:rsidRDefault="005C0629" w:rsidP="005D18E4">
            <w:pPr>
              <w:spacing w:before="120" w:after="120" w:line="276" w:lineRule="auto"/>
              <w:jc w:val="both"/>
              <w:rPr>
                <w:b/>
                <w:i/>
                <w:sz w:val="22"/>
                <w:szCs w:val="22"/>
              </w:rPr>
            </w:pPr>
            <w:r w:rsidRPr="003951CE">
              <w:rPr>
                <w:b/>
                <w:i/>
                <w:sz w:val="22"/>
                <w:szCs w:val="22"/>
              </w:rPr>
              <w:t>Section 6</w:t>
            </w:r>
          </w:p>
        </w:tc>
        <w:tc>
          <w:tcPr>
            <w:tcW w:w="7092" w:type="dxa"/>
          </w:tcPr>
          <w:p w14:paraId="48C3299F" w14:textId="04B1F645" w:rsidR="005C0629" w:rsidRPr="003951CE" w:rsidRDefault="005C0629" w:rsidP="005D18E4">
            <w:pPr>
              <w:spacing w:before="120" w:after="120" w:line="276" w:lineRule="auto"/>
              <w:jc w:val="both"/>
              <w:rPr>
                <w:b/>
                <w:i/>
                <w:sz w:val="22"/>
                <w:szCs w:val="22"/>
              </w:rPr>
            </w:pPr>
            <w:r w:rsidRPr="003951CE">
              <w:rPr>
                <w:sz w:val="22"/>
                <w:szCs w:val="22"/>
              </w:rPr>
              <w:t xml:space="preserve">Determines the </w:t>
            </w:r>
            <w:proofErr w:type="gramStart"/>
            <w:r w:rsidRPr="003951CE">
              <w:rPr>
                <w:sz w:val="22"/>
                <w:szCs w:val="22"/>
              </w:rPr>
              <w:t>manner in which</w:t>
            </w:r>
            <w:proofErr w:type="gramEnd"/>
            <w:r w:rsidRPr="003951CE">
              <w:rPr>
                <w:sz w:val="22"/>
                <w:szCs w:val="22"/>
              </w:rPr>
              <w:t xml:space="preserve"> transfer weighing is to be carried out for the purpose of sub</w:t>
            </w:r>
            <w:r w:rsidR="00365E1E">
              <w:rPr>
                <w:sz w:val="22"/>
                <w:szCs w:val="22"/>
              </w:rPr>
              <w:t>clause</w:t>
            </w:r>
            <w:r w:rsidRPr="003951CE">
              <w:rPr>
                <w:sz w:val="22"/>
                <w:szCs w:val="22"/>
              </w:rPr>
              <w:t xml:space="preserve"> 22B.2 of the Plan.</w:t>
            </w:r>
          </w:p>
        </w:tc>
      </w:tr>
      <w:tr w:rsidR="00CB2CFA" w:rsidRPr="003951CE" w14:paraId="5655F383" w14:textId="77777777" w:rsidTr="005D18E4">
        <w:tc>
          <w:tcPr>
            <w:tcW w:w="1275" w:type="dxa"/>
          </w:tcPr>
          <w:p w14:paraId="3CD552B5" w14:textId="77777777" w:rsidR="00CB2CFA" w:rsidRPr="003951CE" w:rsidRDefault="00CB2CFA" w:rsidP="005D18E4">
            <w:pPr>
              <w:spacing w:before="120" w:after="120" w:line="276" w:lineRule="auto"/>
              <w:jc w:val="both"/>
              <w:rPr>
                <w:b/>
                <w:i/>
                <w:sz w:val="22"/>
                <w:szCs w:val="22"/>
              </w:rPr>
            </w:pPr>
          </w:p>
        </w:tc>
        <w:tc>
          <w:tcPr>
            <w:tcW w:w="7092" w:type="dxa"/>
          </w:tcPr>
          <w:p w14:paraId="5ED2C17E" w14:textId="77777777" w:rsidR="00CB2CFA" w:rsidRPr="003951CE" w:rsidRDefault="00CB2CFA" w:rsidP="005D18E4">
            <w:pPr>
              <w:spacing w:before="120" w:after="120" w:line="276" w:lineRule="auto"/>
              <w:jc w:val="both"/>
              <w:rPr>
                <w:sz w:val="22"/>
                <w:szCs w:val="22"/>
              </w:rPr>
            </w:pPr>
          </w:p>
        </w:tc>
      </w:tr>
    </w:tbl>
    <w:p w14:paraId="54A08C77" w14:textId="77777777" w:rsidR="000A18DA" w:rsidRPr="003951CE" w:rsidRDefault="000A18DA" w:rsidP="00B524B7">
      <w:pPr>
        <w:spacing w:after="240" w:line="276" w:lineRule="auto"/>
        <w:rPr>
          <w:sz w:val="22"/>
          <w:szCs w:val="22"/>
        </w:rPr>
      </w:pPr>
      <w:r w:rsidRPr="003951CE">
        <w:rPr>
          <w:sz w:val="22"/>
          <w:szCs w:val="22"/>
        </w:rPr>
        <w:br w:type="page"/>
      </w:r>
    </w:p>
    <w:p w14:paraId="72E040B8" w14:textId="74B5AC3F" w:rsidR="002E0D9F" w:rsidRDefault="002E0D9F" w:rsidP="002E0D9F">
      <w:pPr>
        <w:spacing w:after="240" w:line="276" w:lineRule="auto"/>
        <w:jc w:val="center"/>
        <w:rPr>
          <w:b/>
          <w:bCs/>
          <w:sz w:val="28"/>
          <w:szCs w:val="28"/>
        </w:rPr>
      </w:pPr>
      <w:r w:rsidRPr="003951CE">
        <w:rPr>
          <w:b/>
          <w:bCs/>
          <w:sz w:val="28"/>
          <w:szCs w:val="28"/>
        </w:rPr>
        <w:lastRenderedPageBreak/>
        <w:t>ATT</w:t>
      </w:r>
      <w:r w:rsidR="004C2011" w:rsidRPr="003951CE">
        <w:rPr>
          <w:b/>
          <w:bCs/>
          <w:sz w:val="28"/>
          <w:szCs w:val="28"/>
        </w:rPr>
        <w:t>A</w:t>
      </w:r>
      <w:r w:rsidRPr="003951CE">
        <w:rPr>
          <w:b/>
          <w:bCs/>
          <w:sz w:val="28"/>
          <w:szCs w:val="28"/>
        </w:rPr>
        <w:t>CHMENT B</w:t>
      </w:r>
    </w:p>
    <w:p w14:paraId="28821908" w14:textId="77777777" w:rsidR="008E2150" w:rsidRDefault="008E2150" w:rsidP="008E2150">
      <w:pPr>
        <w:spacing w:before="360" w:after="120" w:line="276" w:lineRule="auto"/>
        <w:jc w:val="center"/>
        <w:rPr>
          <w:b/>
          <w:sz w:val="28"/>
          <w:szCs w:val="28"/>
        </w:rPr>
      </w:pPr>
      <w:r>
        <w:rPr>
          <w:b/>
          <w:sz w:val="28"/>
          <w:szCs w:val="28"/>
        </w:rPr>
        <w:t>Statement of Compatibility with Human Rights</w:t>
      </w:r>
    </w:p>
    <w:p w14:paraId="22070F17" w14:textId="77777777" w:rsidR="008E2150" w:rsidRPr="000A18DA" w:rsidRDefault="008E2150" w:rsidP="008E2150">
      <w:pPr>
        <w:spacing w:before="120" w:after="120" w:line="276" w:lineRule="auto"/>
        <w:jc w:val="center"/>
      </w:pPr>
      <w:r w:rsidRPr="007C226C">
        <w:t>Prepared in accordance with Part 3 of the</w:t>
      </w:r>
      <w:r w:rsidRPr="000A18DA">
        <w:rPr>
          <w:i/>
        </w:rPr>
        <w:t xml:space="preserve"> Human Rights (Parliamentary Scrutiny) Act 2011</w:t>
      </w:r>
    </w:p>
    <w:p w14:paraId="03DAAE44" w14:textId="77777777" w:rsidR="008E2150" w:rsidRPr="00B524B7" w:rsidRDefault="008E2150" w:rsidP="008E2150">
      <w:pPr>
        <w:spacing w:before="120" w:after="120" w:line="276" w:lineRule="auto"/>
        <w:jc w:val="center"/>
        <w:rPr>
          <w:sz w:val="22"/>
        </w:rPr>
      </w:pPr>
    </w:p>
    <w:p w14:paraId="775C100F" w14:textId="2BBA6F0C" w:rsidR="008E2150" w:rsidRPr="007C226C" w:rsidRDefault="0023174C" w:rsidP="00E82227">
      <w:pPr>
        <w:spacing w:before="120" w:after="120" w:line="276" w:lineRule="auto"/>
        <w:jc w:val="center"/>
        <w:rPr>
          <w:i/>
          <w:sz w:val="22"/>
        </w:rPr>
      </w:pPr>
      <w:r w:rsidRPr="0023174C">
        <w:rPr>
          <w:b/>
          <w:i/>
          <w:sz w:val="22"/>
        </w:rPr>
        <w:t>Southern Bluefin Tuna Fishery (Transfer Weighing of fish—purse seine method of fishing) Determination 2024</w:t>
      </w:r>
    </w:p>
    <w:p w14:paraId="21E119D8" w14:textId="77777777" w:rsidR="008E2150" w:rsidRPr="00B524B7" w:rsidRDefault="008E2150" w:rsidP="005A22E7">
      <w:pPr>
        <w:spacing w:before="120" w:after="120" w:line="276" w:lineRule="auto"/>
        <w:rPr>
          <w:sz w:val="22"/>
        </w:rPr>
      </w:pPr>
      <w:r w:rsidRPr="00B524B7">
        <w:rPr>
          <w:sz w:val="22"/>
        </w:rPr>
        <w:t xml:space="preserve">This </w:t>
      </w:r>
      <w:r>
        <w:rPr>
          <w:sz w:val="22"/>
        </w:rPr>
        <w:t>Determination</w:t>
      </w:r>
      <w:r w:rsidRPr="00B524B7">
        <w:rPr>
          <w:sz w:val="22"/>
        </w:rPr>
        <w:t xml:space="preserve"> is compatible with the human rights and freedoms </w:t>
      </w:r>
      <w:proofErr w:type="spellStart"/>
      <w:r w:rsidRPr="00B524B7">
        <w:rPr>
          <w:sz w:val="22"/>
        </w:rPr>
        <w:t>recognised</w:t>
      </w:r>
      <w:proofErr w:type="spellEnd"/>
      <w:r w:rsidRPr="00B524B7">
        <w:rPr>
          <w:sz w:val="22"/>
        </w:rPr>
        <w:t xml:space="preserve"> or declared in the international instruments listed in section 3 of the </w:t>
      </w:r>
      <w:r w:rsidRPr="00B524B7">
        <w:rPr>
          <w:i/>
          <w:sz w:val="22"/>
        </w:rPr>
        <w:t>Human Rights (Parliamentary Scrutiny) Act 2011</w:t>
      </w:r>
      <w:r w:rsidRPr="00B524B7">
        <w:rPr>
          <w:sz w:val="22"/>
        </w:rPr>
        <w:t>.</w:t>
      </w:r>
    </w:p>
    <w:p w14:paraId="1E1C4300" w14:textId="77777777" w:rsidR="008E2150" w:rsidRPr="00B524B7" w:rsidRDefault="008E2150" w:rsidP="00E82227">
      <w:pPr>
        <w:spacing w:before="120" w:after="120" w:line="276" w:lineRule="auto"/>
        <w:jc w:val="center"/>
        <w:rPr>
          <w:b/>
          <w:sz w:val="22"/>
        </w:rPr>
      </w:pPr>
      <w:r w:rsidRPr="00B524B7">
        <w:rPr>
          <w:b/>
          <w:sz w:val="22"/>
        </w:rPr>
        <w:t>Overview of the Legislative Instrument</w:t>
      </w:r>
    </w:p>
    <w:p w14:paraId="3D430754" w14:textId="77777777" w:rsidR="008E2150" w:rsidRPr="00B524B7" w:rsidRDefault="008E2150" w:rsidP="008E2150">
      <w:pPr>
        <w:pStyle w:val="AFMANormal"/>
        <w:spacing w:line="276" w:lineRule="auto"/>
        <w:jc w:val="left"/>
        <w:rPr>
          <w:sz w:val="22"/>
          <w:szCs w:val="24"/>
        </w:rPr>
      </w:pPr>
      <w:r w:rsidRPr="009D0BB9">
        <w:rPr>
          <w:sz w:val="22"/>
          <w:szCs w:val="24"/>
        </w:rPr>
        <w:t xml:space="preserve">This Determination determines </w:t>
      </w:r>
      <w:r>
        <w:rPr>
          <w:sz w:val="22"/>
          <w:szCs w:val="24"/>
        </w:rPr>
        <w:t xml:space="preserve">the </w:t>
      </w:r>
      <w:r w:rsidRPr="009D0BB9">
        <w:rPr>
          <w:sz w:val="22"/>
          <w:szCs w:val="24"/>
        </w:rPr>
        <w:t xml:space="preserve">transfer weighing procedure to estimate the transfer weight of Southern Bluefin Tuna for the purposes of </w:t>
      </w:r>
      <w:r>
        <w:rPr>
          <w:sz w:val="22"/>
          <w:szCs w:val="24"/>
        </w:rPr>
        <w:t>sub</w:t>
      </w:r>
      <w:r w:rsidRPr="009D0BB9">
        <w:rPr>
          <w:sz w:val="22"/>
          <w:szCs w:val="24"/>
        </w:rPr>
        <w:t xml:space="preserve">clause 22B.2 of the </w:t>
      </w:r>
      <w:r w:rsidRPr="009D0BB9">
        <w:rPr>
          <w:i/>
          <w:sz w:val="22"/>
          <w:szCs w:val="24"/>
        </w:rPr>
        <w:t>Southern Bluefin Tuna Fishery Management Plan 1995.</w:t>
      </w:r>
      <w:r w:rsidRPr="00B524B7">
        <w:rPr>
          <w:i/>
          <w:sz w:val="22"/>
          <w:szCs w:val="24"/>
        </w:rPr>
        <w:t xml:space="preserve"> </w:t>
      </w:r>
    </w:p>
    <w:p w14:paraId="09AC7942" w14:textId="77777777" w:rsidR="008E2150" w:rsidRPr="00B524B7" w:rsidRDefault="008E2150" w:rsidP="00E82227">
      <w:pPr>
        <w:spacing w:before="120" w:after="120" w:line="276" w:lineRule="auto"/>
        <w:jc w:val="center"/>
        <w:rPr>
          <w:b/>
          <w:sz w:val="22"/>
        </w:rPr>
      </w:pPr>
      <w:r w:rsidRPr="00B524B7">
        <w:rPr>
          <w:b/>
          <w:sz w:val="22"/>
        </w:rPr>
        <w:t>Assessment of human rights implications</w:t>
      </w:r>
    </w:p>
    <w:p w14:paraId="38B49778" w14:textId="77777777" w:rsidR="008E2150" w:rsidRPr="00B524B7" w:rsidRDefault="008E2150" w:rsidP="008E2150">
      <w:pPr>
        <w:spacing w:before="120" w:after="120" w:line="276" w:lineRule="auto"/>
        <w:rPr>
          <w:sz w:val="22"/>
        </w:rPr>
      </w:pPr>
      <w:r w:rsidRPr="00B524B7">
        <w:rPr>
          <w:sz w:val="22"/>
        </w:rPr>
        <w:t xml:space="preserve">As this </w:t>
      </w:r>
      <w:r>
        <w:rPr>
          <w:sz w:val="22"/>
        </w:rPr>
        <w:t>Determination</w:t>
      </w:r>
      <w:r w:rsidRPr="00B524B7">
        <w:rPr>
          <w:sz w:val="22"/>
        </w:rPr>
        <w:t xml:space="preserve"> is of a mechanical nature, it does not engage any of the applicable rights or freedoms.</w:t>
      </w:r>
    </w:p>
    <w:p w14:paraId="084345E2" w14:textId="77777777" w:rsidR="008E2150" w:rsidRPr="00B524B7" w:rsidRDefault="008E2150" w:rsidP="00E82227">
      <w:pPr>
        <w:spacing w:before="120" w:after="120" w:line="276" w:lineRule="auto"/>
        <w:jc w:val="center"/>
        <w:rPr>
          <w:b/>
          <w:sz w:val="22"/>
        </w:rPr>
      </w:pPr>
      <w:r w:rsidRPr="00B524B7">
        <w:rPr>
          <w:b/>
          <w:sz w:val="22"/>
        </w:rPr>
        <w:t>Conclusion</w:t>
      </w:r>
    </w:p>
    <w:p w14:paraId="17DCA7AD" w14:textId="77777777" w:rsidR="008E2150" w:rsidRPr="007C226C" w:rsidRDefault="008E2150" w:rsidP="008E2150">
      <w:pPr>
        <w:spacing w:before="120" w:after="120" w:line="276" w:lineRule="auto"/>
        <w:rPr>
          <w:sz w:val="22"/>
        </w:rPr>
      </w:pPr>
      <w:r w:rsidRPr="00B524B7">
        <w:rPr>
          <w:sz w:val="22"/>
        </w:rPr>
        <w:t xml:space="preserve">This </w:t>
      </w:r>
      <w:r>
        <w:rPr>
          <w:sz w:val="22"/>
        </w:rPr>
        <w:t>Determination</w:t>
      </w:r>
      <w:r w:rsidRPr="00B524B7">
        <w:rPr>
          <w:sz w:val="22"/>
        </w:rPr>
        <w:t xml:space="preserve"> is compatible with human rights as it does not raise any human rights issues. The AFMA Commission is satisfied that the instrument is consistent with AFMA’s obligation to pursue its statutory objectives.</w:t>
      </w:r>
      <w:r>
        <w:rPr>
          <w:sz w:val="22"/>
        </w:rPr>
        <w:t xml:space="preserve">  </w:t>
      </w:r>
    </w:p>
    <w:p w14:paraId="4AE40434" w14:textId="77777777" w:rsidR="008E2150" w:rsidRPr="003951CE" w:rsidRDefault="008E2150" w:rsidP="002E0D9F">
      <w:pPr>
        <w:spacing w:after="240" w:line="276" w:lineRule="auto"/>
        <w:jc w:val="center"/>
        <w:rPr>
          <w:b/>
          <w:bCs/>
          <w:sz w:val="28"/>
          <w:szCs w:val="28"/>
        </w:rPr>
      </w:pPr>
    </w:p>
    <w:p w14:paraId="2E399290" w14:textId="40F2F42F" w:rsidR="00DE6193" w:rsidRPr="00B524B7" w:rsidRDefault="00DE6193" w:rsidP="00B524B7">
      <w:pPr>
        <w:spacing w:after="240" w:line="276" w:lineRule="auto"/>
        <w:rPr>
          <w:sz w:val="22"/>
          <w:szCs w:val="22"/>
        </w:rPr>
      </w:pPr>
    </w:p>
    <w:sectPr w:rsidR="00DE6193" w:rsidRPr="00B524B7" w:rsidSect="00B524B7">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2A74D" w14:textId="77777777" w:rsidR="001769AE" w:rsidRDefault="001769AE" w:rsidP="00760CB4">
      <w:r>
        <w:separator/>
      </w:r>
    </w:p>
  </w:endnote>
  <w:endnote w:type="continuationSeparator" w:id="0">
    <w:p w14:paraId="166B0198" w14:textId="77777777" w:rsidR="001769AE" w:rsidRDefault="001769AE" w:rsidP="00760CB4">
      <w:r>
        <w:continuationSeparator/>
      </w:r>
    </w:p>
  </w:endnote>
  <w:endnote w:type="continuationNotice" w:id="1">
    <w:p w14:paraId="13663F29" w14:textId="77777777" w:rsidR="001769AE" w:rsidRDefault="00176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3419B" w14:textId="77777777" w:rsidR="00DE299B" w:rsidRDefault="001C3C90" w:rsidP="00DE299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C58B69F" w14:textId="77777777" w:rsidR="00DE299B" w:rsidRDefault="00DE299B" w:rsidP="00DE299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EE3BA" w14:textId="77777777" w:rsidR="00DE299B" w:rsidRDefault="00DE299B" w:rsidP="00DE299B">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89D64" w14:textId="77777777" w:rsidR="001769AE" w:rsidRDefault="001769AE" w:rsidP="00760CB4">
      <w:r>
        <w:separator/>
      </w:r>
    </w:p>
  </w:footnote>
  <w:footnote w:type="continuationSeparator" w:id="0">
    <w:p w14:paraId="117D0954" w14:textId="77777777" w:rsidR="001769AE" w:rsidRDefault="001769AE" w:rsidP="00760CB4">
      <w:r>
        <w:continuationSeparator/>
      </w:r>
    </w:p>
  </w:footnote>
  <w:footnote w:type="continuationNotice" w:id="1">
    <w:p w14:paraId="78BB58E7" w14:textId="77777777" w:rsidR="001769AE" w:rsidRDefault="001769A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B0"/>
    <w:rsid w:val="00014B2E"/>
    <w:rsid w:val="000278B8"/>
    <w:rsid w:val="00033285"/>
    <w:rsid w:val="00035F75"/>
    <w:rsid w:val="00040F41"/>
    <w:rsid w:val="000418EB"/>
    <w:rsid w:val="00047FDF"/>
    <w:rsid w:val="00056AEE"/>
    <w:rsid w:val="000669D9"/>
    <w:rsid w:val="00086B8D"/>
    <w:rsid w:val="00086F13"/>
    <w:rsid w:val="000A18DA"/>
    <w:rsid w:val="000B4066"/>
    <w:rsid w:val="000D38DA"/>
    <w:rsid w:val="000E234D"/>
    <w:rsid w:val="000E2EFC"/>
    <w:rsid w:val="001045F2"/>
    <w:rsid w:val="00113010"/>
    <w:rsid w:val="001174AE"/>
    <w:rsid w:val="00117B3E"/>
    <w:rsid w:val="00124514"/>
    <w:rsid w:val="0012663A"/>
    <w:rsid w:val="001304D3"/>
    <w:rsid w:val="00132738"/>
    <w:rsid w:val="00156E78"/>
    <w:rsid w:val="00171C79"/>
    <w:rsid w:val="001769AE"/>
    <w:rsid w:val="00186403"/>
    <w:rsid w:val="00193B0F"/>
    <w:rsid w:val="001A3AC3"/>
    <w:rsid w:val="001B0831"/>
    <w:rsid w:val="001C3C90"/>
    <w:rsid w:val="001E5B8E"/>
    <w:rsid w:val="001E5DA6"/>
    <w:rsid w:val="001F096E"/>
    <w:rsid w:val="001F0FD3"/>
    <w:rsid w:val="001F4F20"/>
    <w:rsid w:val="00200BA2"/>
    <w:rsid w:val="0022253B"/>
    <w:rsid w:val="00222ACD"/>
    <w:rsid w:val="0023174C"/>
    <w:rsid w:val="00235167"/>
    <w:rsid w:val="00242305"/>
    <w:rsid w:val="0024560D"/>
    <w:rsid w:val="00260507"/>
    <w:rsid w:val="00286DC4"/>
    <w:rsid w:val="00291941"/>
    <w:rsid w:val="002A6AF8"/>
    <w:rsid w:val="002B106A"/>
    <w:rsid w:val="002E0D9F"/>
    <w:rsid w:val="002E11E8"/>
    <w:rsid w:val="002F4DEA"/>
    <w:rsid w:val="00317A07"/>
    <w:rsid w:val="003509D6"/>
    <w:rsid w:val="003539B0"/>
    <w:rsid w:val="00360D41"/>
    <w:rsid w:val="0036227C"/>
    <w:rsid w:val="00365E1E"/>
    <w:rsid w:val="003664DB"/>
    <w:rsid w:val="00382D7B"/>
    <w:rsid w:val="003951CE"/>
    <w:rsid w:val="003A0958"/>
    <w:rsid w:val="003A2E08"/>
    <w:rsid w:val="003D51D4"/>
    <w:rsid w:val="003D79A7"/>
    <w:rsid w:val="004325B4"/>
    <w:rsid w:val="00436498"/>
    <w:rsid w:val="00457699"/>
    <w:rsid w:val="00457D71"/>
    <w:rsid w:val="00472A42"/>
    <w:rsid w:val="00474712"/>
    <w:rsid w:val="0049277A"/>
    <w:rsid w:val="004A5563"/>
    <w:rsid w:val="004B1AB1"/>
    <w:rsid w:val="004B4570"/>
    <w:rsid w:val="004B5972"/>
    <w:rsid w:val="004C2011"/>
    <w:rsid w:val="004D009D"/>
    <w:rsid w:val="004D4E36"/>
    <w:rsid w:val="004E15A6"/>
    <w:rsid w:val="004F7E87"/>
    <w:rsid w:val="004F7EF5"/>
    <w:rsid w:val="00501F0F"/>
    <w:rsid w:val="00503A2F"/>
    <w:rsid w:val="005070C1"/>
    <w:rsid w:val="0052337B"/>
    <w:rsid w:val="0053289C"/>
    <w:rsid w:val="0054442F"/>
    <w:rsid w:val="0055272C"/>
    <w:rsid w:val="00572BA3"/>
    <w:rsid w:val="005837CC"/>
    <w:rsid w:val="005A22E7"/>
    <w:rsid w:val="005A4744"/>
    <w:rsid w:val="005C0368"/>
    <w:rsid w:val="005C0629"/>
    <w:rsid w:val="005C6A94"/>
    <w:rsid w:val="005D18E4"/>
    <w:rsid w:val="005E0426"/>
    <w:rsid w:val="005E2F7A"/>
    <w:rsid w:val="005E3D4C"/>
    <w:rsid w:val="005E4C8A"/>
    <w:rsid w:val="005F1594"/>
    <w:rsid w:val="00604204"/>
    <w:rsid w:val="0061656A"/>
    <w:rsid w:val="00631FC0"/>
    <w:rsid w:val="006570AA"/>
    <w:rsid w:val="00661656"/>
    <w:rsid w:val="006641A4"/>
    <w:rsid w:val="0066450E"/>
    <w:rsid w:val="006A238D"/>
    <w:rsid w:val="006B2682"/>
    <w:rsid w:val="006B4574"/>
    <w:rsid w:val="006C1D64"/>
    <w:rsid w:val="006C2FFF"/>
    <w:rsid w:val="006D5A47"/>
    <w:rsid w:val="006E0BC1"/>
    <w:rsid w:val="006E77D6"/>
    <w:rsid w:val="006F496B"/>
    <w:rsid w:val="006F68F0"/>
    <w:rsid w:val="00704CB4"/>
    <w:rsid w:val="0074287B"/>
    <w:rsid w:val="007566DA"/>
    <w:rsid w:val="00756EDE"/>
    <w:rsid w:val="00760CB4"/>
    <w:rsid w:val="007824F6"/>
    <w:rsid w:val="00782B41"/>
    <w:rsid w:val="00786441"/>
    <w:rsid w:val="007971DD"/>
    <w:rsid w:val="007C226C"/>
    <w:rsid w:val="007D5C4E"/>
    <w:rsid w:val="007D6807"/>
    <w:rsid w:val="007F501D"/>
    <w:rsid w:val="00802178"/>
    <w:rsid w:val="0080682C"/>
    <w:rsid w:val="00813E1E"/>
    <w:rsid w:val="00822A45"/>
    <w:rsid w:val="00825418"/>
    <w:rsid w:val="00833128"/>
    <w:rsid w:val="008504AF"/>
    <w:rsid w:val="00855B37"/>
    <w:rsid w:val="008619A3"/>
    <w:rsid w:val="00870272"/>
    <w:rsid w:val="00896D1B"/>
    <w:rsid w:val="008A1DC8"/>
    <w:rsid w:val="008D3350"/>
    <w:rsid w:val="008D3502"/>
    <w:rsid w:val="008D3B45"/>
    <w:rsid w:val="008E2150"/>
    <w:rsid w:val="008E2181"/>
    <w:rsid w:val="008F08A8"/>
    <w:rsid w:val="008F3A16"/>
    <w:rsid w:val="008F5C6D"/>
    <w:rsid w:val="008F6C94"/>
    <w:rsid w:val="008F7028"/>
    <w:rsid w:val="00924DD4"/>
    <w:rsid w:val="00926FBD"/>
    <w:rsid w:val="009273A8"/>
    <w:rsid w:val="009344A9"/>
    <w:rsid w:val="00934B62"/>
    <w:rsid w:val="009442F8"/>
    <w:rsid w:val="0096005A"/>
    <w:rsid w:val="009605A6"/>
    <w:rsid w:val="00980F52"/>
    <w:rsid w:val="0099478E"/>
    <w:rsid w:val="009B1E2A"/>
    <w:rsid w:val="009B3FF2"/>
    <w:rsid w:val="009D0BB9"/>
    <w:rsid w:val="009D0E00"/>
    <w:rsid w:val="009D4733"/>
    <w:rsid w:val="009D4735"/>
    <w:rsid w:val="009E5D2D"/>
    <w:rsid w:val="00A33E67"/>
    <w:rsid w:val="00A4050B"/>
    <w:rsid w:val="00A64080"/>
    <w:rsid w:val="00A7047C"/>
    <w:rsid w:val="00A748B8"/>
    <w:rsid w:val="00A85533"/>
    <w:rsid w:val="00A863F9"/>
    <w:rsid w:val="00A9580E"/>
    <w:rsid w:val="00AA5034"/>
    <w:rsid w:val="00AB2A48"/>
    <w:rsid w:val="00AC3F52"/>
    <w:rsid w:val="00AD670F"/>
    <w:rsid w:val="00AE5F48"/>
    <w:rsid w:val="00B15104"/>
    <w:rsid w:val="00B25C6F"/>
    <w:rsid w:val="00B36C27"/>
    <w:rsid w:val="00B524B7"/>
    <w:rsid w:val="00B5342F"/>
    <w:rsid w:val="00B63B71"/>
    <w:rsid w:val="00B676FC"/>
    <w:rsid w:val="00BA1B5D"/>
    <w:rsid w:val="00BA26C3"/>
    <w:rsid w:val="00BA2CB8"/>
    <w:rsid w:val="00BC05B9"/>
    <w:rsid w:val="00C26CF1"/>
    <w:rsid w:val="00C40127"/>
    <w:rsid w:val="00C4243C"/>
    <w:rsid w:val="00C50851"/>
    <w:rsid w:val="00C51997"/>
    <w:rsid w:val="00C90A1F"/>
    <w:rsid w:val="00C948B8"/>
    <w:rsid w:val="00CA5AD1"/>
    <w:rsid w:val="00CB0F8E"/>
    <w:rsid w:val="00CB2CFA"/>
    <w:rsid w:val="00CB5E3F"/>
    <w:rsid w:val="00CC0D48"/>
    <w:rsid w:val="00CC3D75"/>
    <w:rsid w:val="00CC426E"/>
    <w:rsid w:val="00CD7F7B"/>
    <w:rsid w:val="00CF097B"/>
    <w:rsid w:val="00CF4968"/>
    <w:rsid w:val="00D00E77"/>
    <w:rsid w:val="00D11813"/>
    <w:rsid w:val="00D165B0"/>
    <w:rsid w:val="00D5383F"/>
    <w:rsid w:val="00D55D9C"/>
    <w:rsid w:val="00D677E8"/>
    <w:rsid w:val="00D9686F"/>
    <w:rsid w:val="00DB12E5"/>
    <w:rsid w:val="00DE2953"/>
    <w:rsid w:val="00DE299B"/>
    <w:rsid w:val="00DE6193"/>
    <w:rsid w:val="00DF6F3A"/>
    <w:rsid w:val="00E05869"/>
    <w:rsid w:val="00E12B3C"/>
    <w:rsid w:val="00E267BF"/>
    <w:rsid w:val="00E6101B"/>
    <w:rsid w:val="00E61AC7"/>
    <w:rsid w:val="00E633B4"/>
    <w:rsid w:val="00E7354C"/>
    <w:rsid w:val="00E82227"/>
    <w:rsid w:val="00E92B31"/>
    <w:rsid w:val="00EA7FA9"/>
    <w:rsid w:val="00ED37EE"/>
    <w:rsid w:val="00EE09A8"/>
    <w:rsid w:val="00EE4BC8"/>
    <w:rsid w:val="00F00153"/>
    <w:rsid w:val="00F05251"/>
    <w:rsid w:val="00F16ED0"/>
    <w:rsid w:val="00F179D2"/>
    <w:rsid w:val="00F45BCD"/>
    <w:rsid w:val="00F46871"/>
    <w:rsid w:val="00F61B18"/>
    <w:rsid w:val="00F66B7F"/>
    <w:rsid w:val="00F965CE"/>
    <w:rsid w:val="00FB6B65"/>
    <w:rsid w:val="00FC15E5"/>
    <w:rsid w:val="00FC2561"/>
    <w:rsid w:val="00FD668D"/>
    <w:rsid w:val="00FE07CE"/>
    <w:rsid w:val="00FE6ABF"/>
    <w:rsid w:val="012A7E3A"/>
    <w:rsid w:val="014EE409"/>
    <w:rsid w:val="0BF03A27"/>
    <w:rsid w:val="0CD9BD90"/>
    <w:rsid w:val="0EFFAFC0"/>
    <w:rsid w:val="0F353EAA"/>
    <w:rsid w:val="10D5B6E9"/>
    <w:rsid w:val="125EF3EF"/>
    <w:rsid w:val="1594CD31"/>
    <w:rsid w:val="15A3DB96"/>
    <w:rsid w:val="1A308969"/>
    <w:rsid w:val="1EC98788"/>
    <w:rsid w:val="23AFCE7A"/>
    <w:rsid w:val="2590886A"/>
    <w:rsid w:val="28F89144"/>
    <w:rsid w:val="295D72C8"/>
    <w:rsid w:val="296ACF06"/>
    <w:rsid w:val="297A4C9B"/>
    <w:rsid w:val="2F13420D"/>
    <w:rsid w:val="3211D004"/>
    <w:rsid w:val="3298EC76"/>
    <w:rsid w:val="34328D17"/>
    <w:rsid w:val="3532D0C9"/>
    <w:rsid w:val="38A27522"/>
    <w:rsid w:val="39F8E4D5"/>
    <w:rsid w:val="3B3C31EE"/>
    <w:rsid w:val="3BC7E7DC"/>
    <w:rsid w:val="3D3AD02D"/>
    <w:rsid w:val="3EC76532"/>
    <w:rsid w:val="40B5A3CA"/>
    <w:rsid w:val="41A08710"/>
    <w:rsid w:val="41F1DB5A"/>
    <w:rsid w:val="44DFE68B"/>
    <w:rsid w:val="44F58554"/>
    <w:rsid w:val="45EE897B"/>
    <w:rsid w:val="47457455"/>
    <w:rsid w:val="4BC0239D"/>
    <w:rsid w:val="4C6C290D"/>
    <w:rsid w:val="4D5BF3FE"/>
    <w:rsid w:val="4EFBAB0D"/>
    <w:rsid w:val="509394C0"/>
    <w:rsid w:val="51D2A0E9"/>
    <w:rsid w:val="5385023B"/>
    <w:rsid w:val="54291F2E"/>
    <w:rsid w:val="553ADD07"/>
    <w:rsid w:val="567BA582"/>
    <w:rsid w:val="5AE21FCD"/>
    <w:rsid w:val="5BC02625"/>
    <w:rsid w:val="5BE8286B"/>
    <w:rsid w:val="5CEB8B48"/>
    <w:rsid w:val="5DCE5222"/>
    <w:rsid w:val="5E176560"/>
    <w:rsid w:val="5FC597F8"/>
    <w:rsid w:val="60282398"/>
    <w:rsid w:val="61E422C9"/>
    <w:rsid w:val="683B2685"/>
    <w:rsid w:val="6BFDF195"/>
    <w:rsid w:val="6CA4AF0E"/>
    <w:rsid w:val="6D1377B8"/>
    <w:rsid w:val="6D895754"/>
    <w:rsid w:val="6E10E0E7"/>
    <w:rsid w:val="6EC52359"/>
    <w:rsid w:val="731D1EEE"/>
    <w:rsid w:val="7358893C"/>
    <w:rsid w:val="7374BC0B"/>
    <w:rsid w:val="744B60F7"/>
    <w:rsid w:val="74977EA9"/>
    <w:rsid w:val="782B7AE9"/>
    <w:rsid w:val="796FC877"/>
    <w:rsid w:val="7986D01F"/>
    <w:rsid w:val="7B31B1F0"/>
    <w:rsid w:val="7BEEF49C"/>
    <w:rsid w:val="7D5487BC"/>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58BF307"/>
  <w15:docId w15:val="{15E06D30-06A5-400C-AABF-CA3DE396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B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39B0"/>
    <w:pPr>
      <w:tabs>
        <w:tab w:val="center" w:pos="4320"/>
        <w:tab w:val="right" w:pos="8640"/>
      </w:tabs>
    </w:pPr>
  </w:style>
  <w:style w:type="character" w:customStyle="1" w:styleId="FooterChar">
    <w:name w:val="Footer Char"/>
    <w:basedOn w:val="DefaultParagraphFont"/>
    <w:link w:val="Footer"/>
    <w:uiPriority w:val="99"/>
    <w:rsid w:val="003539B0"/>
    <w:rPr>
      <w:rFonts w:ascii="Times New Roman" w:eastAsia="Times New Roman" w:hAnsi="Times New Roman" w:cs="Times New Roman"/>
      <w:sz w:val="24"/>
      <w:szCs w:val="24"/>
      <w:lang w:val="en-US"/>
    </w:rPr>
  </w:style>
  <w:style w:type="character" w:styleId="PageNumber">
    <w:name w:val="page number"/>
    <w:basedOn w:val="DefaultParagraphFont"/>
    <w:rsid w:val="003539B0"/>
  </w:style>
  <w:style w:type="paragraph" w:customStyle="1" w:styleId="AFMANormal">
    <w:name w:val="AFMA Normal"/>
    <w:rsid w:val="003539B0"/>
    <w:pPr>
      <w:keepLines/>
      <w:spacing w:before="240" w:after="0" w:line="240" w:lineRule="auto"/>
      <w:jc w:val="both"/>
    </w:pPr>
    <w:rPr>
      <w:rFonts w:ascii="Times New Roman" w:eastAsia="Times New Roman" w:hAnsi="Times New Roman" w:cs="Times New Roman"/>
      <w:kern w:val="20"/>
      <w:sz w:val="24"/>
      <w:szCs w:val="20"/>
      <w:lang w:val="en-AU" w:eastAsia="en-AU"/>
    </w:rPr>
  </w:style>
  <w:style w:type="paragraph" w:styleId="BodyText">
    <w:name w:val="Body Text"/>
    <w:basedOn w:val="Normal"/>
    <w:link w:val="BodyTextChar"/>
    <w:rsid w:val="003539B0"/>
    <w:pPr>
      <w:spacing w:after="240" w:line="240" w:lineRule="atLeast"/>
      <w:jc w:val="both"/>
    </w:pPr>
    <w:rPr>
      <w:rFonts w:ascii="Arial" w:hAnsi="Arial"/>
      <w:kern w:val="18"/>
      <w:sz w:val="19"/>
      <w:szCs w:val="20"/>
      <w:lang w:val="en-AU" w:eastAsia="en-AU"/>
    </w:rPr>
  </w:style>
  <w:style w:type="character" w:customStyle="1" w:styleId="BodyTextChar">
    <w:name w:val="Body Text Char"/>
    <w:basedOn w:val="DefaultParagraphFont"/>
    <w:link w:val="BodyText"/>
    <w:rsid w:val="003539B0"/>
    <w:rPr>
      <w:rFonts w:ascii="Arial" w:eastAsia="Times New Roman" w:hAnsi="Arial" w:cs="Times New Roman"/>
      <w:kern w:val="18"/>
      <w:sz w:val="19"/>
      <w:szCs w:val="20"/>
      <w:lang w:val="en-AU" w:eastAsia="en-AU"/>
    </w:rPr>
  </w:style>
  <w:style w:type="paragraph" w:customStyle="1" w:styleId="afmabodytext">
    <w:name w:val="afmabodytext"/>
    <w:basedOn w:val="Normal"/>
    <w:rsid w:val="003539B0"/>
    <w:pPr>
      <w:spacing w:before="220" w:line="280" w:lineRule="atLeast"/>
    </w:pPr>
    <w:rPr>
      <w:rFonts w:ascii="Arial" w:hAnsi="Arial" w:cs="Arial"/>
      <w:sz w:val="22"/>
      <w:szCs w:val="22"/>
      <w:lang w:val="en-AU" w:eastAsia="en-AU"/>
    </w:rPr>
  </w:style>
  <w:style w:type="paragraph" w:customStyle="1" w:styleId="AFMA123Normal">
    <w:name w:val="AFMA 123 Normal"/>
    <w:basedOn w:val="Normal"/>
    <w:rsid w:val="003539B0"/>
    <w:pPr>
      <w:keepLines/>
      <w:spacing w:before="240"/>
      <w:jc w:val="both"/>
    </w:pPr>
    <w:rPr>
      <w:kern w:val="20"/>
      <w:szCs w:val="20"/>
      <w:lang w:val="en-AU"/>
    </w:rPr>
  </w:style>
  <w:style w:type="paragraph" w:styleId="Header">
    <w:name w:val="header"/>
    <w:basedOn w:val="Normal"/>
    <w:link w:val="HeaderChar"/>
    <w:uiPriority w:val="99"/>
    <w:unhideWhenUsed/>
    <w:rsid w:val="00760CB4"/>
    <w:pPr>
      <w:tabs>
        <w:tab w:val="center" w:pos="4513"/>
        <w:tab w:val="right" w:pos="9026"/>
      </w:tabs>
    </w:pPr>
  </w:style>
  <w:style w:type="character" w:customStyle="1" w:styleId="HeaderChar">
    <w:name w:val="Header Char"/>
    <w:basedOn w:val="DefaultParagraphFont"/>
    <w:link w:val="Header"/>
    <w:uiPriority w:val="99"/>
    <w:rsid w:val="00760CB4"/>
    <w:rPr>
      <w:rFonts w:ascii="Times New Roman" w:eastAsia="Times New Roman" w:hAnsi="Times New Roman" w:cs="Times New Roman"/>
      <w:sz w:val="24"/>
      <w:szCs w:val="24"/>
      <w:lang w:val="en-US"/>
    </w:rPr>
  </w:style>
  <w:style w:type="paragraph" w:customStyle="1" w:styleId="Default">
    <w:name w:val="Default"/>
    <w:rsid w:val="004B5972"/>
    <w:pPr>
      <w:autoSpaceDE w:val="0"/>
      <w:autoSpaceDN w:val="0"/>
      <w:adjustRightInd w:val="0"/>
      <w:spacing w:after="0" w:line="240" w:lineRule="auto"/>
    </w:pPr>
    <w:rPr>
      <w:rFonts w:ascii="Arial" w:hAnsi="Arial" w:cs="Arial"/>
      <w:color w:val="000000"/>
      <w:sz w:val="24"/>
      <w:szCs w:val="24"/>
      <w:lang w:val="en-AU"/>
    </w:rPr>
  </w:style>
  <w:style w:type="paragraph" w:styleId="BalloonText">
    <w:name w:val="Balloon Text"/>
    <w:basedOn w:val="Normal"/>
    <w:link w:val="BalloonTextChar"/>
    <w:uiPriority w:val="99"/>
    <w:semiHidden/>
    <w:unhideWhenUsed/>
    <w:rsid w:val="00EE4B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BC8"/>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E6101B"/>
    <w:rPr>
      <w:sz w:val="16"/>
      <w:szCs w:val="16"/>
    </w:rPr>
  </w:style>
  <w:style w:type="paragraph" w:styleId="CommentText">
    <w:name w:val="annotation text"/>
    <w:basedOn w:val="Normal"/>
    <w:link w:val="CommentTextChar"/>
    <w:uiPriority w:val="99"/>
    <w:semiHidden/>
    <w:unhideWhenUsed/>
    <w:rsid w:val="00E6101B"/>
    <w:rPr>
      <w:sz w:val="20"/>
      <w:szCs w:val="20"/>
    </w:rPr>
  </w:style>
  <w:style w:type="character" w:customStyle="1" w:styleId="CommentTextChar">
    <w:name w:val="Comment Text Char"/>
    <w:basedOn w:val="DefaultParagraphFont"/>
    <w:link w:val="CommentText"/>
    <w:uiPriority w:val="99"/>
    <w:semiHidden/>
    <w:rsid w:val="00E6101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6101B"/>
    <w:rPr>
      <w:b/>
      <w:bCs/>
    </w:rPr>
  </w:style>
  <w:style w:type="character" w:customStyle="1" w:styleId="CommentSubjectChar">
    <w:name w:val="Comment Subject Char"/>
    <w:basedOn w:val="CommentTextChar"/>
    <w:link w:val="CommentSubject"/>
    <w:uiPriority w:val="99"/>
    <w:semiHidden/>
    <w:rsid w:val="00E6101B"/>
    <w:rPr>
      <w:rFonts w:ascii="Times New Roman" w:eastAsia="Times New Roman" w:hAnsi="Times New Roman" w:cs="Times New Roman"/>
      <w:b/>
      <w:bCs/>
      <w:sz w:val="20"/>
      <w:szCs w:val="20"/>
      <w:lang w:val="en-US"/>
    </w:rPr>
  </w:style>
  <w:style w:type="table" w:styleId="TableGrid">
    <w:name w:val="Table Grid"/>
    <w:basedOn w:val="TableNormal"/>
    <w:uiPriority w:val="59"/>
    <w:rsid w:val="002E0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D677E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42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9" ma:contentTypeDescription="Create a new document." ma:contentTypeScope="" ma:versionID="38c34323453ba65d5063f846b1868892">
  <xsd:schema xmlns:xsd="http://www.w3.org/2001/XMLSchema" xmlns:xs="http://www.w3.org/2001/XMLSchema" xmlns:p="http://schemas.microsoft.com/office/2006/metadata/properties" xmlns:ns2="d01b9356-9774-4515-b85f-82788657dd43" xmlns:ns3="9dc7b98a-aa4a-4582-9fad-77df62eff277" targetNamespace="http://schemas.microsoft.com/office/2006/metadata/properties" ma:root="true" ma:fieldsID="043cb6eb6fe9d7b97b41ba51e6f13d2f" ns2:_="" ns3:_="">
    <xsd:import namespace="d01b9356-9774-4515-b85f-82788657dd43"/>
    <xsd:import namespace="9dc7b98a-aa4a-4582-9fad-77df62eff2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3f4b3d30-81ba-4716-83b4-9d6f50458d73}" ma:internalName="TaxCatchAll" ma:showField="CatchAllData" ma:web="9dc7b98a-aa4a-4582-9fad-77df62eff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dc7b98a-aa4a-4582-9fad-77df62eff277">
      <UserInfo>
        <DisplayName/>
        <AccountId xsi:nil="true"/>
        <AccountType/>
      </UserInfo>
    </SharedWithUsers>
    <lcf76f155ced4ddcb4097134ff3c332f xmlns="d01b9356-9774-4515-b85f-82788657dd43">
      <Terms xmlns="http://schemas.microsoft.com/office/infopath/2007/PartnerControls"/>
    </lcf76f155ced4ddcb4097134ff3c332f>
    <TaxCatchAll xmlns="9dc7b98a-aa4a-4582-9fad-77df62eff277" xsi:nil="true"/>
    <_dlc_DocId xmlns="9dc7b98a-aa4a-4582-9fad-77df62eff277">AFMALPS-1462065136-6050</_dlc_DocId>
    <_dlc_DocIdUrl xmlns="9dc7b98a-aa4a-4582-9fad-77df62eff277">
      <Url>https://afmagovau.sharepoint.com/sites/LPS-PROD/_layouts/15/DocIdRedir.aspx?ID=AFMALPS-1462065136-6050</Url>
      <Description>AFMALPS-1462065136-6050</Description>
    </_dlc_DocIdUrl>
    <_dlc_DocIdPersistId xmlns="9dc7b98a-aa4a-4582-9fad-77df62eff2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5A0B7-B87C-4E1C-B3F1-3DCDAC6CB860}">
  <ds:schemaRefs>
    <ds:schemaRef ds:uri="http://schemas.microsoft.com/sharepoint/events"/>
  </ds:schemaRefs>
</ds:datastoreItem>
</file>

<file path=customXml/itemProps2.xml><?xml version="1.0" encoding="utf-8"?>
<ds:datastoreItem xmlns:ds="http://schemas.openxmlformats.org/officeDocument/2006/customXml" ds:itemID="{3E9F06E5-6683-4A60-AC59-DCE81BEF330A}"/>
</file>

<file path=customXml/itemProps3.xml><?xml version="1.0" encoding="utf-8"?>
<ds:datastoreItem xmlns:ds="http://schemas.openxmlformats.org/officeDocument/2006/customXml" ds:itemID="{077BEFCC-88BA-4A06-BC6C-34D401420652}">
  <ds:schemaRefs>
    <ds:schemaRef ds:uri="http://purl.org/dc/term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99314b40-14d6-47ed-8780-63ae4b3d5dbc"/>
    <ds:schemaRef ds:uri="http://schemas.openxmlformats.org/package/2006/metadata/core-properties"/>
    <ds:schemaRef ds:uri="http://schemas.microsoft.com/office/infopath/2007/PartnerControls"/>
    <ds:schemaRef ds:uri="25c56c87-200f-42b8-bfaa-f628246074ac"/>
  </ds:schemaRefs>
</ds:datastoreItem>
</file>

<file path=customXml/itemProps4.xml><?xml version="1.0" encoding="utf-8"?>
<ds:datastoreItem xmlns:ds="http://schemas.openxmlformats.org/officeDocument/2006/customXml" ds:itemID="{9100D5A5-2724-41E1-9435-656A69FE4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1257</Words>
  <Characters>7169</Characters>
  <Application>Microsoft Office Word</Application>
  <DocSecurity>0</DocSecurity>
  <Lines>59</Lines>
  <Paragraphs>16</Paragraphs>
  <ScaleCrop>false</ScaleCrop>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Brendan</dc:creator>
  <cp:keywords/>
  <cp:lastModifiedBy>SMITH, Jeremy</cp:lastModifiedBy>
  <cp:revision>2</cp:revision>
  <cp:lastPrinted>2024-10-21T05:43:00Z</cp:lastPrinted>
  <dcterms:created xsi:type="dcterms:W3CDTF">2024-11-27T23:45:00Z</dcterms:created>
  <dcterms:modified xsi:type="dcterms:W3CDTF">2024-11-27T23:45:00Z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eba01233-3d48-422b-befc-8b87c01b1c81</vt:lpwstr>
  </property>
  <property fmtid="{D5CDD505-2E9C-101B-9397-08002B2CF9AE}" pid="3" name="ContentTypeId">
    <vt:lpwstr>0x01010012922EE4DB6956409625CCB71A6EB15A</vt:lpwstr>
  </property>
  <property fmtid="{D5CDD505-2E9C-101B-9397-08002B2CF9AE}" pid="4" name="_dlc_DocIdItemGuid">
    <vt:lpwstr>e1c6161e-ab0a-464b-b99b-728f4d5a7850</vt:lpwstr>
  </property>
  <property fmtid="{D5CDD505-2E9C-101B-9397-08002B2CF9AE}" pid="5" name="MediaServiceImageTags">
    <vt:lpwstr/>
  </property>
  <property fmtid="{D5CDD505-2E9C-101B-9397-08002B2CF9AE}" pid="6" name="Order">
    <vt:r8>3217300</vt:r8>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DocumentStatus">
    <vt:lpwstr>CEO Cleared</vt:lpwstr>
  </property>
  <property fmtid="{D5CDD505-2E9C-101B-9397-08002B2CF9AE}" pid="14" name="SEC">
    <vt:lpwstr>OFFICIAL</vt:lpwstr>
  </property>
  <property fmtid="{D5CDD505-2E9C-101B-9397-08002B2CF9AE}" pid="15" name="ApplyMark">
    <vt:lpwstr>false</vt:lpwstr>
  </property>
</Properties>
</file>