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01D5A" w14:textId="3AD3B77E" w:rsidR="003711C5" w:rsidRPr="00514A9A" w:rsidRDefault="00514A9A" w:rsidP="003711C5">
      <w:pPr>
        <w:pStyle w:val="Default"/>
        <w:rPr>
          <w:u w:val="single"/>
        </w:rPr>
      </w:pPr>
      <w:r>
        <w:tab/>
      </w:r>
      <w:r>
        <w:tab/>
      </w:r>
      <w:r>
        <w:tab/>
      </w:r>
      <w:r>
        <w:tab/>
      </w:r>
      <w:r>
        <w:tab/>
      </w:r>
      <w:r>
        <w:tab/>
      </w:r>
      <w:r>
        <w:tab/>
      </w:r>
      <w:r>
        <w:tab/>
      </w:r>
      <w:r>
        <w:tab/>
      </w:r>
      <w:r>
        <w:tab/>
      </w:r>
    </w:p>
    <w:p w14:paraId="62DA04A9" w14:textId="77777777" w:rsidR="00514A9A" w:rsidRDefault="00514A9A" w:rsidP="003711C5">
      <w:pPr>
        <w:pStyle w:val="Default"/>
      </w:pPr>
    </w:p>
    <w:p w14:paraId="0B279EF8" w14:textId="77777777" w:rsidR="00514A9A" w:rsidRDefault="00514A9A" w:rsidP="003711C5">
      <w:pPr>
        <w:pStyle w:val="Default"/>
      </w:pPr>
    </w:p>
    <w:p w14:paraId="5242E5D4" w14:textId="47022130" w:rsidR="003711C5" w:rsidRPr="00180CFE" w:rsidRDefault="003711C5" w:rsidP="002C3F51">
      <w:pPr>
        <w:pStyle w:val="Default"/>
        <w:jc w:val="center"/>
      </w:pPr>
      <w:r w:rsidRPr="00180CFE">
        <w:rPr>
          <w:b/>
          <w:bCs/>
        </w:rPr>
        <w:t>EXPLANATORY STATEMENT</w:t>
      </w:r>
    </w:p>
    <w:p w14:paraId="4D31D6F9" w14:textId="77777777" w:rsidR="003711C5" w:rsidRPr="00180CFE" w:rsidRDefault="003711C5" w:rsidP="003711C5">
      <w:pPr>
        <w:pStyle w:val="Default"/>
      </w:pPr>
    </w:p>
    <w:p w14:paraId="6B77D193" w14:textId="0C10DD0F" w:rsidR="003711C5" w:rsidRPr="00180CFE" w:rsidRDefault="003711C5" w:rsidP="003711C5">
      <w:pPr>
        <w:pStyle w:val="Default"/>
        <w:jc w:val="center"/>
        <w:rPr>
          <w:b/>
          <w:bCs/>
          <w:i/>
          <w:iCs/>
        </w:rPr>
      </w:pPr>
      <w:r w:rsidRPr="00180CFE">
        <w:rPr>
          <w:b/>
          <w:bCs/>
          <w:i/>
          <w:iCs/>
        </w:rPr>
        <w:t>Dental Benefits Act 2008</w:t>
      </w:r>
    </w:p>
    <w:p w14:paraId="6B43DC08" w14:textId="77777777" w:rsidR="003711C5" w:rsidRPr="00180CFE" w:rsidRDefault="003711C5" w:rsidP="003711C5">
      <w:pPr>
        <w:pStyle w:val="Default"/>
        <w:jc w:val="center"/>
      </w:pPr>
    </w:p>
    <w:p w14:paraId="6EAFF341" w14:textId="1D312788" w:rsidR="003711C5" w:rsidRPr="00180CFE" w:rsidRDefault="003711C5" w:rsidP="003711C5">
      <w:pPr>
        <w:pStyle w:val="Default"/>
        <w:jc w:val="center"/>
        <w:rPr>
          <w:b/>
          <w:bCs/>
          <w:i/>
          <w:iCs/>
        </w:rPr>
      </w:pPr>
      <w:r w:rsidRPr="00180CFE">
        <w:rPr>
          <w:b/>
          <w:bCs/>
          <w:i/>
          <w:iCs/>
        </w:rPr>
        <w:t>Dental Benefits Amendment Rules (No. 1) 2024</w:t>
      </w:r>
    </w:p>
    <w:p w14:paraId="00DB42C9" w14:textId="77777777" w:rsidR="003711C5" w:rsidRPr="00180CFE" w:rsidRDefault="003711C5" w:rsidP="003711C5">
      <w:pPr>
        <w:pStyle w:val="Default"/>
        <w:jc w:val="center"/>
      </w:pPr>
    </w:p>
    <w:p w14:paraId="6F13F261" w14:textId="01DF45BC" w:rsidR="003711C5" w:rsidRPr="00180CFE" w:rsidRDefault="003711C5" w:rsidP="003711C5">
      <w:pPr>
        <w:pStyle w:val="Default"/>
        <w:rPr>
          <w:b/>
          <w:bCs/>
        </w:rPr>
      </w:pPr>
      <w:r w:rsidRPr="00180CFE">
        <w:rPr>
          <w:b/>
          <w:bCs/>
        </w:rPr>
        <w:t>Purpose</w:t>
      </w:r>
      <w:r w:rsidR="002C3F51" w:rsidRPr="00180CFE">
        <w:rPr>
          <w:b/>
          <w:bCs/>
        </w:rPr>
        <w:t xml:space="preserve"> and operation</w:t>
      </w:r>
    </w:p>
    <w:p w14:paraId="2D991242" w14:textId="77777777" w:rsidR="003711C5" w:rsidRPr="00180CFE" w:rsidRDefault="003711C5" w:rsidP="003711C5">
      <w:pPr>
        <w:pStyle w:val="Default"/>
      </w:pPr>
    </w:p>
    <w:p w14:paraId="6B46777C" w14:textId="4675194A" w:rsidR="003711C5" w:rsidRPr="00180CFE" w:rsidRDefault="003711C5" w:rsidP="003711C5">
      <w:pPr>
        <w:pStyle w:val="Default"/>
      </w:pPr>
      <w:r w:rsidRPr="00180CFE">
        <w:t xml:space="preserve">The </w:t>
      </w:r>
      <w:r w:rsidRPr="00180CFE">
        <w:rPr>
          <w:i/>
          <w:iCs/>
        </w:rPr>
        <w:t xml:space="preserve">Dental Benefits Amendment Rules (No. 1) 2024 </w:t>
      </w:r>
      <w:r w:rsidRPr="00180CFE">
        <w:t xml:space="preserve">(the Amendment Rules) amend the </w:t>
      </w:r>
      <w:r w:rsidRPr="00180CFE">
        <w:rPr>
          <w:i/>
          <w:iCs/>
        </w:rPr>
        <w:t xml:space="preserve">Dental Benefits Rules 2014 </w:t>
      </w:r>
      <w:r w:rsidRPr="00180CFE">
        <w:t xml:space="preserve">(the Rules) to reflect indexation of the amount of dental benefit payable for dental service items in Schedule 1 and of the benefit limits cap amount in Schedule 3 to the Rules, effective from 1 January 2025. </w:t>
      </w:r>
    </w:p>
    <w:p w14:paraId="6F0B22EB" w14:textId="77777777" w:rsidR="003711C5" w:rsidRPr="00180CFE" w:rsidRDefault="003711C5" w:rsidP="003711C5">
      <w:pPr>
        <w:pStyle w:val="Default"/>
      </w:pPr>
    </w:p>
    <w:p w14:paraId="0962C0D1" w14:textId="77777777" w:rsidR="003711C5" w:rsidRPr="00180CFE" w:rsidRDefault="003711C5" w:rsidP="003711C5">
      <w:pPr>
        <w:pStyle w:val="Default"/>
      </w:pPr>
      <w:r w:rsidRPr="00180CFE">
        <w:t xml:space="preserve">The Rules provide for the Child Dental Benefits Schedule (CDBS), which sets out items specifying dental services, the amount of dental benefit payable, and the method for determining the amount, in respect of a dental service. The Rules also set out a specified monetary limit on the amount of dental benefit payable in respect of specified dental services provided to specified eligible dental patients during specified periods. </w:t>
      </w:r>
    </w:p>
    <w:p w14:paraId="6561577F" w14:textId="77777777" w:rsidR="003711C5" w:rsidRPr="00180CFE" w:rsidRDefault="003711C5" w:rsidP="003711C5">
      <w:pPr>
        <w:pStyle w:val="Default"/>
      </w:pPr>
    </w:p>
    <w:p w14:paraId="2C8BD3A4" w14:textId="79CFBA61" w:rsidR="003711C5" w:rsidRPr="00180CFE" w:rsidRDefault="003711C5" w:rsidP="003711C5">
      <w:pPr>
        <w:pStyle w:val="Default"/>
      </w:pPr>
      <w:r w:rsidRPr="00180CFE">
        <w:t>Schedule 1 to the Rules lists the dental items covered under the CDBS and the amount of benefit payable for each item. On 1 January 202</w:t>
      </w:r>
      <w:r w:rsidR="00C84F5F" w:rsidRPr="00180CFE">
        <w:t>5</w:t>
      </w:r>
      <w:r w:rsidRPr="00180CFE">
        <w:t xml:space="preserve">, indexation is to be applied, by the Amendment Rules, to each item listed in Schedule 1. </w:t>
      </w:r>
    </w:p>
    <w:p w14:paraId="12706200" w14:textId="77777777" w:rsidR="003711C5" w:rsidRPr="00180CFE" w:rsidRDefault="003711C5" w:rsidP="003711C5">
      <w:pPr>
        <w:pStyle w:val="Default"/>
      </w:pPr>
    </w:p>
    <w:p w14:paraId="657FC97A" w14:textId="6ACD9BB8" w:rsidR="003711C5" w:rsidRPr="00180CFE" w:rsidRDefault="003711C5" w:rsidP="003711C5">
      <w:pPr>
        <w:pStyle w:val="Default"/>
      </w:pPr>
      <w:r w:rsidRPr="00180CFE">
        <w:t>Schedule 3 of the Rules lists the benefit limits cap amount for each two-year calendar period. On 1 January 202</w:t>
      </w:r>
      <w:r w:rsidR="00C84F5F" w:rsidRPr="00180CFE">
        <w:t>5</w:t>
      </w:r>
      <w:r w:rsidRPr="00180CFE">
        <w:t>, indexation is to be applied, by the Amendment Rules, to the benefit cap amount increasing the benefit cap amount from $1,0</w:t>
      </w:r>
      <w:r w:rsidR="00C84F5F" w:rsidRPr="00180CFE">
        <w:t>95</w:t>
      </w:r>
      <w:r w:rsidRPr="00180CFE">
        <w:t xml:space="preserve"> to $1,</w:t>
      </w:r>
      <w:r w:rsidR="00C84F5F" w:rsidRPr="00180CFE">
        <w:t>132</w:t>
      </w:r>
      <w:r w:rsidRPr="00180CFE">
        <w:t xml:space="preserve"> for </w:t>
      </w:r>
      <w:r w:rsidR="007B7497" w:rsidRPr="00180CFE">
        <w:t xml:space="preserve">the </w:t>
      </w:r>
      <w:r w:rsidRPr="00180CFE">
        <w:t>202</w:t>
      </w:r>
      <w:r w:rsidR="00C84F5F" w:rsidRPr="00180CFE">
        <w:t>5</w:t>
      </w:r>
      <w:r w:rsidRPr="00180CFE">
        <w:t>-202</w:t>
      </w:r>
      <w:r w:rsidR="00C84F5F" w:rsidRPr="00180CFE">
        <w:t>6</w:t>
      </w:r>
      <w:r w:rsidRPr="00180CFE">
        <w:t xml:space="preserve"> relevant two-year period.</w:t>
      </w:r>
    </w:p>
    <w:p w14:paraId="0B42F985" w14:textId="7C6C6586" w:rsidR="003711C5" w:rsidRPr="00180CFE" w:rsidRDefault="003711C5" w:rsidP="003711C5">
      <w:pPr>
        <w:pStyle w:val="Default"/>
      </w:pPr>
      <w:r w:rsidRPr="00180CFE">
        <w:t xml:space="preserve"> </w:t>
      </w:r>
    </w:p>
    <w:p w14:paraId="236B2CF9" w14:textId="0C33C799" w:rsidR="003711C5" w:rsidRPr="00180CFE" w:rsidRDefault="003711C5" w:rsidP="003711C5">
      <w:pPr>
        <w:pStyle w:val="Default"/>
      </w:pPr>
      <w:r w:rsidRPr="00180CFE">
        <w:t>The indexed cap rate will apply from 1 January 2025 until 31 December 2025. However, the cap amount for the two-year calendar period commences in the year in which the child first accesses services. For example, if a child first accessed benefits in 202</w:t>
      </w:r>
      <w:r w:rsidR="00C84F5F" w:rsidRPr="00180CFE">
        <w:t>4</w:t>
      </w:r>
      <w:r w:rsidRPr="00180CFE">
        <w:t xml:space="preserve"> the 202</w:t>
      </w:r>
      <w:r w:rsidR="00C84F5F" w:rsidRPr="00180CFE">
        <w:t>3</w:t>
      </w:r>
      <w:r w:rsidRPr="00180CFE">
        <w:t>-202</w:t>
      </w:r>
      <w:r w:rsidR="00C84F5F" w:rsidRPr="00180CFE">
        <w:t>4</w:t>
      </w:r>
      <w:r w:rsidRPr="00180CFE">
        <w:t xml:space="preserve"> cap of $1,0</w:t>
      </w:r>
      <w:r w:rsidR="00C84F5F" w:rsidRPr="00180CFE">
        <w:t>95</w:t>
      </w:r>
      <w:r w:rsidRPr="00180CFE">
        <w:t xml:space="preserve"> applies. If a child first accesses benefits in 202</w:t>
      </w:r>
      <w:r w:rsidR="00C84F5F" w:rsidRPr="00180CFE">
        <w:t>5</w:t>
      </w:r>
      <w:r w:rsidRPr="00180CFE">
        <w:t xml:space="preserve"> the 202</w:t>
      </w:r>
      <w:r w:rsidR="00C84F5F" w:rsidRPr="00180CFE">
        <w:t>5</w:t>
      </w:r>
      <w:r w:rsidRPr="00180CFE">
        <w:t>-202</w:t>
      </w:r>
      <w:r w:rsidR="00C84F5F" w:rsidRPr="00180CFE">
        <w:t>6</w:t>
      </w:r>
      <w:r w:rsidRPr="00180CFE">
        <w:t xml:space="preserve"> cap of $1,</w:t>
      </w:r>
      <w:r w:rsidR="00C84F5F" w:rsidRPr="00180CFE">
        <w:t>132</w:t>
      </w:r>
      <w:r w:rsidRPr="00180CFE">
        <w:t xml:space="preserve"> applies. </w:t>
      </w:r>
    </w:p>
    <w:p w14:paraId="17137FF2" w14:textId="77777777" w:rsidR="003711C5" w:rsidRPr="00180CFE" w:rsidRDefault="003711C5" w:rsidP="003711C5">
      <w:pPr>
        <w:pStyle w:val="Default"/>
      </w:pPr>
    </w:p>
    <w:p w14:paraId="61A91523" w14:textId="77777777" w:rsidR="003711C5" w:rsidRPr="00180CFE" w:rsidRDefault="003711C5" w:rsidP="003711C5">
      <w:pPr>
        <w:pStyle w:val="Default"/>
        <w:rPr>
          <w:b/>
          <w:bCs/>
        </w:rPr>
      </w:pPr>
      <w:r w:rsidRPr="00180CFE">
        <w:rPr>
          <w:b/>
          <w:bCs/>
        </w:rPr>
        <w:t xml:space="preserve">Authority </w:t>
      </w:r>
    </w:p>
    <w:p w14:paraId="04FD3BDE" w14:textId="77777777" w:rsidR="003711C5" w:rsidRPr="00180CFE" w:rsidRDefault="003711C5" w:rsidP="003711C5">
      <w:pPr>
        <w:pStyle w:val="Default"/>
      </w:pPr>
    </w:p>
    <w:p w14:paraId="2E9CC0E6" w14:textId="77777777" w:rsidR="003711C5" w:rsidRPr="00180CFE" w:rsidRDefault="003711C5" w:rsidP="003711C5">
      <w:pPr>
        <w:pStyle w:val="Default"/>
      </w:pPr>
      <w:r w:rsidRPr="00180CFE">
        <w:t xml:space="preserve">Subsection 60(1) of the </w:t>
      </w:r>
      <w:r w:rsidRPr="00180CFE">
        <w:rPr>
          <w:i/>
          <w:iCs/>
        </w:rPr>
        <w:t xml:space="preserve">Dental Benefits Act 2008 </w:t>
      </w:r>
      <w:r w:rsidRPr="00180CFE">
        <w:t xml:space="preserve">(the Act) provides that the Minister may, by legislative instrument, make Dental Benefits Rules providing for matters required, or permitted by the Act to be provided, or necessary or convenient to be provided to carry out or give effect to the Act. </w:t>
      </w:r>
    </w:p>
    <w:p w14:paraId="2AD0E629" w14:textId="77777777" w:rsidR="002C3F51" w:rsidRPr="00180CFE" w:rsidRDefault="002C3F51" w:rsidP="002C3F51">
      <w:pPr>
        <w:autoSpaceDE w:val="0"/>
        <w:autoSpaceDN w:val="0"/>
        <w:adjustRightInd w:val="0"/>
        <w:spacing w:after="0" w:line="240" w:lineRule="auto"/>
        <w:rPr>
          <w:rFonts w:ascii="Times New Roman" w:hAnsi="Times New Roman" w:cs="Times New Roman"/>
          <w:color w:val="000000"/>
          <w:sz w:val="24"/>
          <w:szCs w:val="24"/>
        </w:rPr>
      </w:pPr>
    </w:p>
    <w:p w14:paraId="1E1D723E" w14:textId="5EB397BC" w:rsidR="002C3F51" w:rsidRPr="00180CFE" w:rsidRDefault="002C3F51" w:rsidP="002C3F51">
      <w:pPr>
        <w:autoSpaceDE w:val="0"/>
        <w:autoSpaceDN w:val="0"/>
        <w:adjustRightInd w:val="0"/>
        <w:spacing w:after="0" w:line="240" w:lineRule="auto"/>
        <w:rPr>
          <w:rFonts w:ascii="Times New Roman" w:hAnsi="Times New Roman" w:cs="Times New Roman"/>
          <w:color w:val="000000"/>
          <w:sz w:val="24"/>
          <w:szCs w:val="24"/>
        </w:rPr>
      </w:pPr>
      <w:r w:rsidRPr="00180CFE">
        <w:rPr>
          <w:rFonts w:ascii="Times New Roman" w:hAnsi="Times New Roman" w:cs="Times New Roman"/>
          <w:b/>
          <w:bCs/>
          <w:color w:val="000000"/>
          <w:sz w:val="24"/>
          <w:szCs w:val="24"/>
        </w:rPr>
        <w:t xml:space="preserve">Reliance on subsection 33(3) of the </w:t>
      </w:r>
      <w:r w:rsidRPr="00180CFE">
        <w:rPr>
          <w:rFonts w:ascii="Times New Roman" w:hAnsi="Times New Roman" w:cs="Times New Roman"/>
          <w:b/>
          <w:bCs/>
          <w:i/>
          <w:iCs/>
          <w:color w:val="000000"/>
          <w:sz w:val="24"/>
          <w:szCs w:val="24"/>
        </w:rPr>
        <w:t>Acts Interpretation Act 1901</w:t>
      </w:r>
    </w:p>
    <w:p w14:paraId="6AB47316" w14:textId="77777777" w:rsidR="002C3F51" w:rsidRPr="00180CFE" w:rsidRDefault="002C3F51" w:rsidP="002C3F51">
      <w:pPr>
        <w:autoSpaceDE w:val="0"/>
        <w:autoSpaceDN w:val="0"/>
        <w:adjustRightInd w:val="0"/>
        <w:spacing w:after="0" w:line="240" w:lineRule="auto"/>
        <w:rPr>
          <w:rFonts w:ascii="Times New Roman" w:hAnsi="Times New Roman" w:cs="Times New Roman"/>
          <w:color w:val="000000"/>
          <w:sz w:val="24"/>
          <w:szCs w:val="24"/>
        </w:rPr>
      </w:pPr>
    </w:p>
    <w:p w14:paraId="27B00689" w14:textId="77777777" w:rsidR="002C3F51" w:rsidRPr="00180CFE" w:rsidRDefault="002C3F51" w:rsidP="002C3F51">
      <w:pPr>
        <w:autoSpaceDE w:val="0"/>
        <w:autoSpaceDN w:val="0"/>
        <w:adjustRightInd w:val="0"/>
        <w:spacing w:after="0" w:line="240" w:lineRule="auto"/>
        <w:rPr>
          <w:rFonts w:ascii="Times New Roman" w:hAnsi="Times New Roman" w:cs="Times New Roman"/>
          <w:color w:val="000000"/>
          <w:sz w:val="24"/>
          <w:szCs w:val="24"/>
        </w:rPr>
      </w:pPr>
      <w:r w:rsidRPr="00180CFE">
        <w:rPr>
          <w:rFonts w:ascii="Times New Roman" w:hAnsi="Times New Roman" w:cs="Times New Roman"/>
          <w:color w:val="000000"/>
          <w:sz w:val="24"/>
          <w:szCs w:val="24"/>
        </w:rPr>
        <w:t xml:space="preserve">Subsection 33(3) of the </w:t>
      </w:r>
      <w:r w:rsidRPr="00180CFE">
        <w:rPr>
          <w:rFonts w:ascii="Times New Roman" w:hAnsi="Times New Roman" w:cs="Times New Roman"/>
          <w:i/>
          <w:iCs/>
          <w:color w:val="000000"/>
          <w:sz w:val="24"/>
          <w:szCs w:val="24"/>
        </w:rPr>
        <w:t>Acts Interpretation Act 1901</w:t>
      </w:r>
      <w:r w:rsidRPr="00180CFE">
        <w:rPr>
          <w:rFonts w:ascii="Times New Roman" w:hAnsi="Times New Roman" w:cs="Times New Roman"/>
          <w:color w:val="000000"/>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008D698" w14:textId="77777777" w:rsidR="002C3F51" w:rsidRPr="00180CFE" w:rsidRDefault="002C3F51" w:rsidP="003711C5">
      <w:pPr>
        <w:pStyle w:val="Default"/>
      </w:pPr>
    </w:p>
    <w:p w14:paraId="75D3EBB2" w14:textId="77777777" w:rsidR="002C3F51" w:rsidRPr="00180CFE" w:rsidRDefault="002C3F51" w:rsidP="003711C5">
      <w:pPr>
        <w:pStyle w:val="Default"/>
      </w:pPr>
    </w:p>
    <w:p w14:paraId="79EAA66D" w14:textId="77777777" w:rsidR="00AC065E" w:rsidRPr="00180CFE" w:rsidRDefault="00AC065E" w:rsidP="003711C5">
      <w:pPr>
        <w:pStyle w:val="Default"/>
      </w:pPr>
    </w:p>
    <w:p w14:paraId="3E09238B" w14:textId="77777777" w:rsidR="002C3F51" w:rsidRPr="00180CFE" w:rsidRDefault="002C3F51" w:rsidP="002C3F51">
      <w:pPr>
        <w:pStyle w:val="Default"/>
        <w:rPr>
          <w:b/>
          <w:bCs/>
        </w:rPr>
      </w:pPr>
      <w:r w:rsidRPr="00180CFE">
        <w:rPr>
          <w:b/>
          <w:bCs/>
        </w:rPr>
        <w:t xml:space="preserve">Commencement </w:t>
      </w:r>
    </w:p>
    <w:p w14:paraId="7FA5676E" w14:textId="77777777" w:rsidR="002C3F51" w:rsidRPr="00180CFE" w:rsidRDefault="002C3F51" w:rsidP="002C3F51">
      <w:pPr>
        <w:pStyle w:val="Default"/>
      </w:pPr>
    </w:p>
    <w:p w14:paraId="59F95F04" w14:textId="758967C5" w:rsidR="003711C5" w:rsidRPr="00180CFE" w:rsidRDefault="002C3F51" w:rsidP="00501DDF">
      <w:pPr>
        <w:pStyle w:val="Default"/>
      </w:pPr>
      <w:r w:rsidRPr="00180CFE">
        <w:t xml:space="preserve">The Amendment Rules are a disallowable legislative instrument for the purposes of the </w:t>
      </w:r>
      <w:r w:rsidRPr="00180CFE">
        <w:rPr>
          <w:i/>
          <w:iCs/>
        </w:rPr>
        <w:t>Legislation Act 2003</w:t>
      </w:r>
      <w:r w:rsidRPr="00180CFE">
        <w:t>. The Amendment Rules commence on 1 January 2025.</w:t>
      </w:r>
    </w:p>
    <w:p w14:paraId="5D2D7CF7" w14:textId="77777777" w:rsidR="00501DDF" w:rsidRPr="00180CFE" w:rsidRDefault="00501DDF" w:rsidP="00501DDF">
      <w:pPr>
        <w:pStyle w:val="Default"/>
      </w:pPr>
    </w:p>
    <w:p w14:paraId="131AFC8C" w14:textId="77777777" w:rsidR="002C3F51" w:rsidRPr="00180CFE" w:rsidRDefault="002C3F51" w:rsidP="002C3F51">
      <w:pPr>
        <w:autoSpaceDE w:val="0"/>
        <w:autoSpaceDN w:val="0"/>
        <w:adjustRightInd w:val="0"/>
        <w:spacing w:after="0" w:line="240" w:lineRule="auto"/>
        <w:rPr>
          <w:rFonts w:ascii="Times New Roman" w:hAnsi="Times New Roman" w:cs="Times New Roman"/>
          <w:b/>
          <w:bCs/>
          <w:color w:val="000000"/>
          <w:sz w:val="24"/>
          <w:szCs w:val="24"/>
        </w:rPr>
      </w:pPr>
      <w:r w:rsidRPr="00180CFE">
        <w:rPr>
          <w:rFonts w:ascii="Times New Roman" w:hAnsi="Times New Roman" w:cs="Times New Roman"/>
          <w:b/>
          <w:bCs/>
          <w:color w:val="000000"/>
          <w:sz w:val="24"/>
          <w:szCs w:val="24"/>
        </w:rPr>
        <w:t>Consultation</w:t>
      </w:r>
    </w:p>
    <w:p w14:paraId="657399F1" w14:textId="77777777" w:rsidR="00C84F5F" w:rsidRPr="00180CFE" w:rsidRDefault="00C84F5F" w:rsidP="003711C5">
      <w:pPr>
        <w:pStyle w:val="Default"/>
      </w:pPr>
    </w:p>
    <w:p w14:paraId="31803E5C" w14:textId="77777777" w:rsidR="007B7497" w:rsidRPr="00180CFE" w:rsidRDefault="003711C5" w:rsidP="007B7497">
      <w:pPr>
        <w:pStyle w:val="Default"/>
      </w:pPr>
      <w:r w:rsidRPr="00180CFE">
        <w:t xml:space="preserve">Consultation was undertaken with Services Australia, which administers the dental benefits program, to ensure its claiming and notification systems have been updated to reflect the indexed benefit limit cap amount and indexed schedule fee rates that come into effect on 1 January 2025. </w:t>
      </w:r>
      <w:r w:rsidR="007B7497" w:rsidRPr="00180CFE">
        <w:t>No further consultation was undertaken. The level of consultation reflects the administrative nature of the changes and the underlying principle that indexation will be applied annually.</w:t>
      </w:r>
    </w:p>
    <w:p w14:paraId="0061A24D" w14:textId="4DEDBD3E" w:rsidR="003711C5" w:rsidRPr="00180CFE" w:rsidRDefault="003711C5" w:rsidP="003711C5">
      <w:pPr>
        <w:pStyle w:val="Default"/>
      </w:pPr>
    </w:p>
    <w:p w14:paraId="79EC1B07" w14:textId="2F25945A" w:rsidR="002C3F51" w:rsidRPr="00180CFE" w:rsidRDefault="002C3F51" w:rsidP="002C3F51">
      <w:pPr>
        <w:autoSpaceDE w:val="0"/>
        <w:autoSpaceDN w:val="0"/>
        <w:adjustRightInd w:val="0"/>
        <w:spacing w:after="0" w:line="240" w:lineRule="auto"/>
        <w:rPr>
          <w:rFonts w:ascii="Times New Roman" w:hAnsi="Times New Roman" w:cs="Times New Roman"/>
          <w:b/>
          <w:bCs/>
          <w:color w:val="000000"/>
          <w:sz w:val="24"/>
          <w:szCs w:val="24"/>
        </w:rPr>
      </w:pPr>
      <w:r w:rsidRPr="00180CFE">
        <w:rPr>
          <w:rFonts w:ascii="Times New Roman" w:hAnsi="Times New Roman" w:cs="Times New Roman"/>
          <w:b/>
          <w:bCs/>
          <w:color w:val="000000"/>
          <w:sz w:val="24"/>
          <w:szCs w:val="24"/>
        </w:rPr>
        <w:t>General</w:t>
      </w:r>
    </w:p>
    <w:p w14:paraId="1E8CA2F4" w14:textId="77777777" w:rsidR="002C3F51" w:rsidRPr="00180CFE" w:rsidRDefault="002C3F51" w:rsidP="002C3F51">
      <w:pPr>
        <w:autoSpaceDE w:val="0"/>
        <w:autoSpaceDN w:val="0"/>
        <w:adjustRightInd w:val="0"/>
        <w:spacing w:after="0" w:line="240" w:lineRule="auto"/>
        <w:rPr>
          <w:rFonts w:ascii="Times New Roman" w:hAnsi="Times New Roman" w:cs="Times New Roman"/>
          <w:color w:val="000000"/>
          <w:sz w:val="24"/>
          <w:szCs w:val="24"/>
        </w:rPr>
      </w:pPr>
    </w:p>
    <w:p w14:paraId="14544023" w14:textId="77777777" w:rsidR="002C3F51" w:rsidRPr="00180CFE" w:rsidRDefault="002C3F51" w:rsidP="002C3F51">
      <w:pPr>
        <w:autoSpaceDE w:val="0"/>
        <w:autoSpaceDN w:val="0"/>
        <w:adjustRightInd w:val="0"/>
        <w:spacing w:after="0" w:line="240" w:lineRule="auto"/>
        <w:rPr>
          <w:rFonts w:ascii="Times New Roman" w:hAnsi="Times New Roman" w:cs="Times New Roman"/>
          <w:color w:val="000000"/>
          <w:sz w:val="24"/>
          <w:szCs w:val="24"/>
        </w:rPr>
      </w:pPr>
      <w:r w:rsidRPr="00180CFE">
        <w:rPr>
          <w:rFonts w:ascii="Times New Roman" w:hAnsi="Times New Roman" w:cs="Times New Roman"/>
          <w:color w:val="000000"/>
          <w:sz w:val="24"/>
          <w:szCs w:val="24"/>
        </w:rPr>
        <w:t xml:space="preserve">This instrument is a legislative instrument for the purposes of the </w:t>
      </w:r>
      <w:r w:rsidRPr="00180CFE">
        <w:rPr>
          <w:rFonts w:ascii="Times New Roman" w:hAnsi="Times New Roman" w:cs="Times New Roman"/>
          <w:i/>
          <w:iCs/>
          <w:color w:val="000000"/>
          <w:sz w:val="24"/>
          <w:szCs w:val="24"/>
        </w:rPr>
        <w:t>Legislation Act 2003</w:t>
      </w:r>
      <w:r w:rsidRPr="00180CFE">
        <w:rPr>
          <w:rFonts w:ascii="Times New Roman" w:hAnsi="Times New Roman" w:cs="Times New Roman"/>
          <w:color w:val="000000"/>
          <w:sz w:val="24"/>
          <w:szCs w:val="24"/>
        </w:rPr>
        <w:t xml:space="preserve">. </w:t>
      </w:r>
    </w:p>
    <w:p w14:paraId="7F2D3BDA" w14:textId="77777777" w:rsidR="002C3F51" w:rsidRPr="00180CFE" w:rsidRDefault="002C3F51" w:rsidP="002C3F51">
      <w:pPr>
        <w:autoSpaceDE w:val="0"/>
        <w:autoSpaceDN w:val="0"/>
        <w:adjustRightInd w:val="0"/>
        <w:spacing w:after="0" w:line="240" w:lineRule="auto"/>
        <w:rPr>
          <w:rFonts w:ascii="Times New Roman" w:hAnsi="Times New Roman" w:cs="Times New Roman"/>
          <w:color w:val="000000"/>
          <w:sz w:val="24"/>
          <w:szCs w:val="24"/>
        </w:rPr>
      </w:pPr>
    </w:p>
    <w:p w14:paraId="055E22CB" w14:textId="77777777" w:rsidR="002C3F51" w:rsidRPr="00180CFE" w:rsidRDefault="002C3F51" w:rsidP="002C3F51">
      <w:pPr>
        <w:autoSpaceDE w:val="0"/>
        <w:autoSpaceDN w:val="0"/>
        <w:adjustRightInd w:val="0"/>
        <w:spacing w:after="0" w:line="240" w:lineRule="auto"/>
        <w:rPr>
          <w:rFonts w:ascii="Times New Roman" w:hAnsi="Times New Roman" w:cs="Times New Roman"/>
          <w:color w:val="000000"/>
          <w:sz w:val="24"/>
          <w:szCs w:val="24"/>
        </w:rPr>
      </w:pPr>
      <w:r w:rsidRPr="00180CFE">
        <w:rPr>
          <w:rFonts w:ascii="Times New Roman" w:hAnsi="Times New Roman" w:cs="Times New Roman"/>
          <w:color w:val="000000"/>
          <w:sz w:val="24"/>
          <w:szCs w:val="24"/>
        </w:rPr>
        <w:t xml:space="preserve">Details of this instrument are set out in </w:t>
      </w:r>
      <w:r w:rsidRPr="00180CFE">
        <w:rPr>
          <w:rFonts w:ascii="Times New Roman" w:hAnsi="Times New Roman" w:cs="Times New Roman"/>
          <w:b/>
          <w:bCs/>
          <w:color w:val="000000"/>
          <w:sz w:val="24"/>
          <w:szCs w:val="24"/>
        </w:rPr>
        <w:t>Attachment A</w:t>
      </w:r>
      <w:r w:rsidRPr="00180CFE">
        <w:rPr>
          <w:rFonts w:ascii="Times New Roman" w:hAnsi="Times New Roman" w:cs="Times New Roman"/>
          <w:color w:val="000000"/>
          <w:sz w:val="24"/>
          <w:szCs w:val="24"/>
        </w:rPr>
        <w:t>.</w:t>
      </w:r>
    </w:p>
    <w:p w14:paraId="07697E52" w14:textId="77777777" w:rsidR="002C3F51" w:rsidRPr="00180CFE" w:rsidRDefault="002C3F51" w:rsidP="002C3F51">
      <w:pPr>
        <w:autoSpaceDE w:val="0"/>
        <w:autoSpaceDN w:val="0"/>
        <w:adjustRightInd w:val="0"/>
        <w:spacing w:after="0" w:line="240" w:lineRule="auto"/>
        <w:rPr>
          <w:rFonts w:ascii="Times New Roman" w:hAnsi="Times New Roman" w:cs="Times New Roman"/>
          <w:color w:val="000000"/>
          <w:sz w:val="24"/>
          <w:szCs w:val="24"/>
        </w:rPr>
      </w:pPr>
    </w:p>
    <w:p w14:paraId="751FC895" w14:textId="77777777" w:rsidR="002C3F51" w:rsidRPr="00180CFE" w:rsidRDefault="002C3F51" w:rsidP="002C3F51">
      <w:pPr>
        <w:autoSpaceDE w:val="0"/>
        <w:autoSpaceDN w:val="0"/>
        <w:adjustRightInd w:val="0"/>
        <w:spacing w:after="0" w:line="240" w:lineRule="auto"/>
        <w:rPr>
          <w:rFonts w:ascii="Times New Roman" w:hAnsi="Times New Roman" w:cs="Times New Roman"/>
          <w:color w:val="000000"/>
          <w:sz w:val="24"/>
          <w:szCs w:val="24"/>
        </w:rPr>
      </w:pPr>
      <w:r w:rsidRPr="00180CFE">
        <w:rPr>
          <w:rFonts w:ascii="Times New Roman" w:hAnsi="Times New Roman" w:cs="Times New Roman"/>
          <w:color w:val="000000"/>
          <w:sz w:val="24"/>
          <w:szCs w:val="24"/>
        </w:rPr>
        <w:t xml:space="preserve">This instrument is compatible with the human rights and freedoms recognised or declared under section 3 of the </w:t>
      </w:r>
      <w:r w:rsidRPr="00180CFE">
        <w:rPr>
          <w:rFonts w:ascii="Times New Roman" w:hAnsi="Times New Roman" w:cs="Times New Roman"/>
          <w:i/>
          <w:iCs/>
          <w:color w:val="000000"/>
          <w:sz w:val="24"/>
          <w:szCs w:val="24"/>
        </w:rPr>
        <w:t>Human Rights (Parliamentary Scrutiny) Act 2011</w:t>
      </w:r>
      <w:r w:rsidRPr="00180CFE">
        <w:rPr>
          <w:rFonts w:ascii="Times New Roman" w:hAnsi="Times New Roman" w:cs="Times New Roman"/>
          <w:color w:val="000000"/>
          <w:sz w:val="24"/>
          <w:szCs w:val="24"/>
        </w:rPr>
        <w:t xml:space="preserve">. A full statement of compatibility is set out in </w:t>
      </w:r>
      <w:r w:rsidRPr="00180CFE">
        <w:rPr>
          <w:rFonts w:ascii="Times New Roman" w:hAnsi="Times New Roman" w:cs="Times New Roman"/>
          <w:b/>
          <w:bCs/>
          <w:color w:val="000000"/>
          <w:sz w:val="24"/>
          <w:szCs w:val="24"/>
        </w:rPr>
        <w:t>Attachment B</w:t>
      </w:r>
      <w:r w:rsidRPr="00180CFE">
        <w:rPr>
          <w:rFonts w:ascii="Times New Roman" w:hAnsi="Times New Roman" w:cs="Times New Roman"/>
          <w:color w:val="000000"/>
          <w:sz w:val="24"/>
          <w:szCs w:val="24"/>
        </w:rPr>
        <w:t>.</w:t>
      </w:r>
    </w:p>
    <w:p w14:paraId="64571AE8" w14:textId="77777777" w:rsidR="002C3F51" w:rsidRPr="00180CFE" w:rsidRDefault="002C3F51" w:rsidP="002C3F51">
      <w:pPr>
        <w:autoSpaceDE w:val="0"/>
        <w:autoSpaceDN w:val="0"/>
        <w:adjustRightInd w:val="0"/>
        <w:spacing w:after="0" w:line="240" w:lineRule="auto"/>
        <w:rPr>
          <w:rFonts w:ascii="Times New Roman" w:hAnsi="Times New Roman" w:cs="Times New Roman"/>
          <w:color w:val="000000"/>
          <w:sz w:val="24"/>
          <w:szCs w:val="24"/>
        </w:rPr>
      </w:pPr>
    </w:p>
    <w:p w14:paraId="0D60D928" w14:textId="77777777" w:rsidR="002C3F51" w:rsidRPr="00180CFE" w:rsidRDefault="002C3F51" w:rsidP="002C3F51">
      <w:pPr>
        <w:autoSpaceDE w:val="0"/>
        <w:autoSpaceDN w:val="0"/>
        <w:adjustRightInd w:val="0"/>
        <w:spacing w:after="0" w:line="240" w:lineRule="auto"/>
        <w:rPr>
          <w:rFonts w:ascii="Times New Roman" w:hAnsi="Times New Roman" w:cs="Times New Roman"/>
          <w:color w:val="000000"/>
          <w:sz w:val="24"/>
          <w:szCs w:val="24"/>
        </w:rPr>
      </w:pPr>
    </w:p>
    <w:p w14:paraId="09AC2A96" w14:textId="2CEA81F4" w:rsidR="002C3F51" w:rsidRPr="00180CFE" w:rsidRDefault="002C3F51" w:rsidP="002C3F51">
      <w:pPr>
        <w:spacing w:line="278" w:lineRule="auto"/>
        <w:rPr>
          <w:rFonts w:ascii="Times New Roman" w:hAnsi="Times New Roman" w:cs="Times New Roman"/>
          <w:color w:val="000000"/>
          <w:sz w:val="24"/>
          <w:szCs w:val="24"/>
        </w:rPr>
      </w:pPr>
      <w:r w:rsidRPr="00180CFE">
        <w:rPr>
          <w:rFonts w:ascii="Times New Roman" w:hAnsi="Times New Roman" w:cs="Times New Roman"/>
          <w:color w:val="000000"/>
          <w:sz w:val="24"/>
          <w:szCs w:val="24"/>
        </w:rPr>
        <w:br w:type="page"/>
      </w:r>
    </w:p>
    <w:p w14:paraId="106B5C5E" w14:textId="0BC2CC61" w:rsidR="003711C5" w:rsidRPr="00180CFE" w:rsidRDefault="003711C5" w:rsidP="00C84F5F">
      <w:pPr>
        <w:pStyle w:val="Default"/>
        <w:pageBreakBefore/>
        <w:jc w:val="right"/>
      </w:pPr>
      <w:r w:rsidRPr="00180CFE">
        <w:rPr>
          <w:b/>
          <w:bCs/>
        </w:rPr>
        <w:lastRenderedPageBreak/>
        <w:t xml:space="preserve">ATTACHMENT </w:t>
      </w:r>
      <w:r w:rsidR="00514A9A" w:rsidRPr="00180CFE">
        <w:rPr>
          <w:b/>
          <w:bCs/>
        </w:rPr>
        <w:t>A</w:t>
      </w:r>
      <w:r w:rsidRPr="00180CFE">
        <w:rPr>
          <w:b/>
          <w:bCs/>
        </w:rPr>
        <w:t xml:space="preserve"> </w:t>
      </w:r>
    </w:p>
    <w:p w14:paraId="7CB76CC5" w14:textId="140E31F3" w:rsidR="003711C5" w:rsidRPr="00180CFE" w:rsidRDefault="003711C5" w:rsidP="003711C5">
      <w:pPr>
        <w:pStyle w:val="Default"/>
        <w:rPr>
          <w:u w:val="single"/>
        </w:rPr>
      </w:pPr>
      <w:r w:rsidRPr="00180CFE">
        <w:rPr>
          <w:b/>
          <w:bCs/>
          <w:u w:val="single"/>
        </w:rPr>
        <w:t xml:space="preserve">Details of the </w:t>
      </w:r>
      <w:r w:rsidRPr="00180CFE">
        <w:rPr>
          <w:b/>
          <w:bCs/>
          <w:i/>
          <w:iCs/>
          <w:u w:val="single"/>
        </w:rPr>
        <w:t>Dental Benefits Amendment Rules (No</w:t>
      </w:r>
      <w:r w:rsidR="007B7497" w:rsidRPr="00180CFE">
        <w:rPr>
          <w:b/>
          <w:bCs/>
          <w:i/>
          <w:iCs/>
          <w:u w:val="single"/>
        </w:rPr>
        <w:t>.</w:t>
      </w:r>
      <w:r w:rsidRPr="00180CFE">
        <w:rPr>
          <w:b/>
          <w:bCs/>
          <w:i/>
          <w:iCs/>
          <w:u w:val="single"/>
        </w:rPr>
        <w:t xml:space="preserve"> 1) </w:t>
      </w:r>
      <w:r w:rsidR="007B7497" w:rsidRPr="00180CFE">
        <w:rPr>
          <w:b/>
          <w:bCs/>
          <w:i/>
          <w:iCs/>
          <w:u w:val="single"/>
        </w:rPr>
        <w:t>2024</w:t>
      </w:r>
    </w:p>
    <w:p w14:paraId="3A4BBD05" w14:textId="77777777" w:rsidR="003711C5" w:rsidRPr="00180CFE" w:rsidRDefault="003711C5" w:rsidP="003711C5">
      <w:pPr>
        <w:pStyle w:val="Default"/>
      </w:pPr>
    </w:p>
    <w:p w14:paraId="23D4ADB1" w14:textId="01C33EC5" w:rsidR="003711C5" w:rsidRPr="00180CFE" w:rsidRDefault="003711C5" w:rsidP="003711C5">
      <w:pPr>
        <w:pStyle w:val="Default"/>
      </w:pPr>
      <w:r w:rsidRPr="00180CFE">
        <w:rPr>
          <w:b/>
          <w:bCs/>
        </w:rPr>
        <w:t xml:space="preserve">Section 1 – Name </w:t>
      </w:r>
    </w:p>
    <w:p w14:paraId="13774211" w14:textId="77777777" w:rsidR="00C707CE" w:rsidRPr="00180CFE" w:rsidRDefault="00C707CE" w:rsidP="003711C5">
      <w:pPr>
        <w:pStyle w:val="Default"/>
      </w:pPr>
    </w:p>
    <w:p w14:paraId="31182DE7" w14:textId="07A7894B" w:rsidR="003711C5" w:rsidRPr="00180CFE" w:rsidRDefault="003711C5" w:rsidP="003711C5">
      <w:pPr>
        <w:pStyle w:val="Default"/>
      </w:pPr>
      <w:r w:rsidRPr="00180CFE">
        <w:t xml:space="preserve">This section provides that the name of the instrument is the </w:t>
      </w:r>
      <w:r w:rsidRPr="00180CFE">
        <w:rPr>
          <w:i/>
          <w:iCs/>
        </w:rPr>
        <w:t>Dental Benefits Amendment Rules (No. 1) 2024</w:t>
      </w:r>
      <w:r w:rsidR="00C707CE" w:rsidRPr="00180CFE">
        <w:rPr>
          <w:i/>
          <w:iCs/>
        </w:rPr>
        <w:t>.</w:t>
      </w:r>
    </w:p>
    <w:p w14:paraId="26209778" w14:textId="77777777" w:rsidR="003711C5" w:rsidRPr="00180CFE" w:rsidRDefault="003711C5" w:rsidP="003711C5">
      <w:pPr>
        <w:pStyle w:val="Default"/>
      </w:pPr>
    </w:p>
    <w:p w14:paraId="07A5BF27" w14:textId="069F3E2A" w:rsidR="003711C5" w:rsidRPr="00180CFE" w:rsidRDefault="003711C5" w:rsidP="003711C5">
      <w:pPr>
        <w:pStyle w:val="Default"/>
      </w:pPr>
      <w:r w:rsidRPr="00180CFE">
        <w:rPr>
          <w:b/>
          <w:bCs/>
        </w:rPr>
        <w:t xml:space="preserve">Section 2 – Commencement </w:t>
      </w:r>
    </w:p>
    <w:p w14:paraId="6B0D61A9" w14:textId="77777777" w:rsidR="00C707CE" w:rsidRPr="00180CFE" w:rsidRDefault="00C707CE" w:rsidP="003711C5">
      <w:pPr>
        <w:pStyle w:val="Default"/>
      </w:pPr>
    </w:p>
    <w:p w14:paraId="7CA2F289" w14:textId="414ABBA4" w:rsidR="003711C5" w:rsidRPr="00180CFE" w:rsidRDefault="003711C5" w:rsidP="003711C5">
      <w:pPr>
        <w:pStyle w:val="Default"/>
      </w:pPr>
      <w:r w:rsidRPr="00180CFE">
        <w:t xml:space="preserve">This section provides that the Amendment Rules commence on 1 January 2025. </w:t>
      </w:r>
    </w:p>
    <w:p w14:paraId="2C62F927" w14:textId="77777777" w:rsidR="003711C5" w:rsidRPr="00180CFE" w:rsidRDefault="003711C5" w:rsidP="003711C5">
      <w:pPr>
        <w:pStyle w:val="Default"/>
      </w:pPr>
    </w:p>
    <w:p w14:paraId="123F7AE4" w14:textId="4B5F91A3" w:rsidR="003711C5" w:rsidRPr="00180CFE" w:rsidRDefault="003711C5" w:rsidP="003711C5">
      <w:pPr>
        <w:pStyle w:val="Default"/>
      </w:pPr>
      <w:r w:rsidRPr="00180CFE">
        <w:rPr>
          <w:b/>
          <w:bCs/>
        </w:rPr>
        <w:t xml:space="preserve">Section 3 – Authority </w:t>
      </w:r>
    </w:p>
    <w:p w14:paraId="7E92AD59" w14:textId="77777777" w:rsidR="00C707CE" w:rsidRPr="00180CFE" w:rsidRDefault="00C707CE" w:rsidP="003711C5">
      <w:pPr>
        <w:pStyle w:val="Default"/>
      </w:pPr>
    </w:p>
    <w:p w14:paraId="285A3FE4" w14:textId="014992D5" w:rsidR="003711C5" w:rsidRPr="00180CFE" w:rsidRDefault="003711C5" w:rsidP="003711C5">
      <w:pPr>
        <w:pStyle w:val="Default"/>
      </w:pPr>
      <w:r w:rsidRPr="00180CFE">
        <w:t xml:space="preserve">This section provides that the Amendment Rules are made under subsection 60(1) of the </w:t>
      </w:r>
      <w:r w:rsidRPr="00180CFE">
        <w:rPr>
          <w:i/>
          <w:iCs/>
        </w:rPr>
        <w:t>Dental Benefits Act 2008</w:t>
      </w:r>
      <w:r w:rsidRPr="00180CFE">
        <w:t xml:space="preserve">. </w:t>
      </w:r>
    </w:p>
    <w:p w14:paraId="64DAA26E" w14:textId="77777777" w:rsidR="003711C5" w:rsidRPr="00180CFE" w:rsidRDefault="003711C5" w:rsidP="003711C5">
      <w:pPr>
        <w:pStyle w:val="Default"/>
      </w:pPr>
    </w:p>
    <w:p w14:paraId="2951D71C" w14:textId="3B882FBA" w:rsidR="003711C5" w:rsidRPr="00180CFE" w:rsidRDefault="003711C5" w:rsidP="003711C5">
      <w:pPr>
        <w:pStyle w:val="Default"/>
      </w:pPr>
      <w:r w:rsidRPr="00180CFE">
        <w:rPr>
          <w:b/>
          <w:bCs/>
        </w:rPr>
        <w:t>Section 4 – Schedule</w:t>
      </w:r>
      <w:r w:rsidR="002C3F51" w:rsidRPr="00180CFE">
        <w:rPr>
          <w:b/>
          <w:bCs/>
        </w:rPr>
        <w:t>s</w:t>
      </w:r>
      <w:r w:rsidRPr="00180CFE">
        <w:rPr>
          <w:b/>
          <w:bCs/>
        </w:rPr>
        <w:t xml:space="preserve"> </w:t>
      </w:r>
    </w:p>
    <w:p w14:paraId="188AACCE" w14:textId="77777777" w:rsidR="00C707CE" w:rsidRPr="00180CFE" w:rsidRDefault="00C707CE" w:rsidP="003711C5">
      <w:pPr>
        <w:pStyle w:val="Default"/>
      </w:pPr>
    </w:p>
    <w:p w14:paraId="43B61960" w14:textId="5C112378" w:rsidR="003711C5" w:rsidRPr="00180CFE" w:rsidRDefault="003711C5" w:rsidP="003711C5">
      <w:pPr>
        <w:pStyle w:val="Default"/>
      </w:pPr>
      <w:r w:rsidRPr="00180CFE">
        <w:t xml:space="preserve">This section provides that each instrument that is specified in a Schedule to the Amendment Rules is amended or repealed as set out in the applicable items in the Schedule concerned, and any other item in a Schedule to the instrument has effect according to its terms. </w:t>
      </w:r>
    </w:p>
    <w:p w14:paraId="48CB4517" w14:textId="77777777" w:rsidR="003711C5" w:rsidRPr="00180CFE" w:rsidRDefault="003711C5" w:rsidP="003711C5">
      <w:pPr>
        <w:pStyle w:val="Default"/>
      </w:pPr>
    </w:p>
    <w:p w14:paraId="3BF8474D" w14:textId="32963DBD" w:rsidR="003711C5" w:rsidRPr="00180CFE" w:rsidRDefault="003711C5" w:rsidP="003711C5">
      <w:pPr>
        <w:pStyle w:val="Default"/>
      </w:pPr>
      <w:r w:rsidRPr="00180CFE">
        <w:rPr>
          <w:b/>
          <w:bCs/>
        </w:rPr>
        <w:t xml:space="preserve">Schedule 1 – Amendments </w:t>
      </w:r>
    </w:p>
    <w:p w14:paraId="22235E64" w14:textId="77777777" w:rsidR="003711C5" w:rsidRPr="00180CFE" w:rsidRDefault="003711C5" w:rsidP="003711C5">
      <w:pPr>
        <w:pStyle w:val="Default"/>
      </w:pPr>
    </w:p>
    <w:p w14:paraId="6A6E51C1" w14:textId="43294AB2" w:rsidR="003711C5" w:rsidRPr="00180CFE" w:rsidRDefault="003711C5" w:rsidP="003711C5">
      <w:pPr>
        <w:pStyle w:val="Default"/>
        <w:rPr>
          <w:b/>
          <w:bCs/>
        </w:rPr>
      </w:pPr>
      <w:r w:rsidRPr="00180CFE">
        <w:rPr>
          <w:b/>
          <w:bCs/>
        </w:rPr>
        <w:t xml:space="preserve">Item 1 – Schedule 1 – Dental Benefits Schedule </w:t>
      </w:r>
    </w:p>
    <w:p w14:paraId="6CEE73CA" w14:textId="77777777" w:rsidR="00C707CE" w:rsidRPr="00180CFE" w:rsidRDefault="00C707CE" w:rsidP="003711C5">
      <w:pPr>
        <w:pStyle w:val="Default"/>
      </w:pPr>
    </w:p>
    <w:p w14:paraId="25433FFE" w14:textId="7F9F04D3" w:rsidR="003711C5" w:rsidRPr="00180CFE" w:rsidRDefault="007B7497" w:rsidP="003711C5">
      <w:pPr>
        <w:pStyle w:val="Default"/>
      </w:pPr>
      <w:r w:rsidRPr="00180CFE">
        <w:t xml:space="preserve">Item 1 omits the current amounts in the “Benefits ($)” column of the table in Schedule 1 and substitutes the values with the new amounts of benefit payable for each item after indexation is applied. The new amounts were </w:t>
      </w:r>
      <w:r w:rsidR="003711C5" w:rsidRPr="00180CFE">
        <w:t xml:space="preserve">calculated according to a formula supplied by the Department of Finance. </w:t>
      </w:r>
    </w:p>
    <w:p w14:paraId="1DE5FFEC" w14:textId="77777777" w:rsidR="003711C5" w:rsidRPr="00180CFE" w:rsidRDefault="003711C5" w:rsidP="003711C5">
      <w:pPr>
        <w:pStyle w:val="Default"/>
      </w:pPr>
    </w:p>
    <w:p w14:paraId="1FFAB5D0" w14:textId="41E8DFFF" w:rsidR="003711C5" w:rsidRPr="00180CFE" w:rsidRDefault="003711C5" w:rsidP="003711C5">
      <w:pPr>
        <w:pStyle w:val="Default"/>
        <w:rPr>
          <w:b/>
          <w:bCs/>
        </w:rPr>
      </w:pPr>
      <w:r w:rsidRPr="00180CFE">
        <w:rPr>
          <w:b/>
          <w:bCs/>
        </w:rPr>
        <w:t xml:space="preserve">Item 2 – Schedule 3 – Benefit limits </w:t>
      </w:r>
    </w:p>
    <w:p w14:paraId="44BD0DBA" w14:textId="77777777" w:rsidR="00C707CE" w:rsidRPr="00180CFE" w:rsidRDefault="00C707CE" w:rsidP="003711C5">
      <w:pPr>
        <w:pStyle w:val="Default"/>
      </w:pPr>
    </w:p>
    <w:p w14:paraId="65E67E30" w14:textId="128912C8" w:rsidR="00BC3D18" w:rsidRPr="00180CFE" w:rsidRDefault="00BC3D18" w:rsidP="00BC3D18">
      <w:pPr>
        <w:pStyle w:val="Default"/>
      </w:pPr>
      <w:r w:rsidRPr="00180CFE">
        <w:t>Item 2 adds a new item to the table in Schedule 3.</w:t>
      </w:r>
    </w:p>
    <w:p w14:paraId="5683D46C" w14:textId="77777777" w:rsidR="00BC3D18" w:rsidRPr="00180CFE" w:rsidRDefault="00BC3D18" w:rsidP="00BC3D18">
      <w:pPr>
        <w:pStyle w:val="Default"/>
      </w:pPr>
    </w:p>
    <w:p w14:paraId="701DAB6D" w14:textId="2FA24D83" w:rsidR="003711C5" w:rsidRPr="00180CFE" w:rsidRDefault="00BC3D18" w:rsidP="00BC3D18">
      <w:pPr>
        <w:pStyle w:val="Default"/>
      </w:pPr>
      <w:r w:rsidRPr="00180CFE">
        <w:t xml:space="preserve">The effect of this item is that children who commence their two-year cap period </w:t>
      </w:r>
      <w:r w:rsidR="00312D1F" w:rsidRPr="00180CFE">
        <w:t xml:space="preserve">on any date </w:t>
      </w:r>
      <w:r w:rsidRPr="00180CFE">
        <w:t>in 2025 will now have access to up to a $1,132 cap in benefits over the two-year calendar period</w:t>
      </w:r>
      <w:r w:rsidR="00312D1F" w:rsidRPr="00180CFE">
        <w:t xml:space="preserve"> ending on 31 December 2026</w:t>
      </w:r>
      <w:r w:rsidRPr="00180CFE">
        <w:t xml:space="preserve">. The new benefit limit cap reflects the application of indexation, which was </w:t>
      </w:r>
      <w:r w:rsidR="003711C5" w:rsidRPr="00180CFE">
        <w:t xml:space="preserve">calculated according to a formula supplied by the Department of Finance. </w:t>
      </w:r>
    </w:p>
    <w:p w14:paraId="3D465DA6" w14:textId="77777777" w:rsidR="003711C5" w:rsidRPr="00180CFE" w:rsidRDefault="003711C5" w:rsidP="003711C5">
      <w:pPr>
        <w:pStyle w:val="Default"/>
        <w:pageBreakBefore/>
        <w:jc w:val="right"/>
      </w:pPr>
      <w:r w:rsidRPr="00180CFE">
        <w:rPr>
          <w:b/>
          <w:bCs/>
        </w:rPr>
        <w:lastRenderedPageBreak/>
        <w:t xml:space="preserve">ATTACHMENT B </w:t>
      </w:r>
    </w:p>
    <w:p w14:paraId="4550ECE6" w14:textId="77777777" w:rsidR="003711C5" w:rsidRPr="00180CFE" w:rsidRDefault="003711C5" w:rsidP="003711C5">
      <w:pPr>
        <w:pStyle w:val="Default"/>
        <w:jc w:val="center"/>
      </w:pPr>
    </w:p>
    <w:p w14:paraId="4F837641" w14:textId="5A352ECA" w:rsidR="003711C5" w:rsidRPr="00180CFE" w:rsidRDefault="003711C5" w:rsidP="003711C5">
      <w:pPr>
        <w:pStyle w:val="Default"/>
        <w:jc w:val="center"/>
        <w:rPr>
          <w:b/>
          <w:bCs/>
        </w:rPr>
      </w:pPr>
      <w:r w:rsidRPr="00180CFE">
        <w:rPr>
          <w:b/>
          <w:bCs/>
        </w:rPr>
        <w:t>Statement of Compatibility with Human Rights</w:t>
      </w:r>
    </w:p>
    <w:p w14:paraId="5F2E5C1B" w14:textId="77777777" w:rsidR="002C3F51" w:rsidRPr="00180CFE" w:rsidRDefault="002C3F51" w:rsidP="003711C5">
      <w:pPr>
        <w:pStyle w:val="Default"/>
        <w:jc w:val="center"/>
      </w:pPr>
    </w:p>
    <w:p w14:paraId="015C8A5D" w14:textId="2816F434" w:rsidR="003711C5" w:rsidRPr="00180CFE" w:rsidRDefault="003711C5" w:rsidP="003711C5">
      <w:pPr>
        <w:pStyle w:val="Default"/>
        <w:jc w:val="center"/>
        <w:rPr>
          <w:i/>
          <w:iCs/>
        </w:rPr>
      </w:pPr>
      <w:r w:rsidRPr="00180CFE">
        <w:rPr>
          <w:i/>
          <w:iCs/>
        </w:rPr>
        <w:t>Prepared in accordance with Part 3 of the Human Rights (Parliamentary Scrutiny) Act 2011</w:t>
      </w:r>
    </w:p>
    <w:p w14:paraId="4128C114" w14:textId="77777777" w:rsidR="003711C5" w:rsidRPr="00180CFE" w:rsidRDefault="003711C5" w:rsidP="003711C5">
      <w:pPr>
        <w:pStyle w:val="Default"/>
        <w:jc w:val="center"/>
      </w:pPr>
    </w:p>
    <w:p w14:paraId="5634B0BB" w14:textId="76B8915C" w:rsidR="003711C5" w:rsidRPr="00180CFE" w:rsidRDefault="003711C5" w:rsidP="003711C5">
      <w:pPr>
        <w:pStyle w:val="Default"/>
        <w:jc w:val="center"/>
        <w:rPr>
          <w:i/>
          <w:iCs/>
        </w:rPr>
      </w:pPr>
      <w:r w:rsidRPr="00180CFE">
        <w:rPr>
          <w:i/>
          <w:iCs/>
        </w:rPr>
        <w:t>Dental Benefits Amendment Rules (No. 1) 2024</w:t>
      </w:r>
    </w:p>
    <w:p w14:paraId="074629D7" w14:textId="77777777" w:rsidR="003711C5" w:rsidRPr="00180CFE" w:rsidRDefault="003711C5" w:rsidP="003711C5">
      <w:pPr>
        <w:pStyle w:val="Default"/>
        <w:jc w:val="center"/>
      </w:pPr>
    </w:p>
    <w:p w14:paraId="3E6CD073" w14:textId="77777777" w:rsidR="003711C5" w:rsidRPr="00180CFE" w:rsidRDefault="003711C5" w:rsidP="003711C5">
      <w:pPr>
        <w:pStyle w:val="Default"/>
      </w:pPr>
      <w:r w:rsidRPr="00180CFE">
        <w:t xml:space="preserve">This Disallowable Legislative Instrument is compatible with the human rights and freedoms recognised or declared in the international instruments listed in section 3 of the </w:t>
      </w:r>
      <w:r w:rsidRPr="00180CFE">
        <w:rPr>
          <w:i/>
          <w:iCs/>
        </w:rPr>
        <w:t>Human Rights (Parliamentary Scrutiny) Act 2011</w:t>
      </w:r>
      <w:r w:rsidRPr="00180CFE">
        <w:t xml:space="preserve">. </w:t>
      </w:r>
    </w:p>
    <w:p w14:paraId="3E305B9F" w14:textId="77777777" w:rsidR="003711C5" w:rsidRPr="00180CFE" w:rsidRDefault="003711C5" w:rsidP="003711C5">
      <w:pPr>
        <w:pStyle w:val="Default"/>
      </w:pPr>
    </w:p>
    <w:p w14:paraId="54459D63" w14:textId="651B9061" w:rsidR="003711C5" w:rsidRPr="00180CFE" w:rsidRDefault="003711C5" w:rsidP="003711C5">
      <w:pPr>
        <w:pStyle w:val="Default"/>
        <w:rPr>
          <w:b/>
          <w:bCs/>
        </w:rPr>
      </w:pPr>
      <w:r w:rsidRPr="00180CFE">
        <w:rPr>
          <w:b/>
          <w:bCs/>
        </w:rPr>
        <w:t xml:space="preserve">Overview of the legislative instrument </w:t>
      </w:r>
    </w:p>
    <w:p w14:paraId="4169B828" w14:textId="77777777" w:rsidR="003711C5" w:rsidRPr="00180CFE" w:rsidRDefault="003711C5" w:rsidP="003711C5">
      <w:pPr>
        <w:pStyle w:val="Default"/>
      </w:pPr>
      <w:r w:rsidRPr="00180CFE">
        <w:t xml:space="preserve">The </w:t>
      </w:r>
      <w:r w:rsidRPr="00180CFE">
        <w:rPr>
          <w:i/>
          <w:iCs/>
        </w:rPr>
        <w:t xml:space="preserve">Dental Benefits Rules 2014 </w:t>
      </w:r>
      <w:r w:rsidRPr="00180CFE">
        <w:t>(the Rules) provide for the Child Dental Benefits Schedule (CDBS), which sets out items specifying dental services, the amount of dental benefit payable, and the method for determining the amount, in respect of a dental service. The Rules also set out a specified monetary limit on the amount of dental benefit payable in respect of specified dental services provided to specified eligible dental patients during specified periods. The CDBS commenced on 1 January 2014 and provides benefits for basic dental services for eligible children.</w:t>
      </w:r>
    </w:p>
    <w:p w14:paraId="73946290" w14:textId="0DB3AFBE" w:rsidR="003711C5" w:rsidRPr="00180CFE" w:rsidRDefault="003711C5" w:rsidP="003711C5">
      <w:pPr>
        <w:pStyle w:val="Default"/>
      </w:pPr>
      <w:r w:rsidRPr="00180CFE">
        <w:t xml:space="preserve"> </w:t>
      </w:r>
    </w:p>
    <w:p w14:paraId="1E9615A4" w14:textId="27721B2D" w:rsidR="003711C5" w:rsidRPr="00180CFE" w:rsidRDefault="003711C5" w:rsidP="003711C5">
      <w:pPr>
        <w:pStyle w:val="Default"/>
      </w:pPr>
      <w:r w:rsidRPr="00180CFE">
        <w:t xml:space="preserve">The </w:t>
      </w:r>
      <w:r w:rsidRPr="00180CFE">
        <w:rPr>
          <w:i/>
          <w:iCs/>
        </w:rPr>
        <w:t xml:space="preserve">Dental Benefits Amendment Rules (No. 1) 2024 </w:t>
      </w:r>
      <w:r w:rsidRPr="00180CFE">
        <w:t xml:space="preserve">(the Amendment Rules) amend the Rules to reflect indexation of the amount of dental benefit payable for dental service items in Schedule 1, and the benefit limits cap amount in Schedule 3 of the Rules, effective from 1 January 2025. </w:t>
      </w:r>
    </w:p>
    <w:p w14:paraId="4C28E60C" w14:textId="77777777" w:rsidR="00B66E74" w:rsidRPr="00180CFE" w:rsidRDefault="00B66E74" w:rsidP="003711C5">
      <w:pPr>
        <w:pStyle w:val="Default"/>
      </w:pPr>
    </w:p>
    <w:p w14:paraId="7EC8FAA2" w14:textId="065F76DD" w:rsidR="003711C5" w:rsidRPr="00180CFE" w:rsidRDefault="003711C5" w:rsidP="003711C5">
      <w:pPr>
        <w:pStyle w:val="Default"/>
      </w:pPr>
      <w:r w:rsidRPr="00180CFE">
        <w:t xml:space="preserve">Schedule 1 to the Rules lists the dental items covered under the CDBS and the amount of benefit payable for each item. On 1 January 2025 the updated indexation rate, as specified by the Department of Finance in the </w:t>
      </w:r>
      <w:r w:rsidR="00B66E74" w:rsidRPr="00180CFE">
        <w:t>October</w:t>
      </w:r>
      <w:r w:rsidR="00C84F5F" w:rsidRPr="00180CFE">
        <w:t xml:space="preserve"> 2024</w:t>
      </w:r>
      <w:r w:rsidRPr="00180CFE">
        <w:t xml:space="preserve"> economic update, is to be applied to the items in Schedule 1. </w:t>
      </w:r>
    </w:p>
    <w:p w14:paraId="6DC8DF16" w14:textId="77777777" w:rsidR="003711C5" w:rsidRPr="00180CFE" w:rsidRDefault="003711C5" w:rsidP="003711C5">
      <w:pPr>
        <w:pStyle w:val="Default"/>
      </w:pPr>
    </w:p>
    <w:p w14:paraId="7F4412AE" w14:textId="00845FAE" w:rsidR="003711C5" w:rsidRPr="00180CFE" w:rsidRDefault="003711C5" w:rsidP="003711C5">
      <w:pPr>
        <w:pStyle w:val="Default"/>
      </w:pPr>
      <w:r w:rsidRPr="00180CFE">
        <w:t xml:space="preserve">Schedule 3 of the Rules lists the benefit limits cap amount for each two-year calendar period. On 1 January 2025 the updated indexation rate, as specified by the Department of Finance in the </w:t>
      </w:r>
      <w:r w:rsidR="00B66E74" w:rsidRPr="00180CFE">
        <w:t>October</w:t>
      </w:r>
      <w:r w:rsidRPr="00180CFE">
        <w:t xml:space="preserve"> 202</w:t>
      </w:r>
      <w:r w:rsidR="00C84F5F" w:rsidRPr="00180CFE">
        <w:t>4</w:t>
      </w:r>
      <w:r w:rsidRPr="00180CFE">
        <w:t xml:space="preserve"> economic update, </w:t>
      </w:r>
      <w:r w:rsidR="00BC3D18" w:rsidRPr="00180CFE">
        <w:t>was used to calculate the new benefit cap limit</w:t>
      </w:r>
      <w:r w:rsidR="00312D1F" w:rsidRPr="00180CFE">
        <w:t xml:space="preserve">. </w:t>
      </w:r>
      <w:r w:rsidR="00690E24" w:rsidRPr="00180CFE">
        <w:t>The effect of this is that children who commence their two-year cap period on any date in 2025 will now have access to up to a $1,132 cap in benefits over the two-year calendar period ending on 31 December 2026.</w:t>
      </w:r>
    </w:p>
    <w:p w14:paraId="3A23B430" w14:textId="77777777" w:rsidR="003711C5" w:rsidRPr="00180CFE" w:rsidRDefault="003711C5" w:rsidP="003711C5">
      <w:pPr>
        <w:pStyle w:val="Default"/>
      </w:pPr>
    </w:p>
    <w:p w14:paraId="718DAAE6" w14:textId="4E23453A" w:rsidR="003711C5" w:rsidRPr="00180CFE" w:rsidRDefault="003711C5" w:rsidP="003711C5">
      <w:pPr>
        <w:pStyle w:val="Default"/>
        <w:rPr>
          <w:b/>
          <w:bCs/>
        </w:rPr>
      </w:pPr>
      <w:r w:rsidRPr="00180CFE">
        <w:rPr>
          <w:b/>
          <w:bCs/>
        </w:rPr>
        <w:t xml:space="preserve">Human Rights implications </w:t>
      </w:r>
    </w:p>
    <w:p w14:paraId="36DA0064" w14:textId="77777777" w:rsidR="003711C5" w:rsidRPr="00180CFE" w:rsidRDefault="003711C5" w:rsidP="003711C5">
      <w:pPr>
        <w:pStyle w:val="Default"/>
      </w:pPr>
    </w:p>
    <w:p w14:paraId="62E225F9" w14:textId="77777777" w:rsidR="003711C5" w:rsidRPr="00180CFE" w:rsidRDefault="003711C5" w:rsidP="003711C5">
      <w:pPr>
        <w:pStyle w:val="Default"/>
      </w:pPr>
      <w:r w:rsidRPr="00180CFE">
        <w:t xml:space="preserve">The Amendment Rules engage the following rights: </w:t>
      </w:r>
    </w:p>
    <w:p w14:paraId="18D7BB5E" w14:textId="16CA59F0" w:rsidR="003711C5" w:rsidRPr="00180CFE" w:rsidRDefault="003711C5" w:rsidP="00E32937">
      <w:pPr>
        <w:pStyle w:val="Default"/>
        <w:numPr>
          <w:ilvl w:val="0"/>
          <w:numId w:val="2"/>
        </w:numPr>
        <w:spacing w:after="27"/>
      </w:pPr>
      <w:r w:rsidRPr="00180CFE">
        <w:t xml:space="preserve">the right to social security under Article 9 of the International Covenant on Economic, Social and Cultural Rights (ICESCR); and </w:t>
      </w:r>
    </w:p>
    <w:p w14:paraId="273BCCEE" w14:textId="7456AD94" w:rsidR="003711C5" w:rsidRPr="00180CFE" w:rsidRDefault="003711C5" w:rsidP="00E32937">
      <w:pPr>
        <w:pStyle w:val="Default"/>
        <w:numPr>
          <w:ilvl w:val="0"/>
          <w:numId w:val="2"/>
        </w:numPr>
      </w:pPr>
      <w:r w:rsidRPr="00180CFE">
        <w:t xml:space="preserve">the right to the enjoyment of the highest attainable standard of physical and mental health under Article 12 of the ICESCR. </w:t>
      </w:r>
    </w:p>
    <w:p w14:paraId="3C31A0C0" w14:textId="77777777" w:rsidR="003711C5" w:rsidRPr="00180CFE" w:rsidRDefault="003711C5" w:rsidP="003711C5">
      <w:pPr>
        <w:pStyle w:val="Default"/>
      </w:pPr>
    </w:p>
    <w:p w14:paraId="56F0BADE" w14:textId="77777777" w:rsidR="003711C5" w:rsidRPr="00180CFE" w:rsidRDefault="003711C5" w:rsidP="003711C5">
      <w:pPr>
        <w:pStyle w:val="Default"/>
        <w:rPr>
          <w:i/>
          <w:iCs/>
          <w:u w:val="single"/>
        </w:rPr>
      </w:pPr>
      <w:r w:rsidRPr="00180CFE">
        <w:rPr>
          <w:i/>
          <w:iCs/>
          <w:u w:val="single"/>
        </w:rPr>
        <w:t xml:space="preserve">The Right to Health </w:t>
      </w:r>
    </w:p>
    <w:p w14:paraId="1851EA7A" w14:textId="77777777" w:rsidR="003711C5" w:rsidRPr="00180CFE" w:rsidRDefault="003711C5" w:rsidP="003711C5">
      <w:pPr>
        <w:pStyle w:val="Default"/>
      </w:pPr>
    </w:p>
    <w:p w14:paraId="6C3DBDAC" w14:textId="1B564012" w:rsidR="003711C5" w:rsidRPr="00180CFE" w:rsidRDefault="003711C5" w:rsidP="003711C5">
      <w:pPr>
        <w:pStyle w:val="Default"/>
      </w:pPr>
      <w:r w:rsidRPr="00180CFE">
        <w:t xml:space="preserve">The right to the enjoyment of the highest attainable standard of physical and mental health is contained in Article 12(1) of the ICESCR. The UN Committee on Economic Social and </w:t>
      </w:r>
    </w:p>
    <w:p w14:paraId="7889AEED" w14:textId="1716E2A3" w:rsidR="00730FCA" w:rsidRPr="00180CFE" w:rsidRDefault="00730FCA" w:rsidP="00DE7AD8">
      <w:pPr>
        <w:pStyle w:val="Default"/>
      </w:pPr>
      <w:r w:rsidRPr="00180CFE">
        <w:lastRenderedPageBreak/>
        <w:t>Cultural Rights (the Committee) has stated that the right to health is not a right for each individual to be healthy but is a right to a system of health protectio</w:t>
      </w:r>
      <w:r w:rsidR="004424E7" w:rsidRPr="00180CFE">
        <w:t xml:space="preserve">n </w:t>
      </w:r>
      <w:r w:rsidRPr="00180CFE">
        <w:t>which provides equality of opportunity for people to enjoy the highest attainable level of health.</w:t>
      </w:r>
    </w:p>
    <w:p w14:paraId="5508B7AD" w14:textId="77777777" w:rsidR="00730FCA" w:rsidRPr="00180CFE" w:rsidRDefault="00730FCA" w:rsidP="00730FCA">
      <w:pPr>
        <w:pStyle w:val="Default"/>
      </w:pPr>
    </w:p>
    <w:p w14:paraId="4A7B522C" w14:textId="77777777" w:rsidR="00730FCA" w:rsidRPr="00180CFE" w:rsidRDefault="00730FCA" w:rsidP="00730FCA">
      <w:pPr>
        <w:pStyle w:val="Default"/>
        <w:rPr>
          <w:i/>
          <w:iCs/>
          <w:u w:val="single"/>
        </w:rPr>
      </w:pPr>
      <w:r w:rsidRPr="00180CFE">
        <w:rPr>
          <w:i/>
          <w:iCs/>
          <w:u w:val="single"/>
        </w:rPr>
        <w:t xml:space="preserve">The Right to Social Security </w:t>
      </w:r>
    </w:p>
    <w:p w14:paraId="780C3228" w14:textId="77777777" w:rsidR="00730FCA" w:rsidRPr="00180CFE" w:rsidRDefault="00730FCA" w:rsidP="00730FCA">
      <w:pPr>
        <w:pStyle w:val="Default"/>
      </w:pPr>
    </w:p>
    <w:p w14:paraId="06ED1003" w14:textId="77777777" w:rsidR="00730FCA" w:rsidRPr="00180CFE" w:rsidRDefault="00730FCA" w:rsidP="00730FCA">
      <w:pPr>
        <w:pStyle w:val="Default"/>
      </w:pPr>
      <w:r w:rsidRPr="00180CFE">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180CFE">
        <w:t>in an effort to</w:t>
      </w:r>
      <w:proofErr w:type="gramEnd"/>
      <w:r w:rsidRPr="00180CFE">
        <w:t xml:space="preserve"> satisfy, as a matter of priority, this minimum obligation. </w:t>
      </w:r>
    </w:p>
    <w:p w14:paraId="4F8BF0B8" w14:textId="77777777" w:rsidR="00730FCA" w:rsidRPr="00180CFE" w:rsidRDefault="00730FCA" w:rsidP="00730FCA">
      <w:pPr>
        <w:pStyle w:val="Default"/>
      </w:pPr>
    </w:p>
    <w:p w14:paraId="469EB46F" w14:textId="77777777" w:rsidR="00730FCA" w:rsidRPr="00180CFE" w:rsidRDefault="00730FCA" w:rsidP="00730FCA">
      <w:pPr>
        <w:pStyle w:val="Default"/>
        <w:rPr>
          <w:u w:val="single"/>
        </w:rPr>
      </w:pPr>
      <w:r w:rsidRPr="00180CFE">
        <w:rPr>
          <w:u w:val="single"/>
        </w:rPr>
        <w:t xml:space="preserve">Analysis </w:t>
      </w:r>
    </w:p>
    <w:p w14:paraId="517CEE40" w14:textId="77777777" w:rsidR="00730FCA" w:rsidRPr="00180CFE" w:rsidRDefault="00730FCA" w:rsidP="00730FCA">
      <w:pPr>
        <w:pStyle w:val="Default"/>
      </w:pPr>
    </w:p>
    <w:p w14:paraId="40CCE49E" w14:textId="77777777" w:rsidR="00730FCA" w:rsidRPr="00180CFE" w:rsidRDefault="00730FCA" w:rsidP="00730FCA">
      <w:pPr>
        <w:pStyle w:val="Default"/>
      </w:pPr>
      <w:r w:rsidRPr="00180CFE">
        <w:t xml:space="preserve">The Amendment Rules apply indexation to the amount of benefit payable for each item in Schedule 1 and the cap amount in Schedule 3, which helps maintain the value of benefits in line with inflation and in effect promote bulk billing. Consequently, the Amendment Rules engage the right to health, as contained in Article 12(1) of the ICESCR, and the right to social security, as contained in Article 9 of the ICESCR, by facilitating access to basic dental services for eligible children. </w:t>
      </w:r>
    </w:p>
    <w:p w14:paraId="0F6B534C" w14:textId="77777777" w:rsidR="00730FCA" w:rsidRPr="00180CFE" w:rsidRDefault="00730FCA" w:rsidP="00730FCA">
      <w:pPr>
        <w:pStyle w:val="Default"/>
      </w:pPr>
    </w:p>
    <w:p w14:paraId="2367528B" w14:textId="77777777" w:rsidR="00730FCA" w:rsidRPr="00180CFE" w:rsidRDefault="00730FCA" w:rsidP="00730FCA">
      <w:pPr>
        <w:pStyle w:val="Default"/>
        <w:rPr>
          <w:b/>
          <w:bCs/>
        </w:rPr>
      </w:pPr>
      <w:r w:rsidRPr="00180CFE">
        <w:rPr>
          <w:b/>
          <w:bCs/>
        </w:rPr>
        <w:t xml:space="preserve">Conclusion </w:t>
      </w:r>
    </w:p>
    <w:p w14:paraId="4DD6605C" w14:textId="77777777" w:rsidR="00730FCA" w:rsidRPr="00180CFE" w:rsidRDefault="00730FCA" w:rsidP="00730FCA">
      <w:pPr>
        <w:rPr>
          <w:rFonts w:ascii="Times New Roman" w:hAnsi="Times New Roman" w:cs="Times New Roman"/>
          <w:sz w:val="24"/>
          <w:szCs w:val="24"/>
        </w:rPr>
      </w:pPr>
      <w:r w:rsidRPr="00180CFE">
        <w:rPr>
          <w:rFonts w:ascii="Times New Roman" w:hAnsi="Times New Roman" w:cs="Times New Roman"/>
          <w:sz w:val="24"/>
          <w:szCs w:val="24"/>
        </w:rPr>
        <w:t>This Disallowable Legislative Instrument is compatible with human rights because it promotes the protection of human rights.</w:t>
      </w:r>
    </w:p>
    <w:p w14:paraId="343B764D" w14:textId="77777777" w:rsidR="00730FCA" w:rsidRPr="00180CFE" w:rsidRDefault="00730FCA" w:rsidP="00730FCA">
      <w:pPr>
        <w:rPr>
          <w:rFonts w:ascii="Times New Roman" w:hAnsi="Times New Roman" w:cs="Times New Roman"/>
          <w:sz w:val="24"/>
          <w:szCs w:val="24"/>
        </w:rPr>
      </w:pPr>
    </w:p>
    <w:p w14:paraId="4A4DC733" w14:textId="77777777" w:rsidR="00D320B8" w:rsidRPr="00180CFE" w:rsidRDefault="00D320B8" w:rsidP="00D320B8">
      <w:pPr>
        <w:pStyle w:val="paragraph"/>
        <w:spacing w:before="0" w:beforeAutospacing="0" w:after="0" w:afterAutospacing="0"/>
        <w:jc w:val="center"/>
        <w:textAlignment w:val="baseline"/>
        <w:rPr>
          <w:rStyle w:val="eop"/>
          <w:rFonts w:eastAsiaTheme="majorEastAsia"/>
        </w:rPr>
      </w:pPr>
      <w:r w:rsidRPr="00180CFE">
        <w:rPr>
          <w:rStyle w:val="normaltextrun"/>
          <w:rFonts w:eastAsiaTheme="majorEastAsia"/>
          <w:b/>
          <w:bCs/>
        </w:rPr>
        <w:t>Mark Roddam</w:t>
      </w:r>
      <w:r w:rsidRPr="00180CFE">
        <w:rPr>
          <w:rStyle w:val="eop"/>
          <w:rFonts w:eastAsiaTheme="majorEastAsia"/>
        </w:rPr>
        <w:t> </w:t>
      </w:r>
    </w:p>
    <w:p w14:paraId="2BA72E2B" w14:textId="77777777" w:rsidR="00D320B8" w:rsidRPr="00180CFE" w:rsidRDefault="00D320B8" w:rsidP="00D320B8">
      <w:pPr>
        <w:pStyle w:val="paragraph"/>
        <w:spacing w:before="0" w:beforeAutospacing="0" w:after="0" w:afterAutospacing="0"/>
        <w:jc w:val="center"/>
        <w:textAlignment w:val="baseline"/>
        <w:rPr>
          <w:rFonts w:ascii="Segoe UI" w:hAnsi="Segoe UI" w:cs="Segoe UI"/>
          <w:sz w:val="18"/>
          <w:szCs w:val="18"/>
        </w:rPr>
      </w:pPr>
    </w:p>
    <w:p w14:paraId="24DFD3A3" w14:textId="77777777" w:rsidR="00D320B8" w:rsidRPr="00180CFE" w:rsidRDefault="00D320B8" w:rsidP="00D320B8">
      <w:pPr>
        <w:pStyle w:val="paragraph"/>
        <w:spacing w:before="0" w:beforeAutospacing="0" w:after="0" w:afterAutospacing="0"/>
        <w:jc w:val="center"/>
        <w:textAlignment w:val="baseline"/>
        <w:rPr>
          <w:rStyle w:val="eop"/>
          <w:rFonts w:eastAsiaTheme="majorEastAsia"/>
        </w:rPr>
      </w:pPr>
      <w:r w:rsidRPr="00180CFE">
        <w:rPr>
          <w:rStyle w:val="normaltextrun"/>
          <w:rFonts w:eastAsiaTheme="majorEastAsia"/>
          <w:b/>
          <w:bCs/>
        </w:rPr>
        <w:t xml:space="preserve">First Assistant Secretary </w:t>
      </w:r>
      <w:r w:rsidRPr="00180CFE">
        <w:rPr>
          <w:rStyle w:val="eop"/>
          <w:rFonts w:eastAsiaTheme="majorEastAsia"/>
        </w:rPr>
        <w:t> </w:t>
      </w:r>
    </w:p>
    <w:p w14:paraId="4FF54626" w14:textId="77777777" w:rsidR="00D320B8" w:rsidRPr="00180CFE" w:rsidRDefault="00D320B8" w:rsidP="00D320B8">
      <w:pPr>
        <w:pStyle w:val="paragraph"/>
        <w:spacing w:before="0" w:beforeAutospacing="0" w:after="0" w:afterAutospacing="0"/>
        <w:jc w:val="center"/>
        <w:textAlignment w:val="baseline"/>
        <w:rPr>
          <w:rFonts w:ascii="Segoe UI" w:hAnsi="Segoe UI" w:cs="Segoe UI"/>
          <w:sz w:val="18"/>
          <w:szCs w:val="18"/>
        </w:rPr>
      </w:pPr>
    </w:p>
    <w:p w14:paraId="39C6D21B" w14:textId="77777777" w:rsidR="00D320B8" w:rsidRPr="00180CFE" w:rsidRDefault="00D320B8" w:rsidP="00D320B8">
      <w:pPr>
        <w:pStyle w:val="paragraph"/>
        <w:spacing w:before="0" w:beforeAutospacing="0" w:after="0" w:afterAutospacing="0"/>
        <w:jc w:val="center"/>
        <w:textAlignment w:val="baseline"/>
        <w:rPr>
          <w:rFonts w:ascii="Segoe UI" w:hAnsi="Segoe UI" w:cs="Segoe UI"/>
          <w:sz w:val="18"/>
          <w:szCs w:val="18"/>
        </w:rPr>
      </w:pPr>
      <w:r w:rsidRPr="00180CFE">
        <w:rPr>
          <w:rStyle w:val="normaltextrun"/>
          <w:rFonts w:eastAsiaTheme="majorEastAsia"/>
          <w:b/>
          <w:bCs/>
        </w:rPr>
        <w:t>Primary Care Executive</w:t>
      </w:r>
      <w:r w:rsidRPr="00180CFE">
        <w:rPr>
          <w:rStyle w:val="eop"/>
          <w:rFonts w:eastAsiaTheme="majorEastAsia"/>
        </w:rPr>
        <w:t> </w:t>
      </w:r>
    </w:p>
    <w:p w14:paraId="1B773100" w14:textId="77777777" w:rsidR="00D320B8" w:rsidRPr="00180CFE" w:rsidRDefault="00D320B8" w:rsidP="00D320B8">
      <w:pPr>
        <w:pStyle w:val="paragraph"/>
        <w:spacing w:before="0" w:beforeAutospacing="0" w:after="0" w:afterAutospacing="0"/>
        <w:jc w:val="center"/>
        <w:textAlignment w:val="baseline"/>
        <w:rPr>
          <w:rFonts w:ascii="Segoe UI" w:hAnsi="Segoe UI" w:cs="Segoe UI"/>
          <w:sz w:val="18"/>
          <w:szCs w:val="18"/>
        </w:rPr>
      </w:pPr>
      <w:r w:rsidRPr="00180CFE">
        <w:rPr>
          <w:rStyle w:val="normaltextrun"/>
          <w:rFonts w:eastAsiaTheme="majorEastAsia"/>
          <w:b/>
          <w:bCs/>
        </w:rPr>
        <w:t>Primary Care </w:t>
      </w:r>
      <w:r w:rsidRPr="00180CFE">
        <w:rPr>
          <w:rStyle w:val="eop"/>
          <w:rFonts w:eastAsiaTheme="majorEastAsia"/>
        </w:rPr>
        <w:t> </w:t>
      </w:r>
    </w:p>
    <w:p w14:paraId="469F82A6" w14:textId="77777777" w:rsidR="00D320B8" w:rsidRDefault="00D320B8" w:rsidP="00D320B8">
      <w:pPr>
        <w:pStyle w:val="paragraph"/>
        <w:spacing w:before="0" w:beforeAutospacing="0" w:after="0" w:afterAutospacing="0"/>
        <w:jc w:val="center"/>
        <w:textAlignment w:val="baseline"/>
        <w:rPr>
          <w:rFonts w:ascii="Segoe UI" w:hAnsi="Segoe UI" w:cs="Segoe UI"/>
          <w:sz w:val="18"/>
          <w:szCs w:val="18"/>
        </w:rPr>
      </w:pPr>
      <w:r w:rsidRPr="00180CFE">
        <w:rPr>
          <w:rStyle w:val="normaltextrun"/>
          <w:rFonts w:eastAsiaTheme="majorEastAsia"/>
          <w:b/>
          <w:bCs/>
        </w:rPr>
        <w:t>Department of Health and Aged Care</w:t>
      </w:r>
      <w:r>
        <w:rPr>
          <w:rStyle w:val="eop"/>
          <w:rFonts w:eastAsiaTheme="majorEastAsia"/>
        </w:rPr>
        <w:t> </w:t>
      </w:r>
    </w:p>
    <w:p w14:paraId="0E143BC5" w14:textId="77777777" w:rsidR="00730FCA" w:rsidRDefault="00730FCA" w:rsidP="00730FCA">
      <w:pPr>
        <w:pStyle w:val="Default"/>
      </w:pPr>
    </w:p>
    <w:sectPr w:rsidR="00730FC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605D2" w14:textId="77777777" w:rsidR="009524C1" w:rsidRDefault="009524C1" w:rsidP="00123ADA">
      <w:pPr>
        <w:spacing w:after="0" w:line="240" w:lineRule="auto"/>
      </w:pPr>
      <w:r>
        <w:separator/>
      </w:r>
    </w:p>
  </w:endnote>
  <w:endnote w:type="continuationSeparator" w:id="0">
    <w:p w14:paraId="41BEB296" w14:textId="77777777" w:rsidR="009524C1" w:rsidRDefault="009524C1" w:rsidP="0012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145227"/>
      <w:docPartObj>
        <w:docPartGallery w:val="Page Numbers (Bottom of Page)"/>
        <w:docPartUnique/>
      </w:docPartObj>
    </w:sdtPr>
    <w:sdtContent>
      <w:sdt>
        <w:sdtPr>
          <w:id w:val="-1769616900"/>
          <w:docPartObj>
            <w:docPartGallery w:val="Page Numbers (Top of Page)"/>
            <w:docPartUnique/>
          </w:docPartObj>
        </w:sdtPr>
        <w:sdtContent>
          <w:p w14:paraId="0A5067EF" w14:textId="553EC40D" w:rsidR="00123ADA" w:rsidRDefault="00123A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6CCF1C" w14:textId="77777777" w:rsidR="00123ADA" w:rsidRDefault="00123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1DBEF" w14:textId="77777777" w:rsidR="009524C1" w:rsidRDefault="009524C1" w:rsidP="00123ADA">
      <w:pPr>
        <w:spacing w:after="0" w:line="240" w:lineRule="auto"/>
      </w:pPr>
      <w:r>
        <w:separator/>
      </w:r>
    </w:p>
  </w:footnote>
  <w:footnote w:type="continuationSeparator" w:id="0">
    <w:p w14:paraId="6EDAAE86" w14:textId="77777777" w:rsidR="009524C1" w:rsidRDefault="009524C1" w:rsidP="00123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4D21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B0E175F"/>
    <w:multiLevelType w:val="hybridMultilevel"/>
    <w:tmpl w:val="CD62B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7482931">
    <w:abstractNumId w:val="0"/>
  </w:num>
  <w:num w:numId="2" w16cid:durableId="719864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C5"/>
    <w:rsid w:val="000D2C38"/>
    <w:rsid w:val="00123ADA"/>
    <w:rsid w:val="00131704"/>
    <w:rsid w:val="00180CFE"/>
    <w:rsid w:val="00252ABB"/>
    <w:rsid w:val="002C3F51"/>
    <w:rsid w:val="00312D1F"/>
    <w:rsid w:val="00331755"/>
    <w:rsid w:val="003711C5"/>
    <w:rsid w:val="00374A33"/>
    <w:rsid w:val="003C71E2"/>
    <w:rsid w:val="003D1F3E"/>
    <w:rsid w:val="00420E41"/>
    <w:rsid w:val="00430E2C"/>
    <w:rsid w:val="00434F30"/>
    <w:rsid w:val="004424E7"/>
    <w:rsid w:val="00451CB9"/>
    <w:rsid w:val="004826F6"/>
    <w:rsid w:val="00501DDF"/>
    <w:rsid w:val="00512E9E"/>
    <w:rsid w:val="00514A9A"/>
    <w:rsid w:val="006556B2"/>
    <w:rsid w:val="00690E24"/>
    <w:rsid w:val="006F30DA"/>
    <w:rsid w:val="00730FCA"/>
    <w:rsid w:val="007B7497"/>
    <w:rsid w:val="008269F3"/>
    <w:rsid w:val="00853990"/>
    <w:rsid w:val="008678D2"/>
    <w:rsid w:val="008C24F3"/>
    <w:rsid w:val="009524C1"/>
    <w:rsid w:val="009E7395"/>
    <w:rsid w:val="00A9149C"/>
    <w:rsid w:val="00AB4B7C"/>
    <w:rsid w:val="00AC065E"/>
    <w:rsid w:val="00B4099F"/>
    <w:rsid w:val="00B66E74"/>
    <w:rsid w:val="00BC3D18"/>
    <w:rsid w:val="00C707CE"/>
    <w:rsid w:val="00C84F5F"/>
    <w:rsid w:val="00C95479"/>
    <w:rsid w:val="00CA7040"/>
    <w:rsid w:val="00CF153C"/>
    <w:rsid w:val="00D320B8"/>
    <w:rsid w:val="00D76244"/>
    <w:rsid w:val="00DE1868"/>
    <w:rsid w:val="00DE7AD8"/>
    <w:rsid w:val="00E23F74"/>
    <w:rsid w:val="00E32937"/>
    <w:rsid w:val="00F22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FF40"/>
  <w15:chartTrackingRefBased/>
  <w15:docId w15:val="{EDCEF00D-6D5D-484E-8932-A4099D74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F51"/>
    <w:pPr>
      <w:spacing w:line="259" w:lineRule="auto"/>
    </w:pPr>
    <w:rPr>
      <w:kern w:val="0"/>
      <w:sz w:val="22"/>
      <w:szCs w:val="22"/>
      <w14:ligatures w14:val="none"/>
    </w:rPr>
  </w:style>
  <w:style w:type="paragraph" w:styleId="Heading1">
    <w:name w:val="heading 1"/>
    <w:basedOn w:val="Normal"/>
    <w:next w:val="Normal"/>
    <w:link w:val="Heading1Char"/>
    <w:uiPriority w:val="9"/>
    <w:qFormat/>
    <w:rsid w:val="00371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1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1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1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1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1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1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1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1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1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1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1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1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1C5"/>
    <w:rPr>
      <w:rFonts w:eastAsiaTheme="majorEastAsia" w:cstheme="majorBidi"/>
      <w:color w:val="272727" w:themeColor="text1" w:themeTint="D8"/>
    </w:rPr>
  </w:style>
  <w:style w:type="paragraph" w:styleId="Title">
    <w:name w:val="Title"/>
    <w:basedOn w:val="Normal"/>
    <w:next w:val="Normal"/>
    <w:link w:val="TitleChar"/>
    <w:uiPriority w:val="10"/>
    <w:qFormat/>
    <w:rsid w:val="00371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1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1C5"/>
    <w:pPr>
      <w:spacing w:before="160"/>
      <w:jc w:val="center"/>
    </w:pPr>
    <w:rPr>
      <w:i/>
      <w:iCs/>
      <w:color w:val="404040" w:themeColor="text1" w:themeTint="BF"/>
    </w:rPr>
  </w:style>
  <w:style w:type="character" w:customStyle="1" w:styleId="QuoteChar">
    <w:name w:val="Quote Char"/>
    <w:basedOn w:val="DefaultParagraphFont"/>
    <w:link w:val="Quote"/>
    <w:uiPriority w:val="29"/>
    <w:rsid w:val="003711C5"/>
    <w:rPr>
      <w:i/>
      <w:iCs/>
      <w:color w:val="404040" w:themeColor="text1" w:themeTint="BF"/>
    </w:rPr>
  </w:style>
  <w:style w:type="paragraph" w:styleId="ListParagraph">
    <w:name w:val="List Paragraph"/>
    <w:basedOn w:val="Normal"/>
    <w:uiPriority w:val="34"/>
    <w:qFormat/>
    <w:rsid w:val="003711C5"/>
    <w:pPr>
      <w:ind w:left="720"/>
      <w:contextualSpacing/>
    </w:pPr>
  </w:style>
  <w:style w:type="character" w:styleId="IntenseEmphasis">
    <w:name w:val="Intense Emphasis"/>
    <w:basedOn w:val="DefaultParagraphFont"/>
    <w:uiPriority w:val="21"/>
    <w:qFormat/>
    <w:rsid w:val="003711C5"/>
    <w:rPr>
      <w:i/>
      <w:iCs/>
      <w:color w:val="0F4761" w:themeColor="accent1" w:themeShade="BF"/>
    </w:rPr>
  </w:style>
  <w:style w:type="paragraph" w:styleId="IntenseQuote">
    <w:name w:val="Intense Quote"/>
    <w:basedOn w:val="Normal"/>
    <w:next w:val="Normal"/>
    <w:link w:val="IntenseQuoteChar"/>
    <w:uiPriority w:val="30"/>
    <w:qFormat/>
    <w:rsid w:val="00371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1C5"/>
    <w:rPr>
      <w:i/>
      <w:iCs/>
      <w:color w:val="0F4761" w:themeColor="accent1" w:themeShade="BF"/>
    </w:rPr>
  </w:style>
  <w:style w:type="character" w:styleId="IntenseReference">
    <w:name w:val="Intense Reference"/>
    <w:basedOn w:val="DefaultParagraphFont"/>
    <w:uiPriority w:val="32"/>
    <w:qFormat/>
    <w:rsid w:val="003711C5"/>
    <w:rPr>
      <w:b/>
      <w:bCs/>
      <w:smallCaps/>
      <w:color w:val="0F4761" w:themeColor="accent1" w:themeShade="BF"/>
      <w:spacing w:val="5"/>
    </w:rPr>
  </w:style>
  <w:style w:type="paragraph" w:customStyle="1" w:styleId="Default">
    <w:name w:val="Default"/>
    <w:rsid w:val="003711C5"/>
    <w:pPr>
      <w:autoSpaceDE w:val="0"/>
      <w:autoSpaceDN w:val="0"/>
      <w:adjustRightInd w:val="0"/>
      <w:spacing w:after="0" w:line="240" w:lineRule="auto"/>
    </w:pPr>
    <w:rPr>
      <w:rFonts w:ascii="Times New Roman" w:hAnsi="Times New Roman" w:cs="Times New Roman"/>
      <w:color w:val="000000"/>
      <w:kern w:val="0"/>
    </w:rPr>
  </w:style>
  <w:style w:type="character" w:styleId="CommentReference">
    <w:name w:val="annotation reference"/>
    <w:basedOn w:val="DefaultParagraphFont"/>
    <w:uiPriority w:val="99"/>
    <w:semiHidden/>
    <w:unhideWhenUsed/>
    <w:rsid w:val="00C95479"/>
    <w:rPr>
      <w:sz w:val="16"/>
      <w:szCs w:val="16"/>
    </w:rPr>
  </w:style>
  <w:style w:type="paragraph" w:styleId="CommentText">
    <w:name w:val="annotation text"/>
    <w:basedOn w:val="Normal"/>
    <w:link w:val="CommentTextChar"/>
    <w:uiPriority w:val="99"/>
    <w:unhideWhenUsed/>
    <w:rsid w:val="00C95479"/>
    <w:pPr>
      <w:spacing w:line="240" w:lineRule="auto"/>
    </w:pPr>
    <w:rPr>
      <w:sz w:val="20"/>
      <w:szCs w:val="20"/>
    </w:rPr>
  </w:style>
  <w:style w:type="character" w:customStyle="1" w:styleId="CommentTextChar">
    <w:name w:val="Comment Text Char"/>
    <w:basedOn w:val="DefaultParagraphFont"/>
    <w:link w:val="CommentText"/>
    <w:uiPriority w:val="99"/>
    <w:rsid w:val="00C9547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95479"/>
    <w:rPr>
      <w:b/>
      <w:bCs/>
    </w:rPr>
  </w:style>
  <w:style w:type="character" w:customStyle="1" w:styleId="CommentSubjectChar">
    <w:name w:val="Comment Subject Char"/>
    <w:basedOn w:val="CommentTextChar"/>
    <w:link w:val="CommentSubject"/>
    <w:uiPriority w:val="99"/>
    <w:semiHidden/>
    <w:rsid w:val="00C95479"/>
    <w:rPr>
      <w:b/>
      <w:bCs/>
      <w:kern w:val="0"/>
      <w:sz w:val="20"/>
      <w:szCs w:val="20"/>
      <w14:ligatures w14:val="none"/>
    </w:rPr>
  </w:style>
  <w:style w:type="paragraph" w:styleId="Revision">
    <w:name w:val="Revision"/>
    <w:hidden/>
    <w:uiPriority w:val="99"/>
    <w:semiHidden/>
    <w:rsid w:val="007B7497"/>
    <w:pPr>
      <w:spacing w:after="0" w:line="240" w:lineRule="auto"/>
    </w:pPr>
    <w:rPr>
      <w:kern w:val="0"/>
      <w:sz w:val="22"/>
      <w:szCs w:val="22"/>
      <w14:ligatures w14:val="none"/>
    </w:rPr>
  </w:style>
  <w:style w:type="character" w:styleId="Hyperlink">
    <w:name w:val="Hyperlink"/>
    <w:basedOn w:val="DefaultParagraphFont"/>
    <w:uiPriority w:val="99"/>
    <w:unhideWhenUsed/>
    <w:rsid w:val="007B7497"/>
    <w:rPr>
      <w:color w:val="467886" w:themeColor="hyperlink"/>
      <w:u w:val="single"/>
    </w:rPr>
  </w:style>
  <w:style w:type="character" w:styleId="UnresolvedMention">
    <w:name w:val="Unresolved Mention"/>
    <w:basedOn w:val="DefaultParagraphFont"/>
    <w:uiPriority w:val="99"/>
    <w:semiHidden/>
    <w:unhideWhenUsed/>
    <w:rsid w:val="007B7497"/>
    <w:rPr>
      <w:color w:val="605E5C"/>
      <w:shd w:val="clear" w:color="auto" w:fill="E1DFDD"/>
    </w:rPr>
  </w:style>
  <w:style w:type="paragraph" w:styleId="Header">
    <w:name w:val="header"/>
    <w:basedOn w:val="Normal"/>
    <w:link w:val="HeaderChar"/>
    <w:uiPriority w:val="99"/>
    <w:unhideWhenUsed/>
    <w:rsid w:val="00123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ADA"/>
    <w:rPr>
      <w:kern w:val="0"/>
      <w:sz w:val="22"/>
      <w:szCs w:val="22"/>
      <w14:ligatures w14:val="none"/>
    </w:rPr>
  </w:style>
  <w:style w:type="paragraph" w:styleId="Footer">
    <w:name w:val="footer"/>
    <w:basedOn w:val="Normal"/>
    <w:link w:val="FooterChar"/>
    <w:uiPriority w:val="99"/>
    <w:unhideWhenUsed/>
    <w:rsid w:val="00123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ADA"/>
    <w:rPr>
      <w:kern w:val="0"/>
      <w:sz w:val="22"/>
      <w:szCs w:val="22"/>
      <w14:ligatures w14:val="none"/>
    </w:rPr>
  </w:style>
  <w:style w:type="paragraph" w:customStyle="1" w:styleId="paragraph">
    <w:name w:val="paragraph"/>
    <w:basedOn w:val="Normal"/>
    <w:rsid w:val="00D320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320B8"/>
  </w:style>
  <w:style w:type="character" w:customStyle="1" w:styleId="eop">
    <w:name w:val="eop"/>
    <w:basedOn w:val="DefaultParagraphFont"/>
    <w:rsid w:val="00D32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213876">
      <w:bodyDiv w:val="1"/>
      <w:marLeft w:val="0"/>
      <w:marRight w:val="0"/>
      <w:marTop w:val="0"/>
      <w:marBottom w:val="0"/>
      <w:divBdr>
        <w:top w:val="none" w:sz="0" w:space="0" w:color="auto"/>
        <w:left w:val="none" w:sz="0" w:space="0" w:color="auto"/>
        <w:bottom w:val="none" w:sz="0" w:space="0" w:color="auto"/>
        <w:right w:val="none" w:sz="0" w:space="0" w:color="auto"/>
      </w:divBdr>
      <w:divsChild>
        <w:div w:id="1539581865">
          <w:marLeft w:val="0"/>
          <w:marRight w:val="0"/>
          <w:marTop w:val="0"/>
          <w:marBottom w:val="0"/>
          <w:divBdr>
            <w:top w:val="none" w:sz="0" w:space="0" w:color="auto"/>
            <w:left w:val="none" w:sz="0" w:space="0" w:color="auto"/>
            <w:bottom w:val="none" w:sz="0" w:space="0" w:color="auto"/>
            <w:right w:val="none" w:sz="0" w:space="0" w:color="auto"/>
          </w:divBdr>
        </w:div>
        <w:div w:id="272901497">
          <w:marLeft w:val="0"/>
          <w:marRight w:val="0"/>
          <w:marTop w:val="0"/>
          <w:marBottom w:val="0"/>
          <w:divBdr>
            <w:top w:val="none" w:sz="0" w:space="0" w:color="auto"/>
            <w:left w:val="none" w:sz="0" w:space="0" w:color="auto"/>
            <w:bottom w:val="none" w:sz="0" w:space="0" w:color="auto"/>
            <w:right w:val="none" w:sz="0" w:space="0" w:color="auto"/>
          </w:divBdr>
        </w:div>
        <w:div w:id="620381993">
          <w:marLeft w:val="0"/>
          <w:marRight w:val="0"/>
          <w:marTop w:val="0"/>
          <w:marBottom w:val="0"/>
          <w:divBdr>
            <w:top w:val="none" w:sz="0" w:space="0" w:color="auto"/>
            <w:left w:val="none" w:sz="0" w:space="0" w:color="auto"/>
            <w:bottom w:val="none" w:sz="0" w:space="0" w:color="auto"/>
            <w:right w:val="none" w:sz="0" w:space="0" w:color="auto"/>
          </w:divBdr>
        </w:div>
        <w:div w:id="97606693">
          <w:marLeft w:val="0"/>
          <w:marRight w:val="0"/>
          <w:marTop w:val="0"/>
          <w:marBottom w:val="0"/>
          <w:divBdr>
            <w:top w:val="none" w:sz="0" w:space="0" w:color="auto"/>
            <w:left w:val="none" w:sz="0" w:space="0" w:color="auto"/>
            <w:bottom w:val="none" w:sz="0" w:space="0" w:color="auto"/>
            <w:right w:val="none" w:sz="0" w:space="0" w:color="auto"/>
          </w:divBdr>
        </w:div>
        <w:div w:id="623923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ROKOURA, Hayley</dc:creator>
  <cp:keywords/>
  <dc:description/>
  <cp:lastModifiedBy>Diana</cp:lastModifiedBy>
  <cp:revision>5</cp:revision>
  <dcterms:created xsi:type="dcterms:W3CDTF">2024-12-04T04:38:00Z</dcterms:created>
  <dcterms:modified xsi:type="dcterms:W3CDTF">2024-12-04T04:45:00Z</dcterms:modified>
</cp:coreProperties>
</file>