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FDAF4" w14:textId="77777777" w:rsidR="00E27943" w:rsidRPr="00625284" w:rsidRDefault="00E27943" w:rsidP="00E27943">
      <w:pPr>
        <w:jc w:val="center"/>
        <w:rPr>
          <w:rFonts w:ascii="Times New Roman" w:hAnsi="Times New Roman"/>
          <w:b/>
          <w:bCs/>
          <w:szCs w:val="24"/>
          <w:u w:val="single"/>
        </w:rPr>
      </w:pPr>
      <w:r w:rsidRPr="00625284">
        <w:rPr>
          <w:rFonts w:ascii="Times New Roman" w:hAnsi="Times New Roman"/>
          <w:b/>
          <w:bCs/>
          <w:szCs w:val="24"/>
          <w:u w:val="single"/>
        </w:rPr>
        <w:t>EXPLANATORY STATEMENT</w:t>
      </w:r>
    </w:p>
    <w:p w14:paraId="204FB8E1" w14:textId="77777777" w:rsidR="00E27943" w:rsidRPr="00A35596" w:rsidRDefault="00E27943" w:rsidP="00E27943">
      <w:pPr>
        <w:jc w:val="center"/>
        <w:rPr>
          <w:b/>
          <w:sz w:val="22"/>
          <w:szCs w:val="22"/>
        </w:rPr>
      </w:pPr>
    </w:p>
    <w:p w14:paraId="2D745B58" w14:textId="77777777" w:rsidR="00E27943" w:rsidRPr="00855E30" w:rsidRDefault="00E27943" w:rsidP="00E27943">
      <w:pPr>
        <w:jc w:val="center"/>
        <w:rPr>
          <w:rFonts w:ascii="Times New Roman" w:hAnsi="Times New Roman"/>
          <w:bCs/>
          <w:i/>
          <w:iCs/>
          <w:sz w:val="22"/>
          <w:szCs w:val="22"/>
        </w:rPr>
      </w:pPr>
      <w:r w:rsidRPr="00855E30">
        <w:rPr>
          <w:rFonts w:ascii="Times New Roman" w:hAnsi="Times New Roman"/>
          <w:bCs/>
          <w:i/>
          <w:iCs/>
          <w:sz w:val="22"/>
          <w:szCs w:val="22"/>
        </w:rPr>
        <w:t>Therapeutic Goods Act 1989</w:t>
      </w:r>
    </w:p>
    <w:p w14:paraId="63E0FD02" w14:textId="77777777" w:rsidR="00E27943" w:rsidRPr="00A35596" w:rsidRDefault="00E27943" w:rsidP="00E27943">
      <w:pPr>
        <w:jc w:val="center"/>
        <w:rPr>
          <w:sz w:val="22"/>
          <w:szCs w:val="22"/>
          <w:u w:val="single"/>
        </w:rPr>
      </w:pPr>
    </w:p>
    <w:p w14:paraId="7B48D567" w14:textId="6A97A8A5" w:rsidR="00BF3004" w:rsidRPr="000820DB" w:rsidRDefault="00E27943" w:rsidP="00DB6069">
      <w:pPr>
        <w:jc w:val="center"/>
        <w:rPr>
          <w:i/>
          <w:sz w:val="22"/>
          <w:szCs w:val="22"/>
        </w:rPr>
      </w:pPr>
      <w:r>
        <w:rPr>
          <w:i/>
          <w:sz w:val="22"/>
          <w:szCs w:val="22"/>
        </w:rPr>
        <w:t>Therapeutic Goods (</w:t>
      </w:r>
      <w:r w:rsidRPr="000820DB">
        <w:rPr>
          <w:i/>
          <w:sz w:val="22"/>
          <w:szCs w:val="22"/>
        </w:rPr>
        <w:t xml:space="preserve">Therapeutic Goods </w:t>
      </w:r>
      <w:r>
        <w:rPr>
          <w:i/>
          <w:sz w:val="22"/>
          <w:szCs w:val="22"/>
        </w:rPr>
        <w:t>Order No. 91 –</w:t>
      </w:r>
      <w:r w:rsidR="003B12F0">
        <w:rPr>
          <w:i/>
          <w:sz w:val="22"/>
          <w:szCs w:val="22"/>
        </w:rPr>
        <w:t xml:space="preserve"> </w:t>
      </w:r>
      <w:r>
        <w:rPr>
          <w:i/>
          <w:sz w:val="22"/>
          <w:szCs w:val="22"/>
        </w:rPr>
        <w:t>Standard for labels of prescription and related medicines) Amendment Order 2024</w:t>
      </w:r>
    </w:p>
    <w:p w14:paraId="2E4764F7" w14:textId="77777777" w:rsidR="00E27943" w:rsidRPr="00A35596" w:rsidRDefault="00E27943" w:rsidP="00E27943">
      <w:pPr>
        <w:jc w:val="center"/>
        <w:rPr>
          <w:b/>
          <w:sz w:val="22"/>
          <w:szCs w:val="22"/>
        </w:rPr>
      </w:pPr>
    </w:p>
    <w:p w14:paraId="03F9346C" w14:textId="77777777" w:rsidR="00E27943" w:rsidRPr="00E46894" w:rsidRDefault="00E27943" w:rsidP="00E27943">
      <w:pPr>
        <w:autoSpaceDE w:val="0"/>
        <w:autoSpaceDN w:val="0"/>
        <w:adjustRightInd w:val="0"/>
        <w:contextualSpacing/>
        <w:rPr>
          <w:sz w:val="22"/>
          <w:szCs w:val="22"/>
        </w:rPr>
      </w:pPr>
      <w:bookmarkStart w:id="0" w:name="_Hlk147933680"/>
      <w:bookmarkStart w:id="1" w:name="_Hlk164676076"/>
      <w:r w:rsidRPr="00E46894">
        <w:rPr>
          <w:sz w:val="22"/>
          <w:szCs w:val="22"/>
        </w:rPr>
        <w:t xml:space="preserve">The </w:t>
      </w:r>
      <w:r w:rsidRPr="00E46894">
        <w:rPr>
          <w:i/>
          <w:sz w:val="22"/>
          <w:szCs w:val="22"/>
        </w:rPr>
        <w:t>Therapeutic Goods Act 1989</w:t>
      </w:r>
      <w:r w:rsidRPr="00E46894">
        <w:rPr>
          <w:sz w:val="22"/>
          <w:szCs w:val="22"/>
        </w:rPr>
        <w:t xml:space="preserve"> (“the Act”) provides for the establishment and maintenance of a national system of controls for the quality, safety, efficacy or performance, and timely availability of therapeutic goods that are used in, or exported from, Australia. The Act is administered by the Therapeutic Goods Administration (“the TGA”) within the Australian Government Department of Health and Aged Car</w:t>
      </w:r>
      <w:r>
        <w:rPr>
          <w:sz w:val="22"/>
          <w:szCs w:val="22"/>
        </w:rPr>
        <w:t>e (“the Department”).</w:t>
      </w:r>
    </w:p>
    <w:bookmarkEnd w:id="0"/>
    <w:p w14:paraId="0A5CBACD" w14:textId="77777777" w:rsidR="00E27943" w:rsidRDefault="00E27943" w:rsidP="00E27943">
      <w:pPr>
        <w:autoSpaceDE w:val="0"/>
        <w:autoSpaceDN w:val="0"/>
        <w:adjustRightInd w:val="0"/>
        <w:rPr>
          <w:rFonts w:ascii="Times New Roman" w:hAnsi="Times New Roman"/>
          <w:sz w:val="22"/>
          <w:szCs w:val="22"/>
        </w:rPr>
      </w:pPr>
    </w:p>
    <w:p w14:paraId="2276FA5B" w14:textId="77777777" w:rsidR="00E27943" w:rsidRPr="000841D6" w:rsidRDefault="00E27943" w:rsidP="00E27943">
      <w:pPr>
        <w:autoSpaceDE w:val="0"/>
        <w:autoSpaceDN w:val="0"/>
        <w:adjustRightInd w:val="0"/>
        <w:rPr>
          <w:rFonts w:ascii="Times New Roman" w:hAnsi="Times New Roman"/>
          <w:sz w:val="22"/>
          <w:szCs w:val="22"/>
        </w:rPr>
      </w:pPr>
      <w:r>
        <w:rPr>
          <w:sz w:val="22"/>
          <w:szCs w:val="22"/>
        </w:rPr>
        <w:t>S</w:t>
      </w:r>
      <w:r w:rsidRPr="000841D6">
        <w:rPr>
          <w:sz w:val="22"/>
          <w:szCs w:val="22"/>
        </w:rPr>
        <w:t>ubsection 10(1) of the Ac</w:t>
      </w:r>
      <w:r>
        <w:rPr>
          <w:sz w:val="22"/>
          <w:szCs w:val="22"/>
        </w:rPr>
        <w:t>t provides that</w:t>
      </w:r>
      <w:r w:rsidRPr="000841D6">
        <w:rPr>
          <w:sz w:val="22"/>
          <w:szCs w:val="22"/>
        </w:rPr>
        <w:t xml:space="preserve"> the Minister may, by way of legislative instrument, make an order </w:t>
      </w:r>
      <w:r w:rsidRPr="000841D6">
        <w:rPr>
          <w:rFonts w:ascii="Times New Roman" w:hAnsi="Times New Roman"/>
          <w:sz w:val="22"/>
          <w:szCs w:val="22"/>
        </w:rPr>
        <w:t>determining that matters specified in the order constitute a standard for therapeutic goods. Under subsection 10(2), an order establishing a standard for therapeutic goods may require,</w:t>
      </w:r>
      <w:r w:rsidRPr="00942A43">
        <w:rPr>
          <w:rFonts w:ascii="Times New Roman" w:hAnsi="Times New Roman"/>
          <w:iCs/>
          <w:sz w:val="22"/>
          <w:szCs w:val="22"/>
        </w:rPr>
        <w:t xml:space="preserve"> </w:t>
      </w:r>
      <w:r w:rsidRPr="00F54CD0">
        <w:rPr>
          <w:rFonts w:ascii="Times New Roman" w:hAnsi="Times New Roman"/>
          <w:iCs/>
          <w:sz w:val="22"/>
          <w:szCs w:val="22"/>
        </w:rPr>
        <w:t>among other things</w:t>
      </w:r>
      <w:r w:rsidRPr="000841D6">
        <w:rPr>
          <w:rFonts w:ascii="Times New Roman" w:hAnsi="Times New Roman"/>
          <w:sz w:val="22"/>
          <w:szCs w:val="22"/>
        </w:rPr>
        <w:t xml:space="preserve">, that therapeutic goods </w:t>
      </w:r>
      <w:r>
        <w:rPr>
          <w:rFonts w:ascii="Times New Roman" w:hAnsi="Times New Roman"/>
          <w:sz w:val="22"/>
          <w:szCs w:val="22"/>
        </w:rPr>
        <w:t>(</w:t>
      </w:r>
      <w:r w:rsidRPr="000841D6">
        <w:rPr>
          <w:rFonts w:ascii="Times New Roman" w:hAnsi="Times New Roman"/>
          <w:sz w:val="22"/>
          <w:szCs w:val="22"/>
        </w:rPr>
        <w:t>or a class of therapeutic goods identified in the order</w:t>
      </w:r>
      <w:r>
        <w:rPr>
          <w:rFonts w:ascii="Times New Roman" w:hAnsi="Times New Roman"/>
          <w:sz w:val="22"/>
          <w:szCs w:val="22"/>
        </w:rPr>
        <w:t>)</w:t>
      </w:r>
      <w:r w:rsidRPr="000841D6">
        <w:rPr>
          <w:rFonts w:ascii="Times New Roman" w:hAnsi="Times New Roman"/>
          <w:sz w:val="22"/>
          <w:szCs w:val="22"/>
        </w:rPr>
        <w:t xml:space="preserve"> be labelled or packaged in a manner specified in the order. Subsection 10(3A) of the Act </w:t>
      </w:r>
      <w:r>
        <w:rPr>
          <w:rFonts w:ascii="Times New Roman" w:hAnsi="Times New Roman"/>
          <w:sz w:val="22"/>
          <w:szCs w:val="22"/>
        </w:rPr>
        <w:t>provides</w:t>
      </w:r>
      <w:r w:rsidRPr="000841D6">
        <w:rPr>
          <w:rFonts w:ascii="Times New Roman" w:hAnsi="Times New Roman"/>
          <w:sz w:val="22"/>
          <w:szCs w:val="22"/>
        </w:rPr>
        <w:t xml:space="preserve"> that the Minister may, by legislative instrument, vary or revoke an order made under subsection 10(1).</w:t>
      </w:r>
    </w:p>
    <w:p w14:paraId="496F2B28" w14:textId="77777777" w:rsidR="00E27943" w:rsidRDefault="00E27943" w:rsidP="00E27943">
      <w:pPr>
        <w:autoSpaceDE w:val="0"/>
        <w:autoSpaceDN w:val="0"/>
        <w:adjustRightInd w:val="0"/>
        <w:rPr>
          <w:sz w:val="22"/>
          <w:szCs w:val="22"/>
        </w:rPr>
      </w:pPr>
    </w:p>
    <w:p w14:paraId="48D77CEA" w14:textId="35F555B1" w:rsidR="00E27943" w:rsidRDefault="00E27943" w:rsidP="00E27943">
      <w:pPr>
        <w:autoSpaceDE w:val="0"/>
        <w:autoSpaceDN w:val="0"/>
        <w:adjustRightInd w:val="0"/>
        <w:rPr>
          <w:sz w:val="22"/>
          <w:szCs w:val="22"/>
        </w:rPr>
      </w:pPr>
      <w:r>
        <w:rPr>
          <w:i/>
          <w:iCs/>
          <w:sz w:val="22"/>
          <w:szCs w:val="22"/>
        </w:rPr>
        <w:t xml:space="preserve">Therapeutic Goods Order No. 91 – Standard for labels of prescription and related medicines </w:t>
      </w:r>
      <w:r>
        <w:rPr>
          <w:sz w:val="22"/>
          <w:szCs w:val="22"/>
        </w:rPr>
        <w:t xml:space="preserve">(“TGO 91”) sets out a range of requirements relating to the kinds of information to be included on the labels and packaging of prescription medicines, primarily, and the presentation of the information. These requirements support the safe use and quality of medicines which enables health practitioners and </w:t>
      </w:r>
      <w:r w:rsidR="00C56791">
        <w:rPr>
          <w:sz w:val="22"/>
          <w:szCs w:val="22"/>
        </w:rPr>
        <w:t xml:space="preserve">consumers </w:t>
      </w:r>
      <w:r>
        <w:rPr>
          <w:sz w:val="22"/>
          <w:szCs w:val="22"/>
        </w:rPr>
        <w:t>to select health management options appropriately, provides key information about medicines such as their contents, potency and storage requirements, and supports the use of medicines safely and effectively.</w:t>
      </w:r>
    </w:p>
    <w:p w14:paraId="0DDFFF9E" w14:textId="77777777" w:rsidR="00E27943" w:rsidRDefault="00E27943" w:rsidP="00E27943">
      <w:pPr>
        <w:autoSpaceDE w:val="0"/>
        <w:autoSpaceDN w:val="0"/>
        <w:adjustRightInd w:val="0"/>
        <w:rPr>
          <w:sz w:val="22"/>
          <w:szCs w:val="22"/>
        </w:rPr>
      </w:pPr>
    </w:p>
    <w:p w14:paraId="655E055F" w14:textId="77777777" w:rsidR="00E27943" w:rsidRPr="00940B4C" w:rsidRDefault="00E27943" w:rsidP="00E27943">
      <w:pPr>
        <w:autoSpaceDE w:val="0"/>
        <w:autoSpaceDN w:val="0"/>
        <w:adjustRightInd w:val="0"/>
        <w:rPr>
          <w:sz w:val="22"/>
          <w:szCs w:val="22"/>
        </w:rPr>
      </w:pPr>
      <w:r>
        <w:rPr>
          <w:sz w:val="22"/>
          <w:szCs w:val="22"/>
        </w:rPr>
        <w:t xml:space="preserve">The </w:t>
      </w:r>
      <w:r w:rsidRPr="00F54CD0">
        <w:rPr>
          <w:i/>
          <w:iCs/>
          <w:sz w:val="22"/>
          <w:szCs w:val="22"/>
        </w:rPr>
        <w:t>Therapeutic Goods (</w:t>
      </w:r>
      <w:r>
        <w:rPr>
          <w:i/>
          <w:iCs/>
          <w:sz w:val="22"/>
          <w:szCs w:val="22"/>
        </w:rPr>
        <w:t xml:space="preserve">Therapeutic Goods Order No. 91 –Standard for labels of prescription and related medicines) Amendment Order 2024 </w:t>
      </w:r>
      <w:r>
        <w:rPr>
          <w:sz w:val="22"/>
          <w:szCs w:val="22"/>
        </w:rPr>
        <w:t>(“the Amendment Order”) amends TGO 91 to introduce new labelling requirements for certain injectable medicines intended for electrolyte replacement.</w:t>
      </w:r>
    </w:p>
    <w:p w14:paraId="6300F775" w14:textId="77777777" w:rsidR="00E27943" w:rsidRDefault="00E27943" w:rsidP="00E27943">
      <w:pPr>
        <w:autoSpaceDE w:val="0"/>
        <w:autoSpaceDN w:val="0"/>
        <w:adjustRightInd w:val="0"/>
        <w:rPr>
          <w:rFonts w:ascii="Times New Roman" w:hAnsi="Times New Roman"/>
          <w:sz w:val="22"/>
          <w:szCs w:val="22"/>
        </w:rPr>
      </w:pPr>
    </w:p>
    <w:p w14:paraId="37223D90" w14:textId="77777777" w:rsidR="00E27943" w:rsidRDefault="00E27943" w:rsidP="00E27943">
      <w:pPr>
        <w:autoSpaceDE w:val="0"/>
        <w:autoSpaceDN w:val="0"/>
        <w:adjustRightInd w:val="0"/>
        <w:rPr>
          <w:rFonts w:ascii="Times New Roman" w:hAnsi="Times New Roman"/>
          <w:b/>
          <w:bCs/>
          <w:sz w:val="22"/>
          <w:szCs w:val="22"/>
        </w:rPr>
      </w:pPr>
      <w:r>
        <w:rPr>
          <w:rFonts w:ascii="Times New Roman" w:hAnsi="Times New Roman"/>
          <w:b/>
          <w:bCs/>
          <w:sz w:val="22"/>
          <w:szCs w:val="22"/>
        </w:rPr>
        <w:t>Background</w:t>
      </w:r>
    </w:p>
    <w:p w14:paraId="37A09308" w14:textId="77777777" w:rsidR="00E27943" w:rsidRDefault="00E27943" w:rsidP="00E27943">
      <w:pPr>
        <w:autoSpaceDE w:val="0"/>
        <w:autoSpaceDN w:val="0"/>
        <w:adjustRightInd w:val="0"/>
        <w:rPr>
          <w:rFonts w:ascii="Times New Roman" w:hAnsi="Times New Roman"/>
          <w:sz w:val="22"/>
          <w:szCs w:val="22"/>
        </w:rPr>
      </w:pPr>
    </w:p>
    <w:p w14:paraId="26356BF4" w14:textId="7CB86732" w:rsidR="00E27943" w:rsidRDefault="00E27943" w:rsidP="00E27943">
      <w:pPr>
        <w:autoSpaceDE w:val="0"/>
        <w:autoSpaceDN w:val="0"/>
        <w:adjustRightInd w:val="0"/>
        <w:rPr>
          <w:rFonts w:ascii="Times New Roman" w:hAnsi="Times New Roman"/>
          <w:sz w:val="22"/>
          <w:szCs w:val="22"/>
        </w:rPr>
      </w:pPr>
      <w:r>
        <w:rPr>
          <w:rFonts w:ascii="Times New Roman" w:hAnsi="Times New Roman"/>
          <w:sz w:val="22"/>
          <w:szCs w:val="22"/>
        </w:rPr>
        <w:t xml:space="preserve">Standards made under section 10 of the Act may relate to any matter relevant to the quality, safety or efficacy of a therapeutic good. Generally, a therapeutic good must not be imported, exported or supplied if it does not conform to an applicable standard. </w:t>
      </w:r>
      <w:r w:rsidR="00DB6069">
        <w:rPr>
          <w:rFonts w:ascii="Times New Roman" w:hAnsi="Times New Roman"/>
          <w:sz w:val="22"/>
          <w:szCs w:val="22"/>
        </w:rPr>
        <w:t>Pa</w:t>
      </w:r>
      <w:r>
        <w:rPr>
          <w:rFonts w:ascii="Times New Roman" w:hAnsi="Times New Roman"/>
          <w:sz w:val="22"/>
          <w:szCs w:val="22"/>
        </w:rPr>
        <w:t>ragraph 10(2)(c) of the Act states that an order establishing a standard for therapeutic goods may require that therapeutic goods, or a class of therapeutic goods identified in the order, be labelled or packaged in a manner, or kept in containers that comply with requirements, specified in the order.</w:t>
      </w:r>
    </w:p>
    <w:p w14:paraId="6A7B4582" w14:textId="77777777" w:rsidR="00E27943" w:rsidRDefault="00E27943" w:rsidP="00E27943">
      <w:pPr>
        <w:autoSpaceDE w:val="0"/>
        <w:autoSpaceDN w:val="0"/>
        <w:adjustRightInd w:val="0"/>
        <w:rPr>
          <w:rFonts w:ascii="Times New Roman" w:hAnsi="Times New Roman"/>
          <w:sz w:val="22"/>
          <w:szCs w:val="22"/>
        </w:rPr>
      </w:pPr>
    </w:p>
    <w:p w14:paraId="16266C36" w14:textId="4637B8B0" w:rsidR="00E27943" w:rsidRDefault="00E27943" w:rsidP="00E27943">
      <w:pPr>
        <w:autoSpaceDE w:val="0"/>
        <w:autoSpaceDN w:val="0"/>
        <w:adjustRightInd w:val="0"/>
        <w:rPr>
          <w:rFonts w:ascii="Times New Roman" w:hAnsi="Times New Roman"/>
          <w:sz w:val="22"/>
          <w:szCs w:val="22"/>
        </w:rPr>
      </w:pPr>
      <w:r>
        <w:rPr>
          <w:rFonts w:ascii="Times New Roman" w:hAnsi="Times New Roman"/>
          <w:sz w:val="22"/>
          <w:szCs w:val="22"/>
        </w:rPr>
        <w:t>TGO 91 mandates information that must be on labels of prescription and related medicines, as well as the format and placement in which it must be presented on the label. Examples of information required by TGO 91 include the name of the medicine, the name of the active ingredient and its strength or quantity, storage requirements, expiry date and the declaration of certain inert or inactive substances in the medicine.</w:t>
      </w:r>
      <w:r w:rsidR="00DB6069">
        <w:rPr>
          <w:rFonts w:ascii="Times New Roman" w:hAnsi="Times New Roman"/>
          <w:sz w:val="22"/>
          <w:szCs w:val="22"/>
        </w:rPr>
        <w:t xml:space="preserve"> TGO 91 applies to medicines that are supplied, or for supply, in Australia that are of a kind specified in Part 1 of Schedule 10 to the </w:t>
      </w:r>
      <w:r w:rsidR="00DB6069">
        <w:rPr>
          <w:rFonts w:ascii="Times New Roman" w:hAnsi="Times New Roman"/>
          <w:i/>
          <w:iCs/>
          <w:sz w:val="22"/>
          <w:szCs w:val="22"/>
        </w:rPr>
        <w:t>Therapeutic Goods Regulations 1990</w:t>
      </w:r>
      <w:r w:rsidR="00DB6069">
        <w:rPr>
          <w:rFonts w:ascii="Times New Roman" w:hAnsi="Times New Roman"/>
          <w:sz w:val="22"/>
          <w:szCs w:val="22"/>
        </w:rPr>
        <w:t xml:space="preserve">, save for those that are expressly excluded by </w:t>
      </w:r>
      <w:r w:rsidR="0012701F">
        <w:rPr>
          <w:rFonts w:ascii="Times New Roman" w:hAnsi="Times New Roman"/>
          <w:sz w:val="22"/>
          <w:szCs w:val="22"/>
        </w:rPr>
        <w:t>s</w:t>
      </w:r>
      <w:r w:rsidR="00DB6069">
        <w:rPr>
          <w:rFonts w:ascii="Times New Roman" w:hAnsi="Times New Roman"/>
          <w:sz w:val="22"/>
          <w:szCs w:val="22"/>
        </w:rPr>
        <w:t>ubparagraphs 3(1)(a)(i) to (iv) of TGO 91</w:t>
      </w:r>
      <w:r w:rsidR="0012701F">
        <w:rPr>
          <w:rFonts w:ascii="Times New Roman" w:hAnsi="Times New Roman"/>
          <w:sz w:val="22"/>
          <w:szCs w:val="22"/>
        </w:rPr>
        <w:t xml:space="preserve"> </w:t>
      </w:r>
      <w:r w:rsidR="001E1FFB">
        <w:rPr>
          <w:rFonts w:ascii="Times New Roman" w:hAnsi="Times New Roman"/>
          <w:sz w:val="22"/>
          <w:szCs w:val="22"/>
        </w:rPr>
        <w:t>or</w:t>
      </w:r>
      <w:r w:rsidR="0012701F">
        <w:rPr>
          <w:rFonts w:ascii="Times New Roman" w:hAnsi="Times New Roman"/>
          <w:sz w:val="22"/>
          <w:szCs w:val="22"/>
        </w:rPr>
        <w:t xml:space="preserve"> are exempt under section 5 of TGO 91.</w:t>
      </w:r>
    </w:p>
    <w:p w14:paraId="5B12213E" w14:textId="77777777" w:rsidR="00E27943" w:rsidRPr="00D4487A" w:rsidRDefault="00E27943" w:rsidP="00E27943">
      <w:pPr>
        <w:autoSpaceDE w:val="0"/>
        <w:autoSpaceDN w:val="0"/>
        <w:adjustRightInd w:val="0"/>
        <w:rPr>
          <w:sz w:val="22"/>
          <w:szCs w:val="22"/>
        </w:rPr>
      </w:pPr>
      <w:bookmarkStart w:id="2" w:name="_Hlk101862842"/>
      <w:bookmarkStart w:id="3" w:name="_Hlk101947375"/>
    </w:p>
    <w:p w14:paraId="61922841" w14:textId="77777777" w:rsidR="00E27943" w:rsidRDefault="00E27943" w:rsidP="00E27943">
      <w:pPr>
        <w:autoSpaceDE w:val="0"/>
        <w:autoSpaceDN w:val="0"/>
        <w:adjustRightInd w:val="0"/>
        <w:rPr>
          <w:b/>
          <w:bCs/>
          <w:sz w:val="22"/>
          <w:szCs w:val="22"/>
        </w:rPr>
      </w:pPr>
      <w:r w:rsidRPr="00D4487A">
        <w:rPr>
          <w:b/>
          <w:bCs/>
          <w:sz w:val="22"/>
          <w:szCs w:val="22"/>
        </w:rPr>
        <w:t>Purpose</w:t>
      </w:r>
    </w:p>
    <w:p w14:paraId="3F1F328F" w14:textId="77777777" w:rsidR="00E27943" w:rsidRDefault="00E27943" w:rsidP="00E27943">
      <w:pPr>
        <w:autoSpaceDE w:val="0"/>
        <w:autoSpaceDN w:val="0"/>
        <w:adjustRightInd w:val="0"/>
        <w:rPr>
          <w:b/>
          <w:bCs/>
          <w:sz w:val="22"/>
          <w:szCs w:val="22"/>
        </w:rPr>
      </w:pPr>
    </w:p>
    <w:p w14:paraId="2AE375D6" w14:textId="77777777" w:rsidR="00E27943" w:rsidRDefault="00E27943" w:rsidP="00E27943">
      <w:pPr>
        <w:autoSpaceDE w:val="0"/>
        <w:autoSpaceDN w:val="0"/>
        <w:adjustRightInd w:val="0"/>
        <w:rPr>
          <w:sz w:val="22"/>
          <w:szCs w:val="22"/>
        </w:rPr>
      </w:pPr>
      <w:r>
        <w:rPr>
          <w:sz w:val="22"/>
          <w:szCs w:val="22"/>
        </w:rPr>
        <w:t xml:space="preserve">The Amendment Order introduces new labelling requirements for certain injectable medicines intended for electrolyte replacement. Potassium and other concentrated electrolytes for injection are </w:t>
      </w:r>
      <w:r>
        <w:rPr>
          <w:sz w:val="22"/>
          <w:szCs w:val="22"/>
        </w:rPr>
        <w:lastRenderedPageBreak/>
        <w:t xml:space="preserve">considered high risk medicines, including by the Australian Commission on Safety and Quality in Health Care. </w:t>
      </w:r>
    </w:p>
    <w:p w14:paraId="732C5D11" w14:textId="77777777" w:rsidR="00E27943" w:rsidRDefault="00E27943" w:rsidP="00E27943">
      <w:pPr>
        <w:autoSpaceDE w:val="0"/>
        <w:autoSpaceDN w:val="0"/>
        <w:adjustRightInd w:val="0"/>
        <w:rPr>
          <w:sz w:val="22"/>
          <w:szCs w:val="22"/>
        </w:rPr>
      </w:pPr>
    </w:p>
    <w:p w14:paraId="07FB5C93" w14:textId="08166588" w:rsidR="00E27943" w:rsidRDefault="00E27943" w:rsidP="00E27943">
      <w:pPr>
        <w:autoSpaceDE w:val="0"/>
        <w:autoSpaceDN w:val="0"/>
        <w:adjustRightInd w:val="0"/>
        <w:rPr>
          <w:sz w:val="22"/>
          <w:szCs w:val="22"/>
        </w:rPr>
      </w:pPr>
      <w:r>
        <w:rPr>
          <w:sz w:val="22"/>
          <w:szCs w:val="22"/>
        </w:rPr>
        <w:t xml:space="preserve">In clinical practice in Australia, concentrations and doses of these medicines is often based in millimoles (mmol). However, paragraph 11(2)(f) of TGO 91 requires that the quantity or proportion of the active ingredients for these medicines for injection must be expressed as the ‘stated weight’ in the total volume of the injection. Medicines greater than 100 millilitres (mL) that are intended for electrolyte replacement are required to express quantity in </w:t>
      </w:r>
      <w:r w:rsidR="001E1FFB">
        <w:rPr>
          <w:sz w:val="22"/>
          <w:szCs w:val="22"/>
        </w:rPr>
        <w:t>mmol</w:t>
      </w:r>
      <w:r>
        <w:rPr>
          <w:sz w:val="22"/>
          <w:szCs w:val="22"/>
        </w:rPr>
        <w:t xml:space="preserve"> in the stated volume, but medicines that are 100 mL or less do not have this requirement.</w:t>
      </w:r>
    </w:p>
    <w:p w14:paraId="511B2F92" w14:textId="77777777" w:rsidR="00E27943" w:rsidRDefault="00E27943" w:rsidP="00E27943">
      <w:pPr>
        <w:autoSpaceDE w:val="0"/>
        <w:autoSpaceDN w:val="0"/>
        <w:adjustRightInd w:val="0"/>
        <w:rPr>
          <w:sz w:val="22"/>
          <w:szCs w:val="22"/>
        </w:rPr>
      </w:pPr>
    </w:p>
    <w:p w14:paraId="1AFCC869" w14:textId="3C32AD83" w:rsidR="00E27943" w:rsidRDefault="00E27943" w:rsidP="00E27943">
      <w:pPr>
        <w:autoSpaceDE w:val="0"/>
        <w:autoSpaceDN w:val="0"/>
        <w:adjustRightInd w:val="0"/>
        <w:rPr>
          <w:sz w:val="22"/>
          <w:szCs w:val="22"/>
        </w:rPr>
      </w:pPr>
      <w:r>
        <w:rPr>
          <w:sz w:val="22"/>
          <w:szCs w:val="22"/>
        </w:rPr>
        <w:t xml:space="preserve">The TGA has been alerted to the potential safety risk of these labelling requirements not providing for the clinically relevant unit of quantity to be displayed prominently for some active ingredients. As health care clinicians are most familiar with concentration and doses of these medicines specified in </w:t>
      </w:r>
      <w:r w:rsidR="001E1FFB">
        <w:rPr>
          <w:sz w:val="22"/>
          <w:szCs w:val="22"/>
        </w:rPr>
        <w:t>millimoles</w:t>
      </w:r>
      <w:r>
        <w:rPr>
          <w:sz w:val="22"/>
          <w:szCs w:val="22"/>
        </w:rPr>
        <w:t xml:space="preserve">, rather than in grams or milligrams, expression of quantity only in weight may cause confusion and has the potential to lead to medication errors and harm to </w:t>
      </w:r>
      <w:r w:rsidR="00C56791">
        <w:rPr>
          <w:sz w:val="22"/>
          <w:szCs w:val="22"/>
        </w:rPr>
        <w:t>consumers.</w:t>
      </w:r>
    </w:p>
    <w:p w14:paraId="6EA12BD9" w14:textId="77777777" w:rsidR="00E27943" w:rsidRDefault="00E27943" w:rsidP="00E27943">
      <w:pPr>
        <w:autoSpaceDE w:val="0"/>
        <w:autoSpaceDN w:val="0"/>
        <w:adjustRightInd w:val="0"/>
        <w:rPr>
          <w:sz w:val="22"/>
          <w:szCs w:val="22"/>
        </w:rPr>
      </w:pPr>
    </w:p>
    <w:p w14:paraId="381C1D84" w14:textId="77777777" w:rsidR="00E27943" w:rsidRPr="00D4487A" w:rsidRDefault="00E27943" w:rsidP="00E27943">
      <w:pPr>
        <w:autoSpaceDE w:val="0"/>
        <w:autoSpaceDN w:val="0"/>
        <w:adjustRightInd w:val="0"/>
        <w:rPr>
          <w:b/>
          <w:bCs/>
          <w:sz w:val="22"/>
          <w:szCs w:val="22"/>
        </w:rPr>
      </w:pPr>
      <w:r>
        <w:rPr>
          <w:sz w:val="22"/>
          <w:szCs w:val="22"/>
        </w:rPr>
        <w:t>The Amendment Order amends TGO 91 to require that quantities of active ingredients contained in injectable medicines intended for electrolyte replacement are clearly expressed in millimoles. The purpose of this amendment is to support clinical practice, give clarity to health professionals, and support the safe use of such medicines.</w:t>
      </w:r>
    </w:p>
    <w:p w14:paraId="29A52A32" w14:textId="77777777" w:rsidR="00E27943" w:rsidRPr="00CB2EA8" w:rsidRDefault="00E27943" w:rsidP="00E27943">
      <w:pPr>
        <w:autoSpaceDE w:val="0"/>
        <w:autoSpaceDN w:val="0"/>
        <w:adjustRightInd w:val="0"/>
        <w:rPr>
          <w:b/>
          <w:bCs/>
          <w:color w:val="44546A" w:themeColor="text2"/>
          <w:sz w:val="22"/>
          <w:szCs w:val="22"/>
        </w:rPr>
      </w:pPr>
    </w:p>
    <w:bookmarkEnd w:id="1"/>
    <w:bookmarkEnd w:id="2"/>
    <w:bookmarkEnd w:id="3"/>
    <w:p w14:paraId="6B5CB622" w14:textId="5D163C2C" w:rsidR="00E27943" w:rsidRDefault="00E27943" w:rsidP="001D6726">
      <w:pPr>
        <w:keepNext/>
        <w:keepLines/>
        <w:rPr>
          <w:rFonts w:ascii="Times New Roman" w:hAnsi="Times New Roman"/>
          <w:b/>
          <w:sz w:val="22"/>
          <w:szCs w:val="22"/>
        </w:rPr>
      </w:pPr>
      <w:r w:rsidRPr="00E548FE">
        <w:rPr>
          <w:rFonts w:ascii="Times New Roman" w:hAnsi="Times New Roman"/>
          <w:b/>
          <w:sz w:val="22"/>
          <w:szCs w:val="22"/>
        </w:rPr>
        <w:t>Consultation</w:t>
      </w:r>
    </w:p>
    <w:p w14:paraId="1D050850" w14:textId="77777777" w:rsidR="001E1FFB" w:rsidRPr="00E548FE" w:rsidRDefault="001E1FFB" w:rsidP="001D6726">
      <w:pPr>
        <w:keepNext/>
        <w:keepLines/>
        <w:rPr>
          <w:rFonts w:ascii="Times New Roman" w:hAnsi="Times New Roman"/>
          <w:sz w:val="22"/>
          <w:szCs w:val="22"/>
        </w:rPr>
      </w:pPr>
    </w:p>
    <w:p w14:paraId="7A4210F0" w14:textId="77777777" w:rsidR="00EF420E" w:rsidRDefault="00EF420E" w:rsidP="00EF420E">
      <w:pPr>
        <w:rPr>
          <w:rFonts w:ascii="Times New Roman" w:hAnsi="Times New Roman"/>
          <w:sz w:val="22"/>
          <w:szCs w:val="22"/>
        </w:rPr>
      </w:pPr>
      <w:r>
        <w:rPr>
          <w:rFonts w:ascii="Times New Roman" w:hAnsi="Times New Roman"/>
          <w:sz w:val="22"/>
          <w:szCs w:val="22"/>
        </w:rPr>
        <w:t xml:space="preserve">Between 30 May and 18 July 2024, the TGA conducted a public consultation including on a proposal to amend labelling requirements for how the quantity of active ingredients in injectable medicines intended for electrolyte replacement with a volume of 100 mL or less must be expressed. To raise awareness, the TGA notified over 300 stakeholders of the consultation period, including sponsors of injectable electrolyte medicines, medicine industry associations, and health professional organisations and representative groups. </w:t>
      </w:r>
    </w:p>
    <w:p w14:paraId="36DD6A47" w14:textId="77777777" w:rsidR="00EF420E" w:rsidRDefault="00EF420E" w:rsidP="00EF420E">
      <w:pPr>
        <w:rPr>
          <w:rFonts w:ascii="Times New Roman" w:hAnsi="Times New Roman"/>
          <w:sz w:val="22"/>
          <w:szCs w:val="22"/>
        </w:rPr>
      </w:pPr>
    </w:p>
    <w:p w14:paraId="79A78A9F" w14:textId="48CB7732" w:rsidR="00EF420E" w:rsidRDefault="00EF420E" w:rsidP="00EF420E">
      <w:pPr>
        <w:rPr>
          <w:rFonts w:ascii="Times New Roman" w:hAnsi="Times New Roman"/>
          <w:sz w:val="22"/>
          <w:szCs w:val="22"/>
        </w:rPr>
      </w:pPr>
      <w:r>
        <w:rPr>
          <w:rFonts w:ascii="Times New Roman" w:hAnsi="Times New Roman"/>
          <w:sz w:val="22"/>
          <w:szCs w:val="22"/>
        </w:rPr>
        <w:t xml:space="preserve">Sixty respondents provided feedback to the consultation. </w:t>
      </w:r>
      <w:r w:rsidR="00443695" w:rsidRPr="00443695">
        <w:rPr>
          <w:rFonts w:ascii="Times New Roman" w:hAnsi="Times New Roman"/>
          <w:sz w:val="22"/>
          <w:szCs w:val="22"/>
        </w:rPr>
        <w:t>Of the 35 submissions that responded to questions regarding the expression of potassium chloride quantit</w:t>
      </w:r>
      <w:r w:rsidR="007C4624">
        <w:rPr>
          <w:rFonts w:ascii="Times New Roman" w:hAnsi="Times New Roman"/>
          <w:sz w:val="22"/>
          <w:szCs w:val="22"/>
        </w:rPr>
        <w:t>ies</w:t>
      </w:r>
      <w:r w:rsidR="00443695" w:rsidRPr="00443695">
        <w:rPr>
          <w:rFonts w:ascii="Times New Roman" w:hAnsi="Times New Roman"/>
          <w:sz w:val="22"/>
          <w:szCs w:val="22"/>
        </w:rPr>
        <w:t xml:space="preserve">, 25 supported the proposed changes. </w:t>
      </w:r>
      <w:r w:rsidRPr="00E17249">
        <w:rPr>
          <w:rFonts w:ascii="Times New Roman" w:hAnsi="Times New Roman"/>
          <w:sz w:val="22"/>
          <w:szCs w:val="22"/>
        </w:rPr>
        <w:t xml:space="preserve">Of the 33 submissions that responded to the questions regarding the expression of </w:t>
      </w:r>
      <w:r w:rsidR="007C4624">
        <w:rPr>
          <w:rFonts w:ascii="Times New Roman" w:hAnsi="Times New Roman"/>
          <w:sz w:val="22"/>
          <w:szCs w:val="22"/>
        </w:rPr>
        <w:t xml:space="preserve">other </w:t>
      </w:r>
      <w:r w:rsidRPr="00E17249">
        <w:rPr>
          <w:rFonts w:ascii="Times New Roman" w:hAnsi="Times New Roman"/>
          <w:sz w:val="22"/>
          <w:szCs w:val="22"/>
        </w:rPr>
        <w:t>electrolyte quantities, 19 supported the proposed changes</w:t>
      </w:r>
      <w:r w:rsidR="003B12F0">
        <w:rPr>
          <w:rFonts w:ascii="Times New Roman" w:hAnsi="Times New Roman"/>
          <w:sz w:val="22"/>
          <w:szCs w:val="22"/>
        </w:rPr>
        <w:t xml:space="preserve">. Only one </w:t>
      </w:r>
      <w:r w:rsidRPr="00E17249">
        <w:rPr>
          <w:rFonts w:ascii="Times New Roman" w:hAnsi="Times New Roman"/>
          <w:sz w:val="22"/>
          <w:szCs w:val="22"/>
        </w:rPr>
        <w:t>respondent opposed the propos</w:t>
      </w:r>
      <w:r>
        <w:rPr>
          <w:rFonts w:ascii="Times New Roman" w:hAnsi="Times New Roman"/>
          <w:sz w:val="22"/>
          <w:szCs w:val="22"/>
        </w:rPr>
        <w:t>ed changes</w:t>
      </w:r>
      <w:r w:rsidRPr="00E17249">
        <w:rPr>
          <w:rFonts w:ascii="Times New Roman" w:hAnsi="Times New Roman"/>
          <w:sz w:val="22"/>
          <w:szCs w:val="22"/>
        </w:rPr>
        <w:t xml:space="preserve"> as they considered it should be applied more broadly</w:t>
      </w:r>
      <w:r>
        <w:rPr>
          <w:rFonts w:ascii="Times New Roman" w:hAnsi="Times New Roman"/>
          <w:sz w:val="22"/>
          <w:szCs w:val="22"/>
        </w:rPr>
        <w:t>, however</w:t>
      </w:r>
      <w:r w:rsidR="00197E5B">
        <w:rPr>
          <w:rFonts w:ascii="Times New Roman" w:hAnsi="Times New Roman"/>
          <w:sz w:val="22"/>
          <w:szCs w:val="22"/>
        </w:rPr>
        <w:t>,</w:t>
      </w:r>
      <w:r>
        <w:rPr>
          <w:rFonts w:ascii="Times New Roman" w:hAnsi="Times New Roman"/>
          <w:sz w:val="22"/>
          <w:szCs w:val="22"/>
        </w:rPr>
        <w:t xml:space="preserve"> this was </w:t>
      </w:r>
      <w:r w:rsidR="003B12F0">
        <w:rPr>
          <w:rFonts w:ascii="Times New Roman" w:hAnsi="Times New Roman"/>
          <w:sz w:val="22"/>
          <w:szCs w:val="22"/>
        </w:rPr>
        <w:t>determined</w:t>
      </w:r>
      <w:r>
        <w:rPr>
          <w:rFonts w:ascii="Times New Roman" w:hAnsi="Times New Roman"/>
          <w:sz w:val="22"/>
          <w:szCs w:val="22"/>
        </w:rPr>
        <w:t xml:space="preserve"> to be outside the scope of the current proposal.</w:t>
      </w:r>
      <w:r w:rsidRPr="00E17249">
        <w:rPr>
          <w:rFonts w:ascii="Times New Roman" w:hAnsi="Times New Roman"/>
          <w:sz w:val="22"/>
          <w:szCs w:val="22"/>
        </w:rPr>
        <w:t xml:space="preserve"> </w:t>
      </w:r>
    </w:p>
    <w:p w14:paraId="5C173D8A" w14:textId="77777777" w:rsidR="00EF420E" w:rsidRDefault="00EF420E" w:rsidP="00EF420E">
      <w:pPr>
        <w:rPr>
          <w:rFonts w:ascii="Times New Roman" w:hAnsi="Times New Roman"/>
          <w:sz w:val="22"/>
          <w:szCs w:val="22"/>
        </w:rPr>
      </w:pPr>
    </w:p>
    <w:p w14:paraId="1AE8C22C" w14:textId="1A09E8B7" w:rsidR="00594E9E" w:rsidRPr="00594E9E" w:rsidRDefault="00594E9E" w:rsidP="00594E9E">
      <w:pPr>
        <w:rPr>
          <w:rFonts w:ascii="Times New Roman" w:hAnsi="Times New Roman"/>
          <w:sz w:val="22"/>
          <w:szCs w:val="22"/>
        </w:rPr>
      </w:pPr>
      <w:r w:rsidRPr="00594E9E">
        <w:rPr>
          <w:rFonts w:ascii="Times New Roman" w:hAnsi="Times New Roman"/>
          <w:sz w:val="22"/>
          <w:szCs w:val="22"/>
        </w:rPr>
        <w:t xml:space="preserve">With respect to the proposed transition timeframe, </w:t>
      </w:r>
      <w:r w:rsidR="00B13574">
        <w:rPr>
          <w:rFonts w:ascii="Times New Roman" w:hAnsi="Times New Roman"/>
          <w:sz w:val="22"/>
          <w:szCs w:val="22"/>
        </w:rPr>
        <w:t>3</w:t>
      </w:r>
      <w:r w:rsidRPr="00594E9E">
        <w:rPr>
          <w:rFonts w:ascii="Times New Roman" w:hAnsi="Times New Roman"/>
          <w:sz w:val="22"/>
          <w:szCs w:val="22"/>
        </w:rPr>
        <w:t xml:space="preserve"> </w:t>
      </w:r>
      <w:r w:rsidR="00B13574">
        <w:rPr>
          <w:rFonts w:ascii="Times New Roman" w:hAnsi="Times New Roman"/>
          <w:sz w:val="22"/>
          <w:szCs w:val="22"/>
        </w:rPr>
        <w:t xml:space="preserve">of 29 </w:t>
      </w:r>
      <w:r w:rsidRPr="00594E9E">
        <w:rPr>
          <w:rFonts w:ascii="Times New Roman" w:hAnsi="Times New Roman"/>
          <w:sz w:val="22"/>
          <w:szCs w:val="22"/>
        </w:rPr>
        <w:t xml:space="preserve">respondents opposed the proposed two-year period, with one respondent preferring label changes sooner if it didn’t impact medicine availability, one respondent stating legislative changes should be postponed until TGO 91 is due to sunset, and one respondent </w:t>
      </w:r>
      <w:r w:rsidR="00197E5B">
        <w:rPr>
          <w:rFonts w:ascii="Times New Roman" w:hAnsi="Times New Roman"/>
          <w:sz w:val="22"/>
          <w:szCs w:val="22"/>
        </w:rPr>
        <w:t xml:space="preserve">did </w:t>
      </w:r>
      <w:r w:rsidRPr="00594E9E">
        <w:rPr>
          <w:rFonts w:ascii="Times New Roman" w:hAnsi="Times New Roman"/>
          <w:sz w:val="22"/>
          <w:szCs w:val="22"/>
        </w:rPr>
        <w:t>not provid</w:t>
      </w:r>
      <w:r w:rsidR="00197E5B">
        <w:rPr>
          <w:rFonts w:ascii="Times New Roman" w:hAnsi="Times New Roman"/>
          <w:sz w:val="22"/>
          <w:szCs w:val="22"/>
        </w:rPr>
        <w:t>e</w:t>
      </w:r>
      <w:r w:rsidRPr="00594E9E">
        <w:rPr>
          <w:rFonts w:ascii="Times New Roman" w:hAnsi="Times New Roman"/>
          <w:sz w:val="22"/>
          <w:szCs w:val="22"/>
        </w:rPr>
        <w:t xml:space="preserve"> reasoning.</w:t>
      </w:r>
    </w:p>
    <w:p w14:paraId="22E72DA7" w14:textId="77777777" w:rsidR="00EF420E" w:rsidRPr="00E548FE" w:rsidRDefault="00EF420E" w:rsidP="00EF420E">
      <w:pPr>
        <w:rPr>
          <w:rFonts w:ascii="Times New Roman" w:hAnsi="Times New Roman"/>
          <w:sz w:val="22"/>
          <w:szCs w:val="22"/>
        </w:rPr>
      </w:pPr>
    </w:p>
    <w:p w14:paraId="19D2ED9C" w14:textId="77777777" w:rsidR="00EF420E" w:rsidRPr="007C6AAF" w:rsidRDefault="00EF420E" w:rsidP="00EF420E">
      <w:pPr>
        <w:rPr>
          <w:rFonts w:ascii="Times New Roman" w:hAnsi="Times New Roman"/>
          <w:color w:val="000000"/>
          <w:sz w:val="22"/>
          <w:szCs w:val="22"/>
          <w:shd w:val="clear" w:color="auto" w:fill="FFFFFF"/>
        </w:rPr>
      </w:pPr>
      <w:r w:rsidRPr="00DB6069">
        <w:rPr>
          <w:rFonts w:ascii="Times New Roman" w:hAnsi="Times New Roman"/>
          <w:sz w:val="22"/>
          <w:szCs w:val="22"/>
        </w:rPr>
        <w:t xml:space="preserve">The Office of Impact Analysis has been consulted and advised that the preparation of an impact analysis is not required in relation to the creation of the Amendment Order as it is unlikely to have more than </w:t>
      </w:r>
      <w:r>
        <w:rPr>
          <w:rFonts w:ascii="Times New Roman" w:hAnsi="Times New Roman"/>
          <w:sz w:val="22"/>
          <w:szCs w:val="22"/>
        </w:rPr>
        <w:t xml:space="preserve">a </w:t>
      </w:r>
      <w:r w:rsidRPr="00DB6069">
        <w:rPr>
          <w:rFonts w:ascii="Times New Roman" w:hAnsi="Times New Roman"/>
          <w:sz w:val="22"/>
          <w:szCs w:val="22"/>
        </w:rPr>
        <w:t xml:space="preserve">minor impact </w:t>
      </w:r>
      <w:r w:rsidRPr="007D26B4">
        <w:rPr>
          <w:rFonts w:ascii="Times New Roman" w:hAnsi="Times New Roman"/>
          <w:sz w:val="22"/>
          <w:szCs w:val="22"/>
        </w:rPr>
        <w:t>(OIA24-06534).</w:t>
      </w:r>
    </w:p>
    <w:p w14:paraId="168A24D6" w14:textId="77777777" w:rsidR="00E27943" w:rsidRDefault="00E27943" w:rsidP="00E27943">
      <w:pPr>
        <w:rPr>
          <w:rFonts w:ascii="Times New Roman" w:hAnsi="Times New Roman"/>
          <w:sz w:val="22"/>
          <w:szCs w:val="22"/>
        </w:rPr>
      </w:pPr>
    </w:p>
    <w:p w14:paraId="4CB3EDAC" w14:textId="77777777" w:rsidR="00E27943" w:rsidRPr="00E46894" w:rsidRDefault="00E27943" w:rsidP="00E27943">
      <w:pPr>
        <w:keepNext/>
        <w:autoSpaceDE w:val="0"/>
        <w:autoSpaceDN w:val="0"/>
        <w:adjustRightInd w:val="0"/>
        <w:contextualSpacing/>
        <w:rPr>
          <w:b/>
          <w:sz w:val="22"/>
          <w:szCs w:val="22"/>
        </w:rPr>
      </w:pPr>
      <w:r w:rsidRPr="00E46894">
        <w:rPr>
          <w:b/>
          <w:sz w:val="22"/>
          <w:szCs w:val="22"/>
        </w:rPr>
        <w:t>Other details</w:t>
      </w:r>
    </w:p>
    <w:p w14:paraId="2DB1C7B6" w14:textId="77777777" w:rsidR="00E27943" w:rsidRPr="00E46894" w:rsidRDefault="00E27943" w:rsidP="00E27943">
      <w:pPr>
        <w:keepNext/>
        <w:contextualSpacing/>
        <w:rPr>
          <w:sz w:val="22"/>
          <w:szCs w:val="22"/>
        </w:rPr>
      </w:pPr>
    </w:p>
    <w:p w14:paraId="18475DFF" w14:textId="77777777" w:rsidR="00E27943" w:rsidRPr="00E46894" w:rsidRDefault="00E27943" w:rsidP="00E27943">
      <w:pPr>
        <w:keepNext/>
        <w:contextualSpacing/>
        <w:rPr>
          <w:sz w:val="22"/>
          <w:szCs w:val="22"/>
        </w:rPr>
      </w:pPr>
      <w:r w:rsidRPr="00E46894">
        <w:rPr>
          <w:sz w:val="22"/>
          <w:szCs w:val="22"/>
        </w:rPr>
        <w:t xml:space="preserve">Details of the Amendment </w:t>
      </w:r>
      <w:r>
        <w:rPr>
          <w:sz w:val="22"/>
          <w:szCs w:val="22"/>
        </w:rPr>
        <w:t>Order</w:t>
      </w:r>
      <w:r w:rsidRPr="00E46894">
        <w:rPr>
          <w:sz w:val="22"/>
          <w:szCs w:val="22"/>
        </w:rPr>
        <w:t xml:space="preserve"> are set out in </w:t>
      </w:r>
      <w:r w:rsidRPr="00E46894">
        <w:rPr>
          <w:b/>
          <w:sz w:val="22"/>
          <w:szCs w:val="22"/>
        </w:rPr>
        <w:t>Attachment A</w:t>
      </w:r>
      <w:r w:rsidRPr="00E46894">
        <w:rPr>
          <w:sz w:val="22"/>
          <w:szCs w:val="22"/>
        </w:rPr>
        <w:t>.</w:t>
      </w:r>
    </w:p>
    <w:p w14:paraId="04EDC10E" w14:textId="77777777" w:rsidR="00E27943" w:rsidRPr="00CF219B" w:rsidRDefault="00E27943" w:rsidP="00E27943">
      <w:pPr>
        <w:rPr>
          <w:rFonts w:ascii="Times New Roman" w:hAnsi="Times New Roman"/>
          <w:sz w:val="22"/>
          <w:szCs w:val="22"/>
        </w:rPr>
      </w:pPr>
    </w:p>
    <w:p w14:paraId="3013D927" w14:textId="77777777" w:rsidR="00E27943" w:rsidRPr="00CF219B" w:rsidRDefault="00E27943" w:rsidP="00E27943">
      <w:pPr>
        <w:rPr>
          <w:rFonts w:ascii="Times New Roman" w:hAnsi="Times New Roman"/>
          <w:sz w:val="22"/>
          <w:szCs w:val="22"/>
        </w:rPr>
      </w:pPr>
      <w:r w:rsidRPr="00CF219B">
        <w:rPr>
          <w:rFonts w:ascii="Times New Roman" w:hAnsi="Times New Roman"/>
          <w:sz w:val="22"/>
          <w:szCs w:val="22"/>
        </w:rPr>
        <w:t xml:space="preserve">The </w:t>
      </w:r>
      <w:r>
        <w:rPr>
          <w:rFonts w:ascii="Times New Roman" w:hAnsi="Times New Roman"/>
          <w:sz w:val="22"/>
          <w:szCs w:val="22"/>
        </w:rPr>
        <w:t xml:space="preserve">Amendment Order is </w:t>
      </w:r>
      <w:r w:rsidRPr="00CF219B">
        <w:rPr>
          <w:rFonts w:ascii="Times New Roman" w:hAnsi="Times New Roman"/>
          <w:sz w:val="22"/>
          <w:szCs w:val="22"/>
        </w:rPr>
        <w:t xml:space="preserve">compatible with human rights and freedoms recognised or declared under section 3 of the </w:t>
      </w:r>
      <w:r w:rsidRPr="00CF219B">
        <w:rPr>
          <w:rFonts w:ascii="Times New Roman" w:hAnsi="Times New Roman"/>
          <w:i/>
          <w:sz w:val="22"/>
          <w:szCs w:val="22"/>
        </w:rPr>
        <w:t>Human Rights (Parliamentary Scrutiny) Act 2011</w:t>
      </w:r>
      <w:r w:rsidRPr="00CF219B">
        <w:rPr>
          <w:rFonts w:ascii="Times New Roman" w:hAnsi="Times New Roman"/>
          <w:sz w:val="22"/>
          <w:szCs w:val="22"/>
        </w:rPr>
        <w:t xml:space="preserve">. A full statement of compatibility is set out in </w:t>
      </w:r>
      <w:r w:rsidRPr="000810B4">
        <w:rPr>
          <w:rFonts w:ascii="Times New Roman" w:hAnsi="Times New Roman"/>
          <w:b/>
          <w:sz w:val="22"/>
          <w:szCs w:val="22"/>
        </w:rPr>
        <w:t>Attachment B</w:t>
      </w:r>
      <w:r w:rsidRPr="00974FC2">
        <w:rPr>
          <w:rFonts w:ascii="Times New Roman" w:hAnsi="Times New Roman"/>
          <w:bCs/>
          <w:sz w:val="22"/>
          <w:szCs w:val="22"/>
        </w:rPr>
        <w:t>.</w:t>
      </w:r>
    </w:p>
    <w:p w14:paraId="047E8750" w14:textId="77777777" w:rsidR="00E27943" w:rsidRPr="00CF219B" w:rsidRDefault="00E27943" w:rsidP="00E27943">
      <w:pPr>
        <w:rPr>
          <w:rFonts w:ascii="Times New Roman" w:hAnsi="Times New Roman"/>
          <w:sz w:val="22"/>
          <w:szCs w:val="22"/>
        </w:rPr>
      </w:pPr>
    </w:p>
    <w:p w14:paraId="0519A8E3" w14:textId="77777777" w:rsidR="00E27943" w:rsidRPr="00CF219B" w:rsidRDefault="00E27943" w:rsidP="00E27943">
      <w:pPr>
        <w:rPr>
          <w:rFonts w:ascii="Times New Roman" w:hAnsi="Times New Roman"/>
          <w:sz w:val="22"/>
          <w:szCs w:val="22"/>
        </w:rPr>
      </w:pPr>
      <w:r w:rsidRPr="00CF219B">
        <w:rPr>
          <w:rFonts w:ascii="Times New Roman" w:hAnsi="Times New Roman"/>
          <w:sz w:val="22"/>
          <w:szCs w:val="22"/>
        </w:rPr>
        <w:lastRenderedPageBreak/>
        <w:t xml:space="preserve">The </w:t>
      </w:r>
      <w:r>
        <w:rPr>
          <w:rFonts w:ascii="Times New Roman" w:hAnsi="Times New Roman"/>
          <w:sz w:val="22"/>
          <w:szCs w:val="22"/>
        </w:rPr>
        <w:t xml:space="preserve">Amendment Order is a </w:t>
      </w:r>
      <w:r w:rsidRPr="00CF219B">
        <w:rPr>
          <w:rFonts w:ascii="Times New Roman" w:hAnsi="Times New Roman"/>
          <w:sz w:val="22"/>
          <w:szCs w:val="22"/>
        </w:rPr>
        <w:t xml:space="preserve">disallowable </w:t>
      </w:r>
      <w:r>
        <w:rPr>
          <w:rFonts w:ascii="Times New Roman" w:hAnsi="Times New Roman"/>
          <w:sz w:val="22"/>
          <w:szCs w:val="22"/>
        </w:rPr>
        <w:t xml:space="preserve">legislative instrument </w:t>
      </w:r>
      <w:r w:rsidRPr="00CF219B">
        <w:rPr>
          <w:rFonts w:ascii="Times New Roman" w:hAnsi="Times New Roman"/>
          <w:sz w:val="22"/>
          <w:szCs w:val="22"/>
        </w:rPr>
        <w:t xml:space="preserve">for the purposes of the </w:t>
      </w:r>
      <w:r w:rsidRPr="00CF219B">
        <w:rPr>
          <w:rFonts w:ascii="Times New Roman" w:hAnsi="Times New Roman"/>
          <w:i/>
          <w:sz w:val="22"/>
          <w:szCs w:val="22"/>
        </w:rPr>
        <w:t>Legislation Act</w:t>
      </w:r>
      <w:r>
        <w:rPr>
          <w:rFonts w:ascii="Times New Roman" w:hAnsi="Times New Roman"/>
          <w:i/>
          <w:sz w:val="22"/>
          <w:szCs w:val="22"/>
        </w:rPr>
        <w:t> </w:t>
      </w:r>
      <w:r w:rsidRPr="00CF219B">
        <w:rPr>
          <w:rFonts w:ascii="Times New Roman" w:hAnsi="Times New Roman"/>
          <w:i/>
          <w:sz w:val="22"/>
          <w:szCs w:val="22"/>
        </w:rPr>
        <w:t>2003</w:t>
      </w:r>
      <w:r>
        <w:rPr>
          <w:rFonts w:ascii="Times New Roman" w:hAnsi="Times New Roman"/>
          <w:iCs/>
          <w:sz w:val="22"/>
          <w:szCs w:val="22"/>
        </w:rPr>
        <w:t>,</w:t>
      </w:r>
      <w:r w:rsidRPr="00CF219B">
        <w:rPr>
          <w:rFonts w:ascii="Times New Roman" w:hAnsi="Times New Roman"/>
          <w:i/>
          <w:sz w:val="22"/>
          <w:szCs w:val="22"/>
        </w:rPr>
        <w:t xml:space="preserve"> </w:t>
      </w:r>
      <w:r w:rsidRPr="00CF219B">
        <w:rPr>
          <w:rFonts w:ascii="Times New Roman" w:hAnsi="Times New Roman"/>
          <w:sz w:val="22"/>
          <w:szCs w:val="22"/>
        </w:rPr>
        <w:t>and commence</w:t>
      </w:r>
      <w:r>
        <w:rPr>
          <w:rFonts w:ascii="Times New Roman" w:hAnsi="Times New Roman"/>
          <w:sz w:val="22"/>
          <w:szCs w:val="22"/>
        </w:rPr>
        <w:t>s</w:t>
      </w:r>
      <w:r w:rsidRPr="00CF219B">
        <w:rPr>
          <w:rFonts w:ascii="Times New Roman" w:hAnsi="Times New Roman"/>
          <w:sz w:val="22"/>
          <w:szCs w:val="22"/>
        </w:rPr>
        <w:t xml:space="preserve"> on the day </w:t>
      </w:r>
      <w:r>
        <w:rPr>
          <w:rFonts w:ascii="Times New Roman" w:hAnsi="Times New Roman"/>
          <w:sz w:val="22"/>
          <w:szCs w:val="22"/>
        </w:rPr>
        <w:t xml:space="preserve">after registration </w:t>
      </w:r>
      <w:r w:rsidRPr="00CF219B">
        <w:rPr>
          <w:rFonts w:ascii="Times New Roman" w:hAnsi="Times New Roman"/>
          <w:sz w:val="22"/>
          <w:szCs w:val="22"/>
        </w:rPr>
        <w:t>on the Federal Register of Legislation.</w:t>
      </w:r>
    </w:p>
    <w:p w14:paraId="4470AF02" w14:textId="77777777" w:rsidR="00E27943" w:rsidRPr="00CF219B" w:rsidRDefault="00E27943" w:rsidP="00E27943">
      <w:pPr>
        <w:rPr>
          <w:rFonts w:ascii="Times New Roman" w:hAnsi="Times New Roman"/>
          <w:sz w:val="22"/>
          <w:szCs w:val="22"/>
        </w:rPr>
      </w:pPr>
      <w:r w:rsidRPr="00CF219B">
        <w:rPr>
          <w:rFonts w:ascii="Times New Roman" w:hAnsi="Times New Roman"/>
          <w:b/>
          <w:bCs/>
          <w:sz w:val="22"/>
          <w:szCs w:val="22"/>
        </w:rPr>
        <w:br w:type="page"/>
      </w:r>
    </w:p>
    <w:p w14:paraId="31F6AF74" w14:textId="77777777" w:rsidR="00E27943" w:rsidRPr="00CF219B" w:rsidRDefault="00E27943" w:rsidP="00E27943">
      <w:pPr>
        <w:jc w:val="right"/>
        <w:rPr>
          <w:rFonts w:ascii="Times New Roman" w:hAnsi="Times New Roman"/>
          <w:b/>
          <w:bCs/>
          <w:sz w:val="22"/>
          <w:szCs w:val="22"/>
        </w:rPr>
      </w:pPr>
      <w:r w:rsidRPr="00CF219B">
        <w:rPr>
          <w:rFonts w:ascii="Times New Roman" w:hAnsi="Times New Roman"/>
          <w:b/>
          <w:bCs/>
          <w:sz w:val="22"/>
          <w:szCs w:val="22"/>
        </w:rPr>
        <w:lastRenderedPageBreak/>
        <w:t>Attachment A</w:t>
      </w:r>
    </w:p>
    <w:p w14:paraId="5FB5B2CE" w14:textId="77777777" w:rsidR="00E27943" w:rsidRPr="00CF219B" w:rsidRDefault="00E27943" w:rsidP="00E27943">
      <w:pPr>
        <w:rPr>
          <w:rFonts w:ascii="Times New Roman" w:hAnsi="Times New Roman"/>
          <w:b/>
          <w:bCs/>
          <w:sz w:val="22"/>
          <w:szCs w:val="22"/>
        </w:rPr>
      </w:pPr>
    </w:p>
    <w:p w14:paraId="5899757B" w14:textId="77777777" w:rsidR="00E27943" w:rsidRPr="00D52BA5" w:rsidRDefault="00E27943" w:rsidP="00E27943">
      <w:pPr>
        <w:rPr>
          <w:b/>
          <w:bCs/>
          <w:i/>
          <w:sz w:val="22"/>
          <w:szCs w:val="22"/>
        </w:rPr>
      </w:pPr>
      <w:r w:rsidRPr="00D52BA5">
        <w:rPr>
          <w:rFonts w:ascii="Times New Roman" w:hAnsi="Times New Roman"/>
          <w:b/>
          <w:bCs/>
          <w:sz w:val="22"/>
          <w:szCs w:val="22"/>
        </w:rPr>
        <w:t xml:space="preserve">Details of the </w:t>
      </w:r>
      <w:r>
        <w:rPr>
          <w:rFonts w:ascii="Times New Roman" w:hAnsi="Times New Roman"/>
          <w:b/>
          <w:bCs/>
          <w:i/>
          <w:iCs/>
          <w:sz w:val="22"/>
          <w:szCs w:val="22"/>
        </w:rPr>
        <w:t>Therapeutic Goods (</w:t>
      </w:r>
      <w:r w:rsidRPr="00D52BA5">
        <w:rPr>
          <w:b/>
          <w:bCs/>
          <w:i/>
          <w:sz w:val="22"/>
          <w:szCs w:val="22"/>
        </w:rPr>
        <w:t>Therapeutic Goods Order No. 91 –</w:t>
      </w:r>
      <w:r>
        <w:rPr>
          <w:b/>
          <w:bCs/>
          <w:i/>
          <w:sz w:val="22"/>
          <w:szCs w:val="22"/>
        </w:rPr>
        <w:t xml:space="preserve"> </w:t>
      </w:r>
      <w:r w:rsidRPr="00D52BA5">
        <w:rPr>
          <w:b/>
          <w:bCs/>
          <w:i/>
          <w:sz w:val="22"/>
          <w:szCs w:val="22"/>
        </w:rPr>
        <w:t>Standard for labels of prescription and related medicines) Amendment Order 2024</w:t>
      </w:r>
    </w:p>
    <w:p w14:paraId="123CD810" w14:textId="77777777" w:rsidR="00E27943" w:rsidRDefault="00E27943" w:rsidP="00E27943">
      <w:pPr>
        <w:rPr>
          <w:rFonts w:ascii="Times New Roman" w:hAnsi="Times New Roman"/>
          <w:b/>
          <w:bCs/>
          <w:i/>
          <w:sz w:val="22"/>
          <w:szCs w:val="22"/>
        </w:rPr>
      </w:pPr>
    </w:p>
    <w:p w14:paraId="43399243" w14:textId="77777777" w:rsidR="00E27943" w:rsidRPr="00CF219B" w:rsidRDefault="00E27943" w:rsidP="00E27943">
      <w:pPr>
        <w:rPr>
          <w:rFonts w:ascii="Times New Roman" w:hAnsi="Times New Roman"/>
          <w:b/>
          <w:bCs/>
          <w:sz w:val="22"/>
          <w:szCs w:val="22"/>
        </w:rPr>
      </w:pPr>
      <w:r w:rsidRPr="00CF219B">
        <w:rPr>
          <w:rFonts w:ascii="Times New Roman" w:hAnsi="Times New Roman"/>
          <w:b/>
          <w:bCs/>
          <w:sz w:val="22"/>
          <w:szCs w:val="22"/>
        </w:rPr>
        <w:t>Section 1 – Name</w:t>
      </w:r>
    </w:p>
    <w:p w14:paraId="12ACF3E0" w14:textId="77777777" w:rsidR="00E27943" w:rsidRPr="00CF219B" w:rsidRDefault="00E27943" w:rsidP="00E27943">
      <w:pPr>
        <w:rPr>
          <w:rFonts w:ascii="Times New Roman" w:hAnsi="Times New Roman"/>
          <w:b/>
          <w:bCs/>
          <w:sz w:val="22"/>
          <w:szCs w:val="22"/>
        </w:rPr>
      </w:pPr>
    </w:p>
    <w:p w14:paraId="1014A28F" w14:textId="77777777" w:rsidR="00E27943" w:rsidRPr="00D52BA5" w:rsidRDefault="00E27943" w:rsidP="00E27943">
      <w:pPr>
        <w:rPr>
          <w:iCs/>
          <w:sz w:val="22"/>
          <w:szCs w:val="22"/>
        </w:rPr>
      </w:pPr>
      <w:r w:rsidRPr="008F04FE">
        <w:rPr>
          <w:rFonts w:ascii="Times New Roman" w:hAnsi="Times New Roman"/>
          <w:sz w:val="22"/>
          <w:szCs w:val="22"/>
        </w:rPr>
        <w:t xml:space="preserve">This section </w:t>
      </w:r>
      <w:r w:rsidRPr="008C09C6">
        <w:rPr>
          <w:rFonts w:ascii="Times New Roman" w:hAnsi="Times New Roman"/>
          <w:sz w:val="22"/>
          <w:szCs w:val="22"/>
        </w:rPr>
        <w:t xml:space="preserve">provides that the name of the instrument is the </w:t>
      </w:r>
      <w:r>
        <w:rPr>
          <w:rFonts w:ascii="Times New Roman" w:hAnsi="Times New Roman"/>
          <w:i/>
          <w:iCs/>
          <w:sz w:val="22"/>
          <w:szCs w:val="22"/>
        </w:rPr>
        <w:t>Therapeutic Goods (</w:t>
      </w:r>
      <w:r w:rsidRPr="000820DB">
        <w:rPr>
          <w:i/>
          <w:sz w:val="22"/>
          <w:szCs w:val="22"/>
        </w:rPr>
        <w:t xml:space="preserve">Therapeutic Goods </w:t>
      </w:r>
      <w:r>
        <w:rPr>
          <w:i/>
          <w:sz w:val="22"/>
          <w:szCs w:val="22"/>
        </w:rPr>
        <w:t xml:space="preserve">Order No. 91 – Standard for labels of prescription and related medicines) Amendment Order 2024 </w:t>
      </w:r>
      <w:r>
        <w:rPr>
          <w:iCs/>
          <w:sz w:val="22"/>
          <w:szCs w:val="22"/>
        </w:rPr>
        <w:t>(“the Amendment Order”).</w:t>
      </w:r>
    </w:p>
    <w:p w14:paraId="02ACF4AF" w14:textId="77777777" w:rsidR="00E27943" w:rsidRPr="008F04FE" w:rsidRDefault="00E27943" w:rsidP="00E27943">
      <w:pPr>
        <w:rPr>
          <w:rFonts w:ascii="Times New Roman" w:hAnsi="Times New Roman"/>
          <w:bCs/>
          <w:sz w:val="22"/>
          <w:szCs w:val="22"/>
        </w:rPr>
      </w:pPr>
    </w:p>
    <w:p w14:paraId="4033A1E9" w14:textId="77777777" w:rsidR="00E27943" w:rsidRPr="00CF219B" w:rsidRDefault="00E27943" w:rsidP="00E27943">
      <w:pPr>
        <w:rPr>
          <w:rFonts w:ascii="Times New Roman" w:hAnsi="Times New Roman"/>
          <w:b/>
          <w:bCs/>
          <w:sz w:val="22"/>
          <w:szCs w:val="22"/>
        </w:rPr>
      </w:pPr>
      <w:r w:rsidRPr="00CF219B">
        <w:rPr>
          <w:rFonts w:ascii="Times New Roman" w:hAnsi="Times New Roman"/>
          <w:b/>
          <w:bCs/>
          <w:sz w:val="22"/>
          <w:szCs w:val="22"/>
        </w:rPr>
        <w:t>Section 2 – Commencement</w:t>
      </w:r>
    </w:p>
    <w:p w14:paraId="17D7344D" w14:textId="77777777" w:rsidR="00E27943" w:rsidRPr="00CF219B" w:rsidRDefault="00E27943" w:rsidP="00E27943">
      <w:pPr>
        <w:rPr>
          <w:rFonts w:ascii="Times New Roman" w:hAnsi="Times New Roman"/>
          <w:bCs/>
          <w:sz w:val="22"/>
          <w:szCs w:val="22"/>
        </w:rPr>
      </w:pPr>
    </w:p>
    <w:p w14:paraId="35FE317C" w14:textId="77777777" w:rsidR="00E27943" w:rsidRPr="00CF219B" w:rsidRDefault="00E27943" w:rsidP="00E27943">
      <w:pPr>
        <w:rPr>
          <w:rFonts w:ascii="Times New Roman" w:hAnsi="Times New Roman"/>
          <w:bCs/>
          <w:sz w:val="22"/>
          <w:szCs w:val="22"/>
        </w:rPr>
      </w:pPr>
      <w:r w:rsidRPr="00CF219B">
        <w:rPr>
          <w:rFonts w:ascii="Times New Roman" w:hAnsi="Times New Roman"/>
          <w:bCs/>
          <w:sz w:val="22"/>
          <w:szCs w:val="22"/>
        </w:rPr>
        <w:t>This section provides that the</w:t>
      </w:r>
      <w:r>
        <w:rPr>
          <w:rFonts w:ascii="Times New Roman" w:hAnsi="Times New Roman"/>
          <w:bCs/>
          <w:sz w:val="22"/>
          <w:szCs w:val="22"/>
        </w:rPr>
        <w:t xml:space="preserve"> Amendment</w:t>
      </w:r>
      <w:r w:rsidRPr="00CF219B">
        <w:rPr>
          <w:rFonts w:ascii="Times New Roman" w:hAnsi="Times New Roman"/>
          <w:bCs/>
          <w:sz w:val="22"/>
          <w:szCs w:val="22"/>
        </w:rPr>
        <w:t xml:space="preserve"> </w:t>
      </w:r>
      <w:r>
        <w:rPr>
          <w:rFonts w:ascii="Times New Roman" w:hAnsi="Times New Roman"/>
          <w:bCs/>
          <w:sz w:val="22"/>
          <w:szCs w:val="22"/>
        </w:rPr>
        <w:t xml:space="preserve">Order </w:t>
      </w:r>
      <w:r w:rsidRPr="00CF219B">
        <w:rPr>
          <w:rFonts w:ascii="Times New Roman" w:hAnsi="Times New Roman"/>
          <w:bCs/>
          <w:sz w:val="22"/>
          <w:szCs w:val="22"/>
        </w:rPr>
        <w:t>commence</w:t>
      </w:r>
      <w:r>
        <w:rPr>
          <w:rFonts w:ascii="Times New Roman" w:hAnsi="Times New Roman"/>
          <w:bCs/>
          <w:sz w:val="22"/>
          <w:szCs w:val="22"/>
        </w:rPr>
        <w:t>s on</w:t>
      </w:r>
      <w:r w:rsidRPr="00CF219B">
        <w:rPr>
          <w:rFonts w:ascii="Times New Roman" w:hAnsi="Times New Roman"/>
          <w:bCs/>
          <w:sz w:val="22"/>
          <w:szCs w:val="22"/>
        </w:rPr>
        <w:t xml:space="preserve"> the day </w:t>
      </w:r>
      <w:r>
        <w:rPr>
          <w:rFonts w:ascii="Times New Roman" w:hAnsi="Times New Roman"/>
          <w:bCs/>
          <w:sz w:val="22"/>
          <w:szCs w:val="22"/>
        </w:rPr>
        <w:t xml:space="preserve">after it is registered </w:t>
      </w:r>
      <w:r w:rsidRPr="00CF219B">
        <w:rPr>
          <w:rFonts w:ascii="Times New Roman" w:hAnsi="Times New Roman"/>
          <w:bCs/>
          <w:sz w:val="22"/>
          <w:szCs w:val="22"/>
        </w:rPr>
        <w:t>on the Federal Register of Legislation.</w:t>
      </w:r>
    </w:p>
    <w:p w14:paraId="73BD2EC5" w14:textId="77777777" w:rsidR="00E27943" w:rsidRPr="00CF219B" w:rsidRDefault="00E27943" w:rsidP="00E27943">
      <w:pPr>
        <w:rPr>
          <w:rFonts w:ascii="Times New Roman" w:hAnsi="Times New Roman"/>
          <w:bCs/>
          <w:sz w:val="22"/>
          <w:szCs w:val="22"/>
        </w:rPr>
      </w:pPr>
    </w:p>
    <w:p w14:paraId="3BB83BC5" w14:textId="77777777" w:rsidR="00E27943" w:rsidRPr="00CF219B" w:rsidRDefault="00E27943" w:rsidP="00E27943">
      <w:pPr>
        <w:rPr>
          <w:rFonts w:ascii="Times New Roman" w:hAnsi="Times New Roman"/>
          <w:b/>
          <w:bCs/>
          <w:sz w:val="22"/>
          <w:szCs w:val="22"/>
        </w:rPr>
      </w:pPr>
      <w:r w:rsidRPr="00CF219B">
        <w:rPr>
          <w:rFonts w:ascii="Times New Roman" w:hAnsi="Times New Roman"/>
          <w:b/>
          <w:bCs/>
          <w:sz w:val="22"/>
          <w:szCs w:val="22"/>
        </w:rPr>
        <w:t>Section 3 – Authority</w:t>
      </w:r>
    </w:p>
    <w:p w14:paraId="25D9C651" w14:textId="77777777" w:rsidR="00E27943" w:rsidRPr="00CF219B" w:rsidRDefault="00E27943" w:rsidP="00E27943">
      <w:pPr>
        <w:rPr>
          <w:rFonts w:ascii="Times New Roman" w:hAnsi="Times New Roman"/>
          <w:b/>
          <w:bCs/>
          <w:sz w:val="22"/>
          <w:szCs w:val="22"/>
        </w:rPr>
      </w:pPr>
    </w:p>
    <w:p w14:paraId="0C7995F5" w14:textId="77777777" w:rsidR="00DB6069" w:rsidRDefault="00E27943" w:rsidP="00E27943">
      <w:pPr>
        <w:rPr>
          <w:rFonts w:ascii="Times New Roman" w:hAnsi="Times New Roman"/>
          <w:bCs/>
          <w:i/>
          <w:iCs/>
          <w:sz w:val="22"/>
          <w:szCs w:val="22"/>
        </w:rPr>
      </w:pPr>
      <w:r w:rsidRPr="002B6C76">
        <w:rPr>
          <w:rFonts w:ascii="Times New Roman" w:hAnsi="Times New Roman"/>
          <w:bCs/>
          <w:sz w:val="22"/>
          <w:szCs w:val="22"/>
        </w:rPr>
        <w:t xml:space="preserve">This section provides that the legislative authority for making the Amendment Order is section 10 of the </w:t>
      </w:r>
      <w:r w:rsidRPr="002B6C76">
        <w:rPr>
          <w:rFonts w:ascii="Times New Roman" w:hAnsi="Times New Roman"/>
          <w:bCs/>
          <w:i/>
          <w:iCs/>
          <w:sz w:val="22"/>
          <w:szCs w:val="22"/>
        </w:rPr>
        <w:t>Therapeutic Goods Act 1989.</w:t>
      </w:r>
    </w:p>
    <w:p w14:paraId="41022AE7" w14:textId="77777777" w:rsidR="00DB6069" w:rsidRDefault="00DB6069" w:rsidP="00E27943">
      <w:pPr>
        <w:rPr>
          <w:rFonts w:ascii="Times New Roman" w:hAnsi="Times New Roman"/>
          <w:bCs/>
          <w:i/>
          <w:iCs/>
          <w:sz w:val="22"/>
          <w:szCs w:val="22"/>
        </w:rPr>
      </w:pPr>
    </w:p>
    <w:p w14:paraId="2E99CB6C" w14:textId="2A3B6D0A" w:rsidR="00E27943" w:rsidRPr="00CF219B" w:rsidRDefault="00E27943" w:rsidP="00E27943">
      <w:pPr>
        <w:rPr>
          <w:rFonts w:ascii="Times New Roman" w:hAnsi="Times New Roman"/>
          <w:b/>
          <w:bCs/>
          <w:sz w:val="22"/>
          <w:szCs w:val="22"/>
        </w:rPr>
      </w:pPr>
      <w:r>
        <w:rPr>
          <w:rFonts w:ascii="Times New Roman" w:hAnsi="Times New Roman"/>
          <w:b/>
          <w:bCs/>
          <w:sz w:val="22"/>
          <w:szCs w:val="22"/>
        </w:rPr>
        <w:t>Section 4 – Schedules</w:t>
      </w:r>
    </w:p>
    <w:p w14:paraId="5D1DB856" w14:textId="77777777" w:rsidR="00E27943" w:rsidRPr="00BE7572" w:rsidRDefault="00E27943" w:rsidP="00E27943">
      <w:pPr>
        <w:rPr>
          <w:rFonts w:ascii="Times New Roman" w:hAnsi="Times New Roman"/>
          <w:bCs/>
          <w:sz w:val="22"/>
          <w:szCs w:val="22"/>
        </w:rPr>
      </w:pPr>
    </w:p>
    <w:p w14:paraId="5835ADBB" w14:textId="77777777" w:rsidR="00E27943" w:rsidRDefault="00E27943" w:rsidP="00E27943">
      <w:pPr>
        <w:rPr>
          <w:rFonts w:ascii="Times New Roman" w:hAnsi="Times New Roman"/>
          <w:bCs/>
          <w:sz w:val="22"/>
          <w:szCs w:val="22"/>
        </w:rPr>
      </w:pPr>
      <w:r>
        <w:rPr>
          <w:rFonts w:ascii="Times New Roman" w:hAnsi="Times New Roman"/>
          <w:bCs/>
          <w:sz w:val="22"/>
          <w:szCs w:val="22"/>
        </w:rPr>
        <w:t>This section gives legal effect to the amendments in Schedule 1 to the Amendment Order.</w:t>
      </w:r>
    </w:p>
    <w:p w14:paraId="1E56CDC1" w14:textId="77777777" w:rsidR="00E27943" w:rsidRPr="00CF219B" w:rsidRDefault="00E27943" w:rsidP="00E27943">
      <w:pPr>
        <w:rPr>
          <w:rFonts w:ascii="Times New Roman" w:hAnsi="Times New Roman"/>
          <w:bCs/>
          <w:sz w:val="22"/>
          <w:szCs w:val="22"/>
        </w:rPr>
      </w:pPr>
    </w:p>
    <w:p w14:paraId="03203165" w14:textId="77777777" w:rsidR="00E27943" w:rsidRPr="00CF219B" w:rsidRDefault="00E27943" w:rsidP="00E27943">
      <w:pPr>
        <w:keepNext/>
        <w:rPr>
          <w:rFonts w:ascii="Times New Roman" w:hAnsi="Times New Roman"/>
          <w:b/>
          <w:bCs/>
          <w:sz w:val="22"/>
          <w:szCs w:val="22"/>
        </w:rPr>
      </w:pPr>
      <w:r w:rsidRPr="00CF219B">
        <w:rPr>
          <w:rFonts w:ascii="Times New Roman" w:hAnsi="Times New Roman"/>
          <w:b/>
          <w:bCs/>
          <w:sz w:val="22"/>
          <w:szCs w:val="22"/>
        </w:rPr>
        <w:t xml:space="preserve">Schedule </w:t>
      </w:r>
      <w:r>
        <w:rPr>
          <w:rFonts w:ascii="Times New Roman" w:hAnsi="Times New Roman"/>
          <w:b/>
          <w:bCs/>
          <w:sz w:val="22"/>
          <w:szCs w:val="22"/>
        </w:rPr>
        <w:t>1 – Amendments</w:t>
      </w:r>
    </w:p>
    <w:p w14:paraId="05139FB9" w14:textId="77777777" w:rsidR="00E27943" w:rsidRPr="00CF219B" w:rsidRDefault="00E27943" w:rsidP="00E27943">
      <w:pPr>
        <w:keepNext/>
        <w:rPr>
          <w:rFonts w:ascii="Times New Roman" w:hAnsi="Times New Roman"/>
          <w:b/>
          <w:bCs/>
          <w:sz w:val="22"/>
          <w:szCs w:val="22"/>
        </w:rPr>
      </w:pPr>
    </w:p>
    <w:p w14:paraId="5CE3403E" w14:textId="77777777" w:rsidR="00E27943" w:rsidRDefault="00E27943" w:rsidP="00E27943">
      <w:pPr>
        <w:rPr>
          <w:sz w:val="22"/>
          <w:szCs w:val="22"/>
        </w:rPr>
      </w:pPr>
      <w:r>
        <w:rPr>
          <w:sz w:val="22"/>
          <w:szCs w:val="22"/>
        </w:rPr>
        <w:t xml:space="preserve">This Schedule amends the </w:t>
      </w:r>
      <w:r>
        <w:rPr>
          <w:i/>
          <w:iCs/>
          <w:sz w:val="22"/>
          <w:szCs w:val="22"/>
        </w:rPr>
        <w:t xml:space="preserve">Therapeutic Goods Order No. 91 – Standard for labels of prescription and related medicines </w:t>
      </w:r>
      <w:r>
        <w:rPr>
          <w:sz w:val="22"/>
          <w:szCs w:val="22"/>
        </w:rPr>
        <w:t>(“TGO 91”).</w:t>
      </w:r>
    </w:p>
    <w:p w14:paraId="152478A9" w14:textId="77777777" w:rsidR="00E27943" w:rsidRPr="002F6591" w:rsidRDefault="00E27943" w:rsidP="00E27943">
      <w:pPr>
        <w:rPr>
          <w:sz w:val="22"/>
          <w:szCs w:val="22"/>
        </w:rPr>
      </w:pPr>
    </w:p>
    <w:p w14:paraId="3335B666" w14:textId="77777777" w:rsidR="00E27943" w:rsidRPr="00AA1E2C" w:rsidRDefault="00E27943" w:rsidP="00E27943">
      <w:pPr>
        <w:keepNext/>
        <w:contextualSpacing/>
        <w:rPr>
          <w:rFonts w:ascii="Times New Roman" w:hAnsi="Times New Roman"/>
          <w:b/>
          <w:bCs/>
          <w:sz w:val="22"/>
          <w:szCs w:val="22"/>
        </w:rPr>
      </w:pPr>
      <w:r w:rsidRPr="00AA1E2C">
        <w:rPr>
          <w:rFonts w:ascii="Times New Roman" w:hAnsi="Times New Roman"/>
          <w:b/>
          <w:bCs/>
          <w:sz w:val="22"/>
          <w:szCs w:val="22"/>
        </w:rPr>
        <w:t>Item 1</w:t>
      </w:r>
      <w:r>
        <w:rPr>
          <w:rFonts w:ascii="Times New Roman" w:hAnsi="Times New Roman"/>
          <w:b/>
          <w:bCs/>
          <w:sz w:val="22"/>
          <w:szCs w:val="22"/>
        </w:rPr>
        <w:t xml:space="preserve"> – At the end of subsection 10(2)</w:t>
      </w:r>
    </w:p>
    <w:p w14:paraId="2EA33A14" w14:textId="77777777" w:rsidR="00E27943" w:rsidRDefault="00E27943" w:rsidP="00E27943">
      <w:pPr>
        <w:keepNext/>
        <w:contextualSpacing/>
        <w:rPr>
          <w:rFonts w:ascii="Times New Roman" w:hAnsi="Times New Roman"/>
          <w:sz w:val="22"/>
          <w:szCs w:val="22"/>
        </w:rPr>
      </w:pPr>
    </w:p>
    <w:p w14:paraId="46F7CEA2" w14:textId="44C2F51A" w:rsidR="00E27943" w:rsidRDefault="00E27943" w:rsidP="00E27943">
      <w:pPr>
        <w:keepNext/>
        <w:contextualSpacing/>
        <w:rPr>
          <w:rFonts w:ascii="Times New Roman" w:hAnsi="Times New Roman"/>
          <w:sz w:val="22"/>
          <w:szCs w:val="22"/>
        </w:rPr>
      </w:pPr>
      <w:r>
        <w:rPr>
          <w:rFonts w:ascii="Times New Roman" w:hAnsi="Times New Roman"/>
          <w:sz w:val="22"/>
          <w:szCs w:val="22"/>
        </w:rPr>
        <w:t>This item introduces new requirements for medicines for injection in a container with a capacity greater than 100 millilitres</w:t>
      </w:r>
      <w:r w:rsidR="00DB6069">
        <w:rPr>
          <w:rFonts w:ascii="Times New Roman" w:hAnsi="Times New Roman"/>
          <w:sz w:val="22"/>
          <w:szCs w:val="22"/>
        </w:rPr>
        <w:t xml:space="preserve"> (mL)</w:t>
      </w:r>
      <w:r>
        <w:rPr>
          <w:rFonts w:ascii="Times New Roman" w:hAnsi="Times New Roman"/>
          <w:sz w:val="22"/>
          <w:szCs w:val="22"/>
        </w:rPr>
        <w:t xml:space="preserve">, that are intended for electrolyte replacement, that have a stated volume of 100 millilitres or less, and that are manufactured on or after 1 December 2026. </w:t>
      </w:r>
    </w:p>
    <w:p w14:paraId="2BBEEDA0" w14:textId="77777777" w:rsidR="00E27943" w:rsidRDefault="00E27943" w:rsidP="00E27943">
      <w:pPr>
        <w:contextualSpacing/>
        <w:rPr>
          <w:rFonts w:ascii="Times New Roman" w:hAnsi="Times New Roman"/>
          <w:sz w:val="22"/>
          <w:szCs w:val="22"/>
        </w:rPr>
      </w:pPr>
    </w:p>
    <w:p w14:paraId="56AEE59F" w14:textId="77777777" w:rsidR="00E27943" w:rsidRDefault="00E27943" w:rsidP="00E27943">
      <w:pPr>
        <w:contextualSpacing/>
        <w:rPr>
          <w:rFonts w:ascii="Times New Roman" w:hAnsi="Times New Roman"/>
          <w:sz w:val="22"/>
          <w:szCs w:val="22"/>
        </w:rPr>
      </w:pPr>
      <w:r>
        <w:rPr>
          <w:rFonts w:ascii="Times New Roman" w:hAnsi="Times New Roman"/>
          <w:sz w:val="22"/>
          <w:szCs w:val="22"/>
        </w:rPr>
        <w:t xml:space="preserve">Under new paragraph 10(2)(g), such medicines are required to include a statement on the label on the container and on the primary pack, located immediately below the text mentioned in subsection 9(3), of: </w:t>
      </w:r>
    </w:p>
    <w:p w14:paraId="0EABDE14" w14:textId="77777777" w:rsidR="00E27943" w:rsidRDefault="00E27943" w:rsidP="00E27943">
      <w:pPr>
        <w:pStyle w:val="ListParagraph"/>
        <w:numPr>
          <w:ilvl w:val="0"/>
          <w:numId w:val="1"/>
        </w:numPr>
        <w:rPr>
          <w:rFonts w:ascii="Times New Roman" w:hAnsi="Times New Roman"/>
          <w:sz w:val="22"/>
          <w:szCs w:val="22"/>
        </w:rPr>
      </w:pPr>
      <w:r>
        <w:rPr>
          <w:rFonts w:ascii="Times New Roman" w:hAnsi="Times New Roman"/>
          <w:sz w:val="22"/>
          <w:szCs w:val="22"/>
        </w:rPr>
        <w:t xml:space="preserve">for potassium chloride—the equivalent quantity of potassium chloride in weight, in relation to the stated volume of fill of the injection; and </w:t>
      </w:r>
    </w:p>
    <w:p w14:paraId="72736C85" w14:textId="77777777" w:rsidR="00E27943" w:rsidRPr="006F76A5" w:rsidRDefault="00E27943" w:rsidP="00E27943">
      <w:pPr>
        <w:pStyle w:val="ListParagraph"/>
        <w:numPr>
          <w:ilvl w:val="0"/>
          <w:numId w:val="1"/>
        </w:numPr>
        <w:rPr>
          <w:rFonts w:ascii="Times New Roman" w:hAnsi="Times New Roman"/>
          <w:sz w:val="22"/>
          <w:szCs w:val="22"/>
        </w:rPr>
      </w:pPr>
      <w:r>
        <w:rPr>
          <w:rFonts w:ascii="Times New Roman" w:hAnsi="Times New Roman"/>
          <w:sz w:val="22"/>
          <w:szCs w:val="22"/>
        </w:rPr>
        <w:t>for all other active ingredients—the equivalent quantity of each active ingredient in millimoles in relation to the stated volume of fill of the injection.</w:t>
      </w:r>
    </w:p>
    <w:p w14:paraId="5117208D" w14:textId="77777777" w:rsidR="00E27943" w:rsidRDefault="00E27943" w:rsidP="00E27943">
      <w:pPr>
        <w:contextualSpacing/>
        <w:rPr>
          <w:rFonts w:ascii="Times New Roman" w:hAnsi="Times New Roman"/>
          <w:sz w:val="22"/>
          <w:szCs w:val="22"/>
        </w:rPr>
      </w:pPr>
    </w:p>
    <w:p w14:paraId="7F48B356" w14:textId="1C9B5BB4" w:rsidR="00E27943" w:rsidRDefault="00E27943" w:rsidP="00E27943">
      <w:pPr>
        <w:contextualSpacing/>
        <w:rPr>
          <w:rFonts w:ascii="Times New Roman" w:hAnsi="Times New Roman"/>
          <w:sz w:val="22"/>
          <w:szCs w:val="22"/>
        </w:rPr>
      </w:pPr>
      <w:r>
        <w:rPr>
          <w:rFonts w:ascii="Times New Roman" w:hAnsi="Times New Roman"/>
          <w:sz w:val="22"/>
          <w:szCs w:val="22"/>
        </w:rPr>
        <w:t xml:space="preserve">The equivalent quantity of an ingredient, in relation to the stated volume of fill of the injection, could be expressed </w:t>
      </w:r>
      <w:r w:rsidRPr="002D41FA">
        <w:rPr>
          <w:rFonts w:ascii="Times New Roman" w:hAnsi="Times New Roman"/>
          <w:sz w:val="22"/>
          <w:szCs w:val="22"/>
        </w:rPr>
        <w:t xml:space="preserve">as </w:t>
      </w:r>
      <w:r w:rsidRPr="00F54CD0">
        <w:rPr>
          <w:rFonts w:ascii="Times New Roman" w:hAnsi="Times New Roman"/>
          <w:sz w:val="22"/>
          <w:szCs w:val="22"/>
        </w:rPr>
        <w:t xml:space="preserve">the total amount in the injection </w:t>
      </w:r>
      <w:r w:rsidRPr="002D41FA">
        <w:rPr>
          <w:rFonts w:ascii="Times New Roman" w:hAnsi="Times New Roman"/>
          <w:sz w:val="22"/>
          <w:szCs w:val="22"/>
        </w:rPr>
        <w:t xml:space="preserve">or </w:t>
      </w:r>
      <w:r w:rsidRPr="00F54CD0">
        <w:rPr>
          <w:rFonts w:ascii="Times New Roman" w:hAnsi="Times New Roman"/>
          <w:sz w:val="22"/>
          <w:szCs w:val="22"/>
        </w:rPr>
        <w:t xml:space="preserve">the concentration of the active ingredient in the injection. </w:t>
      </w:r>
      <w:r w:rsidRPr="002D41FA">
        <w:rPr>
          <w:rFonts w:ascii="Times New Roman" w:hAnsi="Times New Roman"/>
          <w:sz w:val="22"/>
          <w:szCs w:val="22"/>
        </w:rPr>
        <w:t>F</w:t>
      </w:r>
      <w:r>
        <w:rPr>
          <w:rFonts w:ascii="Times New Roman" w:hAnsi="Times New Roman"/>
          <w:sz w:val="22"/>
          <w:szCs w:val="22"/>
        </w:rPr>
        <w:t xml:space="preserve">or example, the equivalent quantity of potassium chloride in an injection could be expressed as </w:t>
      </w:r>
      <w:r w:rsidR="00D52B07">
        <w:rPr>
          <w:rFonts w:ascii="Times New Roman" w:hAnsi="Times New Roman"/>
          <w:sz w:val="22"/>
          <w:szCs w:val="22"/>
        </w:rPr>
        <w:t>‘</w:t>
      </w:r>
      <w:r w:rsidR="004E1D42">
        <w:rPr>
          <w:rFonts w:ascii="Times New Roman" w:hAnsi="Times New Roman"/>
          <w:sz w:val="22"/>
          <w:szCs w:val="22"/>
        </w:rPr>
        <w:t>E</w:t>
      </w:r>
      <w:r w:rsidR="00D52B07">
        <w:rPr>
          <w:rFonts w:ascii="Times New Roman" w:hAnsi="Times New Roman"/>
          <w:sz w:val="22"/>
          <w:szCs w:val="22"/>
        </w:rPr>
        <w:t>ach 10 mL contains</w:t>
      </w:r>
      <w:r w:rsidR="00335EC7">
        <w:rPr>
          <w:rFonts w:ascii="Times New Roman" w:hAnsi="Times New Roman"/>
          <w:sz w:val="22"/>
          <w:szCs w:val="22"/>
        </w:rPr>
        <w:t>:</w:t>
      </w:r>
      <w:r w:rsidR="00032604">
        <w:rPr>
          <w:rFonts w:ascii="Times New Roman" w:hAnsi="Times New Roman"/>
          <w:sz w:val="22"/>
          <w:szCs w:val="22"/>
        </w:rPr>
        <w:t xml:space="preserve"> </w:t>
      </w:r>
      <w:r w:rsidR="0085172F">
        <w:rPr>
          <w:rFonts w:ascii="Times New Roman" w:hAnsi="Times New Roman"/>
          <w:sz w:val="22"/>
          <w:szCs w:val="22"/>
        </w:rPr>
        <w:t xml:space="preserve">potassium chloride </w:t>
      </w:r>
      <w:r w:rsidR="00032604">
        <w:rPr>
          <w:rFonts w:ascii="Times New Roman" w:hAnsi="Times New Roman"/>
          <w:sz w:val="22"/>
          <w:szCs w:val="22"/>
        </w:rPr>
        <w:t>750</w:t>
      </w:r>
      <w:r w:rsidR="00A43E28">
        <w:rPr>
          <w:rFonts w:ascii="Times New Roman" w:hAnsi="Times New Roman"/>
          <w:sz w:val="22"/>
          <w:szCs w:val="22"/>
        </w:rPr>
        <w:t xml:space="preserve"> mg</w:t>
      </w:r>
      <w:r w:rsidR="00032604">
        <w:rPr>
          <w:rFonts w:ascii="Times New Roman" w:hAnsi="Times New Roman"/>
          <w:sz w:val="22"/>
          <w:szCs w:val="22"/>
        </w:rPr>
        <w:t>’ or ‘contains</w:t>
      </w:r>
      <w:r w:rsidR="00A43E28">
        <w:rPr>
          <w:rFonts w:ascii="Times New Roman" w:hAnsi="Times New Roman"/>
          <w:sz w:val="22"/>
          <w:szCs w:val="22"/>
        </w:rPr>
        <w:t xml:space="preserve"> </w:t>
      </w:r>
      <w:r w:rsidR="00703DF7">
        <w:rPr>
          <w:rFonts w:ascii="Times New Roman" w:hAnsi="Times New Roman"/>
          <w:sz w:val="22"/>
          <w:szCs w:val="22"/>
        </w:rPr>
        <w:t>pot</w:t>
      </w:r>
      <w:r w:rsidR="00B90920">
        <w:rPr>
          <w:rFonts w:ascii="Times New Roman" w:hAnsi="Times New Roman"/>
          <w:sz w:val="22"/>
          <w:szCs w:val="22"/>
        </w:rPr>
        <w:t>assium ch</w:t>
      </w:r>
      <w:r w:rsidR="00335EC7">
        <w:rPr>
          <w:rFonts w:ascii="Times New Roman" w:hAnsi="Times New Roman"/>
          <w:sz w:val="22"/>
          <w:szCs w:val="22"/>
        </w:rPr>
        <w:t xml:space="preserve">loride </w:t>
      </w:r>
      <w:r w:rsidR="00A43E28">
        <w:rPr>
          <w:rFonts w:ascii="Times New Roman" w:hAnsi="Times New Roman"/>
          <w:sz w:val="22"/>
          <w:szCs w:val="22"/>
        </w:rPr>
        <w:t>750</w:t>
      </w:r>
      <w:r w:rsidR="001D6726">
        <w:rPr>
          <w:rFonts w:ascii="Times New Roman" w:hAnsi="Times New Roman"/>
          <w:sz w:val="22"/>
          <w:szCs w:val="22"/>
        </w:rPr>
        <w:t> </w:t>
      </w:r>
      <w:r w:rsidR="00A43E28">
        <w:rPr>
          <w:rFonts w:ascii="Times New Roman" w:hAnsi="Times New Roman"/>
          <w:sz w:val="22"/>
          <w:szCs w:val="22"/>
        </w:rPr>
        <w:t>mg</w:t>
      </w:r>
      <w:r w:rsidR="00032604">
        <w:rPr>
          <w:rFonts w:ascii="Times New Roman" w:hAnsi="Times New Roman"/>
          <w:sz w:val="22"/>
          <w:szCs w:val="22"/>
        </w:rPr>
        <w:t>’</w:t>
      </w:r>
      <w:r w:rsidRPr="002A14D5">
        <w:rPr>
          <w:rFonts w:ascii="Times New Roman" w:hAnsi="Times New Roman"/>
          <w:b/>
          <w:bCs/>
          <w:sz w:val="22"/>
          <w:szCs w:val="22"/>
        </w:rPr>
        <w:t>.</w:t>
      </w:r>
    </w:p>
    <w:p w14:paraId="2314DC96" w14:textId="77777777" w:rsidR="00E27943" w:rsidRDefault="00E27943" w:rsidP="00E27943">
      <w:pPr>
        <w:contextualSpacing/>
        <w:rPr>
          <w:rFonts w:ascii="Times New Roman" w:hAnsi="Times New Roman"/>
          <w:sz w:val="22"/>
          <w:szCs w:val="22"/>
        </w:rPr>
      </w:pPr>
    </w:p>
    <w:p w14:paraId="725F2129" w14:textId="77777777" w:rsidR="00E27943" w:rsidRDefault="00E27943" w:rsidP="00E27943">
      <w:pPr>
        <w:contextualSpacing/>
        <w:rPr>
          <w:rFonts w:ascii="Times New Roman" w:hAnsi="Times New Roman"/>
          <w:sz w:val="22"/>
          <w:szCs w:val="22"/>
        </w:rPr>
      </w:pPr>
      <w:r>
        <w:rPr>
          <w:rFonts w:ascii="Times New Roman" w:hAnsi="Times New Roman"/>
          <w:sz w:val="22"/>
          <w:szCs w:val="22"/>
        </w:rPr>
        <w:t>This requirement applies in addition to the requirements under sections 8 and 9 applying to the label on the container and on the primary pack, and only applies to medicines manufactured or imported on or after 1 December 2026.</w:t>
      </w:r>
    </w:p>
    <w:p w14:paraId="4688045A" w14:textId="77777777" w:rsidR="00E27943" w:rsidRDefault="00E27943" w:rsidP="00E27943">
      <w:pPr>
        <w:keepNext/>
        <w:contextualSpacing/>
        <w:rPr>
          <w:rFonts w:ascii="Times New Roman" w:hAnsi="Times New Roman"/>
          <w:sz w:val="22"/>
          <w:szCs w:val="22"/>
        </w:rPr>
      </w:pPr>
    </w:p>
    <w:p w14:paraId="6B1BBE3E" w14:textId="77777777" w:rsidR="00E27943" w:rsidRPr="00AA1E2C" w:rsidRDefault="00E27943" w:rsidP="00E27943">
      <w:pPr>
        <w:keepNext/>
        <w:contextualSpacing/>
        <w:rPr>
          <w:rFonts w:ascii="Times New Roman" w:hAnsi="Times New Roman"/>
          <w:b/>
          <w:bCs/>
          <w:sz w:val="22"/>
          <w:szCs w:val="22"/>
        </w:rPr>
      </w:pPr>
      <w:r w:rsidRPr="00AA1E2C">
        <w:rPr>
          <w:rFonts w:ascii="Times New Roman" w:hAnsi="Times New Roman"/>
          <w:b/>
          <w:bCs/>
          <w:sz w:val="22"/>
          <w:szCs w:val="22"/>
        </w:rPr>
        <w:t xml:space="preserve">Item </w:t>
      </w:r>
      <w:r>
        <w:rPr>
          <w:rFonts w:ascii="Times New Roman" w:hAnsi="Times New Roman"/>
          <w:b/>
          <w:bCs/>
          <w:sz w:val="22"/>
          <w:szCs w:val="22"/>
        </w:rPr>
        <w:t>2 – At the end of subsection 10(3)</w:t>
      </w:r>
    </w:p>
    <w:p w14:paraId="225E50A7" w14:textId="77777777" w:rsidR="00E27943" w:rsidRDefault="00E27943" w:rsidP="00E27943">
      <w:pPr>
        <w:keepNext/>
        <w:contextualSpacing/>
        <w:rPr>
          <w:rFonts w:ascii="Times New Roman" w:hAnsi="Times New Roman"/>
          <w:sz w:val="22"/>
          <w:szCs w:val="22"/>
        </w:rPr>
      </w:pPr>
    </w:p>
    <w:p w14:paraId="1748E186" w14:textId="77777777" w:rsidR="00E27943" w:rsidRDefault="00E27943" w:rsidP="00E27943">
      <w:pPr>
        <w:keepNext/>
        <w:contextualSpacing/>
        <w:rPr>
          <w:rFonts w:ascii="Times New Roman" w:hAnsi="Times New Roman"/>
          <w:sz w:val="22"/>
          <w:szCs w:val="22"/>
        </w:rPr>
      </w:pPr>
      <w:r>
        <w:rPr>
          <w:rFonts w:ascii="Times New Roman" w:hAnsi="Times New Roman"/>
          <w:sz w:val="22"/>
          <w:szCs w:val="22"/>
        </w:rPr>
        <w:t xml:space="preserve">This item introduces new requirements for medicines for injection in a container with a capacity less than or equal to 100 millilitres, and greater than 25 millilitres, that are intended for electrolyte replacement and are manufactured on or after 1 December 2026. </w:t>
      </w:r>
    </w:p>
    <w:p w14:paraId="620096C3" w14:textId="77777777" w:rsidR="00E27943" w:rsidRDefault="00E27943" w:rsidP="00E27943">
      <w:pPr>
        <w:keepNext/>
        <w:contextualSpacing/>
        <w:rPr>
          <w:rFonts w:ascii="Times New Roman" w:hAnsi="Times New Roman"/>
          <w:sz w:val="22"/>
          <w:szCs w:val="22"/>
        </w:rPr>
      </w:pPr>
    </w:p>
    <w:p w14:paraId="4BA4A2D0" w14:textId="77777777" w:rsidR="00E27943" w:rsidRDefault="00E27943" w:rsidP="00E27943">
      <w:pPr>
        <w:keepNext/>
        <w:contextualSpacing/>
        <w:rPr>
          <w:rFonts w:ascii="Times New Roman" w:hAnsi="Times New Roman"/>
          <w:sz w:val="22"/>
          <w:szCs w:val="22"/>
        </w:rPr>
      </w:pPr>
      <w:r>
        <w:rPr>
          <w:rFonts w:ascii="Times New Roman" w:hAnsi="Times New Roman"/>
          <w:sz w:val="22"/>
          <w:szCs w:val="22"/>
        </w:rPr>
        <w:t xml:space="preserve">Under new paragraph 10(3)(e), such medicines are required to include a statement on the label on the container and on the primary pack, located immediately below the text mentioned in subsection 9(3), of: </w:t>
      </w:r>
    </w:p>
    <w:p w14:paraId="0606D597" w14:textId="77777777" w:rsidR="00E27943" w:rsidRDefault="00E27943" w:rsidP="00E27943">
      <w:pPr>
        <w:pStyle w:val="ListParagraph"/>
        <w:keepNext/>
        <w:numPr>
          <w:ilvl w:val="0"/>
          <w:numId w:val="1"/>
        </w:numPr>
        <w:rPr>
          <w:rFonts w:ascii="Times New Roman" w:hAnsi="Times New Roman"/>
          <w:sz w:val="22"/>
          <w:szCs w:val="22"/>
        </w:rPr>
      </w:pPr>
      <w:r>
        <w:rPr>
          <w:rFonts w:ascii="Times New Roman" w:hAnsi="Times New Roman"/>
          <w:sz w:val="22"/>
          <w:szCs w:val="22"/>
        </w:rPr>
        <w:t xml:space="preserve">for potassium chloride—the equivalent quantity of potassium chloride in weight, in relation to the stated volume of fill of the injection; and </w:t>
      </w:r>
    </w:p>
    <w:p w14:paraId="4F3CB508" w14:textId="77777777" w:rsidR="00E27943" w:rsidRPr="006F76A5" w:rsidRDefault="00E27943" w:rsidP="00E27943">
      <w:pPr>
        <w:pStyle w:val="ListParagraph"/>
        <w:keepNext/>
        <w:numPr>
          <w:ilvl w:val="0"/>
          <w:numId w:val="1"/>
        </w:numPr>
        <w:rPr>
          <w:rFonts w:ascii="Times New Roman" w:hAnsi="Times New Roman"/>
          <w:sz w:val="22"/>
          <w:szCs w:val="22"/>
        </w:rPr>
      </w:pPr>
      <w:r>
        <w:rPr>
          <w:rFonts w:ascii="Times New Roman" w:hAnsi="Times New Roman"/>
          <w:sz w:val="22"/>
          <w:szCs w:val="22"/>
        </w:rPr>
        <w:t>for all other active ingredients—the equivalent quantity of each active ingredient in millimoles in relation to the stated volume of fill of the injection.</w:t>
      </w:r>
    </w:p>
    <w:p w14:paraId="66F9D011" w14:textId="77777777" w:rsidR="00E27943" w:rsidRDefault="00E27943" w:rsidP="00E27943">
      <w:pPr>
        <w:keepNext/>
        <w:contextualSpacing/>
        <w:rPr>
          <w:rFonts w:ascii="Times New Roman" w:hAnsi="Times New Roman"/>
          <w:sz w:val="22"/>
          <w:szCs w:val="22"/>
        </w:rPr>
      </w:pPr>
    </w:p>
    <w:p w14:paraId="18B0060D" w14:textId="71F96450" w:rsidR="00E27943" w:rsidRPr="00DB6069" w:rsidRDefault="00E27943" w:rsidP="00E27943">
      <w:pPr>
        <w:keepNext/>
        <w:contextualSpacing/>
        <w:rPr>
          <w:rFonts w:ascii="Times New Roman" w:hAnsi="Times New Roman"/>
          <w:sz w:val="22"/>
          <w:szCs w:val="22"/>
        </w:rPr>
      </w:pPr>
      <w:r>
        <w:rPr>
          <w:rFonts w:ascii="Times New Roman" w:hAnsi="Times New Roman"/>
          <w:sz w:val="22"/>
          <w:szCs w:val="22"/>
        </w:rPr>
        <w:t xml:space="preserve">The equivalent quantity of an ingredient </w:t>
      </w:r>
      <w:r w:rsidRPr="00DB6069">
        <w:rPr>
          <w:rFonts w:ascii="Times New Roman" w:hAnsi="Times New Roman"/>
          <w:sz w:val="22"/>
          <w:szCs w:val="22"/>
        </w:rPr>
        <w:t xml:space="preserve">could be expressed as </w:t>
      </w:r>
      <w:r w:rsidR="000F2661" w:rsidRPr="00DB6069">
        <w:rPr>
          <w:rFonts w:ascii="Times New Roman" w:hAnsi="Times New Roman"/>
          <w:sz w:val="22"/>
          <w:szCs w:val="22"/>
        </w:rPr>
        <w:t>the total amount</w:t>
      </w:r>
      <w:r w:rsidR="003D6847" w:rsidRPr="00DB6069">
        <w:rPr>
          <w:rFonts w:ascii="Times New Roman" w:hAnsi="Times New Roman"/>
          <w:sz w:val="22"/>
          <w:szCs w:val="22"/>
        </w:rPr>
        <w:t xml:space="preserve"> in the injection</w:t>
      </w:r>
      <w:r w:rsidR="00CD1277" w:rsidRPr="00DB6069">
        <w:rPr>
          <w:rFonts w:ascii="Times New Roman" w:hAnsi="Times New Roman"/>
          <w:sz w:val="22"/>
          <w:szCs w:val="22"/>
        </w:rPr>
        <w:t xml:space="preserve"> or the concentration</w:t>
      </w:r>
      <w:r w:rsidR="009C16E5" w:rsidRPr="00DB6069">
        <w:rPr>
          <w:rFonts w:ascii="Times New Roman" w:hAnsi="Times New Roman"/>
          <w:sz w:val="22"/>
          <w:szCs w:val="22"/>
        </w:rPr>
        <w:t xml:space="preserve"> of the active ingredient in the injection</w:t>
      </w:r>
      <w:r w:rsidRPr="00DB6069">
        <w:rPr>
          <w:rFonts w:ascii="Times New Roman" w:hAnsi="Times New Roman"/>
          <w:b/>
          <w:bCs/>
          <w:sz w:val="22"/>
          <w:szCs w:val="22"/>
        </w:rPr>
        <w:t xml:space="preserve">. </w:t>
      </w:r>
      <w:r w:rsidRPr="00DB6069">
        <w:rPr>
          <w:rFonts w:ascii="Times New Roman" w:hAnsi="Times New Roman"/>
          <w:sz w:val="22"/>
          <w:szCs w:val="22"/>
        </w:rPr>
        <w:t xml:space="preserve">For example, the equivalent quantity of potassium chloride in an injection could be expressed as </w:t>
      </w:r>
      <w:r w:rsidR="002C71DC" w:rsidRPr="00DB6069">
        <w:rPr>
          <w:rFonts w:ascii="Times New Roman" w:hAnsi="Times New Roman"/>
          <w:sz w:val="22"/>
          <w:szCs w:val="22"/>
        </w:rPr>
        <w:t>‘Each 10 mL contains: potassium chloride 750 mg’ or ‘contains potassium chloride 750 mg</w:t>
      </w:r>
      <w:r w:rsidR="00664B53" w:rsidRPr="00DB6069">
        <w:rPr>
          <w:rFonts w:ascii="Times New Roman" w:hAnsi="Times New Roman"/>
          <w:sz w:val="22"/>
          <w:szCs w:val="22"/>
        </w:rPr>
        <w:t>’</w:t>
      </w:r>
      <w:r w:rsidRPr="00DB6069">
        <w:rPr>
          <w:rFonts w:ascii="Times New Roman" w:hAnsi="Times New Roman"/>
          <w:b/>
          <w:bCs/>
          <w:sz w:val="22"/>
          <w:szCs w:val="22"/>
        </w:rPr>
        <w:t>.</w:t>
      </w:r>
    </w:p>
    <w:p w14:paraId="33E4ED73" w14:textId="77777777" w:rsidR="00E27943" w:rsidRPr="00DB6069" w:rsidRDefault="00E27943" w:rsidP="00E27943">
      <w:pPr>
        <w:keepNext/>
        <w:contextualSpacing/>
        <w:rPr>
          <w:rFonts w:ascii="Times New Roman" w:hAnsi="Times New Roman"/>
          <w:sz w:val="22"/>
          <w:szCs w:val="22"/>
        </w:rPr>
      </w:pPr>
    </w:p>
    <w:p w14:paraId="70762E9D" w14:textId="77777777" w:rsidR="00E27943" w:rsidRDefault="00E27943" w:rsidP="00E27943">
      <w:pPr>
        <w:keepNext/>
        <w:contextualSpacing/>
        <w:rPr>
          <w:rFonts w:ascii="Times New Roman" w:hAnsi="Times New Roman"/>
          <w:sz w:val="22"/>
          <w:szCs w:val="22"/>
        </w:rPr>
      </w:pPr>
      <w:r w:rsidRPr="00DB6069">
        <w:rPr>
          <w:rFonts w:ascii="Times New Roman" w:hAnsi="Times New Roman"/>
          <w:sz w:val="22"/>
          <w:szCs w:val="22"/>
        </w:rPr>
        <w:t>This requirement applies in addition to the requirements under</w:t>
      </w:r>
      <w:r>
        <w:rPr>
          <w:rFonts w:ascii="Times New Roman" w:hAnsi="Times New Roman"/>
          <w:sz w:val="22"/>
          <w:szCs w:val="22"/>
        </w:rPr>
        <w:t xml:space="preserve"> sections 8 and 9 applying to the label on the container and on the primary pack, and only applies to medicines manufactured or imported on or after 1 December 2026.</w:t>
      </w:r>
    </w:p>
    <w:p w14:paraId="00E73513" w14:textId="77777777" w:rsidR="00E27943" w:rsidRDefault="00E27943" w:rsidP="00E27943">
      <w:pPr>
        <w:keepNext/>
        <w:contextualSpacing/>
        <w:rPr>
          <w:rFonts w:ascii="Times New Roman" w:hAnsi="Times New Roman"/>
          <w:sz w:val="22"/>
          <w:szCs w:val="22"/>
        </w:rPr>
      </w:pPr>
    </w:p>
    <w:p w14:paraId="40EBCD14" w14:textId="77777777" w:rsidR="00E27943" w:rsidRPr="00461CBD" w:rsidRDefault="00E27943" w:rsidP="00E27943">
      <w:pPr>
        <w:keepNext/>
        <w:contextualSpacing/>
        <w:rPr>
          <w:b/>
          <w:bCs/>
          <w:sz w:val="22"/>
          <w:szCs w:val="22"/>
        </w:rPr>
      </w:pPr>
      <w:r w:rsidRPr="00461CBD">
        <w:rPr>
          <w:rFonts w:ascii="Times New Roman" w:hAnsi="Times New Roman"/>
          <w:b/>
          <w:bCs/>
          <w:sz w:val="22"/>
          <w:szCs w:val="22"/>
        </w:rPr>
        <w:t xml:space="preserve">Item </w:t>
      </w:r>
      <w:r>
        <w:rPr>
          <w:rFonts w:ascii="Times New Roman" w:hAnsi="Times New Roman"/>
          <w:b/>
          <w:bCs/>
          <w:sz w:val="22"/>
          <w:szCs w:val="22"/>
        </w:rPr>
        <w:t>3 – At the end of subsection 10(4)</w:t>
      </w:r>
    </w:p>
    <w:p w14:paraId="3127546E" w14:textId="77777777" w:rsidR="00E27943" w:rsidRDefault="00E27943" w:rsidP="00E27943">
      <w:pPr>
        <w:rPr>
          <w:rFonts w:ascii="Times New Roman" w:hAnsi="Times New Roman"/>
          <w:bCs/>
          <w:sz w:val="22"/>
          <w:szCs w:val="22"/>
        </w:rPr>
      </w:pPr>
    </w:p>
    <w:p w14:paraId="4CDECEEF" w14:textId="77777777" w:rsidR="00E27943" w:rsidRDefault="00E27943" w:rsidP="00E27943">
      <w:pPr>
        <w:keepNext/>
        <w:contextualSpacing/>
        <w:rPr>
          <w:rFonts w:ascii="Times New Roman" w:hAnsi="Times New Roman"/>
          <w:sz w:val="22"/>
          <w:szCs w:val="22"/>
        </w:rPr>
      </w:pPr>
      <w:r>
        <w:rPr>
          <w:rFonts w:ascii="Times New Roman" w:hAnsi="Times New Roman"/>
          <w:sz w:val="22"/>
          <w:szCs w:val="22"/>
        </w:rPr>
        <w:t xml:space="preserve">This item introduces new requirements for medicines for injection in a container with a capacity less than or equal to 25 millilitres, and greater than 3 millilitres, that are intended for electrolyte replacement and are manufactured on or after 1 December 2026. </w:t>
      </w:r>
    </w:p>
    <w:p w14:paraId="1AB591E6" w14:textId="77777777" w:rsidR="00E27943" w:rsidRDefault="00E27943" w:rsidP="00E27943">
      <w:pPr>
        <w:keepNext/>
        <w:contextualSpacing/>
        <w:rPr>
          <w:rFonts w:ascii="Times New Roman" w:hAnsi="Times New Roman"/>
          <w:sz w:val="22"/>
          <w:szCs w:val="22"/>
        </w:rPr>
      </w:pPr>
    </w:p>
    <w:p w14:paraId="42AAEDAF" w14:textId="77777777" w:rsidR="00E27943" w:rsidRDefault="00E27943" w:rsidP="00E27943">
      <w:pPr>
        <w:keepNext/>
        <w:contextualSpacing/>
        <w:rPr>
          <w:rFonts w:ascii="Times New Roman" w:hAnsi="Times New Roman"/>
          <w:sz w:val="22"/>
          <w:szCs w:val="22"/>
        </w:rPr>
      </w:pPr>
      <w:r>
        <w:rPr>
          <w:rFonts w:ascii="Times New Roman" w:hAnsi="Times New Roman"/>
          <w:sz w:val="22"/>
          <w:szCs w:val="22"/>
        </w:rPr>
        <w:t xml:space="preserve">Under new paragraph 10(4)(m), such medicines are required to include a statement on the label on the container and on the primary pack, located immediately below the text mentioned in subsection 9(3), of: </w:t>
      </w:r>
    </w:p>
    <w:p w14:paraId="326D3734" w14:textId="77777777" w:rsidR="00E27943" w:rsidRDefault="00E27943" w:rsidP="00E27943">
      <w:pPr>
        <w:pStyle w:val="ListParagraph"/>
        <w:keepNext/>
        <w:numPr>
          <w:ilvl w:val="0"/>
          <w:numId w:val="1"/>
        </w:numPr>
        <w:rPr>
          <w:rFonts w:ascii="Times New Roman" w:hAnsi="Times New Roman"/>
          <w:sz w:val="22"/>
          <w:szCs w:val="22"/>
        </w:rPr>
      </w:pPr>
      <w:r>
        <w:rPr>
          <w:rFonts w:ascii="Times New Roman" w:hAnsi="Times New Roman"/>
          <w:sz w:val="22"/>
          <w:szCs w:val="22"/>
        </w:rPr>
        <w:t xml:space="preserve">for potassium chloride—the equivalent quantity of potassium chloride in weight in relation to the stated volume of fill of the injection; and </w:t>
      </w:r>
    </w:p>
    <w:p w14:paraId="22EB9D8F" w14:textId="77777777" w:rsidR="00E27943" w:rsidRPr="001D6726" w:rsidRDefault="00E27943" w:rsidP="00E27943">
      <w:pPr>
        <w:pStyle w:val="ListParagraph"/>
        <w:keepNext/>
        <w:numPr>
          <w:ilvl w:val="0"/>
          <w:numId w:val="1"/>
        </w:numPr>
        <w:rPr>
          <w:rFonts w:ascii="Times New Roman" w:hAnsi="Times New Roman"/>
          <w:sz w:val="22"/>
          <w:szCs w:val="22"/>
        </w:rPr>
      </w:pPr>
      <w:r>
        <w:rPr>
          <w:rFonts w:ascii="Times New Roman" w:hAnsi="Times New Roman"/>
          <w:sz w:val="22"/>
          <w:szCs w:val="22"/>
        </w:rPr>
        <w:t xml:space="preserve">for all other active ingredients—the equivalent quantity of each active ingredient in millimoles in relation to the stated </w:t>
      </w:r>
      <w:r w:rsidRPr="001D6726">
        <w:rPr>
          <w:rFonts w:ascii="Times New Roman" w:hAnsi="Times New Roman"/>
          <w:sz w:val="22"/>
          <w:szCs w:val="22"/>
        </w:rPr>
        <w:t>volume of fill of the injection.</w:t>
      </w:r>
    </w:p>
    <w:p w14:paraId="52DFBBBE" w14:textId="77777777" w:rsidR="00E27943" w:rsidRPr="001D6726" w:rsidRDefault="00E27943" w:rsidP="00E27943">
      <w:pPr>
        <w:pStyle w:val="ListParagraph"/>
        <w:keepNext/>
        <w:rPr>
          <w:rFonts w:ascii="Times New Roman" w:hAnsi="Times New Roman"/>
          <w:sz w:val="22"/>
          <w:szCs w:val="22"/>
        </w:rPr>
      </w:pPr>
    </w:p>
    <w:p w14:paraId="6D2642B6" w14:textId="0803043F" w:rsidR="00280050" w:rsidRPr="001D6726" w:rsidRDefault="00E27943">
      <w:pPr>
        <w:rPr>
          <w:rFonts w:ascii="Times New Roman" w:hAnsi="Times New Roman"/>
          <w:sz w:val="22"/>
          <w:szCs w:val="22"/>
        </w:rPr>
      </w:pPr>
      <w:r w:rsidRPr="001D6726">
        <w:rPr>
          <w:rFonts w:ascii="Times New Roman" w:hAnsi="Times New Roman"/>
          <w:sz w:val="22"/>
          <w:szCs w:val="22"/>
        </w:rPr>
        <w:t>However, medicines to which subparagraph 10(4)(m)(i) applies do not have to comply with th</w:t>
      </w:r>
      <w:r w:rsidR="00213E11" w:rsidRPr="001D6726">
        <w:rPr>
          <w:rFonts w:ascii="Times New Roman" w:hAnsi="Times New Roman"/>
          <w:sz w:val="22"/>
          <w:szCs w:val="22"/>
        </w:rPr>
        <w:t>e</w:t>
      </w:r>
      <w:r w:rsidRPr="001D6726">
        <w:rPr>
          <w:rFonts w:ascii="Times New Roman" w:hAnsi="Times New Roman"/>
          <w:sz w:val="22"/>
          <w:szCs w:val="22"/>
        </w:rPr>
        <w:t xml:space="preserve"> requirement</w:t>
      </w:r>
      <w:r w:rsidR="00213E11" w:rsidRPr="001D6726">
        <w:rPr>
          <w:rFonts w:ascii="Times New Roman" w:hAnsi="Times New Roman"/>
          <w:sz w:val="22"/>
          <w:szCs w:val="22"/>
        </w:rPr>
        <w:t xml:space="preserve"> </w:t>
      </w:r>
      <w:r w:rsidR="0012701F" w:rsidRPr="001D6726">
        <w:rPr>
          <w:rFonts w:ascii="Times New Roman" w:hAnsi="Times New Roman"/>
          <w:sz w:val="22"/>
          <w:szCs w:val="22"/>
        </w:rPr>
        <w:t>for the equivalent quantity of</w:t>
      </w:r>
      <w:r w:rsidR="00213E11" w:rsidRPr="001D6726">
        <w:rPr>
          <w:rFonts w:ascii="Times New Roman" w:hAnsi="Times New Roman"/>
          <w:sz w:val="22"/>
          <w:szCs w:val="22"/>
        </w:rPr>
        <w:t xml:space="preserve"> potassium chloride</w:t>
      </w:r>
      <w:r w:rsidRPr="001D6726">
        <w:rPr>
          <w:rFonts w:ascii="Times New Roman" w:hAnsi="Times New Roman"/>
          <w:sz w:val="22"/>
          <w:szCs w:val="22"/>
        </w:rPr>
        <w:t xml:space="preserve"> if, to include such a statement, it would not be possible to comply with text size requirements. That is, in instances where the container size </w:t>
      </w:r>
      <w:r w:rsidR="008A768C" w:rsidRPr="001D6726">
        <w:rPr>
          <w:rFonts w:ascii="Times New Roman" w:hAnsi="Times New Roman"/>
          <w:sz w:val="22"/>
          <w:szCs w:val="22"/>
        </w:rPr>
        <w:t>precludes a label</w:t>
      </w:r>
      <w:r w:rsidR="003164A5" w:rsidRPr="001D6726">
        <w:rPr>
          <w:rFonts w:ascii="Times New Roman" w:hAnsi="Times New Roman"/>
          <w:sz w:val="22"/>
          <w:szCs w:val="22"/>
        </w:rPr>
        <w:t xml:space="preserve"> </w:t>
      </w:r>
      <w:r w:rsidR="0012701F" w:rsidRPr="001D6726">
        <w:rPr>
          <w:rFonts w:ascii="Times New Roman" w:hAnsi="Times New Roman"/>
          <w:sz w:val="22"/>
          <w:szCs w:val="22"/>
        </w:rPr>
        <w:t>that has</w:t>
      </w:r>
      <w:r w:rsidRPr="001D6726">
        <w:rPr>
          <w:rFonts w:ascii="Times New Roman" w:hAnsi="Times New Roman"/>
          <w:sz w:val="22"/>
          <w:szCs w:val="22"/>
        </w:rPr>
        <w:t xml:space="preserve"> this statement</w:t>
      </w:r>
      <w:r w:rsidR="0012701F" w:rsidRPr="001D6726">
        <w:rPr>
          <w:rFonts w:ascii="Times New Roman" w:hAnsi="Times New Roman"/>
          <w:sz w:val="22"/>
          <w:szCs w:val="22"/>
        </w:rPr>
        <w:t xml:space="preserve"> </w:t>
      </w:r>
      <w:r w:rsidRPr="001D6726">
        <w:rPr>
          <w:rFonts w:ascii="Times New Roman" w:hAnsi="Times New Roman"/>
          <w:sz w:val="22"/>
          <w:szCs w:val="22"/>
        </w:rPr>
        <w:t>in the text size required, sponsors and manufacturers are not required to have this statement on the label.</w:t>
      </w:r>
    </w:p>
    <w:p w14:paraId="5CC5E38F" w14:textId="77777777" w:rsidR="00E27943" w:rsidRPr="001D6726" w:rsidRDefault="00E27943">
      <w:pPr>
        <w:rPr>
          <w:rFonts w:ascii="Times New Roman" w:hAnsi="Times New Roman"/>
          <w:sz w:val="22"/>
          <w:szCs w:val="22"/>
        </w:rPr>
      </w:pPr>
    </w:p>
    <w:p w14:paraId="2647FE89" w14:textId="407DBCD3" w:rsidR="00E27943" w:rsidRPr="001D6726" w:rsidRDefault="00E27943" w:rsidP="00E27943">
      <w:pPr>
        <w:keepNext/>
        <w:contextualSpacing/>
        <w:rPr>
          <w:rFonts w:ascii="Times New Roman" w:hAnsi="Times New Roman"/>
          <w:sz w:val="22"/>
          <w:szCs w:val="22"/>
        </w:rPr>
      </w:pPr>
      <w:r w:rsidRPr="001D6726">
        <w:rPr>
          <w:rFonts w:ascii="Times New Roman" w:hAnsi="Times New Roman"/>
          <w:sz w:val="22"/>
          <w:szCs w:val="22"/>
        </w:rPr>
        <w:t>The equivalent quantity of an ingredient could be expressed as</w:t>
      </w:r>
      <w:r w:rsidR="00441F42" w:rsidRPr="001D6726">
        <w:rPr>
          <w:rFonts w:ascii="Times New Roman" w:hAnsi="Times New Roman"/>
          <w:sz w:val="22"/>
          <w:szCs w:val="22"/>
        </w:rPr>
        <w:t xml:space="preserve"> the total amount in the injection or the concentration of the active ingredient in the injection</w:t>
      </w:r>
      <w:r w:rsidRPr="001D6726">
        <w:rPr>
          <w:rFonts w:ascii="Times New Roman" w:hAnsi="Times New Roman"/>
          <w:b/>
          <w:bCs/>
          <w:sz w:val="22"/>
          <w:szCs w:val="22"/>
        </w:rPr>
        <w:t xml:space="preserve">. </w:t>
      </w:r>
      <w:r w:rsidRPr="001D6726">
        <w:rPr>
          <w:rFonts w:ascii="Times New Roman" w:hAnsi="Times New Roman"/>
          <w:sz w:val="22"/>
          <w:szCs w:val="22"/>
        </w:rPr>
        <w:t xml:space="preserve">For example, the equivalent quantity of potassium chloride in an injection could be expressed as </w:t>
      </w:r>
      <w:r w:rsidR="00696D2F" w:rsidRPr="001D6726">
        <w:rPr>
          <w:rFonts w:ascii="Times New Roman" w:hAnsi="Times New Roman"/>
          <w:sz w:val="22"/>
          <w:szCs w:val="22"/>
        </w:rPr>
        <w:t>‘Each 10 mL contains: potassium chloride 750 mg’ or ‘contains potassium chloride 750 mg’</w:t>
      </w:r>
      <w:r w:rsidRPr="001D6726">
        <w:rPr>
          <w:rFonts w:ascii="Times New Roman" w:hAnsi="Times New Roman"/>
          <w:b/>
          <w:bCs/>
          <w:sz w:val="22"/>
          <w:szCs w:val="22"/>
        </w:rPr>
        <w:t>.</w:t>
      </w:r>
    </w:p>
    <w:p w14:paraId="32FCA13E" w14:textId="77777777" w:rsidR="00E27943" w:rsidRPr="001D6726" w:rsidRDefault="00E27943" w:rsidP="00E27943">
      <w:pPr>
        <w:keepNext/>
        <w:contextualSpacing/>
        <w:rPr>
          <w:rFonts w:ascii="Times New Roman" w:hAnsi="Times New Roman"/>
          <w:sz w:val="22"/>
          <w:szCs w:val="22"/>
        </w:rPr>
      </w:pPr>
    </w:p>
    <w:p w14:paraId="20C28857" w14:textId="77777777" w:rsidR="00E27943" w:rsidRDefault="00E27943" w:rsidP="00E27943">
      <w:pPr>
        <w:keepNext/>
        <w:contextualSpacing/>
        <w:rPr>
          <w:rFonts w:ascii="Times New Roman" w:hAnsi="Times New Roman"/>
          <w:sz w:val="22"/>
          <w:szCs w:val="22"/>
        </w:rPr>
      </w:pPr>
      <w:r w:rsidRPr="001D6726">
        <w:rPr>
          <w:rFonts w:ascii="Times New Roman" w:hAnsi="Times New Roman"/>
          <w:sz w:val="22"/>
          <w:szCs w:val="22"/>
        </w:rPr>
        <w:t>This requirement applies in addition to the requirements under</w:t>
      </w:r>
      <w:r>
        <w:rPr>
          <w:rFonts w:ascii="Times New Roman" w:hAnsi="Times New Roman"/>
          <w:sz w:val="22"/>
          <w:szCs w:val="22"/>
        </w:rPr>
        <w:t xml:space="preserve"> sections 8 and 9 applying to the label on the container and on the primary pack, and only applies to medicines manufactured or imported on or after 1 December 2026.</w:t>
      </w:r>
    </w:p>
    <w:p w14:paraId="59A0A2BE" w14:textId="61F529A6" w:rsidR="00E27943" w:rsidRDefault="00E27943"/>
    <w:p w14:paraId="1581EF57" w14:textId="76A6F7F2" w:rsidR="00E27943" w:rsidRDefault="00E27943">
      <w:pPr>
        <w:rPr>
          <w:rFonts w:ascii="Times New Roman" w:hAnsi="Times New Roman"/>
          <w:b/>
          <w:bCs/>
          <w:sz w:val="22"/>
          <w:szCs w:val="22"/>
        </w:rPr>
      </w:pPr>
      <w:r>
        <w:rPr>
          <w:b/>
          <w:bCs/>
        </w:rPr>
        <w:lastRenderedPageBreak/>
        <w:t xml:space="preserve">Item 4, 5 and 6 – </w:t>
      </w:r>
      <w:r>
        <w:rPr>
          <w:rFonts w:ascii="Times New Roman" w:hAnsi="Times New Roman"/>
          <w:b/>
          <w:bCs/>
          <w:sz w:val="22"/>
          <w:szCs w:val="22"/>
        </w:rPr>
        <w:t>Subparagraph 11(2)(f)(i), subparagraph 11(2)(f)(v) and at the end of subparagraph 11(2)(f)</w:t>
      </w:r>
    </w:p>
    <w:p w14:paraId="24944810" w14:textId="77777777" w:rsidR="00E27943" w:rsidRDefault="00E27943">
      <w:pPr>
        <w:rPr>
          <w:rFonts w:ascii="Times New Roman" w:hAnsi="Times New Roman"/>
          <w:b/>
          <w:bCs/>
          <w:sz w:val="22"/>
          <w:szCs w:val="22"/>
        </w:rPr>
      </w:pPr>
    </w:p>
    <w:p w14:paraId="19990622" w14:textId="6E3A90F1" w:rsidR="00E27943" w:rsidRDefault="00E27943">
      <w:pPr>
        <w:rPr>
          <w:rFonts w:ascii="Times New Roman" w:hAnsi="Times New Roman"/>
          <w:sz w:val="22"/>
          <w:szCs w:val="22"/>
        </w:rPr>
      </w:pPr>
      <w:r>
        <w:rPr>
          <w:rFonts w:ascii="Times New Roman" w:hAnsi="Times New Roman"/>
          <w:sz w:val="22"/>
          <w:szCs w:val="22"/>
        </w:rPr>
        <w:t>These items introduce updated requirements for medicines for injection which are intended for electrolyte replacement and have a stated volume of 100 millilitres or less.</w:t>
      </w:r>
    </w:p>
    <w:p w14:paraId="5BB945E8" w14:textId="77777777" w:rsidR="00E27943" w:rsidRDefault="00E27943">
      <w:pPr>
        <w:rPr>
          <w:rFonts w:ascii="Times New Roman" w:hAnsi="Times New Roman"/>
          <w:sz w:val="22"/>
          <w:szCs w:val="22"/>
        </w:rPr>
      </w:pPr>
    </w:p>
    <w:p w14:paraId="58A80D27" w14:textId="77777777" w:rsidR="00E27943" w:rsidRDefault="00E27943" w:rsidP="00E27943">
      <w:pPr>
        <w:keepNext/>
        <w:contextualSpacing/>
        <w:rPr>
          <w:rFonts w:ascii="Times New Roman" w:hAnsi="Times New Roman"/>
          <w:sz w:val="22"/>
          <w:szCs w:val="22"/>
        </w:rPr>
      </w:pPr>
      <w:r>
        <w:rPr>
          <w:rFonts w:ascii="Times New Roman" w:hAnsi="Times New Roman"/>
          <w:sz w:val="22"/>
          <w:szCs w:val="22"/>
        </w:rPr>
        <w:t>Subsection 11(2) of TGO 91 prescribes how the quantity or proportion of an active ingredient to be included on a label must be expressed. New subparagraph 11(2)(f)(vi) provides that where the stated volume of a medicine for injection is 100 millilitres or less, and the medicine is intended for electrolyte replacement, the active ingredient/s must be expressed as:</w:t>
      </w:r>
    </w:p>
    <w:p w14:paraId="420D8036" w14:textId="77777777" w:rsidR="00E27943" w:rsidRDefault="00E27943" w:rsidP="00E27943">
      <w:pPr>
        <w:pStyle w:val="ListParagraph"/>
        <w:keepNext/>
        <w:numPr>
          <w:ilvl w:val="0"/>
          <w:numId w:val="1"/>
        </w:numPr>
        <w:rPr>
          <w:rFonts w:ascii="Times New Roman" w:hAnsi="Times New Roman"/>
          <w:sz w:val="22"/>
          <w:szCs w:val="22"/>
        </w:rPr>
      </w:pPr>
      <w:r>
        <w:rPr>
          <w:rFonts w:ascii="Times New Roman" w:hAnsi="Times New Roman"/>
          <w:sz w:val="22"/>
          <w:szCs w:val="22"/>
        </w:rPr>
        <w:t xml:space="preserve">for potassium chloride—the number of millimoles of potassium chloride in the stated volume of fill in the injection in the container; and </w:t>
      </w:r>
    </w:p>
    <w:p w14:paraId="1AFC78CD" w14:textId="77777777" w:rsidR="00E27943" w:rsidRPr="00E078BD" w:rsidRDefault="00E27943" w:rsidP="00E27943">
      <w:pPr>
        <w:pStyle w:val="ListParagraph"/>
        <w:keepNext/>
        <w:numPr>
          <w:ilvl w:val="0"/>
          <w:numId w:val="1"/>
        </w:numPr>
        <w:rPr>
          <w:rFonts w:ascii="Times New Roman" w:hAnsi="Times New Roman"/>
          <w:sz w:val="22"/>
          <w:szCs w:val="22"/>
        </w:rPr>
      </w:pPr>
      <w:r>
        <w:rPr>
          <w:rFonts w:ascii="Times New Roman" w:hAnsi="Times New Roman"/>
          <w:sz w:val="22"/>
          <w:szCs w:val="22"/>
        </w:rPr>
        <w:t xml:space="preserve">for all other active ingredients—the stated weight of each active ingredient in the stated volume of fill in the injection in the container. </w:t>
      </w:r>
    </w:p>
    <w:p w14:paraId="62B31A80" w14:textId="77777777" w:rsidR="00E27943" w:rsidRDefault="00E27943" w:rsidP="00E27943">
      <w:pPr>
        <w:keepNext/>
        <w:contextualSpacing/>
        <w:rPr>
          <w:rFonts w:ascii="Times New Roman" w:hAnsi="Times New Roman"/>
          <w:sz w:val="22"/>
          <w:szCs w:val="22"/>
        </w:rPr>
      </w:pPr>
    </w:p>
    <w:p w14:paraId="0C0C8C07" w14:textId="42D01751" w:rsidR="00E27943" w:rsidRDefault="00E27943" w:rsidP="00E27943">
      <w:pPr>
        <w:keepNext/>
        <w:contextualSpacing/>
        <w:rPr>
          <w:rFonts w:ascii="Times New Roman" w:hAnsi="Times New Roman"/>
          <w:b/>
          <w:bCs/>
          <w:sz w:val="22"/>
          <w:szCs w:val="22"/>
        </w:rPr>
      </w:pPr>
      <w:r>
        <w:rPr>
          <w:rFonts w:ascii="Times New Roman" w:hAnsi="Times New Roman"/>
          <w:b/>
          <w:bCs/>
          <w:sz w:val="22"/>
          <w:szCs w:val="22"/>
        </w:rPr>
        <w:t xml:space="preserve">Item </w:t>
      </w:r>
      <w:r w:rsidR="003C6B86">
        <w:rPr>
          <w:rFonts w:ascii="Times New Roman" w:hAnsi="Times New Roman"/>
          <w:b/>
          <w:bCs/>
          <w:sz w:val="22"/>
          <w:szCs w:val="22"/>
        </w:rPr>
        <w:t>7</w:t>
      </w:r>
      <w:r>
        <w:rPr>
          <w:rFonts w:ascii="Times New Roman" w:hAnsi="Times New Roman"/>
          <w:b/>
          <w:bCs/>
          <w:sz w:val="22"/>
          <w:szCs w:val="22"/>
        </w:rPr>
        <w:t xml:space="preserve"> – At the end of section 11</w:t>
      </w:r>
    </w:p>
    <w:p w14:paraId="58648EC1" w14:textId="77777777" w:rsidR="00E27943" w:rsidRDefault="00E27943" w:rsidP="00E27943">
      <w:pPr>
        <w:keepNext/>
        <w:contextualSpacing/>
        <w:rPr>
          <w:rFonts w:ascii="Times New Roman" w:hAnsi="Times New Roman"/>
          <w:b/>
          <w:bCs/>
          <w:sz w:val="22"/>
          <w:szCs w:val="22"/>
        </w:rPr>
      </w:pPr>
    </w:p>
    <w:p w14:paraId="24C57462" w14:textId="77777777" w:rsidR="00E27943" w:rsidRDefault="00E27943" w:rsidP="00E27943">
      <w:pPr>
        <w:keepNext/>
        <w:contextualSpacing/>
        <w:rPr>
          <w:rFonts w:ascii="Times New Roman" w:hAnsi="Times New Roman"/>
          <w:sz w:val="22"/>
          <w:szCs w:val="22"/>
        </w:rPr>
      </w:pPr>
      <w:r>
        <w:rPr>
          <w:rFonts w:ascii="Times New Roman" w:hAnsi="Times New Roman"/>
          <w:sz w:val="22"/>
          <w:szCs w:val="22"/>
        </w:rPr>
        <w:t xml:space="preserve">This item provides that section 11 of TGO 91, as immediately in force before the amendments made by the Amendment Order, continues to apply to medicines manufactured or imported before 1 December 2026. </w:t>
      </w:r>
    </w:p>
    <w:p w14:paraId="460E8727" w14:textId="77777777" w:rsidR="00E27943" w:rsidRDefault="00E27943" w:rsidP="00E27943">
      <w:pPr>
        <w:keepNext/>
        <w:contextualSpacing/>
        <w:rPr>
          <w:rFonts w:ascii="Times New Roman" w:hAnsi="Times New Roman"/>
          <w:sz w:val="22"/>
          <w:szCs w:val="22"/>
        </w:rPr>
      </w:pPr>
    </w:p>
    <w:p w14:paraId="7DD9BF72" w14:textId="20D6A1B9" w:rsidR="00E27943" w:rsidRDefault="00E27943" w:rsidP="00E27943">
      <w:pPr>
        <w:keepNext/>
        <w:contextualSpacing/>
        <w:rPr>
          <w:rFonts w:ascii="Times New Roman" w:hAnsi="Times New Roman"/>
          <w:sz w:val="22"/>
          <w:szCs w:val="22"/>
        </w:rPr>
      </w:pPr>
      <w:r>
        <w:rPr>
          <w:rFonts w:ascii="Times New Roman" w:hAnsi="Times New Roman"/>
          <w:sz w:val="22"/>
          <w:szCs w:val="22"/>
        </w:rPr>
        <w:t>The effect of this item is that, until 1 December 2026, medicines to which new subparagraph 11(2)(f)(vi) applies may comply with either the requirements set out in section 11 of TGO 91 immediately prior to the Amendment Order coming into effect, or with the new requirements set out in the Amendment Order. However, on and from 1 December 2026, all medicines to which the amendments apply must comply with the new requirements introduced by the Amendment Order.</w:t>
      </w:r>
    </w:p>
    <w:p w14:paraId="6506F897" w14:textId="77777777" w:rsidR="00E27943" w:rsidRDefault="00E27943">
      <w:pPr>
        <w:spacing w:after="160" w:line="259" w:lineRule="auto"/>
        <w:rPr>
          <w:rFonts w:ascii="Times New Roman" w:hAnsi="Times New Roman"/>
          <w:sz w:val="22"/>
          <w:szCs w:val="22"/>
        </w:rPr>
      </w:pPr>
      <w:r>
        <w:rPr>
          <w:rFonts w:ascii="Times New Roman" w:hAnsi="Times New Roman"/>
          <w:sz w:val="22"/>
          <w:szCs w:val="22"/>
        </w:rPr>
        <w:br w:type="page"/>
      </w:r>
    </w:p>
    <w:p w14:paraId="577BB682" w14:textId="77777777" w:rsidR="00E27943" w:rsidRPr="00855E30" w:rsidRDefault="00E27943" w:rsidP="00E27943">
      <w:pPr>
        <w:shd w:val="clear" w:color="auto" w:fill="FFFFFF"/>
        <w:spacing w:before="100" w:beforeAutospacing="1" w:after="120"/>
        <w:jc w:val="center"/>
        <w:rPr>
          <w:rFonts w:ascii="Times New Roman" w:hAnsi="Times New Roman"/>
          <w:b/>
          <w:bCs/>
          <w:sz w:val="22"/>
          <w:szCs w:val="22"/>
        </w:rPr>
      </w:pPr>
      <w:r w:rsidRPr="00855E30">
        <w:rPr>
          <w:rFonts w:ascii="Times New Roman" w:hAnsi="Times New Roman"/>
          <w:b/>
          <w:bCs/>
          <w:sz w:val="22"/>
          <w:szCs w:val="22"/>
        </w:rPr>
        <w:lastRenderedPageBreak/>
        <w:t>Statement of Compatibility with Human Rights</w:t>
      </w:r>
    </w:p>
    <w:p w14:paraId="40158A85" w14:textId="77777777" w:rsidR="00E27943" w:rsidRPr="00855E30" w:rsidRDefault="00E27943" w:rsidP="00E27943">
      <w:pPr>
        <w:shd w:val="clear" w:color="auto" w:fill="FFFFFF"/>
        <w:spacing w:before="100" w:beforeAutospacing="1"/>
        <w:ind w:right="-142"/>
        <w:jc w:val="center"/>
        <w:rPr>
          <w:sz w:val="22"/>
          <w:szCs w:val="22"/>
        </w:rPr>
      </w:pPr>
      <w:r w:rsidRPr="00855E30">
        <w:rPr>
          <w:sz w:val="22"/>
          <w:szCs w:val="22"/>
        </w:rPr>
        <w:t>Prepared in accordance with Part 3 of the</w:t>
      </w:r>
      <w:r w:rsidRPr="00855E30">
        <w:rPr>
          <w:iCs/>
          <w:sz w:val="22"/>
          <w:szCs w:val="22"/>
        </w:rPr>
        <w:t xml:space="preserve"> </w:t>
      </w:r>
      <w:r w:rsidRPr="00855E30">
        <w:rPr>
          <w:i/>
          <w:iCs/>
          <w:sz w:val="22"/>
          <w:szCs w:val="22"/>
        </w:rPr>
        <w:t>Human Rights (Parliamentary Scrutiny) Act 2011</w:t>
      </w:r>
      <w:r w:rsidRPr="00855E30">
        <w:rPr>
          <w:sz w:val="22"/>
          <w:szCs w:val="22"/>
        </w:rPr>
        <w:t>.</w:t>
      </w:r>
    </w:p>
    <w:p w14:paraId="156FDC5F" w14:textId="77777777" w:rsidR="00E27943" w:rsidRPr="00855E30" w:rsidRDefault="00E27943" w:rsidP="00E27943">
      <w:pPr>
        <w:spacing w:before="60"/>
        <w:jc w:val="center"/>
        <w:rPr>
          <w:rFonts w:ascii="Times New Roman" w:hAnsi="Times New Roman"/>
          <w:b/>
          <w:i/>
          <w:sz w:val="22"/>
          <w:szCs w:val="22"/>
        </w:rPr>
      </w:pPr>
    </w:p>
    <w:p w14:paraId="7F65E9FF" w14:textId="77777777" w:rsidR="00E27943" w:rsidRPr="00D52BA5" w:rsidRDefault="00E27943" w:rsidP="00E27943">
      <w:pPr>
        <w:jc w:val="center"/>
        <w:rPr>
          <w:b/>
          <w:bCs/>
          <w:i/>
          <w:sz w:val="22"/>
          <w:szCs w:val="22"/>
        </w:rPr>
      </w:pPr>
      <w:r>
        <w:rPr>
          <w:b/>
          <w:bCs/>
          <w:i/>
          <w:sz w:val="22"/>
          <w:szCs w:val="22"/>
        </w:rPr>
        <w:t>Therapeutic Goods (</w:t>
      </w:r>
      <w:r w:rsidRPr="00D52BA5">
        <w:rPr>
          <w:b/>
          <w:bCs/>
          <w:i/>
          <w:sz w:val="22"/>
          <w:szCs w:val="22"/>
        </w:rPr>
        <w:t>Therapeutic Goods Order No. 91 –</w:t>
      </w:r>
      <w:r>
        <w:rPr>
          <w:b/>
          <w:bCs/>
          <w:i/>
          <w:sz w:val="22"/>
          <w:szCs w:val="22"/>
        </w:rPr>
        <w:t xml:space="preserve"> </w:t>
      </w:r>
      <w:r w:rsidRPr="00D52BA5">
        <w:rPr>
          <w:b/>
          <w:bCs/>
          <w:i/>
          <w:sz w:val="22"/>
          <w:szCs w:val="22"/>
        </w:rPr>
        <w:t>Standard for labels of prescription and related medicines) Amendment Order 2024</w:t>
      </w:r>
    </w:p>
    <w:p w14:paraId="03CED267" w14:textId="77777777" w:rsidR="00E27943" w:rsidRDefault="00E27943" w:rsidP="00E27943">
      <w:pPr>
        <w:rPr>
          <w:rFonts w:ascii="Times New Roman" w:hAnsi="Times New Roman"/>
          <w:sz w:val="22"/>
          <w:szCs w:val="22"/>
        </w:rPr>
      </w:pPr>
    </w:p>
    <w:p w14:paraId="306A6926" w14:textId="77777777" w:rsidR="00E27943" w:rsidRPr="00CF219B" w:rsidRDefault="00E27943" w:rsidP="00E27943">
      <w:pPr>
        <w:rPr>
          <w:rFonts w:ascii="Times New Roman" w:hAnsi="Times New Roman"/>
          <w:sz w:val="22"/>
          <w:szCs w:val="22"/>
        </w:rPr>
      </w:pPr>
      <w:r w:rsidRPr="00CF219B">
        <w:rPr>
          <w:rFonts w:ascii="Times New Roman" w:hAnsi="Times New Roman"/>
          <w:sz w:val="22"/>
          <w:szCs w:val="22"/>
        </w:rPr>
        <w:t xml:space="preserve">This disallowable legislative instrument is compatible with the human rights and freedoms recognised or declared in the international instruments listed in section 3 of the </w:t>
      </w:r>
      <w:r w:rsidRPr="00CF219B">
        <w:rPr>
          <w:rFonts w:ascii="Times New Roman" w:hAnsi="Times New Roman"/>
          <w:i/>
          <w:sz w:val="22"/>
          <w:szCs w:val="22"/>
        </w:rPr>
        <w:t>Human Rights (Parliamentary Scrutiny) Act 2011</w:t>
      </w:r>
      <w:r w:rsidRPr="00CF219B">
        <w:rPr>
          <w:rFonts w:ascii="Times New Roman" w:hAnsi="Times New Roman"/>
          <w:sz w:val="22"/>
          <w:szCs w:val="22"/>
        </w:rPr>
        <w:t>.</w:t>
      </w:r>
    </w:p>
    <w:p w14:paraId="7D50A553" w14:textId="77777777" w:rsidR="00E27943" w:rsidRPr="00CF219B" w:rsidRDefault="00E27943" w:rsidP="00E27943">
      <w:pPr>
        <w:rPr>
          <w:rFonts w:ascii="Times New Roman" w:hAnsi="Times New Roman"/>
          <w:sz w:val="22"/>
          <w:szCs w:val="22"/>
        </w:rPr>
      </w:pPr>
    </w:p>
    <w:p w14:paraId="19E36F25" w14:textId="77777777" w:rsidR="00E27943" w:rsidRPr="00CF219B" w:rsidRDefault="00E27943" w:rsidP="00E27943">
      <w:pPr>
        <w:rPr>
          <w:rFonts w:ascii="Times New Roman" w:hAnsi="Times New Roman"/>
          <w:b/>
          <w:sz w:val="22"/>
          <w:szCs w:val="22"/>
        </w:rPr>
      </w:pPr>
      <w:r w:rsidRPr="00E27943">
        <w:rPr>
          <w:rFonts w:ascii="Times New Roman" w:hAnsi="Times New Roman"/>
          <w:b/>
          <w:sz w:val="22"/>
          <w:szCs w:val="22"/>
        </w:rPr>
        <w:t>Overview of legislative instrument</w:t>
      </w:r>
    </w:p>
    <w:p w14:paraId="29E066DB" w14:textId="77777777" w:rsidR="00E27943" w:rsidRDefault="00E27943" w:rsidP="00E27943">
      <w:pPr>
        <w:keepNext/>
        <w:contextualSpacing/>
        <w:rPr>
          <w:rFonts w:ascii="Times New Roman" w:hAnsi="Times New Roman"/>
          <w:sz w:val="22"/>
          <w:szCs w:val="22"/>
        </w:rPr>
      </w:pPr>
    </w:p>
    <w:p w14:paraId="07BA5986" w14:textId="5E3D3BBD" w:rsidR="00E27943" w:rsidRPr="000841D6" w:rsidRDefault="00E27943" w:rsidP="00E27943">
      <w:pPr>
        <w:autoSpaceDE w:val="0"/>
        <w:autoSpaceDN w:val="0"/>
        <w:adjustRightInd w:val="0"/>
        <w:rPr>
          <w:rFonts w:ascii="Times New Roman" w:hAnsi="Times New Roman"/>
          <w:sz w:val="22"/>
          <w:szCs w:val="22"/>
        </w:rPr>
      </w:pPr>
      <w:r>
        <w:rPr>
          <w:sz w:val="22"/>
          <w:szCs w:val="22"/>
        </w:rPr>
        <w:t>S</w:t>
      </w:r>
      <w:r w:rsidRPr="000841D6">
        <w:rPr>
          <w:sz w:val="22"/>
          <w:szCs w:val="22"/>
        </w:rPr>
        <w:t xml:space="preserve">ubsection 10(1) of the </w:t>
      </w:r>
      <w:r>
        <w:rPr>
          <w:i/>
          <w:iCs/>
          <w:sz w:val="22"/>
          <w:szCs w:val="22"/>
        </w:rPr>
        <w:t xml:space="preserve">Therapeutic Goods Act 1989 </w:t>
      </w:r>
      <w:r>
        <w:rPr>
          <w:sz w:val="22"/>
          <w:szCs w:val="22"/>
        </w:rPr>
        <w:t xml:space="preserve">(“the </w:t>
      </w:r>
      <w:r w:rsidRPr="000841D6">
        <w:rPr>
          <w:sz w:val="22"/>
          <w:szCs w:val="22"/>
        </w:rPr>
        <w:t>Ac</w:t>
      </w:r>
      <w:r>
        <w:rPr>
          <w:sz w:val="22"/>
          <w:szCs w:val="22"/>
        </w:rPr>
        <w:t>t”) provides that</w:t>
      </w:r>
      <w:r w:rsidRPr="000841D6">
        <w:rPr>
          <w:sz w:val="22"/>
          <w:szCs w:val="22"/>
        </w:rPr>
        <w:t xml:space="preserve"> the Minister may, by way of legislative instrument, make an order </w:t>
      </w:r>
      <w:r w:rsidRPr="000841D6">
        <w:rPr>
          <w:rFonts w:ascii="Times New Roman" w:hAnsi="Times New Roman"/>
          <w:sz w:val="22"/>
          <w:szCs w:val="22"/>
        </w:rPr>
        <w:t>determining that matters specified in the order constitute a standard for therapeutic goods. Under subsection 10(2), an order establishing a standard for therapeutic goods may require,</w:t>
      </w:r>
      <w:r w:rsidRPr="00942A43">
        <w:rPr>
          <w:rFonts w:ascii="Times New Roman" w:hAnsi="Times New Roman"/>
          <w:iCs/>
          <w:sz w:val="22"/>
          <w:szCs w:val="22"/>
        </w:rPr>
        <w:t xml:space="preserve"> </w:t>
      </w:r>
      <w:r w:rsidRPr="00F54CD0">
        <w:rPr>
          <w:rFonts w:ascii="Times New Roman" w:hAnsi="Times New Roman"/>
          <w:iCs/>
          <w:sz w:val="22"/>
          <w:szCs w:val="22"/>
        </w:rPr>
        <w:t>among other things</w:t>
      </w:r>
      <w:r w:rsidRPr="000841D6">
        <w:rPr>
          <w:rFonts w:ascii="Times New Roman" w:hAnsi="Times New Roman"/>
          <w:sz w:val="22"/>
          <w:szCs w:val="22"/>
        </w:rPr>
        <w:t xml:space="preserve">, that therapeutic goods </w:t>
      </w:r>
      <w:r>
        <w:rPr>
          <w:rFonts w:ascii="Times New Roman" w:hAnsi="Times New Roman"/>
          <w:sz w:val="22"/>
          <w:szCs w:val="22"/>
        </w:rPr>
        <w:t>(</w:t>
      </w:r>
      <w:r w:rsidRPr="000841D6">
        <w:rPr>
          <w:rFonts w:ascii="Times New Roman" w:hAnsi="Times New Roman"/>
          <w:sz w:val="22"/>
          <w:szCs w:val="22"/>
        </w:rPr>
        <w:t>or a class of therapeutic goods identified in the order</w:t>
      </w:r>
      <w:r>
        <w:rPr>
          <w:rFonts w:ascii="Times New Roman" w:hAnsi="Times New Roman"/>
          <w:sz w:val="22"/>
          <w:szCs w:val="22"/>
        </w:rPr>
        <w:t>)</w:t>
      </w:r>
      <w:r w:rsidRPr="000841D6">
        <w:rPr>
          <w:rFonts w:ascii="Times New Roman" w:hAnsi="Times New Roman"/>
          <w:sz w:val="22"/>
          <w:szCs w:val="22"/>
        </w:rPr>
        <w:t xml:space="preserve"> be labelled or packaged in a manner specified in the order. Subsection 10(3A) of the Act </w:t>
      </w:r>
      <w:r>
        <w:rPr>
          <w:rFonts w:ascii="Times New Roman" w:hAnsi="Times New Roman"/>
          <w:sz w:val="22"/>
          <w:szCs w:val="22"/>
        </w:rPr>
        <w:t>provides</w:t>
      </w:r>
      <w:r w:rsidRPr="000841D6">
        <w:rPr>
          <w:rFonts w:ascii="Times New Roman" w:hAnsi="Times New Roman"/>
          <w:sz w:val="22"/>
          <w:szCs w:val="22"/>
        </w:rPr>
        <w:t xml:space="preserve"> that the Minister may, by legislative instrument, vary or revoke an order made under subsection 10(1).</w:t>
      </w:r>
    </w:p>
    <w:p w14:paraId="13092FAA" w14:textId="77777777" w:rsidR="00E27943" w:rsidRDefault="00E27943" w:rsidP="00E27943">
      <w:pPr>
        <w:autoSpaceDE w:val="0"/>
        <w:autoSpaceDN w:val="0"/>
        <w:adjustRightInd w:val="0"/>
        <w:rPr>
          <w:sz w:val="22"/>
          <w:szCs w:val="22"/>
        </w:rPr>
      </w:pPr>
    </w:p>
    <w:p w14:paraId="2FDD010F" w14:textId="441B635B" w:rsidR="00EF420E" w:rsidRDefault="00EF420E" w:rsidP="00EF420E">
      <w:pPr>
        <w:autoSpaceDE w:val="0"/>
        <w:autoSpaceDN w:val="0"/>
        <w:adjustRightInd w:val="0"/>
        <w:rPr>
          <w:sz w:val="22"/>
          <w:szCs w:val="22"/>
        </w:rPr>
      </w:pPr>
      <w:r>
        <w:rPr>
          <w:i/>
          <w:iCs/>
          <w:sz w:val="22"/>
          <w:szCs w:val="22"/>
        </w:rPr>
        <w:t xml:space="preserve">Therapeutic Goods Order No. 91 – Standard for labels of prescription and related medicines </w:t>
      </w:r>
      <w:r>
        <w:rPr>
          <w:sz w:val="22"/>
          <w:szCs w:val="22"/>
        </w:rPr>
        <w:t xml:space="preserve">(“TGO 91”) sets out a range of requirements relating to the kinds of information to be included on the labels and packaging of prescription medicines, primarily, and the presentation of the information. These requirements support the safe use and quality of medicines which enables health practitioners and </w:t>
      </w:r>
      <w:r w:rsidR="003C6B86">
        <w:rPr>
          <w:sz w:val="22"/>
          <w:szCs w:val="22"/>
        </w:rPr>
        <w:t xml:space="preserve">consumers </w:t>
      </w:r>
      <w:r>
        <w:rPr>
          <w:sz w:val="22"/>
          <w:szCs w:val="22"/>
        </w:rPr>
        <w:t>to select health management options appropriately, provides key information about medicines such as their contents, potency and storage requirements, and supports the use of medicines safely and effectively.</w:t>
      </w:r>
    </w:p>
    <w:p w14:paraId="4C7E6CEC" w14:textId="77777777" w:rsidR="00EF420E" w:rsidRDefault="00EF420E" w:rsidP="00EF420E">
      <w:pPr>
        <w:autoSpaceDE w:val="0"/>
        <w:autoSpaceDN w:val="0"/>
        <w:adjustRightInd w:val="0"/>
        <w:rPr>
          <w:sz w:val="22"/>
          <w:szCs w:val="22"/>
        </w:rPr>
      </w:pPr>
    </w:p>
    <w:p w14:paraId="292576B9" w14:textId="77777777" w:rsidR="00EF420E" w:rsidRPr="00940B4C" w:rsidRDefault="00EF420E" w:rsidP="00EF420E">
      <w:pPr>
        <w:autoSpaceDE w:val="0"/>
        <w:autoSpaceDN w:val="0"/>
        <w:adjustRightInd w:val="0"/>
        <w:rPr>
          <w:sz w:val="22"/>
          <w:szCs w:val="22"/>
        </w:rPr>
      </w:pPr>
      <w:r>
        <w:rPr>
          <w:sz w:val="22"/>
          <w:szCs w:val="22"/>
        </w:rPr>
        <w:t xml:space="preserve">The </w:t>
      </w:r>
      <w:r w:rsidRPr="00F54CD0">
        <w:rPr>
          <w:i/>
          <w:iCs/>
          <w:sz w:val="22"/>
          <w:szCs w:val="22"/>
        </w:rPr>
        <w:t>Therapeutic Goods (</w:t>
      </w:r>
      <w:r>
        <w:rPr>
          <w:i/>
          <w:iCs/>
          <w:sz w:val="22"/>
          <w:szCs w:val="22"/>
        </w:rPr>
        <w:t xml:space="preserve">Therapeutic Goods Order No. 91 –Standard for labels of prescription and related medicines) Amendment Order 2024 </w:t>
      </w:r>
      <w:r>
        <w:rPr>
          <w:sz w:val="22"/>
          <w:szCs w:val="22"/>
        </w:rPr>
        <w:t>(“the Amendment Order”) amends TGO 91 to introduce new labelling requirements for certain injectable medicines intended for electrolyte replacement.</w:t>
      </w:r>
    </w:p>
    <w:p w14:paraId="518573DA" w14:textId="77777777" w:rsidR="00E27943" w:rsidRDefault="00E27943" w:rsidP="00E27943">
      <w:pPr>
        <w:keepNext/>
        <w:contextualSpacing/>
        <w:rPr>
          <w:rFonts w:ascii="Times New Roman" w:hAnsi="Times New Roman"/>
          <w:sz w:val="22"/>
          <w:szCs w:val="22"/>
        </w:rPr>
      </w:pPr>
    </w:p>
    <w:p w14:paraId="1983151D" w14:textId="6FB6DE1E" w:rsidR="00E27943" w:rsidRDefault="00E27943" w:rsidP="00E27943">
      <w:pPr>
        <w:autoSpaceDE w:val="0"/>
        <w:autoSpaceDN w:val="0"/>
        <w:adjustRightInd w:val="0"/>
        <w:rPr>
          <w:rFonts w:ascii="Times New Roman" w:hAnsi="Times New Roman"/>
          <w:b/>
          <w:bCs/>
          <w:sz w:val="22"/>
          <w:szCs w:val="22"/>
        </w:rPr>
      </w:pPr>
      <w:r>
        <w:rPr>
          <w:rFonts w:ascii="Times New Roman" w:hAnsi="Times New Roman"/>
          <w:b/>
          <w:bCs/>
          <w:sz w:val="22"/>
          <w:szCs w:val="22"/>
        </w:rPr>
        <w:t>Background</w:t>
      </w:r>
    </w:p>
    <w:p w14:paraId="629535A4" w14:textId="77777777" w:rsidR="00EF420E" w:rsidRDefault="00EF420E" w:rsidP="00E27943">
      <w:pPr>
        <w:autoSpaceDE w:val="0"/>
        <w:autoSpaceDN w:val="0"/>
        <w:adjustRightInd w:val="0"/>
        <w:rPr>
          <w:rFonts w:ascii="Times New Roman" w:hAnsi="Times New Roman"/>
          <w:b/>
          <w:bCs/>
          <w:sz w:val="22"/>
          <w:szCs w:val="22"/>
        </w:rPr>
      </w:pPr>
    </w:p>
    <w:p w14:paraId="63AB245B" w14:textId="77777777" w:rsidR="00EF420E" w:rsidRDefault="00EF420E" w:rsidP="00EF420E">
      <w:pPr>
        <w:autoSpaceDE w:val="0"/>
        <w:autoSpaceDN w:val="0"/>
        <w:adjustRightInd w:val="0"/>
        <w:rPr>
          <w:rFonts w:ascii="Times New Roman" w:hAnsi="Times New Roman"/>
          <w:sz w:val="22"/>
          <w:szCs w:val="22"/>
        </w:rPr>
      </w:pPr>
      <w:r>
        <w:rPr>
          <w:rFonts w:ascii="Times New Roman" w:hAnsi="Times New Roman"/>
          <w:sz w:val="22"/>
          <w:szCs w:val="22"/>
        </w:rPr>
        <w:t>Standards made under section 10 of the Act may relate to any matter relevant to the quality, safety or efficacy of a therapeutic good. Generally, a therapeutic good must not be imported, exported or supplied if it does not conform to an applicable standard. Paragraph 10(2)(c) of the Act states that an order establishing a standard for therapeutic goods may require that therapeutic goods, or a class of therapeutic goods identified in the order, be labelled or packaged in a manner, or kept in containers that comply with requirements, specified in the order.</w:t>
      </w:r>
    </w:p>
    <w:p w14:paraId="379EA1E8" w14:textId="77777777" w:rsidR="00EF420E" w:rsidRDefault="00EF420E" w:rsidP="00EF420E">
      <w:pPr>
        <w:autoSpaceDE w:val="0"/>
        <w:autoSpaceDN w:val="0"/>
        <w:adjustRightInd w:val="0"/>
        <w:rPr>
          <w:rFonts w:ascii="Times New Roman" w:hAnsi="Times New Roman"/>
          <w:sz w:val="22"/>
          <w:szCs w:val="22"/>
        </w:rPr>
      </w:pPr>
    </w:p>
    <w:p w14:paraId="305F46A6" w14:textId="0F85DF15" w:rsidR="00E27943" w:rsidRDefault="00EF420E" w:rsidP="00EF420E">
      <w:pPr>
        <w:autoSpaceDE w:val="0"/>
        <w:autoSpaceDN w:val="0"/>
        <w:adjustRightInd w:val="0"/>
        <w:rPr>
          <w:rFonts w:ascii="Times New Roman" w:hAnsi="Times New Roman"/>
          <w:sz w:val="22"/>
          <w:szCs w:val="22"/>
        </w:rPr>
      </w:pPr>
      <w:r>
        <w:rPr>
          <w:rFonts w:ascii="Times New Roman" w:hAnsi="Times New Roman"/>
          <w:sz w:val="22"/>
          <w:szCs w:val="22"/>
        </w:rPr>
        <w:t xml:space="preserve">TGO 91 mandates information that must be on labels of prescription and related medicines, as well as the format and placement in which it must be presented on the label. Examples of information required by TGO 91 include the name of the medicine, the name of the active ingredient and its strength or quantity, storage requirements, expiry date and the declaration of certain inert or inactive substances in the medicine. TGO 91 applies to medicines that are supplied, or for supply, in Australia that are of a kind specified in Part 1 of Schedule 10 to the </w:t>
      </w:r>
      <w:r>
        <w:rPr>
          <w:rFonts w:ascii="Times New Roman" w:hAnsi="Times New Roman"/>
          <w:i/>
          <w:iCs/>
          <w:sz w:val="22"/>
          <w:szCs w:val="22"/>
        </w:rPr>
        <w:t>Therapeutic Goods Regulations 1990</w:t>
      </w:r>
      <w:r>
        <w:rPr>
          <w:rFonts w:ascii="Times New Roman" w:hAnsi="Times New Roman"/>
          <w:sz w:val="22"/>
          <w:szCs w:val="22"/>
        </w:rPr>
        <w:t>, save for those that are expressly excluded</w:t>
      </w:r>
      <w:r w:rsidR="00965C70">
        <w:rPr>
          <w:rFonts w:ascii="Times New Roman" w:hAnsi="Times New Roman"/>
          <w:sz w:val="22"/>
          <w:szCs w:val="22"/>
        </w:rPr>
        <w:t>.</w:t>
      </w:r>
    </w:p>
    <w:p w14:paraId="222219EA" w14:textId="77777777" w:rsidR="00EF420E" w:rsidRDefault="00EF420E" w:rsidP="00EF420E">
      <w:pPr>
        <w:autoSpaceDE w:val="0"/>
        <w:autoSpaceDN w:val="0"/>
        <w:adjustRightInd w:val="0"/>
        <w:rPr>
          <w:rFonts w:ascii="Times New Roman" w:hAnsi="Times New Roman"/>
          <w:sz w:val="22"/>
          <w:szCs w:val="22"/>
        </w:rPr>
      </w:pPr>
    </w:p>
    <w:p w14:paraId="4F94AB14" w14:textId="77777777" w:rsidR="00E27943" w:rsidRDefault="00E27943" w:rsidP="00E27943">
      <w:pPr>
        <w:autoSpaceDE w:val="0"/>
        <w:autoSpaceDN w:val="0"/>
        <w:adjustRightInd w:val="0"/>
        <w:rPr>
          <w:b/>
          <w:bCs/>
          <w:sz w:val="22"/>
          <w:szCs w:val="22"/>
        </w:rPr>
      </w:pPr>
      <w:r w:rsidRPr="00D4487A">
        <w:rPr>
          <w:b/>
          <w:bCs/>
          <w:sz w:val="22"/>
          <w:szCs w:val="22"/>
        </w:rPr>
        <w:t>Purpose</w:t>
      </w:r>
    </w:p>
    <w:p w14:paraId="1574049F" w14:textId="77777777" w:rsidR="00E27943" w:rsidRDefault="00E27943" w:rsidP="00E27943">
      <w:pPr>
        <w:autoSpaceDE w:val="0"/>
        <w:autoSpaceDN w:val="0"/>
        <w:adjustRightInd w:val="0"/>
        <w:rPr>
          <w:b/>
          <w:bCs/>
          <w:sz w:val="22"/>
          <w:szCs w:val="22"/>
        </w:rPr>
      </w:pPr>
    </w:p>
    <w:p w14:paraId="76143B10" w14:textId="77777777" w:rsidR="003B12F0" w:rsidRDefault="003B12F0" w:rsidP="003B12F0">
      <w:pPr>
        <w:autoSpaceDE w:val="0"/>
        <w:autoSpaceDN w:val="0"/>
        <w:adjustRightInd w:val="0"/>
        <w:rPr>
          <w:sz w:val="22"/>
          <w:szCs w:val="22"/>
        </w:rPr>
      </w:pPr>
      <w:r>
        <w:rPr>
          <w:sz w:val="22"/>
          <w:szCs w:val="22"/>
        </w:rPr>
        <w:t xml:space="preserve">The Amendment Order introduces new labelling requirements for certain injectable medicines intended for electrolyte replacement. Potassium and other concentrated electrolytes for injection are </w:t>
      </w:r>
      <w:r>
        <w:rPr>
          <w:sz w:val="22"/>
          <w:szCs w:val="22"/>
        </w:rPr>
        <w:lastRenderedPageBreak/>
        <w:t xml:space="preserve">considered high risk medicines, including by the Australian Commission on Safety and Quality in Health Care. </w:t>
      </w:r>
    </w:p>
    <w:p w14:paraId="012AC1EA" w14:textId="77777777" w:rsidR="003B12F0" w:rsidRDefault="003B12F0" w:rsidP="003B12F0">
      <w:pPr>
        <w:autoSpaceDE w:val="0"/>
        <w:autoSpaceDN w:val="0"/>
        <w:adjustRightInd w:val="0"/>
        <w:rPr>
          <w:sz w:val="22"/>
          <w:szCs w:val="22"/>
        </w:rPr>
      </w:pPr>
    </w:p>
    <w:p w14:paraId="605DCD1A" w14:textId="77777777" w:rsidR="003B12F0" w:rsidRDefault="003B12F0" w:rsidP="003B12F0">
      <w:pPr>
        <w:autoSpaceDE w:val="0"/>
        <w:autoSpaceDN w:val="0"/>
        <w:adjustRightInd w:val="0"/>
        <w:rPr>
          <w:sz w:val="22"/>
          <w:szCs w:val="22"/>
        </w:rPr>
      </w:pPr>
      <w:r>
        <w:rPr>
          <w:sz w:val="22"/>
          <w:szCs w:val="22"/>
        </w:rPr>
        <w:t>In clinical practice in Australia, concentrations and doses of these medicines is often based in millimoles (mmol). However, paragraph 11(2)(f) of TGO 91 requires that the quantity or proportion of the active ingredients for these medicines for injection must be expressed as the ‘stated weight’ in the total volume of the injection. Medicines greater than 100 millilitres (mL) that are intended for electrolyte replacement are required to express quantity in mmol in the stated volume, but medicines that are 100 mL or less do not have this requirement.</w:t>
      </w:r>
    </w:p>
    <w:p w14:paraId="099246E6" w14:textId="77777777" w:rsidR="003B12F0" w:rsidRDefault="003B12F0" w:rsidP="003B12F0">
      <w:pPr>
        <w:autoSpaceDE w:val="0"/>
        <w:autoSpaceDN w:val="0"/>
        <w:adjustRightInd w:val="0"/>
        <w:rPr>
          <w:sz w:val="22"/>
          <w:szCs w:val="22"/>
        </w:rPr>
      </w:pPr>
    </w:p>
    <w:p w14:paraId="4BB6AC70" w14:textId="69BF673C" w:rsidR="003B12F0" w:rsidRDefault="003B12F0" w:rsidP="003B12F0">
      <w:pPr>
        <w:autoSpaceDE w:val="0"/>
        <w:autoSpaceDN w:val="0"/>
        <w:adjustRightInd w:val="0"/>
        <w:rPr>
          <w:sz w:val="22"/>
          <w:szCs w:val="22"/>
        </w:rPr>
      </w:pPr>
      <w:r>
        <w:rPr>
          <w:sz w:val="22"/>
          <w:szCs w:val="22"/>
        </w:rPr>
        <w:t xml:space="preserve">The TGA has been alerted to the potential safety risk of these labelling requirements not providing for the clinically relevant unit of quantity to be displayed prominently for some active ingredients. As health care clinicians are most familiar with concentration and doses of these medicines specified in millimoles, rather than in grams or milligrams, expression of quantity only in weight may cause confusion and has the potential to lead to medication errors and harm to </w:t>
      </w:r>
      <w:r w:rsidR="003C6B86">
        <w:rPr>
          <w:sz w:val="22"/>
          <w:szCs w:val="22"/>
        </w:rPr>
        <w:t>consumers</w:t>
      </w:r>
      <w:r>
        <w:rPr>
          <w:sz w:val="22"/>
          <w:szCs w:val="22"/>
        </w:rPr>
        <w:t>.</w:t>
      </w:r>
    </w:p>
    <w:p w14:paraId="3A021815" w14:textId="77777777" w:rsidR="003B12F0" w:rsidRDefault="003B12F0" w:rsidP="003B12F0">
      <w:pPr>
        <w:autoSpaceDE w:val="0"/>
        <w:autoSpaceDN w:val="0"/>
        <w:adjustRightInd w:val="0"/>
        <w:rPr>
          <w:sz w:val="22"/>
          <w:szCs w:val="22"/>
        </w:rPr>
      </w:pPr>
    </w:p>
    <w:p w14:paraId="1C71AA08" w14:textId="33AF63E2" w:rsidR="00E27943" w:rsidRPr="00E27943" w:rsidRDefault="003B12F0" w:rsidP="003B12F0">
      <w:pPr>
        <w:autoSpaceDE w:val="0"/>
        <w:autoSpaceDN w:val="0"/>
        <w:adjustRightInd w:val="0"/>
        <w:rPr>
          <w:b/>
          <w:bCs/>
          <w:sz w:val="22"/>
          <w:szCs w:val="22"/>
        </w:rPr>
      </w:pPr>
      <w:r>
        <w:rPr>
          <w:sz w:val="22"/>
          <w:szCs w:val="22"/>
        </w:rPr>
        <w:t>The Amendment Order amends TGO 91 to require that quantities of active ingredients contained in injectable medicines intended for electrolyte replacement are clearly expressed in millimoles. The purpose of this amendment is to support clinical practice, give clarity to health professionals, and support the safe use of such medicines.</w:t>
      </w:r>
    </w:p>
    <w:sectPr w:rsidR="00E27943" w:rsidRPr="00E279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B132D6"/>
    <w:multiLevelType w:val="hybridMultilevel"/>
    <w:tmpl w:val="EA5A212E"/>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86394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943"/>
    <w:rsid w:val="00026049"/>
    <w:rsid w:val="00032604"/>
    <w:rsid w:val="00037C70"/>
    <w:rsid w:val="000638B8"/>
    <w:rsid w:val="00063926"/>
    <w:rsid w:val="000E4A83"/>
    <w:rsid w:val="000E704A"/>
    <w:rsid w:val="000F2661"/>
    <w:rsid w:val="000F2ECB"/>
    <w:rsid w:val="000F3446"/>
    <w:rsid w:val="0012701F"/>
    <w:rsid w:val="0017317A"/>
    <w:rsid w:val="00177663"/>
    <w:rsid w:val="00197E5B"/>
    <w:rsid w:val="001C65EF"/>
    <w:rsid w:val="001D6726"/>
    <w:rsid w:val="001E0161"/>
    <w:rsid w:val="001E1FFB"/>
    <w:rsid w:val="001F16A5"/>
    <w:rsid w:val="00207D5A"/>
    <w:rsid w:val="00211860"/>
    <w:rsid w:val="00213E11"/>
    <w:rsid w:val="00225F37"/>
    <w:rsid w:val="00245FFD"/>
    <w:rsid w:val="002629ED"/>
    <w:rsid w:val="00280050"/>
    <w:rsid w:val="002974D9"/>
    <w:rsid w:val="002A43CA"/>
    <w:rsid w:val="002C71DC"/>
    <w:rsid w:val="002F4B8F"/>
    <w:rsid w:val="003164A5"/>
    <w:rsid w:val="00333DFF"/>
    <w:rsid w:val="00335EC7"/>
    <w:rsid w:val="00347DEF"/>
    <w:rsid w:val="003633AD"/>
    <w:rsid w:val="003B12F0"/>
    <w:rsid w:val="003B472C"/>
    <w:rsid w:val="003C6B86"/>
    <w:rsid w:val="003D6847"/>
    <w:rsid w:val="003E5518"/>
    <w:rsid w:val="00403E1F"/>
    <w:rsid w:val="0040545E"/>
    <w:rsid w:val="00441F42"/>
    <w:rsid w:val="00442AC8"/>
    <w:rsid w:val="00443695"/>
    <w:rsid w:val="00483D3E"/>
    <w:rsid w:val="00487430"/>
    <w:rsid w:val="004E1D42"/>
    <w:rsid w:val="004E3B91"/>
    <w:rsid w:val="004E7609"/>
    <w:rsid w:val="004F2DAA"/>
    <w:rsid w:val="004F57A5"/>
    <w:rsid w:val="00502BC5"/>
    <w:rsid w:val="00535368"/>
    <w:rsid w:val="005652B3"/>
    <w:rsid w:val="005828FD"/>
    <w:rsid w:val="00594E9E"/>
    <w:rsid w:val="005A5200"/>
    <w:rsid w:val="005D7D1F"/>
    <w:rsid w:val="00602210"/>
    <w:rsid w:val="00620A28"/>
    <w:rsid w:val="006267B4"/>
    <w:rsid w:val="00630F7C"/>
    <w:rsid w:val="00633307"/>
    <w:rsid w:val="00652BA1"/>
    <w:rsid w:val="0066031B"/>
    <w:rsid w:val="00664B53"/>
    <w:rsid w:val="00696089"/>
    <w:rsid w:val="00696D2F"/>
    <w:rsid w:val="006A4D43"/>
    <w:rsid w:val="006C5300"/>
    <w:rsid w:val="006E0080"/>
    <w:rsid w:val="006F369F"/>
    <w:rsid w:val="00703DF7"/>
    <w:rsid w:val="007354B2"/>
    <w:rsid w:val="0073659C"/>
    <w:rsid w:val="007675A8"/>
    <w:rsid w:val="00767D28"/>
    <w:rsid w:val="0079380E"/>
    <w:rsid w:val="007C4624"/>
    <w:rsid w:val="007D26B4"/>
    <w:rsid w:val="007E26BE"/>
    <w:rsid w:val="00814CA4"/>
    <w:rsid w:val="00815C6B"/>
    <w:rsid w:val="0081766B"/>
    <w:rsid w:val="008228BF"/>
    <w:rsid w:val="00822BBE"/>
    <w:rsid w:val="00843F1A"/>
    <w:rsid w:val="0085172F"/>
    <w:rsid w:val="00861C99"/>
    <w:rsid w:val="008A768C"/>
    <w:rsid w:val="008F0D1B"/>
    <w:rsid w:val="00916346"/>
    <w:rsid w:val="0092570B"/>
    <w:rsid w:val="0096105F"/>
    <w:rsid w:val="00965C70"/>
    <w:rsid w:val="0098096E"/>
    <w:rsid w:val="009C16E5"/>
    <w:rsid w:val="009F096F"/>
    <w:rsid w:val="00A06F1B"/>
    <w:rsid w:val="00A13FAA"/>
    <w:rsid w:val="00A43E28"/>
    <w:rsid w:val="00A52921"/>
    <w:rsid w:val="00A71524"/>
    <w:rsid w:val="00A90060"/>
    <w:rsid w:val="00AC6375"/>
    <w:rsid w:val="00AF1B30"/>
    <w:rsid w:val="00B034A9"/>
    <w:rsid w:val="00B13574"/>
    <w:rsid w:val="00B90920"/>
    <w:rsid w:val="00BD4869"/>
    <w:rsid w:val="00BD6216"/>
    <w:rsid w:val="00BF3004"/>
    <w:rsid w:val="00C044B6"/>
    <w:rsid w:val="00C1366F"/>
    <w:rsid w:val="00C21810"/>
    <w:rsid w:val="00C37305"/>
    <w:rsid w:val="00C41426"/>
    <w:rsid w:val="00C56791"/>
    <w:rsid w:val="00C5772B"/>
    <w:rsid w:val="00C767DE"/>
    <w:rsid w:val="00CB7B41"/>
    <w:rsid w:val="00CD1277"/>
    <w:rsid w:val="00CD3B43"/>
    <w:rsid w:val="00CE4CAF"/>
    <w:rsid w:val="00D2673C"/>
    <w:rsid w:val="00D3635B"/>
    <w:rsid w:val="00D52B07"/>
    <w:rsid w:val="00DB6069"/>
    <w:rsid w:val="00DB6FCF"/>
    <w:rsid w:val="00DC1271"/>
    <w:rsid w:val="00DE60AC"/>
    <w:rsid w:val="00DE7D7D"/>
    <w:rsid w:val="00DF79D5"/>
    <w:rsid w:val="00E16EFF"/>
    <w:rsid w:val="00E27943"/>
    <w:rsid w:val="00E65DF7"/>
    <w:rsid w:val="00E73FA3"/>
    <w:rsid w:val="00E83A50"/>
    <w:rsid w:val="00E858CE"/>
    <w:rsid w:val="00EA285E"/>
    <w:rsid w:val="00EA2A95"/>
    <w:rsid w:val="00EF420E"/>
    <w:rsid w:val="00F00102"/>
    <w:rsid w:val="00F14D6C"/>
    <w:rsid w:val="00F678FC"/>
    <w:rsid w:val="00F8454D"/>
    <w:rsid w:val="00FD5012"/>
    <w:rsid w:val="00FF5B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710E1"/>
  <w15:chartTrackingRefBased/>
  <w15:docId w15:val="{FEB9CD59-8602-4C66-A496-56FCFDE8B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943"/>
    <w:pPr>
      <w:spacing w:after="0" w:line="240" w:lineRule="auto"/>
    </w:pPr>
    <w:rPr>
      <w:rFonts w:ascii="Tms Rmn" w:eastAsia="Times New Roman" w:hAnsi="Tms Rmn"/>
      <w:szCs w:val="20"/>
      <w:lang w:eastAsia="en-AU"/>
    </w:rPr>
  </w:style>
  <w:style w:type="paragraph" w:styleId="Heading1">
    <w:name w:val="heading 1"/>
    <w:basedOn w:val="Normal"/>
    <w:next w:val="Normal"/>
    <w:link w:val="Heading1Char"/>
    <w:uiPriority w:val="9"/>
    <w:qFormat/>
    <w:rsid w:val="00E2794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E2794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27943"/>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E27943"/>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27943"/>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E2794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2794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2794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2794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94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E2794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27943"/>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E27943"/>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E27943"/>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E2794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2794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2794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2794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2794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79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794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794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27943"/>
    <w:pPr>
      <w:spacing w:before="160"/>
      <w:jc w:val="center"/>
    </w:pPr>
    <w:rPr>
      <w:i/>
      <w:iCs/>
      <w:color w:val="404040" w:themeColor="text1" w:themeTint="BF"/>
    </w:rPr>
  </w:style>
  <w:style w:type="character" w:customStyle="1" w:styleId="QuoteChar">
    <w:name w:val="Quote Char"/>
    <w:basedOn w:val="DefaultParagraphFont"/>
    <w:link w:val="Quote"/>
    <w:uiPriority w:val="29"/>
    <w:rsid w:val="00E27943"/>
    <w:rPr>
      <w:i/>
      <w:iCs/>
      <w:color w:val="404040" w:themeColor="text1" w:themeTint="BF"/>
    </w:rPr>
  </w:style>
  <w:style w:type="paragraph" w:styleId="ListParagraph">
    <w:name w:val="List Paragraph"/>
    <w:basedOn w:val="Normal"/>
    <w:uiPriority w:val="34"/>
    <w:qFormat/>
    <w:rsid w:val="00E27943"/>
    <w:pPr>
      <w:ind w:left="720"/>
      <w:contextualSpacing/>
    </w:pPr>
  </w:style>
  <w:style w:type="character" w:styleId="IntenseEmphasis">
    <w:name w:val="Intense Emphasis"/>
    <w:basedOn w:val="DefaultParagraphFont"/>
    <w:uiPriority w:val="21"/>
    <w:qFormat/>
    <w:rsid w:val="00E27943"/>
    <w:rPr>
      <w:i/>
      <w:iCs/>
      <w:color w:val="2E74B5" w:themeColor="accent1" w:themeShade="BF"/>
    </w:rPr>
  </w:style>
  <w:style w:type="paragraph" w:styleId="IntenseQuote">
    <w:name w:val="Intense Quote"/>
    <w:basedOn w:val="Normal"/>
    <w:next w:val="Normal"/>
    <w:link w:val="IntenseQuoteChar"/>
    <w:uiPriority w:val="30"/>
    <w:qFormat/>
    <w:rsid w:val="00E2794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E27943"/>
    <w:rPr>
      <w:i/>
      <w:iCs/>
      <w:color w:val="2E74B5" w:themeColor="accent1" w:themeShade="BF"/>
    </w:rPr>
  </w:style>
  <w:style w:type="character" w:styleId="IntenseReference">
    <w:name w:val="Intense Reference"/>
    <w:basedOn w:val="DefaultParagraphFont"/>
    <w:uiPriority w:val="32"/>
    <w:qFormat/>
    <w:rsid w:val="00E27943"/>
    <w:rPr>
      <w:b/>
      <w:bCs/>
      <w:smallCaps/>
      <w:color w:val="2E74B5" w:themeColor="accent1" w:themeShade="BF"/>
      <w:spacing w:val="5"/>
    </w:rPr>
  </w:style>
  <w:style w:type="character" w:styleId="CommentReference">
    <w:name w:val="annotation reference"/>
    <w:basedOn w:val="DefaultParagraphFont"/>
    <w:uiPriority w:val="99"/>
    <w:semiHidden/>
    <w:unhideWhenUsed/>
    <w:rsid w:val="00E27943"/>
    <w:rPr>
      <w:sz w:val="16"/>
      <w:szCs w:val="16"/>
    </w:rPr>
  </w:style>
  <w:style w:type="paragraph" w:styleId="CommentText">
    <w:name w:val="annotation text"/>
    <w:basedOn w:val="Normal"/>
    <w:link w:val="CommentTextChar"/>
    <w:uiPriority w:val="99"/>
    <w:unhideWhenUsed/>
    <w:rsid w:val="00E27943"/>
    <w:rPr>
      <w:sz w:val="20"/>
    </w:rPr>
  </w:style>
  <w:style w:type="character" w:customStyle="1" w:styleId="CommentTextChar">
    <w:name w:val="Comment Text Char"/>
    <w:basedOn w:val="DefaultParagraphFont"/>
    <w:link w:val="CommentText"/>
    <w:uiPriority w:val="99"/>
    <w:rsid w:val="00E27943"/>
    <w:rPr>
      <w:rFonts w:ascii="Tms Rmn" w:eastAsia="Times New Roman" w:hAnsi="Tms Rmn"/>
      <w:sz w:val="20"/>
      <w:szCs w:val="20"/>
      <w:lang w:eastAsia="en-AU"/>
    </w:rPr>
  </w:style>
  <w:style w:type="paragraph" w:styleId="Revision">
    <w:name w:val="Revision"/>
    <w:hidden/>
    <w:uiPriority w:val="99"/>
    <w:semiHidden/>
    <w:rsid w:val="00DE60AC"/>
    <w:pPr>
      <w:spacing w:after="0" w:line="240" w:lineRule="auto"/>
    </w:pPr>
    <w:rPr>
      <w:rFonts w:ascii="Tms Rmn" w:eastAsia="Times New Roman" w:hAnsi="Tms Rmn"/>
      <w:szCs w:val="20"/>
      <w:lang w:eastAsia="en-AU"/>
    </w:rPr>
  </w:style>
  <w:style w:type="paragraph" w:styleId="CommentSubject">
    <w:name w:val="annotation subject"/>
    <w:basedOn w:val="CommentText"/>
    <w:next w:val="CommentText"/>
    <w:link w:val="CommentSubjectChar"/>
    <w:uiPriority w:val="99"/>
    <w:semiHidden/>
    <w:unhideWhenUsed/>
    <w:rsid w:val="007675A8"/>
    <w:rPr>
      <w:b/>
      <w:bCs/>
    </w:rPr>
  </w:style>
  <w:style w:type="character" w:customStyle="1" w:styleId="CommentSubjectChar">
    <w:name w:val="Comment Subject Char"/>
    <w:basedOn w:val="CommentTextChar"/>
    <w:link w:val="CommentSubject"/>
    <w:uiPriority w:val="99"/>
    <w:semiHidden/>
    <w:rsid w:val="007675A8"/>
    <w:rPr>
      <w:rFonts w:ascii="Tms Rmn" w:eastAsia="Times New Roman" w:hAnsi="Tms Rmn"/>
      <w:b/>
      <w:bCs/>
      <w:sz w:val="20"/>
      <w:szCs w:val="20"/>
      <w:lang w:eastAsia="en-AU"/>
    </w:rPr>
  </w:style>
  <w:style w:type="character" w:styleId="Hyperlink">
    <w:name w:val="Hyperlink"/>
    <w:basedOn w:val="DefaultParagraphFont"/>
    <w:uiPriority w:val="99"/>
    <w:unhideWhenUsed/>
    <w:rsid w:val="00FF5B1F"/>
    <w:rPr>
      <w:color w:val="0563C1" w:themeColor="hyperlink"/>
      <w:u w:val="single"/>
    </w:rPr>
  </w:style>
  <w:style w:type="character" w:styleId="UnresolvedMention">
    <w:name w:val="Unresolved Mention"/>
    <w:basedOn w:val="DefaultParagraphFont"/>
    <w:uiPriority w:val="99"/>
    <w:semiHidden/>
    <w:unhideWhenUsed/>
    <w:rsid w:val="00FF5B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92448">
      <w:bodyDiv w:val="1"/>
      <w:marLeft w:val="0"/>
      <w:marRight w:val="0"/>
      <w:marTop w:val="0"/>
      <w:marBottom w:val="0"/>
      <w:divBdr>
        <w:top w:val="none" w:sz="0" w:space="0" w:color="auto"/>
        <w:left w:val="none" w:sz="0" w:space="0" w:color="auto"/>
        <w:bottom w:val="none" w:sz="0" w:space="0" w:color="auto"/>
        <w:right w:val="none" w:sz="0" w:space="0" w:color="auto"/>
      </w:divBdr>
    </w:div>
    <w:div w:id="55551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2916</Words>
  <Characters>16623</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Laura</dc:creator>
  <cp:keywords/>
  <dc:description/>
  <cp:lastModifiedBy>SMITH, Laura</cp:lastModifiedBy>
  <cp:revision>2</cp:revision>
  <dcterms:created xsi:type="dcterms:W3CDTF">2024-12-05T03:59:00Z</dcterms:created>
  <dcterms:modified xsi:type="dcterms:W3CDTF">2024-12-05T03:59:00Z</dcterms:modified>
</cp:coreProperties>
</file>