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21C7" w14:textId="239AC9D7" w:rsidR="00FB4F46" w:rsidRDefault="00FB4F46" w:rsidP="00FB4F46">
      <w:pPr>
        <w:pStyle w:val="Heading1"/>
        <w:spacing w:after="360"/>
        <w:rPr>
          <w:rFonts w:ascii="Times New Roman" w:hAnsi="Times New Roman"/>
          <w:sz w:val="24"/>
          <w:szCs w:val="24"/>
        </w:rPr>
      </w:pPr>
      <w:r w:rsidRPr="00C5782B">
        <w:rPr>
          <w:rFonts w:ascii="Times New Roman" w:hAnsi="Times New Roman"/>
          <w:sz w:val="24"/>
          <w:szCs w:val="24"/>
        </w:rPr>
        <w:t>EXPLANATORY</w:t>
      </w:r>
      <w:r w:rsidRPr="003C5719">
        <w:rPr>
          <w:rFonts w:ascii="Times New Roman" w:hAnsi="Times New Roman"/>
          <w:sz w:val="24"/>
          <w:szCs w:val="24"/>
        </w:rPr>
        <w:t xml:space="preserve"> STATEMENT</w:t>
      </w:r>
    </w:p>
    <w:p w14:paraId="2EB744EB" w14:textId="77777777" w:rsidR="00192402" w:rsidRPr="003C5719" w:rsidRDefault="00192402" w:rsidP="00192402">
      <w:pPr>
        <w:pStyle w:val="Heading2"/>
        <w:jc w:val="center"/>
        <w:rPr>
          <w:sz w:val="24"/>
          <w:szCs w:val="24"/>
        </w:rPr>
      </w:pPr>
      <w:r w:rsidRPr="003C5719">
        <w:rPr>
          <w:sz w:val="24"/>
          <w:szCs w:val="24"/>
        </w:rPr>
        <w:t xml:space="preserve">Issued by authority of </w:t>
      </w:r>
      <w:sdt>
        <w:sdtPr>
          <w:rPr>
            <w:rStyle w:val="DefaultChar"/>
          </w:rPr>
          <w:id w:val="-1025254589"/>
          <w:placeholder>
            <w:docPart w:val="264E4964C24F4055B51378EC3ED1F5E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Pr>
              <w:rStyle w:val="DefaultChar"/>
            </w:rPr>
            <w:t>the Treasurer</w:t>
          </w:r>
        </w:sdtContent>
      </w:sdt>
      <w:r w:rsidRPr="003C5719">
        <w:rPr>
          <w:sz w:val="24"/>
          <w:szCs w:val="24"/>
        </w:rPr>
        <w:t xml:space="preserve"> </w:t>
      </w:r>
    </w:p>
    <w:p w14:paraId="47DBC9A1" w14:textId="77777777" w:rsidR="00192402" w:rsidRPr="003C5719" w:rsidRDefault="00192402" w:rsidP="00192402">
      <w:pPr>
        <w:spacing w:before="240" w:after="240"/>
        <w:jc w:val="center"/>
        <w:rPr>
          <w:i/>
        </w:rPr>
      </w:pPr>
      <w:r>
        <w:rPr>
          <w:i/>
        </w:rPr>
        <w:t>Foreign Acquisitions and Takeover Act 1975</w:t>
      </w:r>
    </w:p>
    <w:p w14:paraId="55D312A8" w14:textId="389770BB" w:rsidR="00192402" w:rsidRPr="003C5719" w:rsidRDefault="00192402" w:rsidP="00192402">
      <w:pPr>
        <w:tabs>
          <w:tab w:val="left" w:pos="1418"/>
        </w:tabs>
        <w:spacing w:before="0" w:after="240"/>
        <w:jc w:val="center"/>
        <w:rPr>
          <w:i/>
        </w:rPr>
      </w:pPr>
      <w:r>
        <w:rPr>
          <w:i/>
        </w:rPr>
        <w:t>Foreign Acquisitions and Takeovers Amendment (</w:t>
      </w:r>
      <w:proofErr w:type="spellStart"/>
      <w:r>
        <w:rPr>
          <w:i/>
        </w:rPr>
        <w:t>Interfunding</w:t>
      </w:r>
      <w:proofErr w:type="spellEnd"/>
      <w:r>
        <w:rPr>
          <w:i/>
        </w:rPr>
        <w:t xml:space="preserve"> Exemption) Regulations 202</w:t>
      </w:r>
      <w:r w:rsidR="00402994">
        <w:rPr>
          <w:i/>
        </w:rPr>
        <w:t>4</w:t>
      </w:r>
    </w:p>
    <w:p w14:paraId="1D7FA9D3" w14:textId="77777777" w:rsidR="00192402" w:rsidRDefault="00192402" w:rsidP="00192402">
      <w:pPr>
        <w:spacing w:before="240"/>
      </w:pPr>
      <w:r>
        <w:t xml:space="preserve">The </w:t>
      </w:r>
      <w:r w:rsidRPr="00F87D8D">
        <w:rPr>
          <w:i/>
          <w:iCs/>
        </w:rPr>
        <w:t>Foreign Acquisitions and Takeovers Act</w:t>
      </w:r>
      <w:r>
        <w:t xml:space="preserve"> </w:t>
      </w:r>
      <w:r w:rsidRPr="00D75CBC">
        <w:rPr>
          <w:i/>
          <w:iCs/>
        </w:rPr>
        <w:t>1975</w:t>
      </w:r>
      <w:r w:rsidRPr="003C5719">
        <w:t xml:space="preserve"> (the Act)</w:t>
      </w:r>
      <w:r>
        <w:t xml:space="preserve"> establishes a regime for the notification, </w:t>
      </w:r>
      <w:proofErr w:type="gramStart"/>
      <w:r>
        <w:t>review</w:t>
      </w:r>
      <w:proofErr w:type="gramEnd"/>
      <w:r>
        <w:t xml:space="preserve"> and approval of foreign investment in Australia.</w:t>
      </w:r>
    </w:p>
    <w:p w14:paraId="45A2C19E" w14:textId="77777777" w:rsidR="00192402" w:rsidRDefault="00192402" w:rsidP="00192402">
      <w:pPr>
        <w:spacing w:before="240"/>
      </w:pPr>
      <w:r>
        <w:t xml:space="preserve">Section 139 of the Act provides that the Governor-General may make regulations </w:t>
      </w:r>
      <w:r w:rsidRPr="003C5719">
        <w:t>prescribing matters required or permitted by the Act to be prescribed, or necessary or convenient to be prescribed for carrying out or giving effect to the Act.</w:t>
      </w:r>
    </w:p>
    <w:p w14:paraId="0FEAAC8F" w14:textId="27324CA4" w:rsidR="00192402" w:rsidRDefault="00192402" w:rsidP="00192402">
      <w:pPr>
        <w:spacing w:before="240" w:after="240"/>
      </w:pPr>
      <w:r>
        <w:t xml:space="preserve">Regulations may be </w:t>
      </w:r>
      <w:r>
        <w:rPr>
          <w:color w:val="000000"/>
          <w:shd w:val="clear" w:color="auto" w:fill="FFFFFF"/>
        </w:rPr>
        <w:t xml:space="preserve">made pursuant to sections 37, 98C, 98D, 98E and 130ZU of the Act. Section 37 of the Act enables regulations to provide for exemptions from the Act or from specified provisions of the Act. Section 130ZU of the Act provides the regulations may prescribe circumstances in which a person specified must give a notice to the Registrar </w:t>
      </w:r>
      <w:r w:rsidRPr="003968E2">
        <w:rPr>
          <w:szCs w:val="24"/>
        </w:rPr>
        <w:t xml:space="preserve">to be recorded on the </w:t>
      </w:r>
      <w:r w:rsidRPr="003968E2">
        <w:rPr>
          <w:color w:val="000000"/>
          <w:shd w:val="clear" w:color="auto" w:fill="FFFFFF"/>
        </w:rPr>
        <w:t>Register of Foreign Ownership of Australian Assets</w:t>
      </w:r>
      <w:r w:rsidR="00402FF0">
        <w:rPr>
          <w:color w:val="000000"/>
          <w:shd w:val="clear" w:color="auto" w:fill="FFFFFF"/>
        </w:rPr>
        <w:t>.</w:t>
      </w:r>
    </w:p>
    <w:p w14:paraId="38EA9B7A" w14:textId="736A8E28" w:rsidR="00192402" w:rsidRDefault="00192402" w:rsidP="00192402">
      <w:pPr>
        <w:tabs>
          <w:tab w:val="left" w:pos="1418"/>
        </w:tabs>
        <w:spacing w:before="0" w:after="240"/>
      </w:pPr>
      <w:r w:rsidRPr="003C5719">
        <w:t xml:space="preserve">The purpose of the </w:t>
      </w:r>
      <w:r>
        <w:rPr>
          <w:i/>
        </w:rPr>
        <w:t>Foreign Acquisitions and Takeovers Amendment (</w:t>
      </w:r>
      <w:proofErr w:type="spellStart"/>
      <w:r>
        <w:rPr>
          <w:i/>
        </w:rPr>
        <w:t>Interfunding</w:t>
      </w:r>
      <w:proofErr w:type="spellEnd"/>
      <w:r>
        <w:rPr>
          <w:i/>
        </w:rPr>
        <w:t xml:space="preserve"> Exemption) Regulations 202</w:t>
      </w:r>
      <w:r w:rsidR="00AC1322">
        <w:rPr>
          <w:i/>
        </w:rPr>
        <w:t>4</w:t>
      </w:r>
      <w:r>
        <w:rPr>
          <w:i/>
        </w:rPr>
        <w:t xml:space="preserve"> </w:t>
      </w:r>
      <w:r>
        <w:rPr>
          <w:iCs/>
        </w:rPr>
        <w:t xml:space="preserve">(the Regulations) </w:t>
      </w:r>
      <w:r w:rsidRPr="003C5719">
        <w:t>is</w:t>
      </w:r>
      <w:r>
        <w:t xml:space="preserve"> to</w:t>
      </w:r>
      <w:r w:rsidR="0070207D">
        <w:t xml:space="preserve"> amend the</w:t>
      </w:r>
      <w:r>
        <w:t xml:space="preserve"> </w:t>
      </w:r>
      <w:r w:rsidR="0070207D" w:rsidRPr="00A4378E">
        <w:rPr>
          <w:i/>
          <w:iCs/>
        </w:rPr>
        <w:t xml:space="preserve">Foreign Acquisitions and Takeovers Regulation 2015 </w:t>
      </w:r>
      <w:r w:rsidR="0070207D" w:rsidRPr="00D25552">
        <w:t>(</w:t>
      </w:r>
      <w:r w:rsidR="00402FF0">
        <w:t xml:space="preserve">the </w:t>
      </w:r>
      <w:r w:rsidR="0070207D" w:rsidRPr="00064C9A">
        <w:t>Principal Regulations</w:t>
      </w:r>
      <w:r w:rsidR="0070207D">
        <w:t>)</w:t>
      </w:r>
      <w:r w:rsidR="0070207D" w:rsidRPr="00064C9A">
        <w:t xml:space="preserve"> </w:t>
      </w:r>
      <w:r w:rsidR="0070207D">
        <w:t xml:space="preserve">to </w:t>
      </w:r>
      <w:r>
        <w:t>exempt transactions that meet certain requirements from mandatory notification</w:t>
      </w:r>
      <w:r w:rsidR="00364843">
        <w:t xml:space="preserve"> and reporting</w:t>
      </w:r>
      <w:r>
        <w:t xml:space="preserve"> requirements under the Act. </w:t>
      </w:r>
      <w:r w:rsidRPr="00064C9A">
        <w:t xml:space="preserve">The Regulations also make minor technical updates to the </w:t>
      </w:r>
      <w:r w:rsidR="0070207D">
        <w:t xml:space="preserve">Principal Regulations </w:t>
      </w:r>
      <w:r w:rsidRPr="00064C9A">
        <w:t>to ensure that existing exemptions relating to certain interests held by foreign custodian corporations and pro rata rights issues</w:t>
      </w:r>
      <w:r w:rsidR="00A55F63">
        <w:t xml:space="preserve"> </w:t>
      </w:r>
      <w:r w:rsidRPr="00064C9A">
        <w:t xml:space="preserve">also apply to Part 7A of the Act </w:t>
      </w:r>
      <w:r w:rsidR="00A57E29">
        <w:t>as originally intended.</w:t>
      </w:r>
    </w:p>
    <w:p w14:paraId="1B5B73A2" w14:textId="026AD80A" w:rsidR="00192402" w:rsidRPr="003968E2" w:rsidRDefault="00192402" w:rsidP="00192402">
      <w:pPr>
        <w:tabs>
          <w:tab w:val="left" w:pos="1418"/>
        </w:tabs>
        <w:spacing w:before="0" w:after="240"/>
      </w:pPr>
      <w:r w:rsidRPr="003968E2">
        <w:t>As required by the </w:t>
      </w:r>
      <w:r w:rsidRPr="003968E2">
        <w:rPr>
          <w:i/>
          <w:iCs/>
        </w:rPr>
        <w:t>Foreign Investment Reform (Protecting Australia’s National Security) Act 2020</w:t>
      </w:r>
      <w:r w:rsidRPr="003968E2">
        <w:t xml:space="preserve">, the Secretary to the Treasury undertook an evaluation of the foreign investment reforms </w:t>
      </w:r>
      <w:r>
        <w:t>that</w:t>
      </w:r>
      <w:r w:rsidRPr="003968E2">
        <w:t xml:space="preserve"> came into effect on 1 January 2021</w:t>
      </w:r>
      <w:r w:rsidR="00897E53">
        <w:t>. One of the proposals made by stakeholders in their responses to the evaluation was for an exemption for certain types of investment structures.</w:t>
      </w:r>
    </w:p>
    <w:p w14:paraId="1E6FDF4D" w14:textId="57EE9EAB" w:rsidR="00192402" w:rsidRPr="003968E2" w:rsidRDefault="00192402" w:rsidP="00192402">
      <w:r w:rsidRPr="003968E2">
        <w:t>The</w:t>
      </w:r>
      <w:r w:rsidR="00897E53">
        <w:t>se</w:t>
      </w:r>
      <w:r w:rsidRPr="003968E2">
        <w:t xml:space="preserve"> Regulations </w:t>
      </w:r>
      <w:r w:rsidR="00897E53">
        <w:t xml:space="preserve">respond to this </w:t>
      </w:r>
      <w:r w:rsidR="59DC7603">
        <w:t>feedback</w:t>
      </w:r>
      <w:r w:rsidR="00897E53">
        <w:t xml:space="preserve"> and reduce the</w:t>
      </w:r>
      <w:r w:rsidRPr="003968E2">
        <w:t xml:space="preserve"> regulatory burden for a particular category of lower-risk and passive investment activities, </w:t>
      </w:r>
      <w:r>
        <w:t>known as</w:t>
      </w:r>
      <w:r w:rsidRPr="003968E2">
        <w:t xml:space="preserve"> </w:t>
      </w:r>
      <w:r>
        <w:t>‘</w:t>
      </w:r>
      <w:proofErr w:type="spellStart"/>
      <w:r w:rsidRPr="003968E2">
        <w:t>interfunding</w:t>
      </w:r>
      <w:proofErr w:type="spellEnd"/>
      <w:r>
        <w:t>’</w:t>
      </w:r>
      <w:r w:rsidRPr="003968E2">
        <w:t xml:space="preserve">. </w:t>
      </w:r>
      <w:proofErr w:type="spellStart"/>
      <w:r w:rsidRPr="003968E2">
        <w:t>Interfunding</w:t>
      </w:r>
      <w:proofErr w:type="spellEnd"/>
      <w:r w:rsidRPr="003968E2">
        <w:t xml:space="preserve"> refers to transactions between investment entities (such as unit trusts) that are managed by the same responsible entity</w:t>
      </w:r>
      <w:r>
        <w:t xml:space="preserve"> or a related respons</w:t>
      </w:r>
      <w:r w:rsidR="007C7188">
        <w:t>ibl</w:t>
      </w:r>
      <w:r>
        <w:t>e entity</w:t>
      </w:r>
      <w:r w:rsidRPr="003968E2">
        <w:t xml:space="preserve">. </w:t>
      </w:r>
      <w:proofErr w:type="spellStart"/>
      <w:r w:rsidRPr="003968E2">
        <w:t>Interfunding</w:t>
      </w:r>
      <w:proofErr w:type="spellEnd"/>
      <w:r w:rsidRPr="003968E2">
        <w:t xml:space="preserve"> transactions may be used by investors to achieve investment objectives, reduce risk, and provide operational and cost efficiencies. </w:t>
      </w:r>
      <w:proofErr w:type="spellStart"/>
      <w:r w:rsidRPr="003968E2">
        <w:t>Interfunding</w:t>
      </w:r>
      <w:proofErr w:type="spellEnd"/>
      <w:r w:rsidRPr="003968E2">
        <w:t xml:space="preserve"> activities generally consist of </w:t>
      </w:r>
      <w:r w:rsidR="00DB6B46">
        <w:t>recurring similar</w:t>
      </w:r>
      <w:r w:rsidRPr="003968E2">
        <w:t xml:space="preserve"> high-volume </w:t>
      </w:r>
      <w:r w:rsidR="006B6BE0">
        <w:t>or</w:t>
      </w:r>
      <w:r w:rsidR="006B6BE0" w:rsidRPr="003968E2">
        <w:t xml:space="preserve"> </w:t>
      </w:r>
      <w:r w:rsidRPr="003968E2">
        <w:t>low-value transactions.</w:t>
      </w:r>
    </w:p>
    <w:p w14:paraId="44D65175" w14:textId="5C12CE0E" w:rsidR="00192402" w:rsidRDefault="00192402" w:rsidP="00192402">
      <w:r w:rsidRPr="003968E2">
        <w:t xml:space="preserve">The Regulations make amendments to </w:t>
      </w:r>
      <w:r w:rsidRPr="003968E2">
        <w:rPr>
          <w:szCs w:val="24"/>
        </w:rPr>
        <w:t xml:space="preserve">exempt </w:t>
      </w:r>
      <w:proofErr w:type="spellStart"/>
      <w:r w:rsidRPr="003968E2">
        <w:rPr>
          <w:szCs w:val="24"/>
        </w:rPr>
        <w:t>interfunding</w:t>
      </w:r>
      <w:proofErr w:type="spellEnd"/>
      <w:r w:rsidRPr="003968E2">
        <w:rPr>
          <w:szCs w:val="24"/>
        </w:rPr>
        <w:t xml:space="preserve"> transactions from mandatory notification</w:t>
      </w:r>
      <w:r w:rsidR="00364843">
        <w:rPr>
          <w:szCs w:val="24"/>
        </w:rPr>
        <w:t xml:space="preserve"> and reporting</w:t>
      </w:r>
      <w:r w:rsidRPr="003968E2">
        <w:rPr>
          <w:szCs w:val="24"/>
        </w:rPr>
        <w:t xml:space="preserve"> requirements and fees under the Act. However, </w:t>
      </w:r>
      <w:proofErr w:type="spellStart"/>
      <w:r w:rsidRPr="003968E2">
        <w:rPr>
          <w:szCs w:val="24"/>
        </w:rPr>
        <w:t>interfunding</w:t>
      </w:r>
      <w:proofErr w:type="spellEnd"/>
      <w:r w:rsidRPr="003968E2">
        <w:rPr>
          <w:szCs w:val="24"/>
        </w:rPr>
        <w:t xml:space="preserve"> transactions </w:t>
      </w:r>
      <w:r>
        <w:rPr>
          <w:szCs w:val="24"/>
        </w:rPr>
        <w:t xml:space="preserve">which were previously </w:t>
      </w:r>
      <w:r w:rsidR="00147FF6">
        <w:rPr>
          <w:szCs w:val="24"/>
        </w:rPr>
        <w:t>precluded from being</w:t>
      </w:r>
      <w:r>
        <w:rPr>
          <w:szCs w:val="24"/>
        </w:rPr>
        <w:t xml:space="preserve"> </w:t>
      </w:r>
      <w:r w:rsidRPr="003968E2">
        <w:rPr>
          <w:szCs w:val="24"/>
        </w:rPr>
        <w:t>reviewable national security actions</w:t>
      </w:r>
      <w:r>
        <w:rPr>
          <w:szCs w:val="24"/>
        </w:rPr>
        <w:t xml:space="preserve"> </w:t>
      </w:r>
      <w:r w:rsidR="00147FF6">
        <w:rPr>
          <w:szCs w:val="24"/>
        </w:rPr>
        <w:t>because they were significant actions, notifiable actions, or notifiable national security action</w:t>
      </w:r>
      <w:r w:rsidR="0092595B">
        <w:rPr>
          <w:szCs w:val="24"/>
        </w:rPr>
        <w:t>s</w:t>
      </w:r>
      <w:r w:rsidR="00147FF6">
        <w:rPr>
          <w:szCs w:val="24"/>
        </w:rPr>
        <w:t xml:space="preserve"> </w:t>
      </w:r>
      <w:r>
        <w:rPr>
          <w:szCs w:val="24"/>
        </w:rPr>
        <w:t xml:space="preserve">will </w:t>
      </w:r>
      <w:r w:rsidR="00147FF6">
        <w:rPr>
          <w:szCs w:val="24"/>
        </w:rPr>
        <w:t xml:space="preserve">become reviewable </w:t>
      </w:r>
      <w:r>
        <w:rPr>
          <w:szCs w:val="24"/>
        </w:rPr>
        <w:t>national security actions</w:t>
      </w:r>
      <w:r w:rsidRPr="00D25552">
        <w:rPr>
          <w:szCs w:val="24"/>
        </w:rPr>
        <w:t>. This reduces the regulatory</w:t>
      </w:r>
      <w:r w:rsidRPr="00D25552">
        <w:t xml:space="preserve"> burden for foreign investors while providing the Government with appropriate </w:t>
      </w:r>
      <w:r w:rsidRPr="00D25552">
        <w:lastRenderedPageBreak/>
        <w:t xml:space="preserve">oversight. The Treasurer will continue to be able to exercise the power in section 66A of the Act </w:t>
      </w:r>
      <w:r w:rsidRPr="00D25552" w:rsidDel="001035DA">
        <w:t xml:space="preserve">in </w:t>
      </w:r>
      <w:r w:rsidRPr="00D25552">
        <w:t>relation to an action of this kind if the action may pose a</w:t>
      </w:r>
      <w:r w:rsidRPr="00D25552" w:rsidDel="005D5E82">
        <w:t xml:space="preserve"> </w:t>
      </w:r>
      <w:r w:rsidRPr="00D25552">
        <w:t xml:space="preserve">national security concern. </w:t>
      </w:r>
    </w:p>
    <w:p w14:paraId="471F32AA" w14:textId="1C01FD40" w:rsidR="005D415A" w:rsidRPr="003968E2" w:rsidRDefault="005D415A" w:rsidP="00BF37BB">
      <w:pPr>
        <w:pStyle w:val="Bullet"/>
        <w:numPr>
          <w:ilvl w:val="0"/>
          <w:numId w:val="0"/>
        </w:numPr>
      </w:pPr>
      <w:r>
        <w:t xml:space="preserve">The draft Regulations and explanatory materials were released for a four-week public consultation between 1 May 2024 and 31 May 2024. </w:t>
      </w:r>
      <w:r w:rsidR="000006D3">
        <w:t xml:space="preserve">There were </w:t>
      </w:r>
      <w:r w:rsidR="00F7752B">
        <w:t>five</w:t>
      </w:r>
      <w:r w:rsidR="000006D3">
        <w:t xml:space="preserve"> written submissions received in response to the consultation, generally supporting the amendments subject to revising the scope of the exemption and refining technical elements. In response to the feedback from stakeholders, the Government sought to balance the exemption being appropriately targeted while providing the Government with </w:t>
      </w:r>
      <w:r w:rsidR="00086B6C">
        <w:t xml:space="preserve">sufficient </w:t>
      </w:r>
      <w:r w:rsidR="000006D3">
        <w:t xml:space="preserve">oversight of </w:t>
      </w:r>
      <w:proofErr w:type="spellStart"/>
      <w:r w:rsidR="000006D3">
        <w:t>interfunding</w:t>
      </w:r>
      <w:proofErr w:type="spellEnd"/>
      <w:r w:rsidR="000006D3">
        <w:t xml:space="preserve"> transactions. Non-confidential submissions received in response to the consultation will be publicly available on the Treasury website. Further feedback on technical elements </w:t>
      </w:r>
      <w:r w:rsidR="000A2E89">
        <w:t>of the drafting</w:t>
      </w:r>
      <w:r w:rsidR="000006D3">
        <w:t xml:space="preserve"> was sought </w:t>
      </w:r>
      <w:r w:rsidR="000A2E89">
        <w:t xml:space="preserve">from targeted stakeholders </w:t>
      </w:r>
      <w:r w:rsidR="00C91E39">
        <w:t>most likely to be affected by the</w:t>
      </w:r>
      <w:r w:rsidR="002D28E6">
        <w:t xml:space="preserve"> amendments</w:t>
      </w:r>
      <w:r w:rsidR="00C91E39">
        <w:t xml:space="preserve"> before </w:t>
      </w:r>
      <w:r w:rsidR="000006D3">
        <w:t>finalising the Regulations.</w:t>
      </w:r>
    </w:p>
    <w:p w14:paraId="6CFFD017" w14:textId="77777777" w:rsidR="00192402" w:rsidRDefault="00192402" w:rsidP="00192402">
      <w:pPr>
        <w:pStyle w:val="Bullet"/>
        <w:numPr>
          <w:ilvl w:val="0"/>
          <w:numId w:val="0"/>
        </w:numPr>
      </w:pPr>
      <w:r>
        <w:t>The Act does not specify any conditions that need to be satisfied before the power to make the Regulations may be exercised.</w:t>
      </w:r>
    </w:p>
    <w:p w14:paraId="2CDEF359" w14:textId="77777777" w:rsidR="00192402" w:rsidRDefault="00192402" w:rsidP="00192402">
      <w:pPr>
        <w:pStyle w:val="Bullet"/>
        <w:numPr>
          <w:ilvl w:val="0"/>
          <w:numId w:val="0"/>
        </w:numPr>
      </w:pPr>
      <w:r>
        <w:t xml:space="preserve">Details of the Regulations are set out in </w:t>
      </w:r>
      <w:r w:rsidRPr="00DA3EC9">
        <w:rPr>
          <w:u w:val="single"/>
        </w:rPr>
        <w:t>Attachment A</w:t>
      </w:r>
      <w:r>
        <w:t>.</w:t>
      </w:r>
    </w:p>
    <w:p w14:paraId="1B7CA016" w14:textId="3FAF00C2" w:rsidR="00125A06" w:rsidRDefault="00125A06" w:rsidP="00BF37BB">
      <w:pPr>
        <w:spacing w:before="240"/>
      </w:pPr>
      <w:r w:rsidRPr="003C5719">
        <w:t xml:space="preserve">A statement of Compatibility with Human Rights is at </w:t>
      </w:r>
      <w:r w:rsidRPr="003C5719">
        <w:rPr>
          <w:u w:val="single"/>
        </w:rPr>
        <w:t>Attachment</w:t>
      </w:r>
      <w:r>
        <w:rPr>
          <w:u w:val="single"/>
        </w:rPr>
        <w:t xml:space="preserve"> B</w:t>
      </w:r>
      <w:r w:rsidRPr="003C5719">
        <w:rPr>
          <w:u w:val="single"/>
        </w:rPr>
        <w:t>.</w:t>
      </w:r>
      <w:r w:rsidRPr="003C5719">
        <w:t xml:space="preserve"> </w:t>
      </w:r>
    </w:p>
    <w:p w14:paraId="11571533" w14:textId="77777777" w:rsidR="005C0BED" w:rsidRDefault="005C0BED" w:rsidP="005C0BED">
      <w:pPr>
        <w:pStyle w:val="Bullet"/>
        <w:numPr>
          <w:ilvl w:val="0"/>
          <w:numId w:val="0"/>
        </w:numPr>
      </w:pPr>
      <w:r>
        <w:t xml:space="preserve">The Regulations are a legislative instrument for the purposes of the </w:t>
      </w:r>
      <w:r w:rsidRPr="00796F53">
        <w:rPr>
          <w:i/>
          <w:iCs/>
        </w:rPr>
        <w:t>Legislation Act 2003</w:t>
      </w:r>
      <w:r w:rsidRPr="495A84B1">
        <w:rPr>
          <w:i/>
          <w:iCs/>
        </w:rPr>
        <w:t xml:space="preserve"> </w:t>
      </w:r>
      <w:r>
        <w:t xml:space="preserve">and are subject to disallowance in accordance with that Act. </w:t>
      </w:r>
      <w:r>
        <w:rPr>
          <w:color w:val="000000"/>
        </w:rPr>
        <w:t>Section 48A of the </w:t>
      </w:r>
      <w:r>
        <w:rPr>
          <w:i/>
          <w:iCs/>
          <w:color w:val="000000"/>
        </w:rPr>
        <w:t>Legislation Act 2003</w:t>
      </w:r>
      <w:r>
        <w:rPr>
          <w:color w:val="000000"/>
        </w:rPr>
        <w:t> provides that where a legislative instrument only repeals or amends another instrument, without making any application, saving or transitional provisions relating to the amendment or repeal, that instrument is automatically repealed. By virtue of section 48A, if the Regulations are not disallowed, the Regulations will automatically repeal when the disallowance period ends. Once repealed, the sunsetting regime set out in Part 4 of Chapter 3 of the </w:t>
      </w:r>
      <w:r>
        <w:rPr>
          <w:i/>
          <w:iCs/>
          <w:color w:val="000000"/>
        </w:rPr>
        <w:t>Legislation Act 2003</w:t>
      </w:r>
      <w:r>
        <w:rPr>
          <w:color w:val="000000"/>
        </w:rPr>
        <w:t> is no longer relevant to the Regulations.</w:t>
      </w:r>
    </w:p>
    <w:p w14:paraId="54D50417" w14:textId="288F5761" w:rsidR="005C0BED" w:rsidRDefault="005C0BED" w:rsidP="005C0BED">
      <w:pPr>
        <w:pStyle w:val="Bullet"/>
        <w:numPr>
          <w:ilvl w:val="0"/>
          <w:numId w:val="0"/>
        </w:numPr>
      </w:pPr>
      <w:r>
        <w:t xml:space="preserve">The Principal Regulations are exempt from sunsetting in accordance with item 31 of the table in section 12 of the </w:t>
      </w:r>
      <w:r w:rsidRPr="668C995E">
        <w:rPr>
          <w:i/>
          <w:iCs/>
        </w:rPr>
        <w:t>Legislation (Exemptions and Other Matters) Regulation 2015</w:t>
      </w:r>
      <w:r>
        <w:t>. This is on the basis that they relate to foreign investment, such as foreign investment applications and approvals and giving effect to Australia’s international obligations for foreign investment screening commitments under trade agreements. It is appropriate the Principal Regulations are exempt from sunsetting as they are integral to the operation of Australia’s foreign investment framework and providing</w:t>
      </w:r>
      <w:r w:rsidR="003869C1">
        <w:t xml:space="preserve"> enduring</w:t>
      </w:r>
      <w:r>
        <w:t xml:space="preserve"> commercial certainty to foreign investors.</w:t>
      </w:r>
    </w:p>
    <w:p w14:paraId="77AC2A58" w14:textId="77777777" w:rsidR="00192402" w:rsidRDefault="00192402" w:rsidP="00192402">
      <w:pPr>
        <w:pStyle w:val="Bullet"/>
        <w:numPr>
          <w:ilvl w:val="0"/>
          <w:numId w:val="0"/>
        </w:numPr>
      </w:pPr>
      <w:r>
        <w:t>The Regulations commenced on the day after they were registered on the Federal Register of Legislation.</w:t>
      </w:r>
    </w:p>
    <w:p w14:paraId="22E1673C" w14:textId="77777777" w:rsidR="00192402" w:rsidRPr="00C56F2E" w:rsidRDefault="00192402" w:rsidP="00192402">
      <w:pPr>
        <w:pStyle w:val="Bullet"/>
        <w:numPr>
          <w:ilvl w:val="0"/>
          <w:numId w:val="0"/>
        </w:numPr>
        <w:rPr>
          <w:color w:val="FF0000"/>
        </w:rPr>
      </w:pPr>
      <w:r w:rsidRPr="007D609B">
        <w:t>The Office of Impact Analysis has been (OIA) has been consulted (OIA23-04875) and considered the proposal unlikely to have a more than minor regulatory impact. The preparation of an Impact Analysis (IA) is not required.</w:t>
      </w:r>
    </w:p>
    <w:p w14:paraId="3C423500" w14:textId="77777777" w:rsidR="00192402" w:rsidRPr="003C5719" w:rsidRDefault="00192402" w:rsidP="00192402">
      <w:pPr>
        <w:spacing w:before="240"/>
      </w:pPr>
    </w:p>
    <w:p w14:paraId="52F8106C" w14:textId="77777777" w:rsidR="00192402" w:rsidRPr="003C5719" w:rsidRDefault="00192402" w:rsidP="00192402">
      <w:pPr>
        <w:pageBreakBefore/>
        <w:spacing w:before="240"/>
        <w:jc w:val="right"/>
        <w:rPr>
          <w:b/>
          <w:u w:val="single"/>
        </w:rPr>
      </w:pPr>
      <w:r w:rsidRPr="003C5719">
        <w:rPr>
          <w:b/>
          <w:u w:val="single"/>
        </w:rPr>
        <w:lastRenderedPageBreak/>
        <w:t xml:space="preserve">ATTACHMENT </w:t>
      </w:r>
      <w:r>
        <w:rPr>
          <w:b/>
          <w:u w:val="single"/>
        </w:rPr>
        <w:t>A</w:t>
      </w:r>
    </w:p>
    <w:p w14:paraId="119AEDC2" w14:textId="4608BE53" w:rsidR="00192402" w:rsidRPr="002B6D2F" w:rsidRDefault="00192402" w:rsidP="00192402">
      <w:pPr>
        <w:spacing w:before="240"/>
        <w:rPr>
          <w:b/>
          <w:bCs/>
          <w:szCs w:val="24"/>
          <w:u w:val="single"/>
        </w:rPr>
      </w:pPr>
      <w:r w:rsidRPr="002B6D2F">
        <w:rPr>
          <w:b/>
          <w:bCs/>
          <w:u w:val="single"/>
        </w:rPr>
        <w:t xml:space="preserve">Details of the </w:t>
      </w:r>
      <w:r w:rsidRPr="002B6D2F">
        <w:rPr>
          <w:b/>
          <w:bCs/>
          <w:i/>
          <w:u w:val="single"/>
        </w:rPr>
        <w:t>Foreign Acquisitions and Takeovers Amendment (</w:t>
      </w:r>
      <w:proofErr w:type="spellStart"/>
      <w:r w:rsidRPr="002B6D2F">
        <w:rPr>
          <w:b/>
          <w:bCs/>
          <w:i/>
          <w:u w:val="single"/>
        </w:rPr>
        <w:t>Interfunding</w:t>
      </w:r>
      <w:proofErr w:type="spellEnd"/>
      <w:r w:rsidRPr="002B6D2F">
        <w:rPr>
          <w:b/>
          <w:bCs/>
          <w:i/>
          <w:u w:val="single"/>
        </w:rPr>
        <w:t xml:space="preserve"> Exemption) Regulations 202</w:t>
      </w:r>
      <w:r w:rsidR="00AC1322">
        <w:rPr>
          <w:b/>
          <w:bCs/>
          <w:i/>
          <w:u w:val="single"/>
        </w:rPr>
        <w:t>4</w:t>
      </w:r>
      <w:r w:rsidRPr="002B6D2F">
        <w:rPr>
          <w:b/>
          <w:bCs/>
          <w:u w:val="single"/>
        </w:rPr>
        <w:t xml:space="preserve">  </w:t>
      </w:r>
    </w:p>
    <w:p w14:paraId="7F9FDBE0" w14:textId="77777777" w:rsidR="00192402" w:rsidRPr="003C5719" w:rsidRDefault="00192402" w:rsidP="00192402">
      <w:pPr>
        <w:spacing w:before="240"/>
        <w:rPr>
          <w:rFonts w:ascii="Calibri" w:hAnsi="Calibri"/>
          <w:sz w:val="22"/>
          <w:szCs w:val="22"/>
          <w:u w:val="single"/>
          <w:lang w:eastAsia="en-US"/>
        </w:rPr>
      </w:pPr>
      <w:r w:rsidRPr="003C5719">
        <w:rPr>
          <w:u w:val="single"/>
        </w:rPr>
        <w:t xml:space="preserve">Section 1 – Name </w:t>
      </w:r>
    </w:p>
    <w:p w14:paraId="32C32D9E" w14:textId="5349176A" w:rsidR="00192402" w:rsidRPr="003C5719" w:rsidRDefault="00192402" w:rsidP="00192402">
      <w:pPr>
        <w:spacing w:before="240"/>
      </w:pPr>
      <w:r w:rsidRPr="003C5719">
        <w:t xml:space="preserve">This section provides that the name of the regulations is the </w:t>
      </w:r>
      <w:r>
        <w:rPr>
          <w:i/>
        </w:rPr>
        <w:t>Foreign Acquisitions and Takeovers Amendment (</w:t>
      </w:r>
      <w:proofErr w:type="spellStart"/>
      <w:r>
        <w:rPr>
          <w:i/>
        </w:rPr>
        <w:t>Interfunding</w:t>
      </w:r>
      <w:proofErr w:type="spellEnd"/>
      <w:r>
        <w:rPr>
          <w:i/>
        </w:rPr>
        <w:t xml:space="preserve"> Exemption) Regulations 202</w:t>
      </w:r>
      <w:r w:rsidR="00750126">
        <w:rPr>
          <w:i/>
        </w:rPr>
        <w:t>4</w:t>
      </w:r>
      <w:r w:rsidRPr="003C5719">
        <w:t xml:space="preserve"> (the Regulations).</w:t>
      </w:r>
    </w:p>
    <w:p w14:paraId="04B9C903" w14:textId="77777777" w:rsidR="00192402" w:rsidRPr="003C5719" w:rsidRDefault="00192402" w:rsidP="00192402">
      <w:pPr>
        <w:spacing w:before="240"/>
        <w:rPr>
          <w:u w:val="single"/>
        </w:rPr>
      </w:pPr>
      <w:r w:rsidRPr="003C5719">
        <w:rPr>
          <w:u w:val="single"/>
        </w:rPr>
        <w:t>Section 2 – Commencement</w:t>
      </w:r>
    </w:p>
    <w:p w14:paraId="66613DEC" w14:textId="77777777" w:rsidR="00192402" w:rsidRPr="003C5719" w:rsidRDefault="00192402" w:rsidP="00192402">
      <w:pPr>
        <w:spacing w:before="240"/>
      </w:pPr>
      <w:r w:rsidRPr="003C5719">
        <w:t>Schedule 1 to the Regulations commence</w:t>
      </w:r>
      <w:r>
        <w:t>s</w:t>
      </w:r>
      <w:r w:rsidRPr="003C5719">
        <w:t xml:space="preserve"> on </w:t>
      </w:r>
      <w:r w:rsidRPr="006F683C">
        <w:t xml:space="preserve">the day after the instrument is registered </w:t>
      </w:r>
      <w:r w:rsidRPr="003C5719">
        <w:t>on the Federal Register of Legislation.</w:t>
      </w:r>
      <w:r>
        <w:t xml:space="preserve"> </w:t>
      </w:r>
    </w:p>
    <w:p w14:paraId="3B916BAA" w14:textId="77777777" w:rsidR="00192402" w:rsidRPr="003C5719" w:rsidRDefault="00192402" w:rsidP="00192402">
      <w:pPr>
        <w:spacing w:before="240"/>
        <w:rPr>
          <w:u w:val="single"/>
        </w:rPr>
      </w:pPr>
      <w:r w:rsidRPr="003C5719">
        <w:rPr>
          <w:u w:val="single"/>
        </w:rPr>
        <w:t>Section 3 – Authority</w:t>
      </w:r>
    </w:p>
    <w:p w14:paraId="54DC25EF" w14:textId="77777777" w:rsidR="00192402" w:rsidRPr="003C5719" w:rsidRDefault="00192402" w:rsidP="00192402">
      <w:pPr>
        <w:spacing w:before="240"/>
      </w:pPr>
      <w:r w:rsidRPr="003C5719">
        <w:t xml:space="preserve">The Regulations are made under the </w:t>
      </w:r>
      <w:r>
        <w:rPr>
          <w:i/>
        </w:rPr>
        <w:t>Foreign Acquisitions and Takeovers Act 1975</w:t>
      </w:r>
      <w:r w:rsidRPr="003C5719">
        <w:t xml:space="preserve"> (the Act).</w:t>
      </w:r>
    </w:p>
    <w:p w14:paraId="1CA81F1D" w14:textId="77777777" w:rsidR="00192402" w:rsidRPr="003C5719" w:rsidRDefault="00192402" w:rsidP="00192402">
      <w:pPr>
        <w:spacing w:before="240"/>
        <w:rPr>
          <w:u w:val="single"/>
        </w:rPr>
      </w:pPr>
      <w:r w:rsidRPr="003C5719">
        <w:rPr>
          <w:u w:val="single"/>
        </w:rPr>
        <w:t>Section 4 – Schedule</w:t>
      </w:r>
    </w:p>
    <w:p w14:paraId="78BE547A" w14:textId="77777777" w:rsidR="00192402" w:rsidRPr="003C5719" w:rsidRDefault="00192402" w:rsidP="00192402">
      <w:pPr>
        <w:spacing w:before="240" w:after="200"/>
        <w:rPr>
          <w:u w:val="single"/>
        </w:rPr>
      </w:pPr>
      <w:r w:rsidRPr="003C5719">
        <w:t xml:space="preserve">This section provides that each instrument that is specified in the Schedules to this instrument </w:t>
      </w:r>
      <w:r>
        <w:t xml:space="preserve">are </w:t>
      </w:r>
      <w:r w:rsidRPr="003C5719">
        <w:t>amended or repealed as set out in the applicable items in the Schedules, and any other item in the Schedules to this instrument has effect according to its terms.</w:t>
      </w:r>
    </w:p>
    <w:p w14:paraId="38BBCE52" w14:textId="7C35666D" w:rsidR="00192402" w:rsidRDefault="00192402" w:rsidP="00192402">
      <w:pPr>
        <w:spacing w:before="240"/>
        <w:rPr>
          <w:u w:val="single"/>
        </w:rPr>
      </w:pPr>
      <w:r w:rsidRPr="003C5719">
        <w:rPr>
          <w:u w:val="single"/>
        </w:rPr>
        <w:t xml:space="preserve">Section </w:t>
      </w:r>
      <w:r>
        <w:rPr>
          <w:u w:val="single"/>
        </w:rPr>
        <w:t>1</w:t>
      </w:r>
      <w:r w:rsidRPr="003C5719">
        <w:rPr>
          <w:u w:val="single"/>
        </w:rPr>
        <w:t xml:space="preserve"> – </w:t>
      </w:r>
      <w:r>
        <w:rPr>
          <w:u w:val="single"/>
        </w:rPr>
        <w:t>Amendments</w:t>
      </w:r>
    </w:p>
    <w:p w14:paraId="54A0FAC6" w14:textId="77777777" w:rsidR="00A53125" w:rsidRPr="003C5719" w:rsidRDefault="00A53125" w:rsidP="00A53125">
      <w:pPr>
        <w:spacing w:before="240"/>
        <w:rPr>
          <w:u w:val="single"/>
        </w:rPr>
      </w:pPr>
      <w:r>
        <w:rPr>
          <w:color w:val="000000"/>
          <w:shd w:val="clear" w:color="auto" w:fill="FFFFFF"/>
        </w:rPr>
        <w:t xml:space="preserve">Legislative references in this attachment are to the </w:t>
      </w:r>
      <w:r w:rsidRPr="00271467">
        <w:rPr>
          <w:i/>
          <w:iCs/>
        </w:rPr>
        <w:t xml:space="preserve">Foreign Acquisitions and Takeovers Regulation 2015 </w:t>
      </w:r>
      <w:r>
        <w:t>(</w:t>
      </w:r>
      <w:r w:rsidRPr="00271467">
        <w:t>the Principal Regulations)</w:t>
      </w:r>
      <w:r>
        <w:rPr>
          <w:color w:val="000000"/>
          <w:shd w:val="clear" w:color="auto" w:fill="FFFFFF"/>
        </w:rPr>
        <w:t xml:space="preserve"> unless otherwise stated.</w:t>
      </w:r>
    </w:p>
    <w:p w14:paraId="13DDDD56" w14:textId="70158428" w:rsidR="00192402" w:rsidRPr="00D25552" w:rsidRDefault="00192402" w:rsidP="00192402">
      <w:pPr>
        <w:spacing w:before="240" w:after="200"/>
        <w:rPr>
          <w:b/>
          <w:bCs/>
        </w:rPr>
      </w:pPr>
      <w:r w:rsidRPr="00D25552">
        <w:rPr>
          <w:b/>
          <w:bCs/>
        </w:rPr>
        <w:t xml:space="preserve">Item </w:t>
      </w:r>
      <w:r w:rsidR="003F79D4">
        <w:rPr>
          <w:b/>
          <w:bCs/>
        </w:rPr>
        <w:t>[</w:t>
      </w:r>
      <w:r w:rsidRPr="00D25552">
        <w:rPr>
          <w:b/>
          <w:bCs/>
        </w:rPr>
        <w:t>1</w:t>
      </w:r>
      <w:r w:rsidR="003F79D4">
        <w:rPr>
          <w:b/>
          <w:bCs/>
        </w:rPr>
        <w:t>]</w:t>
      </w:r>
      <w:r w:rsidRPr="00D25552">
        <w:rPr>
          <w:b/>
          <w:bCs/>
        </w:rPr>
        <w:t xml:space="preserve"> – Definitions</w:t>
      </w:r>
    </w:p>
    <w:p w14:paraId="4180D8FA" w14:textId="30B13CC0" w:rsidR="00192402" w:rsidRDefault="00192402" w:rsidP="00192402">
      <w:pPr>
        <w:spacing w:before="240" w:after="200"/>
      </w:pPr>
      <w:r>
        <w:t xml:space="preserve">Item 1 amends section 5 to insert </w:t>
      </w:r>
      <w:r w:rsidR="00DD6B4F">
        <w:t xml:space="preserve">five </w:t>
      </w:r>
      <w:r>
        <w:t xml:space="preserve">new definitions for the purposes of supporting the readability and operation of new section 40A, which provides for an exemption of </w:t>
      </w:r>
      <w:proofErr w:type="spellStart"/>
      <w:r>
        <w:t>interfunding</w:t>
      </w:r>
      <w:proofErr w:type="spellEnd"/>
      <w:r>
        <w:t xml:space="preserve"> transactions from mandatory notification </w:t>
      </w:r>
      <w:r w:rsidR="004177BE">
        <w:t xml:space="preserve">and reporting </w:t>
      </w:r>
      <w:r>
        <w:t>requirements and fees under the Act.</w:t>
      </w:r>
    </w:p>
    <w:p w14:paraId="0710B329" w14:textId="77777777" w:rsidR="00192402" w:rsidRPr="00567519" w:rsidRDefault="00192402" w:rsidP="00192402">
      <w:pPr>
        <w:spacing w:before="240" w:after="200"/>
        <w:rPr>
          <w:szCs w:val="24"/>
        </w:rPr>
      </w:pPr>
      <w:r w:rsidRPr="00567519">
        <w:rPr>
          <w:b/>
          <w:bCs/>
          <w:szCs w:val="24"/>
        </w:rPr>
        <w:t>Registered scheme</w:t>
      </w:r>
      <w:r w:rsidRPr="00567519">
        <w:rPr>
          <w:szCs w:val="24"/>
        </w:rPr>
        <w:t xml:space="preserve"> has the same meaning as the </w:t>
      </w:r>
      <w:r w:rsidRPr="00567519">
        <w:rPr>
          <w:i/>
          <w:iCs/>
          <w:szCs w:val="24"/>
        </w:rPr>
        <w:t>Corporations Act 2001</w:t>
      </w:r>
      <w:r>
        <w:rPr>
          <w:i/>
          <w:iCs/>
          <w:szCs w:val="24"/>
        </w:rPr>
        <w:t xml:space="preserve"> </w:t>
      </w:r>
      <w:r>
        <w:rPr>
          <w:szCs w:val="24"/>
        </w:rPr>
        <w:t xml:space="preserve">(Corporations Act), which specifies a registered scheme to mean a managed investment scheme that is registered under section 601EB of the Corporations Act. </w:t>
      </w:r>
    </w:p>
    <w:p w14:paraId="26B5D22F" w14:textId="77777777" w:rsidR="00192402" w:rsidRDefault="00192402" w:rsidP="00192402">
      <w:pPr>
        <w:pStyle w:val="Definition"/>
        <w:ind w:left="0"/>
        <w:rPr>
          <w:sz w:val="24"/>
          <w:szCs w:val="24"/>
        </w:rPr>
      </w:pPr>
      <w:r w:rsidRPr="00567519">
        <w:rPr>
          <w:b/>
          <w:iCs/>
          <w:sz w:val="24"/>
          <w:szCs w:val="24"/>
        </w:rPr>
        <w:t>Registrable superannuation entity</w:t>
      </w:r>
      <w:r w:rsidRPr="00567519">
        <w:rPr>
          <w:iCs/>
          <w:sz w:val="24"/>
          <w:szCs w:val="24"/>
        </w:rPr>
        <w:t xml:space="preserve"> has</w:t>
      </w:r>
      <w:r w:rsidRPr="00567519">
        <w:rPr>
          <w:sz w:val="24"/>
          <w:szCs w:val="24"/>
        </w:rPr>
        <w:t xml:space="preserve"> the same meaning as in the </w:t>
      </w:r>
      <w:r w:rsidRPr="00567519">
        <w:rPr>
          <w:i/>
          <w:sz w:val="24"/>
          <w:szCs w:val="24"/>
        </w:rPr>
        <w:t>Superannuation Industry (Supervision) Act 1993</w:t>
      </w:r>
      <w:r>
        <w:rPr>
          <w:iCs/>
          <w:sz w:val="24"/>
          <w:szCs w:val="24"/>
        </w:rPr>
        <w:t>,</w:t>
      </w:r>
      <w:r>
        <w:rPr>
          <w:sz w:val="24"/>
          <w:szCs w:val="24"/>
        </w:rPr>
        <w:t xml:space="preserve"> which specifies a registrable superannuation entity to be a regulated superannuation fund, an approved deposit fund or a pooled superannuation trust, but does not include a self-managed superannuation fund. </w:t>
      </w:r>
    </w:p>
    <w:p w14:paraId="7E16B734" w14:textId="5D35E842" w:rsidR="00D82E98" w:rsidRDefault="00D82E98" w:rsidP="00192402">
      <w:pPr>
        <w:pStyle w:val="Definition"/>
        <w:ind w:left="0"/>
        <w:rPr>
          <w:sz w:val="24"/>
          <w:szCs w:val="24"/>
        </w:rPr>
      </w:pPr>
      <w:r w:rsidRPr="003944EC">
        <w:rPr>
          <w:b/>
          <w:bCs/>
          <w:sz w:val="24"/>
          <w:szCs w:val="24"/>
        </w:rPr>
        <w:t>Related body corporate</w:t>
      </w:r>
      <w:r>
        <w:rPr>
          <w:sz w:val="24"/>
          <w:szCs w:val="24"/>
        </w:rPr>
        <w:t xml:space="preserve"> has the same meaning as in </w:t>
      </w:r>
      <w:r w:rsidR="00416D70">
        <w:rPr>
          <w:sz w:val="24"/>
          <w:szCs w:val="24"/>
        </w:rPr>
        <w:t>the Corporations Act</w:t>
      </w:r>
      <w:r>
        <w:rPr>
          <w:sz w:val="24"/>
          <w:szCs w:val="24"/>
        </w:rPr>
        <w:t>.</w:t>
      </w:r>
      <w:r w:rsidR="00416D70">
        <w:rPr>
          <w:sz w:val="24"/>
          <w:szCs w:val="24"/>
        </w:rPr>
        <w:t xml:space="preserve"> Related body corporate is defined in section 50 of the Corporations Act</w:t>
      </w:r>
      <w:r w:rsidR="00C77D93">
        <w:rPr>
          <w:sz w:val="24"/>
          <w:szCs w:val="24"/>
        </w:rPr>
        <w:t xml:space="preserve"> and </w:t>
      </w:r>
      <w:r w:rsidR="00D50A09">
        <w:rPr>
          <w:sz w:val="24"/>
          <w:szCs w:val="24"/>
        </w:rPr>
        <w:t xml:space="preserve">provides that a </w:t>
      </w:r>
      <w:r w:rsidR="001F2F29">
        <w:rPr>
          <w:sz w:val="24"/>
          <w:szCs w:val="24"/>
        </w:rPr>
        <w:t>related body corporate of a body corporate includes:</w:t>
      </w:r>
    </w:p>
    <w:p w14:paraId="36F50245" w14:textId="75C52E76" w:rsidR="001F2F29" w:rsidRDefault="001F2F29" w:rsidP="003944EC">
      <w:pPr>
        <w:pStyle w:val="Bullet"/>
      </w:pPr>
      <w:r>
        <w:t>A holding company of the body corporate</w:t>
      </w:r>
      <w:r w:rsidR="00B40BC7">
        <w:t>; or</w:t>
      </w:r>
    </w:p>
    <w:p w14:paraId="3533EBD7" w14:textId="2718A634" w:rsidR="001F2F29" w:rsidRDefault="001F2F29" w:rsidP="003944EC">
      <w:pPr>
        <w:pStyle w:val="Bullet"/>
      </w:pPr>
      <w:r>
        <w:lastRenderedPageBreak/>
        <w:t xml:space="preserve"> A subsidiary of the body corporate; or</w:t>
      </w:r>
    </w:p>
    <w:p w14:paraId="2F0F9922" w14:textId="41F6AAA2" w:rsidR="001F2F29" w:rsidRPr="00567519" w:rsidRDefault="001F2F29" w:rsidP="003944EC">
      <w:pPr>
        <w:pStyle w:val="Bullet"/>
      </w:pPr>
      <w:r>
        <w:t xml:space="preserve"> A subsidiary of a holding company of the body corporate.</w:t>
      </w:r>
    </w:p>
    <w:p w14:paraId="284D27F2" w14:textId="77777777" w:rsidR="00192402" w:rsidRPr="00567519" w:rsidRDefault="00192402" w:rsidP="00192402">
      <w:pPr>
        <w:pStyle w:val="Definition"/>
        <w:ind w:left="0"/>
        <w:rPr>
          <w:sz w:val="24"/>
          <w:szCs w:val="24"/>
        </w:rPr>
      </w:pPr>
      <w:r w:rsidRPr="00567519">
        <w:rPr>
          <w:b/>
          <w:iCs/>
          <w:sz w:val="24"/>
          <w:szCs w:val="24"/>
        </w:rPr>
        <w:t>Responsible entity</w:t>
      </w:r>
      <w:r w:rsidRPr="00567519">
        <w:rPr>
          <w:b/>
          <w:i/>
          <w:sz w:val="24"/>
          <w:szCs w:val="24"/>
        </w:rPr>
        <w:t xml:space="preserve"> </w:t>
      </w:r>
      <w:r w:rsidRPr="00567519">
        <w:rPr>
          <w:sz w:val="24"/>
          <w:szCs w:val="24"/>
        </w:rPr>
        <w:t xml:space="preserve">of a registered scheme has the same meaning as in the </w:t>
      </w:r>
      <w:r>
        <w:rPr>
          <w:iCs/>
          <w:sz w:val="24"/>
          <w:szCs w:val="24"/>
        </w:rPr>
        <w:t>Corporations Act,</w:t>
      </w:r>
      <w:r>
        <w:rPr>
          <w:sz w:val="24"/>
          <w:szCs w:val="24"/>
        </w:rPr>
        <w:t xml:space="preserve"> which specifies a responsible entity of a registered scheme to be the company named in ASIC’s record of a registered scheme’s registration as the responsible entity or temporary responsible entity of that scheme. </w:t>
      </w:r>
    </w:p>
    <w:p w14:paraId="330244B5" w14:textId="68EC821D" w:rsidR="00192402" w:rsidRPr="007A5CFF" w:rsidRDefault="00192402" w:rsidP="00192402">
      <w:pPr>
        <w:pStyle w:val="Definition"/>
        <w:ind w:left="0"/>
        <w:rPr>
          <w:sz w:val="24"/>
          <w:szCs w:val="24"/>
        </w:rPr>
      </w:pPr>
      <w:r w:rsidRPr="00567519">
        <w:rPr>
          <w:b/>
          <w:iCs/>
          <w:sz w:val="24"/>
          <w:szCs w:val="24"/>
        </w:rPr>
        <w:t>RSE licensee</w:t>
      </w:r>
      <w:r w:rsidRPr="00567519">
        <w:rPr>
          <w:sz w:val="24"/>
          <w:szCs w:val="24"/>
        </w:rPr>
        <w:t xml:space="preserve"> has the same meaning as in the </w:t>
      </w:r>
      <w:r w:rsidRPr="00567519">
        <w:rPr>
          <w:i/>
          <w:sz w:val="24"/>
          <w:szCs w:val="24"/>
        </w:rPr>
        <w:t>Superannuation Industry (Supervision) Act 1993</w:t>
      </w:r>
      <w:r>
        <w:rPr>
          <w:sz w:val="24"/>
          <w:szCs w:val="24"/>
        </w:rPr>
        <w:t xml:space="preserve"> (SIS Act), which specifies a RSE licensee to be a constitutional corporation, body corporate, or group of individual trustees that hold a RSE license granted under section 29D of the </w:t>
      </w:r>
      <w:r>
        <w:rPr>
          <w:iCs/>
          <w:sz w:val="24"/>
          <w:szCs w:val="24"/>
        </w:rPr>
        <w:t>SIS Act</w:t>
      </w:r>
      <w:r w:rsidRPr="007A5CFF">
        <w:rPr>
          <w:iCs/>
          <w:sz w:val="24"/>
          <w:szCs w:val="24"/>
        </w:rPr>
        <w:t>.</w:t>
      </w:r>
    </w:p>
    <w:p w14:paraId="7912ACC4" w14:textId="1C5EBEAA" w:rsidR="00192402" w:rsidRPr="00D25552" w:rsidRDefault="00192402" w:rsidP="00192402">
      <w:pPr>
        <w:spacing w:before="240" w:after="200"/>
        <w:rPr>
          <w:b/>
          <w:bCs/>
        </w:rPr>
      </w:pPr>
      <w:r w:rsidRPr="00D25552">
        <w:rPr>
          <w:b/>
          <w:bCs/>
        </w:rPr>
        <w:t xml:space="preserve">Item </w:t>
      </w:r>
      <w:r w:rsidR="003F79D4">
        <w:rPr>
          <w:b/>
          <w:bCs/>
        </w:rPr>
        <w:t>[</w:t>
      </w:r>
      <w:r w:rsidRPr="00D25552">
        <w:rPr>
          <w:b/>
          <w:bCs/>
        </w:rPr>
        <w:t>2</w:t>
      </w:r>
      <w:r w:rsidR="003F79D4">
        <w:rPr>
          <w:b/>
          <w:bCs/>
        </w:rPr>
        <w:t>]</w:t>
      </w:r>
      <w:r w:rsidRPr="00D25552">
        <w:rPr>
          <w:b/>
          <w:bCs/>
        </w:rPr>
        <w:t xml:space="preserve"> – exemption for </w:t>
      </w:r>
      <w:proofErr w:type="spellStart"/>
      <w:r w:rsidRPr="00D25552">
        <w:rPr>
          <w:b/>
          <w:bCs/>
        </w:rPr>
        <w:t>interfunding</w:t>
      </w:r>
      <w:proofErr w:type="spellEnd"/>
      <w:r w:rsidRPr="00D25552">
        <w:rPr>
          <w:b/>
          <w:bCs/>
        </w:rPr>
        <w:t xml:space="preserve"> transactions</w:t>
      </w:r>
    </w:p>
    <w:p w14:paraId="5C7AD350" w14:textId="5448822D" w:rsidR="00192402" w:rsidRDefault="00192402" w:rsidP="00192402">
      <w:pPr>
        <w:spacing w:before="240" w:after="200"/>
      </w:pPr>
      <w:r>
        <w:t xml:space="preserve">Subdivision A of Division 4 of Part 3 of the Principal Regulations provides for exemptions relating to </w:t>
      </w:r>
      <w:proofErr w:type="gramStart"/>
      <w:r>
        <w:t>particular actions</w:t>
      </w:r>
      <w:proofErr w:type="gramEnd"/>
      <w:r>
        <w:t xml:space="preserve">. Item 2 inserts new section 40A into Subdivision A to provide for a new exemption for actions that satisfy certain requirements. These actions are known as </w:t>
      </w:r>
      <w:proofErr w:type="spellStart"/>
      <w:r>
        <w:t>interfunding</w:t>
      </w:r>
      <w:proofErr w:type="spellEnd"/>
      <w:r>
        <w:t xml:space="preserve"> transactions.  </w:t>
      </w:r>
    </w:p>
    <w:p w14:paraId="6F09847E" w14:textId="785E4A87" w:rsidR="00192402" w:rsidRDefault="00192402" w:rsidP="00192402">
      <w:pPr>
        <w:spacing w:before="240" w:after="200"/>
      </w:pPr>
      <w:r w:rsidRPr="00175B58">
        <w:t>For transactions that satisfy the requirements of subsection 40</w:t>
      </w:r>
      <w:proofErr w:type="gramStart"/>
      <w:r w:rsidRPr="00175B58">
        <w:t>A(</w:t>
      </w:r>
      <w:proofErr w:type="gramEnd"/>
      <w:r w:rsidRPr="00175B58">
        <w:t xml:space="preserve">2), subsection 40A(1) has the effect of </w:t>
      </w:r>
      <w:r w:rsidR="00D21E13">
        <w:t>disapplying</w:t>
      </w:r>
      <w:r w:rsidRPr="00175B58">
        <w:t xml:space="preserve"> the provisions in the Act relating to significant actions under Division 2 of Part 2, notifiable actions under Division 3 of Part 2</w:t>
      </w:r>
      <w:r>
        <w:t xml:space="preserve">, </w:t>
      </w:r>
      <w:r w:rsidRPr="00175B58">
        <w:t>and notifi</w:t>
      </w:r>
      <w:r>
        <w:t>able</w:t>
      </w:r>
      <w:r w:rsidRPr="00175B58">
        <w:t xml:space="preserve"> national security actions under section 55B. </w:t>
      </w:r>
      <w:r>
        <w:t>Therefore,</w:t>
      </w:r>
      <w:r w:rsidRPr="00175B58">
        <w:t xml:space="preserve"> transactions that satisfy the requirements of subsection 40</w:t>
      </w:r>
      <w:proofErr w:type="gramStart"/>
      <w:r w:rsidRPr="00175B58">
        <w:t>A(</w:t>
      </w:r>
      <w:proofErr w:type="gramEnd"/>
      <w:r w:rsidRPr="00175B58">
        <w:t xml:space="preserve">2) will </w:t>
      </w:r>
      <w:r>
        <w:t xml:space="preserve">only continue to </w:t>
      </w:r>
      <w:r w:rsidRPr="00175B58">
        <w:t xml:space="preserve">be reviewable national security actions </w:t>
      </w:r>
      <w:r w:rsidR="007A4F91">
        <w:t xml:space="preserve">if they meet the criteria </w:t>
      </w:r>
      <w:r w:rsidRPr="00175B58">
        <w:t xml:space="preserve">under </w:t>
      </w:r>
      <w:r>
        <w:t xml:space="preserve">sections 55D to 55G of </w:t>
      </w:r>
      <w:r w:rsidRPr="00175B58">
        <w:t>the Act.</w:t>
      </w:r>
      <w:r>
        <w:t xml:space="preserve"> This means the Treasurer will retain the national security call-in power (section 66A) and last resort power (Division 3 of Part 3) in relation to </w:t>
      </w:r>
      <w:proofErr w:type="spellStart"/>
      <w:r>
        <w:t>interfunding</w:t>
      </w:r>
      <w:proofErr w:type="spellEnd"/>
      <w:r>
        <w:t xml:space="preserve"> transactions. </w:t>
      </w:r>
    </w:p>
    <w:p w14:paraId="5B2CCD35" w14:textId="111BF2CF" w:rsidR="00192402" w:rsidRDefault="00192402" w:rsidP="00192402">
      <w:pPr>
        <w:spacing w:before="240" w:after="200"/>
      </w:pPr>
      <w:r>
        <w:t>Subsection 40</w:t>
      </w:r>
      <w:proofErr w:type="gramStart"/>
      <w:r>
        <w:t>A(</w:t>
      </w:r>
      <w:proofErr w:type="gramEnd"/>
      <w:r>
        <w:t xml:space="preserve">2) </w:t>
      </w:r>
      <w:r w:rsidR="004E260E">
        <w:t xml:space="preserve">contains </w:t>
      </w:r>
      <w:r w:rsidR="5A8CB43F">
        <w:t>five</w:t>
      </w:r>
      <w:r w:rsidR="004E260E">
        <w:t xml:space="preserve"> </w:t>
      </w:r>
      <w:r>
        <w:t>requirements that must be met for a</w:t>
      </w:r>
      <w:r w:rsidR="00150D36">
        <w:t xml:space="preserve">n </w:t>
      </w:r>
      <w:r>
        <w:t xml:space="preserve">acquisition of an interest in securities in an entity to constitute an </w:t>
      </w:r>
      <w:proofErr w:type="spellStart"/>
      <w:r>
        <w:t>interfunding</w:t>
      </w:r>
      <w:proofErr w:type="spellEnd"/>
      <w:r>
        <w:t xml:space="preserve"> transaction and therefore be exempt from the provisions in the Act outlined in subsection 40A(1). The requirements ensure that the exemption targets </w:t>
      </w:r>
      <w:r w:rsidR="00D44E37">
        <w:t xml:space="preserve">acquisitions that have characteristics common </w:t>
      </w:r>
      <w:r w:rsidR="00AB2ABC">
        <w:t>to</w:t>
      </w:r>
      <w:r w:rsidR="00D44E37">
        <w:t xml:space="preserve"> </w:t>
      </w:r>
      <w:proofErr w:type="spellStart"/>
      <w:r w:rsidR="00D44E37">
        <w:t>interfunding</w:t>
      </w:r>
      <w:proofErr w:type="spellEnd"/>
      <w:r w:rsidR="00D44E37">
        <w:t xml:space="preserve"> transaction. </w:t>
      </w:r>
      <w:r>
        <w:t xml:space="preserve"> </w:t>
      </w:r>
    </w:p>
    <w:p w14:paraId="3A264FC8" w14:textId="783E9E2D" w:rsidR="00441AF0" w:rsidRPr="00D25552" w:rsidRDefault="00441AF0" w:rsidP="00192402">
      <w:pPr>
        <w:spacing w:before="240" w:after="200"/>
        <w:rPr>
          <w:i/>
          <w:iCs/>
        </w:rPr>
      </w:pPr>
      <w:r w:rsidRPr="00D25552">
        <w:rPr>
          <w:i/>
          <w:iCs/>
        </w:rPr>
        <w:t>Requirement 1:</w:t>
      </w:r>
      <w:r w:rsidR="00D75467" w:rsidRPr="00D25552">
        <w:rPr>
          <w:i/>
          <w:iCs/>
        </w:rPr>
        <w:t xml:space="preserve"> </w:t>
      </w:r>
      <w:r w:rsidR="004E260E">
        <w:rPr>
          <w:i/>
          <w:iCs/>
        </w:rPr>
        <w:t>Registration of acquirer and</w:t>
      </w:r>
      <w:r w:rsidR="00D75467" w:rsidRPr="00D25552">
        <w:rPr>
          <w:i/>
          <w:iCs/>
        </w:rPr>
        <w:t xml:space="preserve"> acquiring fund</w:t>
      </w:r>
    </w:p>
    <w:p w14:paraId="76FC1E21" w14:textId="290FDAA3" w:rsidR="00D75467" w:rsidRDefault="00192402" w:rsidP="00192402">
      <w:pPr>
        <w:spacing w:before="240" w:after="200"/>
      </w:pPr>
      <w:r>
        <w:rPr>
          <w:color w:val="000000"/>
          <w:shd w:val="clear" w:color="auto" w:fill="FFFFFF"/>
        </w:rPr>
        <w:t>Paragraph 40A(2)(a) provide</w:t>
      </w:r>
      <w:r w:rsidR="00233AE2">
        <w:rPr>
          <w:color w:val="000000"/>
          <w:shd w:val="clear" w:color="auto" w:fill="FFFFFF"/>
        </w:rPr>
        <w:t>s</w:t>
      </w:r>
      <w:r>
        <w:rPr>
          <w:color w:val="000000"/>
          <w:shd w:val="clear" w:color="auto" w:fill="FFFFFF"/>
        </w:rPr>
        <w:t xml:space="preserve"> that the </w:t>
      </w:r>
      <w:r w:rsidR="00EC098F">
        <w:rPr>
          <w:color w:val="000000"/>
          <w:shd w:val="clear" w:color="auto" w:fill="FFFFFF"/>
        </w:rPr>
        <w:t>acquisition</w:t>
      </w:r>
      <w:r>
        <w:rPr>
          <w:color w:val="000000"/>
          <w:shd w:val="clear" w:color="auto" w:fill="FFFFFF"/>
        </w:rPr>
        <w:t xml:space="preserve"> must be</w:t>
      </w:r>
      <w:r w:rsidR="00EC098F">
        <w:rPr>
          <w:color w:val="000000"/>
          <w:shd w:val="clear" w:color="auto" w:fill="FFFFFF"/>
        </w:rPr>
        <w:t xml:space="preserve"> made by</w:t>
      </w:r>
      <w:r>
        <w:rPr>
          <w:color w:val="000000"/>
          <w:shd w:val="clear" w:color="auto" w:fill="FFFFFF"/>
        </w:rPr>
        <w:t xml:space="preserve"> a corporation </w:t>
      </w:r>
      <w:r w:rsidR="004A0A3B">
        <w:rPr>
          <w:color w:val="000000"/>
          <w:shd w:val="clear" w:color="auto" w:fill="FFFFFF"/>
        </w:rPr>
        <w:t xml:space="preserve">(the acquirer) </w:t>
      </w:r>
      <w:r>
        <w:rPr>
          <w:color w:val="000000"/>
          <w:shd w:val="clear" w:color="auto" w:fill="FFFFFF"/>
        </w:rPr>
        <w:t xml:space="preserve">in its capacity as a </w:t>
      </w:r>
      <w:r>
        <w:t xml:space="preserve">responsible entity (RE) of a registered scheme </w:t>
      </w:r>
      <w:r w:rsidR="00E5750A">
        <w:t xml:space="preserve">(acquiring fund) </w:t>
      </w:r>
      <w:r>
        <w:t xml:space="preserve">or a </w:t>
      </w:r>
      <w:r w:rsidR="00B04F4E">
        <w:t xml:space="preserve">RSE licensee of a </w:t>
      </w:r>
      <w:bookmarkStart w:id="0" w:name="_Hlk179197524"/>
      <w:r>
        <w:t>registerable superannuation entity</w:t>
      </w:r>
      <w:bookmarkEnd w:id="0"/>
      <w:r w:rsidR="00E5750A">
        <w:t xml:space="preserve"> (acquiring fund)</w:t>
      </w:r>
      <w:r w:rsidR="004A0A3B">
        <w:t xml:space="preserve">. </w:t>
      </w:r>
      <w:r w:rsidR="004F5C26">
        <w:t xml:space="preserve">It is appropriate that the exemption is limited to registered schemes and registerable superannuation entities given the existing regulatory oversight on these types of entities such as through the compliance, governance, audit and reporting obligations that they must meet as set out in various Commonwealth legislation and prudential standards. Entities with less regulatory obligations, such as unregistered schemes, may pose a higher risk given the reduced oversight on their activities. </w:t>
      </w:r>
    </w:p>
    <w:p w14:paraId="1498DB7B" w14:textId="15472048" w:rsidR="00D75467" w:rsidRPr="00D25552" w:rsidRDefault="00D75467" w:rsidP="00192402">
      <w:pPr>
        <w:spacing w:before="240" w:after="200"/>
        <w:rPr>
          <w:i/>
          <w:iCs/>
        </w:rPr>
      </w:pPr>
      <w:r w:rsidRPr="00D25552">
        <w:rPr>
          <w:i/>
          <w:iCs/>
        </w:rPr>
        <w:t xml:space="preserve">Requirement 2: </w:t>
      </w:r>
      <w:r w:rsidR="004E260E">
        <w:rPr>
          <w:i/>
          <w:iCs/>
        </w:rPr>
        <w:t>Registration of target</w:t>
      </w:r>
      <w:r w:rsidR="004E260E" w:rsidRPr="00D25552">
        <w:rPr>
          <w:i/>
          <w:iCs/>
        </w:rPr>
        <w:t xml:space="preserve"> </w:t>
      </w:r>
      <w:r w:rsidRPr="00D25552">
        <w:rPr>
          <w:i/>
          <w:iCs/>
        </w:rPr>
        <w:t>fund</w:t>
      </w:r>
    </w:p>
    <w:p w14:paraId="78CA601E" w14:textId="157390AA" w:rsidR="0055124E" w:rsidRDefault="004F5C26" w:rsidP="00192402">
      <w:pPr>
        <w:spacing w:before="240" w:after="200"/>
      </w:pPr>
      <w:r>
        <w:t xml:space="preserve">Paragraph </w:t>
      </w:r>
      <w:r w:rsidR="00192402">
        <w:t>40A(2)(</w:t>
      </w:r>
      <w:r w:rsidR="00233AE2">
        <w:t>b</w:t>
      </w:r>
      <w:r w:rsidR="00192402">
        <w:t xml:space="preserve">) </w:t>
      </w:r>
      <w:r w:rsidR="00192402">
        <w:rPr>
          <w:color w:val="000000"/>
          <w:shd w:val="clear" w:color="auto" w:fill="FFFFFF"/>
        </w:rPr>
        <w:t xml:space="preserve">provides that </w:t>
      </w:r>
      <w:r w:rsidR="00192402">
        <w:t xml:space="preserve">that the acquisition must be of an interest in a registered scheme </w:t>
      </w:r>
      <w:r w:rsidR="00F22A51">
        <w:t xml:space="preserve">(target fund) </w:t>
      </w:r>
      <w:r w:rsidR="00192402">
        <w:t>or registrable superannuation entity</w:t>
      </w:r>
      <w:r w:rsidR="00F22A51">
        <w:t xml:space="preserve"> (target fund)</w:t>
      </w:r>
      <w:r w:rsidR="00FE6586">
        <w:t>.</w:t>
      </w:r>
      <w:r w:rsidR="00F66E1B" w:rsidRPr="00F66E1B">
        <w:t xml:space="preserve"> </w:t>
      </w:r>
      <w:r w:rsidR="00EF4027">
        <w:t xml:space="preserve">Similarly, it is </w:t>
      </w:r>
      <w:r w:rsidR="00EF4027">
        <w:lastRenderedPageBreak/>
        <w:t>appropriate</w:t>
      </w:r>
      <w:r w:rsidR="008A7041">
        <w:t xml:space="preserve"> that</w:t>
      </w:r>
      <w:r w:rsidR="009F72A6">
        <w:t xml:space="preserve"> </w:t>
      </w:r>
      <w:r w:rsidR="0049003E">
        <w:t>target funds</w:t>
      </w:r>
      <w:r w:rsidR="009F72A6">
        <w:t xml:space="preserve"> </w:t>
      </w:r>
      <w:r w:rsidR="006A07A8">
        <w:t>eligible for</w:t>
      </w:r>
      <w:r w:rsidR="008A7041">
        <w:t xml:space="preserve"> the exemption</w:t>
      </w:r>
      <w:r w:rsidR="00EF4027">
        <w:t xml:space="preserve"> </w:t>
      </w:r>
      <w:r w:rsidR="0049003E">
        <w:t>are</w:t>
      </w:r>
      <w:r w:rsidR="00EF4027">
        <w:t xml:space="preserve"> limited to entities </w:t>
      </w:r>
      <w:r w:rsidR="00522DDF">
        <w:t xml:space="preserve">that are already </w:t>
      </w:r>
      <w:r w:rsidR="00EF4027">
        <w:t xml:space="preserve">subject to </w:t>
      </w:r>
      <w:r w:rsidR="00B77F20">
        <w:t xml:space="preserve">extensive </w:t>
      </w:r>
      <w:r w:rsidR="00EF4027">
        <w:t xml:space="preserve">regulatory oversight. </w:t>
      </w:r>
    </w:p>
    <w:p w14:paraId="613AD2B9" w14:textId="135D51B3" w:rsidR="00D75467" w:rsidRPr="00DC629C" w:rsidRDefault="00D75467" w:rsidP="00D509CC">
      <w:pPr>
        <w:spacing w:before="240" w:after="200"/>
        <w:rPr>
          <w:i/>
        </w:rPr>
      </w:pPr>
      <w:r w:rsidRPr="00DC629C">
        <w:rPr>
          <w:i/>
        </w:rPr>
        <w:t xml:space="preserve">Requirement 3: Sufficient connection </w:t>
      </w:r>
      <w:r w:rsidR="00975FAF">
        <w:rPr>
          <w:i/>
        </w:rPr>
        <w:t>to the acquiring fund</w:t>
      </w:r>
    </w:p>
    <w:p w14:paraId="5EE6E302" w14:textId="3E30E195" w:rsidR="00695640" w:rsidRDefault="00695640" w:rsidP="00695640">
      <w:pPr>
        <w:pStyle w:val="Bullet"/>
        <w:numPr>
          <w:ilvl w:val="0"/>
          <w:numId w:val="0"/>
        </w:numPr>
        <w:tabs>
          <w:tab w:val="left" w:pos="720"/>
        </w:tabs>
      </w:pPr>
      <w:r>
        <w:t xml:space="preserve">This requirement limits eligibility </w:t>
      </w:r>
      <w:r>
        <w:rPr>
          <w:shd w:val="clear" w:color="auto" w:fill="FFFFFF"/>
        </w:rPr>
        <w:t xml:space="preserve">for the </w:t>
      </w:r>
      <w:proofErr w:type="spellStart"/>
      <w:r>
        <w:rPr>
          <w:shd w:val="clear" w:color="auto" w:fill="FFFFFF"/>
        </w:rPr>
        <w:t>interfunding</w:t>
      </w:r>
      <w:proofErr w:type="spellEnd"/>
      <w:r>
        <w:rPr>
          <w:shd w:val="clear" w:color="auto" w:fill="FFFFFF"/>
        </w:rPr>
        <w:t xml:space="preserve"> exemption </w:t>
      </w:r>
      <w:r>
        <w:t xml:space="preserve">to transactions within an </w:t>
      </w:r>
      <w:proofErr w:type="spellStart"/>
      <w:r>
        <w:t>interfunding</w:t>
      </w:r>
      <w:proofErr w:type="spellEnd"/>
      <w:r>
        <w:t xml:space="preserve"> group of funds whose responsible entities or RSE licensees are sufficiently connected (are related bodies corporate), or where there is a similar connection between the acquiring fund and the target</w:t>
      </w:r>
      <w:r>
        <w:rPr>
          <w:shd w:val="clear" w:color="auto" w:fill="FFFFFF"/>
        </w:rPr>
        <w:t xml:space="preserve">. Where an </w:t>
      </w:r>
      <w:proofErr w:type="spellStart"/>
      <w:r>
        <w:rPr>
          <w:shd w:val="clear" w:color="auto" w:fill="FFFFFF"/>
        </w:rPr>
        <w:t>interfunding</w:t>
      </w:r>
      <w:proofErr w:type="spellEnd"/>
      <w:r>
        <w:rPr>
          <w:shd w:val="clear" w:color="auto" w:fill="FFFFFF"/>
        </w:rPr>
        <w:t xml:space="preserve"> transaction gives rise to an action outside the </w:t>
      </w:r>
      <w:proofErr w:type="spellStart"/>
      <w:r>
        <w:rPr>
          <w:shd w:val="clear" w:color="auto" w:fill="FFFFFF"/>
        </w:rPr>
        <w:t>interfunding</w:t>
      </w:r>
      <w:proofErr w:type="spellEnd"/>
      <w:r>
        <w:rPr>
          <w:shd w:val="clear" w:color="auto" w:fill="FFFFFF"/>
        </w:rPr>
        <w:t xml:space="preserve"> group of fund</w:t>
      </w:r>
      <w:r w:rsidR="006A6453">
        <w:rPr>
          <w:shd w:val="clear" w:color="auto" w:fill="FFFFFF"/>
        </w:rPr>
        <w:t>s</w:t>
      </w:r>
      <w:r>
        <w:rPr>
          <w:shd w:val="clear" w:color="auto" w:fill="FFFFFF"/>
        </w:rPr>
        <w:t xml:space="preserve">, the Act will continue to apply to that action. For example, if a fund undertakes an </w:t>
      </w:r>
      <w:proofErr w:type="spellStart"/>
      <w:r>
        <w:rPr>
          <w:shd w:val="clear" w:color="auto" w:fill="FFFFFF"/>
        </w:rPr>
        <w:t>interfunding</w:t>
      </w:r>
      <w:proofErr w:type="spellEnd"/>
      <w:r>
        <w:rPr>
          <w:shd w:val="clear" w:color="auto" w:fill="FFFFFF"/>
        </w:rPr>
        <w:t xml:space="preserve"> transaction (in alignment with a previously published strategy) that results in an upstream investor acquiring an interest in an Australian entity above a relevant threshold when combined with other direct holdings of that investor, the investor may need to give notice to the Treasurer ahead of that action occurring. However, the fund that makes the </w:t>
      </w:r>
      <w:proofErr w:type="spellStart"/>
      <w:r>
        <w:rPr>
          <w:shd w:val="clear" w:color="auto" w:fill="FFFFFF"/>
        </w:rPr>
        <w:t>interf</w:t>
      </w:r>
      <w:r w:rsidR="004138B5">
        <w:rPr>
          <w:shd w:val="clear" w:color="auto" w:fill="FFFFFF"/>
        </w:rPr>
        <w:t>unding</w:t>
      </w:r>
      <w:proofErr w:type="spellEnd"/>
      <w:r>
        <w:rPr>
          <w:shd w:val="clear" w:color="auto" w:fill="FFFFFF"/>
        </w:rPr>
        <w:t xml:space="preserve"> transaction will not need to notify ahead of the transaction. </w:t>
      </w:r>
    </w:p>
    <w:p w14:paraId="2E82AD39" w14:textId="1B3FD769" w:rsidR="00195A9F" w:rsidRDefault="00195A9F" w:rsidP="00195A9F">
      <w:pPr>
        <w:spacing w:before="240" w:after="200"/>
      </w:pPr>
      <w:bookmarkStart w:id="1" w:name="bkSelection"/>
      <w:bookmarkEnd w:id="1"/>
      <w:r>
        <w:t xml:space="preserve">Paragraph 40A(2)(c) provides </w:t>
      </w:r>
      <w:r w:rsidR="00995E8A">
        <w:t>three</w:t>
      </w:r>
      <w:r>
        <w:t xml:space="preserve"> specific criteria with the acquisition needing to meet one of them to ensure there is a sufficient connection between the acquirer and the seller or target. Only one of the criteria must be satisfied, to meet the requirement. Specifically, the acquisition must satisfy at least one of the following:</w:t>
      </w:r>
    </w:p>
    <w:p w14:paraId="663C3E4B" w14:textId="77777777" w:rsidR="00195A9F" w:rsidRDefault="00195A9F" w:rsidP="00195A9F">
      <w:pPr>
        <w:pStyle w:val="OutlineNumbered1"/>
      </w:pPr>
      <w:r>
        <w:t xml:space="preserve">The acquisition is made from the acquirer acting in a different capacity to its capacity as the responsible entity or RSE licensee of the acquiring fund. This provides for transactions where the legal interest of the securities in the target fund remains with the same entity. </w:t>
      </w:r>
    </w:p>
    <w:p w14:paraId="302EB43D" w14:textId="77777777" w:rsidR="00195A9F" w:rsidRDefault="00195A9F" w:rsidP="00195A9F">
      <w:pPr>
        <w:pStyle w:val="Bullet"/>
        <w:numPr>
          <w:ilvl w:val="0"/>
          <w:numId w:val="0"/>
        </w:numPr>
        <w:jc w:val="center"/>
        <w:rPr>
          <w:shd w:val="clear" w:color="auto" w:fill="FFFFFF"/>
        </w:rPr>
      </w:pPr>
      <w:r>
        <w:rPr>
          <w:noProof/>
          <w:shd w:val="clear" w:color="auto" w:fill="FFFFFF"/>
        </w:rPr>
        <w:drawing>
          <wp:inline distT="0" distB="0" distL="0" distR="0" wp14:anchorId="5F009F8C" wp14:editId="1D6CA25B">
            <wp:extent cx="2162639" cy="2067636"/>
            <wp:effectExtent l="19050" t="19050" r="28575" b="27940"/>
            <wp:docPr id="950018747" name="Picture 8" descr="Diagram 1 – section 40A(2)(c)(i): an interfunding transaction where the acquirer (the responsible entity), is the responsible entity of both the acquiring fund and the selling fund Page 5 of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18747" name="Picture 8" descr="Diagram 1 – section 40A(2)(c)(i): an interfunding transaction where the acquirer (the responsible entity), is the responsible entity of both the acquiring fund and the selling fund Page 5 of 1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02" t="-1040" r="-955" b="23"/>
                    <a:stretch/>
                  </pic:blipFill>
                  <pic:spPr bwMode="auto">
                    <a:xfrm>
                      <a:off x="0" y="0"/>
                      <a:ext cx="2164005" cy="2068942"/>
                    </a:xfrm>
                    <a:prstGeom prst="rect">
                      <a:avLst/>
                    </a:prstGeom>
                    <a:noFill/>
                    <a:ln>
                      <a:solidFill>
                        <a:schemeClr val="bg1"/>
                      </a:solidFill>
                    </a:ln>
                    <a:extLst>
                      <a:ext uri="{53640926-AAD7-44D8-BBD7-CCE9431645EC}">
                        <a14:shadowObscured xmlns:a14="http://schemas.microsoft.com/office/drawing/2010/main"/>
                      </a:ext>
                    </a:extLst>
                  </pic:spPr>
                </pic:pic>
              </a:graphicData>
            </a:graphic>
          </wp:inline>
        </w:drawing>
      </w:r>
    </w:p>
    <w:p w14:paraId="0AC55EB5" w14:textId="77777777" w:rsidR="00195A9F" w:rsidRDefault="00195A9F" w:rsidP="00195A9F">
      <w:pPr>
        <w:pStyle w:val="Bullet"/>
        <w:numPr>
          <w:ilvl w:val="0"/>
          <w:numId w:val="0"/>
        </w:numPr>
        <w:jc w:val="center"/>
        <w:rPr>
          <w:shd w:val="clear" w:color="auto" w:fill="FFFFFF"/>
        </w:rPr>
      </w:pPr>
      <w:r w:rsidRPr="00547F3B">
        <w:rPr>
          <w:noProof/>
          <w:shd w:val="clear" w:color="auto" w:fill="FFFFFF"/>
        </w:rPr>
        <mc:AlternateContent>
          <mc:Choice Requires="wps">
            <w:drawing>
              <wp:inline distT="0" distB="0" distL="0" distR="0" wp14:anchorId="2CAF1E56" wp14:editId="765BFA59">
                <wp:extent cx="4611600" cy="1404620"/>
                <wp:effectExtent l="0" t="0" r="17780" b="21590"/>
                <wp:docPr id="217" name="Text Box 2" descr="Text box for Diagram 1– section 40A(2)(c)(i) Page 5 of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600" cy="1404620"/>
                        </a:xfrm>
                        <a:prstGeom prst="rect">
                          <a:avLst/>
                        </a:prstGeom>
                        <a:solidFill>
                          <a:srgbClr val="FFFFFF"/>
                        </a:solidFill>
                        <a:ln w="9525">
                          <a:solidFill>
                            <a:srgbClr val="000000"/>
                          </a:solidFill>
                          <a:miter lim="800000"/>
                          <a:headEnd/>
                          <a:tailEnd/>
                        </a:ln>
                      </wps:spPr>
                      <wps:txbx>
                        <w:txbxContent>
                          <w:p w14:paraId="71BAE703" w14:textId="77777777" w:rsidR="00195A9F" w:rsidRDefault="00195A9F" w:rsidP="00195A9F">
                            <w:r>
                              <w:rPr>
                                <w:b/>
                                <w:bCs/>
                                <w:i/>
                                <w:iCs/>
                                <w:shd w:val="clear" w:color="auto" w:fill="FFFFFF"/>
                              </w:rPr>
                              <w:t xml:space="preserve">Diagram </w:t>
                            </w:r>
                            <w:r w:rsidRPr="005C0643">
                              <w:rPr>
                                <w:b/>
                                <w:bCs/>
                                <w:i/>
                                <w:iCs/>
                                <w:shd w:val="clear" w:color="auto" w:fill="FFFFFF"/>
                              </w:rPr>
                              <w:t>1</w:t>
                            </w:r>
                            <w:r w:rsidRPr="00234632">
                              <w:rPr>
                                <w:b/>
                                <w:bCs/>
                                <w:i/>
                                <w:iCs/>
                                <w:shd w:val="clear" w:color="auto" w:fill="FFFFFF"/>
                              </w:rPr>
                              <w:t>– section 40A(2)(c)(i)</w:t>
                            </w:r>
                            <w:r w:rsidRPr="005C0643">
                              <w:rPr>
                                <w:b/>
                                <w:bCs/>
                                <w:i/>
                                <w:iCs/>
                                <w:shd w:val="clear" w:color="auto" w:fill="FFFFFF"/>
                              </w:rPr>
                              <w:t>:</w:t>
                            </w:r>
                            <w:r w:rsidRPr="005C0643">
                              <w:rPr>
                                <w:i/>
                                <w:iCs/>
                                <w:shd w:val="clear" w:color="auto" w:fill="FFFFFF"/>
                              </w:rPr>
                              <w:t xml:space="preserve"> an interfunding transaction where the acquirer (the responsible entity), is the responsible entity of both the acquiring fund and the selling fund.</w:t>
                            </w:r>
                          </w:p>
                        </w:txbxContent>
                      </wps:txbx>
                      <wps:bodyPr rot="0" vert="horz" wrap="square" lIns="91440" tIns="45720" rIns="91440" bIns="45720" anchor="t" anchorCtr="0">
                        <a:spAutoFit/>
                      </wps:bodyPr>
                    </wps:wsp>
                  </a:graphicData>
                </a:graphic>
              </wp:inline>
            </w:drawing>
          </mc:Choice>
          <mc:Fallback>
            <w:pict>
              <v:shapetype w14:anchorId="2CAF1E56" id="_x0000_t202" coordsize="21600,21600" o:spt="202" path="m,l,21600r21600,l21600,xe">
                <v:stroke joinstyle="miter"/>
                <v:path gradientshapeok="t" o:connecttype="rect"/>
              </v:shapetype>
              <v:shape id="Text Box 2" o:spid="_x0000_s1026" type="#_x0000_t202" alt="Text box for Diagram 1– section 40A(2)(c)(i) Page 5 of 14" style="width:363.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Wg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">
                <v:textbox style="mso-fit-shape-to-text:t">
                  <w:txbxContent>
                    <w:p w14:paraId="71BAE703" w14:textId="77777777" w:rsidR="00195A9F" w:rsidRDefault="00195A9F" w:rsidP="00195A9F">
                      <w:r>
                        <w:rPr>
                          <w:b/>
                          <w:bCs/>
                          <w:i/>
                          <w:iCs/>
                          <w:shd w:val="clear" w:color="auto" w:fill="FFFFFF"/>
                        </w:rPr>
                        <w:t xml:space="preserve">Diagram </w:t>
                      </w:r>
                      <w:r w:rsidRPr="005C0643">
                        <w:rPr>
                          <w:b/>
                          <w:bCs/>
                          <w:i/>
                          <w:iCs/>
                          <w:shd w:val="clear" w:color="auto" w:fill="FFFFFF"/>
                        </w:rPr>
                        <w:t>1</w:t>
                      </w:r>
                      <w:r w:rsidRPr="00234632">
                        <w:rPr>
                          <w:b/>
                          <w:bCs/>
                          <w:i/>
                          <w:iCs/>
                          <w:shd w:val="clear" w:color="auto" w:fill="FFFFFF"/>
                        </w:rPr>
                        <w:t>– section 40A(2)(c)(i)</w:t>
                      </w:r>
                      <w:r w:rsidRPr="005C0643">
                        <w:rPr>
                          <w:b/>
                          <w:bCs/>
                          <w:i/>
                          <w:iCs/>
                          <w:shd w:val="clear" w:color="auto" w:fill="FFFFFF"/>
                        </w:rPr>
                        <w:t>:</w:t>
                      </w:r>
                      <w:r w:rsidRPr="005C0643">
                        <w:rPr>
                          <w:i/>
                          <w:iCs/>
                          <w:shd w:val="clear" w:color="auto" w:fill="FFFFFF"/>
                        </w:rPr>
                        <w:t xml:space="preserve"> an interfunding transaction where the acquirer (the responsible entity), is the responsible entity of both the acquiring fund and the selling fund.</w:t>
                      </w:r>
                    </w:p>
                  </w:txbxContent>
                </v:textbox>
                <w10:anchorlock/>
              </v:shape>
            </w:pict>
          </mc:Fallback>
        </mc:AlternateContent>
      </w:r>
    </w:p>
    <w:p w14:paraId="50CEF15D" w14:textId="77777777" w:rsidR="00195A9F" w:rsidRPr="0031373A" w:rsidRDefault="00195A9F" w:rsidP="00195A9F">
      <w:pPr>
        <w:pStyle w:val="OutlineNumbered1"/>
        <w:spacing w:before="240"/>
      </w:pPr>
      <w:r>
        <w:t xml:space="preserve">The acquisition is made from a related body corporate of the acquirer. That is, the seller is a related body corporate of the responsible entity or RSE licensee of the acquiring fund. This provides for transactions that involve a transfer of legal interests between different entities within the same </w:t>
      </w:r>
      <w:proofErr w:type="spellStart"/>
      <w:r>
        <w:t>interfunding</w:t>
      </w:r>
      <w:proofErr w:type="spellEnd"/>
      <w:r>
        <w:t xml:space="preserve"> group of funds, however it does not require the seller to </w:t>
      </w:r>
      <w:r w:rsidRPr="005C0643">
        <w:t>meet</w:t>
      </w:r>
      <w:r w:rsidRPr="00AC233C">
        <w:t xml:space="preserve"> the </w:t>
      </w:r>
      <w:r w:rsidRPr="005C0643">
        <w:t>criteria in paragraph 40A(2)(a)</w:t>
      </w:r>
      <w:r w:rsidRPr="00C9596B">
        <w:t>.</w:t>
      </w:r>
      <w:r>
        <w:t xml:space="preserve">  </w:t>
      </w:r>
    </w:p>
    <w:p w14:paraId="2E0E4BB0" w14:textId="77777777" w:rsidR="00195A9F" w:rsidRDefault="00195A9F" w:rsidP="00195A9F">
      <w:pPr>
        <w:pStyle w:val="Bullet"/>
        <w:numPr>
          <w:ilvl w:val="0"/>
          <w:numId w:val="0"/>
        </w:numPr>
        <w:jc w:val="center"/>
        <w:rPr>
          <w:shd w:val="clear" w:color="auto" w:fill="FFFFFF"/>
        </w:rPr>
      </w:pPr>
      <w:r>
        <w:rPr>
          <w:noProof/>
          <w:shd w:val="clear" w:color="auto" w:fill="FFFFFF"/>
        </w:rPr>
        <w:lastRenderedPageBreak/>
        <w:drawing>
          <wp:inline distT="0" distB="0" distL="0" distR="0" wp14:anchorId="01EEDE6A" wp14:editId="29F32AED">
            <wp:extent cx="1952625" cy="2258060"/>
            <wp:effectExtent l="0" t="0" r="9525" b="8890"/>
            <wp:docPr id="1206875347" name="Picture 5" descr="Diagram 2 – section 40A(2)(c)(ii): an interfunding transaction where the acquirer is in the same interfunding group of funds as the seller. While the target fund is external to the interfunding group of funds, the acquisition is still eligible for the intefunding exemption as the legal interest in the target fund remains within the same group of funds Page 6 of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75347" name="Picture 5" descr="Diagram 2 – section 40A(2)(c)(ii): an interfunding transaction where the acquirer is in the same interfunding group of funds as the seller. While the target fund is external to the interfunding group of funds, the acquisition is still eligible for the intefunding exemption as the legal interest in the target fund remains within the same group of funds Page 6 of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9090" cy="2277101"/>
                    </a:xfrm>
                    <a:prstGeom prst="rect">
                      <a:avLst/>
                    </a:prstGeom>
                    <a:noFill/>
                  </pic:spPr>
                </pic:pic>
              </a:graphicData>
            </a:graphic>
          </wp:inline>
        </w:drawing>
      </w:r>
    </w:p>
    <w:p w14:paraId="757A5CAD" w14:textId="77777777" w:rsidR="00195A9F" w:rsidRPr="009804CB" w:rsidRDefault="00195A9F" w:rsidP="00195A9F">
      <w:pPr>
        <w:pStyle w:val="Bullet"/>
        <w:numPr>
          <w:ilvl w:val="0"/>
          <w:numId w:val="0"/>
        </w:numPr>
        <w:jc w:val="center"/>
        <w:rPr>
          <w:shd w:val="clear" w:color="auto" w:fill="FFFFFF"/>
        </w:rPr>
      </w:pPr>
      <w:r w:rsidRPr="00547F3B">
        <w:rPr>
          <w:noProof/>
          <w:shd w:val="clear" w:color="auto" w:fill="FFFFFF"/>
        </w:rPr>
        <mc:AlternateContent>
          <mc:Choice Requires="wps">
            <w:drawing>
              <wp:inline distT="0" distB="0" distL="0" distR="0" wp14:anchorId="32DA4796" wp14:editId="7F69D3F3">
                <wp:extent cx="4611600" cy="1404620"/>
                <wp:effectExtent l="0" t="0" r="17780" b="13970"/>
                <wp:docPr id="993955572" name="Text Box 2" descr="Text box for Diagram 2 – section 40A(2)(c)(ii) Page 6 of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600" cy="1404620"/>
                        </a:xfrm>
                        <a:prstGeom prst="rect">
                          <a:avLst/>
                        </a:prstGeom>
                        <a:solidFill>
                          <a:srgbClr val="FFFFFF"/>
                        </a:solidFill>
                        <a:ln w="9525">
                          <a:solidFill>
                            <a:srgbClr val="000000"/>
                          </a:solidFill>
                          <a:miter lim="800000"/>
                          <a:headEnd/>
                          <a:tailEnd/>
                        </a:ln>
                      </wps:spPr>
                      <wps:txbx>
                        <w:txbxContent>
                          <w:p w14:paraId="2A3D4112" w14:textId="2A9C79B2" w:rsidR="00195A9F" w:rsidRDefault="00195A9F" w:rsidP="00195A9F">
                            <w:r>
                              <w:rPr>
                                <w:b/>
                                <w:bCs/>
                                <w:i/>
                                <w:iCs/>
                                <w:shd w:val="clear" w:color="auto" w:fill="FFFFFF"/>
                              </w:rPr>
                              <w:t xml:space="preserve">Diagram 2 </w:t>
                            </w:r>
                            <w:r w:rsidRPr="00234632">
                              <w:rPr>
                                <w:b/>
                                <w:bCs/>
                                <w:i/>
                                <w:iCs/>
                                <w:shd w:val="clear" w:color="auto" w:fill="FFFFFF"/>
                              </w:rPr>
                              <w:t>–</w:t>
                            </w:r>
                            <w:r w:rsidRPr="005C0643">
                              <w:rPr>
                                <w:b/>
                                <w:bCs/>
                                <w:i/>
                                <w:iCs/>
                                <w:shd w:val="clear" w:color="auto" w:fill="FFFFFF"/>
                              </w:rPr>
                              <w:t xml:space="preserve"> section 40A(2)(c)(ii):</w:t>
                            </w:r>
                            <w:r w:rsidRPr="005C0643">
                              <w:rPr>
                                <w:i/>
                                <w:iCs/>
                                <w:shd w:val="clear" w:color="auto" w:fill="FFFFFF"/>
                              </w:rPr>
                              <w:t xml:space="preserve"> an interfunding transaction where the acquirer is in the same interfunding group of funds as the seller. While the target fund is external to the interfunding group of funds, the acquisition is still eligible for the intefunding exemption as the legal interest in the target fund remains within the same </w:t>
                            </w:r>
                            <w:r w:rsidR="00E81C3F">
                              <w:rPr>
                                <w:i/>
                                <w:iCs/>
                                <w:shd w:val="clear" w:color="auto" w:fill="FFFFFF"/>
                              </w:rPr>
                              <w:t xml:space="preserve">group </w:t>
                            </w:r>
                            <w:r w:rsidRPr="005C0643">
                              <w:rPr>
                                <w:i/>
                                <w:iCs/>
                                <w:shd w:val="clear" w:color="auto" w:fill="FFFFFF"/>
                              </w:rPr>
                              <w:t>of funds.</w:t>
                            </w:r>
                          </w:p>
                        </w:txbxContent>
                      </wps:txbx>
                      <wps:bodyPr rot="0" vert="horz" wrap="square" lIns="91440" tIns="45720" rIns="91440" bIns="45720" anchor="t" anchorCtr="0">
                        <a:spAutoFit/>
                      </wps:bodyPr>
                    </wps:wsp>
                  </a:graphicData>
                </a:graphic>
              </wp:inline>
            </w:drawing>
          </mc:Choice>
          <mc:Fallback>
            <w:pict>
              <v:shape w14:anchorId="32DA4796" id="_x0000_s1027" type="#_x0000_t202" alt="Text box for Diagram 2 – section 40A(2)(c)(ii) Page 6 of 14" style="width:363.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">
                <v:textbox style="mso-fit-shape-to-text:t">
                  <w:txbxContent>
                    <w:p w14:paraId="2A3D4112" w14:textId="2A9C79B2" w:rsidR="00195A9F" w:rsidRDefault="00195A9F" w:rsidP="00195A9F">
                      <w:r>
                        <w:rPr>
                          <w:b/>
                          <w:bCs/>
                          <w:i/>
                          <w:iCs/>
                          <w:shd w:val="clear" w:color="auto" w:fill="FFFFFF"/>
                        </w:rPr>
                        <w:t xml:space="preserve">Diagram 2 </w:t>
                      </w:r>
                      <w:r w:rsidRPr="00234632">
                        <w:rPr>
                          <w:b/>
                          <w:bCs/>
                          <w:i/>
                          <w:iCs/>
                          <w:shd w:val="clear" w:color="auto" w:fill="FFFFFF"/>
                        </w:rPr>
                        <w:t>–</w:t>
                      </w:r>
                      <w:r w:rsidRPr="005C0643">
                        <w:rPr>
                          <w:b/>
                          <w:bCs/>
                          <w:i/>
                          <w:iCs/>
                          <w:shd w:val="clear" w:color="auto" w:fill="FFFFFF"/>
                        </w:rPr>
                        <w:t xml:space="preserve"> section 40A(2)(c)(ii):</w:t>
                      </w:r>
                      <w:r w:rsidRPr="005C0643">
                        <w:rPr>
                          <w:i/>
                          <w:iCs/>
                          <w:shd w:val="clear" w:color="auto" w:fill="FFFFFF"/>
                        </w:rPr>
                        <w:t xml:space="preserve"> an interfunding transaction where the acquirer is in the same interfunding group of funds as the seller. While the target fund is external to the interfunding group of funds, the acquisition is still eligible for the intefunding exemption as the legal interest in the target fund remains within the same </w:t>
                      </w:r>
                      <w:r w:rsidR="00E81C3F">
                        <w:rPr>
                          <w:i/>
                          <w:iCs/>
                          <w:shd w:val="clear" w:color="auto" w:fill="FFFFFF"/>
                        </w:rPr>
                        <w:t xml:space="preserve">group </w:t>
                      </w:r>
                      <w:r w:rsidRPr="005C0643">
                        <w:rPr>
                          <w:i/>
                          <w:iCs/>
                          <w:shd w:val="clear" w:color="auto" w:fill="FFFFFF"/>
                        </w:rPr>
                        <w:t>of funds.</w:t>
                      </w:r>
                    </w:p>
                  </w:txbxContent>
                </v:textbox>
                <w10:anchorlock/>
              </v:shape>
            </w:pict>
          </mc:Fallback>
        </mc:AlternateContent>
      </w:r>
    </w:p>
    <w:p w14:paraId="72424C76" w14:textId="77777777" w:rsidR="00195A9F" w:rsidRDefault="00195A9F" w:rsidP="00195A9F">
      <w:pPr>
        <w:pStyle w:val="OutlineNumbered1"/>
      </w:pPr>
      <w:r>
        <w:t>The responsible entity or the RSE licensee of the target fund is a related body corporate of the acquirer</w:t>
      </w:r>
      <w:r w:rsidRPr="003238D2">
        <w:t>.</w:t>
      </w:r>
      <w:r w:rsidRPr="00D25552">
        <w:t xml:space="preserve"> This </w:t>
      </w:r>
      <w:r>
        <w:t xml:space="preserve">provides for </w:t>
      </w:r>
      <w:r w:rsidRPr="00D25552">
        <w:t xml:space="preserve">transactions </w:t>
      </w:r>
      <w:r>
        <w:t>where</w:t>
      </w:r>
      <w:r w:rsidRPr="00D25552">
        <w:t xml:space="preserve"> interests</w:t>
      </w:r>
      <w:r>
        <w:t xml:space="preserve"> in securities</w:t>
      </w:r>
      <w:r w:rsidRPr="00D25552">
        <w:t xml:space="preserve"> are acquired from a</w:t>
      </w:r>
      <w:r>
        <w:t>ny</w:t>
      </w:r>
      <w:r w:rsidRPr="00D25552">
        <w:t xml:space="preserve"> </w:t>
      </w:r>
      <w:r>
        <w:t>seller</w:t>
      </w:r>
      <w:r w:rsidRPr="00D25552">
        <w:t xml:space="preserve"> </w:t>
      </w:r>
      <w:r>
        <w:t xml:space="preserve">but </w:t>
      </w:r>
      <w:r w:rsidRPr="00D25552">
        <w:t xml:space="preserve">where the interests are being </w:t>
      </w:r>
      <w:r>
        <w:t>brought into</w:t>
      </w:r>
      <w:r w:rsidRPr="00D25552">
        <w:t xml:space="preserve"> </w:t>
      </w:r>
      <w:r>
        <w:t xml:space="preserve">an </w:t>
      </w:r>
      <w:proofErr w:type="spellStart"/>
      <w:r>
        <w:t>interfunding</w:t>
      </w:r>
      <w:proofErr w:type="spellEnd"/>
      <w:r>
        <w:t xml:space="preserve"> group </w:t>
      </w:r>
      <w:r w:rsidRPr="00D25552">
        <w:t>of funds</w:t>
      </w:r>
      <w:r>
        <w:t xml:space="preserve"> to which the responsible entity or the RSE licensee of the target fund already belongs</w:t>
      </w:r>
      <w:r w:rsidRPr="00D25552">
        <w:t>.</w:t>
      </w:r>
      <w:r>
        <w:t xml:space="preserve"> </w:t>
      </w:r>
    </w:p>
    <w:p w14:paraId="747C2F31" w14:textId="77777777" w:rsidR="00195A9F" w:rsidRDefault="00195A9F" w:rsidP="00195A9F">
      <w:pPr>
        <w:pStyle w:val="Bullet"/>
        <w:numPr>
          <w:ilvl w:val="0"/>
          <w:numId w:val="0"/>
        </w:numPr>
        <w:ind w:left="567"/>
        <w:jc w:val="center"/>
        <w:rPr>
          <w:shd w:val="clear" w:color="auto" w:fill="FFFFFF"/>
        </w:rPr>
      </w:pPr>
      <w:r>
        <w:rPr>
          <w:noProof/>
        </w:rPr>
        <w:drawing>
          <wp:inline distT="0" distB="0" distL="0" distR="0" wp14:anchorId="3EA49A8C" wp14:editId="191E4740">
            <wp:extent cx="1951200" cy="2636952"/>
            <wp:effectExtent l="0" t="0" r="0" b="0"/>
            <wp:docPr id="2030060989" name="Picture 4" descr="Diagram 3 – section 40A(2)(c)(iii): an interfunding transaction where the acquirer is in the same interfunding group of funds as the responsible entity or the RSE licensee of the target fund. The seller is not within the interfunding group of funds and does not need to meet the criteria in paragraph 40A(2)(a) Page 6 of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60989" name="Picture 4" descr="Diagram 3 – section 40A(2)(c)(iii): an interfunding transaction where the acquirer is in the same interfunding group of funds as the responsible entity or the RSE licensee of the target fund. The seller is not within the interfunding group of funds and does not need to meet the criteria in paragraph 40A(2)(a) Page 6 of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1200" cy="2636952"/>
                    </a:xfrm>
                    <a:prstGeom prst="rect">
                      <a:avLst/>
                    </a:prstGeom>
                    <a:noFill/>
                  </pic:spPr>
                </pic:pic>
              </a:graphicData>
            </a:graphic>
          </wp:inline>
        </w:drawing>
      </w:r>
    </w:p>
    <w:p w14:paraId="5B2B7365" w14:textId="77777777" w:rsidR="00195A9F" w:rsidRDefault="00195A9F" w:rsidP="00195A9F">
      <w:pPr>
        <w:pStyle w:val="Bullet"/>
        <w:numPr>
          <w:ilvl w:val="0"/>
          <w:numId w:val="0"/>
        </w:numPr>
        <w:jc w:val="center"/>
        <w:rPr>
          <w:b/>
          <w:bCs/>
          <w:shd w:val="clear" w:color="auto" w:fill="FFFFFF"/>
        </w:rPr>
      </w:pPr>
      <w:r w:rsidRPr="00547F3B">
        <w:rPr>
          <w:noProof/>
          <w:shd w:val="clear" w:color="auto" w:fill="FFFFFF"/>
        </w:rPr>
        <mc:AlternateContent>
          <mc:Choice Requires="wps">
            <w:drawing>
              <wp:inline distT="0" distB="0" distL="0" distR="0" wp14:anchorId="1717CFDB" wp14:editId="728B64A2">
                <wp:extent cx="4611600" cy="1129664"/>
                <wp:effectExtent l="0" t="0" r="17780" b="13970"/>
                <wp:docPr id="1657278527" name="Text Box 2" descr="Text box for Diagram 3 – section 40A(2)(c)(iii) Page 6 of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600" cy="1129664"/>
                        </a:xfrm>
                        <a:prstGeom prst="rect">
                          <a:avLst/>
                        </a:prstGeom>
                        <a:solidFill>
                          <a:srgbClr val="FFFFFF"/>
                        </a:solidFill>
                        <a:ln w="9525">
                          <a:solidFill>
                            <a:srgbClr val="000000"/>
                          </a:solidFill>
                          <a:miter lim="800000"/>
                          <a:headEnd/>
                          <a:tailEnd/>
                        </a:ln>
                      </wps:spPr>
                      <wps:txbx>
                        <w:txbxContent>
                          <w:p w14:paraId="0AF6276F" w14:textId="77777777" w:rsidR="00195A9F" w:rsidRDefault="00195A9F" w:rsidP="00195A9F">
                            <w:r>
                              <w:rPr>
                                <w:b/>
                                <w:bCs/>
                                <w:i/>
                                <w:iCs/>
                                <w:shd w:val="clear" w:color="auto" w:fill="FFFFFF"/>
                              </w:rPr>
                              <w:t xml:space="preserve">Diagram 3 </w:t>
                            </w:r>
                            <w:r w:rsidRPr="00234632">
                              <w:rPr>
                                <w:b/>
                                <w:bCs/>
                                <w:i/>
                                <w:iCs/>
                                <w:shd w:val="clear" w:color="auto" w:fill="FFFFFF"/>
                              </w:rPr>
                              <w:t>–</w:t>
                            </w:r>
                            <w:r w:rsidRPr="005C0643">
                              <w:rPr>
                                <w:b/>
                                <w:bCs/>
                                <w:i/>
                                <w:iCs/>
                                <w:shd w:val="clear" w:color="auto" w:fill="FFFFFF"/>
                              </w:rPr>
                              <w:t xml:space="preserve"> section 40A(2)(c)(iii):</w:t>
                            </w:r>
                            <w:r w:rsidRPr="005C0643">
                              <w:rPr>
                                <w:i/>
                                <w:shd w:val="clear" w:color="auto" w:fill="FFFFFF"/>
                              </w:rPr>
                              <w:t xml:space="preserve"> </w:t>
                            </w:r>
                            <w:r w:rsidRPr="005C0643">
                              <w:rPr>
                                <w:i/>
                              </w:rPr>
                              <w:t xml:space="preserve">an interfunding transaction where the acquirer is in the same interfunding group of funds as the </w:t>
                            </w:r>
                            <w:r w:rsidRPr="005C0643">
                              <w:rPr>
                                <w:i/>
                                <w:shd w:val="clear" w:color="auto" w:fill="FFFFFF"/>
                              </w:rPr>
                              <w:t xml:space="preserve">responsible entity or the RSE licensee of the </w:t>
                            </w:r>
                            <w:r w:rsidRPr="005C0643">
                              <w:rPr>
                                <w:i/>
                              </w:rPr>
                              <w:t xml:space="preserve">target fund. </w:t>
                            </w:r>
                            <w:r w:rsidRPr="005C0643">
                              <w:rPr>
                                <w:i/>
                                <w:iCs/>
                              </w:rPr>
                              <w:t xml:space="preserve">The seller is not within the interfunding group of funds and does not need to meet the criteria in </w:t>
                            </w:r>
                            <w:r>
                              <w:rPr>
                                <w:i/>
                                <w:iCs/>
                              </w:rPr>
                              <w:t>paragraph</w:t>
                            </w:r>
                            <w:r w:rsidRPr="005C0643">
                              <w:rPr>
                                <w:i/>
                                <w:iCs/>
                              </w:rPr>
                              <w:t xml:space="preserve"> 40A(2)(a).</w:t>
                            </w:r>
                          </w:p>
                        </w:txbxContent>
                      </wps:txbx>
                      <wps:bodyPr rot="0" vert="horz" wrap="square" lIns="91440" tIns="45720" rIns="91440" bIns="45720" anchor="t" anchorCtr="0">
                        <a:spAutoFit/>
                      </wps:bodyPr>
                    </wps:wsp>
                  </a:graphicData>
                </a:graphic>
              </wp:inline>
            </w:drawing>
          </mc:Choice>
          <mc:Fallback>
            <w:pict>
              <v:shape w14:anchorId="1717CFDB" id="_x0000_s1028" type="#_x0000_t202" alt="Text box for Diagram 3 – section 40A(2)(c)(iii) Page 6 of 14" style="width:363.1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">
                <v:textbox style="mso-fit-shape-to-text:t">
                  <w:txbxContent>
                    <w:p w14:paraId="0AF6276F" w14:textId="77777777" w:rsidR="00195A9F" w:rsidRDefault="00195A9F" w:rsidP="00195A9F">
                      <w:r>
                        <w:rPr>
                          <w:b/>
                          <w:bCs/>
                          <w:i/>
                          <w:iCs/>
                          <w:shd w:val="clear" w:color="auto" w:fill="FFFFFF"/>
                        </w:rPr>
                        <w:t xml:space="preserve">Diagram 3 </w:t>
                      </w:r>
                      <w:r w:rsidRPr="00234632">
                        <w:rPr>
                          <w:b/>
                          <w:bCs/>
                          <w:i/>
                          <w:iCs/>
                          <w:shd w:val="clear" w:color="auto" w:fill="FFFFFF"/>
                        </w:rPr>
                        <w:t>–</w:t>
                      </w:r>
                      <w:r w:rsidRPr="005C0643">
                        <w:rPr>
                          <w:b/>
                          <w:bCs/>
                          <w:i/>
                          <w:iCs/>
                          <w:shd w:val="clear" w:color="auto" w:fill="FFFFFF"/>
                        </w:rPr>
                        <w:t xml:space="preserve"> section 40A(2)(c)(iii):</w:t>
                      </w:r>
                      <w:r w:rsidRPr="005C0643">
                        <w:rPr>
                          <w:i/>
                          <w:shd w:val="clear" w:color="auto" w:fill="FFFFFF"/>
                        </w:rPr>
                        <w:t xml:space="preserve"> </w:t>
                      </w:r>
                      <w:r w:rsidRPr="005C0643">
                        <w:rPr>
                          <w:i/>
                        </w:rPr>
                        <w:t xml:space="preserve">an interfunding transaction where the acquirer is in the same interfunding group of funds as the </w:t>
                      </w:r>
                      <w:r w:rsidRPr="005C0643">
                        <w:rPr>
                          <w:i/>
                          <w:shd w:val="clear" w:color="auto" w:fill="FFFFFF"/>
                        </w:rPr>
                        <w:t xml:space="preserve">responsible entity or the RSE licensee of the </w:t>
                      </w:r>
                      <w:r w:rsidRPr="005C0643">
                        <w:rPr>
                          <w:i/>
                        </w:rPr>
                        <w:t xml:space="preserve">target fund. </w:t>
                      </w:r>
                      <w:r w:rsidRPr="005C0643">
                        <w:rPr>
                          <w:i/>
                          <w:iCs/>
                        </w:rPr>
                        <w:t xml:space="preserve">The seller is not within the interfunding group of funds and does not need to meet the criteria in </w:t>
                      </w:r>
                      <w:r>
                        <w:rPr>
                          <w:i/>
                          <w:iCs/>
                        </w:rPr>
                        <w:t>paragraph</w:t>
                      </w:r>
                      <w:r w:rsidRPr="005C0643">
                        <w:rPr>
                          <w:i/>
                          <w:iCs/>
                        </w:rPr>
                        <w:t xml:space="preserve"> 40A(2)(a).</w:t>
                      </w:r>
                    </w:p>
                  </w:txbxContent>
                </v:textbox>
                <w10:anchorlock/>
              </v:shape>
            </w:pict>
          </mc:Fallback>
        </mc:AlternateContent>
      </w:r>
    </w:p>
    <w:p w14:paraId="2CF6C8A1" w14:textId="469EBBB9" w:rsidR="00195A9F" w:rsidRDefault="00195A9F" w:rsidP="00195A9F">
      <w:pPr>
        <w:spacing w:before="240" w:after="200"/>
        <w:rPr>
          <w:shd w:val="clear" w:color="auto" w:fill="FFFFFF"/>
        </w:rPr>
      </w:pPr>
      <w:r>
        <w:lastRenderedPageBreak/>
        <w:t xml:space="preserve">There are some transactions that will not meet this requirement for the </w:t>
      </w:r>
      <w:proofErr w:type="spellStart"/>
      <w:r>
        <w:t>interfunding</w:t>
      </w:r>
      <w:proofErr w:type="spellEnd"/>
      <w:r>
        <w:t xml:space="preserve"> exemption. This could occur if</w:t>
      </w:r>
      <w:r w:rsidR="005328E6">
        <w:t xml:space="preserve"> the</w:t>
      </w:r>
      <w:r>
        <w:t xml:space="preserve"> transaction illustrated in Diagram 3 were reversed, or in situations where the </w:t>
      </w:r>
      <w:r w:rsidRPr="005C0643">
        <w:t>responsible entit</w:t>
      </w:r>
      <w:r>
        <w:t>ies</w:t>
      </w:r>
      <w:r w:rsidRPr="005C0643">
        <w:t xml:space="preserve"> or the RSE licensee</w:t>
      </w:r>
      <w:r>
        <w:t xml:space="preserve">s of the seller, acquirer, and target were in three separate </w:t>
      </w:r>
      <w:proofErr w:type="spellStart"/>
      <w:r>
        <w:t>interfunding</w:t>
      </w:r>
      <w:proofErr w:type="spellEnd"/>
      <w:r>
        <w:t xml:space="preserve"> groups of funds.</w:t>
      </w:r>
    </w:p>
    <w:p w14:paraId="127B8149" w14:textId="77777777" w:rsidR="00195A9F" w:rsidRDefault="00195A9F" w:rsidP="00195A9F">
      <w:pPr>
        <w:pStyle w:val="Bullet"/>
        <w:numPr>
          <w:ilvl w:val="0"/>
          <w:numId w:val="0"/>
        </w:numPr>
        <w:jc w:val="center"/>
        <w:rPr>
          <w:b/>
          <w:bCs/>
        </w:rPr>
      </w:pPr>
      <w:r>
        <w:rPr>
          <w:b/>
          <w:bCs/>
          <w:noProof/>
        </w:rPr>
        <w:drawing>
          <wp:inline distT="0" distB="0" distL="0" distR="0" wp14:anchorId="6671D98E" wp14:editId="69BECE7D">
            <wp:extent cx="1951200" cy="2636951"/>
            <wp:effectExtent l="0" t="0" r="0" b="0"/>
            <wp:docPr id="1656243890" name="Picture 6" descr="Diagram 4: a transaction which is not eligible for the interfunding exemption because the acquirer is not within the same interfunding group of funds as the target fund or the seller Page 7 of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43890" name="Picture 6" descr="Diagram 4: a transaction which is not eligible for the interfunding exemption because the acquirer is not within the same interfunding group of funds as the target fund or the seller Page 7 of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1200" cy="2636951"/>
                    </a:xfrm>
                    <a:prstGeom prst="rect">
                      <a:avLst/>
                    </a:prstGeom>
                    <a:noFill/>
                  </pic:spPr>
                </pic:pic>
              </a:graphicData>
            </a:graphic>
          </wp:inline>
        </w:drawing>
      </w:r>
    </w:p>
    <w:p w14:paraId="271B9B39" w14:textId="77777777" w:rsidR="00195A9F" w:rsidRDefault="00195A9F" w:rsidP="00195A9F">
      <w:pPr>
        <w:pStyle w:val="Bullet"/>
        <w:numPr>
          <w:ilvl w:val="0"/>
          <w:numId w:val="0"/>
        </w:numPr>
        <w:ind w:left="709"/>
        <w:rPr>
          <w:b/>
          <w:bCs/>
        </w:rPr>
      </w:pPr>
      <w:r w:rsidRPr="00547F3B">
        <w:rPr>
          <w:noProof/>
          <w:shd w:val="clear" w:color="auto" w:fill="FFFFFF"/>
        </w:rPr>
        <mc:AlternateContent>
          <mc:Choice Requires="wps">
            <w:drawing>
              <wp:inline distT="0" distB="0" distL="0" distR="0" wp14:anchorId="6E881CA9" wp14:editId="786B5DE2">
                <wp:extent cx="4610100" cy="1404620"/>
                <wp:effectExtent l="0" t="0" r="19050" b="13970"/>
                <wp:docPr id="254010695" name="Text Box 2" descr="Text box for Diagram 4 Page 7 of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04620"/>
                        </a:xfrm>
                        <a:prstGeom prst="rect">
                          <a:avLst/>
                        </a:prstGeom>
                        <a:solidFill>
                          <a:srgbClr val="FFFFFF"/>
                        </a:solidFill>
                        <a:ln w="9525">
                          <a:solidFill>
                            <a:srgbClr val="000000"/>
                          </a:solidFill>
                          <a:miter lim="800000"/>
                          <a:headEnd/>
                          <a:tailEnd/>
                        </a:ln>
                      </wps:spPr>
                      <wps:txbx>
                        <w:txbxContent>
                          <w:p w14:paraId="20538346" w14:textId="77777777" w:rsidR="00195A9F" w:rsidRDefault="00195A9F" w:rsidP="00195A9F">
                            <w:r>
                              <w:rPr>
                                <w:b/>
                                <w:bCs/>
                                <w:i/>
                                <w:iCs/>
                                <w:shd w:val="clear" w:color="auto" w:fill="FFFFFF"/>
                              </w:rPr>
                              <w:t xml:space="preserve">Diagram </w:t>
                            </w:r>
                            <w:r w:rsidRPr="005C0643">
                              <w:rPr>
                                <w:b/>
                                <w:i/>
                              </w:rPr>
                              <w:t>4</w:t>
                            </w:r>
                            <w:r w:rsidRPr="005C0643">
                              <w:rPr>
                                <w:b/>
                                <w:bCs/>
                                <w:i/>
                                <w:iCs/>
                              </w:rPr>
                              <w:t>:</w:t>
                            </w:r>
                            <w:r w:rsidRPr="005C0643">
                              <w:rPr>
                                <w:i/>
                                <w:iCs/>
                              </w:rPr>
                              <w:t xml:space="preserve"> a transaction which is </w:t>
                            </w:r>
                            <w:r w:rsidRPr="005C0643">
                              <w:rPr>
                                <w:b/>
                                <w:bCs/>
                                <w:i/>
                                <w:iCs/>
                              </w:rPr>
                              <w:t>not</w:t>
                            </w:r>
                            <w:r w:rsidRPr="005C0643">
                              <w:rPr>
                                <w:i/>
                                <w:iCs/>
                              </w:rPr>
                              <w:t xml:space="preserve"> </w:t>
                            </w:r>
                            <w:r w:rsidRPr="005C0643">
                              <w:rPr>
                                <w:i/>
                              </w:rPr>
                              <w:t xml:space="preserve">eligible for the </w:t>
                            </w:r>
                            <w:r w:rsidRPr="005C0643">
                              <w:rPr>
                                <w:i/>
                                <w:iCs/>
                              </w:rPr>
                              <w:t xml:space="preserve">interfunding </w:t>
                            </w:r>
                            <w:r w:rsidRPr="005C0643">
                              <w:rPr>
                                <w:i/>
                              </w:rPr>
                              <w:t xml:space="preserve">exemption </w:t>
                            </w:r>
                            <w:r w:rsidRPr="005C0643">
                              <w:rPr>
                                <w:i/>
                                <w:iCs/>
                              </w:rPr>
                              <w:t>because</w:t>
                            </w:r>
                            <w:r w:rsidRPr="005C0643">
                              <w:rPr>
                                <w:i/>
                              </w:rPr>
                              <w:t xml:space="preserve"> the acquirer is not within the same </w:t>
                            </w:r>
                            <w:r w:rsidRPr="005C0643">
                              <w:rPr>
                                <w:i/>
                                <w:iCs/>
                              </w:rPr>
                              <w:t>interfunding group</w:t>
                            </w:r>
                            <w:r w:rsidRPr="005C0643">
                              <w:rPr>
                                <w:i/>
                              </w:rPr>
                              <w:t xml:space="preserve"> of funds as the target fund or the </w:t>
                            </w:r>
                            <w:r w:rsidRPr="005C0643">
                              <w:rPr>
                                <w:i/>
                                <w:iCs/>
                              </w:rPr>
                              <w:t>seller.</w:t>
                            </w:r>
                          </w:p>
                        </w:txbxContent>
                      </wps:txbx>
                      <wps:bodyPr rot="0" vert="horz" wrap="square" lIns="91440" tIns="45720" rIns="91440" bIns="45720" anchor="t" anchorCtr="0">
                        <a:spAutoFit/>
                      </wps:bodyPr>
                    </wps:wsp>
                  </a:graphicData>
                </a:graphic>
              </wp:inline>
            </w:drawing>
          </mc:Choice>
          <mc:Fallback>
            <w:pict>
              <v:shape w14:anchorId="6E881CA9" id="_x0000_s1029" type="#_x0000_t202" alt="Text box for Diagram 4 Page 7 of 14" style="width:36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">
                <v:textbox style="mso-fit-shape-to-text:t">
                  <w:txbxContent>
                    <w:p w14:paraId="20538346" w14:textId="77777777" w:rsidR="00195A9F" w:rsidRDefault="00195A9F" w:rsidP="00195A9F">
                      <w:r>
                        <w:rPr>
                          <w:b/>
                          <w:bCs/>
                          <w:i/>
                          <w:iCs/>
                          <w:shd w:val="clear" w:color="auto" w:fill="FFFFFF"/>
                        </w:rPr>
                        <w:t xml:space="preserve">Diagram </w:t>
                      </w:r>
                      <w:r w:rsidRPr="005C0643">
                        <w:rPr>
                          <w:b/>
                          <w:i/>
                        </w:rPr>
                        <w:t>4</w:t>
                      </w:r>
                      <w:r w:rsidRPr="005C0643">
                        <w:rPr>
                          <w:b/>
                          <w:bCs/>
                          <w:i/>
                          <w:iCs/>
                        </w:rPr>
                        <w:t>:</w:t>
                      </w:r>
                      <w:r w:rsidRPr="005C0643">
                        <w:rPr>
                          <w:i/>
                          <w:iCs/>
                        </w:rPr>
                        <w:t xml:space="preserve"> a transaction which is </w:t>
                      </w:r>
                      <w:r w:rsidRPr="005C0643">
                        <w:rPr>
                          <w:b/>
                          <w:bCs/>
                          <w:i/>
                          <w:iCs/>
                        </w:rPr>
                        <w:t>not</w:t>
                      </w:r>
                      <w:r w:rsidRPr="005C0643">
                        <w:rPr>
                          <w:i/>
                          <w:iCs/>
                        </w:rPr>
                        <w:t xml:space="preserve"> </w:t>
                      </w:r>
                      <w:r w:rsidRPr="005C0643">
                        <w:rPr>
                          <w:i/>
                        </w:rPr>
                        <w:t xml:space="preserve">eligible for the </w:t>
                      </w:r>
                      <w:r w:rsidRPr="005C0643">
                        <w:rPr>
                          <w:i/>
                          <w:iCs/>
                        </w:rPr>
                        <w:t xml:space="preserve">interfunding </w:t>
                      </w:r>
                      <w:r w:rsidRPr="005C0643">
                        <w:rPr>
                          <w:i/>
                        </w:rPr>
                        <w:t xml:space="preserve">exemption </w:t>
                      </w:r>
                      <w:r w:rsidRPr="005C0643">
                        <w:rPr>
                          <w:i/>
                          <w:iCs/>
                        </w:rPr>
                        <w:t>because</w:t>
                      </w:r>
                      <w:r w:rsidRPr="005C0643">
                        <w:rPr>
                          <w:i/>
                        </w:rPr>
                        <w:t xml:space="preserve"> the acquirer is not within the same </w:t>
                      </w:r>
                      <w:r w:rsidRPr="005C0643">
                        <w:rPr>
                          <w:i/>
                          <w:iCs/>
                        </w:rPr>
                        <w:t>interfunding group</w:t>
                      </w:r>
                      <w:r w:rsidRPr="005C0643">
                        <w:rPr>
                          <w:i/>
                        </w:rPr>
                        <w:t xml:space="preserve"> of funds as the target fund or the </w:t>
                      </w:r>
                      <w:r w:rsidRPr="005C0643">
                        <w:rPr>
                          <w:i/>
                          <w:iCs/>
                        </w:rPr>
                        <w:t>seller.</w:t>
                      </w:r>
                    </w:p>
                  </w:txbxContent>
                </v:textbox>
                <w10:anchorlock/>
              </v:shape>
            </w:pict>
          </mc:Fallback>
        </mc:AlternateContent>
      </w:r>
    </w:p>
    <w:p w14:paraId="691E9B0B" w14:textId="77777777" w:rsidR="00195A9F" w:rsidRDefault="00195A9F" w:rsidP="00195A9F">
      <w:pPr>
        <w:pStyle w:val="Bullet"/>
        <w:numPr>
          <w:ilvl w:val="0"/>
          <w:numId w:val="0"/>
        </w:numPr>
        <w:jc w:val="center"/>
        <w:rPr>
          <w:b/>
          <w:bCs/>
        </w:rPr>
      </w:pPr>
      <w:r>
        <w:rPr>
          <w:b/>
          <w:bCs/>
          <w:noProof/>
        </w:rPr>
        <w:drawing>
          <wp:inline distT="0" distB="0" distL="0" distR="0" wp14:anchorId="4DA79379" wp14:editId="522741DF">
            <wp:extent cx="1951200" cy="2640754"/>
            <wp:effectExtent l="0" t="0" r="0" b="7620"/>
            <wp:docPr id="1892569525" name="Picture 7" descr="Diagram 5: transactions which are not eligible for the interfunding exemption because the responsible entity or the RSE licensee of the acquirer (Responsible Entity 1 or Responsible Entity 2, depending on direction of the interest being transferred) is not within the same interfunding group of funds as either the target fund or the seller (Responsible Entity 2 or Responsible Entity 1) Page 7 of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69525" name="Picture 7" descr="Diagram 5: transactions which are not eligible for the interfunding exemption because the responsible entity or the RSE licensee of the acquirer (Responsible Entity 1 or Responsible Entity 2, depending on direction of the interest being transferred) is not within the same interfunding group of funds as either the target fund or the seller (Responsible Entity 2 or Responsible Entity 1) Page 7 of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1200" cy="2640754"/>
                    </a:xfrm>
                    <a:prstGeom prst="rect">
                      <a:avLst/>
                    </a:prstGeom>
                    <a:noFill/>
                  </pic:spPr>
                </pic:pic>
              </a:graphicData>
            </a:graphic>
          </wp:inline>
        </w:drawing>
      </w:r>
    </w:p>
    <w:p w14:paraId="562EDDD2" w14:textId="77777777" w:rsidR="00195A9F" w:rsidRDefault="00195A9F" w:rsidP="00195A9F">
      <w:pPr>
        <w:pStyle w:val="Bullet"/>
        <w:numPr>
          <w:ilvl w:val="0"/>
          <w:numId w:val="0"/>
        </w:numPr>
        <w:jc w:val="center"/>
        <w:rPr>
          <w:b/>
          <w:bCs/>
        </w:rPr>
      </w:pPr>
      <w:r w:rsidRPr="00547F3B">
        <w:rPr>
          <w:noProof/>
          <w:shd w:val="clear" w:color="auto" w:fill="FFFFFF"/>
        </w:rPr>
        <mc:AlternateContent>
          <mc:Choice Requires="wps">
            <w:drawing>
              <wp:inline distT="0" distB="0" distL="0" distR="0" wp14:anchorId="6BBC7E4C" wp14:editId="30E81C11">
                <wp:extent cx="4610100" cy="1404620"/>
                <wp:effectExtent l="0" t="0" r="19050" b="13970"/>
                <wp:docPr id="1670923717" name="Text Box 2" descr="Text box for Diagram 5 page 7 of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04620"/>
                        </a:xfrm>
                        <a:prstGeom prst="rect">
                          <a:avLst/>
                        </a:prstGeom>
                        <a:solidFill>
                          <a:srgbClr val="FFFFFF"/>
                        </a:solidFill>
                        <a:ln w="9525">
                          <a:solidFill>
                            <a:srgbClr val="000000"/>
                          </a:solidFill>
                          <a:miter lim="800000"/>
                          <a:headEnd/>
                          <a:tailEnd/>
                        </a:ln>
                      </wps:spPr>
                      <wps:txbx>
                        <w:txbxContent>
                          <w:p w14:paraId="3EDFE5E1" w14:textId="77777777" w:rsidR="00195A9F" w:rsidRDefault="00195A9F" w:rsidP="00195A9F">
                            <w:r>
                              <w:rPr>
                                <w:b/>
                                <w:bCs/>
                                <w:i/>
                                <w:iCs/>
                                <w:shd w:val="clear" w:color="auto" w:fill="FFFFFF"/>
                              </w:rPr>
                              <w:t xml:space="preserve">Diagram </w:t>
                            </w:r>
                            <w:r w:rsidRPr="005C0643">
                              <w:rPr>
                                <w:b/>
                                <w:i/>
                              </w:rPr>
                              <w:t>5</w:t>
                            </w:r>
                            <w:r w:rsidRPr="005C0643">
                              <w:rPr>
                                <w:b/>
                                <w:bCs/>
                                <w:i/>
                                <w:iCs/>
                              </w:rPr>
                              <w:t>:</w:t>
                            </w:r>
                            <w:r w:rsidRPr="005C0643">
                              <w:rPr>
                                <w:i/>
                              </w:rPr>
                              <w:t xml:space="preserve"> transactions which are </w:t>
                            </w:r>
                            <w:r w:rsidRPr="005C0643">
                              <w:rPr>
                                <w:b/>
                                <w:i/>
                              </w:rPr>
                              <w:t>not</w:t>
                            </w:r>
                            <w:r w:rsidRPr="005C0643">
                              <w:rPr>
                                <w:i/>
                              </w:rPr>
                              <w:t xml:space="preserve"> eligible for the interfunding exemption because the responsible </w:t>
                            </w:r>
                            <w:r w:rsidRPr="005C0643">
                              <w:rPr>
                                <w:i/>
                                <w:iCs/>
                              </w:rPr>
                              <w:t>entity</w:t>
                            </w:r>
                            <w:r w:rsidRPr="005C0643">
                              <w:rPr>
                                <w:i/>
                              </w:rPr>
                              <w:t xml:space="preserve"> or the RSE </w:t>
                            </w:r>
                            <w:r w:rsidRPr="005C0643">
                              <w:rPr>
                                <w:i/>
                                <w:iCs/>
                              </w:rPr>
                              <w:t xml:space="preserve">licensee of the </w:t>
                            </w:r>
                            <w:r w:rsidRPr="005C0643">
                              <w:rPr>
                                <w:i/>
                              </w:rPr>
                              <w:t xml:space="preserve">acquirer (Responsible Entity 1 </w:t>
                            </w:r>
                            <w:r w:rsidRPr="005C0643">
                              <w:rPr>
                                <w:i/>
                                <w:iCs/>
                              </w:rPr>
                              <w:t>or</w:t>
                            </w:r>
                            <w:r w:rsidRPr="005C0643">
                              <w:rPr>
                                <w:i/>
                              </w:rPr>
                              <w:t xml:space="preserve"> Responsible Entity 2, depending on direction of the interest being transferred) is not within the same </w:t>
                            </w:r>
                            <w:r w:rsidRPr="005C0643">
                              <w:rPr>
                                <w:i/>
                                <w:iCs/>
                              </w:rPr>
                              <w:t>interfunding group</w:t>
                            </w:r>
                            <w:r w:rsidRPr="005C0643">
                              <w:rPr>
                                <w:i/>
                              </w:rPr>
                              <w:t xml:space="preserve"> of funds as either the target fund or the </w:t>
                            </w:r>
                            <w:r w:rsidRPr="005C0643">
                              <w:rPr>
                                <w:i/>
                                <w:iCs/>
                              </w:rPr>
                              <w:t>seller</w:t>
                            </w:r>
                            <w:r w:rsidRPr="005C0643">
                              <w:rPr>
                                <w:i/>
                              </w:rPr>
                              <w:t xml:space="preserve"> (Responsible Entity </w:t>
                            </w:r>
                            <w:r w:rsidRPr="005C0643">
                              <w:rPr>
                                <w:i/>
                                <w:iCs/>
                              </w:rPr>
                              <w:t>2</w:t>
                            </w:r>
                            <w:r w:rsidRPr="005C0643">
                              <w:rPr>
                                <w:i/>
                              </w:rPr>
                              <w:t xml:space="preserve"> or Responsible Entity </w:t>
                            </w:r>
                            <w:r w:rsidRPr="005C0643">
                              <w:rPr>
                                <w:i/>
                                <w:iCs/>
                              </w:rPr>
                              <w:t>1</w:t>
                            </w:r>
                            <w:r w:rsidRPr="005C0643">
                              <w:rPr>
                                <w:i/>
                              </w:rPr>
                              <w:t>).</w:t>
                            </w:r>
                          </w:p>
                        </w:txbxContent>
                      </wps:txbx>
                      <wps:bodyPr rot="0" vert="horz" wrap="square" lIns="91440" tIns="45720" rIns="91440" bIns="45720" anchor="t" anchorCtr="0">
                        <a:spAutoFit/>
                      </wps:bodyPr>
                    </wps:wsp>
                  </a:graphicData>
                </a:graphic>
              </wp:inline>
            </w:drawing>
          </mc:Choice>
          <mc:Fallback>
            <w:pict>
              <v:shape w14:anchorId="6BBC7E4C" id="_x0000_s1030" type="#_x0000_t202" alt="Text box for Diagram 5 page 7 of 14" style="width:36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wuEwIAACcEAAAOAAAAZHJzL2Uyb0RvYy54bWysk1Fv2yAQx98n7Tsg3hfbkZO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">
                <v:textbox style="mso-fit-shape-to-text:t">
                  <w:txbxContent>
                    <w:p w14:paraId="3EDFE5E1" w14:textId="77777777" w:rsidR="00195A9F" w:rsidRDefault="00195A9F" w:rsidP="00195A9F">
                      <w:r>
                        <w:rPr>
                          <w:b/>
                          <w:bCs/>
                          <w:i/>
                          <w:iCs/>
                          <w:shd w:val="clear" w:color="auto" w:fill="FFFFFF"/>
                        </w:rPr>
                        <w:t xml:space="preserve">Diagram </w:t>
                      </w:r>
                      <w:r w:rsidRPr="005C0643">
                        <w:rPr>
                          <w:b/>
                          <w:i/>
                        </w:rPr>
                        <w:t>5</w:t>
                      </w:r>
                      <w:r w:rsidRPr="005C0643">
                        <w:rPr>
                          <w:b/>
                          <w:bCs/>
                          <w:i/>
                          <w:iCs/>
                        </w:rPr>
                        <w:t>:</w:t>
                      </w:r>
                      <w:r w:rsidRPr="005C0643">
                        <w:rPr>
                          <w:i/>
                        </w:rPr>
                        <w:t xml:space="preserve"> transactions which are </w:t>
                      </w:r>
                      <w:r w:rsidRPr="005C0643">
                        <w:rPr>
                          <w:b/>
                          <w:i/>
                        </w:rPr>
                        <w:t>not</w:t>
                      </w:r>
                      <w:r w:rsidRPr="005C0643">
                        <w:rPr>
                          <w:i/>
                        </w:rPr>
                        <w:t xml:space="preserve"> eligible for the interfunding exemption because the responsible </w:t>
                      </w:r>
                      <w:r w:rsidRPr="005C0643">
                        <w:rPr>
                          <w:i/>
                          <w:iCs/>
                        </w:rPr>
                        <w:t>entity</w:t>
                      </w:r>
                      <w:r w:rsidRPr="005C0643">
                        <w:rPr>
                          <w:i/>
                        </w:rPr>
                        <w:t xml:space="preserve"> or the RSE </w:t>
                      </w:r>
                      <w:r w:rsidRPr="005C0643">
                        <w:rPr>
                          <w:i/>
                          <w:iCs/>
                        </w:rPr>
                        <w:t xml:space="preserve">licensee of the </w:t>
                      </w:r>
                      <w:r w:rsidRPr="005C0643">
                        <w:rPr>
                          <w:i/>
                        </w:rPr>
                        <w:t xml:space="preserve">acquirer (Responsible Entity 1 </w:t>
                      </w:r>
                      <w:r w:rsidRPr="005C0643">
                        <w:rPr>
                          <w:i/>
                          <w:iCs/>
                        </w:rPr>
                        <w:t>or</w:t>
                      </w:r>
                      <w:r w:rsidRPr="005C0643">
                        <w:rPr>
                          <w:i/>
                        </w:rPr>
                        <w:t xml:space="preserve"> Responsible Entity 2, depending on direction of the interest being transferred) is not within the same </w:t>
                      </w:r>
                      <w:r w:rsidRPr="005C0643">
                        <w:rPr>
                          <w:i/>
                          <w:iCs/>
                        </w:rPr>
                        <w:t>interfunding group</w:t>
                      </w:r>
                      <w:r w:rsidRPr="005C0643">
                        <w:rPr>
                          <w:i/>
                        </w:rPr>
                        <w:t xml:space="preserve"> of funds as either the target fund or the </w:t>
                      </w:r>
                      <w:r w:rsidRPr="005C0643">
                        <w:rPr>
                          <w:i/>
                          <w:iCs/>
                        </w:rPr>
                        <w:t>seller</w:t>
                      </w:r>
                      <w:r w:rsidRPr="005C0643">
                        <w:rPr>
                          <w:i/>
                        </w:rPr>
                        <w:t xml:space="preserve"> (Responsible Entity </w:t>
                      </w:r>
                      <w:r w:rsidRPr="005C0643">
                        <w:rPr>
                          <w:i/>
                          <w:iCs/>
                        </w:rPr>
                        <w:t>2</w:t>
                      </w:r>
                      <w:r w:rsidRPr="005C0643">
                        <w:rPr>
                          <w:i/>
                        </w:rPr>
                        <w:t xml:space="preserve"> or Responsible Entity </w:t>
                      </w:r>
                      <w:r w:rsidRPr="005C0643">
                        <w:rPr>
                          <w:i/>
                          <w:iCs/>
                        </w:rPr>
                        <w:t>1</w:t>
                      </w:r>
                      <w:r w:rsidRPr="005C0643">
                        <w:rPr>
                          <w:i/>
                        </w:rPr>
                        <w:t>).</w:t>
                      </w:r>
                    </w:p>
                  </w:txbxContent>
                </v:textbox>
                <w10:anchorlock/>
              </v:shape>
            </w:pict>
          </mc:Fallback>
        </mc:AlternateContent>
      </w:r>
    </w:p>
    <w:p w14:paraId="0EC3C96E" w14:textId="622BD94F" w:rsidR="004F5C26" w:rsidRPr="00D25552" w:rsidRDefault="004F5C26" w:rsidP="00554FA2">
      <w:pPr>
        <w:pStyle w:val="Bullet"/>
        <w:numPr>
          <w:ilvl w:val="0"/>
          <w:numId w:val="0"/>
        </w:numPr>
        <w:rPr>
          <w:i/>
          <w:iCs/>
        </w:rPr>
      </w:pPr>
      <w:r w:rsidRPr="00D25552">
        <w:rPr>
          <w:i/>
          <w:iCs/>
        </w:rPr>
        <w:lastRenderedPageBreak/>
        <w:t xml:space="preserve">Requirement 4: </w:t>
      </w:r>
      <w:r>
        <w:rPr>
          <w:i/>
          <w:iCs/>
        </w:rPr>
        <w:t>P</w:t>
      </w:r>
      <w:r w:rsidRPr="00D25552">
        <w:rPr>
          <w:i/>
          <w:iCs/>
        </w:rPr>
        <w:t>urpose of acquisition</w:t>
      </w:r>
    </w:p>
    <w:p w14:paraId="7F5F5F80" w14:textId="77777777" w:rsidR="00500F72" w:rsidRDefault="00500F72" w:rsidP="00500F72">
      <w:pPr>
        <w:spacing w:before="240"/>
      </w:pPr>
      <w:r>
        <w:t xml:space="preserve">Paragraph 40A(2)(d) provides that the acquisition must be made for the purpose of either achieving transactional efficiency or giving effect to an investment strategy of the acquiring fund that has been communicated to the members of that fund. This ensures the exemption only includes acquisitions that align with common outcomes pursued through </w:t>
      </w:r>
      <w:proofErr w:type="spellStart"/>
      <w:r>
        <w:t>interfunding</w:t>
      </w:r>
      <w:proofErr w:type="spellEnd"/>
      <w:r>
        <w:t xml:space="preserve"> transactions while other transactions between related funds (such as internal reorganisations) do not benefit from the exemption. Specifically:</w:t>
      </w:r>
    </w:p>
    <w:p w14:paraId="08DFBEF8" w14:textId="77777777" w:rsidR="00500F72" w:rsidRDefault="00500F72" w:rsidP="00500F72">
      <w:pPr>
        <w:pStyle w:val="Bullet"/>
        <w:numPr>
          <w:ilvl w:val="0"/>
          <w:numId w:val="20"/>
        </w:numPr>
        <w:spacing w:before="0" w:after="0"/>
        <w:rPr>
          <w14:ligatures w14:val="standardContextual"/>
        </w:rPr>
      </w:pPr>
      <w:r>
        <w:t>Achieving</w:t>
      </w:r>
      <w:r>
        <w:rPr>
          <w:shd w:val="clear" w:color="auto" w:fill="FFFFFF"/>
        </w:rPr>
        <w:t xml:space="preserve"> transactional efficiency, as required by subparagraph 40A(2)(d)(</w:t>
      </w:r>
      <w:proofErr w:type="spellStart"/>
      <w:r>
        <w:rPr>
          <w:shd w:val="clear" w:color="auto" w:fill="FFFFFF"/>
        </w:rPr>
        <w:t>i</w:t>
      </w:r>
      <w:proofErr w:type="spellEnd"/>
      <w:r>
        <w:rPr>
          <w:shd w:val="clear" w:color="auto" w:fill="FFFFFF"/>
        </w:rPr>
        <w:t xml:space="preserve">), recognises that </w:t>
      </w:r>
      <w:proofErr w:type="spellStart"/>
      <w:r>
        <w:rPr>
          <w:shd w:val="clear" w:color="auto" w:fill="FFFFFF"/>
        </w:rPr>
        <w:t>interfunding</w:t>
      </w:r>
      <w:proofErr w:type="spellEnd"/>
      <w:r>
        <w:rPr>
          <w:shd w:val="clear" w:color="auto" w:fill="FFFFFF"/>
        </w:rPr>
        <w:t xml:space="preserve"> transactions are used to lower transaction costs and provide greater operational certainty </w:t>
      </w:r>
      <w:r>
        <w:rPr>
          <w:shd w:val="clear" w:color="auto" w:fill="FFFFFF"/>
          <w14:ligatures w14:val="standardContextual"/>
        </w:rPr>
        <w:t>to fund managers</w:t>
      </w:r>
      <w:r>
        <w:rPr>
          <w14:ligatures w14:val="standardContextual"/>
        </w:rPr>
        <w:t xml:space="preserve">. Fund managers may rely on </w:t>
      </w:r>
      <w:proofErr w:type="spellStart"/>
      <w:r>
        <w:rPr>
          <w14:ligatures w14:val="standardContextual"/>
        </w:rPr>
        <w:t>interfunding</w:t>
      </w:r>
      <w:proofErr w:type="spellEnd"/>
      <w:r>
        <w:rPr>
          <w14:ligatures w14:val="standardContextual"/>
        </w:rPr>
        <w:t xml:space="preserve"> for certainty that they will be able to acquire </w:t>
      </w:r>
      <w:proofErr w:type="gramStart"/>
      <w:r>
        <w:rPr>
          <w14:ligatures w14:val="standardContextual"/>
        </w:rPr>
        <w:t>particular assets</w:t>
      </w:r>
      <w:proofErr w:type="gramEnd"/>
      <w:r>
        <w:rPr>
          <w14:ligatures w14:val="standardContextual"/>
        </w:rPr>
        <w:t xml:space="preserve"> while reducing transaction costs. This contrasts with internal transactions for other purposes such as restructuring debt or reducing tax liabilities. </w:t>
      </w:r>
    </w:p>
    <w:p w14:paraId="0AADE12D" w14:textId="77777777" w:rsidR="00500F72" w:rsidRDefault="00500F72" w:rsidP="00500F72">
      <w:pPr>
        <w:pStyle w:val="Bullet"/>
        <w:numPr>
          <w:ilvl w:val="0"/>
          <w:numId w:val="20"/>
        </w:numPr>
        <w:rPr>
          <w:shd w:val="clear" w:color="auto" w:fill="FFFFFF"/>
        </w:rPr>
      </w:pPr>
      <w:r>
        <w:t>Implementing an investment strategy</w:t>
      </w:r>
      <w:r>
        <w:rPr>
          <w:shd w:val="clear" w:color="auto" w:fill="FFFFFF"/>
        </w:rPr>
        <w:t>, as required by subparagraph 40A(2)(d)(ii),</w:t>
      </w:r>
      <w:r>
        <w:t xml:space="preserve"> recognises that </w:t>
      </w:r>
      <w:proofErr w:type="spellStart"/>
      <w:r>
        <w:rPr>
          <w:shd w:val="clear" w:color="auto" w:fill="FFFFFF"/>
        </w:rPr>
        <w:t>interfunding</w:t>
      </w:r>
      <w:proofErr w:type="spellEnd"/>
      <w:r>
        <w:rPr>
          <w:shd w:val="clear" w:color="auto" w:fill="FFFFFF"/>
        </w:rPr>
        <w:t xml:space="preserve"> transactions are often the ordinary course of business to execute or implement an investment mandate communicated to members of an acquiring fund in advance. The intent is that the acquisition aligns and is identifiable with the investment strategy of the acquiring fund, for example an index tracking investment strategy, that has been committed to in advance of the acquisition being made. </w:t>
      </w:r>
    </w:p>
    <w:p w14:paraId="4BA42DD9" w14:textId="77777777" w:rsidR="00500F72" w:rsidRDefault="00500F72" w:rsidP="00500F72">
      <w:pPr>
        <w:spacing w:after="240"/>
        <w:rPr>
          <w:color w:val="000000"/>
          <w:shd w:val="clear" w:color="auto" w:fill="FFFFFF"/>
        </w:rPr>
      </w:pPr>
      <w:r>
        <w:t>While the Regulations do not prescribe how the investment mandate may be communicated to holders of securities, a common way to satisfy this requirement would be through a detailed description of the investment strategy on the fund’s website or</w:t>
      </w:r>
      <w:r>
        <w:rPr>
          <w:color w:val="000000"/>
          <w:shd w:val="clear" w:color="auto" w:fill="FFFFFF"/>
        </w:rPr>
        <w:t xml:space="preserve"> for a registrable superannuation entity, through its governing rules. </w:t>
      </w:r>
      <w:proofErr w:type="spellStart"/>
      <w:r>
        <w:rPr>
          <w:color w:val="000000"/>
          <w:shd w:val="clear" w:color="auto" w:fill="FFFFFF"/>
        </w:rPr>
        <w:t>Interfunding</w:t>
      </w:r>
      <w:proofErr w:type="spellEnd"/>
      <w:r>
        <w:rPr>
          <w:color w:val="000000"/>
          <w:shd w:val="clear" w:color="auto" w:fill="FFFFFF"/>
        </w:rPr>
        <w:t xml:space="preserve"> does not need to be specifically mentioned in the </w:t>
      </w:r>
      <w:proofErr w:type="gramStart"/>
      <w:r>
        <w:rPr>
          <w:color w:val="000000"/>
          <w:shd w:val="clear" w:color="auto" w:fill="FFFFFF"/>
        </w:rPr>
        <w:t>communication, but</w:t>
      </w:r>
      <w:proofErr w:type="gramEnd"/>
      <w:r>
        <w:rPr>
          <w:color w:val="000000"/>
          <w:shd w:val="clear" w:color="auto" w:fill="FFFFFF"/>
        </w:rPr>
        <w:t xml:space="preserve"> does need to support the communicated investment strategy.</w:t>
      </w:r>
    </w:p>
    <w:p w14:paraId="7118576E" w14:textId="319E8E9D" w:rsidR="004F5C26" w:rsidRPr="00D25552" w:rsidRDefault="004F5C26" w:rsidP="000D5D43">
      <w:pPr>
        <w:rPr>
          <w:i/>
          <w:iCs/>
        </w:rPr>
      </w:pPr>
      <w:r w:rsidRPr="00D25552">
        <w:rPr>
          <w:i/>
          <w:iCs/>
          <w:color w:val="000000"/>
          <w:shd w:val="clear" w:color="auto" w:fill="FFFFFF"/>
        </w:rPr>
        <w:t xml:space="preserve">Requirement 5: </w:t>
      </w:r>
      <w:r w:rsidR="0082113A">
        <w:rPr>
          <w:i/>
          <w:iCs/>
          <w:color w:val="000000"/>
          <w:shd w:val="clear" w:color="auto" w:fill="FFFFFF"/>
        </w:rPr>
        <w:t>Regularity of acquisition</w:t>
      </w:r>
      <w:r w:rsidR="00C941D7">
        <w:rPr>
          <w:i/>
          <w:iCs/>
          <w:color w:val="000000"/>
          <w:shd w:val="clear" w:color="auto" w:fill="FFFFFF"/>
        </w:rPr>
        <w:t>s of a similar kind</w:t>
      </w:r>
    </w:p>
    <w:p w14:paraId="0BD55F3C" w14:textId="60FDF02D" w:rsidR="00D6779F" w:rsidRDefault="00D6779F" w:rsidP="00D6779F">
      <w:pPr>
        <w:pStyle w:val="Bullet"/>
        <w:numPr>
          <w:ilvl w:val="0"/>
          <w:numId w:val="0"/>
        </w:numPr>
        <w:tabs>
          <w:tab w:val="left" w:pos="720"/>
        </w:tabs>
      </w:pPr>
      <w:r>
        <w:t xml:space="preserve">Paragraph 40A(2)(e) provides that corporations in the </w:t>
      </w:r>
      <w:proofErr w:type="spellStart"/>
      <w:r>
        <w:t>interfunding</w:t>
      </w:r>
      <w:proofErr w:type="spellEnd"/>
      <w:r>
        <w:t xml:space="preserve"> group of funds (that is, as mentioned above, funds whose responsible entities or RSE licensees are related bodies corporate, or the same body corporate) must make, or be likely to make, on a regular and repeatable basis, acquisitions of a similar kind to the acquisition subject to the exemption. This reflects that </w:t>
      </w:r>
      <w:proofErr w:type="spellStart"/>
      <w:r>
        <w:t>interfunding</w:t>
      </w:r>
      <w:proofErr w:type="spellEnd"/>
      <w:r>
        <w:t xml:space="preserve"> transactions are routine, often occurring multiple times per day and distinguishes </w:t>
      </w:r>
      <w:proofErr w:type="spellStart"/>
      <w:r>
        <w:t>interfunding</w:t>
      </w:r>
      <w:proofErr w:type="spellEnd"/>
      <w:r>
        <w:t xml:space="preserve"> from other transactions internal to the group which are more likely to occur intermittently or as </w:t>
      </w:r>
      <w:r w:rsidRPr="00944230">
        <w:t xml:space="preserve">one-off </w:t>
      </w:r>
      <w:r w:rsidRPr="00BF37BB">
        <w:t>actions such as a debt restructures or reorganisations to reduce tax liabilities</w:t>
      </w:r>
      <w:r w:rsidRPr="00944230">
        <w:t>.</w:t>
      </w:r>
      <w:r>
        <w:t xml:space="preserve"> </w:t>
      </w:r>
      <w:proofErr w:type="spellStart"/>
      <w:r w:rsidR="008B1ED3">
        <w:t>Interfunding</w:t>
      </w:r>
      <w:proofErr w:type="spellEnd"/>
      <w:r>
        <w:t xml:space="preserve"> acquisition</w:t>
      </w:r>
      <w:r w:rsidR="008B1ED3">
        <w:t>s</w:t>
      </w:r>
      <w:r>
        <w:t xml:space="preserve"> </w:t>
      </w:r>
      <w:r w:rsidR="008B1ED3">
        <w:t xml:space="preserve">should </w:t>
      </w:r>
      <w:r>
        <w:t xml:space="preserve">be of a similar kind to or represent a pattern of acquisitions that have occurred recently or are likely to occur on a regular basis within the group. </w:t>
      </w:r>
    </w:p>
    <w:p w14:paraId="13B3254A" w14:textId="77777777" w:rsidR="00D6779F" w:rsidRDefault="00D6779F" w:rsidP="00D6779F">
      <w:pPr>
        <w:spacing w:before="240" w:after="200"/>
        <w:rPr>
          <w:color w:val="000000"/>
          <w:shd w:val="clear" w:color="auto" w:fill="FFFFFF"/>
        </w:rPr>
      </w:pPr>
      <w:r>
        <w:rPr>
          <w:color w:val="000000"/>
          <w:shd w:val="clear" w:color="auto" w:fill="FFFFFF"/>
        </w:rPr>
        <w:t xml:space="preserve">Internal reorganisations, as defined in section 41 of the </w:t>
      </w:r>
      <w:r>
        <w:rPr>
          <w:i/>
          <w:iCs/>
          <w:color w:val="000000"/>
          <w:shd w:val="clear" w:color="auto" w:fill="FFFFFF"/>
        </w:rPr>
        <w:t>Foreign Acquisitions and Takeovers Fees Imposition Regulations 2020</w:t>
      </w:r>
      <w:r>
        <w:rPr>
          <w:color w:val="000000"/>
          <w:shd w:val="clear" w:color="auto" w:fill="FFFFFF"/>
        </w:rPr>
        <w:t xml:space="preserve">, are generally one-off actions taken by a corporation to restructure debt or to reduce tax liabilities. Internal reorganisations are a fee concept only and the new exemption is not intended to apply to actions only </w:t>
      </w:r>
      <w:proofErr w:type="gramStart"/>
      <w:r>
        <w:rPr>
          <w:color w:val="000000"/>
          <w:shd w:val="clear" w:color="auto" w:fill="FFFFFF"/>
        </w:rPr>
        <w:t>on the basis of</w:t>
      </w:r>
      <w:proofErr w:type="gramEnd"/>
      <w:r>
        <w:rPr>
          <w:color w:val="000000"/>
          <w:shd w:val="clear" w:color="auto" w:fill="FFFFFF"/>
        </w:rPr>
        <w:t xml:space="preserve"> eligibility for such fee treatment.</w:t>
      </w:r>
    </w:p>
    <w:p w14:paraId="68DF3456" w14:textId="5AF338EC" w:rsidR="00192402" w:rsidRPr="00D25552" w:rsidRDefault="00192402" w:rsidP="00192402">
      <w:pPr>
        <w:keepNext/>
        <w:spacing w:before="240" w:after="200"/>
        <w:rPr>
          <w:b/>
          <w:bCs/>
          <w:color w:val="000000"/>
          <w:shd w:val="clear" w:color="auto" w:fill="FFFFFF"/>
        </w:rPr>
      </w:pPr>
      <w:r w:rsidRPr="00D25552">
        <w:rPr>
          <w:b/>
          <w:bCs/>
          <w:color w:val="000000"/>
          <w:shd w:val="clear" w:color="auto" w:fill="FFFFFF"/>
        </w:rPr>
        <w:lastRenderedPageBreak/>
        <w:t xml:space="preserve">Items </w:t>
      </w:r>
      <w:r w:rsidR="003F79D4">
        <w:rPr>
          <w:b/>
          <w:bCs/>
          <w:color w:val="000000"/>
          <w:shd w:val="clear" w:color="auto" w:fill="FFFFFF"/>
        </w:rPr>
        <w:t>[</w:t>
      </w:r>
      <w:r w:rsidRPr="00D25552">
        <w:rPr>
          <w:b/>
          <w:bCs/>
          <w:color w:val="000000"/>
          <w:shd w:val="clear" w:color="auto" w:fill="FFFFFF"/>
        </w:rPr>
        <w:t>3</w:t>
      </w:r>
      <w:r w:rsidR="003F79D4">
        <w:rPr>
          <w:b/>
          <w:bCs/>
          <w:color w:val="000000"/>
          <w:shd w:val="clear" w:color="auto" w:fill="FFFFFF"/>
        </w:rPr>
        <w:t>]</w:t>
      </w:r>
      <w:r w:rsidRPr="00D25552">
        <w:rPr>
          <w:b/>
          <w:bCs/>
          <w:color w:val="000000"/>
          <w:shd w:val="clear" w:color="auto" w:fill="FFFFFF"/>
        </w:rPr>
        <w:t xml:space="preserve"> and </w:t>
      </w:r>
      <w:r w:rsidR="003F79D4">
        <w:rPr>
          <w:b/>
          <w:bCs/>
          <w:color w:val="000000"/>
          <w:shd w:val="clear" w:color="auto" w:fill="FFFFFF"/>
        </w:rPr>
        <w:t>[</w:t>
      </w:r>
      <w:r w:rsidR="00497959">
        <w:rPr>
          <w:b/>
          <w:bCs/>
          <w:color w:val="000000"/>
          <w:shd w:val="clear" w:color="auto" w:fill="FFFFFF"/>
        </w:rPr>
        <w:t>5</w:t>
      </w:r>
      <w:r w:rsidR="003F79D4">
        <w:rPr>
          <w:b/>
          <w:bCs/>
          <w:color w:val="000000"/>
          <w:shd w:val="clear" w:color="auto" w:fill="FFFFFF"/>
        </w:rPr>
        <w:t>]</w:t>
      </w:r>
      <w:r w:rsidRPr="00D25552">
        <w:rPr>
          <w:b/>
          <w:bCs/>
          <w:color w:val="000000"/>
          <w:shd w:val="clear" w:color="auto" w:fill="FFFFFF"/>
        </w:rPr>
        <w:t xml:space="preserve"> – register notice obligations for pro-rata </w:t>
      </w:r>
      <w:proofErr w:type="gramStart"/>
      <w:r w:rsidRPr="00D25552">
        <w:rPr>
          <w:b/>
          <w:bCs/>
          <w:color w:val="000000"/>
          <w:shd w:val="clear" w:color="auto" w:fill="FFFFFF"/>
        </w:rPr>
        <w:t>issues</w:t>
      </w:r>
      <w:proofErr w:type="gramEnd"/>
    </w:p>
    <w:p w14:paraId="2C432591" w14:textId="77777777" w:rsidR="00192402" w:rsidRDefault="00192402" w:rsidP="00192402">
      <w:pPr>
        <w:spacing w:before="240" w:after="200"/>
        <w:rPr>
          <w:color w:val="000000"/>
          <w:shd w:val="clear" w:color="auto" w:fill="FFFFFF"/>
        </w:rPr>
      </w:pPr>
      <w:r>
        <w:t xml:space="preserve">Section 130ZU of the Act allows the Principal Regulations to prescribe circumstances in which a person specified in the Principal Regulations must give a register notice to the Registrar, and section 37 allows the regulations to provide for exemptions from the Act or from specified provisions of the Act. </w:t>
      </w:r>
    </w:p>
    <w:p w14:paraId="2704FD6D" w14:textId="77777777" w:rsidR="00192402" w:rsidRDefault="00192402" w:rsidP="00192402">
      <w:pPr>
        <w:spacing w:before="240" w:after="200"/>
      </w:pPr>
      <w:r>
        <w:t>Section 41(1) exempts actions from being notifiable actions under the Act where a person acquires an interest in securities under any of the following, as provided by subsection 41(2):</w:t>
      </w:r>
    </w:p>
    <w:p w14:paraId="057AF899" w14:textId="77777777" w:rsidR="00192402" w:rsidRDefault="00192402" w:rsidP="00192402">
      <w:pPr>
        <w:pStyle w:val="Bullet"/>
      </w:pPr>
      <w:r>
        <w:t>a rights issue within the meaning of the </w:t>
      </w:r>
      <w:r>
        <w:rPr>
          <w:i/>
          <w:iCs/>
        </w:rPr>
        <w:t xml:space="preserve">Corporations Act </w:t>
      </w:r>
      <w:proofErr w:type="gramStart"/>
      <w:r>
        <w:rPr>
          <w:i/>
          <w:iCs/>
        </w:rPr>
        <w:t>2001</w:t>
      </w:r>
      <w:r>
        <w:t>;</w:t>
      </w:r>
      <w:proofErr w:type="gramEnd"/>
    </w:p>
    <w:p w14:paraId="599FA952" w14:textId="77777777" w:rsidR="00192402" w:rsidRDefault="00192402" w:rsidP="00192402">
      <w:pPr>
        <w:pStyle w:val="Bullet"/>
      </w:pPr>
      <w:r>
        <w:rPr>
          <w:sz w:val="14"/>
          <w:szCs w:val="14"/>
        </w:rPr>
        <w:t> </w:t>
      </w:r>
      <w:r>
        <w:t>a rights issue within the meaning of a foreign country, if that issue is regulated by a law of a foreign country; or</w:t>
      </w:r>
    </w:p>
    <w:p w14:paraId="5D2FA147" w14:textId="352958E4" w:rsidR="00192402" w:rsidRDefault="00192402" w:rsidP="00192402">
      <w:pPr>
        <w:pStyle w:val="Bullet"/>
      </w:pPr>
      <w:r>
        <w:t xml:space="preserve">an issue that is </w:t>
      </w:r>
      <w:proofErr w:type="gramStart"/>
      <w:r>
        <w:t>similar to</w:t>
      </w:r>
      <w:proofErr w:type="gramEnd"/>
      <w:r>
        <w:t xml:space="preserve"> a rights issue within the meaning of the </w:t>
      </w:r>
      <w:r>
        <w:rPr>
          <w:i/>
          <w:iCs/>
        </w:rPr>
        <w:t>Corporations Act 2001</w:t>
      </w:r>
      <w:r>
        <w:t xml:space="preserve"> and is provided for under an instrument made by the Australian Securities Investment </w:t>
      </w:r>
      <w:r w:rsidR="002D5C98">
        <w:t xml:space="preserve">Commission </w:t>
      </w:r>
      <w:r>
        <w:t>(ASIC) under the </w:t>
      </w:r>
      <w:r>
        <w:rPr>
          <w:i/>
          <w:iCs/>
        </w:rPr>
        <w:t>Corporations Act 2001</w:t>
      </w:r>
      <w:r>
        <w:t>.</w:t>
      </w:r>
    </w:p>
    <w:p w14:paraId="074B0F9E" w14:textId="77777777" w:rsidR="00192402" w:rsidRDefault="00192402" w:rsidP="00192402">
      <w:pPr>
        <w:pStyle w:val="bullet0"/>
        <w:shd w:val="clear" w:color="auto" w:fill="FFFFFF"/>
        <w:spacing w:before="240" w:beforeAutospacing="0" w:after="120" w:afterAutospacing="0"/>
      </w:pPr>
      <w:r>
        <w:rPr>
          <w:color w:val="000000"/>
        </w:rPr>
        <w:t xml:space="preserve">Section 41 covers circumstances where </w:t>
      </w:r>
      <w:r>
        <w:rPr>
          <w:color w:val="000000"/>
          <w:shd w:val="clear" w:color="auto" w:fill="FFFFFF"/>
        </w:rPr>
        <w:t xml:space="preserve">a foreign person acquires an additional interest in an entity under a pro-rata rights issue. </w:t>
      </w:r>
      <w:r>
        <w:t xml:space="preserve">Pro-rata rights issues are rights issues in which existing shareholders acquire additional rights in proportion to their existing shareholdings. These are rights, but not obligations, to buy new shares which may sometimes be assigned (sold) to a third party. </w:t>
      </w:r>
    </w:p>
    <w:p w14:paraId="65A2C64F" w14:textId="5E601B59" w:rsidR="00192402" w:rsidRDefault="00192402" w:rsidP="00192402">
      <w:pPr>
        <w:spacing w:before="240" w:after="200"/>
      </w:pPr>
      <w:r w:rsidRPr="00950E23">
        <w:rPr>
          <w:color w:val="000000"/>
          <w:shd w:val="clear" w:color="auto" w:fill="FFFFFF"/>
        </w:rPr>
        <w:t xml:space="preserve">Division 4 </w:t>
      </w:r>
      <w:r w:rsidR="00461D3B">
        <w:rPr>
          <w:color w:val="000000"/>
          <w:shd w:val="clear" w:color="auto" w:fill="FFFFFF"/>
        </w:rPr>
        <w:t xml:space="preserve">already </w:t>
      </w:r>
      <w:r w:rsidRPr="00950E23">
        <w:rPr>
          <w:color w:val="000000"/>
          <w:shd w:val="clear" w:color="auto" w:fill="FFFFFF"/>
        </w:rPr>
        <w:t xml:space="preserve">provides exemptions </w:t>
      </w:r>
      <w:r w:rsidR="00461D3B">
        <w:rPr>
          <w:color w:val="000000"/>
          <w:shd w:val="clear" w:color="auto" w:fill="FFFFFF"/>
        </w:rPr>
        <w:t>from registration obligations</w:t>
      </w:r>
      <w:r w:rsidRPr="00950E23">
        <w:rPr>
          <w:color w:val="000000"/>
          <w:shd w:val="clear" w:color="auto" w:fill="FFFFFF"/>
        </w:rPr>
        <w:t xml:space="preserve"> for certain kinds of interests. Item 6 inserts section 58KA into Division 4 to provide that Part 7A of the Act does not apply in relation to the acquisition of an interest in securities in an entity in the circumstances outlined in subsection 41(2).</w:t>
      </w:r>
      <w:r>
        <w:rPr>
          <w:color w:val="000000"/>
          <w:shd w:val="clear" w:color="auto" w:fill="FFFFFF"/>
        </w:rPr>
        <w:t xml:space="preserve"> </w:t>
      </w:r>
      <w:r>
        <w:t xml:space="preserve">Item 3 inserts a note after section 41 to clarify that Part 7A of the Act </w:t>
      </w:r>
      <w:r>
        <w:rPr>
          <w:color w:val="000000"/>
          <w:shd w:val="clear" w:color="auto" w:fill="FFFFFF"/>
        </w:rPr>
        <w:t xml:space="preserve">(which contains requirements and other provisions relating to </w:t>
      </w:r>
      <w:r w:rsidR="00856554" w:rsidRPr="003968E2">
        <w:rPr>
          <w:szCs w:val="24"/>
        </w:rPr>
        <w:t xml:space="preserve">the </w:t>
      </w:r>
      <w:r w:rsidR="00856554" w:rsidRPr="003968E2">
        <w:rPr>
          <w:color w:val="000000"/>
          <w:shd w:val="clear" w:color="auto" w:fill="FFFFFF"/>
        </w:rPr>
        <w:t>Register of Foreign Ownership of Australian Asset</w:t>
      </w:r>
      <w:r w:rsidR="00856554">
        <w:rPr>
          <w:color w:val="000000"/>
          <w:shd w:val="clear" w:color="auto" w:fill="FFFFFF"/>
        </w:rPr>
        <w:t>s (the Register)</w:t>
      </w:r>
      <w:r w:rsidR="00856554">
        <w:t xml:space="preserve"> </w:t>
      </w:r>
      <w:r>
        <w:t>does not apply to these circumstances. That is, a foreign person is not required to give a register notice to the Registrar of an interest acquired through a rights issue which does not change their existing shareholding.</w:t>
      </w:r>
    </w:p>
    <w:p w14:paraId="309EC175" w14:textId="77777777" w:rsidR="00192402" w:rsidRDefault="00192402" w:rsidP="00192402">
      <w:pPr>
        <w:spacing w:before="240" w:after="200"/>
        <w:rPr>
          <w:color w:val="000000"/>
          <w:shd w:val="clear" w:color="auto" w:fill="FFFFFF"/>
        </w:rPr>
      </w:pPr>
      <w:r>
        <w:rPr>
          <w:color w:val="000000"/>
          <w:shd w:val="clear" w:color="auto" w:fill="FFFFFF"/>
        </w:rPr>
        <w:t>The effect of this amendment is to limit the range of interests in securities that must be registered on the Register under the Act to only the interests that are most important and sensitive. This means foreign persons do not have to bear the regulatory burden of reporting most pro-rata rights issues to the Registrar. Where a foreign person has reasonable grounds to believe that their holding will increase following the pro-rata rights issue, the exemption in section 41 will not apply and they may be required to give notice to the Registrar (and the Treasurer of the proposed action).</w:t>
      </w:r>
    </w:p>
    <w:p w14:paraId="5570698A" w14:textId="12B47B9B" w:rsidR="00192402" w:rsidRPr="00D25552" w:rsidRDefault="00192402" w:rsidP="00192402">
      <w:pPr>
        <w:spacing w:before="240" w:after="200"/>
        <w:rPr>
          <w:b/>
          <w:bCs/>
        </w:rPr>
      </w:pPr>
      <w:r w:rsidRPr="00D25552">
        <w:rPr>
          <w:b/>
          <w:bCs/>
        </w:rPr>
        <w:t xml:space="preserve">Items </w:t>
      </w:r>
      <w:r w:rsidR="003F79D4">
        <w:rPr>
          <w:b/>
          <w:bCs/>
        </w:rPr>
        <w:t>[</w:t>
      </w:r>
      <w:r w:rsidRPr="00D25552">
        <w:rPr>
          <w:b/>
          <w:bCs/>
        </w:rPr>
        <w:t>4</w:t>
      </w:r>
      <w:r w:rsidR="003F79D4">
        <w:rPr>
          <w:b/>
          <w:bCs/>
        </w:rPr>
        <w:t>]</w:t>
      </w:r>
      <w:r w:rsidRPr="00D25552">
        <w:rPr>
          <w:b/>
          <w:bCs/>
        </w:rPr>
        <w:t xml:space="preserve"> and </w:t>
      </w:r>
      <w:r w:rsidR="003F79D4">
        <w:rPr>
          <w:b/>
          <w:bCs/>
        </w:rPr>
        <w:t>[</w:t>
      </w:r>
      <w:r w:rsidR="00497959">
        <w:rPr>
          <w:b/>
          <w:bCs/>
        </w:rPr>
        <w:t>5</w:t>
      </w:r>
      <w:r w:rsidR="003F79D4">
        <w:rPr>
          <w:b/>
          <w:bCs/>
        </w:rPr>
        <w:t>]</w:t>
      </w:r>
      <w:r w:rsidRPr="00D25552">
        <w:rPr>
          <w:b/>
          <w:bCs/>
        </w:rPr>
        <w:t xml:space="preserve"> – register notice obligations for foreign custodian </w:t>
      </w:r>
      <w:proofErr w:type="gramStart"/>
      <w:r w:rsidRPr="00D25552">
        <w:rPr>
          <w:b/>
          <w:bCs/>
        </w:rPr>
        <w:t>corporations</w:t>
      </w:r>
      <w:proofErr w:type="gramEnd"/>
    </w:p>
    <w:p w14:paraId="548DAA46" w14:textId="77777777" w:rsidR="00192402" w:rsidRDefault="00192402" w:rsidP="00192402">
      <w:pPr>
        <w:spacing w:before="240" w:after="200"/>
        <w:rPr>
          <w:color w:val="000000"/>
          <w:shd w:val="clear" w:color="auto" w:fill="FFFFFF"/>
        </w:rPr>
      </w:pPr>
      <w:r>
        <w:t xml:space="preserve">Section 130ZU of the Act allows the Principal Regulations to prescribe circumstances in which a person specified in the Principal Regulations must give a register notice to the Registrar, and section 37 allows the regulations to provide for exemptions from the Act or from specified provisions of the Act. </w:t>
      </w:r>
    </w:p>
    <w:p w14:paraId="59CA22C9" w14:textId="77777777" w:rsidR="00192402" w:rsidRDefault="00192402" w:rsidP="00192402">
      <w:pPr>
        <w:spacing w:before="240" w:after="200"/>
        <w:rPr>
          <w:shd w:val="clear" w:color="auto" w:fill="FFFFFF"/>
        </w:rPr>
      </w:pPr>
      <w:r>
        <w:lastRenderedPageBreak/>
        <w:t xml:space="preserve">Section 30 </w:t>
      </w:r>
      <w:r>
        <w:rPr>
          <w:color w:val="000000"/>
          <w:shd w:val="clear" w:color="auto" w:fill="FFFFFF"/>
        </w:rPr>
        <w:t>provides an exemption from significant and notifiable actions under the Act for the acquisition of interests by foreign custodian corporations in their capacity as custodians. Further, subsection 41</w:t>
      </w:r>
      <w:proofErr w:type="gramStart"/>
      <w:r>
        <w:rPr>
          <w:color w:val="000000"/>
          <w:shd w:val="clear" w:color="auto" w:fill="FFFFFF"/>
        </w:rPr>
        <w:t>A(</w:t>
      </w:r>
      <w:proofErr w:type="gramEnd"/>
      <w:r>
        <w:rPr>
          <w:color w:val="000000"/>
          <w:shd w:val="clear" w:color="auto" w:fill="FFFFFF"/>
        </w:rPr>
        <w:t xml:space="preserve">1) exempts </w:t>
      </w:r>
      <w:r>
        <w:t xml:space="preserve">actions from being notifiable actions under the Act when </w:t>
      </w:r>
      <w:r>
        <w:rPr>
          <w:shd w:val="clear" w:color="auto" w:fill="FFFFFF"/>
        </w:rPr>
        <w:t xml:space="preserve">an entity becomes a foreign person by virtue of a foreign custodian corporation holding an interest in the entity in the course of providing custodian services as outlined in subsection 41A(2). </w:t>
      </w:r>
    </w:p>
    <w:p w14:paraId="3AA54D51" w14:textId="77777777" w:rsidR="00192402" w:rsidRPr="00746387" w:rsidRDefault="00192402" w:rsidP="00192402">
      <w:pPr>
        <w:shd w:val="clear" w:color="auto" w:fill="FFFFFF"/>
        <w:spacing w:before="0" w:after="240"/>
        <w:rPr>
          <w:color w:val="000000"/>
          <w:szCs w:val="24"/>
        </w:rPr>
      </w:pPr>
      <w:r w:rsidRPr="00746387">
        <w:rPr>
          <w:color w:val="000000"/>
          <w:szCs w:val="24"/>
        </w:rPr>
        <w:t>Custodians provide a range of services for their clients, who are generally institutional investors, money managers and broker/dealers. These services typically include: settlement of trade and safekeeping of financial assets on behalf of the client; collection of income arising from portfolios; application of entitlements to reduce rates of withholding tax at source and reclaiming tax withheld; and notification and dealing with corporate action.</w:t>
      </w:r>
    </w:p>
    <w:p w14:paraId="7293DD29" w14:textId="77777777" w:rsidR="00192402" w:rsidRDefault="00192402" w:rsidP="00192402">
      <w:pPr>
        <w:spacing w:before="240" w:after="200"/>
        <w:rPr>
          <w:shd w:val="clear" w:color="auto" w:fill="FFFFFF"/>
        </w:rPr>
      </w:pPr>
      <w:r w:rsidRPr="00746387">
        <w:rPr>
          <w:color w:val="000000"/>
          <w:szCs w:val="24"/>
        </w:rPr>
        <w:t>Generally, custodians only exercise voting rights attached to their holdings under direct instruction from their client and do not normally exercise influence independent of their client.</w:t>
      </w:r>
    </w:p>
    <w:p w14:paraId="2D986BB3" w14:textId="2D1C64AB" w:rsidR="00192402" w:rsidRDefault="00192402" w:rsidP="00192402">
      <w:pPr>
        <w:spacing w:before="240" w:after="200"/>
      </w:pPr>
      <w:r>
        <w:rPr>
          <w:color w:val="000000"/>
          <w:shd w:val="clear" w:color="auto" w:fill="FFFFFF"/>
        </w:rPr>
        <w:t xml:space="preserve">Division 4 </w:t>
      </w:r>
      <w:r w:rsidR="00D36B19">
        <w:rPr>
          <w:color w:val="000000"/>
          <w:shd w:val="clear" w:color="auto" w:fill="FFFFFF"/>
        </w:rPr>
        <w:t xml:space="preserve">already </w:t>
      </w:r>
      <w:r>
        <w:rPr>
          <w:color w:val="000000"/>
          <w:shd w:val="clear" w:color="auto" w:fill="FFFFFF"/>
        </w:rPr>
        <w:t xml:space="preserve">provides exemptions </w:t>
      </w:r>
      <w:r w:rsidR="00D36B19">
        <w:rPr>
          <w:color w:val="000000"/>
          <w:shd w:val="clear" w:color="auto" w:fill="FFFFFF"/>
        </w:rPr>
        <w:t>from registration obligations</w:t>
      </w:r>
      <w:r>
        <w:rPr>
          <w:color w:val="000000"/>
          <w:shd w:val="clear" w:color="auto" w:fill="FFFFFF"/>
        </w:rPr>
        <w:t xml:space="preserve"> for certain kinds of interests. </w:t>
      </w:r>
      <w:r>
        <w:rPr>
          <w:shd w:val="clear" w:color="auto" w:fill="FFFFFF"/>
        </w:rPr>
        <w:t xml:space="preserve">The exemption in section 41A reflects the fact that </w:t>
      </w:r>
      <w:r>
        <w:t xml:space="preserve">actions taken by persons which are only foreign persons because of an interest held in them by one or more foreign custodian corporations generally pose a lesser risk to the national interest. However, since the commencement of the Register, some of these entities have been subject to register notice obligations under Part 7A of the Act, creating a discrepancy between the current exemptions from notifications and register notice obligations. </w:t>
      </w:r>
    </w:p>
    <w:p w14:paraId="4B688AF8" w14:textId="77777777" w:rsidR="00192402" w:rsidRDefault="00192402" w:rsidP="00192402">
      <w:pPr>
        <w:spacing w:before="240" w:after="200"/>
        <w:rPr>
          <w:shd w:val="clear" w:color="auto" w:fill="FFFFFF"/>
        </w:rPr>
      </w:pPr>
      <w:r>
        <w:rPr>
          <w:shd w:val="clear" w:color="auto" w:fill="FFFFFF"/>
        </w:rPr>
        <w:t>Item 6 inserts section 58KB into Division 4 to also provide that Part 7A of the Act does not apply in relation to the actions taken by a foreign person as outlined in subsection 41</w:t>
      </w:r>
      <w:proofErr w:type="gramStart"/>
      <w:r>
        <w:rPr>
          <w:shd w:val="clear" w:color="auto" w:fill="FFFFFF"/>
        </w:rPr>
        <w:t>A(</w:t>
      </w:r>
      <w:proofErr w:type="gramEnd"/>
      <w:r>
        <w:rPr>
          <w:shd w:val="clear" w:color="auto" w:fill="FFFFFF"/>
        </w:rPr>
        <w:t xml:space="preserve">2). </w:t>
      </w:r>
      <w:r>
        <w:t>Item 4 inserts a note at the end of subsection 41</w:t>
      </w:r>
      <w:proofErr w:type="gramStart"/>
      <w:r>
        <w:t>A(</w:t>
      </w:r>
      <w:proofErr w:type="gramEnd"/>
      <w:r>
        <w:t xml:space="preserve">1) to clarify that Part 7A of the Act </w:t>
      </w:r>
      <w:r>
        <w:rPr>
          <w:color w:val="000000"/>
          <w:shd w:val="clear" w:color="auto" w:fill="FFFFFF"/>
        </w:rPr>
        <w:t>(which contains requirements and other provisions relating to the Register)</w:t>
      </w:r>
      <w:r>
        <w:t xml:space="preserve"> does not apply to actions taken by persons which are only foreign persons because of an interest held in them by one or more foreign custodian corporations</w:t>
      </w:r>
      <w:r>
        <w:rPr>
          <w:shd w:val="clear" w:color="auto" w:fill="FFFFFF"/>
        </w:rPr>
        <w:t xml:space="preserve">. </w:t>
      </w:r>
    </w:p>
    <w:p w14:paraId="04A816E0" w14:textId="77777777" w:rsidR="00192402" w:rsidRDefault="00192402" w:rsidP="00192402">
      <w:pPr>
        <w:spacing w:before="240" w:after="200"/>
        <w:rPr>
          <w:shd w:val="clear" w:color="auto" w:fill="FFFFFF"/>
        </w:rPr>
      </w:pPr>
      <w:r>
        <w:rPr>
          <w:color w:val="000000"/>
          <w:shd w:val="clear" w:color="auto" w:fill="FFFFFF"/>
        </w:rPr>
        <w:t>The effect of the amendments is to remove the requirement to register on the Register for acquisitions of interests that are not likely to significantly increase risks that the foreign investment framework seeks to address.</w:t>
      </w:r>
    </w:p>
    <w:p w14:paraId="0B1DB013" w14:textId="164463F3" w:rsidR="00192402" w:rsidRPr="00D25552" w:rsidRDefault="00192402" w:rsidP="00192402">
      <w:pPr>
        <w:spacing w:before="240" w:after="200"/>
        <w:rPr>
          <w:b/>
          <w:bCs/>
        </w:rPr>
      </w:pPr>
      <w:r w:rsidRPr="00D25552">
        <w:rPr>
          <w:b/>
          <w:bCs/>
          <w:color w:val="000000"/>
          <w:shd w:val="clear" w:color="auto" w:fill="FFFFFF"/>
        </w:rPr>
        <w:t xml:space="preserve">Item </w:t>
      </w:r>
      <w:r w:rsidR="003F79D4">
        <w:rPr>
          <w:b/>
          <w:bCs/>
          <w:color w:val="000000"/>
          <w:shd w:val="clear" w:color="auto" w:fill="FFFFFF"/>
        </w:rPr>
        <w:t>[</w:t>
      </w:r>
      <w:r w:rsidR="00BA2017">
        <w:rPr>
          <w:b/>
          <w:bCs/>
          <w:color w:val="000000"/>
          <w:shd w:val="clear" w:color="auto" w:fill="FFFFFF"/>
        </w:rPr>
        <w:t>6</w:t>
      </w:r>
      <w:r w:rsidR="003F79D4">
        <w:rPr>
          <w:b/>
          <w:bCs/>
          <w:color w:val="000000"/>
          <w:shd w:val="clear" w:color="auto" w:fill="FFFFFF"/>
        </w:rPr>
        <w:t>]</w:t>
      </w:r>
      <w:r w:rsidRPr="00D25552">
        <w:rPr>
          <w:b/>
          <w:bCs/>
          <w:color w:val="000000"/>
          <w:shd w:val="clear" w:color="auto" w:fill="FFFFFF"/>
        </w:rPr>
        <w:t xml:space="preserve"> - Application</w:t>
      </w:r>
    </w:p>
    <w:p w14:paraId="0CF87616" w14:textId="6D6337A4" w:rsidR="00192402" w:rsidRPr="00C84FA0" w:rsidRDefault="00192402" w:rsidP="00192402">
      <w:pPr>
        <w:spacing w:before="240" w:after="200"/>
      </w:pPr>
      <w:r>
        <w:t>The amendments made by</w:t>
      </w:r>
      <w:r w:rsidR="00712C02">
        <w:t xml:space="preserve"> Items 1 to </w:t>
      </w:r>
      <w:r w:rsidR="00BA2017">
        <w:t>4</w:t>
      </w:r>
      <w:r w:rsidR="00712C02">
        <w:t xml:space="preserve"> of</w:t>
      </w:r>
      <w:r>
        <w:t xml:space="preserve"> these Regulations will apply in relation to an action taken on or after the commencement of the Regulations (noting the Regulations commence the day after registration – see Item 2). </w:t>
      </w:r>
    </w:p>
    <w:p w14:paraId="02D52EDA" w14:textId="77777777" w:rsidR="00DA0CB9" w:rsidRPr="00844849" w:rsidRDefault="009B043E" w:rsidP="00DA0CB9">
      <w:pPr>
        <w:spacing w:before="240" w:after="200"/>
        <w:rPr>
          <w:color w:val="FF0000"/>
        </w:rPr>
      </w:pPr>
      <w:r>
        <w:rPr>
          <w:color w:val="000000"/>
          <w:shd w:val="clear" w:color="auto" w:fill="FFFFFF"/>
        </w:rPr>
        <w:t xml:space="preserve">The amendments made by item </w:t>
      </w:r>
      <w:r w:rsidR="00BA2017">
        <w:rPr>
          <w:color w:val="000000"/>
          <w:shd w:val="clear" w:color="auto" w:fill="FFFFFF"/>
        </w:rPr>
        <w:t>5</w:t>
      </w:r>
      <w:r>
        <w:rPr>
          <w:color w:val="000000"/>
          <w:shd w:val="clear" w:color="auto" w:fill="FFFFFF"/>
        </w:rPr>
        <w:t xml:space="preserve"> of these Regulations</w:t>
      </w:r>
      <w:r w:rsidR="00B176B1">
        <w:rPr>
          <w:color w:val="000000"/>
          <w:shd w:val="clear" w:color="auto" w:fill="FFFFFF"/>
        </w:rPr>
        <w:t xml:space="preserve"> will apply in relation to an action taken on or after the commencement of the </w:t>
      </w:r>
      <w:r w:rsidR="007F7BA9" w:rsidRPr="00DC39CC">
        <w:rPr>
          <w:i/>
        </w:rPr>
        <w:t>Foreign Acquisitions and Takeovers Amendment (Register of Foreign Ownership and Other Matters) Regulations 2023</w:t>
      </w:r>
      <w:r w:rsidR="00CD2067">
        <w:rPr>
          <w:iCs/>
        </w:rPr>
        <w:t xml:space="preserve"> (2023 Regulations)</w:t>
      </w:r>
      <w:r w:rsidR="001374CC">
        <w:rPr>
          <w:iCs/>
        </w:rPr>
        <w:t>, being 1 July 2023.</w:t>
      </w:r>
      <w:r>
        <w:rPr>
          <w:color w:val="000000"/>
          <w:shd w:val="clear" w:color="auto" w:fill="FFFFFF"/>
        </w:rPr>
        <w:t xml:space="preserve"> </w:t>
      </w:r>
      <w:r w:rsidR="00CF5701">
        <w:rPr>
          <w:color w:val="000000"/>
          <w:shd w:val="clear" w:color="auto" w:fill="FFFFFF"/>
        </w:rPr>
        <w:t xml:space="preserve">Retrospective application is appropriate in these circumstances as the amendments made by item 6 correct </w:t>
      </w:r>
      <w:r w:rsidR="00CD2067">
        <w:rPr>
          <w:color w:val="000000"/>
          <w:shd w:val="clear" w:color="auto" w:fill="FFFFFF"/>
        </w:rPr>
        <w:t xml:space="preserve">an </w:t>
      </w:r>
      <w:r w:rsidR="00DE2583">
        <w:rPr>
          <w:color w:val="000000"/>
          <w:shd w:val="clear" w:color="auto" w:fill="FFFFFF"/>
        </w:rPr>
        <w:t xml:space="preserve">oversight </w:t>
      </w:r>
      <w:r w:rsidR="00CD2067">
        <w:rPr>
          <w:color w:val="000000"/>
          <w:shd w:val="clear" w:color="auto" w:fill="FFFFFF"/>
        </w:rPr>
        <w:t>in the 2023 Regulations</w:t>
      </w:r>
      <w:r w:rsidR="00675B41">
        <w:rPr>
          <w:color w:val="000000"/>
          <w:shd w:val="clear" w:color="auto" w:fill="FFFFFF"/>
        </w:rPr>
        <w:t xml:space="preserve"> and therefore should apply from when th</w:t>
      </w:r>
      <w:r w:rsidR="00DE7812">
        <w:rPr>
          <w:color w:val="000000"/>
          <w:shd w:val="clear" w:color="auto" w:fill="FFFFFF"/>
        </w:rPr>
        <w:t>ose Regulations commenced.</w:t>
      </w:r>
      <w:r w:rsidR="00F64295">
        <w:rPr>
          <w:color w:val="000000"/>
          <w:shd w:val="clear" w:color="auto" w:fill="FFFFFF"/>
        </w:rPr>
        <w:t xml:space="preserve"> This ensures that any </w:t>
      </w:r>
      <w:r w:rsidR="00A1216B">
        <w:rPr>
          <w:color w:val="000000"/>
          <w:shd w:val="clear" w:color="auto" w:fill="FFFFFF"/>
        </w:rPr>
        <w:t>failure occurring after 1 July 2023</w:t>
      </w:r>
      <w:r w:rsidR="006238C6">
        <w:rPr>
          <w:color w:val="000000"/>
          <w:shd w:val="clear" w:color="auto" w:fill="FFFFFF"/>
        </w:rPr>
        <w:t xml:space="preserve"> </w:t>
      </w:r>
      <w:r w:rsidR="00F64295">
        <w:rPr>
          <w:color w:val="000000"/>
          <w:shd w:val="clear" w:color="auto" w:fill="FFFFFF"/>
        </w:rPr>
        <w:t>to notify the types of actions</w:t>
      </w:r>
      <w:r w:rsidR="00DE7812">
        <w:rPr>
          <w:color w:val="000000"/>
          <w:shd w:val="clear" w:color="auto" w:fill="FFFFFF"/>
        </w:rPr>
        <w:t xml:space="preserve"> </w:t>
      </w:r>
      <w:r w:rsidR="00D90B1F">
        <w:rPr>
          <w:color w:val="000000"/>
          <w:shd w:val="clear" w:color="auto" w:fill="FFFFFF"/>
        </w:rPr>
        <w:t xml:space="preserve">that </w:t>
      </w:r>
      <w:r w:rsidR="003159F2">
        <w:rPr>
          <w:color w:val="000000"/>
          <w:shd w:val="clear" w:color="auto" w:fill="FFFFFF"/>
        </w:rPr>
        <w:t>are now</w:t>
      </w:r>
      <w:r w:rsidR="00AC7E20">
        <w:rPr>
          <w:color w:val="000000"/>
          <w:shd w:val="clear" w:color="auto" w:fill="FFFFFF"/>
        </w:rPr>
        <w:t xml:space="preserve"> exempt</w:t>
      </w:r>
      <w:r w:rsidR="00770FB0">
        <w:rPr>
          <w:color w:val="000000"/>
          <w:shd w:val="clear" w:color="auto" w:fill="FFFFFF"/>
        </w:rPr>
        <w:t xml:space="preserve"> </w:t>
      </w:r>
      <w:r w:rsidR="00093E7A">
        <w:rPr>
          <w:color w:val="000000"/>
          <w:shd w:val="clear" w:color="auto" w:fill="FFFFFF"/>
        </w:rPr>
        <w:t xml:space="preserve">from notification </w:t>
      </w:r>
      <w:r w:rsidR="00B409B7">
        <w:rPr>
          <w:color w:val="000000"/>
          <w:shd w:val="clear" w:color="auto" w:fill="FFFFFF"/>
        </w:rPr>
        <w:t>because of</w:t>
      </w:r>
      <w:r w:rsidR="00AD45D5">
        <w:rPr>
          <w:color w:val="000000"/>
          <w:shd w:val="clear" w:color="auto" w:fill="FFFFFF"/>
        </w:rPr>
        <w:t xml:space="preserve"> the amendments </w:t>
      </w:r>
      <w:r w:rsidR="0090749B">
        <w:rPr>
          <w:color w:val="000000"/>
          <w:shd w:val="clear" w:color="auto" w:fill="FFFFFF"/>
        </w:rPr>
        <w:t xml:space="preserve">made </w:t>
      </w:r>
      <w:r w:rsidR="00AD45D5">
        <w:rPr>
          <w:color w:val="000000"/>
          <w:shd w:val="clear" w:color="auto" w:fill="FFFFFF"/>
        </w:rPr>
        <w:t xml:space="preserve">by Item </w:t>
      </w:r>
      <w:r w:rsidR="00A108DD">
        <w:rPr>
          <w:color w:val="000000"/>
          <w:shd w:val="clear" w:color="auto" w:fill="FFFFFF"/>
        </w:rPr>
        <w:t>5</w:t>
      </w:r>
      <w:r w:rsidR="00AD45D5">
        <w:rPr>
          <w:color w:val="000000"/>
          <w:shd w:val="clear" w:color="auto" w:fill="FFFFFF"/>
        </w:rPr>
        <w:t xml:space="preserve"> </w:t>
      </w:r>
      <w:r w:rsidR="003159F2">
        <w:rPr>
          <w:color w:val="000000"/>
          <w:shd w:val="clear" w:color="auto" w:fill="FFFFFF"/>
        </w:rPr>
        <w:t xml:space="preserve">will not be </w:t>
      </w:r>
      <w:r w:rsidR="003159F2">
        <w:rPr>
          <w:color w:val="000000"/>
          <w:shd w:val="clear" w:color="auto" w:fill="FFFFFF"/>
        </w:rPr>
        <w:lastRenderedPageBreak/>
        <w:t>liable for an offence under the Principal Regulations.</w:t>
      </w:r>
      <w:r w:rsidR="00AC7E20">
        <w:rPr>
          <w:color w:val="000000"/>
          <w:shd w:val="clear" w:color="auto" w:fill="FFFFFF"/>
        </w:rPr>
        <w:t xml:space="preserve"> </w:t>
      </w:r>
      <w:r w:rsidR="00CD2CC4">
        <w:rPr>
          <w:color w:val="000000"/>
          <w:shd w:val="clear" w:color="auto" w:fill="FFFFFF"/>
        </w:rPr>
        <w:t>It is expected that no</w:t>
      </w:r>
      <w:r w:rsidR="00156B45">
        <w:rPr>
          <w:color w:val="000000"/>
          <w:shd w:val="clear" w:color="auto" w:fill="FFFFFF"/>
        </w:rPr>
        <w:t xml:space="preserve"> </w:t>
      </w:r>
      <w:r w:rsidR="003159F2">
        <w:rPr>
          <w:color w:val="000000"/>
          <w:shd w:val="clear" w:color="auto" w:fill="FFFFFF"/>
        </w:rPr>
        <w:t xml:space="preserve">entities </w:t>
      </w:r>
      <w:r w:rsidR="00156B45">
        <w:rPr>
          <w:color w:val="000000"/>
          <w:shd w:val="clear" w:color="auto" w:fill="FFFFFF"/>
        </w:rPr>
        <w:t xml:space="preserve">are likely to be detrimentally affected by the retrospective application of the amendments. </w:t>
      </w:r>
      <w:r w:rsidR="00DA0CB9" w:rsidRPr="00844849">
        <w:rPr>
          <w:color w:val="FF0000"/>
        </w:rPr>
        <w:br w:type="page"/>
      </w:r>
    </w:p>
    <w:p w14:paraId="47730529" w14:textId="77777777" w:rsidR="00DA0CB9" w:rsidRPr="003C5719" w:rsidRDefault="00DA0CB9" w:rsidP="00DA0CB9">
      <w:pPr>
        <w:pageBreakBefore/>
        <w:spacing w:before="240"/>
        <w:jc w:val="right"/>
        <w:rPr>
          <w:b/>
          <w:u w:val="single"/>
        </w:rPr>
      </w:pPr>
      <w:r w:rsidRPr="003C5719">
        <w:rPr>
          <w:b/>
          <w:u w:val="single"/>
        </w:rPr>
        <w:lastRenderedPageBreak/>
        <w:t xml:space="preserve">ATTACHMENT </w:t>
      </w:r>
      <w:r>
        <w:rPr>
          <w:b/>
          <w:u w:val="single"/>
        </w:rPr>
        <w:t>B</w:t>
      </w:r>
    </w:p>
    <w:p w14:paraId="2299D6EE" w14:textId="77777777" w:rsidR="00DA0CB9" w:rsidRPr="003C5719" w:rsidRDefault="00DA0CB9" w:rsidP="00DA0CB9">
      <w:pPr>
        <w:pStyle w:val="Heading3"/>
        <w:jc w:val="center"/>
      </w:pPr>
      <w:r w:rsidRPr="003C5719">
        <w:t>Statement of Compatibility with Human Rights</w:t>
      </w:r>
    </w:p>
    <w:p w14:paraId="02D73B8F" w14:textId="77777777" w:rsidR="00DA0CB9" w:rsidRPr="003C5719" w:rsidRDefault="00DA0CB9" w:rsidP="00DA0CB9">
      <w:pPr>
        <w:spacing w:before="240"/>
        <w:jc w:val="center"/>
        <w:rPr>
          <w:i/>
        </w:rPr>
      </w:pPr>
      <w:r w:rsidRPr="003C5719">
        <w:rPr>
          <w:i/>
        </w:rPr>
        <w:t>Prepared in accordance with Part 3 of the Human Rights (Parliamentary Scrutiny) Act</w:t>
      </w:r>
      <w:r>
        <w:rPr>
          <w:i/>
        </w:rPr>
        <w:t> </w:t>
      </w:r>
      <w:r w:rsidRPr="003C5719">
        <w:rPr>
          <w:i/>
        </w:rPr>
        <w:t>2011</w:t>
      </w:r>
    </w:p>
    <w:p w14:paraId="1614A149" w14:textId="77777777" w:rsidR="00DA0CB9" w:rsidRPr="003C5719" w:rsidRDefault="00DA0CB9" w:rsidP="00DA0CB9">
      <w:pPr>
        <w:pStyle w:val="Heading3"/>
        <w:jc w:val="center"/>
      </w:pPr>
      <w:r>
        <w:t xml:space="preserve">Foreign </w:t>
      </w:r>
      <w:r>
        <w:rPr>
          <w:i/>
        </w:rPr>
        <w:t>Acquisitions and Takeovers Amendment (</w:t>
      </w:r>
      <w:proofErr w:type="spellStart"/>
      <w:r>
        <w:rPr>
          <w:i/>
        </w:rPr>
        <w:t>Interfunding</w:t>
      </w:r>
      <w:proofErr w:type="spellEnd"/>
      <w:r>
        <w:rPr>
          <w:i/>
        </w:rPr>
        <w:t xml:space="preserve"> Exemption) Regulations 2024</w:t>
      </w:r>
    </w:p>
    <w:p w14:paraId="307C3A2D" w14:textId="77777777" w:rsidR="00DA0CB9" w:rsidRPr="003C5719" w:rsidRDefault="00DA0CB9" w:rsidP="00DA0CB9">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28D093DC" w14:textId="77777777" w:rsidR="00DA0CB9" w:rsidRPr="003C5719" w:rsidRDefault="00DA0CB9" w:rsidP="00DA0CB9">
      <w:pPr>
        <w:pStyle w:val="Heading3"/>
      </w:pPr>
      <w:r w:rsidRPr="003C5719">
        <w:t>Overview of the Legislative Instrument</w:t>
      </w:r>
    </w:p>
    <w:p w14:paraId="64C52BA6" w14:textId="4CA2F70F" w:rsidR="00DA0CB9" w:rsidRDefault="00DA0CB9" w:rsidP="00DA0CB9">
      <w:pPr>
        <w:tabs>
          <w:tab w:val="left" w:pos="1418"/>
        </w:tabs>
        <w:spacing w:before="0" w:after="240"/>
      </w:pPr>
      <w:r>
        <w:t xml:space="preserve">The </w:t>
      </w:r>
      <w:r w:rsidRPr="00F87D8D">
        <w:rPr>
          <w:i/>
          <w:iCs/>
        </w:rPr>
        <w:t>Foreign Acquisitions and Takeovers Act</w:t>
      </w:r>
      <w:r>
        <w:t xml:space="preserve"> </w:t>
      </w:r>
      <w:r w:rsidRPr="00D75CBC">
        <w:rPr>
          <w:i/>
          <w:iCs/>
        </w:rPr>
        <w:t>1975</w:t>
      </w:r>
      <w:r w:rsidRPr="003C5719">
        <w:t xml:space="preserve"> (the Act)</w:t>
      </w:r>
      <w:r>
        <w:t xml:space="preserve"> establishes a regime for the notification, </w:t>
      </w:r>
      <w:proofErr w:type="gramStart"/>
      <w:r>
        <w:t>review</w:t>
      </w:r>
      <w:proofErr w:type="gramEnd"/>
      <w:r>
        <w:t xml:space="preserve"> and approval of foreign investment in Australia. The </w:t>
      </w:r>
      <w:r w:rsidRPr="003C5719">
        <w:t xml:space="preserve">purpose of the </w:t>
      </w:r>
      <w:r>
        <w:rPr>
          <w:i/>
        </w:rPr>
        <w:t>Foreign Acquisitions and Takeovers Amendment (</w:t>
      </w:r>
      <w:proofErr w:type="spellStart"/>
      <w:r>
        <w:rPr>
          <w:i/>
        </w:rPr>
        <w:t>Interfunding</w:t>
      </w:r>
      <w:proofErr w:type="spellEnd"/>
      <w:r>
        <w:rPr>
          <w:i/>
        </w:rPr>
        <w:t xml:space="preserve"> Exemption) Regulations 2024 </w:t>
      </w:r>
      <w:r>
        <w:rPr>
          <w:iCs/>
        </w:rPr>
        <w:t xml:space="preserve">(the Regulations) </w:t>
      </w:r>
      <w:r w:rsidRPr="003C5719">
        <w:t>is</w:t>
      </w:r>
      <w:r>
        <w:t xml:space="preserve"> to amend the </w:t>
      </w:r>
      <w:r w:rsidRPr="00A4378E">
        <w:rPr>
          <w:i/>
          <w:iCs/>
        </w:rPr>
        <w:t xml:space="preserve">Foreign Acquisitions and Takeovers Regulation 2015 </w:t>
      </w:r>
      <w:r w:rsidRPr="00D25552">
        <w:t>(</w:t>
      </w:r>
      <w:r w:rsidRPr="00064C9A">
        <w:t>Principal Regulations</w:t>
      </w:r>
      <w:r>
        <w:t xml:space="preserve">) to exempt </w:t>
      </w:r>
      <w:r w:rsidRPr="003968E2">
        <w:t xml:space="preserve">a particular category of lower-risk and passive investment activities, </w:t>
      </w:r>
      <w:r>
        <w:t>known as</w:t>
      </w:r>
      <w:r w:rsidRPr="003968E2">
        <w:t xml:space="preserve"> </w:t>
      </w:r>
      <w:r>
        <w:t>‘</w:t>
      </w:r>
      <w:proofErr w:type="spellStart"/>
      <w:r w:rsidRPr="003968E2">
        <w:t>interfunding</w:t>
      </w:r>
      <w:proofErr w:type="spellEnd"/>
      <w:r>
        <w:t xml:space="preserve">’, from mandatory notification </w:t>
      </w:r>
      <w:r w:rsidR="00364843">
        <w:t xml:space="preserve">and reporting </w:t>
      </w:r>
      <w:r>
        <w:t>requirements and fees under the Act.</w:t>
      </w:r>
      <w:r w:rsidRPr="000273F0">
        <w:t xml:space="preserve"> </w:t>
      </w:r>
    </w:p>
    <w:p w14:paraId="7B285924" w14:textId="25D9E742" w:rsidR="00DA0CB9" w:rsidRDefault="00DA0CB9" w:rsidP="00DA0CB9">
      <w:pPr>
        <w:tabs>
          <w:tab w:val="left" w:pos="1418"/>
        </w:tabs>
        <w:spacing w:before="0" w:after="240"/>
      </w:pPr>
      <w:r>
        <w:t xml:space="preserve">Generally, </w:t>
      </w:r>
      <w:proofErr w:type="spellStart"/>
      <w:r>
        <w:t>i</w:t>
      </w:r>
      <w:r w:rsidRPr="003968E2">
        <w:t>nterfunding</w:t>
      </w:r>
      <w:proofErr w:type="spellEnd"/>
      <w:r w:rsidRPr="003968E2">
        <w:t xml:space="preserve"> refers to transactions between investment entities (such as unit trusts) that are managed by the same responsible entity</w:t>
      </w:r>
      <w:r>
        <w:t xml:space="preserve"> or a related responsible entity</w:t>
      </w:r>
      <w:r w:rsidRPr="003968E2">
        <w:t xml:space="preserve">. </w:t>
      </w:r>
      <w:proofErr w:type="spellStart"/>
      <w:r w:rsidRPr="003968E2">
        <w:t>Interfunding</w:t>
      </w:r>
      <w:proofErr w:type="spellEnd"/>
      <w:r w:rsidRPr="003968E2">
        <w:t xml:space="preserve"> transactions may be used by investors to achieve investment objectives, reduce risk, and provide operational and cost efficiencies</w:t>
      </w:r>
      <w:r w:rsidR="00856554">
        <w:t>.</w:t>
      </w:r>
    </w:p>
    <w:p w14:paraId="55F0B21D" w14:textId="708D9C8A" w:rsidR="00DA0CB9" w:rsidRDefault="00DA0CB9" w:rsidP="00DA0CB9">
      <w:pPr>
        <w:tabs>
          <w:tab w:val="left" w:pos="1418"/>
        </w:tabs>
        <w:spacing w:before="0" w:after="240"/>
      </w:pPr>
      <w:r>
        <w:t xml:space="preserve">The amendments made by the Regulations will result in </w:t>
      </w:r>
      <w:proofErr w:type="spellStart"/>
      <w:r>
        <w:rPr>
          <w:szCs w:val="24"/>
        </w:rPr>
        <w:t>interfunding</w:t>
      </w:r>
      <w:proofErr w:type="spellEnd"/>
      <w:r>
        <w:rPr>
          <w:szCs w:val="24"/>
        </w:rPr>
        <w:t xml:space="preserve"> transactions that satisfy certain requirements no longer being significant actions, notifiable actions, or notifiable national security actions under the Act, however they will continue to be reviewable national security actions</w:t>
      </w:r>
      <w:r w:rsidR="007C4AB0">
        <w:rPr>
          <w:szCs w:val="24"/>
        </w:rPr>
        <w:t xml:space="preserve">. </w:t>
      </w:r>
      <w:r w:rsidRPr="00D25552">
        <w:rPr>
          <w:szCs w:val="24"/>
        </w:rPr>
        <w:t>This reduces the regulatory</w:t>
      </w:r>
      <w:r w:rsidRPr="00D25552">
        <w:t xml:space="preserve"> burden for foreign investors while providing the Government with appropriate oversight</w:t>
      </w:r>
      <w:r>
        <w:t xml:space="preserve">. </w:t>
      </w:r>
    </w:p>
    <w:p w14:paraId="0DEDDC14" w14:textId="757DE798" w:rsidR="00DA0CB9" w:rsidRDefault="00DA0CB9" w:rsidP="00DA0CB9">
      <w:pPr>
        <w:tabs>
          <w:tab w:val="left" w:pos="1418"/>
        </w:tabs>
        <w:spacing w:before="0" w:after="240"/>
      </w:pPr>
      <w:r w:rsidRPr="00064C9A">
        <w:t>The Regulations also make minor technical updates to the</w:t>
      </w:r>
      <w:r>
        <w:t xml:space="preserve"> Principal Regulations</w:t>
      </w:r>
      <w:r w:rsidRPr="00064C9A">
        <w:t xml:space="preserve"> to ensure that existing exemptions relating to certain interests held by foreign custodian corporations and pro rata rights issues</w:t>
      </w:r>
      <w:r>
        <w:t xml:space="preserve"> </w:t>
      </w:r>
      <w:r w:rsidRPr="00064C9A">
        <w:t>continue to operate as intended.</w:t>
      </w:r>
      <w:r>
        <w:t xml:space="preserve"> That is, that a foreign person is not required to give a register notice to the Registrar to be recorded on the </w:t>
      </w:r>
      <w:r w:rsidR="00856554" w:rsidRPr="003968E2">
        <w:rPr>
          <w:color w:val="000000"/>
          <w:shd w:val="clear" w:color="auto" w:fill="FFFFFF"/>
        </w:rPr>
        <w:t>Register of Foreign Ownership of Australian Asset</w:t>
      </w:r>
      <w:r w:rsidR="00856554">
        <w:rPr>
          <w:color w:val="000000"/>
          <w:shd w:val="clear" w:color="auto" w:fill="FFFFFF"/>
        </w:rPr>
        <w:t>s (the Register)</w:t>
      </w:r>
      <w:r w:rsidR="00856554">
        <w:t xml:space="preserve"> </w:t>
      </w:r>
      <w:r>
        <w:t>for the following circumstances:</w:t>
      </w:r>
    </w:p>
    <w:p w14:paraId="7920A110" w14:textId="77777777" w:rsidR="00DA0CB9" w:rsidRDefault="00DA0CB9" w:rsidP="00DA0CB9">
      <w:pPr>
        <w:pStyle w:val="ListParagraph"/>
        <w:numPr>
          <w:ilvl w:val="0"/>
          <w:numId w:val="19"/>
        </w:numPr>
        <w:tabs>
          <w:tab w:val="left" w:pos="1418"/>
        </w:tabs>
        <w:spacing w:before="0" w:after="240"/>
      </w:pPr>
      <w:r>
        <w:t>an interest acquired through a rights issue which does not change their existing shareholding; or</w:t>
      </w:r>
    </w:p>
    <w:p w14:paraId="73CFCCAF" w14:textId="77777777" w:rsidR="00DA0CB9" w:rsidRPr="000273F0" w:rsidRDefault="00DA0CB9" w:rsidP="00DA0CB9">
      <w:pPr>
        <w:pStyle w:val="ListParagraph"/>
        <w:numPr>
          <w:ilvl w:val="0"/>
          <w:numId w:val="19"/>
        </w:numPr>
        <w:spacing w:before="240" w:after="200"/>
        <w:rPr>
          <w:shd w:val="clear" w:color="auto" w:fill="FFFFFF"/>
        </w:rPr>
      </w:pPr>
      <w:r>
        <w:t>actions taken by persons who are only foreign persons because of an interest held in them by one or more foreign custodian corporations</w:t>
      </w:r>
      <w:r w:rsidRPr="000273F0">
        <w:rPr>
          <w:shd w:val="clear" w:color="auto" w:fill="FFFFFF"/>
        </w:rPr>
        <w:t xml:space="preserve">. </w:t>
      </w:r>
    </w:p>
    <w:p w14:paraId="05EC48BE" w14:textId="77777777" w:rsidR="00DA0CB9" w:rsidRDefault="00DA0CB9" w:rsidP="00DA0CB9">
      <w:pPr>
        <w:spacing w:before="240"/>
      </w:pPr>
      <w:r>
        <w:t xml:space="preserve">This ensures that the acquisitions of interests that must be recorded on the Register are limited </w:t>
      </w:r>
      <w:r>
        <w:rPr>
          <w:color w:val="000000"/>
          <w:shd w:val="clear" w:color="auto" w:fill="FFFFFF"/>
        </w:rPr>
        <w:t>to those that are most important and sensitive</w:t>
      </w:r>
      <w:r>
        <w:t xml:space="preserve"> and that do not significantly increase risks that the </w:t>
      </w:r>
      <w:r>
        <w:rPr>
          <w:color w:val="000000"/>
          <w:shd w:val="clear" w:color="auto" w:fill="FFFFFF"/>
        </w:rPr>
        <w:t>that the foreign investment framework seeks to address.</w:t>
      </w:r>
    </w:p>
    <w:p w14:paraId="54AF5B8B" w14:textId="77777777" w:rsidR="00DA0CB9" w:rsidRDefault="00DA0CB9" w:rsidP="00DA0CB9">
      <w:pPr>
        <w:pStyle w:val="Heading3"/>
      </w:pPr>
      <w:r w:rsidRPr="003C5719">
        <w:t>Human rights implications</w:t>
      </w:r>
      <w:r>
        <w:t xml:space="preserve"> </w:t>
      </w:r>
    </w:p>
    <w:p w14:paraId="6657B803" w14:textId="32AA1756" w:rsidR="00DA0CB9" w:rsidRPr="00AE6163" w:rsidRDefault="00DA0CB9" w:rsidP="00DA0CB9">
      <w:pPr>
        <w:rPr>
          <w:color w:val="000000"/>
          <w:szCs w:val="24"/>
          <w:shd w:val="clear" w:color="auto" w:fill="FFFFFF"/>
        </w:rPr>
      </w:pPr>
      <w:r>
        <w:rPr>
          <w:color w:val="000000"/>
          <w:szCs w:val="24"/>
          <w:shd w:val="clear" w:color="auto" w:fill="FFFFFF"/>
        </w:rPr>
        <w:t>The</w:t>
      </w:r>
      <w:r w:rsidRPr="00AE6163">
        <w:rPr>
          <w:color w:val="000000"/>
          <w:szCs w:val="24"/>
          <w:shd w:val="clear" w:color="auto" w:fill="FFFFFF"/>
        </w:rPr>
        <w:t xml:space="preserve"> Regulations engage</w:t>
      </w:r>
      <w:r>
        <w:rPr>
          <w:color w:val="000000"/>
          <w:szCs w:val="24"/>
          <w:shd w:val="clear" w:color="auto" w:fill="FFFFFF"/>
        </w:rPr>
        <w:t xml:space="preserve"> the following rights</w:t>
      </w:r>
      <w:r w:rsidRPr="00AE6163">
        <w:rPr>
          <w:color w:val="000000"/>
          <w:szCs w:val="24"/>
          <w:shd w:val="clear" w:color="auto" w:fill="FFFFFF"/>
        </w:rPr>
        <w:t>:</w:t>
      </w:r>
    </w:p>
    <w:p w14:paraId="4E3B4718" w14:textId="77777777" w:rsidR="00DA0CB9" w:rsidRDefault="00DA0CB9" w:rsidP="00DA0CB9">
      <w:pPr>
        <w:pStyle w:val="Bullet"/>
      </w:pPr>
      <w:r>
        <w:lastRenderedPageBreak/>
        <w:t>the right to protection from arbitrary or unlawful interference with privacy under Article 17 of the </w:t>
      </w:r>
      <w:r>
        <w:rPr>
          <w:shd w:val="clear" w:color="auto" w:fill="FFFFFF"/>
        </w:rPr>
        <w:t>International Covenant on Civil and Political Rights (ICCPR</w:t>
      </w:r>
      <w:proofErr w:type="gramStart"/>
      <w:r>
        <w:rPr>
          <w:shd w:val="clear" w:color="auto" w:fill="FFFFFF"/>
        </w:rPr>
        <w:t>)</w:t>
      </w:r>
      <w:r>
        <w:t>;</w:t>
      </w:r>
      <w:proofErr w:type="gramEnd"/>
    </w:p>
    <w:p w14:paraId="53235529" w14:textId="77777777" w:rsidR="00DA0CB9" w:rsidRDefault="00DA0CB9" w:rsidP="00DA0CB9">
      <w:pPr>
        <w:pStyle w:val="Bullet"/>
      </w:pPr>
      <w:r>
        <w:t>the right to equality and non-discrimination under Articles 2, 16 and 26 of the ICCPR</w:t>
      </w:r>
      <w:r>
        <w:rPr>
          <w:shd w:val="clear" w:color="auto" w:fill="FFFFFF"/>
        </w:rPr>
        <w:t>;</w:t>
      </w:r>
      <w:r>
        <w:t> and</w:t>
      </w:r>
    </w:p>
    <w:p w14:paraId="0D86DFE3" w14:textId="77777777" w:rsidR="00DA0CB9" w:rsidRPr="00F35FC7" w:rsidRDefault="00DA0CB9" w:rsidP="00DA0CB9">
      <w:pPr>
        <w:pStyle w:val="Bullet"/>
      </w:pPr>
      <w:r>
        <w:rPr>
          <w:shd w:val="clear" w:color="auto" w:fill="FFFFFF"/>
        </w:rPr>
        <w:t xml:space="preserve">the right to no discrimination </w:t>
      </w:r>
      <w:proofErr w:type="gramStart"/>
      <w:r>
        <w:rPr>
          <w:shd w:val="clear" w:color="auto" w:fill="FFFFFF"/>
        </w:rPr>
        <w:t>on the basis of</w:t>
      </w:r>
      <w:proofErr w:type="gramEnd"/>
      <w:r>
        <w:rPr>
          <w:shd w:val="clear" w:color="auto" w:fill="FFFFFF"/>
        </w:rPr>
        <w:t xml:space="preserve"> race under </w:t>
      </w:r>
      <w:r>
        <w:t>Articles 2 and 5 of the </w:t>
      </w:r>
      <w:r>
        <w:rPr>
          <w:shd w:val="clear" w:color="auto" w:fill="FFFFFF"/>
        </w:rPr>
        <w:t>International Convention on the Elimination of All Forms of Racial Discrimination (ICERD).</w:t>
      </w:r>
    </w:p>
    <w:p w14:paraId="0A47C0B7" w14:textId="77777777" w:rsidR="00DA0CB9" w:rsidRDefault="00DA0CB9" w:rsidP="00DA0CB9">
      <w:pPr>
        <w:pStyle w:val="bullet0"/>
        <w:ind w:left="567" w:hanging="567"/>
      </w:pPr>
      <w:r>
        <w:rPr>
          <w:color w:val="000000"/>
          <w:u w:val="single"/>
          <w:shd w:val="clear" w:color="auto" w:fill="FFFFFF"/>
        </w:rPr>
        <w:t>Right to protection from arbitrary or unlawful interference with privacy</w:t>
      </w:r>
    </w:p>
    <w:p w14:paraId="5E359AC2" w14:textId="77777777" w:rsidR="00F62BF9" w:rsidRDefault="00DA0CB9" w:rsidP="00F62BF9">
      <w:pPr>
        <w:spacing w:before="0" w:after="160"/>
        <w:rPr>
          <w:color w:val="000000"/>
          <w:szCs w:val="24"/>
        </w:rPr>
      </w:pPr>
      <w:r w:rsidRPr="00AE6163">
        <w:rPr>
          <w:color w:val="000000"/>
          <w:szCs w:val="24"/>
          <w:shd w:val="clear" w:color="auto" w:fill="FFFFFF"/>
        </w:rPr>
        <w:t>Article 17 of the ICCPR prohibits </w:t>
      </w:r>
      <w:r w:rsidRPr="00AE6163">
        <w:rPr>
          <w:color w:val="000000"/>
          <w:szCs w:val="24"/>
        </w:rPr>
        <w:t xml:space="preserve">arbitrary or unlawful interference with a person’s privacy, family, </w:t>
      </w:r>
      <w:proofErr w:type="gramStart"/>
      <w:r w:rsidRPr="00AE6163">
        <w:rPr>
          <w:color w:val="000000"/>
          <w:szCs w:val="24"/>
        </w:rPr>
        <w:t>home</w:t>
      </w:r>
      <w:proofErr w:type="gramEnd"/>
      <w:r w:rsidRPr="00AE6163">
        <w:rPr>
          <w:color w:val="000000"/>
          <w:szCs w:val="24"/>
        </w:rPr>
        <w:t xml:space="preserve"> or correspondence, and prohibits unlawful attacks on their honour and reputation. It also provides that everyone has the right to the protection of the law against such interference or attacks.</w:t>
      </w:r>
      <w:r w:rsidR="00F62BF9" w:rsidRPr="00F62BF9">
        <w:rPr>
          <w:color w:val="000000"/>
          <w:szCs w:val="24"/>
        </w:rPr>
        <w:t xml:space="preserve"> </w:t>
      </w:r>
    </w:p>
    <w:p w14:paraId="7DB8D743" w14:textId="519275A1" w:rsidR="00DA0CB9" w:rsidRPr="00BF37BB" w:rsidRDefault="00F62BF9" w:rsidP="00DA0CB9">
      <w:pPr>
        <w:spacing w:before="0" w:after="160"/>
        <w:rPr>
          <w:rFonts w:eastAsiaTheme="minorHAnsi"/>
          <w:kern w:val="2"/>
          <w:szCs w:val="24"/>
          <w:lang w:eastAsia="en-US"/>
          <w14:ligatures w14:val="standardContextual"/>
        </w:rPr>
      </w:pPr>
      <w:r w:rsidRPr="00AE6163">
        <w:rPr>
          <w:color w:val="000000"/>
          <w:szCs w:val="24"/>
        </w:rPr>
        <w:t xml:space="preserve">An interference with privacy will not be considered arbitrary or unlawful if it is provided for by law, for a reason consistent with the ICCPR, and reasonable in the </w:t>
      </w:r>
      <w:proofErr w:type="gramStart"/>
      <w:r w:rsidRPr="00AE6163">
        <w:rPr>
          <w:color w:val="000000"/>
          <w:szCs w:val="24"/>
        </w:rPr>
        <w:t>particular circumstances</w:t>
      </w:r>
      <w:proofErr w:type="gramEnd"/>
      <w:r w:rsidRPr="00AE6163">
        <w:rPr>
          <w:color w:val="000000"/>
          <w:szCs w:val="24"/>
        </w:rPr>
        <w:t>. The UN Human Rights Committee has interpreted the requirement of ‘reasonableness’ to imply that an interference with privacy must be proportional to the end sought and be necessary in the circumstances of the case.</w:t>
      </w:r>
      <w:r w:rsidRPr="00AE6163">
        <w:rPr>
          <w:szCs w:val="24"/>
        </w:rPr>
        <w:t xml:space="preserve"> </w:t>
      </w:r>
    </w:p>
    <w:p w14:paraId="05780F94" w14:textId="77777777" w:rsidR="00914044" w:rsidRDefault="00914044" w:rsidP="00914044">
      <w:pPr>
        <w:rPr>
          <w:szCs w:val="24"/>
        </w:rPr>
      </w:pPr>
      <w:r w:rsidRPr="00AE6163">
        <w:rPr>
          <w:szCs w:val="24"/>
        </w:rPr>
        <w:t xml:space="preserve">Part 5B of the Act establishes the Register. </w:t>
      </w:r>
      <w:r>
        <w:rPr>
          <w:color w:val="000000"/>
          <w:shd w:val="clear" w:color="auto" w:fill="FFFFFF"/>
        </w:rPr>
        <w:t>The Commissioner of Taxation is the Registrar responsible for administering the Register, under the </w:t>
      </w:r>
      <w:r>
        <w:rPr>
          <w:i/>
          <w:iCs/>
          <w:color w:val="000000"/>
          <w:shd w:val="clear" w:color="auto" w:fill="FFFFFF"/>
        </w:rPr>
        <w:t>Commonwealth Registers (Appointment of Registrars) Instrument 2021</w:t>
      </w:r>
      <w:r>
        <w:rPr>
          <w:color w:val="000000"/>
          <w:shd w:val="clear" w:color="auto" w:fill="FFFFFF"/>
        </w:rPr>
        <w:t xml:space="preserve">. </w:t>
      </w:r>
      <w:r w:rsidRPr="00AE6163">
        <w:rPr>
          <w:color w:val="000000"/>
          <w:szCs w:val="24"/>
        </w:rPr>
        <w:t xml:space="preserve">The Register records foreign interests in Australian land, water, </w:t>
      </w:r>
      <w:proofErr w:type="gramStart"/>
      <w:r w:rsidRPr="00AE6163">
        <w:rPr>
          <w:color w:val="000000"/>
          <w:szCs w:val="24"/>
        </w:rPr>
        <w:t>businesses</w:t>
      </w:r>
      <w:proofErr w:type="gramEnd"/>
      <w:r w:rsidRPr="00AE6163">
        <w:rPr>
          <w:color w:val="000000"/>
          <w:szCs w:val="24"/>
        </w:rPr>
        <w:t xml:space="preserve"> and other assets. Foreign persons, or people acting on their behalf, must provide notice </w:t>
      </w:r>
      <w:r>
        <w:rPr>
          <w:color w:val="000000"/>
          <w:szCs w:val="24"/>
        </w:rPr>
        <w:t xml:space="preserve">to the Registrar </w:t>
      </w:r>
      <w:r w:rsidRPr="00AE6163">
        <w:rPr>
          <w:color w:val="000000"/>
          <w:szCs w:val="24"/>
        </w:rPr>
        <w:t>of their acquisition of a relevant interest, as well as of certain changes in the percentage held or the disposal of that interest.</w:t>
      </w:r>
      <w:r w:rsidRPr="00AE6163">
        <w:rPr>
          <w:szCs w:val="24"/>
        </w:rPr>
        <w:t xml:space="preserve"> Section 130ZU of the Act allows the Principal Regulations to prescribe circumstances in which a person specified in the Principal Regulations must give a register notice to the Registrar.</w:t>
      </w:r>
    </w:p>
    <w:p w14:paraId="6A98FFE1" w14:textId="2C9AF60E" w:rsidR="00631B30" w:rsidRDefault="00631B30" w:rsidP="00914044">
      <w:pPr>
        <w:rPr>
          <w:szCs w:val="24"/>
        </w:rPr>
      </w:pPr>
      <w:r>
        <w:rPr>
          <w:color w:val="000000"/>
        </w:rPr>
        <w:t>The requirement to provide information to the Registrar for inclusion on the Register engages a foreign person’s right to privacy under Article 17 of the ICCPR, as some of the information required may be personal information such as name.</w:t>
      </w:r>
    </w:p>
    <w:p w14:paraId="5A6711D1" w14:textId="1B993822" w:rsidR="00745796" w:rsidRPr="00BF37BB" w:rsidRDefault="00D515C8" w:rsidP="00BF37BB">
      <w:pPr>
        <w:spacing w:before="240"/>
      </w:pPr>
      <w:r>
        <w:t>The</w:t>
      </w:r>
      <w:r w:rsidR="00914044">
        <w:t xml:space="preserve"> Regulations remove certain actions from the scope of the registry regime</w:t>
      </w:r>
      <w:r w:rsidR="00B20221">
        <w:t xml:space="preserve"> </w:t>
      </w:r>
      <w:r w:rsidR="001B392A">
        <w:t xml:space="preserve">given these actions do not significantly increase risks </w:t>
      </w:r>
      <w:r w:rsidR="001B392A">
        <w:rPr>
          <w:color w:val="000000"/>
          <w:shd w:val="clear" w:color="auto" w:fill="FFFFFF"/>
        </w:rPr>
        <w:t xml:space="preserve">that the foreign investment framework seeks to address. </w:t>
      </w:r>
      <w:r w:rsidR="00542708">
        <w:rPr>
          <w:shd w:val="clear" w:color="auto" w:fill="FFFFFF"/>
        </w:rPr>
        <w:t>This</w:t>
      </w:r>
      <w:r w:rsidR="00542708">
        <w:t xml:space="preserve"> positively engages</w:t>
      </w:r>
      <w:r w:rsidR="00745796">
        <w:t xml:space="preserve"> the </w:t>
      </w:r>
      <w:r w:rsidR="00745796">
        <w:rPr>
          <w:shd w:val="clear" w:color="auto" w:fill="FFFFFF"/>
        </w:rPr>
        <w:t xml:space="preserve">right to protection from arbitrary or unlawful interference </w:t>
      </w:r>
      <w:r w:rsidR="007B73D8">
        <w:rPr>
          <w:shd w:val="clear" w:color="auto" w:fill="FFFFFF"/>
        </w:rPr>
        <w:t xml:space="preserve">as information for these actions will </w:t>
      </w:r>
      <w:r w:rsidR="00885C82">
        <w:rPr>
          <w:shd w:val="clear" w:color="auto" w:fill="FFFFFF"/>
        </w:rPr>
        <w:t xml:space="preserve">not need </w:t>
      </w:r>
      <w:r w:rsidR="007B73D8">
        <w:rPr>
          <w:shd w:val="clear" w:color="auto" w:fill="FFFFFF"/>
        </w:rPr>
        <w:t xml:space="preserve">to be provided to the Registrar </w:t>
      </w:r>
      <w:r w:rsidR="002440CF">
        <w:rPr>
          <w:shd w:val="clear" w:color="auto" w:fill="FFFFFF"/>
        </w:rPr>
        <w:t>a</w:t>
      </w:r>
      <w:r w:rsidR="00542708">
        <w:rPr>
          <w:shd w:val="clear" w:color="auto" w:fill="FFFFFF"/>
        </w:rPr>
        <w:t xml:space="preserve">nd ensures </w:t>
      </w:r>
      <w:r w:rsidR="00E8540C">
        <w:rPr>
          <w:shd w:val="clear" w:color="auto" w:fill="FFFFFF"/>
        </w:rPr>
        <w:t xml:space="preserve">that </w:t>
      </w:r>
      <w:r w:rsidR="00A14FE2">
        <w:rPr>
          <w:shd w:val="clear" w:color="auto" w:fill="FFFFFF"/>
        </w:rPr>
        <w:t>information is only</w:t>
      </w:r>
      <w:r w:rsidR="001B5384">
        <w:rPr>
          <w:shd w:val="clear" w:color="auto" w:fill="FFFFFF"/>
        </w:rPr>
        <w:t xml:space="preserve"> recorded on the Register </w:t>
      </w:r>
      <w:r w:rsidR="00233612">
        <w:rPr>
          <w:shd w:val="clear" w:color="auto" w:fill="FFFFFF"/>
        </w:rPr>
        <w:t xml:space="preserve">where </w:t>
      </w:r>
      <w:r w:rsidR="00326DB1">
        <w:rPr>
          <w:shd w:val="clear" w:color="auto" w:fill="FFFFFF"/>
        </w:rPr>
        <w:t xml:space="preserve">Government oversight is </w:t>
      </w:r>
      <w:r w:rsidR="006854C8">
        <w:rPr>
          <w:shd w:val="clear" w:color="auto" w:fill="FFFFFF"/>
        </w:rPr>
        <w:t xml:space="preserve">proportional and </w:t>
      </w:r>
      <w:r w:rsidR="00326DB1">
        <w:rPr>
          <w:shd w:val="clear" w:color="auto" w:fill="FFFFFF"/>
        </w:rPr>
        <w:t>necessary</w:t>
      </w:r>
      <w:r w:rsidR="00957FD5">
        <w:rPr>
          <w:shd w:val="clear" w:color="auto" w:fill="FFFFFF"/>
        </w:rPr>
        <w:t xml:space="preserve"> to </w:t>
      </w:r>
      <w:r w:rsidR="006633BB">
        <w:rPr>
          <w:shd w:val="clear" w:color="auto" w:fill="FFFFFF"/>
        </w:rPr>
        <w:t xml:space="preserve">achieving the objective of </w:t>
      </w:r>
      <w:r w:rsidR="00957FD5">
        <w:rPr>
          <w:shd w:val="clear" w:color="auto" w:fill="FFFFFF"/>
        </w:rPr>
        <w:t>protect</w:t>
      </w:r>
      <w:r w:rsidR="006633BB">
        <w:rPr>
          <w:shd w:val="clear" w:color="auto" w:fill="FFFFFF"/>
        </w:rPr>
        <w:t>ing</w:t>
      </w:r>
      <w:r w:rsidR="00957FD5">
        <w:rPr>
          <w:shd w:val="clear" w:color="auto" w:fill="FFFFFF"/>
        </w:rPr>
        <w:t xml:space="preserve"> national security. </w:t>
      </w:r>
    </w:p>
    <w:p w14:paraId="039EFEB3" w14:textId="77777777" w:rsidR="00DA0CB9" w:rsidRDefault="00DA0CB9" w:rsidP="00DA0CB9">
      <w:pPr>
        <w:pStyle w:val="NormalWeb"/>
        <w:spacing w:before="240" w:beforeAutospacing="0" w:after="120" w:afterAutospacing="0"/>
        <w:rPr>
          <w:color w:val="000000"/>
        </w:rPr>
      </w:pPr>
      <w:r>
        <w:rPr>
          <w:color w:val="000000"/>
          <w:u w:val="single"/>
        </w:rPr>
        <w:t>Rights to equality and non-discrimination</w:t>
      </w:r>
    </w:p>
    <w:p w14:paraId="059DCD8E" w14:textId="77777777" w:rsidR="00DA0CB9" w:rsidRDefault="00DA0CB9" w:rsidP="00DA0CB9">
      <w:pPr>
        <w:pStyle w:val="NormalWeb"/>
        <w:spacing w:before="240" w:beforeAutospacing="0" w:after="120" w:afterAutospacing="0"/>
        <w:rPr>
          <w:color w:val="000000"/>
        </w:rPr>
      </w:pPr>
      <w:r>
        <w:rPr>
          <w:color w:val="000000"/>
        </w:rPr>
        <w:t xml:space="preserve">The right to equality and non-discrimination in Articles 2, 16 and 26 of the ICCPR obliges Australia to refrain from discriminating or eroding </w:t>
      </w:r>
      <w:proofErr w:type="gramStart"/>
      <w:r>
        <w:rPr>
          <w:color w:val="000000"/>
        </w:rPr>
        <w:t>equality, and</w:t>
      </w:r>
      <w:proofErr w:type="gramEnd"/>
      <w:r>
        <w:rPr>
          <w:color w:val="000000"/>
        </w:rPr>
        <w:t xml:space="preserve"> protect and advance the fulfilment and enjoyment of the rights to equality and non-discrimination for all people.</w:t>
      </w:r>
    </w:p>
    <w:p w14:paraId="11E380BA" w14:textId="77777777" w:rsidR="00DA0CB9" w:rsidRPr="00AE6163" w:rsidRDefault="00DA0CB9" w:rsidP="00DA0CB9">
      <w:pPr>
        <w:pStyle w:val="NormalWeb"/>
        <w:spacing w:before="240" w:beforeAutospacing="0" w:after="120" w:afterAutospacing="0"/>
        <w:rPr>
          <w:color w:val="000000"/>
        </w:rPr>
      </w:pPr>
      <w:r>
        <w:rPr>
          <w:color w:val="000000"/>
        </w:rPr>
        <w:t xml:space="preserve">The right to no discrimination </w:t>
      </w:r>
      <w:proofErr w:type="gramStart"/>
      <w:r>
        <w:rPr>
          <w:color w:val="000000"/>
        </w:rPr>
        <w:t>on the basis of</w:t>
      </w:r>
      <w:proofErr w:type="gramEnd"/>
      <w:r>
        <w:rPr>
          <w:color w:val="000000"/>
        </w:rPr>
        <w:t xml:space="preserve"> race in Articles 1, 2 and 5 of the ICERD obliges Australia to refrain from discriminating on the basis of race, colour descent, or national or ethnic origin and to prohibit and eliminate such forms of discrimination.</w:t>
      </w:r>
    </w:p>
    <w:p w14:paraId="5FCE25A0" w14:textId="77777777" w:rsidR="00DA0CB9" w:rsidRDefault="00DA0CB9" w:rsidP="00DA0CB9">
      <w:pPr>
        <w:pStyle w:val="NormalWeb"/>
        <w:spacing w:before="240" w:beforeAutospacing="0" w:after="120" w:afterAutospacing="0"/>
        <w:rPr>
          <w:color w:val="000000"/>
        </w:rPr>
      </w:pPr>
      <w:r>
        <w:rPr>
          <w:color w:val="000000"/>
        </w:rPr>
        <w:lastRenderedPageBreak/>
        <w:t>The Regulations engage Articles 2, 16 and 26 of the ICCPR and Articles 2 and 5 of </w:t>
      </w:r>
      <w:r>
        <w:rPr>
          <w:color w:val="000000"/>
          <w:shd w:val="clear" w:color="auto" w:fill="FFFFFF"/>
        </w:rPr>
        <w:t>ICERD</w:t>
      </w:r>
      <w:r>
        <w:rPr>
          <w:color w:val="000000"/>
        </w:rPr>
        <w:t xml:space="preserve"> because the requirements imposed or made exempt by the Regulations relate to a ‘foreign person’. While an Australian citizen who is not ordinarily resident in Australia may be a foreign person for the purposes of the Act and Principal Regulations, it is anticipated that </w:t>
      </w:r>
      <w:proofErr w:type="gramStart"/>
      <w:r>
        <w:rPr>
          <w:color w:val="000000"/>
        </w:rPr>
        <w:t>the majority of</w:t>
      </w:r>
      <w:proofErr w:type="gramEnd"/>
      <w:r>
        <w:rPr>
          <w:color w:val="000000"/>
        </w:rPr>
        <w:t xml:space="preserve"> individuals who are directly affected by the Regulations will not be Australian citizens. Foreign persons will primarily be corporations or individuals who are citizens of countries other than Australia.</w:t>
      </w:r>
    </w:p>
    <w:p w14:paraId="028664F6" w14:textId="354EC365" w:rsidR="00DA0CB9" w:rsidRDefault="00DA0CB9" w:rsidP="00DA0CB9">
      <w:pPr>
        <w:pStyle w:val="NormalWeb"/>
        <w:spacing w:before="240" w:beforeAutospacing="0" w:after="120" w:afterAutospacing="0"/>
        <w:rPr>
          <w:color w:val="000000"/>
        </w:rPr>
      </w:pPr>
      <w:r>
        <w:rPr>
          <w:color w:val="000000"/>
        </w:rPr>
        <w:t xml:space="preserve">While differential treatment is applied to foreign persons in relation to Australian assets, this does not amount to prohibited discrimination, consistent with the Human Rights Committee’s comments. Foreign persons are prescribed in objective and reasonable criteria embedded in publicly available legislation (the Act and the Principal Regulations). Further, there is a legitimate purpose for the differential treatment which is consistent with international law. Namely, to enhance Government visibility of foreign ownership of Australia assets and prevent foreign persons from taking an interest in or acquiring influence that would pose a national security risk or be contrary to national interest. </w:t>
      </w:r>
    </w:p>
    <w:p w14:paraId="78DBF22D" w14:textId="77777777" w:rsidR="00DA0CB9" w:rsidRDefault="00DA0CB9" w:rsidP="00DA0CB9">
      <w:pPr>
        <w:pStyle w:val="NormalWeb"/>
        <w:spacing w:before="240" w:beforeAutospacing="0" w:after="120" w:afterAutospacing="0"/>
        <w:rPr>
          <w:color w:val="000000"/>
        </w:rPr>
      </w:pPr>
      <w:r>
        <w:rPr>
          <w:color w:val="000000"/>
        </w:rPr>
        <w:t>Furthermore, the Regulations seek to reduce the scope of existing obligations under the foreign acquisitions and takeovers regime</w:t>
      </w:r>
      <w:r w:rsidRPr="00B56946">
        <w:rPr>
          <w:color w:val="000000"/>
        </w:rPr>
        <w:t xml:space="preserve"> </w:t>
      </w:r>
      <w:r>
        <w:rPr>
          <w:color w:val="000000"/>
        </w:rPr>
        <w:t>by clarifying concepts that represent lower risk to national interests and broadening the exemptions from the relevant notification provisions under the Act, including by removing some actions from the scope of the regime.</w:t>
      </w:r>
    </w:p>
    <w:p w14:paraId="28E6AD20" w14:textId="29AADA47" w:rsidR="00DA0CB9" w:rsidRDefault="00DA0CB9" w:rsidP="00DA0CB9">
      <w:pPr>
        <w:pStyle w:val="NormalWeb"/>
        <w:spacing w:before="240" w:beforeAutospacing="0" w:after="120" w:afterAutospacing="0"/>
        <w:rPr>
          <w:color w:val="000000"/>
        </w:rPr>
      </w:pPr>
      <w:r>
        <w:rPr>
          <w:color w:val="000000"/>
        </w:rPr>
        <w:t xml:space="preserve">As such, the </w:t>
      </w:r>
      <w:r w:rsidR="00EF7233">
        <w:rPr>
          <w:color w:val="000000"/>
        </w:rPr>
        <w:t>Regulations are</w:t>
      </w:r>
      <w:r>
        <w:rPr>
          <w:color w:val="000000"/>
        </w:rPr>
        <w:t xml:space="preserve"> consistent with the principles of the ICCPR and the ICERD.</w:t>
      </w:r>
    </w:p>
    <w:p w14:paraId="348C6A16" w14:textId="77777777" w:rsidR="00DA0CB9" w:rsidRPr="005D37E6" w:rsidRDefault="00DA0CB9" w:rsidP="00DA0CB9">
      <w:pPr>
        <w:spacing w:before="240"/>
        <w:outlineLvl w:val="2"/>
        <w:rPr>
          <w:b/>
          <w:bCs/>
          <w:color w:val="000000"/>
          <w:szCs w:val="24"/>
        </w:rPr>
      </w:pPr>
      <w:r w:rsidRPr="005D37E6">
        <w:rPr>
          <w:b/>
          <w:bCs/>
          <w:color w:val="000000"/>
          <w:szCs w:val="24"/>
        </w:rPr>
        <w:t>Conclusion</w:t>
      </w:r>
    </w:p>
    <w:p w14:paraId="09CE9015" w14:textId="77777777" w:rsidR="00DA0CB9" w:rsidRDefault="00DA0CB9" w:rsidP="00DA0CB9">
      <w:pPr>
        <w:spacing w:before="240"/>
        <w:rPr>
          <w:color w:val="000000"/>
          <w:szCs w:val="24"/>
        </w:rPr>
      </w:pPr>
      <w:r>
        <w:rPr>
          <w:color w:val="000000"/>
          <w:szCs w:val="24"/>
        </w:rPr>
        <w:t>The Regulations</w:t>
      </w:r>
      <w:r w:rsidRPr="005D37E6">
        <w:rPr>
          <w:color w:val="000000"/>
          <w:szCs w:val="24"/>
        </w:rPr>
        <w:t xml:space="preserve"> </w:t>
      </w:r>
      <w:r>
        <w:rPr>
          <w:color w:val="000000"/>
          <w:szCs w:val="24"/>
        </w:rPr>
        <w:t>are</w:t>
      </w:r>
      <w:r w:rsidRPr="005D37E6">
        <w:rPr>
          <w:color w:val="000000"/>
          <w:szCs w:val="24"/>
        </w:rPr>
        <w:t xml:space="preserve"> compatible with human rights because</w:t>
      </w:r>
      <w:r>
        <w:rPr>
          <w:color w:val="000000"/>
          <w:szCs w:val="24"/>
        </w:rPr>
        <w:t xml:space="preserve"> </w:t>
      </w:r>
      <w:r>
        <w:rPr>
          <w:color w:val="000000"/>
          <w:shd w:val="clear" w:color="auto" w:fill="FFFFFF"/>
        </w:rPr>
        <w:t>they either promote the protection of human rights, or</w:t>
      </w:r>
      <w:r w:rsidRPr="005D37E6">
        <w:rPr>
          <w:color w:val="000000"/>
          <w:szCs w:val="24"/>
        </w:rPr>
        <w:t xml:space="preserve"> to the extent </w:t>
      </w:r>
      <w:r>
        <w:rPr>
          <w:color w:val="000000"/>
          <w:szCs w:val="24"/>
        </w:rPr>
        <w:t>they</w:t>
      </w:r>
      <w:r w:rsidRPr="005D37E6">
        <w:rPr>
          <w:color w:val="000000"/>
          <w:szCs w:val="24"/>
        </w:rPr>
        <w:t xml:space="preserve"> limit human rights, those limitations are reasonable, necessary, and proportionate to the objective of protecting the national interest</w:t>
      </w:r>
      <w:r>
        <w:rPr>
          <w:color w:val="000000"/>
          <w:szCs w:val="24"/>
        </w:rPr>
        <w:t>.</w:t>
      </w:r>
    </w:p>
    <w:p w14:paraId="4D6BB490" w14:textId="547A310C" w:rsidR="0009509D" w:rsidRPr="003944EC" w:rsidRDefault="0009509D" w:rsidP="003944EC">
      <w:pPr>
        <w:spacing w:before="240" w:after="200"/>
        <w:rPr>
          <w:color w:val="000000"/>
          <w:shd w:val="clear" w:color="auto" w:fill="FFFFFF"/>
        </w:rPr>
      </w:pPr>
    </w:p>
    <w:sectPr w:rsidR="0009509D" w:rsidRPr="003944EC" w:rsidSect="004A27A8">
      <w:headerReference w:type="even" r:id="rId17"/>
      <w:headerReference w:type="default" r:id="rId18"/>
      <w:footerReference w:type="even" r:id="rId19"/>
      <w:footerReference w:type="default" r:id="rId20"/>
      <w:headerReference w:type="first" r:id="rId21"/>
      <w:footerReference w:type="first" r:id="rId2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EDB0" w14:textId="77777777" w:rsidR="001422D1" w:rsidRDefault="001422D1" w:rsidP="00954679">
      <w:pPr>
        <w:spacing w:before="0" w:after="0"/>
      </w:pPr>
      <w:r>
        <w:separator/>
      </w:r>
    </w:p>
  </w:endnote>
  <w:endnote w:type="continuationSeparator" w:id="0">
    <w:p w14:paraId="5E0E031E" w14:textId="77777777" w:rsidR="001422D1" w:rsidRDefault="001422D1" w:rsidP="00954679">
      <w:pPr>
        <w:spacing w:before="0" w:after="0"/>
      </w:pPr>
      <w:r>
        <w:continuationSeparator/>
      </w:r>
    </w:p>
  </w:endnote>
  <w:endnote w:type="continuationNotice" w:id="1">
    <w:p w14:paraId="72898E26" w14:textId="77777777" w:rsidR="001422D1" w:rsidRDefault="001422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7B62" w14:textId="5A73A60A" w:rsidR="00FE7A4F" w:rsidRDefault="00FE7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CE31" w14:textId="0F469FF7" w:rsidR="00954679" w:rsidRDefault="00000000" w:rsidP="00013390">
    <w:pPr>
      <w:pStyle w:val="Footer"/>
      <w:jc w:val="right"/>
    </w:pPr>
    <w:sdt>
      <w:sdtPr>
        <w:id w:val="1608619968"/>
        <w:docPartObj>
          <w:docPartGallery w:val="Page Numbers (Bottom of Page)"/>
          <w:docPartUnique/>
        </w:docPartObj>
      </w:sdtPr>
      <w:sdtContent>
        <w:sdt>
          <w:sdtPr>
            <w:id w:val="98381352"/>
            <w:docPartObj>
              <w:docPartGallery w:val="Page Numbers (Top of Page)"/>
              <w:docPartUnique/>
            </w:docPartObj>
          </w:sdt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715" w14:textId="384F13CD" w:rsidR="00FE7A4F" w:rsidRDefault="00FE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C605" w14:textId="77777777" w:rsidR="001422D1" w:rsidRDefault="001422D1" w:rsidP="00954679">
      <w:pPr>
        <w:spacing w:before="0" w:after="0"/>
      </w:pPr>
      <w:r>
        <w:separator/>
      </w:r>
    </w:p>
  </w:footnote>
  <w:footnote w:type="continuationSeparator" w:id="0">
    <w:p w14:paraId="7FB50495" w14:textId="77777777" w:rsidR="001422D1" w:rsidRDefault="001422D1" w:rsidP="00954679">
      <w:pPr>
        <w:spacing w:before="0" w:after="0"/>
      </w:pPr>
      <w:r>
        <w:continuationSeparator/>
      </w:r>
    </w:p>
  </w:footnote>
  <w:footnote w:type="continuationNotice" w:id="1">
    <w:p w14:paraId="1B640C14" w14:textId="77777777" w:rsidR="001422D1" w:rsidRDefault="001422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4AE6" w14:textId="20CF9692" w:rsidR="00FE7A4F" w:rsidRDefault="00FE7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F488" w14:textId="0E43ED2A" w:rsidR="00FE7A4F" w:rsidRPr="00A7512A" w:rsidRDefault="00FE7A4F" w:rsidP="00A7512A">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C149" w14:textId="1E67B0BA" w:rsidR="00FE7A4F" w:rsidRDefault="00FE7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2EF3666D"/>
    <w:multiLevelType w:val="multilevel"/>
    <w:tmpl w:val="C608AE1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9718AD"/>
    <w:multiLevelType w:val="hybridMultilevel"/>
    <w:tmpl w:val="13CCF3C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BC7E8D"/>
    <w:multiLevelType w:val="singleLevel"/>
    <w:tmpl w:val="FFFCF7D0"/>
    <w:name w:val="BaseTextParagraphList"/>
    <w:lvl w:ilvl="0">
      <w:start w:val="1"/>
      <w:numFmt w:val="decimal"/>
      <w:lvlText w:val="%1."/>
      <w:lvlJc w:val="left"/>
      <w:pPr>
        <w:tabs>
          <w:tab w:val="num" w:pos="1837"/>
        </w:tabs>
        <w:ind w:left="993" w:firstLine="0"/>
      </w:pPr>
      <w:rPr>
        <w:b w:val="0"/>
        <w:i w:val="0"/>
        <w:color w:val="000000"/>
      </w:rPr>
    </w:lvl>
  </w:abstractNum>
  <w:abstractNum w:abstractNumId="6" w15:restartNumberingAfterBreak="0">
    <w:nsid w:val="67A43C0B"/>
    <w:multiLevelType w:val="multilevel"/>
    <w:tmpl w:val="081A199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6"/>
  </w:num>
  <w:num w:numId="3" w16cid:durableId="102648425">
    <w:abstractNumId w:val="1"/>
  </w:num>
  <w:num w:numId="4" w16cid:durableId="1451314351">
    <w:abstractNumId w:val="0"/>
  </w:num>
  <w:num w:numId="5" w16cid:durableId="1455824937">
    <w:abstractNumId w:val="6"/>
  </w:num>
  <w:num w:numId="6" w16cid:durableId="2012178582">
    <w:abstractNumId w:val="6"/>
  </w:num>
  <w:num w:numId="7" w16cid:durableId="1173374635">
    <w:abstractNumId w:val="6"/>
  </w:num>
  <w:num w:numId="8" w16cid:durableId="1074162301">
    <w:abstractNumId w:val="6"/>
  </w:num>
  <w:num w:numId="9" w16cid:durableId="1206795025">
    <w:abstractNumId w:val="6"/>
  </w:num>
  <w:num w:numId="10" w16cid:durableId="474571849">
    <w:abstractNumId w:val="6"/>
  </w:num>
  <w:num w:numId="11" w16cid:durableId="890385033">
    <w:abstractNumId w:val="6"/>
  </w:num>
  <w:num w:numId="12" w16cid:durableId="392780191">
    <w:abstractNumId w:val="6"/>
  </w:num>
  <w:num w:numId="13" w16cid:durableId="1793669345">
    <w:abstractNumId w:val="6"/>
  </w:num>
  <w:num w:numId="14" w16cid:durableId="2085832638">
    <w:abstractNumId w:val="6"/>
  </w:num>
  <w:num w:numId="15" w16cid:durableId="724838217">
    <w:abstractNumId w:val="6"/>
  </w:num>
  <w:num w:numId="16" w16cid:durableId="951398036">
    <w:abstractNumId w:val="6"/>
  </w:num>
  <w:num w:numId="17" w16cid:durableId="129252076">
    <w:abstractNumId w:val="5"/>
    <w:lvlOverride w:ilvl="0">
      <w:startOverride w:val="1"/>
    </w:lvlOverride>
  </w:num>
  <w:num w:numId="18" w16cid:durableId="566916767">
    <w:abstractNumId w:val="5"/>
  </w:num>
  <w:num w:numId="19" w16cid:durableId="1203249430">
    <w:abstractNumId w:val="4"/>
  </w:num>
  <w:num w:numId="20" w16cid:durableId="13516408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5157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85"/>
    <w:rsid w:val="000006D3"/>
    <w:rsid w:val="000006F7"/>
    <w:rsid w:val="00001BDB"/>
    <w:rsid w:val="000026BE"/>
    <w:rsid w:val="00002A7C"/>
    <w:rsid w:val="00002D93"/>
    <w:rsid w:val="00003189"/>
    <w:rsid w:val="0000323E"/>
    <w:rsid w:val="000032FA"/>
    <w:rsid w:val="000034E9"/>
    <w:rsid w:val="0000481A"/>
    <w:rsid w:val="000054C5"/>
    <w:rsid w:val="00005B51"/>
    <w:rsid w:val="00005D17"/>
    <w:rsid w:val="0000628C"/>
    <w:rsid w:val="000063DB"/>
    <w:rsid w:val="00006753"/>
    <w:rsid w:val="00007642"/>
    <w:rsid w:val="00011949"/>
    <w:rsid w:val="000131F6"/>
    <w:rsid w:val="00013390"/>
    <w:rsid w:val="000142B4"/>
    <w:rsid w:val="00014631"/>
    <w:rsid w:val="00015EAE"/>
    <w:rsid w:val="0001690F"/>
    <w:rsid w:val="00016BAF"/>
    <w:rsid w:val="00016EA2"/>
    <w:rsid w:val="00017A9B"/>
    <w:rsid w:val="000205C8"/>
    <w:rsid w:val="000213B8"/>
    <w:rsid w:val="00021946"/>
    <w:rsid w:val="000230A8"/>
    <w:rsid w:val="00024F08"/>
    <w:rsid w:val="000252DA"/>
    <w:rsid w:val="0002546A"/>
    <w:rsid w:val="0002557D"/>
    <w:rsid w:val="00025AC2"/>
    <w:rsid w:val="00030335"/>
    <w:rsid w:val="00031AE1"/>
    <w:rsid w:val="00031C67"/>
    <w:rsid w:val="00032835"/>
    <w:rsid w:val="00034948"/>
    <w:rsid w:val="0003585C"/>
    <w:rsid w:val="000363D9"/>
    <w:rsid w:val="00036891"/>
    <w:rsid w:val="0003716A"/>
    <w:rsid w:val="00037462"/>
    <w:rsid w:val="00037E3B"/>
    <w:rsid w:val="00040971"/>
    <w:rsid w:val="000410EE"/>
    <w:rsid w:val="00041739"/>
    <w:rsid w:val="00041C87"/>
    <w:rsid w:val="000433EF"/>
    <w:rsid w:val="00043CE6"/>
    <w:rsid w:val="00044F2C"/>
    <w:rsid w:val="000451DE"/>
    <w:rsid w:val="00045349"/>
    <w:rsid w:val="000455BA"/>
    <w:rsid w:val="0004617C"/>
    <w:rsid w:val="0004661D"/>
    <w:rsid w:val="000467E4"/>
    <w:rsid w:val="000467FD"/>
    <w:rsid w:val="00050654"/>
    <w:rsid w:val="000506A8"/>
    <w:rsid w:val="00051467"/>
    <w:rsid w:val="00051648"/>
    <w:rsid w:val="000524A9"/>
    <w:rsid w:val="0005316A"/>
    <w:rsid w:val="00053289"/>
    <w:rsid w:val="0005364A"/>
    <w:rsid w:val="00053992"/>
    <w:rsid w:val="00053A4C"/>
    <w:rsid w:val="000543FC"/>
    <w:rsid w:val="000547DB"/>
    <w:rsid w:val="00054C3B"/>
    <w:rsid w:val="00055129"/>
    <w:rsid w:val="00056470"/>
    <w:rsid w:val="00056839"/>
    <w:rsid w:val="00057F39"/>
    <w:rsid w:val="000603B2"/>
    <w:rsid w:val="0006128E"/>
    <w:rsid w:val="00061470"/>
    <w:rsid w:val="0006186A"/>
    <w:rsid w:val="00061ABB"/>
    <w:rsid w:val="00064260"/>
    <w:rsid w:val="0006432E"/>
    <w:rsid w:val="00064718"/>
    <w:rsid w:val="000648D8"/>
    <w:rsid w:val="00065EFF"/>
    <w:rsid w:val="00065F88"/>
    <w:rsid w:val="00066F14"/>
    <w:rsid w:val="00067B33"/>
    <w:rsid w:val="000725D0"/>
    <w:rsid w:val="00072D95"/>
    <w:rsid w:val="00072DD7"/>
    <w:rsid w:val="0007317B"/>
    <w:rsid w:val="00073788"/>
    <w:rsid w:val="00073B0F"/>
    <w:rsid w:val="00075A77"/>
    <w:rsid w:val="00075DA9"/>
    <w:rsid w:val="00076178"/>
    <w:rsid w:val="000761EE"/>
    <w:rsid w:val="00076E15"/>
    <w:rsid w:val="00076FF9"/>
    <w:rsid w:val="00080673"/>
    <w:rsid w:val="00080AF7"/>
    <w:rsid w:val="000811EC"/>
    <w:rsid w:val="0008150A"/>
    <w:rsid w:val="00081A44"/>
    <w:rsid w:val="0008371F"/>
    <w:rsid w:val="000841F7"/>
    <w:rsid w:val="00084FC2"/>
    <w:rsid w:val="000854E0"/>
    <w:rsid w:val="00086B6C"/>
    <w:rsid w:val="00086D39"/>
    <w:rsid w:val="0008741E"/>
    <w:rsid w:val="00087868"/>
    <w:rsid w:val="00087913"/>
    <w:rsid w:val="00090A1F"/>
    <w:rsid w:val="0009260E"/>
    <w:rsid w:val="000933AE"/>
    <w:rsid w:val="00093E7A"/>
    <w:rsid w:val="00094423"/>
    <w:rsid w:val="000944DD"/>
    <w:rsid w:val="00094505"/>
    <w:rsid w:val="0009509D"/>
    <w:rsid w:val="00095211"/>
    <w:rsid w:val="00095545"/>
    <w:rsid w:val="00095F34"/>
    <w:rsid w:val="00096D45"/>
    <w:rsid w:val="00097787"/>
    <w:rsid w:val="00097817"/>
    <w:rsid w:val="00097D59"/>
    <w:rsid w:val="000A1007"/>
    <w:rsid w:val="000A19D2"/>
    <w:rsid w:val="000A2651"/>
    <w:rsid w:val="000A281B"/>
    <w:rsid w:val="000A2E89"/>
    <w:rsid w:val="000A334E"/>
    <w:rsid w:val="000A400D"/>
    <w:rsid w:val="000A4154"/>
    <w:rsid w:val="000A4C03"/>
    <w:rsid w:val="000A57FE"/>
    <w:rsid w:val="000A69C5"/>
    <w:rsid w:val="000A72AB"/>
    <w:rsid w:val="000A7A26"/>
    <w:rsid w:val="000A7AD0"/>
    <w:rsid w:val="000B077D"/>
    <w:rsid w:val="000B0FD4"/>
    <w:rsid w:val="000B13CE"/>
    <w:rsid w:val="000B32C1"/>
    <w:rsid w:val="000B39A1"/>
    <w:rsid w:val="000B3F69"/>
    <w:rsid w:val="000B4017"/>
    <w:rsid w:val="000B4DA4"/>
    <w:rsid w:val="000B6679"/>
    <w:rsid w:val="000B70E7"/>
    <w:rsid w:val="000C004A"/>
    <w:rsid w:val="000C03A0"/>
    <w:rsid w:val="000C10DF"/>
    <w:rsid w:val="000C1367"/>
    <w:rsid w:val="000C1448"/>
    <w:rsid w:val="000C1738"/>
    <w:rsid w:val="000C1D44"/>
    <w:rsid w:val="000C2BCD"/>
    <w:rsid w:val="000C2E12"/>
    <w:rsid w:val="000C33A9"/>
    <w:rsid w:val="000C3670"/>
    <w:rsid w:val="000C3C0D"/>
    <w:rsid w:val="000C3DAF"/>
    <w:rsid w:val="000C3ECC"/>
    <w:rsid w:val="000C4B61"/>
    <w:rsid w:val="000C535E"/>
    <w:rsid w:val="000C5C40"/>
    <w:rsid w:val="000C5C46"/>
    <w:rsid w:val="000C6042"/>
    <w:rsid w:val="000C6935"/>
    <w:rsid w:val="000C6A84"/>
    <w:rsid w:val="000C731F"/>
    <w:rsid w:val="000C7838"/>
    <w:rsid w:val="000D0F55"/>
    <w:rsid w:val="000D11E5"/>
    <w:rsid w:val="000D1347"/>
    <w:rsid w:val="000D1FBA"/>
    <w:rsid w:val="000D20FE"/>
    <w:rsid w:val="000D2234"/>
    <w:rsid w:val="000D224F"/>
    <w:rsid w:val="000D3035"/>
    <w:rsid w:val="000D5827"/>
    <w:rsid w:val="000D59B4"/>
    <w:rsid w:val="000D5D43"/>
    <w:rsid w:val="000D6A9B"/>
    <w:rsid w:val="000D7A88"/>
    <w:rsid w:val="000E04B5"/>
    <w:rsid w:val="000E18C6"/>
    <w:rsid w:val="000E19E5"/>
    <w:rsid w:val="000E1DC4"/>
    <w:rsid w:val="000E2513"/>
    <w:rsid w:val="000E2DE0"/>
    <w:rsid w:val="000E2E08"/>
    <w:rsid w:val="000E2EE2"/>
    <w:rsid w:val="000E311F"/>
    <w:rsid w:val="000E32E3"/>
    <w:rsid w:val="000E37F0"/>
    <w:rsid w:val="000E55AA"/>
    <w:rsid w:val="000E6780"/>
    <w:rsid w:val="000E743E"/>
    <w:rsid w:val="000F0120"/>
    <w:rsid w:val="000F1F12"/>
    <w:rsid w:val="000F27FA"/>
    <w:rsid w:val="000F2DE7"/>
    <w:rsid w:val="000F3278"/>
    <w:rsid w:val="000F3A05"/>
    <w:rsid w:val="000F4491"/>
    <w:rsid w:val="000F4895"/>
    <w:rsid w:val="000F53D9"/>
    <w:rsid w:val="000F57A6"/>
    <w:rsid w:val="000F617A"/>
    <w:rsid w:val="000F68BB"/>
    <w:rsid w:val="000F6FD6"/>
    <w:rsid w:val="000F7DDD"/>
    <w:rsid w:val="00100557"/>
    <w:rsid w:val="00101140"/>
    <w:rsid w:val="001012C2"/>
    <w:rsid w:val="00101A1E"/>
    <w:rsid w:val="00101FFE"/>
    <w:rsid w:val="00102A60"/>
    <w:rsid w:val="00102EF5"/>
    <w:rsid w:val="00103345"/>
    <w:rsid w:val="001035DA"/>
    <w:rsid w:val="00104288"/>
    <w:rsid w:val="00104D62"/>
    <w:rsid w:val="00104D9E"/>
    <w:rsid w:val="00105635"/>
    <w:rsid w:val="00105BFC"/>
    <w:rsid w:val="00105C8D"/>
    <w:rsid w:val="0010669F"/>
    <w:rsid w:val="00110858"/>
    <w:rsid w:val="00111913"/>
    <w:rsid w:val="00111A92"/>
    <w:rsid w:val="0011276A"/>
    <w:rsid w:val="0011317A"/>
    <w:rsid w:val="0011366C"/>
    <w:rsid w:val="001137B6"/>
    <w:rsid w:val="00113A6F"/>
    <w:rsid w:val="00113B45"/>
    <w:rsid w:val="00114003"/>
    <w:rsid w:val="001140DE"/>
    <w:rsid w:val="00114C40"/>
    <w:rsid w:val="00114CB1"/>
    <w:rsid w:val="0011527C"/>
    <w:rsid w:val="00115821"/>
    <w:rsid w:val="00115DC7"/>
    <w:rsid w:val="00116C79"/>
    <w:rsid w:val="00117C02"/>
    <w:rsid w:val="00117D55"/>
    <w:rsid w:val="0012005A"/>
    <w:rsid w:val="0012013B"/>
    <w:rsid w:val="00121662"/>
    <w:rsid w:val="001216C6"/>
    <w:rsid w:val="00121AF6"/>
    <w:rsid w:val="0012360B"/>
    <w:rsid w:val="00123960"/>
    <w:rsid w:val="001244FA"/>
    <w:rsid w:val="001246B4"/>
    <w:rsid w:val="00124EA3"/>
    <w:rsid w:val="00124FA6"/>
    <w:rsid w:val="00125497"/>
    <w:rsid w:val="00125A06"/>
    <w:rsid w:val="00126580"/>
    <w:rsid w:val="001276B4"/>
    <w:rsid w:val="00127881"/>
    <w:rsid w:val="0012794C"/>
    <w:rsid w:val="00127F82"/>
    <w:rsid w:val="00130C29"/>
    <w:rsid w:val="00130F45"/>
    <w:rsid w:val="0013178F"/>
    <w:rsid w:val="001319C8"/>
    <w:rsid w:val="001324D7"/>
    <w:rsid w:val="00132CE8"/>
    <w:rsid w:val="001331B7"/>
    <w:rsid w:val="00133D7A"/>
    <w:rsid w:val="001354A0"/>
    <w:rsid w:val="001357EB"/>
    <w:rsid w:val="0013630C"/>
    <w:rsid w:val="00136F58"/>
    <w:rsid w:val="001372A6"/>
    <w:rsid w:val="001374CC"/>
    <w:rsid w:val="00140251"/>
    <w:rsid w:val="00140614"/>
    <w:rsid w:val="0014135A"/>
    <w:rsid w:val="00141A44"/>
    <w:rsid w:val="0014223F"/>
    <w:rsid w:val="001422D1"/>
    <w:rsid w:val="001424DD"/>
    <w:rsid w:val="0014267D"/>
    <w:rsid w:val="00142BCF"/>
    <w:rsid w:val="001449DB"/>
    <w:rsid w:val="00144BC1"/>
    <w:rsid w:val="0014608E"/>
    <w:rsid w:val="00146A89"/>
    <w:rsid w:val="00146F2F"/>
    <w:rsid w:val="0014752F"/>
    <w:rsid w:val="00147FF6"/>
    <w:rsid w:val="00150527"/>
    <w:rsid w:val="00150686"/>
    <w:rsid w:val="0015085A"/>
    <w:rsid w:val="00150940"/>
    <w:rsid w:val="00150D36"/>
    <w:rsid w:val="00151BC9"/>
    <w:rsid w:val="001520AE"/>
    <w:rsid w:val="001528F0"/>
    <w:rsid w:val="00152DDC"/>
    <w:rsid w:val="00153018"/>
    <w:rsid w:val="001545CD"/>
    <w:rsid w:val="0015590A"/>
    <w:rsid w:val="001565C6"/>
    <w:rsid w:val="00156B45"/>
    <w:rsid w:val="001570A2"/>
    <w:rsid w:val="001607B5"/>
    <w:rsid w:val="00161BF1"/>
    <w:rsid w:val="001631C1"/>
    <w:rsid w:val="00163BD1"/>
    <w:rsid w:val="00164167"/>
    <w:rsid w:val="001645FB"/>
    <w:rsid w:val="00165062"/>
    <w:rsid w:val="001653D4"/>
    <w:rsid w:val="001679CA"/>
    <w:rsid w:val="00170DF9"/>
    <w:rsid w:val="00170EF4"/>
    <w:rsid w:val="00171A9F"/>
    <w:rsid w:val="00172B24"/>
    <w:rsid w:val="00172B5A"/>
    <w:rsid w:val="00172DD4"/>
    <w:rsid w:val="00173091"/>
    <w:rsid w:val="001742C6"/>
    <w:rsid w:val="00175573"/>
    <w:rsid w:val="0017564B"/>
    <w:rsid w:val="001756A1"/>
    <w:rsid w:val="00175B58"/>
    <w:rsid w:val="00176FE9"/>
    <w:rsid w:val="00177030"/>
    <w:rsid w:val="00177664"/>
    <w:rsid w:val="00177F49"/>
    <w:rsid w:val="0018001B"/>
    <w:rsid w:val="001805E4"/>
    <w:rsid w:val="001818DF"/>
    <w:rsid w:val="00181C6F"/>
    <w:rsid w:val="001824A2"/>
    <w:rsid w:val="00182570"/>
    <w:rsid w:val="00182571"/>
    <w:rsid w:val="00182B69"/>
    <w:rsid w:val="00183204"/>
    <w:rsid w:val="00183AB6"/>
    <w:rsid w:val="00183BF1"/>
    <w:rsid w:val="00184568"/>
    <w:rsid w:val="00184B4C"/>
    <w:rsid w:val="00185286"/>
    <w:rsid w:val="00187857"/>
    <w:rsid w:val="00187E15"/>
    <w:rsid w:val="0019019F"/>
    <w:rsid w:val="00190793"/>
    <w:rsid w:val="00192402"/>
    <w:rsid w:val="00192D1C"/>
    <w:rsid w:val="00192FE9"/>
    <w:rsid w:val="00194CAE"/>
    <w:rsid w:val="00195A09"/>
    <w:rsid w:val="00195A29"/>
    <w:rsid w:val="00195A9F"/>
    <w:rsid w:val="001968FB"/>
    <w:rsid w:val="00196C19"/>
    <w:rsid w:val="00196C3D"/>
    <w:rsid w:val="00197E5F"/>
    <w:rsid w:val="001A060A"/>
    <w:rsid w:val="001A0C17"/>
    <w:rsid w:val="001A0C6E"/>
    <w:rsid w:val="001A19DC"/>
    <w:rsid w:val="001A2CAE"/>
    <w:rsid w:val="001A3009"/>
    <w:rsid w:val="001A3AD3"/>
    <w:rsid w:val="001A4036"/>
    <w:rsid w:val="001A4FD1"/>
    <w:rsid w:val="001A5884"/>
    <w:rsid w:val="001A5D8F"/>
    <w:rsid w:val="001A604B"/>
    <w:rsid w:val="001A717D"/>
    <w:rsid w:val="001B01E6"/>
    <w:rsid w:val="001B0962"/>
    <w:rsid w:val="001B200E"/>
    <w:rsid w:val="001B392A"/>
    <w:rsid w:val="001B3A8F"/>
    <w:rsid w:val="001B3DBC"/>
    <w:rsid w:val="001B3F6C"/>
    <w:rsid w:val="001B4919"/>
    <w:rsid w:val="001B4DF9"/>
    <w:rsid w:val="001B5384"/>
    <w:rsid w:val="001B5476"/>
    <w:rsid w:val="001B62BA"/>
    <w:rsid w:val="001B7351"/>
    <w:rsid w:val="001B7505"/>
    <w:rsid w:val="001B7535"/>
    <w:rsid w:val="001B7EC2"/>
    <w:rsid w:val="001B7FEF"/>
    <w:rsid w:val="001C0477"/>
    <w:rsid w:val="001C0706"/>
    <w:rsid w:val="001C0976"/>
    <w:rsid w:val="001C0D5D"/>
    <w:rsid w:val="001C0DC3"/>
    <w:rsid w:val="001C1F6F"/>
    <w:rsid w:val="001C2C65"/>
    <w:rsid w:val="001C395C"/>
    <w:rsid w:val="001C49E3"/>
    <w:rsid w:val="001C50F9"/>
    <w:rsid w:val="001D0B04"/>
    <w:rsid w:val="001D108C"/>
    <w:rsid w:val="001D1AB8"/>
    <w:rsid w:val="001D2109"/>
    <w:rsid w:val="001D244F"/>
    <w:rsid w:val="001D2C48"/>
    <w:rsid w:val="001D3063"/>
    <w:rsid w:val="001D3DA9"/>
    <w:rsid w:val="001D5900"/>
    <w:rsid w:val="001D63BC"/>
    <w:rsid w:val="001D647F"/>
    <w:rsid w:val="001D6D37"/>
    <w:rsid w:val="001D74A5"/>
    <w:rsid w:val="001D7A60"/>
    <w:rsid w:val="001E0373"/>
    <w:rsid w:val="001E15A4"/>
    <w:rsid w:val="001E1819"/>
    <w:rsid w:val="001E2018"/>
    <w:rsid w:val="001E245E"/>
    <w:rsid w:val="001E26B3"/>
    <w:rsid w:val="001E2EF4"/>
    <w:rsid w:val="001E38BA"/>
    <w:rsid w:val="001E3DBA"/>
    <w:rsid w:val="001E6A74"/>
    <w:rsid w:val="001E6C41"/>
    <w:rsid w:val="001E7B7F"/>
    <w:rsid w:val="001F03F6"/>
    <w:rsid w:val="001F05F1"/>
    <w:rsid w:val="001F10ED"/>
    <w:rsid w:val="001F1390"/>
    <w:rsid w:val="001F236E"/>
    <w:rsid w:val="001F2682"/>
    <w:rsid w:val="001F2C11"/>
    <w:rsid w:val="001F2D20"/>
    <w:rsid w:val="001F2F29"/>
    <w:rsid w:val="001F3186"/>
    <w:rsid w:val="001F34D4"/>
    <w:rsid w:val="001F3596"/>
    <w:rsid w:val="001F41D0"/>
    <w:rsid w:val="001F42F4"/>
    <w:rsid w:val="001F449B"/>
    <w:rsid w:val="001F450C"/>
    <w:rsid w:val="001F462C"/>
    <w:rsid w:val="001F46E7"/>
    <w:rsid w:val="001F641F"/>
    <w:rsid w:val="001F67DC"/>
    <w:rsid w:val="001F7B53"/>
    <w:rsid w:val="0020136D"/>
    <w:rsid w:val="00201550"/>
    <w:rsid w:val="002021C6"/>
    <w:rsid w:val="0020280D"/>
    <w:rsid w:val="00202AC6"/>
    <w:rsid w:val="00204B64"/>
    <w:rsid w:val="00204F94"/>
    <w:rsid w:val="00205C69"/>
    <w:rsid w:val="00206357"/>
    <w:rsid w:val="00206604"/>
    <w:rsid w:val="00206655"/>
    <w:rsid w:val="00206862"/>
    <w:rsid w:val="0021071B"/>
    <w:rsid w:val="00210CB7"/>
    <w:rsid w:val="002116CA"/>
    <w:rsid w:val="00212833"/>
    <w:rsid w:val="00213113"/>
    <w:rsid w:val="00214525"/>
    <w:rsid w:val="0021633F"/>
    <w:rsid w:val="00216A86"/>
    <w:rsid w:val="00216DD9"/>
    <w:rsid w:val="00216EFF"/>
    <w:rsid w:val="00217E9E"/>
    <w:rsid w:val="00220D16"/>
    <w:rsid w:val="00220F16"/>
    <w:rsid w:val="00220F71"/>
    <w:rsid w:val="00221082"/>
    <w:rsid w:val="0022220D"/>
    <w:rsid w:val="00222285"/>
    <w:rsid w:val="0022247D"/>
    <w:rsid w:val="00222CEE"/>
    <w:rsid w:val="00223BAA"/>
    <w:rsid w:val="00225B3B"/>
    <w:rsid w:val="00227B3D"/>
    <w:rsid w:val="0023056F"/>
    <w:rsid w:val="0023076D"/>
    <w:rsid w:val="00231837"/>
    <w:rsid w:val="00231CB3"/>
    <w:rsid w:val="00232105"/>
    <w:rsid w:val="002326E2"/>
    <w:rsid w:val="00233319"/>
    <w:rsid w:val="00233612"/>
    <w:rsid w:val="00233AE2"/>
    <w:rsid w:val="00234009"/>
    <w:rsid w:val="00234021"/>
    <w:rsid w:val="002347CA"/>
    <w:rsid w:val="002349A0"/>
    <w:rsid w:val="00234C8B"/>
    <w:rsid w:val="00235D10"/>
    <w:rsid w:val="0023644D"/>
    <w:rsid w:val="002402D4"/>
    <w:rsid w:val="002407AF"/>
    <w:rsid w:val="00240D31"/>
    <w:rsid w:val="00240F48"/>
    <w:rsid w:val="00241BA8"/>
    <w:rsid w:val="002422A3"/>
    <w:rsid w:val="0024245F"/>
    <w:rsid w:val="00242EBD"/>
    <w:rsid w:val="002440CF"/>
    <w:rsid w:val="0024593E"/>
    <w:rsid w:val="00245C51"/>
    <w:rsid w:val="0024601B"/>
    <w:rsid w:val="00246B9D"/>
    <w:rsid w:val="00251611"/>
    <w:rsid w:val="00254C5B"/>
    <w:rsid w:val="002574E8"/>
    <w:rsid w:val="00257596"/>
    <w:rsid w:val="0025792B"/>
    <w:rsid w:val="00257FBA"/>
    <w:rsid w:val="00260D6A"/>
    <w:rsid w:val="00263B35"/>
    <w:rsid w:val="00264B14"/>
    <w:rsid w:val="00264E9A"/>
    <w:rsid w:val="00265574"/>
    <w:rsid w:val="0026758B"/>
    <w:rsid w:val="0027007D"/>
    <w:rsid w:val="0027028B"/>
    <w:rsid w:val="00270915"/>
    <w:rsid w:val="00270D8A"/>
    <w:rsid w:val="0027118E"/>
    <w:rsid w:val="00271DD7"/>
    <w:rsid w:val="00272087"/>
    <w:rsid w:val="00272416"/>
    <w:rsid w:val="00272558"/>
    <w:rsid w:val="002725F4"/>
    <w:rsid w:val="002728CA"/>
    <w:rsid w:val="00273E6D"/>
    <w:rsid w:val="00273ED5"/>
    <w:rsid w:val="00274313"/>
    <w:rsid w:val="0027440B"/>
    <w:rsid w:val="00274784"/>
    <w:rsid w:val="002751E6"/>
    <w:rsid w:val="002752AC"/>
    <w:rsid w:val="00276220"/>
    <w:rsid w:val="00276697"/>
    <w:rsid w:val="00276948"/>
    <w:rsid w:val="002771E5"/>
    <w:rsid w:val="0027783A"/>
    <w:rsid w:val="00277840"/>
    <w:rsid w:val="00277D2B"/>
    <w:rsid w:val="00277D92"/>
    <w:rsid w:val="002805F1"/>
    <w:rsid w:val="00280898"/>
    <w:rsid w:val="00282480"/>
    <w:rsid w:val="00282B57"/>
    <w:rsid w:val="00283740"/>
    <w:rsid w:val="00283AA2"/>
    <w:rsid w:val="00285489"/>
    <w:rsid w:val="00285DC2"/>
    <w:rsid w:val="002861F4"/>
    <w:rsid w:val="002864C9"/>
    <w:rsid w:val="00286520"/>
    <w:rsid w:val="00286AB8"/>
    <w:rsid w:val="00287C5A"/>
    <w:rsid w:val="0029051A"/>
    <w:rsid w:val="0029059B"/>
    <w:rsid w:val="00290DAD"/>
    <w:rsid w:val="00291054"/>
    <w:rsid w:val="002911B8"/>
    <w:rsid w:val="002914BD"/>
    <w:rsid w:val="00291B92"/>
    <w:rsid w:val="00291F70"/>
    <w:rsid w:val="00291FDD"/>
    <w:rsid w:val="00292424"/>
    <w:rsid w:val="002929DA"/>
    <w:rsid w:val="00292A69"/>
    <w:rsid w:val="00292DF9"/>
    <w:rsid w:val="0029339A"/>
    <w:rsid w:val="00293839"/>
    <w:rsid w:val="002944F9"/>
    <w:rsid w:val="00294BE9"/>
    <w:rsid w:val="00294C72"/>
    <w:rsid w:val="00294D53"/>
    <w:rsid w:val="00295074"/>
    <w:rsid w:val="0029509F"/>
    <w:rsid w:val="00296B34"/>
    <w:rsid w:val="00296D62"/>
    <w:rsid w:val="0029708E"/>
    <w:rsid w:val="002A0BDA"/>
    <w:rsid w:val="002A1062"/>
    <w:rsid w:val="002A1236"/>
    <w:rsid w:val="002A184C"/>
    <w:rsid w:val="002A1E92"/>
    <w:rsid w:val="002A277C"/>
    <w:rsid w:val="002A342A"/>
    <w:rsid w:val="002A370C"/>
    <w:rsid w:val="002A3772"/>
    <w:rsid w:val="002A3915"/>
    <w:rsid w:val="002A39E6"/>
    <w:rsid w:val="002A3C80"/>
    <w:rsid w:val="002A3DE1"/>
    <w:rsid w:val="002A4EB4"/>
    <w:rsid w:val="002A5342"/>
    <w:rsid w:val="002A6B9A"/>
    <w:rsid w:val="002A6DA4"/>
    <w:rsid w:val="002A7B74"/>
    <w:rsid w:val="002A7E1F"/>
    <w:rsid w:val="002B0260"/>
    <w:rsid w:val="002B0AF5"/>
    <w:rsid w:val="002B1D28"/>
    <w:rsid w:val="002B52D4"/>
    <w:rsid w:val="002B5DB7"/>
    <w:rsid w:val="002B684A"/>
    <w:rsid w:val="002B6D2F"/>
    <w:rsid w:val="002B6EAB"/>
    <w:rsid w:val="002B7081"/>
    <w:rsid w:val="002B7E39"/>
    <w:rsid w:val="002C0792"/>
    <w:rsid w:val="002C0998"/>
    <w:rsid w:val="002C0A5A"/>
    <w:rsid w:val="002C0F0C"/>
    <w:rsid w:val="002C1172"/>
    <w:rsid w:val="002C14C6"/>
    <w:rsid w:val="002C2264"/>
    <w:rsid w:val="002C226C"/>
    <w:rsid w:val="002C2283"/>
    <w:rsid w:val="002C35E2"/>
    <w:rsid w:val="002C3EE2"/>
    <w:rsid w:val="002C4311"/>
    <w:rsid w:val="002C472C"/>
    <w:rsid w:val="002C6333"/>
    <w:rsid w:val="002C6389"/>
    <w:rsid w:val="002C68E3"/>
    <w:rsid w:val="002C6F6D"/>
    <w:rsid w:val="002C7349"/>
    <w:rsid w:val="002C7A8B"/>
    <w:rsid w:val="002D00F5"/>
    <w:rsid w:val="002D1D2A"/>
    <w:rsid w:val="002D28E6"/>
    <w:rsid w:val="002D3150"/>
    <w:rsid w:val="002D396F"/>
    <w:rsid w:val="002D4B55"/>
    <w:rsid w:val="002D5C98"/>
    <w:rsid w:val="002D5FF0"/>
    <w:rsid w:val="002D6689"/>
    <w:rsid w:val="002D6A4D"/>
    <w:rsid w:val="002D7960"/>
    <w:rsid w:val="002E21C8"/>
    <w:rsid w:val="002E2B57"/>
    <w:rsid w:val="002E3802"/>
    <w:rsid w:val="002E415E"/>
    <w:rsid w:val="002E4427"/>
    <w:rsid w:val="002E4764"/>
    <w:rsid w:val="002E4A49"/>
    <w:rsid w:val="002E6756"/>
    <w:rsid w:val="002E6A4D"/>
    <w:rsid w:val="002E73BB"/>
    <w:rsid w:val="002F022D"/>
    <w:rsid w:val="002F0A67"/>
    <w:rsid w:val="002F0CAF"/>
    <w:rsid w:val="002F249F"/>
    <w:rsid w:val="002F314A"/>
    <w:rsid w:val="002F36AA"/>
    <w:rsid w:val="002F4903"/>
    <w:rsid w:val="002F5498"/>
    <w:rsid w:val="002F559D"/>
    <w:rsid w:val="002F5ECE"/>
    <w:rsid w:val="002F69FE"/>
    <w:rsid w:val="002F6BB1"/>
    <w:rsid w:val="002F6CF9"/>
    <w:rsid w:val="00301C1C"/>
    <w:rsid w:val="00301CD0"/>
    <w:rsid w:val="00301D30"/>
    <w:rsid w:val="0030203D"/>
    <w:rsid w:val="003037F8"/>
    <w:rsid w:val="00303BEC"/>
    <w:rsid w:val="003041FA"/>
    <w:rsid w:val="00304389"/>
    <w:rsid w:val="00304622"/>
    <w:rsid w:val="00305198"/>
    <w:rsid w:val="00305351"/>
    <w:rsid w:val="0030559B"/>
    <w:rsid w:val="0030682E"/>
    <w:rsid w:val="00306CEF"/>
    <w:rsid w:val="00310079"/>
    <w:rsid w:val="0031035F"/>
    <w:rsid w:val="00312A68"/>
    <w:rsid w:val="00312F50"/>
    <w:rsid w:val="00313A3C"/>
    <w:rsid w:val="00313F98"/>
    <w:rsid w:val="00314434"/>
    <w:rsid w:val="003159F2"/>
    <w:rsid w:val="00317732"/>
    <w:rsid w:val="00317817"/>
    <w:rsid w:val="003201C6"/>
    <w:rsid w:val="00321EA3"/>
    <w:rsid w:val="00321F9B"/>
    <w:rsid w:val="00322012"/>
    <w:rsid w:val="003238D2"/>
    <w:rsid w:val="00324050"/>
    <w:rsid w:val="00325527"/>
    <w:rsid w:val="00325E12"/>
    <w:rsid w:val="00326605"/>
    <w:rsid w:val="00326CD7"/>
    <w:rsid w:val="00326DB1"/>
    <w:rsid w:val="00326DB6"/>
    <w:rsid w:val="00327566"/>
    <w:rsid w:val="00327627"/>
    <w:rsid w:val="00327796"/>
    <w:rsid w:val="00327CD0"/>
    <w:rsid w:val="00331E0D"/>
    <w:rsid w:val="00331E19"/>
    <w:rsid w:val="003335D7"/>
    <w:rsid w:val="003339FD"/>
    <w:rsid w:val="00334035"/>
    <w:rsid w:val="003340DF"/>
    <w:rsid w:val="003342CD"/>
    <w:rsid w:val="0033477F"/>
    <w:rsid w:val="003348D7"/>
    <w:rsid w:val="00335042"/>
    <w:rsid w:val="00335F9D"/>
    <w:rsid w:val="00336677"/>
    <w:rsid w:val="003369BF"/>
    <w:rsid w:val="00337082"/>
    <w:rsid w:val="00337AC2"/>
    <w:rsid w:val="00340358"/>
    <w:rsid w:val="003409B7"/>
    <w:rsid w:val="00340E7C"/>
    <w:rsid w:val="00341642"/>
    <w:rsid w:val="003421C8"/>
    <w:rsid w:val="00342AFB"/>
    <w:rsid w:val="00342BC8"/>
    <w:rsid w:val="00342CA1"/>
    <w:rsid w:val="00343318"/>
    <w:rsid w:val="00343FD5"/>
    <w:rsid w:val="00344E56"/>
    <w:rsid w:val="00345275"/>
    <w:rsid w:val="003470A3"/>
    <w:rsid w:val="003506EB"/>
    <w:rsid w:val="0035156D"/>
    <w:rsid w:val="00351EA3"/>
    <w:rsid w:val="00352A1D"/>
    <w:rsid w:val="0035360D"/>
    <w:rsid w:val="00353F3F"/>
    <w:rsid w:val="003540A2"/>
    <w:rsid w:val="00354B00"/>
    <w:rsid w:val="00355872"/>
    <w:rsid w:val="00355B0F"/>
    <w:rsid w:val="00355CEA"/>
    <w:rsid w:val="00357733"/>
    <w:rsid w:val="00357E53"/>
    <w:rsid w:val="00360301"/>
    <w:rsid w:val="003607C0"/>
    <w:rsid w:val="0036084B"/>
    <w:rsid w:val="00360C0A"/>
    <w:rsid w:val="00360CC9"/>
    <w:rsid w:val="00362B70"/>
    <w:rsid w:val="00363572"/>
    <w:rsid w:val="00363B3A"/>
    <w:rsid w:val="00363D17"/>
    <w:rsid w:val="00364246"/>
    <w:rsid w:val="0036469E"/>
    <w:rsid w:val="00364843"/>
    <w:rsid w:val="00364DEE"/>
    <w:rsid w:val="00365634"/>
    <w:rsid w:val="00366330"/>
    <w:rsid w:val="0036675C"/>
    <w:rsid w:val="00367183"/>
    <w:rsid w:val="0036730F"/>
    <w:rsid w:val="00367618"/>
    <w:rsid w:val="00367AAF"/>
    <w:rsid w:val="00367FD4"/>
    <w:rsid w:val="00370395"/>
    <w:rsid w:val="00370863"/>
    <w:rsid w:val="00370BE2"/>
    <w:rsid w:val="0037180D"/>
    <w:rsid w:val="003718EA"/>
    <w:rsid w:val="00373853"/>
    <w:rsid w:val="00374012"/>
    <w:rsid w:val="003750DC"/>
    <w:rsid w:val="00375404"/>
    <w:rsid w:val="00375A2D"/>
    <w:rsid w:val="00376677"/>
    <w:rsid w:val="0037677B"/>
    <w:rsid w:val="00376D5E"/>
    <w:rsid w:val="0037717E"/>
    <w:rsid w:val="003801C7"/>
    <w:rsid w:val="00380283"/>
    <w:rsid w:val="00380A0F"/>
    <w:rsid w:val="00380B9B"/>
    <w:rsid w:val="0038286A"/>
    <w:rsid w:val="0038299A"/>
    <w:rsid w:val="00382B18"/>
    <w:rsid w:val="00382EB2"/>
    <w:rsid w:val="00383324"/>
    <w:rsid w:val="0038372F"/>
    <w:rsid w:val="00383B01"/>
    <w:rsid w:val="00385AF1"/>
    <w:rsid w:val="00385BCC"/>
    <w:rsid w:val="0038634C"/>
    <w:rsid w:val="00386350"/>
    <w:rsid w:val="003869C1"/>
    <w:rsid w:val="00387174"/>
    <w:rsid w:val="003900AD"/>
    <w:rsid w:val="003921C5"/>
    <w:rsid w:val="00392283"/>
    <w:rsid w:val="00392510"/>
    <w:rsid w:val="00392BBA"/>
    <w:rsid w:val="00392C0C"/>
    <w:rsid w:val="003944EC"/>
    <w:rsid w:val="00394A8F"/>
    <w:rsid w:val="00394DE1"/>
    <w:rsid w:val="003954CF"/>
    <w:rsid w:val="003954FD"/>
    <w:rsid w:val="00396835"/>
    <w:rsid w:val="00396A9D"/>
    <w:rsid w:val="003978BE"/>
    <w:rsid w:val="003A049D"/>
    <w:rsid w:val="003A1543"/>
    <w:rsid w:val="003A1621"/>
    <w:rsid w:val="003A206C"/>
    <w:rsid w:val="003A21DB"/>
    <w:rsid w:val="003A2707"/>
    <w:rsid w:val="003A44F0"/>
    <w:rsid w:val="003A57A5"/>
    <w:rsid w:val="003A5EE5"/>
    <w:rsid w:val="003A6C0F"/>
    <w:rsid w:val="003A6DAF"/>
    <w:rsid w:val="003A796A"/>
    <w:rsid w:val="003A7DA1"/>
    <w:rsid w:val="003B19DD"/>
    <w:rsid w:val="003B31F4"/>
    <w:rsid w:val="003B3C2B"/>
    <w:rsid w:val="003B3C6D"/>
    <w:rsid w:val="003B4356"/>
    <w:rsid w:val="003B4A7B"/>
    <w:rsid w:val="003B522C"/>
    <w:rsid w:val="003B5A5D"/>
    <w:rsid w:val="003B5A5F"/>
    <w:rsid w:val="003B5FB2"/>
    <w:rsid w:val="003B7FD7"/>
    <w:rsid w:val="003C36D1"/>
    <w:rsid w:val="003C3A8C"/>
    <w:rsid w:val="003C445C"/>
    <w:rsid w:val="003C4DDB"/>
    <w:rsid w:val="003C4FCD"/>
    <w:rsid w:val="003C52FA"/>
    <w:rsid w:val="003C5719"/>
    <w:rsid w:val="003C6B9C"/>
    <w:rsid w:val="003C7557"/>
    <w:rsid w:val="003C7907"/>
    <w:rsid w:val="003C7B82"/>
    <w:rsid w:val="003C7FC3"/>
    <w:rsid w:val="003D0B99"/>
    <w:rsid w:val="003D0C38"/>
    <w:rsid w:val="003D15D8"/>
    <w:rsid w:val="003D1AFA"/>
    <w:rsid w:val="003D1FE3"/>
    <w:rsid w:val="003D3159"/>
    <w:rsid w:val="003D3439"/>
    <w:rsid w:val="003D392B"/>
    <w:rsid w:val="003D3A08"/>
    <w:rsid w:val="003D5A28"/>
    <w:rsid w:val="003D5DA6"/>
    <w:rsid w:val="003D60D7"/>
    <w:rsid w:val="003D6CC7"/>
    <w:rsid w:val="003D7215"/>
    <w:rsid w:val="003E032C"/>
    <w:rsid w:val="003E0411"/>
    <w:rsid w:val="003E1202"/>
    <w:rsid w:val="003E15CB"/>
    <w:rsid w:val="003E1932"/>
    <w:rsid w:val="003E193E"/>
    <w:rsid w:val="003E1C8F"/>
    <w:rsid w:val="003E1CE3"/>
    <w:rsid w:val="003E1D12"/>
    <w:rsid w:val="003E1D7B"/>
    <w:rsid w:val="003E2795"/>
    <w:rsid w:val="003E35BC"/>
    <w:rsid w:val="003E4AC0"/>
    <w:rsid w:val="003E4FA3"/>
    <w:rsid w:val="003E58F3"/>
    <w:rsid w:val="003E5CD9"/>
    <w:rsid w:val="003E608D"/>
    <w:rsid w:val="003E6412"/>
    <w:rsid w:val="003E64D3"/>
    <w:rsid w:val="003E7275"/>
    <w:rsid w:val="003E77BC"/>
    <w:rsid w:val="003F069B"/>
    <w:rsid w:val="003F1421"/>
    <w:rsid w:val="003F158B"/>
    <w:rsid w:val="003F17A4"/>
    <w:rsid w:val="003F1946"/>
    <w:rsid w:val="003F2B0B"/>
    <w:rsid w:val="003F2FC3"/>
    <w:rsid w:val="003F3B86"/>
    <w:rsid w:val="003F3E89"/>
    <w:rsid w:val="003F4813"/>
    <w:rsid w:val="003F6291"/>
    <w:rsid w:val="003F636C"/>
    <w:rsid w:val="003F690A"/>
    <w:rsid w:val="003F6CB3"/>
    <w:rsid w:val="003F6ED2"/>
    <w:rsid w:val="003F70DE"/>
    <w:rsid w:val="003F74DE"/>
    <w:rsid w:val="003F7658"/>
    <w:rsid w:val="003F795B"/>
    <w:rsid w:val="003F79D4"/>
    <w:rsid w:val="004000AE"/>
    <w:rsid w:val="0040226E"/>
    <w:rsid w:val="004027A4"/>
    <w:rsid w:val="00402994"/>
    <w:rsid w:val="00402FF0"/>
    <w:rsid w:val="004045DC"/>
    <w:rsid w:val="004049A9"/>
    <w:rsid w:val="00405144"/>
    <w:rsid w:val="00405BDD"/>
    <w:rsid w:val="00405C45"/>
    <w:rsid w:val="00406BFD"/>
    <w:rsid w:val="00406EF8"/>
    <w:rsid w:val="00407924"/>
    <w:rsid w:val="004102EB"/>
    <w:rsid w:val="004105FB"/>
    <w:rsid w:val="004111C2"/>
    <w:rsid w:val="0041236C"/>
    <w:rsid w:val="00412BB6"/>
    <w:rsid w:val="00412DE3"/>
    <w:rsid w:val="004138B5"/>
    <w:rsid w:val="00413D74"/>
    <w:rsid w:val="00415C23"/>
    <w:rsid w:val="00416D70"/>
    <w:rsid w:val="004170B9"/>
    <w:rsid w:val="004177BE"/>
    <w:rsid w:val="00417BDC"/>
    <w:rsid w:val="004219A1"/>
    <w:rsid w:val="00422A89"/>
    <w:rsid w:val="00422AC9"/>
    <w:rsid w:val="00422E82"/>
    <w:rsid w:val="00424D1A"/>
    <w:rsid w:val="0042526D"/>
    <w:rsid w:val="00425E9E"/>
    <w:rsid w:val="00427C18"/>
    <w:rsid w:val="00427CED"/>
    <w:rsid w:val="004300B7"/>
    <w:rsid w:val="004306E5"/>
    <w:rsid w:val="004311F0"/>
    <w:rsid w:val="00432647"/>
    <w:rsid w:val="00432D45"/>
    <w:rsid w:val="00433200"/>
    <w:rsid w:val="00433BF9"/>
    <w:rsid w:val="00433D60"/>
    <w:rsid w:val="00434CE8"/>
    <w:rsid w:val="00434F7E"/>
    <w:rsid w:val="00435579"/>
    <w:rsid w:val="00436952"/>
    <w:rsid w:val="00436DAB"/>
    <w:rsid w:val="00437914"/>
    <w:rsid w:val="00440588"/>
    <w:rsid w:val="00440682"/>
    <w:rsid w:val="00440EBB"/>
    <w:rsid w:val="004411B0"/>
    <w:rsid w:val="00441AF0"/>
    <w:rsid w:val="00442270"/>
    <w:rsid w:val="004422F3"/>
    <w:rsid w:val="00443025"/>
    <w:rsid w:val="004438DA"/>
    <w:rsid w:val="00443B88"/>
    <w:rsid w:val="00443C2D"/>
    <w:rsid w:val="00443FB2"/>
    <w:rsid w:val="00444236"/>
    <w:rsid w:val="004447B5"/>
    <w:rsid w:val="00444841"/>
    <w:rsid w:val="00446AEC"/>
    <w:rsid w:val="00447463"/>
    <w:rsid w:val="00447959"/>
    <w:rsid w:val="00451E9D"/>
    <w:rsid w:val="00452821"/>
    <w:rsid w:val="00452DFF"/>
    <w:rsid w:val="00452FFF"/>
    <w:rsid w:val="004541E8"/>
    <w:rsid w:val="00454C04"/>
    <w:rsid w:val="00454E2D"/>
    <w:rsid w:val="00457384"/>
    <w:rsid w:val="004577E7"/>
    <w:rsid w:val="004608D3"/>
    <w:rsid w:val="00460EAE"/>
    <w:rsid w:val="0046130A"/>
    <w:rsid w:val="00461628"/>
    <w:rsid w:val="00461D3B"/>
    <w:rsid w:val="00462095"/>
    <w:rsid w:val="00462704"/>
    <w:rsid w:val="00462782"/>
    <w:rsid w:val="004636CA"/>
    <w:rsid w:val="00464356"/>
    <w:rsid w:val="00464517"/>
    <w:rsid w:val="00464F92"/>
    <w:rsid w:val="00466597"/>
    <w:rsid w:val="004666EB"/>
    <w:rsid w:val="00466731"/>
    <w:rsid w:val="00466883"/>
    <w:rsid w:val="00466957"/>
    <w:rsid w:val="00466DD5"/>
    <w:rsid w:val="00466F56"/>
    <w:rsid w:val="00467E83"/>
    <w:rsid w:val="0047026A"/>
    <w:rsid w:val="00470394"/>
    <w:rsid w:val="0047265F"/>
    <w:rsid w:val="00473610"/>
    <w:rsid w:val="00473B71"/>
    <w:rsid w:val="00474E73"/>
    <w:rsid w:val="004755FE"/>
    <w:rsid w:val="00475B61"/>
    <w:rsid w:val="00477136"/>
    <w:rsid w:val="00477E9E"/>
    <w:rsid w:val="0048080F"/>
    <w:rsid w:val="00480850"/>
    <w:rsid w:val="0048093F"/>
    <w:rsid w:val="00480ADA"/>
    <w:rsid w:val="00480DD7"/>
    <w:rsid w:val="004816C1"/>
    <w:rsid w:val="00482B81"/>
    <w:rsid w:val="00482D4C"/>
    <w:rsid w:val="00483108"/>
    <w:rsid w:val="00483475"/>
    <w:rsid w:val="004838E4"/>
    <w:rsid w:val="0048463A"/>
    <w:rsid w:val="00485C71"/>
    <w:rsid w:val="0048637B"/>
    <w:rsid w:val="0048763D"/>
    <w:rsid w:val="00487AAA"/>
    <w:rsid w:val="0049003E"/>
    <w:rsid w:val="00490241"/>
    <w:rsid w:val="00490666"/>
    <w:rsid w:val="0049073C"/>
    <w:rsid w:val="00491155"/>
    <w:rsid w:val="00491AFE"/>
    <w:rsid w:val="00492465"/>
    <w:rsid w:val="00492BF6"/>
    <w:rsid w:val="0049393D"/>
    <w:rsid w:val="004939B1"/>
    <w:rsid w:val="00493DA5"/>
    <w:rsid w:val="004946AC"/>
    <w:rsid w:val="00494869"/>
    <w:rsid w:val="00494D7A"/>
    <w:rsid w:val="00494EEB"/>
    <w:rsid w:val="00495F62"/>
    <w:rsid w:val="00496316"/>
    <w:rsid w:val="00497959"/>
    <w:rsid w:val="004A058C"/>
    <w:rsid w:val="004A0601"/>
    <w:rsid w:val="004A0618"/>
    <w:rsid w:val="004A0A3B"/>
    <w:rsid w:val="004A0B24"/>
    <w:rsid w:val="004A0D49"/>
    <w:rsid w:val="004A10CE"/>
    <w:rsid w:val="004A1638"/>
    <w:rsid w:val="004A1980"/>
    <w:rsid w:val="004A20AA"/>
    <w:rsid w:val="004A27A8"/>
    <w:rsid w:val="004A2F08"/>
    <w:rsid w:val="004A3018"/>
    <w:rsid w:val="004A3092"/>
    <w:rsid w:val="004A340C"/>
    <w:rsid w:val="004A3C85"/>
    <w:rsid w:val="004A430C"/>
    <w:rsid w:val="004A4499"/>
    <w:rsid w:val="004A4774"/>
    <w:rsid w:val="004A4F58"/>
    <w:rsid w:val="004A57DF"/>
    <w:rsid w:val="004A5B05"/>
    <w:rsid w:val="004A68E3"/>
    <w:rsid w:val="004A6D83"/>
    <w:rsid w:val="004A6DF6"/>
    <w:rsid w:val="004A7371"/>
    <w:rsid w:val="004A7CF9"/>
    <w:rsid w:val="004B0471"/>
    <w:rsid w:val="004B0B0E"/>
    <w:rsid w:val="004B0D3D"/>
    <w:rsid w:val="004B0F29"/>
    <w:rsid w:val="004B221B"/>
    <w:rsid w:val="004B26B8"/>
    <w:rsid w:val="004B2E1E"/>
    <w:rsid w:val="004B380E"/>
    <w:rsid w:val="004B3C0F"/>
    <w:rsid w:val="004B43A8"/>
    <w:rsid w:val="004B4A3C"/>
    <w:rsid w:val="004B50A4"/>
    <w:rsid w:val="004B6094"/>
    <w:rsid w:val="004C05E4"/>
    <w:rsid w:val="004C0F13"/>
    <w:rsid w:val="004C1390"/>
    <w:rsid w:val="004C13B7"/>
    <w:rsid w:val="004C1FBA"/>
    <w:rsid w:val="004C28DF"/>
    <w:rsid w:val="004C290D"/>
    <w:rsid w:val="004C3007"/>
    <w:rsid w:val="004C40FF"/>
    <w:rsid w:val="004C4CED"/>
    <w:rsid w:val="004C507C"/>
    <w:rsid w:val="004C5DBF"/>
    <w:rsid w:val="004C601D"/>
    <w:rsid w:val="004C6641"/>
    <w:rsid w:val="004C6EE4"/>
    <w:rsid w:val="004C726B"/>
    <w:rsid w:val="004C7327"/>
    <w:rsid w:val="004D0900"/>
    <w:rsid w:val="004D1599"/>
    <w:rsid w:val="004D1C46"/>
    <w:rsid w:val="004D35A1"/>
    <w:rsid w:val="004D3B0A"/>
    <w:rsid w:val="004D4AE5"/>
    <w:rsid w:val="004D4DC7"/>
    <w:rsid w:val="004D4F4F"/>
    <w:rsid w:val="004D577F"/>
    <w:rsid w:val="004D6B5B"/>
    <w:rsid w:val="004D783D"/>
    <w:rsid w:val="004D7CA6"/>
    <w:rsid w:val="004E0473"/>
    <w:rsid w:val="004E0714"/>
    <w:rsid w:val="004E0FBA"/>
    <w:rsid w:val="004E1597"/>
    <w:rsid w:val="004E1628"/>
    <w:rsid w:val="004E1F42"/>
    <w:rsid w:val="004E260E"/>
    <w:rsid w:val="004E2EE7"/>
    <w:rsid w:val="004E3336"/>
    <w:rsid w:val="004E348F"/>
    <w:rsid w:val="004E3590"/>
    <w:rsid w:val="004E37FA"/>
    <w:rsid w:val="004E39E1"/>
    <w:rsid w:val="004E408D"/>
    <w:rsid w:val="004E4E6B"/>
    <w:rsid w:val="004E62B8"/>
    <w:rsid w:val="004E7B25"/>
    <w:rsid w:val="004E7D31"/>
    <w:rsid w:val="004F00BA"/>
    <w:rsid w:val="004F011F"/>
    <w:rsid w:val="004F0286"/>
    <w:rsid w:val="004F03F4"/>
    <w:rsid w:val="004F0E9D"/>
    <w:rsid w:val="004F137A"/>
    <w:rsid w:val="004F2690"/>
    <w:rsid w:val="004F36DE"/>
    <w:rsid w:val="004F3EF0"/>
    <w:rsid w:val="004F49E2"/>
    <w:rsid w:val="004F4C00"/>
    <w:rsid w:val="004F56D0"/>
    <w:rsid w:val="004F5C26"/>
    <w:rsid w:val="004F68A9"/>
    <w:rsid w:val="00500F72"/>
    <w:rsid w:val="00501382"/>
    <w:rsid w:val="00501BCE"/>
    <w:rsid w:val="0050235E"/>
    <w:rsid w:val="00502BCB"/>
    <w:rsid w:val="00503A99"/>
    <w:rsid w:val="00503E44"/>
    <w:rsid w:val="005046DD"/>
    <w:rsid w:val="0050561B"/>
    <w:rsid w:val="00505A81"/>
    <w:rsid w:val="00505B18"/>
    <w:rsid w:val="005063AE"/>
    <w:rsid w:val="00506FB0"/>
    <w:rsid w:val="0050777E"/>
    <w:rsid w:val="00510003"/>
    <w:rsid w:val="00510EC1"/>
    <w:rsid w:val="00511693"/>
    <w:rsid w:val="00511878"/>
    <w:rsid w:val="005119BB"/>
    <w:rsid w:val="00511EA4"/>
    <w:rsid w:val="005128FA"/>
    <w:rsid w:val="00512A28"/>
    <w:rsid w:val="00512EC9"/>
    <w:rsid w:val="0051313A"/>
    <w:rsid w:val="00513328"/>
    <w:rsid w:val="00513F82"/>
    <w:rsid w:val="00513FE8"/>
    <w:rsid w:val="0051429B"/>
    <w:rsid w:val="00514EDB"/>
    <w:rsid w:val="00515283"/>
    <w:rsid w:val="005152F0"/>
    <w:rsid w:val="00515423"/>
    <w:rsid w:val="00516614"/>
    <w:rsid w:val="0051669B"/>
    <w:rsid w:val="005178B6"/>
    <w:rsid w:val="00517BE7"/>
    <w:rsid w:val="00520550"/>
    <w:rsid w:val="00521092"/>
    <w:rsid w:val="005227CE"/>
    <w:rsid w:val="00522DDF"/>
    <w:rsid w:val="005231C5"/>
    <w:rsid w:val="0052384C"/>
    <w:rsid w:val="00523AEC"/>
    <w:rsid w:val="00523EEC"/>
    <w:rsid w:val="00524489"/>
    <w:rsid w:val="005248E5"/>
    <w:rsid w:val="005270F6"/>
    <w:rsid w:val="00527D25"/>
    <w:rsid w:val="005306A0"/>
    <w:rsid w:val="00530BC9"/>
    <w:rsid w:val="00530DAA"/>
    <w:rsid w:val="00531E71"/>
    <w:rsid w:val="0053257E"/>
    <w:rsid w:val="005328E6"/>
    <w:rsid w:val="00533926"/>
    <w:rsid w:val="005339D6"/>
    <w:rsid w:val="00533D28"/>
    <w:rsid w:val="00534F61"/>
    <w:rsid w:val="0053654C"/>
    <w:rsid w:val="00536C2B"/>
    <w:rsid w:val="005373BA"/>
    <w:rsid w:val="0053790F"/>
    <w:rsid w:val="00537BAE"/>
    <w:rsid w:val="00537FB7"/>
    <w:rsid w:val="0054001D"/>
    <w:rsid w:val="0054071E"/>
    <w:rsid w:val="005411D1"/>
    <w:rsid w:val="00541F3F"/>
    <w:rsid w:val="005422F7"/>
    <w:rsid w:val="00542708"/>
    <w:rsid w:val="00542873"/>
    <w:rsid w:val="00542FD5"/>
    <w:rsid w:val="00543167"/>
    <w:rsid w:val="005448D2"/>
    <w:rsid w:val="00544B03"/>
    <w:rsid w:val="00547563"/>
    <w:rsid w:val="005479EE"/>
    <w:rsid w:val="00547CD8"/>
    <w:rsid w:val="00550EBB"/>
    <w:rsid w:val="0055124E"/>
    <w:rsid w:val="005535A0"/>
    <w:rsid w:val="005537D4"/>
    <w:rsid w:val="00554E75"/>
    <w:rsid w:val="00554F88"/>
    <w:rsid w:val="00554FA2"/>
    <w:rsid w:val="005558F0"/>
    <w:rsid w:val="00555D4F"/>
    <w:rsid w:val="00556095"/>
    <w:rsid w:val="0055675D"/>
    <w:rsid w:val="00557109"/>
    <w:rsid w:val="005573C4"/>
    <w:rsid w:val="005577E5"/>
    <w:rsid w:val="005607F6"/>
    <w:rsid w:val="00560A9D"/>
    <w:rsid w:val="00562A5A"/>
    <w:rsid w:val="00562E69"/>
    <w:rsid w:val="00562F4C"/>
    <w:rsid w:val="005634E9"/>
    <w:rsid w:val="005635B5"/>
    <w:rsid w:val="0056530A"/>
    <w:rsid w:val="0056647E"/>
    <w:rsid w:val="00566E8F"/>
    <w:rsid w:val="00567519"/>
    <w:rsid w:val="00567BC9"/>
    <w:rsid w:val="005709DE"/>
    <w:rsid w:val="00571255"/>
    <w:rsid w:val="00571859"/>
    <w:rsid w:val="00571CDD"/>
    <w:rsid w:val="0057213E"/>
    <w:rsid w:val="0057218B"/>
    <w:rsid w:val="005726BA"/>
    <w:rsid w:val="00572E92"/>
    <w:rsid w:val="00573279"/>
    <w:rsid w:val="00573C6A"/>
    <w:rsid w:val="00573FFC"/>
    <w:rsid w:val="0057422E"/>
    <w:rsid w:val="00576B07"/>
    <w:rsid w:val="00577569"/>
    <w:rsid w:val="0057780D"/>
    <w:rsid w:val="00577EB8"/>
    <w:rsid w:val="0058072F"/>
    <w:rsid w:val="00580E1C"/>
    <w:rsid w:val="005812BF"/>
    <w:rsid w:val="005833BE"/>
    <w:rsid w:val="00583F41"/>
    <w:rsid w:val="005843C7"/>
    <w:rsid w:val="00584916"/>
    <w:rsid w:val="0058540B"/>
    <w:rsid w:val="00585685"/>
    <w:rsid w:val="005858FB"/>
    <w:rsid w:val="00587650"/>
    <w:rsid w:val="00587F20"/>
    <w:rsid w:val="00587FB9"/>
    <w:rsid w:val="00590848"/>
    <w:rsid w:val="00591EF0"/>
    <w:rsid w:val="00592200"/>
    <w:rsid w:val="0059302A"/>
    <w:rsid w:val="00593D2A"/>
    <w:rsid w:val="00593FDF"/>
    <w:rsid w:val="00595427"/>
    <w:rsid w:val="00595605"/>
    <w:rsid w:val="0059562E"/>
    <w:rsid w:val="00595902"/>
    <w:rsid w:val="00595B50"/>
    <w:rsid w:val="00596459"/>
    <w:rsid w:val="0059736B"/>
    <w:rsid w:val="005976F8"/>
    <w:rsid w:val="00597940"/>
    <w:rsid w:val="005A0902"/>
    <w:rsid w:val="005A15FE"/>
    <w:rsid w:val="005A19B3"/>
    <w:rsid w:val="005A24BB"/>
    <w:rsid w:val="005A2572"/>
    <w:rsid w:val="005A28FA"/>
    <w:rsid w:val="005A363B"/>
    <w:rsid w:val="005A41AC"/>
    <w:rsid w:val="005A468A"/>
    <w:rsid w:val="005A51A0"/>
    <w:rsid w:val="005A6AC4"/>
    <w:rsid w:val="005A6C11"/>
    <w:rsid w:val="005A7388"/>
    <w:rsid w:val="005B04DF"/>
    <w:rsid w:val="005B0B64"/>
    <w:rsid w:val="005B13A5"/>
    <w:rsid w:val="005B1451"/>
    <w:rsid w:val="005B1559"/>
    <w:rsid w:val="005B19E1"/>
    <w:rsid w:val="005B1C05"/>
    <w:rsid w:val="005B3AF1"/>
    <w:rsid w:val="005B43A6"/>
    <w:rsid w:val="005B5D0C"/>
    <w:rsid w:val="005B6883"/>
    <w:rsid w:val="005B7185"/>
    <w:rsid w:val="005B7766"/>
    <w:rsid w:val="005C032C"/>
    <w:rsid w:val="005C0373"/>
    <w:rsid w:val="005C0BED"/>
    <w:rsid w:val="005C15F3"/>
    <w:rsid w:val="005C1BD0"/>
    <w:rsid w:val="005C44E6"/>
    <w:rsid w:val="005C45B8"/>
    <w:rsid w:val="005C73D6"/>
    <w:rsid w:val="005C7A58"/>
    <w:rsid w:val="005C7E9F"/>
    <w:rsid w:val="005D080A"/>
    <w:rsid w:val="005D1CEA"/>
    <w:rsid w:val="005D2168"/>
    <w:rsid w:val="005D22E2"/>
    <w:rsid w:val="005D3002"/>
    <w:rsid w:val="005D34F0"/>
    <w:rsid w:val="005D35D0"/>
    <w:rsid w:val="005D3B9A"/>
    <w:rsid w:val="005D415A"/>
    <w:rsid w:val="005D4633"/>
    <w:rsid w:val="005D507E"/>
    <w:rsid w:val="005D5674"/>
    <w:rsid w:val="005D5E82"/>
    <w:rsid w:val="005D6351"/>
    <w:rsid w:val="005D792B"/>
    <w:rsid w:val="005D7D5A"/>
    <w:rsid w:val="005D7E35"/>
    <w:rsid w:val="005E0089"/>
    <w:rsid w:val="005E03F4"/>
    <w:rsid w:val="005E094B"/>
    <w:rsid w:val="005E0975"/>
    <w:rsid w:val="005E0C35"/>
    <w:rsid w:val="005E0CB7"/>
    <w:rsid w:val="005E1CA7"/>
    <w:rsid w:val="005E2062"/>
    <w:rsid w:val="005E237F"/>
    <w:rsid w:val="005E3675"/>
    <w:rsid w:val="005E3A86"/>
    <w:rsid w:val="005E3D51"/>
    <w:rsid w:val="005E4792"/>
    <w:rsid w:val="005E49E8"/>
    <w:rsid w:val="005E4BAC"/>
    <w:rsid w:val="005E4DD7"/>
    <w:rsid w:val="005E5774"/>
    <w:rsid w:val="005E580A"/>
    <w:rsid w:val="005F013F"/>
    <w:rsid w:val="005F01C7"/>
    <w:rsid w:val="005F0A4C"/>
    <w:rsid w:val="005F0ABE"/>
    <w:rsid w:val="005F1BC2"/>
    <w:rsid w:val="005F20C7"/>
    <w:rsid w:val="005F27B4"/>
    <w:rsid w:val="005F3539"/>
    <w:rsid w:val="005F499C"/>
    <w:rsid w:val="005F698A"/>
    <w:rsid w:val="005F7059"/>
    <w:rsid w:val="005F7DE1"/>
    <w:rsid w:val="006000C0"/>
    <w:rsid w:val="0060059E"/>
    <w:rsid w:val="0060065C"/>
    <w:rsid w:val="0060081D"/>
    <w:rsid w:val="00600B44"/>
    <w:rsid w:val="00600E57"/>
    <w:rsid w:val="0060130D"/>
    <w:rsid w:val="0060139B"/>
    <w:rsid w:val="00601E3A"/>
    <w:rsid w:val="00601F1B"/>
    <w:rsid w:val="00602D0A"/>
    <w:rsid w:val="00602DCD"/>
    <w:rsid w:val="00604269"/>
    <w:rsid w:val="006056FF"/>
    <w:rsid w:val="006057F9"/>
    <w:rsid w:val="0060583C"/>
    <w:rsid w:val="00606656"/>
    <w:rsid w:val="00606671"/>
    <w:rsid w:val="00606F41"/>
    <w:rsid w:val="00607E45"/>
    <w:rsid w:val="006100E5"/>
    <w:rsid w:val="006103ED"/>
    <w:rsid w:val="0061055B"/>
    <w:rsid w:val="00611F3C"/>
    <w:rsid w:val="00612329"/>
    <w:rsid w:val="00612DB4"/>
    <w:rsid w:val="00612DCA"/>
    <w:rsid w:val="00613320"/>
    <w:rsid w:val="0061377F"/>
    <w:rsid w:val="006137A6"/>
    <w:rsid w:val="00613B16"/>
    <w:rsid w:val="00613E91"/>
    <w:rsid w:val="006143C0"/>
    <w:rsid w:val="006154DB"/>
    <w:rsid w:val="00615574"/>
    <w:rsid w:val="00615B11"/>
    <w:rsid w:val="00616540"/>
    <w:rsid w:val="0062043F"/>
    <w:rsid w:val="00620545"/>
    <w:rsid w:val="0062146C"/>
    <w:rsid w:val="006231D6"/>
    <w:rsid w:val="006238C6"/>
    <w:rsid w:val="00623905"/>
    <w:rsid w:val="00623931"/>
    <w:rsid w:val="00623F9C"/>
    <w:rsid w:val="006243C6"/>
    <w:rsid w:val="0062457A"/>
    <w:rsid w:val="00624FB0"/>
    <w:rsid w:val="00625A1C"/>
    <w:rsid w:val="00625BD3"/>
    <w:rsid w:val="00626429"/>
    <w:rsid w:val="00626ED8"/>
    <w:rsid w:val="00626F11"/>
    <w:rsid w:val="00627999"/>
    <w:rsid w:val="00627B3C"/>
    <w:rsid w:val="00627EC5"/>
    <w:rsid w:val="00630893"/>
    <w:rsid w:val="006318E3"/>
    <w:rsid w:val="00631B30"/>
    <w:rsid w:val="00631B6D"/>
    <w:rsid w:val="00631EEF"/>
    <w:rsid w:val="006326E3"/>
    <w:rsid w:val="00633335"/>
    <w:rsid w:val="00634FF7"/>
    <w:rsid w:val="006361F5"/>
    <w:rsid w:val="00636F84"/>
    <w:rsid w:val="00637822"/>
    <w:rsid w:val="0063790B"/>
    <w:rsid w:val="006401E1"/>
    <w:rsid w:val="00640ADD"/>
    <w:rsid w:val="00640C8B"/>
    <w:rsid w:val="0064129F"/>
    <w:rsid w:val="00641F73"/>
    <w:rsid w:val="00642608"/>
    <w:rsid w:val="00642AAA"/>
    <w:rsid w:val="00642F6C"/>
    <w:rsid w:val="0064309D"/>
    <w:rsid w:val="006438BA"/>
    <w:rsid w:val="00644455"/>
    <w:rsid w:val="00646897"/>
    <w:rsid w:val="00647025"/>
    <w:rsid w:val="00647238"/>
    <w:rsid w:val="006478DE"/>
    <w:rsid w:val="00647BB7"/>
    <w:rsid w:val="006501B4"/>
    <w:rsid w:val="0065078E"/>
    <w:rsid w:val="00650C24"/>
    <w:rsid w:val="00651331"/>
    <w:rsid w:val="00651D78"/>
    <w:rsid w:val="00652085"/>
    <w:rsid w:val="006526DB"/>
    <w:rsid w:val="00652B5C"/>
    <w:rsid w:val="00652BE2"/>
    <w:rsid w:val="00652C84"/>
    <w:rsid w:val="0065391B"/>
    <w:rsid w:val="00654E03"/>
    <w:rsid w:val="00655C54"/>
    <w:rsid w:val="00657161"/>
    <w:rsid w:val="00660F56"/>
    <w:rsid w:val="006613D2"/>
    <w:rsid w:val="006613E9"/>
    <w:rsid w:val="00662B59"/>
    <w:rsid w:val="00662FE8"/>
    <w:rsid w:val="006631D8"/>
    <w:rsid w:val="006633BB"/>
    <w:rsid w:val="006635BF"/>
    <w:rsid w:val="00663A25"/>
    <w:rsid w:val="00664068"/>
    <w:rsid w:val="0066534F"/>
    <w:rsid w:val="00665DCD"/>
    <w:rsid w:val="00666CEF"/>
    <w:rsid w:val="00666CF1"/>
    <w:rsid w:val="00666D82"/>
    <w:rsid w:val="006678B2"/>
    <w:rsid w:val="006679EE"/>
    <w:rsid w:val="006701D8"/>
    <w:rsid w:val="00670245"/>
    <w:rsid w:val="006704B5"/>
    <w:rsid w:val="00670D22"/>
    <w:rsid w:val="006711DF"/>
    <w:rsid w:val="00671310"/>
    <w:rsid w:val="00671856"/>
    <w:rsid w:val="00671F09"/>
    <w:rsid w:val="00673393"/>
    <w:rsid w:val="006740FA"/>
    <w:rsid w:val="00674985"/>
    <w:rsid w:val="0067503C"/>
    <w:rsid w:val="006755D9"/>
    <w:rsid w:val="00675B41"/>
    <w:rsid w:val="00675CDA"/>
    <w:rsid w:val="00676AA2"/>
    <w:rsid w:val="00677947"/>
    <w:rsid w:val="00677F5F"/>
    <w:rsid w:val="006801D9"/>
    <w:rsid w:val="00680297"/>
    <w:rsid w:val="0068046D"/>
    <w:rsid w:val="00680871"/>
    <w:rsid w:val="00680B24"/>
    <w:rsid w:val="00681B49"/>
    <w:rsid w:val="006820AA"/>
    <w:rsid w:val="006820CB"/>
    <w:rsid w:val="00682B3F"/>
    <w:rsid w:val="00683956"/>
    <w:rsid w:val="00683D6E"/>
    <w:rsid w:val="006842B4"/>
    <w:rsid w:val="00684468"/>
    <w:rsid w:val="0068489E"/>
    <w:rsid w:val="00684DB6"/>
    <w:rsid w:val="006853DE"/>
    <w:rsid w:val="006854C8"/>
    <w:rsid w:val="006873BF"/>
    <w:rsid w:val="006873CE"/>
    <w:rsid w:val="006876D8"/>
    <w:rsid w:val="0069025A"/>
    <w:rsid w:val="006903A9"/>
    <w:rsid w:val="00690505"/>
    <w:rsid w:val="00690661"/>
    <w:rsid w:val="0069205F"/>
    <w:rsid w:val="00692566"/>
    <w:rsid w:val="00692A33"/>
    <w:rsid w:val="00695640"/>
    <w:rsid w:val="006959A8"/>
    <w:rsid w:val="00695D52"/>
    <w:rsid w:val="0069611A"/>
    <w:rsid w:val="00697400"/>
    <w:rsid w:val="006A0786"/>
    <w:rsid w:val="006A07A8"/>
    <w:rsid w:val="006A0C73"/>
    <w:rsid w:val="006A11D6"/>
    <w:rsid w:val="006A141E"/>
    <w:rsid w:val="006A15D2"/>
    <w:rsid w:val="006A1937"/>
    <w:rsid w:val="006A224F"/>
    <w:rsid w:val="006A46FC"/>
    <w:rsid w:val="006A540B"/>
    <w:rsid w:val="006A6453"/>
    <w:rsid w:val="006A73F5"/>
    <w:rsid w:val="006A7410"/>
    <w:rsid w:val="006A7714"/>
    <w:rsid w:val="006A79E2"/>
    <w:rsid w:val="006B037A"/>
    <w:rsid w:val="006B0772"/>
    <w:rsid w:val="006B0EF4"/>
    <w:rsid w:val="006B2034"/>
    <w:rsid w:val="006B25B0"/>
    <w:rsid w:val="006B25B8"/>
    <w:rsid w:val="006B2BE9"/>
    <w:rsid w:val="006B4944"/>
    <w:rsid w:val="006B520A"/>
    <w:rsid w:val="006B523A"/>
    <w:rsid w:val="006B5A78"/>
    <w:rsid w:val="006B649A"/>
    <w:rsid w:val="006B6BE0"/>
    <w:rsid w:val="006B7A7A"/>
    <w:rsid w:val="006B7B05"/>
    <w:rsid w:val="006C0E20"/>
    <w:rsid w:val="006C15C3"/>
    <w:rsid w:val="006C170A"/>
    <w:rsid w:val="006C17C1"/>
    <w:rsid w:val="006C1865"/>
    <w:rsid w:val="006C1A5D"/>
    <w:rsid w:val="006C2049"/>
    <w:rsid w:val="006C4726"/>
    <w:rsid w:val="006C4EEB"/>
    <w:rsid w:val="006C57CF"/>
    <w:rsid w:val="006C7D4F"/>
    <w:rsid w:val="006D0254"/>
    <w:rsid w:val="006D0DF6"/>
    <w:rsid w:val="006D1052"/>
    <w:rsid w:val="006D10EC"/>
    <w:rsid w:val="006D14CF"/>
    <w:rsid w:val="006D1865"/>
    <w:rsid w:val="006D18BE"/>
    <w:rsid w:val="006D326A"/>
    <w:rsid w:val="006D358A"/>
    <w:rsid w:val="006D3A10"/>
    <w:rsid w:val="006D3DF5"/>
    <w:rsid w:val="006D478B"/>
    <w:rsid w:val="006D4865"/>
    <w:rsid w:val="006D4DAA"/>
    <w:rsid w:val="006D4DF7"/>
    <w:rsid w:val="006D60D0"/>
    <w:rsid w:val="006D672B"/>
    <w:rsid w:val="006D6BB7"/>
    <w:rsid w:val="006D71EB"/>
    <w:rsid w:val="006D756F"/>
    <w:rsid w:val="006E04DB"/>
    <w:rsid w:val="006E0852"/>
    <w:rsid w:val="006E0867"/>
    <w:rsid w:val="006E09C8"/>
    <w:rsid w:val="006E0CBA"/>
    <w:rsid w:val="006E0CE7"/>
    <w:rsid w:val="006E20E1"/>
    <w:rsid w:val="006E2524"/>
    <w:rsid w:val="006E2DEF"/>
    <w:rsid w:val="006E3AB4"/>
    <w:rsid w:val="006E3F67"/>
    <w:rsid w:val="006E42B7"/>
    <w:rsid w:val="006E49A9"/>
    <w:rsid w:val="006E5973"/>
    <w:rsid w:val="006E5D5F"/>
    <w:rsid w:val="006E6321"/>
    <w:rsid w:val="006E63B2"/>
    <w:rsid w:val="006E7073"/>
    <w:rsid w:val="006F06C1"/>
    <w:rsid w:val="006F13B7"/>
    <w:rsid w:val="006F1DEF"/>
    <w:rsid w:val="006F2AC0"/>
    <w:rsid w:val="006F2EFB"/>
    <w:rsid w:val="006F32FB"/>
    <w:rsid w:val="006F683C"/>
    <w:rsid w:val="006F6922"/>
    <w:rsid w:val="006F6C2A"/>
    <w:rsid w:val="006F74AB"/>
    <w:rsid w:val="006F76B3"/>
    <w:rsid w:val="006F7A72"/>
    <w:rsid w:val="00701653"/>
    <w:rsid w:val="0070169C"/>
    <w:rsid w:val="00701F57"/>
    <w:rsid w:val="0070207D"/>
    <w:rsid w:val="0070270E"/>
    <w:rsid w:val="007027FA"/>
    <w:rsid w:val="00704232"/>
    <w:rsid w:val="00704CCA"/>
    <w:rsid w:val="00705171"/>
    <w:rsid w:val="007053B0"/>
    <w:rsid w:val="00705F9B"/>
    <w:rsid w:val="00705FB2"/>
    <w:rsid w:val="0070640A"/>
    <w:rsid w:val="0070645F"/>
    <w:rsid w:val="00706A9B"/>
    <w:rsid w:val="00710E94"/>
    <w:rsid w:val="00711183"/>
    <w:rsid w:val="00711E9B"/>
    <w:rsid w:val="00712C02"/>
    <w:rsid w:val="0071486C"/>
    <w:rsid w:val="00715F3A"/>
    <w:rsid w:val="007173CF"/>
    <w:rsid w:val="00717D0F"/>
    <w:rsid w:val="007205F3"/>
    <w:rsid w:val="00721812"/>
    <w:rsid w:val="0072182C"/>
    <w:rsid w:val="00721E8B"/>
    <w:rsid w:val="00722089"/>
    <w:rsid w:val="00722156"/>
    <w:rsid w:val="0072218D"/>
    <w:rsid w:val="00722987"/>
    <w:rsid w:val="00722C8E"/>
    <w:rsid w:val="00723A6F"/>
    <w:rsid w:val="00723E03"/>
    <w:rsid w:val="00723FE6"/>
    <w:rsid w:val="0072484F"/>
    <w:rsid w:val="0072497D"/>
    <w:rsid w:val="007252EA"/>
    <w:rsid w:val="00725ADE"/>
    <w:rsid w:val="00726D6D"/>
    <w:rsid w:val="00726EFB"/>
    <w:rsid w:val="00726FA2"/>
    <w:rsid w:val="007272CF"/>
    <w:rsid w:val="007275C6"/>
    <w:rsid w:val="00727D8A"/>
    <w:rsid w:val="00730361"/>
    <w:rsid w:val="0073061E"/>
    <w:rsid w:val="00730AC4"/>
    <w:rsid w:val="00730DA8"/>
    <w:rsid w:val="00731D97"/>
    <w:rsid w:val="00731FEA"/>
    <w:rsid w:val="007323F4"/>
    <w:rsid w:val="00732A85"/>
    <w:rsid w:val="00732CDA"/>
    <w:rsid w:val="007355A1"/>
    <w:rsid w:val="007358E3"/>
    <w:rsid w:val="00735921"/>
    <w:rsid w:val="0073599B"/>
    <w:rsid w:val="00735A31"/>
    <w:rsid w:val="00736A00"/>
    <w:rsid w:val="00736B6D"/>
    <w:rsid w:val="00736F61"/>
    <w:rsid w:val="00737674"/>
    <w:rsid w:val="007379F4"/>
    <w:rsid w:val="00741814"/>
    <w:rsid w:val="0074185E"/>
    <w:rsid w:val="00741FBC"/>
    <w:rsid w:val="00742253"/>
    <w:rsid w:val="007423A1"/>
    <w:rsid w:val="00742546"/>
    <w:rsid w:val="007436F0"/>
    <w:rsid w:val="00743ACD"/>
    <w:rsid w:val="00744065"/>
    <w:rsid w:val="0074422A"/>
    <w:rsid w:val="007444AD"/>
    <w:rsid w:val="00744736"/>
    <w:rsid w:val="00744969"/>
    <w:rsid w:val="007454BC"/>
    <w:rsid w:val="00745796"/>
    <w:rsid w:val="007461B8"/>
    <w:rsid w:val="007462D8"/>
    <w:rsid w:val="00746387"/>
    <w:rsid w:val="00746E94"/>
    <w:rsid w:val="00746F5A"/>
    <w:rsid w:val="0074728E"/>
    <w:rsid w:val="007473AF"/>
    <w:rsid w:val="00750126"/>
    <w:rsid w:val="0075069D"/>
    <w:rsid w:val="00751328"/>
    <w:rsid w:val="00751BB7"/>
    <w:rsid w:val="00752DB7"/>
    <w:rsid w:val="0075338D"/>
    <w:rsid w:val="007542A9"/>
    <w:rsid w:val="007553AC"/>
    <w:rsid w:val="00755B4E"/>
    <w:rsid w:val="00755DD8"/>
    <w:rsid w:val="00755E13"/>
    <w:rsid w:val="007569F0"/>
    <w:rsid w:val="0075767B"/>
    <w:rsid w:val="00757B95"/>
    <w:rsid w:val="007609C5"/>
    <w:rsid w:val="00761719"/>
    <w:rsid w:val="007622D4"/>
    <w:rsid w:val="007626ED"/>
    <w:rsid w:val="00764947"/>
    <w:rsid w:val="0076518D"/>
    <w:rsid w:val="00765F31"/>
    <w:rsid w:val="007662C7"/>
    <w:rsid w:val="0076667D"/>
    <w:rsid w:val="00766BA0"/>
    <w:rsid w:val="007673AD"/>
    <w:rsid w:val="00767CFD"/>
    <w:rsid w:val="0077010A"/>
    <w:rsid w:val="00770173"/>
    <w:rsid w:val="0077050C"/>
    <w:rsid w:val="00770FB0"/>
    <w:rsid w:val="00770FC5"/>
    <w:rsid w:val="0077299E"/>
    <w:rsid w:val="00772FAF"/>
    <w:rsid w:val="00773D47"/>
    <w:rsid w:val="00774E26"/>
    <w:rsid w:val="00775145"/>
    <w:rsid w:val="00775DF3"/>
    <w:rsid w:val="00776306"/>
    <w:rsid w:val="00776A4B"/>
    <w:rsid w:val="00776D08"/>
    <w:rsid w:val="00776F15"/>
    <w:rsid w:val="00777793"/>
    <w:rsid w:val="0077791B"/>
    <w:rsid w:val="007800CC"/>
    <w:rsid w:val="007816C5"/>
    <w:rsid w:val="007816E2"/>
    <w:rsid w:val="007817F8"/>
    <w:rsid w:val="00781BDA"/>
    <w:rsid w:val="007837E8"/>
    <w:rsid w:val="007850E3"/>
    <w:rsid w:val="00785F7E"/>
    <w:rsid w:val="007861D7"/>
    <w:rsid w:val="007863C6"/>
    <w:rsid w:val="0078690C"/>
    <w:rsid w:val="00786C48"/>
    <w:rsid w:val="00786E7B"/>
    <w:rsid w:val="0078760C"/>
    <w:rsid w:val="00787EDD"/>
    <w:rsid w:val="00790088"/>
    <w:rsid w:val="0079105D"/>
    <w:rsid w:val="00794EDA"/>
    <w:rsid w:val="00795522"/>
    <w:rsid w:val="00795B0C"/>
    <w:rsid w:val="00795B9F"/>
    <w:rsid w:val="00796F53"/>
    <w:rsid w:val="007A019A"/>
    <w:rsid w:val="007A1887"/>
    <w:rsid w:val="007A25BE"/>
    <w:rsid w:val="007A26D4"/>
    <w:rsid w:val="007A28BF"/>
    <w:rsid w:val="007A2B55"/>
    <w:rsid w:val="007A33F8"/>
    <w:rsid w:val="007A3475"/>
    <w:rsid w:val="007A4646"/>
    <w:rsid w:val="007A4C81"/>
    <w:rsid w:val="007A4F91"/>
    <w:rsid w:val="007A520C"/>
    <w:rsid w:val="007A55A7"/>
    <w:rsid w:val="007A57BC"/>
    <w:rsid w:val="007A59F0"/>
    <w:rsid w:val="007A5CFF"/>
    <w:rsid w:val="007A67E8"/>
    <w:rsid w:val="007A6C6F"/>
    <w:rsid w:val="007A7216"/>
    <w:rsid w:val="007A7376"/>
    <w:rsid w:val="007B07F8"/>
    <w:rsid w:val="007B1F10"/>
    <w:rsid w:val="007B2143"/>
    <w:rsid w:val="007B335E"/>
    <w:rsid w:val="007B3371"/>
    <w:rsid w:val="007B4A9D"/>
    <w:rsid w:val="007B5314"/>
    <w:rsid w:val="007B5A51"/>
    <w:rsid w:val="007B5C7B"/>
    <w:rsid w:val="007B6143"/>
    <w:rsid w:val="007B72ED"/>
    <w:rsid w:val="007B73D8"/>
    <w:rsid w:val="007C0CCF"/>
    <w:rsid w:val="007C137D"/>
    <w:rsid w:val="007C1466"/>
    <w:rsid w:val="007C1967"/>
    <w:rsid w:val="007C2F5E"/>
    <w:rsid w:val="007C3706"/>
    <w:rsid w:val="007C4AB0"/>
    <w:rsid w:val="007C6057"/>
    <w:rsid w:val="007C6517"/>
    <w:rsid w:val="007C6EB5"/>
    <w:rsid w:val="007C7188"/>
    <w:rsid w:val="007C795F"/>
    <w:rsid w:val="007C7D64"/>
    <w:rsid w:val="007D0558"/>
    <w:rsid w:val="007D09E4"/>
    <w:rsid w:val="007D2769"/>
    <w:rsid w:val="007D27AD"/>
    <w:rsid w:val="007D2AEE"/>
    <w:rsid w:val="007D3482"/>
    <w:rsid w:val="007D4CFF"/>
    <w:rsid w:val="007D609B"/>
    <w:rsid w:val="007D6771"/>
    <w:rsid w:val="007D73E0"/>
    <w:rsid w:val="007E018D"/>
    <w:rsid w:val="007E1385"/>
    <w:rsid w:val="007E237E"/>
    <w:rsid w:val="007E3729"/>
    <w:rsid w:val="007E4396"/>
    <w:rsid w:val="007E43EC"/>
    <w:rsid w:val="007E4658"/>
    <w:rsid w:val="007E4B17"/>
    <w:rsid w:val="007E4CAE"/>
    <w:rsid w:val="007E54A7"/>
    <w:rsid w:val="007E5B37"/>
    <w:rsid w:val="007E64A9"/>
    <w:rsid w:val="007E6A45"/>
    <w:rsid w:val="007E6D65"/>
    <w:rsid w:val="007E7323"/>
    <w:rsid w:val="007E7C65"/>
    <w:rsid w:val="007F0103"/>
    <w:rsid w:val="007F08EC"/>
    <w:rsid w:val="007F09BC"/>
    <w:rsid w:val="007F09EE"/>
    <w:rsid w:val="007F118F"/>
    <w:rsid w:val="007F198F"/>
    <w:rsid w:val="007F1B71"/>
    <w:rsid w:val="007F25C6"/>
    <w:rsid w:val="007F26C1"/>
    <w:rsid w:val="007F2FB0"/>
    <w:rsid w:val="007F3435"/>
    <w:rsid w:val="007F4DFC"/>
    <w:rsid w:val="007F5CE6"/>
    <w:rsid w:val="007F6591"/>
    <w:rsid w:val="007F7A62"/>
    <w:rsid w:val="007F7BA9"/>
    <w:rsid w:val="00800036"/>
    <w:rsid w:val="0080320B"/>
    <w:rsid w:val="008032FD"/>
    <w:rsid w:val="00803C99"/>
    <w:rsid w:val="0080456F"/>
    <w:rsid w:val="00804584"/>
    <w:rsid w:val="0080719E"/>
    <w:rsid w:val="00807256"/>
    <w:rsid w:val="008076BE"/>
    <w:rsid w:val="00807E7D"/>
    <w:rsid w:val="0081013F"/>
    <w:rsid w:val="00810843"/>
    <w:rsid w:val="0081091B"/>
    <w:rsid w:val="00811F0B"/>
    <w:rsid w:val="0081215F"/>
    <w:rsid w:val="00814456"/>
    <w:rsid w:val="008145BA"/>
    <w:rsid w:val="00814965"/>
    <w:rsid w:val="00814B39"/>
    <w:rsid w:val="00814E42"/>
    <w:rsid w:val="008157EF"/>
    <w:rsid w:val="00816000"/>
    <w:rsid w:val="00816EF3"/>
    <w:rsid w:val="00816FBC"/>
    <w:rsid w:val="00820C45"/>
    <w:rsid w:val="0082113A"/>
    <w:rsid w:val="0082212B"/>
    <w:rsid w:val="0082275A"/>
    <w:rsid w:val="00822946"/>
    <w:rsid w:val="00823C7D"/>
    <w:rsid w:val="008249BE"/>
    <w:rsid w:val="00824A7D"/>
    <w:rsid w:val="0082514D"/>
    <w:rsid w:val="00825513"/>
    <w:rsid w:val="00825854"/>
    <w:rsid w:val="00826556"/>
    <w:rsid w:val="008267A6"/>
    <w:rsid w:val="00826A3D"/>
    <w:rsid w:val="00830161"/>
    <w:rsid w:val="00830D36"/>
    <w:rsid w:val="00831461"/>
    <w:rsid w:val="00831675"/>
    <w:rsid w:val="00831CA7"/>
    <w:rsid w:val="00833597"/>
    <w:rsid w:val="00833654"/>
    <w:rsid w:val="00833B1C"/>
    <w:rsid w:val="00834275"/>
    <w:rsid w:val="00835746"/>
    <w:rsid w:val="00835AD3"/>
    <w:rsid w:val="008362F2"/>
    <w:rsid w:val="00836E24"/>
    <w:rsid w:val="0083703F"/>
    <w:rsid w:val="008373A4"/>
    <w:rsid w:val="0083766A"/>
    <w:rsid w:val="008404AD"/>
    <w:rsid w:val="00841D89"/>
    <w:rsid w:val="00842272"/>
    <w:rsid w:val="00842DB5"/>
    <w:rsid w:val="00844849"/>
    <w:rsid w:val="00844865"/>
    <w:rsid w:val="008448BA"/>
    <w:rsid w:val="00844EC8"/>
    <w:rsid w:val="00845A2E"/>
    <w:rsid w:val="00845A80"/>
    <w:rsid w:val="00845FDA"/>
    <w:rsid w:val="00845FF7"/>
    <w:rsid w:val="0084615B"/>
    <w:rsid w:val="008464EC"/>
    <w:rsid w:val="00846755"/>
    <w:rsid w:val="008502AE"/>
    <w:rsid w:val="0085045F"/>
    <w:rsid w:val="00850E99"/>
    <w:rsid w:val="0085298F"/>
    <w:rsid w:val="00852B4B"/>
    <w:rsid w:val="00854802"/>
    <w:rsid w:val="00854BC9"/>
    <w:rsid w:val="00855092"/>
    <w:rsid w:val="008551B4"/>
    <w:rsid w:val="008552D6"/>
    <w:rsid w:val="00855C1D"/>
    <w:rsid w:val="00855DA3"/>
    <w:rsid w:val="00855F04"/>
    <w:rsid w:val="008562AF"/>
    <w:rsid w:val="00856554"/>
    <w:rsid w:val="00856C98"/>
    <w:rsid w:val="008570A3"/>
    <w:rsid w:val="008602EE"/>
    <w:rsid w:val="00860BB5"/>
    <w:rsid w:val="00860CFA"/>
    <w:rsid w:val="00860F25"/>
    <w:rsid w:val="008616A0"/>
    <w:rsid w:val="00861F6E"/>
    <w:rsid w:val="00862443"/>
    <w:rsid w:val="00862AFB"/>
    <w:rsid w:val="008635A0"/>
    <w:rsid w:val="00863973"/>
    <w:rsid w:val="00863A56"/>
    <w:rsid w:val="008645A4"/>
    <w:rsid w:val="00864E4A"/>
    <w:rsid w:val="0086543E"/>
    <w:rsid w:val="00866EA7"/>
    <w:rsid w:val="008670AA"/>
    <w:rsid w:val="008678CA"/>
    <w:rsid w:val="00867E08"/>
    <w:rsid w:val="00870996"/>
    <w:rsid w:val="00870A56"/>
    <w:rsid w:val="0087169A"/>
    <w:rsid w:val="00871E50"/>
    <w:rsid w:val="00871F6E"/>
    <w:rsid w:val="0087238E"/>
    <w:rsid w:val="0087324F"/>
    <w:rsid w:val="00873940"/>
    <w:rsid w:val="00873DB9"/>
    <w:rsid w:val="00876B82"/>
    <w:rsid w:val="00877071"/>
    <w:rsid w:val="00877700"/>
    <w:rsid w:val="008779B4"/>
    <w:rsid w:val="00877A2F"/>
    <w:rsid w:val="0088138D"/>
    <w:rsid w:val="00882230"/>
    <w:rsid w:val="00882D67"/>
    <w:rsid w:val="00883134"/>
    <w:rsid w:val="00883863"/>
    <w:rsid w:val="0088467C"/>
    <w:rsid w:val="00884780"/>
    <w:rsid w:val="008853B9"/>
    <w:rsid w:val="00885AA3"/>
    <w:rsid w:val="00885C82"/>
    <w:rsid w:val="00886B22"/>
    <w:rsid w:val="00887337"/>
    <w:rsid w:val="00887A44"/>
    <w:rsid w:val="00887EC8"/>
    <w:rsid w:val="00891F21"/>
    <w:rsid w:val="00892D3B"/>
    <w:rsid w:val="00894579"/>
    <w:rsid w:val="00894A23"/>
    <w:rsid w:val="0089504C"/>
    <w:rsid w:val="008963F0"/>
    <w:rsid w:val="008966E1"/>
    <w:rsid w:val="008971D6"/>
    <w:rsid w:val="00897623"/>
    <w:rsid w:val="00897A6D"/>
    <w:rsid w:val="00897E53"/>
    <w:rsid w:val="008A0C08"/>
    <w:rsid w:val="008A0FBF"/>
    <w:rsid w:val="008A1785"/>
    <w:rsid w:val="008A1E40"/>
    <w:rsid w:val="008A1F06"/>
    <w:rsid w:val="008A206A"/>
    <w:rsid w:val="008A24D7"/>
    <w:rsid w:val="008A25AE"/>
    <w:rsid w:val="008A27E7"/>
    <w:rsid w:val="008A2BDB"/>
    <w:rsid w:val="008A2CEA"/>
    <w:rsid w:val="008A32FF"/>
    <w:rsid w:val="008A360A"/>
    <w:rsid w:val="008A3DE1"/>
    <w:rsid w:val="008A5383"/>
    <w:rsid w:val="008A598E"/>
    <w:rsid w:val="008A5B67"/>
    <w:rsid w:val="008A5CCD"/>
    <w:rsid w:val="008A5EC7"/>
    <w:rsid w:val="008A6A6D"/>
    <w:rsid w:val="008A7041"/>
    <w:rsid w:val="008B0768"/>
    <w:rsid w:val="008B0BB5"/>
    <w:rsid w:val="008B0C21"/>
    <w:rsid w:val="008B1ED3"/>
    <w:rsid w:val="008B27B6"/>
    <w:rsid w:val="008B29E7"/>
    <w:rsid w:val="008B2A5D"/>
    <w:rsid w:val="008B2C4E"/>
    <w:rsid w:val="008B33DF"/>
    <w:rsid w:val="008B4796"/>
    <w:rsid w:val="008B5C0B"/>
    <w:rsid w:val="008B61B9"/>
    <w:rsid w:val="008B6B98"/>
    <w:rsid w:val="008B7249"/>
    <w:rsid w:val="008B75D4"/>
    <w:rsid w:val="008B7ADA"/>
    <w:rsid w:val="008C01E8"/>
    <w:rsid w:val="008C0352"/>
    <w:rsid w:val="008C15F0"/>
    <w:rsid w:val="008C1978"/>
    <w:rsid w:val="008C2216"/>
    <w:rsid w:val="008C2817"/>
    <w:rsid w:val="008C33F0"/>
    <w:rsid w:val="008C40E0"/>
    <w:rsid w:val="008C4677"/>
    <w:rsid w:val="008C4B2B"/>
    <w:rsid w:val="008C574B"/>
    <w:rsid w:val="008C63C9"/>
    <w:rsid w:val="008C6A5B"/>
    <w:rsid w:val="008C7394"/>
    <w:rsid w:val="008D00D8"/>
    <w:rsid w:val="008D07E2"/>
    <w:rsid w:val="008D16F7"/>
    <w:rsid w:val="008D2F6C"/>
    <w:rsid w:val="008D3E84"/>
    <w:rsid w:val="008D40FA"/>
    <w:rsid w:val="008D4481"/>
    <w:rsid w:val="008D4835"/>
    <w:rsid w:val="008D4F49"/>
    <w:rsid w:val="008D55E0"/>
    <w:rsid w:val="008D6835"/>
    <w:rsid w:val="008D6DAC"/>
    <w:rsid w:val="008D6E7E"/>
    <w:rsid w:val="008D7F90"/>
    <w:rsid w:val="008D7F97"/>
    <w:rsid w:val="008E1427"/>
    <w:rsid w:val="008E1FB2"/>
    <w:rsid w:val="008E247E"/>
    <w:rsid w:val="008E2525"/>
    <w:rsid w:val="008E2BA3"/>
    <w:rsid w:val="008E3678"/>
    <w:rsid w:val="008E3771"/>
    <w:rsid w:val="008E3D28"/>
    <w:rsid w:val="008E4B73"/>
    <w:rsid w:val="008E51AD"/>
    <w:rsid w:val="008E52C7"/>
    <w:rsid w:val="008E5669"/>
    <w:rsid w:val="008E5A1D"/>
    <w:rsid w:val="008E6145"/>
    <w:rsid w:val="008E6291"/>
    <w:rsid w:val="008E6890"/>
    <w:rsid w:val="008E72C3"/>
    <w:rsid w:val="008E7B8D"/>
    <w:rsid w:val="008E7D44"/>
    <w:rsid w:val="008F01D6"/>
    <w:rsid w:val="008F071F"/>
    <w:rsid w:val="008F0BA1"/>
    <w:rsid w:val="008F0C50"/>
    <w:rsid w:val="008F1063"/>
    <w:rsid w:val="008F11A0"/>
    <w:rsid w:val="008F1230"/>
    <w:rsid w:val="008F1571"/>
    <w:rsid w:val="008F1F68"/>
    <w:rsid w:val="008F1FB6"/>
    <w:rsid w:val="008F22DE"/>
    <w:rsid w:val="008F2529"/>
    <w:rsid w:val="008F36D1"/>
    <w:rsid w:val="008F4B38"/>
    <w:rsid w:val="008F57B6"/>
    <w:rsid w:val="008F584F"/>
    <w:rsid w:val="008F601F"/>
    <w:rsid w:val="008F64DA"/>
    <w:rsid w:val="008F65E3"/>
    <w:rsid w:val="008F6DE4"/>
    <w:rsid w:val="008F778A"/>
    <w:rsid w:val="0090017E"/>
    <w:rsid w:val="00901D26"/>
    <w:rsid w:val="00901D7B"/>
    <w:rsid w:val="00902143"/>
    <w:rsid w:val="00902785"/>
    <w:rsid w:val="0090288D"/>
    <w:rsid w:val="00902B62"/>
    <w:rsid w:val="00902ED6"/>
    <w:rsid w:val="009030D6"/>
    <w:rsid w:val="0090320B"/>
    <w:rsid w:val="0090328C"/>
    <w:rsid w:val="00903502"/>
    <w:rsid w:val="00904684"/>
    <w:rsid w:val="0090557F"/>
    <w:rsid w:val="00905F5D"/>
    <w:rsid w:val="00906037"/>
    <w:rsid w:val="00906080"/>
    <w:rsid w:val="009065F7"/>
    <w:rsid w:val="00906A00"/>
    <w:rsid w:val="0090749B"/>
    <w:rsid w:val="00907530"/>
    <w:rsid w:val="00907865"/>
    <w:rsid w:val="00907BC7"/>
    <w:rsid w:val="009126B6"/>
    <w:rsid w:val="0091280A"/>
    <w:rsid w:val="00912894"/>
    <w:rsid w:val="00912A58"/>
    <w:rsid w:val="00912EBD"/>
    <w:rsid w:val="00912F98"/>
    <w:rsid w:val="00914044"/>
    <w:rsid w:val="009143A0"/>
    <w:rsid w:val="00915B10"/>
    <w:rsid w:val="00916071"/>
    <w:rsid w:val="0091629C"/>
    <w:rsid w:val="0091788C"/>
    <w:rsid w:val="00917B4F"/>
    <w:rsid w:val="00920187"/>
    <w:rsid w:val="00920DC8"/>
    <w:rsid w:val="0092125C"/>
    <w:rsid w:val="00921888"/>
    <w:rsid w:val="00921B5A"/>
    <w:rsid w:val="00922AD0"/>
    <w:rsid w:val="009237AD"/>
    <w:rsid w:val="009237AE"/>
    <w:rsid w:val="00923A3A"/>
    <w:rsid w:val="00924BF2"/>
    <w:rsid w:val="00925124"/>
    <w:rsid w:val="00925367"/>
    <w:rsid w:val="00925635"/>
    <w:rsid w:val="0092595B"/>
    <w:rsid w:val="00926C9B"/>
    <w:rsid w:val="00927213"/>
    <w:rsid w:val="00927A38"/>
    <w:rsid w:val="00927C59"/>
    <w:rsid w:val="00931881"/>
    <w:rsid w:val="00933A61"/>
    <w:rsid w:val="00933AF4"/>
    <w:rsid w:val="0093421F"/>
    <w:rsid w:val="00934B34"/>
    <w:rsid w:val="0093541D"/>
    <w:rsid w:val="00935926"/>
    <w:rsid w:val="00936902"/>
    <w:rsid w:val="00936EB3"/>
    <w:rsid w:val="00937E51"/>
    <w:rsid w:val="00940315"/>
    <w:rsid w:val="0094127B"/>
    <w:rsid w:val="00942170"/>
    <w:rsid w:val="0094330F"/>
    <w:rsid w:val="00944230"/>
    <w:rsid w:val="00944592"/>
    <w:rsid w:val="0094486D"/>
    <w:rsid w:val="00944D73"/>
    <w:rsid w:val="0094555C"/>
    <w:rsid w:val="009462D4"/>
    <w:rsid w:val="00946C8F"/>
    <w:rsid w:val="0094719D"/>
    <w:rsid w:val="00947E39"/>
    <w:rsid w:val="009507EC"/>
    <w:rsid w:val="00950AB7"/>
    <w:rsid w:val="00950E58"/>
    <w:rsid w:val="00951928"/>
    <w:rsid w:val="00952D7D"/>
    <w:rsid w:val="00952DF0"/>
    <w:rsid w:val="00952F47"/>
    <w:rsid w:val="00953BCD"/>
    <w:rsid w:val="00953F7C"/>
    <w:rsid w:val="0095437A"/>
    <w:rsid w:val="00954405"/>
    <w:rsid w:val="00954679"/>
    <w:rsid w:val="009552FE"/>
    <w:rsid w:val="00955673"/>
    <w:rsid w:val="009562E9"/>
    <w:rsid w:val="00956420"/>
    <w:rsid w:val="00956443"/>
    <w:rsid w:val="00956998"/>
    <w:rsid w:val="00956B42"/>
    <w:rsid w:val="00957FD5"/>
    <w:rsid w:val="00960EDF"/>
    <w:rsid w:val="00960FB5"/>
    <w:rsid w:val="0096130F"/>
    <w:rsid w:val="00961AB4"/>
    <w:rsid w:val="00961EB3"/>
    <w:rsid w:val="0096227C"/>
    <w:rsid w:val="009623DD"/>
    <w:rsid w:val="009633F9"/>
    <w:rsid w:val="00963D08"/>
    <w:rsid w:val="0096429A"/>
    <w:rsid w:val="009644A7"/>
    <w:rsid w:val="00964C70"/>
    <w:rsid w:val="009655DA"/>
    <w:rsid w:val="00965BBC"/>
    <w:rsid w:val="00966FF9"/>
    <w:rsid w:val="009673D0"/>
    <w:rsid w:val="00970D7A"/>
    <w:rsid w:val="00972823"/>
    <w:rsid w:val="0097347D"/>
    <w:rsid w:val="009738B6"/>
    <w:rsid w:val="0097390F"/>
    <w:rsid w:val="009742CF"/>
    <w:rsid w:val="00974593"/>
    <w:rsid w:val="00974996"/>
    <w:rsid w:val="00974C4A"/>
    <w:rsid w:val="00975118"/>
    <w:rsid w:val="00975157"/>
    <w:rsid w:val="00975CEF"/>
    <w:rsid w:val="00975FAF"/>
    <w:rsid w:val="00976086"/>
    <w:rsid w:val="009760B9"/>
    <w:rsid w:val="00976DDF"/>
    <w:rsid w:val="00977211"/>
    <w:rsid w:val="0097789E"/>
    <w:rsid w:val="00980882"/>
    <w:rsid w:val="00981401"/>
    <w:rsid w:val="00982013"/>
    <w:rsid w:val="00984A0C"/>
    <w:rsid w:val="00984BA8"/>
    <w:rsid w:val="00985112"/>
    <w:rsid w:val="00986039"/>
    <w:rsid w:val="009864BD"/>
    <w:rsid w:val="00986B47"/>
    <w:rsid w:val="00987349"/>
    <w:rsid w:val="0098737D"/>
    <w:rsid w:val="00987DA3"/>
    <w:rsid w:val="00987E80"/>
    <w:rsid w:val="00990210"/>
    <w:rsid w:val="00990BE6"/>
    <w:rsid w:val="00991B79"/>
    <w:rsid w:val="00991CF1"/>
    <w:rsid w:val="009920E7"/>
    <w:rsid w:val="0099297C"/>
    <w:rsid w:val="00992E8B"/>
    <w:rsid w:val="009937A7"/>
    <w:rsid w:val="009948CA"/>
    <w:rsid w:val="00995A09"/>
    <w:rsid w:val="00995E8A"/>
    <w:rsid w:val="0099684E"/>
    <w:rsid w:val="009A0EFF"/>
    <w:rsid w:val="009A1078"/>
    <w:rsid w:val="009A10C1"/>
    <w:rsid w:val="009A1427"/>
    <w:rsid w:val="009A2167"/>
    <w:rsid w:val="009A32D1"/>
    <w:rsid w:val="009A3A0F"/>
    <w:rsid w:val="009A483B"/>
    <w:rsid w:val="009A49F0"/>
    <w:rsid w:val="009A5307"/>
    <w:rsid w:val="009A6404"/>
    <w:rsid w:val="009A79C0"/>
    <w:rsid w:val="009B043E"/>
    <w:rsid w:val="009B095A"/>
    <w:rsid w:val="009B0B40"/>
    <w:rsid w:val="009B0C81"/>
    <w:rsid w:val="009B1120"/>
    <w:rsid w:val="009B1959"/>
    <w:rsid w:val="009B2FE6"/>
    <w:rsid w:val="009B305D"/>
    <w:rsid w:val="009B3090"/>
    <w:rsid w:val="009B337D"/>
    <w:rsid w:val="009B3EAE"/>
    <w:rsid w:val="009B40E5"/>
    <w:rsid w:val="009B4505"/>
    <w:rsid w:val="009B4A3F"/>
    <w:rsid w:val="009B4E14"/>
    <w:rsid w:val="009B4FE5"/>
    <w:rsid w:val="009B5199"/>
    <w:rsid w:val="009B647F"/>
    <w:rsid w:val="009B6A59"/>
    <w:rsid w:val="009B6FAD"/>
    <w:rsid w:val="009B7123"/>
    <w:rsid w:val="009B7A38"/>
    <w:rsid w:val="009C0051"/>
    <w:rsid w:val="009C0527"/>
    <w:rsid w:val="009C087F"/>
    <w:rsid w:val="009C24FD"/>
    <w:rsid w:val="009C2602"/>
    <w:rsid w:val="009C2AC4"/>
    <w:rsid w:val="009C2D1A"/>
    <w:rsid w:val="009C3231"/>
    <w:rsid w:val="009C46A6"/>
    <w:rsid w:val="009C5348"/>
    <w:rsid w:val="009C5534"/>
    <w:rsid w:val="009C593B"/>
    <w:rsid w:val="009C5BB1"/>
    <w:rsid w:val="009C61FC"/>
    <w:rsid w:val="009C6A1E"/>
    <w:rsid w:val="009C703D"/>
    <w:rsid w:val="009C72B5"/>
    <w:rsid w:val="009C76D2"/>
    <w:rsid w:val="009D0184"/>
    <w:rsid w:val="009D093B"/>
    <w:rsid w:val="009D2DEB"/>
    <w:rsid w:val="009D2F0C"/>
    <w:rsid w:val="009D30B4"/>
    <w:rsid w:val="009D38A3"/>
    <w:rsid w:val="009D3C6A"/>
    <w:rsid w:val="009D477C"/>
    <w:rsid w:val="009D4A1C"/>
    <w:rsid w:val="009D4CBC"/>
    <w:rsid w:val="009D4FCB"/>
    <w:rsid w:val="009D5518"/>
    <w:rsid w:val="009D64C4"/>
    <w:rsid w:val="009D72E6"/>
    <w:rsid w:val="009E0864"/>
    <w:rsid w:val="009E0E46"/>
    <w:rsid w:val="009E27A5"/>
    <w:rsid w:val="009E2F32"/>
    <w:rsid w:val="009E2F86"/>
    <w:rsid w:val="009E3FAB"/>
    <w:rsid w:val="009E413A"/>
    <w:rsid w:val="009E41E1"/>
    <w:rsid w:val="009E42B1"/>
    <w:rsid w:val="009E5827"/>
    <w:rsid w:val="009E6794"/>
    <w:rsid w:val="009E71BB"/>
    <w:rsid w:val="009F039C"/>
    <w:rsid w:val="009F4443"/>
    <w:rsid w:val="009F477C"/>
    <w:rsid w:val="009F47FB"/>
    <w:rsid w:val="009F4AC7"/>
    <w:rsid w:val="009F564C"/>
    <w:rsid w:val="009F5D3D"/>
    <w:rsid w:val="009F5FC7"/>
    <w:rsid w:val="009F62DE"/>
    <w:rsid w:val="009F72A6"/>
    <w:rsid w:val="009F750D"/>
    <w:rsid w:val="00A001D7"/>
    <w:rsid w:val="00A00AA3"/>
    <w:rsid w:val="00A01103"/>
    <w:rsid w:val="00A0172E"/>
    <w:rsid w:val="00A03B7A"/>
    <w:rsid w:val="00A043CE"/>
    <w:rsid w:val="00A043E1"/>
    <w:rsid w:val="00A05668"/>
    <w:rsid w:val="00A077A4"/>
    <w:rsid w:val="00A07FC4"/>
    <w:rsid w:val="00A10642"/>
    <w:rsid w:val="00A10828"/>
    <w:rsid w:val="00A108DD"/>
    <w:rsid w:val="00A11A82"/>
    <w:rsid w:val="00A1216B"/>
    <w:rsid w:val="00A12209"/>
    <w:rsid w:val="00A140F8"/>
    <w:rsid w:val="00A14B58"/>
    <w:rsid w:val="00A14B84"/>
    <w:rsid w:val="00A14FE2"/>
    <w:rsid w:val="00A1519B"/>
    <w:rsid w:val="00A15792"/>
    <w:rsid w:val="00A15904"/>
    <w:rsid w:val="00A15A2F"/>
    <w:rsid w:val="00A15F07"/>
    <w:rsid w:val="00A161FE"/>
    <w:rsid w:val="00A20708"/>
    <w:rsid w:val="00A22752"/>
    <w:rsid w:val="00A22B3A"/>
    <w:rsid w:val="00A23679"/>
    <w:rsid w:val="00A23FA2"/>
    <w:rsid w:val="00A25000"/>
    <w:rsid w:val="00A2725E"/>
    <w:rsid w:val="00A2729D"/>
    <w:rsid w:val="00A31484"/>
    <w:rsid w:val="00A31681"/>
    <w:rsid w:val="00A31749"/>
    <w:rsid w:val="00A31F85"/>
    <w:rsid w:val="00A33FD0"/>
    <w:rsid w:val="00A34CA4"/>
    <w:rsid w:val="00A36258"/>
    <w:rsid w:val="00A36DF3"/>
    <w:rsid w:val="00A40011"/>
    <w:rsid w:val="00A409F9"/>
    <w:rsid w:val="00A41661"/>
    <w:rsid w:val="00A41D4C"/>
    <w:rsid w:val="00A43501"/>
    <w:rsid w:val="00A43739"/>
    <w:rsid w:val="00A4378E"/>
    <w:rsid w:val="00A43F4E"/>
    <w:rsid w:val="00A44148"/>
    <w:rsid w:val="00A4441D"/>
    <w:rsid w:val="00A44B1E"/>
    <w:rsid w:val="00A45C3E"/>
    <w:rsid w:val="00A45E26"/>
    <w:rsid w:val="00A47051"/>
    <w:rsid w:val="00A47CB7"/>
    <w:rsid w:val="00A50304"/>
    <w:rsid w:val="00A5045A"/>
    <w:rsid w:val="00A50594"/>
    <w:rsid w:val="00A50BB5"/>
    <w:rsid w:val="00A50E6F"/>
    <w:rsid w:val="00A51DCC"/>
    <w:rsid w:val="00A51F0F"/>
    <w:rsid w:val="00A52FF6"/>
    <w:rsid w:val="00A53125"/>
    <w:rsid w:val="00A532DD"/>
    <w:rsid w:val="00A5367C"/>
    <w:rsid w:val="00A54E7C"/>
    <w:rsid w:val="00A5522E"/>
    <w:rsid w:val="00A55F63"/>
    <w:rsid w:val="00A5683F"/>
    <w:rsid w:val="00A56E55"/>
    <w:rsid w:val="00A57E29"/>
    <w:rsid w:val="00A609F6"/>
    <w:rsid w:val="00A61347"/>
    <w:rsid w:val="00A62191"/>
    <w:rsid w:val="00A62363"/>
    <w:rsid w:val="00A635F6"/>
    <w:rsid w:val="00A649B6"/>
    <w:rsid w:val="00A65543"/>
    <w:rsid w:val="00A6740C"/>
    <w:rsid w:val="00A679EC"/>
    <w:rsid w:val="00A67CA1"/>
    <w:rsid w:val="00A700B6"/>
    <w:rsid w:val="00A707DB"/>
    <w:rsid w:val="00A70AB3"/>
    <w:rsid w:val="00A717B8"/>
    <w:rsid w:val="00A72B96"/>
    <w:rsid w:val="00A73ED1"/>
    <w:rsid w:val="00A74B90"/>
    <w:rsid w:val="00A7512A"/>
    <w:rsid w:val="00A75B94"/>
    <w:rsid w:val="00A75CEF"/>
    <w:rsid w:val="00A760F0"/>
    <w:rsid w:val="00A76114"/>
    <w:rsid w:val="00A76328"/>
    <w:rsid w:val="00A77F6B"/>
    <w:rsid w:val="00A80B65"/>
    <w:rsid w:val="00A80BCF"/>
    <w:rsid w:val="00A81644"/>
    <w:rsid w:val="00A825D1"/>
    <w:rsid w:val="00A828EF"/>
    <w:rsid w:val="00A82FC4"/>
    <w:rsid w:val="00A83588"/>
    <w:rsid w:val="00A8369C"/>
    <w:rsid w:val="00A83B53"/>
    <w:rsid w:val="00A83FDC"/>
    <w:rsid w:val="00A84A90"/>
    <w:rsid w:val="00A86579"/>
    <w:rsid w:val="00A90212"/>
    <w:rsid w:val="00A906A5"/>
    <w:rsid w:val="00A90921"/>
    <w:rsid w:val="00A90C6A"/>
    <w:rsid w:val="00A90CC4"/>
    <w:rsid w:val="00A9168C"/>
    <w:rsid w:val="00A92215"/>
    <w:rsid w:val="00A933A0"/>
    <w:rsid w:val="00A93FF2"/>
    <w:rsid w:val="00A9401D"/>
    <w:rsid w:val="00A9430F"/>
    <w:rsid w:val="00A943C3"/>
    <w:rsid w:val="00A95B6F"/>
    <w:rsid w:val="00AA1689"/>
    <w:rsid w:val="00AA19D3"/>
    <w:rsid w:val="00AA21F5"/>
    <w:rsid w:val="00AA26A0"/>
    <w:rsid w:val="00AA2C55"/>
    <w:rsid w:val="00AA43BA"/>
    <w:rsid w:val="00AA496F"/>
    <w:rsid w:val="00AA4B0E"/>
    <w:rsid w:val="00AA4DE6"/>
    <w:rsid w:val="00AA5770"/>
    <w:rsid w:val="00AA65DB"/>
    <w:rsid w:val="00AA6668"/>
    <w:rsid w:val="00AA68CA"/>
    <w:rsid w:val="00AA6BF7"/>
    <w:rsid w:val="00AA6EE0"/>
    <w:rsid w:val="00AA6EEA"/>
    <w:rsid w:val="00AA6F6F"/>
    <w:rsid w:val="00AA70DB"/>
    <w:rsid w:val="00AA79E2"/>
    <w:rsid w:val="00AB0BEA"/>
    <w:rsid w:val="00AB0FC7"/>
    <w:rsid w:val="00AB10AB"/>
    <w:rsid w:val="00AB1B8B"/>
    <w:rsid w:val="00AB23C3"/>
    <w:rsid w:val="00AB23D3"/>
    <w:rsid w:val="00AB24B2"/>
    <w:rsid w:val="00AB2ABC"/>
    <w:rsid w:val="00AB2DD5"/>
    <w:rsid w:val="00AB2E70"/>
    <w:rsid w:val="00AB31E6"/>
    <w:rsid w:val="00AB33C1"/>
    <w:rsid w:val="00AB3E03"/>
    <w:rsid w:val="00AB540D"/>
    <w:rsid w:val="00AB5E12"/>
    <w:rsid w:val="00AB5EC4"/>
    <w:rsid w:val="00AB64D6"/>
    <w:rsid w:val="00AB7108"/>
    <w:rsid w:val="00AC032D"/>
    <w:rsid w:val="00AC1322"/>
    <w:rsid w:val="00AC1B6D"/>
    <w:rsid w:val="00AC1D15"/>
    <w:rsid w:val="00AC1F39"/>
    <w:rsid w:val="00AC35E0"/>
    <w:rsid w:val="00AC4230"/>
    <w:rsid w:val="00AC5410"/>
    <w:rsid w:val="00AC567B"/>
    <w:rsid w:val="00AC58E5"/>
    <w:rsid w:val="00AC6537"/>
    <w:rsid w:val="00AC730A"/>
    <w:rsid w:val="00AC7E10"/>
    <w:rsid w:val="00AC7E20"/>
    <w:rsid w:val="00AC7F88"/>
    <w:rsid w:val="00AD1210"/>
    <w:rsid w:val="00AD1427"/>
    <w:rsid w:val="00AD1BC0"/>
    <w:rsid w:val="00AD2061"/>
    <w:rsid w:val="00AD226A"/>
    <w:rsid w:val="00AD3C07"/>
    <w:rsid w:val="00AD44C6"/>
    <w:rsid w:val="00AD45D5"/>
    <w:rsid w:val="00AD4D15"/>
    <w:rsid w:val="00AD5E37"/>
    <w:rsid w:val="00AD6111"/>
    <w:rsid w:val="00AD6F9C"/>
    <w:rsid w:val="00AD74CA"/>
    <w:rsid w:val="00AE0880"/>
    <w:rsid w:val="00AE0979"/>
    <w:rsid w:val="00AE0CD6"/>
    <w:rsid w:val="00AE0D25"/>
    <w:rsid w:val="00AE0E67"/>
    <w:rsid w:val="00AE12D5"/>
    <w:rsid w:val="00AE349E"/>
    <w:rsid w:val="00AE3AD4"/>
    <w:rsid w:val="00AE460D"/>
    <w:rsid w:val="00AE4A05"/>
    <w:rsid w:val="00AE4C60"/>
    <w:rsid w:val="00AE57A6"/>
    <w:rsid w:val="00AE6026"/>
    <w:rsid w:val="00AE7057"/>
    <w:rsid w:val="00AE7BF7"/>
    <w:rsid w:val="00AE7F82"/>
    <w:rsid w:val="00AF21A1"/>
    <w:rsid w:val="00AF4112"/>
    <w:rsid w:val="00AF477B"/>
    <w:rsid w:val="00AF47B0"/>
    <w:rsid w:val="00AF4B8C"/>
    <w:rsid w:val="00AF4CE0"/>
    <w:rsid w:val="00AF4F98"/>
    <w:rsid w:val="00AF6957"/>
    <w:rsid w:val="00AF6C07"/>
    <w:rsid w:val="00AF7AEF"/>
    <w:rsid w:val="00AF7DD4"/>
    <w:rsid w:val="00B012C4"/>
    <w:rsid w:val="00B01E1C"/>
    <w:rsid w:val="00B01E67"/>
    <w:rsid w:val="00B02268"/>
    <w:rsid w:val="00B0415C"/>
    <w:rsid w:val="00B04550"/>
    <w:rsid w:val="00B04F4E"/>
    <w:rsid w:val="00B055C5"/>
    <w:rsid w:val="00B05B57"/>
    <w:rsid w:val="00B05B78"/>
    <w:rsid w:val="00B05CDA"/>
    <w:rsid w:val="00B06743"/>
    <w:rsid w:val="00B07B0C"/>
    <w:rsid w:val="00B120F9"/>
    <w:rsid w:val="00B12D7F"/>
    <w:rsid w:val="00B1434B"/>
    <w:rsid w:val="00B16E9B"/>
    <w:rsid w:val="00B176B1"/>
    <w:rsid w:val="00B20221"/>
    <w:rsid w:val="00B2044A"/>
    <w:rsid w:val="00B212ED"/>
    <w:rsid w:val="00B212FB"/>
    <w:rsid w:val="00B2177A"/>
    <w:rsid w:val="00B22483"/>
    <w:rsid w:val="00B23CDB"/>
    <w:rsid w:val="00B24EA5"/>
    <w:rsid w:val="00B24F6E"/>
    <w:rsid w:val="00B25563"/>
    <w:rsid w:val="00B2618E"/>
    <w:rsid w:val="00B26552"/>
    <w:rsid w:val="00B26C8D"/>
    <w:rsid w:val="00B26D48"/>
    <w:rsid w:val="00B273A1"/>
    <w:rsid w:val="00B2789F"/>
    <w:rsid w:val="00B3177A"/>
    <w:rsid w:val="00B31D5A"/>
    <w:rsid w:val="00B325F3"/>
    <w:rsid w:val="00B32702"/>
    <w:rsid w:val="00B3367E"/>
    <w:rsid w:val="00B340D0"/>
    <w:rsid w:val="00B35D84"/>
    <w:rsid w:val="00B3734A"/>
    <w:rsid w:val="00B374EF"/>
    <w:rsid w:val="00B37C53"/>
    <w:rsid w:val="00B37CE1"/>
    <w:rsid w:val="00B4004A"/>
    <w:rsid w:val="00B40949"/>
    <w:rsid w:val="00B409B7"/>
    <w:rsid w:val="00B40BC7"/>
    <w:rsid w:val="00B40D80"/>
    <w:rsid w:val="00B41245"/>
    <w:rsid w:val="00B41744"/>
    <w:rsid w:val="00B418FB"/>
    <w:rsid w:val="00B41BAD"/>
    <w:rsid w:val="00B41E3C"/>
    <w:rsid w:val="00B41F7B"/>
    <w:rsid w:val="00B42EE1"/>
    <w:rsid w:val="00B434FA"/>
    <w:rsid w:val="00B44171"/>
    <w:rsid w:val="00B45B02"/>
    <w:rsid w:val="00B45D0E"/>
    <w:rsid w:val="00B4685D"/>
    <w:rsid w:val="00B474F6"/>
    <w:rsid w:val="00B477BF"/>
    <w:rsid w:val="00B47A59"/>
    <w:rsid w:val="00B50136"/>
    <w:rsid w:val="00B508C5"/>
    <w:rsid w:val="00B51BA9"/>
    <w:rsid w:val="00B52341"/>
    <w:rsid w:val="00B528A3"/>
    <w:rsid w:val="00B5349B"/>
    <w:rsid w:val="00B54445"/>
    <w:rsid w:val="00B545DD"/>
    <w:rsid w:val="00B550B7"/>
    <w:rsid w:val="00B559F7"/>
    <w:rsid w:val="00B55D04"/>
    <w:rsid w:val="00B56036"/>
    <w:rsid w:val="00B5649C"/>
    <w:rsid w:val="00B572FE"/>
    <w:rsid w:val="00B57822"/>
    <w:rsid w:val="00B57DF9"/>
    <w:rsid w:val="00B615EC"/>
    <w:rsid w:val="00B6389C"/>
    <w:rsid w:val="00B63B19"/>
    <w:rsid w:val="00B63C87"/>
    <w:rsid w:val="00B63D50"/>
    <w:rsid w:val="00B64532"/>
    <w:rsid w:val="00B64D7B"/>
    <w:rsid w:val="00B64DC3"/>
    <w:rsid w:val="00B66965"/>
    <w:rsid w:val="00B669E6"/>
    <w:rsid w:val="00B66AA6"/>
    <w:rsid w:val="00B70440"/>
    <w:rsid w:val="00B7138A"/>
    <w:rsid w:val="00B71938"/>
    <w:rsid w:val="00B71E33"/>
    <w:rsid w:val="00B729BE"/>
    <w:rsid w:val="00B734EE"/>
    <w:rsid w:val="00B74559"/>
    <w:rsid w:val="00B74E3C"/>
    <w:rsid w:val="00B75158"/>
    <w:rsid w:val="00B7556F"/>
    <w:rsid w:val="00B75687"/>
    <w:rsid w:val="00B76DC5"/>
    <w:rsid w:val="00B77064"/>
    <w:rsid w:val="00B77A79"/>
    <w:rsid w:val="00B77F20"/>
    <w:rsid w:val="00B81280"/>
    <w:rsid w:val="00B8149D"/>
    <w:rsid w:val="00B8262D"/>
    <w:rsid w:val="00B8293D"/>
    <w:rsid w:val="00B83DA2"/>
    <w:rsid w:val="00B8459E"/>
    <w:rsid w:val="00B8520C"/>
    <w:rsid w:val="00B85A66"/>
    <w:rsid w:val="00B8688E"/>
    <w:rsid w:val="00B87A49"/>
    <w:rsid w:val="00B9089B"/>
    <w:rsid w:val="00B91122"/>
    <w:rsid w:val="00B9187B"/>
    <w:rsid w:val="00B91BE3"/>
    <w:rsid w:val="00B91CB4"/>
    <w:rsid w:val="00B91E28"/>
    <w:rsid w:val="00B91ECE"/>
    <w:rsid w:val="00B91FA9"/>
    <w:rsid w:val="00B92478"/>
    <w:rsid w:val="00B92D44"/>
    <w:rsid w:val="00B9347C"/>
    <w:rsid w:val="00B937C2"/>
    <w:rsid w:val="00B943FB"/>
    <w:rsid w:val="00B949A1"/>
    <w:rsid w:val="00B95A12"/>
    <w:rsid w:val="00B95B50"/>
    <w:rsid w:val="00B96060"/>
    <w:rsid w:val="00B96CAB"/>
    <w:rsid w:val="00B97260"/>
    <w:rsid w:val="00B97463"/>
    <w:rsid w:val="00BA002E"/>
    <w:rsid w:val="00BA13A1"/>
    <w:rsid w:val="00BA1AC5"/>
    <w:rsid w:val="00BA2017"/>
    <w:rsid w:val="00BA23B9"/>
    <w:rsid w:val="00BA25B4"/>
    <w:rsid w:val="00BA3125"/>
    <w:rsid w:val="00BA34E0"/>
    <w:rsid w:val="00BA3695"/>
    <w:rsid w:val="00BA37EE"/>
    <w:rsid w:val="00BA3EB0"/>
    <w:rsid w:val="00BA4A77"/>
    <w:rsid w:val="00BA5901"/>
    <w:rsid w:val="00BA5A25"/>
    <w:rsid w:val="00BA6188"/>
    <w:rsid w:val="00BA629A"/>
    <w:rsid w:val="00BA6680"/>
    <w:rsid w:val="00BA79C9"/>
    <w:rsid w:val="00BB0EB0"/>
    <w:rsid w:val="00BB23C0"/>
    <w:rsid w:val="00BB2BDA"/>
    <w:rsid w:val="00BB30B5"/>
    <w:rsid w:val="00BB5585"/>
    <w:rsid w:val="00BB58B3"/>
    <w:rsid w:val="00BB59E3"/>
    <w:rsid w:val="00BB5FE3"/>
    <w:rsid w:val="00BB608E"/>
    <w:rsid w:val="00BB68A5"/>
    <w:rsid w:val="00BB6DCD"/>
    <w:rsid w:val="00BB6FC5"/>
    <w:rsid w:val="00BB7567"/>
    <w:rsid w:val="00BC038F"/>
    <w:rsid w:val="00BC1120"/>
    <w:rsid w:val="00BC2C0A"/>
    <w:rsid w:val="00BC2CCF"/>
    <w:rsid w:val="00BC361A"/>
    <w:rsid w:val="00BC5376"/>
    <w:rsid w:val="00BC53E5"/>
    <w:rsid w:val="00BC68C2"/>
    <w:rsid w:val="00BC6C07"/>
    <w:rsid w:val="00BC706E"/>
    <w:rsid w:val="00BC7D30"/>
    <w:rsid w:val="00BD01A5"/>
    <w:rsid w:val="00BD07A4"/>
    <w:rsid w:val="00BD1640"/>
    <w:rsid w:val="00BD16A1"/>
    <w:rsid w:val="00BD2045"/>
    <w:rsid w:val="00BD245C"/>
    <w:rsid w:val="00BD25BF"/>
    <w:rsid w:val="00BD3450"/>
    <w:rsid w:val="00BD3D7D"/>
    <w:rsid w:val="00BD4179"/>
    <w:rsid w:val="00BD49F7"/>
    <w:rsid w:val="00BD54BD"/>
    <w:rsid w:val="00BD6050"/>
    <w:rsid w:val="00BD61A2"/>
    <w:rsid w:val="00BD626B"/>
    <w:rsid w:val="00BD7A2B"/>
    <w:rsid w:val="00BE0198"/>
    <w:rsid w:val="00BE0A3D"/>
    <w:rsid w:val="00BE1033"/>
    <w:rsid w:val="00BE2588"/>
    <w:rsid w:val="00BE2BE7"/>
    <w:rsid w:val="00BE357A"/>
    <w:rsid w:val="00BE38A9"/>
    <w:rsid w:val="00BE484D"/>
    <w:rsid w:val="00BE4929"/>
    <w:rsid w:val="00BE77A4"/>
    <w:rsid w:val="00BE77C9"/>
    <w:rsid w:val="00BF0F51"/>
    <w:rsid w:val="00BF17EA"/>
    <w:rsid w:val="00BF2596"/>
    <w:rsid w:val="00BF3542"/>
    <w:rsid w:val="00BF37BB"/>
    <w:rsid w:val="00BF386D"/>
    <w:rsid w:val="00BF3B12"/>
    <w:rsid w:val="00BF3E0B"/>
    <w:rsid w:val="00BF40FA"/>
    <w:rsid w:val="00BF5460"/>
    <w:rsid w:val="00BF56C5"/>
    <w:rsid w:val="00BF5958"/>
    <w:rsid w:val="00BF63AB"/>
    <w:rsid w:val="00BF6D37"/>
    <w:rsid w:val="00BF738B"/>
    <w:rsid w:val="00BF75E5"/>
    <w:rsid w:val="00C00845"/>
    <w:rsid w:val="00C00995"/>
    <w:rsid w:val="00C00B11"/>
    <w:rsid w:val="00C0274A"/>
    <w:rsid w:val="00C050B1"/>
    <w:rsid w:val="00C057BD"/>
    <w:rsid w:val="00C05A0F"/>
    <w:rsid w:val="00C06664"/>
    <w:rsid w:val="00C068C2"/>
    <w:rsid w:val="00C0774B"/>
    <w:rsid w:val="00C1225A"/>
    <w:rsid w:val="00C12764"/>
    <w:rsid w:val="00C13DE1"/>
    <w:rsid w:val="00C14424"/>
    <w:rsid w:val="00C159CD"/>
    <w:rsid w:val="00C16235"/>
    <w:rsid w:val="00C170D9"/>
    <w:rsid w:val="00C1713E"/>
    <w:rsid w:val="00C20248"/>
    <w:rsid w:val="00C205C5"/>
    <w:rsid w:val="00C20FC7"/>
    <w:rsid w:val="00C222FE"/>
    <w:rsid w:val="00C235A5"/>
    <w:rsid w:val="00C23D40"/>
    <w:rsid w:val="00C24EDE"/>
    <w:rsid w:val="00C25E17"/>
    <w:rsid w:val="00C260A1"/>
    <w:rsid w:val="00C277C5"/>
    <w:rsid w:val="00C305FB"/>
    <w:rsid w:val="00C3074F"/>
    <w:rsid w:val="00C30799"/>
    <w:rsid w:val="00C31682"/>
    <w:rsid w:val="00C3168A"/>
    <w:rsid w:val="00C31C3D"/>
    <w:rsid w:val="00C324F4"/>
    <w:rsid w:val="00C326C8"/>
    <w:rsid w:val="00C33FE0"/>
    <w:rsid w:val="00C344CC"/>
    <w:rsid w:val="00C364D4"/>
    <w:rsid w:val="00C369C5"/>
    <w:rsid w:val="00C37B49"/>
    <w:rsid w:val="00C37E05"/>
    <w:rsid w:val="00C37EF7"/>
    <w:rsid w:val="00C40B5E"/>
    <w:rsid w:val="00C4119A"/>
    <w:rsid w:val="00C4270A"/>
    <w:rsid w:val="00C435AF"/>
    <w:rsid w:val="00C4384B"/>
    <w:rsid w:val="00C44085"/>
    <w:rsid w:val="00C45341"/>
    <w:rsid w:val="00C454C9"/>
    <w:rsid w:val="00C45D9E"/>
    <w:rsid w:val="00C45FCD"/>
    <w:rsid w:val="00C463EE"/>
    <w:rsid w:val="00C46BA5"/>
    <w:rsid w:val="00C46C28"/>
    <w:rsid w:val="00C47789"/>
    <w:rsid w:val="00C477A7"/>
    <w:rsid w:val="00C47BD0"/>
    <w:rsid w:val="00C50A9C"/>
    <w:rsid w:val="00C50E89"/>
    <w:rsid w:val="00C50F12"/>
    <w:rsid w:val="00C5101A"/>
    <w:rsid w:val="00C517DB"/>
    <w:rsid w:val="00C52172"/>
    <w:rsid w:val="00C53B34"/>
    <w:rsid w:val="00C55063"/>
    <w:rsid w:val="00C554EA"/>
    <w:rsid w:val="00C55A5F"/>
    <w:rsid w:val="00C55D29"/>
    <w:rsid w:val="00C56F2E"/>
    <w:rsid w:val="00C619FC"/>
    <w:rsid w:val="00C61BB0"/>
    <w:rsid w:val="00C61F85"/>
    <w:rsid w:val="00C62B3A"/>
    <w:rsid w:val="00C638FF"/>
    <w:rsid w:val="00C643BB"/>
    <w:rsid w:val="00C6463C"/>
    <w:rsid w:val="00C64778"/>
    <w:rsid w:val="00C64AC3"/>
    <w:rsid w:val="00C64B19"/>
    <w:rsid w:val="00C6578A"/>
    <w:rsid w:val="00C66ACF"/>
    <w:rsid w:val="00C66E33"/>
    <w:rsid w:val="00C677C9"/>
    <w:rsid w:val="00C701FA"/>
    <w:rsid w:val="00C7028A"/>
    <w:rsid w:val="00C707DA"/>
    <w:rsid w:val="00C70F19"/>
    <w:rsid w:val="00C71710"/>
    <w:rsid w:val="00C718CC"/>
    <w:rsid w:val="00C73AF2"/>
    <w:rsid w:val="00C75B34"/>
    <w:rsid w:val="00C75F87"/>
    <w:rsid w:val="00C76E35"/>
    <w:rsid w:val="00C77D93"/>
    <w:rsid w:val="00C80B3B"/>
    <w:rsid w:val="00C80F27"/>
    <w:rsid w:val="00C81A57"/>
    <w:rsid w:val="00C82D2E"/>
    <w:rsid w:val="00C82E50"/>
    <w:rsid w:val="00C82ECA"/>
    <w:rsid w:val="00C83DB6"/>
    <w:rsid w:val="00C842ED"/>
    <w:rsid w:val="00C84FA0"/>
    <w:rsid w:val="00C85B69"/>
    <w:rsid w:val="00C8614D"/>
    <w:rsid w:val="00C86864"/>
    <w:rsid w:val="00C86D5C"/>
    <w:rsid w:val="00C86F6D"/>
    <w:rsid w:val="00C90ADF"/>
    <w:rsid w:val="00C915D7"/>
    <w:rsid w:val="00C91993"/>
    <w:rsid w:val="00C91E39"/>
    <w:rsid w:val="00C92026"/>
    <w:rsid w:val="00C92719"/>
    <w:rsid w:val="00C92D00"/>
    <w:rsid w:val="00C93CB2"/>
    <w:rsid w:val="00C941D7"/>
    <w:rsid w:val="00C948D8"/>
    <w:rsid w:val="00C94A69"/>
    <w:rsid w:val="00C94CFD"/>
    <w:rsid w:val="00CA00A3"/>
    <w:rsid w:val="00CA0BE9"/>
    <w:rsid w:val="00CA121A"/>
    <w:rsid w:val="00CA138D"/>
    <w:rsid w:val="00CA1DE5"/>
    <w:rsid w:val="00CA2759"/>
    <w:rsid w:val="00CA2E77"/>
    <w:rsid w:val="00CA57D9"/>
    <w:rsid w:val="00CA5A90"/>
    <w:rsid w:val="00CA5B8C"/>
    <w:rsid w:val="00CA5D67"/>
    <w:rsid w:val="00CA6DB0"/>
    <w:rsid w:val="00CA7D0F"/>
    <w:rsid w:val="00CA7FE9"/>
    <w:rsid w:val="00CB05CF"/>
    <w:rsid w:val="00CB10A1"/>
    <w:rsid w:val="00CB137F"/>
    <w:rsid w:val="00CB14F9"/>
    <w:rsid w:val="00CB262F"/>
    <w:rsid w:val="00CB26D9"/>
    <w:rsid w:val="00CB2A0B"/>
    <w:rsid w:val="00CB3654"/>
    <w:rsid w:val="00CB420B"/>
    <w:rsid w:val="00CB4B67"/>
    <w:rsid w:val="00CB4D32"/>
    <w:rsid w:val="00CB4E72"/>
    <w:rsid w:val="00CB55C1"/>
    <w:rsid w:val="00CB57A5"/>
    <w:rsid w:val="00CB684F"/>
    <w:rsid w:val="00CB6950"/>
    <w:rsid w:val="00CB6ECC"/>
    <w:rsid w:val="00CB732D"/>
    <w:rsid w:val="00CC09C4"/>
    <w:rsid w:val="00CC11D4"/>
    <w:rsid w:val="00CC14E5"/>
    <w:rsid w:val="00CC171C"/>
    <w:rsid w:val="00CC220F"/>
    <w:rsid w:val="00CC2256"/>
    <w:rsid w:val="00CC2AFE"/>
    <w:rsid w:val="00CC33C6"/>
    <w:rsid w:val="00CC5140"/>
    <w:rsid w:val="00CC6016"/>
    <w:rsid w:val="00CC611D"/>
    <w:rsid w:val="00CC6CB6"/>
    <w:rsid w:val="00CC7641"/>
    <w:rsid w:val="00CC7744"/>
    <w:rsid w:val="00CC7E2C"/>
    <w:rsid w:val="00CC7F44"/>
    <w:rsid w:val="00CD018F"/>
    <w:rsid w:val="00CD0B5C"/>
    <w:rsid w:val="00CD0C61"/>
    <w:rsid w:val="00CD1074"/>
    <w:rsid w:val="00CD2067"/>
    <w:rsid w:val="00CD2300"/>
    <w:rsid w:val="00CD2CC4"/>
    <w:rsid w:val="00CD45B4"/>
    <w:rsid w:val="00CD57C0"/>
    <w:rsid w:val="00CD71CD"/>
    <w:rsid w:val="00CD75AB"/>
    <w:rsid w:val="00CD7C4B"/>
    <w:rsid w:val="00CE0484"/>
    <w:rsid w:val="00CE06EC"/>
    <w:rsid w:val="00CE07C3"/>
    <w:rsid w:val="00CE0905"/>
    <w:rsid w:val="00CE0B46"/>
    <w:rsid w:val="00CE0E09"/>
    <w:rsid w:val="00CE134E"/>
    <w:rsid w:val="00CE2579"/>
    <w:rsid w:val="00CE2E45"/>
    <w:rsid w:val="00CE3638"/>
    <w:rsid w:val="00CE4230"/>
    <w:rsid w:val="00CE4D5B"/>
    <w:rsid w:val="00CE4EFB"/>
    <w:rsid w:val="00CE4F3D"/>
    <w:rsid w:val="00CE67B8"/>
    <w:rsid w:val="00CE6921"/>
    <w:rsid w:val="00CE7677"/>
    <w:rsid w:val="00CE7A26"/>
    <w:rsid w:val="00CE7B30"/>
    <w:rsid w:val="00CE7D19"/>
    <w:rsid w:val="00CF031B"/>
    <w:rsid w:val="00CF0681"/>
    <w:rsid w:val="00CF0F98"/>
    <w:rsid w:val="00CF110F"/>
    <w:rsid w:val="00CF1856"/>
    <w:rsid w:val="00CF2311"/>
    <w:rsid w:val="00CF2515"/>
    <w:rsid w:val="00CF2727"/>
    <w:rsid w:val="00CF307C"/>
    <w:rsid w:val="00CF3E79"/>
    <w:rsid w:val="00CF4937"/>
    <w:rsid w:val="00CF49D4"/>
    <w:rsid w:val="00CF541A"/>
    <w:rsid w:val="00CF5701"/>
    <w:rsid w:val="00CF59D2"/>
    <w:rsid w:val="00CF5EEC"/>
    <w:rsid w:val="00CF630D"/>
    <w:rsid w:val="00CF6B6E"/>
    <w:rsid w:val="00CF73A9"/>
    <w:rsid w:val="00CF7A5E"/>
    <w:rsid w:val="00CF7C9E"/>
    <w:rsid w:val="00D0019C"/>
    <w:rsid w:val="00D00EE9"/>
    <w:rsid w:val="00D019CC"/>
    <w:rsid w:val="00D020C9"/>
    <w:rsid w:val="00D02343"/>
    <w:rsid w:val="00D02934"/>
    <w:rsid w:val="00D02E58"/>
    <w:rsid w:val="00D03806"/>
    <w:rsid w:val="00D038B5"/>
    <w:rsid w:val="00D04249"/>
    <w:rsid w:val="00D04A15"/>
    <w:rsid w:val="00D04E46"/>
    <w:rsid w:val="00D05B8F"/>
    <w:rsid w:val="00D0694C"/>
    <w:rsid w:val="00D074A2"/>
    <w:rsid w:val="00D07762"/>
    <w:rsid w:val="00D07F97"/>
    <w:rsid w:val="00D10C8A"/>
    <w:rsid w:val="00D118F6"/>
    <w:rsid w:val="00D11ECF"/>
    <w:rsid w:val="00D1296E"/>
    <w:rsid w:val="00D132C7"/>
    <w:rsid w:val="00D13794"/>
    <w:rsid w:val="00D13B64"/>
    <w:rsid w:val="00D13BB6"/>
    <w:rsid w:val="00D13DB7"/>
    <w:rsid w:val="00D145AF"/>
    <w:rsid w:val="00D14B21"/>
    <w:rsid w:val="00D15ED7"/>
    <w:rsid w:val="00D166FE"/>
    <w:rsid w:val="00D16CEF"/>
    <w:rsid w:val="00D16DCA"/>
    <w:rsid w:val="00D16F28"/>
    <w:rsid w:val="00D175E9"/>
    <w:rsid w:val="00D218E7"/>
    <w:rsid w:val="00D21E13"/>
    <w:rsid w:val="00D22615"/>
    <w:rsid w:val="00D22697"/>
    <w:rsid w:val="00D22AA4"/>
    <w:rsid w:val="00D2360E"/>
    <w:rsid w:val="00D23AC8"/>
    <w:rsid w:val="00D24052"/>
    <w:rsid w:val="00D24386"/>
    <w:rsid w:val="00D24C64"/>
    <w:rsid w:val="00D251B3"/>
    <w:rsid w:val="00D253D1"/>
    <w:rsid w:val="00D25552"/>
    <w:rsid w:val="00D25DDE"/>
    <w:rsid w:val="00D26694"/>
    <w:rsid w:val="00D268A3"/>
    <w:rsid w:val="00D2789C"/>
    <w:rsid w:val="00D30F4D"/>
    <w:rsid w:val="00D31575"/>
    <w:rsid w:val="00D31A89"/>
    <w:rsid w:val="00D32430"/>
    <w:rsid w:val="00D32691"/>
    <w:rsid w:val="00D337F7"/>
    <w:rsid w:val="00D345CD"/>
    <w:rsid w:val="00D34626"/>
    <w:rsid w:val="00D349BD"/>
    <w:rsid w:val="00D34FB4"/>
    <w:rsid w:val="00D358E6"/>
    <w:rsid w:val="00D359BA"/>
    <w:rsid w:val="00D35AFE"/>
    <w:rsid w:val="00D3625D"/>
    <w:rsid w:val="00D36550"/>
    <w:rsid w:val="00D36B19"/>
    <w:rsid w:val="00D37B91"/>
    <w:rsid w:val="00D4257A"/>
    <w:rsid w:val="00D4296C"/>
    <w:rsid w:val="00D43080"/>
    <w:rsid w:val="00D44687"/>
    <w:rsid w:val="00D447A9"/>
    <w:rsid w:val="00D44E37"/>
    <w:rsid w:val="00D456A9"/>
    <w:rsid w:val="00D45BFA"/>
    <w:rsid w:val="00D50603"/>
    <w:rsid w:val="00D509CC"/>
    <w:rsid w:val="00D50A09"/>
    <w:rsid w:val="00D51278"/>
    <w:rsid w:val="00D515C8"/>
    <w:rsid w:val="00D52798"/>
    <w:rsid w:val="00D52950"/>
    <w:rsid w:val="00D52973"/>
    <w:rsid w:val="00D52B93"/>
    <w:rsid w:val="00D5468A"/>
    <w:rsid w:val="00D557E1"/>
    <w:rsid w:val="00D55BB0"/>
    <w:rsid w:val="00D56DA1"/>
    <w:rsid w:val="00D57E07"/>
    <w:rsid w:val="00D60AA3"/>
    <w:rsid w:val="00D6111C"/>
    <w:rsid w:val="00D61237"/>
    <w:rsid w:val="00D61745"/>
    <w:rsid w:val="00D61CF1"/>
    <w:rsid w:val="00D62665"/>
    <w:rsid w:val="00D62C36"/>
    <w:rsid w:val="00D62D43"/>
    <w:rsid w:val="00D62F54"/>
    <w:rsid w:val="00D64560"/>
    <w:rsid w:val="00D645AC"/>
    <w:rsid w:val="00D64BEF"/>
    <w:rsid w:val="00D65052"/>
    <w:rsid w:val="00D65208"/>
    <w:rsid w:val="00D65600"/>
    <w:rsid w:val="00D66BD5"/>
    <w:rsid w:val="00D66C71"/>
    <w:rsid w:val="00D66D7C"/>
    <w:rsid w:val="00D6779F"/>
    <w:rsid w:val="00D677FF"/>
    <w:rsid w:val="00D67A51"/>
    <w:rsid w:val="00D70205"/>
    <w:rsid w:val="00D70258"/>
    <w:rsid w:val="00D70675"/>
    <w:rsid w:val="00D70AB6"/>
    <w:rsid w:val="00D71454"/>
    <w:rsid w:val="00D732D7"/>
    <w:rsid w:val="00D735EF"/>
    <w:rsid w:val="00D75467"/>
    <w:rsid w:val="00D75BC6"/>
    <w:rsid w:val="00D7609F"/>
    <w:rsid w:val="00D760FE"/>
    <w:rsid w:val="00D761A1"/>
    <w:rsid w:val="00D76E76"/>
    <w:rsid w:val="00D778EB"/>
    <w:rsid w:val="00D77B01"/>
    <w:rsid w:val="00D77DD0"/>
    <w:rsid w:val="00D77ED2"/>
    <w:rsid w:val="00D77EDF"/>
    <w:rsid w:val="00D80526"/>
    <w:rsid w:val="00D81519"/>
    <w:rsid w:val="00D81633"/>
    <w:rsid w:val="00D81819"/>
    <w:rsid w:val="00D81876"/>
    <w:rsid w:val="00D81AA7"/>
    <w:rsid w:val="00D82CC3"/>
    <w:rsid w:val="00D82CCD"/>
    <w:rsid w:val="00D82E47"/>
    <w:rsid w:val="00D82E98"/>
    <w:rsid w:val="00D834E5"/>
    <w:rsid w:val="00D84A01"/>
    <w:rsid w:val="00D84F79"/>
    <w:rsid w:val="00D8591B"/>
    <w:rsid w:val="00D869CF"/>
    <w:rsid w:val="00D90B1F"/>
    <w:rsid w:val="00D91CA6"/>
    <w:rsid w:val="00D94801"/>
    <w:rsid w:val="00D96614"/>
    <w:rsid w:val="00D977EA"/>
    <w:rsid w:val="00D97D0D"/>
    <w:rsid w:val="00DA080C"/>
    <w:rsid w:val="00DA0CB9"/>
    <w:rsid w:val="00DA11B7"/>
    <w:rsid w:val="00DA1336"/>
    <w:rsid w:val="00DA33BB"/>
    <w:rsid w:val="00DA3655"/>
    <w:rsid w:val="00DA37FC"/>
    <w:rsid w:val="00DA39F4"/>
    <w:rsid w:val="00DA3EC9"/>
    <w:rsid w:val="00DA434D"/>
    <w:rsid w:val="00DA46D5"/>
    <w:rsid w:val="00DA7544"/>
    <w:rsid w:val="00DB0087"/>
    <w:rsid w:val="00DB148C"/>
    <w:rsid w:val="00DB1A31"/>
    <w:rsid w:val="00DB202E"/>
    <w:rsid w:val="00DB2DA5"/>
    <w:rsid w:val="00DB3D96"/>
    <w:rsid w:val="00DB4F78"/>
    <w:rsid w:val="00DB5244"/>
    <w:rsid w:val="00DB5A29"/>
    <w:rsid w:val="00DB62FA"/>
    <w:rsid w:val="00DB68B6"/>
    <w:rsid w:val="00DB6B46"/>
    <w:rsid w:val="00DB6EEE"/>
    <w:rsid w:val="00DB7D01"/>
    <w:rsid w:val="00DC027B"/>
    <w:rsid w:val="00DC0CDE"/>
    <w:rsid w:val="00DC0D1D"/>
    <w:rsid w:val="00DC0D38"/>
    <w:rsid w:val="00DC1A85"/>
    <w:rsid w:val="00DC1BF6"/>
    <w:rsid w:val="00DC3F7D"/>
    <w:rsid w:val="00DC4388"/>
    <w:rsid w:val="00DC498E"/>
    <w:rsid w:val="00DC4D72"/>
    <w:rsid w:val="00DC4DDE"/>
    <w:rsid w:val="00DC5A4B"/>
    <w:rsid w:val="00DC629C"/>
    <w:rsid w:val="00DC64E2"/>
    <w:rsid w:val="00DC6525"/>
    <w:rsid w:val="00DC7018"/>
    <w:rsid w:val="00DC735D"/>
    <w:rsid w:val="00DC7636"/>
    <w:rsid w:val="00DC7AF3"/>
    <w:rsid w:val="00DD003A"/>
    <w:rsid w:val="00DD066C"/>
    <w:rsid w:val="00DD12B0"/>
    <w:rsid w:val="00DD13AF"/>
    <w:rsid w:val="00DD198A"/>
    <w:rsid w:val="00DD1A5F"/>
    <w:rsid w:val="00DD1A7C"/>
    <w:rsid w:val="00DD27A5"/>
    <w:rsid w:val="00DD289E"/>
    <w:rsid w:val="00DD29B3"/>
    <w:rsid w:val="00DD37D5"/>
    <w:rsid w:val="00DD38C1"/>
    <w:rsid w:val="00DD43C9"/>
    <w:rsid w:val="00DD5610"/>
    <w:rsid w:val="00DD5B4B"/>
    <w:rsid w:val="00DD60DB"/>
    <w:rsid w:val="00DD6160"/>
    <w:rsid w:val="00DD62CF"/>
    <w:rsid w:val="00DD6B4F"/>
    <w:rsid w:val="00DD7A46"/>
    <w:rsid w:val="00DD7ED8"/>
    <w:rsid w:val="00DE0C66"/>
    <w:rsid w:val="00DE2583"/>
    <w:rsid w:val="00DE258C"/>
    <w:rsid w:val="00DE2681"/>
    <w:rsid w:val="00DE384B"/>
    <w:rsid w:val="00DE3C89"/>
    <w:rsid w:val="00DE41D9"/>
    <w:rsid w:val="00DE46D0"/>
    <w:rsid w:val="00DE4910"/>
    <w:rsid w:val="00DE509A"/>
    <w:rsid w:val="00DE5E45"/>
    <w:rsid w:val="00DE6721"/>
    <w:rsid w:val="00DE67AD"/>
    <w:rsid w:val="00DE6BA1"/>
    <w:rsid w:val="00DE6D79"/>
    <w:rsid w:val="00DE70C7"/>
    <w:rsid w:val="00DE7778"/>
    <w:rsid w:val="00DE7812"/>
    <w:rsid w:val="00DF0CB3"/>
    <w:rsid w:val="00DF0CD1"/>
    <w:rsid w:val="00DF3055"/>
    <w:rsid w:val="00DF3211"/>
    <w:rsid w:val="00DF3490"/>
    <w:rsid w:val="00DF3C95"/>
    <w:rsid w:val="00DF405C"/>
    <w:rsid w:val="00DF4439"/>
    <w:rsid w:val="00DF494C"/>
    <w:rsid w:val="00DF4CBF"/>
    <w:rsid w:val="00DF5B74"/>
    <w:rsid w:val="00DF6D0B"/>
    <w:rsid w:val="00DF6ECE"/>
    <w:rsid w:val="00DF6F65"/>
    <w:rsid w:val="00DF78EE"/>
    <w:rsid w:val="00DF7E0D"/>
    <w:rsid w:val="00DF7FEE"/>
    <w:rsid w:val="00E00DC7"/>
    <w:rsid w:val="00E016DE"/>
    <w:rsid w:val="00E017C8"/>
    <w:rsid w:val="00E01AAE"/>
    <w:rsid w:val="00E03351"/>
    <w:rsid w:val="00E05CFC"/>
    <w:rsid w:val="00E0624D"/>
    <w:rsid w:val="00E06711"/>
    <w:rsid w:val="00E06CE3"/>
    <w:rsid w:val="00E07948"/>
    <w:rsid w:val="00E07FDE"/>
    <w:rsid w:val="00E10D5D"/>
    <w:rsid w:val="00E11B9F"/>
    <w:rsid w:val="00E12281"/>
    <w:rsid w:val="00E12337"/>
    <w:rsid w:val="00E123BE"/>
    <w:rsid w:val="00E139FD"/>
    <w:rsid w:val="00E14517"/>
    <w:rsid w:val="00E151AE"/>
    <w:rsid w:val="00E153BC"/>
    <w:rsid w:val="00E153ED"/>
    <w:rsid w:val="00E1586C"/>
    <w:rsid w:val="00E1664E"/>
    <w:rsid w:val="00E16652"/>
    <w:rsid w:val="00E16815"/>
    <w:rsid w:val="00E1788D"/>
    <w:rsid w:val="00E179D4"/>
    <w:rsid w:val="00E20023"/>
    <w:rsid w:val="00E20A84"/>
    <w:rsid w:val="00E22041"/>
    <w:rsid w:val="00E231B4"/>
    <w:rsid w:val="00E2381A"/>
    <w:rsid w:val="00E238AF"/>
    <w:rsid w:val="00E239E7"/>
    <w:rsid w:val="00E23FB6"/>
    <w:rsid w:val="00E24C89"/>
    <w:rsid w:val="00E26C42"/>
    <w:rsid w:val="00E26ED7"/>
    <w:rsid w:val="00E270E0"/>
    <w:rsid w:val="00E275AF"/>
    <w:rsid w:val="00E2781F"/>
    <w:rsid w:val="00E278B9"/>
    <w:rsid w:val="00E27956"/>
    <w:rsid w:val="00E3040F"/>
    <w:rsid w:val="00E30782"/>
    <w:rsid w:val="00E30BB7"/>
    <w:rsid w:val="00E31C7B"/>
    <w:rsid w:val="00E31D41"/>
    <w:rsid w:val="00E3216F"/>
    <w:rsid w:val="00E331EE"/>
    <w:rsid w:val="00E33271"/>
    <w:rsid w:val="00E333D3"/>
    <w:rsid w:val="00E345FC"/>
    <w:rsid w:val="00E34786"/>
    <w:rsid w:val="00E353A3"/>
    <w:rsid w:val="00E35A61"/>
    <w:rsid w:val="00E35C2B"/>
    <w:rsid w:val="00E35C9D"/>
    <w:rsid w:val="00E37FF7"/>
    <w:rsid w:val="00E400A3"/>
    <w:rsid w:val="00E41181"/>
    <w:rsid w:val="00E41A6D"/>
    <w:rsid w:val="00E42700"/>
    <w:rsid w:val="00E43AB9"/>
    <w:rsid w:val="00E43C19"/>
    <w:rsid w:val="00E44057"/>
    <w:rsid w:val="00E44104"/>
    <w:rsid w:val="00E4423A"/>
    <w:rsid w:val="00E4438C"/>
    <w:rsid w:val="00E457F3"/>
    <w:rsid w:val="00E4608C"/>
    <w:rsid w:val="00E466F9"/>
    <w:rsid w:val="00E47DC7"/>
    <w:rsid w:val="00E47FBB"/>
    <w:rsid w:val="00E5056B"/>
    <w:rsid w:val="00E50663"/>
    <w:rsid w:val="00E512E7"/>
    <w:rsid w:val="00E52B55"/>
    <w:rsid w:val="00E52D96"/>
    <w:rsid w:val="00E53D2B"/>
    <w:rsid w:val="00E53F75"/>
    <w:rsid w:val="00E5510E"/>
    <w:rsid w:val="00E55838"/>
    <w:rsid w:val="00E55F9B"/>
    <w:rsid w:val="00E566B6"/>
    <w:rsid w:val="00E5693D"/>
    <w:rsid w:val="00E5696D"/>
    <w:rsid w:val="00E5750A"/>
    <w:rsid w:val="00E576F5"/>
    <w:rsid w:val="00E57A6A"/>
    <w:rsid w:val="00E57E6C"/>
    <w:rsid w:val="00E6064A"/>
    <w:rsid w:val="00E608AB"/>
    <w:rsid w:val="00E60C3B"/>
    <w:rsid w:val="00E617E9"/>
    <w:rsid w:val="00E61897"/>
    <w:rsid w:val="00E61D26"/>
    <w:rsid w:val="00E6279D"/>
    <w:rsid w:val="00E62B1E"/>
    <w:rsid w:val="00E6324E"/>
    <w:rsid w:val="00E64560"/>
    <w:rsid w:val="00E64B51"/>
    <w:rsid w:val="00E66041"/>
    <w:rsid w:val="00E662ED"/>
    <w:rsid w:val="00E66745"/>
    <w:rsid w:val="00E66AE4"/>
    <w:rsid w:val="00E66C80"/>
    <w:rsid w:val="00E67076"/>
    <w:rsid w:val="00E70136"/>
    <w:rsid w:val="00E71543"/>
    <w:rsid w:val="00E7343F"/>
    <w:rsid w:val="00E7389D"/>
    <w:rsid w:val="00E73CC1"/>
    <w:rsid w:val="00E7567E"/>
    <w:rsid w:val="00E75BF0"/>
    <w:rsid w:val="00E7653F"/>
    <w:rsid w:val="00E77420"/>
    <w:rsid w:val="00E77A26"/>
    <w:rsid w:val="00E81C3F"/>
    <w:rsid w:val="00E82B1A"/>
    <w:rsid w:val="00E8485A"/>
    <w:rsid w:val="00E84CB7"/>
    <w:rsid w:val="00E8540C"/>
    <w:rsid w:val="00E86357"/>
    <w:rsid w:val="00E87284"/>
    <w:rsid w:val="00E90CD0"/>
    <w:rsid w:val="00E914B8"/>
    <w:rsid w:val="00E92829"/>
    <w:rsid w:val="00E933CE"/>
    <w:rsid w:val="00E93CE0"/>
    <w:rsid w:val="00E94749"/>
    <w:rsid w:val="00E94793"/>
    <w:rsid w:val="00E9581E"/>
    <w:rsid w:val="00E95EAA"/>
    <w:rsid w:val="00E962EF"/>
    <w:rsid w:val="00E96DE7"/>
    <w:rsid w:val="00E97664"/>
    <w:rsid w:val="00EA0CE9"/>
    <w:rsid w:val="00EA0D03"/>
    <w:rsid w:val="00EA18EA"/>
    <w:rsid w:val="00EA2C0F"/>
    <w:rsid w:val="00EA31A7"/>
    <w:rsid w:val="00EA34A1"/>
    <w:rsid w:val="00EA4DD8"/>
    <w:rsid w:val="00EA518D"/>
    <w:rsid w:val="00EA5295"/>
    <w:rsid w:val="00EA5A2F"/>
    <w:rsid w:val="00EA5C0B"/>
    <w:rsid w:val="00EA77BB"/>
    <w:rsid w:val="00EA7959"/>
    <w:rsid w:val="00EB01C3"/>
    <w:rsid w:val="00EB2AEF"/>
    <w:rsid w:val="00EB2BED"/>
    <w:rsid w:val="00EB2D1C"/>
    <w:rsid w:val="00EB344D"/>
    <w:rsid w:val="00EB3F23"/>
    <w:rsid w:val="00EB40CC"/>
    <w:rsid w:val="00EB41EF"/>
    <w:rsid w:val="00EB49F9"/>
    <w:rsid w:val="00EB512E"/>
    <w:rsid w:val="00EB515C"/>
    <w:rsid w:val="00EB5554"/>
    <w:rsid w:val="00EB5CFA"/>
    <w:rsid w:val="00EB6C02"/>
    <w:rsid w:val="00EB6EA4"/>
    <w:rsid w:val="00EB776C"/>
    <w:rsid w:val="00EB7E71"/>
    <w:rsid w:val="00EC088E"/>
    <w:rsid w:val="00EC098F"/>
    <w:rsid w:val="00EC10F3"/>
    <w:rsid w:val="00EC224E"/>
    <w:rsid w:val="00EC2970"/>
    <w:rsid w:val="00EC33C4"/>
    <w:rsid w:val="00EC3B6D"/>
    <w:rsid w:val="00EC4101"/>
    <w:rsid w:val="00EC46DE"/>
    <w:rsid w:val="00EC5C62"/>
    <w:rsid w:val="00EC6130"/>
    <w:rsid w:val="00ED00E4"/>
    <w:rsid w:val="00ED059E"/>
    <w:rsid w:val="00ED123E"/>
    <w:rsid w:val="00ED1F15"/>
    <w:rsid w:val="00ED216B"/>
    <w:rsid w:val="00ED21FB"/>
    <w:rsid w:val="00ED2C4B"/>
    <w:rsid w:val="00ED4D2B"/>
    <w:rsid w:val="00ED4F5C"/>
    <w:rsid w:val="00ED509F"/>
    <w:rsid w:val="00ED52BC"/>
    <w:rsid w:val="00ED5441"/>
    <w:rsid w:val="00ED5B92"/>
    <w:rsid w:val="00ED5B95"/>
    <w:rsid w:val="00ED5FBC"/>
    <w:rsid w:val="00ED629D"/>
    <w:rsid w:val="00ED68B4"/>
    <w:rsid w:val="00ED7B73"/>
    <w:rsid w:val="00EE01C4"/>
    <w:rsid w:val="00EE0400"/>
    <w:rsid w:val="00EE18B1"/>
    <w:rsid w:val="00EE2EA7"/>
    <w:rsid w:val="00EE3331"/>
    <w:rsid w:val="00EE3404"/>
    <w:rsid w:val="00EE3420"/>
    <w:rsid w:val="00EE3438"/>
    <w:rsid w:val="00EE34D9"/>
    <w:rsid w:val="00EE3537"/>
    <w:rsid w:val="00EE35B3"/>
    <w:rsid w:val="00EE4453"/>
    <w:rsid w:val="00EE4DCA"/>
    <w:rsid w:val="00EE5534"/>
    <w:rsid w:val="00EE5B57"/>
    <w:rsid w:val="00EE7A64"/>
    <w:rsid w:val="00EE7DB4"/>
    <w:rsid w:val="00EF035D"/>
    <w:rsid w:val="00EF0786"/>
    <w:rsid w:val="00EF0E5F"/>
    <w:rsid w:val="00EF22DA"/>
    <w:rsid w:val="00EF2788"/>
    <w:rsid w:val="00EF3103"/>
    <w:rsid w:val="00EF4027"/>
    <w:rsid w:val="00EF482E"/>
    <w:rsid w:val="00EF4E7E"/>
    <w:rsid w:val="00EF5637"/>
    <w:rsid w:val="00EF576E"/>
    <w:rsid w:val="00EF616A"/>
    <w:rsid w:val="00EF6C41"/>
    <w:rsid w:val="00EF6E9B"/>
    <w:rsid w:val="00EF7233"/>
    <w:rsid w:val="00EF7714"/>
    <w:rsid w:val="00EF7BFA"/>
    <w:rsid w:val="00F004B0"/>
    <w:rsid w:val="00F009B9"/>
    <w:rsid w:val="00F01745"/>
    <w:rsid w:val="00F01A6E"/>
    <w:rsid w:val="00F01F2D"/>
    <w:rsid w:val="00F023DB"/>
    <w:rsid w:val="00F025FB"/>
    <w:rsid w:val="00F0266A"/>
    <w:rsid w:val="00F03AA8"/>
    <w:rsid w:val="00F04E18"/>
    <w:rsid w:val="00F05DDA"/>
    <w:rsid w:val="00F05E34"/>
    <w:rsid w:val="00F0604F"/>
    <w:rsid w:val="00F07BB0"/>
    <w:rsid w:val="00F07F5B"/>
    <w:rsid w:val="00F07FD7"/>
    <w:rsid w:val="00F10201"/>
    <w:rsid w:val="00F109D4"/>
    <w:rsid w:val="00F10A6F"/>
    <w:rsid w:val="00F10B17"/>
    <w:rsid w:val="00F10E66"/>
    <w:rsid w:val="00F10F80"/>
    <w:rsid w:val="00F1191E"/>
    <w:rsid w:val="00F1252D"/>
    <w:rsid w:val="00F12D6C"/>
    <w:rsid w:val="00F12EE4"/>
    <w:rsid w:val="00F14D5F"/>
    <w:rsid w:val="00F15EE9"/>
    <w:rsid w:val="00F16716"/>
    <w:rsid w:val="00F169C0"/>
    <w:rsid w:val="00F17069"/>
    <w:rsid w:val="00F203D3"/>
    <w:rsid w:val="00F20F14"/>
    <w:rsid w:val="00F21424"/>
    <w:rsid w:val="00F223EA"/>
    <w:rsid w:val="00F22729"/>
    <w:rsid w:val="00F228FB"/>
    <w:rsid w:val="00F22948"/>
    <w:rsid w:val="00F22A51"/>
    <w:rsid w:val="00F23D23"/>
    <w:rsid w:val="00F24736"/>
    <w:rsid w:val="00F24784"/>
    <w:rsid w:val="00F25511"/>
    <w:rsid w:val="00F2638B"/>
    <w:rsid w:val="00F263DC"/>
    <w:rsid w:val="00F27097"/>
    <w:rsid w:val="00F27344"/>
    <w:rsid w:val="00F304F7"/>
    <w:rsid w:val="00F31C2A"/>
    <w:rsid w:val="00F33680"/>
    <w:rsid w:val="00F33C97"/>
    <w:rsid w:val="00F33F92"/>
    <w:rsid w:val="00F343AA"/>
    <w:rsid w:val="00F3561E"/>
    <w:rsid w:val="00F36526"/>
    <w:rsid w:val="00F372DC"/>
    <w:rsid w:val="00F37364"/>
    <w:rsid w:val="00F376E6"/>
    <w:rsid w:val="00F40CE0"/>
    <w:rsid w:val="00F415E5"/>
    <w:rsid w:val="00F41FD5"/>
    <w:rsid w:val="00F42218"/>
    <w:rsid w:val="00F4241B"/>
    <w:rsid w:val="00F43C47"/>
    <w:rsid w:val="00F43DCD"/>
    <w:rsid w:val="00F43E09"/>
    <w:rsid w:val="00F451FF"/>
    <w:rsid w:val="00F45D62"/>
    <w:rsid w:val="00F46704"/>
    <w:rsid w:val="00F46C17"/>
    <w:rsid w:val="00F46F0B"/>
    <w:rsid w:val="00F472CA"/>
    <w:rsid w:val="00F47585"/>
    <w:rsid w:val="00F5016F"/>
    <w:rsid w:val="00F50EF3"/>
    <w:rsid w:val="00F51305"/>
    <w:rsid w:val="00F5204B"/>
    <w:rsid w:val="00F525BF"/>
    <w:rsid w:val="00F53A29"/>
    <w:rsid w:val="00F54001"/>
    <w:rsid w:val="00F54E80"/>
    <w:rsid w:val="00F54EEF"/>
    <w:rsid w:val="00F5553E"/>
    <w:rsid w:val="00F55CF0"/>
    <w:rsid w:val="00F5722C"/>
    <w:rsid w:val="00F573EA"/>
    <w:rsid w:val="00F57B70"/>
    <w:rsid w:val="00F57D49"/>
    <w:rsid w:val="00F61DEB"/>
    <w:rsid w:val="00F6249C"/>
    <w:rsid w:val="00F62BF9"/>
    <w:rsid w:val="00F636C0"/>
    <w:rsid w:val="00F64295"/>
    <w:rsid w:val="00F6461A"/>
    <w:rsid w:val="00F6511F"/>
    <w:rsid w:val="00F653CC"/>
    <w:rsid w:val="00F65EC3"/>
    <w:rsid w:val="00F66DEA"/>
    <w:rsid w:val="00F66E1B"/>
    <w:rsid w:val="00F670C8"/>
    <w:rsid w:val="00F678B8"/>
    <w:rsid w:val="00F703A3"/>
    <w:rsid w:val="00F704CD"/>
    <w:rsid w:val="00F7078E"/>
    <w:rsid w:val="00F70ECF"/>
    <w:rsid w:val="00F71526"/>
    <w:rsid w:val="00F73EF1"/>
    <w:rsid w:val="00F7525A"/>
    <w:rsid w:val="00F75BDB"/>
    <w:rsid w:val="00F75E8B"/>
    <w:rsid w:val="00F76806"/>
    <w:rsid w:val="00F7731C"/>
    <w:rsid w:val="00F7752B"/>
    <w:rsid w:val="00F80CB6"/>
    <w:rsid w:val="00F80F3E"/>
    <w:rsid w:val="00F81232"/>
    <w:rsid w:val="00F81D0D"/>
    <w:rsid w:val="00F81F30"/>
    <w:rsid w:val="00F8291C"/>
    <w:rsid w:val="00F83032"/>
    <w:rsid w:val="00F83586"/>
    <w:rsid w:val="00F83653"/>
    <w:rsid w:val="00F84E84"/>
    <w:rsid w:val="00F84F56"/>
    <w:rsid w:val="00F85E6F"/>
    <w:rsid w:val="00F86157"/>
    <w:rsid w:val="00F879A1"/>
    <w:rsid w:val="00F87D8D"/>
    <w:rsid w:val="00F9117B"/>
    <w:rsid w:val="00F91BD7"/>
    <w:rsid w:val="00F91EA1"/>
    <w:rsid w:val="00F945BF"/>
    <w:rsid w:val="00F95449"/>
    <w:rsid w:val="00F95D84"/>
    <w:rsid w:val="00F9645D"/>
    <w:rsid w:val="00F9675C"/>
    <w:rsid w:val="00F968E9"/>
    <w:rsid w:val="00F97134"/>
    <w:rsid w:val="00F9789D"/>
    <w:rsid w:val="00FA0558"/>
    <w:rsid w:val="00FA1318"/>
    <w:rsid w:val="00FA1602"/>
    <w:rsid w:val="00FA1942"/>
    <w:rsid w:val="00FA2B32"/>
    <w:rsid w:val="00FA309C"/>
    <w:rsid w:val="00FA380A"/>
    <w:rsid w:val="00FA44F7"/>
    <w:rsid w:val="00FA45DB"/>
    <w:rsid w:val="00FA4DD2"/>
    <w:rsid w:val="00FA4EDF"/>
    <w:rsid w:val="00FA5BB0"/>
    <w:rsid w:val="00FA7467"/>
    <w:rsid w:val="00FB112C"/>
    <w:rsid w:val="00FB1E18"/>
    <w:rsid w:val="00FB2268"/>
    <w:rsid w:val="00FB36F3"/>
    <w:rsid w:val="00FB3CEE"/>
    <w:rsid w:val="00FB4F46"/>
    <w:rsid w:val="00FB539A"/>
    <w:rsid w:val="00FB611D"/>
    <w:rsid w:val="00FB6390"/>
    <w:rsid w:val="00FB7479"/>
    <w:rsid w:val="00FB74B8"/>
    <w:rsid w:val="00FB7C75"/>
    <w:rsid w:val="00FC06AC"/>
    <w:rsid w:val="00FC1962"/>
    <w:rsid w:val="00FC2CB5"/>
    <w:rsid w:val="00FC38D9"/>
    <w:rsid w:val="00FC3A8F"/>
    <w:rsid w:val="00FC595E"/>
    <w:rsid w:val="00FC5AAB"/>
    <w:rsid w:val="00FC5B3B"/>
    <w:rsid w:val="00FC5E32"/>
    <w:rsid w:val="00FC7C26"/>
    <w:rsid w:val="00FC7EDB"/>
    <w:rsid w:val="00FC7F62"/>
    <w:rsid w:val="00FD0E3F"/>
    <w:rsid w:val="00FD1661"/>
    <w:rsid w:val="00FD19F7"/>
    <w:rsid w:val="00FD2B30"/>
    <w:rsid w:val="00FD34D7"/>
    <w:rsid w:val="00FD3661"/>
    <w:rsid w:val="00FD3F5C"/>
    <w:rsid w:val="00FD44E1"/>
    <w:rsid w:val="00FD4C5E"/>
    <w:rsid w:val="00FD4D61"/>
    <w:rsid w:val="00FD5229"/>
    <w:rsid w:val="00FD7402"/>
    <w:rsid w:val="00FD776F"/>
    <w:rsid w:val="00FE04E4"/>
    <w:rsid w:val="00FE0A58"/>
    <w:rsid w:val="00FE13EC"/>
    <w:rsid w:val="00FE1E11"/>
    <w:rsid w:val="00FE2946"/>
    <w:rsid w:val="00FE2DD7"/>
    <w:rsid w:val="00FE30EB"/>
    <w:rsid w:val="00FE3B18"/>
    <w:rsid w:val="00FE48C4"/>
    <w:rsid w:val="00FE527C"/>
    <w:rsid w:val="00FE542A"/>
    <w:rsid w:val="00FE5460"/>
    <w:rsid w:val="00FE6586"/>
    <w:rsid w:val="00FE70CC"/>
    <w:rsid w:val="00FE721A"/>
    <w:rsid w:val="00FE73F9"/>
    <w:rsid w:val="00FE7A4F"/>
    <w:rsid w:val="00FF0DF1"/>
    <w:rsid w:val="00FF1057"/>
    <w:rsid w:val="00FF177F"/>
    <w:rsid w:val="00FF1932"/>
    <w:rsid w:val="00FF1CB9"/>
    <w:rsid w:val="00FF201D"/>
    <w:rsid w:val="00FF379D"/>
    <w:rsid w:val="00FF3E25"/>
    <w:rsid w:val="00FF3F30"/>
    <w:rsid w:val="00FF4F24"/>
    <w:rsid w:val="00FF55D7"/>
    <w:rsid w:val="00FF5870"/>
    <w:rsid w:val="00FF5FD8"/>
    <w:rsid w:val="00FF6E96"/>
    <w:rsid w:val="09E8C6AF"/>
    <w:rsid w:val="11C8E998"/>
    <w:rsid w:val="167C2CA5"/>
    <w:rsid w:val="1968CEA4"/>
    <w:rsid w:val="1D8A7227"/>
    <w:rsid w:val="21C56B11"/>
    <w:rsid w:val="2342D947"/>
    <w:rsid w:val="248950FA"/>
    <w:rsid w:val="261FF3EB"/>
    <w:rsid w:val="26D0CCF2"/>
    <w:rsid w:val="26DD3BAB"/>
    <w:rsid w:val="27583159"/>
    <w:rsid w:val="278AF751"/>
    <w:rsid w:val="2909EA56"/>
    <w:rsid w:val="2BCD6EB7"/>
    <w:rsid w:val="2F3461FE"/>
    <w:rsid w:val="3518A0DF"/>
    <w:rsid w:val="36039A4B"/>
    <w:rsid w:val="3C922895"/>
    <w:rsid w:val="445F66C8"/>
    <w:rsid w:val="451FFA85"/>
    <w:rsid w:val="49675D51"/>
    <w:rsid w:val="4B7C128F"/>
    <w:rsid w:val="53F22879"/>
    <w:rsid w:val="54D2F269"/>
    <w:rsid w:val="55871E56"/>
    <w:rsid w:val="59DC7603"/>
    <w:rsid w:val="5A8CB43F"/>
    <w:rsid w:val="5BBB6A60"/>
    <w:rsid w:val="5C84C5DA"/>
    <w:rsid w:val="5F711B3B"/>
    <w:rsid w:val="5FF0090C"/>
    <w:rsid w:val="617F7785"/>
    <w:rsid w:val="62FB1234"/>
    <w:rsid w:val="645A27EB"/>
    <w:rsid w:val="673CEF0B"/>
    <w:rsid w:val="69913012"/>
    <w:rsid w:val="6A306BC9"/>
    <w:rsid w:val="6B8E54D7"/>
    <w:rsid w:val="6BC1FE05"/>
    <w:rsid w:val="732A169D"/>
    <w:rsid w:val="7598940E"/>
    <w:rsid w:val="7632F3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DB767"/>
  <w15:docId w15:val="{A1C96CAE-0EE2-49D3-8824-3F616712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9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410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locked/>
    <w:rsid w:val="00327627"/>
    <w:rPr>
      <w:sz w:val="24"/>
    </w:rPr>
  </w:style>
  <w:style w:type="paragraph" w:customStyle="1" w:styleId="bullet0">
    <w:name w:val="bullet"/>
    <w:basedOn w:val="Normal"/>
    <w:link w:val="bulletChar0"/>
    <w:rsid w:val="00D778EB"/>
    <w:pPr>
      <w:spacing w:before="100" w:beforeAutospacing="1" w:after="100" w:afterAutospacing="1"/>
    </w:pPr>
    <w:rPr>
      <w:szCs w:val="24"/>
    </w:rPr>
  </w:style>
  <w:style w:type="paragraph" w:customStyle="1" w:styleId="Definition">
    <w:name w:val="Definition"/>
    <w:aliases w:val="dd"/>
    <w:basedOn w:val="Normal"/>
    <w:rsid w:val="00567519"/>
    <w:pPr>
      <w:spacing w:before="180" w:after="0"/>
      <w:ind w:left="1134"/>
    </w:pPr>
    <w:rPr>
      <w:sz w:val="22"/>
    </w:rPr>
  </w:style>
  <w:style w:type="character" w:customStyle="1" w:styleId="normaltextrun">
    <w:name w:val="normaltextrun"/>
    <w:basedOn w:val="DefaultParagraphFont"/>
    <w:rsid w:val="00F451FF"/>
  </w:style>
  <w:style w:type="character" w:customStyle="1" w:styleId="eop">
    <w:name w:val="eop"/>
    <w:basedOn w:val="DefaultParagraphFont"/>
    <w:rsid w:val="00F451FF"/>
  </w:style>
  <w:style w:type="character" w:customStyle="1" w:styleId="cf01">
    <w:name w:val="cf01"/>
    <w:basedOn w:val="DefaultParagraphFont"/>
    <w:rsid w:val="00587650"/>
    <w:rPr>
      <w:rFonts w:ascii="Segoe UI" w:hAnsi="Segoe UI" w:cs="Segoe UI" w:hint="default"/>
      <w:i/>
      <w:iCs/>
      <w:sz w:val="18"/>
      <w:szCs w:val="18"/>
    </w:rPr>
  </w:style>
  <w:style w:type="character" w:styleId="Mention">
    <w:name w:val="Mention"/>
    <w:basedOn w:val="DefaultParagraphFont"/>
    <w:uiPriority w:val="99"/>
    <w:unhideWhenUsed/>
    <w:rsid w:val="00904684"/>
    <w:rPr>
      <w:color w:val="2B579A"/>
      <w:shd w:val="clear" w:color="auto" w:fill="E1DFDD"/>
    </w:rPr>
  </w:style>
  <w:style w:type="character" w:customStyle="1" w:styleId="Heading5Char">
    <w:name w:val="Heading 5 Char"/>
    <w:basedOn w:val="DefaultParagraphFont"/>
    <w:link w:val="Heading5"/>
    <w:uiPriority w:val="9"/>
    <w:rsid w:val="004105FB"/>
    <w:rPr>
      <w:rFonts w:asciiTheme="majorHAnsi" w:eastAsiaTheme="majorEastAsia" w:hAnsiTheme="majorHAnsi" w:cstheme="majorBidi"/>
      <w:color w:val="365F91" w:themeColor="accent1" w:themeShade="BF"/>
      <w:sz w:val="24"/>
    </w:rPr>
  </w:style>
  <w:style w:type="character" w:customStyle="1" w:styleId="bulletChar0">
    <w:name w:val="bullet Char"/>
    <w:basedOn w:val="DefaultParagraphFont"/>
    <w:link w:val="bullet0"/>
    <w:rsid w:val="00DA0CB9"/>
    <w:rPr>
      <w:sz w:val="24"/>
      <w:szCs w:val="24"/>
    </w:rPr>
  </w:style>
  <w:style w:type="paragraph" w:customStyle="1" w:styleId="OutlineNumbered1">
    <w:name w:val="Outline Numbered 1"/>
    <w:basedOn w:val="Normal"/>
    <w:link w:val="OutlineNumbered1Char"/>
    <w:rsid w:val="00573279"/>
    <w:pPr>
      <w:numPr>
        <w:numId w:val="21"/>
      </w:numPr>
    </w:pPr>
    <w:rPr>
      <w:color w:val="000000"/>
      <w:szCs w:val="23"/>
      <w:shd w:val="clear" w:color="auto" w:fill="FFFFFF"/>
    </w:rPr>
  </w:style>
  <w:style w:type="character" w:customStyle="1" w:styleId="OutlineNumbered1Char">
    <w:name w:val="Outline Numbered 1 Char"/>
    <w:basedOn w:val="BulletChar"/>
    <w:link w:val="OutlineNumbered1"/>
    <w:rsid w:val="00573279"/>
    <w:rPr>
      <w:color w:val="000000"/>
      <w:sz w:val="24"/>
      <w:szCs w:val="23"/>
    </w:rPr>
  </w:style>
  <w:style w:type="paragraph" w:customStyle="1" w:styleId="OutlineNumbered2">
    <w:name w:val="Outline Numbered 2"/>
    <w:basedOn w:val="Normal"/>
    <w:rsid w:val="00573279"/>
    <w:pPr>
      <w:numPr>
        <w:ilvl w:val="1"/>
        <w:numId w:val="21"/>
      </w:numPr>
    </w:pPr>
    <w:rPr>
      <w:color w:val="000000"/>
      <w:szCs w:val="23"/>
      <w:shd w:val="clear" w:color="auto" w:fill="FFFFFF"/>
    </w:rPr>
  </w:style>
  <w:style w:type="paragraph" w:customStyle="1" w:styleId="OutlineNumbered3">
    <w:name w:val="Outline Numbered 3"/>
    <w:basedOn w:val="Normal"/>
    <w:rsid w:val="00573279"/>
    <w:pPr>
      <w:numPr>
        <w:ilvl w:val="2"/>
        <w:numId w:val="21"/>
      </w:numPr>
    </w:pPr>
    <w:rPr>
      <w:color w:val="000000"/>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337">
      <w:bodyDiv w:val="1"/>
      <w:marLeft w:val="0"/>
      <w:marRight w:val="0"/>
      <w:marTop w:val="0"/>
      <w:marBottom w:val="0"/>
      <w:divBdr>
        <w:top w:val="none" w:sz="0" w:space="0" w:color="auto"/>
        <w:left w:val="none" w:sz="0" w:space="0" w:color="auto"/>
        <w:bottom w:val="none" w:sz="0" w:space="0" w:color="auto"/>
        <w:right w:val="none" w:sz="0" w:space="0" w:color="auto"/>
      </w:divBdr>
    </w:div>
    <w:div w:id="543374516">
      <w:bodyDiv w:val="1"/>
      <w:marLeft w:val="0"/>
      <w:marRight w:val="0"/>
      <w:marTop w:val="0"/>
      <w:marBottom w:val="0"/>
      <w:divBdr>
        <w:top w:val="none" w:sz="0" w:space="0" w:color="auto"/>
        <w:left w:val="none" w:sz="0" w:space="0" w:color="auto"/>
        <w:bottom w:val="none" w:sz="0" w:space="0" w:color="auto"/>
        <w:right w:val="none" w:sz="0" w:space="0" w:color="auto"/>
      </w:divBdr>
    </w:div>
    <w:div w:id="946426064">
      <w:bodyDiv w:val="1"/>
      <w:marLeft w:val="0"/>
      <w:marRight w:val="0"/>
      <w:marTop w:val="0"/>
      <w:marBottom w:val="0"/>
      <w:divBdr>
        <w:top w:val="none" w:sz="0" w:space="0" w:color="auto"/>
        <w:left w:val="none" w:sz="0" w:space="0" w:color="auto"/>
        <w:bottom w:val="none" w:sz="0" w:space="0" w:color="auto"/>
        <w:right w:val="none" w:sz="0" w:space="0" w:color="auto"/>
      </w:divBdr>
    </w:div>
    <w:div w:id="1077825988">
      <w:bodyDiv w:val="1"/>
      <w:marLeft w:val="0"/>
      <w:marRight w:val="0"/>
      <w:marTop w:val="0"/>
      <w:marBottom w:val="0"/>
      <w:divBdr>
        <w:top w:val="none" w:sz="0" w:space="0" w:color="auto"/>
        <w:left w:val="none" w:sz="0" w:space="0" w:color="auto"/>
        <w:bottom w:val="none" w:sz="0" w:space="0" w:color="auto"/>
        <w:right w:val="none" w:sz="0" w:space="0" w:color="auto"/>
      </w:divBdr>
    </w:div>
    <w:div w:id="1098331524">
      <w:bodyDiv w:val="1"/>
      <w:marLeft w:val="0"/>
      <w:marRight w:val="0"/>
      <w:marTop w:val="0"/>
      <w:marBottom w:val="0"/>
      <w:divBdr>
        <w:top w:val="none" w:sz="0" w:space="0" w:color="auto"/>
        <w:left w:val="none" w:sz="0" w:space="0" w:color="auto"/>
        <w:bottom w:val="none" w:sz="0" w:space="0" w:color="auto"/>
        <w:right w:val="none" w:sz="0" w:space="0" w:color="auto"/>
      </w:divBdr>
    </w:div>
    <w:div w:id="1381899306">
      <w:bodyDiv w:val="1"/>
      <w:marLeft w:val="0"/>
      <w:marRight w:val="0"/>
      <w:marTop w:val="0"/>
      <w:marBottom w:val="0"/>
      <w:divBdr>
        <w:top w:val="none" w:sz="0" w:space="0" w:color="auto"/>
        <w:left w:val="none" w:sz="0" w:space="0" w:color="auto"/>
        <w:bottom w:val="none" w:sz="0" w:space="0" w:color="auto"/>
        <w:right w:val="none" w:sz="0" w:space="0" w:color="auto"/>
      </w:divBdr>
    </w:div>
    <w:div w:id="1477188697">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9515597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99771870">
      <w:bodyDiv w:val="1"/>
      <w:marLeft w:val="0"/>
      <w:marRight w:val="0"/>
      <w:marTop w:val="0"/>
      <w:marBottom w:val="0"/>
      <w:divBdr>
        <w:top w:val="none" w:sz="0" w:space="0" w:color="auto"/>
        <w:left w:val="none" w:sz="0" w:space="0" w:color="auto"/>
        <w:bottom w:val="none" w:sz="0" w:space="0" w:color="auto"/>
        <w:right w:val="none" w:sz="0" w:space="0" w:color="auto"/>
      </w:divBdr>
    </w:div>
    <w:div w:id="21184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E4964C24F4055B51378EC3ED1F5EF"/>
        <w:category>
          <w:name w:val="General"/>
          <w:gallery w:val="placeholder"/>
        </w:category>
        <w:types>
          <w:type w:val="bbPlcHdr"/>
        </w:types>
        <w:behaviors>
          <w:behavior w:val="content"/>
        </w:behaviors>
        <w:guid w:val="{750C9877-E916-4300-97C2-6014DBA72716}"/>
      </w:docPartPr>
      <w:docPartBody>
        <w:p w:rsidR="00F74826" w:rsidRDefault="00335F9D" w:rsidP="00335F9D">
          <w:pPr>
            <w:pStyle w:val="264E4964C24F4055B51378EC3ED1F5EF"/>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76"/>
    <w:rsid w:val="00072C84"/>
    <w:rsid w:val="001B6376"/>
    <w:rsid w:val="00210174"/>
    <w:rsid w:val="002D76A3"/>
    <w:rsid w:val="00335F9D"/>
    <w:rsid w:val="00355B0F"/>
    <w:rsid w:val="003F2FC3"/>
    <w:rsid w:val="003F5CA1"/>
    <w:rsid w:val="004E52C4"/>
    <w:rsid w:val="00541155"/>
    <w:rsid w:val="005A4EEE"/>
    <w:rsid w:val="005B06D2"/>
    <w:rsid w:val="00601EEE"/>
    <w:rsid w:val="006713F6"/>
    <w:rsid w:val="006937C6"/>
    <w:rsid w:val="006B0267"/>
    <w:rsid w:val="006E201A"/>
    <w:rsid w:val="007870D1"/>
    <w:rsid w:val="008F1E69"/>
    <w:rsid w:val="0094499B"/>
    <w:rsid w:val="00953F7C"/>
    <w:rsid w:val="00A21DDA"/>
    <w:rsid w:val="00A941D4"/>
    <w:rsid w:val="00AA4443"/>
    <w:rsid w:val="00B522BE"/>
    <w:rsid w:val="00B543AA"/>
    <w:rsid w:val="00B661A6"/>
    <w:rsid w:val="00B97776"/>
    <w:rsid w:val="00BD1A0D"/>
    <w:rsid w:val="00C324F4"/>
    <w:rsid w:val="00D64344"/>
    <w:rsid w:val="00DE5CBB"/>
    <w:rsid w:val="00E239E2"/>
    <w:rsid w:val="00E360CD"/>
    <w:rsid w:val="00F56FD5"/>
    <w:rsid w:val="00F74826"/>
    <w:rsid w:val="00FC5AAB"/>
    <w:rsid w:val="00FF15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F9D"/>
    <w:rPr>
      <w:color w:val="808080"/>
    </w:rPr>
  </w:style>
  <w:style w:type="paragraph" w:customStyle="1" w:styleId="264E4964C24F4055B51378EC3ED1F5EF">
    <w:name w:val="264E4964C24F4055B51378EC3ED1F5EF"/>
    <w:rsid w:val="00335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S574FYTY5PW6-349572302-1295</_dlc_DocId>
    <_dlc_DocIdUrl xmlns="fe39d773-a83d-4623-ae74-f25711a76616">
      <Url>https://austreasury.sharepoint.com/sites/leg-cord-function/_layouts/15/DocIdRedir.aspx?ID=S574FYTY5PW6-349572302-1295</Url>
      <Description>S574FYTY5PW6-349572302-1295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42f4cb5a-261c-4c59-b165-7132460581a3"/>
    <ds:schemaRef ds:uri="9a91be02-49fe-4568-a0ce-30550d2c0542"/>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F7659C0A-03B6-400B-AC86-3725132B6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32</TotalTime>
  <Pages>14</Pages>
  <Words>4804</Words>
  <Characters>27384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Bitmead, James</dc:creator>
  <cp:keywords/>
  <cp:lastModifiedBy>Cuming, Anita</cp:lastModifiedBy>
  <cp:revision>13</cp:revision>
  <cp:lastPrinted>2024-10-25T05:47:00Z</cp:lastPrinted>
  <dcterms:created xsi:type="dcterms:W3CDTF">2024-11-12T04:39:00Z</dcterms:created>
  <dcterms:modified xsi:type="dcterms:W3CDTF">2024-12-08T23:04:00Z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eTheme">
    <vt:lpwstr>1;#Law Design|318dd2d2-18da-4b8e-a458-14db2c1af95f</vt:lpwstr>
  </property>
  <property fmtid="{D5CDD505-2E9C-101B-9397-08002B2CF9AE}" pid="7" name="TSYStatus">
    <vt:lpwstr/>
  </property>
  <property fmtid="{D5CDD505-2E9C-101B-9397-08002B2CF9AE}" pid="8" name="MediaServiceImageTags">
    <vt:lpwstr/>
  </property>
  <property fmtid="{D5CDD505-2E9C-101B-9397-08002B2CF9AE}" pid="9" name="eDocumentType">
    <vt:lpwstr>81;#Explanatory Materials|ac61e78e-992e-40fd-ae93-2c9522960b05</vt:lpwstr>
  </property>
  <property fmtid="{D5CDD505-2E9C-101B-9397-08002B2CF9AE}" pid="10" name="TSYOffice">
    <vt:lpwstr/>
  </property>
  <property fmtid="{D5CDD505-2E9C-101B-9397-08002B2CF9AE}" pid="11" name="eTopic">
    <vt:lpwstr>36;#Legislation Coordination|58c6712e-e847-48f4-81ab-b25e2bbd3986</vt:lpwstr>
  </property>
  <property fmtid="{D5CDD505-2E9C-101B-9397-08002B2CF9AE}" pid="12" name="eActivity">
    <vt:lpwstr>35;#Legislation management|cb630f2f-9155-496b-ad0f-d960eb1bf90c</vt:lpwstr>
  </property>
  <property fmtid="{D5CDD505-2E9C-101B-9397-08002B2CF9AE}" pid="13" name="FinancialYear">
    <vt:lpwstr/>
  </property>
  <property fmtid="{D5CDD505-2E9C-101B-9397-08002B2CF9AE}" pid="14" name="_docset_NoMedatataSyncRequired">
    <vt:lpwstr>False</vt:lpwstr>
  </property>
  <property fmtid="{D5CDD505-2E9C-101B-9397-08002B2CF9AE}" pid="15" name="ClassificationContentMarkingHeaderShapeIds">
    <vt:lpwstr>18fefaf8</vt:lpwstr>
  </property>
  <property fmtid="{D5CDD505-2E9C-101B-9397-08002B2CF9AE}" pid="16" name="ClassificationContentMarkingHeaderFontProps">
    <vt:lpwstr>#ff0000,12,Calibri</vt:lpwstr>
  </property>
  <property fmtid="{D5CDD505-2E9C-101B-9397-08002B2CF9AE}" pid="17" name="ClassificationContentMarkingHeaderText">
    <vt:lpwstr>OFFICIAL: Sensitive</vt:lpwstr>
  </property>
  <property fmtid="{D5CDD505-2E9C-101B-9397-08002B2CF9AE}" pid="18" name="ClassificationContentMarkingFooterShapeIds">
    <vt:lpwstr>5a14389</vt:lpwstr>
  </property>
  <property fmtid="{D5CDD505-2E9C-101B-9397-08002B2CF9AE}" pid="19" name="ClassificationContentMarkingFooterFontProps">
    <vt:lpwstr>#ff0000,12,Calibri</vt:lpwstr>
  </property>
  <property fmtid="{D5CDD505-2E9C-101B-9397-08002B2CF9AE}" pid="20" name="ClassificationContentMarkingFooterText">
    <vt:lpwstr>OFFICIAL: Sensitive</vt:lpwstr>
  </property>
  <property fmtid="{D5CDD505-2E9C-101B-9397-08002B2CF9AE}" pid="21" name="_dlc_DocIdItemGuid">
    <vt:lpwstr>4334023f-0635-43f3-b4ee-11d642b6908f</vt:lpwstr>
  </property>
  <property fmtid="{D5CDD505-2E9C-101B-9397-08002B2CF9AE}" pid="22" name="MSIP_Label_4f932d64-9ab1-4d9b-81d2-a3a8b82dd47d_Enabled">
    <vt:lpwstr>true</vt:lpwstr>
  </property>
  <property fmtid="{D5CDD505-2E9C-101B-9397-08002B2CF9AE}" pid="23" name="MSIP_Label_4f932d64-9ab1-4d9b-81d2-a3a8b82dd47d_SetDate">
    <vt:lpwstr>2024-11-12T04:40:00Z</vt:lpwstr>
  </property>
  <property fmtid="{D5CDD505-2E9C-101B-9397-08002B2CF9AE}" pid="24" name="MSIP_Label_4f932d64-9ab1-4d9b-81d2-a3a8b82dd47d_Method">
    <vt:lpwstr>Privileged</vt:lpwstr>
  </property>
  <property fmtid="{D5CDD505-2E9C-101B-9397-08002B2CF9AE}" pid="25" name="MSIP_Label_4f932d64-9ab1-4d9b-81d2-a3a8b82dd47d_Name">
    <vt:lpwstr>OFFICIAL No Visual Marking</vt:lpwstr>
  </property>
  <property fmtid="{D5CDD505-2E9C-101B-9397-08002B2CF9AE}" pid="26" name="MSIP_Label_4f932d64-9ab1-4d9b-81d2-a3a8b82dd47d_SiteId">
    <vt:lpwstr>214f1646-2021-47cc-8397-e3d3a7ba7d9d</vt:lpwstr>
  </property>
  <property fmtid="{D5CDD505-2E9C-101B-9397-08002B2CF9AE}" pid="27" name="MSIP_Label_4f932d64-9ab1-4d9b-81d2-a3a8b82dd47d_ActionId">
    <vt:lpwstr>28689b9d-06f6-498f-986f-a48d945a9515</vt:lpwstr>
  </property>
  <property fmtid="{D5CDD505-2E9C-101B-9397-08002B2CF9AE}" pid="28" name="MSIP_Label_4f932d64-9ab1-4d9b-81d2-a3a8b82dd47d_ContentBits">
    <vt:lpwstr>0</vt:lpwstr>
  </property>
  <property fmtid="{D5CDD505-2E9C-101B-9397-08002B2CF9AE}" pid="29" name="Theme">
    <vt:i4>1</vt:i4>
  </property>
</Properties>
</file>