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155F"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2B8EA7C4" w14:textId="3C21051C"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23623B86107A4E0FA21CD0452E1D9E39"/>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8D60F1">
            <w:rPr>
              <w:rStyle w:val="DefaultChar"/>
            </w:rPr>
            <w:t>the Assistant Minister for Competition, Charities and Treasury</w:t>
          </w:r>
        </w:sdtContent>
      </w:sdt>
      <w:r w:rsidR="00076178" w:rsidRPr="003C5719">
        <w:rPr>
          <w:sz w:val="24"/>
          <w:szCs w:val="24"/>
        </w:rPr>
        <w:t xml:space="preserve"> </w:t>
      </w:r>
    </w:p>
    <w:p w14:paraId="1AC6E445" w14:textId="15DE1CE0" w:rsidR="00F109D4" w:rsidRPr="003C5719" w:rsidRDefault="009310C3" w:rsidP="004A27A8">
      <w:pPr>
        <w:spacing w:before="240" w:after="240"/>
        <w:jc w:val="center"/>
        <w:rPr>
          <w:i/>
        </w:rPr>
      </w:pPr>
      <w:r w:rsidRPr="002A2317">
        <w:rPr>
          <w:i/>
        </w:rPr>
        <w:t>Foreign Acquisitions and Takeovers Fees Imposition Act</w:t>
      </w:r>
      <w:r w:rsidR="00AC5EBC">
        <w:rPr>
          <w:i/>
        </w:rPr>
        <w:t> </w:t>
      </w:r>
      <w:r w:rsidRPr="002A2317">
        <w:rPr>
          <w:i/>
        </w:rPr>
        <w:t>2015</w:t>
      </w:r>
    </w:p>
    <w:p w14:paraId="5B2FEB47" w14:textId="39143B0D" w:rsidR="00F109D4" w:rsidRPr="003C5719" w:rsidRDefault="00722017" w:rsidP="004A27A8">
      <w:pPr>
        <w:tabs>
          <w:tab w:val="left" w:pos="1418"/>
        </w:tabs>
        <w:spacing w:before="0" w:after="240"/>
        <w:jc w:val="center"/>
        <w:rPr>
          <w:i/>
        </w:rPr>
      </w:pPr>
      <w:r w:rsidRPr="004110C1">
        <w:rPr>
          <w:i/>
        </w:rPr>
        <w:t>Foreign Acquisitions and Takeovers Fees Imposition Amendment (Technical Amendments) Regulations 2024</w:t>
      </w:r>
    </w:p>
    <w:p w14:paraId="375AF393" w14:textId="77777777" w:rsidR="00F24912" w:rsidRDefault="00F24912" w:rsidP="00F24912">
      <w:pPr>
        <w:spacing w:before="240"/>
        <w:rPr>
          <w:color w:val="000000"/>
        </w:rPr>
      </w:pPr>
      <w:r>
        <w:rPr>
          <w:color w:val="000000"/>
        </w:rPr>
        <w:t xml:space="preserve">The </w:t>
      </w:r>
      <w:r>
        <w:rPr>
          <w:i/>
          <w:iCs/>
          <w:color w:val="000000"/>
        </w:rPr>
        <w:t>Foreign Acquisitions and Takeovers Act 1975</w:t>
      </w:r>
      <w:r>
        <w:rPr>
          <w:color w:val="000000"/>
        </w:rPr>
        <w:t xml:space="preserve"> (FATA) establishes a framework for the Treasurer to review and issue various orders in respect of certain actions to acquire interests in securities, assets or Australian land, and actions taken in relation to </w:t>
      </w:r>
      <w:r w:rsidRPr="00033699">
        <w:rPr>
          <w:color w:val="000000"/>
        </w:rPr>
        <w:t>entities (being corporations and unit trusts) and businesses, that have a connection to Australia</w:t>
      </w:r>
      <w:r>
        <w:rPr>
          <w:color w:val="000000"/>
        </w:rPr>
        <w:t>, or actions taken by persons that have, or may have, implications for Australia’s national security or national interest. Section 113 of the FATA provides that fees are payable in respect of certain actions taken or notices received or required to be given under the FATA. A person may be liable for a fee if they:</w:t>
      </w:r>
    </w:p>
    <w:p w14:paraId="373F2C10" w14:textId="77777777" w:rsidR="00F24912" w:rsidRDefault="00F24912" w:rsidP="00F24912">
      <w:pPr>
        <w:pStyle w:val="Bullet"/>
        <w:numPr>
          <w:ilvl w:val="0"/>
          <w:numId w:val="3"/>
        </w:numPr>
        <w:spacing w:before="0"/>
      </w:pPr>
      <w:r>
        <w:t xml:space="preserve">Apply for an exemption certificate or a variation of an exemption </w:t>
      </w:r>
      <w:proofErr w:type="gramStart"/>
      <w:r>
        <w:t>certificate;</w:t>
      </w:r>
      <w:proofErr w:type="gramEnd"/>
    </w:p>
    <w:p w14:paraId="0D8A3D9A" w14:textId="77777777" w:rsidR="00F24912" w:rsidRDefault="00F24912" w:rsidP="00F24912">
      <w:pPr>
        <w:pStyle w:val="Bullet"/>
        <w:numPr>
          <w:ilvl w:val="0"/>
          <w:numId w:val="3"/>
        </w:numPr>
        <w:spacing w:before="0"/>
      </w:pPr>
      <w:r>
        <w:t>Give notice in relation to the types of actions to which the FATA applies (notifiable actions, notifiable national security actions, reviewable national security actions, or significant actions</w:t>
      </w:r>
      <w:proofErr w:type="gramStart"/>
      <w:r>
        <w:t>);</w:t>
      </w:r>
      <w:proofErr w:type="gramEnd"/>
      <w:r>
        <w:t xml:space="preserve"> </w:t>
      </w:r>
    </w:p>
    <w:p w14:paraId="0B6A03FB" w14:textId="77777777" w:rsidR="00F24912" w:rsidRDefault="00F24912" w:rsidP="00F24912">
      <w:pPr>
        <w:pStyle w:val="Bullet"/>
        <w:numPr>
          <w:ilvl w:val="0"/>
          <w:numId w:val="3"/>
        </w:numPr>
        <w:spacing w:before="0"/>
      </w:pPr>
      <w:r>
        <w:t xml:space="preserve">Have not notified the Treasurer of a significant action, and the Treasurer makes a decision or order under Part 3 of the FATA in relation to that </w:t>
      </w:r>
      <w:proofErr w:type="gramStart"/>
      <w:r>
        <w:t>action;</w:t>
      </w:r>
      <w:proofErr w:type="gramEnd"/>
    </w:p>
    <w:p w14:paraId="7D276F26" w14:textId="77777777" w:rsidR="00F24912" w:rsidRDefault="00F24912" w:rsidP="00F24912">
      <w:pPr>
        <w:pStyle w:val="Bullet"/>
        <w:numPr>
          <w:ilvl w:val="0"/>
          <w:numId w:val="3"/>
        </w:numPr>
        <w:spacing w:before="0"/>
      </w:pPr>
      <w:r>
        <w:t>Are given a notice under subsection 66</w:t>
      </w:r>
      <w:proofErr w:type="gramStart"/>
      <w:r>
        <w:t>A(</w:t>
      </w:r>
      <w:proofErr w:type="gramEnd"/>
      <w:r>
        <w:t>4) that the Treasurer is reviewing an action taken, or proposed to be taken, by them; or</w:t>
      </w:r>
    </w:p>
    <w:p w14:paraId="6CE00322" w14:textId="77777777" w:rsidR="00F24912" w:rsidRDefault="00F24912" w:rsidP="00F24912">
      <w:pPr>
        <w:pStyle w:val="Bullet"/>
        <w:numPr>
          <w:ilvl w:val="0"/>
          <w:numId w:val="3"/>
        </w:numPr>
        <w:spacing w:before="0"/>
      </w:pPr>
      <w:r>
        <w:t>Apply for a variation of a no objection notification or notice imposing conditions.</w:t>
      </w:r>
    </w:p>
    <w:p w14:paraId="70E4A661" w14:textId="766D8E84" w:rsidR="00BA4EB6" w:rsidRDefault="00A0784F" w:rsidP="004A27A8">
      <w:pPr>
        <w:spacing w:before="240"/>
        <w:rPr>
          <w:color w:val="000000"/>
        </w:rPr>
      </w:pPr>
      <w:r>
        <w:rPr>
          <w:color w:val="000000"/>
        </w:rPr>
        <w:t>The </w:t>
      </w:r>
      <w:r>
        <w:rPr>
          <w:i/>
          <w:iCs/>
          <w:color w:val="000000"/>
        </w:rPr>
        <w:t>Foreign Acquisitions and Takeovers Fees Imposition Act 2015</w:t>
      </w:r>
      <w:r>
        <w:rPr>
          <w:color w:val="000000"/>
        </w:rPr>
        <w:t xml:space="preserve"> (the </w:t>
      </w:r>
      <w:r w:rsidR="008F4101">
        <w:rPr>
          <w:color w:val="000000"/>
        </w:rPr>
        <w:t xml:space="preserve">Fees </w:t>
      </w:r>
      <w:r>
        <w:rPr>
          <w:color w:val="000000"/>
        </w:rPr>
        <w:t xml:space="preserve">Act) establishes a framework to impose, as taxes, </w:t>
      </w:r>
      <w:r w:rsidR="00A873E3">
        <w:rPr>
          <w:color w:val="000000"/>
        </w:rPr>
        <w:t>these. Subsection 6(1) of the Fees Act provides that the amounts of fees imposed</w:t>
      </w:r>
      <w:r>
        <w:rPr>
          <w:color w:val="000000"/>
        </w:rPr>
        <w:t xml:space="preserve"> by </w:t>
      </w:r>
      <w:r w:rsidR="00A873E3">
        <w:rPr>
          <w:color w:val="000000"/>
        </w:rPr>
        <w:t xml:space="preserve">the Act for </w:t>
      </w:r>
      <w:r w:rsidR="00CB1B6B">
        <w:rPr>
          <w:color w:val="000000"/>
        </w:rPr>
        <w:t xml:space="preserve">actions under the </w:t>
      </w:r>
      <w:r>
        <w:rPr>
          <w:color w:val="000000"/>
        </w:rPr>
        <w:t>FATA</w:t>
      </w:r>
      <w:r w:rsidR="00A873E3">
        <w:rPr>
          <w:color w:val="000000"/>
        </w:rPr>
        <w:t xml:space="preserve"> </w:t>
      </w:r>
      <w:r w:rsidR="00675F92">
        <w:rPr>
          <w:color w:val="000000"/>
        </w:rPr>
        <w:t>a</w:t>
      </w:r>
      <w:r w:rsidR="00A873E3">
        <w:rPr>
          <w:color w:val="000000"/>
        </w:rPr>
        <w:t>re to be worked out in accordance with the regulations, and s</w:t>
      </w:r>
      <w:r w:rsidR="00BA4EB6">
        <w:rPr>
          <w:color w:val="000000"/>
        </w:rPr>
        <w:t>ection 13 of the Fees Act provides that the Governor-General may make regulations prescribing matters required or permitted by the Act to be prescribed, or necessary or convenient to be prescribed for carrying out or giving effect to the Act.</w:t>
      </w:r>
    </w:p>
    <w:p w14:paraId="0E43C475" w14:textId="640144FA" w:rsidR="00DF01F2" w:rsidRDefault="00DF01F2" w:rsidP="004A27A8">
      <w:pPr>
        <w:spacing w:before="240"/>
      </w:pPr>
      <w:r>
        <w:rPr>
          <w:color w:val="000000"/>
        </w:rPr>
        <w:t>The </w:t>
      </w:r>
      <w:r>
        <w:rPr>
          <w:i/>
          <w:iCs/>
          <w:color w:val="000000"/>
        </w:rPr>
        <w:t>Foreign Acquisitions and Takeovers Fees Imposition Regulations 2020 </w:t>
      </w:r>
      <w:r>
        <w:rPr>
          <w:color w:val="000000"/>
        </w:rPr>
        <w:t>(the</w:t>
      </w:r>
      <w:r w:rsidR="002C62B2">
        <w:rPr>
          <w:color w:val="000000"/>
        </w:rPr>
        <w:t> </w:t>
      </w:r>
      <w:r w:rsidR="00E66119">
        <w:rPr>
          <w:color w:val="000000"/>
        </w:rPr>
        <w:t>Fees</w:t>
      </w:r>
      <w:r w:rsidR="002C62B2">
        <w:rPr>
          <w:color w:val="000000"/>
        </w:rPr>
        <w:t> </w:t>
      </w:r>
      <w:r>
        <w:rPr>
          <w:color w:val="000000"/>
        </w:rPr>
        <w:t>Regulations) prescribe</w:t>
      </w:r>
      <w:r w:rsidR="004E0DB5">
        <w:rPr>
          <w:color w:val="000000"/>
        </w:rPr>
        <w:t>s</w:t>
      </w:r>
      <w:r>
        <w:rPr>
          <w:color w:val="000000"/>
        </w:rPr>
        <w:t xml:space="preserve"> methods for working out the amount of fees imposed by the</w:t>
      </w:r>
      <w:r w:rsidR="009519EC">
        <w:rPr>
          <w:color w:val="000000"/>
        </w:rPr>
        <w:t xml:space="preserve"> Fees</w:t>
      </w:r>
      <w:r>
        <w:rPr>
          <w:color w:val="000000"/>
        </w:rPr>
        <w:t xml:space="preserve"> Act.</w:t>
      </w:r>
    </w:p>
    <w:p w14:paraId="1ABBC62F" w14:textId="3B85E993" w:rsidR="00D94B64" w:rsidRDefault="00BB0595" w:rsidP="006E68CD">
      <w:pPr>
        <w:spacing w:before="240"/>
      </w:pPr>
      <w:r>
        <w:t>T</w:t>
      </w:r>
      <w:r w:rsidR="004F03F4" w:rsidRPr="003C5719">
        <w:t>he</w:t>
      </w:r>
      <w:r w:rsidR="00DF01F2">
        <w:t xml:space="preserve"> purpose of the</w:t>
      </w:r>
      <w:r w:rsidR="004F03F4" w:rsidRPr="003C5719">
        <w:t xml:space="preserve"> </w:t>
      </w:r>
      <w:r w:rsidR="00C1595E" w:rsidRPr="00C1595E">
        <w:rPr>
          <w:i/>
        </w:rPr>
        <w:t>Foreign Acquisitions and Takeovers Fees Imposition Amendment (Technical Amendments) Regulations 2024</w:t>
      </w:r>
      <w:r w:rsidR="00C1595E">
        <w:rPr>
          <w:i/>
        </w:rPr>
        <w:t xml:space="preserve"> </w:t>
      </w:r>
      <w:r w:rsidR="007D5DBB">
        <w:rPr>
          <w:iCs/>
        </w:rPr>
        <w:t>(</w:t>
      </w:r>
      <w:r w:rsidR="00C27DE0">
        <w:rPr>
          <w:iCs/>
        </w:rPr>
        <w:t>the</w:t>
      </w:r>
      <w:r w:rsidR="00DF01F2">
        <w:rPr>
          <w:iCs/>
        </w:rPr>
        <w:t xml:space="preserve"> Amending</w:t>
      </w:r>
      <w:r w:rsidR="00C27DE0">
        <w:rPr>
          <w:iCs/>
        </w:rPr>
        <w:t xml:space="preserve"> </w:t>
      </w:r>
      <w:r w:rsidR="000240F3">
        <w:rPr>
          <w:iCs/>
        </w:rPr>
        <w:t>Regulations</w:t>
      </w:r>
      <w:r w:rsidR="007D5DBB">
        <w:rPr>
          <w:iCs/>
        </w:rPr>
        <w:t>)</w:t>
      </w:r>
      <w:r w:rsidR="004F03F4" w:rsidRPr="003C5719">
        <w:t xml:space="preserve"> </w:t>
      </w:r>
      <w:r w:rsidR="00DF01F2">
        <w:t xml:space="preserve">is to </w:t>
      </w:r>
      <w:r w:rsidR="00F92871">
        <w:t xml:space="preserve">make technical amendments to </w:t>
      </w:r>
      <w:r w:rsidR="00774E5D">
        <w:t>clarify</w:t>
      </w:r>
      <w:r w:rsidR="00F92871">
        <w:t xml:space="preserve"> the</w:t>
      </w:r>
      <w:r w:rsidR="0074010C">
        <w:t xml:space="preserve"> operation of the</w:t>
      </w:r>
      <w:r w:rsidR="00F92871">
        <w:t xml:space="preserve"> </w:t>
      </w:r>
      <w:r w:rsidR="002C62B2">
        <w:t>Fees</w:t>
      </w:r>
      <w:r w:rsidR="00473C50">
        <w:t xml:space="preserve"> R</w:t>
      </w:r>
      <w:r w:rsidR="005B453E">
        <w:t>egulations</w:t>
      </w:r>
      <w:r w:rsidR="00551613">
        <w:t xml:space="preserve"> </w:t>
      </w:r>
      <w:r w:rsidR="00DA7990">
        <w:t>to ensure a</w:t>
      </w:r>
      <w:r w:rsidR="00103042" w:rsidRPr="00103042">
        <w:t xml:space="preserve"> person cannot avoid the </w:t>
      </w:r>
      <w:r w:rsidR="00DA7990">
        <w:t>tripled</w:t>
      </w:r>
      <w:r w:rsidR="00DA7990" w:rsidRPr="00103042">
        <w:t xml:space="preserve"> </w:t>
      </w:r>
      <w:r w:rsidR="00103042" w:rsidRPr="00103042">
        <w:t xml:space="preserve">fees by acquiring </w:t>
      </w:r>
      <w:r w:rsidR="002F6477">
        <w:t xml:space="preserve">interests </w:t>
      </w:r>
      <w:r w:rsidR="00103042" w:rsidRPr="00103042">
        <w:t xml:space="preserve">through a </w:t>
      </w:r>
      <w:r w:rsidR="00F31E98">
        <w:t xml:space="preserve">corporation or unit trust </w:t>
      </w:r>
      <w:r w:rsidR="00103042" w:rsidRPr="00103042">
        <w:t>rather than the established dwelling land directly.</w:t>
      </w:r>
      <w:r w:rsidR="00B30D3B">
        <w:t xml:space="preserve"> This addresses an unintended outcome in the development of the Fees Amendment Act.</w:t>
      </w:r>
    </w:p>
    <w:p w14:paraId="179C33E0" w14:textId="77777777" w:rsidR="0023525B" w:rsidRDefault="0023525B" w:rsidP="0023525B">
      <w:pPr>
        <w:pStyle w:val="AttAbodytext"/>
      </w:pPr>
      <w:r>
        <w:t xml:space="preserve">Where a person acquires an interest in a land entity (where the entity’s dominant land holding is residential land), and that entity holds at least one interest in </w:t>
      </w:r>
      <w:r w:rsidDel="008B7028">
        <w:t xml:space="preserve">established </w:t>
      </w:r>
      <w:r w:rsidDel="008B7028">
        <w:lastRenderedPageBreak/>
        <w:t xml:space="preserve">dwelling </w:t>
      </w:r>
      <w:r>
        <w:t>land, a portion of the fee attributable to that established dwelling land would be subject to the tripling of fees under section 10(2) of the Fees Regulations. This would ensure that the tripling of fees in respect of acquisitions of established dwelling land cannot be avoided by structuring acquisitions through a corporation or unit trust where more than 50% of whose assets by value are interests in land.</w:t>
      </w:r>
    </w:p>
    <w:p w14:paraId="5E7EE6F9" w14:textId="77777777" w:rsidR="0023525B" w:rsidRDefault="0023525B" w:rsidP="0023525B">
      <w:pPr>
        <w:pStyle w:val="AttAbodytext"/>
      </w:pPr>
      <w:r>
        <w:t>Section 10(2)</w:t>
      </w:r>
      <w:r w:rsidDel="00C64EA6">
        <w:t xml:space="preserve"> </w:t>
      </w:r>
      <w:r>
        <w:t xml:space="preserve">of the Fees Regulations currently provides for a general rule that, </w:t>
      </w:r>
      <w:r w:rsidRPr="00EC3247">
        <w:t xml:space="preserve">if the action </w:t>
      </w:r>
      <w:r>
        <w:t xml:space="preserve">in respect of which a fee is charged </w:t>
      </w:r>
      <w:r w:rsidRPr="00EC3247">
        <w:t xml:space="preserve">is to acquire an interest in residential land on which there is at least one established dwelling, then the amount of the fee for the action is </w:t>
      </w:r>
      <w:r>
        <w:t>triple</w:t>
      </w:r>
      <w:r w:rsidRPr="00EC3247">
        <w:t xml:space="preserve"> the fee </w:t>
      </w:r>
      <w:r>
        <w:t xml:space="preserve">otherwise </w:t>
      </w:r>
      <w:r w:rsidRPr="00EC3247">
        <w:t>worked out by applying subsection</w:t>
      </w:r>
      <w:r>
        <w:t> 10</w:t>
      </w:r>
      <w:r w:rsidRPr="00EC3247">
        <w:t>(1)</w:t>
      </w:r>
      <w:r>
        <w:t xml:space="preserve">. This was inserted by item 7 of Schedule 2 to the </w:t>
      </w:r>
      <w:r w:rsidRPr="0053677F">
        <w:t>Fees</w:t>
      </w:r>
      <w:r w:rsidRPr="003C7682">
        <w:t xml:space="preserve"> Amendment Act</w:t>
      </w:r>
      <w:r>
        <w:t>.</w:t>
      </w:r>
    </w:p>
    <w:p w14:paraId="4BC33D2A" w14:textId="3FA331EB" w:rsidR="00975D06" w:rsidRDefault="00975D06" w:rsidP="00E55C48">
      <w:pPr>
        <w:pStyle w:val="NormalWeb"/>
        <w:spacing w:before="240" w:beforeAutospacing="0" w:after="120" w:afterAutospacing="0"/>
        <w:rPr>
          <w:color w:val="000000"/>
        </w:rPr>
      </w:pPr>
      <w:r>
        <w:rPr>
          <w:color w:val="000000"/>
        </w:rPr>
        <w:t xml:space="preserve">Public consultation did not </w:t>
      </w:r>
      <w:r w:rsidR="001A161E">
        <w:rPr>
          <w:color w:val="000000"/>
        </w:rPr>
        <w:t>occur</w:t>
      </w:r>
      <w:r>
        <w:rPr>
          <w:color w:val="000000"/>
        </w:rPr>
        <w:t xml:space="preserve"> </w:t>
      </w:r>
      <w:r w:rsidR="00776BC5">
        <w:rPr>
          <w:color w:val="000000"/>
        </w:rPr>
        <w:t xml:space="preserve">before </w:t>
      </w:r>
      <w:r w:rsidR="000F47CC">
        <w:rPr>
          <w:color w:val="000000"/>
        </w:rPr>
        <w:t xml:space="preserve">the </w:t>
      </w:r>
      <w:r w:rsidR="00FF53BD">
        <w:rPr>
          <w:color w:val="000000"/>
        </w:rPr>
        <w:t xml:space="preserve">Amending </w:t>
      </w:r>
      <w:r w:rsidR="003304D6">
        <w:rPr>
          <w:color w:val="000000"/>
        </w:rPr>
        <w:t>Regulations</w:t>
      </w:r>
      <w:r>
        <w:rPr>
          <w:color w:val="000000"/>
        </w:rPr>
        <w:t xml:space="preserve"> </w:t>
      </w:r>
      <w:r w:rsidR="00776BC5">
        <w:rPr>
          <w:color w:val="000000"/>
        </w:rPr>
        <w:t xml:space="preserve">were finalised </w:t>
      </w:r>
      <w:r w:rsidR="000F47CC">
        <w:rPr>
          <w:color w:val="000000"/>
        </w:rPr>
        <w:t xml:space="preserve">as the </w:t>
      </w:r>
      <w:r w:rsidR="00FF53BD">
        <w:rPr>
          <w:color w:val="000000"/>
        </w:rPr>
        <w:t xml:space="preserve">amendments </w:t>
      </w:r>
      <w:r w:rsidR="000F47CC">
        <w:rPr>
          <w:color w:val="000000"/>
        </w:rPr>
        <w:t xml:space="preserve">address </w:t>
      </w:r>
      <w:r w:rsidR="00F2013C">
        <w:rPr>
          <w:color w:val="000000"/>
        </w:rPr>
        <w:t xml:space="preserve">a potential </w:t>
      </w:r>
      <w:r w:rsidR="000F47CC">
        <w:rPr>
          <w:color w:val="000000"/>
        </w:rPr>
        <w:t xml:space="preserve">integrity risk </w:t>
      </w:r>
      <w:r w:rsidR="00F2013C">
        <w:rPr>
          <w:color w:val="000000"/>
        </w:rPr>
        <w:t xml:space="preserve">from </w:t>
      </w:r>
      <w:r w:rsidR="00E55C48">
        <w:rPr>
          <w:color w:val="000000"/>
        </w:rPr>
        <w:t>persons avoid</w:t>
      </w:r>
      <w:r w:rsidR="00F2013C">
        <w:rPr>
          <w:color w:val="000000"/>
        </w:rPr>
        <w:t>ing</w:t>
      </w:r>
      <w:r w:rsidR="00E55C48">
        <w:rPr>
          <w:color w:val="000000"/>
        </w:rPr>
        <w:t xml:space="preserve"> increased fees </w:t>
      </w:r>
      <w:r w:rsidR="00601ECA">
        <w:rPr>
          <w:color w:val="000000"/>
        </w:rPr>
        <w:t xml:space="preserve">through </w:t>
      </w:r>
      <w:r w:rsidR="00E55C48">
        <w:rPr>
          <w:color w:val="000000"/>
        </w:rPr>
        <w:t>structuring transactions</w:t>
      </w:r>
      <w:r w:rsidR="00BC7CF2">
        <w:rPr>
          <w:color w:val="000000"/>
        </w:rPr>
        <w:t>.</w:t>
      </w:r>
      <w:r w:rsidR="00601ECA" w:rsidDel="00601ECA">
        <w:rPr>
          <w:color w:val="000000"/>
        </w:rPr>
        <w:t xml:space="preserve"> </w:t>
      </w:r>
    </w:p>
    <w:p w14:paraId="1C0E5644" w14:textId="73533BC6" w:rsidR="00975D06" w:rsidRDefault="00975D06" w:rsidP="00975D06">
      <w:pPr>
        <w:pStyle w:val="NormalWeb"/>
        <w:spacing w:before="240" w:beforeAutospacing="0" w:after="120" w:afterAutospacing="0"/>
        <w:rPr>
          <w:color w:val="000000"/>
        </w:rPr>
      </w:pPr>
      <w:r>
        <w:rPr>
          <w:color w:val="000000"/>
        </w:rPr>
        <w:t xml:space="preserve">Details of the </w:t>
      </w:r>
      <w:r w:rsidR="001A161E">
        <w:rPr>
          <w:color w:val="000000"/>
        </w:rPr>
        <w:t xml:space="preserve">Amending </w:t>
      </w:r>
      <w:r w:rsidR="003304D6">
        <w:rPr>
          <w:color w:val="000000"/>
        </w:rPr>
        <w:t>Regulations</w:t>
      </w:r>
      <w:r>
        <w:rPr>
          <w:color w:val="000000"/>
        </w:rPr>
        <w:t xml:space="preserve"> are set out in </w:t>
      </w:r>
      <w:r>
        <w:rPr>
          <w:color w:val="000000"/>
          <w:u w:val="single"/>
        </w:rPr>
        <w:t>Attachment A</w:t>
      </w:r>
      <w:r>
        <w:rPr>
          <w:color w:val="000000"/>
        </w:rPr>
        <w:t>.</w:t>
      </w:r>
    </w:p>
    <w:p w14:paraId="72E242F3" w14:textId="02B9B16D" w:rsidR="00183E4E" w:rsidRDefault="00183E4E" w:rsidP="00975D06">
      <w:pPr>
        <w:pStyle w:val="NormalWeb"/>
        <w:spacing w:before="240" w:beforeAutospacing="0" w:after="120" w:afterAutospacing="0"/>
        <w:rPr>
          <w:color w:val="000000"/>
        </w:rPr>
      </w:pPr>
      <w:r w:rsidRPr="00183E4E">
        <w:rPr>
          <w:color w:val="000000"/>
        </w:rPr>
        <w:t xml:space="preserve">The </w:t>
      </w:r>
      <w:r w:rsidR="001A161E">
        <w:rPr>
          <w:color w:val="000000"/>
        </w:rPr>
        <w:t xml:space="preserve">Amending </w:t>
      </w:r>
      <w:r w:rsidRPr="00183E4E">
        <w:rPr>
          <w:color w:val="000000"/>
        </w:rPr>
        <w:t xml:space="preserve">Regulations are a legislative instrument for the purposes of the </w:t>
      </w:r>
      <w:r w:rsidRPr="00183E4E">
        <w:rPr>
          <w:i/>
          <w:iCs/>
          <w:color w:val="000000"/>
        </w:rPr>
        <w:t>Legislation Act 2003</w:t>
      </w:r>
      <w:r w:rsidRPr="00183E4E">
        <w:rPr>
          <w:color w:val="000000"/>
        </w:rPr>
        <w:t xml:space="preserve"> </w:t>
      </w:r>
      <w:r w:rsidR="007D5DBB">
        <w:rPr>
          <w:color w:val="000000"/>
        </w:rPr>
        <w:t>(</w:t>
      </w:r>
      <w:r w:rsidR="00C41F02">
        <w:rPr>
          <w:color w:val="000000"/>
        </w:rPr>
        <w:t xml:space="preserve">the </w:t>
      </w:r>
      <w:r w:rsidRPr="00183E4E">
        <w:rPr>
          <w:color w:val="000000"/>
        </w:rPr>
        <w:t>Legislation Act</w:t>
      </w:r>
      <w:r w:rsidR="007D5DBB">
        <w:rPr>
          <w:color w:val="000000"/>
        </w:rPr>
        <w:t>)</w:t>
      </w:r>
      <w:r w:rsidRPr="00183E4E">
        <w:rPr>
          <w:color w:val="000000"/>
        </w:rPr>
        <w:t xml:space="preserve">. The </w:t>
      </w:r>
      <w:r w:rsidR="004E5D54">
        <w:rPr>
          <w:color w:val="000000"/>
        </w:rPr>
        <w:t>Amending</w:t>
      </w:r>
      <w:r w:rsidRPr="00183E4E">
        <w:rPr>
          <w:color w:val="000000"/>
        </w:rPr>
        <w:t xml:space="preserve"> Regulations are subject to disallowance under section</w:t>
      </w:r>
      <w:r w:rsidR="00884C45">
        <w:rPr>
          <w:color w:val="000000"/>
        </w:rPr>
        <w:t> </w:t>
      </w:r>
      <w:r w:rsidRPr="00183E4E">
        <w:rPr>
          <w:color w:val="000000"/>
        </w:rPr>
        <w:t>42 of the Legislation Act and will be repealed automatically once they have commenced by force of section 48A of that Act.</w:t>
      </w:r>
      <w:r w:rsidR="001F4EE7">
        <w:rPr>
          <w:color w:val="000000"/>
        </w:rPr>
        <w:t xml:space="preserve"> The sunsetting provisions of Part 4 of </w:t>
      </w:r>
      <w:r w:rsidR="00283283">
        <w:rPr>
          <w:color w:val="000000"/>
        </w:rPr>
        <w:t>the Legislation</w:t>
      </w:r>
      <w:r w:rsidR="001F4EE7">
        <w:rPr>
          <w:color w:val="000000"/>
        </w:rPr>
        <w:t xml:space="preserve"> Act do not apply to the </w:t>
      </w:r>
      <w:r w:rsidR="009568DE">
        <w:rPr>
          <w:color w:val="000000"/>
        </w:rPr>
        <w:t>Amending</w:t>
      </w:r>
      <w:r w:rsidR="001F4EE7">
        <w:rPr>
          <w:color w:val="000000"/>
        </w:rPr>
        <w:t xml:space="preserve"> Regulations because they will be automatically repealed before those provisions would have effect.</w:t>
      </w:r>
      <w:r w:rsidR="007F4686">
        <w:rPr>
          <w:color w:val="000000"/>
        </w:rPr>
        <w:t xml:space="preserve"> The Fees Regulations are a legislative instrument for the purposes of the Legislation Act and are not exempt from sunsetting.</w:t>
      </w:r>
    </w:p>
    <w:p w14:paraId="225A6996" w14:textId="536E52AF" w:rsidR="00975D06" w:rsidRDefault="00975D06" w:rsidP="00975D06">
      <w:pPr>
        <w:pStyle w:val="NormalWeb"/>
        <w:spacing w:before="240" w:beforeAutospacing="0" w:after="120" w:afterAutospacing="0"/>
        <w:rPr>
          <w:color w:val="000000"/>
        </w:rPr>
      </w:pPr>
      <w:r>
        <w:rPr>
          <w:color w:val="000000"/>
        </w:rPr>
        <w:t xml:space="preserve">The </w:t>
      </w:r>
      <w:r w:rsidR="00260EFF">
        <w:rPr>
          <w:color w:val="000000"/>
        </w:rPr>
        <w:t xml:space="preserve">Amending </w:t>
      </w:r>
      <w:r w:rsidR="003304D6">
        <w:rPr>
          <w:color w:val="000000"/>
        </w:rPr>
        <w:t>Regulations</w:t>
      </w:r>
      <w:r>
        <w:rPr>
          <w:color w:val="000000"/>
        </w:rPr>
        <w:t xml:space="preserve"> commence</w:t>
      </w:r>
      <w:r w:rsidR="00262CBC">
        <w:rPr>
          <w:color w:val="000000"/>
        </w:rPr>
        <w:t xml:space="preserve">d on the day after </w:t>
      </w:r>
      <w:proofErr w:type="gramStart"/>
      <w:r w:rsidR="00262CBC">
        <w:rPr>
          <w:color w:val="000000"/>
        </w:rPr>
        <w:t>registration</w:t>
      </w:r>
      <w:r w:rsidR="0022761D">
        <w:rPr>
          <w:color w:val="000000"/>
        </w:rPr>
        <w:t>, and</w:t>
      </w:r>
      <w:proofErr w:type="gramEnd"/>
      <w:r w:rsidR="0022761D">
        <w:rPr>
          <w:color w:val="000000"/>
        </w:rPr>
        <w:t xml:space="preserve"> will apply to fees that become payable on </w:t>
      </w:r>
      <w:r w:rsidR="00BF05CD">
        <w:rPr>
          <w:color w:val="000000"/>
        </w:rPr>
        <w:t xml:space="preserve">or after </w:t>
      </w:r>
      <w:r w:rsidR="0064508A">
        <w:rPr>
          <w:color w:val="000000"/>
        </w:rPr>
        <w:t>that</w:t>
      </w:r>
      <w:r w:rsidR="0022761D">
        <w:rPr>
          <w:color w:val="000000"/>
        </w:rPr>
        <w:t xml:space="preserve"> date</w:t>
      </w:r>
      <w:r>
        <w:rPr>
          <w:color w:val="000000"/>
        </w:rPr>
        <w:t>.</w:t>
      </w:r>
    </w:p>
    <w:p w14:paraId="01917058" w14:textId="0ABAB28F" w:rsidR="00975D06" w:rsidRDefault="00975D06" w:rsidP="00975D06">
      <w:pPr>
        <w:pStyle w:val="NormalWeb"/>
        <w:spacing w:before="240" w:beforeAutospacing="0" w:after="120" w:afterAutospacing="0"/>
        <w:rPr>
          <w:color w:val="000000"/>
        </w:rPr>
      </w:pPr>
      <w:r>
        <w:rPr>
          <w:color w:val="000000"/>
        </w:rPr>
        <w:t xml:space="preserve">The Office of </w:t>
      </w:r>
      <w:r w:rsidR="00F90EE8">
        <w:rPr>
          <w:color w:val="000000"/>
        </w:rPr>
        <w:t>Impact Analysis</w:t>
      </w:r>
      <w:r>
        <w:rPr>
          <w:color w:val="000000"/>
        </w:rPr>
        <w:t xml:space="preserve"> (</w:t>
      </w:r>
      <w:r w:rsidR="00F90EE8">
        <w:rPr>
          <w:color w:val="000000"/>
        </w:rPr>
        <w:t>OIA</w:t>
      </w:r>
      <w:r>
        <w:rPr>
          <w:color w:val="000000"/>
        </w:rPr>
        <w:t>) has advised that the amendments do not require a Regulatory Impact Statement because they have been assessed to be machinery in nature. The</w:t>
      </w:r>
      <w:r w:rsidR="00F90EE8">
        <w:rPr>
          <w:color w:val="000000"/>
        </w:rPr>
        <w:t xml:space="preserve"> OIA</w:t>
      </w:r>
      <w:r>
        <w:rPr>
          <w:color w:val="000000"/>
        </w:rPr>
        <w:t xml:space="preserve"> reference number is </w:t>
      </w:r>
      <w:r w:rsidR="001A161E">
        <w:rPr>
          <w:color w:val="000000"/>
        </w:rPr>
        <w:t>OIA24</w:t>
      </w:r>
      <w:r>
        <w:rPr>
          <w:color w:val="000000"/>
        </w:rPr>
        <w:t>-</w:t>
      </w:r>
      <w:r w:rsidR="00F90EE8">
        <w:rPr>
          <w:color w:val="000000"/>
        </w:rPr>
        <w:t>08444</w:t>
      </w:r>
      <w:r>
        <w:rPr>
          <w:color w:val="000000"/>
        </w:rPr>
        <w:t>.</w:t>
      </w:r>
    </w:p>
    <w:p w14:paraId="438F9312" w14:textId="2E2318EC" w:rsidR="00975D06" w:rsidRDefault="00975D06" w:rsidP="00975D06">
      <w:pPr>
        <w:pStyle w:val="NormalWeb"/>
        <w:spacing w:before="240" w:beforeAutospacing="0" w:after="120" w:afterAutospacing="0"/>
        <w:rPr>
          <w:color w:val="000000"/>
        </w:rPr>
      </w:pPr>
      <w:r>
        <w:rPr>
          <w:color w:val="000000"/>
        </w:rPr>
        <w:t>A statement of Compatibility with Human Rights is at</w:t>
      </w:r>
      <w:r w:rsidR="004556A3">
        <w:rPr>
          <w:color w:val="000000"/>
        </w:rPr>
        <w:t xml:space="preserve"> </w:t>
      </w:r>
      <w:r>
        <w:rPr>
          <w:color w:val="000000"/>
          <w:u w:val="single"/>
        </w:rPr>
        <w:t>Attachment B</w:t>
      </w:r>
      <w:r>
        <w:rPr>
          <w:color w:val="000000"/>
        </w:rPr>
        <w:t>.</w:t>
      </w:r>
    </w:p>
    <w:p w14:paraId="6BAFA321" w14:textId="6C499444" w:rsidR="00EB2AEF" w:rsidRPr="003C5719" w:rsidRDefault="00F343AA" w:rsidP="00C923FC">
      <w:pPr>
        <w:pStyle w:val="Bullet"/>
        <w:numPr>
          <w:ilvl w:val="0"/>
          <w:numId w:val="0"/>
        </w:numPr>
      </w:pPr>
      <w:r>
        <w:t xml:space="preserve">The </w:t>
      </w:r>
      <w:r w:rsidR="008066B4">
        <w:t xml:space="preserve">Fees </w:t>
      </w:r>
      <w:r>
        <w:t xml:space="preserve">Act </w:t>
      </w:r>
      <w:r w:rsidR="008B33DF">
        <w:t xml:space="preserve">does not </w:t>
      </w:r>
      <w:r>
        <w:t>specif</w:t>
      </w:r>
      <w:r w:rsidR="008B33DF">
        <w:t>y</w:t>
      </w:r>
      <w:r>
        <w:t xml:space="preserve"> </w:t>
      </w:r>
      <w:r w:rsidR="008B33DF">
        <w:t xml:space="preserve">any </w:t>
      </w:r>
      <w:r>
        <w:t>conditions that need to be satisfied before the power to make the Regulations may be exercised.</w:t>
      </w:r>
      <w:r w:rsidR="007D6771">
        <w:t xml:space="preserve"> </w:t>
      </w:r>
    </w:p>
    <w:p w14:paraId="4C122119" w14:textId="165955B0" w:rsidR="00EA4DD8" w:rsidRPr="003C5719" w:rsidRDefault="00EA4DD8" w:rsidP="004A27A8">
      <w:pPr>
        <w:pageBreakBefore/>
        <w:spacing w:before="240"/>
        <w:jc w:val="right"/>
        <w:rPr>
          <w:b/>
          <w:u w:val="single"/>
        </w:rPr>
      </w:pPr>
      <w:r w:rsidRPr="003C5719">
        <w:rPr>
          <w:b/>
          <w:u w:val="single"/>
        </w:rPr>
        <w:lastRenderedPageBreak/>
        <w:t xml:space="preserve">ATTACHMENT </w:t>
      </w:r>
      <w:r w:rsidR="0006283C">
        <w:rPr>
          <w:b/>
          <w:u w:val="single"/>
        </w:rPr>
        <w:t>A</w:t>
      </w:r>
    </w:p>
    <w:p w14:paraId="6E8C9C83" w14:textId="06968FAE" w:rsidR="00EA4DD8" w:rsidRPr="003C5719" w:rsidRDefault="00EA4DD8" w:rsidP="004A27A8">
      <w:pPr>
        <w:spacing w:before="240"/>
        <w:rPr>
          <w:b/>
          <w:bCs/>
          <w:szCs w:val="24"/>
          <w:u w:val="single"/>
        </w:rPr>
      </w:pPr>
      <w:r w:rsidRPr="003C5719">
        <w:rPr>
          <w:b/>
          <w:bCs/>
          <w:u w:val="single"/>
        </w:rPr>
        <w:t xml:space="preserve">Details of the </w:t>
      </w:r>
      <w:r w:rsidR="0006283C" w:rsidRPr="0006283C">
        <w:rPr>
          <w:b/>
          <w:i/>
          <w:u w:val="single"/>
        </w:rPr>
        <w:t>Foreign Acquisitions and Takeovers Fees Imposition Amendment (Technical Amendments) Regulations</w:t>
      </w:r>
      <w:r w:rsidR="004556A3">
        <w:rPr>
          <w:b/>
          <w:i/>
          <w:u w:val="single"/>
        </w:rPr>
        <w:t> </w:t>
      </w:r>
      <w:r w:rsidR="0006283C" w:rsidRPr="0006283C">
        <w:rPr>
          <w:b/>
          <w:i/>
          <w:u w:val="single"/>
        </w:rPr>
        <w:t>2024</w:t>
      </w:r>
      <w:r w:rsidRPr="003C5719">
        <w:rPr>
          <w:b/>
          <w:bCs/>
          <w:u w:val="single"/>
        </w:rPr>
        <w:t xml:space="preserve"> </w:t>
      </w:r>
    </w:p>
    <w:p w14:paraId="235D4507"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4C2DE5B3" w14:textId="5EEB881C" w:rsidR="00EA4DD8" w:rsidRPr="003C5719" w:rsidRDefault="00EA4DD8" w:rsidP="004A27A8">
      <w:pPr>
        <w:spacing w:before="240"/>
      </w:pPr>
      <w:r w:rsidRPr="003C5719">
        <w:t xml:space="preserve">This section provides that the name of the </w:t>
      </w:r>
      <w:r w:rsidR="00A760F0" w:rsidRPr="003C5719">
        <w:t>r</w:t>
      </w:r>
      <w:r w:rsidRPr="003C5719">
        <w:t xml:space="preserve">egulations is the </w:t>
      </w:r>
      <w:r w:rsidR="00CE1F47" w:rsidRPr="00CE1F47">
        <w:rPr>
          <w:i/>
        </w:rPr>
        <w:t>Foreign Acquisitions and Takeovers Fees Imposition Amendment (Technical Amendments) Regulations</w:t>
      </w:r>
      <w:r w:rsidR="004556A3">
        <w:rPr>
          <w:i/>
        </w:rPr>
        <w:t> </w:t>
      </w:r>
      <w:r w:rsidR="00CE1F47" w:rsidRPr="00CE1F47">
        <w:rPr>
          <w:i/>
        </w:rPr>
        <w:t>2024</w:t>
      </w:r>
      <w:r w:rsidRPr="003C5719">
        <w:t xml:space="preserve"> </w:t>
      </w:r>
      <w:r w:rsidR="007D5DBB">
        <w:t>(</w:t>
      </w:r>
      <w:r w:rsidR="004556A3">
        <w:t xml:space="preserve">the </w:t>
      </w:r>
      <w:r w:rsidR="00260EFF">
        <w:t xml:space="preserve">Amending </w:t>
      </w:r>
      <w:r w:rsidR="003304D6">
        <w:t>Regulations</w:t>
      </w:r>
      <w:r w:rsidR="007D5DBB">
        <w:t>)</w:t>
      </w:r>
      <w:r w:rsidRPr="003C5719">
        <w:t>.</w:t>
      </w:r>
    </w:p>
    <w:p w14:paraId="17D1DACC" w14:textId="77777777" w:rsidR="00EA4DD8" w:rsidRPr="003C5719" w:rsidRDefault="00EA4DD8" w:rsidP="004A27A8">
      <w:pPr>
        <w:spacing w:before="240"/>
        <w:rPr>
          <w:u w:val="single"/>
        </w:rPr>
      </w:pPr>
      <w:r w:rsidRPr="003C5719">
        <w:rPr>
          <w:u w:val="single"/>
        </w:rPr>
        <w:t>Section 2 – Commencement</w:t>
      </w:r>
    </w:p>
    <w:p w14:paraId="68C3849F" w14:textId="665B2E27" w:rsidR="00EA4DD8" w:rsidRPr="003C5719" w:rsidRDefault="00EA4DD8" w:rsidP="00117F90">
      <w:pPr>
        <w:pStyle w:val="AttAbodytext"/>
      </w:pPr>
      <w:r w:rsidRPr="00652DA2">
        <w:t xml:space="preserve">Schedule 1 to the </w:t>
      </w:r>
      <w:r w:rsidR="00260EFF">
        <w:t xml:space="preserve">Amending </w:t>
      </w:r>
      <w:r w:rsidRPr="00652DA2">
        <w:t>Regulations commence</w:t>
      </w:r>
      <w:r w:rsidR="003037F8" w:rsidRPr="00652DA2">
        <w:t>d</w:t>
      </w:r>
      <w:r w:rsidRPr="00652DA2">
        <w:t xml:space="preserve"> on the day after the instrument is registered on the Federal Register of Legislation.</w:t>
      </w:r>
    </w:p>
    <w:p w14:paraId="2FC3B0AA" w14:textId="77777777" w:rsidR="00EA4DD8" w:rsidRPr="003C5719" w:rsidRDefault="00EA4DD8" w:rsidP="004A27A8">
      <w:pPr>
        <w:spacing w:before="240"/>
        <w:rPr>
          <w:u w:val="single"/>
        </w:rPr>
      </w:pPr>
      <w:r w:rsidRPr="003C5719">
        <w:rPr>
          <w:u w:val="single"/>
        </w:rPr>
        <w:t>Section 3 – Authority</w:t>
      </w:r>
    </w:p>
    <w:p w14:paraId="015D28A0" w14:textId="3E07C43B" w:rsidR="00EA4DD8" w:rsidRPr="003C5719" w:rsidRDefault="00EA4DD8" w:rsidP="00117F90">
      <w:pPr>
        <w:pStyle w:val="AttAbodytext"/>
      </w:pPr>
      <w:r w:rsidRPr="003C5719">
        <w:t xml:space="preserve">The </w:t>
      </w:r>
      <w:r w:rsidR="00260EFF">
        <w:t xml:space="preserve">Amending </w:t>
      </w:r>
      <w:r w:rsidRPr="003C5719">
        <w:t xml:space="preserve">Regulations are made under the </w:t>
      </w:r>
      <w:r w:rsidR="00DC11DA" w:rsidRPr="00283283">
        <w:rPr>
          <w:i/>
        </w:rPr>
        <w:t>Foreign Acquisitions and Takeovers Fees Imposition Act</w:t>
      </w:r>
      <w:r w:rsidR="004556A3">
        <w:rPr>
          <w:i/>
          <w:iCs/>
        </w:rPr>
        <w:t> </w:t>
      </w:r>
      <w:r w:rsidR="00DC11DA" w:rsidRPr="00283283">
        <w:rPr>
          <w:i/>
        </w:rPr>
        <w:t>2015</w:t>
      </w:r>
      <w:r w:rsidR="00DC11DA" w:rsidRPr="003C5719">
        <w:t xml:space="preserve"> (</w:t>
      </w:r>
      <w:r w:rsidR="004556A3">
        <w:t xml:space="preserve">the </w:t>
      </w:r>
      <w:r w:rsidR="009200B8">
        <w:t>Fees</w:t>
      </w:r>
      <w:r w:rsidR="009200B8" w:rsidRPr="003C5719">
        <w:t xml:space="preserve"> </w:t>
      </w:r>
      <w:r w:rsidR="00DC11DA" w:rsidRPr="003C5719">
        <w:t>Act)</w:t>
      </w:r>
      <w:r w:rsidR="00DC11DA">
        <w:t>.</w:t>
      </w:r>
    </w:p>
    <w:p w14:paraId="6DEC44CF" w14:textId="6DEFB7B4" w:rsidR="00EA4DD8" w:rsidRPr="003C5719" w:rsidRDefault="00EA4DD8" w:rsidP="004A27A8">
      <w:pPr>
        <w:spacing w:before="240"/>
        <w:rPr>
          <w:u w:val="single"/>
        </w:rPr>
      </w:pPr>
      <w:r w:rsidRPr="003C5719">
        <w:rPr>
          <w:u w:val="single"/>
        </w:rPr>
        <w:t>Section 4 – Schedule</w:t>
      </w:r>
    </w:p>
    <w:p w14:paraId="72AE20CB" w14:textId="65EE25FE" w:rsidR="004539B2" w:rsidRDefault="00EA4DD8" w:rsidP="00117F90">
      <w:pPr>
        <w:pStyle w:val="AttAbodytext"/>
      </w:pPr>
      <w:r w:rsidRPr="003C5719">
        <w:t xml:space="preserve">This section provides that each instrument that is specified in the Schedules to this instrument </w:t>
      </w:r>
      <w:r w:rsidR="005D7E35">
        <w:t xml:space="preserve">are </w:t>
      </w:r>
      <w:r w:rsidRPr="003C5719">
        <w:t>amended or repealed as set out in the applicable items in the Schedules, and any other item in the Schedules to this instrument has effect according to its terms.</w:t>
      </w:r>
    </w:p>
    <w:p w14:paraId="5A8CC0C3" w14:textId="0CA806D2" w:rsidR="00283283" w:rsidRDefault="00283283" w:rsidP="00283283">
      <w:pPr>
        <w:pStyle w:val="AttAbodytext"/>
      </w:pPr>
      <w:r>
        <w:t xml:space="preserve">Legislative references are made to the </w:t>
      </w:r>
      <w:r>
        <w:rPr>
          <w:i/>
          <w:iCs/>
          <w:color w:val="000000"/>
        </w:rPr>
        <w:t>Foreign Acquisitions and Takeovers Fees Imposition Regulations 2020 </w:t>
      </w:r>
      <w:r>
        <w:rPr>
          <w:color w:val="000000"/>
        </w:rPr>
        <w:t>(</w:t>
      </w:r>
      <w:r>
        <w:t>Fees Regulations) unless otherwise specified.</w:t>
      </w:r>
    </w:p>
    <w:p w14:paraId="3EACB481" w14:textId="42632557" w:rsidR="009C2BAD" w:rsidRPr="00283283" w:rsidRDefault="001A50C1" w:rsidP="00333753">
      <w:pPr>
        <w:spacing w:before="240"/>
        <w:rPr>
          <w:u w:val="single"/>
        </w:rPr>
      </w:pPr>
      <w:r w:rsidRPr="00283283">
        <w:rPr>
          <w:u w:val="single"/>
        </w:rPr>
        <w:t xml:space="preserve">Schedule 1 – </w:t>
      </w:r>
      <w:r w:rsidR="00C47361" w:rsidRPr="00283283">
        <w:rPr>
          <w:u w:val="single"/>
        </w:rPr>
        <w:t>Amendments</w:t>
      </w:r>
    </w:p>
    <w:p w14:paraId="15347622" w14:textId="549B8A96" w:rsidR="005F312E" w:rsidRDefault="00801D27" w:rsidP="00117F90">
      <w:pPr>
        <w:pStyle w:val="AttAbodytext"/>
      </w:pPr>
      <w:r>
        <w:t>Schedule 1 make</w:t>
      </w:r>
      <w:r w:rsidR="00D10064">
        <w:t>s</w:t>
      </w:r>
      <w:r>
        <w:t xml:space="preserve"> technical amendments to clarify the </w:t>
      </w:r>
      <w:r w:rsidR="00BF2C29">
        <w:t xml:space="preserve">operation of the </w:t>
      </w:r>
      <w:r>
        <w:t>Fees Regulations. T</w:t>
      </w:r>
      <w:r w:rsidRPr="00103042">
        <w:t xml:space="preserve">he amendments ensure the policy outcome that tripled fees are payable in respect of acquisitions of residential land on which there is at least one established dwelling ("established dwelling land"). A person cannot avoid the higher fees by acquiring </w:t>
      </w:r>
      <w:r w:rsidR="00204402">
        <w:t>interest</w:t>
      </w:r>
      <w:r w:rsidR="002F6477">
        <w:t>s</w:t>
      </w:r>
      <w:r w:rsidRPr="00103042">
        <w:t xml:space="preserve"> through a </w:t>
      </w:r>
      <w:r w:rsidR="006C4C50">
        <w:t>land entity</w:t>
      </w:r>
      <w:r w:rsidRPr="00103042">
        <w:t xml:space="preserve"> rather than the established dwelling land directly.</w:t>
      </w:r>
      <w:r w:rsidR="00204402">
        <w:t xml:space="preserve"> </w:t>
      </w:r>
    </w:p>
    <w:p w14:paraId="25B0E5EB" w14:textId="18ACE5B2" w:rsidR="001A50C1" w:rsidRDefault="002F6477" w:rsidP="00117F90">
      <w:pPr>
        <w:pStyle w:val="AttAbodytext"/>
      </w:pPr>
      <w:r>
        <w:t>In detail, w</w:t>
      </w:r>
      <w:r w:rsidR="00074A2B">
        <w:t>here</w:t>
      </w:r>
      <w:r w:rsidR="008A6403">
        <w:t xml:space="preserve"> a person acquires an interest in a land entity</w:t>
      </w:r>
      <w:r w:rsidR="00074A2B">
        <w:t xml:space="preserve"> </w:t>
      </w:r>
      <w:r w:rsidR="001C329C">
        <w:t xml:space="preserve">(where </w:t>
      </w:r>
      <w:r w:rsidR="00074A2B">
        <w:t>the entity’s dominant land holding is residential land</w:t>
      </w:r>
      <w:r w:rsidR="001C329C">
        <w:t>)</w:t>
      </w:r>
      <w:r w:rsidR="00074A2B">
        <w:t xml:space="preserve">, </w:t>
      </w:r>
      <w:r w:rsidR="00D75060">
        <w:t xml:space="preserve">and </w:t>
      </w:r>
      <w:r w:rsidR="00074A2B">
        <w:t>the entity holds at least one interest in established dwelling</w:t>
      </w:r>
      <w:r w:rsidR="00893107">
        <w:t xml:space="preserve"> land</w:t>
      </w:r>
      <w:r w:rsidR="009A1867">
        <w:t>,</w:t>
      </w:r>
      <w:r w:rsidR="00DD292D">
        <w:t xml:space="preserve"> </w:t>
      </w:r>
      <w:r w:rsidR="00396782">
        <w:t xml:space="preserve">a </w:t>
      </w:r>
      <w:r w:rsidR="00901F99">
        <w:t xml:space="preserve">portion of the </w:t>
      </w:r>
      <w:r w:rsidR="002867D3">
        <w:t xml:space="preserve">fee </w:t>
      </w:r>
      <w:r w:rsidR="00DD292D">
        <w:t xml:space="preserve">attributable to </w:t>
      </w:r>
      <w:r w:rsidR="00893107">
        <w:t>that established dwelling</w:t>
      </w:r>
      <w:r w:rsidR="002867D3">
        <w:t xml:space="preserve"> </w:t>
      </w:r>
      <w:r w:rsidR="00893107">
        <w:t xml:space="preserve">land </w:t>
      </w:r>
      <w:r w:rsidR="00CF2F13">
        <w:t>is subject to the tripling of fees under section 10(</w:t>
      </w:r>
      <w:r w:rsidR="006D37B7">
        <w:t>2</w:t>
      </w:r>
      <w:r w:rsidR="00CF2F13">
        <w:t>)</w:t>
      </w:r>
      <w:r w:rsidR="00866A11">
        <w:t xml:space="preserve"> of the </w:t>
      </w:r>
      <w:r w:rsidR="00283283">
        <w:t>Fees</w:t>
      </w:r>
      <w:r w:rsidR="00866A11">
        <w:t xml:space="preserve"> Regulations</w:t>
      </w:r>
      <w:r w:rsidR="00CF2F13">
        <w:t xml:space="preserve">. This ensures that </w:t>
      </w:r>
      <w:r w:rsidR="00893107">
        <w:t>the</w:t>
      </w:r>
      <w:r w:rsidR="00906A90">
        <w:t xml:space="preserve"> tripling of fees in respect of acquisitions of </w:t>
      </w:r>
      <w:r w:rsidR="00893107">
        <w:t xml:space="preserve">established dwelling land </w:t>
      </w:r>
      <w:r w:rsidR="00906A90">
        <w:t xml:space="preserve">cannot be avoided by </w:t>
      </w:r>
      <w:r w:rsidR="004B5D38">
        <w:t>structuring</w:t>
      </w:r>
      <w:r w:rsidR="00F45894">
        <w:t xml:space="preserve"> acquisitions </w:t>
      </w:r>
      <w:r w:rsidR="004B5D38">
        <w:t xml:space="preserve">through </w:t>
      </w:r>
      <w:r w:rsidR="006C4C50">
        <w:t xml:space="preserve">a </w:t>
      </w:r>
      <w:r w:rsidR="007F397C">
        <w:t>corporation or unit trust</w:t>
      </w:r>
      <w:r w:rsidR="00633745">
        <w:t xml:space="preserve"> where</w:t>
      </w:r>
      <w:r w:rsidR="00E3597A">
        <w:t xml:space="preserve"> </w:t>
      </w:r>
      <w:r w:rsidR="005E7E9F">
        <w:t xml:space="preserve">more than 50% </w:t>
      </w:r>
      <w:r w:rsidR="00B21C32">
        <w:t>of whose assets by value are interests in land</w:t>
      </w:r>
      <w:r w:rsidR="004B5D38">
        <w:t xml:space="preserve">. </w:t>
      </w:r>
    </w:p>
    <w:p w14:paraId="2C4013E5" w14:textId="2360A0E9" w:rsidR="00824D5B" w:rsidRDefault="00824D5B" w:rsidP="00117F90">
      <w:pPr>
        <w:pStyle w:val="AttAbodytext"/>
      </w:pPr>
      <w:r>
        <w:t>Sectio</w:t>
      </w:r>
      <w:r w:rsidR="002A62C8">
        <w:t>n 10(2)</w:t>
      </w:r>
      <w:r w:rsidR="00B877D5" w:rsidDel="00C64EA6">
        <w:t xml:space="preserve"> </w:t>
      </w:r>
      <w:r w:rsidR="00C64EA6">
        <w:t xml:space="preserve">provides for </w:t>
      </w:r>
      <w:r w:rsidR="00B877D5">
        <w:t xml:space="preserve">a </w:t>
      </w:r>
      <w:r w:rsidR="00356A2F">
        <w:t xml:space="preserve">general </w:t>
      </w:r>
      <w:r w:rsidR="00A54519">
        <w:t xml:space="preserve">rule that, </w:t>
      </w:r>
      <w:r w:rsidR="00EC3247" w:rsidRPr="00EC3247">
        <w:t xml:space="preserve">if the action </w:t>
      </w:r>
      <w:r w:rsidR="00EC3247">
        <w:t xml:space="preserve">in respect of which a fee is charged </w:t>
      </w:r>
      <w:r w:rsidR="00EC3247" w:rsidRPr="00EC3247">
        <w:t xml:space="preserve">is to acquire an interest in residential land on which there is at least one established dwelling, then the amount of the fee for the action is </w:t>
      </w:r>
      <w:r w:rsidR="00AE16B4">
        <w:t>triple</w:t>
      </w:r>
      <w:r w:rsidR="00EC3247" w:rsidRPr="00EC3247">
        <w:t xml:space="preserve"> the fee </w:t>
      </w:r>
      <w:r w:rsidR="00C25C05">
        <w:t xml:space="preserve">otherwise </w:t>
      </w:r>
      <w:r w:rsidR="00EC3247" w:rsidRPr="00EC3247">
        <w:t>worked out by applying subsection</w:t>
      </w:r>
      <w:r w:rsidR="00C25C05">
        <w:t> 10</w:t>
      </w:r>
      <w:r w:rsidR="00EC3247" w:rsidRPr="00EC3247">
        <w:t>(1)</w:t>
      </w:r>
      <w:r w:rsidR="00C25C05">
        <w:t>.</w:t>
      </w:r>
      <w:r w:rsidR="00744669">
        <w:t xml:space="preserve"> </w:t>
      </w:r>
      <w:r w:rsidR="00B94BEB">
        <w:t>This</w:t>
      </w:r>
      <w:r w:rsidR="00744669">
        <w:t xml:space="preserve"> was inserted into the </w:t>
      </w:r>
      <w:r w:rsidR="009C1BF2">
        <w:t xml:space="preserve">Fees </w:t>
      </w:r>
      <w:r w:rsidR="00744669">
        <w:t xml:space="preserve">Regulations by item 7 of Schedule 2 to the </w:t>
      </w:r>
      <w:r w:rsidR="003417A8" w:rsidRPr="007100D1">
        <w:rPr>
          <w:i/>
          <w:iCs/>
        </w:rPr>
        <w:t>Foreign Acquisitions and Takeovers Fees Imposition Amendment Act</w:t>
      </w:r>
      <w:r w:rsidR="004760FC">
        <w:rPr>
          <w:i/>
          <w:iCs/>
        </w:rPr>
        <w:t> </w:t>
      </w:r>
      <w:r w:rsidR="003417A8" w:rsidRPr="007100D1">
        <w:rPr>
          <w:i/>
          <w:iCs/>
        </w:rPr>
        <w:t>2024</w:t>
      </w:r>
      <w:r w:rsidR="00C64EA6">
        <w:t>.</w:t>
      </w:r>
    </w:p>
    <w:p w14:paraId="20656D1E" w14:textId="6A223B0D" w:rsidR="00CF3A25" w:rsidRDefault="00196167" w:rsidP="00333753">
      <w:pPr>
        <w:pStyle w:val="Heading3"/>
      </w:pPr>
      <w:r>
        <w:lastRenderedPageBreak/>
        <w:t>Item</w:t>
      </w:r>
      <w:r w:rsidR="005B589F">
        <w:t>s</w:t>
      </w:r>
      <w:r>
        <w:t xml:space="preserve"> [1</w:t>
      </w:r>
      <w:r w:rsidR="00B81FC3">
        <w:t>]</w:t>
      </w:r>
      <w:r w:rsidR="00CF3A25">
        <w:t xml:space="preserve"> </w:t>
      </w:r>
      <w:r w:rsidR="00F326C2">
        <w:t>–</w:t>
      </w:r>
      <w:r w:rsidR="00CF3A25">
        <w:t xml:space="preserve"> Paragraph 51(5)(c)</w:t>
      </w:r>
    </w:p>
    <w:p w14:paraId="35265551" w14:textId="1D81AB0E" w:rsidR="00C64EA6" w:rsidRDefault="00CF3A25" w:rsidP="00333753">
      <w:pPr>
        <w:pStyle w:val="Heading3"/>
      </w:pPr>
      <w:r>
        <w:t>Item [</w:t>
      </w:r>
      <w:r w:rsidR="005B589F">
        <w:t>2</w:t>
      </w:r>
      <w:r w:rsidR="00196167">
        <w:t xml:space="preserve">] </w:t>
      </w:r>
      <w:r w:rsidR="005B589F">
        <w:t xml:space="preserve">– </w:t>
      </w:r>
      <w:r>
        <w:t xml:space="preserve">At the end of </w:t>
      </w:r>
      <w:r w:rsidR="00576C82">
        <w:t>section 51</w:t>
      </w:r>
    </w:p>
    <w:p w14:paraId="0906E400" w14:textId="43508117" w:rsidR="00615DD3" w:rsidRDefault="000E3B55" w:rsidP="00615DD3">
      <w:pPr>
        <w:pStyle w:val="AttAbodytext"/>
      </w:pPr>
      <w:r>
        <w:t>Items</w:t>
      </w:r>
      <w:r w:rsidR="00615DD3">
        <w:t xml:space="preserve"> 1 and 2 of </w:t>
      </w:r>
      <w:r w:rsidR="00F10F8C">
        <w:t>Schedule 1</w:t>
      </w:r>
      <w:r w:rsidR="00615DD3">
        <w:t xml:space="preserve"> make drafting improvements and consequential amendments to support the amendments by:</w:t>
      </w:r>
    </w:p>
    <w:p w14:paraId="6865800E" w14:textId="128C04AA" w:rsidR="00615DD3" w:rsidRPr="00E00EFC" w:rsidRDefault="00561477" w:rsidP="00615DD3">
      <w:pPr>
        <w:pStyle w:val="Bullet"/>
        <w:rPr>
          <w:strike/>
        </w:rPr>
      </w:pPr>
      <w:r>
        <w:t>repealing and substituting</w:t>
      </w:r>
      <w:r w:rsidR="00615DD3">
        <w:t xml:space="preserve"> the substance of the paragraph </w:t>
      </w:r>
      <w:r w:rsidR="008D7D11">
        <w:t>51(5)</w:t>
      </w:r>
      <w:r w:rsidR="00615DD3">
        <w:t xml:space="preserve">(c) </w:t>
      </w:r>
      <w:r w:rsidR="00BB76D8">
        <w:t>prior to the amendments,</w:t>
      </w:r>
      <w:r w:rsidR="00615DD3">
        <w:t xml:space="preserve"> into a new subsection </w:t>
      </w:r>
      <w:r w:rsidR="008D7D11">
        <w:t>5</w:t>
      </w:r>
      <w:r w:rsidR="00020BC2">
        <w:t>1</w:t>
      </w:r>
      <w:r w:rsidR="00615DD3">
        <w:t>(6); and</w:t>
      </w:r>
    </w:p>
    <w:p w14:paraId="7A2B0942" w14:textId="3AC7F93A" w:rsidR="00333753" w:rsidRPr="00333753" w:rsidRDefault="00615DD3" w:rsidP="00F10F8C">
      <w:pPr>
        <w:pStyle w:val="Bullet"/>
      </w:pPr>
      <w:r>
        <w:t xml:space="preserve">clarifying that the modification to the definition of “established dwellings fee” in section 33 (the replacement of the “established dwelling fee” with the </w:t>
      </w:r>
      <w:r w:rsidR="000740BD">
        <w:t>fee under p</w:t>
      </w:r>
      <w:r>
        <w:t>aragraph 51(5)(a)) also applies in calculating the “percentage of established dwellings maximum fee not charged” component of the subsection 33(4) formula.</w:t>
      </w:r>
    </w:p>
    <w:p w14:paraId="6CF481DB" w14:textId="1EA21955" w:rsidR="00C61019" w:rsidRPr="00333753" w:rsidRDefault="00C61019" w:rsidP="00F10F8C">
      <w:pPr>
        <w:pStyle w:val="Heading3"/>
      </w:pPr>
      <w:r>
        <w:t xml:space="preserve">Item [3] – </w:t>
      </w:r>
      <w:r w:rsidR="001C599C">
        <w:t xml:space="preserve">At the end of </w:t>
      </w:r>
      <w:r>
        <w:t xml:space="preserve">section </w:t>
      </w:r>
      <w:r w:rsidR="002D1A41">
        <w:t>56</w:t>
      </w:r>
    </w:p>
    <w:p w14:paraId="4CE60D99" w14:textId="02C2BD4B" w:rsidR="00A808FB" w:rsidRPr="00AB3B9B" w:rsidRDefault="00A808FB" w:rsidP="00A808FB">
      <w:pPr>
        <w:pStyle w:val="Heading5"/>
      </w:pPr>
      <w:r w:rsidRPr="00AB3B9B">
        <w:t xml:space="preserve">Apportioning consideration </w:t>
      </w:r>
      <w:r w:rsidR="008C6C74">
        <w:t>of</w:t>
      </w:r>
      <w:r w:rsidRPr="00AB3B9B">
        <w:t xml:space="preserve"> </w:t>
      </w:r>
      <w:r w:rsidR="00D02AB8">
        <w:t xml:space="preserve">an acquisition </w:t>
      </w:r>
      <w:r w:rsidR="008C6C74">
        <w:t>of</w:t>
      </w:r>
      <w:r w:rsidR="00D02AB8">
        <w:t xml:space="preserve"> securities in a</w:t>
      </w:r>
      <w:r w:rsidRPr="00AB3B9B">
        <w:t xml:space="preserve"> land entity</w:t>
      </w:r>
    </w:p>
    <w:p w14:paraId="5F586BFD" w14:textId="55FFE460" w:rsidR="00B64C18" w:rsidRDefault="00C25C05" w:rsidP="00117F90">
      <w:pPr>
        <w:pStyle w:val="AttAbodytext"/>
      </w:pPr>
      <w:r>
        <w:t>I</w:t>
      </w:r>
      <w:r w:rsidR="00452B75">
        <w:t xml:space="preserve">tem 3 </w:t>
      </w:r>
      <w:r w:rsidR="00B64C18">
        <w:t xml:space="preserve">of </w:t>
      </w:r>
      <w:r w:rsidR="00B5426B">
        <w:t>Schedule 1</w:t>
      </w:r>
      <w:r w:rsidR="00B64C18">
        <w:t xml:space="preserve"> </w:t>
      </w:r>
      <w:r w:rsidR="00452B75">
        <w:t xml:space="preserve">amends </w:t>
      </w:r>
      <w:r w:rsidR="00ED762B">
        <w:t xml:space="preserve">section 56 to </w:t>
      </w:r>
      <w:r w:rsidR="00611CDA">
        <w:t xml:space="preserve">add new subsections 56(3), 56(4) and 56(5). </w:t>
      </w:r>
      <w:r w:rsidR="0021546B">
        <w:t xml:space="preserve">Section 56 </w:t>
      </w:r>
      <w:r w:rsidR="00A131B0">
        <w:t xml:space="preserve">in Part 4 of the </w:t>
      </w:r>
      <w:r w:rsidR="008A12F1">
        <w:t xml:space="preserve">Fees </w:t>
      </w:r>
      <w:r w:rsidR="00A131B0">
        <w:t xml:space="preserve">Regulations contains </w:t>
      </w:r>
      <w:r w:rsidR="0003068A">
        <w:t>provisions that adjust the amount of fees otherwise worked out under Part 2 to deal with specific circumstances, acquisitions and actions</w:t>
      </w:r>
      <w:r w:rsidR="004C767C">
        <w:t xml:space="preserve">. </w:t>
      </w:r>
      <w:r w:rsidR="003A4874">
        <w:t>This includes</w:t>
      </w:r>
      <w:r w:rsidR="00F44FA4">
        <w:t xml:space="preserve"> where a person acquires an interest in securities in a </w:t>
      </w:r>
      <w:r w:rsidR="00F8344F">
        <w:t>“</w:t>
      </w:r>
      <w:r w:rsidR="00F44FA4">
        <w:t>land entity</w:t>
      </w:r>
      <w:r w:rsidR="00F8344F">
        <w:t>”</w:t>
      </w:r>
      <w:r w:rsidR="0003068A">
        <w:t>.</w:t>
      </w:r>
      <w:r w:rsidR="00CC1A15">
        <w:t xml:space="preserve"> </w:t>
      </w:r>
      <w:r w:rsidR="00F8344F">
        <w:t xml:space="preserve">A “land entity” is defined </w:t>
      </w:r>
      <w:r w:rsidR="008A12F1">
        <w:t xml:space="preserve">in </w:t>
      </w:r>
      <w:r w:rsidR="00F8344F">
        <w:t xml:space="preserve">section 5 of the </w:t>
      </w:r>
      <w:r w:rsidR="00F8344F" w:rsidRPr="007100D1">
        <w:rPr>
          <w:i/>
          <w:iCs/>
        </w:rPr>
        <w:t>Foreign Acquisitions and Takeover</w:t>
      </w:r>
      <w:r w:rsidR="00085192">
        <w:rPr>
          <w:i/>
          <w:iCs/>
        </w:rPr>
        <w:t>s</w:t>
      </w:r>
      <w:r w:rsidR="00F8344F" w:rsidRPr="007100D1">
        <w:rPr>
          <w:i/>
          <w:iCs/>
        </w:rPr>
        <w:t xml:space="preserve"> Regulation 2015</w:t>
      </w:r>
      <w:r w:rsidR="007100D1">
        <w:t xml:space="preserve"> </w:t>
      </w:r>
      <w:r w:rsidR="007D5DBB">
        <w:t>(</w:t>
      </w:r>
      <w:r w:rsidR="003637C0">
        <w:t>FATR</w:t>
      </w:r>
      <w:r w:rsidR="007D5DBB">
        <w:t>)</w:t>
      </w:r>
      <w:r w:rsidR="003637C0">
        <w:t xml:space="preserve"> </w:t>
      </w:r>
      <w:r w:rsidR="00F8344F">
        <w:t xml:space="preserve">and </w:t>
      </w:r>
      <w:r w:rsidR="00F8344F" w:rsidRPr="00D72C0C">
        <w:t>means an agricultural land corporation, an agricultural land trust, an Australian land corporation or an Australian land trust</w:t>
      </w:r>
      <w:r w:rsidR="00F8344F">
        <w:t xml:space="preserve">. </w:t>
      </w:r>
      <w:r w:rsidR="009D2E44">
        <w:t>Further,</w:t>
      </w:r>
      <w:r w:rsidR="00F8344F">
        <w:t xml:space="preserve"> section 13 of the FATR</w:t>
      </w:r>
      <w:r w:rsidR="003637C0">
        <w:t xml:space="preserve"> </w:t>
      </w:r>
      <w:r w:rsidR="009D2E44">
        <w:t>provides that</w:t>
      </w:r>
      <w:r w:rsidR="00F8344F">
        <w:t xml:space="preserve"> “Australian land corporation” include</w:t>
      </w:r>
      <w:r w:rsidR="00423C98">
        <w:t>s</w:t>
      </w:r>
      <w:r w:rsidR="00F8344F">
        <w:t xml:space="preserve"> </w:t>
      </w:r>
      <w:r w:rsidR="003B4DE0">
        <w:t xml:space="preserve">a </w:t>
      </w:r>
      <w:r w:rsidR="00F5067E">
        <w:t>corporation</w:t>
      </w:r>
      <w:r w:rsidR="00F8344F">
        <w:t xml:space="preserve"> </w:t>
      </w:r>
      <w:r w:rsidR="005B5F2F">
        <w:t xml:space="preserve">where </w:t>
      </w:r>
      <w:r w:rsidR="00E03AF4">
        <w:t xml:space="preserve">the value of </w:t>
      </w:r>
      <w:r w:rsidR="00F851FB">
        <w:t xml:space="preserve">the </w:t>
      </w:r>
      <w:r w:rsidR="00F8344F">
        <w:t>interests in agricultural land or Australian land exceed</w:t>
      </w:r>
      <w:r w:rsidR="00F851FB">
        <w:t>s</w:t>
      </w:r>
      <w:r w:rsidR="00F8344F">
        <w:t xml:space="preserve"> 50% of the entity’s total assets.</w:t>
      </w:r>
    </w:p>
    <w:p w14:paraId="505E17D2" w14:textId="6E595B28" w:rsidR="00D055CE" w:rsidRDefault="00F8344F" w:rsidP="00117F90">
      <w:pPr>
        <w:pStyle w:val="AttAbodytext"/>
      </w:pPr>
      <w:r>
        <w:t>S</w:t>
      </w:r>
      <w:r w:rsidR="00CC1A15">
        <w:t>ection 56</w:t>
      </w:r>
      <w:r w:rsidR="00CC1A15" w:rsidDel="003C5318">
        <w:t xml:space="preserve"> </w:t>
      </w:r>
      <w:r w:rsidR="00AE4D03">
        <w:t>applies if a person acquires an interest in securities in a land entity</w:t>
      </w:r>
      <w:r w:rsidR="00F5067E">
        <w:t xml:space="preserve"> (the actual acquisition)</w:t>
      </w:r>
      <w:r w:rsidR="00AE4D03">
        <w:t>, and</w:t>
      </w:r>
      <w:r w:rsidR="00F5067E">
        <w:t xml:space="preserve">, </w:t>
      </w:r>
      <w:r w:rsidR="00AE4D03">
        <w:t>apart from the section</w:t>
      </w:r>
      <w:r w:rsidR="00F5067E">
        <w:t>,</w:t>
      </w:r>
      <w:r w:rsidR="00AE4D03">
        <w:t xml:space="preserve"> the acquisition would be an action for which a fee would be payable under subsection 113(1) of the </w:t>
      </w:r>
      <w:r w:rsidR="00184460">
        <w:t>FATA</w:t>
      </w:r>
      <w:r w:rsidR="00AE4D03">
        <w:t xml:space="preserve">. </w:t>
      </w:r>
    </w:p>
    <w:p w14:paraId="6179BA42" w14:textId="6D04895D" w:rsidR="00AE4D03" w:rsidRDefault="00973BB2" w:rsidP="00117F90">
      <w:pPr>
        <w:pStyle w:val="AttAbodytext"/>
      </w:pPr>
      <w:r>
        <w:t xml:space="preserve">In </w:t>
      </w:r>
      <w:r w:rsidR="00A00FEC">
        <w:t xml:space="preserve">the </w:t>
      </w:r>
      <w:r>
        <w:t>circumstances</w:t>
      </w:r>
      <w:r w:rsidR="00A00FEC">
        <w:t xml:space="preserve"> where section 56 applies</w:t>
      </w:r>
      <w:r>
        <w:t xml:space="preserve">, the </w:t>
      </w:r>
      <w:r w:rsidR="00D016AD">
        <w:t xml:space="preserve">actual </w:t>
      </w:r>
      <w:r w:rsidR="00F5067E">
        <w:t xml:space="preserve">acquisition </w:t>
      </w:r>
      <w:r w:rsidR="00453E43">
        <w:t xml:space="preserve">is </w:t>
      </w:r>
      <w:r>
        <w:t xml:space="preserve">treated as if it </w:t>
      </w:r>
      <w:r w:rsidR="00AE4D03">
        <w:t xml:space="preserve">were instead (and were only) an acquisition by </w:t>
      </w:r>
      <w:r>
        <w:t>that</w:t>
      </w:r>
      <w:r w:rsidR="00AE4D03">
        <w:t xml:space="preserve"> person</w:t>
      </w:r>
      <w:r>
        <w:t xml:space="preserve"> </w:t>
      </w:r>
      <w:r w:rsidR="00AE4D03">
        <w:t xml:space="preserve">of an interest in Australian land of the same kind as the entity’s </w:t>
      </w:r>
      <w:r>
        <w:t>“</w:t>
      </w:r>
      <w:r w:rsidR="00AE4D03">
        <w:t>dominant land holding</w:t>
      </w:r>
      <w:r>
        <w:t xml:space="preserve">”, </w:t>
      </w:r>
      <w:r w:rsidR="00CC06A8">
        <w:t>the consideration fo</w:t>
      </w:r>
      <w:r w:rsidR="00F82BE2">
        <w:t>r</w:t>
      </w:r>
      <w:r w:rsidR="00CC06A8">
        <w:t xml:space="preserve"> which is deemed to be equal </w:t>
      </w:r>
      <w:r w:rsidR="00AE4D03">
        <w:t>to the value of the consideration for the actual acquisition</w:t>
      </w:r>
      <w:r w:rsidR="00CC06A8">
        <w:t xml:space="preserve">. If the actual acquisition is a reviewable national security action, then this deemed acquisition is too. </w:t>
      </w:r>
      <w:r w:rsidR="00F82BE2">
        <w:t xml:space="preserve">The fee is then worked out </w:t>
      </w:r>
      <w:r w:rsidR="005C4A27">
        <w:t xml:space="preserve">under the other provisions of the </w:t>
      </w:r>
      <w:r w:rsidR="00431749">
        <w:t xml:space="preserve">Fees </w:t>
      </w:r>
      <w:r w:rsidR="005C4A27">
        <w:t>Regulation</w:t>
      </w:r>
      <w:r w:rsidR="00FA3D8B">
        <w:t xml:space="preserve"> (which a note clarifies may itself be modified by other provisions of Part 4).</w:t>
      </w:r>
    </w:p>
    <w:p w14:paraId="058C2A21" w14:textId="02052CEE" w:rsidR="00CF2F13" w:rsidRPr="00096055" w:rsidRDefault="005A1B4D" w:rsidP="00117F90">
      <w:pPr>
        <w:pStyle w:val="AttAbodytext"/>
      </w:pPr>
      <w:r>
        <w:t>The entity’s “dominant land holding” is worked out under subsection 56(2)</w:t>
      </w:r>
      <w:r w:rsidR="00A22859">
        <w:t xml:space="preserve">, and </w:t>
      </w:r>
      <w:r w:rsidR="00444C98">
        <w:t xml:space="preserve">is </w:t>
      </w:r>
      <w:r w:rsidR="00110A0C">
        <w:t xml:space="preserve">generally </w:t>
      </w:r>
      <w:r w:rsidR="00444C98">
        <w:t xml:space="preserve">the </w:t>
      </w:r>
      <w:r w:rsidR="00755577">
        <w:t xml:space="preserve">kind of </w:t>
      </w:r>
      <w:r w:rsidR="00A22859">
        <w:t xml:space="preserve">relevant land with the highest total value (assessed on a reasonable basis) of all the kinds of relevant land </w:t>
      </w:r>
      <w:r w:rsidR="001B39B1">
        <w:t>in which the entity holds interests when the actual acquisition is mad</w:t>
      </w:r>
      <w:r w:rsidR="001B39B1" w:rsidRPr="00096055">
        <w:t>e</w:t>
      </w:r>
      <w:r w:rsidR="00A22859" w:rsidRPr="00096055">
        <w:t>.</w:t>
      </w:r>
    </w:p>
    <w:p w14:paraId="09FAD414" w14:textId="61110A2E" w:rsidR="003052C5" w:rsidRPr="006B1C4C" w:rsidRDefault="0087687D" w:rsidP="00863DEE">
      <w:pPr>
        <w:spacing w:before="240"/>
      </w:pPr>
      <w:r>
        <w:t>Item 3 inserts a n</w:t>
      </w:r>
      <w:r w:rsidR="00744DF0" w:rsidRPr="00F10F8C">
        <w:t>ew subsection 56(3)</w:t>
      </w:r>
      <w:r>
        <w:t xml:space="preserve">. This new subsection </w:t>
      </w:r>
      <w:r w:rsidR="00744DF0" w:rsidRPr="00F10F8C">
        <w:t xml:space="preserve">provides that, despite </w:t>
      </w:r>
      <w:r w:rsidR="00DD4DC8" w:rsidRPr="00F10F8C">
        <w:t xml:space="preserve">the above, </w:t>
      </w:r>
      <w:r w:rsidR="003052C5" w:rsidRPr="00F10F8C">
        <w:t xml:space="preserve">if the entity’s dominant land holding is residential land, and the entity also holds interests in residential land on which there is at least one established dwelling, then for the purposes of the </w:t>
      </w:r>
      <w:r w:rsidR="00110A0C">
        <w:t>Fees</w:t>
      </w:r>
      <w:r w:rsidR="00110A0C" w:rsidRPr="006B1C4C">
        <w:t xml:space="preserve"> </w:t>
      </w:r>
      <w:r w:rsidR="003052C5" w:rsidRPr="006B1C4C">
        <w:t xml:space="preserve">Regulation, the action </w:t>
      </w:r>
      <w:r w:rsidR="00B23239" w:rsidRPr="006B1C4C">
        <w:t xml:space="preserve">is treated </w:t>
      </w:r>
      <w:r w:rsidR="003052C5" w:rsidRPr="006B1C4C">
        <w:t xml:space="preserve">as if it were instead 2 </w:t>
      </w:r>
      <w:r w:rsidR="00FF4699" w:rsidRPr="006B1C4C">
        <w:t xml:space="preserve">separate, </w:t>
      </w:r>
      <w:r w:rsidR="00FF4699" w:rsidRPr="006B1C4C">
        <w:lastRenderedPageBreak/>
        <w:t xml:space="preserve">deemed </w:t>
      </w:r>
      <w:r w:rsidR="00D965CB" w:rsidRPr="006B1C4C">
        <w:t xml:space="preserve">actions </w:t>
      </w:r>
      <w:r w:rsidR="003052C5" w:rsidRPr="006B1C4C">
        <w:t>by the person</w:t>
      </w:r>
      <w:r w:rsidR="00FF4699" w:rsidRPr="006B1C4C">
        <w:t xml:space="preserve">, </w:t>
      </w:r>
      <w:r w:rsidR="005D67F2">
        <w:t xml:space="preserve">as </w:t>
      </w:r>
      <w:r w:rsidR="00FF4699" w:rsidRPr="006B1C4C">
        <w:t>set out in new subsection</w:t>
      </w:r>
      <w:r w:rsidR="00295162" w:rsidRPr="006B1C4C">
        <w:t>s (4) and (5)</w:t>
      </w:r>
      <w:r w:rsidR="00D75586" w:rsidRPr="006B1C4C">
        <w:t>. T</w:t>
      </w:r>
      <w:r w:rsidR="003E4D76" w:rsidRPr="006B1C4C">
        <w:t xml:space="preserve">he deemed interest and </w:t>
      </w:r>
      <w:r w:rsidR="00863DEE" w:rsidRPr="006B1C4C">
        <w:t xml:space="preserve">deemed value of the consideration </w:t>
      </w:r>
      <w:r w:rsidR="00D75586" w:rsidRPr="006B1C4C">
        <w:t xml:space="preserve">of these </w:t>
      </w:r>
      <w:r w:rsidR="00D965CB" w:rsidRPr="006B1C4C">
        <w:t xml:space="preserve">actions </w:t>
      </w:r>
      <w:r w:rsidR="00D75586" w:rsidRPr="006B1C4C">
        <w:t>is as follows:</w:t>
      </w:r>
    </w:p>
    <w:tbl>
      <w:tblPr>
        <w:tblStyle w:val="TableGrid"/>
        <w:tblW w:w="4994" w:type="pct"/>
        <w:tblLook w:val="04A0" w:firstRow="1" w:lastRow="0" w:firstColumn="1" w:lastColumn="0" w:noHBand="0" w:noVBand="1"/>
      </w:tblPr>
      <w:tblGrid>
        <w:gridCol w:w="2923"/>
        <w:gridCol w:w="2923"/>
        <w:gridCol w:w="2921"/>
      </w:tblGrid>
      <w:tr w:rsidR="00C46EBC" w:rsidRPr="00096055" w14:paraId="18778BD4" w14:textId="77777777" w:rsidTr="00C46EBC">
        <w:tc>
          <w:tcPr>
            <w:tcW w:w="1667" w:type="pct"/>
          </w:tcPr>
          <w:p w14:paraId="041F79E8" w14:textId="77777777" w:rsidR="00C46EBC" w:rsidRPr="006B1C4C" w:rsidRDefault="00C46EBC" w:rsidP="00863DEE">
            <w:pPr>
              <w:spacing w:before="240"/>
              <w:rPr>
                <w:b/>
              </w:rPr>
            </w:pPr>
          </w:p>
        </w:tc>
        <w:tc>
          <w:tcPr>
            <w:tcW w:w="1667" w:type="pct"/>
          </w:tcPr>
          <w:p w14:paraId="46945D3F" w14:textId="505F3E6A" w:rsidR="00C46EBC" w:rsidRPr="006B1C4C" w:rsidRDefault="003951A5" w:rsidP="00863DEE">
            <w:pPr>
              <w:spacing w:before="240"/>
              <w:rPr>
                <w:b/>
              </w:rPr>
            </w:pPr>
            <w:r w:rsidRPr="006B1C4C">
              <w:rPr>
                <w:b/>
              </w:rPr>
              <w:t>Interest deemed acquired</w:t>
            </w:r>
          </w:p>
        </w:tc>
        <w:tc>
          <w:tcPr>
            <w:tcW w:w="1667" w:type="pct"/>
          </w:tcPr>
          <w:p w14:paraId="44CA1AEB" w14:textId="24AE31FC" w:rsidR="00C46EBC" w:rsidRPr="006B1C4C" w:rsidRDefault="003951A5" w:rsidP="00863DEE">
            <w:pPr>
              <w:spacing w:before="240"/>
              <w:rPr>
                <w:b/>
              </w:rPr>
            </w:pPr>
            <w:r w:rsidRPr="006B1C4C">
              <w:rPr>
                <w:b/>
              </w:rPr>
              <w:t>Deemed value of consideration</w:t>
            </w:r>
          </w:p>
        </w:tc>
      </w:tr>
      <w:tr w:rsidR="00C46EBC" w:rsidRPr="00096055" w14:paraId="3BB1E738" w14:textId="77777777" w:rsidTr="00C46EBC">
        <w:tc>
          <w:tcPr>
            <w:tcW w:w="1667" w:type="pct"/>
          </w:tcPr>
          <w:p w14:paraId="3D3C116B" w14:textId="51CD6D44" w:rsidR="00C46EBC" w:rsidRPr="006B1C4C" w:rsidRDefault="00C46EBC" w:rsidP="00863DEE">
            <w:pPr>
              <w:spacing w:before="240"/>
            </w:pPr>
            <w:r w:rsidRPr="006B1C4C">
              <w:t>Subsection (4)</w:t>
            </w:r>
          </w:p>
        </w:tc>
        <w:tc>
          <w:tcPr>
            <w:tcW w:w="1667" w:type="pct"/>
          </w:tcPr>
          <w:p w14:paraId="447501B3" w14:textId="0414FB16" w:rsidR="00C46EBC" w:rsidRPr="006B1C4C" w:rsidRDefault="00C46EBC" w:rsidP="00863DEE">
            <w:pPr>
              <w:spacing w:before="240"/>
            </w:pPr>
            <w:r w:rsidRPr="006B1C4C">
              <w:t>Interest in residential land on which there is at least one established dwelling (established dwelling land</w:t>
            </w:r>
            <w:r w:rsidR="007D5DBB" w:rsidRPr="006B1C4C">
              <w:t>)</w:t>
            </w:r>
          </w:p>
        </w:tc>
        <w:tc>
          <w:tcPr>
            <w:tcW w:w="1667" w:type="pct"/>
          </w:tcPr>
          <w:p w14:paraId="57CF02F9" w14:textId="03B039E9" w:rsidR="00C46EBC" w:rsidRPr="006B1C4C" w:rsidRDefault="005F105F" w:rsidP="00863DEE">
            <w:pPr>
              <w:spacing w:before="240"/>
            </w:pPr>
            <w:r w:rsidRPr="006B1C4C">
              <w:t>So much of the</w:t>
            </w:r>
            <w:r w:rsidR="00263A74" w:rsidRPr="006B1C4C">
              <w:t xml:space="preserve"> consideration </w:t>
            </w:r>
            <w:r w:rsidRPr="006B1C4C">
              <w:t xml:space="preserve">as is </w:t>
            </w:r>
            <w:r w:rsidR="00263A74" w:rsidRPr="006B1C4C">
              <w:t xml:space="preserve">attributable to all </w:t>
            </w:r>
            <w:r w:rsidR="00842905" w:rsidRPr="006B1C4C">
              <w:t>these</w:t>
            </w:r>
            <w:r w:rsidR="00263A74" w:rsidRPr="006B1C4C">
              <w:t xml:space="preserve"> interests</w:t>
            </w:r>
          </w:p>
        </w:tc>
      </w:tr>
      <w:tr w:rsidR="00C46EBC" w14:paraId="416B1423" w14:textId="77777777" w:rsidTr="00C46EBC">
        <w:tc>
          <w:tcPr>
            <w:tcW w:w="1667" w:type="pct"/>
          </w:tcPr>
          <w:p w14:paraId="3300243D" w14:textId="451EAD17" w:rsidR="00C46EBC" w:rsidRPr="006B1C4C" w:rsidRDefault="00C46EBC" w:rsidP="00863DEE">
            <w:pPr>
              <w:spacing w:before="240"/>
            </w:pPr>
            <w:r w:rsidRPr="006B1C4C">
              <w:t>Subsection (5)</w:t>
            </w:r>
          </w:p>
        </w:tc>
        <w:tc>
          <w:tcPr>
            <w:tcW w:w="1667" w:type="pct"/>
          </w:tcPr>
          <w:p w14:paraId="277B0A49" w14:textId="5ACCBE3A" w:rsidR="00C46EBC" w:rsidRPr="00096055" w:rsidRDefault="00C46EBC" w:rsidP="00863DEE">
            <w:pPr>
              <w:spacing w:before="240"/>
            </w:pPr>
            <w:r w:rsidRPr="006B1C4C">
              <w:t xml:space="preserve">Interest in residential land </w:t>
            </w:r>
            <w:r w:rsidR="00491F20" w:rsidRPr="006B1C4C">
              <w:t>on which there are no established dwellings</w:t>
            </w:r>
            <w:r w:rsidR="00D95F02">
              <w:t xml:space="preserve"> </w:t>
            </w:r>
            <w:r w:rsidR="00637A9B">
              <w:t>(</w:t>
            </w:r>
            <w:r w:rsidR="00FA7F2A">
              <w:t xml:space="preserve">whatever the kind of interest is </w:t>
            </w:r>
            <w:r w:rsidR="00131AE3">
              <w:t xml:space="preserve">that is </w:t>
            </w:r>
            <w:r w:rsidR="00FA7F2A">
              <w:t>in fact acquired)</w:t>
            </w:r>
          </w:p>
        </w:tc>
        <w:tc>
          <w:tcPr>
            <w:tcW w:w="1667" w:type="pct"/>
          </w:tcPr>
          <w:p w14:paraId="364648FE" w14:textId="16DF4D1B" w:rsidR="00C46EBC" w:rsidRDefault="005F105F" w:rsidP="00863DEE">
            <w:pPr>
              <w:spacing w:before="240"/>
            </w:pPr>
            <w:r w:rsidRPr="006B1C4C">
              <w:t xml:space="preserve">So much of the consideration as is </w:t>
            </w:r>
            <w:r w:rsidR="005A2077" w:rsidRPr="007E35C7">
              <w:t>not attributable to</w:t>
            </w:r>
            <w:r w:rsidR="005A2077" w:rsidRPr="00096055">
              <w:t xml:space="preserve"> the</w:t>
            </w:r>
            <w:r w:rsidR="00842905" w:rsidRPr="00096055">
              <w:t>se</w:t>
            </w:r>
            <w:r w:rsidR="005A2077" w:rsidRPr="00096055">
              <w:t xml:space="preserve"> interests </w:t>
            </w:r>
            <w:r w:rsidR="00826DDB" w:rsidRPr="00096055">
              <w:t xml:space="preserve">in established dwelling land </w:t>
            </w:r>
            <w:r w:rsidR="00EE6867" w:rsidRPr="00096055">
              <w:t xml:space="preserve">– </w:t>
            </w:r>
            <w:r w:rsidR="00842905" w:rsidRPr="00096055">
              <w:t xml:space="preserve">which will be equivalent to </w:t>
            </w:r>
            <w:r w:rsidR="00EE6867" w:rsidRPr="00096055">
              <w:t xml:space="preserve">the total consideration less the amount </w:t>
            </w:r>
            <w:r w:rsidR="001F5EF3" w:rsidRPr="00096055">
              <w:t>directly above</w:t>
            </w:r>
          </w:p>
        </w:tc>
      </w:tr>
    </w:tbl>
    <w:p w14:paraId="2CD31CE8" w14:textId="1F2667EB" w:rsidR="00C46EBC" w:rsidRDefault="00A3506A" w:rsidP="00117F90">
      <w:pPr>
        <w:pStyle w:val="AttAbodytext"/>
      </w:pPr>
      <w:r>
        <w:t xml:space="preserve">In both cases, if the actual </w:t>
      </w:r>
      <w:r w:rsidR="00E6074E">
        <w:t xml:space="preserve">action </w:t>
      </w:r>
      <w:r>
        <w:t xml:space="preserve">is a reviewable national security action, the deemed </w:t>
      </w:r>
      <w:r w:rsidR="00E6074E">
        <w:t xml:space="preserve">actions </w:t>
      </w:r>
      <w:r>
        <w:t>are</w:t>
      </w:r>
      <w:r w:rsidR="00C76429">
        <w:t xml:space="preserve"> also</w:t>
      </w:r>
      <w:r>
        <w:t xml:space="preserve"> reviewable national security actions</w:t>
      </w:r>
      <w:r w:rsidR="00A930F0">
        <w:t xml:space="preserve"> (paragraphs </w:t>
      </w:r>
      <w:r w:rsidR="001F1A9E">
        <w:t>56(4)</w:t>
      </w:r>
      <w:r w:rsidR="00A930F0">
        <w:t>(c)</w:t>
      </w:r>
      <w:r w:rsidR="001F1A9E">
        <w:t xml:space="preserve"> and 56(5)(</w:t>
      </w:r>
      <w:r w:rsidR="00A930F0">
        <w:t>c</w:t>
      </w:r>
      <w:r w:rsidR="001F1A9E">
        <w:t>)</w:t>
      </w:r>
      <w:r w:rsidR="00A7499F">
        <w:t>)</w:t>
      </w:r>
      <w:r>
        <w:t>.</w:t>
      </w:r>
    </w:p>
    <w:p w14:paraId="1570A083" w14:textId="77777777" w:rsidR="00BC48B3" w:rsidRPr="00B91D01" w:rsidRDefault="00BC48B3" w:rsidP="00BC48B3">
      <w:pPr>
        <w:pStyle w:val="AttAbodytext"/>
      </w:pPr>
      <w:r>
        <w:t xml:space="preserve">Since agreements for the acquisition of land entities do not always attribute consideration to interests of a particular kind, new subsection 56(6) clarifies that, for the purposes of working out the deemed value of consideration discussed above, consideration is taken </w:t>
      </w:r>
      <w:r w:rsidRPr="003C602E">
        <w:t>to be attributable to particular interests in residential land to the same extent as the total asset value of the land entity is attributable to those interests.</w:t>
      </w:r>
      <w:r>
        <w:t xml:space="preserve"> In practice, this will require apportionment, on a reasonable basis, using the following </w:t>
      </w:r>
      <w:r w:rsidRPr="00B91D01">
        <w:t>formulas:</w:t>
      </w:r>
    </w:p>
    <w:p w14:paraId="1CCA725F" w14:textId="004F3A23" w:rsidR="00BC48B3" w:rsidRPr="00B91D01" w:rsidRDefault="00BC48B3" w:rsidP="00BC48B3">
      <w:pPr>
        <w:pStyle w:val="Bullet"/>
      </w:pPr>
      <w:r w:rsidRPr="00B91D01">
        <w:t xml:space="preserve">For subsection </w:t>
      </w:r>
      <w:r w:rsidR="001F1A9E">
        <w:t>56</w:t>
      </w:r>
      <w:r w:rsidRPr="00B91D01">
        <w:t>(4), in relation to established dwelling land:</w:t>
      </w:r>
    </w:p>
    <w:p w14:paraId="1D926381" w14:textId="77777777" w:rsidR="00BC48B3" w:rsidRPr="00E511E7" w:rsidRDefault="00BC48B3" w:rsidP="00BC48B3">
      <w:pPr>
        <w:pStyle w:val="Bullet"/>
        <w:numPr>
          <w:ilvl w:val="0"/>
          <w:numId w:val="0"/>
        </w:numPr>
        <w:ind w:left="567"/>
      </w:pPr>
      <m:oMathPara>
        <m:oMath>
          <m:r>
            <m:rPr>
              <m:nor/>
            </m:rPr>
            <m:t>Consideration</m:t>
          </m:r>
          <m:r>
            <w:rPr>
              <w:rFonts w:ascii="Cambria Math" w:hAnsi="Cambria Math"/>
            </w:rPr>
            <m:t>×</m:t>
          </m:r>
          <m:f>
            <m:fPr>
              <m:ctrlPr>
                <w:rPr>
                  <w:rFonts w:ascii="Cambria Math" w:hAnsi="Cambria Math"/>
                  <w:i/>
                </w:rPr>
              </m:ctrlPr>
            </m:fPr>
            <m:num>
              <m:r>
                <m:rPr>
                  <m:nor/>
                </m:rPr>
                <m:t>Established dwelling value</m:t>
              </m:r>
            </m:num>
            <m:den>
              <m:r>
                <m:rPr>
                  <m:nor/>
                </m:rPr>
                <m:t>Total asset value</m:t>
              </m:r>
            </m:den>
          </m:f>
        </m:oMath>
      </m:oMathPara>
    </w:p>
    <w:p w14:paraId="14002029" w14:textId="2A222D79" w:rsidR="00BC48B3" w:rsidRPr="00B91D01" w:rsidRDefault="00BC48B3" w:rsidP="00BC48B3">
      <w:pPr>
        <w:pStyle w:val="Bullet"/>
      </w:pPr>
      <w:r w:rsidRPr="00B91D01">
        <w:t xml:space="preserve">For subsection </w:t>
      </w:r>
      <w:r w:rsidR="001F1A9E">
        <w:t>56</w:t>
      </w:r>
      <w:r w:rsidRPr="00B91D01">
        <w:t>(5), in relation to other interests:</w:t>
      </w:r>
    </w:p>
    <w:p w14:paraId="63DE85A1" w14:textId="77777777" w:rsidR="00BC48B3" w:rsidRPr="00CE4863" w:rsidRDefault="00BC48B3" w:rsidP="00BC48B3">
      <w:pPr>
        <w:pStyle w:val="Bullet"/>
        <w:numPr>
          <w:ilvl w:val="0"/>
          <w:numId w:val="0"/>
        </w:numPr>
        <w:ind w:left="567"/>
      </w:pPr>
      <m:oMathPara>
        <m:oMath>
          <m:r>
            <m:rPr>
              <m:nor/>
            </m:rPr>
            <m:t xml:space="preserve">Consideration </m:t>
          </m:r>
          <m:r>
            <m:rPr>
              <m:nor/>
            </m:rPr>
            <w:rPr>
              <w:rFonts w:ascii="Cambria Math" w:hAnsi="Cambria Math"/>
            </w:rPr>
            <m:t>×</m:t>
          </m:r>
          <m:f>
            <m:fPr>
              <m:ctrlPr>
                <w:rPr>
                  <w:rFonts w:ascii="Cambria Math" w:hAnsi="Cambria Math"/>
                  <w:i/>
                </w:rPr>
              </m:ctrlPr>
            </m:fPr>
            <m:num>
              <m:r>
                <m:rPr>
                  <m:nor/>
                </m:rPr>
                <m:t xml:space="preserve">Total asset value </m:t>
              </m:r>
              <m:r>
                <m:rPr>
                  <m:sty m:val="p"/>
                </m:rPr>
                <w:rPr>
                  <w:rFonts w:ascii="Cambria Math" w:hAnsi="Cambria Math"/>
                </w:rPr>
                <m:t>-</m:t>
              </m:r>
              <m:r>
                <w:rPr>
                  <w:rFonts w:ascii="Cambria Math"/>
                </w:rPr>
                <m:t xml:space="preserve"> </m:t>
              </m:r>
              <m:r>
                <m:rPr>
                  <m:nor/>
                </m:rPr>
                <m:t>Established dwelling value</m:t>
              </m:r>
            </m:num>
            <m:den>
              <m:r>
                <m:rPr>
                  <m:nor/>
                </m:rPr>
                <m:t>Total asset value</m:t>
              </m:r>
            </m:den>
          </m:f>
        </m:oMath>
      </m:oMathPara>
    </w:p>
    <w:p w14:paraId="6AB96F4A" w14:textId="77777777" w:rsidR="00BC48B3" w:rsidRPr="00B91D01" w:rsidRDefault="00BC48B3" w:rsidP="00BC48B3">
      <w:pPr>
        <w:pStyle w:val="AttAbodytext"/>
      </w:pPr>
      <w:r w:rsidRPr="00B91D01">
        <w:t>In these formulas:</w:t>
      </w:r>
    </w:p>
    <w:p w14:paraId="66EF691C" w14:textId="77777777" w:rsidR="00BC48B3" w:rsidRDefault="00BC48B3" w:rsidP="00BC48B3">
      <w:pPr>
        <w:pStyle w:val="Bullet"/>
      </w:pPr>
      <w:r w:rsidRPr="00B91D01">
        <w:t>“Considerat</w:t>
      </w:r>
      <w:r>
        <w:t>ion” means the consideration for the actual acquisition;</w:t>
      </w:r>
    </w:p>
    <w:p w14:paraId="09A04159" w14:textId="77777777" w:rsidR="00BC48B3" w:rsidRDefault="00BC48B3" w:rsidP="00BC48B3">
      <w:pPr>
        <w:pStyle w:val="Bullet"/>
      </w:pPr>
      <w:r>
        <w:t>“Established dwelling value” is the part of the total assets value for the land entity attributable to the interests in established dwelling land; and</w:t>
      </w:r>
    </w:p>
    <w:p w14:paraId="63F7B591" w14:textId="415E23AB" w:rsidR="00BC48B3" w:rsidRDefault="00BC48B3" w:rsidP="00BC48B3">
      <w:pPr>
        <w:pStyle w:val="Bullet"/>
      </w:pPr>
      <w:r>
        <w:t xml:space="preserve">“Total asset value” is the total asset value </w:t>
      </w:r>
      <w:r w:rsidR="00C76429">
        <w:t xml:space="preserve">for </w:t>
      </w:r>
      <w:r>
        <w:t>the land entity.</w:t>
      </w:r>
    </w:p>
    <w:p w14:paraId="7A89D0CB" w14:textId="4B0129CB" w:rsidR="003B029E" w:rsidRDefault="0087649E" w:rsidP="003B029E">
      <w:pPr>
        <w:pStyle w:val="AttAbodytext"/>
      </w:pPr>
      <w:r>
        <w:lastRenderedPageBreak/>
        <w:t xml:space="preserve">The effect of creating 2 deemed </w:t>
      </w:r>
      <w:r w:rsidR="00EA5143">
        <w:t xml:space="preserve">actions </w:t>
      </w:r>
      <w:r>
        <w:t xml:space="preserve">is, to require apportionment of the consideration </w:t>
      </w:r>
      <w:r w:rsidR="0042246E">
        <w:t xml:space="preserve">for </w:t>
      </w:r>
      <w:r>
        <w:t xml:space="preserve">the actual action between established dwelling land </w:t>
      </w:r>
      <w:r w:rsidR="00747ECD">
        <w:t xml:space="preserve">held by the entity </w:t>
      </w:r>
      <w:r>
        <w:t xml:space="preserve">and other </w:t>
      </w:r>
      <w:r w:rsidR="003B029E">
        <w:t xml:space="preserve">interests </w:t>
      </w:r>
      <w:r>
        <w:t xml:space="preserve">for the purposes of the </w:t>
      </w:r>
      <w:r w:rsidR="001F1A9E">
        <w:t xml:space="preserve">Fees </w:t>
      </w:r>
      <w:r>
        <w:t>Regulation</w:t>
      </w:r>
      <w:r w:rsidR="00883FBB">
        <w:t>s</w:t>
      </w:r>
      <w:r w:rsidR="00BE390F">
        <w:t xml:space="preserve"> </w:t>
      </w:r>
      <w:r w:rsidR="006C4253">
        <w:t xml:space="preserve">(with </w:t>
      </w:r>
      <w:r w:rsidR="00782EA8">
        <w:t xml:space="preserve">these other interests being treated as </w:t>
      </w:r>
      <w:r w:rsidR="00150EEB">
        <w:t xml:space="preserve">interests in residential land </w:t>
      </w:r>
      <w:r w:rsidR="00A51F77">
        <w:t>for the purposes of working out the fee)</w:t>
      </w:r>
      <w:r>
        <w:t xml:space="preserve">. This </w:t>
      </w:r>
      <w:r w:rsidR="00EA566E">
        <w:t>is then</w:t>
      </w:r>
      <w:r>
        <w:t xml:space="preserve"> used as the basis for </w:t>
      </w:r>
      <w:r w:rsidR="004E6E2A">
        <w:t xml:space="preserve">calculating </w:t>
      </w:r>
      <w:r>
        <w:t>fees</w:t>
      </w:r>
      <w:r w:rsidR="004E6E2A">
        <w:t xml:space="preserve"> under the rest of the </w:t>
      </w:r>
      <w:r w:rsidR="001F1A9E">
        <w:t xml:space="preserve">Fees </w:t>
      </w:r>
      <w:r w:rsidR="00883FBB">
        <w:t>Regulations</w:t>
      </w:r>
      <w:r w:rsidR="00B66779">
        <w:t xml:space="preserve">, </w:t>
      </w:r>
      <w:r w:rsidR="00906B9E">
        <w:t>including the</w:t>
      </w:r>
      <w:r w:rsidR="00B66779">
        <w:t xml:space="preserve"> </w:t>
      </w:r>
      <w:r w:rsidR="00217A8C">
        <w:t xml:space="preserve">provisions </w:t>
      </w:r>
      <w:r w:rsidR="00B66779">
        <w:t xml:space="preserve">in Subdivision B of Division 2 of Part 4 </w:t>
      </w:r>
      <w:r w:rsidR="00EA1BE2">
        <w:t xml:space="preserve">(discussed </w:t>
      </w:r>
      <w:r w:rsidR="00906B9E">
        <w:t xml:space="preserve">further </w:t>
      </w:r>
      <w:r w:rsidR="00EA1BE2">
        <w:t xml:space="preserve">below) and </w:t>
      </w:r>
      <w:r w:rsidR="00217A8C">
        <w:t xml:space="preserve">the provisions </w:t>
      </w:r>
      <w:r w:rsidR="00906B9E">
        <w:t xml:space="preserve">in </w:t>
      </w:r>
      <w:r w:rsidR="00217A8C">
        <w:t>Division 7 of Part 2</w:t>
      </w:r>
      <w:r>
        <w:t>.</w:t>
      </w:r>
      <w:r w:rsidR="003B029E" w:rsidRPr="003B029E">
        <w:t xml:space="preserve"> </w:t>
      </w:r>
    </w:p>
    <w:p w14:paraId="2E71BA95" w14:textId="3E5205AF" w:rsidR="00AB3B9B" w:rsidRDefault="00C2202B" w:rsidP="00C2202B">
      <w:pPr>
        <w:pStyle w:val="Heading5"/>
      </w:pPr>
      <w:r>
        <w:t>Working out the fee payable</w:t>
      </w:r>
      <w:r w:rsidR="00BC48B3">
        <w:t xml:space="preserve"> – single agreement rules</w:t>
      </w:r>
    </w:p>
    <w:p w14:paraId="4C1EA134" w14:textId="313A0C8A" w:rsidR="00B65896" w:rsidRDefault="00906B9E" w:rsidP="00117F90">
      <w:pPr>
        <w:pStyle w:val="AttAbodytext"/>
      </w:pPr>
      <w:r>
        <w:t>If</w:t>
      </w:r>
      <w:r w:rsidRPr="006802BB">
        <w:t xml:space="preserve"> </w:t>
      </w:r>
      <w:r w:rsidR="0087649E" w:rsidRPr="006802BB">
        <w:t>the</w:t>
      </w:r>
      <w:r w:rsidR="009A4394">
        <w:t>se</w:t>
      </w:r>
      <w:r w:rsidR="0087649E" w:rsidRPr="006802BB">
        <w:t xml:space="preserve"> two deemed acti</w:t>
      </w:r>
      <w:r w:rsidR="0087649E" w:rsidRPr="009A4394">
        <w:t xml:space="preserve">ons </w:t>
      </w:r>
      <w:r>
        <w:t>are</w:t>
      </w:r>
      <w:r w:rsidR="0087649E" w:rsidRPr="009A4394">
        <w:t xml:space="preserve"> covere</w:t>
      </w:r>
      <w:r w:rsidR="0087649E" w:rsidRPr="006802BB">
        <w:t>d by a single agreement</w:t>
      </w:r>
      <w:r w:rsidR="00184460">
        <w:t xml:space="preserve"> (</w:t>
      </w:r>
      <w:r>
        <w:t>such as an</w:t>
      </w:r>
      <w:r w:rsidR="00893052">
        <w:t xml:space="preserve"> </w:t>
      </w:r>
      <w:r w:rsidR="00641B8B">
        <w:t xml:space="preserve">agreement </w:t>
      </w:r>
      <w:r w:rsidR="009A4394">
        <w:t>under</w:t>
      </w:r>
      <w:r w:rsidR="00924A1D">
        <w:t xml:space="preserve"> which </w:t>
      </w:r>
      <w:r>
        <w:t xml:space="preserve">an </w:t>
      </w:r>
      <w:r w:rsidR="00924A1D">
        <w:t xml:space="preserve">interest in </w:t>
      </w:r>
      <w:r>
        <w:t xml:space="preserve">a </w:t>
      </w:r>
      <w:r w:rsidR="00924A1D">
        <w:t>land entity is acquired</w:t>
      </w:r>
      <w:r w:rsidR="00184460">
        <w:t>)</w:t>
      </w:r>
      <w:r w:rsidR="006B1C4C">
        <w:t>,</w:t>
      </w:r>
      <w:r w:rsidR="0087649E" w:rsidRPr="006802BB" w:rsidDel="00064299">
        <w:t xml:space="preserve"> </w:t>
      </w:r>
      <w:r w:rsidR="0087649E" w:rsidRPr="006802BB">
        <w:t>section</w:t>
      </w:r>
      <w:r w:rsidR="00FB56BC">
        <w:t> </w:t>
      </w:r>
      <w:r w:rsidR="00163DA9">
        <w:t>51</w:t>
      </w:r>
      <w:r w:rsidR="0087649E" w:rsidRPr="006802BB" w:rsidDel="00FB56BC">
        <w:t xml:space="preserve"> </w:t>
      </w:r>
      <w:r w:rsidR="0087649E">
        <w:t>work</w:t>
      </w:r>
      <w:r w:rsidR="00B65896">
        <w:t>s</w:t>
      </w:r>
      <w:r w:rsidR="0087649E">
        <w:t xml:space="preserve"> out the fee payable under sections 49 and 50</w:t>
      </w:r>
      <w:r w:rsidR="00163DA9">
        <w:t xml:space="preserve">. </w:t>
      </w:r>
      <w:r w:rsidR="006B1C4C">
        <w:t>Generally</w:t>
      </w:r>
      <w:r w:rsidR="0087649E">
        <w:t>, section</w:t>
      </w:r>
      <w:r w:rsidR="00064299">
        <w:t> </w:t>
      </w:r>
      <w:r w:rsidR="0087649E">
        <w:t>49 </w:t>
      </w:r>
      <w:r w:rsidR="004E6E2A">
        <w:t xml:space="preserve">modifies and replaces the </w:t>
      </w:r>
      <w:r w:rsidR="0087649E">
        <w:t xml:space="preserve">fee that would otherwise be payable under the </w:t>
      </w:r>
      <w:r w:rsidR="00D32BE4">
        <w:t xml:space="preserve">Fees Act </w:t>
      </w:r>
      <w:r w:rsidR="004E6E2A">
        <w:t xml:space="preserve">with </w:t>
      </w:r>
      <w:r w:rsidR="00373CEB">
        <w:t xml:space="preserve">amounts worked out </w:t>
      </w:r>
      <w:r w:rsidR="0046250F">
        <w:t xml:space="preserve">under </w:t>
      </w:r>
      <w:r w:rsidR="00FA14C8">
        <w:t>various sections including section 51</w:t>
      </w:r>
      <w:r w:rsidR="0087649E">
        <w:t xml:space="preserve">. </w:t>
      </w:r>
      <w:r w:rsidR="00B65896">
        <w:t>If</w:t>
      </w:r>
      <w:r w:rsidR="004220EF">
        <w:t>:</w:t>
      </w:r>
    </w:p>
    <w:p w14:paraId="290B6AAB" w14:textId="4BB28A26" w:rsidR="004220EF" w:rsidRDefault="004220EF" w:rsidP="004220EF">
      <w:pPr>
        <w:pStyle w:val="Bullet"/>
      </w:pPr>
      <w:r>
        <w:t>a single agreement (such as an agreement under which an interest in a land entity is acquired) covers more than one action which is an acquisition of an interest in Australian land or in a tenement (for example, the 2 deemed actions described above)</w:t>
      </w:r>
      <w:r w:rsidR="00D4160B">
        <w:t>;</w:t>
      </w:r>
      <w:r>
        <w:t xml:space="preserve"> and</w:t>
      </w:r>
    </w:p>
    <w:p w14:paraId="3607E170" w14:textId="1B6ABD75" w:rsidR="004220EF" w:rsidRDefault="004220EF" w:rsidP="004220EF">
      <w:pPr>
        <w:pStyle w:val="Bullet"/>
      </w:pPr>
      <w:r>
        <w:t>residential land is the dominant kind of land</w:t>
      </w:r>
      <w:r w:rsidR="00D4160B">
        <w:t>;</w:t>
      </w:r>
      <w:r>
        <w:t xml:space="preserve"> and</w:t>
      </w:r>
    </w:p>
    <w:p w14:paraId="67604BD1" w14:textId="68F2E953" w:rsidR="004220EF" w:rsidRDefault="004220EF" w:rsidP="004220EF">
      <w:pPr>
        <w:pStyle w:val="Bullet"/>
      </w:pPr>
      <w:r>
        <w:t xml:space="preserve">one or more of the actions covered by the agreement (including one of the 2 deemed actions described above) is an acquisition of established dwelling </w:t>
      </w:r>
      <w:proofErr w:type="gramStart"/>
      <w:r>
        <w:t>land</w:t>
      </w:r>
      <w:r w:rsidR="00D4160B">
        <w:t>;</w:t>
      </w:r>
      <w:proofErr w:type="gramEnd"/>
      <w:r>
        <w:t xml:space="preserve"> </w:t>
      </w:r>
    </w:p>
    <w:p w14:paraId="2DC5083A" w14:textId="1E5D651A" w:rsidR="001B323E" w:rsidRDefault="00064299" w:rsidP="00117F90">
      <w:pPr>
        <w:pStyle w:val="AttAbodytext"/>
      </w:pPr>
      <w:r>
        <w:t xml:space="preserve">then </w:t>
      </w:r>
      <w:r w:rsidR="00531400">
        <w:t xml:space="preserve">under subsection 51(5), the </w:t>
      </w:r>
      <w:r w:rsidR="00B5349F">
        <w:t xml:space="preserve">fee payable </w:t>
      </w:r>
      <w:r w:rsidR="004220EF">
        <w:t>is usually</w:t>
      </w:r>
      <w:r w:rsidR="00D118E5">
        <w:t xml:space="preserve"> </w:t>
      </w:r>
      <w:r w:rsidR="00B5349F">
        <w:t>the sum of:</w:t>
      </w:r>
    </w:p>
    <w:p w14:paraId="6CCD3AB1" w14:textId="646C5304" w:rsidR="00605DC0" w:rsidRDefault="00C01583" w:rsidP="00B5349F">
      <w:pPr>
        <w:pStyle w:val="Bullet"/>
      </w:pPr>
      <w:r>
        <w:t>t</w:t>
      </w:r>
      <w:r w:rsidR="00B5349F">
        <w:t xml:space="preserve">he fee </w:t>
      </w:r>
      <w:r w:rsidR="00605DC0">
        <w:t xml:space="preserve">that would otherwise apply </w:t>
      </w:r>
      <w:r w:rsidR="00605DC0" w:rsidRPr="00605DC0">
        <w:t xml:space="preserve">under the </w:t>
      </w:r>
      <w:r w:rsidR="00FB62A3">
        <w:t>Fees</w:t>
      </w:r>
      <w:r w:rsidR="00605DC0" w:rsidRPr="00605DC0">
        <w:t xml:space="preserve"> Regulation</w:t>
      </w:r>
      <w:r w:rsidR="00CD2DED">
        <w:t>s</w:t>
      </w:r>
      <w:r w:rsidR="00605DC0" w:rsidRPr="00605DC0">
        <w:t xml:space="preserve"> for a</w:t>
      </w:r>
      <w:r w:rsidR="004220EF">
        <w:t>n action which is an</w:t>
      </w:r>
      <w:r w:rsidR="00F80584">
        <w:t xml:space="preserve"> acquisition </w:t>
      </w:r>
      <w:r w:rsidR="0039551C">
        <w:t xml:space="preserve">of an interest </w:t>
      </w:r>
      <w:r w:rsidR="00605DC0" w:rsidRPr="00605DC0">
        <w:t xml:space="preserve">in </w:t>
      </w:r>
      <w:r w:rsidR="00605DC0">
        <w:t xml:space="preserve">established dwelling land </w:t>
      </w:r>
      <w:r w:rsidR="00C4751F">
        <w:t xml:space="preserve">with the deemed consideration </w:t>
      </w:r>
      <w:r w:rsidR="00BA05C6">
        <w:t xml:space="preserve">set out in the table </w:t>
      </w:r>
      <w:r w:rsidR="00C4751F">
        <w:t>above (in addition to the consideration for any other established dwelling land)</w:t>
      </w:r>
      <w:r w:rsidR="00681442">
        <w:t xml:space="preserve">; </w:t>
      </w:r>
      <w:r w:rsidR="00C4751F">
        <w:t>and</w:t>
      </w:r>
    </w:p>
    <w:p w14:paraId="6854B890" w14:textId="3237E92E" w:rsidR="00C4751F" w:rsidRDefault="00C01583" w:rsidP="00B5349F">
      <w:pPr>
        <w:pStyle w:val="Bullet"/>
      </w:pPr>
      <w:r>
        <w:t>t</w:t>
      </w:r>
      <w:r w:rsidR="00A43BA7">
        <w:t xml:space="preserve">he fee that would otherwise apply </w:t>
      </w:r>
      <w:r w:rsidR="00A43BA7" w:rsidRPr="00605DC0">
        <w:t xml:space="preserve">under the </w:t>
      </w:r>
      <w:r w:rsidR="0081497E">
        <w:t>Fees</w:t>
      </w:r>
      <w:r w:rsidR="00A43BA7" w:rsidRPr="00605DC0">
        <w:t xml:space="preserve"> Regulation</w:t>
      </w:r>
      <w:r w:rsidR="00CD2DED">
        <w:t>s</w:t>
      </w:r>
      <w:r w:rsidR="00A43BA7">
        <w:t xml:space="preserve"> for a</w:t>
      </w:r>
      <w:r w:rsidR="00681442">
        <w:t>n acquisition action which is an acquisition</w:t>
      </w:r>
      <w:r w:rsidR="00F80584">
        <w:t xml:space="preserve"> </w:t>
      </w:r>
      <w:r w:rsidR="0039551C">
        <w:t xml:space="preserve">of an interest </w:t>
      </w:r>
      <w:r w:rsidR="00F80584">
        <w:t xml:space="preserve">in residential land </w:t>
      </w:r>
      <w:r w:rsidR="00B64A1F">
        <w:t xml:space="preserve">that is </w:t>
      </w:r>
      <w:r w:rsidR="00B64A1F" w:rsidRPr="00B609F5">
        <w:rPr>
          <w:i/>
          <w:iCs/>
        </w:rPr>
        <w:t>not</w:t>
      </w:r>
      <w:r w:rsidR="00B64A1F">
        <w:t xml:space="preserve"> </w:t>
      </w:r>
      <w:r w:rsidR="00814994">
        <w:t xml:space="preserve">established dwelling land, with the deemed consideration also </w:t>
      </w:r>
      <w:r w:rsidR="007B2C9B">
        <w:t xml:space="preserve">set </w:t>
      </w:r>
      <w:r w:rsidR="00BA05C6">
        <w:t xml:space="preserve">out in the </w:t>
      </w:r>
      <w:r w:rsidR="00814994">
        <w:t xml:space="preserve">above </w:t>
      </w:r>
      <w:r w:rsidR="001F70F5">
        <w:t>table</w:t>
      </w:r>
      <w:r w:rsidR="00814994">
        <w:t xml:space="preserve"> (in addition to the consideration for any other acquisition of land</w:t>
      </w:r>
      <w:r w:rsidR="008179A8">
        <w:t xml:space="preserve"> which is not established dwelling land</w:t>
      </w:r>
      <w:r w:rsidR="00814994">
        <w:t>).</w:t>
      </w:r>
    </w:p>
    <w:p w14:paraId="62E6E52F" w14:textId="1CC0FF04" w:rsidR="00E03D6F" w:rsidRDefault="00681442" w:rsidP="00A60033">
      <w:pPr>
        <w:pStyle w:val="AttAbodytext"/>
      </w:pPr>
      <w:r>
        <w:t>P</w:t>
      </w:r>
      <w:r w:rsidR="001868B3">
        <w:t>aragraph</w:t>
      </w:r>
      <w:r w:rsidR="001F70F5">
        <w:t>s</w:t>
      </w:r>
      <w:r w:rsidR="001868B3">
        <w:t> </w:t>
      </w:r>
      <w:r w:rsidR="001F70F5">
        <w:t>56(4)</w:t>
      </w:r>
      <w:r w:rsidR="001868B3">
        <w:t>(c)</w:t>
      </w:r>
      <w:r w:rsidR="001F70F5">
        <w:t xml:space="preserve"> and 56(5)(c),</w:t>
      </w:r>
      <w:r w:rsidR="00AD33CE">
        <w:t xml:space="preserve"> and new subsection (6) together </w:t>
      </w:r>
      <w:r w:rsidR="001868B3">
        <w:t>appl</w:t>
      </w:r>
      <w:r w:rsidR="00AD33CE">
        <w:t xml:space="preserve">y </w:t>
      </w:r>
      <w:r w:rsidR="001868B3">
        <w:t>a</w:t>
      </w:r>
      <w:r>
        <w:t>n adjusted</w:t>
      </w:r>
      <w:r w:rsidR="001868B3">
        <w:t xml:space="preserve"> </w:t>
      </w:r>
      <w:r w:rsidR="004E1370">
        <w:t>maximum</w:t>
      </w:r>
      <w:r w:rsidR="00183636">
        <w:t xml:space="preserve"> </w:t>
      </w:r>
      <w:r w:rsidR="00AD2CC7">
        <w:t xml:space="preserve">to this amount </w:t>
      </w:r>
      <w:r w:rsidR="00D26B43">
        <w:t xml:space="preserve">through a modified application of </w:t>
      </w:r>
      <w:r w:rsidR="00EF5BDC">
        <w:t xml:space="preserve">the formula contained in subsection 33(4). </w:t>
      </w:r>
      <w:r w:rsidR="00B23690">
        <w:t xml:space="preserve">The modifications </w:t>
      </w:r>
      <w:r w:rsidR="00AD33CE">
        <w:t xml:space="preserve">substitute the </w:t>
      </w:r>
      <w:r w:rsidR="00E7224E">
        <w:t>definition of “</w:t>
      </w:r>
      <w:r w:rsidR="00AD33CE">
        <w:t>established dwelling fee</w:t>
      </w:r>
      <w:r w:rsidR="00E7224E">
        <w:t xml:space="preserve">” in subsection 33(4) with the </w:t>
      </w:r>
      <w:r w:rsidR="00984683">
        <w:t>fee under p</w:t>
      </w:r>
      <w:r w:rsidR="00E7224E">
        <w:t xml:space="preserve">aragraph 51(5)(a) </w:t>
      </w:r>
      <w:r w:rsidR="00AD33CE">
        <w:t xml:space="preserve">worked out above. </w:t>
      </w:r>
      <w:r w:rsidR="00E03D6F">
        <w:t xml:space="preserve">This would largely operate the same way as subsection 51(5) prior to the amendments. </w:t>
      </w:r>
    </w:p>
    <w:p w14:paraId="0AD9BCBA" w14:textId="63FAF843" w:rsidR="00EA4DD8" w:rsidRPr="00844849" w:rsidRDefault="00ED718F" w:rsidP="00C923FC">
      <w:pPr>
        <w:pStyle w:val="AttAbodytext"/>
        <w:rPr>
          <w:color w:val="FF0000"/>
        </w:rPr>
      </w:pPr>
      <w:r>
        <w:t xml:space="preserve">Subsection 33(4) was also inserted by the </w:t>
      </w:r>
      <w:r w:rsidR="00115D87" w:rsidRPr="007100D1">
        <w:rPr>
          <w:i/>
          <w:iCs/>
        </w:rPr>
        <w:t xml:space="preserve">Foreign Acquisitions and Takeovers </w:t>
      </w:r>
      <w:r w:rsidR="0046587E" w:rsidRPr="007100D1">
        <w:rPr>
          <w:i/>
        </w:rPr>
        <w:t xml:space="preserve">Fees Imposition </w:t>
      </w:r>
      <w:r w:rsidRPr="007100D1">
        <w:rPr>
          <w:i/>
        </w:rPr>
        <w:t>Amendment Act</w:t>
      </w:r>
      <w:r w:rsidR="0046587E">
        <w:rPr>
          <w:i/>
        </w:rPr>
        <w:t> </w:t>
      </w:r>
      <w:r w:rsidR="0046587E" w:rsidRPr="007100D1">
        <w:rPr>
          <w:i/>
        </w:rPr>
        <w:t>2024</w:t>
      </w:r>
      <w:r>
        <w:t>.</w:t>
      </w:r>
      <w:r w:rsidR="001457CF">
        <w:t xml:space="preserve"> </w:t>
      </w:r>
      <w:r w:rsidR="00B92AEC">
        <w:t>For a d</w:t>
      </w:r>
      <w:r w:rsidR="0079362D">
        <w:t xml:space="preserve">etailed explanation of </w:t>
      </w:r>
      <w:r w:rsidR="007E4C5E">
        <w:t xml:space="preserve">subsection 51(5), its relationship with section 33 of the </w:t>
      </w:r>
      <w:r w:rsidR="005648A4">
        <w:t>Fees</w:t>
      </w:r>
      <w:r w:rsidR="007E4C5E">
        <w:t xml:space="preserve"> Regulations, and</w:t>
      </w:r>
      <w:r w:rsidR="00402146">
        <w:t xml:space="preserve"> </w:t>
      </w:r>
      <w:r w:rsidR="00542450">
        <w:t xml:space="preserve">the modified operation of </w:t>
      </w:r>
      <w:r w:rsidR="000D125D">
        <w:t xml:space="preserve">the fee </w:t>
      </w:r>
      <w:r w:rsidR="00542450">
        <w:t xml:space="preserve">provisions applicable to applications for exemption certificates </w:t>
      </w:r>
      <w:r w:rsidR="000D125D">
        <w:t xml:space="preserve">in relation to established dwelling land </w:t>
      </w:r>
      <w:r w:rsidR="007E4C5E">
        <w:t>general</w:t>
      </w:r>
      <w:r w:rsidR="00CB382D">
        <w:t>ly</w:t>
      </w:r>
      <w:r w:rsidR="007E4C5E">
        <w:t>, see paragraphs</w:t>
      </w:r>
      <w:r w:rsidR="003F1616">
        <w:t xml:space="preserve"> 2.54 to 2.65 and 2.43 to 2.49 of the explanatory memorandum to the </w:t>
      </w:r>
      <w:r w:rsidR="00EC22FD">
        <w:t xml:space="preserve">originating </w:t>
      </w:r>
      <w:r w:rsidR="000541D3">
        <w:t>B</w:t>
      </w:r>
      <w:r w:rsidR="003F1616">
        <w:t xml:space="preserve">ill </w:t>
      </w:r>
      <w:r w:rsidR="00EC22FD">
        <w:t xml:space="preserve">for the </w:t>
      </w:r>
      <w:r w:rsidR="00115D87" w:rsidRPr="007100D1">
        <w:rPr>
          <w:i/>
          <w:iCs/>
        </w:rPr>
        <w:t xml:space="preserve">Foreign Acquisitions and Takeovers </w:t>
      </w:r>
      <w:r w:rsidR="00F730C6" w:rsidRPr="007100D1">
        <w:rPr>
          <w:i/>
        </w:rPr>
        <w:t xml:space="preserve">Fees </w:t>
      </w:r>
      <w:r w:rsidR="00F730C6" w:rsidRPr="007100D1">
        <w:rPr>
          <w:i/>
        </w:rPr>
        <w:lastRenderedPageBreak/>
        <w:t>Imposition Amendment Act</w:t>
      </w:r>
      <w:r w:rsidR="00F730C6">
        <w:rPr>
          <w:i/>
        </w:rPr>
        <w:t> </w:t>
      </w:r>
      <w:r w:rsidR="00F730C6" w:rsidRPr="007100D1">
        <w:rPr>
          <w:i/>
        </w:rPr>
        <w:t>2024</w:t>
      </w:r>
      <w:r w:rsidR="00F730C6" w:rsidRPr="00115D87">
        <w:rPr>
          <w:i/>
        </w:rPr>
        <w:t xml:space="preserve"> </w:t>
      </w:r>
      <w:r w:rsidR="00F730C6">
        <w:t xml:space="preserve">(the </w:t>
      </w:r>
      <w:r w:rsidR="000033D0">
        <w:rPr>
          <w:i/>
          <w:iCs/>
        </w:rPr>
        <w:t>Foreign Acquisitions and Takeovers Fees Imposition Amendment Bill 2024</w:t>
      </w:r>
      <w:r w:rsidR="000033D0">
        <w:t>).</w:t>
      </w:r>
      <w:r w:rsidR="00EA4DD8" w:rsidRPr="00844849">
        <w:rPr>
          <w:color w:val="FF0000"/>
        </w:rPr>
        <w:br w:type="page"/>
      </w:r>
    </w:p>
    <w:p w14:paraId="5E29EC88" w14:textId="29E17433" w:rsidR="0093421F" w:rsidRPr="003C5719" w:rsidRDefault="007A55A7" w:rsidP="0093421F">
      <w:pPr>
        <w:pageBreakBefore/>
        <w:spacing w:before="240"/>
        <w:jc w:val="right"/>
        <w:rPr>
          <w:b/>
          <w:u w:val="single"/>
        </w:rPr>
      </w:pPr>
      <w:r w:rsidRPr="003C5719">
        <w:rPr>
          <w:b/>
          <w:u w:val="single"/>
        </w:rPr>
        <w:lastRenderedPageBreak/>
        <w:t xml:space="preserve">ATTACHMENT </w:t>
      </w:r>
      <w:r w:rsidR="001B7A2F">
        <w:rPr>
          <w:b/>
          <w:u w:val="single"/>
        </w:rPr>
        <w:t>B</w:t>
      </w:r>
    </w:p>
    <w:p w14:paraId="09D8A9EB" w14:textId="77777777" w:rsidR="00E4438C" w:rsidRPr="003C5719" w:rsidRDefault="00E4438C" w:rsidP="00883863">
      <w:pPr>
        <w:pStyle w:val="Heading3"/>
        <w:jc w:val="center"/>
      </w:pPr>
      <w:r w:rsidRPr="003C5719">
        <w:t>Statement of Compatibility with Human Rights</w:t>
      </w:r>
    </w:p>
    <w:p w14:paraId="57FB4E46"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5EF6AC38" w14:textId="0D44F5C2" w:rsidR="00E4438C" w:rsidRPr="003C5719" w:rsidRDefault="009430EE" w:rsidP="004A27A8">
      <w:pPr>
        <w:pStyle w:val="Heading3"/>
        <w:jc w:val="center"/>
      </w:pPr>
      <w:r w:rsidRPr="009430EE">
        <w:t>Foreign Acquisitions and Takeovers Fees Imposition Amendment (Technical Amendments) Regulations 2024</w:t>
      </w:r>
    </w:p>
    <w:p w14:paraId="3839C38D" w14:textId="610917E4"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w:t>
      </w:r>
      <w:r w:rsidR="00193BC3">
        <w:rPr>
          <w:i/>
        </w:rPr>
        <w:t> </w:t>
      </w:r>
      <w:r w:rsidRPr="003C5719">
        <w:rPr>
          <w:i/>
        </w:rPr>
        <w:t>2011</w:t>
      </w:r>
      <w:r w:rsidRPr="003C5719">
        <w:t>.</w:t>
      </w:r>
    </w:p>
    <w:p w14:paraId="1B0FBE95" w14:textId="4CA1EE15" w:rsidR="00E4438C" w:rsidRPr="003C5719" w:rsidRDefault="00E4438C" w:rsidP="004A27A8">
      <w:pPr>
        <w:pStyle w:val="Heading3"/>
      </w:pPr>
      <w:r w:rsidRPr="003C5719">
        <w:t>Overview of the Legislative Instrument</w:t>
      </w:r>
    </w:p>
    <w:p w14:paraId="583EE221" w14:textId="77777777" w:rsidR="00941A98" w:rsidRDefault="00941A98" w:rsidP="00941A98">
      <w:pPr>
        <w:spacing w:before="240"/>
      </w:pPr>
      <w:r>
        <w:rPr>
          <w:color w:val="000000"/>
        </w:rPr>
        <w:t>The </w:t>
      </w:r>
      <w:r>
        <w:rPr>
          <w:i/>
          <w:iCs/>
          <w:color w:val="000000"/>
        </w:rPr>
        <w:t>Foreign Acquisitions and Takeovers Fees Imposition Act 2015</w:t>
      </w:r>
      <w:r>
        <w:rPr>
          <w:color w:val="000000"/>
        </w:rPr>
        <w:t xml:space="preserve"> (the Fees Act) establishes a framework to impose, as taxes, fees paid by regarding regulated actions under the </w:t>
      </w:r>
      <w:r>
        <w:rPr>
          <w:i/>
          <w:iCs/>
          <w:color w:val="000000"/>
        </w:rPr>
        <w:t>Foreign Acquisitions and Takeovers Act 1975</w:t>
      </w:r>
      <w:r>
        <w:rPr>
          <w:color w:val="000000"/>
        </w:rPr>
        <w:t> (FATA).</w:t>
      </w:r>
    </w:p>
    <w:p w14:paraId="7F75E766" w14:textId="77777777" w:rsidR="00941A98" w:rsidRDefault="00941A98" w:rsidP="00941A98">
      <w:pPr>
        <w:spacing w:before="240"/>
        <w:rPr>
          <w:color w:val="000000"/>
        </w:rPr>
      </w:pPr>
      <w:r>
        <w:rPr>
          <w:color w:val="000000"/>
        </w:rPr>
        <w:t>Section 13 of the Fees Act provides that the Governor-General may make regulations prescribing matters required or permitted by the Act to be prescribed, or necessary or convenient to be prescribed for carrying out or giving effect to the Act. Subsection 6(1) of the Fees Act provides that the amounts of fees imposed by the Act for actions under the FATA are to be worked out in accordance with the regulations.</w:t>
      </w:r>
    </w:p>
    <w:p w14:paraId="693B24F8" w14:textId="77777777" w:rsidR="00941A98" w:rsidRDefault="00941A98" w:rsidP="00941A98">
      <w:pPr>
        <w:spacing w:before="240"/>
      </w:pPr>
      <w:r>
        <w:rPr>
          <w:color w:val="000000"/>
        </w:rPr>
        <w:t>The </w:t>
      </w:r>
      <w:r>
        <w:rPr>
          <w:i/>
          <w:iCs/>
          <w:color w:val="000000"/>
        </w:rPr>
        <w:t>Foreign Acquisitions and Takeovers Fees Imposition Regulations 2020 </w:t>
      </w:r>
      <w:r>
        <w:rPr>
          <w:color w:val="000000"/>
        </w:rPr>
        <w:t>(the Fees Regulations) prescribe methods for working out the amount of fees imposed by the Act, regarding regulated actions under the FATA.</w:t>
      </w:r>
    </w:p>
    <w:p w14:paraId="5BBD1CC5" w14:textId="10A9BA50" w:rsidR="009430EE" w:rsidRDefault="009430EE" w:rsidP="009430EE">
      <w:pPr>
        <w:spacing w:before="240"/>
      </w:pPr>
      <w:r>
        <w:t>T</w:t>
      </w:r>
      <w:r w:rsidRPr="003C5719">
        <w:t>he</w:t>
      </w:r>
      <w:r>
        <w:t xml:space="preserve"> purpose of the</w:t>
      </w:r>
      <w:r w:rsidRPr="003C5719">
        <w:t xml:space="preserve"> </w:t>
      </w:r>
      <w:r w:rsidRPr="00C1595E">
        <w:rPr>
          <w:i/>
        </w:rPr>
        <w:t>Foreign Acquisitions and Takeovers Fees Imposition Amendment (Technical Amendments) Regulations 2024</w:t>
      </w:r>
      <w:r>
        <w:rPr>
          <w:i/>
        </w:rPr>
        <w:t xml:space="preserve"> </w:t>
      </w:r>
      <w:r>
        <w:rPr>
          <w:iCs/>
        </w:rPr>
        <w:t>(the Amending Regulations)</w:t>
      </w:r>
      <w:r w:rsidRPr="003C5719">
        <w:t xml:space="preserve"> </w:t>
      </w:r>
      <w:r>
        <w:t>is to make technical amendments to clarify the operation of the Fees Regulations. T</w:t>
      </w:r>
      <w:r w:rsidRPr="00103042">
        <w:t xml:space="preserve">he amendments ensure the policy outcome that tripled fees are payable in respect of acquisitions of residential land on which there is at least one established dwelling ("established dwelling land"). A person cannot avoid the higher fees by acquiring </w:t>
      </w:r>
      <w:r>
        <w:t xml:space="preserve">interests </w:t>
      </w:r>
      <w:r w:rsidRPr="00103042">
        <w:t xml:space="preserve">through a </w:t>
      </w:r>
      <w:r>
        <w:t xml:space="preserve">corporation or unit trust </w:t>
      </w:r>
      <w:r w:rsidRPr="00103042">
        <w:t>rather than the established dwelling land directly.</w:t>
      </w:r>
    </w:p>
    <w:p w14:paraId="43476132" w14:textId="77777777" w:rsidR="00EB2BED" w:rsidRDefault="00E4438C" w:rsidP="004A27A8">
      <w:pPr>
        <w:pStyle w:val="Heading3"/>
      </w:pPr>
      <w:r w:rsidRPr="003C5719">
        <w:t>Human rights implications</w:t>
      </w:r>
      <w:r w:rsidR="006B520A">
        <w:t xml:space="preserve"> </w:t>
      </w:r>
    </w:p>
    <w:p w14:paraId="58493A24" w14:textId="5D302F1B" w:rsidR="00E4438C" w:rsidRDefault="005B3AF1" w:rsidP="004A27A8">
      <w:pPr>
        <w:spacing w:before="240"/>
      </w:pPr>
      <w:r>
        <w:t>This Legislative Instrument engages the following rights:</w:t>
      </w:r>
    </w:p>
    <w:p w14:paraId="1D8931D5" w14:textId="3EE8CF24" w:rsidR="00573154" w:rsidRDefault="00573154" w:rsidP="00573154">
      <w:pPr>
        <w:pStyle w:val="Bullet"/>
      </w:pPr>
      <w:r>
        <w:t xml:space="preserve">the right to no discrimination on the basis of race under Articles 1, 2 and 5 of the </w:t>
      </w:r>
      <w:r w:rsidR="0071284A">
        <w:t>International Convention on the Elimination of All Forms of Racial Discrimination (</w:t>
      </w:r>
      <w:r>
        <w:t>ICERD</w:t>
      </w:r>
      <w:r w:rsidR="0071284A">
        <w:t>)</w:t>
      </w:r>
      <w:r>
        <w:t>; and</w:t>
      </w:r>
    </w:p>
    <w:p w14:paraId="3349717A" w14:textId="4B079870" w:rsidR="00573154" w:rsidRDefault="00573154" w:rsidP="00573154">
      <w:pPr>
        <w:pStyle w:val="Bullet"/>
      </w:pPr>
      <w:r>
        <w:t xml:space="preserve">the right to equality and non-discrimination under Articles 2, 16 and 26 of the </w:t>
      </w:r>
      <w:r w:rsidR="00247669">
        <w:t>International Covenant on Civil and Political Rights (</w:t>
      </w:r>
      <w:r>
        <w:t>ICCPR</w:t>
      </w:r>
      <w:r w:rsidR="00247669">
        <w:t>).</w:t>
      </w:r>
    </w:p>
    <w:p w14:paraId="39432B66" w14:textId="78FDF87F" w:rsidR="00B725BB" w:rsidRDefault="00797CC6" w:rsidP="000A256F">
      <w:pPr>
        <w:pStyle w:val="AttAbodytext"/>
      </w:pPr>
      <w:r>
        <w:t xml:space="preserve">This is because the </w:t>
      </w:r>
      <w:r w:rsidR="00987B76">
        <w:t xml:space="preserve">Legislative </w:t>
      </w:r>
      <w:r>
        <w:t>Instrument changes the</w:t>
      </w:r>
      <w:r w:rsidR="006E2B9B">
        <w:t xml:space="preserve"> treatment</w:t>
      </w:r>
      <w:r>
        <w:t xml:space="preserve"> under the </w:t>
      </w:r>
      <w:r w:rsidR="009C1BF2">
        <w:t>Fees</w:t>
      </w:r>
      <w:r>
        <w:t xml:space="preserve"> Regulations of certain acquisitions made</w:t>
      </w:r>
      <w:r w:rsidR="006E2B9B">
        <w:t xml:space="preserve"> and actions undertaken</w:t>
      </w:r>
      <w:r>
        <w:t xml:space="preserve"> by “foreign persons”</w:t>
      </w:r>
      <w:r w:rsidR="006E2B9B">
        <w:t xml:space="preserve"> and the fee imposed in respect of these acquisitions and actions </w:t>
      </w:r>
      <w:r w:rsidR="00F3271B">
        <w:t xml:space="preserve">under the </w:t>
      </w:r>
      <w:r w:rsidR="00F3271B">
        <w:rPr>
          <w:i/>
          <w:iCs/>
        </w:rPr>
        <w:t xml:space="preserve">Foreign Acquisitions </w:t>
      </w:r>
      <w:r w:rsidR="00F3271B">
        <w:rPr>
          <w:i/>
          <w:iCs/>
        </w:rPr>
        <w:lastRenderedPageBreak/>
        <w:t>and Takeovers Fees Imposition Act 2015</w:t>
      </w:r>
      <w:r>
        <w:t xml:space="preserve">, specifically where foreign persons </w:t>
      </w:r>
      <w:r w:rsidRPr="00797CC6">
        <w:t xml:space="preserve">acquire an interest in securities in a land entity which would be an action for which a fee would be payable under subsection 113(1) of the </w:t>
      </w:r>
      <w:r w:rsidRPr="001B7A2F">
        <w:rPr>
          <w:i/>
          <w:iCs/>
        </w:rPr>
        <w:t>Foreign Acquisitions and Takeovers Act 1975</w:t>
      </w:r>
      <w:r w:rsidR="00B725BB">
        <w:t xml:space="preserve"> (the Act)</w:t>
      </w:r>
      <w:r w:rsidRPr="00797CC6">
        <w:t>.</w:t>
      </w:r>
      <w:r w:rsidR="004C1B22">
        <w:t xml:space="preserve"> The Instrument extends the </w:t>
      </w:r>
      <w:r w:rsidR="007C6111">
        <w:t>tripling of fees effected by the Fees Imposition Amendment Act to these acquisitions and actions</w:t>
      </w:r>
      <w:r w:rsidR="00493A0E">
        <w:t xml:space="preserve">, to </w:t>
      </w:r>
      <w:r w:rsidR="006A1A5F">
        <w:t xml:space="preserve">avoid </w:t>
      </w:r>
      <w:r w:rsidR="00493A0E">
        <w:t>this tripling being avoided by structuring transactions in particular ways</w:t>
      </w:r>
      <w:r w:rsidR="007C6111">
        <w:t>.</w:t>
      </w:r>
      <w:r w:rsidR="000B2828">
        <w:t xml:space="preserve"> </w:t>
      </w:r>
      <w:r w:rsidR="00B725BB">
        <w:t>Further, while an Australian citizen who is not ordinarily a resident in Australia may be a “foreign person” for the purposes of the Act, it is anticipated that the majority of individuals who are directly affected by these amendments will not be Australian citizens.</w:t>
      </w:r>
    </w:p>
    <w:p w14:paraId="28DAD963" w14:textId="2EFFD67B" w:rsidR="00B725BB" w:rsidRDefault="007B1EF4" w:rsidP="000A256F">
      <w:pPr>
        <w:pStyle w:val="AttAbodytext"/>
      </w:pPr>
      <w:r>
        <w:t xml:space="preserve">The human rights implications of </w:t>
      </w:r>
      <w:r w:rsidR="00F66224">
        <w:t xml:space="preserve">the originating bill for the Fees Imposition Amendment Act 2024, the </w:t>
      </w:r>
      <w:r w:rsidR="00F66224">
        <w:rPr>
          <w:i/>
          <w:iCs/>
        </w:rPr>
        <w:t>Foreign Acquisitions and Takeovers Fees Imposition Amendment Bill 2024</w:t>
      </w:r>
      <w:r w:rsidR="00515D50">
        <w:t xml:space="preserve"> (Fees Imposition Amendment Bill)</w:t>
      </w:r>
      <w:r w:rsidR="00163B23">
        <w:t xml:space="preserve">, were set out in detail in the explanatory memorandum for that Bill. </w:t>
      </w:r>
      <w:r w:rsidR="00262069">
        <w:t>Th</w:t>
      </w:r>
      <w:r w:rsidR="00DD1A1E">
        <w:t>at</w:t>
      </w:r>
      <w:r w:rsidR="00262069">
        <w:t xml:space="preserve"> memorandum</w:t>
      </w:r>
      <w:r w:rsidR="00987B76">
        <w:t xml:space="preserve"> </w:t>
      </w:r>
      <w:r w:rsidR="00780F99">
        <w:t xml:space="preserve">concluded that </w:t>
      </w:r>
      <w:r w:rsidR="00515D50">
        <w:t>the Fees Imposition Amendment Bill</w:t>
      </w:r>
      <w:r w:rsidR="00BA1CFB">
        <w:t xml:space="preserve"> was compatible with human rights because, to the extent that </w:t>
      </w:r>
      <w:r w:rsidR="00654882" w:rsidRPr="00654882">
        <w:t xml:space="preserve">it </w:t>
      </w:r>
      <w:r w:rsidR="001E6E69">
        <w:t>may</w:t>
      </w:r>
      <w:r w:rsidR="00654882" w:rsidRPr="00654882">
        <w:t xml:space="preserve"> limit human rights, those limitations </w:t>
      </w:r>
      <w:r w:rsidR="009712FD">
        <w:t>are</w:t>
      </w:r>
      <w:r w:rsidR="00654882" w:rsidRPr="00654882">
        <w:t xml:space="preserve"> reasonable, </w:t>
      </w:r>
      <w:proofErr w:type="gramStart"/>
      <w:r w:rsidR="00654882" w:rsidRPr="00654882">
        <w:t>necessary</w:t>
      </w:r>
      <w:proofErr w:type="gramEnd"/>
      <w:r w:rsidR="00654882" w:rsidRPr="00654882">
        <w:t xml:space="preserve"> and proportionate to the objective of ensuring foreign investment in residential property increases Australia’s housing stock through increased foreign investment fees for the purchase of established dwellings and increased vacancy fees for foreign‑owned dwellings.</w:t>
      </w:r>
      <w:r w:rsidR="00C435BE">
        <w:t xml:space="preserve"> In brief</w:t>
      </w:r>
      <w:r w:rsidR="001C02E9">
        <w:t xml:space="preserve">, </w:t>
      </w:r>
      <w:r w:rsidR="00C000E0">
        <w:t>the Bill was consistent with the ICERD and ICCPR because</w:t>
      </w:r>
      <w:r w:rsidR="00C435BE">
        <w:t>:</w:t>
      </w:r>
    </w:p>
    <w:p w14:paraId="3F121124" w14:textId="675BDF07" w:rsidR="002679AE" w:rsidRDefault="002679AE" w:rsidP="002679AE">
      <w:pPr>
        <w:pStyle w:val="Bullet"/>
      </w:pPr>
      <w:r>
        <w:t>the Bill served a legitimate purpose of creating</w:t>
      </w:r>
      <w:r w:rsidRPr="00B35C7A">
        <w:t xml:space="preserve"> additional new housing stock, jobs in the construction industry and support</w:t>
      </w:r>
      <w:r w:rsidR="005C6B8E">
        <w:t>ing</w:t>
      </w:r>
      <w:r w:rsidRPr="00B35C7A">
        <w:t xml:space="preserve"> economic growth</w:t>
      </w:r>
      <w:r>
        <w:t xml:space="preserve"> by encouraging foreign investment in new housing </w:t>
      </w:r>
      <w:proofErr w:type="gramStart"/>
      <w:r>
        <w:t>stock;</w:t>
      </w:r>
      <w:proofErr w:type="gramEnd"/>
    </w:p>
    <w:p w14:paraId="2DEE0AF2" w14:textId="7324BB2A" w:rsidR="00965F1E" w:rsidRDefault="00DD3063" w:rsidP="00C435BE">
      <w:pPr>
        <w:pStyle w:val="Bullet"/>
      </w:pPr>
      <w:r>
        <w:t xml:space="preserve">foreign persons are regulated in the same </w:t>
      </w:r>
      <w:r w:rsidR="00EE6141" w:rsidRPr="00EE6141">
        <w:t xml:space="preserve">manner under Australia’s foreign investment framework and the definition of foreign person is clearly set out in the </w:t>
      </w:r>
      <w:r w:rsidR="00EE6141">
        <w:t>Act;</w:t>
      </w:r>
      <w:r w:rsidR="001C02E9">
        <w:t xml:space="preserve"> and</w:t>
      </w:r>
    </w:p>
    <w:p w14:paraId="7AB9D749" w14:textId="06826E7B" w:rsidR="002679AE" w:rsidRDefault="00262069" w:rsidP="00C435BE">
      <w:pPr>
        <w:pStyle w:val="Bullet"/>
      </w:pPr>
      <w:r>
        <w:t>t</w:t>
      </w:r>
      <w:r w:rsidR="001C02E9">
        <w:t xml:space="preserve">he increased fees are reasonable, </w:t>
      </w:r>
      <w:proofErr w:type="gramStart"/>
      <w:r w:rsidR="001C02E9">
        <w:t>necessary</w:t>
      </w:r>
      <w:proofErr w:type="gramEnd"/>
      <w:r w:rsidR="001C02E9">
        <w:t xml:space="preserve"> and proportionate because the amount of fee imposed depends on the nature of the transaction, the value of the transaction, and the significant of the transaction to Australia’s national interest.</w:t>
      </w:r>
    </w:p>
    <w:p w14:paraId="5C90D619" w14:textId="77777777" w:rsidR="001D039C" w:rsidRDefault="000D29B5" w:rsidP="00B01C76">
      <w:pPr>
        <w:pStyle w:val="AttAbodytext"/>
      </w:pPr>
      <w:r>
        <w:t>For a</w:t>
      </w:r>
      <w:r w:rsidR="00F03EB2">
        <w:t xml:space="preserve"> more detailed explanation</w:t>
      </w:r>
      <w:r>
        <w:t xml:space="preserve">, see </w:t>
      </w:r>
      <w:r w:rsidR="00F03EB2">
        <w:t>the Statement of C</w:t>
      </w:r>
      <w:r w:rsidR="002C67DF">
        <w:t>ompatib</w:t>
      </w:r>
      <w:r>
        <w:t>ility</w:t>
      </w:r>
      <w:r w:rsidR="002C67DF">
        <w:t xml:space="preserve"> with Human Rights </w:t>
      </w:r>
      <w:r w:rsidR="007E7A7F">
        <w:t>of</w:t>
      </w:r>
      <w:r w:rsidR="002C67DF">
        <w:t xml:space="preserve"> the Fees Imposition Amendment Bill in Chapter</w:t>
      </w:r>
      <w:r w:rsidR="00617A8C">
        <w:t> </w:t>
      </w:r>
      <w:r w:rsidR="002C67DF">
        <w:t>4 of the explanatory memorandum.</w:t>
      </w:r>
      <w:r w:rsidR="001D039C">
        <w:t xml:space="preserve"> </w:t>
      </w:r>
    </w:p>
    <w:p w14:paraId="19928391" w14:textId="2C65A893" w:rsidR="00B01C76" w:rsidRPr="00F66224" w:rsidRDefault="00DC7837" w:rsidP="001B7A2F">
      <w:pPr>
        <w:pStyle w:val="AttAbodytext"/>
      </w:pPr>
      <w:r>
        <w:t>This Instrument</w:t>
      </w:r>
      <w:r w:rsidR="00AC62AB">
        <w:t xml:space="preserve"> corrects an unintended omission in </w:t>
      </w:r>
      <w:r w:rsidR="009F2264">
        <w:t xml:space="preserve">the implementation of </w:t>
      </w:r>
      <w:r w:rsidR="003F0327">
        <w:t xml:space="preserve">the policy </w:t>
      </w:r>
      <w:r w:rsidR="00617A8C">
        <w:t xml:space="preserve">of </w:t>
      </w:r>
      <w:r>
        <w:t xml:space="preserve">the Fees Imposition Amendment Act </w:t>
      </w:r>
      <w:r w:rsidR="00CB38A1">
        <w:t>and</w:t>
      </w:r>
      <w:r w:rsidR="0013253F">
        <w:t xml:space="preserve"> avoid</w:t>
      </w:r>
      <w:r w:rsidR="00CB38A1">
        <w:t>s</w:t>
      </w:r>
      <w:r w:rsidR="0013253F">
        <w:t xml:space="preserve"> </w:t>
      </w:r>
      <w:r w:rsidR="00332AC3">
        <w:t xml:space="preserve">this policy being </w:t>
      </w:r>
      <w:r w:rsidR="00382B8F">
        <w:t>subverted</w:t>
      </w:r>
      <w:r w:rsidR="00332AC3">
        <w:t xml:space="preserve"> through </w:t>
      </w:r>
      <w:r w:rsidR="00382B8F">
        <w:t>structuring transactions in particular ways</w:t>
      </w:r>
      <w:r w:rsidR="00332AC3">
        <w:t xml:space="preserve">. </w:t>
      </w:r>
      <w:r w:rsidR="001D039C">
        <w:t xml:space="preserve">It is consistent with </w:t>
      </w:r>
      <w:r w:rsidR="00BD3B90">
        <w:t>the conclusion</w:t>
      </w:r>
      <w:r w:rsidR="001D039C">
        <w:t xml:space="preserve"> in the memorandum and</w:t>
      </w:r>
      <w:r w:rsidR="008B30F4">
        <w:t xml:space="preserve"> applied here in respect of the Instrument, </w:t>
      </w:r>
      <w:r w:rsidR="00BD3B90">
        <w:t>that the policy implemented by the Fees Imposition Amendment Act is consistent with the ICERD and ICCPR.</w:t>
      </w:r>
    </w:p>
    <w:p w14:paraId="0C4863A7" w14:textId="77777777" w:rsidR="00EB2BED" w:rsidRDefault="00E4438C" w:rsidP="004A27A8">
      <w:pPr>
        <w:pStyle w:val="Heading3"/>
      </w:pPr>
      <w:r w:rsidRPr="003C5719">
        <w:t>Conclusion</w:t>
      </w:r>
      <w:r w:rsidR="006D60D0">
        <w:t xml:space="preserve"> </w:t>
      </w:r>
    </w:p>
    <w:p w14:paraId="0571FD0E" w14:textId="12A3B113" w:rsidR="00E37FF7" w:rsidRPr="00C84FA0" w:rsidRDefault="006B520A" w:rsidP="00EC183F">
      <w:pPr>
        <w:spacing w:before="240"/>
      </w:pPr>
      <w:r>
        <w:t xml:space="preserve">The Legislative Instrument is </w:t>
      </w:r>
      <w:r w:rsidR="00987B76">
        <w:t>compatible with human rights because</w:t>
      </w:r>
      <w:r w:rsidR="00EC183F">
        <w:t xml:space="preserve"> it corrects an </w:t>
      </w:r>
      <w:r w:rsidR="00825699">
        <w:t>un</w:t>
      </w:r>
      <w:r w:rsidR="00EC183F">
        <w:t>intended omission in the implementation of a policy which</w:t>
      </w:r>
      <w:r w:rsidR="00987B76">
        <w:t xml:space="preserve">, to the extent that </w:t>
      </w:r>
      <w:r w:rsidR="00987B76" w:rsidRPr="00654882">
        <w:t xml:space="preserve">it </w:t>
      </w:r>
      <w:r w:rsidR="00987B76">
        <w:t>may</w:t>
      </w:r>
      <w:r w:rsidR="00987B76" w:rsidRPr="00654882">
        <w:t xml:space="preserve"> limit human rights, </w:t>
      </w:r>
      <w:r w:rsidR="00EC183F">
        <w:t xml:space="preserve">imposes </w:t>
      </w:r>
      <w:r w:rsidR="00987B76" w:rsidRPr="00654882">
        <w:t xml:space="preserve">limitations </w:t>
      </w:r>
      <w:r w:rsidR="00EC183F">
        <w:t xml:space="preserve">that </w:t>
      </w:r>
      <w:r w:rsidR="00987B76">
        <w:t>are</w:t>
      </w:r>
      <w:r w:rsidR="00987B76" w:rsidRPr="00654882">
        <w:t xml:space="preserve"> reasonable, necessary and proportionate to the objective of ensuring foreign investment in residential property increases Australia’s housing stock through increased foreign investment fees for the purchase of established dwellings and increased vacancy fees for foreign‑owned dwellings.</w:t>
      </w:r>
    </w:p>
    <w:sectPr w:rsidR="00E37FF7" w:rsidRPr="00C84FA0" w:rsidSect="004A27A8">
      <w:headerReference w:type="even" r:id="rId12"/>
      <w:headerReference w:type="default" r:id="rId13"/>
      <w:footerReference w:type="even" r:id="rId14"/>
      <w:footerReference w:type="default" r:id="rId15"/>
      <w:headerReference w:type="first" r:id="rId16"/>
      <w:footerReference w:type="first" r:id="rId17"/>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E627" w14:textId="77777777" w:rsidR="00FF0A69" w:rsidRDefault="00FF0A69" w:rsidP="00954679">
      <w:pPr>
        <w:spacing w:before="0" w:after="0"/>
      </w:pPr>
      <w:r>
        <w:separator/>
      </w:r>
    </w:p>
  </w:endnote>
  <w:endnote w:type="continuationSeparator" w:id="0">
    <w:p w14:paraId="147B0C8E" w14:textId="77777777" w:rsidR="00FF0A69" w:rsidRDefault="00FF0A69" w:rsidP="00954679">
      <w:pPr>
        <w:spacing w:before="0" w:after="0"/>
      </w:pPr>
      <w:r>
        <w:continuationSeparator/>
      </w:r>
    </w:p>
  </w:endnote>
  <w:endnote w:type="continuationNotice" w:id="1">
    <w:p w14:paraId="6313479F" w14:textId="77777777" w:rsidR="00FF0A69" w:rsidRDefault="00FF0A6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DB2E" w14:textId="2BE7D90C" w:rsidR="00262D9D" w:rsidRDefault="00262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7345" w14:textId="5497000E" w:rsidR="00954679" w:rsidRDefault="00B132BD" w:rsidP="00013390">
    <w:pPr>
      <w:pStyle w:val="Footer"/>
      <w:jc w:val="right"/>
    </w:pPr>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r w:rsidR="00954679" w:rsidRPr="00954679">
              <w:rPr>
                <w:bCs/>
                <w:szCs w:val="24"/>
              </w:rPr>
              <w:fldChar w:fldCharType="begin"/>
            </w:r>
            <w:r w:rsidR="00954679" w:rsidRPr="00954679">
              <w:rPr>
                <w:bCs/>
              </w:rPr>
              <w:instrText xml:space="preserve"> PAGE </w:instrText>
            </w:r>
            <w:r w:rsidR="00954679" w:rsidRPr="00954679">
              <w:rPr>
                <w:bCs/>
                <w:szCs w:val="24"/>
              </w:rPr>
              <w:fldChar w:fldCharType="separate"/>
            </w:r>
            <w:r w:rsidR="000E32E3">
              <w:rPr>
                <w:bCs/>
                <w:noProof/>
              </w:rPr>
              <w:t>4</w:t>
            </w:r>
            <w:r w:rsidR="00954679" w:rsidRPr="00954679">
              <w:rPr>
                <w:bCs/>
                <w:szCs w:val="24"/>
              </w:rPr>
              <w:fldChar w:fldCharType="end"/>
            </w:r>
            <w:r w:rsidR="00954679" w:rsidRPr="00954679">
              <w:t xml:space="preserve"> of </w:t>
            </w:r>
            <w:r w:rsidR="00954679" w:rsidRPr="00954679">
              <w:rPr>
                <w:bCs/>
                <w:szCs w:val="24"/>
              </w:rPr>
              <w:fldChar w:fldCharType="begin"/>
            </w:r>
            <w:r w:rsidR="00954679" w:rsidRPr="00954679">
              <w:rPr>
                <w:bCs/>
              </w:rPr>
              <w:instrText xml:space="preserve"> NUMPAGES  </w:instrText>
            </w:r>
            <w:r w:rsidR="00954679" w:rsidRPr="00954679">
              <w:rPr>
                <w:bCs/>
                <w:szCs w:val="24"/>
              </w:rPr>
              <w:fldChar w:fldCharType="separate"/>
            </w:r>
            <w:r w:rsidR="000E32E3">
              <w:rPr>
                <w:bCs/>
                <w:noProof/>
              </w:rPr>
              <w:t>4</w:t>
            </w:r>
            <w:r w:rsidR="00954679" w:rsidRPr="00954679">
              <w:rPr>
                <w:bCs/>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502C" w14:textId="2314850B" w:rsidR="00262D9D" w:rsidRDefault="00262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B73B7" w14:textId="77777777" w:rsidR="00FF0A69" w:rsidRDefault="00FF0A69" w:rsidP="00954679">
      <w:pPr>
        <w:spacing w:before="0" w:after="0"/>
      </w:pPr>
      <w:r>
        <w:separator/>
      </w:r>
    </w:p>
  </w:footnote>
  <w:footnote w:type="continuationSeparator" w:id="0">
    <w:p w14:paraId="0978BB77" w14:textId="77777777" w:rsidR="00FF0A69" w:rsidRDefault="00FF0A69" w:rsidP="00954679">
      <w:pPr>
        <w:spacing w:before="0" w:after="0"/>
      </w:pPr>
      <w:r>
        <w:continuationSeparator/>
      </w:r>
    </w:p>
  </w:footnote>
  <w:footnote w:type="continuationNotice" w:id="1">
    <w:p w14:paraId="14128EE3" w14:textId="77777777" w:rsidR="00FF0A69" w:rsidRDefault="00FF0A6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0D7D" w14:textId="77444513" w:rsidR="00262D9D" w:rsidRDefault="00262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6E00" w14:textId="02CE5CCE" w:rsidR="00262D9D" w:rsidRDefault="00262D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EDC2" w14:textId="4414D3E3" w:rsidR="00262D9D" w:rsidRDefault="00262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6564C89"/>
    <w:multiLevelType w:val="multilevel"/>
    <w:tmpl w:val="DF321E06"/>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7A43C0B"/>
    <w:multiLevelType w:val="multilevel"/>
    <w:tmpl w:val="2EE6A1F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4"/>
  </w:num>
  <w:num w:numId="3" w16cid:durableId="102648425">
    <w:abstractNumId w:val="1"/>
  </w:num>
  <w:num w:numId="4" w16cid:durableId="1451314351">
    <w:abstractNumId w:val="0"/>
  </w:num>
  <w:num w:numId="5" w16cid:durableId="1455824937">
    <w:abstractNumId w:val="4"/>
  </w:num>
  <w:num w:numId="6" w16cid:durableId="2012178582">
    <w:abstractNumId w:val="4"/>
  </w:num>
  <w:num w:numId="7" w16cid:durableId="1173374635">
    <w:abstractNumId w:val="4"/>
  </w:num>
  <w:num w:numId="8" w16cid:durableId="1074162301">
    <w:abstractNumId w:val="4"/>
  </w:num>
  <w:num w:numId="9" w16cid:durableId="1206795025">
    <w:abstractNumId w:val="4"/>
  </w:num>
  <w:num w:numId="10" w16cid:durableId="474571849">
    <w:abstractNumId w:val="4"/>
  </w:num>
  <w:num w:numId="11" w16cid:durableId="890385033">
    <w:abstractNumId w:val="4"/>
  </w:num>
  <w:num w:numId="12" w16cid:durableId="392780191">
    <w:abstractNumId w:val="4"/>
  </w:num>
  <w:num w:numId="13" w16cid:durableId="1793669345">
    <w:abstractNumId w:val="4"/>
  </w:num>
  <w:num w:numId="14" w16cid:durableId="2085832638">
    <w:abstractNumId w:val="4"/>
  </w:num>
  <w:num w:numId="15" w16cid:durableId="724838217">
    <w:abstractNumId w:val="4"/>
  </w:num>
  <w:num w:numId="16" w16cid:durableId="951398036">
    <w:abstractNumId w:val="4"/>
  </w:num>
  <w:num w:numId="17" w16cid:durableId="1455975751">
    <w:abstractNumId w:val="3"/>
  </w:num>
  <w:num w:numId="18" w16cid:durableId="2013336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84"/>
    <w:rsid w:val="00000182"/>
    <w:rsid w:val="0000030A"/>
    <w:rsid w:val="0000043A"/>
    <w:rsid w:val="0000089A"/>
    <w:rsid w:val="000009BB"/>
    <w:rsid w:val="00000E09"/>
    <w:rsid w:val="000026BE"/>
    <w:rsid w:val="00003189"/>
    <w:rsid w:val="000033D0"/>
    <w:rsid w:val="00003405"/>
    <w:rsid w:val="000042C1"/>
    <w:rsid w:val="00005B51"/>
    <w:rsid w:val="0000628C"/>
    <w:rsid w:val="0000784E"/>
    <w:rsid w:val="00007F35"/>
    <w:rsid w:val="00011389"/>
    <w:rsid w:val="00011E78"/>
    <w:rsid w:val="00012129"/>
    <w:rsid w:val="000128D1"/>
    <w:rsid w:val="00013122"/>
    <w:rsid w:val="00013390"/>
    <w:rsid w:val="00016EA2"/>
    <w:rsid w:val="000204B6"/>
    <w:rsid w:val="00020BC2"/>
    <w:rsid w:val="0002141B"/>
    <w:rsid w:val="00021B08"/>
    <w:rsid w:val="00021C2D"/>
    <w:rsid w:val="000240F3"/>
    <w:rsid w:val="000247DC"/>
    <w:rsid w:val="0002546A"/>
    <w:rsid w:val="00026B4D"/>
    <w:rsid w:val="00026D27"/>
    <w:rsid w:val="0003068A"/>
    <w:rsid w:val="00031152"/>
    <w:rsid w:val="00031AE1"/>
    <w:rsid w:val="00033F7A"/>
    <w:rsid w:val="00035244"/>
    <w:rsid w:val="0003573A"/>
    <w:rsid w:val="0003634A"/>
    <w:rsid w:val="00037277"/>
    <w:rsid w:val="00041484"/>
    <w:rsid w:val="00041C87"/>
    <w:rsid w:val="00043A6B"/>
    <w:rsid w:val="000455BA"/>
    <w:rsid w:val="000506DE"/>
    <w:rsid w:val="00051648"/>
    <w:rsid w:val="000524A9"/>
    <w:rsid w:val="0005316A"/>
    <w:rsid w:val="0005381D"/>
    <w:rsid w:val="000541D3"/>
    <w:rsid w:val="000547DB"/>
    <w:rsid w:val="00054EEB"/>
    <w:rsid w:val="0005538F"/>
    <w:rsid w:val="00055DA4"/>
    <w:rsid w:val="00056EF5"/>
    <w:rsid w:val="0005728E"/>
    <w:rsid w:val="000609AD"/>
    <w:rsid w:val="0006283C"/>
    <w:rsid w:val="00063017"/>
    <w:rsid w:val="00064299"/>
    <w:rsid w:val="000645D1"/>
    <w:rsid w:val="000663AF"/>
    <w:rsid w:val="0006668C"/>
    <w:rsid w:val="00067B87"/>
    <w:rsid w:val="00070648"/>
    <w:rsid w:val="000740BD"/>
    <w:rsid w:val="0007449B"/>
    <w:rsid w:val="00074A2B"/>
    <w:rsid w:val="00075A77"/>
    <w:rsid w:val="00075AF9"/>
    <w:rsid w:val="00076178"/>
    <w:rsid w:val="00076E15"/>
    <w:rsid w:val="00076FF9"/>
    <w:rsid w:val="00080673"/>
    <w:rsid w:val="00081818"/>
    <w:rsid w:val="00081D09"/>
    <w:rsid w:val="00082071"/>
    <w:rsid w:val="000842A3"/>
    <w:rsid w:val="00085192"/>
    <w:rsid w:val="000854E0"/>
    <w:rsid w:val="00085A2D"/>
    <w:rsid w:val="00086A75"/>
    <w:rsid w:val="0008741E"/>
    <w:rsid w:val="00087FFD"/>
    <w:rsid w:val="00090046"/>
    <w:rsid w:val="000905BD"/>
    <w:rsid w:val="00090EB4"/>
    <w:rsid w:val="00091DA5"/>
    <w:rsid w:val="00092AAC"/>
    <w:rsid w:val="0009413C"/>
    <w:rsid w:val="00095211"/>
    <w:rsid w:val="00095BF6"/>
    <w:rsid w:val="00096055"/>
    <w:rsid w:val="00096CAA"/>
    <w:rsid w:val="00097704"/>
    <w:rsid w:val="000A00D4"/>
    <w:rsid w:val="000A18A4"/>
    <w:rsid w:val="000A256F"/>
    <w:rsid w:val="000A3365"/>
    <w:rsid w:val="000A44DA"/>
    <w:rsid w:val="000A4AC9"/>
    <w:rsid w:val="000A4CFB"/>
    <w:rsid w:val="000A69C5"/>
    <w:rsid w:val="000A6E80"/>
    <w:rsid w:val="000B1266"/>
    <w:rsid w:val="000B1B1F"/>
    <w:rsid w:val="000B1FED"/>
    <w:rsid w:val="000B2828"/>
    <w:rsid w:val="000B39A1"/>
    <w:rsid w:val="000B4772"/>
    <w:rsid w:val="000C10DF"/>
    <w:rsid w:val="000C2E12"/>
    <w:rsid w:val="000C3251"/>
    <w:rsid w:val="000C3A3E"/>
    <w:rsid w:val="000C3ECC"/>
    <w:rsid w:val="000C4B61"/>
    <w:rsid w:val="000C56FF"/>
    <w:rsid w:val="000C5C40"/>
    <w:rsid w:val="000C63D3"/>
    <w:rsid w:val="000C6935"/>
    <w:rsid w:val="000D11E5"/>
    <w:rsid w:val="000D125D"/>
    <w:rsid w:val="000D1BB2"/>
    <w:rsid w:val="000D2214"/>
    <w:rsid w:val="000D2234"/>
    <w:rsid w:val="000D29B5"/>
    <w:rsid w:val="000D3F33"/>
    <w:rsid w:val="000D5827"/>
    <w:rsid w:val="000D59B4"/>
    <w:rsid w:val="000D6304"/>
    <w:rsid w:val="000D79FA"/>
    <w:rsid w:val="000E065B"/>
    <w:rsid w:val="000E119B"/>
    <w:rsid w:val="000E203C"/>
    <w:rsid w:val="000E32E3"/>
    <w:rsid w:val="000E35FA"/>
    <w:rsid w:val="000E3B55"/>
    <w:rsid w:val="000E49CF"/>
    <w:rsid w:val="000E5DB1"/>
    <w:rsid w:val="000E6924"/>
    <w:rsid w:val="000E6B76"/>
    <w:rsid w:val="000F1F12"/>
    <w:rsid w:val="000F3A05"/>
    <w:rsid w:val="000F4730"/>
    <w:rsid w:val="000F47CC"/>
    <w:rsid w:val="000F53D9"/>
    <w:rsid w:val="000F56FD"/>
    <w:rsid w:val="001012C2"/>
    <w:rsid w:val="00102565"/>
    <w:rsid w:val="00102F94"/>
    <w:rsid w:val="00103042"/>
    <w:rsid w:val="0010418E"/>
    <w:rsid w:val="001055D1"/>
    <w:rsid w:val="00110A0C"/>
    <w:rsid w:val="001115A7"/>
    <w:rsid w:val="00112EAF"/>
    <w:rsid w:val="00113B45"/>
    <w:rsid w:val="00114003"/>
    <w:rsid w:val="00114DA6"/>
    <w:rsid w:val="0011527C"/>
    <w:rsid w:val="0011572F"/>
    <w:rsid w:val="00115D87"/>
    <w:rsid w:val="001174A6"/>
    <w:rsid w:val="00117C02"/>
    <w:rsid w:val="00117F90"/>
    <w:rsid w:val="00120C1C"/>
    <w:rsid w:val="00121F5F"/>
    <w:rsid w:val="00122F8D"/>
    <w:rsid w:val="0012360D"/>
    <w:rsid w:val="001251B9"/>
    <w:rsid w:val="0012719E"/>
    <w:rsid w:val="001276B4"/>
    <w:rsid w:val="00131658"/>
    <w:rsid w:val="001319C8"/>
    <w:rsid w:val="00131AE3"/>
    <w:rsid w:val="0013253F"/>
    <w:rsid w:val="0013279D"/>
    <w:rsid w:val="001331B7"/>
    <w:rsid w:val="00133D7A"/>
    <w:rsid w:val="00134623"/>
    <w:rsid w:val="001360D4"/>
    <w:rsid w:val="0013630C"/>
    <w:rsid w:val="00140D20"/>
    <w:rsid w:val="00141804"/>
    <w:rsid w:val="00142BCF"/>
    <w:rsid w:val="001433F3"/>
    <w:rsid w:val="001440DC"/>
    <w:rsid w:val="001449B9"/>
    <w:rsid w:val="001449ED"/>
    <w:rsid w:val="00145265"/>
    <w:rsid w:val="0014546C"/>
    <w:rsid w:val="001457CF"/>
    <w:rsid w:val="0014608E"/>
    <w:rsid w:val="00146BEB"/>
    <w:rsid w:val="00150EEB"/>
    <w:rsid w:val="00153ADF"/>
    <w:rsid w:val="001561F8"/>
    <w:rsid w:val="00160A30"/>
    <w:rsid w:val="00162019"/>
    <w:rsid w:val="00162765"/>
    <w:rsid w:val="00162797"/>
    <w:rsid w:val="0016369C"/>
    <w:rsid w:val="00163B23"/>
    <w:rsid w:val="00163DA9"/>
    <w:rsid w:val="00164196"/>
    <w:rsid w:val="00164B7D"/>
    <w:rsid w:val="00164F56"/>
    <w:rsid w:val="00165419"/>
    <w:rsid w:val="001657FF"/>
    <w:rsid w:val="00167271"/>
    <w:rsid w:val="001709FA"/>
    <w:rsid w:val="00171A1C"/>
    <w:rsid w:val="00172B5A"/>
    <w:rsid w:val="00173A20"/>
    <w:rsid w:val="00174A44"/>
    <w:rsid w:val="00174BE5"/>
    <w:rsid w:val="00175198"/>
    <w:rsid w:val="0017567B"/>
    <w:rsid w:val="00175AF9"/>
    <w:rsid w:val="00175DF7"/>
    <w:rsid w:val="001775A4"/>
    <w:rsid w:val="00177970"/>
    <w:rsid w:val="001800D7"/>
    <w:rsid w:val="00180490"/>
    <w:rsid w:val="00182464"/>
    <w:rsid w:val="00182FE7"/>
    <w:rsid w:val="00183636"/>
    <w:rsid w:val="00183E4E"/>
    <w:rsid w:val="00184460"/>
    <w:rsid w:val="00184ED8"/>
    <w:rsid w:val="0018616D"/>
    <w:rsid w:val="001868B3"/>
    <w:rsid w:val="00187857"/>
    <w:rsid w:val="00187BF1"/>
    <w:rsid w:val="00187D3B"/>
    <w:rsid w:val="00192FB4"/>
    <w:rsid w:val="00193BC3"/>
    <w:rsid w:val="00195A29"/>
    <w:rsid w:val="00195F1E"/>
    <w:rsid w:val="00196167"/>
    <w:rsid w:val="00196EA2"/>
    <w:rsid w:val="00197DBD"/>
    <w:rsid w:val="001A0DBC"/>
    <w:rsid w:val="001A161E"/>
    <w:rsid w:val="001A2F1C"/>
    <w:rsid w:val="001A41DE"/>
    <w:rsid w:val="001A4858"/>
    <w:rsid w:val="001A50C1"/>
    <w:rsid w:val="001A5494"/>
    <w:rsid w:val="001A6922"/>
    <w:rsid w:val="001A781D"/>
    <w:rsid w:val="001A7A86"/>
    <w:rsid w:val="001B18C0"/>
    <w:rsid w:val="001B2097"/>
    <w:rsid w:val="001B2119"/>
    <w:rsid w:val="001B2183"/>
    <w:rsid w:val="001B2DE6"/>
    <w:rsid w:val="001B323E"/>
    <w:rsid w:val="001B39B1"/>
    <w:rsid w:val="001B3CAB"/>
    <w:rsid w:val="001B4919"/>
    <w:rsid w:val="001B4945"/>
    <w:rsid w:val="001B4ABD"/>
    <w:rsid w:val="001B5155"/>
    <w:rsid w:val="001B6A8D"/>
    <w:rsid w:val="001B7535"/>
    <w:rsid w:val="001B7A2F"/>
    <w:rsid w:val="001B7EC2"/>
    <w:rsid w:val="001C02E9"/>
    <w:rsid w:val="001C0477"/>
    <w:rsid w:val="001C0C06"/>
    <w:rsid w:val="001C1E86"/>
    <w:rsid w:val="001C2E0B"/>
    <w:rsid w:val="001C329C"/>
    <w:rsid w:val="001C599C"/>
    <w:rsid w:val="001C73E1"/>
    <w:rsid w:val="001D003D"/>
    <w:rsid w:val="001D0356"/>
    <w:rsid w:val="001D039C"/>
    <w:rsid w:val="001D0A7A"/>
    <w:rsid w:val="001D32F9"/>
    <w:rsid w:val="001D5553"/>
    <w:rsid w:val="001D7355"/>
    <w:rsid w:val="001E119D"/>
    <w:rsid w:val="001E2A83"/>
    <w:rsid w:val="001E4194"/>
    <w:rsid w:val="001E4A5D"/>
    <w:rsid w:val="001E62DF"/>
    <w:rsid w:val="001E6A74"/>
    <w:rsid w:val="001E6E69"/>
    <w:rsid w:val="001E7125"/>
    <w:rsid w:val="001F0EB8"/>
    <w:rsid w:val="001F13ED"/>
    <w:rsid w:val="001F1929"/>
    <w:rsid w:val="001F1A9E"/>
    <w:rsid w:val="001F1E50"/>
    <w:rsid w:val="001F2D4E"/>
    <w:rsid w:val="001F2F05"/>
    <w:rsid w:val="001F3377"/>
    <w:rsid w:val="001F41D0"/>
    <w:rsid w:val="001F462C"/>
    <w:rsid w:val="001F4EE7"/>
    <w:rsid w:val="001F5ED1"/>
    <w:rsid w:val="001F5EF3"/>
    <w:rsid w:val="001F70F5"/>
    <w:rsid w:val="001F7DAA"/>
    <w:rsid w:val="001F7E10"/>
    <w:rsid w:val="002000A5"/>
    <w:rsid w:val="00200DB6"/>
    <w:rsid w:val="00201795"/>
    <w:rsid w:val="002025A6"/>
    <w:rsid w:val="00203697"/>
    <w:rsid w:val="00204402"/>
    <w:rsid w:val="00205068"/>
    <w:rsid w:val="00205766"/>
    <w:rsid w:val="00207382"/>
    <w:rsid w:val="002077C5"/>
    <w:rsid w:val="00207A54"/>
    <w:rsid w:val="00212B59"/>
    <w:rsid w:val="00214371"/>
    <w:rsid w:val="002144AF"/>
    <w:rsid w:val="00214CEF"/>
    <w:rsid w:val="002153B5"/>
    <w:rsid w:val="0021546B"/>
    <w:rsid w:val="00215ECC"/>
    <w:rsid w:val="00216069"/>
    <w:rsid w:val="00217A8C"/>
    <w:rsid w:val="00220F16"/>
    <w:rsid w:val="00221082"/>
    <w:rsid w:val="002218F6"/>
    <w:rsid w:val="0022220B"/>
    <w:rsid w:val="00225165"/>
    <w:rsid w:val="0022550C"/>
    <w:rsid w:val="00226A21"/>
    <w:rsid w:val="0022761D"/>
    <w:rsid w:val="00230921"/>
    <w:rsid w:val="00231837"/>
    <w:rsid w:val="00232568"/>
    <w:rsid w:val="002349A0"/>
    <w:rsid w:val="00234EE5"/>
    <w:rsid w:val="0023525B"/>
    <w:rsid w:val="00235695"/>
    <w:rsid w:val="002360BE"/>
    <w:rsid w:val="00236C46"/>
    <w:rsid w:val="00240BB2"/>
    <w:rsid w:val="00240D31"/>
    <w:rsid w:val="0024127D"/>
    <w:rsid w:val="0024245F"/>
    <w:rsid w:val="002439CC"/>
    <w:rsid w:val="0024401A"/>
    <w:rsid w:val="00244818"/>
    <w:rsid w:val="00245CBC"/>
    <w:rsid w:val="002469C5"/>
    <w:rsid w:val="0024721C"/>
    <w:rsid w:val="00247669"/>
    <w:rsid w:val="0024781F"/>
    <w:rsid w:val="00247DF9"/>
    <w:rsid w:val="00250024"/>
    <w:rsid w:val="002502C1"/>
    <w:rsid w:val="00250374"/>
    <w:rsid w:val="00254C5B"/>
    <w:rsid w:val="00260EFF"/>
    <w:rsid w:val="00262069"/>
    <w:rsid w:val="00262428"/>
    <w:rsid w:val="00262CBC"/>
    <w:rsid w:val="00262D9D"/>
    <w:rsid w:val="00263739"/>
    <w:rsid w:val="00263A74"/>
    <w:rsid w:val="00264DC8"/>
    <w:rsid w:val="002679AE"/>
    <w:rsid w:val="002702C6"/>
    <w:rsid w:val="00270FD7"/>
    <w:rsid w:val="0027118E"/>
    <w:rsid w:val="00271240"/>
    <w:rsid w:val="002725F4"/>
    <w:rsid w:val="002732EC"/>
    <w:rsid w:val="00273558"/>
    <w:rsid w:val="002735EA"/>
    <w:rsid w:val="00273725"/>
    <w:rsid w:val="0027504C"/>
    <w:rsid w:val="00275064"/>
    <w:rsid w:val="002750AF"/>
    <w:rsid w:val="00276C8B"/>
    <w:rsid w:val="002771E5"/>
    <w:rsid w:val="00277840"/>
    <w:rsid w:val="00277DFB"/>
    <w:rsid w:val="002831B6"/>
    <w:rsid w:val="00283283"/>
    <w:rsid w:val="0028378A"/>
    <w:rsid w:val="00284288"/>
    <w:rsid w:val="002867D3"/>
    <w:rsid w:val="00286E0A"/>
    <w:rsid w:val="00287C5A"/>
    <w:rsid w:val="002924C9"/>
    <w:rsid w:val="00293839"/>
    <w:rsid w:val="00293DEB"/>
    <w:rsid w:val="00295162"/>
    <w:rsid w:val="00295571"/>
    <w:rsid w:val="002961D9"/>
    <w:rsid w:val="00297E12"/>
    <w:rsid w:val="002A090C"/>
    <w:rsid w:val="002A1236"/>
    <w:rsid w:val="002A21AD"/>
    <w:rsid w:val="002A3162"/>
    <w:rsid w:val="002A3C80"/>
    <w:rsid w:val="002A3E28"/>
    <w:rsid w:val="002A458F"/>
    <w:rsid w:val="002A5D98"/>
    <w:rsid w:val="002A62C8"/>
    <w:rsid w:val="002A6DA4"/>
    <w:rsid w:val="002A7B74"/>
    <w:rsid w:val="002A7E1F"/>
    <w:rsid w:val="002B2089"/>
    <w:rsid w:val="002B23FF"/>
    <w:rsid w:val="002B26CF"/>
    <w:rsid w:val="002B271E"/>
    <w:rsid w:val="002B3003"/>
    <w:rsid w:val="002B4E65"/>
    <w:rsid w:val="002C0792"/>
    <w:rsid w:val="002C0A5A"/>
    <w:rsid w:val="002C121E"/>
    <w:rsid w:val="002C1280"/>
    <w:rsid w:val="002C217E"/>
    <w:rsid w:val="002C226C"/>
    <w:rsid w:val="002C3EE2"/>
    <w:rsid w:val="002C4E32"/>
    <w:rsid w:val="002C54E6"/>
    <w:rsid w:val="002C587F"/>
    <w:rsid w:val="002C62B2"/>
    <w:rsid w:val="002C67DF"/>
    <w:rsid w:val="002C7A8B"/>
    <w:rsid w:val="002D0569"/>
    <w:rsid w:val="002D0CAF"/>
    <w:rsid w:val="002D1724"/>
    <w:rsid w:val="002D1A41"/>
    <w:rsid w:val="002D24C3"/>
    <w:rsid w:val="002D3936"/>
    <w:rsid w:val="002D44DF"/>
    <w:rsid w:val="002D4B55"/>
    <w:rsid w:val="002D72E1"/>
    <w:rsid w:val="002E0028"/>
    <w:rsid w:val="002E05CE"/>
    <w:rsid w:val="002E0ED1"/>
    <w:rsid w:val="002E2087"/>
    <w:rsid w:val="002E2A6B"/>
    <w:rsid w:val="002E68EA"/>
    <w:rsid w:val="002E73BB"/>
    <w:rsid w:val="002E7420"/>
    <w:rsid w:val="002F022C"/>
    <w:rsid w:val="002F022D"/>
    <w:rsid w:val="002F0972"/>
    <w:rsid w:val="002F1F46"/>
    <w:rsid w:val="002F23E7"/>
    <w:rsid w:val="002F2FAD"/>
    <w:rsid w:val="002F56BC"/>
    <w:rsid w:val="002F5875"/>
    <w:rsid w:val="002F6042"/>
    <w:rsid w:val="002F6477"/>
    <w:rsid w:val="002F6B7C"/>
    <w:rsid w:val="002F6BB1"/>
    <w:rsid w:val="00300B8A"/>
    <w:rsid w:val="003013F8"/>
    <w:rsid w:val="003037F8"/>
    <w:rsid w:val="003041FA"/>
    <w:rsid w:val="003052C5"/>
    <w:rsid w:val="00306843"/>
    <w:rsid w:val="00311EA7"/>
    <w:rsid w:val="003120F0"/>
    <w:rsid w:val="00312A68"/>
    <w:rsid w:val="003133C1"/>
    <w:rsid w:val="00314C3F"/>
    <w:rsid w:val="00316BD2"/>
    <w:rsid w:val="00322B93"/>
    <w:rsid w:val="003261B7"/>
    <w:rsid w:val="00327879"/>
    <w:rsid w:val="003304D6"/>
    <w:rsid w:val="003312F1"/>
    <w:rsid w:val="003323E2"/>
    <w:rsid w:val="00332AC3"/>
    <w:rsid w:val="0033349A"/>
    <w:rsid w:val="00333753"/>
    <w:rsid w:val="003339FD"/>
    <w:rsid w:val="00333CAE"/>
    <w:rsid w:val="003342CD"/>
    <w:rsid w:val="0033446B"/>
    <w:rsid w:val="0033477F"/>
    <w:rsid w:val="00334EEF"/>
    <w:rsid w:val="00335042"/>
    <w:rsid w:val="00340015"/>
    <w:rsid w:val="00340728"/>
    <w:rsid w:val="00341642"/>
    <w:rsid w:val="003417A8"/>
    <w:rsid w:val="0034307A"/>
    <w:rsid w:val="00343137"/>
    <w:rsid w:val="003432EB"/>
    <w:rsid w:val="0034432E"/>
    <w:rsid w:val="00345543"/>
    <w:rsid w:val="00346F07"/>
    <w:rsid w:val="00350E4D"/>
    <w:rsid w:val="00353264"/>
    <w:rsid w:val="00353F1B"/>
    <w:rsid w:val="00355872"/>
    <w:rsid w:val="00356A2F"/>
    <w:rsid w:val="00357161"/>
    <w:rsid w:val="00357733"/>
    <w:rsid w:val="00360C0A"/>
    <w:rsid w:val="00361566"/>
    <w:rsid w:val="003625F4"/>
    <w:rsid w:val="00362B70"/>
    <w:rsid w:val="003631BA"/>
    <w:rsid w:val="003637C0"/>
    <w:rsid w:val="00363AAE"/>
    <w:rsid w:val="00363E61"/>
    <w:rsid w:val="00364C57"/>
    <w:rsid w:val="00364DEE"/>
    <w:rsid w:val="0036530C"/>
    <w:rsid w:val="003674CA"/>
    <w:rsid w:val="0037008E"/>
    <w:rsid w:val="00370395"/>
    <w:rsid w:val="00371104"/>
    <w:rsid w:val="0037180D"/>
    <w:rsid w:val="0037324E"/>
    <w:rsid w:val="00373853"/>
    <w:rsid w:val="00373CEB"/>
    <w:rsid w:val="00374044"/>
    <w:rsid w:val="00375B88"/>
    <w:rsid w:val="003772A8"/>
    <w:rsid w:val="00382804"/>
    <w:rsid w:val="00382B8F"/>
    <w:rsid w:val="003869A4"/>
    <w:rsid w:val="00387665"/>
    <w:rsid w:val="0039239B"/>
    <w:rsid w:val="00392BBA"/>
    <w:rsid w:val="00392C0C"/>
    <w:rsid w:val="0039306A"/>
    <w:rsid w:val="003938FF"/>
    <w:rsid w:val="00394781"/>
    <w:rsid w:val="00394F1B"/>
    <w:rsid w:val="003951A5"/>
    <w:rsid w:val="003954FD"/>
    <w:rsid w:val="0039551C"/>
    <w:rsid w:val="00396782"/>
    <w:rsid w:val="00397075"/>
    <w:rsid w:val="003A0808"/>
    <w:rsid w:val="003A17BE"/>
    <w:rsid w:val="003A1D3B"/>
    <w:rsid w:val="003A35E3"/>
    <w:rsid w:val="003A4874"/>
    <w:rsid w:val="003A4987"/>
    <w:rsid w:val="003A51DB"/>
    <w:rsid w:val="003A5A94"/>
    <w:rsid w:val="003A6D39"/>
    <w:rsid w:val="003A74A9"/>
    <w:rsid w:val="003A7D77"/>
    <w:rsid w:val="003B029E"/>
    <w:rsid w:val="003B02F8"/>
    <w:rsid w:val="003B19DD"/>
    <w:rsid w:val="003B2BBD"/>
    <w:rsid w:val="003B31F4"/>
    <w:rsid w:val="003B3E73"/>
    <w:rsid w:val="003B4356"/>
    <w:rsid w:val="003B4DE0"/>
    <w:rsid w:val="003B5559"/>
    <w:rsid w:val="003B636A"/>
    <w:rsid w:val="003B64DD"/>
    <w:rsid w:val="003B65C5"/>
    <w:rsid w:val="003B729E"/>
    <w:rsid w:val="003C02F3"/>
    <w:rsid w:val="003C2D1E"/>
    <w:rsid w:val="003C445C"/>
    <w:rsid w:val="003C5318"/>
    <w:rsid w:val="003C5719"/>
    <w:rsid w:val="003C602E"/>
    <w:rsid w:val="003C6EC4"/>
    <w:rsid w:val="003C759D"/>
    <w:rsid w:val="003C7907"/>
    <w:rsid w:val="003C7B82"/>
    <w:rsid w:val="003D0B99"/>
    <w:rsid w:val="003D20F0"/>
    <w:rsid w:val="003D392B"/>
    <w:rsid w:val="003D60D7"/>
    <w:rsid w:val="003E0411"/>
    <w:rsid w:val="003E101D"/>
    <w:rsid w:val="003E1C8F"/>
    <w:rsid w:val="003E1CE3"/>
    <w:rsid w:val="003E2080"/>
    <w:rsid w:val="003E2239"/>
    <w:rsid w:val="003E2347"/>
    <w:rsid w:val="003E32C5"/>
    <w:rsid w:val="003E3E9F"/>
    <w:rsid w:val="003E4124"/>
    <w:rsid w:val="003E4D76"/>
    <w:rsid w:val="003E5A74"/>
    <w:rsid w:val="003E63D9"/>
    <w:rsid w:val="003E77BC"/>
    <w:rsid w:val="003E79BC"/>
    <w:rsid w:val="003F0327"/>
    <w:rsid w:val="003F0A8A"/>
    <w:rsid w:val="003F1616"/>
    <w:rsid w:val="003F17A4"/>
    <w:rsid w:val="003F289F"/>
    <w:rsid w:val="003F3B86"/>
    <w:rsid w:val="004000AE"/>
    <w:rsid w:val="00402146"/>
    <w:rsid w:val="00402A9E"/>
    <w:rsid w:val="00402B81"/>
    <w:rsid w:val="004049A9"/>
    <w:rsid w:val="00407104"/>
    <w:rsid w:val="00412BB6"/>
    <w:rsid w:val="00412FCD"/>
    <w:rsid w:val="00414028"/>
    <w:rsid w:val="00414D65"/>
    <w:rsid w:val="004151DF"/>
    <w:rsid w:val="00416D62"/>
    <w:rsid w:val="00417E24"/>
    <w:rsid w:val="00421C03"/>
    <w:rsid w:val="00421C5C"/>
    <w:rsid w:val="004220EF"/>
    <w:rsid w:val="00422237"/>
    <w:rsid w:val="0042246E"/>
    <w:rsid w:val="00422EF5"/>
    <w:rsid w:val="00423C98"/>
    <w:rsid w:val="00424433"/>
    <w:rsid w:val="00425761"/>
    <w:rsid w:val="0042603E"/>
    <w:rsid w:val="00426662"/>
    <w:rsid w:val="00426EAF"/>
    <w:rsid w:val="004277D7"/>
    <w:rsid w:val="00430978"/>
    <w:rsid w:val="00430D59"/>
    <w:rsid w:val="00431749"/>
    <w:rsid w:val="00431E61"/>
    <w:rsid w:val="00434115"/>
    <w:rsid w:val="00434E12"/>
    <w:rsid w:val="00436952"/>
    <w:rsid w:val="004374AB"/>
    <w:rsid w:val="00437D50"/>
    <w:rsid w:val="00440003"/>
    <w:rsid w:val="004417DB"/>
    <w:rsid w:val="00441D39"/>
    <w:rsid w:val="0044227C"/>
    <w:rsid w:val="00443F01"/>
    <w:rsid w:val="004444D7"/>
    <w:rsid w:val="00444681"/>
    <w:rsid w:val="00444C98"/>
    <w:rsid w:val="00444F2C"/>
    <w:rsid w:val="00445319"/>
    <w:rsid w:val="00446240"/>
    <w:rsid w:val="00446CFA"/>
    <w:rsid w:val="00447285"/>
    <w:rsid w:val="00447EEC"/>
    <w:rsid w:val="00452B75"/>
    <w:rsid w:val="004530F8"/>
    <w:rsid w:val="004536CC"/>
    <w:rsid w:val="004539B2"/>
    <w:rsid w:val="00453E43"/>
    <w:rsid w:val="00453E46"/>
    <w:rsid w:val="00453ED1"/>
    <w:rsid w:val="004546AC"/>
    <w:rsid w:val="00454E2D"/>
    <w:rsid w:val="004556A3"/>
    <w:rsid w:val="004564C8"/>
    <w:rsid w:val="0045726E"/>
    <w:rsid w:val="004577E7"/>
    <w:rsid w:val="0046151C"/>
    <w:rsid w:val="00462095"/>
    <w:rsid w:val="0046250F"/>
    <w:rsid w:val="00462D64"/>
    <w:rsid w:val="00464356"/>
    <w:rsid w:val="0046587E"/>
    <w:rsid w:val="00466731"/>
    <w:rsid w:val="00466DD5"/>
    <w:rsid w:val="00467E83"/>
    <w:rsid w:val="00471AE0"/>
    <w:rsid w:val="0047265F"/>
    <w:rsid w:val="0047292B"/>
    <w:rsid w:val="00472C5D"/>
    <w:rsid w:val="00473035"/>
    <w:rsid w:val="00473386"/>
    <w:rsid w:val="00473AA1"/>
    <w:rsid w:val="00473B71"/>
    <w:rsid w:val="00473C50"/>
    <w:rsid w:val="00474E70"/>
    <w:rsid w:val="004755FE"/>
    <w:rsid w:val="004760FC"/>
    <w:rsid w:val="004761EB"/>
    <w:rsid w:val="00476643"/>
    <w:rsid w:val="00480454"/>
    <w:rsid w:val="00480B7B"/>
    <w:rsid w:val="00482B81"/>
    <w:rsid w:val="00482C5D"/>
    <w:rsid w:val="00482D4C"/>
    <w:rsid w:val="00483475"/>
    <w:rsid w:val="004838E4"/>
    <w:rsid w:val="00484059"/>
    <w:rsid w:val="0048463A"/>
    <w:rsid w:val="00491B42"/>
    <w:rsid w:val="00491F20"/>
    <w:rsid w:val="00492BF6"/>
    <w:rsid w:val="00493A0E"/>
    <w:rsid w:val="00494895"/>
    <w:rsid w:val="00496312"/>
    <w:rsid w:val="00496EF0"/>
    <w:rsid w:val="0049791A"/>
    <w:rsid w:val="00497CED"/>
    <w:rsid w:val="004A10CE"/>
    <w:rsid w:val="004A1638"/>
    <w:rsid w:val="004A27A8"/>
    <w:rsid w:val="004A3018"/>
    <w:rsid w:val="004A4499"/>
    <w:rsid w:val="004A538B"/>
    <w:rsid w:val="004A73AC"/>
    <w:rsid w:val="004A7BDF"/>
    <w:rsid w:val="004B0A1A"/>
    <w:rsid w:val="004B2397"/>
    <w:rsid w:val="004B2A83"/>
    <w:rsid w:val="004B3C0F"/>
    <w:rsid w:val="004B3C46"/>
    <w:rsid w:val="004B4A3C"/>
    <w:rsid w:val="004B4B61"/>
    <w:rsid w:val="004B575C"/>
    <w:rsid w:val="004B5D38"/>
    <w:rsid w:val="004B7560"/>
    <w:rsid w:val="004B7CE8"/>
    <w:rsid w:val="004B7E57"/>
    <w:rsid w:val="004B7FE9"/>
    <w:rsid w:val="004C0423"/>
    <w:rsid w:val="004C05E4"/>
    <w:rsid w:val="004C0D66"/>
    <w:rsid w:val="004C178E"/>
    <w:rsid w:val="004C1AEF"/>
    <w:rsid w:val="004C1B22"/>
    <w:rsid w:val="004C28DF"/>
    <w:rsid w:val="004C3455"/>
    <w:rsid w:val="004C38C1"/>
    <w:rsid w:val="004C3EFA"/>
    <w:rsid w:val="004C4EF4"/>
    <w:rsid w:val="004C5E73"/>
    <w:rsid w:val="004C6951"/>
    <w:rsid w:val="004C767C"/>
    <w:rsid w:val="004D003B"/>
    <w:rsid w:val="004D0344"/>
    <w:rsid w:val="004D062D"/>
    <w:rsid w:val="004D0EB9"/>
    <w:rsid w:val="004D4AE5"/>
    <w:rsid w:val="004D5CD1"/>
    <w:rsid w:val="004D5D12"/>
    <w:rsid w:val="004D6950"/>
    <w:rsid w:val="004D6DDB"/>
    <w:rsid w:val="004E0DB5"/>
    <w:rsid w:val="004E1293"/>
    <w:rsid w:val="004E1370"/>
    <w:rsid w:val="004E24BD"/>
    <w:rsid w:val="004E2EE7"/>
    <w:rsid w:val="004E3590"/>
    <w:rsid w:val="004E39E1"/>
    <w:rsid w:val="004E5D54"/>
    <w:rsid w:val="004E6E2A"/>
    <w:rsid w:val="004E77B4"/>
    <w:rsid w:val="004F00BA"/>
    <w:rsid w:val="004F011F"/>
    <w:rsid w:val="004F03F4"/>
    <w:rsid w:val="004F34F7"/>
    <w:rsid w:val="004F4920"/>
    <w:rsid w:val="004F4B72"/>
    <w:rsid w:val="004F4C00"/>
    <w:rsid w:val="004F56D0"/>
    <w:rsid w:val="004F5B63"/>
    <w:rsid w:val="004F7EFB"/>
    <w:rsid w:val="00500038"/>
    <w:rsid w:val="005006C6"/>
    <w:rsid w:val="0050235E"/>
    <w:rsid w:val="00502867"/>
    <w:rsid w:val="0050321D"/>
    <w:rsid w:val="00503A99"/>
    <w:rsid w:val="00503E44"/>
    <w:rsid w:val="0050480D"/>
    <w:rsid w:val="00505191"/>
    <w:rsid w:val="0050777E"/>
    <w:rsid w:val="00507FBE"/>
    <w:rsid w:val="0051267B"/>
    <w:rsid w:val="00512C3E"/>
    <w:rsid w:val="00513E9B"/>
    <w:rsid w:val="00513FE8"/>
    <w:rsid w:val="0051429B"/>
    <w:rsid w:val="00515283"/>
    <w:rsid w:val="00515552"/>
    <w:rsid w:val="005156FE"/>
    <w:rsid w:val="00515C84"/>
    <w:rsid w:val="00515CC4"/>
    <w:rsid w:val="00515D50"/>
    <w:rsid w:val="00516F15"/>
    <w:rsid w:val="00517A77"/>
    <w:rsid w:val="005201BE"/>
    <w:rsid w:val="0052167E"/>
    <w:rsid w:val="00522043"/>
    <w:rsid w:val="005227CE"/>
    <w:rsid w:val="005231C5"/>
    <w:rsid w:val="00523876"/>
    <w:rsid w:val="00526793"/>
    <w:rsid w:val="005304FE"/>
    <w:rsid w:val="005313FF"/>
    <w:rsid w:val="00531400"/>
    <w:rsid w:val="00533926"/>
    <w:rsid w:val="00533988"/>
    <w:rsid w:val="00533BA0"/>
    <w:rsid w:val="00533C5E"/>
    <w:rsid w:val="0053530F"/>
    <w:rsid w:val="005371B6"/>
    <w:rsid w:val="00537224"/>
    <w:rsid w:val="00537FB7"/>
    <w:rsid w:val="005411D1"/>
    <w:rsid w:val="00542450"/>
    <w:rsid w:val="00542873"/>
    <w:rsid w:val="00543546"/>
    <w:rsid w:val="00545DDC"/>
    <w:rsid w:val="00546957"/>
    <w:rsid w:val="00547A32"/>
    <w:rsid w:val="00550301"/>
    <w:rsid w:val="0055054E"/>
    <w:rsid w:val="0055130F"/>
    <w:rsid w:val="00551613"/>
    <w:rsid w:val="00551AC5"/>
    <w:rsid w:val="005524B6"/>
    <w:rsid w:val="00553418"/>
    <w:rsid w:val="0055675D"/>
    <w:rsid w:val="005571F5"/>
    <w:rsid w:val="005573C4"/>
    <w:rsid w:val="00560265"/>
    <w:rsid w:val="00560682"/>
    <w:rsid w:val="00561477"/>
    <w:rsid w:val="00561B9F"/>
    <w:rsid w:val="00562FA4"/>
    <w:rsid w:val="005648A4"/>
    <w:rsid w:val="00566724"/>
    <w:rsid w:val="00566E8F"/>
    <w:rsid w:val="00567884"/>
    <w:rsid w:val="00570637"/>
    <w:rsid w:val="005709DE"/>
    <w:rsid w:val="005722B0"/>
    <w:rsid w:val="005726BA"/>
    <w:rsid w:val="005728E1"/>
    <w:rsid w:val="00573154"/>
    <w:rsid w:val="00573962"/>
    <w:rsid w:val="00573FFC"/>
    <w:rsid w:val="00574053"/>
    <w:rsid w:val="0057422E"/>
    <w:rsid w:val="00574853"/>
    <w:rsid w:val="00576069"/>
    <w:rsid w:val="00576C82"/>
    <w:rsid w:val="0057727F"/>
    <w:rsid w:val="00577DF1"/>
    <w:rsid w:val="00580B4E"/>
    <w:rsid w:val="005833BE"/>
    <w:rsid w:val="0058565C"/>
    <w:rsid w:val="005858FB"/>
    <w:rsid w:val="00586124"/>
    <w:rsid w:val="005867C1"/>
    <w:rsid w:val="00586D95"/>
    <w:rsid w:val="0059117A"/>
    <w:rsid w:val="005912C9"/>
    <w:rsid w:val="005919AA"/>
    <w:rsid w:val="005926A9"/>
    <w:rsid w:val="0059302A"/>
    <w:rsid w:val="00593888"/>
    <w:rsid w:val="005939D2"/>
    <w:rsid w:val="00593FD7"/>
    <w:rsid w:val="005946A9"/>
    <w:rsid w:val="00594EA9"/>
    <w:rsid w:val="005965EF"/>
    <w:rsid w:val="005978A7"/>
    <w:rsid w:val="005A1B4D"/>
    <w:rsid w:val="005A2077"/>
    <w:rsid w:val="005A218C"/>
    <w:rsid w:val="005A2572"/>
    <w:rsid w:val="005A2745"/>
    <w:rsid w:val="005A31B6"/>
    <w:rsid w:val="005A35FE"/>
    <w:rsid w:val="005A392C"/>
    <w:rsid w:val="005A3D47"/>
    <w:rsid w:val="005A40F9"/>
    <w:rsid w:val="005A44B0"/>
    <w:rsid w:val="005A54B8"/>
    <w:rsid w:val="005A6387"/>
    <w:rsid w:val="005B0979"/>
    <w:rsid w:val="005B1022"/>
    <w:rsid w:val="005B124A"/>
    <w:rsid w:val="005B27C8"/>
    <w:rsid w:val="005B3480"/>
    <w:rsid w:val="005B378C"/>
    <w:rsid w:val="005B3AF1"/>
    <w:rsid w:val="005B40E8"/>
    <w:rsid w:val="005B453E"/>
    <w:rsid w:val="005B473C"/>
    <w:rsid w:val="005B5437"/>
    <w:rsid w:val="005B57BE"/>
    <w:rsid w:val="005B589F"/>
    <w:rsid w:val="005B5F2F"/>
    <w:rsid w:val="005B66E9"/>
    <w:rsid w:val="005B7F20"/>
    <w:rsid w:val="005C032C"/>
    <w:rsid w:val="005C17B6"/>
    <w:rsid w:val="005C47C7"/>
    <w:rsid w:val="005C4A27"/>
    <w:rsid w:val="005C6B8E"/>
    <w:rsid w:val="005C72B1"/>
    <w:rsid w:val="005C73D6"/>
    <w:rsid w:val="005C7885"/>
    <w:rsid w:val="005C7E57"/>
    <w:rsid w:val="005D05DF"/>
    <w:rsid w:val="005D2168"/>
    <w:rsid w:val="005D30D0"/>
    <w:rsid w:val="005D36D5"/>
    <w:rsid w:val="005D5495"/>
    <w:rsid w:val="005D552E"/>
    <w:rsid w:val="005D60FE"/>
    <w:rsid w:val="005D67F2"/>
    <w:rsid w:val="005D7D5A"/>
    <w:rsid w:val="005D7E35"/>
    <w:rsid w:val="005E4792"/>
    <w:rsid w:val="005E4BAC"/>
    <w:rsid w:val="005E548F"/>
    <w:rsid w:val="005E580A"/>
    <w:rsid w:val="005E622C"/>
    <w:rsid w:val="005E7E9F"/>
    <w:rsid w:val="005F0ABE"/>
    <w:rsid w:val="005F105F"/>
    <w:rsid w:val="005F11E4"/>
    <w:rsid w:val="005F1942"/>
    <w:rsid w:val="005F1BC2"/>
    <w:rsid w:val="005F312E"/>
    <w:rsid w:val="005F373E"/>
    <w:rsid w:val="005F50DA"/>
    <w:rsid w:val="005F52D4"/>
    <w:rsid w:val="005F59D0"/>
    <w:rsid w:val="005F7FA4"/>
    <w:rsid w:val="00600C29"/>
    <w:rsid w:val="0060130D"/>
    <w:rsid w:val="00601ECA"/>
    <w:rsid w:val="00603D43"/>
    <w:rsid w:val="00605DC0"/>
    <w:rsid w:val="00606671"/>
    <w:rsid w:val="00607F9C"/>
    <w:rsid w:val="006100E5"/>
    <w:rsid w:val="00611CDA"/>
    <w:rsid w:val="00612329"/>
    <w:rsid w:val="00613116"/>
    <w:rsid w:val="00613689"/>
    <w:rsid w:val="006137A6"/>
    <w:rsid w:val="006137B6"/>
    <w:rsid w:val="00613B16"/>
    <w:rsid w:val="00613C5F"/>
    <w:rsid w:val="00613EE6"/>
    <w:rsid w:val="0061479F"/>
    <w:rsid w:val="00615574"/>
    <w:rsid w:val="00615DD3"/>
    <w:rsid w:val="00616515"/>
    <w:rsid w:val="00616F5D"/>
    <w:rsid w:val="00617A8C"/>
    <w:rsid w:val="006211EE"/>
    <w:rsid w:val="00623DD7"/>
    <w:rsid w:val="00623F9C"/>
    <w:rsid w:val="006243C6"/>
    <w:rsid w:val="00624D35"/>
    <w:rsid w:val="00624DF0"/>
    <w:rsid w:val="00625253"/>
    <w:rsid w:val="00627278"/>
    <w:rsid w:val="00630893"/>
    <w:rsid w:val="00631BE3"/>
    <w:rsid w:val="0063291B"/>
    <w:rsid w:val="00633745"/>
    <w:rsid w:val="006347A5"/>
    <w:rsid w:val="00635097"/>
    <w:rsid w:val="00635199"/>
    <w:rsid w:val="006352A3"/>
    <w:rsid w:val="00635776"/>
    <w:rsid w:val="00637A9B"/>
    <w:rsid w:val="00640057"/>
    <w:rsid w:val="00640941"/>
    <w:rsid w:val="0064129F"/>
    <w:rsid w:val="006417FE"/>
    <w:rsid w:val="00641B8B"/>
    <w:rsid w:val="0064309D"/>
    <w:rsid w:val="006447F6"/>
    <w:rsid w:val="00644E50"/>
    <w:rsid w:val="0064508A"/>
    <w:rsid w:val="0064635F"/>
    <w:rsid w:val="00646F89"/>
    <w:rsid w:val="00647BB7"/>
    <w:rsid w:val="00650605"/>
    <w:rsid w:val="00651D67"/>
    <w:rsid w:val="00652DA2"/>
    <w:rsid w:val="00654882"/>
    <w:rsid w:val="006553F6"/>
    <w:rsid w:val="00655610"/>
    <w:rsid w:val="0065623E"/>
    <w:rsid w:val="006568C5"/>
    <w:rsid w:val="00657D31"/>
    <w:rsid w:val="00660F56"/>
    <w:rsid w:val="00664B6E"/>
    <w:rsid w:val="006652D4"/>
    <w:rsid w:val="006656E5"/>
    <w:rsid w:val="00665BD4"/>
    <w:rsid w:val="00666476"/>
    <w:rsid w:val="00667731"/>
    <w:rsid w:val="00667E20"/>
    <w:rsid w:val="006703D9"/>
    <w:rsid w:val="006711DF"/>
    <w:rsid w:val="00671FD6"/>
    <w:rsid w:val="0067240B"/>
    <w:rsid w:val="00672F5E"/>
    <w:rsid w:val="006752D7"/>
    <w:rsid w:val="00675685"/>
    <w:rsid w:val="00675A7A"/>
    <w:rsid w:val="00675F92"/>
    <w:rsid w:val="006770C7"/>
    <w:rsid w:val="00677283"/>
    <w:rsid w:val="00680297"/>
    <w:rsid w:val="006802BB"/>
    <w:rsid w:val="0068046D"/>
    <w:rsid w:val="00680871"/>
    <w:rsid w:val="00681442"/>
    <w:rsid w:val="0068258F"/>
    <w:rsid w:val="006833C1"/>
    <w:rsid w:val="00683956"/>
    <w:rsid w:val="00683C84"/>
    <w:rsid w:val="006846B1"/>
    <w:rsid w:val="006853B2"/>
    <w:rsid w:val="00685575"/>
    <w:rsid w:val="006857D1"/>
    <w:rsid w:val="00685DA0"/>
    <w:rsid w:val="006860B6"/>
    <w:rsid w:val="006873CE"/>
    <w:rsid w:val="00690297"/>
    <w:rsid w:val="00691A9B"/>
    <w:rsid w:val="00691CFB"/>
    <w:rsid w:val="0069205F"/>
    <w:rsid w:val="006936DA"/>
    <w:rsid w:val="00694729"/>
    <w:rsid w:val="006979BC"/>
    <w:rsid w:val="006A00D1"/>
    <w:rsid w:val="006A0194"/>
    <w:rsid w:val="006A0786"/>
    <w:rsid w:val="006A11D6"/>
    <w:rsid w:val="006A1A5F"/>
    <w:rsid w:val="006A44B0"/>
    <w:rsid w:val="006A6F5E"/>
    <w:rsid w:val="006B02E4"/>
    <w:rsid w:val="006B0F1C"/>
    <w:rsid w:val="006B1920"/>
    <w:rsid w:val="006B1C4C"/>
    <w:rsid w:val="006B291A"/>
    <w:rsid w:val="006B3023"/>
    <w:rsid w:val="006B3A9F"/>
    <w:rsid w:val="006B4618"/>
    <w:rsid w:val="006B4BDA"/>
    <w:rsid w:val="006B520A"/>
    <w:rsid w:val="006B523A"/>
    <w:rsid w:val="006B6942"/>
    <w:rsid w:val="006C170A"/>
    <w:rsid w:val="006C20BF"/>
    <w:rsid w:val="006C3821"/>
    <w:rsid w:val="006C4253"/>
    <w:rsid w:val="006C4C50"/>
    <w:rsid w:val="006C5786"/>
    <w:rsid w:val="006C5AAF"/>
    <w:rsid w:val="006C5D70"/>
    <w:rsid w:val="006D0CA2"/>
    <w:rsid w:val="006D0D3E"/>
    <w:rsid w:val="006D10EC"/>
    <w:rsid w:val="006D1724"/>
    <w:rsid w:val="006D37B7"/>
    <w:rsid w:val="006D478B"/>
    <w:rsid w:val="006D4DAA"/>
    <w:rsid w:val="006D51B7"/>
    <w:rsid w:val="006D55C4"/>
    <w:rsid w:val="006D60D0"/>
    <w:rsid w:val="006D672B"/>
    <w:rsid w:val="006D7203"/>
    <w:rsid w:val="006D7A74"/>
    <w:rsid w:val="006E04DB"/>
    <w:rsid w:val="006E0852"/>
    <w:rsid w:val="006E0CBA"/>
    <w:rsid w:val="006E0DF2"/>
    <w:rsid w:val="006E2037"/>
    <w:rsid w:val="006E2B9B"/>
    <w:rsid w:val="006E3241"/>
    <w:rsid w:val="006E3301"/>
    <w:rsid w:val="006E3AB4"/>
    <w:rsid w:val="006E47B7"/>
    <w:rsid w:val="006E496E"/>
    <w:rsid w:val="006E4B17"/>
    <w:rsid w:val="006E4EAC"/>
    <w:rsid w:val="006E5116"/>
    <w:rsid w:val="006E5733"/>
    <w:rsid w:val="006E6321"/>
    <w:rsid w:val="006E68CD"/>
    <w:rsid w:val="006F06C1"/>
    <w:rsid w:val="006F0FEE"/>
    <w:rsid w:val="006F2B8D"/>
    <w:rsid w:val="006F5A38"/>
    <w:rsid w:val="006F5D95"/>
    <w:rsid w:val="006F683C"/>
    <w:rsid w:val="006F692E"/>
    <w:rsid w:val="006F6C2A"/>
    <w:rsid w:val="006F74AB"/>
    <w:rsid w:val="006F76A1"/>
    <w:rsid w:val="006F7703"/>
    <w:rsid w:val="0070169C"/>
    <w:rsid w:val="00701F57"/>
    <w:rsid w:val="00703B10"/>
    <w:rsid w:val="00704CCA"/>
    <w:rsid w:val="00705147"/>
    <w:rsid w:val="00705171"/>
    <w:rsid w:val="007053B0"/>
    <w:rsid w:val="00706ACA"/>
    <w:rsid w:val="007100D1"/>
    <w:rsid w:val="00710B32"/>
    <w:rsid w:val="00710E94"/>
    <w:rsid w:val="007122A2"/>
    <w:rsid w:val="0071284A"/>
    <w:rsid w:val="00712B61"/>
    <w:rsid w:val="00712ED2"/>
    <w:rsid w:val="00713C94"/>
    <w:rsid w:val="0071534C"/>
    <w:rsid w:val="00716C88"/>
    <w:rsid w:val="00717791"/>
    <w:rsid w:val="00717AD3"/>
    <w:rsid w:val="0072047E"/>
    <w:rsid w:val="00722017"/>
    <w:rsid w:val="0072316D"/>
    <w:rsid w:val="0072326A"/>
    <w:rsid w:val="00724DC8"/>
    <w:rsid w:val="00727D8A"/>
    <w:rsid w:val="00730DA8"/>
    <w:rsid w:val="007314DB"/>
    <w:rsid w:val="00731FEA"/>
    <w:rsid w:val="007323F4"/>
    <w:rsid w:val="00733299"/>
    <w:rsid w:val="00735921"/>
    <w:rsid w:val="0073599B"/>
    <w:rsid w:val="00735A0D"/>
    <w:rsid w:val="0073630F"/>
    <w:rsid w:val="007368DF"/>
    <w:rsid w:val="00736EF7"/>
    <w:rsid w:val="00736F61"/>
    <w:rsid w:val="00737AF5"/>
    <w:rsid w:val="0074010C"/>
    <w:rsid w:val="0074059C"/>
    <w:rsid w:val="0074185E"/>
    <w:rsid w:val="00741F9D"/>
    <w:rsid w:val="00742253"/>
    <w:rsid w:val="007436F0"/>
    <w:rsid w:val="0074422A"/>
    <w:rsid w:val="00744669"/>
    <w:rsid w:val="00744DF0"/>
    <w:rsid w:val="0074728E"/>
    <w:rsid w:val="00747B34"/>
    <w:rsid w:val="00747ECD"/>
    <w:rsid w:val="00751211"/>
    <w:rsid w:val="007512E6"/>
    <w:rsid w:val="007518C1"/>
    <w:rsid w:val="007534BA"/>
    <w:rsid w:val="007536FF"/>
    <w:rsid w:val="0075416E"/>
    <w:rsid w:val="00754800"/>
    <w:rsid w:val="00754EB7"/>
    <w:rsid w:val="00755499"/>
    <w:rsid w:val="00755577"/>
    <w:rsid w:val="00755A5D"/>
    <w:rsid w:val="0075708B"/>
    <w:rsid w:val="00757175"/>
    <w:rsid w:val="00757245"/>
    <w:rsid w:val="0075726E"/>
    <w:rsid w:val="0075797E"/>
    <w:rsid w:val="00757B95"/>
    <w:rsid w:val="0076062D"/>
    <w:rsid w:val="00765939"/>
    <w:rsid w:val="007662C7"/>
    <w:rsid w:val="007702B4"/>
    <w:rsid w:val="00770AB0"/>
    <w:rsid w:val="007717AB"/>
    <w:rsid w:val="00772FAF"/>
    <w:rsid w:val="00773315"/>
    <w:rsid w:val="00774E5D"/>
    <w:rsid w:val="00775EF5"/>
    <w:rsid w:val="00776306"/>
    <w:rsid w:val="00776BC5"/>
    <w:rsid w:val="00780F99"/>
    <w:rsid w:val="007816E2"/>
    <w:rsid w:val="007821C7"/>
    <w:rsid w:val="00782EA8"/>
    <w:rsid w:val="00783DA7"/>
    <w:rsid w:val="00784721"/>
    <w:rsid w:val="007849F1"/>
    <w:rsid w:val="007873A9"/>
    <w:rsid w:val="0079008F"/>
    <w:rsid w:val="00792A87"/>
    <w:rsid w:val="0079330A"/>
    <w:rsid w:val="0079362D"/>
    <w:rsid w:val="00793A59"/>
    <w:rsid w:val="00793EAA"/>
    <w:rsid w:val="00794A8B"/>
    <w:rsid w:val="00796E09"/>
    <w:rsid w:val="00797420"/>
    <w:rsid w:val="00797CC6"/>
    <w:rsid w:val="007A0C86"/>
    <w:rsid w:val="007A1388"/>
    <w:rsid w:val="007A1740"/>
    <w:rsid w:val="007A1887"/>
    <w:rsid w:val="007A1D6E"/>
    <w:rsid w:val="007A2E42"/>
    <w:rsid w:val="007A3297"/>
    <w:rsid w:val="007A33F8"/>
    <w:rsid w:val="007A55A7"/>
    <w:rsid w:val="007A57BC"/>
    <w:rsid w:val="007A661D"/>
    <w:rsid w:val="007A6B5C"/>
    <w:rsid w:val="007B0072"/>
    <w:rsid w:val="007B029F"/>
    <w:rsid w:val="007B13B8"/>
    <w:rsid w:val="007B1EF4"/>
    <w:rsid w:val="007B1F10"/>
    <w:rsid w:val="007B1F30"/>
    <w:rsid w:val="007B2143"/>
    <w:rsid w:val="007B2C9B"/>
    <w:rsid w:val="007B335E"/>
    <w:rsid w:val="007B4A9D"/>
    <w:rsid w:val="007B6441"/>
    <w:rsid w:val="007C10FD"/>
    <w:rsid w:val="007C123C"/>
    <w:rsid w:val="007C137D"/>
    <w:rsid w:val="007C1959"/>
    <w:rsid w:val="007C2191"/>
    <w:rsid w:val="007C2C9F"/>
    <w:rsid w:val="007C5368"/>
    <w:rsid w:val="007C554E"/>
    <w:rsid w:val="007C5BB2"/>
    <w:rsid w:val="007C6111"/>
    <w:rsid w:val="007C6F3D"/>
    <w:rsid w:val="007C714E"/>
    <w:rsid w:val="007C7D64"/>
    <w:rsid w:val="007D3CD3"/>
    <w:rsid w:val="007D5DBB"/>
    <w:rsid w:val="007D66DF"/>
    <w:rsid w:val="007D6771"/>
    <w:rsid w:val="007D6846"/>
    <w:rsid w:val="007E018D"/>
    <w:rsid w:val="007E35C7"/>
    <w:rsid w:val="007E4529"/>
    <w:rsid w:val="007E4C5E"/>
    <w:rsid w:val="007E6A45"/>
    <w:rsid w:val="007E6E16"/>
    <w:rsid w:val="007E7A7F"/>
    <w:rsid w:val="007E7FF0"/>
    <w:rsid w:val="007F04B3"/>
    <w:rsid w:val="007F0618"/>
    <w:rsid w:val="007F1B71"/>
    <w:rsid w:val="007F397C"/>
    <w:rsid w:val="007F4686"/>
    <w:rsid w:val="007F58B1"/>
    <w:rsid w:val="007F64C3"/>
    <w:rsid w:val="00800610"/>
    <w:rsid w:val="00801D27"/>
    <w:rsid w:val="00802D9E"/>
    <w:rsid w:val="0080320B"/>
    <w:rsid w:val="00803FBA"/>
    <w:rsid w:val="00806429"/>
    <w:rsid w:val="008066B4"/>
    <w:rsid w:val="00807483"/>
    <w:rsid w:val="00807594"/>
    <w:rsid w:val="00807E7D"/>
    <w:rsid w:val="008100EF"/>
    <w:rsid w:val="0081071B"/>
    <w:rsid w:val="0081082D"/>
    <w:rsid w:val="0081239C"/>
    <w:rsid w:val="0081278C"/>
    <w:rsid w:val="00812B3C"/>
    <w:rsid w:val="008145BA"/>
    <w:rsid w:val="0081478D"/>
    <w:rsid w:val="0081497E"/>
    <w:rsid w:val="00814994"/>
    <w:rsid w:val="00815081"/>
    <w:rsid w:val="00815551"/>
    <w:rsid w:val="0081614C"/>
    <w:rsid w:val="0081771E"/>
    <w:rsid w:val="008179A8"/>
    <w:rsid w:val="00817E90"/>
    <w:rsid w:val="0082356D"/>
    <w:rsid w:val="008249BE"/>
    <w:rsid w:val="00824D5B"/>
    <w:rsid w:val="00825699"/>
    <w:rsid w:val="00826DAB"/>
    <w:rsid w:val="00826DDB"/>
    <w:rsid w:val="0082733A"/>
    <w:rsid w:val="00827D89"/>
    <w:rsid w:val="008301EE"/>
    <w:rsid w:val="00830CA5"/>
    <w:rsid w:val="00831675"/>
    <w:rsid w:val="00833654"/>
    <w:rsid w:val="00836618"/>
    <w:rsid w:val="00837662"/>
    <w:rsid w:val="00837753"/>
    <w:rsid w:val="008404AD"/>
    <w:rsid w:val="008411E7"/>
    <w:rsid w:val="0084262A"/>
    <w:rsid w:val="00842905"/>
    <w:rsid w:val="00844849"/>
    <w:rsid w:val="00844F4D"/>
    <w:rsid w:val="00845A80"/>
    <w:rsid w:val="00845EA6"/>
    <w:rsid w:val="00846C0C"/>
    <w:rsid w:val="00846E6C"/>
    <w:rsid w:val="0084724C"/>
    <w:rsid w:val="00850C29"/>
    <w:rsid w:val="00851246"/>
    <w:rsid w:val="00851EBE"/>
    <w:rsid w:val="00852B60"/>
    <w:rsid w:val="00853137"/>
    <w:rsid w:val="00854802"/>
    <w:rsid w:val="008552D6"/>
    <w:rsid w:val="00855395"/>
    <w:rsid w:val="00855C94"/>
    <w:rsid w:val="00855DA3"/>
    <w:rsid w:val="00856247"/>
    <w:rsid w:val="00856314"/>
    <w:rsid w:val="00856C5E"/>
    <w:rsid w:val="00857F6C"/>
    <w:rsid w:val="008603CC"/>
    <w:rsid w:val="00860BB5"/>
    <w:rsid w:val="00862443"/>
    <w:rsid w:val="00862641"/>
    <w:rsid w:val="00862748"/>
    <w:rsid w:val="00863DEE"/>
    <w:rsid w:val="00864A3C"/>
    <w:rsid w:val="00865C72"/>
    <w:rsid w:val="00866A11"/>
    <w:rsid w:val="00866EF4"/>
    <w:rsid w:val="00867DBA"/>
    <w:rsid w:val="008700AB"/>
    <w:rsid w:val="0087167E"/>
    <w:rsid w:val="00871711"/>
    <w:rsid w:val="00873557"/>
    <w:rsid w:val="008738D9"/>
    <w:rsid w:val="0087649E"/>
    <w:rsid w:val="008765AD"/>
    <w:rsid w:val="0087680E"/>
    <w:rsid w:val="0087687D"/>
    <w:rsid w:val="00877071"/>
    <w:rsid w:val="008779B4"/>
    <w:rsid w:val="00877A2F"/>
    <w:rsid w:val="0088138D"/>
    <w:rsid w:val="00883863"/>
    <w:rsid w:val="00883FBB"/>
    <w:rsid w:val="0088467C"/>
    <w:rsid w:val="00884C45"/>
    <w:rsid w:val="008853B9"/>
    <w:rsid w:val="00885AA3"/>
    <w:rsid w:val="00885DEF"/>
    <w:rsid w:val="0088703F"/>
    <w:rsid w:val="00891C65"/>
    <w:rsid w:val="00891F21"/>
    <w:rsid w:val="00891F28"/>
    <w:rsid w:val="008922F1"/>
    <w:rsid w:val="00892A83"/>
    <w:rsid w:val="00892D3B"/>
    <w:rsid w:val="00893052"/>
    <w:rsid w:val="00893107"/>
    <w:rsid w:val="00893179"/>
    <w:rsid w:val="00893978"/>
    <w:rsid w:val="008940BD"/>
    <w:rsid w:val="00894579"/>
    <w:rsid w:val="00895219"/>
    <w:rsid w:val="008A01F5"/>
    <w:rsid w:val="008A12F1"/>
    <w:rsid w:val="008A1FF8"/>
    <w:rsid w:val="008A2BDB"/>
    <w:rsid w:val="008A3827"/>
    <w:rsid w:val="008A5B67"/>
    <w:rsid w:val="008A5CCD"/>
    <w:rsid w:val="008A6160"/>
    <w:rsid w:val="008A6278"/>
    <w:rsid w:val="008A6403"/>
    <w:rsid w:val="008A6A6D"/>
    <w:rsid w:val="008A700A"/>
    <w:rsid w:val="008B0765"/>
    <w:rsid w:val="008B21B2"/>
    <w:rsid w:val="008B29E7"/>
    <w:rsid w:val="008B2C4E"/>
    <w:rsid w:val="008B30F4"/>
    <w:rsid w:val="008B3282"/>
    <w:rsid w:val="008B33DF"/>
    <w:rsid w:val="008B5649"/>
    <w:rsid w:val="008B5C0B"/>
    <w:rsid w:val="008B6A87"/>
    <w:rsid w:val="008B6C1F"/>
    <w:rsid w:val="008C18F0"/>
    <w:rsid w:val="008C2010"/>
    <w:rsid w:val="008C2216"/>
    <w:rsid w:val="008C30D6"/>
    <w:rsid w:val="008C34AA"/>
    <w:rsid w:val="008C3671"/>
    <w:rsid w:val="008C3B21"/>
    <w:rsid w:val="008C6C74"/>
    <w:rsid w:val="008C6F72"/>
    <w:rsid w:val="008D07E2"/>
    <w:rsid w:val="008D108A"/>
    <w:rsid w:val="008D1380"/>
    <w:rsid w:val="008D16F7"/>
    <w:rsid w:val="008D40FA"/>
    <w:rsid w:val="008D4167"/>
    <w:rsid w:val="008D4835"/>
    <w:rsid w:val="008D5BF3"/>
    <w:rsid w:val="008D60F1"/>
    <w:rsid w:val="008D7B17"/>
    <w:rsid w:val="008D7D11"/>
    <w:rsid w:val="008E09B0"/>
    <w:rsid w:val="008E1336"/>
    <w:rsid w:val="008E135C"/>
    <w:rsid w:val="008E1427"/>
    <w:rsid w:val="008E14EF"/>
    <w:rsid w:val="008E1AA3"/>
    <w:rsid w:val="008E2113"/>
    <w:rsid w:val="008E32E1"/>
    <w:rsid w:val="008E3EE6"/>
    <w:rsid w:val="008E414A"/>
    <w:rsid w:val="008E52C7"/>
    <w:rsid w:val="008E596A"/>
    <w:rsid w:val="008E5A1D"/>
    <w:rsid w:val="008E5EC0"/>
    <w:rsid w:val="008E6D07"/>
    <w:rsid w:val="008E79B4"/>
    <w:rsid w:val="008F0C50"/>
    <w:rsid w:val="008F1963"/>
    <w:rsid w:val="008F2529"/>
    <w:rsid w:val="008F308C"/>
    <w:rsid w:val="008F3663"/>
    <w:rsid w:val="008F4101"/>
    <w:rsid w:val="008F5BEB"/>
    <w:rsid w:val="008F5EC8"/>
    <w:rsid w:val="008F660A"/>
    <w:rsid w:val="008F73E9"/>
    <w:rsid w:val="008F743A"/>
    <w:rsid w:val="008F761E"/>
    <w:rsid w:val="008F778A"/>
    <w:rsid w:val="008F7F5B"/>
    <w:rsid w:val="00900104"/>
    <w:rsid w:val="009004D8"/>
    <w:rsid w:val="009008F4"/>
    <w:rsid w:val="00901F99"/>
    <w:rsid w:val="00902ED6"/>
    <w:rsid w:val="0090320B"/>
    <w:rsid w:val="00904E16"/>
    <w:rsid w:val="00905AC9"/>
    <w:rsid w:val="00905DEF"/>
    <w:rsid w:val="00906037"/>
    <w:rsid w:val="00906A90"/>
    <w:rsid w:val="00906AC4"/>
    <w:rsid w:val="00906B9E"/>
    <w:rsid w:val="00910878"/>
    <w:rsid w:val="0091280A"/>
    <w:rsid w:val="00912A5A"/>
    <w:rsid w:val="009143A0"/>
    <w:rsid w:val="0091656E"/>
    <w:rsid w:val="00917A26"/>
    <w:rsid w:val="009200B8"/>
    <w:rsid w:val="009201A8"/>
    <w:rsid w:val="0092198C"/>
    <w:rsid w:val="00921B5A"/>
    <w:rsid w:val="00921DB1"/>
    <w:rsid w:val="00923C32"/>
    <w:rsid w:val="00924A1D"/>
    <w:rsid w:val="00925124"/>
    <w:rsid w:val="00925308"/>
    <w:rsid w:val="00925635"/>
    <w:rsid w:val="00927B1F"/>
    <w:rsid w:val="00927C59"/>
    <w:rsid w:val="009302CF"/>
    <w:rsid w:val="0093084E"/>
    <w:rsid w:val="009310C3"/>
    <w:rsid w:val="00931881"/>
    <w:rsid w:val="00931AB1"/>
    <w:rsid w:val="00931E93"/>
    <w:rsid w:val="009329EC"/>
    <w:rsid w:val="0093421F"/>
    <w:rsid w:val="00935F4F"/>
    <w:rsid w:val="00936902"/>
    <w:rsid w:val="009376B9"/>
    <w:rsid w:val="00937EF4"/>
    <w:rsid w:val="00941A98"/>
    <w:rsid w:val="0094212A"/>
    <w:rsid w:val="00942170"/>
    <w:rsid w:val="009423B8"/>
    <w:rsid w:val="009430EE"/>
    <w:rsid w:val="009431E8"/>
    <w:rsid w:val="009442D7"/>
    <w:rsid w:val="0094486D"/>
    <w:rsid w:val="009460A0"/>
    <w:rsid w:val="009467E4"/>
    <w:rsid w:val="00950E58"/>
    <w:rsid w:val="009519EC"/>
    <w:rsid w:val="009521BB"/>
    <w:rsid w:val="00952DF0"/>
    <w:rsid w:val="0095305B"/>
    <w:rsid w:val="009537CB"/>
    <w:rsid w:val="00954117"/>
    <w:rsid w:val="00954679"/>
    <w:rsid w:val="0095483F"/>
    <w:rsid w:val="009552FE"/>
    <w:rsid w:val="00955673"/>
    <w:rsid w:val="00955A16"/>
    <w:rsid w:val="009562E9"/>
    <w:rsid w:val="00956385"/>
    <w:rsid w:val="009568DE"/>
    <w:rsid w:val="009572BB"/>
    <w:rsid w:val="00960195"/>
    <w:rsid w:val="009603A1"/>
    <w:rsid w:val="00960714"/>
    <w:rsid w:val="00961219"/>
    <w:rsid w:val="00961659"/>
    <w:rsid w:val="009636D1"/>
    <w:rsid w:val="009641E5"/>
    <w:rsid w:val="00965503"/>
    <w:rsid w:val="009655DA"/>
    <w:rsid w:val="00965ACB"/>
    <w:rsid w:val="00965BBC"/>
    <w:rsid w:val="00965F1E"/>
    <w:rsid w:val="009664C8"/>
    <w:rsid w:val="00966B00"/>
    <w:rsid w:val="00967081"/>
    <w:rsid w:val="009673C0"/>
    <w:rsid w:val="009673D0"/>
    <w:rsid w:val="00967E7E"/>
    <w:rsid w:val="009710E4"/>
    <w:rsid w:val="009710F2"/>
    <w:rsid w:val="009712FD"/>
    <w:rsid w:val="00971F05"/>
    <w:rsid w:val="00972823"/>
    <w:rsid w:val="00973BB2"/>
    <w:rsid w:val="00973EF1"/>
    <w:rsid w:val="00974996"/>
    <w:rsid w:val="00975D06"/>
    <w:rsid w:val="00976271"/>
    <w:rsid w:val="009766A9"/>
    <w:rsid w:val="009768BE"/>
    <w:rsid w:val="00976FB5"/>
    <w:rsid w:val="00977183"/>
    <w:rsid w:val="00977512"/>
    <w:rsid w:val="0097796D"/>
    <w:rsid w:val="00980CDA"/>
    <w:rsid w:val="009818D3"/>
    <w:rsid w:val="00981D9F"/>
    <w:rsid w:val="00984683"/>
    <w:rsid w:val="00986A6B"/>
    <w:rsid w:val="00986BDA"/>
    <w:rsid w:val="0098737D"/>
    <w:rsid w:val="00987B76"/>
    <w:rsid w:val="00990BE6"/>
    <w:rsid w:val="009918C2"/>
    <w:rsid w:val="009956B5"/>
    <w:rsid w:val="009957CD"/>
    <w:rsid w:val="009959A2"/>
    <w:rsid w:val="009959B8"/>
    <w:rsid w:val="009971D6"/>
    <w:rsid w:val="009A030C"/>
    <w:rsid w:val="009A0668"/>
    <w:rsid w:val="009A1867"/>
    <w:rsid w:val="009A2167"/>
    <w:rsid w:val="009A288C"/>
    <w:rsid w:val="009A4394"/>
    <w:rsid w:val="009A48DA"/>
    <w:rsid w:val="009A49F0"/>
    <w:rsid w:val="009A4FE0"/>
    <w:rsid w:val="009A5307"/>
    <w:rsid w:val="009A79D0"/>
    <w:rsid w:val="009B3774"/>
    <w:rsid w:val="009B3E23"/>
    <w:rsid w:val="009B4958"/>
    <w:rsid w:val="009B4AA2"/>
    <w:rsid w:val="009B7A38"/>
    <w:rsid w:val="009B7C49"/>
    <w:rsid w:val="009C0051"/>
    <w:rsid w:val="009C064F"/>
    <w:rsid w:val="009C18E7"/>
    <w:rsid w:val="009C18F9"/>
    <w:rsid w:val="009C1BF2"/>
    <w:rsid w:val="009C2BAD"/>
    <w:rsid w:val="009C3663"/>
    <w:rsid w:val="009C4257"/>
    <w:rsid w:val="009C45ED"/>
    <w:rsid w:val="009C6A1E"/>
    <w:rsid w:val="009C6C75"/>
    <w:rsid w:val="009C6E97"/>
    <w:rsid w:val="009D0262"/>
    <w:rsid w:val="009D1F74"/>
    <w:rsid w:val="009D2E44"/>
    <w:rsid w:val="009D2F0C"/>
    <w:rsid w:val="009D3036"/>
    <w:rsid w:val="009D41A0"/>
    <w:rsid w:val="009D477C"/>
    <w:rsid w:val="009D5AB6"/>
    <w:rsid w:val="009E12D5"/>
    <w:rsid w:val="009E173F"/>
    <w:rsid w:val="009E191E"/>
    <w:rsid w:val="009E1A83"/>
    <w:rsid w:val="009E1EEB"/>
    <w:rsid w:val="009E27A5"/>
    <w:rsid w:val="009E2F86"/>
    <w:rsid w:val="009E34A3"/>
    <w:rsid w:val="009E52C8"/>
    <w:rsid w:val="009E545B"/>
    <w:rsid w:val="009E5610"/>
    <w:rsid w:val="009E612D"/>
    <w:rsid w:val="009E6B50"/>
    <w:rsid w:val="009E7633"/>
    <w:rsid w:val="009F1C01"/>
    <w:rsid w:val="009F2264"/>
    <w:rsid w:val="009F3043"/>
    <w:rsid w:val="009F3449"/>
    <w:rsid w:val="009F462C"/>
    <w:rsid w:val="009F5FAC"/>
    <w:rsid w:val="009F6479"/>
    <w:rsid w:val="009F6997"/>
    <w:rsid w:val="009F7174"/>
    <w:rsid w:val="009F7284"/>
    <w:rsid w:val="009F7C07"/>
    <w:rsid w:val="00A0007A"/>
    <w:rsid w:val="00A00A83"/>
    <w:rsid w:val="00A00FEC"/>
    <w:rsid w:val="00A01796"/>
    <w:rsid w:val="00A0222C"/>
    <w:rsid w:val="00A0458C"/>
    <w:rsid w:val="00A04785"/>
    <w:rsid w:val="00A06ED7"/>
    <w:rsid w:val="00A0784F"/>
    <w:rsid w:val="00A10E0E"/>
    <w:rsid w:val="00A11064"/>
    <w:rsid w:val="00A11CDC"/>
    <w:rsid w:val="00A12209"/>
    <w:rsid w:val="00A131B0"/>
    <w:rsid w:val="00A159F8"/>
    <w:rsid w:val="00A16E92"/>
    <w:rsid w:val="00A170CD"/>
    <w:rsid w:val="00A20594"/>
    <w:rsid w:val="00A217F9"/>
    <w:rsid w:val="00A22859"/>
    <w:rsid w:val="00A22EED"/>
    <w:rsid w:val="00A23C3E"/>
    <w:rsid w:val="00A2473C"/>
    <w:rsid w:val="00A269F5"/>
    <w:rsid w:val="00A26AB0"/>
    <w:rsid w:val="00A271CE"/>
    <w:rsid w:val="00A27D2E"/>
    <w:rsid w:val="00A31484"/>
    <w:rsid w:val="00A31681"/>
    <w:rsid w:val="00A33318"/>
    <w:rsid w:val="00A33751"/>
    <w:rsid w:val="00A34138"/>
    <w:rsid w:val="00A34CA4"/>
    <w:rsid w:val="00A3506A"/>
    <w:rsid w:val="00A3554F"/>
    <w:rsid w:val="00A36015"/>
    <w:rsid w:val="00A36DF3"/>
    <w:rsid w:val="00A41839"/>
    <w:rsid w:val="00A43600"/>
    <w:rsid w:val="00A43BA7"/>
    <w:rsid w:val="00A4441D"/>
    <w:rsid w:val="00A44C05"/>
    <w:rsid w:val="00A461B6"/>
    <w:rsid w:val="00A5097B"/>
    <w:rsid w:val="00A51DA7"/>
    <w:rsid w:val="00A51F43"/>
    <w:rsid w:val="00A51F77"/>
    <w:rsid w:val="00A52779"/>
    <w:rsid w:val="00A532DD"/>
    <w:rsid w:val="00A54519"/>
    <w:rsid w:val="00A5513A"/>
    <w:rsid w:val="00A5522E"/>
    <w:rsid w:val="00A55A48"/>
    <w:rsid w:val="00A55F01"/>
    <w:rsid w:val="00A56682"/>
    <w:rsid w:val="00A567F3"/>
    <w:rsid w:val="00A60033"/>
    <w:rsid w:val="00A624E7"/>
    <w:rsid w:val="00A63BCB"/>
    <w:rsid w:val="00A63C7C"/>
    <w:rsid w:val="00A649B6"/>
    <w:rsid w:val="00A65F0B"/>
    <w:rsid w:val="00A663AD"/>
    <w:rsid w:val="00A674DE"/>
    <w:rsid w:val="00A704C7"/>
    <w:rsid w:val="00A71409"/>
    <w:rsid w:val="00A7166D"/>
    <w:rsid w:val="00A71A2B"/>
    <w:rsid w:val="00A7237E"/>
    <w:rsid w:val="00A72FC2"/>
    <w:rsid w:val="00A7432B"/>
    <w:rsid w:val="00A7499F"/>
    <w:rsid w:val="00A74B90"/>
    <w:rsid w:val="00A74F0F"/>
    <w:rsid w:val="00A760F0"/>
    <w:rsid w:val="00A765E5"/>
    <w:rsid w:val="00A772DC"/>
    <w:rsid w:val="00A7778B"/>
    <w:rsid w:val="00A7795E"/>
    <w:rsid w:val="00A808FB"/>
    <w:rsid w:val="00A80AD6"/>
    <w:rsid w:val="00A80BCF"/>
    <w:rsid w:val="00A81D6C"/>
    <w:rsid w:val="00A825D1"/>
    <w:rsid w:val="00A8307F"/>
    <w:rsid w:val="00A8369C"/>
    <w:rsid w:val="00A84627"/>
    <w:rsid w:val="00A85598"/>
    <w:rsid w:val="00A86579"/>
    <w:rsid w:val="00A86E62"/>
    <w:rsid w:val="00A870AD"/>
    <w:rsid w:val="00A873E3"/>
    <w:rsid w:val="00A90212"/>
    <w:rsid w:val="00A90577"/>
    <w:rsid w:val="00A90CC4"/>
    <w:rsid w:val="00A90D3A"/>
    <w:rsid w:val="00A930F0"/>
    <w:rsid w:val="00A9401D"/>
    <w:rsid w:val="00A946A8"/>
    <w:rsid w:val="00A95804"/>
    <w:rsid w:val="00A95844"/>
    <w:rsid w:val="00A95C92"/>
    <w:rsid w:val="00A964E2"/>
    <w:rsid w:val="00A96773"/>
    <w:rsid w:val="00AA05A8"/>
    <w:rsid w:val="00AA151C"/>
    <w:rsid w:val="00AA1689"/>
    <w:rsid w:val="00AA169F"/>
    <w:rsid w:val="00AA1832"/>
    <w:rsid w:val="00AA2F78"/>
    <w:rsid w:val="00AA367F"/>
    <w:rsid w:val="00AA399B"/>
    <w:rsid w:val="00AA4852"/>
    <w:rsid w:val="00AA496F"/>
    <w:rsid w:val="00AA5770"/>
    <w:rsid w:val="00AA5811"/>
    <w:rsid w:val="00AA70DB"/>
    <w:rsid w:val="00AA74F0"/>
    <w:rsid w:val="00AB2E70"/>
    <w:rsid w:val="00AB32A8"/>
    <w:rsid w:val="00AB33C1"/>
    <w:rsid w:val="00AB3B9B"/>
    <w:rsid w:val="00AB3E03"/>
    <w:rsid w:val="00AB5964"/>
    <w:rsid w:val="00AB630C"/>
    <w:rsid w:val="00AB7834"/>
    <w:rsid w:val="00AC03C4"/>
    <w:rsid w:val="00AC0A05"/>
    <w:rsid w:val="00AC0D6B"/>
    <w:rsid w:val="00AC1228"/>
    <w:rsid w:val="00AC1A0B"/>
    <w:rsid w:val="00AC1D15"/>
    <w:rsid w:val="00AC249B"/>
    <w:rsid w:val="00AC2F12"/>
    <w:rsid w:val="00AC314D"/>
    <w:rsid w:val="00AC33AB"/>
    <w:rsid w:val="00AC3B7C"/>
    <w:rsid w:val="00AC5126"/>
    <w:rsid w:val="00AC59B0"/>
    <w:rsid w:val="00AC5EBC"/>
    <w:rsid w:val="00AC62AB"/>
    <w:rsid w:val="00AC6B68"/>
    <w:rsid w:val="00AC6C93"/>
    <w:rsid w:val="00AD0B55"/>
    <w:rsid w:val="00AD2918"/>
    <w:rsid w:val="00AD2CC7"/>
    <w:rsid w:val="00AD2FB2"/>
    <w:rsid w:val="00AD33CE"/>
    <w:rsid w:val="00AD39E8"/>
    <w:rsid w:val="00AD4172"/>
    <w:rsid w:val="00AD44C6"/>
    <w:rsid w:val="00AD4B65"/>
    <w:rsid w:val="00AD5814"/>
    <w:rsid w:val="00AD7CAE"/>
    <w:rsid w:val="00AD7E93"/>
    <w:rsid w:val="00AE0DF1"/>
    <w:rsid w:val="00AE16B4"/>
    <w:rsid w:val="00AE1CDA"/>
    <w:rsid w:val="00AE2CAB"/>
    <w:rsid w:val="00AE2E36"/>
    <w:rsid w:val="00AE460D"/>
    <w:rsid w:val="00AE4D03"/>
    <w:rsid w:val="00AE5496"/>
    <w:rsid w:val="00AE7A20"/>
    <w:rsid w:val="00AE7EBE"/>
    <w:rsid w:val="00AE7F82"/>
    <w:rsid w:val="00AF25C7"/>
    <w:rsid w:val="00AF267D"/>
    <w:rsid w:val="00AF4438"/>
    <w:rsid w:val="00AF682A"/>
    <w:rsid w:val="00AF7054"/>
    <w:rsid w:val="00AF7611"/>
    <w:rsid w:val="00AF7AEF"/>
    <w:rsid w:val="00B007E8"/>
    <w:rsid w:val="00B017E7"/>
    <w:rsid w:val="00B01C76"/>
    <w:rsid w:val="00B02293"/>
    <w:rsid w:val="00B05978"/>
    <w:rsid w:val="00B07B0C"/>
    <w:rsid w:val="00B07F2E"/>
    <w:rsid w:val="00B10618"/>
    <w:rsid w:val="00B10F45"/>
    <w:rsid w:val="00B120F9"/>
    <w:rsid w:val="00B121FC"/>
    <w:rsid w:val="00B12365"/>
    <w:rsid w:val="00B132BD"/>
    <w:rsid w:val="00B139A7"/>
    <w:rsid w:val="00B13B85"/>
    <w:rsid w:val="00B149FA"/>
    <w:rsid w:val="00B154C2"/>
    <w:rsid w:val="00B1777A"/>
    <w:rsid w:val="00B21C32"/>
    <w:rsid w:val="00B22426"/>
    <w:rsid w:val="00B23239"/>
    <w:rsid w:val="00B23690"/>
    <w:rsid w:val="00B2385B"/>
    <w:rsid w:val="00B23CDB"/>
    <w:rsid w:val="00B25563"/>
    <w:rsid w:val="00B26637"/>
    <w:rsid w:val="00B26D48"/>
    <w:rsid w:val="00B2789F"/>
    <w:rsid w:val="00B27E69"/>
    <w:rsid w:val="00B30D3B"/>
    <w:rsid w:val="00B3138C"/>
    <w:rsid w:val="00B3372C"/>
    <w:rsid w:val="00B33907"/>
    <w:rsid w:val="00B33A23"/>
    <w:rsid w:val="00B33B5E"/>
    <w:rsid w:val="00B3440F"/>
    <w:rsid w:val="00B345B7"/>
    <w:rsid w:val="00B34B80"/>
    <w:rsid w:val="00B35C7A"/>
    <w:rsid w:val="00B3614E"/>
    <w:rsid w:val="00B40949"/>
    <w:rsid w:val="00B40D80"/>
    <w:rsid w:val="00B40DD6"/>
    <w:rsid w:val="00B41E2D"/>
    <w:rsid w:val="00B41F36"/>
    <w:rsid w:val="00B41F7B"/>
    <w:rsid w:val="00B42650"/>
    <w:rsid w:val="00B42E42"/>
    <w:rsid w:val="00B42EE1"/>
    <w:rsid w:val="00B440C5"/>
    <w:rsid w:val="00B44D04"/>
    <w:rsid w:val="00B44D62"/>
    <w:rsid w:val="00B44E06"/>
    <w:rsid w:val="00B45D14"/>
    <w:rsid w:val="00B478AA"/>
    <w:rsid w:val="00B47A59"/>
    <w:rsid w:val="00B5349B"/>
    <w:rsid w:val="00B5349F"/>
    <w:rsid w:val="00B53862"/>
    <w:rsid w:val="00B5426B"/>
    <w:rsid w:val="00B54B15"/>
    <w:rsid w:val="00B56148"/>
    <w:rsid w:val="00B5649C"/>
    <w:rsid w:val="00B57E34"/>
    <w:rsid w:val="00B607AA"/>
    <w:rsid w:val="00B609F5"/>
    <w:rsid w:val="00B60DBB"/>
    <w:rsid w:val="00B60EDB"/>
    <w:rsid w:val="00B61C28"/>
    <w:rsid w:val="00B64A1F"/>
    <w:rsid w:val="00B64C18"/>
    <w:rsid w:val="00B65034"/>
    <w:rsid w:val="00B65896"/>
    <w:rsid w:val="00B66779"/>
    <w:rsid w:val="00B671DF"/>
    <w:rsid w:val="00B676E8"/>
    <w:rsid w:val="00B7138A"/>
    <w:rsid w:val="00B723F8"/>
    <w:rsid w:val="00B725BB"/>
    <w:rsid w:val="00B72A43"/>
    <w:rsid w:val="00B74EF0"/>
    <w:rsid w:val="00B764CD"/>
    <w:rsid w:val="00B7697D"/>
    <w:rsid w:val="00B8167E"/>
    <w:rsid w:val="00B81FC3"/>
    <w:rsid w:val="00B821B1"/>
    <w:rsid w:val="00B8293D"/>
    <w:rsid w:val="00B8461A"/>
    <w:rsid w:val="00B8651D"/>
    <w:rsid w:val="00B865FC"/>
    <w:rsid w:val="00B86BEE"/>
    <w:rsid w:val="00B877D5"/>
    <w:rsid w:val="00B878BB"/>
    <w:rsid w:val="00B87A49"/>
    <w:rsid w:val="00B90537"/>
    <w:rsid w:val="00B91D01"/>
    <w:rsid w:val="00B91ECE"/>
    <w:rsid w:val="00B92049"/>
    <w:rsid w:val="00B92478"/>
    <w:rsid w:val="00B92AEC"/>
    <w:rsid w:val="00B93FBF"/>
    <w:rsid w:val="00B942C7"/>
    <w:rsid w:val="00B943FB"/>
    <w:rsid w:val="00B9460E"/>
    <w:rsid w:val="00B94BEB"/>
    <w:rsid w:val="00B9533E"/>
    <w:rsid w:val="00B9563F"/>
    <w:rsid w:val="00B97463"/>
    <w:rsid w:val="00B97B4A"/>
    <w:rsid w:val="00BA05C6"/>
    <w:rsid w:val="00BA09BD"/>
    <w:rsid w:val="00BA0D85"/>
    <w:rsid w:val="00BA1196"/>
    <w:rsid w:val="00BA13A1"/>
    <w:rsid w:val="00BA1CFB"/>
    <w:rsid w:val="00BA25B4"/>
    <w:rsid w:val="00BA2738"/>
    <w:rsid w:val="00BA4EB6"/>
    <w:rsid w:val="00BA6188"/>
    <w:rsid w:val="00BA76C8"/>
    <w:rsid w:val="00BB0595"/>
    <w:rsid w:val="00BB14B7"/>
    <w:rsid w:val="00BB1DDF"/>
    <w:rsid w:val="00BB40FD"/>
    <w:rsid w:val="00BB49CA"/>
    <w:rsid w:val="00BB608E"/>
    <w:rsid w:val="00BB7567"/>
    <w:rsid w:val="00BB76D8"/>
    <w:rsid w:val="00BB7C2D"/>
    <w:rsid w:val="00BC0077"/>
    <w:rsid w:val="00BC0748"/>
    <w:rsid w:val="00BC0B6F"/>
    <w:rsid w:val="00BC1C33"/>
    <w:rsid w:val="00BC2635"/>
    <w:rsid w:val="00BC361A"/>
    <w:rsid w:val="00BC48B3"/>
    <w:rsid w:val="00BC5755"/>
    <w:rsid w:val="00BC65D9"/>
    <w:rsid w:val="00BC68C2"/>
    <w:rsid w:val="00BC6CAB"/>
    <w:rsid w:val="00BC713A"/>
    <w:rsid w:val="00BC7652"/>
    <w:rsid w:val="00BC7CF2"/>
    <w:rsid w:val="00BD0F36"/>
    <w:rsid w:val="00BD1C7B"/>
    <w:rsid w:val="00BD1F66"/>
    <w:rsid w:val="00BD2045"/>
    <w:rsid w:val="00BD3450"/>
    <w:rsid w:val="00BD346D"/>
    <w:rsid w:val="00BD3B90"/>
    <w:rsid w:val="00BD3D7D"/>
    <w:rsid w:val="00BD41C5"/>
    <w:rsid w:val="00BD48E5"/>
    <w:rsid w:val="00BD49F7"/>
    <w:rsid w:val="00BD4B04"/>
    <w:rsid w:val="00BD61A2"/>
    <w:rsid w:val="00BD62FE"/>
    <w:rsid w:val="00BE01C9"/>
    <w:rsid w:val="00BE1769"/>
    <w:rsid w:val="00BE2EAA"/>
    <w:rsid w:val="00BE390F"/>
    <w:rsid w:val="00BE484D"/>
    <w:rsid w:val="00BE4C00"/>
    <w:rsid w:val="00BF05CD"/>
    <w:rsid w:val="00BF0622"/>
    <w:rsid w:val="00BF0CDE"/>
    <w:rsid w:val="00BF0E79"/>
    <w:rsid w:val="00BF2596"/>
    <w:rsid w:val="00BF2C29"/>
    <w:rsid w:val="00BF4E31"/>
    <w:rsid w:val="00BF55F8"/>
    <w:rsid w:val="00BF663A"/>
    <w:rsid w:val="00BF76E7"/>
    <w:rsid w:val="00C000E0"/>
    <w:rsid w:val="00C008B1"/>
    <w:rsid w:val="00C00B11"/>
    <w:rsid w:val="00C0139B"/>
    <w:rsid w:val="00C01583"/>
    <w:rsid w:val="00C0187E"/>
    <w:rsid w:val="00C022B3"/>
    <w:rsid w:val="00C05BD6"/>
    <w:rsid w:val="00C06361"/>
    <w:rsid w:val="00C06CD9"/>
    <w:rsid w:val="00C11ADF"/>
    <w:rsid w:val="00C12D21"/>
    <w:rsid w:val="00C13153"/>
    <w:rsid w:val="00C13CB1"/>
    <w:rsid w:val="00C145AA"/>
    <w:rsid w:val="00C1595E"/>
    <w:rsid w:val="00C22020"/>
    <w:rsid w:val="00C2202B"/>
    <w:rsid w:val="00C2338C"/>
    <w:rsid w:val="00C24266"/>
    <w:rsid w:val="00C24EDE"/>
    <w:rsid w:val="00C25C05"/>
    <w:rsid w:val="00C27546"/>
    <w:rsid w:val="00C27DE0"/>
    <w:rsid w:val="00C30602"/>
    <w:rsid w:val="00C30CA5"/>
    <w:rsid w:val="00C334D7"/>
    <w:rsid w:val="00C34581"/>
    <w:rsid w:val="00C35B92"/>
    <w:rsid w:val="00C360F6"/>
    <w:rsid w:val="00C3641D"/>
    <w:rsid w:val="00C3669B"/>
    <w:rsid w:val="00C37E05"/>
    <w:rsid w:val="00C40842"/>
    <w:rsid w:val="00C41783"/>
    <w:rsid w:val="00C41F02"/>
    <w:rsid w:val="00C4270A"/>
    <w:rsid w:val="00C42FE3"/>
    <w:rsid w:val="00C435BE"/>
    <w:rsid w:val="00C43A6C"/>
    <w:rsid w:val="00C43F78"/>
    <w:rsid w:val="00C44034"/>
    <w:rsid w:val="00C4641C"/>
    <w:rsid w:val="00C4641D"/>
    <w:rsid w:val="00C46EBC"/>
    <w:rsid w:val="00C4717F"/>
    <w:rsid w:val="00C47361"/>
    <w:rsid w:val="00C4751F"/>
    <w:rsid w:val="00C47789"/>
    <w:rsid w:val="00C47C4A"/>
    <w:rsid w:val="00C47CBA"/>
    <w:rsid w:val="00C506D1"/>
    <w:rsid w:val="00C50E5F"/>
    <w:rsid w:val="00C52172"/>
    <w:rsid w:val="00C527A7"/>
    <w:rsid w:val="00C53564"/>
    <w:rsid w:val="00C541D0"/>
    <w:rsid w:val="00C55D29"/>
    <w:rsid w:val="00C56F2E"/>
    <w:rsid w:val="00C5791E"/>
    <w:rsid w:val="00C606DB"/>
    <w:rsid w:val="00C60B15"/>
    <w:rsid w:val="00C61019"/>
    <w:rsid w:val="00C62B3A"/>
    <w:rsid w:val="00C630B0"/>
    <w:rsid w:val="00C64D53"/>
    <w:rsid w:val="00C64EA6"/>
    <w:rsid w:val="00C64F09"/>
    <w:rsid w:val="00C661DA"/>
    <w:rsid w:val="00C66B98"/>
    <w:rsid w:val="00C71EB0"/>
    <w:rsid w:val="00C73AD9"/>
    <w:rsid w:val="00C73CA2"/>
    <w:rsid w:val="00C7439F"/>
    <w:rsid w:val="00C74446"/>
    <w:rsid w:val="00C76429"/>
    <w:rsid w:val="00C81804"/>
    <w:rsid w:val="00C81B5C"/>
    <w:rsid w:val="00C81FE6"/>
    <w:rsid w:val="00C827DB"/>
    <w:rsid w:val="00C83DB6"/>
    <w:rsid w:val="00C845C9"/>
    <w:rsid w:val="00C84FA0"/>
    <w:rsid w:val="00C86F6D"/>
    <w:rsid w:val="00C87CB3"/>
    <w:rsid w:val="00C87FD6"/>
    <w:rsid w:val="00C9044F"/>
    <w:rsid w:val="00C912DA"/>
    <w:rsid w:val="00C923FC"/>
    <w:rsid w:val="00C92A89"/>
    <w:rsid w:val="00C93B55"/>
    <w:rsid w:val="00C948D8"/>
    <w:rsid w:val="00C9576F"/>
    <w:rsid w:val="00C957E2"/>
    <w:rsid w:val="00C96535"/>
    <w:rsid w:val="00C96A12"/>
    <w:rsid w:val="00CA0BE9"/>
    <w:rsid w:val="00CA138D"/>
    <w:rsid w:val="00CA262C"/>
    <w:rsid w:val="00CA2CD9"/>
    <w:rsid w:val="00CA5584"/>
    <w:rsid w:val="00CA57D9"/>
    <w:rsid w:val="00CA5C3A"/>
    <w:rsid w:val="00CA5D67"/>
    <w:rsid w:val="00CA5ECA"/>
    <w:rsid w:val="00CA64D6"/>
    <w:rsid w:val="00CB1B6B"/>
    <w:rsid w:val="00CB1F6E"/>
    <w:rsid w:val="00CB265D"/>
    <w:rsid w:val="00CB382D"/>
    <w:rsid w:val="00CB38A1"/>
    <w:rsid w:val="00CB4727"/>
    <w:rsid w:val="00CB53DA"/>
    <w:rsid w:val="00CB6111"/>
    <w:rsid w:val="00CB684F"/>
    <w:rsid w:val="00CB69F2"/>
    <w:rsid w:val="00CC06A8"/>
    <w:rsid w:val="00CC198C"/>
    <w:rsid w:val="00CC1A15"/>
    <w:rsid w:val="00CC220F"/>
    <w:rsid w:val="00CC2AFE"/>
    <w:rsid w:val="00CC2F72"/>
    <w:rsid w:val="00CC3727"/>
    <w:rsid w:val="00CC46E9"/>
    <w:rsid w:val="00CC548C"/>
    <w:rsid w:val="00CC5B53"/>
    <w:rsid w:val="00CC5B59"/>
    <w:rsid w:val="00CC6013"/>
    <w:rsid w:val="00CC7641"/>
    <w:rsid w:val="00CD29B0"/>
    <w:rsid w:val="00CD2DED"/>
    <w:rsid w:val="00CD303F"/>
    <w:rsid w:val="00CD3C1C"/>
    <w:rsid w:val="00CD6FAE"/>
    <w:rsid w:val="00CD78A6"/>
    <w:rsid w:val="00CE0860"/>
    <w:rsid w:val="00CE0B46"/>
    <w:rsid w:val="00CE101E"/>
    <w:rsid w:val="00CE1312"/>
    <w:rsid w:val="00CE1F47"/>
    <w:rsid w:val="00CE423B"/>
    <w:rsid w:val="00CE4863"/>
    <w:rsid w:val="00CE4EFB"/>
    <w:rsid w:val="00CE554D"/>
    <w:rsid w:val="00CE6E81"/>
    <w:rsid w:val="00CE76DE"/>
    <w:rsid w:val="00CE7D19"/>
    <w:rsid w:val="00CF0060"/>
    <w:rsid w:val="00CF0681"/>
    <w:rsid w:val="00CF2515"/>
    <w:rsid w:val="00CF27BC"/>
    <w:rsid w:val="00CF2F13"/>
    <w:rsid w:val="00CF38D5"/>
    <w:rsid w:val="00CF3A25"/>
    <w:rsid w:val="00CF3E79"/>
    <w:rsid w:val="00CF497F"/>
    <w:rsid w:val="00CF57BF"/>
    <w:rsid w:val="00CF5FED"/>
    <w:rsid w:val="00CF6074"/>
    <w:rsid w:val="00CF6A4A"/>
    <w:rsid w:val="00CF74C1"/>
    <w:rsid w:val="00D00464"/>
    <w:rsid w:val="00D016AD"/>
    <w:rsid w:val="00D02181"/>
    <w:rsid w:val="00D0229C"/>
    <w:rsid w:val="00D02AB8"/>
    <w:rsid w:val="00D05079"/>
    <w:rsid w:val="00D055CE"/>
    <w:rsid w:val="00D074A2"/>
    <w:rsid w:val="00D076DD"/>
    <w:rsid w:val="00D0797E"/>
    <w:rsid w:val="00D10064"/>
    <w:rsid w:val="00D11454"/>
    <w:rsid w:val="00D118E5"/>
    <w:rsid w:val="00D13794"/>
    <w:rsid w:val="00D13B31"/>
    <w:rsid w:val="00D13EC1"/>
    <w:rsid w:val="00D144D5"/>
    <w:rsid w:val="00D14F4E"/>
    <w:rsid w:val="00D15501"/>
    <w:rsid w:val="00D16C3A"/>
    <w:rsid w:val="00D17F86"/>
    <w:rsid w:val="00D218E7"/>
    <w:rsid w:val="00D21DC8"/>
    <w:rsid w:val="00D23594"/>
    <w:rsid w:val="00D24052"/>
    <w:rsid w:val="00D24386"/>
    <w:rsid w:val="00D25711"/>
    <w:rsid w:val="00D25B33"/>
    <w:rsid w:val="00D25BE2"/>
    <w:rsid w:val="00D25E78"/>
    <w:rsid w:val="00D26B43"/>
    <w:rsid w:val="00D27E7D"/>
    <w:rsid w:val="00D30B47"/>
    <w:rsid w:val="00D30E15"/>
    <w:rsid w:val="00D31575"/>
    <w:rsid w:val="00D31A89"/>
    <w:rsid w:val="00D32BE4"/>
    <w:rsid w:val="00D33AEA"/>
    <w:rsid w:val="00D33E07"/>
    <w:rsid w:val="00D34626"/>
    <w:rsid w:val="00D34691"/>
    <w:rsid w:val="00D34FB4"/>
    <w:rsid w:val="00D354DA"/>
    <w:rsid w:val="00D359BA"/>
    <w:rsid w:val="00D36CC8"/>
    <w:rsid w:val="00D4160B"/>
    <w:rsid w:val="00D4161B"/>
    <w:rsid w:val="00D4257A"/>
    <w:rsid w:val="00D456A9"/>
    <w:rsid w:val="00D46407"/>
    <w:rsid w:val="00D46F27"/>
    <w:rsid w:val="00D51724"/>
    <w:rsid w:val="00D51E5A"/>
    <w:rsid w:val="00D52798"/>
    <w:rsid w:val="00D530AF"/>
    <w:rsid w:val="00D5468A"/>
    <w:rsid w:val="00D56817"/>
    <w:rsid w:val="00D575D6"/>
    <w:rsid w:val="00D57C3C"/>
    <w:rsid w:val="00D6005C"/>
    <w:rsid w:val="00D61745"/>
    <w:rsid w:val="00D62665"/>
    <w:rsid w:val="00D6291F"/>
    <w:rsid w:val="00D645AC"/>
    <w:rsid w:val="00D65BA3"/>
    <w:rsid w:val="00D66C71"/>
    <w:rsid w:val="00D66D7C"/>
    <w:rsid w:val="00D70205"/>
    <w:rsid w:val="00D71BEA"/>
    <w:rsid w:val="00D726E2"/>
    <w:rsid w:val="00D72A15"/>
    <w:rsid w:val="00D72C0C"/>
    <w:rsid w:val="00D735EF"/>
    <w:rsid w:val="00D75060"/>
    <w:rsid w:val="00D75347"/>
    <w:rsid w:val="00D75586"/>
    <w:rsid w:val="00D755EB"/>
    <w:rsid w:val="00D7609F"/>
    <w:rsid w:val="00D76C53"/>
    <w:rsid w:val="00D81039"/>
    <w:rsid w:val="00D818A1"/>
    <w:rsid w:val="00D81AA7"/>
    <w:rsid w:val="00D82E47"/>
    <w:rsid w:val="00D8333F"/>
    <w:rsid w:val="00D83C0F"/>
    <w:rsid w:val="00D84422"/>
    <w:rsid w:val="00D84A01"/>
    <w:rsid w:val="00D86137"/>
    <w:rsid w:val="00D874AA"/>
    <w:rsid w:val="00D87880"/>
    <w:rsid w:val="00D904C1"/>
    <w:rsid w:val="00D92247"/>
    <w:rsid w:val="00D92C0A"/>
    <w:rsid w:val="00D93058"/>
    <w:rsid w:val="00D94217"/>
    <w:rsid w:val="00D94944"/>
    <w:rsid w:val="00D94B64"/>
    <w:rsid w:val="00D95F02"/>
    <w:rsid w:val="00D965CB"/>
    <w:rsid w:val="00D96FF4"/>
    <w:rsid w:val="00D977EA"/>
    <w:rsid w:val="00DA01E8"/>
    <w:rsid w:val="00DA0AF6"/>
    <w:rsid w:val="00DA1D63"/>
    <w:rsid w:val="00DA34F4"/>
    <w:rsid w:val="00DA37E0"/>
    <w:rsid w:val="00DA3AA4"/>
    <w:rsid w:val="00DA3E75"/>
    <w:rsid w:val="00DA7686"/>
    <w:rsid w:val="00DA7990"/>
    <w:rsid w:val="00DB00B5"/>
    <w:rsid w:val="00DB0155"/>
    <w:rsid w:val="00DB0C97"/>
    <w:rsid w:val="00DB148C"/>
    <w:rsid w:val="00DB1A31"/>
    <w:rsid w:val="00DB1C4B"/>
    <w:rsid w:val="00DB202E"/>
    <w:rsid w:val="00DB29B5"/>
    <w:rsid w:val="00DB3D27"/>
    <w:rsid w:val="00DB4F78"/>
    <w:rsid w:val="00DB5513"/>
    <w:rsid w:val="00DB62D4"/>
    <w:rsid w:val="00DB798D"/>
    <w:rsid w:val="00DB7CDB"/>
    <w:rsid w:val="00DC027B"/>
    <w:rsid w:val="00DC0CDE"/>
    <w:rsid w:val="00DC11DA"/>
    <w:rsid w:val="00DC1A85"/>
    <w:rsid w:val="00DC2484"/>
    <w:rsid w:val="00DC3A45"/>
    <w:rsid w:val="00DC498E"/>
    <w:rsid w:val="00DC4B5D"/>
    <w:rsid w:val="00DC4D72"/>
    <w:rsid w:val="00DC533D"/>
    <w:rsid w:val="00DC5D09"/>
    <w:rsid w:val="00DC6525"/>
    <w:rsid w:val="00DC65AD"/>
    <w:rsid w:val="00DC6C09"/>
    <w:rsid w:val="00DC7018"/>
    <w:rsid w:val="00DC7246"/>
    <w:rsid w:val="00DC7717"/>
    <w:rsid w:val="00DC7837"/>
    <w:rsid w:val="00DC7991"/>
    <w:rsid w:val="00DD0795"/>
    <w:rsid w:val="00DD11B5"/>
    <w:rsid w:val="00DD12B0"/>
    <w:rsid w:val="00DD1A1E"/>
    <w:rsid w:val="00DD1C5E"/>
    <w:rsid w:val="00DD27BF"/>
    <w:rsid w:val="00DD292D"/>
    <w:rsid w:val="00DD3063"/>
    <w:rsid w:val="00DD3092"/>
    <w:rsid w:val="00DD4DC8"/>
    <w:rsid w:val="00DD540F"/>
    <w:rsid w:val="00DD5610"/>
    <w:rsid w:val="00DD585E"/>
    <w:rsid w:val="00DD61FB"/>
    <w:rsid w:val="00DD662F"/>
    <w:rsid w:val="00DE04FB"/>
    <w:rsid w:val="00DE0C9B"/>
    <w:rsid w:val="00DE2157"/>
    <w:rsid w:val="00DF01F2"/>
    <w:rsid w:val="00DF063F"/>
    <w:rsid w:val="00DF0CB3"/>
    <w:rsid w:val="00DF0DF7"/>
    <w:rsid w:val="00DF136B"/>
    <w:rsid w:val="00DF3237"/>
    <w:rsid w:val="00DF494C"/>
    <w:rsid w:val="00DF4DB4"/>
    <w:rsid w:val="00DF595A"/>
    <w:rsid w:val="00DF5C35"/>
    <w:rsid w:val="00DF6CD5"/>
    <w:rsid w:val="00DF6D0B"/>
    <w:rsid w:val="00DF7E0D"/>
    <w:rsid w:val="00E00222"/>
    <w:rsid w:val="00E01A1D"/>
    <w:rsid w:val="00E03212"/>
    <w:rsid w:val="00E03322"/>
    <w:rsid w:val="00E03AF4"/>
    <w:rsid w:val="00E03D6F"/>
    <w:rsid w:val="00E0601A"/>
    <w:rsid w:val="00E0624D"/>
    <w:rsid w:val="00E11700"/>
    <w:rsid w:val="00E11FC8"/>
    <w:rsid w:val="00E12A6F"/>
    <w:rsid w:val="00E12CD6"/>
    <w:rsid w:val="00E13B52"/>
    <w:rsid w:val="00E15A70"/>
    <w:rsid w:val="00E15DDF"/>
    <w:rsid w:val="00E16DA8"/>
    <w:rsid w:val="00E16E0B"/>
    <w:rsid w:val="00E1713C"/>
    <w:rsid w:val="00E179D4"/>
    <w:rsid w:val="00E17A99"/>
    <w:rsid w:val="00E20023"/>
    <w:rsid w:val="00E20091"/>
    <w:rsid w:val="00E2092D"/>
    <w:rsid w:val="00E2241B"/>
    <w:rsid w:val="00E22949"/>
    <w:rsid w:val="00E2402F"/>
    <w:rsid w:val="00E24AA3"/>
    <w:rsid w:val="00E25629"/>
    <w:rsid w:val="00E2644E"/>
    <w:rsid w:val="00E26732"/>
    <w:rsid w:val="00E26971"/>
    <w:rsid w:val="00E275DE"/>
    <w:rsid w:val="00E3132E"/>
    <w:rsid w:val="00E31FAE"/>
    <w:rsid w:val="00E3209F"/>
    <w:rsid w:val="00E336F2"/>
    <w:rsid w:val="00E34845"/>
    <w:rsid w:val="00E353A3"/>
    <w:rsid w:val="00E3597A"/>
    <w:rsid w:val="00E35C9D"/>
    <w:rsid w:val="00E35E97"/>
    <w:rsid w:val="00E37FF7"/>
    <w:rsid w:val="00E42383"/>
    <w:rsid w:val="00E4265A"/>
    <w:rsid w:val="00E43025"/>
    <w:rsid w:val="00E4386D"/>
    <w:rsid w:val="00E4438C"/>
    <w:rsid w:val="00E44397"/>
    <w:rsid w:val="00E44BD3"/>
    <w:rsid w:val="00E457F3"/>
    <w:rsid w:val="00E4611D"/>
    <w:rsid w:val="00E46878"/>
    <w:rsid w:val="00E50663"/>
    <w:rsid w:val="00E511E7"/>
    <w:rsid w:val="00E51BDD"/>
    <w:rsid w:val="00E522BD"/>
    <w:rsid w:val="00E52BCA"/>
    <w:rsid w:val="00E55850"/>
    <w:rsid w:val="00E55C48"/>
    <w:rsid w:val="00E55F9B"/>
    <w:rsid w:val="00E576F5"/>
    <w:rsid w:val="00E5770A"/>
    <w:rsid w:val="00E57A6A"/>
    <w:rsid w:val="00E60605"/>
    <w:rsid w:val="00E6074E"/>
    <w:rsid w:val="00E616C9"/>
    <w:rsid w:val="00E628E5"/>
    <w:rsid w:val="00E62CDE"/>
    <w:rsid w:val="00E643AB"/>
    <w:rsid w:val="00E64F06"/>
    <w:rsid w:val="00E65D12"/>
    <w:rsid w:val="00E66119"/>
    <w:rsid w:val="00E67798"/>
    <w:rsid w:val="00E67817"/>
    <w:rsid w:val="00E67A3B"/>
    <w:rsid w:val="00E705BB"/>
    <w:rsid w:val="00E70D61"/>
    <w:rsid w:val="00E71658"/>
    <w:rsid w:val="00E7224E"/>
    <w:rsid w:val="00E73CC1"/>
    <w:rsid w:val="00E73D12"/>
    <w:rsid w:val="00E751B2"/>
    <w:rsid w:val="00E76406"/>
    <w:rsid w:val="00E80452"/>
    <w:rsid w:val="00E82E98"/>
    <w:rsid w:val="00E82F78"/>
    <w:rsid w:val="00E83724"/>
    <w:rsid w:val="00E83DE0"/>
    <w:rsid w:val="00E8443D"/>
    <w:rsid w:val="00E86357"/>
    <w:rsid w:val="00E869FE"/>
    <w:rsid w:val="00E86A5C"/>
    <w:rsid w:val="00E86B9B"/>
    <w:rsid w:val="00E8712D"/>
    <w:rsid w:val="00E87284"/>
    <w:rsid w:val="00E90726"/>
    <w:rsid w:val="00E90CE6"/>
    <w:rsid w:val="00E91FA9"/>
    <w:rsid w:val="00E94505"/>
    <w:rsid w:val="00E94A19"/>
    <w:rsid w:val="00E96EF0"/>
    <w:rsid w:val="00E97664"/>
    <w:rsid w:val="00EA1BE2"/>
    <w:rsid w:val="00EA1E5C"/>
    <w:rsid w:val="00EA265B"/>
    <w:rsid w:val="00EA27AF"/>
    <w:rsid w:val="00EA322D"/>
    <w:rsid w:val="00EA4347"/>
    <w:rsid w:val="00EA4B8F"/>
    <w:rsid w:val="00EA4DD8"/>
    <w:rsid w:val="00EA5143"/>
    <w:rsid w:val="00EA53E4"/>
    <w:rsid w:val="00EA566E"/>
    <w:rsid w:val="00EA66D8"/>
    <w:rsid w:val="00EA6C6B"/>
    <w:rsid w:val="00EA7616"/>
    <w:rsid w:val="00EA7959"/>
    <w:rsid w:val="00EA79D8"/>
    <w:rsid w:val="00EA7DE1"/>
    <w:rsid w:val="00EB068A"/>
    <w:rsid w:val="00EB2721"/>
    <w:rsid w:val="00EB2AEF"/>
    <w:rsid w:val="00EB2BED"/>
    <w:rsid w:val="00EB33A0"/>
    <w:rsid w:val="00EB5695"/>
    <w:rsid w:val="00EB7E71"/>
    <w:rsid w:val="00EC17C4"/>
    <w:rsid w:val="00EC183F"/>
    <w:rsid w:val="00EC1F58"/>
    <w:rsid w:val="00EC1FBA"/>
    <w:rsid w:val="00EC22FD"/>
    <w:rsid w:val="00EC24F5"/>
    <w:rsid w:val="00EC3247"/>
    <w:rsid w:val="00EC3807"/>
    <w:rsid w:val="00EC5F72"/>
    <w:rsid w:val="00EC656F"/>
    <w:rsid w:val="00EC65E5"/>
    <w:rsid w:val="00EC725A"/>
    <w:rsid w:val="00ED060D"/>
    <w:rsid w:val="00ED123E"/>
    <w:rsid w:val="00ED1F15"/>
    <w:rsid w:val="00ED216B"/>
    <w:rsid w:val="00ED4A90"/>
    <w:rsid w:val="00ED6784"/>
    <w:rsid w:val="00ED718F"/>
    <w:rsid w:val="00ED762B"/>
    <w:rsid w:val="00EE0F05"/>
    <w:rsid w:val="00EE15BF"/>
    <w:rsid w:val="00EE2AEF"/>
    <w:rsid w:val="00EE3E0B"/>
    <w:rsid w:val="00EE6141"/>
    <w:rsid w:val="00EE6867"/>
    <w:rsid w:val="00EE7989"/>
    <w:rsid w:val="00EE7C6C"/>
    <w:rsid w:val="00EF1768"/>
    <w:rsid w:val="00EF1A74"/>
    <w:rsid w:val="00EF1D7A"/>
    <w:rsid w:val="00EF2571"/>
    <w:rsid w:val="00EF2788"/>
    <w:rsid w:val="00EF2A80"/>
    <w:rsid w:val="00EF2E2D"/>
    <w:rsid w:val="00EF3103"/>
    <w:rsid w:val="00EF3FFA"/>
    <w:rsid w:val="00EF5BDC"/>
    <w:rsid w:val="00EF5F0B"/>
    <w:rsid w:val="00EF6021"/>
    <w:rsid w:val="00EF6E9B"/>
    <w:rsid w:val="00EF7714"/>
    <w:rsid w:val="00EF7CF1"/>
    <w:rsid w:val="00F00A45"/>
    <w:rsid w:val="00F023DB"/>
    <w:rsid w:val="00F03EB2"/>
    <w:rsid w:val="00F06B72"/>
    <w:rsid w:val="00F075B9"/>
    <w:rsid w:val="00F07AB8"/>
    <w:rsid w:val="00F109D4"/>
    <w:rsid w:val="00F10A6F"/>
    <w:rsid w:val="00F10F8C"/>
    <w:rsid w:val="00F126F0"/>
    <w:rsid w:val="00F13832"/>
    <w:rsid w:val="00F13E49"/>
    <w:rsid w:val="00F13E53"/>
    <w:rsid w:val="00F14B8F"/>
    <w:rsid w:val="00F14D7A"/>
    <w:rsid w:val="00F153A1"/>
    <w:rsid w:val="00F15EE9"/>
    <w:rsid w:val="00F16712"/>
    <w:rsid w:val="00F167E3"/>
    <w:rsid w:val="00F17425"/>
    <w:rsid w:val="00F177F6"/>
    <w:rsid w:val="00F17A2D"/>
    <w:rsid w:val="00F20087"/>
    <w:rsid w:val="00F2013C"/>
    <w:rsid w:val="00F20EA2"/>
    <w:rsid w:val="00F22B06"/>
    <w:rsid w:val="00F23F4B"/>
    <w:rsid w:val="00F24736"/>
    <w:rsid w:val="00F24912"/>
    <w:rsid w:val="00F25D91"/>
    <w:rsid w:val="00F27344"/>
    <w:rsid w:val="00F31E98"/>
    <w:rsid w:val="00F326C2"/>
    <w:rsid w:val="00F3271B"/>
    <w:rsid w:val="00F34045"/>
    <w:rsid w:val="00F343AA"/>
    <w:rsid w:val="00F34A83"/>
    <w:rsid w:val="00F34ECC"/>
    <w:rsid w:val="00F34F00"/>
    <w:rsid w:val="00F35880"/>
    <w:rsid w:val="00F37A14"/>
    <w:rsid w:val="00F4241B"/>
    <w:rsid w:val="00F4311A"/>
    <w:rsid w:val="00F431C9"/>
    <w:rsid w:val="00F444B9"/>
    <w:rsid w:val="00F446FE"/>
    <w:rsid w:val="00F44FA4"/>
    <w:rsid w:val="00F45894"/>
    <w:rsid w:val="00F46501"/>
    <w:rsid w:val="00F46704"/>
    <w:rsid w:val="00F46707"/>
    <w:rsid w:val="00F46A43"/>
    <w:rsid w:val="00F46C17"/>
    <w:rsid w:val="00F47585"/>
    <w:rsid w:val="00F504CC"/>
    <w:rsid w:val="00F5067E"/>
    <w:rsid w:val="00F51D87"/>
    <w:rsid w:val="00F528F6"/>
    <w:rsid w:val="00F52E0C"/>
    <w:rsid w:val="00F5347F"/>
    <w:rsid w:val="00F555BF"/>
    <w:rsid w:val="00F57E1B"/>
    <w:rsid w:val="00F60BE1"/>
    <w:rsid w:val="00F6249C"/>
    <w:rsid w:val="00F6271B"/>
    <w:rsid w:val="00F64050"/>
    <w:rsid w:val="00F6420D"/>
    <w:rsid w:val="00F643DC"/>
    <w:rsid w:val="00F644BA"/>
    <w:rsid w:val="00F6469B"/>
    <w:rsid w:val="00F648E7"/>
    <w:rsid w:val="00F650CF"/>
    <w:rsid w:val="00F66224"/>
    <w:rsid w:val="00F6667B"/>
    <w:rsid w:val="00F67444"/>
    <w:rsid w:val="00F678B8"/>
    <w:rsid w:val="00F678DD"/>
    <w:rsid w:val="00F7078E"/>
    <w:rsid w:val="00F70958"/>
    <w:rsid w:val="00F71963"/>
    <w:rsid w:val="00F7226B"/>
    <w:rsid w:val="00F730C6"/>
    <w:rsid w:val="00F73D7B"/>
    <w:rsid w:val="00F75186"/>
    <w:rsid w:val="00F75341"/>
    <w:rsid w:val="00F75987"/>
    <w:rsid w:val="00F75BDB"/>
    <w:rsid w:val="00F769AD"/>
    <w:rsid w:val="00F80584"/>
    <w:rsid w:val="00F81232"/>
    <w:rsid w:val="00F8127C"/>
    <w:rsid w:val="00F8291C"/>
    <w:rsid w:val="00F82BE2"/>
    <w:rsid w:val="00F82C15"/>
    <w:rsid w:val="00F8344F"/>
    <w:rsid w:val="00F83649"/>
    <w:rsid w:val="00F84972"/>
    <w:rsid w:val="00F851FB"/>
    <w:rsid w:val="00F85E6F"/>
    <w:rsid w:val="00F86883"/>
    <w:rsid w:val="00F87A20"/>
    <w:rsid w:val="00F90E89"/>
    <w:rsid w:val="00F90EE8"/>
    <w:rsid w:val="00F91EB2"/>
    <w:rsid w:val="00F92871"/>
    <w:rsid w:val="00F9343C"/>
    <w:rsid w:val="00F9346B"/>
    <w:rsid w:val="00F94C1F"/>
    <w:rsid w:val="00F95449"/>
    <w:rsid w:val="00FA05DE"/>
    <w:rsid w:val="00FA14C8"/>
    <w:rsid w:val="00FA1713"/>
    <w:rsid w:val="00FA1942"/>
    <w:rsid w:val="00FA1FA4"/>
    <w:rsid w:val="00FA2794"/>
    <w:rsid w:val="00FA380A"/>
    <w:rsid w:val="00FA3D8B"/>
    <w:rsid w:val="00FA7814"/>
    <w:rsid w:val="00FA7F2A"/>
    <w:rsid w:val="00FB3032"/>
    <w:rsid w:val="00FB3733"/>
    <w:rsid w:val="00FB5313"/>
    <w:rsid w:val="00FB56BC"/>
    <w:rsid w:val="00FB6145"/>
    <w:rsid w:val="00FB62A3"/>
    <w:rsid w:val="00FB7D88"/>
    <w:rsid w:val="00FB7F55"/>
    <w:rsid w:val="00FC0BD3"/>
    <w:rsid w:val="00FC0F77"/>
    <w:rsid w:val="00FC14BB"/>
    <w:rsid w:val="00FC2CB5"/>
    <w:rsid w:val="00FC31B1"/>
    <w:rsid w:val="00FC38D9"/>
    <w:rsid w:val="00FC3A8F"/>
    <w:rsid w:val="00FC4A94"/>
    <w:rsid w:val="00FC595E"/>
    <w:rsid w:val="00FC7B15"/>
    <w:rsid w:val="00FD19F7"/>
    <w:rsid w:val="00FD368B"/>
    <w:rsid w:val="00FD527C"/>
    <w:rsid w:val="00FD7274"/>
    <w:rsid w:val="00FD7351"/>
    <w:rsid w:val="00FD7402"/>
    <w:rsid w:val="00FE04E4"/>
    <w:rsid w:val="00FE13D0"/>
    <w:rsid w:val="00FE1861"/>
    <w:rsid w:val="00FE260E"/>
    <w:rsid w:val="00FE2C07"/>
    <w:rsid w:val="00FE2DD7"/>
    <w:rsid w:val="00FE3B99"/>
    <w:rsid w:val="00FE484C"/>
    <w:rsid w:val="00FE73F9"/>
    <w:rsid w:val="00FE7A24"/>
    <w:rsid w:val="00FF0108"/>
    <w:rsid w:val="00FF05EA"/>
    <w:rsid w:val="00FF0A69"/>
    <w:rsid w:val="00FF1057"/>
    <w:rsid w:val="00FF1061"/>
    <w:rsid w:val="00FF1CDB"/>
    <w:rsid w:val="00FF35BD"/>
    <w:rsid w:val="00FF3E25"/>
    <w:rsid w:val="00FF4699"/>
    <w:rsid w:val="00FF53BD"/>
    <w:rsid w:val="00FF59CA"/>
    <w:rsid w:val="00FF5FD8"/>
    <w:rsid w:val="00FF6312"/>
    <w:rsid w:val="00FF66C7"/>
    <w:rsid w:val="00FF74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177D"/>
  <w15:docId w15:val="{A0B9EC20-C0E0-40C9-92D2-8F1ACDCF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B9B"/>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Heading4"/>
    <w:next w:val="Normal"/>
    <w:link w:val="Heading5Char"/>
    <w:uiPriority w:val="9"/>
    <w:unhideWhenUsed/>
    <w:qFormat/>
    <w:rsid w:val="00AB3B9B"/>
    <w:pPr>
      <w:keepLines/>
      <w:spacing w:before="240"/>
      <w:outlineLvl w:val="4"/>
    </w:pPr>
    <w:rPr>
      <w:b w:val="0"/>
      <w:i/>
      <w:iCs/>
    </w:rPr>
  </w:style>
  <w:style w:type="paragraph" w:styleId="Heading6">
    <w:name w:val="heading 6"/>
    <w:basedOn w:val="Normal"/>
    <w:next w:val="Normal"/>
    <w:link w:val="Heading6Char"/>
    <w:uiPriority w:val="9"/>
    <w:unhideWhenUsed/>
    <w:qFormat/>
    <w:rsid w:val="00A81D6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styleId="Mention">
    <w:name w:val="Mention"/>
    <w:basedOn w:val="DefaultParagraphFont"/>
    <w:uiPriority w:val="99"/>
    <w:unhideWhenUsed/>
    <w:rsid w:val="000E203C"/>
    <w:rPr>
      <w:color w:val="2B579A"/>
      <w:shd w:val="clear" w:color="auto" w:fill="E1DFDD"/>
    </w:rPr>
  </w:style>
  <w:style w:type="character" w:customStyle="1" w:styleId="Heading6Char">
    <w:name w:val="Heading 6 Char"/>
    <w:basedOn w:val="DefaultParagraphFont"/>
    <w:link w:val="Heading6"/>
    <w:uiPriority w:val="9"/>
    <w:rsid w:val="00A81D6C"/>
    <w:rPr>
      <w:rFonts w:asciiTheme="majorHAnsi" w:eastAsiaTheme="majorEastAsia" w:hAnsiTheme="majorHAnsi" w:cstheme="majorBidi"/>
      <w:color w:val="243F60" w:themeColor="accent1" w:themeShade="7F"/>
      <w:sz w:val="24"/>
    </w:rPr>
  </w:style>
  <w:style w:type="table" w:styleId="TableGrid">
    <w:name w:val="Table Grid"/>
    <w:basedOn w:val="TableNormal"/>
    <w:uiPriority w:val="59"/>
    <w:rsid w:val="00863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Numbered1">
    <w:name w:val="Outline Numbered 1"/>
    <w:basedOn w:val="Normal"/>
    <w:link w:val="OutlineNumbered1Char"/>
    <w:rsid w:val="008F660A"/>
    <w:pPr>
      <w:numPr>
        <w:numId w:val="17"/>
      </w:numPr>
    </w:pPr>
    <w:rPr>
      <w:color w:val="000000"/>
      <w:szCs w:val="23"/>
    </w:rPr>
  </w:style>
  <w:style w:type="character" w:customStyle="1" w:styleId="OutlineNumbered1Char">
    <w:name w:val="Outline Numbered 1 Char"/>
    <w:basedOn w:val="BulletChar"/>
    <w:link w:val="OutlineNumbered1"/>
    <w:rsid w:val="008F660A"/>
    <w:rPr>
      <w:color w:val="000000"/>
      <w:sz w:val="24"/>
      <w:szCs w:val="23"/>
    </w:rPr>
  </w:style>
  <w:style w:type="paragraph" w:customStyle="1" w:styleId="OutlineNumbered2">
    <w:name w:val="Outline Numbered 2"/>
    <w:basedOn w:val="Normal"/>
    <w:link w:val="OutlineNumbered2Char"/>
    <w:rsid w:val="008F660A"/>
    <w:pPr>
      <w:numPr>
        <w:ilvl w:val="1"/>
        <w:numId w:val="17"/>
      </w:numPr>
    </w:pPr>
    <w:rPr>
      <w:color w:val="000000"/>
      <w:szCs w:val="23"/>
    </w:rPr>
  </w:style>
  <w:style w:type="character" w:customStyle="1" w:styleId="OutlineNumbered2Char">
    <w:name w:val="Outline Numbered 2 Char"/>
    <w:basedOn w:val="BulletChar"/>
    <w:link w:val="OutlineNumbered2"/>
    <w:rsid w:val="008F660A"/>
    <w:rPr>
      <w:color w:val="000000"/>
      <w:sz w:val="24"/>
      <w:szCs w:val="23"/>
    </w:rPr>
  </w:style>
  <w:style w:type="paragraph" w:customStyle="1" w:styleId="OutlineNumbered3">
    <w:name w:val="Outline Numbered 3"/>
    <w:basedOn w:val="Normal"/>
    <w:link w:val="OutlineNumbered3Char"/>
    <w:rsid w:val="008F660A"/>
    <w:pPr>
      <w:numPr>
        <w:ilvl w:val="2"/>
        <w:numId w:val="17"/>
      </w:numPr>
    </w:pPr>
    <w:rPr>
      <w:color w:val="000000"/>
      <w:szCs w:val="23"/>
    </w:rPr>
  </w:style>
  <w:style w:type="character" w:customStyle="1" w:styleId="OutlineNumbered3Char">
    <w:name w:val="Outline Numbered 3 Char"/>
    <w:basedOn w:val="BulletChar"/>
    <w:link w:val="OutlineNumbered3"/>
    <w:rsid w:val="008F660A"/>
    <w:rPr>
      <w:color w:val="000000"/>
      <w:sz w:val="24"/>
      <w:szCs w:val="23"/>
    </w:rPr>
  </w:style>
  <w:style w:type="character" w:customStyle="1" w:styleId="Heading5Char">
    <w:name w:val="Heading 5 Char"/>
    <w:basedOn w:val="DefaultParagraphFont"/>
    <w:link w:val="Heading5"/>
    <w:uiPriority w:val="9"/>
    <w:rsid w:val="00AB3B9B"/>
    <w:rPr>
      <w:i/>
      <w:iCs/>
      <w:kern w:val="28"/>
      <w:sz w:val="24"/>
    </w:rPr>
  </w:style>
  <w:style w:type="paragraph" w:customStyle="1" w:styleId="AttAbodytext">
    <w:name w:val="Att A body text"/>
    <w:basedOn w:val="Normal"/>
    <w:link w:val="AttAbodytextChar"/>
    <w:qFormat/>
    <w:rsid w:val="00117F90"/>
    <w:pPr>
      <w:spacing w:before="240"/>
    </w:pPr>
  </w:style>
  <w:style w:type="character" w:customStyle="1" w:styleId="AttAbodytextChar">
    <w:name w:val="Att A body text Char"/>
    <w:basedOn w:val="DefaultParagraphFont"/>
    <w:link w:val="AttAbodytext"/>
    <w:rsid w:val="002D172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03154">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623B86107A4E0FA21CD0452E1D9E39"/>
        <w:category>
          <w:name w:val="General"/>
          <w:gallery w:val="placeholder"/>
        </w:category>
        <w:types>
          <w:type w:val="bbPlcHdr"/>
        </w:types>
        <w:behaviors>
          <w:behavior w:val="content"/>
        </w:behaviors>
        <w:guid w:val="{E9CEAC19-ABE1-44D0-AED6-43B3683ACD19}"/>
      </w:docPartPr>
      <w:docPartBody>
        <w:p w:rsidR="00BD1025" w:rsidRDefault="003E789D">
          <w:pPr>
            <w:pStyle w:val="23623B86107A4E0FA21CD0452E1D9E39"/>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025"/>
    <w:rsid w:val="00062E08"/>
    <w:rsid w:val="00167688"/>
    <w:rsid w:val="001B2C55"/>
    <w:rsid w:val="001C1E86"/>
    <w:rsid w:val="002C31C7"/>
    <w:rsid w:val="002D77C1"/>
    <w:rsid w:val="003E789D"/>
    <w:rsid w:val="006B0469"/>
    <w:rsid w:val="007B2593"/>
    <w:rsid w:val="00861FF7"/>
    <w:rsid w:val="00AE677D"/>
    <w:rsid w:val="00BA4404"/>
    <w:rsid w:val="00BD1025"/>
    <w:rsid w:val="00C45E3C"/>
    <w:rsid w:val="00D37120"/>
    <w:rsid w:val="00DB5513"/>
    <w:rsid w:val="00DE0C9B"/>
    <w:rsid w:val="00EB0326"/>
    <w:rsid w:val="00ED0B09"/>
    <w:rsid w:val="00FC7919"/>
    <w:rsid w:val="00FD7F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F3A"/>
    <w:rPr>
      <w:color w:val="808080"/>
    </w:rPr>
  </w:style>
  <w:style w:type="paragraph" w:customStyle="1" w:styleId="23623B86107A4E0FA21CD0452E1D9E39">
    <w:name w:val="23623B86107A4E0FA21CD0452E1D9E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9" ma:contentTypeDescription="Create a new document." ma:contentTypeScope="" ma:versionID="dd831f37daa91487bcf40102306261a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7643e34ba0cf5dac5f116fcaf1d6307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S574FYTY5PW6-349572302-1343</_dlc_DocId>
    <_dlc_DocIdUrl xmlns="fe39d773-a83d-4623-ae74-f25711a76616">
      <Url>https://austreasury.sharepoint.com/sites/leg-cord-function/_layouts/15/DocIdRedir.aspx?ID=S574FYTY5PW6-349572302-1343</Url>
      <Description>S574FYTY5PW6-349572302-1343</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axCatchAll xmlns="ff38c824-6e29-4496-8487-69f397e7ed29">
      <Value>81</Value>
      <Value>36</Value>
      <Value>1</Value>
      <Value>35</Value>
    </TaxCatchAll>
    <ge25bdd0d6464e36b066695d9e81d63d xmlns="fe39d773-a83d-4623-ae74-f25711a76616">
      <Terms xmlns="http://schemas.microsoft.com/office/infopath/2007/PartnerControls"/>
    </ge25bdd0d6464e36b066695d9e81d63d>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EF0B2EF2-AFBE-4A36-84BC-E996542B6D4A}">
  <ds:schemaRefs>
    <ds:schemaRef ds:uri="http://schemas.microsoft.com/sharepoint/v3/contenttype/forms"/>
  </ds:schemaRefs>
</ds:datastoreItem>
</file>

<file path=customXml/itemProps3.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4.xml><?xml version="1.0" encoding="utf-8"?>
<ds:datastoreItem xmlns:ds="http://schemas.openxmlformats.org/officeDocument/2006/customXml" ds:itemID="{5B233431-1F3F-47AC-B14C-711B351EE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278533-3486-40E5-9013-DD26FD164D39}">
  <ds:schemaRefs>
    <ds:schemaRef ds:uri="http://schemas.microsoft.com/office/2006/documentManagement/types"/>
    <ds:schemaRef ds:uri="42f4cb5a-261c-4c59-b165-7132460581a3"/>
    <ds:schemaRef ds:uri="http://www.w3.org/XML/1998/namespace"/>
    <ds:schemaRef ds:uri="ff38c824-6e29-4496-8487-69f397e7ed29"/>
    <ds:schemaRef ds:uri="9a91be02-49fe-4568-a0ce-30550d2c0542"/>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e39d773-a83d-4623-ae74-f25711a7661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9</Pages>
  <Words>3280</Words>
  <Characters>18700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21937</CharactersWithSpaces>
  <SharedDoc>false</SharedDoc>
  <HLinks>
    <vt:vector size="12" baseType="variant">
      <vt:variant>
        <vt:i4>2818049</vt:i4>
      </vt:variant>
      <vt:variant>
        <vt:i4>3</vt:i4>
      </vt:variant>
      <vt:variant>
        <vt:i4>0</vt:i4>
      </vt:variant>
      <vt:variant>
        <vt:i4>5</vt:i4>
      </vt:variant>
      <vt:variant>
        <vt:lpwstr>mailto:Emma.Strohfeldt@TREASURY.GOV.AU</vt:lpwstr>
      </vt:variant>
      <vt:variant>
        <vt:lpwstr/>
      </vt:variant>
      <vt:variant>
        <vt:i4>6094975</vt:i4>
      </vt:variant>
      <vt:variant>
        <vt:i4>0</vt:i4>
      </vt:variant>
      <vt:variant>
        <vt:i4>0</vt:i4>
      </vt:variant>
      <vt:variant>
        <vt:i4>5</vt:i4>
      </vt:variant>
      <vt:variant>
        <vt:lpwstr>mailto:Rumbie.Mawire@TREASURY.GOV.AU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Lai, Tony</dc:creator>
  <cp:keywords/>
  <dc:description/>
  <cp:lastModifiedBy>Cuming, Anita</cp:lastModifiedBy>
  <cp:revision>2</cp:revision>
  <cp:lastPrinted>2019-02-19T13:23:00Z</cp:lastPrinted>
  <dcterms:created xsi:type="dcterms:W3CDTF">2024-12-05T22:27:00Z</dcterms:created>
  <dcterms:modified xsi:type="dcterms:W3CDTF">2024-12-05T22:27:00Z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0x01010045D28D97A9C21749A9E8F8B6AC29448A</vt:lpwstr>
  </property>
  <property fmtid="{D5CDD505-2E9C-101B-9397-08002B2CF9AE}" pid="4" name="TSYRecordClass">
    <vt:lpwstr>1;#AE-20260-Destroy 7 years after action completed|623f5ec9-ec5d-4824-8e13-9c9bfc51fe7e</vt:lpwstr>
  </property>
  <property fmtid="{D5CDD505-2E9C-101B-9397-08002B2CF9AE}" pid="5" name="_dlc_DocIdItemGuid">
    <vt:lpwstr>7dff2f19-9bfc-4982-95ef-129c7515a8f3</vt:lpwstr>
  </property>
  <property fmtid="{D5CDD505-2E9C-101B-9397-08002B2CF9AE}" pid="6" name="TSYTopic">
    <vt:lpwstr/>
  </property>
  <property fmtid="{D5CDD505-2E9C-101B-9397-08002B2CF9AE}" pid="7" name="eTheme">
    <vt:lpwstr>1</vt:lpwstr>
  </property>
  <property fmtid="{D5CDD505-2E9C-101B-9397-08002B2CF9AE}" pid="8" name="TSYStatus">
    <vt:lpwstr/>
  </property>
  <property fmtid="{D5CDD505-2E9C-101B-9397-08002B2CF9AE}" pid="9" name="MediaServiceImageTags">
    <vt:lpwstr/>
  </property>
  <property fmtid="{D5CDD505-2E9C-101B-9397-08002B2CF9AE}" pid="10" name="eDocumentType">
    <vt:lpwstr>81;#Explanatory Materials|ac61e78e-992e-40fd-ae93-2c9522960b05</vt:lpwstr>
  </property>
  <property fmtid="{D5CDD505-2E9C-101B-9397-08002B2CF9AE}" pid="11" name="TSYOffice">
    <vt:lpwstr/>
  </property>
  <property fmtid="{D5CDD505-2E9C-101B-9397-08002B2CF9AE}" pid="12" name="eTopic">
    <vt:lpwstr>36;#Legislation Coordination|58c6712e-e847-48f4-81ab-b25e2bbd3986</vt:lpwstr>
  </property>
  <property fmtid="{D5CDD505-2E9C-101B-9397-08002B2CF9AE}" pid="13" name="eActivity">
    <vt:lpwstr>35</vt:lpwstr>
  </property>
  <property fmtid="{D5CDD505-2E9C-101B-9397-08002B2CF9AE}" pid="14" name="LMDivision">
    <vt:lpwstr/>
  </property>
  <property fmtid="{D5CDD505-2E9C-101B-9397-08002B2CF9AE}" pid="15" name="k8424359e03846678cc4a99dd97e9705">
    <vt:lpwstr/>
  </property>
  <property fmtid="{D5CDD505-2E9C-101B-9397-08002B2CF9AE}" pid="16" name="ClassificationContentMarkingHeaderShapeIds">
    <vt:lpwstr>3</vt:lpwstr>
  </property>
  <property fmtid="{D5CDD505-2E9C-101B-9397-08002B2CF9AE}" pid="17" name="ClassificationContentMarkingHeaderFontProps">
    <vt:lpwstr>#ff0000,12,Calibri</vt:lpwstr>
  </property>
  <property fmtid="{D5CDD505-2E9C-101B-9397-08002B2CF9AE}" pid="18" name="ClassificationContentMarkingHeaderText">
    <vt:lpwstr>OFFICIAL: Sensitive Legal Privilege</vt:lpwstr>
  </property>
  <property fmtid="{D5CDD505-2E9C-101B-9397-08002B2CF9AE}" pid="19" name="ClassificationContentMarkingFooterShapeIds">
    <vt:lpwstr>6</vt:lpwstr>
  </property>
  <property fmtid="{D5CDD505-2E9C-101B-9397-08002B2CF9AE}" pid="20" name="ClassificationContentMarkingFooterFontProps">
    <vt:lpwstr>#ff0000,12,Calibri</vt:lpwstr>
  </property>
  <property fmtid="{D5CDD505-2E9C-101B-9397-08002B2CF9AE}" pid="21" name="ClassificationContentMarkingFooterText">
    <vt:lpwstr>OFFICIAL: Sensitive Legal Privilege</vt:lpwstr>
  </property>
  <property fmtid="{D5CDD505-2E9C-101B-9397-08002B2CF9AE}" pid="22" name="FinancialYear">
    <vt:lpwstr/>
  </property>
  <property fmtid="{D5CDD505-2E9C-101B-9397-08002B2CF9AE}" pid="23" name="LegalIssues">
    <vt:lpwstr>803;#Fees|2bf4c086-7eef-4b14-b5b1-7730394fae96;#1047;#Australian land entity|4cdfb806-1a8a-462e-86b3-f961cd42afb1</vt:lpwstr>
  </property>
  <property fmtid="{D5CDD505-2E9C-101B-9397-08002B2CF9AE}" pid="24" name="DateofAdviceSent">
    <vt:filetime>2024-09-04T10:00:00Z</vt:filetime>
  </property>
  <property fmtid="{D5CDD505-2E9C-101B-9397-08002B2CF9AE}" pid="25" name="Second Counselling0">
    <vt:lpwstr>37;#Khullar, Arjun</vt:lpwstr>
  </property>
  <property fmtid="{D5CDD505-2E9C-101B-9397-08002B2CF9AE}" pid="26" name="Division">
    <vt:lpwstr>716</vt:lpwstr>
  </property>
  <property fmtid="{D5CDD505-2E9C-101B-9397-08002B2CF9AE}" pid="27" name="Complexity">
    <vt:lpwstr>Moderate</vt:lpwstr>
  </property>
  <property fmtid="{D5CDD505-2E9C-101B-9397-08002B2CF9AE}" pid="28" name="Firm_x0020_engaged">
    <vt:lpwstr/>
  </property>
  <property fmtid="{D5CDD505-2E9C-101B-9397-08002B2CF9AE}" pid="29" name="f262206fa374443e98a3270514ece3d8">
    <vt:lpwstr/>
  </property>
  <property fmtid="{D5CDD505-2E9C-101B-9397-08002B2CF9AE}" pid="30" name="FirmEngaged">
    <vt:lpwstr/>
  </property>
  <property fmtid="{D5CDD505-2E9C-101B-9397-08002B2CF9AE}" pid="31" name="Legislation">
    <vt:lpwstr/>
  </property>
  <property fmtid="{D5CDD505-2E9C-101B-9397-08002B2CF9AE}" pid="32" name="EmailAttachments">
    <vt:bool>false</vt:bool>
  </property>
  <property fmtid="{D5CDD505-2E9C-101B-9397-08002B2CF9AE}" pid="33" name="Branch_x002F_Unit">
    <vt:lpwstr/>
  </property>
  <property fmtid="{D5CDD505-2E9C-101B-9397-08002B2CF9AE}" pid="34" name="Order">
    <vt:r8>782000</vt:r8>
  </property>
  <property fmtid="{D5CDD505-2E9C-101B-9397-08002B2CF9AE}" pid="35" name="Firm engaged">
    <vt:lpwstr/>
  </property>
  <property fmtid="{D5CDD505-2E9C-101B-9397-08002B2CF9AE}" pid="36" name="Branch/Unit">
    <vt:lpwstr/>
  </property>
  <property fmtid="{D5CDD505-2E9C-101B-9397-08002B2CF9AE}" pid="37" name="MSIP_Label_4f932d64-9ab1-4d9b-81d2-a3a8b82dd47d_Enabled">
    <vt:lpwstr>true</vt:lpwstr>
  </property>
  <property fmtid="{D5CDD505-2E9C-101B-9397-08002B2CF9AE}" pid="38" name="MSIP_Label_4f932d64-9ab1-4d9b-81d2-a3a8b82dd47d_SetDate">
    <vt:lpwstr>2024-11-19T02:14:12Z</vt:lpwstr>
  </property>
  <property fmtid="{D5CDD505-2E9C-101B-9397-08002B2CF9AE}" pid="39" name="MSIP_Label_4f932d64-9ab1-4d9b-81d2-a3a8b82dd47d_Method">
    <vt:lpwstr>Privileged</vt:lpwstr>
  </property>
  <property fmtid="{D5CDD505-2E9C-101B-9397-08002B2CF9AE}" pid="40" name="MSIP_Label_4f932d64-9ab1-4d9b-81d2-a3a8b82dd47d_Name">
    <vt:lpwstr>OFFICIAL No Visual Marking</vt:lpwstr>
  </property>
  <property fmtid="{D5CDD505-2E9C-101B-9397-08002B2CF9AE}" pid="41" name="MSIP_Label_4f932d64-9ab1-4d9b-81d2-a3a8b82dd47d_SiteId">
    <vt:lpwstr>214f1646-2021-47cc-8397-e3d3a7ba7d9d</vt:lpwstr>
  </property>
  <property fmtid="{D5CDD505-2E9C-101B-9397-08002B2CF9AE}" pid="42" name="MSIP_Label_4f932d64-9ab1-4d9b-81d2-a3a8b82dd47d_ActionId">
    <vt:lpwstr>0d65f49e-e632-4c20-abc8-8e2e88e03161</vt:lpwstr>
  </property>
  <property fmtid="{D5CDD505-2E9C-101B-9397-08002B2CF9AE}" pid="43" name="MSIP_Label_4f932d64-9ab1-4d9b-81d2-a3a8b82dd47d_ContentBits">
    <vt:lpwstr>0</vt:lpwstr>
  </property>
  <property fmtid="{D5CDD505-2E9C-101B-9397-08002B2CF9AE}" pid="44" name="Theme">
    <vt:i4>1</vt:i4>
  </property>
  <property fmtid="{D5CDD505-2E9C-101B-9397-08002B2CF9AE}" pid="45" name="_docset_NoMedatataSyncRequired">
    <vt:lpwstr>True</vt:lpwstr>
  </property>
</Properties>
</file>