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1BBD58A"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4DFC030C" w14:textId="230DA698" w:rsidR="00905C86" w:rsidRPr="00F765F9" w:rsidRDefault="00905C86" w:rsidP="004C58B9">
      <w:pPr>
        <w:jc w:val="center"/>
        <w:rPr>
          <w:rFonts w:ascii="Times New Roman" w:hAnsi="Times New Roman" w:cs="Times New Roman"/>
          <w:i/>
          <w:iCs/>
        </w:rPr>
      </w:pPr>
      <w:r>
        <w:rPr>
          <w:rFonts w:ascii="Times New Roman" w:hAnsi="Times New Roman" w:cs="Times New Roman"/>
          <w:i/>
          <w:iCs/>
        </w:rPr>
        <w:t>Radiocommunications Act 1992</w:t>
      </w:r>
    </w:p>
    <w:p w14:paraId="06789AC6" w14:textId="4EDD71F9" w:rsidR="004C58B9" w:rsidRPr="00F765F9" w:rsidRDefault="00054DC0" w:rsidP="004C58B9">
      <w:pPr>
        <w:jc w:val="center"/>
        <w:rPr>
          <w:rFonts w:ascii="Times New Roman" w:hAnsi="Times New Roman" w:cs="Times New Roman"/>
          <w:b/>
          <w:bCs/>
          <w:i/>
        </w:rPr>
      </w:pPr>
      <w:bookmarkStart w:id="0" w:name="_Hlk64906943"/>
      <w:bookmarkStart w:id="1" w:name="_Hlk64899088"/>
      <w:r w:rsidRPr="00F765F9">
        <w:rPr>
          <w:rFonts w:ascii="Times New Roman" w:hAnsi="Times New Roman" w:cs="Times New Roman"/>
          <w:b/>
          <w:bCs/>
          <w:i/>
        </w:rPr>
        <w:t xml:space="preserve">Radiocommunications </w:t>
      </w:r>
      <w:r w:rsidR="00601347" w:rsidRPr="00F765F9">
        <w:rPr>
          <w:rFonts w:ascii="Times New Roman" w:hAnsi="Times New Roman" w:cs="Times New Roman"/>
          <w:b/>
          <w:bCs/>
          <w:i/>
        </w:rPr>
        <w:t xml:space="preserve">(Unacceptable Levels of Interference – </w:t>
      </w:r>
      <w:r w:rsidR="00753A21" w:rsidRPr="00F765F9">
        <w:rPr>
          <w:rFonts w:ascii="Times New Roman" w:hAnsi="Times New Roman" w:cs="Times New Roman"/>
          <w:b/>
          <w:bCs/>
          <w:i/>
        </w:rPr>
        <w:t>1800 M</w:t>
      </w:r>
      <w:r w:rsidR="00601347" w:rsidRPr="00F765F9">
        <w:rPr>
          <w:rFonts w:ascii="Times New Roman" w:hAnsi="Times New Roman" w:cs="Times New Roman"/>
          <w:b/>
          <w:bCs/>
          <w:i/>
        </w:rPr>
        <w:t xml:space="preserve">Hz Band) </w:t>
      </w:r>
      <w:r w:rsidR="00C44FAC">
        <w:rPr>
          <w:rFonts w:ascii="Times New Roman" w:hAnsi="Times New Roman" w:cs="Times New Roman"/>
          <w:b/>
          <w:bCs/>
          <w:i/>
        </w:rPr>
        <w:t>Determination Variation</w:t>
      </w:r>
      <w:r w:rsidR="00601347" w:rsidRPr="00F765F9">
        <w:rPr>
          <w:rFonts w:ascii="Times New Roman" w:hAnsi="Times New Roman" w:cs="Times New Roman"/>
          <w:b/>
          <w:bCs/>
          <w:i/>
        </w:rPr>
        <w:t xml:space="preserve"> 202</w:t>
      </w:r>
      <w:r w:rsidR="00795F46">
        <w:rPr>
          <w:rFonts w:ascii="Times New Roman" w:hAnsi="Times New Roman" w:cs="Times New Roman"/>
          <w:b/>
          <w:bCs/>
          <w:i/>
        </w:rPr>
        <w:t>4</w:t>
      </w:r>
      <w:r w:rsidR="00601347" w:rsidRPr="00F765F9">
        <w:rPr>
          <w:rFonts w:ascii="Times New Roman" w:hAnsi="Times New Roman" w:cs="Times New Roman"/>
          <w:b/>
          <w:bCs/>
          <w:i/>
        </w:rPr>
        <w:t xml:space="preserve"> (No. 1)</w:t>
      </w:r>
      <w:bookmarkEnd w:id="0"/>
    </w:p>
    <w:bookmarkEnd w:id="1"/>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2559B5F9"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5A2C08">
        <w:rPr>
          <w:rFonts w:ascii="Times New Roman" w:hAnsi="Times New Roman" w:cs="Times New Roman"/>
          <w:bCs/>
        </w:rPr>
        <w:t xml:space="preserve">the </w:t>
      </w:r>
      <w:r>
        <w:rPr>
          <w:rFonts w:ascii="Times New Roman" w:hAnsi="Times New Roman" w:cs="Times New Roman"/>
          <w:b/>
        </w:rPr>
        <w:t>ACMA</w:t>
      </w:r>
      <w:r>
        <w:rPr>
          <w:rFonts w:ascii="Times New Roman" w:hAnsi="Times New Roman" w:cs="Times New Roman"/>
        </w:rPr>
        <w:t xml:space="preserve">) has made the </w:t>
      </w:r>
      <w:r w:rsidR="00601347" w:rsidRPr="00601347">
        <w:rPr>
          <w:rFonts w:ascii="Times New Roman" w:hAnsi="Times New Roman" w:cs="Times New Roman"/>
          <w:i/>
        </w:rPr>
        <w:t xml:space="preserve">Radiocommunications (Unacceptable Levels of Interference – </w:t>
      </w:r>
      <w:r w:rsidR="00753A21">
        <w:rPr>
          <w:rFonts w:ascii="Times New Roman" w:hAnsi="Times New Roman" w:cs="Times New Roman"/>
          <w:i/>
        </w:rPr>
        <w:t>1800 M</w:t>
      </w:r>
      <w:r w:rsidR="00601347" w:rsidRPr="00601347">
        <w:rPr>
          <w:rFonts w:ascii="Times New Roman" w:hAnsi="Times New Roman" w:cs="Times New Roman"/>
          <w:i/>
        </w:rPr>
        <w:t xml:space="preserve">Hz Band) </w:t>
      </w:r>
      <w:r w:rsidR="00C44FAC">
        <w:rPr>
          <w:rFonts w:ascii="Times New Roman" w:hAnsi="Times New Roman" w:cs="Times New Roman"/>
          <w:i/>
        </w:rPr>
        <w:t>Determination Variation</w:t>
      </w:r>
      <w:r w:rsidR="00601347" w:rsidRPr="00601347">
        <w:rPr>
          <w:rFonts w:ascii="Times New Roman" w:hAnsi="Times New Roman" w:cs="Times New Roman"/>
          <w:i/>
        </w:rPr>
        <w:t xml:space="preserve"> 202</w:t>
      </w:r>
      <w:r w:rsidR="00795F46">
        <w:rPr>
          <w:rFonts w:ascii="Times New Roman" w:hAnsi="Times New Roman" w:cs="Times New Roman"/>
          <w:i/>
        </w:rPr>
        <w:t>4</w:t>
      </w:r>
      <w:r w:rsidR="00601347" w:rsidRPr="00601347">
        <w:rPr>
          <w:rFonts w:ascii="Times New Roman" w:hAnsi="Times New Roman" w:cs="Times New Roman"/>
          <w:i/>
        </w:rPr>
        <w:t xml:space="preserve"> (No. 1)</w:t>
      </w:r>
      <w:r>
        <w:rPr>
          <w:rFonts w:ascii="Times New Roman" w:hAnsi="Times New Roman" w:cs="Times New Roman"/>
          <w:i/>
        </w:rPr>
        <w:t xml:space="preserve"> </w:t>
      </w:r>
      <w:r>
        <w:rPr>
          <w:rFonts w:ascii="Times New Roman" w:hAnsi="Times New Roman" w:cs="Times New Roman"/>
        </w:rPr>
        <w:t>(</w:t>
      </w:r>
      <w:r w:rsidRPr="005A2C08">
        <w:rPr>
          <w:rFonts w:ascii="Times New Roman" w:hAnsi="Times New Roman" w:cs="Times New Roman"/>
          <w:bCs/>
        </w:rPr>
        <w:t>the</w:t>
      </w:r>
      <w:r w:rsidR="00601347">
        <w:rPr>
          <w:rFonts w:ascii="Times New Roman" w:hAnsi="Times New Roman" w:cs="Times New Roman"/>
          <w:b/>
        </w:rPr>
        <w:t xml:space="preserve"> </w:t>
      </w:r>
      <w:r>
        <w:rPr>
          <w:rFonts w:ascii="Times New Roman" w:hAnsi="Times New Roman" w:cs="Times New Roman"/>
          <w:b/>
        </w:rPr>
        <w:t>instrument</w:t>
      </w:r>
      <w:r>
        <w:rPr>
          <w:rFonts w:ascii="Times New Roman" w:hAnsi="Times New Roman" w:cs="Times New Roman"/>
        </w:rPr>
        <w:t xml:space="preserve">) under </w:t>
      </w:r>
      <w:r w:rsidR="00601347" w:rsidRPr="00601347">
        <w:rPr>
          <w:rFonts w:ascii="Times New Roman" w:hAnsi="Times New Roman" w:cs="Times New Roman"/>
        </w:rPr>
        <w:t>subsection 145(4)</w:t>
      </w:r>
      <w:r w:rsidR="00601347">
        <w:rPr>
          <w:rFonts w:ascii="Times New Roman" w:hAnsi="Times New Roman" w:cs="Times New Roman"/>
        </w:rPr>
        <w:t xml:space="preserve"> </w:t>
      </w:r>
      <w:r>
        <w:rPr>
          <w:rFonts w:ascii="Times New Roman" w:hAnsi="Times New Roman" w:cs="Times New Roman"/>
        </w:rPr>
        <w:t xml:space="preserve">of the </w:t>
      </w:r>
      <w:r w:rsidR="00601347" w:rsidRPr="00601347">
        <w:rPr>
          <w:rFonts w:ascii="Times New Roman" w:hAnsi="Times New Roman" w:cs="Times New Roman"/>
          <w:i/>
        </w:rPr>
        <w:t>Radiocommunications Act 1992</w:t>
      </w:r>
      <w:r>
        <w:rPr>
          <w:rFonts w:ascii="Times New Roman" w:hAnsi="Times New Roman" w:cs="Times New Roman"/>
        </w:rPr>
        <w:t xml:space="preserve"> (</w:t>
      </w:r>
      <w:r w:rsidRPr="00F765F9">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r w:rsidR="0063141D">
        <w:rPr>
          <w:rFonts w:ascii="Times New Roman" w:hAnsi="Times New Roman" w:cs="Times New Roman"/>
        </w:rPr>
        <w:t xml:space="preserve"> and subsection 33(3) of the </w:t>
      </w:r>
      <w:r w:rsidR="0063141D">
        <w:rPr>
          <w:rFonts w:ascii="Times New Roman" w:hAnsi="Times New Roman" w:cs="Times New Roman"/>
          <w:i/>
          <w:iCs/>
        </w:rPr>
        <w:t xml:space="preserve">Acts Interpretation Act 1901 </w:t>
      </w:r>
      <w:r w:rsidR="0063141D">
        <w:rPr>
          <w:rFonts w:ascii="Times New Roman" w:hAnsi="Times New Roman" w:cs="Times New Roman"/>
        </w:rPr>
        <w:t>(</w:t>
      </w:r>
      <w:r w:rsidR="0063141D" w:rsidRPr="005A2C08">
        <w:rPr>
          <w:rFonts w:ascii="Times New Roman" w:hAnsi="Times New Roman" w:cs="Times New Roman"/>
        </w:rPr>
        <w:t>the</w:t>
      </w:r>
      <w:r w:rsidR="0063141D" w:rsidRPr="00F765F9">
        <w:rPr>
          <w:rFonts w:ascii="Times New Roman" w:hAnsi="Times New Roman" w:cs="Times New Roman"/>
          <w:b/>
          <w:bCs/>
        </w:rPr>
        <w:t xml:space="preserve"> AIA</w:t>
      </w:r>
      <w:r w:rsidR="0063141D">
        <w:rPr>
          <w:rFonts w:ascii="Times New Roman" w:hAnsi="Times New Roman" w:cs="Times New Roman"/>
        </w:rPr>
        <w:t>)</w:t>
      </w:r>
      <w:r>
        <w:rPr>
          <w:rFonts w:ascii="Times New Roman" w:hAnsi="Times New Roman" w:cs="Times New Roman"/>
        </w:rPr>
        <w:t>.</w:t>
      </w:r>
    </w:p>
    <w:p w14:paraId="2F204939" w14:textId="526FEEB2" w:rsidR="00054DC0" w:rsidRPr="00F662E1" w:rsidRDefault="00054DC0" w:rsidP="00F662E1">
      <w:pPr>
        <w:rPr>
          <w:rFonts w:ascii="Times New Roman" w:hAnsi="Times New Roman" w:cs="Times New Roman"/>
        </w:rPr>
      </w:pPr>
      <w:r w:rsidRPr="00F662E1">
        <w:rPr>
          <w:rFonts w:ascii="Times New Roman" w:hAnsi="Times New Roman" w:cs="Times New Roman"/>
        </w:rPr>
        <w:t xml:space="preserve">Section 145 of the Act provides that the ACMA may refuse to include details of a radiocommunications transmitter that is proposed to be operated under a spectrum licence </w:t>
      </w:r>
      <w:r w:rsidR="00C14572">
        <w:rPr>
          <w:rFonts w:ascii="Times New Roman" w:hAnsi="Times New Roman" w:cs="Times New Roman"/>
        </w:rPr>
        <w:t>i</w:t>
      </w:r>
      <w:r w:rsidR="00C14572" w:rsidRPr="00F662E1">
        <w:rPr>
          <w:rFonts w:ascii="Times New Roman" w:hAnsi="Times New Roman" w:cs="Times New Roman"/>
        </w:rPr>
        <w:t xml:space="preserve">n </w:t>
      </w:r>
      <w:r w:rsidRPr="00F662E1">
        <w:rPr>
          <w:rFonts w:ascii="Times New Roman" w:hAnsi="Times New Roman" w:cs="Times New Roman"/>
        </w:rPr>
        <w:t>the Register of Radiocommunications Licences</w:t>
      </w:r>
      <w:r w:rsidR="00C47DD2">
        <w:rPr>
          <w:rFonts w:ascii="Times New Roman" w:hAnsi="Times New Roman" w:cs="Times New Roman"/>
        </w:rPr>
        <w:t xml:space="preserve"> (</w:t>
      </w:r>
      <w:r w:rsidR="00C47DD2" w:rsidRPr="00F765F9">
        <w:rPr>
          <w:rFonts w:ascii="Times New Roman" w:hAnsi="Times New Roman" w:cs="Times New Roman"/>
          <w:b/>
          <w:bCs/>
        </w:rPr>
        <w:t>Register</w:t>
      </w:r>
      <w:r w:rsidR="00C47DD2">
        <w:rPr>
          <w:rFonts w:ascii="Times New Roman" w:hAnsi="Times New Roman" w:cs="Times New Roman"/>
        </w:rPr>
        <w:t>)</w:t>
      </w:r>
      <w:r w:rsidRPr="00F662E1">
        <w:rPr>
          <w:rFonts w:ascii="Times New Roman" w:hAnsi="Times New Roman" w:cs="Times New Roman"/>
        </w:rPr>
        <w:t xml:space="preserve">, maintained by the ACMA under Part 3.5 of the Act, if the ACMA is satisfied that the transmitter could cause an unacceptable level of interference to the operation of other radiocommunications devices under that spectrum licence or any other licence. </w:t>
      </w:r>
    </w:p>
    <w:p w14:paraId="3E637E7F" w14:textId="513EA8ED" w:rsidR="00054DC0" w:rsidRDefault="00054DC0" w:rsidP="00054DC0">
      <w:pPr>
        <w:rPr>
          <w:rFonts w:ascii="Times New Roman" w:hAnsi="Times New Roman" w:cs="Times New Roman"/>
        </w:rPr>
      </w:pPr>
      <w:r w:rsidRPr="00F662E1">
        <w:rPr>
          <w:rFonts w:ascii="Times New Roman" w:hAnsi="Times New Roman" w:cs="Times New Roman"/>
        </w:rPr>
        <w:t>Subsection 145(4) of the Act provides that the ACMA may determine, by written instrument, what are unacceptable levels of interference for the purposes of section 145 of the Act</w:t>
      </w:r>
      <w:r w:rsidR="00691B18">
        <w:rPr>
          <w:rFonts w:ascii="Times New Roman" w:hAnsi="Times New Roman" w:cs="Times New Roman"/>
        </w:rPr>
        <w:t>.</w:t>
      </w:r>
      <w:r>
        <w:rPr>
          <w:rFonts w:ascii="Times New Roman" w:hAnsi="Times New Roman" w:cs="Times New Roman"/>
        </w:rPr>
        <w:t xml:space="preserve"> </w:t>
      </w:r>
      <w:r w:rsidR="0063141D">
        <w:rPr>
          <w:rFonts w:ascii="Times New Roman" w:hAnsi="Times New Roman" w:cs="Times New Roman"/>
        </w:rPr>
        <w:t>Subsection 33(3) of the A</w:t>
      </w:r>
      <w:r w:rsidR="00244026">
        <w:rPr>
          <w:rFonts w:ascii="Times New Roman" w:hAnsi="Times New Roman" w:cs="Times New Roman"/>
        </w:rPr>
        <w:t>I</w:t>
      </w:r>
      <w:r w:rsidR="0063141D">
        <w:rPr>
          <w:rFonts w:ascii="Times New Roman" w:hAnsi="Times New Roman" w:cs="Times New Roman"/>
        </w:rPr>
        <w:t xml:space="preserve">A </w:t>
      </w:r>
      <w:r w:rsidR="0045247B">
        <w:rPr>
          <w:rFonts w:ascii="Times New Roman" w:hAnsi="Times New Roman" w:cs="Times New Roman"/>
        </w:rPr>
        <w:t xml:space="preserve">relevantly </w:t>
      </w:r>
      <w:r w:rsidR="0063141D">
        <w:rPr>
          <w:rFonts w:ascii="Times New Roman" w:hAnsi="Times New Roman" w:cs="Times New Roman"/>
        </w:rPr>
        <w:t>provides that w</w:t>
      </w:r>
      <w:r w:rsidR="0063141D" w:rsidRPr="00383342">
        <w:rPr>
          <w:rFonts w:ascii="Times New Roman" w:hAnsi="Times New Roman" w:cs="Times New Roman"/>
        </w:rPr>
        <w:t xml:space="preserve">here an Act confers a power to make, grant or issue legislative </w:t>
      </w:r>
      <w:r w:rsidR="0045247B">
        <w:rPr>
          <w:rFonts w:ascii="Times New Roman" w:hAnsi="Times New Roman" w:cs="Times New Roman"/>
        </w:rPr>
        <w:t>instrument,</w:t>
      </w:r>
      <w:r w:rsidR="0063141D" w:rsidRPr="00383342">
        <w:rPr>
          <w:rFonts w:ascii="Times New Roman" w:hAnsi="Times New Roman" w:cs="Times New Roman"/>
        </w:rPr>
        <w:t xml:space="preserve">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1694D8D" w14:textId="6A8F0D45" w:rsidR="004C58B9" w:rsidRPr="00F662E1" w:rsidRDefault="00601347" w:rsidP="00F662E1">
      <w:pPr>
        <w:rPr>
          <w:rFonts w:ascii="Times New Roman" w:hAnsi="Times New Roman" w:cs="Times New Roman"/>
        </w:rPr>
      </w:pPr>
      <w:r w:rsidRPr="00601347">
        <w:rPr>
          <w:rFonts w:ascii="Times New Roman" w:hAnsi="Times New Roman" w:cs="Times New Roman"/>
        </w:rPr>
        <w:t xml:space="preserve">The purpose of the </w:t>
      </w:r>
      <w:r w:rsidR="00191DD4">
        <w:rPr>
          <w:rFonts w:ascii="Times New Roman" w:hAnsi="Times New Roman" w:cs="Times New Roman"/>
        </w:rPr>
        <w:t>i</w:t>
      </w:r>
      <w:r w:rsidRPr="00601347">
        <w:rPr>
          <w:rFonts w:ascii="Times New Roman" w:hAnsi="Times New Roman" w:cs="Times New Roman"/>
        </w:rPr>
        <w:t xml:space="preserve">nstrument is to </w:t>
      </w:r>
      <w:r w:rsidRPr="00B938DA">
        <w:rPr>
          <w:rFonts w:ascii="Times New Roman" w:hAnsi="Times New Roman" w:cs="Times New Roman"/>
        </w:rPr>
        <w:t>amend the</w:t>
      </w:r>
      <w:r w:rsidR="00B938DA" w:rsidRPr="00F662E1">
        <w:rPr>
          <w:rFonts w:ascii="Times New Roman" w:hAnsi="Times New Roman" w:cs="Times New Roman"/>
        </w:rPr>
        <w:t xml:space="preserve"> </w:t>
      </w:r>
      <w:r w:rsidRPr="00F662E1">
        <w:rPr>
          <w:rFonts w:ascii="Times New Roman" w:hAnsi="Times New Roman" w:cs="Times New Roman"/>
          <w:i/>
          <w:iCs/>
        </w:rPr>
        <w:t xml:space="preserve">Radiocommunications (Unacceptable Levels of Interference — </w:t>
      </w:r>
      <w:r w:rsidR="00753A21">
        <w:rPr>
          <w:rFonts w:ascii="Times New Roman" w:hAnsi="Times New Roman" w:cs="Times New Roman"/>
          <w:i/>
          <w:iCs/>
        </w:rPr>
        <w:t>1800 M</w:t>
      </w:r>
      <w:r w:rsidRPr="00F662E1">
        <w:rPr>
          <w:rFonts w:ascii="Times New Roman" w:hAnsi="Times New Roman" w:cs="Times New Roman"/>
          <w:i/>
          <w:iCs/>
        </w:rPr>
        <w:t xml:space="preserve">Hz Band) Determination </w:t>
      </w:r>
      <w:r w:rsidR="00753A21">
        <w:rPr>
          <w:rFonts w:ascii="Times New Roman" w:hAnsi="Times New Roman" w:cs="Times New Roman"/>
          <w:i/>
          <w:iCs/>
        </w:rPr>
        <w:t>20</w:t>
      </w:r>
      <w:r w:rsidR="00795F46">
        <w:rPr>
          <w:rFonts w:ascii="Times New Roman" w:hAnsi="Times New Roman" w:cs="Times New Roman"/>
          <w:i/>
          <w:iCs/>
        </w:rPr>
        <w:t>23</w:t>
      </w:r>
      <w:r w:rsidR="00C1004A">
        <w:rPr>
          <w:rFonts w:ascii="Times New Roman" w:hAnsi="Times New Roman" w:cs="Times New Roman"/>
        </w:rPr>
        <w:t xml:space="preserve"> (the </w:t>
      </w:r>
      <w:r w:rsidR="00C1004A" w:rsidRPr="00F662E1">
        <w:rPr>
          <w:rFonts w:ascii="Times New Roman" w:hAnsi="Times New Roman" w:cs="Times New Roman"/>
          <w:b/>
          <w:bCs/>
        </w:rPr>
        <w:t xml:space="preserve">ULI </w:t>
      </w:r>
      <w:r w:rsidR="00C1004A">
        <w:rPr>
          <w:rFonts w:ascii="Times New Roman" w:hAnsi="Times New Roman" w:cs="Times New Roman"/>
          <w:b/>
          <w:bCs/>
        </w:rPr>
        <w:t>D</w:t>
      </w:r>
      <w:r w:rsidR="00C1004A" w:rsidRPr="00F662E1">
        <w:rPr>
          <w:rFonts w:ascii="Times New Roman" w:hAnsi="Times New Roman" w:cs="Times New Roman"/>
          <w:b/>
          <w:bCs/>
        </w:rPr>
        <w:t>etermination</w:t>
      </w:r>
      <w:r w:rsidR="00C1004A">
        <w:rPr>
          <w:rFonts w:ascii="Times New Roman" w:hAnsi="Times New Roman" w:cs="Times New Roman"/>
        </w:rPr>
        <w:t>).</w:t>
      </w:r>
    </w:p>
    <w:p w14:paraId="0B5563CC" w14:textId="33C27435" w:rsidR="0063141D" w:rsidRPr="00F662E1" w:rsidRDefault="0009372B" w:rsidP="00F662E1">
      <w:pPr>
        <w:jc w:val="both"/>
        <w:rPr>
          <w:rFonts w:ascii="Times New Roman" w:hAnsi="Times New Roman" w:cs="Times New Roman"/>
        </w:rPr>
      </w:pPr>
      <w:r w:rsidRPr="00F662E1">
        <w:rPr>
          <w:rFonts w:ascii="Times New Roman" w:hAnsi="Times New Roman" w:cs="Times New Roman"/>
        </w:rPr>
        <w:t xml:space="preserve">A spectrum licence permits a licensee, subject to specified conditions, to operate radiocommunications devices within a particular spectrum space, defined by a frequency band and a geographic area. Interference occurring between adjacent spectrum licences consists of in-band interference across geographic boundaries, and out-of-band interference across frequency boundaries. Interference can also occur between spectrum licensed services and services operating under apparatus licences and class licensing arrangements.  </w:t>
      </w:r>
    </w:p>
    <w:p w14:paraId="4D6D1A06" w14:textId="77777777" w:rsidR="0063141D" w:rsidRDefault="0063141D" w:rsidP="0063141D">
      <w:pPr>
        <w:jc w:val="both"/>
        <w:rPr>
          <w:rFonts w:ascii="Times New Roman" w:hAnsi="Times New Roman" w:cs="Times New Roman"/>
        </w:rPr>
      </w:pPr>
      <w:r>
        <w:rPr>
          <w:rFonts w:ascii="Times New Roman" w:hAnsi="Times New Roman" w:cs="Times New Roman"/>
        </w:rPr>
        <w:t>Section 69 of the Act requires each spectrum licence to include a condition that a radiocommunications transmitter must not be operated under the licence unless the requirements of the ACMA under Part 3.5 of the Act for registration of transmitters have been met.</w:t>
      </w:r>
    </w:p>
    <w:p w14:paraId="6D8C2487" w14:textId="7BD6A2B5" w:rsidR="0063141D" w:rsidRPr="00C1216F" w:rsidRDefault="0063141D" w:rsidP="0063141D">
      <w:pPr>
        <w:rPr>
          <w:rFonts w:ascii="Times New Roman" w:hAnsi="Times New Roman" w:cs="Times New Roman"/>
          <w:highlight w:val="yellow"/>
        </w:rPr>
      </w:pPr>
      <w:r w:rsidRPr="0009372B">
        <w:rPr>
          <w:rFonts w:ascii="Times New Roman" w:hAnsi="Times New Roman" w:cs="Times New Roman"/>
        </w:rPr>
        <w:t xml:space="preserve">The ULI Determination sets out what is meant by an ‘unacceptable level of interference’ in relation to a radiocommunications transmitter operated under a spectrum licence issued in </w:t>
      </w:r>
      <w:r>
        <w:rPr>
          <w:rFonts w:ascii="Times New Roman" w:hAnsi="Times New Roman" w:cs="Times New Roman"/>
        </w:rPr>
        <w:t xml:space="preserve">the part of the spectrum known as </w:t>
      </w:r>
      <w:r w:rsidRPr="0009372B">
        <w:rPr>
          <w:rFonts w:ascii="Times New Roman" w:hAnsi="Times New Roman" w:cs="Times New Roman"/>
        </w:rPr>
        <w:t xml:space="preserve">the </w:t>
      </w:r>
      <w:r>
        <w:rPr>
          <w:rFonts w:ascii="Times New Roman" w:hAnsi="Times New Roman" w:cs="Times New Roman"/>
        </w:rPr>
        <w:t>1800 M</w:t>
      </w:r>
      <w:r w:rsidRPr="0009372B">
        <w:rPr>
          <w:rFonts w:ascii="Times New Roman" w:hAnsi="Times New Roman" w:cs="Times New Roman"/>
        </w:rPr>
        <w:t>Hz band.</w:t>
      </w:r>
      <w:r w:rsidRPr="00EE34A2">
        <w:rPr>
          <w:rFonts w:ascii="Times New Roman" w:hAnsi="Times New Roman" w:cs="Times New Roman"/>
        </w:rPr>
        <w:t xml:space="preserve"> </w:t>
      </w:r>
      <w:r>
        <w:rPr>
          <w:rFonts w:ascii="Times New Roman" w:hAnsi="Times New Roman" w:cs="Times New Roman"/>
        </w:rPr>
        <w:t>If the ACMA is satisfied that the operation of the radiocommunications transmitter could cause an unacceptable level of interference of the kind set out in the ULI Determination, the ACMA will be able to refuse to register the radiocommunications transmitter. Refusal to register a radiocommunications transmitter is subject to internal reconsideration and review by the Administrative Appeals Tribunal (see paragraph 285(n) of the Act).</w:t>
      </w:r>
    </w:p>
    <w:p w14:paraId="52D53C25" w14:textId="67AB2515" w:rsidR="003B2C05" w:rsidRDefault="0063141D" w:rsidP="0063141D">
      <w:pPr>
        <w:jc w:val="both"/>
        <w:rPr>
          <w:rFonts w:ascii="Times New Roman" w:hAnsi="Times New Roman" w:cs="Times New Roman"/>
        </w:rPr>
      </w:pPr>
      <w:r>
        <w:rPr>
          <w:rFonts w:ascii="Times New Roman" w:hAnsi="Times New Roman" w:cs="Times New Roman"/>
        </w:rPr>
        <w:t xml:space="preserve">The instrument makes </w:t>
      </w:r>
      <w:r w:rsidR="00932C07">
        <w:rPr>
          <w:rFonts w:ascii="Times New Roman" w:hAnsi="Times New Roman" w:cs="Times New Roman"/>
        </w:rPr>
        <w:t xml:space="preserve">two </w:t>
      </w:r>
      <w:r w:rsidR="003B2C05">
        <w:rPr>
          <w:rFonts w:ascii="Times New Roman" w:hAnsi="Times New Roman" w:cs="Times New Roman"/>
        </w:rPr>
        <w:t>amendments</w:t>
      </w:r>
      <w:r>
        <w:rPr>
          <w:rFonts w:ascii="Times New Roman" w:hAnsi="Times New Roman" w:cs="Times New Roman"/>
        </w:rPr>
        <w:t xml:space="preserve"> to the ULI Determination to </w:t>
      </w:r>
      <w:r w:rsidR="00932C07">
        <w:rPr>
          <w:rFonts w:ascii="Times New Roman" w:hAnsi="Times New Roman" w:cs="Times New Roman"/>
        </w:rPr>
        <w:t>correct two</w:t>
      </w:r>
      <w:r w:rsidR="003B2C05">
        <w:rPr>
          <w:rFonts w:ascii="Times New Roman" w:hAnsi="Times New Roman" w:cs="Times New Roman"/>
        </w:rPr>
        <w:t xml:space="preserve"> error</w:t>
      </w:r>
      <w:r w:rsidR="00932C07">
        <w:rPr>
          <w:rFonts w:ascii="Times New Roman" w:hAnsi="Times New Roman" w:cs="Times New Roman"/>
        </w:rPr>
        <w:t>s</w:t>
      </w:r>
      <w:r w:rsidR="003B2C05">
        <w:rPr>
          <w:rFonts w:ascii="Times New Roman" w:hAnsi="Times New Roman" w:cs="Times New Roman"/>
        </w:rPr>
        <w:t xml:space="preserve">. These amendments </w:t>
      </w:r>
      <w:r w:rsidR="008013E7">
        <w:rPr>
          <w:rFonts w:ascii="Times New Roman" w:hAnsi="Times New Roman" w:cs="Times New Roman"/>
        </w:rPr>
        <w:t xml:space="preserve">make </w:t>
      </w:r>
      <w:r w:rsidR="003B2C05">
        <w:rPr>
          <w:rFonts w:ascii="Times New Roman" w:hAnsi="Times New Roman" w:cs="Times New Roman"/>
        </w:rPr>
        <w:t xml:space="preserve">the ULI Determination </w:t>
      </w:r>
      <w:r w:rsidR="007F10B3">
        <w:rPr>
          <w:rFonts w:ascii="Times New Roman" w:hAnsi="Times New Roman" w:cs="Times New Roman"/>
        </w:rPr>
        <w:t xml:space="preserve">consistent </w:t>
      </w:r>
      <w:r w:rsidR="008013E7">
        <w:rPr>
          <w:rFonts w:ascii="Times New Roman" w:hAnsi="Times New Roman" w:cs="Times New Roman"/>
        </w:rPr>
        <w:t>with the earlier instrument that was replaced by the ULI Determination because of sunsetting.</w:t>
      </w:r>
    </w:p>
    <w:p w14:paraId="62529848" w14:textId="1D36135C" w:rsidR="004C58B9" w:rsidRDefault="004C58B9" w:rsidP="004C58B9">
      <w:pPr>
        <w:rPr>
          <w:rFonts w:ascii="Times New Roman" w:hAnsi="Times New Roman" w:cs="Times New Roman"/>
        </w:rPr>
      </w:pPr>
      <w:r>
        <w:rPr>
          <w:rFonts w:ascii="Times New Roman" w:hAnsi="Times New Roman" w:cs="Times New Roman"/>
        </w:rPr>
        <w:lastRenderedPageBreak/>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3E91817F" w14:textId="3009BB5E" w:rsidR="0063141D" w:rsidRPr="0063141D" w:rsidRDefault="0063141D" w:rsidP="004C58B9">
      <w:pPr>
        <w:rPr>
          <w:rFonts w:ascii="Times New Roman" w:hAnsi="Times New Roman" w:cs="Times New Roman"/>
        </w:rPr>
      </w:pPr>
      <w:r>
        <w:rPr>
          <w:rFonts w:ascii="Times New Roman" w:hAnsi="Times New Roman" w:cs="Times New Roman"/>
        </w:rPr>
        <w:t xml:space="preserve">The instrument is a legislative instrument for the purposes of the </w:t>
      </w:r>
      <w:r>
        <w:rPr>
          <w:rFonts w:ascii="Times New Roman" w:hAnsi="Times New Roman" w:cs="Times New Roman"/>
          <w:i/>
          <w:iCs/>
        </w:rPr>
        <w:t xml:space="preserve">Legislation Act 2003 </w:t>
      </w:r>
      <w:r>
        <w:rPr>
          <w:rFonts w:ascii="Times New Roman" w:hAnsi="Times New Roman" w:cs="Times New Roman"/>
        </w:rPr>
        <w:t>(</w:t>
      </w:r>
      <w:r w:rsidRPr="005A2C08">
        <w:rPr>
          <w:rFonts w:ascii="Times New Roman" w:hAnsi="Times New Roman" w:cs="Times New Roman"/>
        </w:rPr>
        <w:t>the</w:t>
      </w:r>
      <w:r w:rsidRPr="00F765F9">
        <w:rPr>
          <w:rFonts w:ascii="Times New Roman" w:hAnsi="Times New Roman" w:cs="Times New Roman"/>
          <w:b/>
          <w:bCs/>
        </w:rPr>
        <w:t xml:space="preserve"> LA</w:t>
      </w:r>
      <w:r>
        <w:rPr>
          <w:rFonts w:ascii="Times New Roman" w:hAnsi="Times New Roman" w:cs="Times New Roman"/>
        </w:rPr>
        <w:t>)</w:t>
      </w:r>
      <w:r w:rsidR="00176AE0">
        <w:rPr>
          <w:rFonts w:ascii="Times New Roman" w:hAnsi="Times New Roman" w:cs="Times New Roman"/>
        </w:rPr>
        <w:t>, and is disallowable</w:t>
      </w:r>
      <w:r>
        <w:rPr>
          <w:rFonts w:ascii="Times New Roman" w:hAnsi="Times New Roman" w:cs="Times New Roman"/>
        </w:rPr>
        <w:t>. The ULI Determination is subject to the sunsetting provisions of the LA.</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3962B8D3" w14:textId="116E80C5" w:rsidR="003807F7" w:rsidRDefault="0063141D" w:rsidP="00795F46">
      <w:pPr>
        <w:rPr>
          <w:rFonts w:ascii="Times New Roman" w:hAnsi="Times New Roman" w:cs="Times New Roman"/>
        </w:rPr>
      </w:pPr>
      <w:r w:rsidRPr="006E290F">
        <w:rPr>
          <w:rFonts w:ascii="Times New Roman" w:hAnsi="Times New Roman" w:cs="Times New Roman"/>
        </w:rPr>
        <w:t xml:space="preserve">The </w:t>
      </w:r>
      <w:r>
        <w:rPr>
          <w:rFonts w:ascii="Times New Roman" w:hAnsi="Times New Roman" w:cs="Times New Roman"/>
        </w:rPr>
        <w:t>i</w:t>
      </w:r>
      <w:r w:rsidRPr="006E290F">
        <w:rPr>
          <w:rFonts w:ascii="Times New Roman" w:hAnsi="Times New Roman" w:cs="Times New Roman"/>
        </w:rPr>
        <w:t xml:space="preserve">nstrument </w:t>
      </w:r>
      <w:r w:rsidR="00EB7A2E">
        <w:rPr>
          <w:rFonts w:ascii="Times New Roman" w:hAnsi="Times New Roman" w:cs="Times New Roman"/>
        </w:rPr>
        <w:t>does not incorporate any documents by reference</w:t>
      </w:r>
      <w:r w:rsidR="00795F46">
        <w:rPr>
          <w:rFonts w:ascii="Times New Roman" w:hAnsi="Times New Roman" w:cs="Times New Roman"/>
        </w:rPr>
        <w:t>.</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77777777" w:rsidR="004C58B9" w:rsidRPr="00D6131F" w:rsidRDefault="004C58B9" w:rsidP="004C58B9">
      <w:pPr>
        <w:rPr>
          <w:rFonts w:ascii="Times New Roman" w:hAnsi="Times New Roman" w:cs="Times New Roman"/>
        </w:rPr>
      </w:pPr>
      <w:r w:rsidRPr="00B938DA">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2EF0D332" w14:textId="159A6E9A" w:rsidR="001207BF" w:rsidRPr="00164B56" w:rsidRDefault="00164B56" w:rsidP="001207BF">
      <w:pPr>
        <w:rPr>
          <w:rFonts w:ascii="Times New Roman" w:hAnsi="Times New Roman" w:cs="Times New Roman"/>
        </w:rPr>
      </w:pPr>
      <w:r>
        <w:rPr>
          <w:rFonts w:ascii="Times New Roman" w:hAnsi="Times New Roman" w:cs="Times New Roman"/>
        </w:rPr>
        <w:t xml:space="preserve">The </w:t>
      </w:r>
      <w:r w:rsidR="001207BF" w:rsidRPr="00164B56">
        <w:rPr>
          <w:rFonts w:ascii="Times New Roman" w:hAnsi="Times New Roman" w:cs="Times New Roman"/>
        </w:rPr>
        <w:t xml:space="preserve">ACMA publicly consulted on </w:t>
      </w:r>
      <w:r w:rsidR="00EB7A2E">
        <w:rPr>
          <w:rFonts w:ascii="Times New Roman" w:hAnsi="Times New Roman" w:cs="Times New Roman"/>
        </w:rPr>
        <w:t>a</w:t>
      </w:r>
      <w:r w:rsidR="00EB7A2E" w:rsidRPr="00164B56">
        <w:rPr>
          <w:rFonts w:ascii="Times New Roman" w:hAnsi="Times New Roman" w:cs="Times New Roman"/>
        </w:rPr>
        <w:t xml:space="preserve"> </w:t>
      </w:r>
      <w:r w:rsidR="001207BF" w:rsidRPr="00164B56">
        <w:rPr>
          <w:rFonts w:ascii="Times New Roman" w:hAnsi="Times New Roman" w:cs="Times New Roman"/>
        </w:rPr>
        <w:t xml:space="preserve">draft instrument from </w:t>
      </w:r>
      <w:r w:rsidR="00EB7A2E">
        <w:rPr>
          <w:rFonts w:ascii="Times New Roman" w:hAnsi="Times New Roman" w:cs="Times New Roman"/>
        </w:rPr>
        <w:t>3 </w:t>
      </w:r>
      <w:r w:rsidR="00A94F0D">
        <w:rPr>
          <w:rFonts w:ascii="Times New Roman" w:hAnsi="Times New Roman" w:cs="Times New Roman"/>
        </w:rPr>
        <w:t>October</w:t>
      </w:r>
      <w:r w:rsidR="00753A21" w:rsidRPr="00164B56">
        <w:rPr>
          <w:rFonts w:ascii="Times New Roman" w:hAnsi="Times New Roman" w:cs="Times New Roman"/>
        </w:rPr>
        <w:t xml:space="preserve"> </w:t>
      </w:r>
      <w:r w:rsidR="001207BF" w:rsidRPr="00164B56">
        <w:rPr>
          <w:rFonts w:ascii="Times New Roman" w:hAnsi="Times New Roman" w:cs="Times New Roman"/>
        </w:rPr>
        <w:t>202</w:t>
      </w:r>
      <w:r w:rsidR="00A94F0D">
        <w:rPr>
          <w:rFonts w:ascii="Times New Roman" w:hAnsi="Times New Roman" w:cs="Times New Roman"/>
        </w:rPr>
        <w:t>4</w:t>
      </w:r>
      <w:r w:rsidR="001207BF" w:rsidRPr="00164B56">
        <w:rPr>
          <w:rFonts w:ascii="Times New Roman" w:hAnsi="Times New Roman" w:cs="Times New Roman"/>
        </w:rPr>
        <w:t xml:space="preserve"> to </w:t>
      </w:r>
      <w:r w:rsidR="00A94F0D">
        <w:rPr>
          <w:rFonts w:ascii="Times New Roman" w:hAnsi="Times New Roman" w:cs="Times New Roman"/>
        </w:rPr>
        <w:t>31 October 2024</w:t>
      </w:r>
      <w:r w:rsidR="001207BF" w:rsidRPr="00164B56">
        <w:rPr>
          <w:rFonts w:ascii="Times New Roman" w:hAnsi="Times New Roman" w:cs="Times New Roman"/>
        </w:rPr>
        <w:t xml:space="preserve"> in order to give all interested parties an opportunity to comment on the proposed changes.  </w:t>
      </w:r>
    </w:p>
    <w:p w14:paraId="3A46BF4B" w14:textId="64ED34BA" w:rsidR="00276D81" w:rsidRPr="00D6131F" w:rsidRDefault="00A94F0D" w:rsidP="001207BF">
      <w:pPr>
        <w:rPr>
          <w:rFonts w:ascii="Times New Roman" w:hAnsi="Times New Roman" w:cs="Times New Roman"/>
        </w:rPr>
      </w:pPr>
      <w:r>
        <w:rPr>
          <w:rFonts w:ascii="Times New Roman" w:hAnsi="Times New Roman" w:cs="Times New Roman"/>
        </w:rPr>
        <w:t>One</w:t>
      </w:r>
      <w:r w:rsidR="001E49F4" w:rsidRPr="00164B56">
        <w:rPr>
          <w:rFonts w:ascii="Times New Roman" w:hAnsi="Times New Roman" w:cs="Times New Roman"/>
        </w:rPr>
        <w:t xml:space="preserve"> </w:t>
      </w:r>
      <w:r w:rsidR="00276D81" w:rsidRPr="00164B56">
        <w:rPr>
          <w:rFonts w:ascii="Times New Roman" w:hAnsi="Times New Roman" w:cs="Times New Roman"/>
        </w:rPr>
        <w:t xml:space="preserve">submission </w:t>
      </w:r>
      <w:r>
        <w:rPr>
          <w:rFonts w:ascii="Times New Roman" w:hAnsi="Times New Roman" w:cs="Times New Roman"/>
        </w:rPr>
        <w:t>was</w:t>
      </w:r>
      <w:r w:rsidRPr="00164B56">
        <w:rPr>
          <w:rFonts w:ascii="Times New Roman" w:hAnsi="Times New Roman" w:cs="Times New Roman"/>
        </w:rPr>
        <w:t xml:space="preserve"> </w:t>
      </w:r>
      <w:r w:rsidR="00276D81" w:rsidRPr="00164B56">
        <w:rPr>
          <w:rFonts w:ascii="Times New Roman" w:hAnsi="Times New Roman" w:cs="Times New Roman"/>
        </w:rPr>
        <w:t>received during the public consultation period</w:t>
      </w:r>
      <w:r w:rsidR="00977E5A">
        <w:rPr>
          <w:rFonts w:ascii="Times New Roman" w:hAnsi="Times New Roman" w:cs="Times New Roman"/>
        </w:rPr>
        <w:t xml:space="preserve">, </w:t>
      </w:r>
      <w:r>
        <w:rPr>
          <w:rFonts w:ascii="Times New Roman" w:hAnsi="Times New Roman" w:cs="Times New Roman"/>
        </w:rPr>
        <w:t>which supported the proposed amendments.</w:t>
      </w:r>
      <w:r w:rsidR="00EB7A2E">
        <w:rPr>
          <w:rFonts w:ascii="Times New Roman" w:hAnsi="Times New Roman" w:cs="Times New Roman"/>
        </w:rPr>
        <w:t xml:space="preserve"> No change was made to the draft instrument.</w:t>
      </w:r>
    </w:p>
    <w:p w14:paraId="2E01E108" w14:textId="77777777" w:rsidR="004C58B9" w:rsidRDefault="004C58B9" w:rsidP="00F765F9">
      <w:pPr>
        <w:keepNext/>
        <w:spacing w:line="257" w:lineRule="auto"/>
        <w:rPr>
          <w:rFonts w:ascii="Times New Roman" w:hAnsi="Times New Roman" w:cs="Times New Roman"/>
          <w:b/>
        </w:rPr>
      </w:pPr>
      <w:r>
        <w:rPr>
          <w:rFonts w:ascii="Times New Roman" w:hAnsi="Times New Roman" w:cs="Times New Roman"/>
          <w:b/>
        </w:rPr>
        <w:t>Regulatory impact assessment</w:t>
      </w:r>
    </w:p>
    <w:p w14:paraId="40EC0DC7" w14:textId="5DF1F730" w:rsidR="00601347" w:rsidRDefault="00601347" w:rsidP="004C58B9">
      <w:pPr>
        <w:rPr>
          <w:rFonts w:ascii="Times New Roman" w:hAnsi="Times New Roman" w:cs="Times New Roman"/>
        </w:rPr>
      </w:pPr>
      <w:r w:rsidRPr="00601347">
        <w:rPr>
          <w:rFonts w:ascii="Times New Roman" w:hAnsi="Times New Roman" w:cs="Times New Roman"/>
        </w:rPr>
        <w:t xml:space="preserve">The ACMA consulted with the Office of </w:t>
      </w:r>
      <w:r w:rsidR="00EB7A2E">
        <w:rPr>
          <w:rFonts w:ascii="Times New Roman" w:hAnsi="Times New Roman" w:cs="Times New Roman"/>
        </w:rPr>
        <w:t>Impact Analysis</w:t>
      </w:r>
      <w:r w:rsidRPr="00601347">
        <w:rPr>
          <w:rFonts w:ascii="Times New Roman" w:hAnsi="Times New Roman" w:cs="Times New Roman"/>
        </w:rPr>
        <w:t xml:space="preserve"> (</w:t>
      </w:r>
      <w:r w:rsidRPr="005A2C08">
        <w:rPr>
          <w:rFonts w:ascii="Times New Roman" w:hAnsi="Times New Roman" w:cs="Times New Roman"/>
        </w:rPr>
        <w:t>the</w:t>
      </w:r>
      <w:r w:rsidRPr="00F765F9">
        <w:rPr>
          <w:rFonts w:ascii="Times New Roman" w:hAnsi="Times New Roman" w:cs="Times New Roman"/>
          <w:b/>
          <w:bCs/>
        </w:rPr>
        <w:t xml:space="preserve"> </w:t>
      </w:r>
      <w:r w:rsidRPr="00FF7282">
        <w:rPr>
          <w:rFonts w:ascii="Times New Roman" w:hAnsi="Times New Roman" w:cs="Times New Roman"/>
          <w:b/>
          <w:bCs/>
        </w:rPr>
        <w:t>O</w:t>
      </w:r>
      <w:r w:rsidR="00EB7A2E">
        <w:rPr>
          <w:rFonts w:ascii="Times New Roman" w:hAnsi="Times New Roman" w:cs="Times New Roman"/>
          <w:b/>
          <w:bCs/>
        </w:rPr>
        <w:t>IA</w:t>
      </w:r>
      <w:r w:rsidRPr="00601347">
        <w:rPr>
          <w:rFonts w:ascii="Times New Roman" w:hAnsi="Times New Roman" w:cs="Times New Roman"/>
        </w:rPr>
        <w:t>) on the requirement for a Regulation Impact Statement (</w:t>
      </w:r>
      <w:r w:rsidRPr="00FF7282">
        <w:rPr>
          <w:rFonts w:ascii="Times New Roman" w:hAnsi="Times New Roman" w:cs="Times New Roman"/>
          <w:b/>
          <w:bCs/>
        </w:rPr>
        <w:t>RIS</w:t>
      </w:r>
      <w:r w:rsidRPr="00601347">
        <w:rPr>
          <w:rFonts w:ascii="Times New Roman" w:hAnsi="Times New Roman" w:cs="Times New Roman"/>
        </w:rPr>
        <w:t xml:space="preserve">). The </w:t>
      </w:r>
      <w:r w:rsidR="00EB7A2E">
        <w:rPr>
          <w:rFonts w:ascii="Times New Roman" w:hAnsi="Times New Roman" w:cs="Times New Roman"/>
        </w:rPr>
        <w:t>OIA</w:t>
      </w:r>
      <w:r w:rsidR="00EB7A2E" w:rsidRPr="00601347">
        <w:rPr>
          <w:rFonts w:ascii="Times New Roman" w:hAnsi="Times New Roman" w:cs="Times New Roman"/>
        </w:rPr>
        <w:t xml:space="preserve"> </w:t>
      </w:r>
      <w:r w:rsidRPr="00601347">
        <w:rPr>
          <w:rFonts w:ascii="Times New Roman" w:hAnsi="Times New Roman" w:cs="Times New Roman"/>
        </w:rPr>
        <w:t xml:space="preserve">advised that the </w:t>
      </w:r>
      <w:r w:rsidR="00191DD4">
        <w:rPr>
          <w:rFonts w:ascii="Times New Roman" w:hAnsi="Times New Roman" w:cs="Times New Roman"/>
        </w:rPr>
        <w:t>i</w:t>
      </w:r>
      <w:r w:rsidRPr="00601347">
        <w:rPr>
          <w:rFonts w:ascii="Times New Roman" w:hAnsi="Times New Roman" w:cs="Times New Roman"/>
        </w:rPr>
        <w:t xml:space="preserve">nstrument does not warrant the preparation of a RIS because the instrument is likely to have only minor and machinery impacts. The reference number for the </w:t>
      </w:r>
      <w:r w:rsidR="00AA7EAD">
        <w:rPr>
          <w:rFonts w:ascii="Times New Roman" w:hAnsi="Times New Roman" w:cs="Times New Roman"/>
        </w:rPr>
        <w:t>OIA</w:t>
      </w:r>
      <w:r w:rsidR="00AA7EAD" w:rsidRPr="00601347">
        <w:rPr>
          <w:rFonts w:ascii="Times New Roman" w:hAnsi="Times New Roman" w:cs="Times New Roman"/>
        </w:rPr>
        <w:t xml:space="preserve">’s </w:t>
      </w:r>
      <w:r w:rsidRPr="00601347">
        <w:rPr>
          <w:rFonts w:ascii="Times New Roman" w:hAnsi="Times New Roman" w:cs="Times New Roman"/>
        </w:rPr>
        <w:t xml:space="preserve">assessment is </w:t>
      </w:r>
      <w:r w:rsidR="001E49F4">
        <w:rPr>
          <w:rFonts w:ascii="Times New Roman" w:hAnsi="Times New Roman" w:cs="Times New Roman"/>
        </w:rPr>
        <w:t>44613</w:t>
      </w:r>
      <w:r w:rsidRPr="00601347">
        <w:rPr>
          <w:rFonts w:ascii="Times New Roman" w:hAnsi="Times New Roman" w:cs="Times New Roman"/>
        </w:rPr>
        <w:t>.</w:t>
      </w:r>
    </w:p>
    <w:p w14:paraId="645DD02E" w14:textId="3D87216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67F8FCA3" w14:textId="77777777" w:rsidR="00227E00" w:rsidRPr="00227E00" w:rsidRDefault="00227E00" w:rsidP="00227E00">
      <w:pPr>
        <w:rPr>
          <w:rFonts w:ascii="Times New Roman" w:hAnsi="Times New Roman" w:cs="Times New Roman"/>
        </w:rPr>
      </w:pPr>
      <w:r w:rsidRPr="00227E00">
        <w:rPr>
          <w:rFonts w:ascii="Times New Roman" w:hAnsi="Times New Roman" w:cs="Times New Roman"/>
        </w:rPr>
        <w:t xml:space="preserve">Subsection 9(1) of the </w:t>
      </w:r>
      <w:r w:rsidRPr="00227E00">
        <w:rPr>
          <w:rFonts w:ascii="Times New Roman" w:hAnsi="Times New Roman" w:cs="Times New Roman"/>
          <w:i/>
          <w:iCs/>
        </w:rPr>
        <w:t>Human Rights (Parliamentary Scrutiny) Act 2011</w:t>
      </w:r>
      <w:r w:rsidRPr="00227E00">
        <w:rPr>
          <w:rFonts w:ascii="Times New Roman" w:hAnsi="Times New Roman" w:cs="Times New Roman"/>
        </w:rPr>
        <w:t xml:space="preserve"> requires the rule-maker in relation to a legislative instrument to which section 42 (disallowance) of the LA applies to cause a statement of compatibility with human rights to be prepared in respect of that legislative instrument.</w:t>
      </w:r>
    </w:p>
    <w:p w14:paraId="291EC061" w14:textId="7C481B4D" w:rsidR="00601347" w:rsidRDefault="00227E00" w:rsidP="00227E00">
      <w:pPr>
        <w:rPr>
          <w:rFonts w:ascii="Times New Roman" w:hAnsi="Times New Roman" w:cs="Times New Roman"/>
        </w:rPr>
      </w:pPr>
      <w:r w:rsidRPr="00227E00">
        <w:rPr>
          <w:rFonts w:ascii="Times New Roman" w:hAnsi="Times New Roman" w:cs="Times New Roman"/>
        </w:rPr>
        <w:t>The statement of compatibility set out below has been prepared to meet that requirement.</w:t>
      </w:r>
    </w:p>
    <w:p w14:paraId="695CEC3E" w14:textId="362E4BCD" w:rsidR="004C58B9" w:rsidRDefault="004C58B9" w:rsidP="00601347">
      <w:pPr>
        <w:rPr>
          <w:rFonts w:ascii="Times New Roman" w:hAnsi="Times New Roman" w:cs="Times New Roman"/>
          <w:b/>
          <w:i/>
        </w:rPr>
      </w:pPr>
      <w:r>
        <w:rPr>
          <w:rFonts w:ascii="Times New Roman" w:hAnsi="Times New Roman" w:cs="Times New Roman"/>
          <w:b/>
          <w:i/>
        </w:rPr>
        <w:t>Overview of the instrument</w:t>
      </w:r>
    </w:p>
    <w:p w14:paraId="30560860" w14:textId="77777777" w:rsidR="00FA20B5" w:rsidRDefault="00FA20B5" w:rsidP="00FA20B5">
      <w:pPr>
        <w:jc w:val="both"/>
        <w:rPr>
          <w:rFonts w:ascii="Times New Roman" w:hAnsi="Times New Roman" w:cs="Times New Roman"/>
        </w:rPr>
      </w:pPr>
      <w:r>
        <w:rPr>
          <w:rFonts w:ascii="Times New Roman" w:hAnsi="Times New Roman" w:cs="Times New Roman"/>
        </w:rPr>
        <w:t>Section 69 of the Act requires each spectrum licence to include a condition that a radiocommunications transmitter must not be operated under the licence unless the requirements of the ACMA under Part 3.5 of the Act for registration of the transmitter have been met.</w:t>
      </w:r>
    </w:p>
    <w:p w14:paraId="0861DB85" w14:textId="65B09D9C" w:rsidR="00227E00" w:rsidRPr="00227E00" w:rsidRDefault="00227E00" w:rsidP="00F662E1">
      <w:pPr>
        <w:rPr>
          <w:rFonts w:ascii="Times New Roman" w:hAnsi="Times New Roman" w:cs="Times New Roman"/>
        </w:rPr>
      </w:pPr>
      <w:r w:rsidRPr="00227E00">
        <w:rPr>
          <w:rFonts w:ascii="Times New Roman" w:hAnsi="Times New Roman" w:cs="Times New Roman"/>
        </w:rPr>
        <w:t>S</w:t>
      </w:r>
      <w:r w:rsidR="00971F2C">
        <w:rPr>
          <w:rFonts w:ascii="Times New Roman" w:hAnsi="Times New Roman" w:cs="Times New Roman"/>
        </w:rPr>
        <w:t>ubs</w:t>
      </w:r>
      <w:r w:rsidRPr="00227E00">
        <w:rPr>
          <w:rFonts w:ascii="Times New Roman" w:hAnsi="Times New Roman" w:cs="Times New Roman"/>
        </w:rPr>
        <w:t>ection 145</w:t>
      </w:r>
      <w:r w:rsidR="00971F2C">
        <w:rPr>
          <w:rFonts w:ascii="Times New Roman" w:hAnsi="Times New Roman" w:cs="Times New Roman"/>
        </w:rPr>
        <w:t>(1)</w:t>
      </w:r>
      <w:r w:rsidRPr="00227E00">
        <w:rPr>
          <w:rFonts w:ascii="Times New Roman" w:hAnsi="Times New Roman" w:cs="Times New Roman"/>
        </w:rPr>
        <w:t xml:space="preserve"> of the Act provides that the ACMA may refuse to include details of a radiocommunications transmitter that is proposed to be operated under a spectrum licence </w:t>
      </w:r>
      <w:r w:rsidR="00C14572">
        <w:rPr>
          <w:rFonts w:ascii="Times New Roman" w:hAnsi="Times New Roman" w:cs="Times New Roman"/>
        </w:rPr>
        <w:t>i</w:t>
      </w:r>
      <w:r w:rsidR="00C14572" w:rsidRPr="00227E00">
        <w:rPr>
          <w:rFonts w:ascii="Times New Roman" w:hAnsi="Times New Roman" w:cs="Times New Roman"/>
        </w:rPr>
        <w:t xml:space="preserve">n </w:t>
      </w:r>
      <w:r w:rsidRPr="00227E00">
        <w:rPr>
          <w:rFonts w:ascii="Times New Roman" w:hAnsi="Times New Roman" w:cs="Times New Roman"/>
        </w:rPr>
        <w:t xml:space="preserve">the Register if the ACMA is satisfied that the transmitter could cause an unacceptable level of interference to the operation of other radiocommunications devices under that or any other spectrum licence, or any other licence. </w:t>
      </w:r>
    </w:p>
    <w:p w14:paraId="2D2F23FB" w14:textId="434E4A36" w:rsidR="00227E00" w:rsidRPr="00227E00" w:rsidRDefault="00227E00" w:rsidP="00F662E1">
      <w:pPr>
        <w:rPr>
          <w:rFonts w:ascii="Times New Roman" w:hAnsi="Times New Roman" w:cs="Times New Roman"/>
        </w:rPr>
      </w:pPr>
      <w:r w:rsidRPr="00227E00">
        <w:rPr>
          <w:rFonts w:ascii="Times New Roman" w:hAnsi="Times New Roman" w:cs="Times New Roman"/>
        </w:rPr>
        <w:t xml:space="preserve">Subsection 145(4) of the Act provides that the ACMA may determine, by written instrument, what are unacceptable levels of interference for the purposes of section 145. </w:t>
      </w:r>
      <w:r w:rsidR="00FA20B5" w:rsidRPr="0009372B">
        <w:rPr>
          <w:rFonts w:ascii="Times New Roman" w:hAnsi="Times New Roman" w:cs="Times New Roman"/>
        </w:rPr>
        <w:t>The ULI Determination sets out what is meant by an ‘unacceptable level of interference’ in relation to radiocommunications transmitter</w:t>
      </w:r>
      <w:r w:rsidR="00FA20B5">
        <w:rPr>
          <w:rFonts w:ascii="Times New Roman" w:hAnsi="Times New Roman" w:cs="Times New Roman"/>
        </w:rPr>
        <w:t>s</w:t>
      </w:r>
      <w:r w:rsidR="00FA20B5" w:rsidRPr="0009372B">
        <w:rPr>
          <w:rFonts w:ascii="Times New Roman" w:hAnsi="Times New Roman" w:cs="Times New Roman"/>
        </w:rPr>
        <w:t xml:space="preserve"> operated under a spectrum licence issued in </w:t>
      </w:r>
      <w:r w:rsidR="00FA20B5">
        <w:rPr>
          <w:rFonts w:ascii="Times New Roman" w:hAnsi="Times New Roman" w:cs="Times New Roman"/>
        </w:rPr>
        <w:t xml:space="preserve">the part of the spectrum known as </w:t>
      </w:r>
      <w:r w:rsidR="00FA20B5" w:rsidRPr="0009372B">
        <w:rPr>
          <w:rFonts w:ascii="Times New Roman" w:hAnsi="Times New Roman" w:cs="Times New Roman"/>
        </w:rPr>
        <w:t xml:space="preserve">the </w:t>
      </w:r>
      <w:r w:rsidR="00FA20B5">
        <w:rPr>
          <w:rFonts w:ascii="Times New Roman" w:hAnsi="Times New Roman" w:cs="Times New Roman"/>
        </w:rPr>
        <w:t>1800 M</w:t>
      </w:r>
      <w:r w:rsidR="00FA20B5" w:rsidRPr="0009372B">
        <w:rPr>
          <w:rFonts w:ascii="Times New Roman" w:hAnsi="Times New Roman" w:cs="Times New Roman"/>
        </w:rPr>
        <w:t>Hz band.</w:t>
      </w:r>
    </w:p>
    <w:p w14:paraId="760F1D6C" w14:textId="535F47AD" w:rsidR="0040018F" w:rsidRDefault="0040018F" w:rsidP="0040018F">
      <w:pPr>
        <w:jc w:val="both"/>
        <w:rPr>
          <w:rFonts w:ascii="Times New Roman" w:hAnsi="Times New Roman" w:cs="Times New Roman"/>
        </w:rPr>
      </w:pPr>
      <w:r>
        <w:rPr>
          <w:rFonts w:ascii="Times New Roman" w:hAnsi="Times New Roman" w:cs="Times New Roman"/>
        </w:rPr>
        <w:lastRenderedPageBreak/>
        <w:t xml:space="preserve">The instrument makes two amendments to the ULI Determination to correct two errors. These amendments make the ULI Determination </w:t>
      </w:r>
      <w:r w:rsidR="007F10B3">
        <w:rPr>
          <w:rFonts w:ascii="Times New Roman" w:hAnsi="Times New Roman" w:cs="Times New Roman"/>
        </w:rPr>
        <w:t xml:space="preserve">consistent </w:t>
      </w:r>
      <w:r>
        <w:rPr>
          <w:rFonts w:ascii="Times New Roman" w:hAnsi="Times New Roman" w:cs="Times New Roman"/>
        </w:rPr>
        <w:t>with the earlier instrument that was replaced by the ULI Determination because of sunsetting.</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529383EE" w14:textId="5437A6B8" w:rsidR="004C58B9" w:rsidRDefault="004C58B9" w:rsidP="004C58B9">
      <w:pPr>
        <w:rPr>
          <w:rFonts w:ascii="Times New Roman" w:hAnsi="Times New Roman" w:cs="Times New Roman"/>
          <w:b/>
        </w:rPr>
      </w:pPr>
      <w:r>
        <w:rPr>
          <w:rFonts w:ascii="Times New Roman" w:hAnsi="Times New Roman" w:cs="Times New Roman"/>
        </w:rPr>
        <w:t>The instrument is compatible with human rights as it does not raise any human rights issues.</w:t>
      </w: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05F9E72B"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6B6B34" w:rsidRPr="006B6B34">
        <w:rPr>
          <w:rFonts w:ascii="Times New Roman" w:hAnsi="Times New Roman" w:cs="Times New Roman"/>
          <w:b/>
          <w:i/>
          <w:sz w:val="28"/>
          <w:szCs w:val="28"/>
        </w:rPr>
        <w:t xml:space="preserve">Radiocommunications (Unacceptable Levels of Interference – </w:t>
      </w:r>
      <w:r w:rsidR="00753A21">
        <w:rPr>
          <w:rFonts w:ascii="Times New Roman" w:hAnsi="Times New Roman" w:cs="Times New Roman"/>
          <w:b/>
          <w:i/>
          <w:sz w:val="28"/>
          <w:szCs w:val="28"/>
        </w:rPr>
        <w:t>1800 M</w:t>
      </w:r>
      <w:r w:rsidR="006B6B34" w:rsidRPr="006B6B34">
        <w:rPr>
          <w:rFonts w:ascii="Times New Roman" w:hAnsi="Times New Roman" w:cs="Times New Roman"/>
          <w:b/>
          <w:i/>
          <w:sz w:val="28"/>
          <w:szCs w:val="28"/>
        </w:rPr>
        <w:t xml:space="preserve">Hz Band) </w:t>
      </w:r>
      <w:r w:rsidR="00C44FAC">
        <w:rPr>
          <w:rFonts w:ascii="Times New Roman" w:hAnsi="Times New Roman" w:cs="Times New Roman"/>
          <w:b/>
          <w:i/>
          <w:sz w:val="28"/>
          <w:szCs w:val="28"/>
        </w:rPr>
        <w:t>Determination Variation</w:t>
      </w:r>
      <w:r w:rsidR="006B6B34" w:rsidRPr="006B6B34">
        <w:rPr>
          <w:rFonts w:ascii="Times New Roman" w:hAnsi="Times New Roman" w:cs="Times New Roman"/>
          <w:b/>
          <w:i/>
          <w:sz w:val="28"/>
          <w:szCs w:val="28"/>
        </w:rPr>
        <w:t xml:space="preserve"> 202</w:t>
      </w:r>
      <w:r w:rsidR="00795F46">
        <w:rPr>
          <w:rFonts w:ascii="Times New Roman" w:hAnsi="Times New Roman" w:cs="Times New Roman"/>
          <w:b/>
          <w:i/>
          <w:sz w:val="28"/>
          <w:szCs w:val="28"/>
        </w:rPr>
        <w:t>4</w:t>
      </w:r>
      <w:r w:rsidR="006B6B34" w:rsidRPr="006B6B34">
        <w:rPr>
          <w:rFonts w:ascii="Times New Roman" w:hAnsi="Times New Roman" w:cs="Times New Roman"/>
          <w:b/>
          <w:i/>
          <w:sz w:val="28"/>
          <w:szCs w:val="28"/>
        </w:rPr>
        <w:t xml:space="preserve"> (No. 1</w:t>
      </w:r>
      <w:r w:rsidR="006B6B34">
        <w:rPr>
          <w:rFonts w:ascii="Times New Roman" w:hAnsi="Times New Roman" w:cs="Times New Roman"/>
          <w:b/>
          <w:i/>
          <w:sz w:val="28"/>
          <w:szCs w:val="28"/>
        </w:rPr>
        <w:t>)</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5061767B"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FC40D1" w:rsidRPr="00FC40D1">
        <w:rPr>
          <w:rFonts w:ascii="Times New Roman" w:hAnsi="Times New Roman" w:cs="Times New Roman"/>
          <w:i/>
        </w:rPr>
        <w:t xml:space="preserve">Radiocommunications (Unacceptable Levels of Interference – </w:t>
      </w:r>
      <w:r w:rsidR="00753A21">
        <w:rPr>
          <w:rFonts w:ascii="Times New Roman" w:hAnsi="Times New Roman" w:cs="Times New Roman"/>
          <w:i/>
        </w:rPr>
        <w:t>1800 M</w:t>
      </w:r>
      <w:r w:rsidR="00FC40D1" w:rsidRPr="00FC40D1">
        <w:rPr>
          <w:rFonts w:ascii="Times New Roman" w:hAnsi="Times New Roman" w:cs="Times New Roman"/>
          <w:i/>
        </w:rPr>
        <w:t xml:space="preserve">Hz Band) </w:t>
      </w:r>
      <w:r w:rsidR="00C44FAC">
        <w:rPr>
          <w:rFonts w:ascii="Times New Roman" w:hAnsi="Times New Roman" w:cs="Times New Roman"/>
          <w:i/>
        </w:rPr>
        <w:t>Determination Variation</w:t>
      </w:r>
      <w:r w:rsidR="00FC40D1" w:rsidRPr="00FC40D1">
        <w:rPr>
          <w:rFonts w:ascii="Times New Roman" w:hAnsi="Times New Roman" w:cs="Times New Roman"/>
          <w:i/>
        </w:rPr>
        <w:t xml:space="preserve"> 202</w:t>
      </w:r>
      <w:r w:rsidR="00795F46">
        <w:rPr>
          <w:rFonts w:ascii="Times New Roman" w:hAnsi="Times New Roman" w:cs="Times New Roman"/>
          <w:i/>
        </w:rPr>
        <w:t>4</w:t>
      </w:r>
      <w:r w:rsidR="00FC40D1" w:rsidRPr="00FC40D1">
        <w:rPr>
          <w:rFonts w:ascii="Times New Roman" w:hAnsi="Times New Roman" w:cs="Times New Roman"/>
          <w:i/>
        </w:rPr>
        <w:t xml:space="preserve"> (No. 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77777777"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at the start of the day after the day it is registered on the Federal Register of Legislation.  </w:t>
      </w:r>
    </w:p>
    <w:p w14:paraId="1FC55065" w14:textId="31C18B4B" w:rsidR="00342462" w:rsidRDefault="00342462"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www.legislation.gov.au. </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3D25B556" w:rsidR="004C58B9" w:rsidRDefault="004C58B9" w:rsidP="004C58B9">
      <w:pPr>
        <w:rPr>
          <w:rFonts w:ascii="Times New Roman" w:hAnsi="Times New Roman" w:cs="Times New Roman"/>
        </w:rPr>
      </w:pPr>
      <w:r>
        <w:rPr>
          <w:rFonts w:ascii="Times New Roman" w:hAnsi="Times New Roman" w:cs="Times New Roman"/>
        </w:rPr>
        <w:t>This section identifies the provision of the Act that authorises the making of the instrument, namely</w:t>
      </w:r>
      <w:r w:rsidR="00FC40D1" w:rsidRPr="00FC40D1">
        <w:rPr>
          <w:rFonts w:ascii="Times New Roman" w:hAnsi="Times New Roman" w:cs="Times New Roman"/>
        </w:rPr>
        <w:t xml:space="preserve"> subsection 145(4)</w:t>
      </w:r>
      <w:r>
        <w:rPr>
          <w:rFonts w:ascii="Times New Roman" w:hAnsi="Times New Roman" w:cs="Times New Roman"/>
        </w:rPr>
        <w:t xml:space="preserve"> of the</w:t>
      </w:r>
      <w:r w:rsidR="00C1004A">
        <w:rPr>
          <w:rFonts w:ascii="Times New Roman" w:hAnsi="Times New Roman" w:cs="Times New Roman"/>
        </w:rPr>
        <w:t xml:space="preserve"> Act</w:t>
      </w:r>
      <w:r>
        <w:rPr>
          <w:rFonts w:ascii="Times New Roman" w:hAnsi="Times New Roman" w:cs="Times New Roman"/>
        </w:rPr>
        <w:t>.</w:t>
      </w:r>
    </w:p>
    <w:p w14:paraId="0599AB41" w14:textId="61976710"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FC40D1">
        <w:rPr>
          <w:rFonts w:ascii="Times New Roman" w:hAnsi="Times New Roman" w:cs="Times New Roman"/>
          <w:b/>
        </w:rPr>
        <w:t>Amendment</w:t>
      </w:r>
      <w:r w:rsidR="00E65D58">
        <w:rPr>
          <w:rFonts w:ascii="Times New Roman" w:hAnsi="Times New Roman" w:cs="Times New Roman"/>
          <w:b/>
        </w:rPr>
        <w:t>s</w:t>
      </w:r>
    </w:p>
    <w:p w14:paraId="734B9C26" w14:textId="009EF5BC" w:rsidR="004C58B9" w:rsidRDefault="004C58B9" w:rsidP="004C58B9">
      <w:pPr>
        <w:rPr>
          <w:rFonts w:ascii="Times New Roman" w:hAnsi="Times New Roman" w:cs="Times New Roman"/>
        </w:rPr>
      </w:pPr>
      <w:r>
        <w:rPr>
          <w:rFonts w:ascii="Times New Roman" w:hAnsi="Times New Roman" w:cs="Times New Roman"/>
        </w:rPr>
        <w:t xml:space="preserve">This section provides that </w:t>
      </w:r>
      <w:r w:rsidR="00C1004A">
        <w:rPr>
          <w:rFonts w:ascii="Times New Roman" w:hAnsi="Times New Roman" w:cs="Times New Roman"/>
        </w:rPr>
        <w:t xml:space="preserve">Schedule 1 varies </w:t>
      </w:r>
      <w:r>
        <w:rPr>
          <w:rFonts w:ascii="Times New Roman" w:hAnsi="Times New Roman" w:cs="Times New Roman"/>
        </w:rPr>
        <w:t xml:space="preserve">the </w:t>
      </w:r>
      <w:r w:rsidR="00FC40D1" w:rsidRPr="00FC40D1">
        <w:rPr>
          <w:rFonts w:ascii="Times New Roman" w:hAnsi="Times New Roman" w:cs="Times New Roman"/>
          <w:i/>
        </w:rPr>
        <w:t xml:space="preserve">Radiocommunications (Unacceptable Levels of Interference – </w:t>
      </w:r>
      <w:r w:rsidR="00753A21">
        <w:rPr>
          <w:rFonts w:ascii="Times New Roman" w:hAnsi="Times New Roman" w:cs="Times New Roman"/>
          <w:i/>
        </w:rPr>
        <w:t>1800 M</w:t>
      </w:r>
      <w:r w:rsidR="00FC40D1" w:rsidRPr="00FC40D1">
        <w:rPr>
          <w:rFonts w:ascii="Times New Roman" w:hAnsi="Times New Roman" w:cs="Times New Roman"/>
          <w:i/>
        </w:rPr>
        <w:t xml:space="preserve">Hz Band) Determination </w:t>
      </w:r>
      <w:r w:rsidR="00753A21">
        <w:rPr>
          <w:rFonts w:ascii="Times New Roman" w:hAnsi="Times New Roman" w:cs="Times New Roman"/>
          <w:i/>
        </w:rPr>
        <w:t>20</w:t>
      </w:r>
      <w:r w:rsidR="00795F46">
        <w:rPr>
          <w:rFonts w:ascii="Times New Roman" w:hAnsi="Times New Roman" w:cs="Times New Roman"/>
          <w:i/>
        </w:rPr>
        <w:t>23</w:t>
      </w:r>
      <w:r>
        <w:rPr>
          <w:rFonts w:ascii="Times New Roman" w:hAnsi="Times New Roman" w:cs="Times New Roman"/>
        </w:rPr>
        <w:t>.</w:t>
      </w:r>
    </w:p>
    <w:p w14:paraId="2222481B" w14:textId="0668263E" w:rsidR="004C58B9" w:rsidRDefault="006B6B34" w:rsidP="004C58B9">
      <w:pPr>
        <w:rPr>
          <w:rFonts w:ascii="Times New Roman" w:hAnsi="Times New Roman" w:cs="Times New Roman"/>
          <w:b/>
        </w:rPr>
      </w:pPr>
      <w:r>
        <w:rPr>
          <w:rFonts w:ascii="Times New Roman" w:hAnsi="Times New Roman" w:cs="Times New Roman"/>
          <w:b/>
        </w:rPr>
        <w:t>Schedule 1</w:t>
      </w:r>
      <w:r w:rsidR="00FA20B5">
        <w:rPr>
          <w:rFonts w:ascii="Times New Roman" w:hAnsi="Times New Roman" w:cs="Times New Roman"/>
          <w:b/>
        </w:rPr>
        <w:t>–</w:t>
      </w:r>
      <w:r>
        <w:rPr>
          <w:rFonts w:ascii="Times New Roman" w:hAnsi="Times New Roman" w:cs="Times New Roman"/>
          <w:b/>
        </w:rPr>
        <w:t>Amendments</w:t>
      </w:r>
    </w:p>
    <w:p w14:paraId="20763062" w14:textId="7CB4409B" w:rsidR="006B6B34" w:rsidRPr="00FF7282" w:rsidRDefault="006B6B34" w:rsidP="006B6B34">
      <w:pPr>
        <w:spacing w:after="120"/>
        <w:jc w:val="both"/>
        <w:rPr>
          <w:rFonts w:ascii="Times New Roman" w:hAnsi="Times New Roman" w:cs="Times New Roman"/>
          <w:b/>
        </w:rPr>
      </w:pPr>
      <w:r w:rsidRPr="00FF7282">
        <w:rPr>
          <w:rFonts w:ascii="Times New Roman" w:hAnsi="Times New Roman" w:cs="Times New Roman"/>
          <w:b/>
        </w:rPr>
        <w:t>Item 1</w:t>
      </w:r>
    </w:p>
    <w:p w14:paraId="3BC39389" w14:textId="60BC5F79" w:rsidR="00C11257" w:rsidRPr="00191DD4" w:rsidRDefault="000D1264" w:rsidP="00191DD4">
      <w:pPr>
        <w:spacing w:after="120"/>
        <w:jc w:val="both"/>
        <w:rPr>
          <w:rFonts w:ascii="Times New Roman" w:hAnsi="Times New Roman" w:cs="Times New Roman"/>
        </w:rPr>
      </w:pPr>
      <w:r>
        <w:rPr>
          <w:rFonts w:ascii="Times New Roman" w:hAnsi="Times New Roman" w:cs="Times New Roman"/>
        </w:rPr>
        <w:t>The</w:t>
      </w:r>
      <w:r w:rsidR="00450529">
        <w:rPr>
          <w:rFonts w:ascii="Times New Roman" w:hAnsi="Times New Roman" w:cs="Times New Roman"/>
        </w:rPr>
        <w:t xml:space="preserve"> definition of </w:t>
      </w:r>
      <w:r w:rsidR="00450529" w:rsidRPr="005A2C08">
        <w:rPr>
          <w:rFonts w:ascii="Times New Roman" w:hAnsi="Times New Roman" w:cs="Times New Roman"/>
          <w:b/>
          <w:bCs/>
          <w:i/>
          <w:iCs/>
        </w:rPr>
        <w:t>RP</w:t>
      </w:r>
      <w:r w:rsidR="00450529">
        <w:rPr>
          <w:rFonts w:ascii="Times New Roman" w:hAnsi="Times New Roman" w:cs="Times New Roman"/>
        </w:rPr>
        <w:t xml:space="preserve"> </w:t>
      </w:r>
      <w:r>
        <w:rPr>
          <w:rFonts w:ascii="Times New Roman" w:hAnsi="Times New Roman" w:cs="Times New Roman"/>
        </w:rPr>
        <w:t xml:space="preserve">in the formula </w:t>
      </w:r>
      <w:r w:rsidR="00E77628">
        <w:rPr>
          <w:rFonts w:ascii="Times New Roman" w:hAnsi="Times New Roman" w:cs="Times New Roman"/>
        </w:rPr>
        <w:t xml:space="preserve">for the device boundary criterion </w:t>
      </w:r>
      <w:r w:rsidR="00450529">
        <w:rPr>
          <w:rFonts w:ascii="Times New Roman" w:hAnsi="Times New Roman" w:cs="Times New Roman"/>
        </w:rPr>
        <w:t xml:space="preserve">(excluding notes) has been repealed and replaced. The new definition </w:t>
      </w:r>
      <w:r w:rsidR="00B028B5">
        <w:rPr>
          <w:rFonts w:ascii="Times New Roman" w:hAnsi="Times New Roman" w:cs="Times New Roman"/>
        </w:rPr>
        <w:t xml:space="preserve">amends </w:t>
      </w:r>
      <w:r w:rsidR="00450529">
        <w:rPr>
          <w:rFonts w:ascii="Times New Roman" w:hAnsi="Times New Roman" w:cs="Times New Roman"/>
        </w:rPr>
        <w:t>the refe</w:t>
      </w:r>
      <w:r w:rsidR="00905040">
        <w:rPr>
          <w:rFonts w:ascii="Times New Roman" w:hAnsi="Times New Roman" w:cs="Times New Roman"/>
        </w:rPr>
        <w:t>re</w:t>
      </w:r>
      <w:r w:rsidR="00450529">
        <w:rPr>
          <w:rFonts w:ascii="Times New Roman" w:hAnsi="Times New Roman" w:cs="Times New Roman"/>
        </w:rPr>
        <w:t>nce bandwidth to the correct value of 30</w:t>
      </w:r>
      <w:r w:rsidR="00220DEC">
        <w:rPr>
          <w:rFonts w:ascii="Times New Roman" w:hAnsi="Times New Roman" w:cs="Times New Roman"/>
        </w:rPr>
        <w:t> </w:t>
      </w:r>
      <w:r w:rsidR="00450529">
        <w:rPr>
          <w:rFonts w:ascii="Times New Roman" w:hAnsi="Times New Roman" w:cs="Times New Roman"/>
        </w:rPr>
        <w:t>kHz.</w:t>
      </w:r>
      <w:r w:rsidR="00904568">
        <w:rPr>
          <w:rFonts w:ascii="Times New Roman" w:hAnsi="Times New Roman" w:cs="Times New Roman"/>
        </w:rPr>
        <w:t xml:space="preserve">  </w:t>
      </w:r>
      <w:r w:rsidR="00C11257" w:rsidRPr="00890AE1">
        <w:rPr>
          <w:rFonts w:ascii="Times New Roman" w:hAnsi="Times New Roman" w:cs="Times New Roman"/>
        </w:rPr>
        <w:t xml:space="preserve"> </w:t>
      </w:r>
    </w:p>
    <w:p w14:paraId="0555BE9D" w14:textId="2420D161" w:rsidR="000A6E19" w:rsidRPr="00890AE1" w:rsidRDefault="000A6E19" w:rsidP="000A6E19">
      <w:pPr>
        <w:spacing w:after="120"/>
        <w:jc w:val="both"/>
        <w:rPr>
          <w:rFonts w:ascii="Times New Roman" w:hAnsi="Times New Roman" w:cs="Times New Roman"/>
          <w:b/>
        </w:rPr>
      </w:pPr>
      <w:r w:rsidRPr="00890AE1">
        <w:rPr>
          <w:rFonts w:ascii="Times New Roman" w:hAnsi="Times New Roman" w:cs="Times New Roman"/>
          <w:b/>
        </w:rPr>
        <w:t xml:space="preserve">Item </w:t>
      </w:r>
      <w:r w:rsidR="00904568">
        <w:rPr>
          <w:rFonts w:ascii="Times New Roman" w:hAnsi="Times New Roman" w:cs="Times New Roman"/>
          <w:b/>
        </w:rPr>
        <w:t>2</w:t>
      </w:r>
      <w:r w:rsidRPr="00890AE1">
        <w:rPr>
          <w:rFonts w:ascii="Times New Roman" w:hAnsi="Times New Roman" w:cs="Times New Roman"/>
          <w:b/>
        </w:rPr>
        <w:t xml:space="preserve"> </w:t>
      </w:r>
    </w:p>
    <w:p w14:paraId="5485DCF2" w14:textId="574EC70D" w:rsidR="00A03421" w:rsidRPr="00191DD4" w:rsidRDefault="00E77628" w:rsidP="000A6E19">
      <w:pPr>
        <w:rPr>
          <w:rFonts w:ascii="Times New Roman" w:hAnsi="Times New Roman" w:cs="Times New Roman"/>
          <w:bCs/>
        </w:rPr>
      </w:pPr>
      <w:r>
        <w:rPr>
          <w:rFonts w:ascii="Times New Roman" w:hAnsi="Times New Roman" w:cs="Times New Roman"/>
        </w:rPr>
        <w:t>T</w:t>
      </w:r>
      <w:r w:rsidR="00450529">
        <w:rPr>
          <w:rFonts w:ascii="Times New Roman" w:hAnsi="Times New Roman" w:cs="Times New Roman"/>
          <w:bCs/>
        </w:rPr>
        <w:t xml:space="preserve">he equation for </w:t>
      </w:r>
      <w:r w:rsidR="00B028B5">
        <w:rPr>
          <w:rFonts w:ascii="Times New Roman" w:hAnsi="Times New Roman" w:cs="Times New Roman"/>
          <w:bCs/>
        </w:rPr>
        <w:t>the calculation of</w:t>
      </w:r>
      <w:r w:rsidR="00450529">
        <w:rPr>
          <w:rFonts w:ascii="Times New Roman" w:hAnsi="Times New Roman" w:cs="Times New Roman"/>
          <w:bCs/>
        </w:rPr>
        <w:t xml:space="preserve"> </w:t>
      </w:r>
      <w:r>
        <w:rPr>
          <w:rFonts w:ascii="Times New Roman" w:hAnsi="Times New Roman" w:cs="Times New Roman"/>
          <w:bCs/>
        </w:rPr>
        <w:t xml:space="preserve">propagation </w:t>
      </w:r>
      <w:r w:rsidR="00450529">
        <w:rPr>
          <w:rFonts w:ascii="Times New Roman" w:hAnsi="Times New Roman" w:cs="Times New Roman"/>
          <w:bCs/>
        </w:rPr>
        <w:t xml:space="preserve">loss omits </w:t>
      </w:r>
      <w:r>
        <w:rPr>
          <w:rFonts w:ascii="Times New Roman" w:hAnsi="Times New Roman" w:cs="Times New Roman"/>
          <w:bCs/>
        </w:rPr>
        <w:t>two elements that were incorrectly included.</w:t>
      </w:r>
      <w:r w:rsidR="000A6E19" w:rsidRPr="00890AE1">
        <w:rPr>
          <w:rFonts w:ascii="Times New Roman" w:hAnsi="Times New Roman" w:cs="Times New Roman"/>
          <w:bCs/>
        </w:rPr>
        <w:t xml:space="preserve"> </w:t>
      </w:r>
    </w:p>
    <w:p w14:paraId="458AF617" w14:textId="69867D1B" w:rsidR="00025ACE" w:rsidRPr="004C58B9" w:rsidRDefault="00025ACE" w:rsidP="00795F46">
      <w:pPr>
        <w:spacing w:after="120"/>
        <w:jc w:val="both"/>
      </w:pPr>
    </w:p>
    <w:sectPr w:rsidR="00025ACE" w:rsidRPr="004C58B9" w:rsidSect="00082354">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97AF" w14:textId="77777777" w:rsidR="00234B0B" w:rsidRDefault="00234B0B" w:rsidP="00025ACE">
      <w:pPr>
        <w:spacing w:after="0" w:line="240" w:lineRule="auto"/>
      </w:pPr>
      <w:r>
        <w:separator/>
      </w:r>
    </w:p>
  </w:endnote>
  <w:endnote w:type="continuationSeparator" w:id="0">
    <w:p w14:paraId="2D2579F5" w14:textId="77777777" w:rsidR="00234B0B" w:rsidRDefault="00234B0B" w:rsidP="00025ACE">
      <w:pPr>
        <w:spacing w:after="0" w:line="240" w:lineRule="auto"/>
      </w:pPr>
      <w:r>
        <w:continuationSeparator/>
      </w:r>
    </w:p>
  </w:endnote>
  <w:endnote w:type="continuationNotice" w:id="1">
    <w:p w14:paraId="3BD97AEF" w14:textId="77777777" w:rsidR="00234B0B" w:rsidRDefault="00234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rPr>
    </w:sdtEndPr>
    <w:sdtContent>
      <w:p w14:paraId="1E27C0A2" w14:textId="77777777" w:rsidR="004D2EF3" w:rsidRDefault="004D2EF3" w:rsidP="00AD3414">
        <w:pPr>
          <w:pStyle w:val="Footer"/>
          <w:pBdr>
            <w:top w:val="single" w:sz="4" w:space="1" w:color="auto"/>
          </w:pBdr>
          <w:jc w:val="center"/>
        </w:pPr>
      </w:p>
      <w:p w14:paraId="7A9CDA51" w14:textId="3B2539D5" w:rsidR="004D2EF3" w:rsidRPr="00AD3414" w:rsidRDefault="004D2EF3"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3D3609" w:rsidRPr="00054DC0">
          <w:rPr>
            <w:rFonts w:ascii="Times New Roman" w:hAnsi="Times New Roman" w:cs="Times New Roman"/>
            <w:i/>
          </w:rPr>
          <w:t xml:space="preserve">Radiocommunications </w:t>
        </w:r>
        <w:r w:rsidR="003D3609" w:rsidRPr="00601347">
          <w:rPr>
            <w:rFonts w:ascii="Times New Roman" w:hAnsi="Times New Roman" w:cs="Times New Roman"/>
            <w:i/>
          </w:rPr>
          <w:t xml:space="preserve">(Unacceptable Levels of Interference – </w:t>
        </w:r>
        <w:r w:rsidR="00694A34">
          <w:rPr>
            <w:rFonts w:ascii="Times New Roman" w:hAnsi="Times New Roman" w:cs="Times New Roman"/>
            <w:i/>
          </w:rPr>
          <w:t>1800</w:t>
        </w:r>
        <w:r w:rsidR="003D3609" w:rsidRPr="00601347">
          <w:rPr>
            <w:rFonts w:ascii="Times New Roman" w:hAnsi="Times New Roman" w:cs="Times New Roman"/>
            <w:i/>
          </w:rPr>
          <w:t xml:space="preserve"> </w:t>
        </w:r>
        <w:r w:rsidR="00694A34">
          <w:rPr>
            <w:rFonts w:ascii="Times New Roman" w:hAnsi="Times New Roman" w:cs="Times New Roman"/>
            <w:i/>
          </w:rPr>
          <w:t>M</w:t>
        </w:r>
        <w:r w:rsidR="003D3609" w:rsidRPr="00601347">
          <w:rPr>
            <w:rFonts w:ascii="Times New Roman" w:hAnsi="Times New Roman" w:cs="Times New Roman"/>
            <w:i/>
          </w:rPr>
          <w:t xml:space="preserve">Hz Band) Determination </w:t>
        </w:r>
        <w:r w:rsidR="00450529">
          <w:rPr>
            <w:rFonts w:ascii="Times New Roman" w:hAnsi="Times New Roman" w:cs="Times New Roman"/>
            <w:i/>
          </w:rPr>
          <w:t xml:space="preserve">Variation </w:t>
        </w:r>
        <w:r w:rsidR="003D3609" w:rsidRPr="00601347">
          <w:rPr>
            <w:rFonts w:ascii="Times New Roman" w:hAnsi="Times New Roman" w:cs="Times New Roman"/>
            <w:i/>
          </w:rPr>
          <w:t>202</w:t>
        </w:r>
        <w:r w:rsidR="00450529">
          <w:rPr>
            <w:rFonts w:ascii="Times New Roman" w:hAnsi="Times New Roman" w:cs="Times New Roman"/>
            <w:i/>
          </w:rPr>
          <w:t>4</w:t>
        </w:r>
        <w:r w:rsidR="003D3609" w:rsidRPr="00601347">
          <w:rPr>
            <w:rFonts w:ascii="Times New Roman" w:hAnsi="Times New Roman" w:cs="Times New Roman"/>
            <w:i/>
          </w:rPr>
          <w:t xml:space="preserve"> (No. 1)</w:t>
        </w:r>
        <w:r w:rsidR="003D3609" w:rsidRPr="00AD3414" w:rsidDel="003D3609">
          <w:rPr>
            <w:rFonts w:ascii="Times New Roman" w:hAnsi="Times New Roman" w:cs="Times New Roman"/>
            <w:i/>
          </w:rPr>
          <w:t xml:space="preserve"> </w:t>
        </w:r>
      </w:p>
      <w:p w14:paraId="556B0C98" w14:textId="77777777" w:rsidR="004D2EF3" w:rsidRDefault="004D2EF3">
        <w:pPr>
          <w:pStyle w:val="Footer"/>
          <w:jc w:val="right"/>
        </w:pPr>
      </w:p>
      <w:p w14:paraId="4E36910F" w14:textId="06CF02C2" w:rsidR="004D2EF3" w:rsidRPr="005A2C08" w:rsidRDefault="004D2EF3">
        <w:pPr>
          <w:pStyle w:val="Footer"/>
          <w:jc w:val="right"/>
          <w:rPr>
            <w:iCs/>
          </w:rPr>
        </w:pPr>
        <w:r w:rsidRPr="005A2C08">
          <w:rPr>
            <w:rFonts w:ascii="Times New Roman" w:hAnsi="Times New Roman" w:cs="Times New Roman"/>
            <w:iCs/>
          </w:rPr>
          <w:fldChar w:fldCharType="begin"/>
        </w:r>
        <w:r w:rsidRPr="005A2C08">
          <w:rPr>
            <w:rFonts w:ascii="Times New Roman" w:hAnsi="Times New Roman" w:cs="Times New Roman"/>
            <w:iCs/>
          </w:rPr>
          <w:instrText xml:space="preserve"> PAGE   \* MERGEFORMAT </w:instrText>
        </w:r>
        <w:r w:rsidRPr="005A2C08">
          <w:rPr>
            <w:rFonts w:ascii="Times New Roman" w:hAnsi="Times New Roman" w:cs="Times New Roman"/>
            <w:iCs/>
          </w:rPr>
          <w:fldChar w:fldCharType="separate"/>
        </w:r>
        <w:r w:rsidRPr="005A2C08">
          <w:rPr>
            <w:rFonts w:ascii="Times New Roman" w:hAnsi="Times New Roman" w:cs="Times New Roman"/>
            <w:iCs/>
            <w:noProof/>
          </w:rPr>
          <w:t>6</w:t>
        </w:r>
        <w:r w:rsidRPr="005A2C08">
          <w:rPr>
            <w:rFonts w:ascii="Times New Roman" w:hAnsi="Times New Roman" w:cs="Times New Roman"/>
            <w:iCs/>
            <w:noProof/>
          </w:rPr>
          <w:fldChar w:fldCharType="end"/>
        </w:r>
      </w:p>
    </w:sdtContent>
  </w:sdt>
  <w:p w14:paraId="180626A1" w14:textId="72B67B1A" w:rsidR="004D2EF3" w:rsidRPr="00AD3414" w:rsidRDefault="004D2EF3"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2784" w14:textId="77777777" w:rsidR="00234B0B" w:rsidRDefault="00234B0B" w:rsidP="00025ACE">
      <w:pPr>
        <w:spacing w:after="0" w:line="240" w:lineRule="auto"/>
      </w:pPr>
      <w:r>
        <w:separator/>
      </w:r>
    </w:p>
  </w:footnote>
  <w:footnote w:type="continuationSeparator" w:id="0">
    <w:p w14:paraId="17E79CBA" w14:textId="77777777" w:rsidR="00234B0B" w:rsidRDefault="00234B0B" w:rsidP="00025ACE">
      <w:pPr>
        <w:spacing w:after="0" w:line="240" w:lineRule="auto"/>
      </w:pPr>
      <w:r>
        <w:continuationSeparator/>
      </w:r>
    </w:p>
  </w:footnote>
  <w:footnote w:type="continuationNotice" w:id="1">
    <w:p w14:paraId="27752C15" w14:textId="77777777" w:rsidR="00234B0B" w:rsidRDefault="00234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4D2EF3" w:rsidRDefault="004D2EF3">
    <w:pPr>
      <w:pStyle w:val="Header"/>
    </w:pPr>
  </w:p>
  <w:p w14:paraId="1FE48E17" w14:textId="77777777" w:rsidR="004D2EF3" w:rsidRPr="00AD3414" w:rsidRDefault="004D2EF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C83468"/>
    <w:lvl w:ilvl="0">
      <w:start w:val="1"/>
      <w:numFmt w:val="bullet"/>
      <w:pStyle w:val="ListBullet"/>
      <w:lvlText w:val="&gt;"/>
      <w:lvlJc w:val="left"/>
      <w:pPr>
        <w:tabs>
          <w:tab w:val="num" w:pos="295"/>
        </w:tabs>
        <w:ind w:left="295" w:hanging="295"/>
      </w:pPr>
      <w:rPr>
        <w:rFonts w:ascii="HelveticaNeueLT Std Lt" w:hAnsi="HelveticaNeueLT Std Lt" w:hint="default"/>
        <w:color w:val="auto"/>
        <w:sz w:val="20"/>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1B5219"/>
    <w:multiLevelType w:val="hybridMultilevel"/>
    <w:tmpl w:val="BE3C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22DBB"/>
    <w:multiLevelType w:val="hybridMultilevel"/>
    <w:tmpl w:val="1D44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8851D0"/>
    <w:multiLevelType w:val="hybridMultilevel"/>
    <w:tmpl w:val="AF0A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1377B"/>
    <w:multiLevelType w:val="hybridMultilevel"/>
    <w:tmpl w:val="6E123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AC71C9"/>
    <w:multiLevelType w:val="hybridMultilevel"/>
    <w:tmpl w:val="3074350C"/>
    <w:lvl w:ilvl="0" w:tplc="59384D3A">
      <w:numFmt w:val="bullet"/>
      <w:lvlText w:val=""/>
      <w:lvlJc w:val="left"/>
      <w:pPr>
        <w:ind w:left="1080" w:hanging="72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F96B0A"/>
    <w:multiLevelType w:val="hybridMultilevel"/>
    <w:tmpl w:val="59CEB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E6CA1"/>
    <w:multiLevelType w:val="hybridMultilevel"/>
    <w:tmpl w:val="4EE40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765FCA"/>
    <w:multiLevelType w:val="hybridMultilevel"/>
    <w:tmpl w:val="2A1E0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3C0688"/>
    <w:multiLevelType w:val="hybridMultilevel"/>
    <w:tmpl w:val="67B4C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D250B1"/>
    <w:multiLevelType w:val="hybridMultilevel"/>
    <w:tmpl w:val="D4C05BB6"/>
    <w:lvl w:ilvl="0" w:tplc="44D6412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DA564C"/>
    <w:multiLevelType w:val="hybridMultilevel"/>
    <w:tmpl w:val="95AA30E8"/>
    <w:lvl w:ilvl="0" w:tplc="FDCAFA9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190362">
    <w:abstractNumId w:val="14"/>
  </w:num>
  <w:num w:numId="2" w16cid:durableId="1457990718">
    <w:abstractNumId w:val="11"/>
  </w:num>
  <w:num w:numId="3" w16cid:durableId="2067029709">
    <w:abstractNumId w:val="2"/>
  </w:num>
  <w:num w:numId="4" w16cid:durableId="461657401">
    <w:abstractNumId w:val="9"/>
  </w:num>
  <w:num w:numId="5" w16cid:durableId="905191080">
    <w:abstractNumId w:val="8"/>
  </w:num>
  <w:num w:numId="6" w16cid:durableId="282855994">
    <w:abstractNumId w:val="1"/>
  </w:num>
  <w:num w:numId="7" w16cid:durableId="211117447">
    <w:abstractNumId w:val="6"/>
  </w:num>
  <w:num w:numId="8" w16cid:durableId="937375650">
    <w:abstractNumId w:val="14"/>
  </w:num>
  <w:num w:numId="9" w16cid:durableId="939336904">
    <w:abstractNumId w:val="2"/>
  </w:num>
  <w:num w:numId="10" w16cid:durableId="1660575339">
    <w:abstractNumId w:val="6"/>
  </w:num>
  <w:num w:numId="11" w16cid:durableId="496385630">
    <w:abstractNumId w:val="9"/>
  </w:num>
  <w:num w:numId="12" w16cid:durableId="186331886">
    <w:abstractNumId w:val="8"/>
  </w:num>
  <w:num w:numId="13" w16cid:durableId="1640570668">
    <w:abstractNumId w:val="14"/>
  </w:num>
  <w:num w:numId="14" w16cid:durableId="1729763053">
    <w:abstractNumId w:val="2"/>
  </w:num>
  <w:num w:numId="15" w16cid:durableId="283006894">
    <w:abstractNumId w:val="6"/>
  </w:num>
  <w:num w:numId="16" w16cid:durableId="854736089">
    <w:abstractNumId w:val="9"/>
  </w:num>
  <w:num w:numId="17" w16cid:durableId="1568492167">
    <w:abstractNumId w:val="8"/>
  </w:num>
  <w:num w:numId="18" w16cid:durableId="1134056705">
    <w:abstractNumId w:val="3"/>
  </w:num>
  <w:num w:numId="19" w16cid:durableId="1269971686">
    <w:abstractNumId w:val="10"/>
  </w:num>
  <w:num w:numId="20" w16cid:durableId="1224291563">
    <w:abstractNumId w:val="18"/>
  </w:num>
  <w:num w:numId="21" w16cid:durableId="93983630">
    <w:abstractNumId w:val="12"/>
  </w:num>
  <w:num w:numId="22" w16cid:durableId="1641417457">
    <w:abstractNumId w:val="15"/>
  </w:num>
  <w:num w:numId="23" w16cid:durableId="1056468329">
    <w:abstractNumId w:val="7"/>
  </w:num>
  <w:num w:numId="24" w16cid:durableId="900361891">
    <w:abstractNumId w:val="5"/>
  </w:num>
  <w:num w:numId="25" w16cid:durableId="1263496555">
    <w:abstractNumId w:val="0"/>
  </w:num>
  <w:num w:numId="26" w16cid:durableId="675227657">
    <w:abstractNumId w:val="16"/>
  </w:num>
  <w:num w:numId="27" w16cid:durableId="280889345">
    <w:abstractNumId w:val="4"/>
  </w:num>
  <w:num w:numId="28" w16cid:durableId="1396313840">
    <w:abstractNumId w:val="13"/>
  </w:num>
  <w:num w:numId="29" w16cid:durableId="61488231">
    <w:abstractNumId w:val="19"/>
  </w:num>
  <w:num w:numId="30" w16cid:durableId="1638098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17CA5"/>
    <w:rsid w:val="00025ACE"/>
    <w:rsid w:val="00037F0E"/>
    <w:rsid w:val="00054DC0"/>
    <w:rsid w:val="00067290"/>
    <w:rsid w:val="00070D91"/>
    <w:rsid w:val="000726C7"/>
    <w:rsid w:val="00074A8D"/>
    <w:rsid w:val="00082354"/>
    <w:rsid w:val="00090F80"/>
    <w:rsid w:val="0009372B"/>
    <w:rsid w:val="00095AB3"/>
    <w:rsid w:val="000A0B15"/>
    <w:rsid w:val="000A3A94"/>
    <w:rsid w:val="000A6E19"/>
    <w:rsid w:val="000B0200"/>
    <w:rsid w:val="000B09FC"/>
    <w:rsid w:val="000B0BA7"/>
    <w:rsid w:val="000B0FE0"/>
    <w:rsid w:val="000B33B6"/>
    <w:rsid w:val="000B4B6C"/>
    <w:rsid w:val="000C109C"/>
    <w:rsid w:val="000C6436"/>
    <w:rsid w:val="000C74C0"/>
    <w:rsid w:val="000D1264"/>
    <w:rsid w:val="000D4ECE"/>
    <w:rsid w:val="000E1CC0"/>
    <w:rsid w:val="000E38C9"/>
    <w:rsid w:val="000E6F58"/>
    <w:rsid w:val="000F6255"/>
    <w:rsid w:val="000F7C8B"/>
    <w:rsid w:val="00104130"/>
    <w:rsid w:val="00104CBB"/>
    <w:rsid w:val="00106C22"/>
    <w:rsid w:val="00107023"/>
    <w:rsid w:val="00112987"/>
    <w:rsid w:val="00114830"/>
    <w:rsid w:val="00116C9A"/>
    <w:rsid w:val="00117351"/>
    <w:rsid w:val="001207BF"/>
    <w:rsid w:val="00121B9E"/>
    <w:rsid w:val="00122072"/>
    <w:rsid w:val="00123144"/>
    <w:rsid w:val="00134705"/>
    <w:rsid w:val="00146A0C"/>
    <w:rsid w:val="0015136F"/>
    <w:rsid w:val="00161C73"/>
    <w:rsid w:val="00164B56"/>
    <w:rsid w:val="00176AE0"/>
    <w:rsid w:val="00183107"/>
    <w:rsid w:val="00184DB0"/>
    <w:rsid w:val="00185BDC"/>
    <w:rsid w:val="00191DD4"/>
    <w:rsid w:val="001A2B2E"/>
    <w:rsid w:val="001A55C2"/>
    <w:rsid w:val="001B34D7"/>
    <w:rsid w:val="001C188A"/>
    <w:rsid w:val="001C4BF8"/>
    <w:rsid w:val="001C4C52"/>
    <w:rsid w:val="001C5421"/>
    <w:rsid w:val="001C7BD4"/>
    <w:rsid w:val="001D5C25"/>
    <w:rsid w:val="001E343E"/>
    <w:rsid w:val="001E49F4"/>
    <w:rsid w:val="001F0E5E"/>
    <w:rsid w:val="00211BE3"/>
    <w:rsid w:val="00212847"/>
    <w:rsid w:val="00220DEC"/>
    <w:rsid w:val="00227E00"/>
    <w:rsid w:val="00234B0B"/>
    <w:rsid w:val="00235112"/>
    <w:rsid w:val="00244026"/>
    <w:rsid w:val="00247AF0"/>
    <w:rsid w:val="002508F7"/>
    <w:rsid w:val="002537B7"/>
    <w:rsid w:val="00254001"/>
    <w:rsid w:val="00264DB4"/>
    <w:rsid w:val="002674E7"/>
    <w:rsid w:val="00271DA0"/>
    <w:rsid w:val="00276D81"/>
    <w:rsid w:val="00277483"/>
    <w:rsid w:val="0028603C"/>
    <w:rsid w:val="00292B5C"/>
    <w:rsid w:val="00293F83"/>
    <w:rsid w:val="002A2375"/>
    <w:rsid w:val="002A2F18"/>
    <w:rsid w:val="002B6699"/>
    <w:rsid w:val="002C2256"/>
    <w:rsid w:val="002C48E4"/>
    <w:rsid w:val="002E3B2A"/>
    <w:rsid w:val="002F36E0"/>
    <w:rsid w:val="003047D8"/>
    <w:rsid w:val="00317013"/>
    <w:rsid w:val="00323273"/>
    <w:rsid w:val="00337C5A"/>
    <w:rsid w:val="00342462"/>
    <w:rsid w:val="003434D4"/>
    <w:rsid w:val="0036752E"/>
    <w:rsid w:val="00370620"/>
    <w:rsid w:val="00375FA7"/>
    <w:rsid w:val="003807F7"/>
    <w:rsid w:val="00385EF1"/>
    <w:rsid w:val="00390D01"/>
    <w:rsid w:val="003A3635"/>
    <w:rsid w:val="003A7407"/>
    <w:rsid w:val="003A7CFB"/>
    <w:rsid w:val="003B2C05"/>
    <w:rsid w:val="003B3D92"/>
    <w:rsid w:val="003B6808"/>
    <w:rsid w:val="003C2F82"/>
    <w:rsid w:val="003C44B4"/>
    <w:rsid w:val="003D3609"/>
    <w:rsid w:val="003D40C5"/>
    <w:rsid w:val="003D74BE"/>
    <w:rsid w:val="003E4A85"/>
    <w:rsid w:val="003F0D31"/>
    <w:rsid w:val="0040018F"/>
    <w:rsid w:val="0041003E"/>
    <w:rsid w:val="00410A37"/>
    <w:rsid w:val="004344E9"/>
    <w:rsid w:val="00434B9E"/>
    <w:rsid w:val="004362E3"/>
    <w:rsid w:val="00436D24"/>
    <w:rsid w:val="00446CB7"/>
    <w:rsid w:val="00450529"/>
    <w:rsid w:val="00450F48"/>
    <w:rsid w:val="0045247B"/>
    <w:rsid w:val="0045489F"/>
    <w:rsid w:val="004661DA"/>
    <w:rsid w:val="00474889"/>
    <w:rsid w:val="004826DD"/>
    <w:rsid w:val="004971D6"/>
    <w:rsid w:val="004A1064"/>
    <w:rsid w:val="004B64FD"/>
    <w:rsid w:val="004C58B9"/>
    <w:rsid w:val="004D2843"/>
    <w:rsid w:val="004D2EF3"/>
    <w:rsid w:val="004D77C6"/>
    <w:rsid w:val="004E790E"/>
    <w:rsid w:val="00501838"/>
    <w:rsid w:val="00501FC3"/>
    <w:rsid w:val="0050389F"/>
    <w:rsid w:val="00513351"/>
    <w:rsid w:val="00524F03"/>
    <w:rsid w:val="0052687A"/>
    <w:rsid w:val="00532912"/>
    <w:rsid w:val="0056606A"/>
    <w:rsid w:val="00570974"/>
    <w:rsid w:val="00591089"/>
    <w:rsid w:val="005958D6"/>
    <w:rsid w:val="005964CF"/>
    <w:rsid w:val="005A1CCA"/>
    <w:rsid w:val="005A2C08"/>
    <w:rsid w:val="005A4306"/>
    <w:rsid w:val="005B763D"/>
    <w:rsid w:val="005C467F"/>
    <w:rsid w:val="005C65EB"/>
    <w:rsid w:val="005D0C3E"/>
    <w:rsid w:val="005D14DD"/>
    <w:rsid w:val="005D4536"/>
    <w:rsid w:val="005D77D6"/>
    <w:rsid w:val="005F1D67"/>
    <w:rsid w:val="005F5756"/>
    <w:rsid w:val="005F5BE6"/>
    <w:rsid w:val="00600CE1"/>
    <w:rsid w:val="00601347"/>
    <w:rsid w:val="00603B3F"/>
    <w:rsid w:val="00610F56"/>
    <w:rsid w:val="00613A45"/>
    <w:rsid w:val="00613EE2"/>
    <w:rsid w:val="0063141D"/>
    <w:rsid w:val="00635816"/>
    <w:rsid w:val="00641906"/>
    <w:rsid w:val="00662699"/>
    <w:rsid w:val="0066372D"/>
    <w:rsid w:val="00663AF2"/>
    <w:rsid w:val="00670716"/>
    <w:rsid w:val="00671216"/>
    <w:rsid w:val="00681986"/>
    <w:rsid w:val="00686F06"/>
    <w:rsid w:val="00687290"/>
    <w:rsid w:val="00691B18"/>
    <w:rsid w:val="006940DB"/>
    <w:rsid w:val="00694A34"/>
    <w:rsid w:val="00696659"/>
    <w:rsid w:val="00696F01"/>
    <w:rsid w:val="006A0070"/>
    <w:rsid w:val="006A0BDF"/>
    <w:rsid w:val="006A32A3"/>
    <w:rsid w:val="006A53BB"/>
    <w:rsid w:val="006B6B34"/>
    <w:rsid w:val="006C417A"/>
    <w:rsid w:val="006C59D5"/>
    <w:rsid w:val="006C7183"/>
    <w:rsid w:val="006C7F22"/>
    <w:rsid w:val="006E175C"/>
    <w:rsid w:val="006E290F"/>
    <w:rsid w:val="006F16AB"/>
    <w:rsid w:val="006F32BF"/>
    <w:rsid w:val="006F3430"/>
    <w:rsid w:val="00701D48"/>
    <w:rsid w:val="007044DA"/>
    <w:rsid w:val="00706F43"/>
    <w:rsid w:val="007070C4"/>
    <w:rsid w:val="00714273"/>
    <w:rsid w:val="007435E5"/>
    <w:rsid w:val="0074661C"/>
    <w:rsid w:val="00750397"/>
    <w:rsid w:val="0075163B"/>
    <w:rsid w:val="00753A21"/>
    <w:rsid w:val="00766475"/>
    <w:rsid w:val="0077364D"/>
    <w:rsid w:val="00794C5F"/>
    <w:rsid w:val="00795F46"/>
    <w:rsid w:val="007A0103"/>
    <w:rsid w:val="007A0903"/>
    <w:rsid w:val="007A2277"/>
    <w:rsid w:val="007B37EF"/>
    <w:rsid w:val="007B78F3"/>
    <w:rsid w:val="007F10B3"/>
    <w:rsid w:val="007F6CEE"/>
    <w:rsid w:val="008013E7"/>
    <w:rsid w:val="00805358"/>
    <w:rsid w:val="008070A8"/>
    <w:rsid w:val="00810499"/>
    <w:rsid w:val="0081166D"/>
    <w:rsid w:val="0081203C"/>
    <w:rsid w:val="00821F3F"/>
    <w:rsid w:val="00841D07"/>
    <w:rsid w:val="008441CF"/>
    <w:rsid w:val="0084470A"/>
    <w:rsid w:val="00871C44"/>
    <w:rsid w:val="0087359F"/>
    <w:rsid w:val="0087369C"/>
    <w:rsid w:val="0087707C"/>
    <w:rsid w:val="00881E66"/>
    <w:rsid w:val="00890AE1"/>
    <w:rsid w:val="00895D61"/>
    <w:rsid w:val="00897FA2"/>
    <w:rsid w:val="008A1FDF"/>
    <w:rsid w:val="008B2CDA"/>
    <w:rsid w:val="008B4336"/>
    <w:rsid w:val="008B4428"/>
    <w:rsid w:val="008C584E"/>
    <w:rsid w:val="008C6747"/>
    <w:rsid w:val="008C7EEF"/>
    <w:rsid w:val="008D1608"/>
    <w:rsid w:val="008E2AE8"/>
    <w:rsid w:val="008E3483"/>
    <w:rsid w:val="008F08DB"/>
    <w:rsid w:val="008F4C58"/>
    <w:rsid w:val="00904568"/>
    <w:rsid w:val="00905040"/>
    <w:rsid w:val="0090572C"/>
    <w:rsid w:val="00905C86"/>
    <w:rsid w:val="0091080B"/>
    <w:rsid w:val="00911B50"/>
    <w:rsid w:val="00914C38"/>
    <w:rsid w:val="00917EE3"/>
    <w:rsid w:val="00926833"/>
    <w:rsid w:val="00932C07"/>
    <w:rsid w:val="00954594"/>
    <w:rsid w:val="00962949"/>
    <w:rsid w:val="009670B7"/>
    <w:rsid w:val="00971F2C"/>
    <w:rsid w:val="009723D1"/>
    <w:rsid w:val="009732C1"/>
    <w:rsid w:val="00977705"/>
    <w:rsid w:val="00977E5A"/>
    <w:rsid w:val="0098282F"/>
    <w:rsid w:val="009C372E"/>
    <w:rsid w:val="009D0E00"/>
    <w:rsid w:val="009D5783"/>
    <w:rsid w:val="009D67A8"/>
    <w:rsid w:val="009E742C"/>
    <w:rsid w:val="009F7219"/>
    <w:rsid w:val="00A03421"/>
    <w:rsid w:val="00A07A2F"/>
    <w:rsid w:val="00A110A9"/>
    <w:rsid w:val="00A213A8"/>
    <w:rsid w:val="00A21F3E"/>
    <w:rsid w:val="00A34779"/>
    <w:rsid w:val="00A361A0"/>
    <w:rsid w:val="00A64EC4"/>
    <w:rsid w:val="00A7023B"/>
    <w:rsid w:val="00A74C89"/>
    <w:rsid w:val="00A86D7A"/>
    <w:rsid w:val="00A94F0D"/>
    <w:rsid w:val="00AA2E22"/>
    <w:rsid w:val="00AA6088"/>
    <w:rsid w:val="00AA7EAD"/>
    <w:rsid w:val="00AB01E2"/>
    <w:rsid w:val="00AB65E7"/>
    <w:rsid w:val="00AC159B"/>
    <w:rsid w:val="00AC72BA"/>
    <w:rsid w:val="00AD3414"/>
    <w:rsid w:val="00AD500F"/>
    <w:rsid w:val="00AE1370"/>
    <w:rsid w:val="00AE2CB4"/>
    <w:rsid w:val="00AE6898"/>
    <w:rsid w:val="00AF080D"/>
    <w:rsid w:val="00AF6545"/>
    <w:rsid w:val="00B00FC3"/>
    <w:rsid w:val="00B028B5"/>
    <w:rsid w:val="00B02BC0"/>
    <w:rsid w:val="00B1021F"/>
    <w:rsid w:val="00B14AC1"/>
    <w:rsid w:val="00B40D0D"/>
    <w:rsid w:val="00B52584"/>
    <w:rsid w:val="00B52F5E"/>
    <w:rsid w:val="00B665E6"/>
    <w:rsid w:val="00B727F3"/>
    <w:rsid w:val="00B8186D"/>
    <w:rsid w:val="00B83AFB"/>
    <w:rsid w:val="00B86079"/>
    <w:rsid w:val="00B90F17"/>
    <w:rsid w:val="00B938DA"/>
    <w:rsid w:val="00B94B30"/>
    <w:rsid w:val="00BA41D6"/>
    <w:rsid w:val="00BA5E4E"/>
    <w:rsid w:val="00BA7D17"/>
    <w:rsid w:val="00BB076E"/>
    <w:rsid w:val="00BB1CF2"/>
    <w:rsid w:val="00BB7A25"/>
    <w:rsid w:val="00BC0A3C"/>
    <w:rsid w:val="00BC0A50"/>
    <w:rsid w:val="00BC5916"/>
    <w:rsid w:val="00BC621F"/>
    <w:rsid w:val="00BD13CD"/>
    <w:rsid w:val="00BD49E0"/>
    <w:rsid w:val="00BF61BB"/>
    <w:rsid w:val="00C032F0"/>
    <w:rsid w:val="00C03503"/>
    <w:rsid w:val="00C036E7"/>
    <w:rsid w:val="00C06EC7"/>
    <w:rsid w:val="00C1004A"/>
    <w:rsid w:val="00C10E3A"/>
    <w:rsid w:val="00C11257"/>
    <w:rsid w:val="00C1216F"/>
    <w:rsid w:val="00C14388"/>
    <w:rsid w:val="00C14572"/>
    <w:rsid w:val="00C20621"/>
    <w:rsid w:val="00C21933"/>
    <w:rsid w:val="00C31318"/>
    <w:rsid w:val="00C40A88"/>
    <w:rsid w:val="00C44FAC"/>
    <w:rsid w:val="00C47DD2"/>
    <w:rsid w:val="00C50E1E"/>
    <w:rsid w:val="00C52681"/>
    <w:rsid w:val="00C57E29"/>
    <w:rsid w:val="00C63E8C"/>
    <w:rsid w:val="00C649D5"/>
    <w:rsid w:val="00C659A7"/>
    <w:rsid w:val="00C76FFC"/>
    <w:rsid w:val="00C9259F"/>
    <w:rsid w:val="00CA3398"/>
    <w:rsid w:val="00CA40FA"/>
    <w:rsid w:val="00CA5222"/>
    <w:rsid w:val="00CA6926"/>
    <w:rsid w:val="00CA735C"/>
    <w:rsid w:val="00CA79DC"/>
    <w:rsid w:val="00CB0267"/>
    <w:rsid w:val="00CB3AD5"/>
    <w:rsid w:val="00CD0D86"/>
    <w:rsid w:val="00CD71EB"/>
    <w:rsid w:val="00CE3CC8"/>
    <w:rsid w:val="00CE5861"/>
    <w:rsid w:val="00D02ABA"/>
    <w:rsid w:val="00D13D39"/>
    <w:rsid w:val="00D1414F"/>
    <w:rsid w:val="00D23BD5"/>
    <w:rsid w:val="00D2518B"/>
    <w:rsid w:val="00D32E4E"/>
    <w:rsid w:val="00D35790"/>
    <w:rsid w:val="00D5385A"/>
    <w:rsid w:val="00D57387"/>
    <w:rsid w:val="00D6131F"/>
    <w:rsid w:val="00D7526F"/>
    <w:rsid w:val="00DA0D39"/>
    <w:rsid w:val="00DB4A50"/>
    <w:rsid w:val="00DC0862"/>
    <w:rsid w:val="00DF2758"/>
    <w:rsid w:val="00DF3BBB"/>
    <w:rsid w:val="00E34B17"/>
    <w:rsid w:val="00E357B8"/>
    <w:rsid w:val="00E376BD"/>
    <w:rsid w:val="00E47D70"/>
    <w:rsid w:val="00E65D58"/>
    <w:rsid w:val="00E77628"/>
    <w:rsid w:val="00E833DA"/>
    <w:rsid w:val="00E85637"/>
    <w:rsid w:val="00EA1E98"/>
    <w:rsid w:val="00EB0C79"/>
    <w:rsid w:val="00EB7A2E"/>
    <w:rsid w:val="00EC54C3"/>
    <w:rsid w:val="00EC76A0"/>
    <w:rsid w:val="00EE141F"/>
    <w:rsid w:val="00EE5E7F"/>
    <w:rsid w:val="00EF0C47"/>
    <w:rsid w:val="00EF3BC0"/>
    <w:rsid w:val="00F01D57"/>
    <w:rsid w:val="00F12DFC"/>
    <w:rsid w:val="00F155BA"/>
    <w:rsid w:val="00F1713D"/>
    <w:rsid w:val="00F1770E"/>
    <w:rsid w:val="00F21D15"/>
    <w:rsid w:val="00F26A2E"/>
    <w:rsid w:val="00F273FD"/>
    <w:rsid w:val="00F33BD8"/>
    <w:rsid w:val="00F34B7E"/>
    <w:rsid w:val="00F37497"/>
    <w:rsid w:val="00F406BB"/>
    <w:rsid w:val="00F4414D"/>
    <w:rsid w:val="00F52895"/>
    <w:rsid w:val="00F6255B"/>
    <w:rsid w:val="00F662E1"/>
    <w:rsid w:val="00F675AA"/>
    <w:rsid w:val="00F765F9"/>
    <w:rsid w:val="00F76815"/>
    <w:rsid w:val="00F83AB0"/>
    <w:rsid w:val="00F93DEA"/>
    <w:rsid w:val="00FA20B5"/>
    <w:rsid w:val="00FB0FE5"/>
    <w:rsid w:val="00FB4437"/>
    <w:rsid w:val="00FB4856"/>
    <w:rsid w:val="00FC0BF3"/>
    <w:rsid w:val="00FC40D1"/>
    <w:rsid w:val="00FC67DA"/>
    <w:rsid w:val="00FD6A58"/>
    <w:rsid w:val="00FD6F00"/>
    <w:rsid w:val="00FD73D7"/>
    <w:rsid w:val="00FF7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207BF"/>
    <w:rPr>
      <w:color w:val="605E5C"/>
      <w:shd w:val="clear" w:color="auto" w:fill="E1DFDD"/>
    </w:rPr>
  </w:style>
  <w:style w:type="paragraph" w:styleId="Revision">
    <w:name w:val="Revision"/>
    <w:hidden/>
    <w:uiPriority w:val="99"/>
    <w:semiHidden/>
    <w:rsid w:val="00841D07"/>
    <w:pPr>
      <w:spacing w:after="0" w:line="240" w:lineRule="auto"/>
    </w:pPr>
  </w:style>
  <w:style w:type="paragraph" w:styleId="ListBullet">
    <w:name w:val="List Bullet"/>
    <w:basedOn w:val="Normal"/>
    <w:qFormat/>
    <w:rsid w:val="0009372B"/>
    <w:pPr>
      <w:numPr>
        <w:numId w:val="25"/>
      </w:numPr>
      <w:spacing w:after="80" w:line="240" w:lineRule="atLeast"/>
    </w:pPr>
    <w:rPr>
      <w:rFonts w:ascii="Arial" w:eastAsia="Times New Roman" w:hAnsi="Arial" w:cs="Times New Roman"/>
      <w:sz w:val="20"/>
      <w:szCs w:val="24"/>
      <w:lang w:eastAsia="en-AU"/>
    </w:rPr>
  </w:style>
  <w:style w:type="paragraph" w:customStyle="1" w:styleId="ListBulletLast">
    <w:name w:val="List Bullet Last"/>
    <w:basedOn w:val="ListBullet"/>
    <w:qFormat/>
    <w:rsid w:val="00662699"/>
    <w:pPr>
      <w:spacing w:after="2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4204">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030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ed52ecc9ec26c185c20405fffe01be9c">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4e6633d6beec37b419e019757086957a"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CA490884-39A1-4DF7-8E19-AFAE89E7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7152</Characters>
  <Application>Microsoft Office Word</Application>
  <DocSecurity>0</DocSecurity>
  <Lines>325</Lines>
  <Paragraphs>181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2024-11-29T03:16:00Z</dcterms:created>
  <dcterms:modified xsi:type="dcterms:W3CDTF">2024-11-29T03:17:00Z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1cea9311-4151-4cae-9a00-2e35d691bf38</vt:lpwstr>
  </property>
</Properties>
</file>