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D4624" w14:textId="2A9A4144" w:rsidR="008D4CF6" w:rsidRPr="00DD50D8" w:rsidRDefault="008D4CF6" w:rsidP="00C8042A">
      <w:pPr>
        <w:spacing w:line="360" w:lineRule="auto"/>
        <w:jc w:val="center"/>
        <w:rPr>
          <w:rFonts w:ascii="Times New Roman" w:hAnsi="Times New Roman" w:cs="Times New Roman"/>
          <w:b/>
          <w:caps/>
          <w:sz w:val="24"/>
          <w:szCs w:val="24"/>
          <w:u w:val="single"/>
        </w:rPr>
      </w:pPr>
      <w:bookmarkStart w:id="0" w:name="_GoBack"/>
      <w:bookmarkEnd w:id="0"/>
      <w:r w:rsidRPr="00DD50D8">
        <w:rPr>
          <w:rFonts w:ascii="Times New Roman" w:hAnsi="Times New Roman" w:cs="Times New Roman"/>
          <w:b/>
          <w:caps/>
          <w:sz w:val="24"/>
          <w:szCs w:val="24"/>
          <w:u w:val="single"/>
        </w:rPr>
        <w:t xml:space="preserve">EXTRADITION </w:t>
      </w:r>
      <w:r w:rsidR="00216FC9" w:rsidRPr="00DD50D8">
        <w:rPr>
          <w:rFonts w:ascii="Times New Roman" w:hAnsi="Times New Roman" w:cs="Times New Roman"/>
          <w:b/>
          <w:caps/>
          <w:sz w:val="24"/>
          <w:szCs w:val="24"/>
          <w:u w:val="single"/>
        </w:rPr>
        <w:t xml:space="preserve">legislation amendment </w:t>
      </w:r>
      <w:r w:rsidRPr="00DD50D8">
        <w:rPr>
          <w:rFonts w:ascii="Times New Roman" w:hAnsi="Times New Roman" w:cs="Times New Roman"/>
          <w:b/>
          <w:caps/>
          <w:sz w:val="24"/>
          <w:szCs w:val="24"/>
          <w:u w:val="single"/>
        </w:rPr>
        <w:t>(</w:t>
      </w:r>
      <w:r w:rsidR="00216FC9" w:rsidRPr="00DD50D8">
        <w:rPr>
          <w:rFonts w:ascii="Times New Roman" w:hAnsi="Times New Roman" w:cs="Times New Roman"/>
          <w:b/>
          <w:caps/>
          <w:sz w:val="24"/>
          <w:szCs w:val="24"/>
          <w:u w:val="single"/>
        </w:rPr>
        <w:t>Commonwealth countries</w:t>
      </w:r>
      <w:r w:rsidRPr="00DD50D8">
        <w:rPr>
          <w:rFonts w:ascii="Times New Roman" w:hAnsi="Times New Roman" w:cs="Times New Roman"/>
          <w:b/>
          <w:caps/>
          <w:sz w:val="24"/>
          <w:szCs w:val="24"/>
          <w:u w:val="single"/>
        </w:rPr>
        <w:t>) REGULATIONS 202</w:t>
      </w:r>
      <w:r w:rsidR="00E2730C" w:rsidRPr="00DD50D8">
        <w:rPr>
          <w:rFonts w:ascii="Times New Roman" w:hAnsi="Times New Roman" w:cs="Times New Roman"/>
          <w:b/>
          <w:caps/>
          <w:sz w:val="24"/>
          <w:szCs w:val="24"/>
          <w:u w:val="single"/>
        </w:rPr>
        <w:t>4</w:t>
      </w:r>
    </w:p>
    <w:p w14:paraId="447E6403" w14:textId="77777777" w:rsidR="008D4CF6" w:rsidRPr="00DD50D8" w:rsidRDefault="008D4CF6" w:rsidP="008D4CF6">
      <w:pPr>
        <w:pStyle w:val="Heading1"/>
        <w:spacing w:before="0" w:after="0" w:line="240" w:lineRule="auto"/>
        <w:jc w:val="center"/>
        <w:rPr>
          <w:rFonts w:ascii="Times New Roman" w:hAnsi="Times New Roman"/>
          <w:b/>
          <w:color w:val="FF0000"/>
          <w:sz w:val="24"/>
          <w:u w:val="single"/>
        </w:rPr>
      </w:pPr>
    </w:p>
    <w:p w14:paraId="6F998FBC" w14:textId="77777777" w:rsidR="00ED1408" w:rsidRPr="00DD50D8" w:rsidRDefault="00ED1408" w:rsidP="00ED1408">
      <w:pPr>
        <w:spacing w:line="360" w:lineRule="auto"/>
        <w:jc w:val="center"/>
        <w:rPr>
          <w:rFonts w:ascii="Times New Roman" w:hAnsi="Times New Roman" w:cs="Times New Roman"/>
          <w:b/>
          <w:sz w:val="24"/>
          <w:szCs w:val="24"/>
          <w:u w:val="single"/>
        </w:rPr>
      </w:pPr>
      <w:r w:rsidRPr="00DD50D8">
        <w:rPr>
          <w:rFonts w:ascii="Times New Roman" w:hAnsi="Times New Roman" w:cs="Times New Roman"/>
          <w:b/>
          <w:sz w:val="24"/>
          <w:szCs w:val="24"/>
          <w:u w:val="single"/>
        </w:rPr>
        <w:t>EXPLANATORY STATEMENT</w:t>
      </w:r>
    </w:p>
    <w:p w14:paraId="597C7A25" w14:textId="57E23DD8" w:rsidR="00B476F8" w:rsidRPr="00DD50D8" w:rsidRDefault="00ED1408" w:rsidP="001F6758">
      <w:pPr>
        <w:spacing w:line="360" w:lineRule="auto"/>
        <w:jc w:val="center"/>
        <w:rPr>
          <w:rFonts w:ascii="Times New Roman" w:hAnsi="Times New Roman" w:cs="Times New Roman"/>
          <w:sz w:val="24"/>
          <w:szCs w:val="24"/>
        </w:rPr>
      </w:pPr>
      <w:r w:rsidRPr="00DD50D8">
        <w:rPr>
          <w:rFonts w:ascii="Times New Roman" w:hAnsi="Times New Roman" w:cs="Times New Roman"/>
          <w:sz w:val="24"/>
          <w:szCs w:val="24"/>
        </w:rPr>
        <w:t xml:space="preserve">Issued by the authority of the Attorney-General </w:t>
      </w:r>
      <w:r w:rsidRPr="00DD50D8">
        <w:rPr>
          <w:rFonts w:ascii="Times New Roman" w:hAnsi="Times New Roman" w:cs="Times New Roman"/>
          <w:sz w:val="24"/>
          <w:szCs w:val="24"/>
        </w:rPr>
        <w:br/>
        <w:t xml:space="preserve">under section 55 of the </w:t>
      </w:r>
      <w:r w:rsidRPr="00DD50D8">
        <w:rPr>
          <w:rFonts w:ascii="Times New Roman" w:hAnsi="Times New Roman" w:cs="Times New Roman"/>
          <w:i/>
          <w:sz w:val="24"/>
          <w:szCs w:val="24"/>
        </w:rPr>
        <w:t>Extradition Act 1988</w:t>
      </w:r>
    </w:p>
    <w:p w14:paraId="54B19714" w14:textId="6C148BD8" w:rsidR="006F176B" w:rsidRPr="00DD50D8" w:rsidRDefault="006F176B" w:rsidP="006F176B">
      <w:pPr>
        <w:spacing w:line="360" w:lineRule="auto"/>
        <w:rPr>
          <w:rFonts w:ascii="Times New Roman" w:hAnsi="Times New Roman"/>
          <w:sz w:val="24"/>
          <w:szCs w:val="24"/>
        </w:rPr>
      </w:pPr>
      <w:bookmarkStart w:id="1" w:name="_Hlk158287018"/>
      <w:r w:rsidRPr="00DD50D8">
        <w:rPr>
          <w:rFonts w:ascii="Times New Roman" w:hAnsi="Times New Roman"/>
          <w:sz w:val="24"/>
          <w:szCs w:val="24"/>
        </w:rPr>
        <w:t xml:space="preserve">Extradition is the process by which one country apprehends and sends a person to another country for the purposes of criminal prosecution or the imposition or service of a criminal sentence. The </w:t>
      </w:r>
      <w:r w:rsidRPr="00DD50D8">
        <w:rPr>
          <w:rFonts w:ascii="Times New Roman" w:hAnsi="Times New Roman"/>
          <w:i/>
          <w:sz w:val="24"/>
          <w:szCs w:val="24"/>
        </w:rPr>
        <w:t xml:space="preserve">Extradition Act 1988 </w:t>
      </w:r>
      <w:r w:rsidRPr="00DD50D8">
        <w:rPr>
          <w:rFonts w:ascii="Times New Roman" w:hAnsi="Times New Roman"/>
          <w:sz w:val="24"/>
          <w:szCs w:val="24"/>
        </w:rPr>
        <w:t xml:space="preserve">(the Act) provides the legislative basis for extradition in Australia. </w:t>
      </w:r>
    </w:p>
    <w:p w14:paraId="3BFDC065" w14:textId="3333FA42" w:rsidR="006F176B" w:rsidRPr="00DD50D8" w:rsidRDefault="006F176B" w:rsidP="006F176B">
      <w:pPr>
        <w:spacing w:line="360" w:lineRule="auto"/>
        <w:rPr>
          <w:rFonts w:ascii="Times New Roman" w:hAnsi="Times New Roman"/>
          <w:sz w:val="24"/>
          <w:szCs w:val="24"/>
        </w:rPr>
      </w:pPr>
      <w:r w:rsidRPr="00DD50D8">
        <w:rPr>
          <w:rFonts w:ascii="Times New Roman" w:hAnsi="Times New Roman"/>
          <w:sz w:val="24"/>
          <w:szCs w:val="24"/>
        </w:rPr>
        <w:t>Section 55 of the Act provides that the Governor-General may make regulations, not inconsistent with the Act, prescribing all matters required or permitted to be prescribed, or necessary or convenient to be prescribed for carrying out or giving effect to the Act.</w:t>
      </w:r>
    </w:p>
    <w:p w14:paraId="10CAAC46" w14:textId="77777777" w:rsidR="006F176B" w:rsidRPr="00DD50D8" w:rsidRDefault="006F176B" w:rsidP="006F176B">
      <w:pPr>
        <w:spacing w:line="360" w:lineRule="auto"/>
        <w:rPr>
          <w:rFonts w:ascii="Times New Roman" w:hAnsi="Times New Roman"/>
          <w:sz w:val="24"/>
          <w:szCs w:val="24"/>
        </w:rPr>
      </w:pPr>
      <w:r w:rsidRPr="00DD50D8">
        <w:rPr>
          <w:rFonts w:ascii="Times New Roman" w:hAnsi="Times New Roman"/>
          <w:sz w:val="24"/>
          <w:szCs w:val="24"/>
        </w:rPr>
        <w:t xml:space="preserve">Under the Act, Australia can only accept extradition requests from an ‘extradition country’. Section 5 of the Act defines an ‘extradition country’ to include a country that is declared by the regulations to be an extradition country. </w:t>
      </w:r>
      <w:bookmarkStart w:id="2" w:name="_Hlk158286770"/>
      <w:r w:rsidRPr="00DD50D8">
        <w:rPr>
          <w:rFonts w:ascii="Times New Roman" w:hAnsi="Times New Roman"/>
          <w:sz w:val="24"/>
          <w:szCs w:val="24"/>
        </w:rPr>
        <w:t>Paragraph 11(1)(b) of the Act provides that regulations may make provision for the application of the Act in relation to a specified extradition country subject to certain limitations, conditions, exceptions or qualifications.</w:t>
      </w:r>
    </w:p>
    <w:p w14:paraId="09FB3963" w14:textId="0E80058A" w:rsidR="006F176B" w:rsidRPr="00DD50D8" w:rsidRDefault="006F176B" w:rsidP="00332B7A">
      <w:pPr>
        <w:spacing w:line="360" w:lineRule="auto"/>
        <w:rPr>
          <w:rFonts w:ascii="Times New Roman" w:hAnsi="Times New Roman"/>
          <w:sz w:val="24"/>
          <w:szCs w:val="24"/>
        </w:rPr>
      </w:pPr>
      <w:r w:rsidRPr="00DD50D8">
        <w:rPr>
          <w:rFonts w:ascii="Times New Roman" w:hAnsi="Times New Roman"/>
          <w:sz w:val="24"/>
          <w:szCs w:val="24"/>
        </w:rPr>
        <w:t xml:space="preserve">The London Scheme for Extradition Within the Commonwealth (the London Scheme) is a less-than-treaty status arrangement that allows members of the Commonwealth to cooperate on extradition without the need for a treaty. The </w:t>
      </w:r>
      <w:r w:rsidRPr="00DD50D8">
        <w:rPr>
          <w:rFonts w:ascii="Times New Roman" w:hAnsi="Times New Roman"/>
          <w:i/>
          <w:sz w:val="24"/>
          <w:szCs w:val="24"/>
        </w:rPr>
        <w:t>Extradition (Commonwealth countries) Regulations 2010</w:t>
      </w:r>
      <w:r w:rsidRPr="00DD50D8">
        <w:rPr>
          <w:rFonts w:ascii="Times New Roman" w:hAnsi="Times New Roman"/>
          <w:sz w:val="24"/>
          <w:szCs w:val="24"/>
        </w:rPr>
        <w:t xml:space="preserve"> (the existing Regulations) give effect to Australia’s participation in the London Scheme and apply the Act to listed Commonwealth countries.</w:t>
      </w:r>
    </w:p>
    <w:p w14:paraId="05D52E43" w14:textId="4B923434" w:rsidR="006F176B" w:rsidRPr="00DD50D8" w:rsidRDefault="006F176B" w:rsidP="006F176B">
      <w:pPr>
        <w:spacing w:line="360" w:lineRule="auto"/>
        <w:rPr>
          <w:rFonts w:ascii="Times New Roman" w:hAnsi="Times New Roman"/>
          <w:sz w:val="24"/>
          <w:szCs w:val="24"/>
        </w:rPr>
      </w:pPr>
      <w:r w:rsidRPr="00DD50D8">
        <w:rPr>
          <w:rFonts w:ascii="Times New Roman" w:hAnsi="Times New Roman"/>
          <w:sz w:val="24"/>
          <w:szCs w:val="24"/>
        </w:rPr>
        <w:t xml:space="preserve">The </w:t>
      </w:r>
      <w:bookmarkEnd w:id="2"/>
      <w:r w:rsidRPr="00DD50D8">
        <w:rPr>
          <w:rFonts w:ascii="Times New Roman" w:hAnsi="Times New Roman"/>
          <w:i/>
          <w:sz w:val="24"/>
          <w:szCs w:val="24"/>
        </w:rPr>
        <w:t>Extradition Legislation Amendment (Commonwealth Countries) Regulations 2024</w:t>
      </w:r>
      <w:r w:rsidRPr="00DD50D8">
        <w:rPr>
          <w:rFonts w:ascii="Times New Roman" w:hAnsi="Times New Roman"/>
          <w:sz w:val="24"/>
          <w:szCs w:val="24"/>
        </w:rPr>
        <w:t xml:space="preserve"> (the Regulations) amend the definition of an ‘extradition country’ </w:t>
      </w:r>
      <w:r w:rsidR="00972B10" w:rsidRPr="00DD50D8">
        <w:rPr>
          <w:rFonts w:ascii="Times New Roman" w:hAnsi="Times New Roman"/>
          <w:sz w:val="24"/>
          <w:szCs w:val="24"/>
        </w:rPr>
        <w:t xml:space="preserve">in the existing Regulations </w:t>
      </w:r>
      <w:r w:rsidRPr="00DD50D8">
        <w:rPr>
          <w:rFonts w:ascii="Times New Roman" w:hAnsi="Times New Roman"/>
          <w:sz w:val="24"/>
          <w:szCs w:val="24"/>
        </w:rPr>
        <w:t xml:space="preserve">so that it no longer refers to a list of Commonwealth countries. Instead, the definition refers to a country that is a member of the Commonwealth of Nations and is not specified in any other regulations declaring it to be an extradition country for the purposes of the Act. </w:t>
      </w:r>
    </w:p>
    <w:p w14:paraId="5E5C62A8" w14:textId="15E42BF3" w:rsidR="006F176B" w:rsidRPr="00DD50D8" w:rsidRDefault="00972B10" w:rsidP="006F176B">
      <w:pPr>
        <w:spacing w:line="360" w:lineRule="auto"/>
        <w:rPr>
          <w:rFonts w:ascii="Times New Roman" w:hAnsi="Times New Roman"/>
          <w:sz w:val="24"/>
          <w:szCs w:val="24"/>
        </w:rPr>
      </w:pPr>
      <w:r w:rsidRPr="00DD50D8">
        <w:rPr>
          <w:rFonts w:ascii="Times New Roman" w:hAnsi="Times New Roman"/>
          <w:sz w:val="24"/>
          <w:szCs w:val="24"/>
        </w:rPr>
        <w:t xml:space="preserve">The amended definition </w:t>
      </w:r>
      <w:r w:rsidR="006F176B" w:rsidRPr="00DD50D8">
        <w:rPr>
          <w:rFonts w:ascii="Times New Roman" w:hAnsi="Times New Roman"/>
          <w:sz w:val="24"/>
          <w:szCs w:val="24"/>
        </w:rPr>
        <w:t xml:space="preserve">also includes any country, colony, territory or protectorate specified in </w:t>
      </w:r>
      <w:proofErr w:type="spellStart"/>
      <w:r w:rsidR="006F176B" w:rsidRPr="00DD50D8">
        <w:rPr>
          <w:rFonts w:ascii="Times New Roman" w:hAnsi="Times New Roman"/>
          <w:sz w:val="24"/>
          <w:szCs w:val="24"/>
        </w:rPr>
        <w:t>subregulation</w:t>
      </w:r>
      <w:proofErr w:type="spellEnd"/>
      <w:r w:rsidR="006F176B" w:rsidRPr="00DD50D8">
        <w:rPr>
          <w:rFonts w:ascii="Times New Roman" w:hAnsi="Times New Roman"/>
          <w:sz w:val="24"/>
          <w:szCs w:val="24"/>
        </w:rPr>
        <w:t xml:space="preserve"> 5(2), which includes all British Overseas Territories. Due to the potential for </w:t>
      </w:r>
      <w:r w:rsidR="006F176B" w:rsidRPr="00DD50D8">
        <w:rPr>
          <w:rFonts w:ascii="Times New Roman" w:hAnsi="Times New Roman"/>
          <w:sz w:val="24"/>
          <w:szCs w:val="24"/>
        </w:rPr>
        <w:lastRenderedPageBreak/>
        <w:t>membership of the Commonwealth to change over time, this amendment ensures that Australia is able to accept extradition requests from any Commonwealth country without the need to amend the Regulations if a country leaves or joins the Commonwealth in the future.</w:t>
      </w:r>
    </w:p>
    <w:p w14:paraId="1941A837" w14:textId="50EE3195" w:rsidR="006F176B" w:rsidRPr="00DD50D8" w:rsidRDefault="006F176B" w:rsidP="006F176B">
      <w:pPr>
        <w:spacing w:line="360" w:lineRule="auto"/>
        <w:rPr>
          <w:rFonts w:ascii="Times New Roman" w:hAnsi="Times New Roman" w:cs="Times New Roman"/>
          <w:sz w:val="24"/>
          <w:szCs w:val="24"/>
        </w:rPr>
      </w:pPr>
      <w:r w:rsidRPr="00DD50D8">
        <w:rPr>
          <w:rFonts w:ascii="Times New Roman" w:hAnsi="Times New Roman" w:cs="Times New Roman"/>
          <w:sz w:val="24"/>
          <w:szCs w:val="24"/>
        </w:rPr>
        <w:t>The London Scheme enables Commonwealth countries to extradite fugitives to each other upon the presentation of an extradition request supported by prima facie evidence of the alleged offending (the prima facie standard). This evidentiary standard requires the judicial authority in the requested country to consider all evidence admissible under the law of the requested country and for the requested country to be satisfied that the case against the fugitive warrants them standing trial for the offences alleged against them. At the 1990 Commonwealth Law Ministers meeting, the Ministers agreed to modify the London Scheme in light of the evidential difficulties in extradition cases arising out of the prima facie standard. Accordingly, the London Scheme was amended to provide that a ‘record of the case’ standard could be implemented as an alternative to the prime facie standard. The ‘record of the case’ standard requires a recital of the evidence held by the requesting country in relation to the extradition offence</w:t>
      </w:r>
      <w:r w:rsidR="005825B9" w:rsidRPr="00DD50D8">
        <w:rPr>
          <w:rFonts w:ascii="Times New Roman" w:hAnsi="Times New Roman" w:cs="Times New Roman"/>
          <w:sz w:val="24"/>
          <w:szCs w:val="24"/>
        </w:rPr>
        <w:t>, however does not involve an assessment of the adequacy of the evidence.</w:t>
      </w:r>
    </w:p>
    <w:p w14:paraId="06DF1003" w14:textId="6C639ACE" w:rsidR="006F176B" w:rsidRPr="00DD50D8" w:rsidRDefault="006F176B" w:rsidP="006F176B">
      <w:pPr>
        <w:spacing w:line="360" w:lineRule="auto"/>
        <w:rPr>
          <w:rFonts w:ascii="Times New Roman" w:hAnsi="Times New Roman"/>
          <w:sz w:val="24"/>
          <w:szCs w:val="24"/>
        </w:rPr>
      </w:pPr>
      <w:r w:rsidRPr="00DD50D8">
        <w:rPr>
          <w:rFonts w:ascii="Times New Roman" w:hAnsi="Times New Roman"/>
          <w:sz w:val="24"/>
          <w:szCs w:val="24"/>
        </w:rPr>
        <w:t xml:space="preserve">The Regulations allow Commonwealth countries to present an extradition request on the basis of the ‘record of the case’ </w:t>
      </w:r>
      <w:r w:rsidR="001F04B1" w:rsidRPr="00DD50D8">
        <w:rPr>
          <w:rFonts w:ascii="Times New Roman" w:hAnsi="Times New Roman"/>
          <w:sz w:val="24"/>
          <w:szCs w:val="24"/>
        </w:rPr>
        <w:t>standard</w:t>
      </w:r>
      <w:r w:rsidRPr="00DD50D8">
        <w:rPr>
          <w:rFonts w:ascii="Times New Roman" w:hAnsi="Times New Roman"/>
          <w:sz w:val="24"/>
          <w:szCs w:val="24"/>
        </w:rPr>
        <w:t xml:space="preserve">. This approach is taken by a number of other Commonwealth countries such as Canada and Singapore. Regulation 8 modifies the application of the Act to Commonwealth countries </w:t>
      </w:r>
      <w:r w:rsidR="001F04B1" w:rsidRPr="00DD50D8">
        <w:rPr>
          <w:rFonts w:ascii="Times New Roman" w:hAnsi="Times New Roman"/>
          <w:sz w:val="24"/>
          <w:szCs w:val="24"/>
        </w:rPr>
        <w:t>to require</w:t>
      </w:r>
      <w:r w:rsidRPr="00DD50D8">
        <w:rPr>
          <w:rFonts w:ascii="Times New Roman" w:hAnsi="Times New Roman"/>
          <w:sz w:val="24"/>
          <w:szCs w:val="24"/>
        </w:rPr>
        <w:t xml:space="preserve"> additional documents to be produced during the extradition process</w:t>
      </w:r>
      <w:r w:rsidR="001F04B1" w:rsidRPr="00DD50D8">
        <w:rPr>
          <w:rFonts w:ascii="Times New Roman" w:hAnsi="Times New Roman"/>
          <w:sz w:val="24"/>
          <w:szCs w:val="24"/>
        </w:rPr>
        <w:t xml:space="preserve"> to meet the ‘record of the case’ standard</w:t>
      </w:r>
      <w:r w:rsidRPr="00DD50D8">
        <w:rPr>
          <w:rFonts w:ascii="Times New Roman" w:hAnsi="Times New Roman"/>
          <w:sz w:val="24"/>
          <w:szCs w:val="24"/>
        </w:rPr>
        <w:t xml:space="preserve">. </w:t>
      </w:r>
    </w:p>
    <w:p w14:paraId="758E1824" w14:textId="0869BF8B" w:rsidR="00224F7E" w:rsidRPr="00DD50D8" w:rsidRDefault="005825B9" w:rsidP="005825B9">
      <w:pPr>
        <w:spacing w:line="360" w:lineRule="auto"/>
        <w:rPr>
          <w:rFonts w:ascii="Times New Roman" w:hAnsi="Times New Roman"/>
          <w:sz w:val="24"/>
          <w:szCs w:val="24"/>
        </w:rPr>
      </w:pPr>
      <w:r w:rsidRPr="00DD50D8">
        <w:rPr>
          <w:rFonts w:ascii="Times New Roman" w:hAnsi="Times New Roman"/>
          <w:sz w:val="24"/>
          <w:szCs w:val="24"/>
        </w:rPr>
        <w:t xml:space="preserve">Any request for extradition which Australia may receive </w:t>
      </w:r>
      <w:r w:rsidR="000A251E" w:rsidRPr="00DD50D8">
        <w:rPr>
          <w:rFonts w:ascii="Times New Roman" w:hAnsi="Times New Roman"/>
          <w:sz w:val="24"/>
          <w:szCs w:val="24"/>
        </w:rPr>
        <w:t xml:space="preserve">from a Commonwealth country </w:t>
      </w:r>
      <w:r w:rsidRPr="00DD50D8">
        <w:rPr>
          <w:rFonts w:ascii="Times New Roman" w:hAnsi="Times New Roman"/>
          <w:sz w:val="24"/>
          <w:szCs w:val="24"/>
        </w:rPr>
        <w:t xml:space="preserve">under the London Scheme would be considered on a case-by-case basis, with the safeguards in the Act applying in each case. </w:t>
      </w:r>
      <w:r w:rsidR="00224F7E" w:rsidRPr="00DD50D8">
        <w:rPr>
          <w:rFonts w:ascii="Times New Roman" w:hAnsi="Times New Roman"/>
          <w:sz w:val="24"/>
          <w:szCs w:val="24"/>
        </w:rPr>
        <w:t xml:space="preserve">These safeguards include </w:t>
      </w:r>
      <w:r w:rsidR="00D17039" w:rsidRPr="00DD50D8">
        <w:rPr>
          <w:rFonts w:ascii="Times New Roman" w:hAnsi="Times New Roman"/>
          <w:sz w:val="24"/>
          <w:szCs w:val="24"/>
        </w:rPr>
        <w:t>multiple</w:t>
      </w:r>
      <w:r w:rsidRPr="00DD50D8">
        <w:rPr>
          <w:rFonts w:ascii="Times New Roman" w:hAnsi="Times New Roman"/>
          <w:sz w:val="24"/>
          <w:szCs w:val="24"/>
        </w:rPr>
        <w:t xml:space="preserve"> mandatory and discretionary grounds for </w:t>
      </w:r>
      <w:r w:rsidR="00D17039" w:rsidRPr="00DD50D8">
        <w:rPr>
          <w:rFonts w:ascii="Times New Roman" w:hAnsi="Times New Roman"/>
          <w:sz w:val="24"/>
          <w:szCs w:val="24"/>
        </w:rPr>
        <w:t>refusing extradition requests on the basis of human rights and other humanitarian considerations</w:t>
      </w:r>
      <w:r w:rsidR="00224F7E" w:rsidRPr="00DD50D8">
        <w:rPr>
          <w:rFonts w:ascii="Times New Roman" w:hAnsi="Times New Roman"/>
          <w:sz w:val="24"/>
          <w:szCs w:val="24"/>
        </w:rPr>
        <w:t>, consistent with Australia’s international human rights obligations</w:t>
      </w:r>
      <w:r w:rsidRPr="00DD50D8">
        <w:rPr>
          <w:rFonts w:ascii="Times New Roman" w:hAnsi="Times New Roman"/>
          <w:sz w:val="24"/>
          <w:szCs w:val="24"/>
        </w:rPr>
        <w:t xml:space="preserve">. For example, a person </w:t>
      </w:r>
      <w:r w:rsidR="00224F7E" w:rsidRPr="00DD50D8">
        <w:rPr>
          <w:rFonts w:ascii="Times New Roman" w:hAnsi="Times New Roman"/>
          <w:sz w:val="24"/>
          <w:szCs w:val="24"/>
        </w:rPr>
        <w:t>cannot be extradited to a foreign country if:</w:t>
      </w:r>
    </w:p>
    <w:p w14:paraId="082CF0EF" w14:textId="5E845323" w:rsidR="00224F7E" w:rsidRPr="00DD50D8" w:rsidRDefault="00224F7E" w:rsidP="00224F7E">
      <w:pPr>
        <w:pStyle w:val="ListParagraph"/>
        <w:numPr>
          <w:ilvl w:val="0"/>
          <w:numId w:val="30"/>
        </w:numPr>
        <w:spacing w:line="360" w:lineRule="auto"/>
        <w:rPr>
          <w:rFonts w:ascii="Times New Roman" w:hAnsi="Times New Roman"/>
          <w:sz w:val="24"/>
          <w:szCs w:val="24"/>
        </w:rPr>
      </w:pPr>
      <w:r w:rsidRPr="00DD50D8">
        <w:rPr>
          <w:rFonts w:ascii="Times New Roman" w:hAnsi="Times New Roman"/>
          <w:sz w:val="24"/>
          <w:szCs w:val="24"/>
        </w:rPr>
        <w:t xml:space="preserve">they are sought for a political offence in relation to a foreign country </w:t>
      </w:r>
    </w:p>
    <w:p w14:paraId="3F23B13A" w14:textId="3A40FBC5" w:rsidR="00224F7E" w:rsidRPr="00DD50D8" w:rsidRDefault="00224F7E" w:rsidP="00224F7E">
      <w:pPr>
        <w:pStyle w:val="ListParagraph"/>
        <w:numPr>
          <w:ilvl w:val="0"/>
          <w:numId w:val="30"/>
        </w:numPr>
        <w:spacing w:line="360" w:lineRule="auto"/>
        <w:rPr>
          <w:rFonts w:ascii="Times New Roman" w:hAnsi="Times New Roman"/>
          <w:sz w:val="24"/>
          <w:szCs w:val="24"/>
        </w:rPr>
      </w:pPr>
      <w:r w:rsidRPr="00DD50D8">
        <w:rPr>
          <w:rFonts w:ascii="Times New Roman" w:hAnsi="Times New Roman"/>
          <w:sz w:val="24"/>
          <w:szCs w:val="24"/>
        </w:rPr>
        <w:t xml:space="preserve">they are sought for an ulterior motive </w:t>
      </w:r>
    </w:p>
    <w:p w14:paraId="5752E4F2" w14:textId="4E493286" w:rsidR="00224F7E" w:rsidRPr="00DD50D8" w:rsidRDefault="00224F7E" w:rsidP="00224F7E">
      <w:pPr>
        <w:pStyle w:val="ListParagraph"/>
        <w:numPr>
          <w:ilvl w:val="0"/>
          <w:numId w:val="30"/>
        </w:numPr>
        <w:spacing w:line="360" w:lineRule="auto"/>
        <w:rPr>
          <w:rFonts w:ascii="Times New Roman" w:hAnsi="Times New Roman"/>
          <w:sz w:val="24"/>
          <w:szCs w:val="24"/>
        </w:rPr>
      </w:pPr>
      <w:r w:rsidRPr="00DD50D8">
        <w:rPr>
          <w:rFonts w:ascii="Times New Roman" w:hAnsi="Times New Roman"/>
          <w:sz w:val="24"/>
          <w:szCs w:val="24"/>
        </w:rPr>
        <w:lastRenderedPageBreak/>
        <w:t xml:space="preserve">they may be prejudiced at their trial, or punished, detained or restricted in their personal liberty if surrendered by reason of their race, sex, sexual orientation, religion, nationality or political opinions </w:t>
      </w:r>
    </w:p>
    <w:p w14:paraId="222600D1" w14:textId="127DB744" w:rsidR="00224F7E" w:rsidRPr="00DD50D8" w:rsidRDefault="00224F7E" w:rsidP="00224F7E">
      <w:pPr>
        <w:pStyle w:val="ListParagraph"/>
        <w:numPr>
          <w:ilvl w:val="0"/>
          <w:numId w:val="30"/>
        </w:numPr>
        <w:spacing w:line="360" w:lineRule="auto"/>
        <w:rPr>
          <w:rFonts w:ascii="Times New Roman" w:hAnsi="Times New Roman"/>
          <w:sz w:val="24"/>
          <w:szCs w:val="24"/>
        </w:rPr>
      </w:pPr>
      <w:r w:rsidRPr="00DD50D8">
        <w:rPr>
          <w:rFonts w:ascii="Times New Roman" w:hAnsi="Times New Roman"/>
          <w:sz w:val="24"/>
          <w:szCs w:val="24"/>
        </w:rPr>
        <w:t xml:space="preserve">they are sought for an offence that is in breach of military law only </w:t>
      </w:r>
    </w:p>
    <w:p w14:paraId="26FA10CB" w14:textId="68A82DB5" w:rsidR="00224F7E" w:rsidRPr="00DD50D8" w:rsidRDefault="00224F7E" w:rsidP="00224F7E">
      <w:pPr>
        <w:pStyle w:val="ListParagraph"/>
        <w:numPr>
          <w:ilvl w:val="0"/>
          <w:numId w:val="30"/>
        </w:numPr>
        <w:spacing w:line="360" w:lineRule="auto"/>
        <w:rPr>
          <w:rFonts w:ascii="Times New Roman" w:hAnsi="Times New Roman"/>
          <w:sz w:val="24"/>
          <w:szCs w:val="24"/>
        </w:rPr>
      </w:pPr>
      <w:r w:rsidRPr="00DD50D8">
        <w:rPr>
          <w:rFonts w:ascii="Times New Roman" w:hAnsi="Times New Roman"/>
          <w:sz w:val="24"/>
          <w:szCs w:val="24"/>
        </w:rPr>
        <w:t xml:space="preserve">they are sought for an offence for which they have already been acquitted or pardoned </w:t>
      </w:r>
    </w:p>
    <w:p w14:paraId="6262FE6E" w14:textId="6EC4F7C5" w:rsidR="00224F7E" w:rsidRPr="00DD50D8" w:rsidRDefault="00224F7E" w:rsidP="00224F7E">
      <w:pPr>
        <w:pStyle w:val="ListParagraph"/>
        <w:numPr>
          <w:ilvl w:val="0"/>
          <w:numId w:val="30"/>
        </w:numPr>
        <w:spacing w:line="360" w:lineRule="auto"/>
        <w:rPr>
          <w:rFonts w:ascii="Times New Roman" w:hAnsi="Times New Roman"/>
          <w:sz w:val="24"/>
          <w:szCs w:val="24"/>
        </w:rPr>
      </w:pPr>
      <w:r w:rsidRPr="00DD50D8">
        <w:rPr>
          <w:rFonts w:ascii="Times New Roman" w:hAnsi="Times New Roman"/>
          <w:sz w:val="24"/>
          <w:szCs w:val="24"/>
        </w:rPr>
        <w:t xml:space="preserve">they are in danger of being subjected to the death penalty or torture, or </w:t>
      </w:r>
    </w:p>
    <w:p w14:paraId="480D24E7" w14:textId="3AABCB19" w:rsidR="00224F7E" w:rsidRPr="00DD50D8" w:rsidRDefault="00224F7E" w:rsidP="00224F7E">
      <w:pPr>
        <w:pStyle w:val="ListParagraph"/>
        <w:numPr>
          <w:ilvl w:val="0"/>
          <w:numId w:val="30"/>
        </w:numPr>
        <w:spacing w:line="360" w:lineRule="auto"/>
        <w:rPr>
          <w:rFonts w:ascii="Times New Roman" w:hAnsi="Times New Roman"/>
          <w:sz w:val="24"/>
          <w:szCs w:val="24"/>
        </w:rPr>
      </w:pPr>
      <w:r w:rsidRPr="00DD50D8">
        <w:rPr>
          <w:rFonts w:ascii="Times New Roman" w:hAnsi="Times New Roman"/>
          <w:sz w:val="24"/>
          <w:szCs w:val="24"/>
        </w:rPr>
        <w:t>they are prosecuted for additional offences to those specified in the extradition request.</w:t>
      </w:r>
    </w:p>
    <w:p w14:paraId="0403E72E" w14:textId="66C48D93" w:rsidR="005825B9" w:rsidRPr="00DD50D8" w:rsidRDefault="005825B9" w:rsidP="005825B9">
      <w:pPr>
        <w:spacing w:line="360" w:lineRule="auto"/>
        <w:rPr>
          <w:rFonts w:ascii="Times New Roman" w:hAnsi="Times New Roman"/>
          <w:sz w:val="24"/>
          <w:szCs w:val="24"/>
        </w:rPr>
      </w:pPr>
      <w:r w:rsidRPr="00DD50D8">
        <w:rPr>
          <w:rFonts w:ascii="Times New Roman" w:hAnsi="Times New Roman"/>
          <w:sz w:val="24"/>
          <w:szCs w:val="24"/>
        </w:rPr>
        <w:t>There is also a broad discretion to refuse surrender under paragraph 22(3)(f), which allows the Attorney</w:t>
      </w:r>
      <w:r w:rsidRPr="00DD50D8">
        <w:rPr>
          <w:rFonts w:ascii="Times New Roman" w:hAnsi="Times New Roman"/>
          <w:sz w:val="24"/>
          <w:szCs w:val="24"/>
        </w:rPr>
        <w:noBreakHyphen/>
        <w:t xml:space="preserve">General to take any relevant matter into account when making a surrender determination, including the circumstances of the case. This may include whether the individual being extradited would receive a fair trial, and whether extradition would be unjust or oppressive in light of the person’s age, health and personal circumstances. </w:t>
      </w:r>
    </w:p>
    <w:bookmarkEnd w:id="1"/>
    <w:p w14:paraId="339BF884" w14:textId="12B7F46D" w:rsidR="000A251E" w:rsidRPr="00DD50D8" w:rsidRDefault="001F6758" w:rsidP="000A251E">
      <w:pPr>
        <w:spacing w:line="360" w:lineRule="auto"/>
        <w:rPr>
          <w:rFonts w:ascii="Times New Roman" w:hAnsi="Times New Roman" w:cs="Times New Roman"/>
          <w:sz w:val="24"/>
          <w:szCs w:val="24"/>
        </w:rPr>
      </w:pPr>
      <w:r w:rsidRPr="00DD50D8">
        <w:rPr>
          <w:rFonts w:ascii="Times New Roman" w:hAnsi="Times New Roman" w:cs="Times New Roman"/>
          <w:sz w:val="24"/>
          <w:szCs w:val="24"/>
        </w:rPr>
        <w:t xml:space="preserve">Before the Regulations were </w:t>
      </w:r>
      <w:r w:rsidR="00387184" w:rsidRPr="00DD50D8">
        <w:rPr>
          <w:rFonts w:ascii="Times New Roman" w:hAnsi="Times New Roman" w:cs="Times New Roman"/>
          <w:sz w:val="24"/>
          <w:szCs w:val="24"/>
        </w:rPr>
        <w:t>made</w:t>
      </w:r>
      <w:r w:rsidRPr="00DD50D8">
        <w:rPr>
          <w:rFonts w:ascii="Times New Roman" w:hAnsi="Times New Roman" w:cs="Times New Roman"/>
          <w:sz w:val="24"/>
          <w:szCs w:val="24"/>
        </w:rPr>
        <w:t xml:space="preserve">, the Attorney-General considered the general obligation to undertake appropriate consultation pursuant to section 17 of the </w:t>
      </w:r>
      <w:r w:rsidRPr="00DD50D8">
        <w:rPr>
          <w:rFonts w:ascii="Times New Roman" w:hAnsi="Times New Roman" w:cs="Times New Roman"/>
          <w:i/>
          <w:sz w:val="24"/>
          <w:szCs w:val="24"/>
        </w:rPr>
        <w:t>Legislation Act 2003</w:t>
      </w:r>
      <w:r w:rsidRPr="00DD50D8">
        <w:rPr>
          <w:rFonts w:ascii="Times New Roman" w:hAnsi="Times New Roman" w:cs="Times New Roman"/>
          <w:sz w:val="24"/>
          <w:szCs w:val="24"/>
        </w:rPr>
        <w:t xml:space="preserve">. </w:t>
      </w:r>
      <w:bookmarkStart w:id="3" w:name="_Hlk116307201"/>
      <w:r w:rsidR="000A251E" w:rsidRPr="00DD50D8">
        <w:rPr>
          <w:rFonts w:ascii="Times New Roman" w:hAnsi="Times New Roman"/>
          <w:sz w:val="24"/>
          <w:szCs w:val="24"/>
        </w:rPr>
        <w:t xml:space="preserve"> </w:t>
      </w:r>
      <w:r w:rsidR="00421908" w:rsidRPr="00DD50D8">
        <w:rPr>
          <w:rFonts w:ascii="Times New Roman" w:hAnsi="Times New Roman"/>
          <w:sz w:val="24"/>
          <w:szCs w:val="24"/>
        </w:rPr>
        <w:t>In developing the Regulations, t</w:t>
      </w:r>
      <w:r w:rsidR="000A251E" w:rsidRPr="00DD50D8">
        <w:rPr>
          <w:rFonts w:ascii="Times New Roman" w:hAnsi="Times New Roman" w:cs="Times New Roman"/>
          <w:sz w:val="24"/>
          <w:szCs w:val="24"/>
        </w:rPr>
        <w:t xml:space="preserve">he department consulted with the Department of Foreign Affairs and Trade and the Australian Federal Police. </w:t>
      </w:r>
      <w:bookmarkStart w:id="4" w:name="_Hlk181777566"/>
      <w:r w:rsidR="000A251E" w:rsidRPr="00DD50D8">
        <w:rPr>
          <w:rFonts w:ascii="Times New Roman" w:hAnsi="Times New Roman" w:cs="Times New Roman"/>
          <w:sz w:val="24"/>
          <w:szCs w:val="24"/>
        </w:rPr>
        <w:t xml:space="preserve">The department did not undertake public consultation as the effect of the Regulations </w:t>
      </w:r>
      <w:r w:rsidR="00493684" w:rsidRPr="00DD50D8">
        <w:rPr>
          <w:rFonts w:ascii="Times New Roman" w:hAnsi="Times New Roman" w:cs="Times New Roman"/>
          <w:sz w:val="24"/>
          <w:szCs w:val="24"/>
        </w:rPr>
        <w:t>is</w:t>
      </w:r>
      <w:r w:rsidR="000A251E" w:rsidRPr="00DD50D8">
        <w:rPr>
          <w:rFonts w:ascii="Times New Roman" w:hAnsi="Times New Roman" w:cs="Times New Roman"/>
          <w:sz w:val="24"/>
          <w:szCs w:val="24"/>
        </w:rPr>
        <w:t xml:space="preserve"> relatively minor in nature</w:t>
      </w:r>
      <w:r w:rsidR="00493684" w:rsidRPr="00DD50D8">
        <w:rPr>
          <w:rFonts w:ascii="Times New Roman" w:hAnsi="Times New Roman" w:cs="Times New Roman"/>
          <w:sz w:val="24"/>
          <w:szCs w:val="24"/>
        </w:rPr>
        <w:t>,</w:t>
      </w:r>
      <w:r w:rsidR="000A251E" w:rsidRPr="00DD50D8">
        <w:rPr>
          <w:rFonts w:ascii="Times New Roman" w:hAnsi="Times New Roman" w:cs="Times New Roman"/>
          <w:sz w:val="24"/>
          <w:szCs w:val="24"/>
        </w:rPr>
        <w:t xml:space="preserve"> and</w:t>
      </w:r>
      <w:r w:rsidR="00493684" w:rsidRPr="00DD50D8">
        <w:rPr>
          <w:rFonts w:ascii="Times New Roman" w:hAnsi="Times New Roman" w:cs="Times New Roman"/>
          <w:sz w:val="24"/>
          <w:szCs w:val="24"/>
        </w:rPr>
        <w:t xml:space="preserve"> because the amendments</w:t>
      </w:r>
      <w:r w:rsidR="000A251E" w:rsidRPr="00DD50D8">
        <w:rPr>
          <w:rFonts w:ascii="Times New Roman" w:hAnsi="Times New Roman" w:cs="Times New Roman"/>
          <w:sz w:val="24"/>
          <w:szCs w:val="24"/>
        </w:rPr>
        <w:t xml:space="preserve"> give effect to Australia’s existing participation in a longstanding international arrangement. </w:t>
      </w:r>
      <w:bookmarkEnd w:id="4"/>
    </w:p>
    <w:bookmarkEnd w:id="3"/>
    <w:p w14:paraId="01B0F3CF" w14:textId="1D970EE1" w:rsidR="00FE5102" w:rsidRPr="00DD50D8" w:rsidRDefault="00FE5102" w:rsidP="00FE5102">
      <w:pPr>
        <w:spacing w:line="360" w:lineRule="auto"/>
        <w:rPr>
          <w:rFonts w:ascii="Times New Roman" w:hAnsi="Times New Roman" w:cs="Times New Roman"/>
          <w:sz w:val="24"/>
          <w:szCs w:val="24"/>
        </w:rPr>
      </w:pPr>
      <w:r w:rsidRPr="00DD50D8">
        <w:rPr>
          <w:rFonts w:ascii="Times New Roman" w:hAnsi="Times New Roman" w:cs="Times New Roman"/>
          <w:sz w:val="24"/>
          <w:szCs w:val="24"/>
        </w:rPr>
        <w:t xml:space="preserve">The Office </w:t>
      </w:r>
      <w:r w:rsidR="006E0321" w:rsidRPr="00DD50D8">
        <w:rPr>
          <w:rFonts w:ascii="Times New Roman" w:hAnsi="Times New Roman" w:cs="Times New Roman"/>
          <w:sz w:val="24"/>
          <w:szCs w:val="24"/>
        </w:rPr>
        <w:t xml:space="preserve">of </w:t>
      </w:r>
      <w:r w:rsidR="00344CEC" w:rsidRPr="00DD50D8">
        <w:rPr>
          <w:rFonts w:ascii="Times New Roman" w:hAnsi="Times New Roman" w:cs="Times New Roman"/>
          <w:sz w:val="24"/>
          <w:szCs w:val="24"/>
        </w:rPr>
        <w:t>Impact Analysis</w:t>
      </w:r>
      <w:r w:rsidR="006E0321" w:rsidRPr="00DD50D8">
        <w:rPr>
          <w:rFonts w:ascii="Times New Roman" w:hAnsi="Times New Roman" w:cs="Times New Roman"/>
          <w:sz w:val="24"/>
          <w:szCs w:val="24"/>
        </w:rPr>
        <w:t xml:space="preserve"> (O</w:t>
      </w:r>
      <w:r w:rsidR="00344CEC" w:rsidRPr="00DD50D8">
        <w:rPr>
          <w:rFonts w:ascii="Times New Roman" w:hAnsi="Times New Roman" w:cs="Times New Roman"/>
          <w:sz w:val="24"/>
          <w:szCs w:val="24"/>
        </w:rPr>
        <w:t>IA</w:t>
      </w:r>
      <w:r w:rsidRPr="00DD50D8">
        <w:rPr>
          <w:rFonts w:ascii="Times New Roman" w:hAnsi="Times New Roman" w:cs="Times New Roman"/>
          <w:sz w:val="24"/>
          <w:szCs w:val="24"/>
        </w:rPr>
        <w:t>) advised that a</w:t>
      </w:r>
      <w:r w:rsidR="00344CEC" w:rsidRPr="00DD50D8">
        <w:rPr>
          <w:rFonts w:ascii="Times New Roman" w:hAnsi="Times New Roman" w:cs="Times New Roman"/>
          <w:sz w:val="24"/>
          <w:szCs w:val="24"/>
        </w:rPr>
        <w:t>n</w:t>
      </w:r>
      <w:r w:rsidR="004A77DA" w:rsidRPr="00DD50D8">
        <w:rPr>
          <w:rFonts w:ascii="Times New Roman" w:hAnsi="Times New Roman" w:cs="Times New Roman"/>
          <w:sz w:val="24"/>
          <w:szCs w:val="24"/>
        </w:rPr>
        <w:t xml:space="preserve"> </w:t>
      </w:r>
      <w:r w:rsidRPr="00DD50D8">
        <w:rPr>
          <w:rFonts w:ascii="Times New Roman" w:hAnsi="Times New Roman" w:cs="Times New Roman"/>
          <w:sz w:val="24"/>
          <w:szCs w:val="24"/>
        </w:rPr>
        <w:t xml:space="preserve">Impact </w:t>
      </w:r>
      <w:r w:rsidR="00344CEC" w:rsidRPr="00DD50D8">
        <w:rPr>
          <w:rFonts w:ascii="Times New Roman" w:hAnsi="Times New Roman" w:cs="Times New Roman"/>
          <w:sz w:val="24"/>
          <w:szCs w:val="24"/>
        </w:rPr>
        <w:t xml:space="preserve">Analysis </w:t>
      </w:r>
      <w:r w:rsidRPr="00DD50D8">
        <w:rPr>
          <w:rFonts w:ascii="Times New Roman" w:hAnsi="Times New Roman" w:cs="Times New Roman"/>
          <w:sz w:val="24"/>
          <w:szCs w:val="24"/>
        </w:rPr>
        <w:t>is not required (reference number</w:t>
      </w:r>
      <w:r w:rsidR="002D7500" w:rsidRPr="00DD50D8">
        <w:rPr>
          <w:rFonts w:ascii="Times New Roman" w:hAnsi="Times New Roman" w:cs="Times New Roman"/>
          <w:sz w:val="24"/>
          <w:szCs w:val="24"/>
        </w:rPr>
        <w:t xml:space="preserve"> </w:t>
      </w:r>
      <w:r w:rsidR="002B6218" w:rsidRPr="00DD50D8">
        <w:rPr>
          <w:rFonts w:ascii="Times New Roman" w:hAnsi="Times New Roman" w:cs="Times New Roman"/>
          <w:sz w:val="24"/>
          <w:szCs w:val="24"/>
        </w:rPr>
        <w:t>OIA24-08534</w:t>
      </w:r>
      <w:r w:rsidRPr="00DD50D8">
        <w:rPr>
          <w:rFonts w:ascii="Times New Roman" w:hAnsi="Times New Roman" w:cs="Times New Roman"/>
          <w:sz w:val="24"/>
          <w:szCs w:val="24"/>
        </w:rPr>
        <w:t>).</w:t>
      </w:r>
    </w:p>
    <w:p w14:paraId="7C860B23" w14:textId="77777777" w:rsidR="00FE5102" w:rsidRPr="00DD50D8" w:rsidRDefault="00FE5102" w:rsidP="00FE5102">
      <w:pPr>
        <w:spacing w:line="360" w:lineRule="auto"/>
        <w:rPr>
          <w:rFonts w:ascii="Times New Roman" w:hAnsi="Times New Roman" w:cs="Times New Roman"/>
          <w:sz w:val="24"/>
          <w:szCs w:val="24"/>
        </w:rPr>
      </w:pPr>
      <w:r w:rsidRPr="00DD50D8">
        <w:rPr>
          <w:rFonts w:ascii="Times New Roman" w:hAnsi="Times New Roman" w:cs="Times New Roman"/>
          <w:sz w:val="24"/>
          <w:szCs w:val="24"/>
        </w:rPr>
        <w:t xml:space="preserve">The Regulations are a legislative instrument for the purposes of the </w:t>
      </w:r>
      <w:r w:rsidRPr="00DD50D8">
        <w:rPr>
          <w:rFonts w:ascii="Times New Roman" w:hAnsi="Times New Roman" w:cs="Times New Roman"/>
          <w:i/>
          <w:sz w:val="24"/>
          <w:szCs w:val="24"/>
        </w:rPr>
        <w:t>Legislation Act 2003</w:t>
      </w:r>
      <w:r w:rsidRPr="00DD50D8">
        <w:rPr>
          <w:rFonts w:ascii="Times New Roman" w:hAnsi="Times New Roman" w:cs="Times New Roman"/>
          <w:sz w:val="24"/>
          <w:szCs w:val="24"/>
        </w:rPr>
        <w:t xml:space="preserve">. </w:t>
      </w:r>
    </w:p>
    <w:p w14:paraId="3D662DBC" w14:textId="691540EC" w:rsidR="00FE5102" w:rsidRPr="00DD50D8" w:rsidRDefault="00FE5102" w:rsidP="00FE5102">
      <w:pPr>
        <w:spacing w:line="360" w:lineRule="auto"/>
        <w:rPr>
          <w:rFonts w:ascii="Times New Roman" w:eastAsia="Times New Roman" w:hAnsi="Times New Roman" w:cs="Times New Roman"/>
          <w:sz w:val="24"/>
          <w:szCs w:val="24"/>
          <w:lang w:eastAsia="en-AU"/>
        </w:rPr>
      </w:pPr>
      <w:r w:rsidRPr="00DD50D8">
        <w:rPr>
          <w:rFonts w:ascii="Times New Roman" w:hAnsi="Times New Roman" w:cs="Times New Roman"/>
          <w:sz w:val="24"/>
          <w:szCs w:val="24"/>
        </w:rPr>
        <w:t xml:space="preserve">The Regulations commence </w:t>
      </w:r>
      <w:r w:rsidR="003D0813" w:rsidRPr="00DD50D8">
        <w:rPr>
          <w:rFonts w:ascii="Times New Roman" w:hAnsi="Times New Roman" w:cs="Times New Roman"/>
          <w:sz w:val="24"/>
          <w:szCs w:val="24"/>
        </w:rPr>
        <w:t xml:space="preserve">on the day after the instrument is registered. </w:t>
      </w:r>
    </w:p>
    <w:p w14:paraId="55A6E217" w14:textId="2FBF85B2" w:rsidR="006E0321" w:rsidRPr="00DD50D8" w:rsidRDefault="006E0321" w:rsidP="00FE5102">
      <w:pPr>
        <w:spacing w:line="360" w:lineRule="auto"/>
        <w:rPr>
          <w:rFonts w:ascii="Times New Roman" w:hAnsi="Times New Roman" w:cs="Times New Roman"/>
          <w:sz w:val="24"/>
          <w:szCs w:val="24"/>
        </w:rPr>
      </w:pPr>
      <w:r w:rsidRPr="00DD50D8">
        <w:rPr>
          <w:rFonts w:ascii="Times New Roman" w:hAnsi="Times New Roman" w:cs="Times New Roman"/>
          <w:sz w:val="24"/>
          <w:szCs w:val="24"/>
        </w:rPr>
        <w:t xml:space="preserve">The Regulations are </w:t>
      </w:r>
      <w:r w:rsidR="00150663" w:rsidRPr="00DD50D8">
        <w:rPr>
          <w:rFonts w:ascii="Times New Roman" w:hAnsi="Times New Roman" w:cs="Times New Roman"/>
          <w:sz w:val="24"/>
          <w:szCs w:val="24"/>
        </w:rPr>
        <w:t>exempt from</w:t>
      </w:r>
      <w:r w:rsidRPr="00DD50D8">
        <w:rPr>
          <w:rFonts w:ascii="Times New Roman" w:hAnsi="Times New Roman" w:cs="Times New Roman"/>
          <w:sz w:val="24"/>
          <w:szCs w:val="24"/>
        </w:rPr>
        <w:t xml:space="preserve"> sunsetting under the </w:t>
      </w:r>
      <w:r w:rsidRPr="00DD50D8">
        <w:rPr>
          <w:rFonts w:ascii="Times New Roman" w:hAnsi="Times New Roman" w:cs="Times New Roman"/>
          <w:i/>
          <w:sz w:val="24"/>
          <w:szCs w:val="24"/>
        </w:rPr>
        <w:t>Legislation (Exemptions and Other Matters) Regulation 2015</w:t>
      </w:r>
      <w:r w:rsidR="0098784A" w:rsidRPr="00DD50D8">
        <w:rPr>
          <w:rFonts w:ascii="Times New Roman" w:hAnsi="Times New Roman" w:cs="Times New Roman"/>
          <w:sz w:val="24"/>
          <w:szCs w:val="24"/>
        </w:rPr>
        <w:t>,</w:t>
      </w:r>
      <w:r w:rsidRPr="00DD50D8">
        <w:rPr>
          <w:rFonts w:ascii="Times New Roman" w:hAnsi="Times New Roman" w:cs="Times New Roman"/>
          <w:i/>
          <w:sz w:val="24"/>
          <w:szCs w:val="24"/>
        </w:rPr>
        <w:t xml:space="preserve"> </w:t>
      </w:r>
      <w:r w:rsidR="0098784A" w:rsidRPr="00DD50D8">
        <w:rPr>
          <w:rFonts w:ascii="Times New Roman" w:hAnsi="Times New Roman" w:cs="Times New Roman"/>
          <w:sz w:val="24"/>
          <w:szCs w:val="24"/>
        </w:rPr>
        <w:t xml:space="preserve">regulation </w:t>
      </w:r>
      <w:r w:rsidRPr="00DD50D8">
        <w:rPr>
          <w:rFonts w:ascii="Times New Roman" w:hAnsi="Times New Roman" w:cs="Times New Roman"/>
          <w:sz w:val="24"/>
          <w:szCs w:val="24"/>
        </w:rPr>
        <w:t>12, item 26</w:t>
      </w:r>
      <w:r w:rsidRPr="00DD50D8">
        <w:rPr>
          <w:rFonts w:ascii="Times New Roman" w:hAnsi="Times New Roman" w:cs="Times New Roman"/>
          <w:i/>
          <w:sz w:val="24"/>
          <w:szCs w:val="24"/>
        </w:rPr>
        <w:t>.</w:t>
      </w:r>
      <w:r w:rsidR="00150663" w:rsidRPr="00DD50D8">
        <w:rPr>
          <w:rFonts w:ascii="Calibri" w:hAnsi="Calibri" w:cs="Times New Roman"/>
        </w:rPr>
        <w:t xml:space="preserve"> </w:t>
      </w:r>
      <w:r w:rsidR="00150663" w:rsidRPr="00DD50D8">
        <w:rPr>
          <w:rFonts w:ascii="Times New Roman" w:hAnsi="Times New Roman" w:cs="Times New Roman"/>
          <w:sz w:val="24"/>
          <w:szCs w:val="24"/>
        </w:rPr>
        <w:t xml:space="preserve">The Regulations ensure that Australia is able to consider extradition requests </w:t>
      </w:r>
      <w:r w:rsidR="003D0813" w:rsidRPr="00DD50D8">
        <w:rPr>
          <w:rFonts w:ascii="Times New Roman" w:hAnsi="Times New Roman" w:cs="Times New Roman"/>
          <w:sz w:val="24"/>
          <w:szCs w:val="24"/>
        </w:rPr>
        <w:t xml:space="preserve">made under </w:t>
      </w:r>
      <w:r w:rsidR="005550C5" w:rsidRPr="00DD50D8">
        <w:rPr>
          <w:rFonts w:ascii="Times New Roman" w:hAnsi="Times New Roman" w:cs="Times New Roman"/>
          <w:sz w:val="24"/>
          <w:szCs w:val="24"/>
        </w:rPr>
        <w:t>London Scheme</w:t>
      </w:r>
      <w:r w:rsidR="003D0813" w:rsidRPr="00DD50D8">
        <w:rPr>
          <w:rFonts w:ascii="Times New Roman" w:hAnsi="Times New Roman" w:cs="Times New Roman"/>
          <w:sz w:val="24"/>
          <w:szCs w:val="24"/>
        </w:rPr>
        <w:t xml:space="preserve"> by </w:t>
      </w:r>
      <w:r w:rsidR="005550C5" w:rsidRPr="00DD50D8">
        <w:rPr>
          <w:rFonts w:ascii="Times New Roman" w:hAnsi="Times New Roman" w:cs="Times New Roman"/>
          <w:sz w:val="24"/>
          <w:szCs w:val="24"/>
        </w:rPr>
        <w:t>Commonwealth countries</w:t>
      </w:r>
      <w:r w:rsidR="00150663" w:rsidRPr="00DD50D8">
        <w:rPr>
          <w:rFonts w:ascii="Times New Roman" w:hAnsi="Times New Roman" w:cs="Times New Roman"/>
          <w:sz w:val="24"/>
          <w:szCs w:val="24"/>
        </w:rPr>
        <w:t xml:space="preserve"> and are therefore designed to be enduring and not subject to regular review. All existing regulations under the Act that declare a country as an ‘extradition country’ are subject to this exemption. </w:t>
      </w:r>
    </w:p>
    <w:p w14:paraId="13F564FC" w14:textId="77777777" w:rsidR="00FE5102" w:rsidRPr="00DD50D8" w:rsidRDefault="00FE5102" w:rsidP="00FE5102">
      <w:pPr>
        <w:spacing w:line="360" w:lineRule="auto"/>
        <w:rPr>
          <w:rFonts w:ascii="Times New Roman" w:hAnsi="Times New Roman" w:cs="Times New Roman"/>
          <w:sz w:val="24"/>
          <w:szCs w:val="24"/>
        </w:rPr>
      </w:pPr>
      <w:r w:rsidRPr="00DD50D8">
        <w:rPr>
          <w:rFonts w:ascii="Times New Roman" w:hAnsi="Times New Roman" w:cs="Times New Roman"/>
          <w:sz w:val="24"/>
          <w:szCs w:val="24"/>
        </w:rPr>
        <w:lastRenderedPageBreak/>
        <w:t xml:space="preserve">Details of the Regulations are set out in </w:t>
      </w:r>
      <w:r w:rsidRPr="00DD50D8">
        <w:rPr>
          <w:rFonts w:ascii="Times New Roman" w:hAnsi="Times New Roman" w:cs="Times New Roman"/>
          <w:sz w:val="24"/>
          <w:szCs w:val="24"/>
          <w:u w:val="single"/>
        </w:rPr>
        <w:t>Attachment A</w:t>
      </w:r>
      <w:r w:rsidRPr="00DD50D8">
        <w:rPr>
          <w:rFonts w:ascii="Times New Roman" w:hAnsi="Times New Roman" w:cs="Times New Roman"/>
          <w:sz w:val="24"/>
          <w:szCs w:val="24"/>
        </w:rPr>
        <w:t>.</w:t>
      </w:r>
    </w:p>
    <w:p w14:paraId="482FC94D" w14:textId="6ABC8715" w:rsidR="00FE5102" w:rsidRPr="00DD50D8" w:rsidRDefault="00FE5102" w:rsidP="00FE5102">
      <w:pPr>
        <w:spacing w:line="360" w:lineRule="auto"/>
        <w:rPr>
          <w:rFonts w:ascii="Times New Roman" w:hAnsi="Times New Roman" w:cs="Times New Roman"/>
          <w:sz w:val="24"/>
          <w:szCs w:val="24"/>
        </w:rPr>
      </w:pPr>
      <w:r w:rsidRPr="00DD50D8">
        <w:rPr>
          <w:rFonts w:ascii="Times New Roman" w:hAnsi="Times New Roman" w:cs="Times New Roman"/>
          <w:sz w:val="24"/>
          <w:szCs w:val="24"/>
        </w:rPr>
        <w:t>A statement of compatibility with human rights prepared</w:t>
      </w:r>
      <w:r w:rsidRPr="00DD50D8">
        <w:rPr>
          <w:rFonts w:ascii="Times New Roman" w:hAnsi="Times New Roman" w:cs="Times New Roman"/>
          <w:i/>
          <w:sz w:val="24"/>
          <w:szCs w:val="24"/>
        </w:rPr>
        <w:t xml:space="preserve"> </w:t>
      </w:r>
      <w:r w:rsidRPr="00DD50D8">
        <w:rPr>
          <w:rFonts w:ascii="Times New Roman" w:hAnsi="Times New Roman" w:cs="Times New Roman"/>
          <w:sz w:val="24"/>
          <w:szCs w:val="24"/>
        </w:rPr>
        <w:t>in</w:t>
      </w:r>
      <w:r w:rsidRPr="00DD50D8">
        <w:rPr>
          <w:rFonts w:ascii="Times New Roman" w:hAnsi="Times New Roman" w:cs="Times New Roman"/>
          <w:i/>
          <w:sz w:val="24"/>
          <w:szCs w:val="24"/>
        </w:rPr>
        <w:t xml:space="preserve"> </w:t>
      </w:r>
      <w:r w:rsidRPr="00DD50D8">
        <w:rPr>
          <w:rFonts w:ascii="Times New Roman" w:hAnsi="Times New Roman" w:cs="Times New Roman"/>
          <w:sz w:val="24"/>
          <w:szCs w:val="24"/>
        </w:rPr>
        <w:t>accordance</w:t>
      </w:r>
      <w:r w:rsidRPr="00DD50D8">
        <w:rPr>
          <w:rFonts w:ascii="Times New Roman" w:hAnsi="Times New Roman" w:cs="Times New Roman"/>
          <w:i/>
          <w:sz w:val="24"/>
          <w:szCs w:val="24"/>
        </w:rPr>
        <w:t xml:space="preserve"> </w:t>
      </w:r>
      <w:r w:rsidRPr="00DD50D8">
        <w:rPr>
          <w:rFonts w:ascii="Times New Roman" w:hAnsi="Times New Roman" w:cs="Times New Roman"/>
          <w:sz w:val="24"/>
          <w:szCs w:val="24"/>
        </w:rPr>
        <w:t>with</w:t>
      </w:r>
      <w:r w:rsidRPr="00DD50D8">
        <w:rPr>
          <w:rFonts w:ascii="Times New Roman" w:hAnsi="Times New Roman" w:cs="Times New Roman"/>
          <w:i/>
          <w:sz w:val="24"/>
          <w:szCs w:val="24"/>
        </w:rPr>
        <w:t xml:space="preserve"> </w:t>
      </w:r>
      <w:r w:rsidRPr="00DD50D8">
        <w:rPr>
          <w:rFonts w:ascii="Times New Roman" w:hAnsi="Times New Roman" w:cs="Times New Roman"/>
          <w:sz w:val="24"/>
          <w:szCs w:val="24"/>
        </w:rPr>
        <w:t>Part</w:t>
      </w:r>
      <w:r w:rsidRPr="00DD50D8">
        <w:rPr>
          <w:rFonts w:ascii="Times New Roman" w:hAnsi="Times New Roman" w:cs="Times New Roman"/>
          <w:i/>
          <w:sz w:val="24"/>
          <w:szCs w:val="24"/>
        </w:rPr>
        <w:t xml:space="preserve"> </w:t>
      </w:r>
      <w:r w:rsidRPr="00DD50D8">
        <w:rPr>
          <w:rFonts w:ascii="Times New Roman" w:hAnsi="Times New Roman" w:cs="Times New Roman"/>
          <w:sz w:val="24"/>
          <w:szCs w:val="24"/>
        </w:rPr>
        <w:t>3</w:t>
      </w:r>
      <w:r w:rsidRPr="00DD50D8">
        <w:rPr>
          <w:rFonts w:ascii="Times New Roman" w:hAnsi="Times New Roman" w:cs="Times New Roman"/>
          <w:i/>
          <w:sz w:val="24"/>
          <w:szCs w:val="24"/>
        </w:rPr>
        <w:t xml:space="preserve"> </w:t>
      </w:r>
      <w:r w:rsidRPr="00DD50D8">
        <w:rPr>
          <w:rFonts w:ascii="Times New Roman" w:hAnsi="Times New Roman" w:cs="Times New Roman"/>
          <w:sz w:val="24"/>
          <w:szCs w:val="24"/>
        </w:rPr>
        <w:t>of</w:t>
      </w:r>
      <w:r w:rsidRPr="00DD50D8">
        <w:rPr>
          <w:rFonts w:ascii="Times New Roman" w:hAnsi="Times New Roman" w:cs="Times New Roman"/>
          <w:i/>
          <w:sz w:val="24"/>
          <w:szCs w:val="24"/>
        </w:rPr>
        <w:t xml:space="preserve"> </w:t>
      </w:r>
      <w:r w:rsidRPr="00DD50D8">
        <w:rPr>
          <w:rFonts w:ascii="Times New Roman" w:hAnsi="Times New Roman" w:cs="Times New Roman"/>
          <w:sz w:val="24"/>
          <w:szCs w:val="24"/>
        </w:rPr>
        <w:t>the</w:t>
      </w:r>
      <w:r w:rsidRPr="00DD50D8">
        <w:rPr>
          <w:rFonts w:ascii="Times New Roman" w:hAnsi="Times New Roman" w:cs="Times New Roman"/>
          <w:i/>
          <w:sz w:val="24"/>
          <w:szCs w:val="24"/>
        </w:rPr>
        <w:t xml:space="preserve"> Human Rights (Parliamentary Scrutiny) Act 2011</w:t>
      </w:r>
      <w:r w:rsidRPr="00DD50D8">
        <w:rPr>
          <w:rFonts w:ascii="Times New Roman" w:hAnsi="Times New Roman" w:cs="Times New Roman"/>
          <w:sz w:val="24"/>
          <w:szCs w:val="24"/>
        </w:rPr>
        <w:t xml:space="preserve"> is at </w:t>
      </w:r>
      <w:r w:rsidRPr="00DD50D8">
        <w:rPr>
          <w:rFonts w:ascii="Times New Roman" w:hAnsi="Times New Roman" w:cs="Times New Roman"/>
          <w:sz w:val="24"/>
          <w:szCs w:val="24"/>
          <w:u w:val="single"/>
        </w:rPr>
        <w:t>Attachment B</w:t>
      </w:r>
      <w:r w:rsidRPr="00DD50D8">
        <w:rPr>
          <w:rFonts w:ascii="Times New Roman" w:hAnsi="Times New Roman" w:cs="Times New Roman"/>
          <w:sz w:val="24"/>
          <w:szCs w:val="24"/>
        </w:rPr>
        <w:t xml:space="preserve">. </w:t>
      </w:r>
    </w:p>
    <w:p w14:paraId="6C4A59D3" w14:textId="77777777" w:rsidR="00FE5102" w:rsidRPr="00DD50D8" w:rsidRDefault="00FE5102" w:rsidP="00FE5102">
      <w:pPr>
        <w:spacing w:line="360" w:lineRule="auto"/>
        <w:jc w:val="right"/>
        <w:rPr>
          <w:rFonts w:ascii="Times New Roman" w:hAnsi="Times New Roman" w:cs="Times New Roman"/>
          <w:sz w:val="24"/>
          <w:szCs w:val="24"/>
        </w:rPr>
      </w:pPr>
      <w:r w:rsidRPr="00DD50D8">
        <w:rPr>
          <w:rFonts w:ascii="Times New Roman" w:hAnsi="Times New Roman" w:cs="Times New Roman"/>
          <w:sz w:val="24"/>
          <w:szCs w:val="24"/>
          <w:u w:val="single"/>
        </w:rPr>
        <w:t>Authority</w:t>
      </w:r>
      <w:r w:rsidRPr="00DD50D8">
        <w:rPr>
          <w:rFonts w:ascii="Times New Roman" w:hAnsi="Times New Roman" w:cs="Times New Roman"/>
          <w:sz w:val="24"/>
          <w:szCs w:val="24"/>
        </w:rPr>
        <w:t xml:space="preserve">: Section 55 of the </w:t>
      </w:r>
      <w:r w:rsidRPr="00DD50D8">
        <w:rPr>
          <w:rFonts w:ascii="Times New Roman" w:hAnsi="Times New Roman" w:cs="Times New Roman"/>
          <w:i/>
          <w:sz w:val="24"/>
          <w:szCs w:val="24"/>
        </w:rPr>
        <w:t>Extradition Act 1988</w:t>
      </w:r>
    </w:p>
    <w:p w14:paraId="460E53B7" w14:textId="77777777" w:rsidR="00FE5102" w:rsidRPr="00DD50D8" w:rsidRDefault="00FE5102">
      <w:pPr>
        <w:rPr>
          <w:rFonts w:ascii="Times New Roman" w:hAnsi="Times New Roman" w:cs="Times New Roman"/>
          <w:b/>
          <w:sz w:val="24"/>
          <w:szCs w:val="24"/>
          <w:u w:val="single"/>
        </w:rPr>
      </w:pPr>
      <w:r w:rsidRPr="00DD50D8">
        <w:rPr>
          <w:rFonts w:ascii="Times New Roman" w:hAnsi="Times New Roman" w:cs="Times New Roman"/>
          <w:b/>
          <w:sz w:val="24"/>
          <w:szCs w:val="24"/>
          <w:u w:val="single"/>
        </w:rPr>
        <w:br w:type="page"/>
      </w:r>
    </w:p>
    <w:p w14:paraId="61855A17" w14:textId="0F36D822" w:rsidR="001017F6" w:rsidRPr="00DD50D8" w:rsidRDefault="001017F6" w:rsidP="000E136D">
      <w:pPr>
        <w:spacing w:line="360" w:lineRule="auto"/>
        <w:jc w:val="right"/>
        <w:rPr>
          <w:rFonts w:ascii="Times New Roman" w:hAnsi="Times New Roman" w:cs="Times New Roman"/>
          <w:b/>
          <w:sz w:val="24"/>
          <w:szCs w:val="24"/>
          <w:u w:val="single"/>
        </w:rPr>
      </w:pPr>
      <w:r w:rsidRPr="00DD50D8">
        <w:rPr>
          <w:rFonts w:ascii="Times New Roman" w:hAnsi="Times New Roman" w:cs="Times New Roman"/>
          <w:b/>
          <w:sz w:val="24"/>
          <w:szCs w:val="24"/>
          <w:u w:val="single"/>
        </w:rPr>
        <w:lastRenderedPageBreak/>
        <w:t>ATTACHMENT A</w:t>
      </w:r>
    </w:p>
    <w:p w14:paraId="49536873" w14:textId="2C6331D4" w:rsidR="000E136D" w:rsidRPr="00DD50D8" w:rsidRDefault="000E136D" w:rsidP="000E136D">
      <w:pPr>
        <w:spacing w:line="360" w:lineRule="auto"/>
        <w:rPr>
          <w:rFonts w:ascii="Times New Roman" w:hAnsi="Times New Roman" w:cs="Times New Roman"/>
          <w:b/>
          <w:sz w:val="24"/>
          <w:szCs w:val="24"/>
        </w:rPr>
      </w:pPr>
      <w:r w:rsidRPr="00DD50D8">
        <w:rPr>
          <w:rFonts w:ascii="Times New Roman" w:hAnsi="Times New Roman" w:cs="Times New Roman"/>
          <w:b/>
          <w:sz w:val="24"/>
          <w:szCs w:val="24"/>
        </w:rPr>
        <w:t>NOTES ON SECTIONS</w:t>
      </w:r>
    </w:p>
    <w:p w14:paraId="0E08DD74" w14:textId="4F320830" w:rsidR="00B608B1" w:rsidRPr="00DD50D8" w:rsidRDefault="00B608B1" w:rsidP="000E136D">
      <w:pPr>
        <w:spacing w:line="360" w:lineRule="auto"/>
        <w:rPr>
          <w:rFonts w:ascii="Times New Roman" w:hAnsi="Times New Roman" w:cs="Times New Roman"/>
          <w:b/>
          <w:sz w:val="24"/>
          <w:szCs w:val="24"/>
          <w:u w:val="single"/>
        </w:rPr>
      </w:pPr>
      <w:r w:rsidRPr="00DD50D8">
        <w:rPr>
          <w:rFonts w:ascii="Times New Roman" w:hAnsi="Times New Roman" w:cs="Times New Roman"/>
          <w:b/>
          <w:sz w:val="24"/>
          <w:szCs w:val="24"/>
          <w:u w:val="single"/>
        </w:rPr>
        <w:t xml:space="preserve">Details of the </w:t>
      </w:r>
      <w:r w:rsidRPr="00DD50D8">
        <w:rPr>
          <w:rFonts w:ascii="Times New Roman" w:hAnsi="Times New Roman" w:cs="Times New Roman"/>
          <w:b/>
          <w:i/>
          <w:sz w:val="24"/>
          <w:szCs w:val="24"/>
          <w:u w:val="single"/>
        </w:rPr>
        <w:t xml:space="preserve">Extradition </w:t>
      </w:r>
      <w:r w:rsidR="00216FC9" w:rsidRPr="00DD50D8">
        <w:rPr>
          <w:rFonts w:ascii="Times New Roman" w:hAnsi="Times New Roman" w:cs="Times New Roman"/>
          <w:b/>
          <w:i/>
          <w:sz w:val="24"/>
          <w:szCs w:val="24"/>
          <w:u w:val="single"/>
        </w:rPr>
        <w:t xml:space="preserve">Legislation Amendment </w:t>
      </w:r>
      <w:r w:rsidRPr="00DD50D8">
        <w:rPr>
          <w:rFonts w:ascii="Times New Roman" w:hAnsi="Times New Roman" w:cs="Times New Roman"/>
          <w:b/>
          <w:i/>
          <w:sz w:val="24"/>
          <w:szCs w:val="24"/>
          <w:u w:val="single"/>
        </w:rPr>
        <w:t>(</w:t>
      </w:r>
      <w:r w:rsidR="00216FC9" w:rsidRPr="00DD50D8">
        <w:rPr>
          <w:rFonts w:ascii="Times New Roman" w:hAnsi="Times New Roman" w:cs="Times New Roman"/>
          <w:b/>
          <w:i/>
          <w:sz w:val="24"/>
          <w:szCs w:val="24"/>
          <w:u w:val="single"/>
        </w:rPr>
        <w:t>Commonwealth Countries</w:t>
      </w:r>
      <w:r w:rsidRPr="00DD50D8">
        <w:rPr>
          <w:rFonts w:ascii="Times New Roman" w:hAnsi="Times New Roman" w:cs="Times New Roman"/>
          <w:b/>
          <w:i/>
          <w:sz w:val="24"/>
          <w:szCs w:val="24"/>
          <w:u w:val="single"/>
        </w:rPr>
        <w:t>) Regulations 202</w:t>
      </w:r>
      <w:r w:rsidR="009837C0" w:rsidRPr="00DD50D8">
        <w:rPr>
          <w:rFonts w:ascii="Times New Roman" w:hAnsi="Times New Roman" w:cs="Times New Roman"/>
          <w:b/>
          <w:i/>
          <w:sz w:val="24"/>
          <w:szCs w:val="24"/>
          <w:u w:val="single"/>
        </w:rPr>
        <w:t>4</w:t>
      </w:r>
      <w:r w:rsidRPr="00DD50D8">
        <w:rPr>
          <w:rFonts w:ascii="Times New Roman" w:hAnsi="Times New Roman" w:cs="Times New Roman"/>
          <w:b/>
          <w:i/>
          <w:sz w:val="24"/>
          <w:szCs w:val="24"/>
          <w:u w:val="single"/>
        </w:rPr>
        <w:t xml:space="preserve"> </w:t>
      </w:r>
    </w:p>
    <w:p w14:paraId="1B639882" w14:textId="61155F12" w:rsidR="008D4CF6" w:rsidRPr="00DD50D8" w:rsidRDefault="008D4CF6" w:rsidP="000E136D">
      <w:pPr>
        <w:spacing w:line="360" w:lineRule="auto"/>
        <w:ind w:right="91"/>
        <w:rPr>
          <w:rFonts w:ascii="Times New Roman" w:eastAsia="Times New Roman" w:hAnsi="Times New Roman" w:cs="Times New Roman"/>
          <w:b/>
          <w:sz w:val="24"/>
          <w:u w:val="single"/>
          <w:lang w:eastAsia="en-AU"/>
        </w:rPr>
      </w:pPr>
      <w:r w:rsidRPr="00DD50D8">
        <w:rPr>
          <w:rFonts w:ascii="Times New Roman" w:eastAsia="Times New Roman" w:hAnsi="Times New Roman" w:cs="Times New Roman"/>
          <w:b/>
          <w:sz w:val="24"/>
          <w:u w:val="single"/>
          <w:lang w:eastAsia="en-AU"/>
        </w:rPr>
        <w:t>Part 1 - Preliminary</w:t>
      </w:r>
    </w:p>
    <w:p w14:paraId="56DE619B" w14:textId="552CFEBC" w:rsidR="008D4CF6" w:rsidRPr="00DD50D8" w:rsidRDefault="008D4CF6" w:rsidP="000E136D">
      <w:pPr>
        <w:spacing w:line="360" w:lineRule="auto"/>
        <w:rPr>
          <w:rFonts w:ascii="Times New Roman" w:hAnsi="Times New Roman"/>
          <w:b/>
          <w:iCs/>
          <w:color w:val="000000"/>
          <w:sz w:val="24"/>
        </w:rPr>
      </w:pPr>
      <w:r w:rsidRPr="00DD50D8">
        <w:rPr>
          <w:rFonts w:ascii="Times New Roman" w:hAnsi="Times New Roman"/>
          <w:b/>
          <w:iCs/>
          <w:color w:val="000000"/>
          <w:sz w:val="24"/>
        </w:rPr>
        <w:t xml:space="preserve">Section 1 </w:t>
      </w:r>
      <w:r w:rsidR="004D038A" w:rsidRPr="00DD50D8">
        <w:rPr>
          <w:rFonts w:ascii="Times New Roman" w:hAnsi="Times New Roman"/>
          <w:b/>
          <w:iCs/>
          <w:color w:val="000000"/>
          <w:sz w:val="24"/>
        </w:rPr>
        <w:t>–</w:t>
      </w:r>
      <w:r w:rsidRPr="00DD50D8">
        <w:rPr>
          <w:rFonts w:ascii="Times New Roman" w:hAnsi="Times New Roman"/>
          <w:b/>
          <w:iCs/>
          <w:color w:val="000000"/>
          <w:sz w:val="24"/>
        </w:rPr>
        <w:t xml:space="preserve"> Name </w:t>
      </w:r>
    </w:p>
    <w:p w14:paraId="15DDF3A4" w14:textId="270A8B05" w:rsidR="008D4CF6" w:rsidRPr="00DD50D8" w:rsidRDefault="008D4CF6" w:rsidP="000E136D">
      <w:pPr>
        <w:spacing w:line="360" w:lineRule="auto"/>
        <w:rPr>
          <w:rFonts w:ascii="Times New Roman" w:hAnsi="Times New Roman"/>
          <w:sz w:val="24"/>
          <w:szCs w:val="24"/>
        </w:rPr>
      </w:pPr>
      <w:r w:rsidRPr="00DD50D8">
        <w:rPr>
          <w:rFonts w:ascii="Times New Roman" w:hAnsi="Times New Roman"/>
          <w:sz w:val="24"/>
          <w:szCs w:val="24"/>
        </w:rPr>
        <w:t xml:space="preserve">This section provides that the title of the Regulations is the </w:t>
      </w:r>
      <w:r w:rsidRPr="00DD50D8">
        <w:rPr>
          <w:rFonts w:ascii="Times New Roman" w:hAnsi="Times New Roman"/>
          <w:i/>
          <w:sz w:val="24"/>
          <w:szCs w:val="24"/>
        </w:rPr>
        <w:t xml:space="preserve">Extradition </w:t>
      </w:r>
      <w:r w:rsidR="00216FC9" w:rsidRPr="00DD50D8">
        <w:rPr>
          <w:rFonts w:ascii="Times New Roman" w:hAnsi="Times New Roman"/>
          <w:i/>
          <w:sz w:val="24"/>
          <w:szCs w:val="24"/>
        </w:rPr>
        <w:t xml:space="preserve">Legislation Amendment </w:t>
      </w:r>
      <w:r w:rsidR="00EF6746" w:rsidRPr="00DD50D8">
        <w:rPr>
          <w:rFonts w:ascii="Times New Roman" w:hAnsi="Times New Roman"/>
          <w:i/>
          <w:sz w:val="24"/>
          <w:szCs w:val="24"/>
        </w:rPr>
        <w:t>(</w:t>
      </w:r>
      <w:r w:rsidR="00216FC9" w:rsidRPr="00DD50D8">
        <w:rPr>
          <w:rFonts w:ascii="Times New Roman" w:hAnsi="Times New Roman"/>
          <w:i/>
          <w:sz w:val="24"/>
          <w:szCs w:val="24"/>
        </w:rPr>
        <w:t>Commonwealth Countries</w:t>
      </w:r>
      <w:r w:rsidRPr="00DD50D8">
        <w:rPr>
          <w:rFonts w:ascii="Times New Roman" w:hAnsi="Times New Roman"/>
          <w:i/>
          <w:sz w:val="24"/>
          <w:szCs w:val="24"/>
        </w:rPr>
        <w:t>) Regulations 202</w:t>
      </w:r>
      <w:r w:rsidR="00EF6746" w:rsidRPr="00DD50D8">
        <w:rPr>
          <w:rFonts w:ascii="Times New Roman" w:hAnsi="Times New Roman"/>
          <w:i/>
          <w:sz w:val="24"/>
          <w:szCs w:val="24"/>
        </w:rPr>
        <w:t>4</w:t>
      </w:r>
      <w:r w:rsidRPr="00DD50D8">
        <w:rPr>
          <w:rFonts w:ascii="Times New Roman" w:hAnsi="Times New Roman"/>
          <w:sz w:val="24"/>
          <w:szCs w:val="24"/>
        </w:rPr>
        <w:t>.</w:t>
      </w:r>
      <w:r w:rsidR="00246610" w:rsidRPr="00DD50D8">
        <w:rPr>
          <w:rFonts w:ascii="Times New Roman" w:hAnsi="Times New Roman"/>
          <w:sz w:val="24"/>
          <w:szCs w:val="24"/>
        </w:rPr>
        <w:t xml:space="preserve"> </w:t>
      </w:r>
    </w:p>
    <w:p w14:paraId="54FF5E8F" w14:textId="3A355D72" w:rsidR="008D4CF6" w:rsidRPr="00DD50D8" w:rsidRDefault="008D4CF6" w:rsidP="000E136D">
      <w:pPr>
        <w:spacing w:line="360" w:lineRule="auto"/>
        <w:rPr>
          <w:rFonts w:ascii="Times New Roman" w:hAnsi="Times New Roman"/>
          <w:b/>
          <w:iCs/>
          <w:color w:val="000000"/>
          <w:sz w:val="24"/>
        </w:rPr>
      </w:pPr>
      <w:r w:rsidRPr="00DD50D8">
        <w:rPr>
          <w:rFonts w:ascii="Times New Roman" w:hAnsi="Times New Roman"/>
          <w:b/>
          <w:iCs/>
          <w:color w:val="000000"/>
          <w:sz w:val="24"/>
        </w:rPr>
        <w:t xml:space="preserve">Section 2 </w:t>
      </w:r>
      <w:r w:rsidR="004D038A" w:rsidRPr="00DD50D8">
        <w:rPr>
          <w:rFonts w:ascii="Times New Roman" w:hAnsi="Times New Roman"/>
          <w:b/>
          <w:iCs/>
          <w:color w:val="000000"/>
          <w:sz w:val="24"/>
        </w:rPr>
        <w:t>–</w:t>
      </w:r>
      <w:r w:rsidRPr="00DD50D8">
        <w:rPr>
          <w:rFonts w:ascii="Times New Roman" w:hAnsi="Times New Roman"/>
          <w:b/>
          <w:iCs/>
          <w:color w:val="000000"/>
          <w:sz w:val="24"/>
        </w:rPr>
        <w:t xml:space="preserve"> Commencement</w:t>
      </w:r>
    </w:p>
    <w:p w14:paraId="3B64B4D8" w14:textId="1487BA47" w:rsidR="007B2683" w:rsidRPr="00DD50D8" w:rsidRDefault="007B2683" w:rsidP="00CB5FD9">
      <w:pPr>
        <w:spacing w:line="360" w:lineRule="auto"/>
        <w:rPr>
          <w:rFonts w:ascii="Times New Roman" w:hAnsi="Times New Roman" w:cs="Times New Roman"/>
          <w:sz w:val="24"/>
          <w:szCs w:val="24"/>
        </w:rPr>
      </w:pPr>
      <w:r w:rsidRPr="00DD50D8">
        <w:rPr>
          <w:rFonts w:ascii="Times New Roman" w:hAnsi="Times New Roman" w:cs="Times New Roman"/>
          <w:sz w:val="24"/>
          <w:szCs w:val="24"/>
        </w:rPr>
        <w:t xml:space="preserve">This section provides that the Regulations </w:t>
      </w:r>
      <w:r w:rsidR="00CB5FD9" w:rsidRPr="00DD50D8">
        <w:rPr>
          <w:rFonts w:ascii="Times New Roman" w:hAnsi="Times New Roman" w:cs="Times New Roman"/>
          <w:sz w:val="24"/>
          <w:szCs w:val="24"/>
        </w:rPr>
        <w:t xml:space="preserve">will </w:t>
      </w:r>
      <w:r w:rsidRPr="00DD50D8">
        <w:rPr>
          <w:rFonts w:ascii="Times New Roman" w:hAnsi="Times New Roman" w:cs="Times New Roman"/>
          <w:sz w:val="24"/>
          <w:szCs w:val="24"/>
        </w:rPr>
        <w:t xml:space="preserve">commence on the </w:t>
      </w:r>
      <w:r w:rsidR="00CB5FD9" w:rsidRPr="00DD50D8">
        <w:rPr>
          <w:rFonts w:ascii="Times New Roman" w:hAnsi="Times New Roman" w:cs="Times New Roman"/>
          <w:sz w:val="24"/>
          <w:szCs w:val="24"/>
        </w:rPr>
        <w:t>day after</w:t>
      </w:r>
      <w:r w:rsidRPr="00DD50D8">
        <w:rPr>
          <w:rFonts w:ascii="Times New Roman" w:hAnsi="Times New Roman" w:cs="Times New Roman"/>
          <w:sz w:val="24"/>
          <w:szCs w:val="24"/>
        </w:rPr>
        <w:t xml:space="preserve"> the instrument is registered</w:t>
      </w:r>
      <w:r w:rsidR="00CB5FD9" w:rsidRPr="00DD50D8">
        <w:rPr>
          <w:rFonts w:ascii="Times New Roman" w:hAnsi="Times New Roman" w:cs="Times New Roman"/>
          <w:sz w:val="24"/>
          <w:szCs w:val="24"/>
        </w:rPr>
        <w:t xml:space="preserve">. </w:t>
      </w:r>
    </w:p>
    <w:p w14:paraId="41C481A7" w14:textId="2C4EAE84" w:rsidR="008D4CF6" w:rsidRPr="00DD50D8" w:rsidRDefault="008D4CF6" w:rsidP="000E136D">
      <w:pPr>
        <w:spacing w:line="360" w:lineRule="auto"/>
        <w:rPr>
          <w:rFonts w:ascii="Times New Roman" w:hAnsi="Times New Roman"/>
          <w:b/>
          <w:iCs/>
          <w:color w:val="000000"/>
          <w:sz w:val="24"/>
        </w:rPr>
      </w:pPr>
      <w:r w:rsidRPr="00DD50D8">
        <w:rPr>
          <w:rFonts w:ascii="Times New Roman" w:hAnsi="Times New Roman"/>
          <w:b/>
          <w:iCs/>
          <w:color w:val="000000"/>
          <w:sz w:val="24"/>
        </w:rPr>
        <w:t xml:space="preserve">Section 3 </w:t>
      </w:r>
      <w:r w:rsidR="004D038A" w:rsidRPr="00DD50D8">
        <w:rPr>
          <w:rFonts w:ascii="Times New Roman" w:hAnsi="Times New Roman"/>
          <w:b/>
          <w:iCs/>
          <w:color w:val="000000"/>
          <w:sz w:val="24"/>
        </w:rPr>
        <w:t>–</w:t>
      </w:r>
      <w:r w:rsidRPr="00DD50D8">
        <w:rPr>
          <w:rFonts w:ascii="Times New Roman" w:hAnsi="Times New Roman"/>
          <w:b/>
          <w:iCs/>
          <w:color w:val="000000"/>
          <w:sz w:val="24"/>
        </w:rPr>
        <w:t xml:space="preserve"> Authority</w:t>
      </w:r>
    </w:p>
    <w:p w14:paraId="0D414F0C" w14:textId="6EBA1594" w:rsidR="008D4CF6" w:rsidRPr="00DD50D8" w:rsidRDefault="008D4CF6" w:rsidP="000E136D">
      <w:pPr>
        <w:spacing w:line="360" w:lineRule="auto"/>
        <w:rPr>
          <w:rFonts w:ascii="Times New Roman" w:eastAsia="Times New Roman" w:hAnsi="Times New Roman" w:cs="Times New Roman"/>
          <w:sz w:val="24"/>
          <w:lang w:eastAsia="en-AU"/>
        </w:rPr>
      </w:pPr>
      <w:r w:rsidRPr="00DD50D8">
        <w:rPr>
          <w:rFonts w:ascii="Times New Roman" w:eastAsia="Times New Roman" w:hAnsi="Times New Roman" w:cs="Times New Roman"/>
          <w:sz w:val="24"/>
          <w:lang w:eastAsia="en-AU"/>
        </w:rPr>
        <w:t xml:space="preserve">This section provides that the </w:t>
      </w:r>
      <w:r w:rsidR="00C8042A" w:rsidRPr="00DD50D8">
        <w:rPr>
          <w:rFonts w:ascii="Times New Roman" w:eastAsia="Times New Roman" w:hAnsi="Times New Roman" w:cs="Times New Roman"/>
          <w:sz w:val="24"/>
          <w:lang w:eastAsia="en-AU"/>
        </w:rPr>
        <w:t>Regulations are</w:t>
      </w:r>
      <w:r w:rsidRPr="00DD50D8">
        <w:rPr>
          <w:rFonts w:ascii="Times New Roman" w:eastAsia="Times New Roman" w:hAnsi="Times New Roman" w:cs="Times New Roman"/>
          <w:sz w:val="24"/>
          <w:lang w:eastAsia="en-AU"/>
        </w:rPr>
        <w:t xml:space="preserve"> made under the </w:t>
      </w:r>
      <w:r w:rsidRPr="00DD50D8">
        <w:rPr>
          <w:rFonts w:ascii="Times New Roman" w:eastAsia="Times New Roman" w:hAnsi="Times New Roman" w:cs="Times New Roman"/>
          <w:i/>
          <w:sz w:val="24"/>
          <w:lang w:eastAsia="en-AU"/>
        </w:rPr>
        <w:t>Extradition Act 1988</w:t>
      </w:r>
      <w:r w:rsidRPr="00DD50D8">
        <w:rPr>
          <w:rFonts w:ascii="Times New Roman" w:eastAsia="Times New Roman" w:hAnsi="Times New Roman" w:cs="Times New Roman"/>
          <w:sz w:val="24"/>
          <w:lang w:eastAsia="en-AU"/>
        </w:rPr>
        <w:t>.</w:t>
      </w:r>
    </w:p>
    <w:p w14:paraId="01D4B867" w14:textId="0A55D81F" w:rsidR="008D4CF6" w:rsidRPr="00DD50D8" w:rsidRDefault="008D4CF6" w:rsidP="008034A8">
      <w:pPr>
        <w:keepNext/>
        <w:spacing w:line="360" w:lineRule="auto"/>
        <w:rPr>
          <w:rFonts w:ascii="Times New Roman" w:hAnsi="Times New Roman"/>
          <w:b/>
          <w:iCs/>
          <w:color w:val="000000"/>
          <w:sz w:val="24"/>
        </w:rPr>
      </w:pPr>
      <w:r w:rsidRPr="00DD50D8">
        <w:rPr>
          <w:rFonts w:ascii="Times New Roman" w:hAnsi="Times New Roman"/>
          <w:b/>
          <w:iCs/>
          <w:color w:val="000000"/>
          <w:sz w:val="24"/>
        </w:rPr>
        <w:t xml:space="preserve">Section 4 </w:t>
      </w:r>
      <w:r w:rsidR="0053406A" w:rsidRPr="00DD50D8">
        <w:rPr>
          <w:rFonts w:ascii="Times New Roman" w:hAnsi="Times New Roman"/>
          <w:b/>
          <w:iCs/>
          <w:color w:val="000000"/>
          <w:sz w:val="24"/>
        </w:rPr>
        <w:t>–</w:t>
      </w:r>
      <w:r w:rsidRPr="00DD50D8">
        <w:rPr>
          <w:rFonts w:ascii="Times New Roman" w:hAnsi="Times New Roman"/>
          <w:b/>
          <w:iCs/>
          <w:color w:val="000000"/>
          <w:sz w:val="24"/>
        </w:rPr>
        <w:t xml:space="preserve"> </w:t>
      </w:r>
      <w:r w:rsidR="00216FC9" w:rsidRPr="00DD50D8">
        <w:rPr>
          <w:rFonts w:ascii="Times New Roman" w:hAnsi="Times New Roman"/>
          <w:b/>
          <w:iCs/>
          <w:color w:val="000000"/>
          <w:sz w:val="24"/>
        </w:rPr>
        <w:t>Schedules</w:t>
      </w:r>
    </w:p>
    <w:p w14:paraId="63FFA3FF" w14:textId="22ADCAEA" w:rsidR="008D4CF6" w:rsidRPr="00DD50D8" w:rsidRDefault="0053406A" w:rsidP="00216FC9">
      <w:pPr>
        <w:spacing w:line="360" w:lineRule="auto"/>
        <w:rPr>
          <w:rFonts w:ascii="Times New Roman" w:eastAsia="Times New Roman" w:hAnsi="Times New Roman" w:cs="Times New Roman"/>
          <w:sz w:val="24"/>
          <w:lang w:eastAsia="en-AU"/>
        </w:rPr>
      </w:pPr>
      <w:r w:rsidRPr="00DD50D8">
        <w:rPr>
          <w:rFonts w:ascii="Times New Roman" w:eastAsia="Times New Roman" w:hAnsi="Times New Roman" w:cs="Times New Roman"/>
          <w:color w:val="000000" w:themeColor="text1"/>
          <w:sz w:val="24"/>
          <w:szCs w:val="24"/>
          <w:lang w:eastAsia="en-AU"/>
        </w:rPr>
        <w:t xml:space="preserve">This section </w:t>
      </w:r>
      <w:r w:rsidR="00216FC9" w:rsidRPr="00DD50D8">
        <w:rPr>
          <w:rFonts w:ascii="Times New Roman" w:eastAsia="Times New Roman" w:hAnsi="Times New Roman" w:cs="Times New Roman"/>
          <w:color w:val="000000" w:themeColor="text1"/>
          <w:sz w:val="24"/>
          <w:szCs w:val="24"/>
          <w:lang w:eastAsia="en-AU"/>
        </w:rPr>
        <w:t xml:space="preserve">provides that </w:t>
      </w:r>
      <w:r w:rsidR="000C5D5B" w:rsidRPr="00DD50D8">
        <w:rPr>
          <w:rFonts w:ascii="Times New Roman" w:eastAsia="Times New Roman" w:hAnsi="Times New Roman" w:cs="Times New Roman"/>
          <w:color w:val="000000" w:themeColor="text1"/>
          <w:sz w:val="24"/>
          <w:szCs w:val="24"/>
          <w:lang w:eastAsia="en-AU"/>
        </w:rPr>
        <w:t>each instrument that is specified in a Schedule to this instrument is amended or repealed as set</w:t>
      </w:r>
      <w:r w:rsidR="004A3C57" w:rsidRPr="00DD50D8">
        <w:rPr>
          <w:rFonts w:ascii="Times New Roman" w:eastAsia="Times New Roman" w:hAnsi="Times New Roman" w:cs="Times New Roman"/>
          <w:color w:val="000000" w:themeColor="text1"/>
          <w:sz w:val="24"/>
          <w:szCs w:val="24"/>
          <w:lang w:eastAsia="en-AU"/>
        </w:rPr>
        <w:t xml:space="preserve"> out in the applicable items in the Schedule concerned, and any other item in a Schedule to this instrument has effect according to its terms.</w:t>
      </w:r>
    </w:p>
    <w:p w14:paraId="06EA0AD7" w14:textId="5D971A47" w:rsidR="001B0CA7" w:rsidRPr="00DD50D8" w:rsidRDefault="00216FC9" w:rsidP="000E136D">
      <w:pPr>
        <w:spacing w:line="360" w:lineRule="auto"/>
        <w:rPr>
          <w:rFonts w:ascii="Times New Roman" w:hAnsi="Times New Roman"/>
          <w:b/>
          <w:iCs/>
          <w:color w:val="000000"/>
          <w:sz w:val="24"/>
        </w:rPr>
      </w:pPr>
      <w:r w:rsidRPr="00DD50D8">
        <w:rPr>
          <w:rFonts w:ascii="Times New Roman" w:hAnsi="Times New Roman"/>
          <w:b/>
          <w:iCs/>
          <w:color w:val="000000"/>
          <w:sz w:val="24"/>
        </w:rPr>
        <w:t xml:space="preserve">Schedule 1 </w:t>
      </w:r>
      <w:r w:rsidR="00C42FA4" w:rsidRPr="00DD50D8">
        <w:rPr>
          <w:rFonts w:ascii="Times New Roman" w:hAnsi="Times New Roman"/>
          <w:b/>
          <w:iCs/>
          <w:color w:val="000000"/>
          <w:sz w:val="24"/>
        </w:rPr>
        <w:t>–</w:t>
      </w:r>
      <w:r w:rsidRPr="00DD50D8">
        <w:rPr>
          <w:rFonts w:ascii="Times New Roman" w:hAnsi="Times New Roman"/>
          <w:b/>
          <w:iCs/>
          <w:color w:val="000000"/>
          <w:sz w:val="24"/>
        </w:rPr>
        <w:t xml:space="preserve"> Amendments</w:t>
      </w:r>
    </w:p>
    <w:p w14:paraId="09BFDCFF" w14:textId="57077A50" w:rsidR="006C455D" w:rsidRPr="00DD50D8" w:rsidRDefault="00216FC9">
      <w:pPr>
        <w:rPr>
          <w:rFonts w:ascii="Times New Roman" w:hAnsi="Times New Roman" w:cs="Times New Roman"/>
          <w:sz w:val="24"/>
          <w:szCs w:val="24"/>
        </w:rPr>
      </w:pPr>
      <w:r w:rsidRPr="00DD50D8">
        <w:rPr>
          <w:rFonts w:ascii="Times New Roman" w:hAnsi="Times New Roman" w:cs="Times New Roman"/>
          <w:b/>
          <w:i/>
          <w:sz w:val="24"/>
          <w:szCs w:val="24"/>
        </w:rPr>
        <w:t xml:space="preserve">Extradition (Commonwealth </w:t>
      </w:r>
      <w:r w:rsidR="000C5D5B" w:rsidRPr="00DD50D8">
        <w:rPr>
          <w:rFonts w:ascii="Times New Roman" w:hAnsi="Times New Roman" w:cs="Times New Roman"/>
          <w:b/>
          <w:i/>
          <w:sz w:val="24"/>
          <w:szCs w:val="24"/>
        </w:rPr>
        <w:t>c</w:t>
      </w:r>
      <w:r w:rsidRPr="00DD50D8">
        <w:rPr>
          <w:rFonts w:ascii="Times New Roman" w:hAnsi="Times New Roman" w:cs="Times New Roman"/>
          <w:b/>
          <w:i/>
          <w:sz w:val="24"/>
          <w:szCs w:val="24"/>
        </w:rPr>
        <w:t>ountries)</w:t>
      </w:r>
      <w:r w:rsidR="000C5D5B" w:rsidRPr="00DD50D8">
        <w:rPr>
          <w:rFonts w:ascii="Times New Roman" w:hAnsi="Times New Roman" w:cs="Times New Roman"/>
          <w:b/>
          <w:i/>
          <w:sz w:val="24"/>
          <w:szCs w:val="24"/>
        </w:rPr>
        <w:t xml:space="preserve"> Regulations 2010</w:t>
      </w:r>
    </w:p>
    <w:p w14:paraId="54EC25D4" w14:textId="48346BAA" w:rsidR="000C5D5B" w:rsidRPr="00DD50D8" w:rsidRDefault="00E56C5B">
      <w:pPr>
        <w:rPr>
          <w:rFonts w:ascii="Times New Roman" w:hAnsi="Times New Roman" w:cs="Times New Roman"/>
          <w:sz w:val="24"/>
          <w:szCs w:val="24"/>
        </w:rPr>
      </w:pPr>
      <w:r w:rsidRPr="00DD50D8">
        <w:rPr>
          <w:rFonts w:ascii="Times New Roman" w:hAnsi="Times New Roman" w:cs="Times New Roman"/>
          <w:b/>
          <w:sz w:val="24"/>
          <w:szCs w:val="24"/>
        </w:rPr>
        <w:t xml:space="preserve">Item </w:t>
      </w:r>
      <w:r w:rsidR="00930E5B" w:rsidRPr="00DD50D8">
        <w:rPr>
          <w:rFonts w:ascii="Times New Roman" w:hAnsi="Times New Roman" w:cs="Times New Roman"/>
          <w:b/>
          <w:sz w:val="24"/>
          <w:szCs w:val="24"/>
        </w:rPr>
        <w:t>1</w:t>
      </w:r>
      <w:r w:rsidR="000C5D5B" w:rsidRPr="00DD50D8">
        <w:rPr>
          <w:rFonts w:ascii="Times New Roman" w:hAnsi="Times New Roman" w:cs="Times New Roman"/>
          <w:b/>
          <w:sz w:val="24"/>
          <w:szCs w:val="24"/>
        </w:rPr>
        <w:t xml:space="preserve"> </w:t>
      </w:r>
    </w:p>
    <w:p w14:paraId="24F58D25" w14:textId="2FB9EB5C" w:rsidR="00816DEC" w:rsidRPr="00DD50D8" w:rsidRDefault="000C5D5B" w:rsidP="00E40F11">
      <w:pPr>
        <w:spacing w:line="360" w:lineRule="auto"/>
        <w:rPr>
          <w:rFonts w:ascii="Times New Roman" w:eastAsia="Times New Roman" w:hAnsi="Times New Roman" w:cs="Times New Roman"/>
          <w:color w:val="000000" w:themeColor="text1"/>
          <w:sz w:val="24"/>
          <w:szCs w:val="24"/>
          <w:lang w:eastAsia="en-AU"/>
        </w:rPr>
      </w:pPr>
      <w:r w:rsidRPr="00DD50D8">
        <w:rPr>
          <w:rFonts w:ascii="Times New Roman" w:eastAsia="Times New Roman" w:hAnsi="Times New Roman" w:cs="Times New Roman"/>
          <w:color w:val="000000" w:themeColor="text1"/>
          <w:sz w:val="24"/>
          <w:szCs w:val="24"/>
          <w:lang w:eastAsia="en-AU"/>
        </w:rPr>
        <w:t xml:space="preserve">Item </w:t>
      </w:r>
      <w:r w:rsidR="00930E5B" w:rsidRPr="00DD50D8">
        <w:rPr>
          <w:rFonts w:ascii="Times New Roman" w:eastAsia="Times New Roman" w:hAnsi="Times New Roman" w:cs="Times New Roman"/>
          <w:color w:val="000000" w:themeColor="text1"/>
          <w:sz w:val="24"/>
          <w:szCs w:val="24"/>
          <w:lang w:eastAsia="en-AU"/>
        </w:rPr>
        <w:t>1</w:t>
      </w:r>
      <w:r w:rsidRPr="00DD50D8">
        <w:rPr>
          <w:rFonts w:ascii="Times New Roman" w:eastAsia="Times New Roman" w:hAnsi="Times New Roman" w:cs="Times New Roman"/>
          <w:color w:val="000000" w:themeColor="text1"/>
          <w:sz w:val="24"/>
          <w:szCs w:val="24"/>
          <w:lang w:eastAsia="en-AU"/>
        </w:rPr>
        <w:t xml:space="preserve"> repeals regulation 5</w:t>
      </w:r>
      <w:r w:rsidR="00E75552" w:rsidRPr="00DD50D8">
        <w:rPr>
          <w:rFonts w:ascii="Times New Roman" w:eastAsia="Times New Roman" w:hAnsi="Times New Roman" w:cs="Times New Roman"/>
          <w:color w:val="000000" w:themeColor="text1"/>
          <w:sz w:val="24"/>
          <w:szCs w:val="24"/>
          <w:lang w:eastAsia="en-AU"/>
        </w:rPr>
        <w:t xml:space="preserve"> of the existing Regulations</w:t>
      </w:r>
      <w:r w:rsidRPr="00DD50D8">
        <w:rPr>
          <w:rFonts w:ascii="Times New Roman" w:eastAsia="Times New Roman" w:hAnsi="Times New Roman" w:cs="Times New Roman"/>
          <w:color w:val="000000" w:themeColor="text1"/>
          <w:sz w:val="24"/>
          <w:szCs w:val="24"/>
          <w:lang w:eastAsia="en-AU"/>
        </w:rPr>
        <w:t xml:space="preserve"> and substitutes it with an expanded definition of an extradition country. The new definition</w:t>
      </w:r>
      <w:r w:rsidR="00BB2124" w:rsidRPr="00DD50D8">
        <w:rPr>
          <w:rFonts w:ascii="Times New Roman" w:eastAsia="Times New Roman" w:hAnsi="Times New Roman" w:cs="Times New Roman"/>
          <w:color w:val="000000" w:themeColor="text1"/>
          <w:sz w:val="24"/>
          <w:szCs w:val="24"/>
          <w:lang w:eastAsia="en-AU"/>
        </w:rPr>
        <w:t xml:space="preserve"> replaces the reference to Schedule</w:t>
      </w:r>
      <w:r w:rsidR="00210E16" w:rsidRPr="00DD50D8">
        <w:rPr>
          <w:rFonts w:ascii="Times New Roman" w:eastAsia="Times New Roman" w:hAnsi="Times New Roman" w:cs="Times New Roman"/>
          <w:color w:val="000000" w:themeColor="text1"/>
          <w:sz w:val="24"/>
          <w:szCs w:val="24"/>
          <w:lang w:eastAsia="en-AU"/>
        </w:rPr>
        <w:t xml:space="preserve"> 1</w:t>
      </w:r>
      <w:r w:rsidR="00BB2124" w:rsidRPr="00DD50D8">
        <w:rPr>
          <w:rFonts w:ascii="Times New Roman" w:eastAsia="Times New Roman" w:hAnsi="Times New Roman" w:cs="Times New Roman"/>
          <w:color w:val="000000" w:themeColor="text1"/>
          <w:sz w:val="24"/>
          <w:szCs w:val="24"/>
          <w:lang w:eastAsia="en-AU"/>
        </w:rPr>
        <w:t xml:space="preserve"> to the existing Regulations (which contains a closed list of Commonwealth countries) with a broad definition of </w:t>
      </w:r>
      <w:r w:rsidR="00962D1A" w:rsidRPr="00DD50D8">
        <w:rPr>
          <w:rFonts w:ascii="Times New Roman" w:eastAsia="Times New Roman" w:hAnsi="Times New Roman" w:cs="Times New Roman"/>
          <w:color w:val="000000" w:themeColor="text1"/>
          <w:sz w:val="24"/>
          <w:szCs w:val="24"/>
          <w:lang w:eastAsia="en-AU"/>
        </w:rPr>
        <w:t>‘</w:t>
      </w:r>
      <w:r w:rsidR="00BB2124" w:rsidRPr="00DD50D8">
        <w:rPr>
          <w:rFonts w:ascii="Times New Roman" w:eastAsia="Times New Roman" w:hAnsi="Times New Roman" w:cs="Times New Roman"/>
          <w:color w:val="000000" w:themeColor="text1"/>
          <w:sz w:val="24"/>
          <w:szCs w:val="24"/>
          <w:lang w:eastAsia="en-AU"/>
        </w:rPr>
        <w:t xml:space="preserve">member of the Commonwealth of </w:t>
      </w:r>
      <w:r w:rsidR="00C52F20" w:rsidRPr="00DD50D8">
        <w:rPr>
          <w:rFonts w:ascii="Times New Roman" w:eastAsia="Times New Roman" w:hAnsi="Times New Roman" w:cs="Times New Roman"/>
          <w:color w:val="000000" w:themeColor="text1"/>
          <w:sz w:val="24"/>
          <w:szCs w:val="24"/>
          <w:lang w:eastAsia="en-AU"/>
        </w:rPr>
        <w:t>N</w:t>
      </w:r>
      <w:r w:rsidR="00BB2124" w:rsidRPr="00DD50D8">
        <w:rPr>
          <w:rFonts w:ascii="Times New Roman" w:eastAsia="Times New Roman" w:hAnsi="Times New Roman" w:cs="Times New Roman"/>
          <w:color w:val="000000" w:themeColor="text1"/>
          <w:sz w:val="24"/>
          <w:szCs w:val="24"/>
          <w:lang w:eastAsia="en-AU"/>
        </w:rPr>
        <w:t>ations</w:t>
      </w:r>
      <w:r w:rsidR="00962D1A" w:rsidRPr="00DD50D8">
        <w:rPr>
          <w:rFonts w:ascii="Times New Roman" w:eastAsia="Times New Roman" w:hAnsi="Times New Roman" w:cs="Times New Roman"/>
          <w:color w:val="000000" w:themeColor="text1"/>
          <w:sz w:val="24"/>
          <w:szCs w:val="24"/>
          <w:lang w:eastAsia="en-AU"/>
        </w:rPr>
        <w:t>’</w:t>
      </w:r>
      <w:r w:rsidR="00BB2124" w:rsidRPr="00DD50D8">
        <w:rPr>
          <w:rFonts w:ascii="Times New Roman" w:eastAsia="Times New Roman" w:hAnsi="Times New Roman" w:cs="Times New Roman"/>
          <w:color w:val="000000" w:themeColor="text1"/>
          <w:sz w:val="24"/>
          <w:szCs w:val="24"/>
          <w:lang w:eastAsia="en-AU"/>
        </w:rPr>
        <w:t xml:space="preserve"> which can be </w:t>
      </w:r>
      <w:r w:rsidR="00C52F20" w:rsidRPr="00DD50D8">
        <w:rPr>
          <w:rFonts w:ascii="Times New Roman" w:eastAsia="Times New Roman" w:hAnsi="Times New Roman" w:cs="Times New Roman"/>
          <w:color w:val="000000" w:themeColor="text1"/>
          <w:sz w:val="24"/>
          <w:szCs w:val="24"/>
          <w:lang w:eastAsia="en-AU"/>
        </w:rPr>
        <w:t xml:space="preserve">verified through </w:t>
      </w:r>
      <w:r w:rsidR="00816DEC" w:rsidRPr="00DD50D8">
        <w:rPr>
          <w:rFonts w:ascii="Times New Roman" w:eastAsia="Times New Roman" w:hAnsi="Times New Roman" w:cs="Times New Roman"/>
          <w:color w:val="000000" w:themeColor="text1"/>
          <w:sz w:val="24"/>
          <w:szCs w:val="24"/>
          <w:lang w:eastAsia="en-AU"/>
        </w:rPr>
        <w:t>the Commonwealth of Nations website</w:t>
      </w:r>
      <w:r w:rsidR="00C52F20" w:rsidRPr="00DD50D8">
        <w:rPr>
          <w:rFonts w:ascii="Times New Roman" w:eastAsia="Times New Roman" w:hAnsi="Times New Roman" w:cs="Times New Roman"/>
          <w:color w:val="000000" w:themeColor="text1"/>
          <w:sz w:val="24"/>
          <w:szCs w:val="24"/>
          <w:lang w:eastAsia="en-AU"/>
        </w:rPr>
        <w:t>.</w:t>
      </w:r>
      <w:r w:rsidR="00816DEC" w:rsidRPr="00DD50D8">
        <w:rPr>
          <w:rFonts w:ascii="Times New Roman" w:eastAsia="Times New Roman" w:hAnsi="Times New Roman" w:cs="Times New Roman"/>
          <w:color w:val="000000" w:themeColor="text1"/>
          <w:sz w:val="24"/>
          <w:szCs w:val="24"/>
          <w:lang w:eastAsia="en-AU"/>
        </w:rPr>
        <w:t xml:space="preserve"> </w:t>
      </w:r>
      <w:r w:rsidR="00E75552" w:rsidRPr="00DD50D8">
        <w:rPr>
          <w:rFonts w:ascii="Times New Roman" w:eastAsia="Times New Roman" w:hAnsi="Times New Roman" w:cs="Times New Roman"/>
          <w:color w:val="000000" w:themeColor="text1"/>
          <w:sz w:val="24"/>
          <w:szCs w:val="24"/>
          <w:lang w:eastAsia="en-AU"/>
        </w:rPr>
        <w:t>This change will mean that</w:t>
      </w:r>
      <w:r w:rsidR="00C52F20" w:rsidRPr="00DD50D8">
        <w:rPr>
          <w:rFonts w:ascii="Times New Roman" w:eastAsia="Times New Roman" w:hAnsi="Times New Roman" w:cs="Times New Roman"/>
          <w:color w:val="000000" w:themeColor="text1"/>
          <w:sz w:val="24"/>
          <w:szCs w:val="24"/>
          <w:lang w:eastAsia="en-AU"/>
        </w:rPr>
        <w:t xml:space="preserve"> the Regulations will not have to be updated in the future when a country either leaves or joins the Commonwealth. </w:t>
      </w:r>
      <w:r w:rsidR="00C52F20" w:rsidRPr="00DD50D8">
        <w:rPr>
          <w:rFonts w:ascii="Times New Roman" w:eastAsia="Times New Roman" w:hAnsi="Times New Roman" w:cs="Times New Roman"/>
          <w:color w:val="000000" w:themeColor="text1"/>
          <w:sz w:val="24"/>
          <w:szCs w:val="24"/>
          <w:lang w:eastAsia="en-AU"/>
        </w:rPr>
        <w:lastRenderedPageBreak/>
        <w:t xml:space="preserve">This will allow Australia to cooperate with countries that join the Commonwealth in the future without the need to amend the Regulations. </w:t>
      </w:r>
    </w:p>
    <w:p w14:paraId="7D7185EB" w14:textId="03B59ACF" w:rsidR="00DE31CB" w:rsidRPr="00DD50D8" w:rsidRDefault="00DE31CB" w:rsidP="00E40F11">
      <w:pPr>
        <w:spacing w:line="360" w:lineRule="auto"/>
        <w:rPr>
          <w:rFonts w:ascii="Times New Roman" w:eastAsia="Times New Roman" w:hAnsi="Times New Roman" w:cs="Times New Roman"/>
          <w:color w:val="000000" w:themeColor="text1"/>
          <w:sz w:val="24"/>
          <w:szCs w:val="24"/>
          <w:lang w:eastAsia="en-AU"/>
        </w:rPr>
      </w:pPr>
      <w:r w:rsidRPr="00DD50D8">
        <w:rPr>
          <w:rFonts w:ascii="Times New Roman" w:eastAsia="Times New Roman" w:hAnsi="Times New Roman" w:cs="Times New Roman"/>
          <w:color w:val="000000" w:themeColor="text1"/>
          <w:sz w:val="24"/>
          <w:szCs w:val="24"/>
          <w:lang w:eastAsia="en-AU"/>
        </w:rPr>
        <w:t>The Regulations would have the effect of establishing extradition relationship</w:t>
      </w:r>
      <w:r w:rsidR="00976A4D">
        <w:rPr>
          <w:rFonts w:ascii="Times New Roman" w:eastAsia="Times New Roman" w:hAnsi="Times New Roman" w:cs="Times New Roman"/>
          <w:color w:val="000000" w:themeColor="text1"/>
          <w:sz w:val="24"/>
          <w:szCs w:val="24"/>
          <w:lang w:eastAsia="en-AU"/>
        </w:rPr>
        <w:t>s</w:t>
      </w:r>
      <w:r w:rsidRPr="00DD50D8">
        <w:rPr>
          <w:rFonts w:ascii="Times New Roman" w:eastAsia="Times New Roman" w:hAnsi="Times New Roman" w:cs="Times New Roman"/>
          <w:color w:val="000000" w:themeColor="text1"/>
          <w:sz w:val="24"/>
          <w:szCs w:val="24"/>
          <w:lang w:eastAsia="en-AU"/>
        </w:rPr>
        <w:t xml:space="preserve"> with </w:t>
      </w:r>
      <w:r w:rsidR="00976A4D">
        <w:rPr>
          <w:rFonts w:ascii="Times New Roman" w:eastAsia="Times New Roman" w:hAnsi="Times New Roman" w:cs="Times New Roman"/>
          <w:color w:val="000000" w:themeColor="text1"/>
          <w:sz w:val="24"/>
          <w:szCs w:val="24"/>
          <w:lang w:eastAsia="en-AU"/>
        </w:rPr>
        <w:t>Cameroon, Gabon, Mozambique, Rwanda and Togo</w:t>
      </w:r>
      <w:r w:rsidRPr="00DD50D8">
        <w:rPr>
          <w:rFonts w:ascii="Times New Roman" w:eastAsia="Times New Roman" w:hAnsi="Times New Roman" w:cs="Times New Roman"/>
          <w:color w:val="000000" w:themeColor="text1"/>
          <w:sz w:val="24"/>
          <w:szCs w:val="24"/>
          <w:lang w:eastAsia="en-AU"/>
        </w:rPr>
        <w:t>, as Commonwealth countries which are not currently listed in the existing Regulation.</w:t>
      </w:r>
    </w:p>
    <w:p w14:paraId="3FA031B6" w14:textId="40483127" w:rsidR="00B36398" w:rsidRPr="00DD50D8" w:rsidRDefault="00E75552" w:rsidP="00E40F11">
      <w:pPr>
        <w:spacing w:line="360" w:lineRule="auto"/>
        <w:rPr>
          <w:rFonts w:ascii="Times New Roman" w:eastAsia="Times New Roman" w:hAnsi="Times New Roman" w:cs="Times New Roman"/>
          <w:color w:val="000000" w:themeColor="text1"/>
          <w:sz w:val="24"/>
          <w:szCs w:val="24"/>
          <w:lang w:eastAsia="en-AU"/>
        </w:rPr>
      </w:pPr>
      <w:r w:rsidRPr="00DD50D8">
        <w:rPr>
          <w:rFonts w:ascii="Times New Roman" w:eastAsia="Times New Roman" w:hAnsi="Times New Roman" w:cs="Times New Roman"/>
          <w:color w:val="000000" w:themeColor="text1"/>
          <w:sz w:val="24"/>
          <w:szCs w:val="24"/>
          <w:lang w:eastAsia="en-AU"/>
        </w:rPr>
        <w:t xml:space="preserve">New regulation 5(2) prescribes the </w:t>
      </w:r>
      <w:r w:rsidR="00D4464C" w:rsidRPr="00DD50D8">
        <w:rPr>
          <w:rFonts w:ascii="Times New Roman" w:eastAsia="Times New Roman" w:hAnsi="Times New Roman" w:cs="Times New Roman"/>
          <w:color w:val="000000" w:themeColor="text1"/>
          <w:sz w:val="24"/>
          <w:szCs w:val="24"/>
          <w:lang w:eastAsia="en-AU"/>
        </w:rPr>
        <w:t xml:space="preserve">British </w:t>
      </w:r>
      <w:r w:rsidRPr="00DD50D8">
        <w:rPr>
          <w:rFonts w:ascii="Times New Roman" w:eastAsia="Times New Roman" w:hAnsi="Times New Roman" w:cs="Times New Roman"/>
          <w:color w:val="000000" w:themeColor="text1"/>
          <w:sz w:val="24"/>
          <w:szCs w:val="24"/>
          <w:lang w:eastAsia="en-AU"/>
        </w:rPr>
        <w:t xml:space="preserve">Overseas </w:t>
      </w:r>
      <w:r w:rsidR="00D4464C" w:rsidRPr="00DD50D8">
        <w:rPr>
          <w:rFonts w:ascii="Times New Roman" w:eastAsia="Times New Roman" w:hAnsi="Times New Roman" w:cs="Times New Roman"/>
          <w:color w:val="000000" w:themeColor="text1"/>
          <w:sz w:val="24"/>
          <w:szCs w:val="24"/>
          <w:lang w:eastAsia="en-AU"/>
        </w:rPr>
        <w:t xml:space="preserve">Territories </w:t>
      </w:r>
      <w:r w:rsidRPr="00DD50D8">
        <w:rPr>
          <w:rFonts w:ascii="Times New Roman" w:eastAsia="Times New Roman" w:hAnsi="Times New Roman" w:cs="Times New Roman"/>
          <w:color w:val="000000" w:themeColor="text1"/>
          <w:sz w:val="24"/>
          <w:szCs w:val="24"/>
          <w:lang w:eastAsia="en-AU"/>
        </w:rPr>
        <w:t xml:space="preserve">as extradition countries. This preserves the status quo as these territories were listed in the existing Regulation before these amendments were made. It is necessary to </w:t>
      </w:r>
      <w:r w:rsidR="00D4464C" w:rsidRPr="00DD50D8">
        <w:rPr>
          <w:rFonts w:ascii="Times New Roman" w:eastAsia="Times New Roman" w:hAnsi="Times New Roman" w:cs="Times New Roman"/>
          <w:color w:val="000000" w:themeColor="text1"/>
          <w:sz w:val="24"/>
          <w:szCs w:val="24"/>
          <w:lang w:eastAsia="en-AU"/>
        </w:rPr>
        <w:t xml:space="preserve">specifically prescribe </w:t>
      </w:r>
      <w:r w:rsidRPr="00DD50D8">
        <w:rPr>
          <w:rFonts w:ascii="Times New Roman" w:eastAsia="Times New Roman" w:hAnsi="Times New Roman" w:cs="Times New Roman"/>
          <w:color w:val="000000" w:themeColor="text1"/>
          <w:sz w:val="24"/>
          <w:szCs w:val="24"/>
          <w:lang w:eastAsia="en-AU"/>
        </w:rPr>
        <w:t xml:space="preserve">these territories </w:t>
      </w:r>
      <w:r w:rsidR="00D4464C" w:rsidRPr="00DD50D8">
        <w:rPr>
          <w:rFonts w:ascii="Times New Roman" w:eastAsia="Times New Roman" w:hAnsi="Times New Roman" w:cs="Times New Roman"/>
          <w:color w:val="000000" w:themeColor="text1"/>
          <w:sz w:val="24"/>
          <w:szCs w:val="24"/>
          <w:lang w:eastAsia="en-AU"/>
        </w:rPr>
        <w:t xml:space="preserve">as they are not included on the Commonwealth of Nations website. </w:t>
      </w:r>
    </w:p>
    <w:p w14:paraId="6580192A" w14:textId="2C51225E" w:rsidR="000C5D5B" w:rsidRPr="00DD50D8" w:rsidRDefault="000C5D5B">
      <w:pPr>
        <w:rPr>
          <w:rFonts w:ascii="Times New Roman" w:hAnsi="Times New Roman" w:cs="Times New Roman"/>
          <w:sz w:val="24"/>
          <w:szCs w:val="24"/>
        </w:rPr>
      </w:pPr>
      <w:r w:rsidRPr="00DD50D8">
        <w:rPr>
          <w:rFonts w:ascii="Times New Roman" w:hAnsi="Times New Roman" w:cs="Times New Roman"/>
          <w:b/>
          <w:sz w:val="24"/>
          <w:szCs w:val="24"/>
        </w:rPr>
        <w:t xml:space="preserve">Item </w:t>
      </w:r>
      <w:r w:rsidR="00930E5B" w:rsidRPr="00DD50D8">
        <w:rPr>
          <w:rFonts w:ascii="Times New Roman" w:hAnsi="Times New Roman" w:cs="Times New Roman"/>
          <w:b/>
          <w:sz w:val="24"/>
          <w:szCs w:val="24"/>
        </w:rPr>
        <w:t>2</w:t>
      </w:r>
      <w:r w:rsidRPr="00DD50D8">
        <w:rPr>
          <w:rFonts w:ascii="Times New Roman" w:hAnsi="Times New Roman" w:cs="Times New Roman"/>
          <w:b/>
          <w:sz w:val="24"/>
          <w:szCs w:val="24"/>
        </w:rPr>
        <w:t xml:space="preserve"> </w:t>
      </w:r>
    </w:p>
    <w:p w14:paraId="1E0FDF3B" w14:textId="7B27013B" w:rsidR="000C5D5B" w:rsidRPr="00DD50D8" w:rsidRDefault="000C5D5B" w:rsidP="0022477C">
      <w:pPr>
        <w:spacing w:line="360" w:lineRule="auto"/>
        <w:rPr>
          <w:rFonts w:ascii="Times New Roman" w:eastAsia="Times New Roman" w:hAnsi="Times New Roman" w:cs="Times New Roman"/>
          <w:color w:val="000000" w:themeColor="text1"/>
          <w:sz w:val="24"/>
          <w:szCs w:val="24"/>
          <w:lang w:eastAsia="en-AU"/>
        </w:rPr>
      </w:pPr>
      <w:r w:rsidRPr="00DD50D8">
        <w:rPr>
          <w:rFonts w:ascii="Times New Roman" w:eastAsia="Times New Roman" w:hAnsi="Times New Roman" w:cs="Times New Roman"/>
          <w:color w:val="000000" w:themeColor="text1"/>
          <w:sz w:val="24"/>
          <w:szCs w:val="24"/>
          <w:lang w:eastAsia="en-AU"/>
        </w:rPr>
        <w:t xml:space="preserve">Item </w:t>
      </w:r>
      <w:r w:rsidR="00930E5B" w:rsidRPr="00DD50D8">
        <w:rPr>
          <w:rFonts w:ascii="Times New Roman" w:eastAsia="Times New Roman" w:hAnsi="Times New Roman" w:cs="Times New Roman"/>
          <w:color w:val="000000" w:themeColor="text1"/>
          <w:sz w:val="24"/>
          <w:szCs w:val="24"/>
          <w:lang w:eastAsia="en-AU"/>
        </w:rPr>
        <w:t>2</w:t>
      </w:r>
      <w:r w:rsidRPr="00DD50D8">
        <w:rPr>
          <w:rFonts w:ascii="Times New Roman" w:eastAsia="Times New Roman" w:hAnsi="Times New Roman" w:cs="Times New Roman"/>
          <w:color w:val="000000" w:themeColor="text1"/>
          <w:sz w:val="24"/>
          <w:szCs w:val="24"/>
          <w:lang w:eastAsia="en-AU"/>
        </w:rPr>
        <w:t xml:space="preserve"> repeals regulation 8 </w:t>
      </w:r>
      <w:r w:rsidR="00FE7F57" w:rsidRPr="00DD50D8">
        <w:rPr>
          <w:rFonts w:ascii="Times New Roman" w:eastAsia="Times New Roman" w:hAnsi="Times New Roman" w:cs="Times New Roman"/>
          <w:color w:val="000000" w:themeColor="text1"/>
          <w:sz w:val="24"/>
          <w:szCs w:val="24"/>
          <w:lang w:eastAsia="en-AU"/>
        </w:rPr>
        <w:t xml:space="preserve">which requires Commonwealth countries seeking extradition to provide prima facie case evidence to Australia. </w:t>
      </w:r>
      <w:r w:rsidR="00912DCD" w:rsidRPr="00DD50D8">
        <w:rPr>
          <w:rFonts w:ascii="Times New Roman" w:eastAsia="Times New Roman" w:hAnsi="Times New Roman" w:cs="Times New Roman"/>
          <w:color w:val="000000" w:themeColor="text1"/>
          <w:sz w:val="24"/>
          <w:szCs w:val="24"/>
          <w:lang w:eastAsia="en-AU"/>
        </w:rPr>
        <w:t>The n</w:t>
      </w:r>
      <w:r w:rsidR="00FE7F57" w:rsidRPr="00DD50D8">
        <w:rPr>
          <w:rFonts w:ascii="Times New Roman" w:eastAsia="Times New Roman" w:hAnsi="Times New Roman" w:cs="Times New Roman"/>
          <w:color w:val="000000" w:themeColor="text1"/>
          <w:sz w:val="24"/>
          <w:szCs w:val="24"/>
          <w:lang w:eastAsia="en-AU"/>
        </w:rPr>
        <w:t xml:space="preserve">ew regulation 8 </w:t>
      </w:r>
      <w:r w:rsidR="0022477C" w:rsidRPr="00DD50D8">
        <w:rPr>
          <w:rFonts w:ascii="Times New Roman" w:eastAsia="Times New Roman" w:hAnsi="Times New Roman" w:cs="Times New Roman"/>
          <w:color w:val="000000" w:themeColor="text1"/>
          <w:sz w:val="24"/>
          <w:szCs w:val="24"/>
          <w:lang w:eastAsia="en-AU"/>
        </w:rPr>
        <w:t xml:space="preserve">instead requires </w:t>
      </w:r>
      <w:r w:rsidR="004015CC" w:rsidRPr="00DD50D8">
        <w:rPr>
          <w:rFonts w:ascii="Times New Roman" w:eastAsia="Times New Roman" w:hAnsi="Times New Roman" w:cs="Times New Roman"/>
          <w:color w:val="000000" w:themeColor="text1"/>
          <w:sz w:val="24"/>
          <w:szCs w:val="24"/>
          <w:lang w:eastAsia="en-AU"/>
        </w:rPr>
        <w:t xml:space="preserve">documentation outlining a </w:t>
      </w:r>
      <w:r w:rsidR="0022477C" w:rsidRPr="00DD50D8">
        <w:rPr>
          <w:rFonts w:ascii="Times New Roman" w:eastAsia="Times New Roman" w:hAnsi="Times New Roman" w:cs="Times New Roman"/>
          <w:color w:val="000000" w:themeColor="text1"/>
          <w:sz w:val="24"/>
          <w:szCs w:val="24"/>
          <w:lang w:eastAsia="en-AU"/>
        </w:rPr>
        <w:t xml:space="preserve">record </w:t>
      </w:r>
      <w:r w:rsidR="004015CC" w:rsidRPr="00DD50D8">
        <w:rPr>
          <w:rFonts w:ascii="Times New Roman" w:eastAsia="Times New Roman" w:hAnsi="Times New Roman" w:cs="Times New Roman"/>
          <w:color w:val="000000" w:themeColor="text1"/>
          <w:sz w:val="24"/>
          <w:szCs w:val="24"/>
          <w:lang w:eastAsia="en-AU"/>
        </w:rPr>
        <w:t>of the case</w:t>
      </w:r>
      <w:r w:rsidR="004B3A90" w:rsidRPr="00DD50D8">
        <w:rPr>
          <w:rFonts w:ascii="Times New Roman" w:eastAsia="Times New Roman" w:hAnsi="Times New Roman" w:cs="Times New Roman"/>
          <w:color w:val="000000" w:themeColor="text1"/>
          <w:sz w:val="24"/>
          <w:szCs w:val="24"/>
          <w:lang w:eastAsia="en-AU"/>
        </w:rPr>
        <w:t xml:space="preserve">. </w:t>
      </w:r>
      <w:r w:rsidR="00FE7F57" w:rsidRPr="00DD50D8">
        <w:rPr>
          <w:rFonts w:ascii="Times New Roman" w:eastAsia="Times New Roman" w:hAnsi="Times New Roman" w:cs="Times New Roman"/>
          <w:color w:val="000000" w:themeColor="text1"/>
          <w:sz w:val="24"/>
          <w:szCs w:val="24"/>
          <w:lang w:eastAsia="en-AU"/>
        </w:rPr>
        <w:t xml:space="preserve">In addition to the supporting documents set out in 19(3)(a) of the Act, </w:t>
      </w:r>
      <w:r w:rsidR="00D144CF" w:rsidRPr="00DD50D8">
        <w:rPr>
          <w:rFonts w:ascii="Times New Roman" w:eastAsia="Times New Roman" w:hAnsi="Times New Roman" w:cs="Times New Roman"/>
          <w:color w:val="000000" w:themeColor="text1"/>
          <w:sz w:val="24"/>
          <w:szCs w:val="24"/>
          <w:lang w:eastAsia="en-AU"/>
        </w:rPr>
        <w:t>Commonwealth countries will</w:t>
      </w:r>
      <w:r w:rsidR="004B3A90" w:rsidRPr="00DD50D8">
        <w:rPr>
          <w:rFonts w:ascii="Times New Roman" w:eastAsia="Times New Roman" w:hAnsi="Times New Roman" w:cs="Times New Roman"/>
          <w:color w:val="000000" w:themeColor="text1"/>
          <w:sz w:val="24"/>
          <w:szCs w:val="24"/>
          <w:lang w:eastAsia="en-AU"/>
        </w:rPr>
        <w:t xml:space="preserve"> now</w:t>
      </w:r>
      <w:r w:rsidR="00D144CF" w:rsidRPr="00DD50D8">
        <w:rPr>
          <w:rFonts w:ascii="Times New Roman" w:eastAsia="Times New Roman" w:hAnsi="Times New Roman" w:cs="Times New Roman"/>
          <w:color w:val="000000" w:themeColor="text1"/>
          <w:sz w:val="24"/>
          <w:szCs w:val="24"/>
          <w:lang w:eastAsia="en-AU"/>
        </w:rPr>
        <w:t xml:space="preserve"> need to provide </w:t>
      </w:r>
      <w:r w:rsidR="00D8150B" w:rsidRPr="00DD50D8">
        <w:rPr>
          <w:rFonts w:ascii="Times New Roman" w:eastAsia="Times New Roman" w:hAnsi="Times New Roman" w:cs="Times New Roman"/>
          <w:color w:val="000000" w:themeColor="text1"/>
          <w:sz w:val="24"/>
          <w:szCs w:val="24"/>
          <w:lang w:eastAsia="en-AU"/>
        </w:rPr>
        <w:t xml:space="preserve">a statement of the person’s identity, nationality, physical description and whereabouts along with </w:t>
      </w:r>
      <w:r w:rsidR="00D144CF" w:rsidRPr="00DD50D8">
        <w:rPr>
          <w:rFonts w:ascii="Times New Roman" w:eastAsia="Times New Roman" w:hAnsi="Times New Roman" w:cs="Times New Roman"/>
          <w:color w:val="000000" w:themeColor="text1"/>
          <w:sz w:val="24"/>
          <w:szCs w:val="24"/>
          <w:lang w:eastAsia="en-AU"/>
        </w:rPr>
        <w:t>a recital of the evidence in support of extradition</w:t>
      </w:r>
      <w:r w:rsidR="00D8150B" w:rsidRPr="00DD50D8">
        <w:rPr>
          <w:rFonts w:ascii="Times New Roman" w:eastAsia="Times New Roman" w:hAnsi="Times New Roman" w:cs="Times New Roman"/>
          <w:color w:val="000000" w:themeColor="text1"/>
          <w:sz w:val="24"/>
          <w:szCs w:val="24"/>
          <w:lang w:eastAsia="en-AU"/>
        </w:rPr>
        <w:t xml:space="preserve"> and a </w:t>
      </w:r>
      <w:r w:rsidR="004B3A90" w:rsidRPr="00DD50D8">
        <w:rPr>
          <w:rFonts w:ascii="Times New Roman" w:eastAsia="Times New Roman" w:hAnsi="Times New Roman" w:cs="Times New Roman"/>
          <w:color w:val="000000" w:themeColor="text1"/>
          <w:sz w:val="24"/>
          <w:szCs w:val="24"/>
          <w:lang w:eastAsia="en-AU"/>
        </w:rPr>
        <w:t>c</w:t>
      </w:r>
      <w:r w:rsidR="00D8150B" w:rsidRPr="00DD50D8">
        <w:rPr>
          <w:rFonts w:ascii="Times New Roman" w:eastAsia="Times New Roman" w:hAnsi="Times New Roman" w:cs="Times New Roman"/>
          <w:color w:val="000000" w:themeColor="text1"/>
          <w:sz w:val="24"/>
          <w:szCs w:val="24"/>
          <w:lang w:eastAsia="en-AU"/>
        </w:rPr>
        <w:t>ertificate issued by prescribed officials of a Commonwealth country.</w:t>
      </w:r>
    </w:p>
    <w:p w14:paraId="097111F6" w14:textId="32082422" w:rsidR="009A43F1" w:rsidRPr="00DD50D8" w:rsidRDefault="000C5D5B">
      <w:pPr>
        <w:rPr>
          <w:rFonts w:ascii="Times New Roman" w:hAnsi="Times New Roman" w:cs="Times New Roman"/>
          <w:b/>
          <w:sz w:val="24"/>
          <w:szCs w:val="24"/>
        </w:rPr>
      </w:pPr>
      <w:r w:rsidRPr="00DD50D8">
        <w:rPr>
          <w:rFonts w:ascii="Times New Roman" w:hAnsi="Times New Roman" w:cs="Times New Roman"/>
          <w:b/>
          <w:sz w:val="24"/>
          <w:szCs w:val="24"/>
        </w:rPr>
        <w:t xml:space="preserve">Item </w:t>
      </w:r>
      <w:r w:rsidR="00930E5B" w:rsidRPr="00DD50D8">
        <w:rPr>
          <w:rFonts w:ascii="Times New Roman" w:hAnsi="Times New Roman" w:cs="Times New Roman"/>
          <w:b/>
          <w:sz w:val="24"/>
          <w:szCs w:val="24"/>
        </w:rPr>
        <w:t>3</w:t>
      </w:r>
      <w:r w:rsidRPr="00DD50D8">
        <w:rPr>
          <w:rFonts w:ascii="Times New Roman" w:hAnsi="Times New Roman" w:cs="Times New Roman"/>
          <w:b/>
          <w:sz w:val="24"/>
          <w:szCs w:val="24"/>
        </w:rPr>
        <w:t xml:space="preserve"> </w:t>
      </w:r>
    </w:p>
    <w:p w14:paraId="52BC827C" w14:textId="7835529C" w:rsidR="004A3C57" w:rsidRPr="00DD50D8" w:rsidRDefault="000C5D5B" w:rsidP="004015CC">
      <w:pPr>
        <w:spacing w:line="360" w:lineRule="auto"/>
        <w:rPr>
          <w:rFonts w:ascii="Times New Roman" w:eastAsia="Times New Roman" w:hAnsi="Times New Roman" w:cs="Times New Roman"/>
          <w:color w:val="000000" w:themeColor="text1"/>
          <w:sz w:val="24"/>
          <w:szCs w:val="24"/>
          <w:lang w:eastAsia="en-AU"/>
        </w:rPr>
      </w:pPr>
      <w:r w:rsidRPr="00DD50D8">
        <w:rPr>
          <w:rFonts w:ascii="Times New Roman" w:eastAsia="Times New Roman" w:hAnsi="Times New Roman" w:cs="Times New Roman"/>
          <w:color w:val="000000" w:themeColor="text1"/>
          <w:sz w:val="24"/>
          <w:szCs w:val="24"/>
          <w:lang w:eastAsia="en-AU"/>
        </w:rPr>
        <w:t xml:space="preserve">Item </w:t>
      </w:r>
      <w:r w:rsidR="00930E5B" w:rsidRPr="00DD50D8">
        <w:rPr>
          <w:rFonts w:ascii="Times New Roman" w:eastAsia="Times New Roman" w:hAnsi="Times New Roman" w:cs="Times New Roman"/>
          <w:color w:val="000000" w:themeColor="text1"/>
          <w:sz w:val="24"/>
          <w:szCs w:val="24"/>
          <w:lang w:eastAsia="en-AU"/>
        </w:rPr>
        <w:t>3</w:t>
      </w:r>
      <w:r w:rsidRPr="00DD50D8">
        <w:rPr>
          <w:rFonts w:ascii="Times New Roman" w:eastAsia="Times New Roman" w:hAnsi="Times New Roman" w:cs="Times New Roman"/>
          <w:color w:val="000000" w:themeColor="text1"/>
          <w:sz w:val="24"/>
          <w:szCs w:val="24"/>
          <w:lang w:eastAsia="en-AU"/>
        </w:rPr>
        <w:t xml:space="preserve"> inserts a transitional provision after regulation 10 which</w:t>
      </w:r>
      <w:r w:rsidR="00B907F5" w:rsidRPr="00DD50D8">
        <w:rPr>
          <w:rFonts w:ascii="Times New Roman" w:eastAsia="Times New Roman" w:hAnsi="Times New Roman" w:cs="Times New Roman"/>
          <w:color w:val="000000" w:themeColor="text1"/>
          <w:sz w:val="24"/>
          <w:szCs w:val="24"/>
          <w:lang w:eastAsia="en-AU"/>
        </w:rPr>
        <w:t xml:space="preserve"> provides that the </w:t>
      </w:r>
      <w:r w:rsidR="00E75552" w:rsidRPr="00DD50D8">
        <w:rPr>
          <w:rFonts w:ascii="Times New Roman" w:eastAsia="Times New Roman" w:hAnsi="Times New Roman" w:cs="Times New Roman"/>
          <w:color w:val="000000" w:themeColor="text1"/>
          <w:sz w:val="24"/>
          <w:szCs w:val="24"/>
          <w:lang w:eastAsia="en-AU"/>
        </w:rPr>
        <w:t>existing Regulations</w:t>
      </w:r>
      <w:r w:rsidR="00B907F5" w:rsidRPr="00DD50D8">
        <w:rPr>
          <w:rFonts w:ascii="Times New Roman" w:eastAsia="Times New Roman" w:hAnsi="Times New Roman" w:cs="Times New Roman"/>
          <w:color w:val="000000" w:themeColor="text1"/>
          <w:sz w:val="24"/>
          <w:szCs w:val="24"/>
          <w:lang w:eastAsia="en-AU"/>
        </w:rPr>
        <w:t xml:space="preserve"> as in force immediately before the commencement of the </w:t>
      </w:r>
      <w:r w:rsidR="00B907F5" w:rsidRPr="00DD50D8">
        <w:rPr>
          <w:rFonts w:ascii="Times New Roman" w:eastAsia="Times New Roman" w:hAnsi="Times New Roman" w:cs="Times New Roman"/>
          <w:i/>
          <w:color w:val="000000" w:themeColor="text1"/>
          <w:sz w:val="24"/>
          <w:szCs w:val="24"/>
          <w:lang w:eastAsia="en-AU"/>
        </w:rPr>
        <w:t>Extradition Legislation Amendment (Commonwealth Countries) Regulations</w:t>
      </w:r>
      <w:r w:rsidR="00857605" w:rsidRPr="00DD50D8">
        <w:rPr>
          <w:rFonts w:ascii="Times New Roman" w:eastAsia="Times New Roman" w:hAnsi="Times New Roman" w:cs="Times New Roman"/>
          <w:i/>
          <w:color w:val="000000" w:themeColor="text1"/>
          <w:sz w:val="24"/>
          <w:szCs w:val="24"/>
          <w:lang w:eastAsia="en-AU"/>
        </w:rPr>
        <w:t xml:space="preserve"> 2024</w:t>
      </w:r>
      <w:r w:rsidR="00857605" w:rsidRPr="00DD50D8">
        <w:rPr>
          <w:rFonts w:ascii="Times New Roman" w:eastAsia="Times New Roman" w:hAnsi="Times New Roman" w:cs="Times New Roman"/>
          <w:color w:val="000000" w:themeColor="text1"/>
          <w:sz w:val="24"/>
          <w:szCs w:val="24"/>
          <w:lang w:eastAsia="en-AU"/>
        </w:rPr>
        <w:t xml:space="preserve"> continue to apply to any extradition request received by Australia </w:t>
      </w:r>
      <w:r w:rsidR="00962D1A" w:rsidRPr="00DD50D8">
        <w:rPr>
          <w:rFonts w:ascii="Times New Roman" w:eastAsia="Times New Roman" w:hAnsi="Times New Roman" w:cs="Times New Roman"/>
          <w:color w:val="000000" w:themeColor="text1"/>
          <w:sz w:val="24"/>
          <w:szCs w:val="24"/>
          <w:lang w:eastAsia="en-AU"/>
        </w:rPr>
        <w:t xml:space="preserve">from a Commonwealth country </w:t>
      </w:r>
      <w:r w:rsidR="00857605" w:rsidRPr="00DD50D8">
        <w:rPr>
          <w:rFonts w:ascii="Times New Roman" w:eastAsia="Times New Roman" w:hAnsi="Times New Roman" w:cs="Times New Roman"/>
          <w:color w:val="000000" w:themeColor="text1"/>
          <w:sz w:val="24"/>
          <w:szCs w:val="24"/>
          <w:lang w:eastAsia="en-AU"/>
        </w:rPr>
        <w:t xml:space="preserve">before that commencement </w:t>
      </w:r>
      <w:r w:rsidR="004015CC" w:rsidRPr="00DD50D8">
        <w:rPr>
          <w:rFonts w:ascii="Times New Roman" w:eastAsia="Times New Roman" w:hAnsi="Times New Roman" w:cs="Times New Roman"/>
          <w:color w:val="000000" w:themeColor="text1"/>
          <w:sz w:val="24"/>
          <w:szCs w:val="24"/>
          <w:lang w:eastAsia="en-AU"/>
        </w:rPr>
        <w:t>.</w:t>
      </w:r>
    </w:p>
    <w:p w14:paraId="3D50CC6E" w14:textId="664C19EE" w:rsidR="009A43F1" w:rsidRPr="00DD50D8" w:rsidRDefault="009A43F1">
      <w:pPr>
        <w:rPr>
          <w:rFonts w:ascii="Times New Roman" w:hAnsi="Times New Roman" w:cs="Times New Roman"/>
          <w:sz w:val="24"/>
          <w:szCs w:val="24"/>
        </w:rPr>
      </w:pPr>
      <w:r w:rsidRPr="00DD50D8">
        <w:rPr>
          <w:rFonts w:ascii="Times New Roman" w:hAnsi="Times New Roman" w:cs="Times New Roman"/>
          <w:b/>
          <w:sz w:val="24"/>
          <w:szCs w:val="24"/>
        </w:rPr>
        <w:t xml:space="preserve">Item </w:t>
      </w:r>
      <w:r w:rsidR="00930E5B" w:rsidRPr="00DD50D8">
        <w:rPr>
          <w:rFonts w:ascii="Times New Roman" w:hAnsi="Times New Roman" w:cs="Times New Roman"/>
          <w:b/>
          <w:sz w:val="24"/>
          <w:szCs w:val="24"/>
        </w:rPr>
        <w:t>4</w:t>
      </w:r>
    </w:p>
    <w:p w14:paraId="224D28C3" w14:textId="1FE249B9" w:rsidR="009A43F1" w:rsidRPr="00DD50D8" w:rsidRDefault="009A43F1" w:rsidP="004015CC">
      <w:pPr>
        <w:spacing w:line="360" w:lineRule="auto"/>
        <w:rPr>
          <w:rFonts w:ascii="Times New Roman" w:eastAsia="Times New Roman" w:hAnsi="Times New Roman" w:cs="Times New Roman"/>
          <w:color w:val="000000" w:themeColor="text1"/>
          <w:sz w:val="24"/>
          <w:szCs w:val="24"/>
          <w:lang w:eastAsia="en-AU"/>
        </w:rPr>
      </w:pPr>
      <w:r w:rsidRPr="00DD50D8">
        <w:rPr>
          <w:rFonts w:ascii="Times New Roman" w:eastAsia="Times New Roman" w:hAnsi="Times New Roman" w:cs="Times New Roman"/>
          <w:color w:val="000000" w:themeColor="text1"/>
          <w:sz w:val="24"/>
          <w:szCs w:val="24"/>
          <w:lang w:eastAsia="en-AU"/>
        </w:rPr>
        <w:t xml:space="preserve">Item </w:t>
      </w:r>
      <w:r w:rsidR="00930E5B" w:rsidRPr="00DD50D8">
        <w:rPr>
          <w:rFonts w:ascii="Times New Roman" w:eastAsia="Times New Roman" w:hAnsi="Times New Roman" w:cs="Times New Roman"/>
          <w:color w:val="000000" w:themeColor="text1"/>
          <w:sz w:val="24"/>
          <w:szCs w:val="24"/>
          <w:lang w:eastAsia="en-AU"/>
        </w:rPr>
        <w:t>4</w:t>
      </w:r>
      <w:r w:rsidRPr="00DD50D8">
        <w:rPr>
          <w:rFonts w:ascii="Times New Roman" w:eastAsia="Times New Roman" w:hAnsi="Times New Roman" w:cs="Times New Roman"/>
          <w:color w:val="000000" w:themeColor="text1"/>
          <w:sz w:val="24"/>
          <w:szCs w:val="24"/>
          <w:lang w:eastAsia="en-AU"/>
        </w:rPr>
        <w:t xml:space="preserve"> repeals Schedule 1 of </w:t>
      </w:r>
      <w:r w:rsidR="00433F13" w:rsidRPr="00DD50D8">
        <w:rPr>
          <w:rFonts w:ascii="Times New Roman" w:eastAsia="Times New Roman" w:hAnsi="Times New Roman" w:cs="Times New Roman"/>
          <w:color w:val="000000" w:themeColor="text1"/>
          <w:sz w:val="24"/>
          <w:szCs w:val="24"/>
          <w:lang w:eastAsia="en-AU"/>
        </w:rPr>
        <w:t xml:space="preserve">the </w:t>
      </w:r>
      <w:r w:rsidR="00962D1A" w:rsidRPr="00DD50D8">
        <w:rPr>
          <w:rFonts w:ascii="Times New Roman" w:eastAsia="Times New Roman" w:hAnsi="Times New Roman" w:cs="Times New Roman"/>
          <w:color w:val="000000" w:themeColor="text1"/>
          <w:sz w:val="24"/>
          <w:szCs w:val="24"/>
          <w:lang w:eastAsia="en-AU"/>
        </w:rPr>
        <w:t>existing Regulations</w:t>
      </w:r>
      <w:r w:rsidRPr="00DD50D8">
        <w:rPr>
          <w:rFonts w:ascii="Times New Roman" w:eastAsia="Times New Roman" w:hAnsi="Times New Roman" w:cs="Times New Roman"/>
          <w:color w:val="000000" w:themeColor="text1"/>
          <w:sz w:val="24"/>
          <w:szCs w:val="24"/>
          <w:lang w:eastAsia="en-AU"/>
        </w:rPr>
        <w:t xml:space="preserve"> which listed all of the countries to which those Regulations applied. The Schedule is no longer needed due to the expanded definition of an ‘extradition country’ </w:t>
      </w:r>
      <w:r w:rsidR="00962D1A" w:rsidRPr="00DD50D8">
        <w:rPr>
          <w:rFonts w:ascii="Times New Roman" w:eastAsia="Times New Roman" w:hAnsi="Times New Roman" w:cs="Times New Roman"/>
          <w:color w:val="000000" w:themeColor="text1"/>
          <w:sz w:val="24"/>
          <w:szCs w:val="24"/>
          <w:lang w:eastAsia="en-AU"/>
        </w:rPr>
        <w:t xml:space="preserve">introduced by these </w:t>
      </w:r>
      <w:r w:rsidRPr="00DD50D8">
        <w:rPr>
          <w:rFonts w:ascii="Times New Roman" w:eastAsia="Times New Roman" w:hAnsi="Times New Roman" w:cs="Times New Roman"/>
          <w:color w:val="000000" w:themeColor="text1"/>
          <w:sz w:val="24"/>
          <w:szCs w:val="24"/>
          <w:lang w:eastAsia="en-AU"/>
        </w:rPr>
        <w:t>Regulations.</w:t>
      </w:r>
    </w:p>
    <w:p w14:paraId="57111860" w14:textId="5429B5A7" w:rsidR="00216FC9" w:rsidRPr="00DD50D8" w:rsidRDefault="00581603">
      <w:pPr>
        <w:rPr>
          <w:rFonts w:ascii="Times New Roman" w:hAnsi="Times New Roman" w:cs="Times New Roman"/>
          <w:b/>
          <w:i/>
          <w:sz w:val="24"/>
          <w:szCs w:val="24"/>
        </w:rPr>
      </w:pPr>
      <w:r>
        <w:rPr>
          <w:rFonts w:ascii="Times New Roman" w:hAnsi="Times New Roman" w:cs="Times New Roman"/>
          <w:b/>
          <w:i/>
          <w:sz w:val="24"/>
          <w:szCs w:val="24"/>
        </w:rPr>
        <w:br/>
      </w:r>
      <w:r>
        <w:rPr>
          <w:rFonts w:ascii="Times New Roman" w:hAnsi="Times New Roman" w:cs="Times New Roman"/>
          <w:b/>
          <w:i/>
          <w:sz w:val="24"/>
          <w:szCs w:val="24"/>
        </w:rPr>
        <w:br/>
      </w:r>
      <w:r>
        <w:rPr>
          <w:rFonts w:ascii="Times New Roman" w:hAnsi="Times New Roman" w:cs="Times New Roman"/>
          <w:b/>
          <w:i/>
          <w:sz w:val="24"/>
          <w:szCs w:val="24"/>
        </w:rPr>
        <w:br/>
      </w:r>
      <w:r>
        <w:rPr>
          <w:rFonts w:ascii="Times New Roman" w:hAnsi="Times New Roman" w:cs="Times New Roman"/>
          <w:b/>
          <w:i/>
          <w:sz w:val="24"/>
          <w:szCs w:val="24"/>
        </w:rPr>
        <w:lastRenderedPageBreak/>
        <w:br/>
      </w:r>
      <w:r w:rsidR="005550C5" w:rsidRPr="00DD50D8">
        <w:rPr>
          <w:rFonts w:ascii="Times New Roman" w:hAnsi="Times New Roman" w:cs="Times New Roman"/>
          <w:b/>
          <w:i/>
          <w:sz w:val="24"/>
          <w:szCs w:val="24"/>
        </w:rPr>
        <w:t>Extradition Regulations 1988</w:t>
      </w:r>
    </w:p>
    <w:p w14:paraId="511DACA0" w14:textId="76D87C0D" w:rsidR="005550C5" w:rsidRPr="00DD50D8" w:rsidRDefault="005550C5">
      <w:pPr>
        <w:rPr>
          <w:rFonts w:ascii="Times New Roman" w:hAnsi="Times New Roman" w:cs="Times New Roman"/>
          <w:b/>
          <w:sz w:val="24"/>
          <w:szCs w:val="24"/>
        </w:rPr>
      </w:pPr>
      <w:r w:rsidRPr="00DD50D8">
        <w:rPr>
          <w:rFonts w:ascii="Times New Roman" w:hAnsi="Times New Roman" w:cs="Times New Roman"/>
          <w:b/>
          <w:sz w:val="24"/>
          <w:szCs w:val="24"/>
        </w:rPr>
        <w:t xml:space="preserve">Item </w:t>
      </w:r>
      <w:r w:rsidR="00930E5B" w:rsidRPr="00DD50D8">
        <w:rPr>
          <w:rFonts w:ascii="Times New Roman" w:hAnsi="Times New Roman" w:cs="Times New Roman"/>
          <w:b/>
          <w:sz w:val="24"/>
          <w:szCs w:val="24"/>
        </w:rPr>
        <w:t>5</w:t>
      </w:r>
    </w:p>
    <w:p w14:paraId="377580C6" w14:textId="727E3759" w:rsidR="005550C5" w:rsidRPr="00DD50D8" w:rsidRDefault="005550C5" w:rsidP="004015CC">
      <w:pPr>
        <w:spacing w:line="360" w:lineRule="auto"/>
        <w:rPr>
          <w:rFonts w:ascii="Times New Roman" w:eastAsia="Times New Roman" w:hAnsi="Times New Roman" w:cs="Times New Roman"/>
          <w:color w:val="000000" w:themeColor="text1"/>
          <w:sz w:val="24"/>
          <w:szCs w:val="24"/>
          <w:lang w:eastAsia="en-AU"/>
        </w:rPr>
      </w:pPr>
      <w:r w:rsidRPr="00DD50D8">
        <w:rPr>
          <w:rFonts w:ascii="Times New Roman" w:eastAsia="Times New Roman" w:hAnsi="Times New Roman" w:cs="Times New Roman"/>
          <w:color w:val="000000" w:themeColor="text1"/>
          <w:sz w:val="24"/>
          <w:szCs w:val="24"/>
          <w:lang w:eastAsia="en-AU"/>
        </w:rPr>
        <w:t xml:space="preserve">Item </w:t>
      </w:r>
      <w:r w:rsidR="00930E5B" w:rsidRPr="00DD50D8">
        <w:rPr>
          <w:rFonts w:ascii="Times New Roman" w:eastAsia="Times New Roman" w:hAnsi="Times New Roman" w:cs="Times New Roman"/>
          <w:color w:val="000000" w:themeColor="text1"/>
          <w:sz w:val="24"/>
          <w:szCs w:val="24"/>
          <w:lang w:eastAsia="en-AU"/>
        </w:rPr>
        <w:t>5</w:t>
      </w:r>
      <w:r w:rsidRPr="00DD50D8">
        <w:rPr>
          <w:rFonts w:ascii="Times New Roman" w:eastAsia="Times New Roman" w:hAnsi="Times New Roman" w:cs="Times New Roman"/>
          <w:color w:val="000000" w:themeColor="text1"/>
          <w:sz w:val="24"/>
          <w:szCs w:val="24"/>
          <w:lang w:eastAsia="en-AU"/>
        </w:rPr>
        <w:t xml:space="preserve"> repeals paragraph 2B(4)(a)</w:t>
      </w:r>
      <w:r w:rsidR="00962D1A" w:rsidRPr="00DD50D8">
        <w:rPr>
          <w:rFonts w:ascii="Times New Roman" w:eastAsia="Times New Roman" w:hAnsi="Times New Roman" w:cs="Times New Roman"/>
          <w:color w:val="000000" w:themeColor="text1"/>
          <w:sz w:val="24"/>
          <w:szCs w:val="24"/>
          <w:lang w:eastAsia="en-AU"/>
        </w:rPr>
        <w:t xml:space="preserve"> of the </w:t>
      </w:r>
      <w:r w:rsidR="00962D1A" w:rsidRPr="00DD50D8">
        <w:rPr>
          <w:rFonts w:ascii="Times New Roman" w:eastAsia="Times New Roman" w:hAnsi="Times New Roman" w:cs="Times New Roman"/>
          <w:i/>
          <w:color w:val="000000" w:themeColor="text1"/>
          <w:sz w:val="24"/>
          <w:szCs w:val="24"/>
          <w:lang w:eastAsia="en-AU"/>
        </w:rPr>
        <w:t>Extradition Regulations 1988</w:t>
      </w:r>
      <w:r w:rsidR="007F3477" w:rsidRPr="00DD50D8">
        <w:rPr>
          <w:rFonts w:ascii="Times New Roman" w:eastAsia="Times New Roman" w:hAnsi="Times New Roman" w:cs="Times New Roman"/>
          <w:color w:val="000000" w:themeColor="text1"/>
          <w:sz w:val="24"/>
          <w:szCs w:val="24"/>
          <w:lang w:eastAsia="en-AU"/>
        </w:rPr>
        <w:t xml:space="preserve">. Paragraph 2B(4)(a) </w:t>
      </w:r>
      <w:r w:rsidR="00962D1A" w:rsidRPr="00DD50D8">
        <w:rPr>
          <w:rFonts w:ascii="Times New Roman" w:eastAsia="Times New Roman" w:hAnsi="Times New Roman" w:cs="Times New Roman"/>
          <w:color w:val="000000" w:themeColor="text1"/>
          <w:sz w:val="24"/>
          <w:szCs w:val="24"/>
          <w:lang w:eastAsia="en-AU"/>
        </w:rPr>
        <w:t>modifies</w:t>
      </w:r>
      <w:r w:rsidR="00E56C5B" w:rsidRPr="00DD50D8">
        <w:rPr>
          <w:rFonts w:ascii="Times New Roman" w:eastAsia="Times New Roman" w:hAnsi="Times New Roman" w:cs="Times New Roman"/>
          <w:color w:val="000000" w:themeColor="text1"/>
          <w:sz w:val="24"/>
          <w:szCs w:val="24"/>
          <w:lang w:eastAsia="en-AU"/>
        </w:rPr>
        <w:t xml:space="preserve"> the definition of ‘political offence’ under section 5 of the Act </w:t>
      </w:r>
      <w:r w:rsidR="00962D1A" w:rsidRPr="00DD50D8">
        <w:rPr>
          <w:rFonts w:ascii="Times New Roman" w:eastAsia="Times New Roman" w:hAnsi="Times New Roman" w:cs="Times New Roman"/>
          <w:color w:val="000000" w:themeColor="text1"/>
          <w:sz w:val="24"/>
          <w:szCs w:val="24"/>
          <w:lang w:eastAsia="en-AU"/>
        </w:rPr>
        <w:t xml:space="preserve">in relation </w:t>
      </w:r>
      <w:r w:rsidR="00E56C5B" w:rsidRPr="00DD50D8">
        <w:rPr>
          <w:rFonts w:ascii="Times New Roman" w:eastAsia="Times New Roman" w:hAnsi="Times New Roman" w:cs="Times New Roman"/>
          <w:color w:val="000000" w:themeColor="text1"/>
          <w:sz w:val="24"/>
          <w:szCs w:val="24"/>
          <w:lang w:eastAsia="en-AU"/>
        </w:rPr>
        <w:t xml:space="preserve">to the countries listed in Schedule 1 of the </w:t>
      </w:r>
      <w:r w:rsidR="004B3A90" w:rsidRPr="00DD50D8">
        <w:rPr>
          <w:rFonts w:ascii="Times New Roman" w:eastAsia="Times New Roman" w:hAnsi="Times New Roman" w:cs="Times New Roman"/>
          <w:color w:val="000000" w:themeColor="text1"/>
          <w:sz w:val="24"/>
          <w:szCs w:val="24"/>
          <w:lang w:eastAsia="en-AU"/>
        </w:rPr>
        <w:t>existing</w:t>
      </w:r>
      <w:r w:rsidR="00962D1A" w:rsidRPr="00DD50D8">
        <w:rPr>
          <w:rFonts w:ascii="Times New Roman" w:eastAsia="Times New Roman" w:hAnsi="Times New Roman" w:cs="Times New Roman"/>
          <w:color w:val="000000" w:themeColor="text1"/>
          <w:sz w:val="24"/>
          <w:szCs w:val="24"/>
          <w:lang w:eastAsia="en-AU"/>
        </w:rPr>
        <w:t xml:space="preserve"> Regulations (</w:t>
      </w:r>
      <w:r w:rsidR="00E56C5B" w:rsidRPr="00DD50D8">
        <w:rPr>
          <w:rFonts w:ascii="Times New Roman" w:eastAsia="Times New Roman" w:hAnsi="Times New Roman" w:cs="Times New Roman"/>
          <w:color w:val="000000" w:themeColor="text1"/>
          <w:sz w:val="24"/>
          <w:szCs w:val="24"/>
          <w:lang w:eastAsia="en-AU"/>
        </w:rPr>
        <w:t xml:space="preserve">repealed under </w:t>
      </w:r>
      <w:r w:rsidR="00930E5B" w:rsidRPr="00DD50D8">
        <w:rPr>
          <w:rFonts w:ascii="Times New Roman" w:eastAsia="Times New Roman" w:hAnsi="Times New Roman" w:cs="Times New Roman"/>
          <w:color w:val="000000" w:themeColor="text1"/>
          <w:sz w:val="24"/>
          <w:szCs w:val="24"/>
          <w:lang w:eastAsia="en-AU"/>
        </w:rPr>
        <w:t>item 4</w:t>
      </w:r>
      <w:r w:rsidR="00962D1A" w:rsidRPr="00DD50D8">
        <w:rPr>
          <w:rFonts w:ascii="Times New Roman" w:eastAsia="Times New Roman" w:hAnsi="Times New Roman" w:cs="Times New Roman"/>
          <w:color w:val="000000" w:themeColor="text1"/>
          <w:sz w:val="24"/>
          <w:szCs w:val="24"/>
          <w:lang w:eastAsia="en-AU"/>
        </w:rPr>
        <w:t>)</w:t>
      </w:r>
      <w:r w:rsidR="007F3477" w:rsidRPr="00DD50D8">
        <w:rPr>
          <w:rFonts w:ascii="Times New Roman" w:eastAsia="Times New Roman" w:hAnsi="Times New Roman" w:cs="Times New Roman"/>
          <w:color w:val="000000" w:themeColor="text1"/>
          <w:sz w:val="24"/>
          <w:szCs w:val="24"/>
          <w:lang w:eastAsia="en-AU"/>
        </w:rPr>
        <w:t>. Paragraph 2B(4)(a) is substituted</w:t>
      </w:r>
      <w:r w:rsidR="00007012" w:rsidRPr="00DD50D8">
        <w:rPr>
          <w:rFonts w:ascii="Times New Roman" w:eastAsia="Times New Roman" w:hAnsi="Times New Roman" w:cs="Times New Roman"/>
          <w:color w:val="000000" w:themeColor="text1"/>
          <w:sz w:val="24"/>
          <w:szCs w:val="24"/>
          <w:lang w:eastAsia="en-AU"/>
        </w:rPr>
        <w:t xml:space="preserve"> </w:t>
      </w:r>
      <w:r w:rsidR="00E86135" w:rsidRPr="00DD50D8">
        <w:rPr>
          <w:rFonts w:ascii="Times New Roman" w:eastAsia="Times New Roman" w:hAnsi="Times New Roman" w:cs="Times New Roman"/>
          <w:color w:val="000000" w:themeColor="text1"/>
          <w:sz w:val="24"/>
          <w:szCs w:val="24"/>
          <w:lang w:eastAsia="en-AU"/>
        </w:rPr>
        <w:t xml:space="preserve">with </w:t>
      </w:r>
      <w:r w:rsidR="007F3477" w:rsidRPr="00DD50D8">
        <w:rPr>
          <w:rFonts w:ascii="Times New Roman" w:eastAsia="Times New Roman" w:hAnsi="Times New Roman" w:cs="Times New Roman"/>
          <w:color w:val="000000" w:themeColor="text1"/>
          <w:sz w:val="24"/>
          <w:szCs w:val="24"/>
          <w:lang w:eastAsia="en-AU"/>
        </w:rPr>
        <w:t xml:space="preserve">the </w:t>
      </w:r>
      <w:r w:rsidR="00E86135" w:rsidRPr="00DD50D8">
        <w:rPr>
          <w:rFonts w:ascii="Times New Roman" w:eastAsia="Times New Roman" w:hAnsi="Times New Roman" w:cs="Times New Roman"/>
          <w:color w:val="000000" w:themeColor="text1"/>
          <w:sz w:val="24"/>
          <w:szCs w:val="24"/>
          <w:lang w:eastAsia="en-AU"/>
        </w:rPr>
        <w:t xml:space="preserve">new definition of extradition country in regulation 5 so that the modification of </w:t>
      </w:r>
      <w:r w:rsidR="00962D1A" w:rsidRPr="00DD50D8">
        <w:rPr>
          <w:rFonts w:ascii="Times New Roman" w:eastAsia="Times New Roman" w:hAnsi="Times New Roman" w:cs="Times New Roman"/>
          <w:color w:val="000000" w:themeColor="text1"/>
          <w:sz w:val="24"/>
          <w:szCs w:val="24"/>
          <w:lang w:eastAsia="en-AU"/>
        </w:rPr>
        <w:t>’</w:t>
      </w:r>
      <w:r w:rsidR="00E86135" w:rsidRPr="00DD50D8">
        <w:rPr>
          <w:rFonts w:ascii="Times New Roman" w:eastAsia="Times New Roman" w:hAnsi="Times New Roman" w:cs="Times New Roman"/>
          <w:color w:val="000000" w:themeColor="text1"/>
          <w:sz w:val="24"/>
          <w:szCs w:val="24"/>
          <w:lang w:eastAsia="en-AU"/>
        </w:rPr>
        <w:t>political offence</w:t>
      </w:r>
      <w:r w:rsidR="00962D1A" w:rsidRPr="00DD50D8">
        <w:rPr>
          <w:rFonts w:ascii="Times New Roman" w:eastAsia="Times New Roman" w:hAnsi="Times New Roman" w:cs="Times New Roman"/>
          <w:color w:val="000000" w:themeColor="text1"/>
          <w:sz w:val="24"/>
          <w:szCs w:val="24"/>
          <w:lang w:eastAsia="en-AU"/>
        </w:rPr>
        <w:t>’</w:t>
      </w:r>
      <w:r w:rsidR="00E86135" w:rsidRPr="00DD50D8">
        <w:rPr>
          <w:rFonts w:ascii="Times New Roman" w:eastAsia="Times New Roman" w:hAnsi="Times New Roman" w:cs="Times New Roman"/>
          <w:color w:val="000000" w:themeColor="text1"/>
          <w:sz w:val="24"/>
          <w:szCs w:val="24"/>
          <w:lang w:eastAsia="en-AU"/>
        </w:rPr>
        <w:t xml:space="preserve"> will no longer apply to a prescribed list of Commonwealth countries but rather to a member of the Commonwealth of </w:t>
      </w:r>
      <w:r w:rsidR="004015CC" w:rsidRPr="00DD50D8">
        <w:rPr>
          <w:rFonts w:ascii="Times New Roman" w:eastAsia="Times New Roman" w:hAnsi="Times New Roman" w:cs="Times New Roman"/>
          <w:color w:val="000000" w:themeColor="text1"/>
          <w:sz w:val="24"/>
          <w:szCs w:val="24"/>
          <w:lang w:eastAsia="en-AU"/>
        </w:rPr>
        <w:t>N</w:t>
      </w:r>
      <w:r w:rsidR="00E86135" w:rsidRPr="00DD50D8">
        <w:rPr>
          <w:rFonts w:ascii="Times New Roman" w:eastAsia="Times New Roman" w:hAnsi="Times New Roman" w:cs="Times New Roman"/>
          <w:color w:val="000000" w:themeColor="text1"/>
          <w:sz w:val="24"/>
          <w:szCs w:val="24"/>
          <w:lang w:eastAsia="en-AU"/>
        </w:rPr>
        <w:t>ations.</w:t>
      </w:r>
    </w:p>
    <w:p w14:paraId="3CB62C84" w14:textId="77777777" w:rsidR="00930E5B" w:rsidRPr="00DD50D8" w:rsidRDefault="00930E5B">
      <w:pPr>
        <w:rPr>
          <w:rFonts w:ascii="Times New Roman" w:hAnsi="Times New Roman" w:cs="Times New Roman"/>
          <w:sz w:val="24"/>
          <w:szCs w:val="24"/>
        </w:rPr>
      </w:pPr>
    </w:p>
    <w:p w14:paraId="47772819" w14:textId="56507336" w:rsidR="00F2392A" w:rsidRPr="00DD50D8" w:rsidRDefault="00F2392A" w:rsidP="00F2392A">
      <w:pPr>
        <w:spacing w:line="360" w:lineRule="auto"/>
        <w:jc w:val="right"/>
        <w:rPr>
          <w:rFonts w:ascii="Times New Roman" w:hAnsi="Times New Roman" w:cs="Times New Roman"/>
          <w:b/>
          <w:sz w:val="24"/>
          <w:szCs w:val="24"/>
          <w:u w:val="single"/>
        </w:rPr>
      </w:pPr>
      <w:r w:rsidRPr="00DD50D8">
        <w:rPr>
          <w:rFonts w:ascii="Times New Roman" w:hAnsi="Times New Roman" w:cs="Times New Roman"/>
          <w:b/>
          <w:sz w:val="24"/>
          <w:szCs w:val="24"/>
          <w:u w:val="single"/>
        </w:rPr>
        <w:t>ATTACHMENT B</w:t>
      </w:r>
    </w:p>
    <w:p w14:paraId="4F971E34" w14:textId="5FE0A06C" w:rsidR="006C455D" w:rsidRPr="00DD50D8" w:rsidRDefault="006C455D" w:rsidP="006C455D">
      <w:pPr>
        <w:spacing w:line="360" w:lineRule="auto"/>
        <w:rPr>
          <w:rFonts w:ascii="Times New Roman" w:hAnsi="Times New Roman" w:cs="Times New Roman"/>
          <w:b/>
          <w:caps/>
          <w:sz w:val="24"/>
          <w:szCs w:val="24"/>
        </w:rPr>
      </w:pPr>
      <w:r w:rsidRPr="00DD50D8">
        <w:rPr>
          <w:rFonts w:ascii="Times New Roman" w:hAnsi="Times New Roman" w:cs="Times New Roman"/>
          <w:b/>
          <w:caps/>
          <w:sz w:val="24"/>
          <w:szCs w:val="24"/>
        </w:rPr>
        <w:t>Statement of Compatibility with Human Rights</w:t>
      </w:r>
    </w:p>
    <w:p w14:paraId="736E991D" w14:textId="77777777" w:rsidR="006C455D" w:rsidRPr="00DD50D8" w:rsidRDefault="006C455D" w:rsidP="006C455D">
      <w:pPr>
        <w:spacing w:line="360" w:lineRule="auto"/>
        <w:rPr>
          <w:rFonts w:ascii="Times New Roman" w:hAnsi="Times New Roman" w:cs="Times New Roman"/>
          <w:color w:val="FF0000"/>
          <w:sz w:val="24"/>
        </w:rPr>
      </w:pPr>
      <w:r w:rsidRPr="00DD50D8">
        <w:rPr>
          <w:rFonts w:ascii="Times New Roman" w:hAnsi="Times New Roman" w:cs="Times New Roman"/>
          <w:i/>
          <w:iCs/>
          <w:color w:val="000000"/>
          <w:sz w:val="24"/>
        </w:rPr>
        <w:t>Prepared in accordance with Part 3 of the Human Rights (Parliamentary Scrutiny) Act 2011</w:t>
      </w:r>
    </w:p>
    <w:p w14:paraId="74F4E0C6" w14:textId="3EA10E72" w:rsidR="006C455D" w:rsidRPr="00DD50D8" w:rsidRDefault="006C455D" w:rsidP="000E136D">
      <w:pPr>
        <w:spacing w:line="360" w:lineRule="auto"/>
        <w:rPr>
          <w:rFonts w:ascii="Times New Roman" w:hAnsi="Times New Roman"/>
          <w:b/>
          <w:i/>
          <w:iCs/>
          <w:color w:val="000000"/>
          <w:sz w:val="24"/>
        </w:rPr>
      </w:pPr>
      <w:r w:rsidRPr="00DD50D8">
        <w:rPr>
          <w:rFonts w:ascii="Times New Roman" w:hAnsi="Times New Roman"/>
          <w:b/>
          <w:i/>
          <w:iCs/>
          <w:color w:val="000000"/>
          <w:sz w:val="24"/>
        </w:rPr>
        <w:t xml:space="preserve">Extradition </w:t>
      </w:r>
      <w:r w:rsidR="00216FC9" w:rsidRPr="00DD50D8">
        <w:rPr>
          <w:rFonts w:ascii="Times New Roman" w:hAnsi="Times New Roman"/>
          <w:b/>
          <w:i/>
          <w:iCs/>
          <w:color w:val="000000"/>
          <w:sz w:val="24"/>
        </w:rPr>
        <w:t xml:space="preserve">Legislation Amendment </w:t>
      </w:r>
      <w:r w:rsidRPr="00DD50D8">
        <w:rPr>
          <w:rFonts w:ascii="Times New Roman" w:hAnsi="Times New Roman"/>
          <w:b/>
          <w:i/>
          <w:iCs/>
          <w:color w:val="000000"/>
          <w:sz w:val="24"/>
        </w:rPr>
        <w:t>(</w:t>
      </w:r>
      <w:r w:rsidR="00216FC9" w:rsidRPr="00DD50D8">
        <w:rPr>
          <w:rFonts w:ascii="Times New Roman" w:hAnsi="Times New Roman"/>
          <w:b/>
          <w:i/>
          <w:iCs/>
          <w:color w:val="000000"/>
          <w:sz w:val="24"/>
        </w:rPr>
        <w:t>Commonwealth Countries</w:t>
      </w:r>
      <w:r w:rsidRPr="00DD50D8">
        <w:rPr>
          <w:rFonts w:ascii="Times New Roman" w:hAnsi="Times New Roman"/>
          <w:b/>
          <w:i/>
          <w:iCs/>
          <w:color w:val="000000"/>
          <w:sz w:val="24"/>
        </w:rPr>
        <w:t>) Regulations 202</w:t>
      </w:r>
      <w:r w:rsidR="003D0813" w:rsidRPr="00DD50D8">
        <w:rPr>
          <w:rFonts w:ascii="Times New Roman" w:hAnsi="Times New Roman"/>
          <w:b/>
          <w:i/>
          <w:iCs/>
          <w:color w:val="000000"/>
          <w:sz w:val="24"/>
        </w:rPr>
        <w:t>4</w:t>
      </w:r>
    </w:p>
    <w:p w14:paraId="091AF001" w14:textId="25B28333" w:rsidR="006C455D" w:rsidRPr="00DD50D8" w:rsidRDefault="00200A0F" w:rsidP="000E136D">
      <w:pPr>
        <w:pStyle w:val="ListParagraph"/>
        <w:numPr>
          <w:ilvl w:val="0"/>
          <w:numId w:val="16"/>
        </w:numPr>
        <w:spacing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DD50D8">
        <w:rPr>
          <w:rFonts w:ascii="Times New Roman" w:hAnsi="Times New Roman" w:cs="Times New Roman"/>
          <w:i/>
          <w:sz w:val="24"/>
          <w:szCs w:val="24"/>
        </w:rPr>
        <w:t>Human Rights (Parliamentary Scrutiny) Act 2011</w:t>
      </w:r>
      <w:r w:rsidRPr="00DD50D8">
        <w:rPr>
          <w:rFonts w:ascii="Times New Roman" w:hAnsi="Times New Roman" w:cs="Times New Roman"/>
          <w:sz w:val="24"/>
          <w:szCs w:val="24"/>
        </w:rPr>
        <w:t>.</w:t>
      </w:r>
    </w:p>
    <w:p w14:paraId="697608F0" w14:textId="77777777" w:rsidR="006C455D" w:rsidRPr="00DD50D8" w:rsidRDefault="006C455D" w:rsidP="000E136D">
      <w:pPr>
        <w:spacing w:line="360" w:lineRule="auto"/>
        <w:rPr>
          <w:rFonts w:ascii="Times New Roman" w:hAnsi="Times New Roman"/>
          <w:b/>
          <w:iCs/>
          <w:color w:val="000000"/>
          <w:sz w:val="24"/>
        </w:rPr>
      </w:pPr>
      <w:r w:rsidRPr="00DD50D8">
        <w:rPr>
          <w:rFonts w:ascii="Times New Roman" w:hAnsi="Times New Roman"/>
          <w:b/>
          <w:iCs/>
          <w:color w:val="000000"/>
          <w:sz w:val="24"/>
        </w:rPr>
        <w:t>Overview of the Legislative Instrument</w:t>
      </w:r>
    </w:p>
    <w:p w14:paraId="47074E0C" w14:textId="358D8026" w:rsidR="00562E61" w:rsidRPr="00DD50D8" w:rsidRDefault="00562E61" w:rsidP="000E136D">
      <w:pPr>
        <w:pStyle w:val="ListParagraph"/>
        <w:numPr>
          <w:ilvl w:val="0"/>
          <w:numId w:val="16"/>
        </w:numPr>
        <w:spacing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Extradition is the process by which one country apprehends and sends a person to another country for the purposes of criminal prosecution</w:t>
      </w:r>
      <w:r w:rsidR="00404375" w:rsidRPr="00DD50D8">
        <w:rPr>
          <w:rFonts w:ascii="Times New Roman" w:hAnsi="Times New Roman" w:cs="Times New Roman"/>
          <w:sz w:val="24"/>
          <w:szCs w:val="24"/>
        </w:rPr>
        <w:t>,</w:t>
      </w:r>
      <w:r w:rsidRPr="00DD50D8">
        <w:rPr>
          <w:rFonts w:ascii="Times New Roman" w:hAnsi="Times New Roman" w:cs="Times New Roman"/>
          <w:sz w:val="24"/>
          <w:szCs w:val="24"/>
        </w:rPr>
        <w:t xml:space="preserve"> or </w:t>
      </w:r>
      <w:r w:rsidR="00404375" w:rsidRPr="00DD50D8">
        <w:rPr>
          <w:rFonts w:ascii="Times New Roman" w:hAnsi="Times New Roman" w:cs="Times New Roman"/>
          <w:sz w:val="24"/>
          <w:szCs w:val="24"/>
        </w:rPr>
        <w:t xml:space="preserve">for the imposition or </w:t>
      </w:r>
      <w:r w:rsidR="00DD0819" w:rsidRPr="00DD50D8">
        <w:rPr>
          <w:rFonts w:ascii="Times New Roman" w:hAnsi="Times New Roman" w:cs="Times New Roman"/>
          <w:sz w:val="24"/>
          <w:szCs w:val="24"/>
        </w:rPr>
        <w:t>service of</w:t>
      </w:r>
      <w:r w:rsidRPr="00DD50D8">
        <w:rPr>
          <w:rFonts w:ascii="Times New Roman" w:hAnsi="Times New Roman" w:cs="Times New Roman"/>
          <w:sz w:val="24"/>
          <w:szCs w:val="24"/>
        </w:rPr>
        <w:t xml:space="preserve"> a prison sentence. The </w:t>
      </w:r>
      <w:r w:rsidRPr="00DD50D8">
        <w:rPr>
          <w:rFonts w:ascii="Times New Roman" w:hAnsi="Times New Roman" w:cs="Times New Roman"/>
          <w:i/>
          <w:sz w:val="24"/>
          <w:szCs w:val="24"/>
        </w:rPr>
        <w:t>Extradition Act 1988</w:t>
      </w:r>
      <w:r w:rsidR="00AB698A" w:rsidRPr="00DD50D8">
        <w:rPr>
          <w:rFonts w:ascii="Times New Roman" w:hAnsi="Times New Roman" w:cs="Times New Roman"/>
          <w:sz w:val="24"/>
          <w:szCs w:val="24"/>
        </w:rPr>
        <w:t xml:space="preserve"> (</w:t>
      </w:r>
      <w:r w:rsidR="00976A4D">
        <w:rPr>
          <w:rFonts w:ascii="Times New Roman" w:hAnsi="Times New Roman" w:cs="Times New Roman"/>
          <w:sz w:val="24"/>
          <w:szCs w:val="24"/>
        </w:rPr>
        <w:t>the</w:t>
      </w:r>
      <w:r w:rsidR="00976A4D" w:rsidRPr="00DD50D8">
        <w:rPr>
          <w:rFonts w:ascii="Times New Roman" w:hAnsi="Times New Roman" w:cs="Times New Roman"/>
          <w:sz w:val="24"/>
          <w:szCs w:val="24"/>
        </w:rPr>
        <w:t xml:space="preserve"> </w:t>
      </w:r>
      <w:r w:rsidR="00AB698A" w:rsidRPr="00DD50D8">
        <w:rPr>
          <w:rFonts w:ascii="Times New Roman" w:hAnsi="Times New Roman" w:cs="Times New Roman"/>
          <w:sz w:val="24"/>
          <w:szCs w:val="24"/>
        </w:rPr>
        <w:t>Act)</w:t>
      </w:r>
      <w:r w:rsidRPr="00DD50D8">
        <w:rPr>
          <w:rFonts w:ascii="Times New Roman" w:hAnsi="Times New Roman" w:cs="Times New Roman"/>
          <w:sz w:val="24"/>
          <w:szCs w:val="24"/>
        </w:rPr>
        <w:t xml:space="preserve"> provides the legislative basis for extradition in Australia. Under the Act, Australia can make an extradition request to any country, but can only receive an extradition request from a country </w:t>
      </w:r>
      <w:r w:rsidR="00F92EAA" w:rsidRPr="00DD50D8">
        <w:rPr>
          <w:rFonts w:ascii="Times New Roman" w:hAnsi="Times New Roman" w:cs="Times New Roman"/>
          <w:sz w:val="24"/>
          <w:szCs w:val="24"/>
        </w:rPr>
        <w:t>that is</w:t>
      </w:r>
      <w:r w:rsidRPr="00DD50D8">
        <w:rPr>
          <w:rFonts w:ascii="Times New Roman" w:hAnsi="Times New Roman" w:cs="Times New Roman"/>
          <w:sz w:val="24"/>
          <w:szCs w:val="24"/>
        </w:rPr>
        <w:t xml:space="preserve"> an ‘extradition country’.</w:t>
      </w:r>
    </w:p>
    <w:p w14:paraId="0444FEC2" w14:textId="4795754A" w:rsidR="002B038A" w:rsidRPr="00DD50D8" w:rsidRDefault="00562E61" w:rsidP="00553D11">
      <w:pPr>
        <w:pStyle w:val="ListParagraph"/>
        <w:numPr>
          <w:ilvl w:val="0"/>
          <w:numId w:val="16"/>
        </w:numPr>
        <w:spacing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The Act relevantly allows regulations to be made to declare a country to be an ‘extradition country’ for the purposes of the Act</w:t>
      </w:r>
      <w:r w:rsidR="00100AF1" w:rsidRPr="00DD50D8">
        <w:rPr>
          <w:rFonts w:ascii="Times New Roman" w:hAnsi="Times New Roman" w:cs="Times New Roman"/>
          <w:sz w:val="24"/>
          <w:szCs w:val="24"/>
        </w:rPr>
        <w:t>, and provides that the Act applies to an extradition country subject to the terms of a bilateral or multilateral treaty</w:t>
      </w:r>
      <w:r w:rsidR="009E60E1" w:rsidRPr="00DD50D8">
        <w:rPr>
          <w:rFonts w:ascii="Times New Roman" w:hAnsi="Times New Roman" w:cs="Times New Roman"/>
          <w:sz w:val="24"/>
          <w:szCs w:val="24"/>
        </w:rPr>
        <w:t>.</w:t>
      </w:r>
    </w:p>
    <w:p w14:paraId="5B798F6B" w14:textId="46FAA46D" w:rsidR="00553D11" w:rsidRPr="00DD50D8" w:rsidRDefault="00BD3CEF" w:rsidP="00216FC9">
      <w:pPr>
        <w:pStyle w:val="ListParagraph"/>
        <w:numPr>
          <w:ilvl w:val="0"/>
          <w:numId w:val="16"/>
        </w:numPr>
        <w:spacing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 xml:space="preserve">The </w:t>
      </w:r>
      <w:r w:rsidRPr="00DD50D8">
        <w:rPr>
          <w:rFonts w:ascii="Times New Roman" w:hAnsi="Times New Roman" w:cs="Times New Roman"/>
          <w:i/>
          <w:sz w:val="24"/>
          <w:szCs w:val="24"/>
        </w:rPr>
        <w:t xml:space="preserve">Extradition </w:t>
      </w:r>
      <w:r w:rsidR="00216FC9" w:rsidRPr="00DD50D8">
        <w:rPr>
          <w:rFonts w:ascii="Times New Roman" w:hAnsi="Times New Roman" w:cs="Times New Roman"/>
          <w:i/>
          <w:sz w:val="24"/>
          <w:szCs w:val="24"/>
        </w:rPr>
        <w:t xml:space="preserve">Legislation Amendment </w:t>
      </w:r>
      <w:r w:rsidRPr="00DD50D8">
        <w:rPr>
          <w:rFonts w:ascii="Times New Roman" w:hAnsi="Times New Roman" w:cs="Times New Roman"/>
          <w:i/>
          <w:sz w:val="24"/>
          <w:szCs w:val="24"/>
        </w:rPr>
        <w:t>(</w:t>
      </w:r>
      <w:r w:rsidR="00216FC9" w:rsidRPr="00DD50D8">
        <w:rPr>
          <w:rFonts w:ascii="Times New Roman" w:hAnsi="Times New Roman" w:cs="Times New Roman"/>
          <w:i/>
          <w:sz w:val="24"/>
          <w:szCs w:val="24"/>
        </w:rPr>
        <w:t>Commonwealth Countries</w:t>
      </w:r>
      <w:r w:rsidRPr="00DD50D8">
        <w:rPr>
          <w:rFonts w:ascii="Times New Roman" w:hAnsi="Times New Roman" w:cs="Times New Roman"/>
          <w:i/>
          <w:sz w:val="24"/>
          <w:szCs w:val="24"/>
        </w:rPr>
        <w:t>) Regulations 202</w:t>
      </w:r>
      <w:r w:rsidR="00553D11" w:rsidRPr="00DD50D8">
        <w:rPr>
          <w:rFonts w:ascii="Times New Roman" w:hAnsi="Times New Roman" w:cs="Times New Roman"/>
          <w:i/>
          <w:sz w:val="24"/>
          <w:szCs w:val="24"/>
        </w:rPr>
        <w:t>4</w:t>
      </w:r>
      <w:r w:rsidRPr="00DD50D8">
        <w:rPr>
          <w:rFonts w:ascii="Times New Roman" w:hAnsi="Times New Roman" w:cs="Times New Roman"/>
          <w:sz w:val="24"/>
          <w:szCs w:val="24"/>
        </w:rPr>
        <w:t xml:space="preserve"> (the Regulations) </w:t>
      </w:r>
      <w:r w:rsidR="00041C1A" w:rsidRPr="00DD50D8">
        <w:rPr>
          <w:rFonts w:ascii="Times New Roman" w:hAnsi="Times New Roman" w:cs="Times New Roman"/>
          <w:sz w:val="24"/>
          <w:szCs w:val="24"/>
        </w:rPr>
        <w:t xml:space="preserve">amend the </w:t>
      </w:r>
      <w:r w:rsidR="00DE31CB" w:rsidRPr="00DD50D8">
        <w:rPr>
          <w:rFonts w:ascii="Times New Roman" w:hAnsi="Times New Roman" w:cs="Times New Roman"/>
          <w:sz w:val="24"/>
          <w:szCs w:val="24"/>
        </w:rPr>
        <w:t xml:space="preserve">existing Regulations </w:t>
      </w:r>
      <w:r w:rsidR="00041C1A" w:rsidRPr="00DD50D8">
        <w:rPr>
          <w:rFonts w:ascii="Times New Roman" w:hAnsi="Times New Roman" w:cs="Times New Roman"/>
          <w:sz w:val="24"/>
          <w:szCs w:val="24"/>
        </w:rPr>
        <w:t xml:space="preserve">to </w:t>
      </w:r>
      <w:r w:rsidR="00962D1A" w:rsidRPr="00DD50D8">
        <w:rPr>
          <w:rFonts w:ascii="Times New Roman" w:hAnsi="Times New Roman" w:cs="Times New Roman"/>
          <w:sz w:val="24"/>
          <w:szCs w:val="24"/>
        </w:rPr>
        <w:t xml:space="preserve">give full effect </w:t>
      </w:r>
      <w:r w:rsidR="009F2C34" w:rsidRPr="00DD50D8">
        <w:rPr>
          <w:rFonts w:ascii="Times New Roman" w:hAnsi="Times New Roman"/>
          <w:sz w:val="24"/>
          <w:szCs w:val="24"/>
        </w:rPr>
        <w:t xml:space="preserve">to Australia’s </w:t>
      </w:r>
      <w:r w:rsidR="009F2C34" w:rsidRPr="00DD50D8">
        <w:rPr>
          <w:rFonts w:ascii="Times New Roman" w:hAnsi="Times New Roman"/>
          <w:sz w:val="24"/>
          <w:szCs w:val="24"/>
        </w:rPr>
        <w:lastRenderedPageBreak/>
        <w:t xml:space="preserve">participation in the </w:t>
      </w:r>
      <w:r w:rsidR="00615CEF" w:rsidRPr="00DD50D8">
        <w:rPr>
          <w:rFonts w:ascii="Times New Roman" w:hAnsi="Times New Roman"/>
          <w:sz w:val="24"/>
          <w:szCs w:val="24"/>
        </w:rPr>
        <w:t>London Scheme for Extradition Within the Commonwealth (</w:t>
      </w:r>
      <w:r w:rsidR="00B003BE" w:rsidRPr="00DD50D8">
        <w:rPr>
          <w:rFonts w:ascii="Times New Roman" w:hAnsi="Times New Roman"/>
          <w:sz w:val="24"/>
          <w:szCs w:val="24"/>
        </w:rPr>
        <w:t xml:space="preserve">the </w:t>
      </w:r>
      <w:r w:rsidR="00615CEF" w:rsidRPr="00DD50D8">
        <w:rPr>
          <w:rFonts w:ascii="Times New Roman" w:hAnsi="Times New Roman"/>
          <w:sz w:val="24"/>
          <w:szCs w:val="24"/>
        </w:rPr>
        <w:t>London Scheme)</w:t>
      </w:r>
      <w:r w:rsidR="00962D1A" w:rsidRPr="00DD50D8">
        <w:rPr>
          <w:rFonts w:ascii="Times New Roman" w:hAnsi="Times New Roman"/>
          <w:sz w:val="24"/>
          <w:szCs w:val="24"/>
        </w:rPr>
        <w:t xml:space="preserve">. </w:t>
      </w:r>
      <w:r w:rsidR="00980813" w:rsidRPr="00DD50D8">
        <w:rPr>
          <w:rFonts w:ascii="Times New Roman" w:hAnsi="Times New Roman"/>
          <w:sz w:val="24"/>
          <w:szCs w:val="24"/>
        </w:rPr>
        <w:t>The Regulations do so</w:t>
      </w:r>
      <w:r w:rsidR="00AB698A" w:rsidRPr="00DD50D8">
        <w:rPr>
          <w:rFonts w:ascii="Times New Roman" w:hAnsi="Times New Roman"/>
          <w:sz w:val="24"/>
          <w:szCs w:val="24"/>
        </w:rPr>
        <w:t xml:space="preserve"> </w:t>
      </w:r>
      <w:r w:rsidR="009F2C34" w:rsidRPr="00DD50D8">
        <w:rPr>
          <w:rFonts w:ascii="Times New Roman" w:hAnsi="Times New Roman"/>
          <w:sz w:val="24"/>
          <w:szCs w:val="24"/>
        </w:rPr>
        <w:t>by declaring all Commonwealth countries as extradition countries for the purposes of section 5 of the Act, and applying the Act to those countries.</w:t>
      </w:r>
      <w:r w:rsidR="00AF7E41" w:rsidRPr="00DD50D8">
        <w:rPr>
          <w:rFonts w:ascii="Times New Roman" w:hAnsi="Times New Roman" w:cs="Times New Roman"/>
          <w:sz w:val="24"/>
          <w:szCs w:val="24"/>
        </w:rPr>
        <w:t xml:space="preserve"> </w:t>
      </w:r>
      <w:r w:rsidR="00BC688A" w:rsidRPr="00DD50D8">
        <w:rPr>
          <w:rFonts w:ascii="Times New Roman" w:hAnsi="Times New Roman" w:cs="Times New Roman"/>
          <w:sz w:val="24"/>
          <w:szCs w:val="24"/>
        </w:rPr>
        <w:t xml:space="preserve">This </w:t>
      </w:r>
      <w:r w:rsidR="00980813" w:rsidRPr="00DD50D8">
        <w:rPr>
          <w:rFonts w:ascii="Times New Roman" w:hAnsi="Times New Roman" w:cs="Times New Roman"/>
          <w:sz w:val="24"/>
          <w:szCs w:val="24"/>
        </w:rPr>
        <w:t>ensures that</w:t>
      </w:r>
      <w:r w:rsidR="00BC688A" w:rsidRPr="00DD50D8">
        <w:rPr>
          <w:rFonts w:ascii="Times New Roman" w:hAnsi="Times New Roman" w:cs="Times New Roman"/>
          <w:sz w:val="24"/>
          <w:szCs w:val="24"/>
        </w:rPr>
        <w:t xml:space="preserve"> Australia </w:t>
      </w:r>
      <w:r w:rsidR="00980813" w:rsidRPr="00DD50D8">
        <w:rPr>
          <w:rFonts w:ascii="Times New Roman" w:hAnsi="Times New Roman" w:cs="Times New Roman"/>
          <w:sz w:val="24"/>
          <w:szCs w:val="24"/>
        </w:rPr>
        <w:t xml:space="preserve">can </w:t>
      </w:r>
      <w:r w:rsidR="00BC688A" w:rsidRPr="00DD50D8">
        <w:rPr>
          <w:rFonts w:ascii="Times New Roman" w:hAnsi="Times New Roman" w:cs="Times New Roman"/>
          <w:sz w:val="24"/>
          <w:szCs w:val="24"/>
        </w:rPr>
        <w:t xml:space="preserve">accept extradition requests from all Commonwealth countries. </w:t>
      </w:r>
    </w:p>
    <w:p w14:paraId="46BABC1A" w14:textId="73559534" w:rsidR="00BC688A" w:rsidRPr="00DD50D8" w:rsidRDefault="00BC688A" w:rsidP="00216FC9">
      <w:pPr>
        <w:pStyle w:val="ListParagraph"/>
        <w:numPr>
          <w:ilvl w:val="0"/>
          <w:numId w:val="16"/>
        </w:numPr>
        <w:spacing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 xml:space="preserve">The Regulations will also </w:t>
      </w:r>
      <w:r w:rsidR="00AB698A" w:rsidRPr="00DD50D8">
        <w:rPr>
          <w:rFonts w:ascii="Times New Roman" w:hAnsi="Times New Roman" w:cs="Times New Roman"/>
          <w:sz w:val="24"/>
          <w:szCs w:val="24"/>
        </w:rPr>
        <w:t>allow Commonwealth countries to present an extradition request which complies with the ‘record of</w:t>
      </w:r>
      <w:r w:rsidR="00B003BE" w:rsidRPr="00DD50D8">
        <w:rPr>
          <w:rFonts w:ascii="Times New Roman" w:hAnsi="Times New Roman" w:cs="Times New Roman"/>
          <w:sz w:val="24"/>
          <w:szCs w:val="24"/>
        </w:rPr>
        <w:t xml:space="preserve"> the</w:t>
      </w:r>
      <w:r w:rsidR="00AB698A" w:rsidRPr="00DD50D8">
        <w:rPr>
          <w:rFonts w:ascii="Times New Roman" w:hAnsi="Times New Roman" w:cs="Times New Roman"/>
          <w:sz w:val="24"/>
          <w:szCs w:val="24"/>
        </w:rPr>
        <w:t xml:space="preserve"> case’ evidentiary standard.</w:t>
      </w:r>
    </w:p>
    <w:p w14:paraId="5D211B81" w14:textId="77777777" w:rsidR="00CB4130" w:rsidRPr="00DD50D8" w:rsidRDefault="00CB4130" w:rsidP="007773EF">
      <w:pPr>
        <w:keepNext/>
        <w:keepLines/>
        <w:spacing w:line="360" w:lineRule="auto"/>
        <w:rPr>
          <w:rFonts w:ascii="Times New Roman" w:hAnsi="Times New Roman" w:cs="Times New Roman"/>
          <w:b/>
          <w:sz w:val="24"/>
          <w:szCs w:val="24"/>
        </w:rPr>
      </w:pPr>
      <w:r w:rsidRPr="00DD50D8">
        <w:rPr>
          <w:rFonts w:ascii="Times New Roman" w:hAnsi="Times New Roman" w:cs="Times New Roman"/>
          <w:b/>
          <w:sz w:val="24"/>
          <w:szCs w:val="24"/>
        </w:rPr>
        <w:t>Overview of the extradition process</w:t>
      </w:r>
    </w:p>
    <w:p w14:paraId="5A2915E7" w14:textId="4D729EC5" w:rsidR="00CB4130" w:rsidRPr="00DD50D8" w:rsidRDefault="00CB4130" w:rsidP="000E136D">
      <w:pPr>
        <w:pStyle w:val="ListParagraph"/>
        <w:numPr>
          <w:ilvl w:val="0"/>
          <w:numId w:val="16"/>
        </w:numPr>
        <w:spacing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 xml:space="preserve">Australia’s extradition process for incoming extradition requests from foreign countries (excluding New Zealand) generally comprises four stages under the Act: </w:t>
      </w:r>
    </w:p>
    <w:p w14:paraId="753A2A4A" w14:textId="187905A6" w:rsidR="00CB4130" w:rsidRPr="00DD50D8" w:rsidRDefault="004A2788" w:rsidP="000E136D">
      <w:pPr>
        <w:pStyle w:val="ListParagraph"/>
        <w:numPr>
          <w:ilvl w:val="0"/>
          <w:numId w:val="19"/>
        </w:numPr>
        <w:spacing w:line="360" w:lineRule="auto"/>
        <w:contextualSpacing w:val="0"/>
        <w:rPr>
          <w:rFonts w:ascii="Times New Roman" w:hAnsi="Times New Roman" w:cs="Times New Roman"/>
          <w:sz w:val="24"/>
          <w:szCs w:val="24"/>
        </w:rPr>
      </w:pPr>
      <w:r w:rsidRPr="00DD50D8">
        <w:rPr>
          <w:rFonts w:ascii="Times New Roman" w:hAnsi="Times New Roman" w:cs="Times New Roman"/>
          <w:sz w:val="24"/>
          <w:szCs w:val="24"/>
        </w:rPr>
        <w:t>T</w:t>
      </w:r>
      <w:r w:rsidR="00CB4130" w:rsidRPr="00DD50D8">
        <w:rPr>
          <w:rFonts w:ascii="Times New Roman" w:hAnsi="Times New Roman" w:cs="Times New Roman"/>
          <w:sz w:val="24"/>
          <w:szCs w:val="24"/>
        </w:rPr>
        <w:t>he Attorney-General may, in his or her discretion, issue a notice in relation to an extraditable person following receipt of a request from an extradition country (section 16)</w:t>
      </w:r>
      <w:r w:rsidRPr="00DD50D8">
        <w:rPr>
          <w:rFonts w:ascii="Times New Roman" w:hAnsi="Times New Roman" w:cs="Times New Roman"/>
          <w:sz w:val="24"/>
          <w:szCs w:val="24"/>
        </w:rPr>
        <w:t>.</w:t>
      </w:r>
      <w:r w:rsidR="00CB4130" w:rsidRPr="00DD50D8">
        <w:rPr>
          <w:rFonts w:ascii="Times New Roman" w:hAnsi="Times New Roman" w:cs="Times New Roman"/>
          <w:sz w:val="24"/>
          <w:szCs w:val="24"/>
        </w:rPr>
        <w:t xml:space="preserve">  </w:t>
      </w:r>
    </w:p>
    <w:p w14:paraId="53753DE3" w14:textId="5AB18C47" w:rsidR="00CB4130" w:rsidRPr="00DD50D8" w:rsidRDefault="004A2788" w:rsidP="000E136D">
      <w:pPr>
        <w:pStyle w:val="ListParagraph"/>
        <w:numPr>
          <w:ilvl w:val="0"/>
          <w:numId w:val="19"/>
        </w:numPr>
        <w:spacing w:line="360" w:lineRule="auto"/>
        <w:contextualSpacing w:val="0"/>
        <w:rPr>
          <w:rFonts w:ascii="Times New Roman" w:hAnsi="Times New Roman" w:cs="Times New Roman"/>
          <w:sz w:val="24"/>
          <w:szCs w:val="24"/>
        </w:rPr>
      </w:pPr>
      <w:r w:rsidRPr="00DD50D8">
        <w:rPr>
          <w:rFonts w:ascii="Times New Roman" w:hAnsi="Times New Roman" w:cs="Times New Roman"/>
          <w:sz w:val="24"/>
          <w:szCs w:val="24"/>
        </w:rPr>
        <w:t>I</w:t>
      </w:r>
      <w:r w:rsidR="00CB4130" w:rsidRPr="00DD50D8">
        <w:rPr>
          <w:rFonts w:ascii="Times New Roman" w:hAnsi="Times New Roman" w:cs="Times New Roman"/>
          <w:sz w:val="24"/>
          <w:szCs w:val="24"/>
        </w:rPr>
        <w:t>f a notice is issued, an application may be made for a warrant for the arrest of the extraditable person (section 12). Following arrest, the person will be brought before a magistrate or eligible Judge who will remand the person (section 15)</w:t>
      </w:r>
      <w:r w:rsidRPr="00DD50D8">
        <w:rPr>
          <w:rFonts w:ascii="Times New Roman" w:hAnsi="Times New Roman" w:cs="Times New Roman"/>
          <w:sz w:val="24"/>
          <w:szCs w:val="24"/>
        </w:rPr>
        <w:t>.</w:t>
      </w:r>
    </w:p>
    <w:p w14:paraId="53D4019C" w14:textId="2F6591D9" w:rsidR="00CB4130" w:rsidRPr="00DD50D8" w:rsidRDefault="004A2788" w:rsidP="000E136D">
      <w:pPr>
        <w:pStyle w:val="ListParagraph"/>
        <w:numPr>
          <w:ilvl w:val="0"/>
          <w:numId w:val="19"/>
        </w:numPr>
        <w:spacing w:line="360" w:lineRule="auto"/>
        <w:contextualSpacing w:val="0"/>
        <w:rPr>
          <w:rFonts w:ascii="Times New Roman" w:hAnsi="Times New Roman" w:cs="Times New Roman"/>
          <w:sz w:val="24"/>
          <w:szCs w:val="24"/>
        </w:rPr>
      </w:pPr>
      <w:r w:rsidRPr="00DD50D8">
        <w:rPr>
          <w:rFonts w:ascii="Times New Roman" w:hAnsi="Times New Roman" w:cs="Times New Roman"/>
          <w:sz w:val="24"/>
          <w:szCs w:val="24"/>
        </w:rPr>
        <w:t>F</w:t>
      </w:r>
      <w:r w:rsidR="00CB4130" w:rsidRPr="00DD50D8">
        <w:rPr>
          <w:rFonts w:ascii="Times New Roman" w:hAnsi="Times New Roman" w:cs="Times New Roman"/>
          <w:sz w:val="24"/>
          <w:szCs w:val="24"/>
        </w:rPr>
        <w:t>ollowing remand, the person can either waive (section 15A) or consent (section 18) to their extradition. If the person does not waive or consent, a magistrate or eligible Judge must determine whether the person is eligible for surrender (section 19)</w:t>
      </w:r>
      <w:r w:rsidRPr="00DD50D8">
        <w:rPr>
          <w:rFonts w:ascii="Times New Roman" w:hAnsi="Times New Roman" w:cs="Times New Roman"/>
          <w:sz w:val="24"/>
          <w:szCs w:val="24"/>
        </w:rPr>
        <w:t>.</w:t>
      </w:r>
    </w:p>
    <w:p w14:paraId="074E96D7" w14:textId="66990BAB" w:rsidR="00CB4130" w:rsidRPr="00DD50D8" w:rsidRDefault="004A2788" w:rsidP="000E136D">
      <w:pPr>
        <w:pStyle w:val="ListParagraph"/>
        <w:numPr>
          <w:ilvl w:val="0"/>
          <w:numId w:val="19"/>
        </w:numPr>
        <w:spacing w:line="360" w:lineRule="auto"/>
        <w:contextualSpacing w:val="0"/>
        <w:rPr>
          <w:rFonts w:ascii="Times New Roman" w:hAnsi="Times New Roman" w:cs="Times New Roman"/>
          <w:sz w:val="24"/>
          <w:szCs w:val="24"/>
        </w:rPr>
      </w:pPr>
      <w:r w:rsidRPr="00DD50D8">
        <w:rPr>
          <w:rFonts w:ascii="Times New Roman" w:hAnsi="Times New Roman" w:cs="Times New Roman"/>
          <w:sz w:val="24"/>
          <w:szCs w:val="24"/>
        </w:rPr>
        <w:t>T</w:t>
      </w:r>
      <w:r w:rsidR="00CB4130" w:rsidRPr="00DD50D8">
        <w:rPr>
          <w:rFonts w:ascii="Times New Roman" w:hAnsi="Times New Roman" w:cs="Times New Roman"/>
          <w:sz w:val="24"/>
          <w:szCs w:val="24"/>
        </w:rPr>
        <w:t xml:space="preserve">he Attorney-General must determine whether an extraditable person should be surrendered under either section 15B (if they have waived extradition in relation to one or more of the ‘extradition offences’) or section 22 (if they have consented to extradition or been found eligible under section 19). </w:t>
      </w:r>
    </w:p>
    <w:p w14:paraId="6CFD6F6C" w14:textId="77777777" w:rsidR="00CB4130" w:rsidRPr="00DD50D8" w:rsidRDefault="00CB4130" w:rsidP="000E136D">
      <w:pPr>
        <w:pStyle w:val="ListParagraph"/>
        <w:spacing w:line="360" w:lineRule="auto"/>
        <w:ind w:left="0"/>
        <w:contextualSpacing w:val="0"/>
        <w:rPr>
          <w:rFonts w:ascii="Times New Roman" w:hAnsi="Times New Roman" w:cs="Times New Roman"/>
          <w:i/>
          <w:sz w:val="24"/>
          <w:szCs w:val="24"/>
        </w:rPr>
      </w:pPr>
      <w:r w:rsidRPr="00DD50D8">
        <w:rPr>
          <w:rFonts w:ascii="Times New Roman" w:hAnsi="Times New Roman" w:cs="Times New Roman"/>
          <w:i/>
          <w:sz w:val="24"/>
          <w:szCs w:val="24"/>
        </w:rPr>
        <w:t>Stage 1: Issue of a notice (section 16)</w:t>
      </w:r>
    </w:p>
    <w:p w14:paraId="51A880B6" w14:textId="4141C1CF" w:rsidR="00CB4130" w:rsidRPr="00DD50D8" w:rsidRDefault="00CB4130" w:rsidP="000E136D">
      <w:pPr>
        <w:pStyle w:val="ListParagraph"/>
        <w:numPr>
          <w:ilvl w:val="0"/>
          <w:numId w:val="16"/>
        </w:numPr>
        <w:spacing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Following receipt of a formal extradition request from an extradition country, the Attorney</w:t>
      </w:r>
      <w:r w:rsidRPr="00DD50D8">
        <w:rPr>
          <w:rFonts w:ascii="Times New Roman" w:hAnsi="Times New Roman" w:cs="Times New Roman"/>
          <w:sz w:val="24"/>
          <w:szCs w:val="24"/>
        </w:rPr>
        <w:noBreakHyphen/>
        <w:t>General has discretion under section 16 of the Act to issue a notice stating that an extradition request has been received for a person for an extradition offence(s). </w:t>
      </w:r>
      <w:r w:rsidRPr="00DD50D8" w:rsidDel="00250C81">
        <w:rPr>
          <w:rFonts w:ascii="Times New Roman" w:hAnsi="Times New Roman" w:cs="Times New Roman"/>
          <w:sz w:val="24"/>
          <w:szCs w:val="24"/>
        </w:rPr>
        <w:t xml:space="preserve"> </w:t>
      </w:r>
    </w:p>
    <w:p w14:paraId="485EB755" w14:textId="12B4FEAA" w:rsidR="00CB4130" w:rsidRPr="00DD50D8" w:rsidRDefault="00CB4130" w:rsidP="000E136D">
      <w:pPr>
        <w:pStyle w:val="ListParagraph"/>
        <w:numPr>
          <w:ilvl w:val="0"/>
          <w:numId w:val="16"/>
        </w:numPr>
        <w:spacing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 xml:space="preserve">The Attorney-General must not issue a notice under section 16 unless the </w:t>
      </w:r>
      <w:r w:rsidRPr="00DD50D8">
        <w:rPr>
          <w:rFonts w:ascii="Times New Roman" w:hAnsi="Times New Roman" w:cs="Times New Roman"/>
          <w:sz w:val="24"/>
          <w:szCs w:val="24"/>
        </w:rPr>
        <w:br/>
        <w:t xml:space="preserve">Attorney-General is of the opinion that the person sought is an ‘extraditable person’ in </w:t>
      </w:r>
      <w:r w:rsidRPr="00DD50D8">
        <w:rPr>
          <w:rFonts w:ascii="Times New Roman" w:hAnsi="Times New Roman" w:cs="Times New Roman"/>
          <w:sz w:val="24"/>
          <w:szCs w:val="24"/>
        </w:rPr>
        <w:lastRenderedPageBreak/>
        <w:t xml:space="preserve">relation to the extradition country. Pursuant to section 6 of the Act, a person is an ‘extraditable person’ where: </w:t>
      </w:r>
    </w:p>
    <w:p w14:paraId="74AC2353" w14:textId="77777777" w:rsidR="00CB4130" w:rsidRPr="00DD50D8" w:rsidRDefault="00CB4130" w:rsidP="000E136D">
      <w:pPr>
        <w:pStyle w:val="ListParagraph"/>
        <w:numPr>
          <w:ilvl w:val="0"/>
          <w:numId w:val="18"/>
        </w:numPr>
        <w:spacing w:line="360" w:lineRule="auto"/>
        <w:contextualSpacing w:val="0"/>
        <w:rPr>
          <w:rFonts w:ascii="Times New Roman" w:hAnsi="Times New Roman" w:cs="Times New Roman"/>
          <w:sz w:val="24"/>
          <w:szCs w:val="24"/>
        </w:rPr>
      </w:pPr>
      <w:r w:rsidRPr="00DD50D8">
        <w:rPr>
          <w:rFonts w:ascii="Times New Roman" w:hAnsi="Times New Roman" w:cs="Times New Roman"/>
          <w:sz w:val="24"/>
          <w:szCs w:val="24"/>
        </w:rPr>
        <w:t>either:</w:t>
      </w:r>
    </w:p>
    <w:p w14:paraId="0AD41321" w14:textId="18619729" w:rsidR="00CB4130" w:rsidRPr="00DD50D8" w:rsidRDefault="00CB4130" w:rsidP="000E136D">
      <w:pPr>
        <w:pStyle w:val="ListParagraph"/>
        <w:numPr>
          <w:ilvl w:val="1"/>
          <w:numId w:val="18"/>
        </w:numPr>
        <w:spacing w:line="360" w:lineRule="auto"/>
        <w:contextualSpacing w:val="0"/>
        <w:rPr>
          <w:rFonts w:ascii="Times New Roman" w:hAnsi="Times New Roman" w:cs="Times New Roman"/>
          <w:sz w:val="24"/>
          <w:szCs w:val="24"/>
        </w:rPr>
      </w:pPr>
      <w:r w:rsidRPr="00DD50D8">
        <w:rPr>
          <w:rFonts w:ascii="Times New Roman" w:hAnsi="Times New Roman" w:cs="Times New Roman"/>
          <w:sz w:val="24"/>
          <w:szCs w:val="24"/>
        </w:rPr>
        <w:t xml:space="preserve">a warrant is in force for the arrest of the person in relation to an offence or offences, </w:t>
      </w:r>
      <w:r w:rsidRPr="00DD50D8">
        <w:rPr>
          <w:rFonts w:ascii="Times New Roman" w:hAnsi="Times New Roman"/>
          <w:color w:val="000000"/>
          <w:sz w:val="24"/>
          <w:szCs w:val="24"/>
          <w:shd w:val="clear" w:color="auto" w:fill="FFFFFF"/>
        </w:rPr>
        <w:t xml:space="preserve">or </w:t>
      </w:r>
    </w:p>
    <w:p w14:paraId="04EE82BA" w14:textId="77777777" w:rsidR="00CB4130" w:rsidRPr="00DD50D8" w:rsidRDefault="00CB4130" w:rsidP="000E136D">
      <w:pPr>
        <w:pStyle w:val="ListParagraph"/>
        <w:numPr>
          <w:ilvl w:val="1"/>
          <w:numId w:val="18"/>
        </w:numPr>
        <w:spacing w:line="360" w:lineRule="auto"/>
        <w:contextualSpacing w:val="0"/>
        <w:rPr>
          <w:rFonts w:ascii="Times New Roman" w:hAnsi="Times New Roman" w:cs="Times New Roman"/>
          <w:sz w:val="24"/>
          <w:szCs w:val="24"/>
        </w:rPr>
      </w:pPr>
      <w:r w:rsidRPr="00DD50D8">
        <w:rPr>
          <w:rFonts w:ascii="Times New Roman" w:hAnsi="Times New Roman"/>
          <w:color w:val="000000"/>
          <w:sz w:val="24"/>
          <w:szCs w:val="24"/>
          <w:shd w:val="clear" w:color="auto" w:fill="FFFFFF"/>
        </w:rPr>
        <w:t>the person has been convicted of an offence or offences, and the requesting country intends to sentence that person, or if they have been sentenced, the whole or part of their sentence remains to be served</w:t>
      </w:r>
      <w:r w:rsidRPr="00DD50D8">
        <w:rPr>
          <w:rFonts w:ascii="Times New Roman" w:hAnsi="Times New Roman" w:cs="Times New Roman"/>
          <w:sz w:val="24"/>
          <w:szCs w:val="24"/>
        </w:rPr>
        <w:t>, and</w:t>
      </w:r>
    </w:p>
    <w:p w14:paraId="4D19D3B7" w14:textId="77777777" w:rsidR="00CB4130" w:rsidRPr="00DD50D8" w:rsidRDefault="00CB4130" w:rsidP="000E136D">
      <w:pPr>
        <w:pStyle w:val="ListParagraph"/>
        <w:numPr>
          <w:ilvl w:val="0"/>
          <w:numId w:val="18"/>
        </w:numPr>
        <w:spacing w:line="360" w:lineRule="auto"/>
        <w:contextualSpacing w:val="0"/>
        <w:rPr>
          <w:rFonts w:ascii="Times New Roman" w:hAnsi="Times New Roman" w:cs="Times New Roman"/>
          <w:sz w:val="24"/>
          <w:szCs w:val="24"/>
        </w:rPr>
      </w:pPr>
      <w:r w:rsidRPr="00DD50D8">
        <w:rPr>
          <w:rFonts w:ascii="Times New Roman" w:hAnsi="Times New Roman" w:cs="Times New Roman"/>
          <w:sz w:val="24"/>
          <w:szCs w:val="24"/>
        </w:rPr>
        <w:t>the relevant offence, or any of the offences, is an ‘extradition offence’ in relation to the extradition country, and</w:t>
      </w:r>
    </w:p>
    <w:p w14:paraId="72DBEB85" w14:textId="77777777" w:rsidR="00CB4130" w:rsidRPr="00DD50D8" w:rsidRDefault="00CB4130" w:rsidP="000E136D">
      <w:pPr>
        <w:pStyle w:val="ListParagraph"/>
        <w:numPr>
          <w:ilvl w:val="0"/>
          <w:numId w:val="18"/>
        </w:numPr>
        <w:spacing w:line="360" w:lineRule="auto"/>
        <w:contextualSpacing w:val="0"/>
        <w:rPr>
          <w:rFonts w:ascii="Times New Roman" w:hAnsi="Times New Roman" w:cs="Times New Roman"/>
          <w:sz w:val="24"/>
          <w:szCs w:val="24"/>
        </w:rPr>
      </w:pPr>
      <w:r w:rsidRPr="00DD50D8">
        <w:rPr>
          <w:rFonts w:ascii="Times New Roman" w:hAnsi="Times New Roman" w:cs="Times New Roman"/>
          <w:sz w:val="24"/>
          <w:szCs w:val="24"/>
        </w:rPr>
        <w:t xml:space="preserve">the person is believed to be outside of the country making the extradition request. </w:t>
      </w:r>
    </w:p>
    <w:p w14:paraId="79E73790" w14:textId="77777777" w:rsidR="00CB4130" w:rsidRPr="00DD50D8" w:rsidRDefault="00CB4130" w:rsidP="000E136D">
      <w:pPr>
        <w:pStyle w:val="ListParagraph"/>
        <w:numPr>
          <w:ilvl w:val="0"/>
          <w:numId w:val="16"/>
        </w:numPr>
        <w:spacing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 xml:space="preserve">The decision to issue a notice under subsection 16(1) is subject to judicial review under section 39B of the </w:t>
      </w:r>
      <w:r w:rsidRPr="00DD50D8">
        <w:rPr>
          <w:rFonts w:ascii="Times New Roman" w:hAnsi="Times New Roman" w:cs="Times New Roman"/>
          <w:i/>
          <w:sz w:val="24"/>
          <w:szCs w:val="24"/>
        </w:rPr>
        <w:t>Judiciary Act 1903</w:t>
      </w:r>
      <w:r w:rsidRPr="00DD50D8">
        <w:rPr>
          <w:rFonts w:ascii="Times New Roman" w:hAnsi="Times New Roman" w:cs="Times New Roman"/>
          <w:sz w:val="24"/>
          <w:szCs w:val="24"/>
        </w:rPr>
        <w:t xml:space="preserve"> and section 75(v) of the Constitution. </w:t>
      </w:r>
    </w:p>
    <w:p w14:paraId="0E19C60C" w14:textId="77777777" w:rsidR="00CB4130" w:rsidRPr="00DD50D8" w:rsidRDefault="00CB4130" w:rsidP="000E136D">
      <w:pPr>
        <w:pStyle w:val="ListParagraph"/>
        <w:keepNext/>
        <w:spacing w:line="360" w:lineRule="auto"/>
        <w:ind w:left="0"/>
        <w:contextualSpacing w:val="0"/>
        <w:rPr>
          <w:rFonts w:ascii="Times New Roman" w:hAnsi="Times New Roman" w:cs="Times New Roman"/>
          <w:i/>
          <w:sz w:val="24"/>
          <w:szCs w:val="24"/>
        </w:rPr>
      </w:pPr>
      <w:r w:rsidRPr="00DD50D8">
        <w:rPr>
          <w:rFonts w:ascii="Times New Roman" w:hAnsi="Times New Roman" w:cs="Times New Roman"/>
          <w:i/>
          <w:sz w:val="24"/>
          <w:szCs w:val="24"/>
        </w:rPr>
        <w:t>Stage 2: Arrest and remand (sections 12 and 15)</w:t>
      </w:r>
    </w:p>
    <w:p w14:paraId="0DCF82D2" w14:textId="449A78C7" w:rsidR="00CB4130" w:rsidRPr="00DD50D8" w:rsidRDefault="00CB4130" w:rsidP="000E136D">
      <w:pPr>
        <w:pStyle w:val="ListParagraph"/>
        <w:numPr>
          <w:ilvl w:val="0"/>
          <w:numId w:val="16"/>
        </w:numPr>
        <w:spacing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With the exception of urgent matters</w:t>
      </w:r>
      <w:r w:rsidR="003F3E12" w:rsidRPr="00DD50D8">
        <w:rPr>
          <w:rFonts w:ascii="Times New Roman" w:hAnsi="Times New Roman" w:cs="Times New Roman"/>
          <w:sz w:val="24"/>
          <w:szCs w:val="24"/>
        </w:rPr>
        <w:t xml:space="preserve"> (e.g. where the person may have been arrested pursuant to a provisional arrest request)</w:t>
      </w:r>
      <w:r w:rsidRPr="00DD50D8">
        <w:rPr>
          <w:rFonts w:ascii="Times New Roman" w:hAnsi="Times New Roman" w:cs="Times New Roman"/>
          <w:sz w:val="24"/>
          <w:szCs w:val="24"/>
        </w:rPr>
        <w:t>, once a notice has been issued, the Attorney</w:t>
      </w:r>
      <w:r w:rsidRPr="00DD50D8">
        <w:rPr>
          <w:rFonts w:ascii="Times New Roman" w:hAnsi="Times New Roman" w:cs="Times New Roman"/>
          <w:sz w:val="24"/>
          <w:szCs w:val="24"/>
        </w:rPr>
        <w:noBreakHyphen/>
        <w:t>General’s Department will apply for an extradition arrest warrant under subsection 12(1) of the Act.</w:t>
      </w:r>
    </w:p>
    <w:p w14:paraId="6CDA5833" w14:textId="75184CE5" w:rsidR="00CB4130" w:rsidRPr="00DD50D8" w:rsidRDefault="00CB4130" w:rsidP="000E136D">
      <w:pPr>
        <w:pStyle w:val="ListParagraph"/>
        <w:numPr>
          <w:ilvl w:val="0"/>
          <w:numId w:val="16"/>
        </w:numPr>
        <w:spacing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 xml:space="preserve">Pursuant to subsection 12(1) of the Act, a magistrate or eligible Judge will issue a warrant if satisfied, on the basis of information given by affidavit, that the person is an extraditable person in relation to the extradition country. Section 15 requires that a person be taken before a magistrate or eligible Judge as soon as practicable following their arrest and be remanded in custody or on bail. This decision is subject to judicial review under section 39B of the </w:t>
      </w:r>
      <w:r w:rsidRPr="00DD50D8">
        <w:rPr>
          <w:rFonts w:ascii="Times New Roman" w:hAnsi="Times New Roman" w:cs="Times New Roman"/>
          <w:i/>
          <w:sz w:val="24"/>
          <w:szCs w:val="24"/>
        </w:rPr>
        <w:t>Judiciary Act 1903</w:t>
      </w:r>
      <w:r w:rsidRPr="00DD50D8">
        <w:rPr>
          <w:rFonts w:ascii="Times New Roman" w:hAnsi="Times New Roman" w:cs="Times New Roman"/>
          <w:sz w:val="24"/>
          <w:szCs w:val="24"/>
        </w:rPr>
        <w:t xml:space="preserve">. </w:t>
      </w:r>
    </w:p>
    <w:p w14:paraId="0F769949" w14:textId="77777777" w:rsidR="00CB4130" w:rsidRPr="00DD50D8" w:rsidRDefault="00CB4130" w:rsidP="000E136D">
      <w:pPr>
        <w:pStyle w:val="ListParagraph"/>
        <w:spacing w:line="360" w:lineRule="auto"/>
        <w:ind w:left="0"/>
        <w:contextualSpacing w:val="0"/>
        <w:rPr>
          <w:rFonts w:ascii="Times New Roman" w:hAnsi="Times New Roman" w:cs="Times New Roman"/>
          <w:sz w:val="24"/>
          <w:szCs w:val="24"/>
        </w:rPr>
      </w:pPr>
      <w:r w:rsidRPr="00DD50D8">
        <w:rPr>
          <w:rFonts w:ascii="Times New Roman" w:hAnsi="Times New Roman" w:cs="Times New Roman"/>
          <w:i/>
          <w:sz w:val="24"/>
          <w:szCs w:val="24"/>
        </w:rPr>
        <w:t>Stage 3: Eligibility hearing before a magistrate or eligible Judge (section 19)</w:t>
      </w:r>
    </w:p>
    <w:p w14:paraId="53E349A1" w14:textId="15BB8ADB" w:rsidR="00CB4130" w:rsidRPr="00DD50D8" w:rsidRDefault="00CB4130" w:rsidP="000E136D">
      <w:pPr>
        <w:pStyle w:val="ListParagraph"/>
        <w:numPr>
          <w:ilvl w:val="0"/>
          <w:numId w:val="16"/>
        </w:numPr>
        <w:spacing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If a person does not elect to waive the extradition process under section 15A or consent to their surrender under section 18 of the Act, a</w:t>
      </w:r>
      <w:r w:rsidRPr="00DD50D8">
        <w:rPr>
          <w:rFonts w:ascii="Times New Roman" w:hAnsi="Times New Roman" w:cs="Times New Roman"/>
          <w:b/>
          <w:sz w:val="24"/>
          <w:szCs w:val="24"/>
        </w:rPr>
        <w:t xml:space="preserve"> </w:t>
      </w:r>
      <w:r w:rsidRPr="00DD50D8">
        <w:rPr>
          <w:rFonts w:ascii="Times New Roman" w:hAnsi="Times New Roman" w:cs="Times New Roman"/>
          <w:sz w:val="24"/>
          <w:szCs w:val="24"/>
        </w:rPr>
        <w:t xml:space="preserve">magistrate or eligible </w:t>
      </w:r>
      <w:r w:rsidR="006147ED" w:rsidRPr="00DD50D8">
        <w:rPr>
          <w:rFonts w:ascii="Times New Roman" w:hAnsi="Times New Roman" w:cs="Times New Roman"/>
          <w:sz w:val="24"/>
          <w:szCs w:val="24"/>
        </w:rPr>
        <w:t>J</w:t>
      </w:r>
      <w:r w:rsidRPr="00DD50D8">
        <w:rPr>
          <w:rFonts w:ascii="Times New Roman" w:hAnsi="Times New Roman" w:cs="Times New Roman"/>
          <w:sz w:val="24"/>
          <w:szCs w:val="24"/>
        </w:rPr>
        <w:t xml:space="preserve">udge shall </w:t>
      </w:r>
      <w:r w:rsidRPr="00DD50D8">
        <w:rPr>
          <w:rFonts w:ascii="Times New Roman" w:hAnsi="Times New Roman" w:cs="Times New Roman"/>
          <w:sz w:val="24"/>
          <w:szCs w:val="24"/>
        </w:rPr>
        <w:lastRenderedPageBreak/>
        <w:t>determine whether the person is eligible for surrender under section 19 of the Act. Pursuant to that section, a person is only eligible for surrender if:</w:t>
      </w:r>
    </w:p>
    <w:p w14:paraId="518C8399" w14:textId="77777777" w:rsidR="00CB4130" w:rsidRPr="00DD50D8" w:rsidRDefault="00CB4130" w:rsidP="000E136D">
      <w:pPr>
        <w:numPr>
          <w:ilvl w:val="0"/>
          <w:numId w:val="18"/>
        </w:numPr>
        <w:spacing w:line="360" w:lineRule="auto"/>
        <w:rPr>
          <w:rFonts w:ascii="Times New Roman" w:hAnsi="Times New Roman" w:cs="Times New Roman"/>
          <w:sz w:val="24"/>
          <w:szCs w:val="24"/>
        </w:rPr>
      </w:pPr>
      <w:r w:rsidRPr="00DD50D8">
        <w:rPr>
          <w:rFonts w:ascii="Times New Roman" w:hAnsi="Times New Roman" w:cs="Times New Roman"/>
          <w:sz w:val="24"/>
          <w:szCs w:val="24"/>
        </w:rPr>
        <w:t>the necessary supporting documents (as set out in subsection 19(3)) are produced,</w:t>
      </w:r>
    </w:p>
    <w:p w14:paraId="16A163D2" w14:textId="56CAA7DC" w:rsidR="00CB4130" w:rsidRPr="00DD50D8" w:rsidRDefault="00CB4130" w:rsidP="000E136D">
      <w:pPr>
        <w:numPr>
          <w:ilvl w:val="0"/>
          <w:numId w:val="18"/>
        </w:numPr>
        <w:spacing w:line="360" w:lineRule="auto"/>
        <w:rPr>
          <w:rFonts w:ascii="Times New Roman" w:hAnsi="Times New Roman" w:cs="Times New Roman"/>
          <w:sz w:val="24"/>
          <w:szCs w:val="24"/>
        </w:rPr>
      </w:pPr>
      <w:r w:rsidRPr="00DD50D8">
        <w:rPr>
          <w:rFonts w:ascii="Times New Roman" w:hAnsi="Times New Roman" w:cs="Times New Roman"/>
          <w:sz w:val="24"/>
          <w:szCs w:val="24"/>
        </w:rPr>
        <w:t xml:space="preserve">where the regulations state that the Act applies subject to a limitation, condition, </w:t>
      </w:r>
      <w:r w:rsidR="008368FE" w:rsidRPr="00DD50D8">
        <w:rPr>
          <w:rFonts w:ascii="Times New Roman" w:hAnsi="Times New Roman" w:cs="Times New Roman"/>
          <w:sz w:val="24"/>
          <w:szCs w:val="24"/>
        </w:rPr>
        <w:t>exception</w:t>
      </w:r>
      <w:r w:rsidRPr="00DD50D8">
        <w:rPr>
          <w:rFonts w:ascii="Times New Roman" w:hAnsi="Times New Roman" w:cs="Times New Roman"/>
          <w:sz w:val="24"/>
          <w:szCs w:val="24"/>
        </w:rPr>
        <w:t xml:space="preserve"> or </w:t>
      </w:r>
      <w:r w:rsidR="008368FE" w:rsidRPr="00DD50D8">
        <w:rPr>
          <w:rFonts w:ascii="Times New Roman" w:hAnsi="Times New Roman" w:cs="Times New Roman"/>
          <w:sz w:val="24"/>
          <w:szCs w:val="24"/>
        </w:rPr>
        <w:t>qualification</w:t>
      </w:r>
      <w:r w:rsidRPr="00DD50D8">
        <w:rPr>
          <w:rFonts w:ascii="Times New Roman" w:hAnsi="Times New Roman" w:cs="Times New Roman"/>
          <w:sz w:val="24"/>
          <w:szCs w:val="24"/>
        </w:rPr>
        <w:t xml:space="preserve"> that requires the production of additional documentation, that the additional documentation is produced, </w:t>
      </w:r>
    </w:p>
    <w:p w14:paraId="487F1D98" w14:textId="77777777" w:rsidR="00CB4130" w:rsidRPr="00DD50D8" w:rsidRDefault="00CB4130" w:rsidP="000E136D">
      <w:pPr>
        <w:numPr>
          <w:ilvl w:val="0"/>
          <w:numId w:val="18"/>
        </w:numPr>
        <w:spacing w:line="360" w:lineRule="auto"/>
        <w:rPr>
          <w:rFonts w:ascii="Times New Roman" w:hAnsi="Times New Roman" w:cs="Times New Roman"/>
          <w:sz w:val="24"/>
          <w:szCs w:val="24"/>
        </w:rPr>
      </w:pPr>
      <w:r w:rsidRPr="00DD50D8">
        <w:rPr>
          <w:rFonts w:ascii="Times New Roman" w:hAnsi="Times New Roman" w:cs="Times New Roman"/>
          <w:sz w:val="24"/>
          <w:szCs w:val="24"/>
        </w:rPr>
        <w:t>the magistrate or eligible Judge is satisfied that the conduct would constitute an ‘extradition offence’ in both countries (known as ‘dual criminality’), and</w:t>
      </w:r>
    </w:p>
    <w:p w14:paraId="4F9F33CC" w14:textId="77777777" w:rsidR="00CB4130" w:rsidRPr="00DD50D8" w:rsidRDefault="00CB4130" w:rsidP="000E136D">
      <w:pPr>
        <w:numPr>
          <w:ilvl w:val="0"/>
          <w:numId w:val="18"/>
        </w:numPr>
        <w:spacing w:line="360" w:lineRule="auto"/>
        <w:rPr>
          <w:rFonts w:ascii="Times New Roman" w:hAnsi="Times New Roman" w:cs="Times New Roman"/>
          <w:sz w:val="24"/>
          <w:szCs w:val="24"/>
        </w:rPr>
      </w:pPr>
      <w:r w:rsidRPr="00DD50D8">
        <w:rPr>
          <w:rFonts w:ascii="Times New Roman" w:hAnsi="Times New Roman" w:cs="Times New Roman"/>
          <w:sz w:val="24"/>
          <w:szCs w:val="24"/>
        </w:rPr>
        <w:t>the magistrate or eligible Judge is satisfied there are no substantial grounds for believing there is an ‘extradition objection’ in relation to the extradition offence.</w:t>
      </w:r>
    </w:p>
    <w:p w14:paraId="2993024F" w14:textId="37967485" w:rsidR="00CB4130" w:rsidRPr="00DD50D8" w:rsidRDefault="00CB4130" w:rsidP="000E136D">
      <w:pPr>
        <w:pStyle w:val="ListParagraph"/>
        <w:numPr>
          <w:ilvl w:val="0"/>
          <w:numId w:val="16"/>
        </w:numPr>
        <w:spacing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An ‘extradition offence’ is defined in section 5 of the Act to mean:</w:t>
      </w:r>
    </w:p>
    <w:p w14:paraId="07CC6B71" w14:textId="77777777" w:rsidR="00CB4130" w:rsidRPr="00DD50D8" w:rsidRDefault="00CB4130" w:rsidP="000E136D">
      <w:pPr>
        <w:numPr>
          <w:ilvl w:val="0"/>
          <w:numId w:val="18"/>
        </w:numPr>
        <w:spacing w:line="360" w:lineRule="auto"/>
        <w:rPr>
          <w:rFonts w:ascii="Times New Roman" w:hAnsi="Times New Roman" w:cs="Times New Roman"/>
          <w:sz w:val="24"/>
          <w:szCs w:val="24"/>
        </w:rPr>
      </w:pPr>
      <w:r w:rsidRPr="00DD50D8">
        <w:rPr>
          <w:rFonts w:ascii="Times New Roman" w:hAnsi="Times New Roman" w:cs="Times New Roman"/>
          <w:sz w:val="24"/>
          <w:szCs w:val="24"/>
        </w:rPr>
        <w:t>in relation to a country other than Australia, an offence against a law of the country for which the maximum penalty is death or imprisonment, or other deprivation of liberty, for a period of not less than 12 months (or, if the offence does not carry a penalty under the law of the country, the conduct is required to be treated as an offence for which the surrender of persons is permitted by the country and Australia under a relevant extradition treaty), or</w:t>
      </w:r>
    </w:p>
    <w:p w14:paraId="48428041" w14:textId="77777777" w:rsidR="00CB4130" w:rsidRPr="00DD50D8" w:rsidRDefault="00CB4130" w:rsidP="000E136D">
      <w:pPr>
        <w:numPr>
          <w:ilvl w:val="0"/>
          <w:numId w:val="18"/>
        </w:numPr>
        <w:spacing w:line="360" w:lineRule="auto"/>
        <w:rPr>
          <w:rFonts w:ascii="Times New Roman" w:hAnsi="Times New Roman" w:cs="Times New Roman"/>
          <w:sz w:val="24"/>
          <w:szCs w:val="24"/>
        </w:rPr>
      </w:pPr>
      <w:r w:rsidRPr="00DD50D8">
        <w:rPr>
          <w:rFonts w:ascii="Times New Roman" w:hAnsi="Times New Roman" w:cs="Times New Roman"/>
          <w:sz w:val="24"/>
          <w:szCs w:val="24"/>
        </w:rPr>
        <w:t>in relation to Australia or part of Australia, an offence against a law of Australia, or law in force in the part of Australia, for which the maximum penalty is death or imprisonment, or other deprivation of liberty, for a period of not less than 12 months.</w:t>
      </w:r>
    </w:p>
    <w:p w14:paraId="1FB8E2BB" w14:textId="2200E4BD" w:rsidR="00CB4130" w:rsidRPr="00DD50D8" w:rsidRDefault="00CB4130" w:rsidP="000E136D">
      <w:pPr>
        <w:pStyle w:val="ListParagraph"/>
        <w:numPr>
          <w:ilvl w:val="0"/>
          <w:numId w:val="16"/>
        </w:numPr>
        <w:spacing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An ‘extradition objection’ is defined in section 7 of the Act and arises where:</w:t>
      </w:r>
    </w:p>
    <w:p w14:paraId="12DEE7CB" w14:textId="72F0B2EB" w:rsidR="00CB4130" w:rsidRPr="00DD50D8" w:rsidRDefault="00CB4130" w:rsidP="000E136D">
      <w:pPr>
        <w:pStyle w:val="ListParagraph"/>
        <w:numPr>
          <w:ilvl w:val="0"/>
          <w:numId w:val="20"/>
        </w:numPr>
        <w:spacing w:line="360" w:lineRule="auto"/>
        <w:rPr>
          <w:rFonts w:ascii="Times New Roman" w:hAnsi="Times New Roman" w:cs="Times New Roman"/>
          <w:sz w:val="24"/>
          <w:szCs w:val="24"/>
        </w:rPr>
      </w:pPr>
      <w:r w:rsidRPr="00DD50D8">
        <w:rPr>
          <w:rFonts w:ascii="Times New Roman" w:hAnsi="Times New Roman" w:cs="Times New Roman"/>
          <w:sz w:val="24"/>
          <w:szCs w:val="24"/>
        </w:rPr>
        <w:t>the extradition offence is a political offence in relation to the extradition country,</w:t>
      </w:r>
    </w:p>
    <w:p w14:paraId="0C6F11A5" w14:textId="170CD5F6" w:rsidR="00CB4130" w:rsidRPr="00DD50D8" w:rsidRDefault="00CB4130" w:rsidP="000E136D">
      <w:pPr>
        <w:numPr>
          <w:ilvl w:val="0"/>
          <w:numId w:val="20"/>
        </w:numPr>
        <w:spacing w:line="360" w:lineRule="auto"/>
        <w:rPr>
          <w:rFonts w:ascii="Times New Roman" w:hAnsi="Times New Roman" w:cs="Times New Roman"/>
          <w:sz w:val="24"/>
          <w:szCs w:val="24"/>
        </w:rPr>
      </w:pPr>
      <w:r w:rsidRPr="00DD50D8">
        <w:rPr>
          <w:rFonts w:ascii="Times New Roman" w:hAnsi="Times New Roman" w:cs="Times New Roman"/>
          <w:sz w:val="24"/>
          <w:szCs w:val="24"/>
        </w:rPr>
        <w:t>the person is actually sought for the purpose of prosecuting or punishing the person on account of his or her race, sex, sexual orientation, religion, nationality or political opinions or for a political offence in relation to the extradition country,</w:t>
      </w:r>
    </w:p>
    <w:p w14:paraId="1C049194" w14:textId="62790A1E" w:rsidR="00CB4130" w:rsidRPr="00DD50D8" w:rsidRDefault="00CB4130" w:rsidP="000E136D">
      <w:pPr>
        <w:numPr>
          <w:ilvl w:val="0"/>
          <w:numId w:val="18"/>
        </w:numPr>
        <w:spacing w:line="360" w:lineRule="auto"/>
        <w:rPr>
          <w:rFonts w:ascii="Times New Roman" w:hAnsi="Times New Roman" w:cs="Times New Roman"/>
          <w:sz w:val="24"/>
          <w:szCs w:val="24"/>
        </w:rPr>
      </w:pPr>
      <w:r w:rsidRPr="00DD50D8">
        <w:rPr>
          <w:rFonts w:ascii="Times New Roman" w:hAnsi="Times New Roman" w:cs="Times New Roman"/>
          <w:sz w:val="24"/>
          <w:szCs w:val="24"/>
        </w:rPr>
        <w:t>the person may be prejudiced at his or her trial, or punished, detained or restricted in his or her personal liberty, by reason of his or her race, sex, sexual orientation, religion, nationality or political opinions,  </w:t>
      </w:r>
    </w:p>
    <w:p w14:paraId="76519BCD" w14:textId="5886133D" w:rsidR="00CB4130" w:rsidRPr="00DD50D8" w:rsidRDefault="00CB4130" w:rsidP="000E136D">
      <w:pPr>
        <w:numPr>
          <w:ilvl w:val="0"/>
          <w:numId w:val="18"/>
        </w:numPr>
        <w:spacing w:line="360" w:lineRule="auto"/>
        <w:rPr>
          <w:rFonts w:ascii="Times New Roman" w:hAnsi="Times New Roman" w:cs="Times New Roman"/>
          <w:sz w:val="24"/>
          <w:szCs w:val="24"/>
        </w:rPr>
      </w:pPr>
      <w:r w:rsidRPr="00DD50D8">
        <w:rPr>
          <w:rFonts w:ascii="Times New Roman" w:hAnsi="Times New Roman" w:cs="Times New Roman"/>
          <w:sz w:val="24"/>
          <w:szCs w:val="24"/>
        </w:rPr>
        <w:lastRenderedPageBreak/>
        <w:t>the conduct constituting the offence for which the person is sought constitutes a military offence in Australia, but not an ordinary criminal offence, or</w:t>
      </w:r>
    </w:p>
    <w:p w14:paraId="33D2FACA" w14:textId="2A9CEC0B" w:rsidR="00CB4130" w:rsidRPr="00DD50D8" w:rsidRDefault="00CB4130" w:rsidP="000E136D">
      <w:pPr>
        <w:numPr>
          <w:ilvl w:val="0"/>
          <w:numId w:val="18"/>
        </w:numPr>
        <w:spacing w:line="360" w:lineRule="auto"/>
        <w:rPr>
          <w:rFonts w:ascii="Times New Roman" w:hAnsi="Times New Roman" w:cs="Times New Roman"/>
          <w:sz w:val="24"/>
          <w:szCs w:val="24"/>
        </w:rPr>
      </w:pPr>
      <w:r w:rsidRPr="00DD50D8">
        <w:rPr>
          <w:rFonts w:ascii="Times New Roman" w:hAnsi="Times New Roman" w:cs="Times New Roman"/>
          <w:sz w:val="24"/>
          <w:szCs w:val="24"/>
        </w:rPr>
        <w:t xml:space="preserve">the person has been acquitted or pardoned by a competent tribunal or authority in the extradition country or Australia, or has undergone the punishment provided by the law of that country or Australia, in respect of the extradition offence or another offence constituted by the same conduct as constitutes the extradition offence (i.e. protection from double jeopardy). </w:t>
      </w:r>
    </w:p>
    <w:p w14:paraId="3FEBDFD7" w14:textId="1753F902" w:rsidR="00CB4130" w:rsidRPr="00DD50D8" w:rsidRDefault="00CB4130" w:rsidP="000E136D">
      <w:pPr>
        <w:pStyle w:val="ListParagraph"/>
        <w:numPr>
          <w:ilvl w:val="0"/>
          <w:numId w:val="16"/>
        </w:numPr>
        <w:spacing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 xml:space="preserve">Pursuant to section 21 of the Act, either the person who is </w:t>
      </w:r>
      <w:r w:rsidR="008368FE" w:rsidRPr="00DD50D8">
        <w:rPr>
          <w:rFonts w:ascii="Times New Roman" w:hAnsi="Times New Roman" w:cs="Times New Roman"/>
          <w:sz w:val="24"/>
          <w:szCs w:val="24"/>
        </w:rPr>
        <w:t xml:space="preserve">the </w:t>
      </w:r>
      <w:r w:rsidRPr="00DD50D8">
        <w:rPr>
          <w:rFonts w:ascii="Times New Roman" w:hAnsi="Times New Roman" w:cs="Times New Roman"/>
          <w:sz w:val="24"/>
          <w:szCs w:val="24"/>
        </w:rPr>
        <w:t xml:space="preserve">subject of the extradition request or the extradition country may apply to the Federal Court of Australia for a review of the magistrate or eligible Judge’s finding on eligibility. The Federal Court’s decision may be further appealed to the Full Court of the Federal Court of Australia and the High Court of Australia. </w:t>
      </w:r>
    </w:p>
    <w:p w14:paraId="56F70762" w14:textId="2D505C5D" w:rsidR="00CB4130" w:rsidRPr="00DD50D8" w:rsidRDefault="00CB4130" w:rsidP="000E136D">
      <w:pPr>
        <w:pStyle w:val="ListParagraph"/>
        <w:numPr>
          <w:ilvl w:val="0"/>
          <w:numId w:val="16"/>
        </w:numPr>
        <w:spacing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The person</w:t>
      </w:r>
      <w:r w:rsidR="00FD673F" w:rsidRPr="00DD50D8">
        <w:rPr>
          <w:rFonts w:ascii="Times New Roman" w:hAnsi="Times New Roman" w:cs="Times New Roman"/>
          <w:sz w:val="24"/>
          <w:szCs w:val="24"/>
        </w:rPr>
        <w:t xml:space="preserve"> who is</w:t>
      </w:r>
      <w:r w:rsidRPr="00DD50D8">
        <w:rPr>
          <w:rFonts w:ascii="Times New Roman" w:hAnsi="Times New Roman" w:cs="Times New Roman"/>
          <w:sz w:val="24"/>
          <w:szCs w:val="24"/>
        </w:rPr>
        <w:t xml:space="preserve"> the subject of the extradition request may also seek judicial review of an eligibility decision under section 39B of the </w:t>
      </w:r>
      <w:r w:rsidRPr="00DD50D8">
        <w:rPr>
          <w:rFonts w:ascii="Times New Roman" w:hAnsi="Times New Roman" w:cs="Times New Roman"/>
          <w:i/>
          <w:sz w:val="24"/>
          <w:szCs w:val="24"/>
        </w:rPr>
        <w:t>Judiciary Act 1903</w:t>
      </w:r>
      <w:r w:rsidRPr="00DD50D8">
        <w:rPr>
          <w:rFonts w:ascii="Times New Roman" w:hAnsi="Times New Roman" w:cs="Times New Roman"/>
          <w:sz w:val="24"/>
          <w:szCs w:val="24"/>
        </w:rPr>
        <w:t>.</w:t>
      </w:r>
      <w:r w:rsidRPr="00DD50D8">
        <w:rPr>
          <w:rFonts w:ascii="Times New Roman" w:hAnsi="Times New Roman" w:cs="Times New Roman"/>
          <w:color w:val="000000"/>
          <w:sz w:val="24"/>
          <w:szCs w:val="24"/>
        </w:rPr>
        <w:t xml:space="preserve"> </w:t>
      </w:r>
    </w:p>
    <w:p w14:paraId="5DE310FE" w14:textId="77777777" w:rsidR="00CB4130" w:rsidRPr="00DD50D8" w:rsidRDefault="00CB4130" w:rsidP="000E136D">
      <w:pPr>
        <w:keepNext/>
        <w:keepLines/>
        <w:spacing w:line="360" w:lineRule="auto"/>
        <w:rPr>
          <w:rFonts w:ascii="Times New Roman" w:hAnsi="Times New Roman" w:cs="Times New Roman"/>
          <w:i/>
          <w:sz w:val="24"/>
          <w:szCs w:val="24"/>
        </w:rPr>
      </w:pPr>
      <w:r w:rsidRPr="00DD50D8">
        <w:rPr>
          <w:rFonts w:ascii="Times New Roman" w:hAnsi="Times New Roman" w:cs="Times New Roman"/>
          <w:i/>
          <w:sz w:val="24"/>
          <w:szCs w:val="24"/>
        </w:rPr>
        <w:t>Stage 4: Attorney-General’s surrender determination (section 15B or section 22)</w:t>
      </w:r>
    </w:p>
    <w:p w14:paraId="6B0FCAAB" w14:textId="7726144E" w:rsidR="00CB4130" w:rsidRPr="00DD50D8" w:rsidRDefault="00CB4130" w:rsidP="000E136D">
      <w:pPr>
        <w:pStyle w:val="ListParagraph"/>
        <w:numPr>
          <w:ilvl w:val="0"/>
          <w:numId w:val="16"/>
        </w:numPr>
        <w:spacing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 xml:space="preserve">The fourth stage requires the Attorney-General to determine whether the person should be surrendered under either section 15B of the Act (if the person has waived the extradition process in relation to one or more extradition offences) or section 22 of the Act (if the person has consented to extradition or has been found eligible by a magistrate or eligible Judge under section 19). </w:t>
      </w:r>
    </w:p>
    <w:p w14:paraId="57DEFFA0" w14:textId="0AE5E9D4" w:rsidR="00CB4130" w:rsidRPr="00DD50D8" w:rsidRDefault="00CB4130" w:rsidP="000E136D">
      <w:pPr>
        <w:pStyle w:val="ListParagraph"/>
        <w:numPr>
          <w:ilvl w:val="0"/>
          <w:numId w:val="16"/>
        </w:numPr>
        <w:spacing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 xml:space="preserve">In accordance with the principles of procedural fairness, the person </w:t>
      </w:r>
      <w:r w:rsidR="00CC5AFC" w:rsidRPr="00DD50D8">
        <w:rPr>
          <w:rFonts w:ascii="Times New Roman" w:hAnsi="Times New Roman" w:cs="Times New Roman"/>
          <w:sz w:val="24"/>
          <w:szCs w:val="24"/>
        </w:rPr>
        <w:t xml:space="preserve">who is </w:t>
      </w:r>
      <w:r w:rsidRPr="00DD50D8">
        <w:rPr>
          <w:rFonts w:ascii="Times New Roman" w:hAnsi="Times New Roman" w:cs="Times New Roman"/>
          <w:sz w:val="24"/>
          <w:szCs w:val="24"/>
        </w:rPr>
        <w:t>the subject of the extradition request is given an opportunity to make representations to the Attorney</w:t>
      </w:r>
      <w:r w:rsidR="00CC5AFC" w:rsidRPr="00DD50D8">
        <w:rPr>
          <w:rFonts w:ascii="Times New Roman" w:hAnsi="Times New Roman" w:cs="Times New Roman"/>
          <w:sz w:val="24"/>
          <w:szCs w:val="24"/>
        </w:rPr>
        <w:noBreakHyphen/>
      </w:r>
      <w:r w:rsidRPr="00DD50D8">
        <w:rPr>
          <w:rFonts w:ascii="Times New Roman" w:hAnsi="Times New Roman" w:cs="Times New Roman"/>
          <w:sz w:val="24"/>
          <w:szCs w:val="24"/>
        </w:rPr>
        <w:t>General regarding any matters, human rights or otherwise, prior to the Attorney</w:t>
      </w:r>
      <w:r w:rsidR="00CC5AFC" w:rsidRPr="00DD50D8">
        <w:rPr>
          <w:rFonts w:ascii="Times New Roman" w:hAnsi="Times New Roman" w:cs="Times New Roman"/>
          <w:sz w:val="24"/>
          <w:szCs w:val="24"/>
        </w:rPr>
        <w:noBreakHyphen/>
      </w:r>
      <w:r w:rsidRPr="00DD50D8">
        <w:rPr>
          <w:rFonts w:ascii="Times New Roman" w:hAnsi="Times New Roman" w:cs="Times New Roman"/>
          <w:sz w:val="24"/>
          <w:szCs w:val="24"/>
        </w:rPr>
        <w:t xml:space="preserve">General making a surrender determination under sections 15B or 22 of the Act. A person can seek a review of the Attorney-General’s surrender determination under section 39B of the </w:t>
      </w:r>
      <w:r w:rsidRPr="00DD50D8">
        <w:rPr>
          <w:rFonts w:ascii="Times New Roman" w:hAnsi="Times New Roman" w:cs="Times New Roman"/>
          <w:i/>
          <w:sz w:val="24"/>
          <w:szCs w:val="24"/>
        </w:rPr>
        <w:t xml:space="preserve">Judiciary Act 1903 </w:t>
      </w:r>
      <w:r w:rsidRPr="00DD50D8">
        <w:rPr>
          <w:rFonts w:ascii="Times New Roman" w:hAnsi="Times New Roman" w:cs="Times New Roman"/>
          <w:sz w:val="24"/>
          <w:szCs w:val="24"/>
        </w:rPr>
        <w:t>and section 75(v) of the Constitution.</w:t>
      </w:r>
    </w:p>
    <w:p w14:paraId="2101808F" w14:textId="3148164D" w:rsidR="00CB4130" w:rsidRPr="00DD50D8" w:rsidRDefault="00CB4130" w:rsidP="000E136D">
      <w:pPr>
        <w:pStyle w:val="ListParagraph"/>
        <w:numPr>
          <w:ilvl w:val="0"/>
          <w:numId w:val="16"/>
        </w:numPr>
        <w:spacing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 xml:space="preserve">Subsection 22(3) of the Act provides that a person is only to be surrendered in relation to an extradition offence if: </w:t>
      </w:r>
    </w:p>
    <w:p w14:paraId="51ADA2D9" w14:textId="08E969AB" w:rsidR="00CB4130" w:rsidRPr="00DD50D8" w:rsidRDefault="009050D4" w:rsidP="000E136D">
      <w:pPr>
        <w:numPr>
          <w:ilvl w:val="0"/>
          <w:numId w:val="18"/>
        </w:numPr>
        <w:spacing w:line="360" w:lineRule="auto"/>
        <w:rPr>
          <w:rFonts w:ascii="Times New Roman" w:hAnsi="Times New Roman" w:cs="Times New Roman"/>
          <w:sz w:val="24"/>
          <w:szCs w:val="24"/>
        </w:rPr>
      </w:pPr>
      <w:r w:rsidRPr="00DD50D8">
        <w:rPr>
          <w:rFonts w:ascii="Times New Roman" w:hAnsi="Times New Roman" w:cs="Times New Roman"/>
          <w:sz w:val="24"/>
          <w:szCs w:val="24"/>
        </w:rPr>
        <w:t>t</w:t>
      </w:r>
      <w:r w:rsidR="00CB4130" w:rsidRPr="00DD50D8">
        <w:rPr>
          <w:rFonts w:ascii="Times New Roman" w:hAnsi="Times New Roman" w:cs="Times New Roman"/>
          <w:sz w:val="24"/>
          <w:szCs w:val="24"/>
        </w:rPr>
        <w:t>he Attorney-General is satisfied that there is no extradition objection (as set out above at paragraph 1</w:t>
      </w:r>
      <w:r w:rsidR="008034A8" w:rsidRPr="00DD50D8">
        <w:rPr>
          <w:rFonts w:ascii="Times New Roman" w:hAnsi="Times New Roman" w:cs="Times New Roman"/>
          <w:sz w:val="24"/>
          <w:szCs w:val="24"/>
        </w:rPr>
        <w:t>9</w:t>
      </w:r>
      <w:r w:rsidR="00CB4130" w:rsidRPr="00DD50D8">
        <w:rPr>
          <w:rFonts w:ascii="Times New Roman" w:hAnsi="Times New Roman" w:cs="Times New Roman"/>
          <w:sz w:val="24"/>
          <w:szCs w:val="24"/>
        </w:rPr>
        <w:t>) in relation to the relevant offence</w:t>
      </w:r>
      <w:r w:rsidR="00CF7EA9" w:rsidRPr="00DD50D8">
        <w:rPr>
          <w:rFonts w:ascii="Times New Roman" w:hAnsi="Times New Roman" w:cs="Times New Roman"/>
          <w:sz w:val="24"/>
          <w:szCs w:val="24"/>
        </w:rPr>
        <w:t>,</w:t>
      </w:r>
    </w:p>
    <w:p w14:paraId="0D4D41D1" w14:textId="05C53B1F" w:rsidR="00CB4130" w:rsidRPr="00DD50D8" w:rsidRDefault="00CB4130" w:rsidP="000E136D">
      <w:pPr>
        <w:numPr>
          <w:ilvl w:val="0"/>
          <w:numId w:val="18"/>
        </w:numPr>
        <w:spacing w:line="360" w:lineRule="auto"/>
        <w:rPr>
          <w:rFonts w:ascii="Times New Roman" w:hAnsi="Times New Roman" w:cs="Times New Roman"/>
          <w:sz w:val="24"/>
          <w:szCs w:val="24"/>
        </w:rPr>
      </w:pPr>
      <w:r w:rsidRPr="00DD50D8">
        <w:rPr>
          <w:rFonts w:ascii="Times New Roman" w:hAnsi="Times New Roman" w:cs="Times New Roman"/>
          <w:sz w:val="24"/>
          <w:szCs w:val="24"/>
        </w:rPr>
        <w:lastRenderedPageBreak/>
        <w:t>the Attorney-General does not have substantial grounds for believing that, if the person were surrendered to the extradition country, the person would be in danger of being subjected to torture</w:t>
      </w:r>
      <w:r w:rsidR="00CF7EA9" w:rsidRPr="00DD50D8">
        <w:rPr>
          <w:rFonts w:ascii="Times New Roman" w:hAnsi="Times New Roman" w:cs="Times New Roman"/>
          <w:sz w:val="24"/>
          <w:szCs w:val="24"/>
        </w:rPr>
        <w:t>,</w:t>
      </w:r>
    </w:p>
    <w:p w14:paraId="67E2A060" w14:textId="10C8E551" w:rsidR="00CB4130" w:rsidRPr="00DD50D8" w:rsidRDefault="00CB4130" w:rsidP="000E136D">
      <w:pPr>
        <w:numPr>
          <w:ilvl w:val="0"/>
          <w:numId w:val="18"/>
        </w:numPr>
        <w:spacing w:line="360" w:lineRule="auto"/>
        <w:rPr>
          <w:rFonts w:ascii="Times New Roman" w:hAnsi="Times New Roman" w:cs="Times New Roman"/>
          <w:sz w:val="24"/>
          <w:szCs w:val="24"/>
        </w:rPr>
      </w:pPr>
      <w:r w:rsidRPr="00DD50D8">
        <w:rPr>
          <w:rFonts w:ascii="Times New Roman" w:hAnsi="Times New Roman" w:cs="Times New Roman"/>
          <w:sz w:val="24"/>
          <w:szCs w:val="24"/>
        </w:rPr>
        <w:t>where the offence is punishable by death, an undertaking is given by the extradition country to Australia that the person will not be tried for the offence, or if tried, the death penalty will not be imposed, or if imposed, will not be carried out</w:t>
      </w:r>
      <w:r w:rsidR="00CC5AFC" w:rsidRPr="00DD50D8">
        <w:rPr>
          <w:rFonts w:ascii="Times New Roman" w:hAnsi="Times New Roman" w:cs="Times New Roman"/>
          <w:sz w:val="24"/>
          <w:szCs w:val="24"/>
        </w:rPr>
        <w:t>,</w:t>
      </w:r>
    </w:p>
    <w:p w14:paraId="7C2F7E94" w14:textId="06D54CAA" w:rsidR="00CB4130" w:rsidRPr="00DD50D8" w:rsidRDefault="00CB4130" w:rsidP="000E136D">
      <w:pPr>
        <w:numPr>
          <w:ilvl w:val="0"/>
          <w:numId w:val="18"/>
        </w:numPr>
        <w:spacing w:line="360" w:lineRule="auto"/>
        <w:rPr>
          <w:rFonts w:ascii="Times New Roman" w:hAnsi="Times New Roman" w:cs="Times New Roman"/>
          <w:sz w:val="24"/>
          <w:szCs w:val="24"/>
        </w:rPr>
      </w:pPr>
      <w:r w:rsidRPr="00DD50D8">
        <w:rPr>
          <w:rFonts w:ascii="Times New Roman" w:hAnsi="Times New Roman" w:cs="Times New Roman"/>
          <w:sz w:val="24"/>
          <w:szCs w:val="24"/>
        </w:rPr>
        <w:t>the extradition country has given a speciality assurance in relation to the person pursuant to subsection 22(4)</w:t>
      </w:r>
      <w:r w:rsidR="00CF7EA9" w:rsidRPr="00DD50D8">
        <w:rPr>
          <w:rFonts w:ascii="Times New Roman" w:hAnsi="Times New Roman" w:cs="Times New Roman"/>
          <w:sz w:val="24"/>
          <w:szCs w:val="24"/>
        </w:rPr>
        <w:t>,</w:t>
      </w:r>
    </w:p>
    <w:p w14:paraId="4517EFB2" w14:textId="358C48DD" w:rsidR="00CB4130" w:rsidRPr="00DD50D8" w:rsidRDefault="00CB4130" w:rsidP="000E136D">
      <w:pPr>
        <w:numPr>
          <w:ilvl w:val="0"/>
          <w:numId w:val="18"/>
        </w:numPr>
        <w:spacing w:line="360" w:lineRule="auto"/>
        <w:rPr>
          <w:rFonts w:ascii="Times New Roman" w:hAnsi="Times New Roman" w:cs="Times New Roman"/>
          <w:sz w:val="24"/>
          <w:szCs w:val="24"/>
        </w:rPr>
      </w:pPr>
      <w:r w:rsidRPr="00DD50D8">
        <w:rPr>
          <w:rFonts w:ascii="Times New Roman" w:hAnsi="Times New Roman" w:cs="Times New Roman"/>
          <w:sz w:val="24"/>
          <w:szCs w:val="24"/>
        </w:rPr>
        <w:t>where regulations made under section 11 of the Act give effect to a mandatory or discretionary limitation, condition, qualification or exception relating to surrender, the Attorney-General is satisfied that those circumstances do not exist (in the case of mandatory limitations, conditions, qualifications or exceptions), or if they exist (in the case of discretionary limitations, conditions, qualifications or exceptions), that the surrender of the person should nevertheless not be refused, and</w:t>
      </w:r>
    </w:p>
    <w:p w14:paraId="42536A4A" w14:textId="515FC15E" w:rsidR="00CB4130" w:rsidRPr="00DD50D8" w:rsidRDefault="00CB4130" w:rsidP="000E136D">
      <w:pPr>
        <w:numPr>
          <w:ilvl w:val="0"/>
          <w:numId w:val="18"/>
        </w:numPr>
        <w:spacing w:line="360" w:lineRule="auto"/>
        <w:rPr>
          <w:rFonts w:ascii="Times New Roman" w:hAnsi="Times New Roman" w:cs="Times New Roman"/>
          <w:sz w:val="24"/>
          <w:szCs w:val="24"/>
        </w:rPr>
      </w:pPr>
      <w:r w:rsidRPr="00DD50D8">
        <w:rPr>
          <w:rFonts w:ascii="Times New Roman" w:hAnsi="Times New Roman" w:cs="Times New Roman"/>
          <w:sz w:val="24"/>
          <w:szCs w:val="24"/>
        </w:rPr>
        <w:t>the Attorney-General, in his or her discretion, does not consider that the person should be surrendered.</w:t>
      </w:r>
    </w:p>
    <w:p w14:paraId="15215E92" w14:textId="77777777" w:rsidR="00CB4130" w:rsidRPr="00DD50D8" w:rsidRDefault="00CB4130" w:rsidP="000E136D">
      <w:pPr>
        <w:pStyle w:val="ListParagraph"/>
        <w:numPr>
          <w:ilvl w:val="0"/>
          <w:numId w:val="16"/>
        </w:numPr>
        <w:spacing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 xml:space="preserve">In relation to paragraph 22(3)(f), the Federal Court of Australia has held that this general discretion ‘is unfettered, and the Minister may, in the exercise of the discretion, </w:t>
      </w:r>
      <w:proofErr w:type="gramStart"/>
      <w:r w:rsidRPr="00DD50D8">
        <w:rPr>
          <w:rFonts w:ascii="Times New Roman" w:hAnsi="Times New Roman" w:cs="Times New Roman"/>
          <w:sz w:val="24"/>
          <w:szCs w:val="24"/>
        </w:rPr>
        <w:t>take into account</w:t>
      </w:r>
      <w:proofErr w:type="gramEnd"/>
      <w:r w:rsidRPr="00DD50D8">
        <w:rPr>
          <w:rFonts w:ascii="Times New Roman" w:hAnsi="Times New Roman" w:cs="Times New Roman"/>
          <w:sz w:val="24"/>
          <w:szCs w:val="24"/>
        </w:rPr>
        <w:t xml:space="preserve"> any matters, or no matters, provided that the discretion is exercised in good faith and consistently with the objects, scope and purpose of the [Extradition] Act.’</w:t>
      </w:r>
      <w:r w:rsidRPr="00DD50D8">
        <w:rPr>
          <w:rStyle w:val="FootnoteReference"/>
        </w:rPr>
        <w:footnoteReference w:id="1"/>
      </w:r>
    </w:p>
    <w:p w14:paraId="3C35B7AB" w14:textId="77777777" w:rsidR="00CB4130" w:rsidRPr="00DD50D8" w:rsidRDefault="00CB4130" w:rsidP="000E136D">
      <w:pPr>
        <w:pStyle w:val="ListParagraph"/>
        <w:numPr>
          <w:ilvl w:val="0"/>
          <w:numId w:val="16"/>
        </w:numPr>
        <w:spacing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Where a person elects to waive the extradition process, section 15B sets out that the Attorney-General may only surrender the person if:</w:t>
      </w:r>
    </w:p>
    <w:p w14:paraId="73D3F089" w14:textId="65D236CC" w:rsidR="00CB4130" w:rsidRPr="00DD50D8" w:rsidRDefault="009050D4" w:rsidP="000E136D">
      <w:pPr>
        <w:pStyle w:val="ListParagraph"/>
        <w:numPr>
          <w:ilvl w:val="1"/>
          <w:numId w:val="16"/>
        </w:numPr>
        <w:spacing w:line="360" w:lineRule="auto"/>
        <w:contextualSpacing w:val="0"/>
        <w:rPr>
          <w:rFonts w:ascii="Times New Roman" w:hAnsi="Times New Roman" w:cs="Times New Roman"/>
          <w:sz w:val="24"/>
          <w:szCs w:val="24"/>
        </w:rPr>
      </w:pPr>
      <w:r w:rsidRPr="00DD50D8">
        <w:rPr>
          <w:rFonts w:ascii="Times New Roman" w:hAnsi="Times New Roman" w:cs="Times New Roman"/>
          <w:sz w:val="24"/>
          <w:szCs w:val="24"/>
        </w:rPr>
        <w:t>t</w:t>
      </w:r>
      <w:r w:rsidR="00CB4130" w:rsidRPr="00DD50D8">
        <w:rPr>
          <w:rFonts w:ascii="Times New Roman" w:hAnsi="Times New Roman" w:cs="Times New Roman"/>
          <w:sz w:val="24"/>
          <w:szCs w:val="24"/>
        </w:rPr>
        <w:t xml:space="preserve">he Attorney-General does not have substantial grounds for believing that </w:t>
      </w:r>
      <w:r w:rsidR="0065274F" w:rsidRPr="00DD50D8">
        <w:rPr>
          <w:rFonts w:ascii="Times New Roman" w:hAnsi="Times New Roman" w:cs="Times New Roman"/>
          <w:sz w:val="24"/>
          <w:szCs w:val="24"/>
        </w:rPr>
        <w:t xml:space="preserve">the </w:t>
      </w:r>
      <w:r w:rsidR="00CB4130" w:rsidRPr="00DD50D8">
        <w:rPr>
          <w:rFonts w:ascii="Times New Roman" w:hAnsi="Times New Roman" w:cs="Times New Roman"/>
          <w:sz w:val="24"/>
          <w:szCs w:val="24"/>
        </w:rPr>
        <w:t>person would be in danger of being subjected to torture if surrendered to the extradition country, and</w:t>
      </w:r>
    </w:p>
    <w:p w14:paraId="24BFBAAC" w14:textId="40C4963F" w:rsidR="00CB4130" w:rsidRPr="00DD50D8" w:rsidRDefault="00CB4130" w:rsidP="000E136D">
      <w:pPr>
        <w:pStyle w:val="ListParagraph"/>
        <w:numPr>
          <w:ilvl w:val="1"/>
          <w:numId w:val="16"/>
        </w:numPr>
        <w:spacing w:line="360" w:lineRule="auto"/>
        <w:contextualSpacing w:val="0"/>
        <w:rPr>
          <w:rFonts w:ascii="Times New Roman" w:hAnsi="Times New Roman" w:cs="Times New Roman"/>
          <w:sz w:val="24"/>
          <w:szCs w:val="24"/>
        </w:rPr>
      </w:pPr>
      <w:r w:rsidRPr="00DD50D8">
        <w:rPr>
          <w:rFonts w:ascii="Times New Roman" w:hAnsi="Times New Roman" w:cs="Times New Roman"/>
          <w:sz w:val="24"/>
          <w:szCs w:val="24"/>
        </w:rPr>
        <w:lastRenderedPageBreak/>
        <w:t xml:space="preserve">the Attorney-General is satisfied that there is no real risk that the death penalty would be carried out on the person in relation to any offence should they be surrendered to the extradition country. </w:t>
      </w:r>
    </w:p>
    <w:p w14:paraId="7AF77497" w14:textId="0E54DDA3" w:rsidR="00A048F0" w:rsidRPr="00DD50D8" w:rsidRDefault="00C74147" w:rsidP="00A048F0">
      <w:pPr>
        <w:pStyle w:val="ListParagraph"/>
        <w:numPr>
          <w:ilvl w:val="0"/>
          <w:numId w:val="16"/>
        </w:numPr>
        <w:spacing w:before="240" w:after="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Paragraph</w:t>
      </w:r>
      <w:r w:rsidR="00A048F0" w:rsidRPr="00DD50D8">
        <w:rPr>
          <w:rFonts w:ascii="Times New Roman" w:hAnsi="Times New Roman" w:cs="Times New Roman"/>
          <w:sz w:val="24"/>
          <w:szCs w:val="24"/>
        </w:rPr>
        <w:t xml:space="preserve"> 11</w:t>
      </w:r>
      <w:r w:rsidRPr="00DD50D8">
        <w:rPr>
          <w:rFonts w:ascii="Times New Roman" w:hAnsi="Times New Roman" w:cs="Times New Roman"/>
          <w:sz w:val="24"/>
          <w:szCs w:val="24"/>
        </w:rPr>
        <w:t>(1)(b)</w:t>
      </w:r>
      <w:r w:rsidR="00A048F0" w:rsidRPr="00DD50D8">
        <w:rPr>
          <w:rFonts w:ascii="Times New Roman" w:hAnsi="Times New Roman" w:cs="Times New Roman"/>
          <w:sz w:val="24"/>
          <w:szCs w:val="24"/>
        </w:rPr>
        <w:t xml:space="preserve"> of the Act allows regulations to be made that apply the Act to a specified extradition country subject to limitations, conditions, exceptions or qualifications. In this case, Regulation</w:t>
      </w:r>
      <w:r w:rsidRPr="00DD50D8">
        <w:rPr>
          <w:rFonts w:ascii="Times New Roman" w:hAnsi="Times New Roman" w:cs="Times New Roman"/>
          <w:sz w:val="24"/>
          <w:szCs w:val="24"/>
        </w:rPr>
        <w:t xml:space="preserve"> 8</w:t>
      </w:r>
      <w:r w:rsidR="00A048F0" w:rsidRPr="00DD50D8">
        <w:rPr>
          <w:rFonts w:ascii="Times New Roman" w:hAnsi="Times New Roman" w:cs="Times New Roman"/>
          <w:sz w:val="24"/>
          <w:szCs w:val="24"/>
        </w:rPr>
        <w:t xml:space="preserve"> </w:t>
      </w:r>
      <w:r w:rsidR="00980813" w:rsidRPr="00DD50D8">
        <w:rPr>
          <w:rFonts w:ascii="Times New Roman" w:hAnsi="Times New Roman" w:cs="Times New Roman"/>
          <w:sz w:val="24"/>
          <w:szCs w:val="24"/>
        </w:rPr>
        <w:t xml:space="preserve">of the existing Regulations </w:t>
      </w:r>
      <w:r w:rsidR="00A048F0" w:rsidRPr="00DD50D8">
        <w:rPr>
          <w:rFonts w:ascii="Times New Roman" w:hAnsi="Times New Roman" w:cs="Times New Roman"/>
          <w:sz w:val="24"/>
          <w:szCs w:val="24"/>
        </w:rPr>
        <w:t>provides that the Act applies</w:t>
      </w:r>
      <w:r w:rsidRPr="00DD50D8">
        <w:rPr>
          <w:rFonts w:ascii="Times New Roman" w:hAnsi="Times New Roman" w:cs="Times New Roman"/>
          <w:sz w:val="24"/>
          <w:szCs w:val="24"/>
        </w:rPr>
        <w:t xml:space="preserve"> in relation to a Commonwealth country</w:t>
      </w:r>
      <w:r w:rsidR="00A048F0" w:rsidRPr="00DD50D8">
        <w:rPr>
          <w:rFonts w:ascii="Times New Roman" w:hAnsi="Times New Roman" w:cs="Times New Roman"/>
          <w:sz w:val="24"/>
          <w:szCs w:val="24"/>
        </w:rPr>
        <w:t xml:space="preserve">. This means that the Act applies to all extradition requests received from </w:t>
      </w:r>
      <w:r w:rsidRPr="00DD50D8">
        <w:rPr>
          <w:rFonts w:ascii="Times New Roman" w:hAnsi="Times New Roman" w:cs="Times New Roman"/>
          <w:sz w:val="24"/>
          <w:szCs w:val="24"/>
        </w:rPr>
        <w:t>a Commonwealth country</w:t>
      </w:r>
      <w:r w:rsidR="00A048F0" w:rsidRPr="00DD50D8">
        <w:rPr>
          <w:rFonts w:ascii="Times New Roman" w:hAnsi="Times New Roman" w:cs="Times New Roman"/>
          <w:sz w:val="24"/>
          <w:szCs w:val="24"/>
        </w:rPr>
        <w:t xml:space="preserve">, but may be modified where necessary for a limitation, condition, exception or qualification to apply to the terms of the Act </w:t>
      </w:r>
      <w:r w:rsidRPr="00DD50D8">
        <w:rPr>
          <w:rFonts w:ascii="Times New Roman" w:hAnsi="Times New Roman" w:cs="Times New Roman"/>
          <w:sz w:val="24"/>
          <w:szCs w:val="24"/>
        </w:rPr>
        <w:t>as stipulated in the Regulations</w:t>
      </w:r>
      <w:r w:rsidR="00A048F0" w:rsidRPr="00DD50D8">
        <w:rPr>
          <w:rFonts w:ascii="Times New Roman" w:hAnsi="Times New Roman" w:cs="Times New Roman"/>
          <w:sz w:val="24"/>
          <w:szCs w:val="24"/>
        </w:rPr>
        <w:t>. This would only operate in circumstances where the Act would apply in a manner that is inconsistent with the</w:t>
      </w:r>
      <w:r w:rsidR="00EA4EE0" w:rsidRPr="00DD50D8">
        <w:rPr>
          <w:rFonts w:ascii="Times New Roman" w:hAnsi="Times New Roman" w:cs="Times New Roman"/>
          <w:sz w:val="24"/>
          <w:szCs w:val="24"/>
        </w:rPr>
        <w:t xml:space="preserve"> </w:t>
      </w:r>
      <w:r w:rsidRPr="00DD50D8">
        <w:rPr>
          <w:rFonts w:ascii="Times New Roman" w:hAnsi="Times New Roman" w:cs="Times New Roman"/>
          <w:sz w:val="24"/>
          <w:szCs w:val="24"/>
        </w:rPr>
        <w:t>Regulations</w:t>
      </w:r>
      <w:r w:rsidR="00A048F0" w:rsidRPr="00DD50D8">
        <w:rPr>
          <w:rFonts w:ascii="Times New Roman" w:hAnsi="Times New Roman" w:cs="Times New Roman"/>
          <w:sz w:val="24"/>
          <w:szCs w:val="24"/>
        </w:rPr>
        <w:t>.</w:t>
      </w:r>
    </w:p>
    <w:p w14:paraId="24169A61" w14:textId="79C355E8" w:rsidR="00C1069D" w:rsidRPr="00DD50D8" w:rsidRDefault="00C1069D" w:rsidP="000E136D">
      <w:pPr>
        <w:spacing w:line="360" w:lineRule="auto"/>
        <w:rPr>
          <w:rFonts w:ascii="Times New Roman" w:hAnsi="Times New Roman"/>
          <w:b/>
          <w:iCs/>
          <w:color w:val="000000"/>
          <w:sz w:val="24"/>
        </w:rPr>
      </w:pPr>
      <w:r w:rsidRPr="00DD50D8">
        <w:rPr>
          <w:rFonts w:ascii="Times New Roman" w:hAnsi="Times New Roman"/>
          <w:b/>
          <w:iCs/>
          <w:color w:val="000000"/>
          <w:sz w:val="24"/>
        </w:rPr>
        <w:t>Human rights implications</w:t>
      </w:r>
      <w:r w:rsidR="001F278C" w:rsidRPr="00DD50D8">
        <w:rPr>
          <w:rFonts w:ascii="Times New Roman" w:hAnsi="Times New Roman"/>
          <w:b/>
          <w:iCs/>
          <w:color w:val="000000"/>
          <w:sz w:val="24"/>
        </w:rPr>
        <w:t xml:space="preserve"> </w:t>
      </w:r>
    </w:p>
    <w:p w14:paraId="71567508" w14:textId="32CD343D" w:rsidR="00687A28" w:rsidRPr="00DD50D8" w:rsidRDefault="00C1069D" w:rsidP="000E136D">
      <w:pPr>
        <w:pStyle w:val="ListParagraph"/>
        <w:numPr>
          <w:ilvl w:val="0"/>
          <w:numId w:val="16"/>
        </w:numPr>
        <w:spacing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The evolving nature of, and increased threats posed by, transnational crime require a robust and responsive extradition system that</w:t>
      </w:r>
      <w:r w:rsidR="00980813" w:rsidRPr="00DD50D8">
        <w:rPr>
          <w:rFonts w:ascii="Times New Roman" w:hAnsi="Times New Roman" w:cs="Times New Roman"/>
          <w:sz w:val="24"/>
          <w:szCs w:val="24"/>
        </w:rPr>
        <w:t xml:space="preserve"> allows Australia to</w:t>
      </w:r>
      <w:r w:rsidRPr="00DD50D8">
        <w:rPr>
          <w:rFonts w:ascii="Times New Roman" w:hAnsi="Times New Roman" w:cs="Times New Roman"/>
          <w:sz w:val="24"/>
          <w:szCs w:val="24"/>
        </w:rPr>
        <w:t xml:space="preserve"> assist</w:t>
      </w:r>
      <w:r w:rsidR="00980813" w:rsidRPr="00DD50D8">
        <w:rPr>
          <w:rFonts w:ascii="Times New Roman" w:hAnsi="Times New Roman" w:cs="Times New Roman"/>
          <w:sz w:val="24"/>
          <w:szCs w:val="24"/>
        </w:rPr>
        <w:t xml:space="preserve"> other countries to respond to offending</w:t>
      </w:r>
      <w:r w:rsidRPr="00DD50D8">
        <w:rPr>
          <w:rFonts w:ascii="Times New Roman" w:hAnsi="Times New Roman" w:cs="Times New Roman"/>
          <w:sz w:val="24"/>
          <w:szCs w:val="24"/>
        </w:rPr>
        <w:t xml:space="preserve">, while </w:t>
      </w:r>
      <w:r w:rsidR="00980813" w:rsidRPr="00DD50D8">
        <w:rPr>
          <w:rFonts w:ascii="Times New Roman" w:hAnsi="Times New Roman" w:cs="Times New Roman"/>
          <w:sz w:val="24"/>
          <w:szCs w:val="24"/>
        </w:rPr>
        <w:t xml:space="preserve">ensuring </w:t>
      </w:r>
      <w:r w:rsidRPr="00DD50D8">
        <w:rPr>
          <w:rFonts w:ascii="Times New Roman" w:hAnsi="Times New Roman" w:cs="Times New Roman"/>
          <w:sz w:val="24"/>
          <w:szCs w:val="24"/>
        </w:rPr>
        <w:t>appropriate safeguards</w:t>
      </w:r>
      <w:r w:rsidR="00980813" w:rsidRPr="00DD50D8">
        <w:rPr>
          <w:rFonts w:ascii="Times New Roman" w:hAnsi="Times New Roman" w:cs="Times New Roman"/>
          <w:sz w:val="24"/>
          <w:szCs w:val="24"/>
        </w:rPr>
        <w:t xml:space="preserve"> apply</w:t>
      </w:r>
      <w:r w:rsidRPr="00DD50D8">
        <w:rPr>
          <w:rFonts w:ascii="Times New Roman" w:hAnsi="Times New Roman" w:cs="Times New Roman"/>
          <w:sz w:val="24"/>
          <w:szCs w:val="24"/>
        </w:rPr>
        <w:t xml:space="preserve">. It is important to ensure that criminals cannot evade justice simply by crossing borders. </w:t>
      </w:r>
    </w:p>
    <w:p w14:paraId="6EA534DF" w14:textId="5131E580" w:rsidR="00687A28" w:rsidRPr="00DD50D8" w:rsidRDefault="00687A28" w:rsidP="000E136D">
      <w:pPr>
        <w:pStyle w:val="ListParagraph"/>
        <w:numPr>
          <w:ilvl w:val="0"/>
          <w:numId w:val="16"/>
        </w:numPr>
        <w:spacing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 xml:space="preserve">The Act and </w:t>
      </w:r>
      <w:r w:rsidR="00A048F0" w:rsidRPr="00DD50D8">
        <w:rPr>
          <w:rFonts w:ascii="Times New Roman" w:hAnsi="Times New Roman" w:cs="Times New Roman"/>
          <w:sz w:val="24"/>
          <w:szCs w:val="24"/>
        </w:rPr>
        <w:t>the</w:t>
      </w:r>
      <w:r w:rsidRPr="00DD50D8">
        <w:rPr>
          <w:rFonts w:ascii="Times New Roman" w:hAnsi="Times New Roman" w:cs="Times New Roman"/>
          <w:sz w:val="24"/>
          <w:szCs w:val="24"/>
        </w:rPr>
        <w:t xml:space="preserve"> Regulations</w:t>
      </w:r>
      <w:r w:rsidR="008952FE" w:rsidRPr="00DD50D8">
        <w:rPr>
          <w:rFonts w:ascii="Times New Roman" w:hAnsi="Times New Roman" w:cs="Times New Roman"/>
          <w:sz w:val="24"/>
          <w:szCs w:val="24"/>
        </w:rPr>
        <w:t xml:space="preserve"> </w:t>
      </w:r>
      <w:r w:rsidR="00B923DD" w:rsidRPr="00DD50D8">
        <w:rPr>
          <w:rFonts w:ascii="Times New Roman" w:hAnsi="Times New Roman" w:cs="Times New Roman"/>
          <w:sz w:val="24"/>
          <w:szCs w:val="24"/>
        </w:rPr>
        <w:t xml:space="preserve">which apply the Act to requests made under the </w:t>
      </w:r>
      <w:r w:rsidR="00553BFF" w:rsidRPr="00DD50D8">
        <w:rPr>
          <w:rFonts w:ascii="Times New Roman" w:hAnsi="Times New Roman" w:cs="Times New Roman"/>
          <w:sz w:val="24"/>
          <w:szCs w:val="24"/>
        </w:rPr>
        <w:t>London Scheme for Extradition Within the Commonwealth</w:t>
      </w:r>
      <w:r w:rsidR="00B923DD" w:rsidRPr="00DD50D8">
        <w:rPr>
          <w:rFonts w:ascii="Times New Roman" w:hAnsi="Times New Roman" w:cs="Times New Roman"/>
          <w:sz w:val="24"/>
          <w:szCs w:val="24"/>
        </w:rPr>
        <w:t xml:space="preserve"> </w:t>
      </w:r>
      <w:r w:rsidR="00627158" w:rsidRPr="00DD50D8">
        <w:rPr>
          <w:rFonts w:ascii="Times New Roman" w:hAnsi="Times New Roman" w:cs="Times New Roman"/>
          <w:sz w:val="24"/>
          <w:szCs w:val="24"/>
        </w:rPr>
        <w:t xml:space="preserve">(the London Scheme) </w:t>
      </w:r>
      <w:r w:rsidRPr="00DD50D8">
        <w:rPr>
          <w:rFonts w:ascii="Times New Roman" w:hAnsi="Times New Roman" w:cs="Times New Roman"/>
          <w:sz w:val="24"/>
          <w:szCs w:val="24"/>
        </w:rPr>
        <w:t xml:space="preserve">engage, or have the potential to engage, human rights and freedoms under the </w:t>
      </w:r>
      <w:r w:rsidRPr="00DD50D8">
        <w:rPr>
          <w:rFonts w:ascii="Times New Roman" w:hAnsi="Times New Roman" w:cs="Times New Roman"/>
          <w:i/>
          <w:sz w:val="24"/>
          <w:szCs w:val="24"/>
        </w:rPr>
        <w:t>International Covenant on Civil and Political Rights</w:t>
      </w:r>
      <w:r w:rsidRPr="00DD50D8">
        <w:rPr>
          <w:rFonts w:ascii="Times New Roman" w:hAnsi="Times New Roman" w:cs="Times New Roman"/>
          <w:sz w:val="24"/>
          <w:szCs w:val="24"/>
        </w:rPr>
        <w:t xml:space="preserve"> [1980] ATS 23 (ICCPR) and the </w:t>
      </w:r>
      <w:r w:rsidRPr="00DD50D8">
        <w:rPr>
          <w:rFonts w:ascii="Times New Roman" w:hAnsi="Times New Roman" w:cs="Times New Roman"/>
          <w:i/>
          <w:sz w:val="24"/>
          <w:szCs w:val="24"/>
        </w:rPr>
        <w:t xml:space="preserve">Convention Against Torture and Other Cruel, Inhuman or Degrading Treatment or Punishment </w:t>
      </w:r>
      <w:r w:rsidRPr="00DD50D8">
        <w:rPr>
          <w:rFonts w:ascii="Times New Roman" w:hAnsi="Times New Roman" w:cs="Times New Roman"/>
          <w:sz w:val="24"/>
          <w:szCs w:val="24"/>
        </w:rPr>
        <w:t>[1989] ATS 21 (CAT), namely:</w:t>
      </w:r>
    </w:p>
    <w:p w14:paraId="101CD258" w14:textId="77777777" w:rsidR="00687A28" w:rsidRPr="00DD50D8" w:rsidRDefault="00687A28" w:rsidP="000E136D">
      <w:pPr>
        <w:pStyle w:val="ListParagraph"/>
        <w:numPr>
          <w:ilvl w:val="1"/>
          <w:numId w:val="16"/>
        </w:numPr>
        <w:spacing w:line="360" w:lineRule="auto"/>
        <w:contextualSpacing w:val="0"/>
        <w:rPr>
          <w:rFonts w:ascii="Times New Roman" w:hAnsi="Times New Roman" w:cs="Times New Roman"/>
          <w:sz w:val="24"/>
          <w:szCs w:val="24"/>
        </w:rPr>
      </w:pPr>
      <w:r w:rsidRPr="00DD50D8">
        <w:rPr>
          <w:rFonts w:ascii="Times New Roman" w:hAnsi="Times New Roman" w:cs="Times New Roman"/>
          <w:sz w:val="24"/>
          <w:szCs w:val="24"/>
        </w:rPr>
        <w:t>the right to life (Article 6 of the ICCPR)</w:t>
      </w:r>
    </w:p>
    <w:p w14:paraId="5846E65F" w14:textId="77777777" w:rsidR="00687A28" w:rsidRPr="00DD50D8" w:rsidRDefault="00687A28" w:rsidP="000E136D">
      <w:pPr>
        <w:pStyle w:val="ListParagraph"/>
        <w:numPr>
          <w:ilvl w:val="1"/>
          <w:numId w:val="16"/>
        </w:numPr>
        <w:spacing w:line="360" w:lineRule="auto"/>
        <w:contextualSpacing w:val="0"/>
        <w:rPr>
          <w:rFonts w:ascii="Times New Roman" w:hAnsi="Times New Roman" w:cs="Times New Roman"/>
          <w:sz w:val="24"/>
          <w:szCs w:val="24"/>
        </w:rPr>
      </w:pPr>
      <w:r w:rsidRPr="00DD50D8">
        <w:rPr>
          <w:rFonts w:ascii="Times New Roman" w:hAnsi="Times New Roman" w:cs="Times New Roman"/>
          <w:sz w:val="24"/>
          <w:szCs w:val="24"/>
        </w:rPr>
        <w:t>the prohibition against torture and other cruel, inhuman or degrading treatment or punishment (Article 3 of the CAT and Article 7 of the ICCPR)</w:t>
      </w:r>
    </w:p>
    <w:p w14:paraId="14A631A4" w14:textId="78D2C2FC" w:rsidR="00E83BF4" w:rsidRPr="00DD50D8" w:rsidRDefault="00687A28" w:rsidP="00E83BF4">
      <w:pPr>
        <w:pStyle w:val="ListParagraph"/>
        <w:numPr>
          <w:ilvl w:val="1"/>
          <w:numId w:val="16"/>
        </w:numPr>
        <w:spacing w:line="360" w:lineRule="auto"/>
        <w:contextualSpacing w:val="0"/>
        <w:rPr>
          <w:rFonts w:ascii="Times New Roman" w:hAnsi="Times New Roman" w:cs="Times New Roman"/>
          <w:sz w:val="24"/>
          <w:szCs w:val="24"/>
        </w:rPr>
      </w:pPr>
      <w:r w:rsidRPr="00DD50D8">
        <w:rPr>
          <w:rFonts w:ascii="Times New Roman" w:hAnsi="Times New Roman" w:cs="Times New Roman"/>
          <w:sz w:val="24"/>
          <w:szCs w:val="24"/>
        </w:rPr>
        <w:t>rights to freedom from arbitrary detention (Article 9 of the ICCPR)</w:t>
      </w:r>
      <w:r w:rsidR="00E83BF4" w:rsidRPr="00DD50D8">
        <w:rPr>
          <w:rFonts w:ascii="Times New Roman" w:hAnsi="Times New Roman" w:cs="Times New Roman"/>
          <w:sz w:val="24"/>
          <w:szCs w:val="24"/>
        </w:rPr>
        <w:t xml:space="preserve"> </w:t>
      </w:r>
    </w:p>
    <w:p w14:paraId="260BE861" w14:textId="31DDC442" w:rsidR="00687A28" w:rsidRPr="00DD50D8" w:rsidRDefault="00E83BF4" w:rsidP="00E83BF4">
      <w:pPr>
        <w:pStyle w:val="ListParagraph"/>
        <w:numPr>
          <w:ilvl w:val="1"/>
          <w:numId w:val="16"/>
        </w:numPr>
        <w:spacing w:line="360" w:lineRule="auto"/>
        <w:contextualSpacing w:val="0"/>
        <w:rPr>
          <w:rFonts w:ascii="Times New Roman" w:hAnsi="Times New Roman" w:cs="Times New Roman"/>
          <w:sz w:val="24"/>
          <w:szCs w:val="24"/>
        </w:rPr>
      </w:pPr>
      <w:r w:rsidRPr="00DD50D8">
        <w:rPr>
          <w:rFonts w:ascii="Times New Roman" w:hAnsi="Times New Roman" w:cs="Times New Roman"/>
          <w:sz w:val="24"/>
          <w:szCs w:val="24"/>
        </w:rPr>
        <w:t>rights regarding the expulsion of aliens (Article 13 of the ICCPR)</w:t>
      </w:r>
    </w:p>
    <w:p w14:paraId="5EAEF029" w14:textId="77777777" w:rsidR="00687A28" w:rsidRPr="00DD50D8" w:rsidRDefault="00687A28" w:rsidP="000E136D">
      <w:pPr>
        <w:pStyle w:val="ListParagraph"/>
        <w:numPr>
          <w:ilvl w:val="1"/>
          <w:numId w:val="16"/>
        </w:numPr>
        <w:spacing w:line="360" w:lineRule="auto"/>
        <w:contextualSpacing w:val="0"/>
        <w:rPr>
          <w:rFonts w:ascii="Times New Roman" w:hAnsi="Times New Roman" w:cs="Times New Roman"/>
          <w:sz w:val="24"/>
          <w:szCs w:val="24"/>
        </w:rPr>
      </w:pPr>
      <w:r w:rsidRPr="00DD50D8">
        <w:rPr>
          <w:rFonts w:ascii="Times New Roman" w:hAnsi="Times New Roman" w:cs="Times New Roman"/>
          <w:sz w:val="24"/>
          <w:szCs w:val="24"/>
        </w:rPr>
        <w:t>fair trial and fair hearing rights, and minimum guarantees in criminal proceedings (Article 14 of the ICCPR)</w:t>
      </w:r>
    </w:p>
    <w:p w14:paraId="0B874CA7" w14:textId="77777777" w:rsidR="00687A28" w:rsidRPr="00DD50D8" w:rsidRDefault="00687A28" w:rsidP="000E136D">
      <w:pPr>
        <w:pStyle w:val="ListParagraph"/>
        <w:numPr>
          <w:ilvl w:val="1"/>
          <w:numId w:val="16"/>
        </w:numPr>
        <w:spacing w:line="360" w:lineRule="auto"/>
        <w:contextualSpacing w:val="0"/>
        <w:rPr>
          <w:rFonts w:ascii="Times New Roman" w:hAnsi="Times New Roman" w:cs="Times New Roman"/>
          <w:sz w:val="24"/>
          <w:szCs w:val="24"/>
        </w:rPr>
      </w:pPr>
      <w:r w:rsidRPr="00DD50D8">
        <w:rPr>
          <w:rFonts w:ascii="Times New Roman" w:hAnsi="Times New Roman" w:cs="Times New Roman"/>
          <w:sz w:val="24"/>
          <w:szCs w:val="24"/>
        </w:rPr>
        <w:lastRenderedPageBreak/>
        <w:t>rights of equality and non-discrimination (Articles 2(1) and 26 of the ICCPR), and</w:t>
      </w:r>
    </w:p>
    <w:p w14:paraId="7DE3E2A5" w14:textId="1C565BC0" w:rsidR="00687A28" w:rsidRPr="00DD50D8" w:rsidRDefault="008C0307" w:rsidP="000E136D">
      <w:pPr>
        <w:pStyle w:val="ListParagraph"/>
        <w:numPr>
          <w:ilvl w:val="1"/>
          <w:numId w:val="16"/>
        </w:numPr>
        <w:spacing w:line="360" w:lineRule="auto"/>
        <w:contextualSpacing w:val="0"/>
        <w:rPr>
          <w:rFonts w:ascii="Times New Roman" w:hAnsi="Times New Roman" w:cs="Times New Roman"/>
          <w:sz w:val="24"/>
          <w:szCs w:val="24"/>
        </w:rPr>
      </w:pPr>
      <w:r w:rsidRPr="00DD50D8">
        <w:rPr>
          <w:rFonts w:ascii="Times New Roman" w:hAnsi="Times New Roman" w:cs="Times New Roman"/>
          <w:sz w:val="24"/>
          <w:szCs w:val="24"/>
        </w:rPr>
        <w:t xml:space="preserve">the </w:t>
      </w:r>
      <w:r w:rsidR="00687A28" w:rsidRPr="00DD50D8">
        <w:rPr>
          <w:rFonts w:ascii="Times New Roman" w:hAnsi="Times New Roman" w:cs="Times New Roman"/>
          <w:sz w:val="24"/>
          <w:szCs w:val="24"/>
        </w:rPr>
        <w:t xml:space="preserve">right to privacy (Article 17 of the ICCPR). </w:t>
      </w:r>
    </w:p>
    <w:p w14:paraId="383F1800" w14:textId="2BD22982" w:rsidR="008952FE" w:rsidRPr="00DD50D8" w:rsidRDefault="008952FE" w:rsidP="00A048F0">
      <w:pPr>
        <w:pStyle w:val="ListParagraph"/>
        <w:numPr>
          <w:ilvl w:val="0"/>
          <w:numId w:val="16"/>
        </w:numPr>
        <w:spacing w:before="240" w:after="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The Act contains several human rights safeguards that the Attorney</w:t>
      </w:r>
      <w:r w:rsidRPr="00DD50D8">
        <w:rPr>
          <w:rFonts w:ascii="Times New Roman" w:hAnsi="Times New Roman" w:cs="Times New Roman"/>
          <w:sz w:val="24"/>
          <w:szCs w:val="24"/>
        </w:rPr>
        <w:noBreakHyphen/>
        <w:t xml:space="preserve">General must </w:t>
      </w:r>
      <w:proofErr w:type="gramStart"/>
      <w:r w:rsidRPr="00DD50D8">
        <w:rPr>
          <w:rFonts w:ascii="Times New Roman" w:hAnsi="Times New Roman" w:cs="Times New Roman"/>
          <w:sz w:val="24"/>
          <w:szCs w:val="24"/>
        </w:rPr>
        <w:t>take into account</w:t>
      </w:r>
      <w:proofErr w:type="gramEnd"/>
      <w:r w:rsidRPr="00DD50D8">
        <w:rPr>
          <w:rFonts w:ascii="Times New Roman" w:hAnsi="Times New Roman" w:cs="Times New Roman"/>
          <w:sz w:val="24"/>
          <w:szCs w:val="24"/>
        </w:rPr>
        <w:t xml:space="preserve"> when determining whether to make a surrender determination (see above paragraphs </w:t>
      </w:r>
      <w:r w:rsidR="001F4B7B" w:rsidRPr="00DD50D8">
        <w:rPr>
          <w:rFonts w:ascii="Times New Roman" w:hAnsi="Times New Roman" w:cs="Times New Roman"/>
          <w:sz w:val="24"/>
          <w:szCs w:val="24"/>
        </w:rPr>
        <w:t>1</w:t>
      </w:r>
      <w:r w:rsidR="00170BBA">
        <w:rPr>
          <w:rFonts w:ascii="Times New Roman" w:hAnsi="Times New Roman" w:cs="Times New Roman"/>
          <w:sz w:val="24"/>
          <w:szCs w:val="24"/>
        </w:rPr>
        <w:t>9</w:t>
      </w:r>
      <w:r w:rsidRPr="00DD50D8">
        <w:rPr>
          <w:rFonts w:ascii="Times New Roman" w:hAnsi="Times New Roman" w:cs="Times New Roman"/>
          <w:sz w:val="24"/>
          <w:szCs w:val="24"/>
        </w:rPr>
        <w:t xml:space="preserve">, and that a magistrate or eligible Judge must take into account when determining a person’s eligibility for surrender (see </w:t>
      </w:r>
      <w:r w:rsidR="004B6A2E" w:rsidRPr="00DD50D8">
        <w:rPr>
          <w:rFonts w:ascii="Times New Roman" w:hAnsi="Times New Roman" w:cs="Times New Roman"/>
          <w:sz w:val="24"/>
          <w:szCs w:val="24"/>
        </w:rPr>
        <w:t xml:space="preserve">above </w:t>
      </w:r>
      <w:r w:rsidRPr="00DD50D8">
        <w:rPr>
          <w:rFonts w:ascii="Times New Roman" w:hAnsi="Times New Roman" w:cs="Times New Roman"/>
          <w:sz w:val="24"/>
          <w:szCs w:val="24"/>
        </w:rPr>
        <w:t>paragraphs 1</w:t>
      </w:r>
      <w:r w:rsidR="000B6026">
        <w:rPr>
          <w:rFonts w:ascii="Times New Roman" w:hAnsi="Times New Roman" w:cs="Times New Roman"/>
          <w:sz w:val="24"/>
          <w:szCs w:val="24"/>
        </w:rPr>
        <w:t>3</w:t>
      </w:r>
      <w:r w:rsidRPr="00DD50D8">
        <w:rPr>
          <w:rFonts w:ascii="Times New Roman" w:hAnsi="Times New Roman" w:cs="Times New Roman"/>
          <w:sz w:val="24"/>
          <w:szCs w:val="24"/>
        </w:rPr>
        <w:t xml:space="preserve"> and 1</w:t>
      </w:r>
      <w:r w:rsidR="000B6026">
        <w:rPr>
          <w:rFonts w:ascii="Times New Roman" w:hAnsi="Times New Roman" w:cs="Times New Roman"/>
          <w:sz w:val="24"/>
          <w:szCs w:val="24"/>
        </w:rPr>
        <w:t>5</w:t>
      </w:r>
      <w:r w:rsidRPr="00DD50D8">
        <w:rPr>
          <w:rFonts w:ascii="Times New Roman" w:hAnsi="Times New Roman" w:cs="Times New Roman"/>
          <w:sz w:val="24"/>
          <w:szCs w:val="24"/>
        </w:rPr>
        <w:t xml:space="preserve"> on dual criminality and ‘extradition objections’). Additionally, the Attorney-General’s absolute discretion to refuse an extradition request under paragraph 22(3)(f) (see </w:t>
      </w:r>
      <w:r w:rsidR="004B6A2E" w:rsidRPr="00DD50D8">
        <w:rPr>
          <w:rFonts w:ascii="Times New Roman" w:hAnsi="Times New Roman" w:cs="Times New Roman"/>
          <w:sz w:val="24"/>
          <w:szCs w:val="24"/>
        </w:rPr>
        <w:t xml:space="preserve">above </w:t>
      </w:r>
      <w:r w:rsidRPr="00DD50D8">
        <w:rPr>
          <w:rFonts w:ascii="Times New Roman" w:hAnsi="Times New Roman" w:cs="Times New Roman"/>
          <w:sz w:val="24"/>
          <w:szCs w:val="24"/>
        </w:rPr>
        <w:t>paragraph</w:t>
      </w:r>
      <w:r w:rsidR="00323637" w:rsidRPr="00DD50D8">
        <w:rPr>
          <w:rFonts w:ascii="Times New Roman" w:hAnsi="Times New Roman" w:cs="Times New Roman"/>
          <w:sz w:val="24"/>
          <w:szCs w:val="24"/>
        </w:rPr>
        <w:t> </w:t>
      </w:r>
      <w:r w:rsidRPr="00DD50D8">
        <w:rPr>
          <w:rFonts w:ascii="Times New Roman" w:hAnsi="Times New Roman" w:cs="Times New Roman"/>
          <w:sz w:val="24"/>
          <w:szCs w:val="24"/>
        </w:rPr>
        <w:t>2</w:t>
      </w:r>
      <w:r w:rsidR="00581603">
        <w:rPr>
          <w:rFonts w:ascii="Times New Roman" w:hAnsi="Times New Roman" w:cs="Times New Roman"/>
          <w:sz w:val="24"/>
          <w:szCs w:val="24"/>
        </w:rPr>
        <w:t>1</w:t>
      </w:r>
      <w:r w:rsidRPr="00DD50D8">
        <w:rPr>
          <w:rFonts w:ascii="Times New Roman" w:hAnsi="Times New Roman" w:cs="Times New Roman"/>
          <w:sz w:val="24"/>
          <w:szCs w:val="24"/>
        </w:rPr>
        <w:t xml:space="preserve">) provides a further safeguard for the Attorney-General to </w:t>
      </w:r>
      <w:proofErr w:type="gramStart"/>
      <w:r w:rsidRPr="00DD50D8">
        <w:rPr>
          <w:rFonts w:ascii="Times New Roman" w:hAnsi="Times New Roman" w:cs="Times New Roman"/>
          <w:sz w:val="24"/>
          <w:szCs w:val="24"/>
        </w:rPr>
        <w:t>take into account</w:t>
      </w:r>
      <w:proofErr w:type="gramEnd"/>
      <w:r w:rsidRPr="00DD50D8">
        <w:rPr>
          <w:rFonts w:ascii="Times New Roman" w:hAnsi="Times New Roman" w:cs="Times New Roman"/>
          <w:sz w:val="24"/>
          <w:szCs w:val="24"/>
        </w:rPr>
        <w:t xml:space="preserve"> the specific circumstances of the extraditable person </w:t>
      </w:r>
      <w:r w:rsidR="00BE5D1E" w:rsidRPr="00DD50D8">
        <w:rPr>
          <w:rFonts w:ascii="Times New Roman" w:hAnsi="Times New Roman" w:cs="Times New Roman"/>
          <w:sz w:val="24"/>
          <w:szCs w:val="24"/>
        </w:rPr>
        <w:t xml:space="preserve">and other factors </w:t>
      </w:r>
      <w:r w:rsidRPr="00DD50D8">
        <w:rPr>
          <w:rFonts w:ascii="Times New Roman" w:hAnsi="Times New Roman" w:cs="Times New Roman"/>
          <w:sz w:val="24"/>
          <w:szCs w:val="24"/>
        </w:rPr>
        <w:t xml:space="preserve">on a case-by-case basis. These safeguards </w:t>
      </w:r>
      <w:r w:rsidR="0025747F" w:rsidRPr="00DD50D8">
        <w:rPr>
          <w:rFonts w:ascii="Times New Roman" w:hAnsi="Times New Roman" w:cs="Times New Roman"/>
          <w:sz w:val="24"/>
          <w:szCs w:val="24"/>
        </w:rPr>
        <w:t xml:space="preserve">will </w:t>
      </w:r>
      <w:r w:rsidR="00041C1A" w:rsidRPr="00DD50D8">
        <w:rPr>
          <w:rFonts w:ascii="Times New Roman" w:hAnsi="Times New Roman" w:cs="Times New Roman"/>
          <w:sz w:val="24"/>
          <w:szCs w:val="24"/>
        </w:rPr>
        <w:t xml:space="preserve">continue to </w:t>
      </w:r>
      <w:r w:rsidR="0025747F" w:rsidRPr="00DD50D8">
        <w:rPr>
          <w:rFonts w:ascii="Times New Roman" w:hAnsi="Times New Roman" w:cs="Times New Roman"/>
          <w:sz w:val="24"/>
          <w:szCs w:val="24"/>
        </w:rPr>
        <w:t xml:space="preserve">apply to all extradition requests made </w:t>
      </w:r>
      <w:r w:rsidR="00B923DD" w:rsidRPr="00DD50D8">
        <w:rPr>
          <w:rFonts w:ascii="Times New Roman" w:hAnsi="Times New Roman" w:cs="Times New Roman"/>
          <w:sz w:val="24"/>
          <w:szCs w:val="24"/>
        </w:rPr>
        <w:t xml:space="preserve">by under the </w:t>
      </w:r>
      <w:r w:rsidR="00627158" w:rsidRPr="00DD50D8">
        <w:rPr>
          <w:rFonts w:ascii="Times New Roman" w:hAnsi="Times New Roman" w:cs="Times New Roman"/>
          <w:sz w:val="24"/>
          <w:szCs w:val="24"/>
        </w:rPr>
        <w:t>London Scheme</w:t>
      </w:r>
      <w:r w:rsidR="00B923DD" w:rsidRPr="00DD50D8">
        <w:rPr>
          <w:rFonts w:ascii="Times New Roman" w:hAnsi="Times New Roman" w:cs="Times New Roman"/>
          <w:sz w:val="24"/>
          <w:szCs w:val="24"/>
        </w:rPr>
        <w:t xml:space="preserve"> by </w:t>
      </w:r>
      <w:r w:rsidR="00627158" w:rsidRPr="00DD50D8">
        <w:rPr>
          <w:rFonts w:ascii="Times New Roman" w:hAnsi="Times New Roman" w:cs="Times New Roman"/>
          <w:sz w:val="24"/>
          <w:szCs w:val="24"/>
        </w:rPr>
        <w:t>Commonwealth countries</w:t>
      </w:r>
      <w:r w:rsidR="00B923DD" w:rsidRPr="00DD50D8">
        <w:rPr>
          <w:rFonts w:ascii="Times New Roman" w:hAnsi="Times New Roman" w:cs="Times New Roman"/>
          <w:sz w:val="24"/>
          <w:szCs w:val="24"/>
        </w:rPr>
        <w:t xml:space="preserve">. </w:t>
      </w:r>
    </w:p>
    <w:p w14:paraId="0D7ED1AA" w14:textId="29D6DD02" w:rsidR="008952FE" w:rsidRPr="00DD50D8" w:rsidRDefault="008952FE" w:rsidP="000E136D">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sidDel="004F20E9">
        <w:rPr>
          <w:rFonts w:ascii="Times New Roman" w:hAnsi="Times New Roman" w:cs="Times New Roman"/>
          <w:sz w:val="24"/>
          <w:szCs w:val="24"/>
        </w:rPr>
        <w:t>Each of the human rights and freedoms that may be engaged by the Act and the Regulations, and specific safeguards for these rights, are discussed below</w:t>
      </w:r>
      <w:r w:rsidRPr="00DD50D8">
        <w:rPr>
          <w:rFonts w:ascii="Times New Roman" w:hAnsi="Times New Roman" w:cs="Times New Roman"/>
          <w:sz w:val="24"/>
          <w:szCs w:val="24"/>
        </w:rPr>
        <w:t>.</w:t>
      </w:r>
    </w:p>
    <w:p w14:paraId="60CC6351" w14:textId="26DF28BA" w:rsidR="004E45E5" w:rsidRPr="00DD50D8" w:rsidRDefault="004E45E5" w:rsidP="000E136D">
      <w:pPr>
        <w:spacing w:before="240" w:line="360" w:lineRule="auto"/>
        <w:rPr>
          <w:rFonts w:ascii="Times New Roman" w:hAnsi="Times New Roman" w:cs="Times New Roman"/>
          <w:sz w:val="24"/>
          <w:szCs w:val="24"/>
          <w:u w:val="single"/>
        </w:rPr>
      </w:pPr>
      <w:r w:rsidRPr="00DD50D8">
        <w:rPr>
          <w:rFonts w:ascii="Times New Roman" w:hAnsi="Times New Roman" w:cs="Times New Roman"/>
          <w:sz w:val="24"/>
          <w:szCs w:val="24"/>
          <w:u w:val="single"/>
        </w:rPr>
        <w:t>The right to life</w:t>
      </w:r>
    </w:p>
    <w:p w14:paraId="0F45A667" w14:textId="77777777" w:rsidR="00053ED4" w:rsidRPr="00DD50D8" w:rsidRDefault="004E45E5" w:rsidP="000E136D">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 xml:space="preserve">Article 6 of the ICCPR provides that every human being has the inherent right to life and shall not be deprived of life arbitrarily. This Article requires State parties to protect this right by law. </w:t>
      </w:r>
    </w:p>
    <w:p w14:paraId="657813B7" w14:textId="32E96EE5" w:rsidR="00BD3701" w:rsidRPr="00DD50D8" w:rsidRDefault="004E45E5" w:rsidP="000E136D">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 xml:space="preserve">The Act and </w:t>
      </w:r>
      <w:r w:rsidR="00A07727" w:rsidRPr="00DD50D8">
        <w:rPr>
          <w:rFonts w:ascii="Times New Roman" w:hAnsi="Times New Roman" w:cs="Times New Roman"/>
          <w:sz w:val="24"/>
          <w:szCs w:val="24"/>
        </w:rPr>
        <w:t xml:space="preserve">the Regulations </w:t>
      </w:r>
      <w:r w:rsidRPr="00DD50D8">
        <w:rPr>
          <w:rFonts w:ascii="Times New Roman" w:hAnsi="Times New Roman" w:cs="Times New Roman"/>
          <w:sz w:val="24"/>
          <w:szCs w:val="24"/>
        </w:rPr>
        <w:t xml:space="preserve">have the potential to engage the right to life in circumstances where an extradition request relates to an offence which carries the death penalty under the law of the </w:t>
      </w:r>
      <w:r w:rsidR="00DE31CB" w:rsidRPr="00DD50D8">
        <w:rPr>
          <w:rFonts w:ascii="Times New Roman" w:hAnsi="Times New Roman" w:cs="Times New Roman"/>
          <w:sz w:val="24"/>
          <w:szCs w:val="24"/>
        </w:rPr>
        <w:t>r</w:t>
      </w:r>
      <w:r w:rsidRPr="00DD50D8">
        <w:rPr>
          <w:rFonts w:ascii="Times New Roman" w:hAnsi="Times New Roman" w:cs="Times New Roman"/>
          <w:sz w:val="24"/>
          <w:szCs w:val="24"/>
        </w:rPr>
        <w:t xml:space="preserve">equesting </w:t>
      </w:r>
      <w:r w:rsidR="00627158" w:rsidRPr="00DD50D8">
        <w:rPr>
          <w:rFonts w:ascii="Times New Roman" w:hAnsi="Times New Roman" w:cs="Times New Roman"/>
          <w:sz w:val="24"/>
          <w:szCs w:val="24"/>
        </w:rPr>
        <w:t>Commonwealth country</w:t>
      </w:r>
      <w:r w:rsidRPr="00DD50D8">
        <w:rPr>
          <w:rFonts w:ascii="Times New Roman" w:hAnsi="Times New Roman" w:cs="Times New Roman"/>
          <w:sz w:val="24"/>
          <w:szCs w:val="24"/>
        </w:rPr>
        <w:t xml:space="preserve">. </w:t>
      </w:r>
    </w:p>
    <w:p w14:paraId="5289604D" w14:textId="40501784" w:rsidR="00E629E5" w:rsidRPr="00DD50D8" w:rsidRDefault="00E629E5" w:rsidP="00DE2292">
      <w:pPr>
        <w:pStyle w:val="ListParagraph"/>
        <w:numPr>
          <w:ilvl w:val="0"/>
          <w:numId w:val="16"/>
        </w:numPr>
        <w:spacing w:before="240" w:after="240" w:line="360" w:lineRule="auto"/>
        <w:ind w:left="0" w:firstLine="0"/>
        <w:contextualSpacing w:val="0"/>
        <w:rPr>
          <w:rFonts w:ascii="Times New Roman" w:hAnsi="Times New Roman"/>
          <w:sz w:val="24"/>
          <w:szCs w:val="24"/>
        </w:rPr>
      </w:pPr>
      <w:r w:rsidRPr="00DD50D8">
        <w:rPr>
          <w:rFonts w:ascii="Times New Roman" w:hAnsi="Times New Roman"/>
          <w:sz w:val="24"/>
          <w:szCs w:val="24"/>
        </w:rPr>
        <w:t xml:space="preserve">The </w:t>
      </w:r>
      <w:r w:rsidR="00251C3A" w:rsidRPr="00DD50D8">
        <w:rPr>
          <w:rFonts w:ascii="Times New Roman" w:hAnsi="Times New Roman"/>
          <w:sz w:val="24"/>
          <w:szCs w:val="24"/>
        </w:rPr>
        <w:t>Act contain</w:t>
      </w:r>
      <w:r w:rsidRPr="00DD50D8">
        <w:rPr>
          <w:rFonts w:ascii="Times New Roman" w:hAnsi="Times New Roman"/>
          <w:sz w:val="24"/>
          <w:szCs w:val="24"/>
        </w:rPr>
        <w:t>s</w:t>
      </w:r>
      <w:r w:rsidR="00251C3A" w:rsidRPr="00DD50D8">
        <w:rPr>
          <w:rFonts w:ascii="Times New Roman" w:hAnsi="Times New Roman"/>
          <w:sz w:val="24"/>
          <w:szCs w:val="24"/>
        </w:rPr>
        <w:t xml:space="preserve"> a number of safeguards that reflect, and are consistent with, the Australian Government’s obligations under the ICCPR to protect the right to life as well as Australia’s long</w:t>
      </w:r>
      <w:r w:rsidR="00251C3A" w:rsidRPr="00DD50D8">
        <w:rPr>
          <w:rFonts w:ascii="Times New Roman" w:hAnsi="Times New Roman"/>
          <w:sz w:val="24"/>
          <w:szCs w:val="24"/>
        </w:rPr>
        <w:noBreakHyphen/>
        <w:t>standing opposition to the death penalty</w:t>
      </w:r>
      <w:r w:rsidR="00D060F4" w:rsidRPr="00DD50D8">
        <w:rPr>
          <w:rFonts w:ascii="Times New Roman" w:hAnsi="Times New Roman"/>
          <w:sz w:val="24"/>
          <w:szCs w:val="24"/>
        </w:rPr>
        <w:t xml:space="preserve">. </w:t>
      </w:r>
    </w:p>
    <w:p w14:paraId="72C5AB66" w14:textId="5BA2F200" w:rsidR="00251C3A" w:rsidRPr="00DD50D8" w:rsidRDefault="00E629E5" w:rsidP="00DE2292">
      <w:pPr>
        <w:pStyle w:val="ListParagraph"/>
        <w:numPr>
          <w:ilvl w:val="0"/>
          <w:numId w:val="16"/>
        </w:numPr>
        <w:spacing w:before="240" w:after="240" w:line="360" w:lineRule="auto"/>
        <w:ind w:left="0" w:firstLine="0"/>
        <w:contextualSpacing w:val="0"/>
        <w:rPr>
          <w:rFonts w:ascii="Times New Roman" w:hAnsi="Times New Roman"/>
          <w:sz w:val="24"/>
          <w:szCs w:val="24"/>
        </w:rPr>
      </w:pPr>
      <w:r w:rsidRPr="00DD50D8">
        <w:rPr>
          <w:rFonts w:ascii="Times New Roman" w:hAnsi="Times New Roman"/>
          <w:sz w:val="24"/>
          <w:szCs w:val="24"/>
        </w:rPr>
        <w:t xml:space="preserve">Paragraph </w:t>
      </w:r>
      <w:r w:rsidR="00251C3A" w:rsidRPr="00DD50D8">
        <w:rPr>
          <w:rFonts w:ascii="Times New Roman" w:hAnsi="Times New Roman"/>
          <w:sz w:val="24"/>
          <w:szCs w:val="24"/>
        </w:rPr>
        <w:t>22(3)(c) of the Act provides that the Attorney</w:t>
      </w:r>
      <w:r w:rsidR="00DE2292" w:rsidRPr="00DD50D8">
        <w:rPr>
          <w:rFonts w:ascii="Times New Roman" w:hAnsi="Times New Roman"/>
          <w:sz w:val="24"/>
          <w:szCs w:val="24"/>
        </w:rPr>
        <w:noBreakHyphen/>
      </w:r>
      <w:r w:rsidR="00251C3A" w:rsidRPr="00DD50D8">
        <w:rPr>
          <w:rFonts w:ascii="Times New Roman" w:hAnsi="Times New Roman"/>
          <w:sz w:val="24"/>
          <w:szCs w:val="24"/>
        </w:rPr>
        <w:t xml:space="preserve">General is only able to make a surrender determination in circumstances where the offence is punishable by a penalty of death if an undertaking has been provided that either the person will not be tried for that offence; or if tried, the death penalty will not be imposed; or, if the death penalty is imposed, it will not be carried out. </w:t>
      </w:r>
    </w:p>
    <w:p w14:paraId="44BB7742" w14:textId="152ADC0B" w:rsidR="00120B64" w:rsidRPr="00DD50D8" w:rsidRDefault="004E45E5" w:rsidP="000E136D">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lastRenderedPageBreak/>
        <w:t xml:space="preserve">Paragraph 15B(3)(b) of the Act also provides a safeguard </w:t>
      </w:r>
      <w:r w:rsidR="00DE2292" w:rsidRPr="00DD50D8">
        <w:rPr>
          <w:rFonts w:ascii="Times New Roman" w:hAnsi="Times New Roman" w:cs="Times New Roman"/>
          <w:sz w:val="24"/>
          <w:szCs w:val="24"/>
        </w:rPr>
        <w:t xml:space="preserve">in circumstances where a person elects to waive the extradition process, </w:t>
      </w:r>
      <w:r w:rsidRPr="00DD50D8">
        <w:rPr>
          <w:rFonts w:ascii="Times New Roman" w:hAnsi="Times New Roman" w:cs="Times New Roman"/>
          <w:sz w:val="24"/>
          <w:szCs w:val="24"/>
        </w:rPr>
        <w:t xml:space="preserve">by stipulating that the Attorney-General may only make a surrender determination where the Attorney-General is satisfied that there is no real risk that the death penalty will be carried out on the person in relation to any offence should they be surrendered to the extradition country. </w:t>
      </w:r>
    </w:p>
    <w:p w14:paraId="538D177D" w14:textId="77777777" w:rsidR="00120B64" w:rsidRPr="00DD50D8" w:rsidRDefault="004E45E5" w:rsidP="000E136D">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 xml:space="preserve">The use of death penalty undertakings is a well-established tool in international extradition. It is the Australian Government’s long-standing experience that undertakings in relation to the death penalty in extradition cases have always been honoured. Undertakings are written government assurances and a breach of an undertaking would have serious consequences for both Australia’s extradition relationship and broader bilateral relationship with the relevant foreign country. </w:t>
      </w:r>
    </w:p>
    <w:p w14:paraId="6C7653C0" w14:textId="388F235D" w:rsidR="00120B64" w:rsidRPr="00DD50D8" w:rsidRDefault="004E45E5" w:rsidP="000E136D">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 xml:space="preserve">The Full Federal Court decision in </w:t>
      </w:r>
      <w:r w:rsidRPr="00DD50D8">
        <w:rPr>
          <w:rFonts w:ascii="Times New Roman" w:hAnsi="Times New Roman" w:cs="Times New Roman"/>
          <w:i/>
          <w:sz w:val="24"/>
          <w:szCs w:val="24"/>
        </w:rPr>
        <w:t>McCrea</w:t>
      </w:r>
      <w:r w:rsidRPr="00DD50D8">
        <w:rPr>
          <w:rFonts w:ascii="Times New Roman" w:hAnsi="Times New Roman" w:cs="Times New Roman"/>
          <w:sz w:val="24"/>
          <w:szCs w:val="24"/>
        </w:rPr>
        <w:t xml:space="preserve"> v </w:t>
      </w:r>
      <w:r w:rsidRPr="00DD50D8">
        <w:rPr>
          <w:rFonts w:ascii="Times New Roman" w:hAnsi="Times New Roman" w:cs="Times New Roman"/>
          <w:i/>
          <w:sz w:val="24"/>
          <w:szCs w:val="24"/>
        </w:rPr>
        <w:t>Minister for Justice and Customs</w:t>
      </w:r>
      <w:r w:rsidRPr="00DD50D8">
        <w:rPr>
          <w:rFonts w:ascii="Times New Roman" w:hAnsi="Times New Roman" w:cs="Times New Roman"/>
          <w:sz w:val="24"/>
          <w:szCs w:val="24"/>
          <w:vertAlign w:val="superscript"/>
        </w:rPr>
        <w:footnoteReference w:id="2"/>
      </w:r>
      <w:r w:rsidRPr="00DD50D8">
        <w:rPr>
          <w:rFonts w:ascii="Times New Roman" w:hAnsi="Times New Roman" w:cs="Times New Roman"/>
          <w:sz w:val="24"/>
          <w:szCs w:val="24"/>
        </w:rPr>
        <w:t xml:space="preserve"> sets out the test for an acceptable death penalty undertaking</w:t>
      </w:r>
      <w:r w:rsidR="00551170" w:rsidRPr="00DD50D8">
        <w:rPr>
          <w:rFonts w:ascii="Times New Roman" w:hAnsi="Times New Roman" w:cs="Times New Roman"/>
          <w:sz w:val="24"/>
          <w:szCs w:val="24"/>
        </w:rPr>
        <w:t xml:space="preserve"> for the purposes of paragraph</w:t>
      </w:r>
      <w:r w:rsidR="00304770" w:rsidRPr="00DD50D8">
        <w:rPr>
          <w:rFonts w:ascii="Times New Roman" w:hAnsi="Times New Roman" w:cs="Times New Roman"/>
          <w:sz w:val="24"/>
          <w:szCs w:val="24"/>
        </w:rPr>
        <w:t> </w:t>
      </w:r>
      <w:r w:rsidR="00551170" w:rsidRPr="00DD50D8">
        <w:rPr>
          <w:rFonts w:ascii="Times New Roman" w:hAnsi="Times New Roman" w:cs="Times New Roman"/>
          <w:sz w:val="24"/>
          <w:szCs w:val="24"/>
        </w:rPr>
        <w:t>22(3)(c)</w:t>
      </w:r>
      <w:r w:rsidRPr="00DD50D8">
        <w:rPr>
          <w:rFonts w:ascii="Times New Roman" w:hAnsi="Times New Roman" w:cs="Times New Roman"/>
          <w:sz w:val="24"/>
          <w:szCs w:val="24"/>
        </w:rPr>
        <w:t>. The test requires that the Attorney</w:t>
      </w:r>
      <w:r w:rsidRPr="00DD50D8">
        <w:rPr>
          <w:rFonts w:ascii="Times New Roman" w:hAnsi="Times New Roman" w:cs="Times New Roman"/>
          <w:sz w:val="24"/>
          <w:szCs w:val="24"/>
        </w:rPr>
        <w:noBreakHyphen/>
        <w:t>General be satisfied that ‘the undertaking is one that, in the context of the system of law and government of the country seeking surrender, has the character of an undertaking by virtue of which the penalty of death would not be carried out’.</w:t>
      </w:r>
      <w:r w:rsidRPr="00DD50D8">
        <w:rPr>
          <w:rFonts w:ascii="Times New Roman" w:hAnsi="Times New Roman" w:cs="Times New Roman"/>
          <w:sz w:val="24"/>
          <w:szCs w:val="24"/>
          <w:vertAlign w:val="superscript"/>
        </w:rPr>
        <w:footnoteReference w:id="3"/>
      </w:r>
      <w:r w:rsidR="00551170" w:rsidRPr="00DD50D8">
        <w:rPr>
          <w:rFonts w:ascii="Times New Roman" w:hAnsi="Times New Roman" w:cs="Times New Roman"/>
          <w:sz w:val="24"/>
          <w:szCs w:val="24"/>
        </w:rPr>
        <w:t xml:space="preserve"> Therefore, the Attorney</w:t>
      </w:r>
      <w:r w:rsidR="00551170" w:rsidRPr="00DD50D8">
        <w:rPr>
          <w:rFonts w:ascii="Times New Roman" w:hAnsi="Times New Roman" w:cs="Times New Roman"/>
          <w:sz w:val="24"/>
          <w:szCs w:val="24"/>
        </w:rPr>
        <w:noBreakHyphen/>
        <w:t>General</w:t>
      </w:r>
      <w:r w:rsidR="003017E9" w:rsidRPr="00DD50D8">
        <w:rPr>
          <w:rFonts w:ascii="Times New Roman" w:hAnsi="Times New Roman" w:cs="Times New Roman"/>
          <w:sz w:val="24"/>
          <w:szCs w:val="24"/>
        </w:rPr>
        <w:t xml:space="preserve"> must be satisfied in </w:t>
      </w:r>
      <w:r w:rsidR="003017E9" w:rsidRPr="00DD50D8">
        <w:rPr>
          <w:rFonts w:ascii="Times New Roman" w:hAnsi="Times New Roman" w:cs="Times New Roman"/>
          <w:i/>
          <w:sz w:val="24"/>
          <w:szCs w:val="24"/>
        </w:rPr>
        <w:t>both form and substance</w:t>
      </w:r>
      <w:r w:rsidR="003017E9" w:rsidRPr="00DD50D8">
        <w:rPr>
          <w:rFonts w:ascii="Times New Roman" w:hAnsi="Times New Roman" w:cs="Times New Roman"/>
          <w:sz w:val="24"/>
          <w:szCs w:val="24"/>
        </w:rPr>
        <w:t xml:space="preserve"> that the </w:t>
      </w:r>
      <w:r w:rsidR="00551170" w:rsidRPr="00DD50D8">
        <w:rPr>
          <w:rFonts w:ascii="Times New Roman" w:hAnsi="Times New Roman" w:cs="Times New Roman"/>
          <w:sz w:val="24"/>
          <w:szCs w:val="24"/>
        </w:rPr>
        <w:t>undertaking</w:t>
      </w:r>
      <w:r w:rsidR="003017E9" w:rsidRPr="00DD50D8">
        <w:rPr>
          <w:rFonts w:ascii="Times New Roman" w:hAnsi="Times New Roman" w:cs="Times New Roman"/>
          <w:sz w:val="24"/>
          <w:szCs w:val="24"/>
        </w:rPr>
        <w:t xml:space="preserve"> provided means that the</w:t>
      </w:r>
      <w:r w:rsidR="00551170" w:rsidRPr="00DD50D8">
        <w:rPr>
          <w:rFonts w:ascii="Times New Roman" w:hAnsi="Times New Roman" w:cs="Times New Roman"/>
          <w:sz w:val="24"/>
          <w:szCs w:val="24"/>
        </w:rPr>
        <w:t xml:space="preserve"> death penalty </w:t>
      </w:r>
      <w:r w:rsidR="003017E9" w:rsidRPr="00DD50D8">
        <w:rPr>
          <w:rFonts w:ascii="Times New Roman" w:hAnsi="Times New Roman" w:cs="Times New Roman"/>
          <w:sz w:val="24"/>
          <w:szCs w:val="24"/>
        </w:rPr>
        <w:t>will not be</w:t>
      </w:r>
      <w:r w:rsidR="00551170" w:rsidRPr="00DD50D8">
        <w:rPr>
          <w:rFonts w:ascii="Times New Roman" w:hAnsi="Times New Roman" w:cs="Times New Roman"/>
          <w:sz w:val="24"/>
          <w:szCs w:val="24"/>
        </w:rPr>
        <w:t xml:space="preserve"> carried out if the person w</w:t>
      </w:r>
      <w:r w:rsidR="003017E9" w:rsidRPr="00DD50D8">
        <w:rPr>
          <w:rFonts w:ascii="Times New Roman" w:hAnsi="Times New Roman" w:cs="Times New Roman"/>
          <w:sz w:val="24"/>
          <w:szCs w:val="24"/>
        </w:rPr>
        <w:t>ere</w:t>
      </w:r>
      <w:r w:rsidR="00551170" w:rsidRPr="00DD50D8">
        <w:rPr>
          <w:rFonts w:ascii="Times New Roman" w:hAnsi="Times New Roman" w:cs="Times New Roman"/>
          <w:sz w:val="24"/>
          <w:szCs w:val="24"/>
        </w:rPr>
        <w:t xml:space="preserve"> to be surrendered</w:t>
      </w:r>
      <w:r w:rsidR="003017E9" w:rsidRPr="00DD50D8">
        <w:rPr>
          <w:rFonts w:ascii="Times New Roman" w:hAnsi="Times New Roman" w:cs="Times New Roman"/>
          <w:sz w:val="24"/>
          <w:szCs w:val="24"/>
        </w:rPr>
        <w:t xml:space="preserve">. Where an undertaking does not provide satisfaction in both form and substance, </w:t>
      </w:r>
      <w:r w:rsidR="00551170" w:rsidRPr="00DD50D8">
        <w:rPr>
          <w:rFonts w:ascii="Times New Roman" w:hAnsi="Times New Roman" w:cs="Times New Roman"/>
          <w:sz w:val="24"/>
          <w:szCs w:val="24"/>
        </w:rPr>
        <w:t xml:space="preserve">the requirements </w:t>
      </w:r>
      <w:r w:rsidR="006E52CA" w:rsidRPr="00DD50D8">
        <w:rPr>
          <w:rFonts w:ascii="Times New Roman" w:hAnsi="Times New Roman" w:cs="Times New Roman"/>
          <w:sz w:val="24"/>
          <w:szCs w:val="24"/>
        </w:rPr>
        <w:t>of</w:t>
      </w:r>
      <w:r w:rsidR="00551170" w:rsidRPr="00DD50D8">
        <w:rPr>
          <w:rFonts w:ascii="Times New Roman" w:hAnsi="Times New Roman" w:cs="Times New Roman"/>
          <w:sz w:val="24"/>
          <w:szCs w:val="24"/>
        </w:rPr>
        <w:t xml:space="preserve"> </w:t>
      </w:r>
      <w:r w:rsidR="00551170" w:rsidRPr="00DD50D8">
        <w:rPr>
          <w:rFonts w:ascii="Times New Roman" w:hAnsi="Times New Roman"/>
          <w:sz w:val="24"/>
          <w:szCs w:val="24"/>
        </w:rPr>
        <w:t>paragraph 22(3)(c) of the Act</w:t>
      </w:r>
      <w:r w:rsidR="00E83BF4" w:rsidRPr="00DD50D8">
        <w:rPr>
          <w:rFonts w:ascii="Times New Roman" w:hAnsi="Times New Roman"/>
          <w:sz w:val="24"/>
          <w:szCs w:val="24"/>
        </w:rPr>
        <w:t xml:space="preserve"> would not be met</w:t>
      </w:r>
      <w:r w:rsidR="006E52CA" w:rsidRPr="00DD50D8">
        <w:rPr>
          <w:rFonts w:ascii="Times New Roman" w:hAnsi="Times New Roman"/>
          <w:sz w:val="24"/>
          <w:szCs w:val="24"/>
        </w:rPr>
        <w:t xml:space="preserve"> and the Attorney</w:t>
      </w:r>
      <w:r w:rsidR="006E52CA" w:rsidRPr="00DD50D8">
        <w:rPr>
          <w:rFonts w:ascii="Times New Roman" w:hAnsi="Times New Roman"/>
          <w:sz w:val="24"/>
          <w:szCs w:val="24"/>
        </w:rPr>
        <w:noBreakHyphen/>
        <w:t>General must refuse the request</w:t>
      </w:r>
      <w:r w:rsidR="00551170" w:rsidRPr="00DD50D8">
        <w:rPr>
          <w:rFonts w:ascii="Times New Roman" w:hAnsi="Times New Roman"/>
          <w:sz w:val="24"/>
          <w:szCs w:val="24"/>
        </w:rPr>
        <w:t xml:space="preserve">. </w:t>
      </w:r>
    </w:p>
    <w:p w14:paraId="7D69B222" w14:textId="664C7708" w:rsidR="00120B64" w:rsidRPr="00DD50D8" w:rsidRDefault="004E45E5" w:rsidP="000E136D">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Breach of an undertaking may also have reputational consequences and negatively impact the relevant foreign country’s law enforcement relationship with other countries. The Attorney-General consider</w:t>
      </w:r>
      <w:r w:rsidR="00581603">
        <w:rPr>
          <w:rFonts w:ascii="Times New Roman" w:hAnsi="Times New Roman" w:cs="Times New Roman"/>
          <w:sz w:val="24"/>
          <w:szCs w:val="24"/>
        </w:rPr>
        <w:t>s</w:t>
      </w:r>
      <w:r w:rsidRPr="00DD50D8">
        <w:rPr>
          <w:rFonts w:ascii="Times New Roman" w:hAnsi="Times New Roman" w:cs="Times New Roman"/>
          <w:sz w:val="24"/>
          <w:szCs w:val="24"/>
        </w:rPr>
        <w:t xml:space="preserve"> the reliability of any death penalty undertaking on a case by case basis. </w:t>
      </w:r>
    </w:p>
    <w:p w14:paraId="6D88A50C" w14:textId="7A3EA65D" w:rsidR="00120B64" w:rsidRPr="00DD50D8" w:rsidRDefault="004E45E5" w:rsidP="000E136D">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 xml:space="preserve">Given the public nature of extradition, the Australian Government would most likely be made aware of a breach of a death penalty undertaking. The Attorney-General’s Department has provided information on extradition matters in its annual reports to Parliament since the establishment of the Act, including whether there have been any </w:t>
      </w:r>
      <w:r w:rsidRPr="00DD50D8">
        <w:rPr>
          <w:rFonts w:ascii="Times New Roman" w:hAnsi="Times New Roman" w:cs="Times New Roman"/>
          <w:sz w:val="24"/>
          <w:szCs w:val="24"/>
        </w:rPr>
        <w:lastRenderedPageBreak/>
        <w:t xml:space="preserve">breaches of undertakings by a foreign country in relation to a person extradited from Australia. No </w:t>
      </w:r>
      <w:r w:rsidR="005442D8" w:rsidRPr="00DD50D8">
        <w:rPr>
          <w:rFonts w:ascii="Times New Roman" w:hAnsi="Times New Roman" w:cs="Times New Roman"/>
          <w:sz w:val="24"/>
          <w:szCs w:val="24"/>
        </w:rPr>
        <w:t xml:space="preserve">significant </w:t>
      </w:r>
      <w:r w:rsidRPr="00DD50D8">
        <w:rPr>
          <w:rFonts w:ascii="Times New Roman" w:hAnsi="Times New Roman" w:cs="Times New Roman"/>
          <w:sz w:val="24"/>
          <w:szCs w:val="24"/>
        </w:rPr>
        <w:t>breaches have been recorded to date.</w:t>
      </w:r>
      <w:r w:rsidR="005442D8" w:rsidRPr="00DD50D8">
        <w:rPr>
          <w:rStyle w:val="FootnoteReference"/>
          <w:rFonts w:ascii="Times New Roman" w:hAnsi="Times New Roman" w:cs="Times New Roman"/>
          <w:sz w:val="24"/>
          <w:szCs w:val="24"/>
        </w:rPr>
        <w:footnoteReference w:id="4"/>
      </w:r>
      <w:r w:rsidRPr="00DD50D8">
        <w:rPr>
          <w:rFonts w:ascii="Times New Roman" w:hAnsi="Times New Roman" w:cs="Times New Roman"/>
          <w:sz w:val="24"/>
          <w:szCs w:val="24"/>
        </w:rPr>
        <w:t xml:space="preserve"> </w:t>
      </w:r>
    </w:p>
    <w:p w14:paraId="3D18021C" w14:textId="20A723AD" w:rsidR="00120B64" w:rsidRPr="00DD50D8" w:rsidRDefault="004E45E5" w:rsidP="000E136D">
      <w:pPr>
        <w:pStyle w:val="ListParagraph"/>
        <w:numPr>
          <w:ilvl w:val="0"/>
          <w:numId w:val="16"/>
        </w:numPr>
        <w:spacing w:before="240" w:line="360" w:lineRule="auto"/>
        <w:ind w:left="0" w:firstLine="0"/>
        <w:contextualSpacing w:val="0"/>
        <w:rPr>
          <w:rFonts w:ascii="Times New Roman" w:hAnsi="Times New Roman" w:cs="Times New Roman"/>
          <w:sz w:val="24"/>
          <w:szCs w:val="24"/>
        </w:rPr>
      </w:pPr>
      <w:bookmarkStart w:id="5" w:name="_Hlk148993132"/>
      <w:r w:rsidRPr="00DD50D8">
        <w:rPr>
          <w:rFonts w:ascii="Times New Roman" w:hAnsi="Times New Roman" w:cs="Times New Roman"/>
          <w:sz w:val="24"/>
          <w:szCs w:val="24"/>
        </w:rPr>
        <w:t>Australia also monitors Australian citizens who have been extradited through its consular network, in accordance with the Vienna Convention on Consular Relations. Following recommendations made in JSCOT’s 2018 Report 177, since 2018</w:t>
      </w:r>
      <w:r w:rsidR="008732AC" w:rsidRPr="00DD50D8">
        <w:rPr>
          <w:rFonts w:ascii="Times New Roman" w:hAnsi="Times New Roman" w:cs="Times New Roman"/>
          <w:sz w:val="24"/>
          <w:szCs w:val="24"/>
        </w:rPr>
        <w:t>-</w:t>
      </w:r>
      <w:r w:rsidRPr="00DD50D8">
        <w:rPr>
          <w:rFonts w:ascii="Times New Roman" w:hAnsi="Times New Roman" w:cs="Times New Roman"/>
          <w:sz w:val="24"/>
          <w:szCs w:val="24"/>
        </w:rPr>
        <w:t>19, the Attorney-General’s Department also includes de-identified statistical information in its annual report in relation to Australian nationals extradited by Australia, including, where available:</w:t>
      </w:r>
    </w:p>
    <w:p w14:paraId="0B340234" w14:textId="77777777" w:rsidR="00120B64" w:rsidRPr="00DD50D8" w:rsidRDefault="004E45E5" w:rsidP="000E136D">
      <w:pPr>
        <w:pStyle w:val="ListParagraph"/>
        <w:numPr>
          <w:ilvl w:val="1"/>
          <w:numId w:val="16"/>
        </w:numPr>
        <w:spacing w:before="240" w:line="360" w:lineRule="auto"/>
        <w:contextualSpacing w:val="0"/>
        <w:rPr>
          <w:rFonts w:ascii="Times New Roman" w:hAnsi="Times New Roman" w:cs="Times New Roman"/>
          <w:sz w:val="24"/>
          <w:szCs w:val="24"/>
        </w:rPr>
      </w:pPr>
      <w:r w:rsidRPr="00DD50D8">
        <w:rPr>
          <w:rFonts w:ascii="Times New Roman" w:hAnsi="Times New Roman" w:cs="Times New Roman"/>
          <w:sz w:val="24"/>
          <w:szCs w:val="24"/>
        </w:rPr>
        <w:t>whether a trial has taken place</w:t>
      </w:r>
    </w:p>
    <w:p w14:paraId="2123C201" w14:textId="77777777" w:rsidR="00120B64" w:rsidRPr="00DD50D8" w:rsidRDefault="004E45E5" w:rsidP="000E136D">
      <w:pPr>
        <w:pStyle w:val="ListParagraph"/>
        <w:numPr>
          <w:ilvl w:val="1"/>
          <w:numId w:val="16"/>
        </w:numPr>
        <w:spacing w:before="240" w:line="360" w:lineRule="auto"/>
        <w:contextualSpacing w:val="0"/>
        <w:rPr>
          <w:rFonts w:ascii="Times New Roman" w:hAnsi="Times New Roman" w:cs="Times New Roman"/>
          <w:sz w:val="24"/>
          <w:szCs w:val="24"/>
        </w:rPr>
      </w:pPr>
      <w:r w:rsidRPr="00DD50D8">
        <w:rPr>
          <w:rFonts w:ascii="Times New Roman" w:hAnsi="Times New Roman" w:cs="Times New Roman"/>
          <w:sz w:val="24"/>
          <w:szCs w:val="24"/>
        </w:rPr>
        <w:t>where a trial has taken place, information on the verdict handed down</w:t>
      </w:r>
    </w:p>
    <w:p w14:paraId="1EFCDF76" w14:textId="77777777" w:rsidR="00120B64" w:rsidRPr="00DD50D8" w:rsidRDefault="004E45E5" w:rsidP="000E136D">
      <w:pPr>
        <w:pStyle w:val="ListParagraph"/>
        <w:numPr>
          <w:ilvl w:val="1"/>
          <w:numId w:val="16"/>
        </w:numPr>
        <w:spacing w:before="240" w:line="360" w:lineRule="auto"/>
        <w:contextualSpacing w:val="0"/>
        <w:rPr>
          <w:rFonts w:ascii="Times New Roman" w:hAnsi="Times New Roman" w:cs="Times New Roman"/>
          <w:sz w:val="24"/>
          <w:szCs w:val="24"/>
        </w:rPr>
      </w:pPr>
      <w:r w:rsidRPr="00DD50D8">
        <w:rPr>
          <w:rFonts w:ascii="Times New Roman" w:hAnsi="Times New Roman" w:cs="Times New Roman"/>
          <w:sz w:val="24"/>
          <w:szCs w:val="24"/>
        </w:rPr>
        <w:t xml:space="preserve">if a sentence was imposed, what the sentence was, and </w:t>
      </w:r>
    </w:p>
    <w:p w14:paraId="14150F50" w14:textId="12858A37" w:rsidR="00120B64" w:rsidRPr="00DD50D8" w:rsidRDefault="00120B64" w:rsidP="000E136D">
      <w:pPr>
        <w:pStyle w:val="ListParagraph"/>
        <w:numPr>
          <w:ilvl w:val="1"/>
          <w:numId w:val="16"/>
        </w:numPr>
        <w:spacing w:before="240" w:line="360" w:lineRule="auto"/>
        <w:contextualSpacing w:val="0"/>
        <w:rPr>
          <w:rFonts w:ascii="Times New Roman" w:hAnsi="Times New Roman" w:cs="Times New Roman"/>
          <w:sz w:val="24"/>
          <w:szCs w:val="24"/>
        </w:rPr>
      </w:pPr>
      <w:r w:rsidRPr="00DD50D8">
        <w:rPr>
          <w:rFonts w:ascii="Times New Roman" w:hAnsi="Times New Roman" w:cs="Times New Roman"/>
          <w:sz w:val="24"/>
          <w:szCs w:val="24"/>
        </w:rPr>
        <w:t xml:space="preserve">the </w:t>
      </w:r>
      <w:r w:rsidR="004E45E5" w:rsidRPr="00DD50D8">
        <w:rPr>
          <w:rFonts w:ascii="Times New Roman" w:hAnsi="Times New Roman" w:cs="Times New Roman"/>
          <w:sz w:val="24"/>
          <w:szCs w:val="24"/>
        </w:rPr>
        <w:t>total number of extradited Australian nationals who are currently receiving consular assistance.</w:t>
      </w:r>
    </w:p>
    <w:bookmarkEnd w:id="5"/>
    <w:p w14:paraId="2BD04907" w14:textId="5081384B" w:rsidR="004E45E5" w:rsidRPr="00DD50D8" w:rsidRDefault="004E45E5" w:rsidP="000E136D">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 xml:space="preserve">The Act </w:t>
      </w:r>
      <w:r w:rsidR="00E629E5" w:rsidRPr="00DD50D8">
        <w:rPr>
          <w:rFonts w:ascii="Times New Roman" w:hAnsi="Times New Roman" w:cs="Times New Roman"/>
          <w:sz w:val="24"/>
          <w:szCs w:val="24"/>
        </w:rPr>
        <w:t>and the</w:t>
      </w:r>
      <w:r w:rsidR="00163991" w:rsidRPr="00DD50D8">
        <w:rPr>
          <w:rFonts w:ascii="Times New Roman" w:hAnsi="Times New Roman" w:cs="Times New Roman"/>
          <w:color w:val="000000"/>
          <w:sz w:val="24"/>
          <w:szCs w:val="24"/>
        </w:rPr>
        <w:t xml:space="preserve"> </w:t>
      </w:r>
      <w:r w:rsidR="00163991" w:rsidRPr="00DD50D8">
        <w:rPr>
          <w:rFonts w:ascii="Times New Roman" w:eastAsia="Times New Roman" w:hAnsi="Times New Roman" w:cs="Times New Roman"/>
          <w:color w:val="000000"/>
          <w:sz w:val="24"/>
          <w:szCs w:val="24"/>
          <w:lang w:eastAsia="en-AU"/>
        </w:rPr>
        <w:t>Regulations</w:t>
      </w:r>
      <w:r w:rsidR="00E83BF4" w:rsidRPr="00DD50D8">
        <w:rPr>
          <w:rFonts w:ascii="Times New Roman" w:eastAsia="Times New Roman" w:hAnsi="Times New Roman" w:cs="Times New Roman"/>
          <w:color w:val="000000"/>
          <w:sz w:val="24"/>
          <w:szCs w:val="24"/>
          <w:lang w:eastAsia="en-AU"/>
        </w:rPr>
        <w:t xml:space="preserve"> do not limit, and</w:t>
      </w:r>
      <w:r w:rsidR="00163991" w:rsidRPr="00DD50D8">
        <w:rPr>
          <w:rFonts w:ascii="Times New Roman" w:eastAsia="Times New Roman" w:hAnsi="Times New Roman" w:cs="Times New Roman"/>
          <w:color w:val="000000"/>
          <w:sz w:val="24"/>
          <w:szCs w:val="24"/>
          <w:lang w:eastAsia="en-AU"/>
        </w:rPr>
        <w:t xml:space="preserve"> </w:t>
      </w:r>
      <w:r w:rsidRPr="00DD50D8">
        <w:rPr>
          <w:rFonts w:ascii="Times New Roman" w:hAnsi="Times New Roman" w:cs="Times New Roman"/>
          <w:sz w:val="24"/>
          <w:szCs w:val="24"/>
        </w:rPr>
        <w:t xml:space="preserve">are </w:t>
      </w:r>
      <w:r w:rsidR="00122BB4" w:rsidRPr="00DD50D8">
        <w:rPr>
          <w:rFonts w:ascii="Times New Roman" w:hAnsi="Times New Roman" w:cs="Times New Roman"/>
          <w:sz w:val="24"/>
          <w:szCs w:val="24"/>
        </w:rPr>
        <w:t xml:space="preserve">therefore </w:t>
      </w:r>
      <w:r w:rsidRPr="00DD50D8">
        <w:rPr>
          <w:rFonts w:ascii="Times New Roman" w:hAnsi="Times New Roman" w:cs="Times New Roman"/>
          <w:sz w:val="24"/>
          <w:szCs w:val="24"/>
        </w:rPr>
        <w:t>consistent with</w:t>
      </w:r>
      <w:r w:rsidR="00E83BF4" w:rsidRPr="00DD50D8">
        <w:rPr>
          <w:rFonts w:ascii="Times New Roman" w:hAnsi="Times New Roman" w:cs="Times New Roman"/>
          <w:sz w:val="24"/>
          <w:szCs w:val="24"/>
        </w:rPr>
        <w:t>,</w:t>
      </w:r>
      <w:r w:rsidRPr="00DD50D8">
        <w:rPr>
          <w:rFonts w:ascii="Times New Roman" w:hAnsi="Times New Roman" w:cs="Times New Roman"/>
          <w:sz w:val="24"/>
          <w:szCs w:val="24"/>
        </w:rPr>
        <w:t xml:space="preserve"> the right to life under the ICCPR.</w:t>
      </w:r>
    </w:p>
    <w:p w14:paraId="4626DBC6" w14:textId="2FBF8B2A" w:rsidR="00120B64" w:rsidRPr="00DD50D8" w:rsidRDefault="00512753" w:rsidP="000E136D">
      <w:pPr>
        <w:keepNext/>
        <w:keepLines/>
        <w:shd w:val="clear" w:color="auto" w:fill="FFFFFF"/>
        <w:spacing w:line="360" w:lineRule="auto"/>
        <w:rPr>
          <w:rFonts w:ascii="Times New Roman" w:hAnsi="Times New Roman" w:cs="Times New Roman"/>
          <w:sz w:val="24"/>
          <w:szCs w:val="24"/>
          <w:u w:val="single"/>
        </w:rPr>
      </w:pPr>
      <w:r w:rsidRPr="00DD50D8">
        <w:rPr>
          <w:rFonts w:ascii="Times New Roman" w:hAnsi="Times New Roman" w:cs="Times New Roman"/>
          <w:sz w:val="24"/>
          <w:szCs w:val="24"/>
          <w:u w:val="single"/>
        </w:rPr>
        <w:t>Prohibition against torture, and other cruel, inhuman or degrading treatment or punishment</w:t>
      </w:r>
    </w:p>
    <w:p w14:paraId="55FF92B1" w14:textId="4E4455A2" w:rsidR="00D6136E" w:rsidRPr="00DD50D8" w:rsidRDefault="00512753" w:rsidP="00F67501">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 xml:space="preserve">Article 3 of the CAT establishes </w:t>
      </w:r>
      <w:r w:rsidRPr="00DD50D8">
        <w:rPr>
          <w:rFonts w:ascii="Times New Roman" w:hAnsi="Times New Roman" w:cs="Times New Roman"/>
          <w:i/>
          <w:sz w:val="24"/>
          <w:szCs w:val="24"/>
        </w:rPr>
        <w:t>non-refoulement</w:t>
      </w:r>
      <w:r w:rsidRPr="00DD50D8">
        <w:rPr>
          <w:rFonts w:ascii="Times New Roman" w:hAnsi="Times New Roman" w:cs="Times New Roman"/>
          <w:sz w:val="24"/>
          <w:szCs w:val="24"/>
        </w:rPr>
        <w:t xml:space="preserve"> obligations prohibiting States from returning a person to a country where there are substantial grounds for believing that the person would be in danger of being subjected to torture. In addition, Article 7 of the ICCPR provides that no one shall be subjected to torture or cruel, inhuman or degrading treatment or punishment (CIDTP). It is widely accepted that Article 7 of the ICCPR includes implied </w:t>
      </w:r>
      <w:r w:rsidRPr="00DD50D8">
        <w:rPr>
          <w:rFonts w:ascii="Times New Roman" w:hAnsi="Times New Roman" w:cs="Times New Roman"/>
          <w:i/>
          <w:sz w:val="24"/>
          <w:szCs w:val="24"/>
        </w:rPr>
        <w:t>non</w:t>
      </w:r>
      <w:r w:rsidR="00A807AB" w:rsidRPr="00DD50D8">
        <w:rPr>
          <w:rFonts w:ascii="Times New Roman" w:hAnsi="Times New Roman" w:cs="Times New Roman"/>
          <w:i/>
          <w:sz w:val="24"/>
          <w:szCs w:val="24"/>
        </w:rPr>
        <w:noBreakHyphen/>
      </w:r>
      <w:r w:rsidRPr="00DD50D8">
        <w:rPr>
          <w:rFonts w:ascii="Times New Roman" w:hAnsi="Times New Roman" w:cs="Times New Roman"/>
          <w:i/>
          <w:sz w:val="24"/>
          <w:szCs w:val="24"/>
        </w:rPr>
        <w:t>refoulement</w:t>
      </w:r>
      <w:r w:rsidRPr="00DD50D8">
        <w:rPr>
          <w:rFonts w:ascii="Times New Roman" w:hAnsi="Times New Roman" w:cs="Times New Roman"/>
          <w:sz w:val="24"/>
          <w:szCs w:val="24"/>
        </w:rPr>
        <w:t xml:space="preserve"> obligations in relation to torture and CIDTP.</w:t>
      </w:r>
      <w:r w:rsidR="00F67501" w:rsidRPr="00DD50D8">
        <w:rPr>
          <w:rFonts w:ascii="Times New Roman" w:hAnsi="Times New Roman" w:cs="Times New Roman"/>
          <w:sz w:val="24"/>
          <w:szCs w:val="24"/>
        </w:rPr>
        <w:t xml:space="preserve"> Freedom from torture and CIDTP is an absolute right, which cannot be limited or qualified under any circumstance.</w:t>
      </w:r>
    </w:p>
    <w:p w14:paraId="3CA12F43" w14:textId="08596E7D" w:rsidR="00D6136E" w:rsidRPr="00DD50D8" w:rsidRDefault="00512753" w:rsidP="000E136D">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lastRenderedPageBreak/>
        <w:t xml:space="preserve">The Act </w:t>
      </w:r>
      <w:r w:rsidR="00E629E5" w:rsidRPr="00DD50D8">
        <w:rPr>
          <w:rFonts w:ascii="Times New Roman" w:hAnsi="Times New Roman" w:cs="Times New Roman"/>
          <w:sz w:val="24"/>
          <w:szCs w:val="24"/>
        </w:rPr>
        <w:t>and the</w:t>
      </w:r>
      <w:r w:rsidR="00163991" w:rsidRPr="00DD50D8">
        <w:rPr>
          <w:rFonts w:ascii="Times New Roman" w:hAnsi="Times New Roman" w:cs="Times New Roman"/>
          <w:color w:val="000000"/>
          <w:sz w:val="24"/>
          <w:szCs w:val="24"/>
        </w:rPr>
        <w:t xml:space="preserve"> </w:t>
      </w:r>
      <w:r w:rsidR="00163991" w:rsidRPr="00DD50D8">
        <w:rPr>
          <w:rFonts w:ascii="Times New Roman" w:eastAsia="Times New Roman" w:hAnsi="Times New Roman" w:cs="Times New Roman"/>
          <w:color w:val="000000"/>
          <w:sz w:val="24"/>
          <w:szCs w:val="24"/>
          <w:lang w:eastAsia="en-AU"/>
        </w:rPr>
        <w:t xml:space="preserve">Regulations </w:t>
      </w:r>
      <w:r w:rsidRPr="00DD50D8">
        <w:rPr>
          <w:rFonts w:ascii="Times New Roman" w:hAnsi="Times New Roman" w:cs="Times New Roman"/>
          <w:sz w:val="24"/>
          <w:szCs w:val="24"/>
        </w:rPr>
        <w:t xml:space="preserve">have the potential to engage the prohibition against torture and CIDTP in circumstances where a person would be in danger of being subjected to torture or CIDTP if surrendered to the </w:t>
      </w:r>
      <w:r w:rsidR="007773EF" w:rsidRPr="00DD50D8">
        <w:rPr>
          <w:rFonts w:ascii="Times New Roman" w:hAnsi="Times New Roman" w:cs="Times New Roman"/>
          <w:sz w:val="24"/>
          <w:szCs w:val="24"/>
        </w:rPr>
        <w:t>r</w:t>
      </w:r>
      <w:r w:rsidRPr="00DD50D8">
        <w:rPr>
          <w:rFonts w:ascii="Times New Roman" w:hAnsi="Times New Roman" w:cs="Times New Roman"/>
          <w:sz w:val="24"/>
          <w:szCs w:val="24"/>
        </w:rPr>
        <w:t xml:space="preserve">equesting </w:t>
      </w:r>
      <w:r w:rsidR="007773EF" w:rsidRPr="00DD50D8">
        <w:rPr>
          <w:rFonts w:ascii="Times New Roman" w:hAnsi="Times New Roman" w:cs="Times New Roman"/>
          <w:sz w:val="24"/>
          <w:szCs w:val="24"/>
        </w:rPr>
        <w:t>p</w:t>
      </w:r>
      <w:r w:rsidRPr="00DD50D8">
        <w:rPr>
          <w:rFonts w:ascii="Times New Roman" w:hAnsi="Times New Roman" w:cs="Times New Roman"/>
          <w:sz w:val="24"/>
          <w:szCs w:val="24"/>
        </w:rPr>
        <w:t xml:space="preserve">arty. </w:t>
      </w:r>
    </w:p>
    <w:p w14:paraId="552679AC" w14:textId="77777777" w:rsidR="00D6136E" w:rsidRPr="00DD50D8" w:rsidRDefault="00512753" w:rsidP="000E136D">
      <w:pPr>
        <w:pStyle w:val="ListParagraph"/>
        <w:spacing w:before="240" w:line="360" w:lineRule="auto"/>
        <w:ind w:left="0"/>
        <w:contextualSpacing w:val="0"/>
        <w:rPr>
          <w:rFonts w:ascii="Times New Roman" w:hAnsi="Times New Roman" w:cs="Times New Roman"/>
          <w:sz w:val="24"/>
          <w:szCs w:val="24"/>
        </w:rPr>
      </w:pPr>
      <w:r w:rsidRPr="00DD50D8">
        <w:rPr>
          <w:rFonts w:ascii="Times New Roman" w:hAnsi="Times New Roman" w:cs="Times New Roman"/>
          <w:i/>
          <w:sz w:val="24"/>
          <w:szCs w:val="24"/>
        </w:rPr>
        <w:t>Torture</w:t>
      </w:r>
    </w:p>
    <w:p w14:paraId="3220D4AF" w14:textId="77777777" w:rsidR="00D6136E" w:rsidRPr="00DD50D8" w:rsidRDefault="00512753" w:rsidP="000E136D">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 xml:space="preserve">Article 3 of the CAT prohibits the extradition of a person to a State where there are substantial grounds for believing that the person would be in danger of being subjected to torture, and requires that decision-makers </w:t>
      </w:r>
      <w:proofErr w:type="gramStart"/>
      <w:r w:rsidRPr="00DD50D8">
        <w:rPr>
          <w:rFonts w:ascii="Times New Roman" w:hAnsi="Times New Roman" w:cs="Times New Roman"/>
          <w:sz w:val="24"/>
          <w:szCs w:val="24"/>
        </w:rPr>
        <w:t>take into account</w:t>
      </w:r>
      <w:proofErr w:type="gramEnd"/>
      <w:r w:rsidRPr="00DD50D8">
        <w:rPr>
          <w:rFonts w:ascii="Times New Roman" w:hAnsi="Times New Roman" w:cs="Times New Roman"/>
          <w:sz w:val="24"/>
          <w:szCs w:val="24"/>
        </w:rPr>
        <w:t xml:space="preserve"> all relevant considerations when determining whether there are such grounds. Article 7 of the ICCPR relevantly provides that no one shall be subjected to torture.</w:t>
      </w:r>
    </w:p>
    <w:p w14:paraId="1A3BDBC2" w14:textId="3B69F39D" w:rsidR="00452C65" w:rsidRPr="00DD50D8" w:rsidRDefault="00512753" w:rsidP="00FE65FC">
      <w:pPr>
        <w:pStyle w:val="ListParagraph"/>
        <w:numPr>
          <w:ilvl w:val="0"/>
          <w:numId w:val="16"/>
        </w:numPr>
        <w:spacing w:before="240" w:after="240" w:line="360" w:lineRule="auto"/>
        <w:ind w:left="0" w:firstLine="0"/>
        <w:contextualSpacing w:val="0"/>
        <w:rPr>
          <w:rFonts w:ascii="Times New Roman" w:hAnsi="Times New Roman"/>
          <w:sz w:val="24"/>
          <w:szCs w:val="24"/>
        </w:rPr>
      </w:pPr>
      <w:r w:rsidRPr="00DD50D8">
        <w:rPr>
          <w:rFonts w:ascii="Times New Roman" w:hAnsi="Times New Roman" w:cs="Times New Roman"/>
          <w:sz w:val="24"/>
          <w:szCs w:val="24"/>
        </w:rPr>
        <w:t>Paragraphs 15B(3)(a) and 22(3)(b) of the Act provide that the Attorney</w:t>
      </w:r>
      <w:r w:rsidR="00507971" w:rsidRPr="00DD50D8">
        <w:rPr>
          <w:rFonts w:ascii="Times New Roman" w:hAnsi="Times New Roman" w:cs="Times New Roman"/>
          <w:sz w:val="24"/>
          <w:szCs w:val="24"/>
        </w:rPr>
        <w:noBreakHyphen/>
      </w:r>
      <w:r w:rsidRPr="00DD50D8">
        <w:rPr>
          <w:rFonts w:ascii="Times New Roman" w:hAnsi="Times New Roman" w:cs="Times New Roman"/>
          <w:sz w:val="24"/>
          <w:szCs w:val="24"/>
        </w:rPr>
        <w:t>General may only surrender a person if (amongst other things) the Attorney</w:t>
      </w:r>
      <w:r w:rsidR="00A807AB" w:rsidRPr="00DD50D8">
        <w:rPr>
          <w:rFonts w:ascii="Times New Roman" w:hAnsi="Times New Roman" w:cs="Times New Roman"/>
          <w:sz w:val="24"/>
          <w:szCs w:val="24"/>
        </w:rPr>
        <w:noBreakHyphen/>
      </w:r>
      <w:r w:rsidRPr="00DD50D8">
        <w:rPr>
          <w:rFonts w:ascii="Times New Roman" w:hAnsi="Times New Roman" w:cs="Times New Roman"/>
          <w:sz w:val="24"/>
          <w:szCs w:val="24"/>
        </w:rPr>
        <w:t xml:space="preserve">General does not have substantial grounds for believing that, if the person were surrendered, they would be in danger of being subjected to torture. </w:t>
      </w:r>
      <w:r w:rsidR="00163991" w:rsidRPr="00DD50D8">
        <w:rPr>
          <w:rFonts w:ascii="Times New Roman" w:hAnsi="Times New Roman"/>
          <w:sz w:val="24"/>
          <w:szCs w:val="24"/>
        </w:rPr>
        <w:t>Th</w:t>
      </w:r>
      <w:r w:rsidR="00E629E5" w:rsidRPr="00DD50D8">
        <w:rPr>
          <w:rFonts w:ascii="Times New Roman" w:hAnsi="Times New Roman"/>
          <w:sz w:val="24"/>
          <w:szCs w:val="24"/>
        </w:rPr>
        <w:t>is</w:t>
      </w:r>
      <w:r w:rsidR="00163991" w:rsidRPr="00DD50D8">
        <w:rPr>
          <w:rFonts w:ascii="Times New Roman" w:hAnsi="Times New Roman"/>
          <w:sz w:val="24"/>
          <w:szCs w:val="24"/>
        </w:rPr>
        <w:t xml:space="preserve"> requirement in the Act </w:t>
      </w:r>
      <w:r w:rsidR="00E629E5" w:rsidRPr="00DD50D8">
        <w:rPr>
          <w:rFonts w:ascii="Times New Roman" w:hAnsi="Times New Roman"/>
          <w:sz w:val="24"/>
          <w:szCs w:val="24"/>
        </w:rPr>
        <w:t>is</w:t>
      </w:r>
      <w:r w:rsidR="00163991" w:rsidRPr="00DD50D8">
        <w:rPr>
          <w:rFonts w:ascii="Times New Roman" w:hAnsi="Times New Roman"/>
          <w:sz w:val="24"/>
          <w:szCs w:val="24"/>
        </w:rPr>
        <w:t xml:space="preserve"> consistent with Article 3 of the CAT and Article 7 of the ICCPR. </w:t>
      </w:r>
    </w:p>
    <w:p w14:paraId="78F60B36" w14:textId="12D2FDA9" w:rsidR="009B0B91" w:rsidRPr="00DD50D8" w:rsidRDefault="00452C65" w:rsidP="000E136D">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lang w:val="en"/>
        </w:rPr>
        <w:t>Further, f</w:t>
      </w:r>
      <w:r w:rsidR="00512753" w:rsidRPr="00DD50D8">
        <w:rPr>
          <w:rFonts w:ascii="Times New Roman" w:hAnsi="Times New Roman" w:cs="Times New Roman"/>
          <w:sz w:val="24"/>
          <w:szCs w:val="24"/>
          <w:lang w:val="en"/>
        </w:rPr>
        <w:t>or the purposes of determining whether to surrender under section 15B or subsection 22(3) of the Act, the Attorney-General may consider all material reasonably available to assist in determining whether the person may be subjected to torture. This may include relevant international legal obligations, any representations or assurances from the requesting country, country-specific information, reports prepared by government or non-government sources, information provided through the diplomatic network and</w:t>
      </w:r>
      <w:r w:rsidR="00512753" w:rsidRPr="00DD50D8">
        <w:rPr>
          <w:rFonts w:ascii="Times New Roman" w:hAnsi="Times New Roman" w:cs="Times New Roman"/>
          <w:sz w:val="24"/>
          <w:szCs w:val="24"/>
        </w:rPr>
        <w:t xml:space="preserve"> those matters raised by the person who is the subject of the extradition request. Therefore, the decision on whether to surrender a person is made by the Attorney-General on a case-by-case basis, in accordance with the safeguards </w:t>
      </w:r>
      <w:r w:rsidR="00C310D3" w:rsidRPr="00DD50D8">
        <w:rPr>
          <w:rFonts w:ascii="Times New Roman" w:hAnsi="Times New Roman" w:cs="Times New Roman"/>
          <w:sz w:val="24"/>
          <w:szCs w:val="24"/>
        </w:rPr>
        <w:t xml:space="preserve">in the </w:t>
      </w:r>
      <w:r w:rsidR="00512753" w:rsidRPr="00DD50D8">
        <w:rPr>
          <w:rFonts w:ascii="Times New Roman" w:hAnsi="Times New Roman" w:cs="Times New Roman"/>
          <w:sz w:val="24"/>
          <w:szCs w:val="24"/>
        </w:rPr>
        <w:t>Act which are in line with Australia’s international obligations, including those in Article 3 of the CAT and Article 7 of the ICCPR</w:t>
      </w:r>
      <w:r w:rsidR="00512753" w:rsidRPr="00DD50D8">
        <w:rPr>
          <w:rFonts w:ascii="Times New Roman" w:hAnsi="Times New Roman" w:cs="Times New Roman"/>
          <w:sz w:val="24"/>
          <w:szCs w:val="24"/>
          <w:lang w:val="en"/>
        </w:rPr>
        <w:t xml:space="preserve">. </w:t>
      </w:r>
    </w:p>
    <w:p w14:paraId="56335FB5" w14:textId="77777777" w:rsidR="009B0B91" w:rsidRPr="00DD50D8" w:rsidRDefault="00512753" w:rsidP="000E136D">
      <w:pPr>
        <w:pStyle w:val="ListParagraph"/>
        <w:spacing w:before="240" w:line="360" w:lineRule="auto"/>
        <w:ind w:left="0"/>
        <w:contextualSpacing w:val="0"/>
        <w:rPr>
          <w:rFonts w:ascii="Times New Roman" w:hAnsi="Times New Roman" w:cs="Times New Roman"/>
          <w:sz w:val="24"/>
          <w:szCs w:val="24"/>
        </w:rPr>
      </w:pPr>
      <w:r w:rsidRPr="00DD50D8">
        <w:rPr>
          <w:rFonts w:ascii="Times New Roman" w:hAnsi="Times New Roman" w:cs="Times New Roman"/>
          <w:i/>
          <w:sz w:val="24"/>
          <w:szCs w:val="24"/>
        </w:rPr>
        <w:t>CIDTP</w:t>
      </w:r>
    </w:p>
    <w:p w14:paraId="2437E400" w14:textId="38798840" w:rsidR="00B923DD" w:rsidRPr="00DD50D8" w:rsidRDefault="00512753" w:rsidP="00B923DD">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 xml:space="preserve">Australia also has non-refoulement obligations under Article 7 of the ICCPR in relation to CIDTP. </w:t>
      </w:r>
      <w:r w:rsidR="00B923DD" w:rsidRPr="00DD50D8">
        <w:rPr>
          <w:rFonts w:ascii="Times New Roman" w:hAnsi="Times New Roman" w:cs="Times New Roman"/>
          <w:sz w:val="24"/>
          <w:szCs w:val="24"/>
        </w:rPr>
        <w:t xml:space="preserve">Safeguards in the Act, in particular the Attorney-General’s general discretion under subsection 15B(2) and paragraph 22(3)(f) of the Act, provides a basis to refuse extradition where the Attorney-General has concerns based on CIDTP considerations. </w:t>
      </w:r>
      <w:r w:rsidR="00B923DD" w:rsidRPr="00DD50D8">
        <w:rPr>
          <w:rFonts w:ascii="Times New Roman" w:hAnsi="Times New Roman" w:cs="Times New Roman"/>
          <w:sz w:val="24"/>
          <w:szCs w:val="24"/>
        </w:rPr>
        <w:lastRenderedPageBreak/>
        <w:t>The Attorney-General makes surrender determinations on a case-by-case basis in accordance with the safeguards in the Act, and in line with Australia’s international legal obligations.</w:t>
      </w:r>
    </w:p>
    <w:p w14:paraId="017E6F18" w14:textId="296CE3E1" w:rsidR="001B03DC" w:rsidRPr="00DD50D8" w:rsidRDefault="00512753" w:rsidP="000E136D">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 xml:space="preserve">Further, the person who is the subject of an extradition request may seek judicial review under section 39B of the </w:t>
      </w:r>
      <w:r w:rsidRPr="00DD50D8">
        <w:rPr>
          <w:rFonts w:ascii="Times New Roman" w:hAnsi="Times New Roman" w:cs="Times New Roman"/>
          <w:i/>
          <w:sz w:val="24"/>
          <w:szCs w:val="24"/>
        </w:rPr>
        <w:t>Judiciary Act 1903</w:t>
      </w:r>
      <w:r w:rsidRPr="00DD50D8">
        <w:rPr>
          <w:rFonts w:ascii="Times New Roman" w:hAnsi="Times New Roman" w:cs="Times New Roman"/>
          <w:sz w:val="24"/>
          <w:szCs w:val="24"/>
        </w:rPr>
        <w:t xml:space="preserve"> and section 75(v) of the Constitution of the Attorney-General’s surrender determination made under sections 15B and 22 of the Act.</w:t>
      </w:r>
    </w:p>
    <w:p w14:paraId="35808C07" w14:textId="516F0667" w:rsidR="00512753" w:rsidRPr="00DD50D8" w:rsidRDefault="00512753" w:rsidP="000E136D">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color w:val="000000"/>
          <w:sz w:val="24"/>
          <w:szCs w:val="24"/>
        </w:rPr>
        <w:t xml:space="preserve">The Act and the Regulations </w:t>
      </w:r>
      <w:r w:rsidR="00F67501" w:rsidRPr="00DD50D8">
        <w:rPr>
          <w:rFonts w:ascii="Times New Roman" w:hAnsi="Times New Roman" w:cs="Times New Roman"/>
          <w:color w:val="000000"/>
          <w:sz w:val="24"/>
          <w:szCs w:val="24"/>
        </w:rPr>
        <w:t xml:space="preserve">do not limit the prohibition on torture and CIDTP, and </w:t>
      </w:r>
      <w:r w:rsidR="00F67501" w:rsidRPr="00DD50D8">
        <w:rPr>
          <w:rFonts w:ascii="Times New Roman" w:hAnsi="Times New Roman" w:cs="Times New Roman"/>
          <w:sz w:val="24"/>
          <w:szCs w:val="24"/>
        </w:rPr>
        <w:t xml:space="preserve">are consistent </w:t>
      </w:r>
      <w:r w:rsidRPr="00DD50D8">
        <w:rPr>
          <w:rFonts w:ascii="Times New Roman" w:hAnsi="Times New Roman" w:cs="Times New Roman"/>
          <w:sz w:val="24"/>
          <w:szCs w:val="24"/>
        </w:rPr>
        <w:t>with Australia’s obligation not to return (</w:t>
      </w:r>
      <w:proofErr w:type="spellStart"/>
      <w:r w:rsidRPr="00DD50D8">
        <w:rPr>
          <w:rFonts w:ascii="Times New Roman" w:hAnsi="Times New Roman" w:cs="Times New Roman"/>
          <w:i/>
          <w:sz w:val="24"/>
          <w:szCs w:val="24"/>
        </w:rPr>
        <w:t>refouler</w:t>
      </w:r>
      <w:proofErr w:type="spellEnd"/>
      <w:r w:rsidRPr="00DD50D8">
        <w:rPr>
          <w:rFonts w:ascii="Times New Roman" w:hAnsi="Times New Roman" w:cs="Times New Roman"/>
          <w:sz w:val="24"/>
          <w:szCs w:val="24"/>
        </w:rPr>
        <w:t>) a person to a country where there are substantial grounds for believing that the person would be in danger of being subjected to torture or CIDTP under Article 3 of the CAT and Article 7 of the ICCPR.</w:t>
      </w:r>
    </w:p>
    <w:p w14:paraId="07AF4C81" w14:textId="4830B541" w:rsidR="00232600" w:rsidRPr="00DD50D8" w:rsidRDefault="0057080B" w:rsidP="00390260">
      <w:pPr>
        <w:autoSpaceDE w:val="0"/>
        <w:autoSpaceDN w:val="0"/>
        <w:adjustRightInd w:val="0"/>
        <w:spacing w:line="360" w:lineRule="auto"/>
        <w:rPr>
          <w:rFonts w:ascii="Times New Roman" w:hAnsi="Times New Roman" w:cs="Times New Roman"/>
          <w:sz w:val="24"/>
          <w:szCs w:val="24"/>
          <w:u w:val="single"/>
        </w:rPr>
      </w:pPr>
      <w:r w:rsidRPr="00DD50D8">
        <w:rPr>
          <w:rFonts w:ascii="Times New Roman" w:hAnsi="Times New Roman" w:cs="Times New Roman"/>
          <w:sz w:val="24"/>
          <w:szCs w:val="24"/>
          <w:u w:val="single"/>
        </w:rPr>
        <w:t>The right to freedom from arbitrary detention</w:t>
      </w:r>
    </w:p>
    <w:p w14:paraId="064E1DE5" w14:textId="3D8965D3" w:rsidR="00F67501" w:rsidRPr="00DD50D8" w:rsidRDefault="0057080B" w:rsidP="00390260">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Article 9(1) of the ICCPR protects the right to freedom from arbitrary detention</w:t>
      </w:r>
      <w:r w:rsidR="008B4857" w:rsidRPr="00DD50D8">
        <w:rPr>
          <w:rFonts w:ascii="Times New Roman" w:hAnsi="Times New Roman" w:cs="Times New Roman"/>
          <w:sz w:val="24"/>
          <w:szCs w:val="24"/>
        </w:rPr>
        <w:t xml:space="preserve"> and states that no one shall be deprived of their liberty except on such grounds and in accordance with such procedure as are established by law</w:t>
      </w:r>
      <w:r w:rsidRPr="00DD50D8">
        <w:rPr>
          <w:rFonts w:ascii="Times New Roman" w:hAnsi="Times New Roman" w:cs="Times New Roman"/>
          <w:sz w:val="24"/>
          <w:szCs w:val="24"/>
        </w:rPr>
        <w:t xml:space="preserve">. Further, Article 9(4) of the ICCPR imposes an obligation on States to ensure that persons who are arrested and detained are entitled to take proceedings before a court to decide the lawfulness of their detention. </w:t>
      </w:r>
    </w:p>
    <w:p w14:paraId="3A526735" w14:textId="12022419" w:rsidR="00F67501" w:rsidRPr="00DD50D8" w:rsidRDefault="00F67501" w:rsidP="00390260">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The only permissible limitations on the rights to liberty are those provided for in Article 9 itself, namely that deprivations are permitted, but only ‘in accordance with procedures as are established by law’, provided that the law itself and the enforcement of it are not arbitrary.</w:t>
      </w:r>
    </w:p>
    <w:p w14:paraId="2D6FC50B" w14:textId="601AA9D5" w:rsidR="00D21760" w:rsidRPr="00DD50D8" w:rsidRDefault="0057080B" w:rsidP="000E136D">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The presumption against bail for persons who are the subject of an incoming extradition request has the potential to engage the right</w:t>
      </w:r>
      <w:r w:rsidR="0090470F" w:rsidRPr="00DD50D8">
        <w:rPr>
          <w:rFonts w:ascii="Times New Roman" w:hAnsi="Times New Roman" w:cs="Times New Roman"/>
          <w:sz w:val="24"/>
          <w:szCs w:val="24"/>
        </w:rPr>
        <w:t xml:space="preserve"> </w:t>
      </w:r>
      <w:r w:rsidRPr="00DD50D8">
        <w:rPr>
          <w:rFonts w:ascii="Times New Roman" w:hAnsi="Times New Roman" w:cs="Times New Roman"/>
          <w:sz w:val="24"/>
          <w:szCs w:val="24"/>
        </w:rPr>
        <w:t xml:space="preserve">to freedom from arbitrary detention. </w:t>
      </w:r>
    </w:p>
    <w:p w14:paraId="3DAEC1BE" w14:textId="0C3BE38C" w:rsidR="0033577E" w:rsidRPr="00DD50D8" w:rsidRDefault="0057080B" w:rsidP="000E136D">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The test for whether detention is arbitrary under Article 9(1) of the ICCPR is whether, in all the circumstances, detention is reasonable, necessary and proportionate to the end that is sought.</w:t>
      </w:r>
      <w:r w:rsidRPr="00DD50D8">
        <w:rPr>
          <w:rStyle w:val="FootnoteReference"/>
          <w:rFonts w:ascii="Times New Roman" w:hAnsi="Times New Roman" w:cs="Times New Roman"/>
          <w:sz w:val="24"/>
          <w:szCs w:val="24"/>
        </w:rPr>
        <w:footnoteReference w:id="5"/>
      </w:r>
      <w:r w:rsidRPr="00DD50D8">
        <w:rPr>
          <w:rFonts w:ascii="Times New Roman" w:hAnsi="Times New Roman" w:cs="Times New Roman"/>
          <w:sz w:val="24"/>
          <w:szCs w:val="24"/>
        </w:rPr>
        <w:t xml:space="preserve"> Factors relevant to assessing whether detention is arbitrary include the existence of avenues of review on the appropriateness of detention, as well as whether less intrusive alternatives to detention have been considered.</w:t>
      </w:r>
      <w:r w:rsidRPr="00DD50D8">
        <w:rPr>
          <w:rStyle w:val="FootnoteReference"/>
          <w:rFonts w:ascii="Times New Roman" w:hAnsi="Times New Roman" w:cs="Times New Roman"/>
          <w:sz w:val="24"/>
          <w:szCs w:val="24"/>
        </w:rPr>
        <w:footnoteReference w:id="6"/>
      </w:r>
      <w:r w:rsidRPr="00DD50D8">
        <w:rPr>
          <w:rFonts w:ascii="Times New Roman" w:hAnsi="Times New Roman" w:cs="Times New Roman"/>
          <w:sz w:val="24"/>
          <w:szCs w:val="24"/>
        </w:rPr>
        <w:t xml:space="preserve"> </w:t>
      </w:r>
    </w:p>
    <w:p w14:paraId="71BCAFA4" w14:textId="0BC98E40" w:rsidR="0033577E" w:rsidRPr="00DD50D8" w:rsidRDefault="008B4857" w:rsidP="000E136D">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lastRenderedPageBreak/>
        <w:t>Extradition detention is provided for under law in s</w:t>
      </w:r>
      <w:r w:rsidR="0057080B" w:rsidRPr="00DD50D8">
        <w:rPr>
          <w:rFonts w:ascii="Times New Roman" w:hAnsi="Times New Roman" w:cs="Times New Roman"/>
          <w:sz w:val="24"/>
          <w:szCs w:val="24"/>
        </w:rPr>
        <w:t xml:space="preserve">ection 15 </w:t>
      </w:r>
      <w:r w:rsidR="00FE65FC" w:rsidRPr="00DD50D8">
        <w:rPr>
          <w:rFonts w:ascii="Times New Roman" w:hAnsi="Times New Roman" w:cs="Times New Roman"/>
          <w:sz w:val="24"/>
          <w:szCs w:val="24"/>
        </w:rPr>
        <w:t xml:space="preserve">of </w:t>
      </w:r>
      <w:r w:rsidR="0057080B" w:rsidRPr="00DD50D8">
        <w:rPr>
          <w:rFonts w:ascii="Times New Roman" w:hAnsi="Times New Roman" w:cs="Times New Roman"/>
          <w:sz w:val="24"/>
          <w:szCs w:val="24"/>
        </w:rPr>
        <w:t xml:space="preserve">the Act </w:t>
      </w:r>
      <w:r w:rsidRPr="00DD50D8">
        <w:rPr>
          <w:rFonts w:ascii="Times New Roman" w:hAnsi="Times New Roman" w:cs="Times New Roman"/>
          <w:sz w:val="24"/>
          <w:szCs w:val="24"/>
        </w:rPr>
        <w:t xml:space="preserve">which requires </w:t>
      </w:r>
      <w:r w:rsidR="0057080B" w:rsidRPr="00DD50D8">
        <w:rPr>
          <w:rFonts w:ascii="Times New Roman" w:hAnsi="Times New Roman" w:cs="Times New Roman"/>
          <w:sz w:val="24"/>
          <w:szCs w:val="24"/>
        </w:rPr>
        <w:t>the remand of a person, either in custody or on bail, following their arrest pursuant to an extradition request. S</w:t>
      </w:r>
      <w:r w:rsidR="00F66319" w:rsidRPr="00DD50D8">
        <w:rPr>
          <w:rFonts w:ascii="Times New Roman" w:hAnsi="Times New Roman" w:cs="Times New Roman"/>
          <w:sz w:val="24"/>
          <w:szCs w:val="24"/>
        </w:rPr>
        <w:t>ubs</w:t>
      </w:r>
      <w:r w:rsidR="0057080B" w:rsidRPr="00DD50D8">
        <w:rPr>
          <w:rFonts w:ascii="Times New Roman" w:hAnsi="Times New Roman" w:cs="Times New Roman"/>
          <w:sz w:val="24"/>
          <w:szCs w:val="24"/>
        </w:rPr>
        <w:t xml:space="preserve">ections 15(2) and 15(6) of the Act provide for a person to be remanded on bail where there are ‘special circumstances’ justifying such a remand. </w:t>
      </w:r>
      <w:r w:rsidRPr="00DD50D8">
        <w:rPr>
          <w:rFonts w:ascii="Times New Roman" w:hAnsi="Times New Roman" w:cs="Times New Roman"/>
          <w:sz w:val="24"/>
          <w:szCs w:val="24"/>
        </w:rPr>
        <w:t>Bail is also available as a statutory right at various stages of the extradition process, and t</w:t>
      </w:r>
      <w:r w:rsidR="0057080B" w:rsidRPr="00DD50D8">
        <w:rPr>
          <w:rFonts w:ascii="Times New Roman" w:hAnsi="Times New Roman" w:cs="Times New Roman"/>
          <w:sz w:val="24"/>
          <w:szCs w:val="24"/>
        </w:rPr>
        <w:t xml:space="preserve">he same ‘special circumstances’ test applies to the granting of bail at the stage of a consent hearing (subsection 18(2)), a surrender eligibility hearing (subsection 19(9)), the review of a surrender eligibility decision (subsections 21(2) </w:t>
      </w:r>
      <w:r w:rsidR="00A807AB" w:rsidRPr="00DD50D8">
        <w:rPr>
          <w:rFonts w:ascii="Times New Roman" w:hAnsi="Times New Roman" w:cs="Times New Roman"/>
          <w:sz w:val="24"/>
          <w:szCs w:val="24"/>
        </w:rPr>
        <w:t>and</w:t>
      </w:r>
      <w:r w:rsidR="0057080B" w:rsidRPr="00DD50D8">
        <w:rPr>
          <w:rFonts w:ascii="Times New Roman" w:hAnsi="Times New Roman" w:cs="Times New Roman"/>
          <w:sz w:val="24"/>
          <w:szCs w:val="24"/>
        </w:rPr>
        <w:t xml:space="preserve"> (6)) or during the review of a surrender determination (section 49C).</w:t>
      </w:r>
    </w:p>
    <w:p w14:paraId="74C87979" w14:textId="4E62F09C" w:rsidR="009A4F78" w:rsidRPr="00DD50D8" w:rsidRDefault="0057080B" w:rsidP="000E136D">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Decisions on the grant</w:t>
      </w:r>
      <w:r w:rsidR="00123F2F" w:rsidRPr="00DD50D8">
        <w:rPr>
          <w:rFonts w:ascii="Times New Roman" w:hAnsi="Times New Roman" w:cs="Times New Roman"/>
          <w:sz w:val="24"/>
          <w:szCs w:val="24"/>
        </w:rPr>
        <w:t>ing</w:t>
      </w:r>
      <w:r w:rsidRPr="00DD50D8">
        <w:rPr>
          <w:rFonts w:ascii="Times New Roman" w:hAnsi="Times New Roman" w:cs="Times New Roman"/>
          <w:sz w:val="24"/>
          <w:szCs w:val="24"/>
        </w:rPr>
        <w:t xml:space="preserve"> of bail under the Act are decided on a case-by-case basis, in view of the individual’s particular circumstances. The ‘special circumstances’ test has been interpreted by the High Court of Australia as comprising two stages.</w:t>
      </w:r>
      <w:r w:rsidRPr="00DD50D8">
        <w:rPr>
          <w:rStyle w:val="FootnoteReference"/>
          <w:rFonts w:ascii="Times New Roman" w:hAnsi="Times New Roman" w:cs="Times New Roman"/>
          <w:sz w:val="24"/>
          <w:szCs w:val="24"/>
        </w:rPr>
        <w:footnoteReference w:id="7"/>
      </w:r>
      <w:r w:rsidRPr="00DD50D8">
        <w:rPr>
          <w:rFonts w:ascii="Times New Roman" w:hAnsi="Times New Roman" w:cs="Times New Roman"/>
          <w:sz w:val="24"/>
          <w:szCs w:val="24"/>
        </w:rPr>
        <w:t xml:space="preserve"> First, the person seeking bail must establish that ‘special circumstances’ exist. In order to constitute ‘special circumstances’,</w:t>
      </w:r>
      <w:r w:rsidRPr="00DD50D8">
        <w:rPr>
          <w:rFonts w:ascii="Times New Roman" w:eastAsia="SimSun" w:hAnsi="Times New Roman" w:cs="Times New Roman"/>
          <w:bCs/>
          <w:w w:val="105"/>
          <w:kern w:val="40"/>
          <w:sz w:val="24"/>
          <w:szCs w:val="24"/>
        </w:rPr>
        <w:t xml:space="preserve"> the matters relied on need to be ‘different from the circumstances that persons facing extradition would ordinarily endure.’</w:t>
      </w:r>
      <w:r w:rsidRPr="00DD50D8">
        <w:rPr>
          <w:rStyle w:val="FootnoteReference"/>
          <w:rFonts w:ascii="Times New Roman" w:eastAsia="SimSun" w:hAnsi="Times New Roman" w:cs="Times New Roman"/>
          <w:bCs/>
          <w:w w:val="105"/>
          <w:kern w:val="40"/>
          <w:sz w:val="24"/>
          <w:szCs w:val="24"/>
        </w:rPr>
        <w:footnoteReference w:id="8"/>
      </w:r>
      <w:r w:rsidRPr="00DD50D8">
        <w:rPr>
          <w:rFonts w:ascii="Times New Roman" w:eastAsia="SimSun" w:hAnsi="Times New Roman" w:cs="Times New Roman"/>
          <w:bCs/>
          <w:w w:val="105"/>
          <w:kern w:val="40"/>
          <w:sz w:val="24"/>
          <w:szCs w:val="24"/>
        </w:rPr>
        <w:t xml:space="preserve"> S</w:t>
      </w:r>
      <w:r w:rsidRPr="00DD50D8">
        <w:rPr>
          <w:rFonts w:ascii="Times New Roman" w:hAnsi="Times New Roman" w:cs="Times New Roman"/>
          <w:sz w:val="24"/>
          <w:szCs w:val="24"/>
        </w:rPr>
        <w:t xml:space="preserve">econd, the person must also establish that there is no real risk of flight. </w:t>
      </w:r>
      <w:r w:rsidRPr="00DD50D8">
        <w:rPr>
          <w:rFonts w:ascii="Times New Roman" w:eastAsia="SimSun" w:hAnsi="Times New Roman" w:cs="Times New Roman"/>
          <w:bCs/>
          <w:w w:val="105"/>
          <w:kern w:val="40"/>
          <w:sz w:val="24"/>
          <w:szCs w:val="24"/>
        </w:rPr>
        <w:t>Where these two conditions are satisfied, there remains a general discretion for the magistrate or eligible Judge, or court to which a review application or appeal is made, to consider whether to grant bail based on the circumstances of the matter.</w:t>
      </w:r>
      <w:r w:rsidRPr="00DD50D8">
        <w:rPr>
          <w:rStyle w:val="FootnoteReference"/>
          <w:rFonts w:ascii="Times New Roman" w:eastAsia="SimSun" w:hAnsi="Times New Roman" w:cs="Times New Roman"/>
          <w:bCs/>
          <w:w w:val="105"/>
          <w:kern w:val="40"/>
          <w:sz w:val="24"/>
          <w:szCs w:val="24"/>
        </w:rPr>
        <w:footnoteReference w:id="9"/>
      </w:r>
      <w:r w:rsidRPr="00DD50D8">
        <w:rPr>
          <w:rFonts w:ascii="Times New Roman" w:eastAsia="SimSun" w:hAnsi="Times New Roman" w:cs="Times New Roman"/>
          <w:bCs/>
          <w:w w:val="105"/>
          <w:kern w:val="40"/>
          <w:sz w:val="24"/>
          <w:szCs w:val="24"/>
        </w:rPr>
        <w:t xml:space="preserve">  </w:t>
      </w:r>
    </w:p>
    <w:p w14:paraId="06449F5B" w14:textId="44B575D3" w:rsidR="009655F6" w:rsidRPr="00DD50D8" w:rsidRDefault="0057080B" w:rsidP="000E136D">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To the extent that the test for bail, and by extension the Act and the Regulations, may limit the right to freedom from arbitrary detention, such limitation is</w:t>
      </w:r>
      <w:r w:rsidR="00F67501" w:rsidRPr="00DD50D8">
        <w:rPr>
          <w:rFonts w:ascii="Times New Roman" w:hAnsi="Times New Roman" w:cs="Times New Roman"/>
          <w:sz w:val="24"/>
          <w:szCs w:val="24"/>
        </w:rPr>
        <w:t xml:space="preserve"> aimed at a legitimate objective, being</w:t>
      </w:r>
      <w:r w:rsidRPr="00DD50D8">
        <w:rPr>
          <w:rFonts w:ascii="Times New Roman" w:hAnsi="Times New Roman" w:cs="Times New Roman"/>
          <w:sz w:val="24"/>
          <w:szCs w:val="24"/>
        </w:rPr>
        <w:t xml:space="preserve"> to: </w:t>
      </w:r>
    </w:p>
    <w:p w14:paraId="61807A1A" w14:textId="20CEF212" w:rsidR="009655F6" w:rsidRPr="00DD50D8" w:rsidRDefault="0057080B" w:rsidP="000E136D">
      <w:pPr>
        <w:pStyle w:val="ListParagraph"/>
        <w:numPr>
          <w:ilvl w:val="1"/>
          <w:numId w:val="16"/>
        </w:numPr>
        <w:spacing w:before="240" w:line="360" w:lineRule="auto"/>
        <w:contextualSpacing w:val="0"/>
        <w:rPr>
          <w:rFonts w:ascii="Times New Roman" w:hAnsi="Times New Roman" w:cs="Times New Roman"/>
          <w:sz w:val="24"/>
          <w:szCs w:val="24"/>
        </w:rPr>
      </w:pPr>
      <w:r w:rsidRPr="00DD50D8">
        <w:rPr>
          <w:rFonts w:ascii="Times New Roman" w:hAnsi="Times New Roman" w:cs="Times New Roman"/>
          <w:sz w:val="24"/>
          <w:szCs w:val="24"/>
        </w:rPr>
        <w:t>achieve the purposes of Australia’s extradition legislative and policy framework, namely to facilitat</w:t>
      </w:r>
      <w:r w:rsidR="00F67501" w:rsidRPr="00DD50D8">
        <w:rPr>
          <w:rFonts w:ascii="Times New Roman" w:hAnsi="Times New Roman" w:cs="Times New Roman"/>
          <w:sz w:val="24"/>
          <w:szCs w:val="24"/>
        </w:rPr>
        <w:t>e</w:t>
      </w:r>
      <w:r w:rsidRPr="00DD50D8">
        <w:rPr>
          <w:rFonts w:ascii="Times New Roman" w:hAnsi="Times New Roman" w:cs="Times New Roman"/>
          <w:sz w:val="24"/>
          <w:szCs w:val="24"/>
        </w:rPr>
        <w:t xml:space="preserve"> the apprehension and surrender of individuals for the purposes of criminal prosecution or to serve a prison sentence</w:t>
      </w:r>
      <w:r w:rsidR="009F5630" w:rsidRPr="00DD50D8">
        <w:rPr>
          <w:rFonts w:ascii="Times New Roman" w:hAnsi="Times New Roman" w:cs="Times New Roman"/>
          <w:sz w:val="24"/>
          <w:szCs w:val="24"/>
        </w:rPr>
        <w:t>,</w:t>
      </w:r>
    </w:p>
    <w:p w14:paraId="0581551A" w14:textId="77777777" w:rsidR="009655F6" w:rsidRPr="00DD50D8" w:rsidRDefault="0057080B" w:rsidP="000E136D">
      <w:pPr>
        <w:pStyle w:val="ListParagraph"/>
        <w:numPr>
          <w:ilvl w:val="1"/>
          <w:numId w:val="16"/>
        </w:numPr>
        <w:spacing w:before="240" w:line="360" w:lineRule="auto"/>
        <w:contextualSpacing w:val="0"/>
        <w:rPr>
          <w:rFonts w:ascii="Times New Roman" w:hAnsi="Times New Roman" w:cs="Times New Roman"/>
          <w:sz w:val="24"/>
          <w:szCs w:val="24"/>
        </w:rPr>
      </w:pPr>
      <w:r w:rsidRPr="00DD50D8">
        <w:rPr>
          <w:rFonts w:ascii="Times New Roman" w:eastAsia="Times New Roman" w:hAnsi="Times New Roman" w:cs="Times New Roman"/>
          <w:sz w:val="24"/>
          <w:szCs w:val="24"/>
          <w:lang w:eastAsia="en-AU"/>
        </w:rPr>
        <w:t>give effect to Australia’s treaty obligations under international law and promote international comity between states, and</w:t>
      </w:r>
    </w:p>
    <w:p w14:paraId="6472B150" w14:textId="77777777" w:rsidR="009655F6" w:rsidRPr="00DD50D8" w:rsidRDefault="0057080B" w:rsidP="000E136D">
      <w:pPr>
        <w:pStyle w:val="ListParagraph"/>
        <w:numPr>
          <w:ilvl w:val="1"/>
          <w:numId w:val="16"/>
        </w:numPr>
        <w:spacing w:before="240" w:line="360" w:lineRule="auto"/>
        <w:contextualSpacing w:val="0"/>
        <w:rPr>
          <w:rFonts w:ascii="Times New Roman" w:hAnsi="Times New Roman" w:cs="Times New Roman"/>
          <w:sz w:val="24"/>
          <w:szCs w:val="24"/>
        </w:rPr>
      </w:pPr>
      <w:r w:rsidRPr="00DD50D8">
        <w:rPr>
          <w:rFonts w:ascii="Times New Roman" w:eastAsia="Times New Roman" w:hAnsi="Times New Roman" w:cs="Times New Roman"/>
          <w:sz w:val="24"/>
          <w:szCs w:val="24"/>
          <w:lang w:eastAsia="en-AU"/>
        </w:rPr>
        <w:lastRenderedPageBreak/>
        <w:t xml:space="preserve">ensure that Australia is a reliable partner in international crime cooperation. </w:t>
      </w:r>
    </w:p>
    <w:p w14:paraId="45D55CCB" w14:textId="45B62B81" w:rsidR="00F67501" w:rsidRPr="00DD50D8" w:rsidRDefault="00F67501" w:rsidP="00F67501">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 xml:space="preserve">There is a rational connection between any limitation on the right to freedom from arbitrary detention and the legitimate objective, and any limitation is reasonable, necessary and proportionate, as outlined below.  </w:t>
      </w:r>
    </w:p>
    <w:p w14:paraId="4852EDF1" w14:textId="7377611C" w:rsidR="009655F6" w:rsidRPr="00DD50D8" w:rsidRDefault="0057080B" w:rsidP="000E136D">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eastAsia="Times New Roman" w:hAnsi="Times New Roman" w:cs="Times New Roman"/>
          <w:sz w:val="24"/>
          <w:szCs w:val="24"/>
          <w:lang w:eastAsia="en-AU"/>
        </w:rPr>
        <w:t>The limitation is reasonable as the requirement to remand a person in custody unless there are ‘special circumstances’ is provided for under law. The ‘special circumstances’ test is clearly defined in case law and is applied by decision-makers on a case-by-case basis, where the decision-maker is required to carefully consider whether the circumstances relied upon by a person, either individually or in combination, meet the test. Notwithstanding the nature of the ‘special circumstances’ test, bail is available as a statutory right at various stages of the extradition process</w:t>
      </w:r>
      <w:r w:rsidRPr="00DD50D8">
        <w:rPr>
          <w:rStyle w:val="FootnoteReference"/>
          <w:rFonts w:ascii="Times New Roman" w:hAnsi="Times New Roman" w:cs="Times New Roman"/>
          <w:sz w:val="24"/>
          <w:szCs w:val="24"/>
        </w:rPr>
        <w:footnoteReference w:id="10"/>
      </w:r>
      <w:r w:rsidRPr="00DD50D8">
        <w:rPr>
          <w:rFonts w:ascii="Times New Roman" w:eastAsia="Times New Roman" w:hAnsi="Times New Roman" w:cs="Times New Roman"/>
          <w:sz w:val="24"/>
          <w:szCs w:val="24"/>
          <w:lang w:eastAsia="en-AU"/>
        </w:rPr>
        <w:t xml:space="preserve"> and applicants can and do successfully obtain bail in Australia during the extradition process. </w:t>
      </w:r>
    </w:p>
    <w:p w14:paraId="561B5100" w14:textId="007601BD" w:rsidR="00484F10" w:rsidRPr="00DD50D8" w:rsidRDefault="0057080B" w:rsidP="000E136D">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Factors arising in individual cases that have been held to amount to ‘special circumstances’ under the Act include:</w:t>
      </w:r>
    </w:p>
    <w:p w14:paraId="2DCA7147" w14:textId="77777777" w:rsidR="00484F10" w:rsidRPr="00DD50D8" w:rsidRDefault="0057080B" w:rsidP="000E136D">
      <w:pPr>
        <w:pStyle w:val="ListParagraph"/>
        <w:numPr>
          <w:ilvl w:val="1"/>
          <w:numId w:val="16"/>
        </w:numPr>
        <w:spacing w:before="240" w:line="360" w:lineRule="auto"/>
        <w:contextualSpacing w:val="0"/>
        <w:rPr>
          <w:rFonts w:ascii="Times New Roman" w:hAnsi="Times New Roman" w:cs="Times New Roman"/>
          <w:sz w:val="24"/>
          <w:szCs w:val="24"/>
        </w:rPr>
      </w:pPr>
      <w:r w:rsidRPr="00DD50D8">
        <w:rPr>
          <w:rFonts w:ascii="Times New Roman" w:hAnsi="Times New Roman" w:cs="Times New Roman"/>
          <w:sz w:val="24"/>
          <w:szCs w:val="24"/>
        </w:rPr>
        <w:t>extensive physical or mental health issues that could not properly be managed in custody,</w:t>
      </w:r>
      <w:r w:rsidRPr="00DD50D8">
        <w:rPr>
          <w:rStyle w:val="FootnoteReference"/>
          <w:rFonts w:ascii="Times New Roman" w:hAnsi="Times New Roman" w:cs="Times New Roman"/>
          <w:sz w:val="24"/>
          <w:szCs w:val="24"/>
        </w:rPr>
        <w:footnoteReference w:id="11"/>
      </w:r>
    </w:p>
    <w:p w14:paraId="12262DFA" w14:textId="77777777" w:rsidR="00484F10" w:rsidRPr="00DD50D8" w:rsidRDefault="0057080B" w:rsidP="000E136D">
      <w:pPr>
        <w:pStyle w:val="ListParagraph"/>
        <w:numPr>
          <w:ilvl w:val="1"/>
          <w:numId w:val="16"/>
        </w:numPr>
        <w:spacing w:before="240" w:line="360" w:lineRule="auto"/>
        <w:contextualSpacing w:val="0"/>
        <w:rPr>
          <w:rFonts w:ascii="Times New Roman" w:hAnsi="Times New Roman" w:cs="Times New Roman"/>
          <w:sz w:val="24"/>
          <w:szCs w:val="24"/>
        </w:rPr>
      </w:pPr>
      <w:r w:rsidRPr="00DD50D8">
        <w:rPr>
          <w:rFonts w:ascii="Times New Roman" w:hAnsi="Times New Roman" w:cs="Times New Roman"/>
          <w:sz w:val="24"/>
          <w:szCs w:val="24"/>
        </w:rPr>
        <w:t>advanced age and health conditions,</w:t>
      </w:r>
      <w:r w:rsidRPr="00DD50D8">
        <w:rPr>
          <w:rStyle w:val="FootnoteReference"/>
          <w:rFonts w:ascii="Times New Roman" w:hAnsi="Times New Roman" w:cs="Times New Roman"/>
          <w:sz w:val="24"/>
          <w:szCs w:val="24"/>
        </w:rPr>
        <w:footnoteReference w:id="12"/>
      </w:r>
      <w:r w:rsidRPr="00DD50D8">
        <w:rPr>
          <w:rFonts w:ascii="Times New Roman" w:hAnsi="Times New Roman" w:cs="Times New Roman"/>
          <w:sz w:val="24"/>
          <w:szCs w:val="24"/>
        </w:rPr>
        <w:t xml:space="preserve"> </w:t>
      </w:r>
    </w:p>
    <w:p w14:paraId="43AA84F1" w14:textId="2CC92CB8" w:rsidR="00484F10" w:rsidRPr="00DD50D8" w:rsidRDefault="0057080B" w:rsidP="000E136D">
      <w:pPr>
        <w:pStyle w:val="ListParagraph"/>
        <w:numPr>
          <w:ilvl w:val="1"/>
          <w:numId w:val="16"/>
        </w:numPr>
        <w:spacing w:before="240" w:line="360" w:lineRule="auto"/>
        <w:contextualSpacing w:val="0"/>
        <w:rPr>
          <w:rFonts w:ascii="Times New Roman" w:hAnsi="Times New Roman" w:cs="Times New Roman"/>
          <w:sz w:val="24"/>
          <w:szCs w:val="24"/>
        </w:rPr>
      </w:pPr>
      <w:r w:rsidRPr="00DD50D8">
        <w:rPr>
          <w:rFonts w:ascii="Times New Roman" w:hAnsi="Times New Roman" w:cs="Times New Roman"/>
          <w:sz w:val="24"/>
          <w:szCs w:val="24"/>
        </w:rPr>
        <w:t>the need for critical, whole-of-family treatment in order to treat a childhood illness,</w:t>
      </w:r>
      <w:r w:rsidRPr="00DD50D8">
        <w:rPr>
          <w:rStyle w:val="FootnoteReference"/>
          <w:rFonts w:ascii="Times New Roman" w:hAnsi="Times New Roman" w:cs="Times New Roman"/>
          <w:sz w:val="24"/>
          <w:szCs w:val="24"/>
        </w:rPr>
        <w:footnoteReference w:id="13"/>
      </w:r>
      <w:r w:rsidRPr="00DD50D8">
        <w:rPr>
          <w:rFonts w:ascii="Times New Roman" w:hAnsi="Times New Roman" w:cs="Times New Roman"/>
          <w:sz w:val="24"/>
          <w:szCs w:val="24"/>
        </w:rPr>
        <w:t xml:space="preserve"> </w:t>
      </w:r>
    </w:p>
    <w:p w14:paraId="18BB0FA8" w14:textId="4E82B7C0" w:rsidR="00484F10" w:rsidRPr="00DD50D8" w:rsidRDefault="0057080B" w:rsidP="000E136D">
      <w:pPr>
        <w:pStyle w:val="ListParagraph"/>
        <w:numPr>
          <w:ilvl w:val="1"/>
          <w:numId w:val="16"/>
        </w:numPr>
        <w:spacing w:before="240" w:line="360" w:lineRule="auto"/>
        <w:contextualSpacing w:val="0"/>
        <w:rPr>
          <w:rFonts w:ascii="Times New Roman" w:hAnsi="Times New Roman" w:cs="Times New Roman"/>
          <w:sz w:val="24"/>
          <w:szCs w:val="24"/>
        </w:rPr>
      </w:pPr>
      <w:r w:rsidRPr="00DD50D8">
        <w:rPr>
          <w:rFonts w:ascii="Times New Roman" w:hAnsi="Times New Roman" w:cs="Times New Roman"/>
          <w:sz w:val="24"/>
          <w:szCs w:val="24"/>
        </w:rPr>
        <w:lastRenderedPageBreak/>
        <w:t>specific skills requiring the person to be present at their workplace, family ties and guarantees of court attendance, and unlikelihood of receiving a custodial sentence for the alleged offences</w:t>
      </w:r>
      <w:r w:rsidR="000F0AE5" w:rsidRPr="00DD50D8">
        <w:rPr>
          <w:rFonts w:ascii="Times New Roman" w:hAnsi="Times New Roman" w:cs="Times New Roman"/>
          <w:sz w:val="24"/>
          <w:szCs w:val="24"/>
        </w:rPr>
        <w:t>,</w:t>
      </w:r>
      <w:r w:rsidRPr="00DD50D8">
        <w:rPr>
          <w:rStyle w:val="FootnoteReference"/>
          <w:rFonts w:ascii="Times New Roman" w:hAnsi="Times New Roman" w:cs="Times New Roman"/>
          <w:sz w:val="24"/>
          <w:szCs w:val="24"/>
        </w:rPr>
        <w:footnoteReference w:id="14"/>
      </w:r>
      <w:r w:rsidR="008A3D2D" w:rsidRPr="00DD50D8">
        <w:rPr>
          <w:rFonts w:ascii="Times New Roman" w:hAnsi="Times New Roman" w:cs="Times New Roman"/>
          <w:sz w:val="24"/>
          <w:szCs w:val="24"/>
        </w:rPr>
        <w:t xml:space="preserve"> and</w:t>
      </w:r>
    </w:p>
    <w:p w14:paraId="67E76DBD" w14:textId="064EF799" w:rsidR="000F0AE5" w:rsidRPr="00DD50D8" w:rsidRDefault="000F0AE5" w:rsidP="000E136D">
      <w:pPr>
        <w:pStyle w:val="ListParagraph"/>
        <w:numPr>
          <w:ilvl w:val="1"/>
          <w:numId w:val="16"/>
        </w:numPr>
        <w:spacing w:line="360" w:lineRule="auto"/>
        <w:rPr>
          <w:rFonts w:ascii="Times New Roman" w:hAnsi="Times New Roman" w:cs="Times New Roman"/>
          <w:sz w:val="24"/>
          <w:szCs w:val="24"/>
        </w:rPr>
      </w:pPr>
      <w:r w:rsidRPr="00DD50D8">
        <w:rPr>
          <w:rFonts w:ascii="Times New Roman" w:hAnsi="Times New Roman" w:cs="Times New Roman"/>
          <w:sz w:val="24"/>
          <w:szCs w:val="24"/>
        </w:rPr>
        <w:t>carer responsibility for a family member when no other person can fulfil the role in the circumstances and provide the required support.</w:t>
      </w:r>
      <w:r w:rsidRPr="00DD50D8">
        <w:rPr>
          <w:rStyle w:val="FootnoteReference"/>
          <w:rFonts w:ascii="Times New Roman" w:hAnsi="Times New Roman" w:cs="Times New Roman"/>
          <w:sz w:val="24"/>
          <w:szCs w:val="24"/>
        </w:rPr>
        <w:footnoteReference w:id="15"/>
      </w:r>
      <w:r w:rsidRPr="00DD50D8">
        <w:rPr>
          <w:rFonts w:ascii="Times New Roman" w:hAnsi="Times New Roman" w:cs="Times New Roman"/>
          <w:sz w:val="24"/>
          <w:szCs w:val="24"/>
        </w:rPr>
        <w:t xml:space="preserve"> </w:t>
      </w:r>
    </w:p>
    <w:p w14:paraId="1E7D607B" w14:textId="77777777" w:rsidR="006777C8" w:rsidRPr="00DD50D8" w:rsidRDefault="006777C8" w:rsidP="006777C8">
      <w:pPr>
        <w:pStyle w:val="ListParagraph"/>
        <w:spacing w:line="360" w:lineRule="auto"/>
        <w:ind w:left="785"/>
        <w:rPr>
          <w:rFonts w:ascii="Times New Roman" w:hAnsi="Times New Roman" w:cs="Times New Roman"/>
          <w:sz w:val="24"/>
          <w:szCs w:val="24"/>
        </w:rPr>
      </w:pPr>
    </w:p>
    <w:p w14:paraId="0187BB65" w14:textId="77777777" w:rsidR="00484F10" w:rsidRPr="00DD50D8" w:rsidRDefault="0057080B" w:rsidP="000E136D">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eastAsia="Times New Roman" w:hAnsi="Times New Roman" w:cs="Times New Roman"/>
          <w:sz w:val="24"/>
          <w:szCs w:val="24"/>
          <w:lang w:eastAsia="en-AU"/>
        </w:rPr>
        <w:t>The limitation is necessary as the ‘special circumstances’ test for bail upholds Australia’s international obligations to secure the return of alleged offenders to face justice, given the serious flight risk posed in many extradition matters.</w:t>
      </w:r>
    </w:p>
    <w:p w14:paraId="675C7908" w14:textId="77777777" w:rsidR="00702614" w:rsidRPr="00DD50D8" w:rsidRDefault="0057080B" w:rsidP="000E136D">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eastAsia="Times New Roman" w:hAnsi="Times New Roman" w:cs="Times New Roman"/>
          <w:sz w:val="24"/>
          <w:szCs w:val="24"/>
          <w:lang w:eastAsia="en-AU"/>
        </w:rPr>
        <w:t>The High Court of Australia has recognised that Australia has a ‘very substantial’ interest in surrendering persons subject to an extradition request in accordance with its treaty obligations, and has clarified that granting bail where a risk of flight exists may jeopardise both Australia’s crime cooperation relationship with the requesting country and broader standing in the international community.</w:t>
      </w:r>
      <w:r w:rsidRPr="00DD50D8">
        <w:rPr>
          <w:rStyle w:val="FootnoteReference"/>
          <w:rFonts w:ascii="Times New Roman" w:hAnsi="Times New Roman" w:cs="Times New Roman"/>
          <w:sz w:val="24"/>
          <w:szCs w:val="24"/>
        </w:rPr>
        <w:footnoteReference w:id="16"/>
      </w:r>
      <w:r w:rsidRPr="00DD50D8">
        <w:rPr>
          <w:rFonts w:ascii="Times New Roman" w:eastAsia="Times New Roman" w:hAnsi="Times New Roman" w:cs="Times New Roman"/>
          <w:sz w:val="24"/>
          <w:szCs w:val="24"/>
          <w:lang w:eastAsia="en-AU"/>
        </w:rPr>
        <w:t xml:space="preserve"> This differentiates extradition proceedings from Australian criminal prosecutions. Australia’s</w:t>
      </w:r>
      <w:r w:rsidRPr="00DD50D8">
        <w:rPr>
          <w:rFonts w:ascii="Times New Roman" w:hAnsi="Times New Roman" w:cs="Times New Roman"/>
          <w:sz w:val="24"/>
          <w:szCs w:val="24"/>
        </w:rPr>
        <w:t xml:space="preserve"> extradition process is administrative in nature and the High Court has affirmed that extradition forms no part of the Australian criminal justice system.</w:t>
      </w:r>
      <w:r w:rsidRPr="00DD50D8">
        <w:rPr>
          <w:rFonts w:ascii="Times New Roman" w:hAnsi="Times New Roman" w:cs="Times New Roman"/>
          <w:sz w:val="24"/>
          <w:szCs w:val="24"/>
          <w:vertAlign w:val="superscript"/>
        </w:rPr>
        <w:footnoteReference w:id="17"/>
      </w:r>
    </w:p>
    <w:p w14:paraId="0226FE44" w14:textId="7187A710" w:rsidR="008B4857" w:rsidRPr="00DD50D8" w:rsidRDefault="0057080B" w:rsidP="000E136D">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eastAsia="Times New Roman" w:hAnsi="Times New Roman" w:cs="Times New Roman"/>
          <w:sz w:val="24"/>
          <w:szCs w:val="24"/>
          <w:lang w:eastAsia="en-AU"/>
        </w:rPr>
        <w:t xml:space="preserve">The limitation is also proportionate because the ‘special circumstances’ test for bail is applied by a magistrate or eligible Judge, or by the court to which a review application or appeal is made (as relevant), on a case-by-case basis according to merit. </w:t>
      </w:r>
      <w:r w:rsidR="008B4857" w:rsidRPr="00DD50D8">
        <w:rPr>
          <w:rFonts w:ascii="Times New Roman" w:hAnsi="Times New Roman" w:cs="Times New Roman"/>
          <w:sz w:val="24"/>
          <w:szCs w:val="24"/>
        </w:rPr>
        <w:t>The case-by-case nature of these decisions, as well as the established review mechanisms, render any limitations on the rights reasonable, necessary and proportionate to the overall legitimate objective of facilitating the apprehension and surrender of individuals for the purposes of criminal prosecution or to serve a prison sentence in another country, upholding Australia’s international legal obligations and ultimately combatting serious transnational crime</w:t>
      </w:r>
      <w:r w:rsidR="008B4857" w:rsidRPr="00DD50D8">
        <w:rPr>
          <w:rFonts w:ascii="Times New Roman" w:hAnsi="Times New Roman" w:cs="Times New Roman"/>
          <w:color w:val="000000"/>
          <w:sz w:val="24"/>
          <w:szCs w:val="24"/>
        </w:rPr>
        <w:t>.</w:t>
      </w:r>
    </w:p>
    <w:p w14:paraId="0BF5E164" w14:textId="25150264" w:rsidR="00702614" w:rsidRPr="00DD50D8" w:rsidRDefault="008B4857" w:rsidP="000E136D">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 xml:space="preserve">Article 9(4) of the ICCPR imposes an obligation on States to ensure that persons who are arrested and detained are entitled to take proceedings before a court to decide the </w:t>
      </w:r>
      <w:r w:rsidRPr="00DD50D8">
        <w:rPr>
          <w:rFonts w:ascii="Times New Roman" w:hAnsi="Times New Roman" w:cs="Times New Roman"/>
          <w:sz w:val="24"/>
          <w:szCs w:val="24"/>
        </w:rPr>
        <w:lastRenderedPageBreak/>
        <w:t>lawfulness of their detention.</w:t>
      </w:r>
      <w:r w:rsidR="006777C8" w:rsidRPr="00DD50D8">
        <w:rPr>
          <w:i/>
          <w:color w:val="232323"/>
          <w:w w:val="105"/>
        </w:rPr>
        <w:t xml:space="preserve"> </w:t>
      </w:r>
      <w:r w:rsidR="006777C8" w:rsidRPr="00DD50D8">
        <w:rPr>
          <w:rFonts w:ascii="Times New Roman" w:hAnsi="Times New Roman" w:cs="Times New Roman"/>
          <w:sz w:val="24"/>
          <w:szCs w:val="24"/>
        </w:rPr>
        <w:t xml:space="preserve"> </w:t>
      </w:r>
      <w:r w:rsidRPr="00DD50D8">
        <w:rPr>
          <w:rFonts w:ascii="Times New Roman" w:hAnsi="Times New Roman" w:cs="Times New Roman"/>
          <w:sz w:val="24"/>
          <w:szCs w:val="24"/>
        </w:rPr>
        <w:t>Any review of the lawfulness of detention must be real and not merely formal.</w:t>
      </w:r>
      <w:r w:rsidR="0057080B" w:rsidRPr="00DD50D8">
        <w:rPr>
          <w:rFonts w:ascii="Times New Roman" w:eastAsia="Times New Roman" w:hAnsi="Times New Roman" w:cs="Times New Roman"/>
          <w:sz w:val="24"/>
          <w:szCs w:val="24"/>
          <w:lang w:eastAsia="en-AU"/>
        </w:rPr>
        <w:t xml:space="preserve"> </w:t>
      </w:r>
      <w:r w:rsidRPr="00DD50D8">
        <w:rPr>
          <w:rFonts w:ascii="Times New Roman" w:eastAsia="Times New Roman" w:hAnsi="Times New Roman" w:cs="Times New Roman"/>
          <w:sz w:val="24"/>
          <w:szCs w:val="24"/>
          <w:lang w:eastAsia="en-AU"/>
        </w:rPr>
        <w:t>C</w:t>
      </w:r>
      <w:r w:rsidR="0057080B" w:rsidRPr="00DD50D8">
        <w:rPr>
          <w:rFonts w:ascii="Times New Roman" w:eastAsia="Times New Roman" w:hAnsi="Times New Roman" w:cs="Times New Roman"/>
          <w:sz w:val="24"/>
          <w:szCs w:val="24"/>
          <w:lang w:eastAsia="en-AU"/>
        </w:rPr>
        <w:t xml:space="preserve">onsistent with Article 9(4) of the ICCPR, a person may seek judicial review of a decision of a magistrate or eligible Judge to refuse bail under </w:t>
      </w:r>
      <w:r w:rsidR="0057080B" w:rsidRPr="00DD50D8">
        <w:rPr>
          <w:rFonts w:ascii="Times New Roman" w:hAnsi="Times New Roman" w:cs="Times New Roman"/>
          <w:sz w:val="24"/>
          <w:szCs w:val="24"/>
        </w:rPr>
        <w:t xml:space="preserve">section 39B of the </w:t>
      </w:r>
      <w:r w:rsidR="0057080B" w:rsidRPr="00DD50D8">
        <w:rPr>
          <w:rFonts w:ascii="Times New Roman" w:hAnsi="Times New Roman" w:cs="Times New Roman"/>
          <w:i/>
          <w:sz w:val="24"/>
          <w:szCs w:val="24"/>
        </w:rPr>
        <w:t>Judiciary Act 1903</w:t>
      </w:r>
      <w:r w:rsidR="0057080B" w:rsidRPr="00DD50D8">
        <w:rPr>
          <w:rFonts w:ascii="Times New Roman" w:hAnsi="Times New Roman" w:cs="Times New Roman"/>
          <w:sz w:val="24"/>
          <w:szCs w:val="24"/>
        </w:rPr>
        <w:t xml:space="preserve">. </w:t>
      </w:r>
      <w:r w:rsidRPr="00DD50D8">
        <w:rPr>
          <w:rFonts w:ascii="Times New Roman" w:hAnsi="Times New Roman" w:cs="Times New Roman"/>
          <w:sz w:val="24"/>
          <w:szCs w:val="24"/>
        </w:rPr>
        <w:t xml:space="preserve">There is also an ability to appeal any such judicial review decision. Further, persons held in extradition custody may also seek judicial review of the lawfulness of their detention at any time by applying for a writ of </w:t>
      </w:r>
      <w:r w:rsidRPr="00DD50D8">
        <w:rPr>
          <w:rFonts w:ascii="Times New Roman" w:hAnsi="Times New Roman" w:cs="Times New Roman"/>
          <w:i/>
          <w:sz w:val="24"/>
          <w:szCs w:val="24"/>
        </w:rPr>
        <w:t>habeas corpus</w:t>
      </w:r>
      <w:r w:rsidRPr="00DD50D8">
        <w:rPr>
          <w:rFonts w:ascii="Times New Roman" w:hAnsi="Times New Roman" w:cs="Times New Roman"/>
          <w:sz w:val="24"/>
          <w:szCs w:val="24"/>
        </w:rPr>
        <w:t xml:space="preserve">. </w:t>
      </w:r>
    </w:p>
    <w:p w14:paraId="224F094F" w14:textId="241AD607" w:rsidR="00F67501" w:rsidRPr="00DD50D8" w:rsidRDefault="00CC24E6" w:rsidP="008034A8">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While</w:t>
      </w:r>
      <w:r w:rsidR="008B4857" w:rsidRPr="00DD50D8">
        <w:rPr>
          <w:rFonts w:ascii="Times New Roman" w:hAnsi="Times New Roman" w:cs="Times New Roman"/>
          <w:sz w:val="24"/>
          <w:szCs w:val="24"/>
        </w:rPr>
        <w:t xml:space="preserve"> the extradition process, and therefore extradition custody, is not limited by set time periods,</w:t>
      </w:r>
      <w:r w:rsidR="008B4857" w:rsidRPr="00DD50D8">
        <w:rPr>
          <w:rFonts w:ascii="Times New Roman" w:eastAsia="Times New Roman" w:hAnsi="Times New Roman" w:cs="Times New Roman"/>
          <w:sz w:val="24"/>
          <w:szCs w:val="24"/>
          <w:lang w:eastAsia="en-AU"/>
        </w:rPr>
        <w:t xml:space="preserve"> the Attorney</w:t>
      </w:r>
      <w:r w:rsidR="008B4857" w:rsidRPr="00DD50D8">
        <w:rPr>
          <w:rFonts w:ascii="Times New Roman" w:eastAsia="Times New Roman" w:hAnsi="Times New Roman" w:cs="Times New Roman"/>
          <w:sz w:val="24"/>
          <w:szCs w:val="24"/>
          <w:lang w:eastAsia="en-AU"/>
        </w:rPr>
        <w:noBreakHyphen/>
        <w:t xml:space="preserve">General is required to make </w:t>
      </w:r>
      <w:r w:rsidR="009E2519" w:rsidRPr="00DD50D8">
        <w:rPr>
          <w:rFonts w:ascii="Times New Roman" w:eastAsia="Times New Roman" w:hAnsi="Times New Roman" w:cs="Times New Roman"/>
          <w:sz w:val="24"/>
          <w:szCs w:val="24"/>
          <w:lang w:eastAsia="en-AU"/>
        </w:rPr>
        <w:t xml:space="preserve">surrender </w:t>
      </w:r>
      <w:r w:rsidR="008B4857" w:rsidRPr="00DD50D8">
        <w:rPr>
          <w:rFonts w:ascii="Times New Roman" w:eastAsia="Times New Roman" w:hAnsi="Times New Roman" w:cs="Times New Roman"/>
          <w:sz w:val="24"/>
          <w:szCs w:val="24"/>
          <w:lang w:eastAsia="en-AU"/>
        </w:rPr>
        <w:t>decisions under the Act as soon as reasonably practicable.</w:t>
      </w:r>
      <w:r w:rsidR="008B4857" w:rsidRPr="00DD50D8">
        <w:rPr>
          <w:rStyle w:val="FootnoteReference"/>
          <w:rFonts w:ascii="Times New Roman" w:eastAsia="Times New Roman" w:hAnsi="Times New Roman" w:cs="Times New Roman"/>
          <w:sz w:val="24"/>
          <w:szCs w:val="24"/>
          <w:lang w:eastAsia="en-AU"/>
        </w:rPr>
        <w:footnoteReference w:id="18"/>
      </w:r>
      <w:r w:rsidR="008B4857" w:rsidRPr="00DD50D8">
        <w:rPr>
          <w:rFonts w:ascii="Times New Roman" w:eastAsia="Times New Roman" w:hAnsi="Times New Roman" w:cs="Times New Roman"/>
          <w:sz w:val="24"/>
          <w:szCs w:val="24"/>
          <w:lang w:eastAsia="en-AU"/>
        </w:rPr>
        <w:t xml:space="preserve"> This enables the Attorney</w:t>
      </w:r>
      <w:r w:rsidR="008B4857" w:rsidRPr="00DD50D8">
        <w:rPr>
          <w:rFonts w:ascii="Times New Roman" w:eastAsia="Times New Roman" w:hAnsi="Times New Roman" w:cs="Times New Roman"/>
          <w:sz w:val="24"/>
          <w:szCs w:val="24"/>
          <w:lang w:eastAsia="en-AU"/>
        </w:rPr>
        <w:noBreakHyphen/>
        <w:t>General to appropriately consider all relevant information and properly afford procedural fairness throughout the process.</w:t>
      </w:r>
      <w:r w:rsidR="0048685A" w:rsidRPr="00DD50D8">
        <w:rPr>
          <w:rFonts w:ascii="Times New Roman" w:eastAsia="Times New Roman" w:hAnsi="Times New Roman" w:cs="Times New Roman"/>
          <w:sz w:val="24"/>
          <w:szCs w:val="24"/>
          <w:lang w:eastAsia="en-AU"/>
        </w:rPr>
        <w:t xml:space="preserve"> The extradition process itself, or general remedies available in Australian law, presently allow for an individual to </w:t>
      </w:r>
      <w:r w:rsidR="00DB2F99" w:rsidRPr="00DD50D8">
        <w:rPr>
          <w:rFonts w:ascii="Times New Roman" w:eastAsia="Times New Roman" w:hAnsi="Times New Roman" w:cs="Times New Roman"/>
          <w:sz w:val="24"/>
          <w:szCs w:val="24"/>
          <w:lang w:eastAsia="en-AU"/>
        </w:rPr>
        <w:t>challenge</w:t>
      </w:r>
      <w:r w:rsidR="0048685A" w:rsidRPr="00DD50D8">
        <w:rPr>
          <w:rFonts w:ascii="Times New Roman" w:eastAsia="Times New Roman" w:hAnsi="Times New Roman" w:cs="Times New Roman"/>
          <w:sz w:val="24"/>
          <w:szCs w:val="24"/>
          <w:lang w:eastAsia="en-AU"/>
        </w:rPr>
        <w:t xml:space="preserve"> the length of time taken at each stage of the extradition process. While proceedings are on foot to determine eligibility for surrender, or any review or appeal of such a finding, it is open to an individual, as a party to the proceedings, to raise an issue regarding the time taken for the matter to be resolved. In addition, it is also open to an individual awaiting a surrender determination to compel the making of that determination by seeking the issue of a writ of mandamus (where the person considers that it is </w:t>
      </w:r>
      <w:r w:rsidR="00F66319" w:rsidRPr="00DD50D8">
        <w:rPr>
          <w:rFonts w:ascii="Times New Roman" w:eastAsia="Times New Roman" w:hAnsi="Times New Roman" w:cs="Times New Roman"/>
          <w:sz w:val="24"/>
          <w:szCs w:val="24"/>
          <w:lang w:eastAsia="en-AU"/>
        </w:rPr>
        <w:t>‘</w:t>
      </w:r>
      <w:r w:rsidR="0048685A" w:rsidRPr="00DD50D8">
        <w:rPr>
          <w:rFonts w:ascii="Times New Roman" w:eastAsia="Times New Roman" w:hAnsi="Times New Roman" w:cs="Times New Roman"/>
          <w:sz w:val="24"/>
          <w:szCs w:val="24"/>
          <w:lang w:eastAsia="en-AU"/>
        </w:rPr>
        <w:t>reasonably practicable</w:t>
      </w:r>
      <w:r w:rsidR="00F66319" w:rsidRPr="00DD50D8">
        <w:rPr>
          <w:rFonts w:ascii="Times New Roman" w:eastAsia="Times New Roman" w:hAnsi="Times New Roman" w:cs="Times New Roman"/>
          <w:sz w:val="24"/>
          <w:szCs w:val="24"/>
          <w:lang w:eastAsia="en-AU"/>
        </w:rPr>
        <w:t>’</w:t>
      </w:r>
      <w:r w:rsidR="0048685A" w:rsidRPr="00DD50D8">
        <w:rPr>
          <w:rFonts w:ascii="Times New Roman" w:eastAsia="Times New Roman" w:hAnsi="Times New Roman" w:cs="Times New Roman"/>
          <w:sz w:val="24"/>
          <w:szCs w:val="24"/>
          <w:lang w:eastAsia="en-AU"/>
        </w:rPr>
        <w:t xml:space="preserve"> for that decision to have been made).</w:t>
      </w:r>
      <w:r w:rsidR="0048685A" w:rsidRPr="00DD50D8">
        <w:rPr>
          <w:rFonts w:ascii="Times New Roman" w:eastAsia="Times New Roman" w:hAnsi="Times New Roman" w:cs="Times New Roman"/>
          <w:i/>
          <w:sz w:val="24"/>
          <w:szCs w:val="24"/>
          <w:lang w:eastAsia="en-AU"/>
        </w:rPr>
        <w:t xml:space="preserve"> </w:t>
      </w:r>
      <w:r w:rsidR="0048685A" w:rsidRPr="00DD50D8">
        <w:rPr>
          <w:rFonts w:ascii="Times New Roman" w:eastAsia="Times New Roman" w:hAnsi="Times New Roman" w:cs="Times New Roman"/>
          <w:sz w:val="24"/>
          <w:szCs w:val="24"/>
          <w:lang w:eastAsia="en-AU"/>
        </w:rPr>
        <w:t>Finally, subject to any judicial review application that a person may initiate, the Act requires that an individual be surrendered to a foreign country within two months following the Attorney</w:t>
      </w:r>
      <w:r w:rsidR="0048685A" w:rsidRPr="00DD50D8">
        <w:rPr>
          <w:rFonts w:ascii="Times New Roman" w:eastAsia="Times New Roman" w:hAnsi="Times New Roman" w:cs="Times New Roman"/>
          <w:sz w:val="24"/>
          <w:szCs w:val="24"/>
          <w:lang w:eastAsia="en-AU"/>
        </w:rPr>
        <w:noBreakHyphen/>
        <w:t xml:space="preserve">General’s surrender decision. Accordingly, there are existing mechanisms as part of the </w:t>
      </w:r>
      <w:r w:rsidR="0048685A" w:rsidRPr="00DD50D8">
        <w:rPr>
          <w:rFonts w:ascii="Times New Roman" w:hAnsi="Times New Roman" w:cs="Times New Roman"/>
          <w:sz w:val="24"/>
          <w:szCs w:val="24"/>
        </w:rPr>
        <w:t>extradition process, or available at general law, to ensure that the extradition process progresses in a timely manner.</w:t>
      </w:r>
      <w:r w:rsidR="008B4857" w:rsidRPr="00DD50D8">
        <w:rPr>
          <w:rFonts w:ascii="Times New Roman" w:hAnsi="Times New Roman" w:cs="Times New Roman"/>
          <w:sz w:val="24"/>
          <w:szCs w:val="24"/>
        </w:rPr>
        <w:t xml:space="preserve"> </w:t>
      </w:r>
    </w:p>
    <w:p w14:paraId="659E8876" w14:textId="7318DE47" w:rsidR="0057080B" w:rsidRPr="00DD50D8" w:rsidRDefault="0057080B" w:rsidP="000E136D">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 xml:space="preserve">The Act and </w:t>
      </w:r>
      <w:r w:rsidR="008B4857" w:rsidRPr="00DD50D8">
        <w:rPr>
          <w:rFonts w:ascii="Times New Roman" w:hAnsi="Times New Roman" w:cs="Times New Roman"/>
          <w:sz w:val="24"/>
          <w:szCs w:val="24"/>
        </w:rPr>
        <w:t xml:space="preserve">the </w:t>
      </w:r>
      <w:r w:rsidRPr="00DD50D8">
        <w:rPr>
          <w:rFonts w:ascii="Times New Roman" w:hAnsi="Times New Roman" w:cs="Times New Roman"/>
          <w:sz w:val="24"/>
          <w:szCs w:val="24"/>
        </w:rPr>
        <w:t>Regulations are therefore consistent with the right</w:t>
      </w:r>
      <w:r w:rsidR="008D755A" w:rsidRPr="00DD50D8">
        <w:rPr>
          <w:rFonts w:ascii="Times New Roman" w:hAnsi="Times New Roman" w:cs="Times New Roman"/>
          <w:sz w:val="24"/>
          <w:szCs w:val="24"/>
        </w:rPr>
        <w:t xml:space="preserve"> t</w:t>
      </w:r>
      <w:r w:rsidRPr="00DD50D8">
        <w:rPr>
          <w:rFonts w:ascii="Times New Roman" w:hAnsi="Times New Roman" w:cs="Times New Roman"/>
          <w:sz w:val="24"/>
          <w:szCs w:val="24"/>
        </w:rPr>
        <w:t>o freedom from arbitrary detention in Article 9 of the ICCPR. To the extent that the Act and the Regulations may limit these rights, any limitation is reasonable, necessary and proportionate</w:t>
      </w:r>
      <w:r w:rsidRPr="00DD50D8">
        <w:rPr>
          <w:rFonts w:ascii="Times New Roman" w:hAnsi="Times New Roman" w:cs="Times New Roman"/>
          <w:color w:val="000000"/>
          <w:sz w:val="24"/>
          <w:szCs w:val="24"/>
        </w:rPr>
        <w:t xml:space="preserve"> to achieve the legitimate objective</w:t>
      </w:r>
      <w:r w:rsidR="00E95AAC" w:rsidRPr="00DD50D8">
        <w:rPr>
          <w:rFonts w:ascii="Times New Roman" w:hAnsi="Times New Roman" w:cs="Times New Roman"/>
          <w:color w:val="000000"/>
          <w:sz w:val="24"/>
          <w:szCs w:val="24"/>
        </w:rPr>
        <w:t>s</w:t>
      </w:r>
      <w:r w:rsidRPr="00DD50D8">
        <w:rPr>
          <w:rFonts w:ascii="Times New Roman" w:hAnsi="Times New Roman" w:cs="Times New Roman"/>
          <w:color w:val="000000"/>
          <w:sz w:val="24"/>
          <w:szCs w:val="24"/>
        </w:rPr>
        <w:t xml:space="preserve"> of </w:t>
      </w:r>
      <w:r w:rsidRPr="00DD50D8">
        <w:rPr>
          <w:rFonts w:ascii="Times New Roman" w:hAnsi="Times New Roman" w:cs="Times New Roman"/>
          <w:sz w:val="24"/>
          <w:szCs w:val="24"/>
        </w:rPr>
        <w:t xml:space="preserve">the Act and Australia’s extradition regime.  </w:t>
      </w:r>
    </w:p>
    <w:p w14:paraId="1A0B51A4" w14:textId="77777777" w:rsidR="00F67501" w:rsidRPr="00DD50D8" w:rsidRDefault="00F67501" w:rsidP="00F67501">
      <w:pPr>
        <w:keepNext/>
        <w:keepLines/>
        <w:spacing w:before="240" w:line="360" w:lineRule="auto"/>
        <w:rPr>
          <w:rFonts w:ascii="Times New Roman" w:hAnsi="Times New Roman" w:cs="Times New Roman"/>
          <w:sz w:val="24"/>
          <w:szCs w:val="24"/>
          <w:u w:val="single"/>
        </w:rPr>
      </w:pPr>
      <w:r w:rsidRPr="00DD50D8">
        <w:rPr>
          <w:rFonts w:ascii="Times New Roman" w:hAnsi="Times New Roman" w:cs="Times New Roman"/>
          <w:sz w:val="24"/>
          <w:szCs w:val="24"/>
          <w:u w:val="single"/>
        </w:rPr>
        <w:t>Expulsion of aliens</w:t>
      </w:r>
    </w:p>
    <w:p w14:paraId="3F47BE3F" w14:textId="526DF56F" w:rsidR="00F67501" w:rsidRPr="00DD50D8" w:rsidRDefault="00F67501" w:rsidP="00DA67D0">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 xml:space="preserve">Article 13 of the ICCPR provides that </w:t>
      </w:r>
      <w:r w:rsidR="00982483" w:rsidRPr="00DD50D8">
        <w:rPr>
          <w:rFonts w:ascii="Times New Roman" w:hAnsi="Times New Roman" w:cs="Times New Roman"/>
          <w:sz w:val="24"/>
          <w:szCs w:val="24"/>
        </w:rPr>
        <w:t xml:space="preserve">State </w:t>
      </w:r>
      <w:r w:rsidR="00DA67D0" w:rsidRPr="00DD50D8">
        <w:rPr>
          <w:rFonts w:ascii="Times New Roman" w:hAnsi="Times New Roman" w:cs="Times New Roman"/>
          <w:sz w:val="24"/>
          <w:szCs w:val="24"/>
        </w:rPr>
        <w:t xml:space="preserve">Parties </w:t>
      </w:r>
      <w:r w:rsidR="00982483" w:rsidRPr="00DD50D8">
        <w:rPr>
          <w:rFonts w:ascii="Times New Roman" w:hAnsi="Times New Roman" w:cs="Times New Roman"/>
          <w:sz w:val="24"/>
          <w:szCs w:val="24"/>
        </w:rPr>
        <w:t>must observ</w:t>
      </w:r>
      <w:r w:rsidR="00DA67D0" w:rsidRPr="00DD50D8">
        <w:rPr>
          <w:rFonts w:ascii="Times New Roman" w:hAnsi="Times New Roman" w:cs="Times New Roman"/>
          <w:sz w:val="24"/>
          <w:szCs w:val="24"/>
        </w:rPr>
        <w:t>e certain</w:t>
      </w:r>
      <w:r w:rsidR="00982483" w:rsidRPr="00DD50D8">
        <w:rPr>
          <w:rFonts w:ascii="Times New Roman" w:hAnsi="Times New Roman" w:cs="Times New Roman"/>
          <w:sz w:val="24"/>
          <w:szCs w:val="24"/>
        </w:rPr>
        <w:t xml:space="preserve"> procedural rights </w:t>
      </w:r>
      <w:r w:rsidR="00DA67D0" w:rsidRPr="00DD50D8">
        <w:rPr>
          <w:rFonts w:ascii="Times New Roman" w:hAnsi="Times New Roman" w:cs="Times New Roman"/>
          <w:sz w:val="24"/>
          <w:szCs w:val="24"/>
        </w:rPr>
        <w:t>in the case of expulsion of non</w:t>
      </w:r>
      <w:r w:rsidR="00AF501F" w:rsidRPr="00DD50D8">
        <w:rPr>
          <w:rFonts w:ascii="Times New Roman" w:hAnsi="Times New Roman" w:cs="Times New Roman"/>
          <w:sz w:val="24"/>
          <w:szCs w:val="24"/>
        </w:rPr>
        <w:t>-</w:t>
      </w:r>
      <w:r w:rsidR="00DA67D0" w:rsidRPr="00DD50D8">
        <w:rPr>
          <w:rFonts w:ascii="Times New Roman" w:hAnsi="Times New Roman" w:cs="Times New Roman"/>
          <w:sz w:val="24"/>
          <w:szCs w:val="24"/>
        </w:rPr>
        <w:t xml:space="preserve">citizens lawfully within the State’s </w:t>
      </w:r>
      <w:r w:rsidR="00AF501F" w:rsidRPr="00DD50D8">
        <w:rPr>
          <w:rFonts w:ascii="Times New Roman" w:hAnsi="Times New Roman" w:cs="Times New Roman"/>
          <w:sz w:val="24"/>
          <w:szCs w:val="24"/>
        </w:rPr>
        <w:t>t</w:t>
      </w:r>
      <w:r w:rsidR="00DA67D0" w:rsidRPr="00DD50D8">
        <w:rPr>
          <w:rFonts w:ascii="Times New Roman" w:hAnsi="Times New Roman" w:cs="Times New Roman"/>
          <w:sz w:val="24"/>
          <w:szCs w:val="24"/>
        </w:rPr>
        <w:t xml:space="preserve">erritory. Article 13 is applicable to all procedures intended for the obligatory departure of an alien lawfully in the </w:t>
      </w:r>
      <w:r w:rsidR="00DA67D0" w:rsidRPr="00DD50D8">
        <w:rPr>
          <w:rFonts w:ascii="Times New Roman" w:hAnsi="Times New Roman" w:cs="Times New Roman"/>
          <w:sz w:val="24"/>
          <w:szCs w:val="24"/>
        </w:rPr>
        <w:lastRenderedPageBreak/>
        <w:t xml:space="preserve">territory of the State, </w:t>
      </w:r>
      <w:r w:rsidR="000C04DF" w:rsidRPr="00DD50D8">
        <w:rPr>
          <w:rFonts w:ascii="Times New Roman" w:hAnsi="Times New Roman" w:cs="Times New Roman"/>
          <w:sz w:val="24"/>
          <w:szCs w:val="24"/>
        </w:rPr>
        <w:t>whether described in domestic law as expulsion or otherwise.</w:t>
      </w:r>
      <w:r w:rsidR="00371FE2" w:rsidRPr="00DD50D8">
        <w:rPr>
          <w:rStyle w:val="FootnoteReference"/>
          <w:rFonts w:ascii="Times New Roman" w:hAnsi="Times New Roman" w:cs="Times New Roman"/>
          <w:sz w:val="24"/>
          <w:szCs w:val="24"/>
        </w:rPr>
        <w:footnoteReference w:id="19"/>
      </w:r>
      <w:r w:rsidR="000C04DF" w:rsidRPr="00DD50D8">
        <w:rPr>
          <w:rFonts w:ascii="Times New Roman" w:hAnsi="Times New Roman" w:cs="Times New Roman"/>
          <w:sz w:val="24"/>
          <w:szCs w:val="24"/>
        </w:rPr>
        <w:t xml:space="preserve"> </w:t>
      </w:r>
      <w:r w:rsidR="00371FE2" w:rsidRPr="00DD50D8">
        <w:rPr>
          <w:rFonts w:ascii="Times New Roman" w:hAnsi="Times New Roman" w:cs="Times New Roman"/>
          <w:sz w:val="24"/>
          <w:szCs w:val="24"/>
        </w:rPr>
        <w:t>Article</w:t>
      </w:r>
      <w:r w:rsidR="008034A8" w:rsidRPr="00DD50D8">
        <w:rPr>
          <w:rFonts w:ascii="Times New Roman" w:hAnsi="Times New Roman" w:cs="Times New Roman"/>
          <w:sz w:val="24"/>
          <w:szCs w:val="24"/>
        </w:rPr>
        <w:t> </w:t>
      </w:r>
      <w:r w:rsidR="00371FE2" w:rsidRPr="00DD50D8">
        <w:rPr>
          <w:rFonts w:ascii="Times New Roman" w:hAnsi="Times New Roman" w:cs="Times New Roman"/>
          <w:sz w:val="24"/>
          <w:szCs w:val="24"/>
        </w:rPr>
        <w:t xml:space="preserve">13 </w:t>
      </w:r>
      <w:r w:rsidR="00DA67D0" w:rsidRPr="00DD50D8">
        <w:rPr>
          <w:rFonts w:ascii="Times New Roman" w:hAnsi="Times New Roman" w:cs="Times New Roman"/>
          <w:sz w:val="24"/>
          <w:szCs w:val="24"/>
        </w:rPr>
        <w:t>directly regulat</w:t>
      </w:r>
      <w:r w:rsidR="00371FE2" w:rsidRPr="00DD50D8">
        <w:rPr>
          <w:rFonts w:ascii="Times New Roman" w:hAnsi="Times New Roman" w:cs="Times New Roman"/>
          <w:sz w:val="24"/>
          <w:szCs w:val="24"/>
        </w:rPr>
        <w:t>es</w:t>
      </w:r>
      <w:r w:rsidR="00DA67D0" w:rsidRPr="00DD50D8">
        <w:rPr>
          <w:rFonts w:ascii="Times New Roman" w:hAnsi="Times New Roman" w:cs="Times New Roman"/>
          <w:sz w:val="24"/>
          <w:szCs w:val="24"/>
        </w:rPr>
        <w:t xml:space="preserve"> the procedure of an expulsion, not the substantive grounds for expulsion.</w:t>
      </w:r>
      <w:r w:rsidR="00DA67D0" w:rsidRPr="00DD50D8">
        <w:rPr>
          <w:rStyle w:val="FootnoteReference"/>
          <w:rFonts w:ascii="Times New Roman" w:hAnsi="Times New Roman" w:cs="Times New Roman"/>
          <w:sz w:val="24"/>
          <w:szCs w:val="24"/>
        </w:rPr>
        <w:footnoteReference w:id="20"/>
      </w:r>
      <w:r w:rsidR="00DA67D0" w:rsidRPr="00DD50D8">
        <w:rPr>
          <w:rFonts w:ascii="Times New Roman" w:hAnsi="Times New Roman" w:cs="Times New Roman"/>
          <w:sz w:val="24"/>
          <w:szCs w:val="24"/>
        </w:rPr>
        <w:t xml:space="preserve"> </w:t>
      </w:r>
      <w:r w:rsidR="00F458B0" w:rsidRPr="00DD50D8">
        <w:rPr>
          <w:rFonts w:ascii="Times New Roman" w:hAnsi="Times New Roman" w:cs="Times New Roman"/>
          <w:sz w:val="24"/>
          <w:szCs w:val="24"/>
        </w:rPr>
        <w:t>Although extradition is a</w:t>
      </w:r>
      <w:r w:rsidR="009A0CB0" w:rsidRPr="00DD50D8">
        <w:rPr>
          <w:rFonts w:ascii="Times New Roman" w:hAnsi="Times New Roman" w:cs="Times New Roman"/>
          <w:sz w:val="24"/>
          <w:szCs w:val="24"/>
        </w:rPr>
        <w:t>n entirely</w:t>
      </w:r>
      <w:r w:rsidR="00F458B0" w:rsidRPr="00DD50D8">
        <w:rPr>
          <w:rFonts w:ascii="Times New Roman" w:hAnsi="Times New Roman" w:cs="Times New Roman"/>
          <w:sz w:val="24"/>
          <w:szCs w:val="24"/>
        </w:rPr>
        <w:t xml:space="preserve"> distinct process from deportation, t</w:t>
      </w:r>
      <w:r w:rsidR="009406B0" w:rsidRPr="00DD50D8">
        <w:rPr>
          <w:rFonts w:ascii="Times New Roman" w:hAnsi="Times New Roman" w:cs="Times New Roman"/>
          <w:sz w:val="24"/>
          <w:szCs w:val="24"/>
        </w:rPr>
        <w:t xml:space="preserve">he term ‘expulsion’ in Article 13 is </w:t>
      </w:r>
      <w:r w:rsidR="009A0CB0" w:rsidRPr="00DD50D8">
        <w:rPr>
          <w:rFonts w:ascii="Times New Roman" w:hAnsi="Times New Roman" w:cs="Times New Roman"/>
          <w:sz w:val="24"/>
          <w:szCs w:val="24"/>
        </w:rPr>
        <w:t>understood</w:t>
      </w:r>
      <w:r w:rsidR="009406B0" w:rsidRPr="00DD50D8">
        <w:rPr>
          <w:rFonts w:ascii="Times New Roman" w:hAnsi="Times New Roman" w:cs="Times New Roman"/>
          <w:sz w:val="24"/>
          <w:szCs w:val="24"/>
        </w:rPr>
        <w:t xml:space="preserve"> broadly,</w:t>
      </w:r>
      <w:r w:rsidR="00F458B0" w:rsidRPr="00DD50D8">
        <w:rPr>
          <w:rFonts w:ascii="Times New Roman" w:hAnsi="Times New Roman" w:cs="Times New Roman"/>
          <w:sz w:val="24"/>
          <w:szCs w:val="24"/>
        </w:rPr>
        <w:t xml:space="preserve"> and may therefore apply to extradition procedures. </w:t>
      </w:r>
    </w:p>
    <w:p w14:paraId="5ECFCEAE" w14:textId="1F1E8E83" w:rsidR="00887541" w:rsidRPr="00DD50D8" w:rsidRDefault="0010672A" w:rsidP="00887541">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The Act and the Regu</w:t>
      </w:r>
      <w:r w:rsidR="008367E5" w:rsidRPr="00DD50D8">
        <w:rPr>
          <w:rFonts w:ascii="Times New Roman" w:hAnsi="Times New Roman" w:cs="Times New Roman"/>
          <w:sz w:val="24"/>
          <w:szCs w:val="24"/>
        </w:rPr>
        <w:t xml:space="preserve">lations </w:t>
      </w:r>
      <w:r w:rsidR="00920821" w:rsidRPr="00DD50D8">
        <w:rPr>
          <w:rFonts w:ascii="Times New Roman" w:hAnsi="Times New Roman" w:cs="Times New Roman"/>
          <w:sz w:val="24"/>
          <w:szCs w:val="24"/>
        </w:rPr>
        <w:t xml:space="preserve">have the potential to engage </w:t>
      </w:r>
      <w:r w:rsidR="005918F0" w:rsidRPr="00DD50D8">
        <w:rPr>
          <w:rFonts w:ascii="Times New Roman" w:hAnsi="Times New Roman" w:cs="Times New Roman"/>
          <w:sz w:val="24"/>
          <w:szCs w:val="24"/>
        </w:rPr>
        <w:t xml:space="preserve">this right </w:t>
      </w:r>
      <w:r w:rsidR="00920821" w:rsidRPr="00DD50D8">
        <w:rPr>
          <w:rFonts w:ascii="Times New Roman" w:hAnsi="Times New Roman" w:cs="Times New Roman"/>
          <w:sz w:val="24"/>
          <w:szCs w:val="24"/>
        </w:rPr>
        <w:t>where the person subject to a</w:t>
      </w:r>
      <w:r w:rsidR="008006F6" w:rsidRPr="00DD50D8">
        <w:rPr>
          <w:rFonts w:ascii="Times New Roman" w:hAnsi="Times New Roman" w:cs="Times New Roman"/>
          <w:sz w:val="24"/>
          <w:szCs w:val="24"/>
        </w:rPr>
        <w:t>n extradition</w:t>
      </w:r>
      <w:r w:rsidR="00920821" w:rsidRPr="00DD50D8">
        <w:rPr>
          <w:rFonts w:ascii="Times New Roman" w:hAnsi="Times New Roman" w:cs="Times New Roman"/>
          <w:sz w:val="24"/>
          <w:szCs w:val="24"/>
        </w:rPr>
        <w:t xml:space="preserve"> request is a non-citizen lawfully within Australian territory. </w:t>
      </w:r>
    </w:p>
    <w:p w14:paraId="330A5456" w14:textId="34ACA0EA" w:rsidR="00810394" w:rsidRPr="00DD50D8" w:rsidRDefault="00AA24C2" w:rsidP="00887541">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Article 13 provides that the</w:t>
      </w:r>
      <w:r w:rsidR="00DA67D0" w:rsidRPr="00DD50D8">
        <w:rPr>
          <w:rFonts w:ascii="Times New Roman" w:hAnsi="Times New Roman" w:cs="Times New Roman"/>
          <w:sz w:val="24"/>
          <w:szCs w:val="24"/>
        </w:rPr>
        <w:t xml:space="preserve"> decision to expel must be made in accordance </w:t>
      </w:r>
      <w:r w:rsidR="003426A5" w:rsidRPr="00DD50D8">
        <w:rPr>
          <w:rFonts w:ascii="Times New Roman" w:hAnsi="Times New Roman" w:cs="Times New Roman"/>
          <w:sz w:val="24"/>
          <w:szCs w:val="24"/>
        </w:rPr>
        <w:t>in accordance with law</w:t>
      </w:r>
      <w:r w:rsidRPr="00DD50D8">
        <w:rPr>
          <w:rFonts w:ascii="Times New Roman" w:hAnsi="Times New Roman" w:cs="Times New Roman"/>
          <w:sz w:val="24"/>
          <w:szCs w:val="24"/>
        </w:rPr>
        <w:t xml:space="preserve">, </w:t>
      </w:r>
      <w:r w:rsidR="008006F6" w:rsidRPr="00DD50D8">
        <w:rPr>
          <w:rFonts w:ascii="Times New Roman" w:hAnsi="Times New Roman" w:cs="Times New Roman"/>
          <w:sz w:val="24"/>
          <w:szCs w:val="24"/>
        </w:rPr>
        <w:t>and that lawful non-citizens have the right to</w:t>
      </w:r>
      <w:r w:rsidR="00F66319" w:rsidRPr="00DD50D8">
        <w:rPr>
          <w:rFonts w:ascii="Times New Roman" w:hAnsi="Times New Roman" w:cs="Times New Roman"/>
          <w:sz w:val="24"/>
          <w:szCs w:val="24"/>
        </w:rPr>
        <w:t xml:space="preserve"> have their</w:t>
      </w:r>
      <w:r w:rsidR="008006F6" w:rsidRPr="00DD50D8">
        <w:rPr>
          <w:rFonts w:ascii="Times New Roman" w:hAnsi="Times New Roman" w:cs="Times New Roman"/>
          <w:sz w:val="24"/>
          <w:szCs w:val="24"/>
        </w:rPr>
        <w:t xml:space="preserve"> cases reviewed by competent authorities. </w:t>
      </w:r>
      <w:r w:rsidR="005918F0" w:rsidRPr="00DD50D8">
        <w:rPr>
          <w:rFonts w:ascii="Times New Roman" w:hAnsi="Times New Roman" w:cs="Times New Roman"/>
          <w:sz w:val="24"/>
          <w:szCs w:val="24"/>
        </w:rPr>
        <w:t xml:space="preserve">All decisions on extradition in Australia are governed by the process </w:t>
      </w:r>
      <w:r w:rsidR="00A56D65" w:rsidRPr="00DD50D8">
        <w:rPr>
          <w:rFonts w:ascii="Times New Roman" w:hAnsi="Times New Roman" w:cs="Times New Roman"/>
          <w:sz w:val="24"/>
          <w:szCs w:val="24"/>
        </w:rPr>
        <w:t xml:space="preserve">provided for </w:t>
      </w:r>
      <w:r w:rsidR="005918F0" w:rsidRPr="00DD50D8">
        <w:rPr>
          <w:rFonts w:ascii="Times New Roman" w:hAnsi="Times New Roman" w:cs="Times New Roman"/>
          <w:sz w:val="24"/>
          <w:szCs w:val="24"/>
        </w:rPr>
        <w:t>in the Act</w:t>
      </w:r>
      <w:r w:rsidR="007D6A65" w:rsidRPr="00DD50D8">
        <w:rPr>
          <w:rFonts w:ascii="Times New Roman" w:hAnsi="Times New Roman" w:cs="Times New Roman"/>
          <w:sz w:val="24"/>
          <w:szCs w:val="24"/>
        </w:rPr>
        <w:t>, and involve multiple stages at which judicial review may be sought of decisions made</w:t>
      </w:r>
      <w:r w:rsidR="005918F0" w:rsidRPr="00DD50D8">
        <w:rPr>
          <w:rFonts w:ascii="Times New Roman" w:hAnsi="Times New Roman" w:cs="Times New Roman"/>
          <w:sz w:val="24"/>
          <w:szCs w:val="24"/>
        </w:rPr>
        <w:t xml:space="preserve">. </w:t>
      </w:r>
      <w:r w:rsidR="008006F6" w:rsidRPr="00DD50D8">
        <w:rPr>
          <w:rFonts w:ascii="Times New Roman" w:hAnsi="Times New Roman" w:cs="Times New Roman"/>
          <w:sz w:val="24"/>
          <w:szCs w:val="24"/>
        </w:rPr>
        <w:t xml:space="preserve">The definition of </w:t>
      </w:r>
      <w:r w:rsidR="005918F0" w:rsidRPr="00DD50D8">
        <w:rPr>
          <w:rFonts w:ascii="Times New Roman" w:hAnsi="Times New Roman" w:cs="Times New Roman"/>
          <w:sz w:val="24"/>
          <w:szCs w:val="24"/>
        </w:rPr>
        <w:t>an ‘</w:t>
      </w:r>
      <w:r w:rsidR="008006F6" w:rsidRPr="00DD50D8">
        <w:rPr>
          <w:rFonts w:ascii="Times New Roman" w:hAnsi="Times New Roman" w:cs="Times New Roman"/>
          <w:sz w:val="24"/>
          <w:szCs w:val="24"/>
        </w:rPr>
        <w:t>extraditable person</w:t>
      </w:r>
      <w:r w:rsidR="005918F0" w:rsidRPr="00DD50D8">
        <w:rPr>
          <w:rFonts w:ascii="Times New Roman" w:hAnsi="Times New Roman" w:cs="Times New Roman"/>
          <w:sz w:val="24"/>
          <w:szCs w:val="24"/>
        </w:rPr>
        <w:t>’</w:t>
      </w:r>
      <w:r w:rsidR="008006F6" w:rsidRPr="00DD50D8">
        <w:rPr>
          <w:rFonts w:ascii="Times New Roman" w:hAnsi="Times New Roman" w:cs="Times New Roman"/>
          <w:sz w:val="24"/>
          <w:szCs w:val="24"/>
        </w:rPr>
        <w:t xml:space="preserve"> under section 6 of the Act does not make a distinction between </w:t>
      </w:r>
      <w:r w:rsidR="009406B0" w:rsidRPr="00DD50D8">
        <w:rPr>
          <w:rFonts w:ascii="Times New Roman" w:hAnsi="Times New Roman" w:cs="Times New Roman"/>
          <w:sz w:val="24"/>
          <w:szCs w:val="24"/>
        </w:rPr>
        <w:t xml:space="preserve">Australian </w:t>
      </w:r>
      <w:r w:rsidR="008006F6" w:rsidRPr="00DD50D8">
        <w:rPr>
          <w:rFonts w:ascii="Times New Roman" w:hAnsi="Times New Roman" w:cs="Times New Roman"/>
          <w:sz w:val="24"/>
          <w:szCs w:val="24"/>
        </w:rPr>
        <w:t>citizen</w:t>
      </w:r>
      <w:r w:rsidR="009406B0" w:rsidRPr="00DD50D8">
        <w:rPr>
          <w:rFonts w:ascii="Times New Roman" w:hAnsi="Times New Roman" w:cs="Times New Roman"/>
          <w:sz w:val="24"/>
          <w:szCs w:val="24"/>
        </w:rPr>
        <w:t>s</w:t>
      </w:r>
      <w:r w:rsidR="008006F6" w:rsidRPr="00DD50D8">
        <w:rPr>
          <w:rFonts w:ascii="Times New Roman" w:hAnsi="Times New Roman" w:cs="Times New Roman"/>
          <w:sz w:val="24"/>
          <w:szCs w:val="24"/>
        </w:rPr>
        <w:t xml:space="preserve"> and non-citizens. </w:t>
      </w:r>
      <w:r w:rsidR="00D06D41" w:rsidRPr="00DD50D8">
        <w:rPr>
          <w:rFonts w:ascii="Times New Roman" w:hAnsi="Times New Roman" w:cs="Times New Roman"/>
          <w:sz w:val="24"/>
          <w:szCs w:val="24"/>
        </w:rPr>
        <w:t xml:space="preserve">The </w:t>
      </w:r>
      <w:r w:rsidR="009A37C1" w:rsidRPr="00DD50D8">
        <w:rPr>
          <w:rFonts w:ascii="Times New Roman" w:hAnsi="Times New Roman" w:cs="Times New Roman"/>
          <w:sz w:val="24"/>
          <w:szCs w:val="24"/>
        </w:rPr>
        <w:t>process for decision-making</w:t>
      </w:r>
      <w:r w:rsidR="00C82590" w:rsidRPr="00DD50D8">
        <w:rPr>
          <w:rFonts w:ascii="Times New Roman" w:hAnsi="Times New Roman" w:cs="Times New Roman"/>
          <w:sz w:val="24"/>
          <w:szCs w:val="24"/>
        </w:rPr>
        <w:t xml:space="preserve">, </w:t>
      </w:r>
      <w:r w:rsidR="009A37C1" w:rsidRPr="00DD50D8">
        <w:rPr>
          <w:rFonts w:ascii="Times New Roman" w:hAnsi="Times New Roman" w:cs="Times New Roman"/>
          <w:sz w:val="24"/>
          <w:szCs w:val="24"/>
        </w:rPr>
        <w:t xml:space="preserve">mechanisms for procedural fairness and </w:t>
      </w:r>
      <w:r w:rsidR="00C82590" w:rsidRPr="00DD50D8">
        <w:rPr>
          <w:rFonts w:ascii="Times New Roman" w:hAnsi="Times New Roman" w:cs="Times New Roman"/>
          <w:sz w:val="24"/>
          <w:szCs w:val="24"/>
        </w:rPr>
        <w:t xml:space="preserve">process for </w:t>
      </w:r>
      <w:r w:rsidR="009A37C1" w:rsidRPr="00DD50D8">
        <w:rPr>
          <w:rFonts w:ascii="Times New Roman" w:hAnsi="Times New Roman" w:cs="Times New Roman"/>
          <w:sz w:val="24"/>
          <w:szCs w:val="24"/>
        </w:rPr>
        <w:t>review of decisions</w:t>
      </w:r>
      <w:r w:rsidR="00C1336A" w:rsidRPr="00DD50D8">
        <w:rPr>
          <w:rFonts w:ascii="Times New Roman" w:hAnsi="Times New Roman" w:cs="Times New Roman"/>
          <w:sz w:val="24"/>
          <w:szCs w:val="24"/>
        </w:rPr>
        <w:t xml:space="preserve"> in Australia’s extradition regime</w:t>
      </w:r>
      <w:r w:rsidR="009A37C1" w:rsidRPr="00DD50D8">
        <w:rPr>
          <w:rFonts w:ascii="Times New Roman" w:hAnsi="Times New Roman" w:cs="Times New Roman"/>
          <w:sz w:val="24"/>
          <w:szCs w:val="24"/>
        </w:rPr>
        <w:t xml:space="preserve"> </w:t>
      </w:r>
      <w:r w:rsidR="008006F6" w:rsidRPr="00DD50D8">
        <w:rPr>
          <w:rFonts w:ascii="Times New Roman" w:hAnsi="Times New Roman" w:cs="Times New Roman"/>
          <w:sz w:val="24"/>
          <w:szCs w:val="24"/>
        </w:rPr>
        <w:t>a</w:t>
      </w:r>
      <w:r w:rsidRPr="00DD50D8">
        <w:rPr>
          <w:rFonts w:ascii="Times New Roman" w:hAnsi="Times New Roman" w:cs="Times New Roman"/>
          <w:sz w:val="24"/>
          <w:szCs w:val="24"/>
        </w:rPr>
        <w:t>ppl</w:t>
      </w:r>
      <w:r w:rsidR="00D06D41" w:rsidRPr="00DD50D8">
        <w:rPr>
          <w:rFonts w:ascii="Times New Roman" w:hAnsi="Times New Roman" w:cs="Times New Roman"/>
          <w:sz w:val="24"/>
          <w:szCs w:val="24"/>
        </w:rPr>
        <w:t>y</w:t>
      </w:r>
      <w:r w:rsidRPr="00DD50D8">
        <w:rPr>
          <w:rFonts w:ascii="Times New Roman" w:hAnsi="Times New Roman" w:cs="Times New Roman"/>
          <w:sz w:val="24"/>
          <w:szCs w:val="24"/>
        </w:rPr>
        <w:t xml:space="preserve"> regardless of citizenship status. </w:t>
      </w:r>
    </w:p>
    <w:p w14:paraId="26E470DD" w14:textId="5DA602C1" w:rsidR="00A24AA5" w:rsidRPr="00DD50D8" w:rsidRDefault="00A24AA5" w:rsidP="000E136D">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 xml:space="preserve">The Act and the Regulations do not limit, and are therefore consistent with, the provision on expulsion of aliens in the ICCPR. </w:t>
      </w:r>
    </w:p>
    <w:p w14:paraId="687548B9" w14:textId="0150F04C" w:rsidR="00702614" w:rsidRPr="00DD50D8" w:rsidRDefault="00032C4F" w:rsidP="000E136D">
      <w:pPr>
        <w:keepNext/>
        <w:keepLines/>
        <w:spacing w:before="240" w:line="360" w:lineRule="auto"/>
        <w:rPr>
          <w:rFonts w:ascii="Times New Roman" w:eastAsia="Times New Roman" w:hAnsi="Times New Roman" w:cs="Times New Roman"/>
          <w:sz w:val="24"/>
          <w:szCs w:val="24"/>
          <w:lang w:eastAsia="en-AU"/>
        </w:rPr>
      </w:pPr>
      <w:r w:rsidRPr="00DD50D8">
        <w:rPr>
          <w:rFonts w:ascii="Times New Roman" w:hAnsi="Times New Roman" w:cs="Times New Roman"/>
          <w:sz w:val="24"/>
          <w:szCs w:val="24"/>
          <w:u w:val="single"/>
        </w:rPr>
        <w:t>Fair trial rights and minimum guarantees in criminal proceedings</w:t>
      </w:r>
    </w:p>
    <w:p w14:paraId="06C173EE" w14:textId="40195A63" w:rsidR="00492A89" w:rsidRPr="00DD50D8" w:rsidRDefault="00032C4F" w:rsidP="000E136D">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Article 14(1) of the ICCPR provides that all persons shall be equal before the courts</w:t>
      </w:r>
      <w:r w:rsidR="00A807AB" w:rsidRPr="00DD50D8">
        <w:rPr>
          <w:rFonts w:ascii="Times New Roman" w:hAnsi="Times New Roman" w:cs="Times New Roman"/>
          <w:sz w:val="24"/>
          <w:szCs w:val="24"/>
        </w:rPr>
        <w:t xml:space="preserve"> </w:t>
      </w:r>
      <w:r w:rsidRPr="00DD50D8">
        <w:rPr>
          <w:rFonts w:ascii="Times New Roman" w:hAnsi="Times New Roman" w:cs="Times New Roman"/>
          <w:sz w:val="24"/>
          <w:szCs w:val="24"/>
        </w:rPr>
        <w:t xml:space="preserve">and tribunals and, in the determination of criminal charges or in a suit at law, shall be entitled to a fair and public hearing by a competent, independent and impartial tribunal established by law. Article 14 of the ICCPR also sets out a number of specific </w:t>
      </w:r>
      <w:proofErr w:type="gramStart"/>
      <w:r w:rsidRPr="00DD50D8">
        <w:rPr>
          <w:rFonts w:ascii="Times New Roman" w:hAnsi="Times New Roman" w:cs="Times New Roman"/>
          <w:sz w:val="24"/>
          <w:szCs w:val="24"/>
        </w:rPr>
        <w:t>minimum</w:t>
      </w:r>
      <w:proofErr w:type="gramEnd"/>
      <w:r w:rsidRPr="00DD50D8">
        <w:rPr>
          <w:rFonts w:ascii="Times New Roman" w:hAnsi="Times New Roman" w:cs="Times New Roman"/>
          <w:sz w:val="24"/>
          <w:szCs w:val="24"/>
        </w:rPr>
        <w:t xml:space="preserve"> guarantees in criminal proceedings including the prohibition against double jeopardy in Article 14(7).  </w:t>
      </w:r>
    </w:p>
    <w:p w14:paraId="10E2F7FF" w14:textId="42679A10" w:rsidR="00492A89" w:rsidRPr="00DD50D8" w:rsidRDefault="00032C4F" w:rsidP="000E136D">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 xml:space="preserve">The Act and </w:t>
      </w:r>
      <w:r w:rsidR="0083610F" w:rsidRPr="00DD50D8">
        <w:rPr>
          <w:rFonts w:ascii="Times New Roman" w:hAnsi="Times New Roman" w:cs="Times New Roman"/>
          <w:sz w:val="24"/>
          <w:szCs w:val="24"/>
        </w:rPr>
        <w:t xml:space="preserve">the </w:t>
      </w:r>
      <w:r w:rsidRPr="00DD50D8">
        <w:rPr>
          <w:rFonts w:ascii="Times New Roman" w:hAnsi="Times New Roman" w:cs="Times New Roman"/>
          <w:sz w:val="24"/>
          <w:szCs w:val="24"/>
        </w:rPr>
        <w:t xml:space="preserve">Regulations have the potential to engage fair trial rights and rights to minimum guarantees in criminal proceedings where a person is extradited in circumstances where there is a real risk of a denial of fair trial rights in the country </w:t>
      </w:r>
      <w:r w:rsidR="00E95AAC" w:rsidRPr="00DD50D8">
        <w:rPr>
          <w:rFonts w:ascii="Times New Roman" w:hAnsi="Times New Roman" w:cs="Times New Roman"/>
          <w:sz w:val="24"/>
          <w:szCs w:val="24"/>
        </w:rPr>
        <w:t>to</w:t>
      </w:r>
      <w:r w:rsidRPr="00DD50D8">
        <w:rPr>
          <w:rFonts w:ascii="Times New Roman" w:hAnsi="Times New Roman" w:cs="Times New Roman"/>
          <w:sz w:val="24"/>
          <w:szCs w:val="24"/>
        </w:rPr>
        <w:t xml:space="preserve"> which the individual is to be extradited.  However, it is the Australian Government’s view that Article 14 of the </w:t>
      </w:r>
      <w:r w:rsidRPr="00DD50D8">
        <w:rPr>
          <w:rFonts w:ascii="Times New Roman" w:hAnsi="Times New Roman" w:cs="Times New Roman"/>
          <w:sz w:val="24"/>
          <w:szCs w:val="24"/>
        </w:rPr>
        <w:lastRenderedPageBreak/>
        <w:t>ICCPR does not extend to an obligation not to return a person to a country where they face a real risk of an unfair trial which could breach the obligations under Article</w:t>
      </w:r>
      <w:r w:rsidR="008A3D2D" w:rsidRPr="00DD50D8">
        <w:rPr>
          <w:rFonts w:ascii="Times New Roman" w:hAnsi="Times New Roman" w:cs="Times New Roman"/>
          <w:sz w:val="24"/>
          <w:szCs w:val="24"/>
        </w:rPr>
        <w:t> </w:t>
      </w:r>
      <w:r w:rsidRPr="00DD50D8">
        <w:rPr>
          <w:rFonts w:ascii="Times New Roman" w:hAnsi="Times New Roman" w:cs="Times New Roman"/>
          <w:sz w:val="24"/>
          <w:szCs w:val="24"/>
        </w:rPr>
        <w:t xml:space="preserve">14. In other words, the Australian Government considers that Article 14 does not contain </w:t>
      </w:r>
      <w:r w:rsidRPr="00DD50D8">
        <w:rPr>
          <w:rFonts w:ascii="Times New Roman" w:hAnsi="Times New Roman" w:cs="Times New Roman"/>
          <w:i/>
          <w:sz w:val="24"/>
          <w:szCs w:val="24"/>
        </w:rPr>
        <w:t>non-refoulement</w:t>
      </w:r>
      <w:r w:rsidRPr="00DD50D8">
        <w:rPr>
          <w:rFonts w:ascii="Times New Roman" w:hAnsi="Times New Roman" w:cs="Times New Roman"/>
          <w:sz w:val="24"/>
          <w:szCs w:val="24"/>
        </w:rPr>
        <w:t xml:space="preserve"> obligations and therefore is not engaged in the context of Australia potentially surrendering a person to another country under the Act.</w:t>
      </w:r>
    </w:p>
    <w:p w14:paraId="1399B1CE" w14:textId="1B8E23F1" w:rsidR="00492A89" w:rsidRPr="00DD50D8" w:rsidRDefault="00032C4F" w:rsidP="000E136D">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 xml:space="preserve">Nevertheless, there are a range of protections under the Act which </w:t>
      </w:r>
      <w:r w:rsidR="008D4D84" w:rsidRPr="00DD50D8">
        <w:rPr>
          <w:rFonts w:ascii="Times New Roman" w:hAnsi="Times New Roman" w:cs="Times New Roman"/>
          <w:sz w:val="24"/>
          <w:szCs w:val="24"/>
        </w:rPr>
        <w:t>afford</w:t>
      </w:r>
      <w:r w:rsidRPr="00DD50D8">
        <w:rPr>
          <w:rFonts w:ascii="Times New Roman" w:hAnsi="Times New Roman" w:cs="Times New Roman"/>
          <w:sz w:val="24"/>
          <w:szCs w:val="24"/>
        </w:rPr>
        <w:t xml:space="preserve"> fair trial protections.</w:t>
      </w:r>
      <w:r w:rsidRPr="00DD50D8" w:rsidDel="000820DD">
        <w:rPr>
          <w:rFonts w:ascii="Times New Roman" w:hAnsi="Times New Roman" w:cs="Times New Roman"/>
          <w:sz w:val="24"/>
          <w:szCs w:val="24"/>
        </w:rPr>
        <w:t xml:space="preserve"> </w:t>
      </w:r>
    </w:p>
    <w:p w14:paraId="2A664585" w14:textId="37059D02" w:rsidR="000F368E" w:rsidRPr="00DD50D8" w:rsidRDefault="00032C4F" w:rsidP="00C73BF6">
      <w:pPr>
        <w:pStyle w:val="ListParagraph"/>
        <w:numPr>
          <w:ilvl w:val="0"/>
          <w:numId w:val="16"/>
        </w:numPr>
        <w:spacing w:before="240" w:after="240" w:line="360" w:lineRule="auto"/>
        <w:ind w:left="0" w:hanging="76"/>
        <w:contextualSpacing w:val="0"/>
        <w:rPr>
          <w:rFonts w:ascii="Times New Roman" w:hAnsi="Times New Roman"/>
          <w:sz w:val="24"/>
          <w:szCs w:val="24"/>
        </w:rPr>
      </w:pPr>
      <w:r w:rsidRPr="00DD50D8">
        <w:rPr>
          <w:rFonts w:ascii="Times New Roman" w:hAnsi="Times New Roman" w:cs="Times New Roman"/>
          <w:sz w:val="24"/>
          <w:szCs w:val="24"/>
        </w:rPr>
        <w:t xml:space="preserve">Subsection 15B(2) and paragraph 22(3)(f) of the Act give the </w:t>
      </w:r>
      <w:r w:rsidRPr="00DD50D8">
        <w:rPr>
          <w:rFonts w:ascii="Times New Roman" w:hAnsi="Times New Roman" w:cs="Times New Roman"/>
          <w:sz w:val="24"/>
          <w:szCs w:val="24"/>
        </w:rPr>
        <w:br/>
        <w:t xml:space="preserve">Attorney-General a general discretion to refuse surrender, which enables the </w:t>
      </w:r>
      <w:r w:rsidRPr="00DD50D8">
        <w:rPr>
          <w:rFonts w:ascii="Times New Roman" w:hAnsi="Times New Roman" w:cs="Times New Roman"/>
          <w:sz w:val="24"/>
          <w:szCs w:val="24"/>
        </w:rPr>
        <w:br/>
        <w:t xml:space="preserve">Attorney-General to consider fair trial or other human rights concerns. This includes whether an extradited individual would have access to a fair trial or whether to surrender a person convicted </w:t>
      </w:r>
      <w:r w:rsidRPr="00DD50D8">
        <w:rPr>
          <w:rFonts w:ascii="Times New Roman" w:hAnsi="Times New Roman" w:cs="Times New Roman"/>
          <w:i/>
          <w:sz w:val="24"/>
          <w:szCs w:val="24"/>
        </w:rPr>
        <w:t>in absentia</w:t>
      </w:r>
      <w:r w:rsidRPr="00DD50D8">
        <w:rPr>
          <w:rFonts w:ascii="Times New Roman" w:hAnsi="Times New Roman" w:cs="Times New Roman"/>
          <w:sz w:val="24"/>
          <w:szCs w:val="24"/>
        </w:rPr>
        <w:t xml:space="preserve"> (and whether a person tried </w:t>
      </w:r>
      <w:r w:rsidRPr="00DD50D8">
        <w:rPr>
          <w:rFonts w:ascii="Times New Roman" w:hAnsi="Times New Roman" w:cs="Times New Roman"/>
          <w:i/>
          <w:sz w:val="24"/>
          <w:szCs w:val="24"/>
        </w:rPr>
        <w:t>in absentia</w:t>
      </w:r>
      <w:r w:rsidRPr="00DD50D8">
        <w:rPr>
          <w:rFonts w:ascii="Times New Roman" w:hAnsi="Times New Roman" w:cs="Times New Roman"/>
          <w:sz w:val="24"/>
          <w:szCs w:val="24"/>
        </w:rPr>
        <w:t xml:space="preserve"> will have an opportunity to be retried). Relevant considerations may also include the extent to which an individual would receive (or has received) appropriate procedural guarantees in a criminal trial (or re-trial) in the country to which he or she is being extradited.</w:t>
      </w:r>
      <w:r w:rsidRPr="00DD50D8">
        <w:rPr>
          <w:rFonts w:ascii="Times New Roman" w:hAnsi="Times New Roman" w:cs="Times New Roman"/>
          <w:color w:val="000000"/>
          <w:sz w:val="24"/>
          <w:szCs w:val="24"/>
        </w:rPr>
        <w:t xml:space="preserve"> </w:t>
      </w:r>
    </w:p>
    <w:p w14:paraId="50E1B059" w14:textId="77777777" w:rsidR="000F368E" w:rsidRPr="00DD50D8" w:rsidRDefault="00032C4F" w:rsidP="000E136D">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 xml:space="preserve">Further, it is open to the Attorney-General to request assurances from the requesting country relating to the treatment and conditions applying to a person upon extradition where the Attorney-General has concerns regarding a person’s ability to receive a fair trial and be afforded minimum guarantees in criminal proceedings. Assurances could include that the trial be conducted in person and be held in open court, that the person has access to legal representation, that the person has an opportunity to test the evidence against them or that the person will be imprisoned in particular jails. As a matter of procedural fairness, the </w:t>
      </w:r>
      <w:r w:rsidRPr="00DD50D8">
        <w:rPr>
          <w:rFonts w:ascii="Times New Roman" w:hAnsi="Times New Roman" w:cs="Times New Roman"/>
          <w:sz w:val="24"/>
          <w:szCs w:val="24"/>
        </w:rPr>
        <w:br/>
        <w:t>Attorney-General would also consider any information put to him by the individual subject to the extradition request, and any representations or assurances provided by the requesting country. The Attorney</w:t>
      </w:r>
      <w:r w:rsidRPr="00DD50D8">
        <w:rPr>
          <w:rFonts w:ascii="Times New Roman" w:hAnsi="Times New Roman" w:cs="Times New Roman"/>
          <w:sz w:val="24"/>
          <w:szCs w:val="24"/>
        </w:rPr>
        <w:noBreakHyphen/>
        <w:t>General may also consider country-specific information, reports prepared by government or non-government sources and information provided through the diplomatic network.</w:t>
      </w:r>
    </w:p>
    <w:p w14:paraId="3748D3E4" w14:textId="6D652200" w:rsidR="000F368E" w:rsidRPr="00DD50D8" w:rsidRDefault="00032C4F" w:rsidP="000E136D">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Section 7(e) of the Act also includes double jeopardy in the definition of an ‘extradition objection’. This has the practical effect of preventing:</w:t>
      </w:r>
    </w:p>
    <w:p w14:paraId="0B79D5FF" w14:textId="77777777" w:rsidR="000F368E" w:rsidRPr="00DD50D8" w:rsidRDefault="00032C4F" w:rsidP="000E136D">
      <w:pPr>
        <w:pStyle w:val="ListParagraph"/>
        <w:numPr>
          <w:ilvl w:val="1"/>
          <w:numId w:val="16"/>
        </w:numPr>
        <w:spacing w:before="240" w:line="360" w:lineRule="auto"/>
        <w:contextualSpacing w:val="0"/>
        <w:rPr>
          <w:rFonts w:ascii="Times New Roman" w:hAnsi="Times New Roman" w:cs="Times New Roman"/>
          <w:sz w:val="24"/>
          <w:szCs w:val="24"/>
        </w:rPr>
      </w:pPr>
      <w:r w:rsidRPr="00DD50D8">
        <w:rPr>
          <w:rFonts w:ascii="Times New Roman" w:hAnsi="Times New Roman" w:cs="Times New Roman"/>
          <w:sz w:val="24"/>
          <w:szCs w:val="24"/>
        </w:rPr>
        <w:t>a finding by a magistrate or eligible Judge under section 19 that a person is eligible for surrender (pursuant to paragraph 19(2)(d)), or</w:t>
      </w:r>
    </w:p>
    <w:p w14:paraId="482DB3A0" w14:textId="77777777" w:rsidR="000F368E" w:rsidRPr="00DD50D8" w:rsidRDefault="00032C4F" w:rsidP="000E136D">
      <w:pPr>
        <w:pStyle w:val="ListParagraph"/>
        <w:numPr>
          <w:ilvl w:val="1"/>
          <w:numId w:val="16"/>
        </w:numPr>
        <w:spacing w:before="240" w:line="360" w:lineRule="auto"/>
        <w:contextualSpacing w:val="0"/>
        <w:rPr>
          <w:rFonts w:ascii="Times New Roman" w:hAnsi="Times New Roman" w:cs="Times New Roman"/>
          <w:sz w:val="24"/>
          <w:szCs w:val="24"/>
        </w:rPr>
      </w:pPr>
      <w:r w:rsidRPr="00DD50D8">
        <w:rPr>
          <w:rFonts w:ascii="Times New Roman" w:hAnsi="Times New Roman" w:cs="Times New Roman"/>
          <w:sz w:val="24"/>
          <w:szCs w:val="24"/>
        </w:rPr>
        <w:lastRenderedPageBreak/>
        <w:t>the Attorney-General making a surrender determination under section 22 (pursuant to paragraph 22(3)(a)),</w:t>
      </w:r>
    </w:p>
    <w:p w14:paraId="0FB4554A" w14:textId="77777777" w:rsidR="000F368E" w:rsidRPr="00DD50D8" w:rsidRDefault="00032C4F" w:rsidP="000E136D">
      <w:pPr>
        <w:pStyle w:val="ListParagraph"/>
        <w:spacing w:before="240" w:line="360" w:lineRule="auto"/>
        <w:ind w:left="0"/>
        <w:contextualSpacing w:val="0"/>
        <w:rPr>
          <w:rFonts w:ascii="Times New Roman" w:hAnsi="Times New Roman" w:cs="Times New Roman"/>
          <w:sz w:val="24"/>
          <w:szCs w:val="24"/>
        </w:rPr>
      </w:pPr>
      <w:r w:rsidRPr="00DD50D8">
        <w:rPr>
          <w:rFonts w:ascii="Times New Roman" w:hAnsi="Times New Roman" w:cs="Times New Roman"/>
          <w:sz w:val="24"/>
          <w:szCs w:val="24"/>
        </w:rPr>
        <w:t xml:space="preserve">in circumstances where a person has been acquitted or pardoned by a competent tribunal or authority in the extradition country or Australia, or has undergone the punishment provided by the law of that country or Australia, in respect of the extradition offence or another offence constituted by the same conduct as constitutes the extradition offence. </w:t>
      </w:r>
    </w:p>
    <w:p w14:paraId="08237BF5" w14:textId="5BD656C1" w:rsidR="004F7C7F" w:rsidRPr="00DD50D8" w:rsidRDefault="00032C4F" w:rsidP="000E136D">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eastAsia="Times New Roman" w:hAnsi="Times New Roman" w:cs="Times New Roman"/>
          <w:sz w:val="24"/>
          <w:szCs w:val="24"/>
          <w:lang w:eastAsia="en-AU"/>
        </w:rPr>
        <w:t xml:space="preserve">It is also open to the person who is the subject of an extradition request to seek review of a magistrate or eligible Judge’s surrender eligibility decision under section 21 of the Act or seek judicial review under section 39B of the </w:t>
      </w:r>
      <w:r w:rsidRPr="00DD50D8">
        <w:rPr>
          <w:rFonts w:ascii="Times New Roman" w:eastAsia="Times New Roman" w:hAnsi="Times New Roman" w:cs="Times New Roman"/>
          <w:i/>
          <w:sz w:val="24"/>
          <w:szCs w:val="24"/>
          <w:lang w:eastAsia="en-AU"/>
        </w:rPr>
        <w:t>Judiciary Act 1903</w:t>
      </w:r>
      <w:r w:rsidRPr="00DD50D8">
        <w:rPr>
          <w:rFonts w:ascii="Times New Roman" w:eastAsia="Times New Roman" w:hAnsi="Times New Roman" w:cs="Times New Roman"/>
          <w:sz w:val="24"/>
          <w:szCs w:val="24"/>
          <w:lang w:eastAsia="en-AU"/>
        </w:rPr>
        <w:t xml:space="preserve"> </w:t>
      </w:r>
      <w:r w:rsidRPr="00DD50D8">
        <w:rPr>
          <w:rFonts w:ascii="Times New Roman" w:hAnsi="Times New Roman" w:cs="Times New Roman"/>
          <w:sz w:val="24"/>
          <w:szCs w:val="24"/>
        </w:rPr>
        <w:t>of</w:t>
      </w:r>
      <w:r w:rsidRPr="00DD50D8">
        <w:rPr>
          <w:rFonts w:ascii="Times New Roman" w:eastAsia="Times New Roman" w:hAnsi="Times New Roman" w:cs="Times New Roman"/>
          <w:sz w:val="24"/>
          <w:szCs w:val="24"/>
          <w:lang w:eastAsia="en-AU"/>
        </w:rPr>
        <w:t xml:space="preserve"> administrative decisions at relevant stages of the extradition process, including a surrender determination by the Attorney-General. </w:t>
      </w:r>
    </w:p>
    <w:p w14:paraId="58D097A2" w14:textId="48CB1496" w:rsidR="00763B6E" w:rsidRPr="00DD50D8" w:rsidRDefault="00032C4F" w:rsidP="000E136D">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 xml:space="preserve">The Act and </w:t>
      </w:r>
      <w:r w:rsidR="00B03046" w:rsidRPr="00DD50D8">
        <w:rPr>
          <w:rFonts w:ascii="Times New Roman" w:hAnsi="Times New Roman" w:cs="Times New Roman"/>
          <w:sz w:val="24"/>
          <w:szCs w:val="24"/>
        </w:rPr>
        <w:t xml:space="preserve">the </w:t>
      </w:r>
      <w:r w:rsidRPr="00DD50D8">
        <w:rPr>
          <w:rFonts w:ascii="Times New Roman" w:hAnsi="Times New Roman" w:cs="Times New Roman"/>
          <w:sz w:val="24"/>
          <w:szCs w:val="24"/>
        </w:rPr>
        <w:t xml:space="preserve">Regulations </w:t>
      </w:r>
      <w:r w:rsidR="00F67501" w:rsidRPr="00DD50D8">
        <w:rPr>
          <w:rFonts w:ascii="Times New Roman" w:hAnsi="Times New Roman" w:cs="Times New Roman"/>
          <w:sz w:val="24"/>
          <w:szCs w:val="24"/>
        </w:rPr>
        <w:t xml:space="preserve">do not limit, and operate </w:t>
      </w:r>
      <w:r w:rsidRPr="00DD50D8">
        <w:rPr>
          <w:rFonts w:ascii="Times New Roman" w:hAnsi="Times New Roman" w:cs="Times New Roman"/>
          <w:sz w:val="24"/>
          <w:szCs w:val="24"/>
        </w:rPr>
        <w:t>consistently with</w:t>
      </w:r>
      <w:r w:rsidR="00F67501" w:rsidRPr="00DD50D8">
        <w:rPr>
          <w:rFonts w:ascii="Times New Roman" w:hAnsi="Times New Roman" w:cs="Times New Roman"/>
          <w:sz w:val="24"/>
          <w:szCs w:val="24"/>
        </w:rPr>
        <w:t>,</w:t>
      </w:r>
      <w:r w:rsidRPr="00DD50D8">
        <w:rPr>
          <w:rFonts w:ascii="Times New Roman" w:hAnsi="Times New Roman" w:cs="Times New Roman"/>
          <w:sz w:val="24"/>
          <w:szCs w:val="24"/>
        </w:rPr>
        <w:t xml:space="preserve"> the fair trial rights and minimum guarantees in criminal proceedings provided under Article</w:t>
      </w:r>
      <w:r w:rsidR="00390260" w:rsidRPr="00DD50D8">
        <w:rPr>
          <w:rFonts w:ascii="Times New Roman" w:hAnsi="Times New Roman" w:cs="Times New Roman"/>
          <w:sz w:val="24"/>
          <w:szCs w:val="24"/>
        </w:rPr>
        <w:t> </w:t>
      </w:r>
      <w:r w:rsidRPr="00DD50D8">
        <w:rPr>
          <w:rFonts w:ascii="Times New Roman" w:hAnsi="Times New Roman" w:cs="Times New Roman"/>
          <w:sz w:val="24"/>
          <w:szCs w:val="24"/>
        </w:rPr>
        <w:t>14 of the ICCPR.</w:t>
      </w:r>
      <w:r w:rsidRPr="00DD50D8">
        <w:rPr>
          <w:rFonts w:ascii="Times New Roman" w:eastAsia="Times New Roman" w:hAnsi="Times New Roman" w:cs="Times New Roman"/>
          <w:i/>
          <w:sz w:val="24"/>
          <w:szCs w:val="24"/>
          <w:lang w:eastAsia="en-AU"/>
        </w:rPr>
        <w:t xml:space="preserve"> </w:t>
      </w:r>
    </w:p>
    <w:p w14:paraId="1A599319" w14:textId="7AB6A53A" w:rsidR="00763B6E" w:rsidRPr="00DD50D8" w:rsidRDefault="00032C4F" w:rsidP="00390260">
      <w:pPr>
        <w:pStyle w:val="ListParagraph"/>
        <w:keepNext/>
        <w:keepLines/>
        <w:spacing w:before="240" w:line="360" w:lineRule="auto"/>
        <w:ind w:left="0"/>
        <w:contextualSpacing w:val="0"/>
        <w:rPr>
          <w:rFonts w:ascii="Times New Roman" w:hAnsi="Times New Roman" w:cs="Times New Roman"/>
          <w:sz w:val="24"/>
          <w:szCs w:val="24"/>
        </w:rPr>
      </w:pPr>
      <w:r w:rsidRPr="00DD50D8">
        <w:rPr>
          <w:rFonts w:ascii="Times New Roman" w:eastAsia="Times New Roman" w:hAnsi="Times New Roman" w:cs="Times New Roman"/>
          <w:i/>
          <w:sz w:val="24"/>
          <w:szCs w:val="24"/>
          <w:lang w:eastAsia="en-AU"/>
        </w:rPr>
        <w:t>Extradition hearings in Australia</w:t>
      </w:r>
    </w:p>
    <w:p w14:paraId="21B388B5" w14:textId="327ADACC" w:rsidR="002C2B3B" w:rsidRPr="00DD50D8" w:rsidRDefault="00032C4F" w:rsidP="00390260">
      <w:pPr>
        <w:pStyle w:val="ListParagraph"/>
        <w:keepNext/>
        <w:keepLines/>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The guarantee to a fair and public hearing by a competent, independent and impartial tribunal under Article 14(1) of the ICCPR is not engaged in relation to extradition proceedings in Australia. The United Nations Human Rights Committee has noted in its General Comment No. 32 that the right to a fair hearing by a court or tribunal does not apply to extradition proceedings (amongst other types of proceedings) as, in these circumstances, there is no determination of criminal charges nor presence of a suit at law.</w:t>
      </w:r>
      <w:r w:rsidRPr="00DD50D8">
        <w:rPr>
          <w:rStyle w:val="FootnoteReference"/>
          <w:rFonts w:ascii="Times New Roman" w:hAnsi="Times New Roman" w:cs="Times New Roman"/>
          <w:sz w:val="24"/>
          <w:szCs w:val="24"/>
        </w:rPr>
        <w:footnoteReference w:id="21"/>
      </w:r>
      <w:r w:rsidRPr="00DD50D8">
        <w:rPr>
          <w:rFonts w:ascii="Times New Roman" w:hAnsi="Times New Roman" w:cs="Times New Roman"/>
          <w:sz w:val="24"/>
          <w:szCs w:val="24"/>
        </w:rPr>
        <w:t xml:space="preserve"> </w:t>
      </w:r>
      <w:r w:rsidRPr="00DD50D8">
        <w:rPr>
          <w:rFonts w:ascii="Times New Roman" w:eastAsia="Times New Roman" w:hAnsi="Times New Roman" w:cs="Times New Roman"/>
          <w:sz w:val="24"/>
          <w:szCs w:val="24"/>
          <w:lang w:eastAsia="en-AU"/>
        </w:rPr>
        <w:t>This reflects the fact that extradition is not a criminal process or trial. Rather, it is an administrative process to determine whether a person is to be surrendered to face justice in the Requesting Party.</w:t>
      </w:r>
    </w:p>
    <w:p w14:paraId="426D87F9" w14:textId="77777777" w:rsidR="002C2B3B" w:rsidRPr="00DD50D8" w:rsidRDefault="00032C4F" w:rsidP="000E136D">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eastAsia="Times New Roman" w:hAnsi="Times New Roman" w:cs="Times New Roman"/>
          <w:sz w:val="24"/>
          <w:szCs w:val="24"/>
          <w:lang w:eastAsia="en-AU"/>
        </w:rPr>
        <w:t>Nonetheless, the United Nations Human Rights Committee has noted that other procedural guarantees may apply in these circumstances.</w:t>
      </w:r>
      <w:r w:rsidRPr="00DD50D8">
        <w:rPr>
          <w:rStyle w:val="FootnoteReference"/>
          <w:rFonts w:ascii="Times New Roman" w:hAnsi="Times New Roman" w:cs="Times New Roman"/>
          <w:sz w:val="24"/>
          <w:szCs w:val="24"/>
        </w:rPr>
        <w:footnoteReference w:id="22"/>
      </w:r>
      <w:r w:rsidRPr="00DD50D8">
        <w:rPr>
          <w:rFonts w:ascii="Times New Roman" w:eastAsia="Times New Roman" w:hAnsi="Times New Roman" w:cs="Times New Roman"/>
          <w:sz w:val="24"/>
          <w:szCs w:val="24"/>
          <w:lang w:eastAsia="en-AU"/>
        </w:rPr>
        <w:t xml:space="preserve"> These include judicial review by </w:t>
      </w:r>
      <w:r w:rsidRPr="00DD50D8">
        <w:rPr>
          <w:rFonts w:ascii="Times New Roman" w:eastAsia="Times New Roman" w:hAnsi="Times New Roman" w:cs="Times New Roman"/>
          <w:sz w:val="24"/>
          <w:szCs w:val="24"/>
          <w:lang w:eastAsia="en-AU"/>
        </w:rPr>
        <w:lastRenderedPageBreak/>
        <w:t>an independent and impartial tribunal and, in these circumstances, guarantees of impartiality, fairness and equality as enshrined in the first sentence of Article 14(1) of the ICCPR.</w:t>
      </w:r>
      <w:r w:rsidRPr="00DD50D8">
        <w:rPr>
          <w:rStyle w:val="FootnoteReference"/>
          <w:rFonts w:ascii="Times New Roman" w:hAnsi="Times New Roman" w:cs="Times New Roman"/>
          <w:sz w:val="24"/>
          <w:szCs w:val="24"/>
        </w:rPr>
        <w:footnoteReference w:id="23"/>
      </w:r>
      <w:r w:rsidRPr="00DD50D8">
        <w:rPr>
          <w:rFonts w:ascii="Times New Roman" w:eastAsia="Times New Roman" w:hAnsi="Times New Roman" w:cs="Times New Roman"/>
          <w:sz w:val="24"/>
          <w:szCs w:val="24"/>
          <w:lang w:eastAsia="en-AU"/>
        </w:rPr>
        <w:t xml:space="preserve">  </w:t>
      </w:r>
    </w:p>
    <w:p w14:paraId="596F5076" w14:textId="31E19C9A" w:rsidR="002C2B3B" w:rsidRPr="00DD50D8" w:rsidRDefault="00032C4F" w:rsidP="000E136D">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eastAsia="Times New Roman" w:hAnsi="Times New Roman" w:cs="Times New Roman"/>
          <w:sz w:val="24"/>
          <w:szCs w:val="24"/>
          <w:lang w:eastAsia="en-AU"/>
        </w:rPr>
        <w:t xml:space="preserve">The availability of judicial review under section 39B of the </w:t>
      </w:r>
      <w:r w:rsidRPr="00DD50D8">
        <w:rPr>
          <w:rFonts w:ascii="Times New Roman" w:eastAsia="Times New Roman" w:hAnsi="Times New Roman" w:cs="Times New Roman"/>
          <w:i/>
          <w:sz w:val="24"/>
          <w:szCs w:val="24"/>
          <w:lang w:eastAsia="en-AU"/>
        </w:rPr>
        <w:t>Judiciary Act</w:t>
      </w:r>
      <w:r w:rsidRPr="00DD50D8">
        <w:rPr>
          <w:rFonts w:ascii="Times New Roman" w:eastAsia="Times New Roman" w:hAnsi="Times New Roman" w:cs="Times New Roman"/>
          <w:sz w:val="24"/>
          <w:szCs w:val="24"/>
          <w:lang w:eastAsia="en-AU"/>
        </w:rPr>
        <w:t xml:space="preserve"> 1903 and</w:t>
      </w:r>
      <w:r w:rsidRPr="00DD50D8">
        <w:rPr>
          <w:rFonts w:ascii="Times New Roman" w:hAnsi="Times New Roman" w:cs="Times New Roman"/>
          <w:sz w:val="24"/>
          <w:szCs w:val="24"/>
        </w:rPr>
        <w:t xml:space="preserve"> section 75(v) of the Constitution </w:t>
      </w:r>
      <w:r w:rsidRPr="00DD50D8">
        <w:rPr>
          <w:rFonts w:ascii="Times New Roman" w:eastAsia="Times New Roman" w:hAnsi="Times New Roman" w:cs="Times New Roman"/>
          <w:sz w:val="24"/>
          <w:szCs w:val="24"/>
          <w:lang w:eastAsia="en-AU"/>
        </w:rPr>
        <w:t xml:space="preserve">at various stages of the extradition process satisfies this requirement. Further, the subject of an extradition request may seek statutory </w:t>
      </w:r>
      <w:r w:rsidR="003E49A5" w:rsidRPr="00DD50D8">
        <w:rPr>
          <w:rFonts w:ascii="Times New Roman" w:eastAsia="Times New Roman" w:hAnsi="Times New Roman" w:cs="Times New Roman"/>
          <w:sz w:val="24"/>
          <w:szCs w:val="24"/>
          <w:lang w:eastAsia="en-AU"/>
        </w:rPr>
        <w:t xml:space="preserve">merits </w:t>
      </w:r>
      <w:r w:rsidRPr="00DD50D8">
        <w:rPr>
          <w:rFonts w:ascii="Times New Roman" w:eastAsia="Times New Roman" w:hAnsi="Times New Roman" w:cs="Times New Roman"/>
          <w:sz w:val="24"/>
          <w:szCs w:val="24"/>
          <w:lang w:eastAsia="en-AU"/>
        </w:rPr>
        <w:t xml:space="preserve">review of a magistrate or eligible Judge’s surrender eligibility decision under section 21 of the Act. </w:t>
      </w:r>
    </w:p>
    <w:p w14:paraId="353513F6" w14:textId="5FDA6C08" w:rsidR="00032C4F" w:rsidRPr="00DD50D8" w:rsidRDefault="00032C4F" w:rsidP="000E136D">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eastAsia="Times New Roman" w:hAnsi="Times New Roman" w:cs="Times New Roman"/>
          <w:sz w:val="24"/>
          <w:szCs w:val="24"/>
          <w:lang w:eastAsia="en-AU"/>
        </w:rPr>
        <w:t xml:space="preserve">Extradition hearings in Australia are therefore compatible with the relevant procedural guarantees under Article 14(1) of the ICCPR. </w:t>
      </w:r>
    </w:p>
    <w:p w14:paraId="70507744" w14:textId="47C90082" w:rsidR="005C4E91" w:rsidRPr="00DD50D8" w:rsidRDefault="005C4E91" w:rsidP="000E136D">
      <w:pPr>
        <w:keepNext/>
        <w:shd w:val="clear" w:color="auto" w:fill="FFFFFF"/>
        <w:spacing w:line="360" w:lineRule="auto"/>
        <w:rPr>
          <w:rFonts w:ascii="Times New Roman" w:hAnsi="Times New Roman" w:cs="Times New Roman"/>
          <w:color w:val="000000"/>
          <w:sz w:val="24"/>
          <w:szCs w:val="24"/>
          <w:u w:val="single"/>
        </w:rPr>
      </w:pPr>
      <w:r w:rsidRPr="00DD50D8">
        <w:rPr>
          <w:rFonts w:ascii="Times New Roman" w:hAnsi="Times New Roman" w:cs="Times New Roman"/>
          <w:color w:val="000000"/>
          <w:sz w:val="24"/>
          <w:szCs w:val="24"/>
          <w:u w:val="single"/>
        </w:rPr>
        <w:t>The rights of equality and non-discrimination</w:t>
      </w:r>
    </w:p>
    <w:p w14:paraId="19F3C409" w14:textId="77777777" w:rsidR="00104B28" w:rsidRPr="00DD50D8" w:rsidRDefault="00D50B7E" w:rsidP="000E136D">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Article 2(1) of the ICCPR provides that State parties undertake to respect and to ensure to all individuals within its territory and subject to its jurisdiction the rights recognised in the ICCPR, without distinction of any kind, such as race, colour, sex, language, religion, political or other opinion, national or social origin, property, birth or other status. Article 26 of the ICCPR further provides that all persons are equal before the law and are entitled without any discrimination to the equal protection of the law. In this respect, a State party’s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13ECA688" w14:textId="54A478D1" w:rsidR="00104B28" w:rsidRPr="00DD50D8" w:rsidRDefault="00D50B7E" w:rsidP="000E136D">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 xml:space="preserve">The Act and </w:t>
      </w:r>
      <w:r w:rsidR="007862F5" w:rsidRPr="00DD50D8">
        <w:rPr>
          <w:rFonts w:ascii="Times New Roman" w:hAnsi="Times New Roman"/>
          <w:sz w:val="24"/>
          <w:szCs w:val="24"/>
        </w:rPr>
        <w:t xml:space="preserve">the Regulations </w:t>
      </w:r>
      <w:r w:rsidRPr="00DD50D8">
        <w:rPr>
          <w:rFonts w:ascii="Times New Roman" w:hAnsi="Times New Roman" w:cs="Times New Roman"/>
          <w:sz w:val="24"/>
          <w:szCs w:val="24"/>
        </w:rPr>
        <w:t xml:space="preserve">have the potential to engage the rights of equality and non-discrimination in circumstances where an extradition request is made to Australia for the purposes of prosecuting or punishing a person on account of their race, colour, sex, language, religion, political or other opinion, national or social origin, property, birth or other status, or where a person may be prejudiced in the requesting country as a result of these </w:t>
      </w:r>
      <w:r w:rsidR="008607B3" w:rsidRPr="00DD50D8">
        <w:rPr>
          <w:rFonts w:ascii="Times New Roman" w:hAnsi="Times New Roman" w:cs="Times New Roman"/>
          <w:sz w:val="24"/>
          <w:szCs w:val="24"/>
        </w:rPr>
        <w:t>personal</w:t>
      </w:r>
      <w:r w:rsidRPr="00DD50D8">
        <w:rPr>
          <w:rFonts w:ascii="Times New Roman" w:hAnsi="Times New Roman" w:cs="Times New Roman"/>
          <w:sz w:val="24"/>
          <w:szCs w:val="24"/>
        </w:rPr>
        <w:t xml:space="preserve"> attributes. </w:t>
      </w:r>
    </w:p>
    <w:p w14:paraId="4D886B36" w14:textId="74A22D3B" w:rsidR="00104B28" w:rsidRPr="00DD50D8" w:rsidRDefault="00D50B7E" w:rsidP="000E136D">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 xml:space="preserve">The Act contains important safeguards to protect rights of equality and non-discrimination. Section 7 of the Act contains the definition of an ‘extradition objection’. </w:t>
      </w:r>
      <w:r w:rsidRPr="00DD50D8">
        <w:rPr>
          <w:rFonts w:ascii="Times New Roman" w:hAnsi="Times New Roman" w:cs="Times New Roman"/>
          <w:sz w:val="24"/>
          <w:szCs w:val="24"/>
        </w:rPr>
        <w:lastRenderedPageBreak/>
        <w:t>Relevantly, sections 7(b) and 7(c) set out that there is an extradition objection in relation to an extradition offence for which a person’s surrender is sought if:</w:t>
      </w:r>
    </w:p>
    <w:p w14:paraId="079755F8" w14:textId="77777777" w:rsidR="00104B28" w:rsidRPr="00DD50D8" w:rsidRDefault="00D50B7E" w:rsidP="000E136D">
      <w:pPr>
        <w:pStyle w:val="ListParagraph"/>
        <w:numPr>
          <w:ilvl w:val="1"/>
          <w:numId w:val="16"/>
        </w:numPr>
        <w:spacing w:before="240" w:line="360" w:lineRule="auto"/>
        <w:contextualSpacing w:val="0"/>
        <w:rPr>
          <w:rFonts w:ascii="Times New Roman" w:hAnsi="Times New Roman" w:cs="Times New Roman"/>
          <w:sz w:val="24"/>
          <w:szCs w:val="24"/>
        </w:rPr>
      </w:pPr>
      <w:r w:rsidRPr="00DD50D8">
        <w:rPr>
          <w:rFonts w:ascii="Times New Roman" w:hAnsi="Times New Roman" w:cs="Times New Roman"/>
          <w:sz w:val="24"/>
          <w:szCs w:val="24"/>
        </w:rPr>
        <w:t>the person is actually sought for the purpose of prosecuting or punishing the person on account of his or her race, sex, sexual orientation, religion, nationality or political opinions; or</w:t>
      </w:r>
    </w:p>
    <w:p w14:paraId="14EA449B" w14:textId="77777777" w:rsidR="00104B28" w:rsidRPr="00DD50D8" w:rsidRDefault="00D50B7E" w:rsidP="000E136D">
      <w:pPr>
        <w:pStyle w:val="ListParagraph"/>
        <w:numPr>
          <w:ilvl w:val="1"/>
          <w:numId w:val="16"/>
        </w:numPr>
        <w:spacing w:before="240" w:line="360" w:lineRule="auto"/>
        <w:contextualSpacing w:val="0"/>
        <w:rPr>
          <w:rFonts w:ascii="Times New Roman" w:hAnsi="Times New Roman" w:cs="Times New Roman"/>
          <w:sz w:val="24"/>
          <w:szCs w:val="24"/>
        </w:rPr>
      </w:pPr>
      <w:r w:rsidRPr="00DD50D8">
        <w:rPr>
          <w:rFonts w:ascii="Times New Roman" w:hAnsi="Times New Roman" w:cs="Times New Roman"/>
          <w:sz w:val="24"/>
          <w:szCs w:val="24"/>
        </w:rPr>
        <w:t>the person may be prejudiced at his or her trial, or punished, detained or restricted in his or her personal liberty, by reason of his or her race, sex, sexual orientation, religion, nationality or political opinions.</w:t>
      </w:r>
    </w:p>
    <w:p w14:paraId="5B1650DC" w14:textId="77777777" w:rsidR="00E11D3D" w:rsidRPr="00DD50D8" w:rsidRDefault="00D50B7E" w:rsidP="00E11D3D">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The presence of an extradition objection, including on the grounds listed above, has the practical effect of preventing both a finding by a magistrate or eligible Judge that a person is eligible for surrender pursuant to paragraph 19(2)(d), and a surrender determination by the Attorney-General pursuant to paragraph 22(3)(a) in those circumstances.</w:t>
      </w:r>
    </w:p>
    <w:p w14:paraId="336334C8" w14:textId="0CAE2B3F" w:rsidR="00E11D3D" w:rsidRPr="00DD50D8" w:rsidRDefault="00D060F4" w:rsidP="00B361A2">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lang w:val="en-US"/>
        </w:rPr>
        <w:t>T</w:t>
      </w:r>
      <w:r w:rsidR="008B4857" w:rsidRPr="00DD50D8">
        <w:rPr>
          <w:rFonts w:ascii="Times New Roman" w:hAnsi="Times New Roman" w:cs="Times New Roman"/>
          <w:sz w:val="24"/>
          <w:szCs w:val="24"/>
          <w:lang w:val="en-US"/>
        </w:rPr>
        <w:t xml:space="preserve">he attributes listed in the Act go beyond the </w:t>
      </w:r>
      <w:r w:rsidR="008607B3" w:rsidRPr="00DD50D8">
        <w:rPr>
          <w:rFonts w:ascii="Times New Roman" w:hAnsi="Times New Roman" w:cs="Times New Roman"/>
          <w:sz w:val="24"/>
          <w:szCs w:val="24"/>
          <w:lang w:val="en-US"/>
        </w:rPr>
        <w:t>personal</w:t>
      </w:r>
      <w:r w:rsidR="008B4857" w:rsidRPr="00DD50D8">
        <w:rPr>
          <w:rFonts w:ascii="Times New Roman" w:hAnsi="Times New Roman" w:cs="Times New Roman"/>
          <w:sz w:val="24"/>
          <w:szCs w:val="24"/>
          <w:lang w:val="en-US"/>
        </w:rPr>
        <w:t xml:space="preserve"> attributes listed in the United Nations Model Extradition Treaty (which are limited to race, religion, ethnic origin, political opinions, sex or status).</w:t>
      </w:r>
    </w:p>
    <w:p w14:paraId="0D84EE16" w14:textId="10BDB847" w:rsidR="00D060F4" w:rsidRPr="00DD50D8" w:rsidRDefault="00D060F4" w:rsidP="00D060F4">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 xml:space="preserve">The Attorney-General may also </w:t>
      </w:r>
      <w:proofErr w:type="gramStart"/>
      <w:r w:rsidRPr="00DD50D8">
        <w:rPr>
          <w:rFonts w:ascii="Times New Roman" w:hAnsi="Times New Roman" w:cs="Times New Roman"/>
          <w:sz w:val="24"/>
          <w:szCs w:val="24"/>
        </w:rPr>
        <w:t>take into account</w:t>
      </w:r>
      <w:proofErr w:type="gramEnd"/>
      <w:r w:rsidRPr="00DD50D8">
        <w:rPr>
          <w:rFonts w:ascii="Times New Roman" w:hAnsi="Times New Roman" w:cs="Times New Roman"/>
          <w:sz w:val="24"/>
          <w:szCs w:val="24"/>
        </w:rPr>
        <w:t xml:space="preserve"> other considerations relating to discrimination under the general discretion in paragraph 22(3)(f) of the Act when considering whether to make a surrender determination. This could include factors not expressly listed in section 7(b) and 7(c), including age, health or other personal circumstances. Further, any person subject to extradition has an opportunity to make representations to the Attorney-General regarding all of the protected attributes in Article 26 of the ICCPR before he or she makes a surrender determination, so that any such matters can be taken into consideration before reaching a decision.</w:t>
      </w:r>
    </w:p>
    <w:p w14:paraId="3FAE6CC7" w14:textId="640B5668" w:rsidR="00D060F4" w:rsidRPr="00DD50D8" w:rsidRDefault="00D060F4" w:rsidP="00D060F4">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The Act and the Regulations are therefore consistent with the rights of equality and non-discrimination in Articles 2(1) and 26 of the ICCPR.</w:t>
      </w:r>
    </w:p>
    <w:p w14:paraId="42ED9445" w14:textId="34E11090" w:rsidR="00654267" w:rsidRPr="00DD50D8" w:rsidRDefault="00654267" w:rsidP="000E136D">
      <w:pPr>
        <w:keepNext/>
        <w:spacing w:line="360" w:lineRule="auto"/>
        <w:rPr>
          <w:rFonts w:ascii="Times New Roman" w:hAnsi="Times New Roman" w:cs="Times New Roman"/>
          <w:color w:val="000000"/>
          <w:sz w:val="24"/>
          <w:szCs w:val="24"/>
          <w:u w:val="single"/>
        </w:rPr>
      </w:pPr>
      <w:r w:rsidRPr="00DD50D8">
        <w:rPr>
          <w:rFonts w:ascii="Times New Roman" w:hAnsi="Times New Roman" w:cs="Times New Roman"/>
          <w:color w:val="000000"/>
          <w:sz w:val="24"/>
          <w:szCs w:val="24"/>
          <w:u w:val="single"/>
        </w:rPr>
        <w:t>The right to privacy</w:t>
      </w:r>
    </w:p>
    <w:p w14:paraId="4AF8021B" w14:textId="71CE5743" w:rsidR="00654267" w:rsidRPr="00DD50D8" w:rsidRDefault="00654267" w:rsidP="000E136D">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 xml:space="preserve">Article 17 of the ICCPR prohibits unlawful or arbitrary interferences with a person’s privacy. </w:t>
      </w:r>
      <w:r w:rsidRPr="00DD50D8">
        <w:rPr>
          <w:rFonts w:ascii="Times New Roman" w:hAnsi="Times New Roman" w:cs="Times New Roman"/>
          <w:color w:val="000000"/>
          <w:sz w:val="24"/>
          <w:szCs w:val="24"/>
        </w:rPr>
        <w:t xml:space="preserve">Collecting, using, storing, disclosing or publishing personal information amounts to an interference with privacy. In order for the interference with privacy not to be ‘unlawful’, it </w:t>
      </w:r>
      <w:r w:rsidRPr="00DD50D8">
        <w:rPr>
          <w:rFonts w:ascii="Times New Roman" w:hAnsi="Times New Roman" w:cs="Times New Roman"/>
          <w:color w:val="000000"/>
          <w:sz w:val="24"/>
          <w:szCs w:val="24"/>
        </w:rPr>
        <w:lastRenderedPageBreak/>
        <w:t xml:space="preserve">must be provided by law. In order for the interference with privacy to not be </w:t>
      </w:r>
      <w:r w:rsidR="0000526C" w:rsidRPr="00DD50D8">
        <w:rPr>
          <w:rFonts w:ascii="Times New Roman" w:hAnsi="Times New Roman" w:cs="Times New Roman"/>
          <w:color w:val="000000"/>
          <w:sz w:val="24"/>
          <w:szCs w:val="24"/>
        </w:rPr>
        <w:t>‘</w:t>
      </w:r>
      <w:r w:rsidRPr="00DD50D8">
        <w:rPr>
          <w:rFonts w:ascii="Times New Roman" w:hAnsi="Times New Roman" w:cs="Times New Roman"/>
          <w:color w:val="000000"/>
          <w:sz w:val="24"/>
          <w:szCs w:val="24"/>
        </w:rPr>
        <w:t>arbitrary</w:t>
      </w:r>
      <w:r w:rsidR="0000526C" w:rsidRPr="00DD50D8">
        <w:rPr>
          <w:rFonts w:ascii="Times New Roman" w:hAnsi="Times New Roman" w:cs="Times New Roman"/>
          <w:color w:val="000000"/>
          <w:sz w:val="24"/>
          <w:szCs w:val="24"/>
        </w:rPr>
        <w:t>’</w:t>
      </w:r>
      <w:r w:rsidRPr="00DD50D8">
        <w:rPr>
          <w:rFonts w:ascii="Times New Roman" w:hAnsi="Times New Roman" w:cs="Times New Roman"/>
          <w:color w:val="000000"/>
          <w:sz w:val="24"/>
          <w:szCs w:val="24"/>
        </w:rPr>
        <w:t>, it must be in accordance with the provisions, aims and objectives of the ICCPR and should be reasonable, necessary and proportionate in the particular circumstances.</w:t>
      </w:r>
      <w:r w:rsidRPr="00DD50D8">
        <w:rPr>
          <w:rStyle w:val="FootnoteReference"/>
          <w:rFonts w:ascii="Times New Roman" w:hAnsi="Times New Roman" w:cs="Times New Roman"/>
          <w:color w:val="000000"/>
          <w:sz w:val="24"/>
          <w:szCs w:val="24"/>
        </w:rPr>
        <w:footnoteReference w:id="24"/>
      </w:r>
    </w:p>
    <w:p w14:paraId="4E8BAFCF" w14:textId="43996FF3" w:rsidR="00D060F4" w:rsidRPr="00DD50D8" w:rsidRDefault="00D060F4" w:rsidP="00D060F4">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 xml:space="preserve">The Act and the Regulations have the potential to engage the right to privacy. Section 5 of the Act sets out that an extradition request must be in writing and subsection 19(2) details the supporting documents that must be provided by the extradition country in order for a person to be found eligible for surrender. Further, extradition requests are likely to contain a number of personal details relating to the person sought by the extradition country, including those necessary to establish the identity and nationality of the person sought. The collection, use or disclosure of this personal information may therefore interfere with the right to privacy.  </w:t>
      </w:r>
    </w:p>
    <w:p w14:paraId="3767BD05" w14:textId="49F5B9DD" w:rsidR="00D060F4" w:rsidRPr="00DD50D8" w:rsidRDefault="00D060F4" w:rsidP="00D060F4">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 xml:space="preserve">However, the Regulations satisfy the requirement that any interference be lawful. They are also non-arbitrary, in that they are reasonable, necessary and proportionate to achieving the legitimate objective to facilitate the apprehension and surrender of individuals for the purposes of criminal prosecution or to serve a prison sentence in another country. The collection, use or disclosure of personal information in these circumstances supports efforts to combat domestic and transnational crime and prevent Australia from becoming a safe haven for persons accused or convicted of serious crimes in other countries. The collection, use or disclosure of personal information is therefore a reasonable and necessary part of Australia’s extradition regime. </w:t>
      </w:r>
    </w:p>
    <w:p w14:paraId="7AC6929E" w14:textId="2AD93FD6" w:rsidR="00FB434E" w:rsidRPr="00DD50D8" w:rsidRDefault="00FB434E" w:rsidP="000E136D">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T</w:t>
      </w:r>
      <w:r w:rsidR="00654267" w:rsidRPr="00DD50D8">
        <w:rPr>
          <w:rFonts w:ascii="Times New Roman" w:hAnsi="Times New Roman" w:cs="Times New Roman"/>
          <w:sz w:val="24"/>
          <w:szCs w:val="24"/>
        </w:rPr>
        <w:t xml:space="preserve">he Act </w:t>
      </w:r>
      <w:r w:rsidR="00D825CA" w:rsidRPr="00DD50D8">
        <w:rPr>
          <w:rFonts w:ascii="Times New Roman" w:hAnsi="Times New Roman" w:cs="Times New Roman"/>
          <w:sz w:val="24"/>
          <w:szCs w:val="24"/>
        </w:rPr>
        <w:t>provides safeguards</w:t>
      </w:r>
      <w:r w:rsidR="00654267" w:rsidRPr="00DD50D8">
        <w:rPr>
          <w:rFonts w:ascii="Times New Roman" w:hAnsi="Times New Roman" w:cs="Times New Roman"/>
          <w:sz w:val="24"/>
          <w:szCs w:val="24"/>
        </w:rPr>
        <w:t xml:space="preserve"> to protect the confidentiality of the information shared </w:t>
      </w:r>
      <w:r w:rsidRPr="00DD50D8">
        <w:rPr>
          <w:rFonts w:ascii="Times New Roman" w:hAnsi="Times New Roman" w:cs="Times New Roman"/>
          <w:sz w:val="24"/>
          <w:szCs w:val="24"/>
        </w:rPr>
        <w:t>during the extradition process</w:t>
      </w:r>
      <w:r w:rsidR="00654267" w:rsidRPr="00DD50D8">
        <w:rPr>
          <w:rFonts w:ascii="Times New Roman" w:hAnsi="Times New Roman" w:cs="Times New Roman"/>
          <w:sz w:val="24"/>
          <w:szCs w:val="24"/>
        </w:rPr>
        <w:t xml:space="preserve">. Section 54A of the Act provides that the collection, use or disclosure of personal information about an individual is taken to be authorised by the Act for the purposes of the </w:t>
      </w:r>
      <w:r w:rsidR="00654267" w:rsidRPr="00DD50D8">
        <w:rPr>
          <w:rFonts w:ascii="Times New Roman" w:hAnsi="Times New Roman" w:cs="Times New Roman"/>
          <w:i/>
          <w:sz w:val="24"/>
          <w:szCs w:val="24"/>
        </w:rPr>
        <w:t>Privacy</w:t>
      </w:r>
      <w:r w:rsidR="00390260" w:rsidRPr="00DD50D8">
        <w:rPr>
          <w:rFonts w:ascii="Times New Roman" w:hAnsi="Times New Roman" w:cs="Times New Roman"/>
          <w:i/>
          <w:sz w:val="24"/>
          <w:szCs w:val="24"/>
        </w:rPr>
        <w:t> </w:t>
      </w:r>
      <w:r w:rsidR="00654267" w:rsidRPr="00DD50D8">
        <w:rPr>
          <w:rFonts w:ascii="Times New Roman" w:hAnsi="Times New Roman" w:cs="Times New Roman"/>
          <w:i/>
          <w:sz w:val="24"/>
          <w:szCs w:val="24"/>
        </w:rPr>
        <w:t>Act</w:t>
      </w:r>
      <w:r w:rsidR="008732AC" w:rsidRPr="00DD50D8">
        <w:rPr>
          <w:rFonts w:ascii="Times New Roman" w:hAnsi="Times New Roman" w:cs="Times New Roman"/>
          <w:i/>
          <w:sz w:val="24"/>
          <w:szCs w:val="24"/>
        </w:rPr>
        <w:t> </w:t>
      </w:r>
      <w:r w:rsidR="00654267" w:rsidRPr="00DD50D8">
        <w:rPr>
          <w:rFonts w:ascii="Times New Roman" w:hAnsi="Times New Roman" w:cs="Times New Roman"/>
          <w:i/>
          <w:sz w:val="24"/>
          <w:szCs w:val="24"/>
        </w:rPr>
        <w:t>1988</w:t>
      </w:r>
      <w:r w:rsidR="00654267" w:rsidRPr="00DD50D8">
        <w:rPr>
          <w:rFonts w:ascii="Times New Roman" w:hAnsi="Times New Roman" w:cs="Times New Roman"/>
          <w:sz w:val="24"/>
          <w:szCs w:val="24"/>
        </w:rPr>
        <w:t xml:space="preserve"> if it is reasonably necessary for the purposes of the extradition of individuals to or from Australia, including making or considering whether to make, an extradition request. </w:t>
      </w:r>
    </w:p>
    <w:p w14:paraId="79E8E5DA" w14:textId="470A8DE0" w:rsidR="00FB434E" w:rsidRPr="00DD50D8" w:rsidRDefault="00FB434E" w:rsidP="000E136D">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This</w:t>
      </w:r>
      <w:r w:rsidR="00654267" w:rsidRPr="00DD50D8">
        <w:rPr>
          <w:rFonts w:ascii="Times New Roman" w:hAnsi="Times New Roman" w:cs="Times New Roman"/>
          <w:sz w:val="24"/>
          <w:szCs w:val="24"/>
        </w:rPr>
        <w:t xml:space="preserve"> safeguard</w:t>
      </w:r>
      <w:r w:rsidRPr="00DD50D8">
        <w:rPr>
          <w:rFonts w:ascii="Times New Roman" w:hAnsi="Times New Roman" w:cs="Times New Roman"/>
          <w:sz w:val="24"/>
          <w:szCs w:val="24"/>
        </w:rPr>
        <w:t xml:space="preserve"> </w:t>
      </w:r>
      <w:r w:rsidR="00654267" w:rsidRPr="00DD50D8">
        <w:rPr>
          <w:rFonts w:ascii="Times New Roman" w:hAnsi="Times New Roman" w:cs="Times New Roman"/>
          <w:sz w:val="24"/>
          <w:szCs w:val="24"/>
        </w:rPr>
        <w:t>ensure</w:t>
      </w:r>
      <w:r w:rsidRPr="00DD50D8">
        <w:rPr>
          <w:rFonts w:ascii="Times New Roman" w:hAnsi="Times New Roman" w:cs="Times New Roman"/>
          <w:sz w:val="24"/>
          <w:szCs w:val="24"/>
        </w:rPr>
        <w:t>s</w:t>
      </w:r>
      <w:r w:rsidR="00654267" w:rsidRPr="00DD50D8">
        <w:rPr>
          <w:rFonts w:ascii="Times New Roman" w:hAnsi="Times New Roman" w:cs="Times New Roman"/>
          <w:sz w:val="24"/>
          <w:szCs w:val="24"/>
        </w:rPr>
        <w:t xml:space="preserve"> that a person’s information will not be disseminated further than is necessary or for purposes beyond those intended to be achieved under the </w:t>
      </w:r>
      <w:r w:rsidRPr="00DD50D8">
        <w:rPr>
          <w:rFonts w:ascii="Times New Roman" w:hAnsi="Times New Roman" w:cs="Times New Roman"/>
          <w:sz w:val="24"/>
          <w:szCs w:val="24"/>
        </w:rPr>
        <w:t>Act</w:t>
      </w:r>
      <w:r w:rsidR="00654267" w:rsidRPr="00DD50D8">
        <w:rPr>
          <w:rFonts w:ascii="Times New Roman" w:hAnsi="Times New Roman" w:cs="Times New Roman"/>
          <w:sz w:val="24"/>
          <w:szCs w:val="24"/>
        </w:rPr>
        <w:t xml:space="preserve">. Therefore, any limitations under the </w:t>
      </w:r>
      <w:r w:rsidRPr="00DD50D8">
        <w:rPr>
          <w:rFonts w:ascii="Times New Roman" w:hAnsi="Times New Roman" w:cs="Times New Roman"/>
          <w:sz w:val="24"/>
          <w:szCs w:val="24"/>
        </w:rPr>
        <w:t>Act or the</w:t>
      </w:r>
      <w:r w:rsidR="00654267" w:rsidRPr="00DD50D8">
        <w:rPr>
          <w:rFonts w:ascii="Times New Roman" w:hAnsi="Times New Roman" w:cs="Times New Roman"/>
          <w:sz w:val="24"/>
          <w:szCs w:val="24"/>
        </w:rPr>
        <w:t xml:space="preserve"> Regulations on the right to privacy in Article </w:t>
      </w:r>
      <w:r w:rsidR="00654267" w:rsidRPr="00DD50D8">
        <w:rPr>
          <w:rFonts w:ascii="Times New Roman" w:hAnsi="Times New Roman" w:cs="Times New Roman"/>
          <w:sz w:val="24"/>
          <w:szCs w:val="24"/>
        </w:rPr>
        <w:lastRenderedPageBreak/>
        <w:t>17 of the ICCPR are necessary to achieve the legitimate objective to facilitate the apprehension and surrender of individuals for the purposes of criminal prosecution or serving a sentence, and ultimately combat serious transnational crime. The safeguards in the Act to ensure confidentiality of personal information render any limitations on the right to privacy proportionate to this overall objective.</w:t>
      </w:r>
    </w:p>
    <w:p w14:paraId="5BE1C47F" w14:textId="16023E05" w:rsidR="00B31876" w:rsidRPr="00DD50D8" w:rsidRDefault="00654267" w:rsidP="000E136D">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DD50D8">
        <w:rPr>
          <w:rFonts w:ascii="Times New Roman" w:hAnsi="Times New Roman" w:cs="Times New Roman"/>
          <w:sz w:val="24"/>
          <w:szCs w:val="24"/>
        </w:rPr>
        <w:t xml:space="preserve">Therefore, the Act and the Regulations are consistent with the right to privacy in Article 17 of the ICCPR. </w:t>
      </w:r>
      <w:r w:rsidR="00F67501" w:rsidRPr="00DD50D8">
        <w:rPr>
          <w:rFonts w:ascii="Times New Roman" w:hAnsi="Times New Roman" w:cs="Times New Roman"/>
          <w:color w:val="000000"/>
          <w:sz w:val="24"/>
          <w:szCs w:val="24"/>
        </w:rPr>
        <w:t xml:space="preserve">To the extent that the Act and the Regulations may limit this right, any limitation is reasonable, necessary and proportionate to achieve the legitimate objectives of </w:t>
      </w:r>
      <w:r w:rsidR="00F67501" w:rsidRPr="00DD50D8">
        <w:rPr>
          <w:rFonts w:ascii="Times New Roman" w:hAnsi="Times New Roman" w:cs="Times New Roman"/>
          <w:sz w:val="24"/>
          <w:szCs w:val="24"/>
        </w:rPr>
        <w:t xml:space="preserve">the Act and Australia’s extradition regime.  </w:t>
      </w:r>
    </w:p>
    <w:p w14:paraId="1D13E498" w14:textId="77777777" w:rsidR="00B31876" w:rsidRPr="00C9175C" w:rsidRDefault="00B31876" w:rsidP="008034A8">
      <w:pPr>
        <w:pStyle w:val="ListParagraph"/>
        <w:keepNext/>
        <w:spacing w:before="240" w:line="360" w:lineRule="auto"/>
        <w:ind w:left="0"/>
        <w:contextualSpacing w:val="0"/>
        <w:rPr>
          <w:rFonts w:ascii="Times New Roman" w:hAnsi="Times New Roman" w:cs="Times New Roman"/>
          <w:sz w:val="24"/>
          <w:szCs w:val="24"/>
        </w:rPr>
      </w:pPr>
      <w:r w:rsidRPr="00C9175C">
        <w:rPr>
          <w:rFonts w:ascii="Times New Roman" w:hAnsi="Times New Roman" w:cs="Times New Roman"/>
          <w:b/>
          <w:sz w:val="24"/>
          <w:szCs w:val="24"/>
        </w:rPr>
        <w:t xml:space="preserve">Conclusion </w:t>
      </w:r>
    </w:p>
    <w:p w14:paraId="12A34B7E" w14:textId="562CE78D" w:rsidR="004E45E5" w:rsidRPr="00DD50D8" w:rsidRDefault="00B31876" w:rsidP="00B4026D">
      <w:pPr>
        <w:pStyle w:val="ListParagraph"/>
        <w:numPr>
          <w:ilvl w:val="0"/>
          <w:numId w:val="16"/>
        </w:numPr>
        <w:spacing w:before="240" w:line="360" w:lineRule="auto"/>
        <w:ind w:left="0" w:firstLine="0"/>
        <w:contextualSpacing w:val="0"/>
        <w:rPr>
          <w:rFonts w:ascii="Times New Roman" w:hAnsi="Times New Roman" w:cs="Times New Roman"/>
          <w:sz w:val="24"/>
          <w:szCs w:val="24"/>
        </w:rPr>
      </w:pPr>
      <w:r w:rsidRPr="00C9175C">
        <w:rPr>
          <w:rFonts w:ascii="Times New Roman" w:hAnsi="Times New Roman" w:cs="Times New Roman"/>
          <w:color w:val="000000"/>
          <w:sz w:val="24"/>
          <w:szCs w:val="24"/>
        </w:rPr>
        <w:t xml:space="preserve">The Act and </w:t>
      </w:r>
      <w:r w:rsidR="00E71C26" w:rsidRPr="00C9175C">
        <w:rPr>
          <w:rFonts w:ascii="Times New Roman" w:hAnsi="Times New Roman" w:cs="Times New Roman"/>
          <w:color w:val="000000"/>
          <w:sz w:val="24"/>
          <w:szCs w:val="24"/>
        </w:rPr>
        <w:t xml:space="preserve">the Regulations </w:t>
      </w:r>
      <w:r w:rsidRPr="00C9175C">
        <w:rPr>
          <w:rFonts w:ascii="Times New Roman" w:hAnsi="Times New Roman" w:cs="Times New Roman"/>
          <w:color w:val="000000"/>
          <w:sz w:val="24"/>
          <w:szCs w:val="24"/>
        </w:rPr>
        <w:t xml:space="preserve">are compatible with the human rights and freedoms outlined above. Although the Act </w:t>
      </w:r>
      <w:r w:rsidR="00C9175C" w:rsidRPr="00C9175C">
        <w:rPr>
          <w:rFonts w:ascii="Times New Roman" w:hAnsi="Times New Roman" w:cs="Times New Roman"/>
          <w:color w:val="000000"/>
          <w:sz w:val="24"/>
          <w:szCs w:val="24"/>
        </w:rPr>
        <w:t xml:space="preserve">and </w:t>
      </w:r>
      <w:r w:rsidR="00E71C26" w:rsidRPr="00C9175C">
        <w:rPr>
          <w:rFonts w:ascii="Times New Roman" w:hAnsi="Times New Roman" w:cs="Times New Roman"/>
          <w:color w:val="000000"/>
          <w:sz w:val="24"/>
          <w:szCs w:val="24"/>
        </w:rPr>
        <w:t xml:space="preserve">the Regulations </w:t>
      </w:r>
      <w:r w:rsidRPr="00C9175C">
        <w:rPr>
          <w:rFonts w:ascii="Times New Roman" w:hAnsi="Times New Roman" w:cs="Times New Roman"/>
          <w:color w:val="000000"/>
          <w:sz w:val="24"/>
          <w:szCs w:val="24"/>
        </w:rPr>
        <w:t>engage with</w:t>
      </w:r>
      <w:r w:rsidR="0051030E" w:rsidRPr="00C9175C">
        <w:rPr>
          <w:rFonts w:ascii="Times New Roman" w:hAnsi="Times New Roman" w:cs="Times New Roman"/>
          <w:color w:val="000000"/>
          <w:sz w:val="24"/>
          <w:szCs w:val="24"/>
        </w:rPr>
        <w:t>,</w:t>
      </w:r>
      <w:r w:rsidRPr="00C9175C">
        <w:rPr>
          <w:rFonts w:ascii="Times New Roman" w:hAnsi="Times New Roman" w:cs="Times New Roman"/>
          <w:color w:val="000000"/>
          <w:sz w:val="24"/>
          <w:szCs w:val="24"/>
        </w:rPr>
        <w:t xml:space="preserve"> and may operate to limit</w:t>
      </w:r>
      <w:r w:rsidR="0051030E" w:rsidRPr="00C9175C">
        <w:rPr>
          <w:rFonts w:ascii="Times New Roman" w:hAnsi="Times New Roman" w:cs="Times New Roman"/>
          <w:color w:val="000000"/>
          <w:sz w:val="24"/>
          <w:szCs w:val="24"/>
        </w:rPr>
        <w:t>,</w:t>
      </w:r>
      <w:r w:rsidRPr="00C9175C">
        <w:rPr>
          <w:rFonts w:ascii="Times New Roman" w:hAnsi="Times New Roman" w:cs="Times New Roman"/>
          <w:color w:val="000000"/>
          <w:sz w:val="24"/>
          <w:szCs w:val="24"/>
        </w:rPr>
        <w:t xml:space="preserve"> some human rights and freedoms, the protections and safeguards in the Act ensure that any such limitations are reasonable, necessary and proportionate to achieving the </w:t>
      </w:r>
      <w:r w:rsidRPr="00C9175C">
        <w:rPr>
          <w:rFonts w:ascii="Times New Roman" w:hAnsi="Times New Roman" w:cs="Times New Roman"/>
          <w:sz w:val="24"/>
          <w:szCs w:val="24"/>
        </w:rPr>
        <w:t>legitimate objective of facilitating the apprehension and surrender of individuals for the</w:t>
      </w:r>
      <w:r w:rsidRPr="00DD50D8">
        <w:rPr>
          <w:rFonts w:ascii="Times New Roman" w:hAnsi="Times New Roman" w:cs="Times New Roman"/>
          <w:sz w:val="24"/>
          <w:szCs w:val="24"/>
        </w:rPr>
        <w:t xml:space="preserve"> purposes of criminal prosecution or to serve a prison sentence in another country, and ultimately combatting serious crime</w:t>
      </w:r>
      <w:r w:rsidRPr="00DD50D8">
        <w:rPr>
          <w:rFonts w:ascii="Times New Roman" w:hAnsi="Times New Roman" w:cs="Times New Roman"/>
          <w:color w:val="000000"/>
          <w:sz w:val="24"/>
          <w:szCs w:val="24"/>
        </w:rPr>
        <w:t xml:space="preserve">. </w:t>
      </w:r>
    </w:p>
    <w:sectPr w:rsidR="004E45E5" w:rsidRPr="00DD50D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D35FF" w14:textId="77777777" w:rsidR="002F43A7" w:rsidRDefault="002F43A7" w:rsidP="0002636A">
      <w:pPr>
        <w:spacing w:after="0" w:line="240" w:lineRule="auto"/>
      </w:pPr>
      <w:r>
        <w:separator/>
      </w:r>
    </w:p>
  </w:endnote>
  <w:endnote w:type="continuationSeparator" w:id="0">
    <w:p w14:paraId="6C3B1B2A" w14:textId="77777777" w:rsidR="002F43A7" w:rsidRDefault="002F43A7" w:rsidP="0002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314554"/>
      <w:docPartObj>
        <w:docPartGallery w:val="Page Numbers (Bottom of Page)"/>
        <w:docPartUnique/>
      </w:docPartObj>
    </w:sdtPr>
    <w:sdtEndPr>
      <w:rPr>
        <w:rFonts w:ascii="Times New Roman" w:hAnsi="Times New Roman" w:cs="Times New Roman"/>
        <w:noProof/>
      </w:rPr>
    </w:sdtEndPr>
    <w:sdtContent>
      <w:p w14:paraId="09BFDD04" w14:textId="77777777" w:rsidR="006777C8" w:rsidRDefault="006777C8">
        <w:pPr>
          <w:pStyle w:val="Footer"/>
          <w:jc w:val="right"/>
        </w:pPr>
        <w:r w:rsidRPr="00A6318D">
          <w:rPr>
            <w:rFonts w:ascii="Times New Roman" w:hAnsi="Times New Roman" w:cs="Times New Roman"/>
          </w:rPr>
          <w:fldChar w:fldCharType="begin"/>
        </w:r>
        <w:r w:rsidRPr="00A6318D">
          <w:rPr>
            <w:rFonts w:ascii="Times New Roman" w:hAnsi="Times New Roman" w:cs="Times New Roman"/>
          </w:rPr>
          <w:instrText xml:space="preserve"> PAGE   \* MERGEFORMAT </w:instrText>
        </w:r>
        <w:r w:rsidRPr="00A6318D">
          <w:rPr>
            <w:rFonts w:ascii="Times New Roman" w:hAnsi="Times New Roman" w:cs="Times New Roman"/>
          </w:rPr>
          <w:fldChar w:fldCharType="separate"/>
        </w:r>
        <w:r w:rsidRPr="00A6318D">
          <w:rPr>
            <w:rFonts w:ascii="Times New Roman" w:hAnsi="Times New Roman" w:cs="Times New Roman"/>
            <w:noProof/>
          </w:rPr>
          <w:t>4</w:t>
        </w:r>
        <w:r w:rsidRPr="00A6318D">
          <w:rPr>
            <w:rFonts w:ascii="Times New Roman" w:hAnsi="Times New Roman" w:cs="Times New Roman"/>
            <w:noProof/>
          </w:rPr>
          <w:fldChar w:fldCharType="end"/>
        </w:r>
      </w:p>
    </w:sdtContent>
  </w:sdt>
  <w:p w14:paraId="09BFDD05" w14:textId="77777777" w:rsidR="006777C8" w:rsidRDefault="00677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601A6" w14:textId="77777777" w:rsidR="002F43A7" w:rsidRDefault="002F43A7" w:rsidP="0002636A">
      <w:pPr>
        <w:spacing w:after="0" w:line="240" w:lineRule="auto"/>
      </w:pPr>
      <w:r>
        <w:separator/>
      </w:r>
    </w:p>
  </w:footnote>
  <w:footnote w:type="continuationSeparator" w:id="0">
    <w:p w14:paraId="3AE2F631" w14:textId="77777777" w:rsidR="002F43A7" w:rsidRDefault="002F43A7" w:rsidP="0002636A">
      <w:pPr>
        <w:spacing w:after="0" w:line="240" w:lineRule="auto"/>
      </w:pPr>
      <w:r>
        <w:continuationSeparator/>
      </w:r>
    </w:p>
  </w:footnote>
  <w:footnote w:id="1">
    <w:p w14:paraId="08E30CA8" w14:textId="77777777" w:rsidR="006777C8" w:rsidRPr="00631F4F" w:rsidRDefault="006777C8" w:rsidP="00CB4130">
      <w:pPr>
        <w:pStyle w:val="FootnoteText"/>
        <w:rPr>
          <w:rFonts w:ascii="Times New Roman" w:hAnsi="Times New Roman" w:cs="Times New Roman"/>
        </w:rPr>
      </w:pPr>
      <w:r w:rsidRPr="00631F4F">
        <w:rPr>
          <w:rStyle w:val="FootnoteReference"/>
        </w:rPr>
        <w:footnoteRef/>
      </w:r>
      <w:r w:rsidRPr="00631F4F">
        <w:rPr>
          <w:rFonts w:ascii="Times New Roman" w:hAnsi="Times New Roman" w:cs="Times New Roman"/>
        </w:rPr>
        <w:t xml:space="preserve"> </w:t>
      </w:r>
      <w:r w:rsidRPr="00631F4F">
        <w:rPr>
          <w:rFonts w:ascii="Times New Roman" w:hAnsi="Times New Roman" w:cs="Times New Roman"/>
          <w:i/>
        </w:rPr>
        <w:t>Rivera v Minister for Justice and Customs</w:t>
      </w:r>
      <w:r w:rsidRPr="00631F4F">
        <w:rPr>
          <w:rFonts w:ascii="Times New Roman" w:hAnsi="Times New Roman" w:cs="Times New Roman"/>
        </w:rPr>
        <w:t xml:space="preserve"> (2007) 160 FCR 115, 119 [14] (Emmett J, with whom Conti J agreed). </w:t>
      </w:r>
      <w:r w:rsidRPr="001855EE">
        <w:rPr>
          <w:rFonts w:ascii="Times New Roman" w:hAnsi="Times New Roman" w:cs="Times New Roman"/>
        </w:rPr>
        <w:t>This</w:t>
      </w:r>
      <w:r>
        <w:rPr>
          <w:rFonts w:ascii="Times New Roman" w:hAnsi="Times New Roman" w:cs="Times New Roman"/>
        </w:rPr>
        <w:t xml:space="preserve"> position</w:t>
      </w:r>
      <w:r w:rsidRPr="001855EE">
        <w:rPr>
          <w:rFonts w:ascii="Times New Roman" w:hAnsi="Times New Roman" w:cs="Times New Roman"/>
        </w:rPr>
        <w:t xml:space="preserve"> has been subsequently affirmed by the Full Court of the Federal Court of Australia</w:t>
      </w:r>
      <w:r>
        <w:rPr>
          <w:rFonts w:ascii="Times New Roman" w:hAnsi="Times New Roman" w:cs="Times New Roman"/>
        </w:rPr>
        <w:t xml:space="preserve">: </w:t>
      </w:r>
      <w:r w:rsidRPr="00631F4F">
        <w:rPr>
          <w:rFonts w:ascii="Times New Roman" w:hAnsi="Times New Roman" w:cs="Times New Roman"/>
          <w:i/>
        </w:rPr>
        <w:t>Snedden v Minister for Justice (Cth) &amp; Anor</w:t>
      </w:r>
      <w:r>
        <w:rPr>
          <w:rFonts w:ascii="Times New Roman" w:hAnsi="Times New Roman" w:cs="Times New Roman"/>
        </w:rPr>
        <w:t xml:space="preserve"> (2014) 145 ALD 273, 297 [150] (Middleton and Wigney JJ).</w:t>
      </w:r>
    </w:p>
  </w:footnote>
  <w:footnote w:id="2">
    <w:p w14:paraId="708E647C" w14:textId="77777777" w:rsidR="006777C8" w:rsidRDefault="006777C8" w:rsidP="004E45E5">
      <w:pPr>
        <w:pStyle w:val="FootnoteText"/>
      </w:pPr>
      <w:r>
        <w:rPr>
          <w:rStyle w:val="FootnoteReference"/>
        </w:rPr>
        <w:footnoteRef/>
      </w:r>
      <w:r>
        <w:t xml:space="preserve"> </w:t>
      </w:r>
      <w:r w:rsidRPr="00634F60">
        <w:rPr>
          <w:rFonts w:ascii="Times New Roman" w:hAnsi="Times New Roman" w:cs="Times New Roman"/>
        </w:rPr>
        <w:t xml:space="preserve">(2005) 145 FCR 269. </w:t>
      </w:r>
    </w:p>
  </w:footnote>
  <w:footnote w:id="3">
    <w:p w14:paraId="21B1EC2C" w14:textId="77777777" w:rsidR="006777C8" w:rsidRDefault="006777C8" w:rsidP="004E45E5">
      <w:pPr>
        <w:pStyle w:val="FootnoteText"/>
      </w:pPr>
      <w:r>
        <w:rPr>
          <w:rStyle w:val="FootnoteReference"/>
        </w:rPr>
        <w:footnoteRef/>
      </w:r>
      <w:r>
        <w:t xml:space="preserve"> </w:t>
      </w:r>
      <w:r w:rsidRPr="00634F60">
        <w:rPr>
          <w:rFonts w:ascii="Times New Roman" w:hAnsi="Times New Roman" w:cs="Times New Roman"/>
        </w:rPr>
        <w:t>Ibid, 275.</w:t>
      </w:r>
      <w:r>
        <w:t xml:space="preserve"> </w:t>
      </w:r>
    </w:p>
  </w:footnote>
  <w:footnote w:id="4">
    <w:p w14:paraId="6B88A63E" w14:textId="498A4344" w:rsidR="006777C8" w:rsidRPr="002160F4" w:rsidRDefault="006777C8" w:rsidP="002160F4">
      <w:pPr>
        <w:pStyle w:val="FootnoteText"/>
        <w:rPr>
          <w:rFonts w:ascii="Times New Roman" w:hAnsi="Times New Roman" w:cs="Times New Roman"/>
        </w:rPr>
      </w:pPr>
      <w:r w:rsidRPr="002160F4">
        <w:rPr>
          <w:rStyle w:val="FootnoteReference"/>
          <w:rFonts w:ascii="Times New Roman" w:hAnsi="Times New Roman" w:cs="Times New Roman"/>
        </w:rPr>
        <w:footnoteRef/>
      </w:r>
      <w:r w:rsidRPr="002160F4">
        <w:rPr>
          <w:rFonts w:ascii="Times New Roman" w:hAnsi="Times New Roman" w:cs="Times New Roman"/>
        </w:rPr>
        <w:t xml:space="preserve"> </w:t>
      </w:r>
      <w:r>
        <w:rPr>
          <w:rFonts w:ascii="Times New Roman" w:hAnsi="Times New Roman" w:cs="Times New Roman"/>
        </w:rPr>
        <w:t xml:space="preserve">Only one potential breach of an undertaking has been reported over the last decade since reporting began. </w:t>
      </w:r>
      <w:r w:rsidRPr="002160F4">
        <w:rPr>
          <w:rFonts w:ascii="Times New Roman" w:hAnsi="Times New Roman" w:cs="Times New Roman"/>
        </w:rPr>
        <w:t xml:space="preserve">During the 2012-13 </w:t>
      </w:r>
      <w:r>
        <w:rPr>
          <w:rFonts w:ascii="Times New Roman" w:hAnsi="Times New Roman" w:cs="Times New Roman"/>
        </w:rPr>
        <w:t>r</w:t>
      </w:r>
      <w:r w:rsidRPr="002160F4">
        <w:rPr>
          <w:rFonts w:ascii="Times New Roman" w:hAnsi="Times New Roman" w:cs="Times New Roman"/>
        </w:rPr>
        <w:t xml:space="preserve">eporting </w:t>
      </w:r>
      <w:r>
        <w:rPr>
          <w:rFonts w:ascii="Times New Roman" w:hAnsi="Times New Roman" w:cs="Times New Roman"/>
        </w:rPr>
        <w:t>p</w:t>
      </w:r>
      <w:r w:rsidRPr="002160F4">
        <w:rPr>
          <w:rFonts w:ascii="Times New Roman" w:hAnsi="Times New Roman" w:cs="Times New Roman"/>
        </w:rPr>
        <w:t>eriod, Australia became aware that a person surrendered to the U</w:t>
      </w:r>
      <w:r>
        <w:rPr>
          <w:rFonts w:ascii="Times New Roman" w:hAnsi="Times New Roman" w:cs="Times New Roman"/>
        </w:rPr>
        <w:t xml:space="preserve">nited </w:t>
      </w:r>
      <w:r w:rsidRPr="002160F4">
        <w:rPr>
          <w:rFonts w:ascii="Times New Roman" w:hAnsi="Times New Roman" w:cs="Times New Roman"/>
        </w:rPr>
        <w:t>K</w:t>
      </w:r>
      <w:r>
        <w:rPr>
          <w:rFonts w:ascii="Times New Roman" w:hAnsi="Times New Roman" w:cs="Times New Roman"/>
        </w:rPr>
        <w:t>ingdom (UK)</w:t>
      </w:r>
      <w:r w:rsidRPr="002160F4">
        <w:rPr>
          <w:rFonts w:ascii="Times New Roman" w:hAnsi="Times New Roman" w:cs="Times New Roman"/>
        </w:rPr>
        <w:t xml:space="preserve"> in</w:t>
      </w:r>
      <w:r>
        <w:rPr>
          <w:rFonts w:ascii="Times New Roman" w:hAnsi="Times New Roman" w:cs="Times New Roman"/>
        </w:rPr>
        <w:t xml:space="preserve"> </w:t>
      </w:r>
      <w:r w:rsidRPr="002160F4">
        <w:rPr>
          <w:rFonts w:ascii="Times New Roman" w:hAnsi="Times New Roman" w:cs="Times New Roman"/>
        </w:rPr>
        <w:t>April 2012 had been sentenced for an additional minor offence, when the UK had provided an undertaking that the person would not be detained or tried for an offence other than the offence for which the person was surrendered. The UK brought the matter back before the court and the conviction for the additional offence was set aside in July 2013, before the person ha</w:t>
      </w:r>
      <w:r w:rsidR="0065274F">
        <w:rPr>
          <w:rFonts w:ascii="Times New Roman" w:hAnsi="Times New Roman" w:cs="Times New Roman"/>
        </w:rPr>
        <w:t>d</w:t>
      </w:r>
      <w:r w:rsidRPr="002160F4">
        <w:rPr>
          <w:rFonts w:ascii="Times New Roman" w:hAnsi="Times New Roman" w:cs="Times New Roman"/>
        </w:rPr>
        <w:t xml:space="preserve"> served any part of the sentence for that conviction. </w:t>
      </w:r>
    </w:p>
    <w:p w14:paraId="664677D8" w14:textId="77777777" w:rsidR="006777C8" w:rsidRPr="002160F4" w:rsidRDefault="006777C8">
      <w:pPr>
        <w:pStyle w:val="FootnoteText"/>
        <w:rPr>
          <w:rFonts w:ascii="Times New Roman" w:hAnsi="Times New Roman" w:cs="Times New Roman"/>
        </w:rPr>
      </w:pPr>
    </w:p>
  </w:footnote>
  <w:footnote w:id="5">
    <w:p w14:paraId="5D94F24B" w14:textId="77777777" w:rsidR="006777C8" w:rsidRDefault="006777C8" w:rsidP="0057080B">
      <w:pPr>
        <w:pStyle w:val="FootnoteText"/>
      </w:pPr>
      <w:r>
        <w:rPr>
          <w:rStyle w:val="FootnoteReference"/>
        </w:rPr>
        <w:footnoteRef/>
      </w:r>
      <w:r>
        <w:t xml:space="preserve"> </w:t>
      </w:r>
      <w:r w:rsidRPr="00773CCC">
        <w:rPr>
          <w:rFonts w:ascii="Times New Roman" w:hAnsi="Times New Roman" w:cs="Times New Roman"/>
        </w:rPr>
        <w:t xml:space="preserve">See, for example </w:t>
      </w:r>
      <w:r w:rsidRPr="00773CCC">
        <w:rPr>
          <w:rFonts w:ascii="Times New Roman" w:hAnsi="Times New Roman" w:cs="Times New Roman"/>
          <w:i/>
        </w:rPr>
        <w:t xml:space="preserve">A v Australia, </w:t>
      </w:r>
      <w:r w:rsidRPr="00FF578E">
        <w:rPr>
          <w:rFonts w:ascii="Times New Roman" w:hAnsi="Times New Roman" w:cs="Times New Roman"/>
        </w:rPr>
        <w:t>Communication No</w:t>
      </w:r>
      <w:r w:rsidRPr="00773CCC">
        <w:rPr>
          <w:rFonts w:ascii="Times New Roman" w:hAnsi="Times New Roman" w:cs="Times New Roman"/>
          <w:i/>
        </w:rPr>
        <w:t xml:space="preserve"> </w:t>
      </w:r>
      <w:r w:rsidRPr="00386902">
        <w:rPr>
          <w:rFonts w:ascii="Times New Roman" w:hAnsi="Times New Roman" w:cs="Times New Roman"/>
        </w:rPr>
        <w:t>560/1993</w:t>
      </w:r>
      <w:r w:rsidRPr="00773CCC">
        <w:rPr>
          <w:rFonts w:ascii="Times New Roman" w:hAnsi="Times New Roman" w:cs="Times New Roman"/>
        </w:rPr>
        <w:t xml:space="preserve">, </w:t>
      </w:r>
      <w:r>
        <w:rPr>
          <w:rFonts w:ascii="Times New Roman" w:hAnsi="Times New Roman" w:cs="Times New Roman"/>
        </w:rPr>
        <w:t>Views adopted 30</w:t>
      </w:r>
      <w:r w:rsidRPr="00773CCC">
        <w:rPr>
          <w:rFonts w:ascii="Times New Roman" w:hAnsi="Times New Roman" w:cs="Times New Roman"/>
        </w:rPr>
        <w:t xml:space="preserve"> April 1997, </w:t>
      </w:r>
      <w:r>
        <w:rPr>
          <w:rFonts w:ascii="Times New Roman" w:hAnsi="Times New Roman" w:cs="Times New Roman"/>
        </w:rPr>
        <w:t xml:space="preserve">UN Doc CCPR/C/59/D/560/1993, </w:t>
      </w:r>
      <w:r w:rsidRPr="00773CCC">
        <w:rPr>
          <w:rFonts w:ascii="Times New Roman" w:hAnsi="Times New Roman" w:cs="Times New Roman"/>
        </w:rPr>
        <w:t>paragraph 9.2.</w:t>
      </w:r>
    </w:p>
  </w:footnote>
  <w:footnote w:id="6">
    <w:p w14:paraId="36201E29" w14:textId="77777777" w:rsidR="006777C8" w:rsidRPr="00FA24C1" w:rsidRDefault="006777C8" w:rsidP="0057080B">
      <w:pPr>
        <w:pStyle w:val="FootnoteText"/>
        <w:rPr>
          <w:rFonts w:ascii="Times New Roman" w:hAnsi="Times New Roman" w:cs="Times New Roman"/>
        </w:rPr>
      </w:pPr>
      <w:r w:rsidRPr="00FA24C1">
        <w:rPr>
          <w:rStyle w:val="FootnoteReference"/>
        </w:rPr>
        <w:footnoteRef/>
      </w:r>
      <w:r w:rsidRPr="00FA24C1">
        <w:rPr>
          <w:rFonts w:ascii="Times New Roman" w:hAnsi="Times New Roman" w:cs="Times New Roman"/>
        </w:rPr>
        <w:t xml:space="preserve"> </w:t>
      </w:r>
      <w:r w:rsidRPr="00FA24C1">
        <w:rPr>
          <w:rFonts w:ascii="Times New Roman" w:hAnsi="Times New Roman" w:cs="Times New Roman"/>
          <w:i/>
        </w:rPr>
        <w:t>Bakhtiyari v Australia</w:t>
      </w:r>
      <w:r w:rsidRPr="00FA24C1">
        <w:rPr>
          <w:rFonts w:ascii="Times New Roman" w:hAnsi="Times New Roman" w:cs="Times New Roman"/>
        </w:rPr>
        <w:t>, Communication No. 1069/2002</w:t>
      </w:r>
      <w:r>
        <w:rPr>
          <w:rFonts w:ascii="Times New Roman" w:hAnsi="Times New Roman" w:cs="Times New Roman"/>
        </w:rPr>
        <w:t>,</w:t>
      </w:r>
      <w:r w:rsidRPr="00FA24C1">
        <w:rPr>
          <w:rFonts w:ascii="Times New Roman" w:hAnsi="Times New Roman" w:cs="Times New Roman"/>
        </w:rPr>
        <w:t xml:space="preserve"> Views adopted 29 October 2003, UN Doc CCPR/C/79/D/1069/2002, paragraphs 9.2-9.4. </w:t>
      </w:r>
    </w:p>
  </w:footnote>
  <w:footnote w:id="7">
    <w:p w14:paraId="0931C87D" w14:textId="77777777" w:rsidR="006777C8" w:rsidRPr="0041496D" w:rsidRDefault="006777C8" w:rsidP="0057080B">
      <w:pPr>
        <w:pStyle w:val="FootnoteText"/>
        <w:rPr>
          <w:rFonts w:ascii="Times New Roman" w:hAnsi="Times New Roman" w:cs="Times New Roman"/>
        </w:rPr>
      </w:pPr>
      <w:r w:rsidRPr="00F45A28">
        <w:rPr>
          <w:rStyle w:val="FootnoteReference"/>
        </w:rPr>
        <w:footnoteRef/>
      </w:r>
      <w:r w:rsidRPr="00F45A28">
        <w:rPr>
          <w:rFonts w:ascii="Times New Roman" w:hAnsi="Times New Roman" w:cs="Times New Roman"/>
        </w:rPr>
        <w:t xml:space="preserve"> </w:t>
      </w:r>
      <w:r w:rsidRPr="00F45A28">
        <w:rPr>
          <w:rFonts w:ascii="Times New Roman" w:hAnsi="Times New Roman" w:cs="Times New Roman"/>
          <w:i/>
        </w:rPr>
        <w:t xml:space="preserve">United Mexican States v Cabal </w:t>
      </w:r>
      <w:r w:rsidRPr="00F45A28">
        <w:rPr>
          <w:rFonts w:ascii="Times New Roman" w:hAnsi="Times New Roman" w:cs="Times New Roman"/>
        </w:rPr>
        <w:t>(2001) 209 CLR 165 at</w:t>
      </w:r>
      <w:r>
        <w:rPr>
          <w:rFonts w:ascii="Times New Roman" w:hAnsi="Times New Roman" w:cs="Times New Roman"/>
        </w:rPr>
        <w:t xml:space="preserve"> 191</w:t>
      </w:r>
      <w:r w:rsidRPr="00F45A28">
        <w:rPr>
          <w:rFonts w:ascii="Times New Roman" w:hAnsi="Times New Roman" w:cs="Times New Roman"/>
        </w:rPr>
        <w:t xml:space="preserve"> [</w:t>
      </w:r>
      <w:r>
        <w:rPr>
          <w:rFonts w:ascii="Times New Roman" w:hAnsi="Times New Roman" w:cs="Times New Roman"/>
        </w:rPr>
        <w:t>61</w:t>
      </w:r>
      <w:r w:rsidRPr="00F45A28">
        <w:rPr>
          <w:rFonts w:ascii="Times New Roman" w:hAnsi="Times New Roman" w:cs="Times New Roman"/>
        </w:rPr>
        <w:t>]</w:t>
      </w:r>
      <w:r>
        <w:rPr>
          <w:rFonts w:ascii="Times New Roman" w:hAnsi="Times New Roman" w:cs="Times New Roman"/>
        </w:rPr>
        <w:t xml:space="preserve"> (Gleeson CJ, McHugh and Gummow JJ) </w:t>
      </w:r>
      <w:r w:rsidRPr="00AC40FB">
        <w:rPr>
          <w:rFonts w:ascii="Times New Roman" w:hAnsi="Times New Roman" w:cs="Times New Roman"/>
        </w:rPr>
        <w:t>(‘</w:t>
      </w:r>
      <w:r w:rsidRPr="00AC40FB">
        <w:rPr>
          <w:rFonts w:ascii="Times New Roman" w:hAnsi="Times New Roman" w:cs="Times New Roman"/>
          <w:i/>
        </w:rPr>
        <w:t>Ca</w:t>
      </w:r>
      <w:r w:rsidRPr="005E29A1">
        <w:rPr>
          <w:rFonts w:ascii="Times New Roman" w:hAnsi="Times New Roman" w:cs="Times New Roman"/>
          <w:i/>
        </w:rPr>
        <w:t>bal</w:t>
      </w:r>
      <w:r w:rsidRPr="005E29A1">
        <w:rPr>
          <w:rFonts w:ascii="Times New Roman" w:hAnsi="Times New Roman" w:cs="Times New Roman"/>
        </w:rPr>
        <w:t>’)</w:t>
      </w:r>
      <w:r w:rsidRPr="0041496D">
        <w:rPr>
          <w:rFonts w:ascii="Times New Roman" w:hAnsi="Times New Roman" w:cs="Times New Roman"/>
        </w:rPr>
        <w:t xml:space="preserve">. </w:t>
      </w:r>
    </w:p>
  </w:footnote>
  <w:footnote w:id="8">
    <w:p w14:paraId="55E522B9" w14:textId="77777777" w:rsidR="006777C8" w:rsidRPr="005E29A1" w:rsidRDefault="006777C8" w:rsidP="0057080B">
      <w:pPr>
        <w:pStyle w:val="FootnoteText"/>
        <w:rPr>
          <w:rFonts w:ascii="Times New Roman" w:hAnsi="Times New Roman" w:cs="Times New Roman"/>
        </w:rPr>
      </w:pPr>
      <w:r w:rsidRPr="00AC40FB">
        <w:rPr>
          <w:rStyle w:val="FootnoteReference"/>
        </w:rPr>
        <w:footnoteRef/>
      </w:r>
      <w:r w:rsidRPr="00AC40FB">
        <w:rPr>
          <w:rFonts w:ascii="Times New Roman" w:hAnsi="Times New Roman" w:cs="Times New Roman"/>
        </w:rPr>
        <w:t xml:space="preserve"> Ibid. </w:t>
      </w:r>
    </w:p>
  </w:footnote>
  <w:footnote w:id="9">
    <w:p w14:paraId="5271FFB4" w14:textId="77777777" w:rsidR="006777C8" w:rsidRDefault="006777C8" w:rsidP="0057080B">
      <w:pPr>
        <w:pStyle w:val="FootnoteText"/>
      </w:pPr>
      <w:r w:rsidRPr="00AC40FB">
        <w:rPr>
          <w:rStyle w:val="FootnoteReference"/>
        </w:rPr>
        <w:footnoteRef/>
      </w:r>
      <w:r w:rsidRPr="00AC40FB">
        <w:rPr>
          <w:rFonts w:ascii="Times New Roman" w:hAnsi="Times New Roman" w:cs="Times New Roman"/>
        </w:rPr>
        <w:t xml:space="preserve"> Ibid, </w:t>
      </w:r>
      <w:bookmarkStart w:id="6" w:name="_Hlk101867641"/>
      <w:r w:rsidRPr="00AC40FB">
        <w:rPr>
          <w:rFonts w:ascii="Times New Roman" w:hAnsi="Times New Roman" w:cs="Times New Roman"/>
        </w:rPr>
        <w:t>191-191 [62] (Gleeson CJ, McHugh and Gummow JJ</w:t>
      </w:r>
      <w:r w:rsidRPr="005E29A1">
        <w:rPr>
          <w:rFonts w:ascii="Times New Roman" w:hAnsi="Times New Roman" w:cs="Times New Roman"/>
        </w:rPr>
        <w:t>).</w:t>
      </w:r>
      <w:r>
        <w:rPr>
          <w:rFonts w:ascii="Times New Roman" w:hAnsi="Times New Roman" w:cs="Times New Roman"/>
        </w:rPr>
        <w:t xml:space="preserve"> </w:t>
      </w:r>
      <w:bookmarkEnd w:id="6"/>
    </w:p>
  </w:footnote>
  <w:footnote w:id="10">
    <w:p w14:paraId="7A6B76D3" w14:textId="4A2D5A38" w:rsidR="006777C8" w:rsidRPr="00315141" w:rsidRDefault="006777C8" w:rsidP="0057080B">
      <w:pPr>
        <w:pStyle w:val="FootnoteText"/>
        <w:rPr>
          <w:rFonts w:ascii="Times New Roman" w:hAnsi="Times New Roman" w:cs="Times New Roman"/>
        </w:rPr>
      </w:pPr>
      <w:r w:rsidRPr="00315141">
        <w:rPr>
          <w:rStyle w:val="FootnoteReference"/>
        </w:rPr>
        <w:footnoteRef/>
      </w:r>
      <w:r w:rsidRPr="00315141">
        <w:rPr>
          <w:rFonts w:ascii="Times New Roman" w:hAnsi="Times New Roman" w:cs="Times New Roman"/>
        </w:rPr>
        <w:t xml:space="preserve"> </w:t>
      </w:r>
      <w:r>
        <w:rPr>
          <w:rFonts w:ascii="Times New Roman" w:hAnsi="Times New Roman" w:cs="Times New Roman"/>
        </w:rPr>
        <w:t xml:space="preserve">In addition to the statutory rights to bail under the Act, the Australian Government recognises that the Federal Court of Australia has the power to grant bail in the context of proceedings for judicial review of an extradition decision under section 39B of the </w:t>
      </w:r>
      <w:r w:rsidRPr="0022117B">
        <w:rPr>
          <w:rFonts w:ascii="Times New Roman" w:hAnsi="Times New Roman" w:cs="Times New Roman"/>
          <w:i/>
        </w:rPr>
        <w:t>Judiciary Act 1903</w:t>
      </w:r>
      <w:r>
        <w:rPr>
          <w:rFonts w:ascii="Times New Roman" w:hAnsi="Times New Roman" w:cs="Times New Roman"/>
        </w:rPr>
        <w:t xml:space="preserve">. This power arises by virtue of section 23 of the </w:t>
      </w:r>
      <w:r w:rsidRPr="0022117B">
        <w:rPr>
          <w:rFonts w:ascii="Times New Roman" w:hAnsi="Times New Roman" w:cs="Times New Roman"/>
          <w:i/>
        </w:rPr>
        <w:t>Federal Court Act 1976</w:t>
      </w:r>
      <w:r>
        <w:rPr>
          <w:rFonts w:ascii="Times New Roman" w:hAnsi="Times New Roman" w:cs="Times New Roman"/>
          <w:i/>
        </w:rPr>
        <w:t xml:space="preserve"> </w:t>
      </w:r>
      <w:r>
        <w:rPr>
          <w:rFonts w:ascii="Times New Roman" w:hAnsi="Times New Roman" w:cs="Times New Roman"/>
        </w:rPr>
        <w:t xml:space="preserve">(as confirmed in </w:t>
      </w:r>
      <w:r>
        <w:rPr>
          <w:rFonts w:ascii="Times New Roman" w:hAnsi="Times New Roman" w:cs="Times New Roman"/>
          <w:i/>
        </w:rPr>
        <w:t>Adamas v The Hon Brendan O’Connor (No 3)</w:t>
      </w:r>
      <w:r>
        <w:rPr>
          <w:rFonts w:ascii="Times New Roman" w:hAnsi="Times New Roman" w:cs="Times New Roman"/>
        </w:rPr>
        <w:t xml:space="preserve"> [2012] FCA 365, [16]-[17] (Gilmour J)). Further, the High Court of Australia has the power to grant bail in extradition proceedings as an incident of its appellate jurisdiction granted by section 73 of the Constitution (as confirmed in </w:t>
      </w:r>
      <w:r>
        <w:rPr>
          <w:rFonts w:ascii="Times New Roman" w:hAnsi="Times New Roman" w:cs="Times New Roman"/>
          <w:i/>
        </w:rPr>
        <w:t xml:space="preserve">Cabal, </w:t>
      </w:r>
      <w:r w:rsidRPr="00EF1112">
        <w:rPr>
          <w:rFonts w:ascii="Times New Roman" w:hAnsi="Times New Roman" w:cs="Times New Roman"/>
        </w:rPr>
        <w:t xml:space="preserve">182-183 [44] </w:t>
      </w:r>
      <w:r w:rsidRPr="00AC40FB">
        <w:rPr>
          <w:rFonts w:ascii="Times New Roman" w:hAnsi="Times New Roman" w:cs="Times New Roman"/>
        </w:rPr>
        <w:t>(Gleeson CJ, McHugh and Gummow JJ</w:t>
      </w:r>
      <w:r w:rsidRPr="005E29A1">
        <w:rPr>
          <w:rFonts w:ascii="Times New Roman" w:hAnsi="Times New Roman" w:cs="Times New Roman"/>
        </w:rPr>
        <w:t>)</w:t>
      </w:r>
      <w:r>
        <w:rPr>
          <w:rFonts w:ascii="Times New Roman" w:hAnsi="Times New Roman" w:cs="Times New Roman"/>
        </w:rPr>
        <w:t xml:space="preserve">). </w:t>
      </w:r>
    </w:p>
  </w:footnote>
  <w:footnote w:id="11">
    <w:p w14:paraId="07BA8613" w14:textId="4DA5289A" w:rsidR="006777C8" w:rsidRPr="00D42622" w:rsidRDefault="006777C8" w:rsidP="0057080B">
      <w:pPr>
        <w:pStyle w:val="FootnoteText"/>
        <w:rPr>
          <w:rFonts w:ascii="Times New Roman" w:hAnsi="Times New Roman"/>
        </w:rPr>
      </w:pPr>
      <w:r w:rsidRPr="00D42622">
        <w:rPr>
          <w:rStyle w:val="FootnoteReference"/>
        </w:rPr>
        <w:footnoteRef/>
      </w:r>
      <w:r w:rsidRPr="00D42622">
        <w:rPr>
          <w:rStyle w:val="FootnoteReference"/>
        </w:rPr>
        <w:t xml:space="preserve"> </w:t>
      </w:r>
      <w:r w:rsidRPr="00D42622">
        <w:rPr>
          <w:rFonts w:ascii="Times New Roman" w:hAnsi="Times New Roman"/>
        </w:rPr>
        <w:t xml:space="preserve">Unreported – </w:t>
      </w:r>
      <w:r w:rsidRPr="00D42622">
        <w:rPr>
          <w:rFonts w:ascii="Times New Roman" w:hAnsi="Times New Roman"/>
          <w:i/>
        </w:rPr>
        <w:t>Smiglewski v Republic of Poland</w:t>
      </w:r>
      <w:r w:rsidRPr="00D42622">
        <w:rPr>
          <w:rFonts w:ascii="Times New Roman" w:hAnsi="Times New Roman"/>
        </w:rPr>
        <w:t xml:space="preserve">; Unreported – </w:t>
      </w:r>
      <w:r w:rsidRPr="00D42622">
        <w:rPr>
          <w:rFonts w:ascii="Times New Roman" w:hAnsi="Times New Roman"/>
          <w:i/>
        </w:rPr>
        <w:t>Lichtanska v The Republic of Poland</w:t>
      </w:r>
      <w:r>
        <w:rPr>
          <w:rFonts w:ascii="Times New Roman" w:hAnsi="Times New Roman"/>
          <w:i/>
        </w:rPr>
        <w:t xml:space="preserve">; </w:t>
      </w:r>
      <w:r w:rsidRPr="000F0AE5">
        <w:rPr>
          <w:rFonts w:ascii="Times New Roman" w:hAnsi="Times New Roman"/>
        </w:rPr>
        <w:t>Unreported</w:t>
      </w:r>
      <w:r w:rsidRPr="000F0AE5">
        <w:rPr>
          <w:rFonts w:ascii="Times New Roman" w:hAnsi="Times New Roman"/>
          <w:i/>
        </w:rPr>
        <w:t xml:space="preserve"> – </w:t>
      </w:r>
      <w:r w:rsidRPr="000F0AE5">
        <w:rPr>
          <w:rFonts w:ascii="Times New Roman" w:hAnsi="Times New Roman"/>
          <w:i/>
          <w:iCs/>
        </w:rPr>
        <w:t>Renshaw v United Kingdom</w:t>
      </w:r>
      <w:r w:rsidRPr="000F0AE5">
        <w:rPr>
          <w:rFonts w:ascii="Times New Roman" w:hAnsi="Times New Roman"/>
          <w:i/>
        </w:rPr>
        <w:t>.</w:t>
      </w:r>
    </w:p>
  </w:footnote>
  <w:footnote w:id="12">
    <w:p w14:paraId="19B63F7A" w14:textId="7B115579" w:rsidR="006777C8" w:rsidRPr="00D42622" w:rsidRDefault="006777C8" w:rsidP="0057080B">
      <w:pPr>
        <w:pStyle w:val="FootnoteText"/>
        <w:rPr>
          <w:rFonts w:ascii="Times New Roman" w:hAnsi="Times New Roman"/>
        </w:rPr>
      </w:pPr>
      <w:r w:rsidRPr="00D42622">
        <w:rPr>
          <w:rStyle w:val="FootnoteReference"/>
        </w:rPr>
        <w:footnoteRef/>
      </w:r>
      <w:r w:rsidRPr="00D42622">
        <w:rPr>
          <w:rFonts w:ascii="Times New Roman" w:hAnsi="Times New Roman"/>
        </w:rPr>
        <w:t xml:space="preserve"> </w:t>
      </w:r>
      <w:r w:rsidRPr="00D42622">
        <w:rPr>
          <w:rFonts w:ascii="Times New Roman" w:hAnsi="Times New Roman"/>
          <w:i/>
        </w:rPr>
        <w:t xml:space="preserve">Zentai v Republic of Hungary </w:t>
      </w:r>
      <w:r w:rsidRPr="00D42622">
        <w:rPr>
          <w:rFonts w:ascii="Times New Roman" w:hAnsi="Times New Roman"/>
        </w:rPr>
        <w:t xml:space="preserve">[2009] FCA 511; </w:t>
      </w:r>
      <w:r w:rsidRPr="00D42622">
        <w:rPr>
          <w:rFonts w:ascii="Times New Roman" w:hAnsi="Times New Roman"/>
          <w:i/>
        </w:rPr>
        <w:t xml:space="preserve">Kalejs v Minister for Justice and Customs and Another </w:t>
      </w:r>
      <w:r>
        <w:rPr>
          <w:rFonts w:ascii="Times New Roman" w:hAnsi="Times New Roman"/>
        </w:rPr>
        <w:t xml:space="preserve">(2001) 111 FCR 442; </w:t>
      </w:r>
      <w:r w:rsidRPr="00AA0767">
        <w:rPr>
          <w:rFonts w:ascii="Times New Roman" w:hAnsi="Times New Roman"/>
        </w:rPr>
        <w:t xml:space="preserve">Unreported – </w:t>
      </w:r>
      <w:r w:rsidRPr="00AA0767">
        <w:rPr>
          <w:rFonts w:ascii="Times New Roman" w:hAnsi="Times New Roman"/>
          <w:i/>
          <w:iCs/>
        </w:rPr>
        <w:t>Cassidy v The United Kingdom</w:t>
      </w:r>
      <w:r w:rsidRPr="00AA0767">
        <w:rPr>
          <w:rFonts w:ascii="Times New Roman" w:hAnsi="Times New Roman"/>
        </w:rPr>
        <w:t xml:space="preserve">; Unreported – </w:t>
      </w:r>
      <w:r w:rsidRPr="00AA0767">
        <w:rPr>
          <w:rFonts w:ascii="Times New Roman" w:hAnsi="Times New Roman"/>
          <w:i/>
          <w:iCs/>
        </w:rPr>
        <w:t>Renshaw v United Kingdom</w:t>
      </w:r>
      <w:r>
        <w:rPr>
          <w:rFonts w:ascii="Times New Roman" w:hAnsi="Times New Roman"/>
        </w:rPr>
        <w:t>.</w:t>
      </w:r>
    </w:p>
  </w:footnote>
  <w:footnote w:id="13">
    <w:p w14:paraId="7FADE41D" w14:textId="77777777" w:rsidR="006777C8" w:rsidRPr="00D42622" w:rsidRDefault="006777C8" w:rsidP="0057080B">
      <w:pPr>
        <w:pStyle w:val="FootnoteText"/>
        <w:rPr>
          <w:rFonts w:ascii="Times New Roman" w:hAnsi="Times New Roman"/>
        </w:rPr>
      </w:pPr>
      <w:r w:rsidRPr="00D42622">
        <w:rPr>
          <w:rStyle w:val="FootnoteReference"/>
        </w:rPr>
        <w:footnoteRef/>
      </w:r>
      <w:r w:rsidRPr="00D42622">
        <w:rPr>
          <w:rFonts w:ascii="Times New Roman" w:hAnsi="Times New Roman"/>
        </w:rPr>
        <w:t xml:space="preserve"> Unreported – </w:t>
      </w:r>
      <w:r w:rsidRPr="00D42622">
        <w:rPr>
          <w:rFonts w:ascii="Times New Roman" w:hAnsi="Times New Roman"/>
          <w:i/>
        </w:rPr>
        <w:t>Paul Thompson v United States of America</w:t>
      </w:r>
      <w:r w:rsidRPr="00D42622">
        <w:rPr>
          <w:rFonts w:ascii="Times New Roman" w:hAnsi="Times New Roman"/>
        </w:rPr>
        <w:t>.</w:t>
      </w:r>
    </w:p>
  </w:footnote>
  <w:footnote w:id="14">
    <w:p w14:paraId="4D152099" w14:textId="77777777" w:rsidR="006777C8" w:rsidRPr="00D42622" w:rsidRDefault="006777C8" w:rsidP="0057080B">
      <w:pPr>
        <w:pStyle w:val="FootnoteText"/>
        <w:rPr>
          <w:rFonts w:ascii="Times New Roman" w:hAnsi="Times New Roman"/>
          <w:sz w:val="22"/>
          <w:szCs w:val="22"/>
        </w:rPr>
      </w:pPr>
      <w:r w:rsidRPr="00D42622">
        <w:rPr>
          <w:rStyle w:val="FootnoteReference"/>
        </w:rPr>
        <w:footnoteRef/>
      </w:r>
      <w:r w:rsidRPr="00D42622">
        <w:rPr>
          <w:rStyle w:val="FootnoteReference"/>
        </w:rPr>
        <w:t xml:space="preserve"> </w:t>
      </w:r>
      <w:r w:rsidRPr="00D42622">
        <w:rPr>
          <w:rFonts w:ascii="Times New Roman" w:hAnsi="Times New Roman"/>
          <w:i/>
        </w:rPr>
        <w:t xml:space="preserve">United States of America v Green </w:t>
      </w:r>
      <w:r w:rsidRPr="00D42622">
        <w:rPr>
          <w:rFonts w:ascii="Times New Roman" w:hAnsi="Times New Roman"/>
        </w:rPr>
        <w:t>(2009) 257 ALR 252.</w:t>
      </w:r>
    </w:p>
  </w:footnote>
  <w:footnote w:id="15">
    <w:p w14:paraId="4598E729" w14:textId="60A96048" w:rsidR="006777C8" w:rsidRDefault="006777C8">
      <w:pPr>
        <w:pStyle w:val="FootnoteText"/>
      </w:pPr>
      <w:r w:rsidRPr="000F0AE5">
        <w:rPr>
          <w:rStyle w:val="FootnoteReference"/>
          <w:rFonts w:ascii="Times New Roman" w:hAnsi="Times New Roman" w:cs="Times New Roman"/>
        </w:rPr>
        <w:footnoteRef/>
      </w:r>
      <w:r w:rsidRPr="000F0AE5">
        <w:rPr>
          <w:rFonts w:ascii="Times New Roman" w:hAnsi="Times New Roman" w:cs="Times New Roman"/>
        </w:rPr>
        <w:t xml:space="preserve"> Unreported</w:t>
      </w:r>
      <w:r w:rsidRPr="00AA0767">
        <w:rPr>
          <w:rFonts w:ascii="Times New Roman" w:hAnsi="Times New Roman"/>
        </w:rPr>
        <w:t xml:space="preserve"> – </w:t>
      </w:r>
      <w:r w:rsidRPr="00AA0767">
        <w:rPr>
          <w:rFonts w:ascii="Times New Roman" w:hAnsi="Times New Roman"/>
          <w:i/>
          <w:iCs/>
        </w:rPr>
        <w:t>Cassidy v The United Kingdom</w:t>
      </w:r>
      <w:r>
        <w:rPr>
          <w:rFonts w:ascii="Times New Roman" w:hAnsi="Times New Roman"/>
          <w:i/>
          <w:iCs/>
        </w:rPr>
        <w:t>.</w:t>
      </w:r>
    </w:p>
  </w:footnote>
  <w:footnote w:id="16">
    <w:p w14:paraId="3E90755C" w14:textId="77777777" w:rsidR="006777C8" w:rsidRPr="0050485F" w:rsidRDefault="006777C8" w:rsidP="0057080B">
      <w:pPr>
        <w:pStyle w:val="FootnoteText"/>
      </w:pPr>
      <w:r w:rsidRPr="00BD26F6">
        <w:rPr>
          <w:rStyle w:val="FootnoteReference"/>
        </w:rPr>
        <w:footnoteRef/>
      </w:r>
      <w:r w:rsidRPr="00BD26F6">
        <w:rPr>
          <w:rFonts w:ascii="Times New Roman" w:hAnsi="Times New Roman" w:cs="Times New Roman"/>
        </w:rPr>
        <w:t xml:space="preserve"> </w:t>
      </w:r>
      <w:r w:rsidRPr="00BD26F6">
        <w:rPr>
          <w:rFonts w:ascii="Times New Roman" w:hAnsi="Times New Roman" w:cs="Times New Roman"/>
          <w:i/>
        </w:rPr>
        <w:t>Cabal</w:t>
      </w:r>
      <w:r w:rsidRPr="00BD26F6">
        <w:rPr>
          <w:rFonts w:ascii="Times New Roman" w:hAnsi="Times New Roman" w:cs="Times New Roman"/>
        </w:rPr>
        <w:t xml:space="preserve">, </w:t>
      </w:r>
      <w:r w:rsidRPr="00AC40FB">
        <w:rPr>
          <w:rFonts w:ascii="Times New Roman" w:hAnsi="Times New Roman" w:cs="Times New Roman"/>
        </w:rPr>
        <w:t>1</w:t>
      </w:r>
      <w:r>
        <w:rPr>
          <w:rFonts w:ascii="Times New Roman" w:hAnsi="Times New Roman" w:cs="Times New Roman"/>
        </w:rPr>
        <w:t>89-190</w:t>
      </w:r>
      <w:r w:rsidRPr="00AC40FB">
        <w:rPr>
          <w:rFonts w:ascii="Times New Roman" w:hAnsi="Times New Roman" w:cs="Times New Roman"/>
        </w:rPr>
        <w:t xml:space="preserve"> [</w:t>
      </w:r>
      <w:r>
        <w:rPr>
          <w:rFonts w:ascii="Times New Roman" w:hAnsi="Times New Roman" w:cs="Times New Roman"/>
        </w:rPr>
        <w:t>57</w:t>
      </w:r>
      <w:r w:rsidRPr="00AC40FB">
        <w:rPr>
          <w:rFonts w:ascii="Times New Roman" w:hAnsi="Times New Roman" w:cs="Times New Roman"/>
        </w:rPr>
        <w:t>]</w:t>
      </w:r>
      <w:r>
        <w:rPr>
          <w:rFonts w:ascii="Times New Roman" w:hAnsi="Times New Roman" w:cs="Times New Roman"/>
        </w:rPr>
        <w:t>-[59]</w:t>
      </w:r>
      <w:r w:rsidRPr="00AC40FB">
        <w:rPr>
          <w:rFonts w:ascii="Times New Roman" w:hAnsi="Times New Roman" w:cs="Times New Roman"/>
        </w:rPr>
        <w:t xml:space="preserve"> (Gleeson CJ, McHugh and Gummow JJ</w:t>
      </w:r>
      <w:r w:rsidRPr="005E29A1">
        <w:rPr>
          <w:rFonts w:ascii="Times New Roman" w:hAnsi="Times New Roman" w:cs="Times New Roman"/>
        </w:rPr>
        <w:t>).</w:t>
      </w:r>
    </w:p>
  </w:footnote>
  <w:footnote w:id="17">
    <w:p w14:paraId="46F313DA" w14:textId="77777777" w:rsidR="006777C8" w:rsidRPr="0028317A" w:rsidRDefault="006777C8" w:rsidP="008367E5">
      <w:pPr>
        <w:autoSpaceDE w:val="0"/>
        <w:autoSpaceDN w:val="0"/>
        <w:adjustRightInd w:val="0"/>
        <w:spacing w:after="0"/>
        <w:jc w:val="both"/>
        <w:rPr>
          <w:rFonts w:ascii="Times New Roman" w:hAnsi="Times New Roman" w:cs="Times New Roman"/>
          <w:sz w:val="20"/>
          <w:szCs w:val="20"/>
        </w:rPr>
      </w:pPr>
      <w:r w:rsidRPr="003E4923">
        <w:rPr>
          <w:rStyle w:val="FootnoteReference"/>
          <w:sz w:val="20"/>
          <w:szCs w:val="20"/>
        </w:rPr>
        <w:footnoteRef/>
      </w:r>
      <w:r w:rsidRPr="003E4923">
        <w:t xml:space="preserve"> </w:t>
      </w:r>
      <w:r w:rsidRPr="00173B1D">
        <w:rPr>
          <w:rFonts w:ascii="Times New Roman" w:hAnsi="Times New Roman" w:cs="Times New Roman"/>
          <w:i/>
          <w:sz w:val="20"/>
          <w:szCs w:val="20"/>
        </w:rPr>
        <w:t>Vasiljkovic v Commonwealth of Australia</w:t>
      </w:r>
      <w:r w:rsidRPr="00173B1D">
        <w:rPr>
          <w:rFonts w:ascii="Times New Roman" w:hAnsi="Times New Roman" w:cs="Times New Roman"/>
          <w:sz w:val="20"/>
          <w:szCs w:val="20"/>
        </w:rPr>
        <w:t xml:space="preserve"> (2006) 227 CLR 614 at [33]-[34]</w:t>
      </w:r>
      <w:r>
        <w:rPr>
          <w:rFonts w:ascii="Times New Roman" w:hAnsi="Times New Roman" w:cs="Times New Roman"/>
          <w:sz w:val="20"/>
          <w:szCs w:val="20"/>
        </w:rPr>
        <w:t xml:space="preserve"> (Gleeson CJ)</w:t>
      </w:r>
      <w:r w:rsidRPr="00173B1D">
        <w:rPr>
          <w:rFonts w:ascii="Times New Roman" w:hAnsi="Times New Roman" w:cs="Times New Roman"/>
          <w:sz w:val="20"/>
          <w:szCs w:val="20"/>
        </w:rPr>
        <w:t>, [58]</w:t>
      </w:r>
      <w:r>
        <w:rPr>
          <w:rFonts w:ascii="Times New Roman" w:hAnsi="Times New Roman" w:cs="Times New Roman"/>
          <w:sz w:val="20"/>
          <w:szCs w:val="20"/>
        </w:rPr>
        <w:t xml:space="preserve"> (Gummow and Hayne JJ)</w:t>
      </w:r>
      <w:r w:rsidRPr="00173B1D">
        <w:rPr>
          <w:rFonts w:ascii="Times New Roman" w:hAnsi="Times New Roman" w:cs="Times New Roman"/>
          <w:sz w:val="20"/>
          <w:szCs w:val="20"/>
        </w:rPr>
        <w:t xml:space="preserve">. </w:t>
      </w:r>
    </w:p>
  </w:footnote>
  <w:footnote w:id="18">
    <w:p w14:paraId="4CF8336B" w14:textId="2E7D9DC8" w:rsidR="006777C8" w:rsidRDefault="006777C8" w:rsidP="008B4857">
      <w:pPr>
        <w:pStyle w:val="FootnoteText"/>
      </w:pPr>
      <w:r>
        <w:rPr>
          <w:rStyle w:val="FootnoteReference"/>
        </w:rPr>
        <w:footnoteRef/>
      </w:r>
      <w:r>
        <w:t xml:space="preserve"> </w:t>
      </w:r>
      <w:r w:rsidRPr="00233BCC">
        <w:rPr>
          <w:rFonts w:ascii="Times New Roman" w:hAnsi="Times New Roman" w:cs="Times New Roman"/>
        </w:rPr>
        <w:t xml:space="preserve">See </w:t>
      </w:r>
      <w:r w:rsidR="006D03D1">
        <w:rPr>
          <w:rFonts w:ascii="Times New Roman" w:hAnsi="Times New Roman" w:cs="Times New Roman"/>
        </w:rPr>
        <w:t>the</w:t>
      </w:r>
      <w:r w:rsidRPr="00233BCC">
        <w:rPr>
          <w:rFonts w:ascii="Times New Roman" w:hAnsi="Times New Roman" w:cs="Times New Roman"/>
        </w:rPr>
        <w:t xml:space="preserve"> Act, ss</w:t>
      </w:r>
      <w:r>
        <w:rPr>
          <w:rFonts w:ascii="Times New Roman" w:hAnsi="Times New Roman" w:cs="Times New Roman"/>
        </w:rPr>
        <w:t xml:space="preserve"> 15B(2), 22(2).</w:t>
      </w:r>
    </w:p>
  </w:footnote>
  <w:footnote w:id="19">
    <w:p w14:paraId="1951F19B" w14:textId="3EC9BC39" w:rsidR="00371FE2" w:rsidRDefault="00371FE2">
      <w:pPr>
        <w:pStyle w:val="FootnoteText"/>
      </w:pPr>
      <w:r>
        <w:rPr>
          <w:rStyle w:val="FootnoteReference"/>
        </w:rPr>
        <w:footnoteRef/>
      </w:r>
      <w:r>
        <w:t xml:space="preserve"> </w:t>
      </w:r>
      <w:r w:rsidRPr="007A0EBE">
        <w:rPr>
          <w:rFonts w:ascii="Times New Roman" w:hAnsi="Times New Roman" w:cs="Times New Roman"/>
        </w:rPr>
        <w:t xml:space="preserve">Human Rights Committee, </w:t>
      </w:r>
      <w:r>
        <w:rPr>
          <w:rFonts w:ascii="Times New Roman" w:hAnsi="Times New Roman" w:cs="Times New Roman"/>
        </w:rPr>
        <w:t xml:space="preserve">CCPR </w:t>
      </w:r>
      <w:r w:rsidRPr="007A0EBE">
        <w:rPr>
          <w:rFonts w:ascii="Times New Roman" w:hAnsi="Times New Roman" w:cs="Times New Roman"/>
          <w:i/>
        </w:rPr>
        <w:t xml:space="preserve">General Comment No. </w:t>
      </w:r>
      <w:r>
        <w:rPr>
          <w:rFonts w:ascii="Times New Roman" w:hAnsi="Times New Roman" w:cs="Times New Roman"/>
          <w:i/>
        </w:rPr>
        <w:t>15: The Position of Aliens Under the Covenant</w:t>
      </w:r>
      <w:r>
        <w:rPr>
          <w:rFonts w:ascii="Times New Roman" w:hAnsi="Times New Roman" w:cs="Times New Roman"/>
        </w:rPr>
        <w:t>, UN HRC, 27</w:t>
      </w:r>
      <w:r w:rsidRPr="007A0EBE">
        <w:rPr>
          <w:rFonts w:ascii="Times New Roman" w:hAnsi="Times New Roman" w:cs="Times New Roman"/>
          <w:vertAlign w:val="superscript"/>
        </w:rPr>
        <w:t>th</w:t>
      </w:r>
      <w:r>
        <w:rPr>
          <w:rFonts w:ascii="Times New Roman" w:hAnsi="Times New Roman" w:cs="Times New Roman"/>
        </w:rPr>
        <w:t xml:space="preserve"> sess, UN Doc HRI/GEN/1/Rev.9 (11 April 1986), para 9.</w:t>
      </w:r>
    </w:p>
  </w:footnote>
  <w:footnote w:id="20">
    <w:p w14:paraId="07BF9ECE" w14:textId="2166FD4A" w:rsidR="006777C8" w:rsidRPr="00810394" w:rsidRDefault="006777C8" w:rsidP="00DA67D0">
      <w:pPr>
        <w:pStyle w:val="FootnoteText"/>
        <w:rPr>
          <w:rFonts w:ascii="Times New Roman" w:hAnsi="Times New Roman" w:cs="Times New Roman"/>
        </w:rPr>
      </w:pPr>
      <w:r>
        <w:rPr>
          <w:rStyle w:val="FootnoteReference"/>
        </w:rPr>
        <w:footnoteRef/>
      </w:r>
      <w:r>
        <w:t xml:space="preserve"> </w:t>
      </w:r>
      <w:r w:rsidR="00371FE2">
        <w:rPr>
          <w:rFonts w:ascii="Times New Roman" w:hAnsi="Times New Roman" w:cs="Times New Roman"/>
        </w:rPr>
        <w:t>Ibid,</w:t>
      </w:r>
      <w:r>
        <w:rPr>
          <w:rFonts w:ascii="Times New Roman" w:hAnsi="Times New Roman" w:cs="Times New Roman"/>
        </w:rPr>
        <w:t xml:space="preserve"> para 9-10. </w:t>
      </w:r>
    </w:p>
  </w:footnote>
  <w:footnote w:id="21">
    <w:p w14:paraId="000128EE" w14:textId="77777777" w:rsidR="006777C8" w:rsidRPr="00513BF5" w:rsidRDefault="006777C8" w:rsidP="00032C4F">
      <w:pPr>
        <w:pStyle w:val="FootnoteText"/>
        <w:rPr>
          <w:rFonts w:ascii="Times New Roman" w:hAnsi="Times New Roman" w:cs="Times New Roman"/>
        </w:rPr>
      </w:pPr>
      <w:r>
        <w:rPr>
          <w:rStyle w:val="FootnoteReference"/>
        </w:rPr>
        <w:footnoteRef/>
      </w:r>
      <w:r>
        <w:t xml:space="preserve"> </w:t>
      </w:r>
      <w:r w:rsidRPr="007A0EBE">
        <w:rPr>
          <w:rFonts w:ascii="Times New Roman" w:hAnsi="Times New Roman" w:cs="Times New Roman"/>
        </w:rPr>
        <w:t xml:space="preserve">Human Rights Committee, </w:t>
      </w:r>
      <w:r w:rsidRPr="007A0EBE">
        <w:rPr>
          <w:rFonts w:ascii="Times New Roman" w:hAnsi="Times New Roman" w:cs="Times New Roman"/>
          <w:i/>
        </w:rPr>
        <w:t>General Comment No. 32</w:t>
      </w:r>
      <w:r>
        <w:rPr>
          <w:rFonts w:ascii="Times New Roman" w:hAnsi="Times New Roman" w:cs="Times New Roman"/>
          <w:i/>
        </w:rPr>
        <w:t>: Article 14: Right to equality before courts and tribunals and to a fair trial</w:t>
      </w:r>
      <w:r>
        <w:rPr>
          <w:rFonts w:ascii="Times New Roman" w:hAnsi="Times New Roman" w:cs="Times New Roman"/>
        </w:rPr>
        <w:t>, UN HRC, 90</w:t>
      </w:r>
      <w:r w:rsidRPr="007A0EBE">
        <w:rPr>
          <w:rFonts w:ascii="Times New Roman" w:hAnsi="Times New Roman" w:cs="Times New Roman"/>
          <w:vertAlign w:val="superscript"/>
        </w:rPr>
        <w:t>th</w:t>
      </w:r>
      <w:r>
        <w:rPr>
          <w:rFonts w:ascii="Times New Roman" w:hAnsi="Times New Roman" w:cs="Times New Roman"/>
        </w:rPr>
        <w:t xml:space="preserve"> sess, UN Doc CCPR/C/GC/32 (23 August 2007), para 17. </w:t>
      </w:r>
    </w:p>
  </w:footnote>
  <w:footnote w:id="22">
    <w:p w14:paraId="478BE57D" w14:textId="77777777" w:rsidR="006777C8" w:rsidRDefault="006777C8" w:rsidP="00032C4F">
      <w:pPr>
        <w:pStyle w:val="FootnoteText"/>
      </w:pPr>
      <w:r>
        <w:rPr>
          <w:rStyle w:val="FootnoteReference"/>
        </w:rPr>
        <w:footnoteRef/>
      </w:r>
      <w:r w:rsidRPr="00932A2D">
        <w:rPr>
          <w:rFonts w:ascii="Times New Roman" w:hAnsi="Times New Roman" w:cs="Times New Roman"/>
        </w:rPr>
        <w:t xml:space="preserve"> Ibid, para 62.</w:t>
      </w:r>
      <w:r>
        <w:t xml:space="preserve"> </w:t>
      </w:r>
    </w:p>
  </w:footnote>
  <w:footnote w:id="23">
    <w:p w14:paraId="5CEFBAA3" w14:textId="77777777" w:rsidR="006777C8" w:rsidRPr="00CB293E" w:rsidRDefault="006777C8" w:rsidP="00032C4F">
      <w:pPr>
        <w:pStyle w:val="FootnoteText"/>
      </w:pPr>
      <w:r>
        <w:rPr>
          <w:rStyle w:val="FootnoteReference"/>
        </w:rPr>
        <w:footnoteRef/>
      </w:r>
      <w:r>
        <w:t xml:space="preserve"> See </w:t>
      </w:r>
      <w:r w:rsidRPr="00633195">
        <w:rPr>
          <w:rFonts w:ascii="Times New Roman" w:hAnsi="Times New Roman" w:cs="Times New Roman"/>
        </w:rPr>
        <w:t xml:space="preserve">Manfred Nowak, </w:t>
      </w:r>
      <w:r w:rsidRPr="00633195">
        <w:rPr>
          <w:rFonts w:ascii="Times New Roman" w:hAnsi="Times New Roman" w:cs="Times New Roman"/>
          <w:i/>
        </w:rPr>
        <w:t>UN Covenant on Civil and Political Rights CCPR Commentary</w:t>
      </w:r>
      <w:r w:rsidRPr="00633195">
        <w:rPr>
          <w:rFonts w:ascii="Times New Roman" w:hAnsi="Times New Roman" w:cs="Times New Roman"/>
        </w:rPr>
        <w:t xml:space="preserve">, </w:t>
      </w:r>
      <w:r>
        <w:rPr>
          <w:rFonts w:ascii="Times New Roman" w:hAnsi="Times New Roman" w:cs="Times New Roman"/>
        </w:rPr>
        <w:t xml:space="preserve">ed William A. Schabas (N.P. Engel, </w:t>
      </w:r>
      <w:r w:rsidRPr="00633195">
        <w:rPr>
          <w:rFonts w:ascii="Times New Roman" w:hAnsi="Times New Roman" w:cs="Times New Roman"/>
        </w:rPr>
        <w:t>2019</w:t>
      </w:r>
      <w:r>
        <w:rPr>
          <w:rFonts w:ascii="Times New Roman" w:hAnsi="Times New Roman" w:cs="Times New Roman"/>
        </w:rPr>
        <w:t>)</w:t>
      </w:r>
      <w:r w:rsidRPr="00633195">
        <w:rPr>
          <w:rFonts w:ascii="Times New Roman" w:hAnsi="Times New Roman" w:cs="Times New Roman"/>
        </w:rPr>
        <w:t xml:space="preserve">, </w:t>
      </w:r>
      <w:r>
        <w:rPr>
          <w:rFonts w:ascii="Times New Roman" w:hAnsi="Times New Roman" w:cs="Times New Roman"/>
        </w:rPr>
        <w:t xml:space="preserve">362-363; </w:t>
      </w:r>
      <w:r>
        <w:rPr>
          <w:rFonts w:ascii="Times New Roman" w:hAnsi="Times New Roman" w:cs="Times New Roman"/>
          <w:i/>
        </w:rPr>
        <w:t>Griffiths v Australia</w:t>
      </w:r>
      <w:r>
        <w:rPr>
          <w:rFonts w:ascii="Times New Roman" w:hAnsi="Times New Roman" w:cs="Times New Roman"/>
        </w:rPr>
        <w:t xml:space="preserve">, </w:t>
      </w:r>
      <w:r w:rsidRPr="00FA24C1">
        <w:rPr>
          <w:rFonts w:ascii="Times New Roman" w:hAnsi="Times New Roman" w:cs="Times New Roman"/>
        </w:rPr>
        <w:t xml:space="preserve">Communication No. </w:t>
      </w:r>
      <w:r>
        <w:rPr>
          <w:rFonts w:ascii="Times New Roman" w:hAnsi="Times New Roman" w:cs="Times New Roman"/>
        </w:rPr>
        <w:t>1973/2010,</w:t>
      </w:r>
      <w:r w:rsidRPr="00FA24C1">
        <w:rPr>
          <w:rFonts w:ascii="Times New Roman" w:hAnsi="Times New Roman" w:cs="Times New Roman"/>
        </w:rPr>
        <w:t xml:space="preserve"> Views adopted </w:t>
      </w:r>
      <w:r>
        <w:rPr>
          <w:rFonts w:ascii="Times New Roman" w:hAnsi="Times New Roman" w:cs="Times New Roman"/>
        </w:rPr>
        <w:t>21</w:t>
      </w:r>
      <w:r w:rsidRPr="00FA24C1">
        <w:rPr>
          <w:rFonts w:ascii="Times New Roman" w:hAnsi="Times New Roman" w:cs="Times New Roman"/>
        </w:rPr>
        <w:t xml:space="preserve"> October </w:t>
      </w:r>
      <w:r>
        <w:rPr>
          <w:rFonts w:ascii="Times New Roman" w:hAnsi="Times New Roman" w:cs="Times New Roman"/>
        </w:rPr>
        <w:t>2012</w:t>
      </w:r>
      <w:r w:rsidRPr="00FA24C1">
        <w:rPr>
          <w:rFonts w:ascii="Times New Roman" w:hAnsi="Times New Roman" w:cs="Times New Roman"/>
        </w:rPr>
        <w:t>, UN Doc CCPR/C/</w:t>
      </w:r>
      <w:r>
        <w:rPr>
          <w:rFonts w:ascii="Times New Roman" w:hAnsi="Times New Roman" w:cs="Times New Roman"/>
        </w:rPr>
        <w:t>112</w:t>
      </w:r>
      <w:r w:rsidRPr="00FA24C1">
        <w:rPr>
          <w:rFonts w:ascii="Times New Roman" w:hAnsi="Times New Roman" w:cs="Times New Roman"/>
        </w:rPr>
        <w:t>/D/</w:t>
      </w:r>
      <w:r>
        <w:rPr>
          <w:rFonts w:ascii="Times New Roman" w:hAnsi="Times New Roman" w:cs="Times New Roman"/>
        </w:rPr>
        <w:t>1973</w:t>
      </w:r>
      <w:r w:rsidRPr="00FA24C1">
        <w:rPr>
          <w:rFonts w:ascii="Times New Roman" w:hAnsi="Times New Roman" w:cs="Times New Roman"/>
        </w:rPr>
        <w:t>/</w:t>
      </w:r>
      <w:r>
        <w:rPr>
          <w:rFonts w:ascii="Times New Roman" w:hAnsi="Times New Roman" w:cs="Times New Roman"/>
        </w:rPr>
        <w:t>2010</w:t>
      </w:r>
      <w:r w:rsidRPr="00FA24C1">
        <w:rPr>
          <w:rFonts w:ascii="Times New Roman" w:hAnsi="Times New Roman" w:cs="Times New Roman"/>
        </w:rPr>
        <w:t>, paragraph</w:t>
      </w:r>
      <w:r>
        <w:rPr>
          <w:rFonts w:ascii="Times New Roman" w:hAnsi="Times New Roman" w:cs="Times New Roman"/>
        </w:rPr>
        <w:t xml:space="preserve"> 6.5. </w:t>
      </w:r>
    </w:p>
  </w:footnote>
  <w:footnote w:id="24">
    <w:p w14:paraId="10645115" w14:textId="77777777" w:rsidR="006777C8" w:rsidRPr="00083B5D" w:rsidRDefault="006777C8" w:rsidP="00654267">
      <w:pPr>
        <w:pStyle w:val="FootnoteText"/>
        <w:rPr>
          <w:rFonts w:ascii="Times New Roman" w:hAnsi="Times New Roman" w:cs="Times New Roman"/>
        </w:rPr>
      </w:pPr>
      <w:r w:rsidRPr="00083B5D">
        <w:rPr>
          <w:rStyle w:val="FootnoteReference"/>
        </w:rPr>
        <w:footnoteRef/>
      </w:r>
      <w:r w:rsidRPr="00083B5D">
        <w:rPr>
          <w:rFonts w:ascii="Times New Roman" w:hAnsi="Times New Roman" w:cs="Times New Roman"/>
        </w:rPr>
        <w:t xml:space="preserve"> UN Human Rights Committee, </w:t>
      </w:r>
      <w:r w:rsidRPr="00083B5D">
        <w:rPr>
          <w:rFonts w:ascii="Times New Roman" w:hAnsi="Times New Roman" w:cs="Times New Roman"/>
          <w:i/>
        </w:rPr>
        <w:t>CCPR General Comment No. 16: Article 17</w:t>
      </w:r>
      <w:r w:rsidRPr="00083B5D">
        <w:rPr>
          <w:rFonts w:ascii="Times New Roman" w:hAnsi="Times New Roman" w:cs="Times New Roman"/>
        </w:rPr>
        <w:t>, Adopted at the Thirty-second Session of the Human Rights Committee, 8 April 1998</w:t>
      </w:r>
      <w:r>
        <w:rPr>
          <w:rFonts w:ascii="Times New Roman" w:hAnsi="Times New Roman" w:cs="Times New Roman"/>
        </w:rPr>
        <w:t xml:space="preserve">, [3]-[4]. </w:t>
      </w:r>
      <w:r w:rsidRPr="00083B5D">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0BB1"/>
    <w:multiLevelType w:val="hybridMultilevel"/>
    <w:tmpl w:val="896EC984"/>
    <w:lvl w:ilvl="0" w:tplc="0C09000F">
      <w:start w:val="1"/>
      <w:numFmt w:val="decimal"/>
      <w:lvlText w:val="%1."/>
      <w:lvlJc w:val="left"/>
      <w:pPr>
        <w:ind w:left="578" w:hanging="360"/>
      </w:pPr>
      <w:rPr>
        <w:rFonts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 w15:restartNumberingAfterBreak="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05527B"/>
    <w:multiLevelType w:val="hybridMultilevel"/>
    <w:tmpl w:val="10C23C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7A3BB9"/>
    <w:multiLevelType w:val="hybridMultilevel"/>
    <w:tmpl w:val="B9882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AA08E0"/>
    <w:multiLevelType w:val="hybridMultilevel"/>
    <w:tmpl w:val="7256BD4A"/>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1BFA0F53"/>
    <w:multiLevelType w:val="hybridMultilevel"/>
    <w:tmpl w:val="087258C4"/>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45429F"/>
    <w:multiLevelType w:val="hybridMultilevel"/>
    <w:tmpl w:val="E2128F60"/>
    <w:lvl w:ilvl="0" w:tplc="F222B08A">
      <w:start w:val="1"/>
      <w:numFmt w:val="decimal"/>
      <w:lvlText w:val="%1."/>
      <w:lvlJc w:val="left"/>
      <w:pPr>
        <w:tabs>
          <w:tab w:val="num" w:pos="1132"/>
        </w:tabs>
        <w:ind w:left="1132" w:hanging="990"/>
      </w:pPr>
      <w:rPr>
        <w:b w:val="0"/>
      </w:rPr>
    </w:lvl>
    <w:lvl w:ilvl="1" w:tplc="0C090019">
      <w:start w:val="1"/>
      <w:numFmt w:val="lowerLetter"/>
      <w:lvlText w:val="%2."/>
      <w:lvlJc w:val="left"/>
      <w:pPr>
        <w:tabs>
          <w:tab w:val="num" w:pos="1083"/>
        </w:tabs>
        <w:ind w:left="1083" w:hanging="360"/>
      </w:pPr>
    </w:lvl>
    <w:lvl w:ilvl="2" w:tplc="0C09001B">
      <w:start w:val="1"/>
      <w:numFmt w:val="lowerRoman"/>
      <w:lvlText w:val="%3."/>
      <w:lvlJc w:val="right"/>
      <w:pPr>
        <w:tabs>
          <w:tab w:val="num" w:pos="1803"/>
        </w:tabs>
        <w:ind w:left="1803" w:hanging="180"/>
      </w:pPr>
    </w:lvl>
    <w:lvl w:ilvl="3" w:tplc="0C09000F">
      <w:start w:val="1"/>
      <w:numFmt w:val="decimal"/>
      <w:lvlText w:val="%4."/>
      <w:lvlJc w:val="left"/>
      <w:pPr>
        <w:tabs>
          <w:tab w:val="num" w:pos="2523"/>
        </w:tabs>
        <w:ind w:left="2523" w:hanging="360"/>
      </w:pPr>
    </w:lvl>
    <w:lvl w:ilvl="4" w:tplc="0C090019">
      <w:start w:val="1"/>
      <w:numFmt w:val="lowerLetter"/>
      <w:lvlText w:val="%5."/>
      <w:lvlJc w:val="left"/>
      <w:pPr>
        <w:tabs>
          <w:tab w:val="num" w:pos="3243"/>
        </w:tabs>
        <w:ind w:left="3243" w:hanging="360"/>
      </w:pPr>
    </w:lvl>
    <w:lvl w:ilvl="5" w:tplc="0C09001B">
      <w:start w:val="1"/>
      <w:numFmt w:val="lowerRoman"/>
      <w:lvlText w:val="%6."/>
      <w:lvlJc w:val="right"/>
      <w:pPr>
        <w:tabs>
          <w:tab w:val="num" w:pos="3963"/>
        </w:tabs>
        <w:ind w:left="3963" w:hanging="180"/>
      </w:pPr>
    </w:lvl>
    <w:lvl w:ilvl="6" w:tplc="0C09000F">
      <w:start w:val="1"/>
      <w:numFmt w:val="decimal"/>
      <w:lvlText w:val="%7."/>
      <w:lvlJc w:val="left"/>
      <w:pPr>
        <w:tabs>
          <w:tab w:val="num" w:pos="4683"/>
        </w:tabs>
        <w:ind w:left="4683" w:hanging="360"/>
      </w:pPr>
    </w:lvl>
    <w:lvl w:ilvl="7" w:tplc="0C090019">
      <w:start w:val="1"/>
      <w:numFmt w:val="lowerLetter"/>
      <w:lvlText w:val="%8."/>
      <w:lvlJc w:val="left"/>
      <w:pPr>
        <w:tabs>
          <w:tab w:val="num" w:pos="5403"/>
        </w:tabs>
        <w:ind w:left="5403" w:hanging="360"/>
      </w:pPr>
    </w:lvl>
    <w:lvl w:ilvl="8" w:tplc="0C09001B">
      <w:start w:val="1"/>
      <w:numFmt w:val="lowerRoman"/>
      <w:lvlText w:val="%9."/>
      <w:lvlJc w:val="right"/>
      <w:pPr>
        <w:tabs>
          <w:tab w:val="num" w:pos="6123"/>
        </w:tabs>
        <w:ind w:left="6123" w:hanging="180"/>
      </w:pPr>
    </w:lvl>
  </w:abstractNum>
  <w:abstractNum w:abstractNumId="11" w15:restartNumberingAfterBreak="0">
    <w:nsid w:val="38386C80"/>
    <w:multiLevelType w:val="hybridMultilevel"/>
    <w:tmpl w:val="24985192"/>
    <w:lvl w:ilvl="0" w:tplc="31B0AD2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38A1366E"/>
    <w:multiLevelType w:val="hybridMultilevel"/>
    <w:tmpl w:val="A1C23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AE4551"/>
    <w:multiLevelType w:val="hybridMultilevel"/>
    <w:tmpl w:val="999A2E3C"/>
    <w:lvl w:ilvl="0" w:tplc="02F81D9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940532"/>
    <w:multiLevelType w:val="hybridMultilevel"/>
    <w:tmpl w:val="96E6A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E77CAC"/>
    <w:multiLevelType w:val="hybridMultilevel"/>
    <w:tmpl w:val="7F7AF5A8"/>
    <w:lvl w:ilvl="0" w:tplc="646AAA4A">
      <w:start w:val="2"/>
      <w:numFmt w:val="decimal"/>
      <w:lvlText w:val="%1."/>
      <w:lvlJc w:val="left"/>
      <w:pPr>
        <w:ind w:left="360" w:hanging="360"/>
      </w:pPr>
      <w:rPr>
        <w:rFonts w:hint="default"/>
        <w:b w:val="0"/>
        <w:i w:val="0"/>
      </w:rPr>
    </w:lvl>
    <w:lvl w:ilvl="1" w:tplc="0C090001">
      <w:start w:val="1"/>
      <w:numFmt w:val="bullet"/>
      <w:lvlText w:val=""/>
      <w:lvlJc w:val="left"/>
      <w:pPr>
        <w:ind w:left="785" w:hanging="360"/>
      </w:pPr>
      <w:rPr>
        <w:rFonts w:ascii="Symbol" w:hAnsi="Symbol" w:hint="default"/>
      </w:rPr>
    </w:lvl>
    <w:lvl w:ilvl="2" w:tplc="DDE09254">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1807021"/>
    <w:multiLevelType w:val="hybridMultilevel"/>
    <w:tmpl w:val="DE3C6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6F7F87"/>
    <w:multiLevelType w:val="hybridMultilevel"/>
    <w:tmpl w:val="087258C4"/>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BE62663"/>
    <w:multiLevelType w:val="hybridMultilevel"/>
    <w:tmpl w:val="714291AE"/>
    <w:lvl w:ilvl="0" w:tplc="290E827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237EFE"/>
    <w:multiLevelType w:val="hybridMultilevel"/>
    <w:tmpl w:val="18443598"/>
    <w:lvl w:ilvl="0" w:tplc="52FCF3F2">
      <w:start w:val="4"/>
      <w:numFmt w:val="bullet"/>
      <w:lvlText w:val="-"/>
      <w:lvlJc w:val="left"/>
      <w:pPr>
        <w:ind w:left="420" w:hanging="360"/>
      </w:pPr>
      <w:rPr>
        <w:rFonts w:ascii="Times New Roman" w:eastAsia="Times New Roman" w:hAnsi="Times New Roman" w:cs="Times New Roman" w:hint="default"/>
        <w:color w:val="000000" w:themeColor="text1"/>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7" w15:restartNumberingAfterBreak="0">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C301252"/>
    <w:multiLevelType w:val="hybridMultilevel"/>
    <w:tmpl w:val="260ADA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20"/>
  </w:num>
  <w:num w:numId="4">
    <w:abstractNumId w:val="25"/>
  </w:num>
  <w:num w:numId="5">
    <w:abstractNumId w:val="7"/>
  </w:num>
  <w:num w:numId="6">
    <w:abstractNumId w:val="27"/>
  </w:num>
  <w:num w:numId="7">
    <w:abstractNumId w:val="1"/>
  </w:num>
  <w:num w:numId="8">
    <w:abstractNumId w:val="19"/>
  </w:num>
  <w:num w:numId="9">
    <w:abstractNumId w:val="8"/>
  </w:num>
  <w:num w:numId="10">
    <w:abstractNumId w:val="23"/>
  </w:num>
  <w:num w:numId="11">
    <w:abstractNumId w:val="22"/>
  </w:num>
  <w:num w:numId="12">
    <w:abstractNumId w:val="21"/>
  </w:num>
  <w:num w:numId="13">
    <w:abstractNumId w:val="9"/>
  </w:num>
  <w:num w:numId="14">
    <w:abstractNumId w:val="6"/>
  </w:num>
  <w:num w:numId="15">
    <w:abstractNumId w:val="17"/>
  </w:num>
  <w:num w:numId="16">
    <w:abstractNumId w:val="15"/>
  </w:num>
  <w:num w:numId="17">
    <w:abstractNumId w:val="11"/>
  </w:num>
  <w:num w:numId="18">
    <w:abstractNumId w:val="2"/>
  </w:num>
  <w:num w:numId="19">
    <w:abstractNumId w:val="0"/>
  </w:num>
  <w:num w:numId="20">
    <w:abstractNumId w:val="16"/>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4"/>
  </w:num>
  <w:num w:numId="24">
    <w:abstractNumId w:val="28"/>
  </w:num>
  <w:num w:numId="25">
    <w:abstractNumId w:val="24"/>
  </w:num>
  <w:num w:numId="26">
    <w:abstractNumId w:val="3"/>
  </w:num>
  <w:num w:numId="27">
    <w:abstractNumId w:val="26"/>
  </w:num>
  <w:num w:numId="28">
    <w:abstractNumId w:val="13"/>
  </w:num>
  <w:num w:numId="29">
    <w:abstractNumId w:val="15"/>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269"/>
    <w:rsid w:val="00001A39"/>
    <w:rsid w:val="00002BE9"/>
    <w:rsid w:val="0000526C"/>
    <w:rsid w:val="000062BB"/>
    <w:rsid w:val="00007012"/>
    <w:rsid w:val="00010B62"/>
    <w:rsid w:val="00011DFD"/>
    <w:rsid w:val="00012AD6"/>
    <w:rsid w:val="00012AE3"/>
    <w:rsid w:val="0001334E"/>
    <w:rsid w:val="000143A1"/>
    <w:rsid w:val="0001681D"/>
    <w:rsid w:val="00022075"/>
    <w:rsid w:val="0002636A"/>
    <w:rsid w:val="00031AB2"/>
    <w:rsid w:val="00032C4F"/>
    <w:rsid w:val="00035D71"/>
    <w:rsid w:val="000415BA"/>
    <w:rsid w:val="00041C1A"/>
    <w:rsid w:val="00043840"/>
    <w:rsid w:val="00045BA8"/>
    <w:rsid w:val="00045EC0"/>
    <w:rsid w:val="000476C9"/>
    <w:rsid w:val="000479EF"/>
    <w:rsid w:val="00052AE2"/>
    <w:rsid w:val="00052DED"/>
    <w:rsid w:val="00053ED4"/>
    <w:rsid w:val="00055997"/>
    <w:rsid w:val="00062741"/>
    <w:rsid w:val="00063512"/>
    <w:rsid w:val="00066EEE"/>
    <w:rsid w:val="00066F2D"/>
    <w:rsid w:val="00067A8E"/>
    <w:rsid w:val="000739D6"/>
    <w:rsid w:val="0007673E"/>
    <w:rsid w:val="0008275F"/>
    <w:rsid w:val="00083239"/>
    <w:rsid w:val="000848C6"/>
    <w:rsid w:val="00085846"/>
    <w:rsid w:val="00092565"/>
    <w:rsid w:val="00097E0D"/>
    <w:rsid w:val="000A0024"/>
    <w:rsid w:val="000A251E"/>
    <w:rsid w:val="000A66BD"/>
    <w:rsid w:val="000A799C"/>
    <w:rsid w:val="000A7C7B"/>
    <w:rsid w:val="000B13DD"/>
    <w:rsid w:val="000B29D6"/>
    <w:rsid w:val="000B5C53"/>
    <w:rsid w:val="000B6026"/>
    <w:rsid w:val="000C04DF"/>
    <w:rsid w:val="000C5D5B"/>
    <w:rsid w:val="000D4AF1"/>
    <w:rsid w:val="000D63B7"/>
    <w:rsid w:val="000E136D"/>
    <w:rsid w:val="000E1EA1"/>
    <w:rsid w:val="000E2C80"/>
    <w:rsid w:val="000E57BE"/>
    <w:rsid w:val="000F0AE5"/>
    <w:rsid w:val="000F0FB1"/>
    <w:rsid w:val="000F1530"/>
    <w:rsid w:val="000F1EFC"/>
    <w:rsid w:val="000F368E"/>
    <w:rsid w:val="000F3F9F"/>
    <w:rsid w:val="000F4CBB"/>
    <w:rsid w:val="000F66E5"/>
    <w:rsid w:val="000F6F60"/>
    <w:rsid w:val="000F7AA6"/>
    <w:rsid w:val="00100AF1"/>
    <w:rsid w:val="00101152"/>
    <w:rsid w:val="001015C5"/>
    <w:rsid w:val="001017F6"/>
    <w:rsid w:val="0010364C"/>
    <w:rsid w:val="00104B28"/>
    <w:rsid w:val="0010553C"/>
    <w:rsid w:val="0010672A"/>
    <w:rsid w:val="00106CBA"/>
    <w:rsid w:val="001073A4"/>
    <w:rsid w:val="00111C0B"/>
    <w:rsid w:val="00111D95"/>
    <w:rsid w:val="001138CE"/>
    <w:rsid w:val="00117A53"/>
    <w:rsid w:val="00120B64"/>
    <w:rsid w:val="00120EDD"/>
    <w:rsid w:val="00122BB4"/>
    <w:rsid w:val="00123F2F"/>
    <w:rsid w:val="001252F2"/>
    <w:rsid w:val="001266BD"/>
    <w:rsid w:val="00127F8A"/>
    <w:rsid w:val="00131470"/>
    <w:rsid w:val="00132863"/>
    <w:rsid w:val="00137E20"/>
    <w:rsid w:val="001469C7"/>
    <w:rsid w:val="00147979"/>
    <w:rsid w:val="00150663"/>
    <w:rsid w:val="00154114"/>
    <w:rsid w:val="0016195B"/>
    <w:rsid w:val="00162BB7"/>
    <w:rsid w:val="00163991"/>
    <w:rsid w:val="0017012A"/>
    <w:rsid w:val="00170BBA"/>
    <w:rsid w:val="00170FE9"/>
    <w:rsid w:val="0017632E"/>
    <w:rsid w:val="00186EFA"/>
    <w:rsid w:val="0019209A"/>
    <w:rsid w:val="00195A18"/>
    <w:rsid w:val="001A1120"/>
    <w:rsid w:val="001A3A04"/>
    <w:rsid w:val="001A46FC"/>
    <w:rsid w:val="001A6C0F"/>
    <w:rsid w:val="001B03DC"/>
    <w:rsid w:val="001B0CA7"/>
    <w:rsid w:val="001B24BC"/>
    <w:rsid w:val="001B4220"/>
    <w:rsid w:val="001B76E5"/>
    <w:rsid w:val="001C4696"/>
    <w:rsid w:val="001C666E"/>
    <w:rsid w:val="001D093C"/>
    <w:rsid w:val="001D1C8E"/>
    <w:rsid w:val="001D3031"/>
    <w:rsid w:val="001E4406"/>
    <w:rsid w:val="001E6AA7"/>
    <w:rsid w:val="001E7B6D"/>
    <w:rsid w:val="001F04B1"/>
    <w:rsid w:val="001F278C"/>
    <w:rsid w:val="001F4B7B"/>
    <w:rsid w:val="001F6285"/>
    <w:rsid w:val="001F6758"/>
    <w:rsid w:val="00200A0F"/>
    <w:rsid w:val="002010A1"/>
    <w:rsid w:val="00202960"/>
    <w:rsid w:val="002033D1"/>
    <w:rsid w:val="00210E16"/>
    <w:rsid w:val="00214626"/>
    <w:rsid w:val="002160F4"/>
    <w:rsid w:val="00216938"/>
    <w:rsid w:val="00216E99"/>
    <w:rsid w:val="00216FC9"/>
    <w:rsid w:val="00220160"/>
    <w:rsid w:val="00220612"/>
    <w:rsid w:val="00222277"/>
    <w:rsid w:val="0022477C"/>
    <w:rsid w:val="00224F7B"/>
    <w:rsid w:val="00224F7E"/>
    <w:rsid w:val="00232600"/>
    <w:rsid w:val="00232FB4"/>
    <w:rsid w:val="00235EE3"/>
    <w:rsid w:val="002413F2"/>
    <w:rsid w:val="00241BB2"/>
    <w:rsid w:val="00246610"/>
    <w:rsid w:val="00246E0E"/>
    <w:rsid w:val="00251C3A"/>
    <w:rsid w:val="00253F5B"/>
    <w:rsid w:val="00255432"/>
    <w:rsid w:val="002570FC"/>
    <w:rsid w:val="0025747F"/>
    <w:rsid w:val="0026109C"/>
    <w:rsid w:val="002628E7"/>
    <w:rsid w:val="00262B9E"/>
    <w:rsid w:val="002670A3"/>
    <w:rsid w:val="0026711D"/>
    <w:rsid w:val="00267D39"/>
    <w:rsid w:val="00271850"/>
    <w:rsid w:val="002736A0"/>
    <w:rsid w:val="00275A74"/>
    <w:rsid w:val="00275FCE"/>
    <w:rsid w:val="0028341F"/>
    <w:rsid w:val="0028399A"/>
    <w:rsid w:val="00286CEC"/>
    <w:rsid w:val="00286F8B"/>
    <w:rsid w:val="00287BB9"/>
    <w:rsid w:val="00292354"/>
    <w:rsid w:val="00293EFF"/>
    <w:rsid w:val="00294122"/>
    <w:rsid w:val="0029799C"/>
    <w:rsid w:val="002A38AD"/>
    <w:rsid w:val="002A3982"/>
    <w:rsid w:val="002B038A"/>
    <w:rsid w:val="002B0994"/>
    <w:rsid w:val="002B0B43"/>
    <w:rsid w:val="002B361E"/>
    <w:rsid w:val="002B6218"/>
    <w:rsid w:val="002B763E"/>
    <w:rsid w:val="002B7977"/>
    <w:rsid w:val="002B7CFB"/>
    <w:rsid w:val="002C2B3B"/>
    <w:rsid w:val="002C37AB"/>
    <w:rsid w:val="002C381C"/>
    <w:rsid w:val="002C5B76"/>
    <w:rsid w:val="002D7500"/>
    <w:rsid w:val="002E0149"/>
    <w:rsid w:val="002E2783"/>
    <w:rsid w:val="002E4D79"/>
    <w:rsid w:val="002E55CA"/>
    <w:rsid w:val="002E5C1A"/>
    <w:rsid w:val="002E5FF4"/>
    <w:rsid w:val="002E7BAB"/>
    <w:rsid w:val="002F1962"/>
    <w:rsid w:val="002F43A7"/>
    <w:rsid w:val="002F5988"/>
    <w:rsid w:val="002F72AB"/>
    <w:rsid w:val="003004A8"/>
    <w:rsid w:val="003005BC"/>
    <w:rsid w:val="003017E9"/>
    <w:rsid w:val="00304770"/>
    <w:rsid w:val="00304DFD"/>
    <w:rsid w:val="0030561B"/>
    <w:rsid w:val="0030636A"/>
    <w:rsid w:val="003113EE"/>
    <w:rsid w:val="00313409"/>
    <w:rsid w:val="00314D3C"/>
    <w:rsid w:val="00321E27"/>
    <w:rsid w:val="00323637"/>
    <w:rsid w:val="0032367E"/>
    <w:rsid w:val="00326FBD"/>
    <w:rsid w:val="00332B7A"/>
    <w:rsid w:val="00333ADF"/>
    <w:rsid w:val="00334F8C"/>
    <w:rsid w:val="0033577E"/>
    <w:rsid w:val="003420F8"/>
    <w:rsid w:val="003426A5"/>
    <w:rsid w:val="00344CEC"/>
    <w:rsid w:val="00345ACA"/>
    <w:rsid w:val="00350D73"/>
    <w:rsid w:val="00350E27"/>
    <w:rsid w:val="003516FD"/>
    <w:rsid w:val="0036594A"/>
    <w:rsid w:val="00366852"/>
    <w:rsid w:val="00371A0E"/>
    <w:rsid w:val="00371FE2"/>
    <w:rsid w:val="00380608"/>
    <w:rsid w:val="00381AEC"/>
    <w:rsid w:val="00386524"/>
    <w:rsid w:val="00386EAA"/>
    <w:rsid w:val="00387184"/>
    <w:rsid w:val="00390153"/>
    <w:rsid w:val="00390260"/>
    <w:rsid w:val="00390FF3"/>
    <w:rsid w:val="00391C79"/>
    <w:rsid w:val="003927E0"/>
    <w:rsid w:val="0039491F"/>
    <w:rsid w:val="00395385"/>
    <w:rsid w:val="00397DFE"/>
    <w:rsid w:val="003B170D"/>
    <w:rsid w:val="003B315C"/>
    <w:rsid w:val="003B6050"/>
    <w:rsid w:val="003C3DD0"/>
    <w:rsid w:val="003C4738"/>
    <w:rsid w:val="003C6789"/>
    <w:rsid w:val="003D0813"/>
    <w:rsid w:val="003D10C3"/>
    <w:rsid w:val="003D5237"/>
    <w:rsid w:val="003D60A8"/>
    <w:rsid w:val="003D6213"/>
    <w:rsid w:val="003D686A"/>
    <w:rsid w:val="003E49A5"/>
    <w:rsid w:val="003E7EEA"/>
    <w:rsid w:val="003F07D6"/>
    <w:rsid w:val="003F250D"/>
    <w:rsid w:val="003F2B09"/>
    <w:rsid w:val="003F2BF9"/>
    <w:rsid w:val="003F2E98"/>
    <w:rsid w:val="003F3E12"/>
    <w:rsid w:val="003F4DB6"/>
    <w:rsid w:val="003F535D"/>
    <w:rsid w:val="004015CC"/>
    <w:rsid w:val="00402669"/>
    <w:rsid w:val="00404375"/>
    <w:rsid w:val="00414EE0"/>
    <w:rsid w:val="0041652D"/>
    <w:rsid w:val="00421908"/>
    <w:rsid w:val="00421B31"/>
    <w:rsid w:val="00424433"/>
    <w:rsid w:val="00426381"/>
    <w:rsid w:val="0042668B"/>
    <w:rsid w:val="00426C33"/>
    <w:rsid w:val="00432284"/>
    <w:rsid w:val="00433F13"/>
    <w:rsid w:val="00437540"/>
    <w:rsid w:val="00437EE4"/>
    <w:rsid w:val="004431F6"/>
    <w:rsid w:val="004434AC"/>
    <w:rsid w:val="00443DD5"/>
    <w:rsid w:val="00447945"/>
    <w:rsid w:val="00447C4F"/>
    <w:rsid w:val="00451475"/>
    <w:rsid w:val="004518A4"/>
    <w:rsid w:val="00452C65"/>
    <w:rsid w:val="00455B91"/>
    <w:rsid w:val="004566D6"/>
    <w:rsid w:val="004605B1"/>
    <w:rsid w:val="00461403"/>
    <w:rsid w:val="00462235"/>
    <w:rsid w:val="00463571"/>
    <w:rsid w:val="004668CC"/>
    <w:rsid w:val="004709FE"/>
    <w:rsid w:val="004807DE"/>
    <w:rsid w:val="00482D00"/>
    <w:rsid w:val="00483EF3"/>
    <w:rsid w:val="00484F10"/>
    <w:rsid w:val="0048685A"/>
    <w:rsid w:val="0049094A"/>
    <w:rsid w:val="00491E6E"/>
    <w:rsid w:val="00492A89"/>
    <w:rsid w:val="00493684"/>
    <w:rsid w:val="004958FB"/>
    <w:rsid w:val="004A0438"/>
    <w:rsid w:val="004A0F7B"/>
    <w:rsid w:val="004A2788"/>
    <w:rsid w:val="004A3C57"/>
    <w:rsid w:val="004A3C74"/>
    <w:rsid w:val="004A4086"/>
    <w:rsid w:val="004A55BB"/>
    <w:rsid w:val="004A6ADB"/>
    <w:rsid w:val="004A77DA"/>
    <w:rsid w:val="004B29E1"/>
    <w:rsid w:val="004B2CED"/>
    <w:rsid w:val="004B385B"/>
    <w:rsid w:val="004B3A90"/>
    <w:rsid w:val="004B3C03"/>
    <w:rsid w:val="004B5A6F"/>
    <w:rsid w:val="004B6A2E"/>
    <w:rsid w:val="004B6D40"/>
    <w:rsid w:val="004C33B5"/>
    <w:rsid w:val="004C7620"/>
    <w:rsid w:val="004D038A"/>
    <w:rsid w:val="004D1145"/>
    <w:rsid w:val="004D2B6F"/>
    <w:rsid w:val="004D2BC3"/>
    <w:rsid w:val="004D3C9A"/>
    <w:rsid w:val="004E190A"/>
    <w:rsid w:val="004E3342"/>
    <w:rsid w:val="004E45E5"/>
    <w:rsid w:val="004F17F1"/>
    <w:rsid w:val="004F430F"/>
    <w:rsid w:val="004F59CE"/>
    <w:rsid w:val="004F7C7F"/>
    <w:rsid w:val="00500165"/>
    <w:rsid w:val="00500DA1"/>
    <w:rsid w:val="00501318"/>
    <w:rsid w:val="005025E0"/>
    <w:rsid w:val="0050398F"/>
    <w:rsid w:val="00506A32"/>
    <w:rsid w:val="00507971"/>
    <w:rsid w:val="0051030E"/>
    <w:rsid w:val="00510974"/>
    <w:rsid w:val="00512753"/>
    <w:rsid w:val="00513360"/>
    <w:rsid w:val="00521029"/>
    <w:rsid w:val="005239B2"/>
    <w:rsid w:val="0052431F"/>
    <w:rsid w:val="00531BA7"/>
    <w:rsid w:val="00532536"/>
    <w:rsid w:val="00532EA7"/>
    <w:rsid w:val="0053406A"/>
    <w:rsid w:val="00534828"/>
    <w:rsid w:val="00534A4E"/>
    <w:rsid w:val="00535FA5"/>
    <w:rsid w:val="00536D55"/>
    <w:rsid w:val="0054115B"/>
    <w:rsid w:val="00542EA7"/>
    <w:rsid w:val="005442D8"/>
    <w:rsid w:val="00550CEC"/>
    <w:rsid w:val="00551170"/>
    <w:rsid w:val="00551E50"/>
    <w:rsid w:val="0055390D"/>
    <w:rsid w:val="00553BFF"/>
    <w:rsid w:val="00553D11"/>
    <w:rsid w:val="00553DD0"/>
    <w:rsid w:val="005550C5"/>
    <w:rsid w:val="00562E61"/>
    <w:rsid w:val="00566464"/>
    <w:rsid w:val="00566C9B"/>
    <w:rsid w:val="00570366"/>
    <w:rsid w:val="0057080B"/>
    <w:rsid w:val="0057084C"/>
    <w:rsid w:val="00574421"/>
    <w:rsid w:val="005778D9"/>
    <w:rsid w:val="00581603"/>
    <w:rsid w:val="0058213C"/>
    <w:rsid w:val="005825B9"/>
    <w:rsid w:val="00583457"/>
    <w:rsid w:val="00585C7E"/>
    <w:rsid w:val="00587970"/>
    <w:rsid w:val="00590EE0"/>
    <w:rsid w:val="00591576"/>
    <w:rsid w:val="005918B8"/>
    <w:rsid w:val="005918F0"/>
    <w:rsid w:val="00591B20"/>
    <w:rsid w:val="005A1030"/>
    <w:rsid w:val="005A2B1A"/>
    <w:rsid w:val="005A40D0"/>
    <w:rsid w:val="005A42C2"/>
    <w:rsid w:val="005A670C"/>
    <w:rsid w:val="005A6846"/>
    <w:rsid w:val="005B0E50"/>
    <w:rsid w:val="005B221A"/>
    <w:rsid w:val="005B2234"/>
    <w:rsid w:val="005B4BDF"/>
    <w:rsid w:val="005B6689"/>
    <w:rsid w:val="005B778B"/>
    <w:rsid w:val="005C022C"/>
    <w:rsid w:val="005C4E91"/>
    <w:rsid w:val="005D026E"/>
    <w:rsid w:val="005D132A"/>
    <w:rsid w:val="005D194A"/>
    <w:rsid w:val="005D3A54"/>
    <w:rsid w:val="005D4047"/>
    <w:rsid w:val="005D4091"/>
    <w:rsid w:val="005D506C"/>
    <w:rsid w:val="005D5262"/>
    <w:rsid w:val="005E2C79"/>
    <w:rsid w:val="005E3927"/>
    <w:rsid w:val="005E40F9"/>
    <w:rsid w:val="005E713B"/>
    <w:rsid w:val="005F213C"/>
    <w:rsid w:val="005F2F25"/>
    <w:rsid w:val="00600F33"/>
    <w:rsid w:val="00602246"/>
    <w:rsid w:val="00604F16"/>
    <w:rsid w:val="00611E9F"/>
    <w:rsid w:val="00611F0B"/>
    <w:rsid w:val="006147ED"/>
    <w:rsid w:val="00615CEF"/>
    <w:rsid w:val="006234B2"/>
    <w:rsid w:val="006246B0"/>
    <w:rsid w:val="00624851"/>
    <w:rsid w:val="0062668B"/>
    <w:rsid w:val="00627158"/>
    <w:rsid w:val="0063239B"/>
    <w:rsid w:val="00633F5A"/>
    <w:rsid w:val="00634AE9"/>
    <w:rsid w:val="00635242"/>
    <w:rsid w:val="00635C6A"/>
    <w:rsid w:val="00651B9E"/>
    <w:rsid w:val="0065274F"/>
    <w:rsid w:val="00653DB0"/>
    <w:rsid w:val="00654267"/>
    <w:rsid w:val="006559C0"/>
    <w:rsid w:val="00660043"/>
    <w:rsid w:val="0066144E"/>
    <w:rsid w:val="00662445"/>
    <w:rsid w:val="006653E3"/>
    <w:rsid w:val="0066565E"/>
    <w:rsid w:val="0066711E"/>
    <w:rsid w:val="00670C8D"/>
    <w:rsid w:val="006717E7"/>
    <w:rsid w:val="0067363E"/>
    <w:rsid w:val="00674543"/>
    <w:rsid w:val="006777C8"/>
    <w:rsid w:val="00680EA2"/>
    <w:rsid w:val="006861EF"/>
    <w:rsid w:val="00687879"/>
    <w:rsid w:val="00687A28"/>
    <w:rsid w:val="00690546"/>
    <w:rsid w:val="00692B4D"/>
    <w:rsid w:val="006942AA"/>
    <w:rsid w:val="00696EA0"/>
    <w:rsid w:val="006A3264"/>
    <w:rsid w:val="006B1ECD"/>
    <w:rsid w:val="006C3514"/>
    <w:rsid w:val="006C455D"/>
    <w:rsid w:val="006C74E0"/>
    <w:rsid w:val="006D03D1"/>
    <w:rsid w:val="006D1253"/>
    <w:rsid w:val="006D14A9"/>
    <w:rsid w:val="006D32D3"/>
    <w:rsid w:val="006D3E46"/>
    <w:rsid w:val="006D7514"/>
    <w:rsid w:val="006E0321"/>
    <w:rsid w:val="006E42B7"/>
    <w:rsid w:val="006E52CA"/>
    <w:rsid w:val="006E661B"/>
    <w:rsid w:val="006E7EBB"/>
    <w:rsid w:val="006F01C2"/>
    <w:rsid w:val="006F0541"/>
    <w:rsid w:val="006F176B"/>
    <w:rsid w:val="006F4B0A"/>
    <w:rsid w:val="006F632A"/>
    <w:rsid w:val="007000D8"/>
    <w:rsid w:val="00702614"/>
    <w:rsid w:val="0070348E"/>
    <w:rsid w:val="00704118"/>
    <w:rsid w:val="00704661"/>
    <w:rsid w:val="00716640"/>
    <w:rsid w:val="007169B6"/>
    <w:rsid w:val="007171F7"/>
    <w:rsid w:val="00721BAF"/>
    <w:rsid w:val="007238E5"/>
    <w:rsid w:val="007267CF"/>
    <w:rsid w:val="00727EFA"/>
    <w:rsid w:val="007316BF"/>
    <w:rsid w:val="007327C6"/>
    <w:rsid w:val="00733AE1"/>
    <w:rsid w:val="00740233"/>
    <w:rsid w:val="007412A1"/>
    <w:rsid w:val="00742AFB"/>
    <w:rsid w:val="00743E2B"/>
    <w:rsid w:val="00754B84"/>
    <w:rsid w:val="00756529"/>
    <w:rsid w:val="00763B6E"/>
    <w:rsid w:val="00766758"/>
    <w:rsid w:val="007757E1"/>
    <w:rsid w:val="00775B00"/>
    <w:rsid w:val="007768B5"/>
    <w:rsid w:val="007773EF"/>
    <w:rsid w:val="00777A25"/>
    <w:rsid w:val="007862F5"/>
    <w:rsid w:val="0079262B"/>
    <w:rsid w:val="00793590"/>
    <w:rsid w:val="007947E7"/>
    <w:rsid w:val="00794D97"/>
    <w:rsid w:val="00796119"/>
    <w:rsid w:val="007975D7"/>
    <w:rsid w:val="00797679"/>
    <w:rsid w:val="007A0D76"/>
    <w:rsid w:val="007A1255"/>
    <w:rsid w:val="007A2009"/>
    <w:rsid w:val="007A7037"/>
    <w:rsid w:val="007B0BE7"/>
    <w:rsid w:val="007B211A"/>
    <w:rsid w:val="007B2683"/>
    <w:rsid w:val="007B3E69"/>
    <w:rsid w:val="007B58A8"/>
    <w:rsid w:val="007B7195"/>
    <w:rsid w:val="007C6686"/>
    <w:rsid w:val="007D0B66"/>
    <w:rsid w:val="007D56CC"/>
    <w:rsid w:val="007D6A65"/>
    <w:rsid w:val="007D6B69"/>
    <w:rsid w:val="007D7655"/>
    <w:rsid w:val="007E27AE"/>
    <w:rsid w:val="007F1D53"/>
    <w:rsid w:val="007F3477"/>
    <w:rsid w:val="007F5090"/>
    <w:rsid w:val="007F6914"/>
    <w:rsid w:val="008006F6"/>
    <w:rsid w:val="008034A8"/>
    <w:rsid w:val="00810394"/>
    <w:rsid w:val="00815C6B"/>
    <w:rsid w:val="00816DEC"/>
    <w:rsid w:val="00817F3B"/>
    <w:rsid w:val="00820481"/>
    <w:rsid w:val="00823BD5"/>
    <w:rsid w:val="00825857"/>
    <w:rsid w:val="00831948"/>
    <w:rsid w:val="00834A06"/>
    <w:rsid w:val="00834F2D"/>
    <w:rsid w:val="0083610F"/>
    <w:rsid w:val="008367E5"/>
    <w:rsid w:val="008368FE"/>
    <w:rsid w:val="00841BD8"/>
    <w:rsid w:val="0084619B"/>
    <w:rsid w:val="00847B24"/>
    <w:rsid w:val="00850936"/>
    <w:rsid w:val="00852365"/>
    <w:rsid w:val="00853284"/>
    <w:rsid w:val="00853868"/>
    <w:rsid w:val="0085428B"/>
    <w:rsid w:val="00856FD1"/>
    <w:rsid w:val="00857605"/>
    <w:rsid w:val="008607B3"/>
    <w:rsid w:val="00862DFB"/>
    <w:rsid w:val="00872B27"/>
    <w:rsid w:val="008732AC"/>
    <w:rsid w:val="008742FF"/>
    <w:rsid w:val="00875275"/>
    <w:rsid w:val="00881401"/>
    <w:rsid w:val="00885076"/>
    <w:rsid w:val="00887541"/>
    <w:rsid w:val="00893BAE"/>
    <w:rsid w:val="00894054"/>
    <w:rsid w:val="00894D9D"/>
    <w:rsid w:val="008952FE"/>
    <w:rsid w:val="008A18C5"/>
    <w:rsid w:val="008A3D2D"/>
    <w:rsid w:val="008A79ED"/>
    <w:rsid w:val="008B0316"/>
    <w:rsid w:val="008B0718"/>
    <w:rsid w:val="008B2955"/>
    <w:rsid w:val="008B4857"/>
    <w:rsid w:val="008B6A17"/>
    <w:rsid w:val="008B7B3B"/>
    <w:rsid w:val="008C0307"/>
    <w:rsid w:val="008C2DE7"/>
    <w:rsid w:val="008D4CF6"/>
    <w:rsid w:val="008D4D84"/>
    <w:rsid w:val="008D6695"/>
    <w:rsid w:val="008D755A"/>
    <w:rsid w:val="008E568B"/>
    <w:rsid w:val="008E6FC5"/>
    <w:rsid w:val="008F118D"/>
    <w:rsid w:val="008F290C"/>
    <w:rsid w:val="008F4DD6"/>
    <w:rsid w:val="008F66CB"/>
    <w:rsid w:val="0090078D"/>
    <w:rsid w:val="009029D0"/>
    <w:rsid w:val="00902F3D"/>
    <w:rsid w:val="00903BF9"/>
    <w:rsid w:val="0090470F"/>
    <w:rsid w:val="009050D4"/>
    <w:rsid w:val="0090659D"/>
    <w:rsid w:val="00911332"/>
    <w:rsid w:val="00912DCD"/>
    <w:rsid w:val="009138A1"/>
    <w:rsid w:val="009159B9"/>
    <w:rsid w:val="00920821"/>
    <w:rsid w:val="009227B6"/>
    <w:rsid w:val="00922DAB"/>
    <w:rsid w:val="00930E5B"/>
    <w:rsid w:val="00932D81"/>
    <w:rsid w:val="00934405"/>
    <w:rsid w:val="009348DF"/>
    <w:rsid w:val="00936990"/>
    <w:rsid w:val="009406B0"/>
    <w:rsid w:val="009479E7"/>
    <w:rsid w:val="00947A1A"/>
    <w:rsid w:val="00950872"/>
    <w:rsid w:val="0095343A"/>
    <w:rsid w:val="00953636"/>
    <w:rsid w:val="00953E8C"/>
    <w:rsid w:val="00956C67"/>
    <w:rsid w:val="00957401"/>
    <w:rsid w:val="009601BB"/>
    <w:rsid w:val="00962D1A"/>
    <w:rsid w:val="00962F86"/>
    <w:rsid w:val="009655F6"/>
    <w:rsid w:val="0096662E"/>
    <w:rsid w:val="0096717C"/>
    <w:rsid w:val="00972B10"/>
    <w:rsid w:val="00976A4D"/>
    <w:rsid w:val="00980184"/>
    <w:rsid w:val="00980813"/>
    <w:rsid w:val="00982483"/>
    <w:rsid w:val="009837C0"/>
    <w:rsid w:val="009839B9"/>
    <w:rsid w:val="00983FDF"/>
    <w:rsid w:val="0098525F"/>
    <w:rsid w:val="009872A6"/>
    <w:rsid w:val="0098784A"/>
    <w:rsid w:val="009938F6"/>
    <w:rsid w:val="00993BCF"/>
    <w:rsid w:val="009948F2"/>
    <w:rsid w:val="009956BE"/>
    <w:rsid w:val="00996EA3"/>
    <w:rsid w:val="00997D92"/>
    <w:rsid w:val="009A0CB0"/>
    <w:rsid w:val="009A176D"/>
    <w:rsid w:val="009A2866"/>
    <w:rsid w:val="009A2982"/>
    <w:rsid w:val="009A3702"/>
    <w:rsid w:val="009A37C1"/>
    <w:rsid w:val="009A43F1"/>
    <w:rsid w:val="009A4562"/>
    <w:rsid w:val="009A4F78"/>
    <w:rsid w:val="009A6944"/>
    <w:rsid w:val="009B0B91"/>
    <w:rsid w:val="009B1F88"/>
    <w:rsid w:val="009B29FB"/>
    <w:rsid w:val="009B6322"/>
    <w:rsid w:val="009B7443"/>
    <w:rsid w:val="009C0BE2"/>
    <w:rsid w:val="009C1D00"/>
    <w:rsid w:val="009D0CE1"/>
    <w:rsid w:val="009D18DE"/>
    <w:rsid w:val="009D2B82"/>
    <w:rsid w:val="009D2C3F"/>
    <w:rsid w:val="009D5F4A"/>
    <w:rsid w:val="009E14C4"/>
    <w:rsid w:val="009E2519"/>
    <w:rsid w:val="009E3FB9"/>
    <w:rsid w:val="009E520B"/>
    <w:rsid w:val="009E5D6D"/>
    <w:rsid w:val="009E60E1"/>
    <w:rsid w:val="009F162F"/>
    <w:rsid w:val="009F2C34"/>
    <w:rsid w:val="009F31F3"/>
    <w:rsid w:val="009F4244"/>
    <w:rsid w:val="009F4C92"/>
    <w:rsid w:val="009F508C"/>
    <w:rsid w:val="009F5630"/>
    <w:rsid w:val="00A00EBC"/>
    <w:rsid w:val="00A0210A"/>
    <w:rsid w:val="00A048F0"/>
    <w:rsid w:val="00A07727"/>
    <w:rsid w:val="00A108C3"/>
    <w:rsid w:val="00A12586"/>
    <w:rsid w:val="00A14436"/>
    <w:rsid w:val="00A14EFF"/>
    <w:rsid w:val="00A20AE8"/>
    <w:rsid w:val="00A22F50"/>
    <w:rsid w:val="00A24AA5"/>
    <w:rsid w:val="00A309BD"/>
    <w:rsid w:val="00A366D9"/>
    <w:rsid w:val="00A36DE4"/>
    <w:rsid w:val="00A47C5E"/>
    <w:rsid w:val="00A502AF"/>
    <w:rsid w:val="00A51A83"/>
    <w:rsid w:val="00A51B8E"/>
    <w:rsid w:val="00A5459E"/>
    <w:rsid w:val="00A55DBF"/>
    <w:rsid w:val="00A56D65"/>
    <w:rsid w:val="00A62F8B"/>
    <w:rsid w:val="00A6318D"/>
    <w:rsid w:val="00A679E6"/>
    <w:rsid w:val="00A73629"/>
    <w:rsid w:val="00A75AE4"/>
    <w:rsid w:val="00A807AB"/>
    <w:rsid w:val="00A862E7"/>
    <w:rsid w:val="00A876B7"/>
    <w:rsid w:val="00A90FBC"/>
    <w:rsid w:val="00A91709"/>
    <w:rsid w:val="00A9376B"/>
    <w:rsid w:val="00AA15F6"/>
    <w:rsid w:val="00AA1764"/>
    <w:rsid w:val="00AA239E"/>
    <w:rsid w:val="00AA24C2"/>
    <w:rsid w:val="00AA664C"/>
    <w:rsid w:val="00AA6D81"/>
    <w:rsid w:val="00AB2B4F"/>
    <w:rsid w:val="00AB376C"/>
    <w:rsid w:val="00AB3F89"/>
    <w:rsid w:val="00AB41F3"/>
    <w:rsid w:val="00AB652F"/>
    <w:rsid w:val="00AB691F"/>
    <w:rsid w:val="00AB698A"/>
    <w:rsid w:val="00AC0424"/>
    <w:rsid w:val="00AC218E"/>
    <w:rsid w:val="00AC39E5"/>
    <w:rsid w:val="00AC424A"/>
    <w:rsid w:val="00AC5B58"/>
    <w:rsid w:val="00AD16E4"/>
    <w:rsid w:val="00AD1E22"/>
    <w:rsid w:val="00AD38A5"/>
    <w:rsid w:val="00AD4DAC"/>
    <w:rsid w:val="00AE2700"/>
    <w:rsid w:val="00AE2B98"/>
    <w:rsid w:val="00AE432D"/>
    <w:rsid w:val="00AE610F"/>
    <w:rsid w:val="00AF0C63"/>
    <w:rsid w:val="00AF24D8"/>
    <w:rsid w:val="00AF3349"/>
    <w:rsid w:val="00AF36D0"/>
    <w:rsid w:val="00AF501F"/>
    <w:rsid w:val="00AF673F"/>
    <w:rsid w:val="00AF7E41"/>
    <w:rsid w:val="00B0008E"/>
    <w:rsid w:val="00B003BE"/>
    <w:rsid w:val="00B03046"/>
    <w:rsid w:val="00B03F07"/>
    <w:rsid w:val="00B06341"/>
    <w:rsid w:val="00B06511"/>
    <w:rsid w:val="00B10158"/>
    <w:rsid w:val="00B11908"/>
    <w:rsid w:val="00B16BDB"/>
    <w:rsid w:val="00B21EF5"/>
    <w:rsid w:val="00B2307B"/>
    <w:rsid w:val="00B24B5F"/>
    <w:rsid w:val="00B273E1"/>
    <w:rsid w:val="00B31876"/>
    <w:rsid w:val="00B336F0"/>
    <w:rsid w:val="00B361A2"/>
    <w:rsid w:val="00B36398"/>
    <w:rsid w:val="00B40FFF"/>
    <w:rsid w:val="00B427D5"/>
    <w:rsid w:val="00B46192"/>
    <w:rsid w:val="00B46A07"/>
    <w:rsid w:val="00B46FE3"/>
    <w:rsid w:val="00B476F8"/>
    <w:rsid w:val="00B52AD6"/>
    <w:rsid w:val="00B549E2"/>
    <w:rsid w:val="00B54C80"/>
    <w:rsid w:val="00B57503"/>
    <w:rsid w:val="00B608B1"/>
    <w:rsid w:val="00B61903"/>
    <w:rsid w:val="00B61C12"/>
    <w:rsid w:val="00B622EA"/>
    <w:rsid w:val="00B63C66"/>
    <w:rsid w:val="00B711A6"/>
    <w:rsid w:val="00B71470"/>
    <w:rsid w:val="00B721F4"/>
    <w:rsid w:val="00B744F0"/>
    <w:rsid w:val="00B774A1"/>
    <w:rsid w:val="00B81E46"/>
    <w:rsid w:val="00B828BC"/>
    <w:rsid w:val="00B84083"/>
    <w:rsid w:val="00B84AA6"/>
    <w:rsid w:val="00B907F5"/>
    <w:rsid w:val="00B920D5"/>
    <w:rsid w:val="00B923DD"/>
    <w:rsid w:val="00B928DF"/>
    <w:rsid w:val="00B93E52"/>
    <w:rsid w:val="00B96823"/>
    <w:rsid w:val="00BA2C35"/>
    <w:rsid w:val="00BA3F3C"/>
    <w:rsid w:val="00BA6C58"/>
    <w:rsid w:val="00BA6EC1"/>
    <w:rsid w:val="00BA78C0"/>
    <w:rsid w:val="00BB10C0"/>
    <w:rsid w:val="00BB201E"/>
    <w:rsid w:val="00BB2124"/>
    <w:rsid w:val="00BB5AD9"/>
    <w:rsid w:val="00BB74A0"/>
    <w:rsid w:val="00BC5E4D"/>
    <w:rsid w:val="00BC688A"/>
    <w:rsid w:val="00BC6FE0"/>
    <w:rsid w:val="00BD3701"/>
    <w:rsid w:val="00BD3CEF"/>
    <w:rsid w:val="00BD4FF8"/>
    <w:rsid w:val="00BD5EE8"/>
    <w:rsid w:val="00BD76F9"/>
    <w:rsid w:val="00BE4931"/>
    <w:rsid w:val="00BE50AC"/>
    <w:rsid w:val="00BE5D1E"/>
    <w:rsid w:val="00BE6CE3"/>
    <w:rsid w:val="00BF1998"/>
    <w:rsid w:val="00BF1B45"/>
    <w:rsid w:val="00BF51EC"/>
    <w:rsid w:val="00BF7658"/>
    <w:rsid w:val="00C01FB4"/>
    <w:rsid w:val="00C02289"/>
    <w:rsid w:val="00C06177"/>
    <w:rsid w:val="00C067CB"/>
    <w:rsid w:val="00C1069D"/>
    <w:rsid w:val="00C1336A"/>
    <w:rsid w:val="00C13419"/>
    <w:rsid w:val="00C1413A"/>
    <w:rsid w:val="00C15A4C"/>
    <w:rsid w:val="00C16B35"/>
    <w:rsid w:val="00C176F3"/>
    <w:rsid w:val="00C20DA9"/>
    <w:rsid w:val="00C20F01"/>
    <w:rsid w:val="00C30D30"/>
    <w:rsid w:val="00C310D3"/>
    <w:rsid w:val="00C33701"/>
    <w:rsid w:val="00C3387D"/>
    <w:rsid w:val="00C33AA4"/>
    <w:rsid w:val="00C35661"/>
    <w:rsid w:val="00C35C2B"/>
    <w:rsid w:val="00C37814"/>
    <w:rsid w:val="00C41C96"/>
    <w:rsid w:val="00C41F06"/>
    <w:rsid w:val="00C42FA4"/>
    <w:rsid w:val="00C472C2"/>
    <w:rsid w:val="00C51FFB"/>
    <w:rsid w:val="00C52F20"/>
    <w:rsid w:val="00C52FAE"/>
    <w:rsid w:val="00C57287"/>
    <w:rsid w:val="00C57442"/>
    <w:rsid w:val="00C60EBB"/>
    <w:rsid w:val="00C62147"/>
    <w:rsid w:val="00C63FFB"/>
    <w:rsid w:val="00C73354"/>
    <w:rsid w:val="00C73BF6"/>
    <w:rsid w:val="00C74147"/>
    <w:rsid w:val="00C76259"/>
    <w:rsid w:val="00C8042A"/>
    <w:rsid w:val="00C81571"/>
    <w:rsid w:val="00C81B36"/>
    <w:rsid w:val="00C82590"/>
    <w:rsid w:val="00C83E04"/>
    <w:rsid w:val="00C83E2E"/>
    <w:rsid w:val="00C8401E"/>
    <w:rsid w:val="00C85450"/>
    <w:rsid w:val="00C858F4"/>
    <w:rsid w:val="00C9175C"/>
    <w:rsid w:val="00C94F71"/>
    <w:rsid w:val="00C9723C"/>
    <w:rsid w:val="00CA0499"/>
    <w:rsid w:val="00CA5370"/>
    <w:rsid w:val="00CA5453"/>
    <w:rsid w:val="00CB4130"/>
    <w:rsid w:val="00CB4F25"/>
    <w:rsid w:val="00CB5FD9"/>
    <w:rsid w:val="00CB7C7A"/>
    <w:rsid w:val="00CC24E6"/>
    <w:rsid w:val="00CC5AFC"/>
    <w:rsid w:val="00CD322E"/>
    <w:rsid w:val="00CD56A0"/>
    <w:rsid w:val="00CD7C2B"/>
    <w:rsid w:val="00CE389A"/>
    <w:rsid w:val="00CE4210"/>
    <w:rsid w:val="00CE6485"/>
    <w:rsid w:val="00CF0641"/>
    <w:rsid w:val="00CF0E85"/>
    <w:rsid w:val="00CF14E3"/>
    <w:rsid w:val="00CF504C"/>
    <w:rsid w:val="00CF7EA9"/>
    <w:rsid w:val="00D001C2"/>
    <w:rsid w:val="00D00C48"/>
    <w:rsid w:val="00D0131A"/>
    <w:rsid w:val="00D0570E"/>
    <w:rsid w:val="00D05787"/>
    <w:rsid w:val="00D060F4"/>
    <w:rsid w:val="00D06D41"/>
    <w:rsid w:val="00D144CF"/>
    <w:rsid w:val="00D15F6C"/>
    <w:rsid w:val="00D16C6C"/>
    <w:rsid w:val="00D17039"/>
    <w:rsid w:val="00D21760"/>
    <w:rsid w:val="00D21A39"/>
    <w:rsid w:val="00D22D28"/>
    <w:rsid w:val="00D233B9"/>
    <w:rsid w:val="00D25451"/>
    <w:rsid w:val="00D327A4"/>
    <w:rsid w:val="00D444A7"/>
    <w:rsid w:val="00D4464C"/>
    <w:rsid w:val="00D4575C"/>
    <w:rsid w:val="00D50B7E"/>
    <w:rsid w:val="00D50F41"/>
    <w:rsid w:val="00D51A2A"/>
    <w:rsid w:val="00D570B9"/>
    <w:rsid w:val="00D60ED2"/>
    <w:rsid w:val="00D6136E"/>
    <w:rsid w:val="00D6182B"/>
    <w:rsid w:val="00D7042D"/>
    <w:rsid w:val="00D70BF7"/>
    <w:rsid w:val="00D724C2"/>
    <w:rsid w:val="00D72F7D"/>
    <w:rsid w:val="00D76244"/>
    <w:rsid w:val="00D8056B"/>
    <w:rsid w:val="00D8150B"/>
    <w:rsid w:val="00D825CA"/>
    <w:rsid w:val="00D841F6"/>
    <w:rsid w:val="00D84EED"/>
    <w:rsid w:val="00D8732F"/>
    <w:rsid w:val="00D875F9"/>
    <w:rsid w:val="00D90135"/>
    <w:rsid w:val="00D91758"/>
    <w:rsid w:val="00D96BA4"/>
    <w:rsid w:val="00DA3BA7"/>
    <w:rsid w:val="00DA5197"/>
    <w:rsid w:val="00DA67D0"/>
    <w:rsid w:val="00DB04BE"/>
    <w:rsid w:val="00DB2D3E"/>
    <w:rsid w:val="00DB2DA6"/>
    <w:rsid w:val="00DB2F99"/>
    <w:rsid w:val="00DB54AF"/>
    <w:rsid w:val="00DB5609"/>
    <w:rsid w:val="00DB7530"/>
    <w:rsid w:val="00DC03FC"/>
    <w:rsid w:val="00DC22A5"/>
    <w:rsid w:val="00DC3AF1"/>
    <w:rsid w:val="00DC758D"/>
    <w:rsid w:val="00DD0819"/>
    <w:rsid w:val="00DD084F"/>
    <w:rsid w:val="00DD3BDB"/>
    <w:rsid w:val="00DD50D8"/>
    <w:rsid w:val="00DE2292"/>
    <w:rsid w:val="00DE31CB"/>
    <w:rsid w:val="00DE6173"/>
    <w:rsid w:val="00DF48D1"/>
    <w:rsid w:val="00E018F7"/>
    <w:rsid w:val="00E03F3A"/>
    <w:rsid w:val="00E06087"/>
    <w:rsid w:val="00E11D3D"/>
    <w:rsid w:val="00E12A95"/>
    <w:rsid w:val="00E20464"/>
    <w:rsid w:val="00E21292"/>
    <w:rsid w:val="00E21C4A"/>
    <w:rsid w:val="00E23B2F"/>
    <w:rsid w:val="00E24AC1"/>
    <w:rsid w:val="00E2664A"/>
    <w:rsid w:val="00E2730C"/>
    <w:rsid w:val="00E340C7"/>
    <w:rsid w:val="00E40F11"/>
    <w:rsid w:val="00E4258C"/>
    <w:rsid w:val="00E44073"/>
    <w:rsid w:val="00E4419F"/>
    <w:rsid w:val="00E5360E"/>
    <w:rsid w:val="00E56C5B"/>
    <w:rsid w:val="00E57A56"/>
    <w:rsid w:val="00E62205"/>
    <w:rsid w:val="00E629E5"/>
    <w:rsid w:val="00E63344"/>
    <w:rsid w:val="00E67B24"/>
    <w:rsid w:val="00E702BE"/>
    <w:rsid w:val="00E71C26"/>
    <w:rsid w:val="00E71E85"/>
    <w:rsid w:val="00E72F67"/>
    <w:rsid w:val="00E75552"/>
    <w:rsid w:val="00E77B00"/>
    <w:rsid w:val="00E81349"/>
    <w:rsid w:val="00E83BF4"/>
    <w:rsid w:val="00E85857"/>
    <w:rsid w:val="00E85F7B"/>
    <w:rsid w:val="00E86135"/>
    <w:rsid w:val="00E87F3C"/>
    <w:rsid w:val="00E91FFB"/>
    <w:rsid w:val="00E93F89"/>
    <w:rsid w:val="00E95AAC"/>
    <w:rsid w:val="00E965D6"/>
    <w:rsid w:val="00E96981"/>
    <w:rsid w:val="00EA1D0A"/>
    <w:rsid w:val="00EA4EE0"/>
    <w:rsid w:val="00EA74EA"/>
    <w:rsid w:val="00EB1DF4"/>
    <w:rsid w:val="00EB3062"/>
    <w:rsid w:val="00EB39C6"/>
    <w:rsid w:val="00EB49C6"/>
    <w:rsid w:val="00EB6395"/>
    <w:rsid w:val="00EC3BAC"/>
    <w:rsid w:val="00EC49B6"/>
    <w:rsid w:val="00EC4F64"/>
    <w:rsid w:val="00EC516F"/>
    <w:rsid w:val="00EC5B12"/>
    <w:rsid w:val="00EC5DD0"/>
    <w:rsid w:val="00ED1408"/>
    <w:rsid w:val="00ED19FC"/>
    <w:rsid w:val="00ED357E"/>
    <w:rsid w:val="00ED64DE"/>
    <w:rsid w:val="00EE0042"/>
    <w:rsid w:val="00EF0008"/>
    <w:rsid w:val="00EF0445"/>
    <w:rsid w:val="00EF3061"/>
    <w:rsid w:val="00EF328D"/>
    <w:rsid w:val="00EF5899"/>
    <w:rsid w:val="00EF6746"/>
    <w:rsid w:val="00F0246A"/>
    <w:rsid w:val="00F0260F"/>
    <w:rsid w:val="00F05132"/>
    <w:rsid w:val="00F07FC9"/>
    <w:rsid w:val="00F1048D"/>
    <w:rsid w:val="00F106AB"/>
    <w:rsid w:val="00F10A91"/>
    <w:rsid w:val="00F11561"/>
    <w:rsid w:val="00F1196C"/>
    <w:rsid w:val="00F12DCC"/>
    <w:rsid w:val="00F14D81"/>
    <w:rsid w:val="00F20184"/>
    <w:rsid w:val="00F211B1"/>
    <w:rsid w:val="00F21D84"/>
    <w:rsid w:val="00F2315B"/>
    <w:rsid w:val="00F2392A"/>
    <w:rsid w:val="00F26896"/>
    <w:rsid w:val="00F277E5"/>
    <w:rsid w:val="00F32902"/>
    <w:rsid w:val="00F33269"/>
    <w:rsid w:val="00F370DD"/>
    <w:rsid w:val="00F4183D"/>
    <w:rsid w:val="00F421EA"/>
    <w:rsid w:val="00F458B0"/>
    <w:rsid w:val="00F4593F"/>
    <w:rsid w:val="00F50D13"/>
    <w:rsid w:val="00F60D96"/>
    <w:rsid w:val="00F640B9"/>
    <w:rsid w:val="00F66319"/>
    <w:rsid w:val="00F6702F"/>
    <w:rsid w:val="00F67501"/>
    <w:rsid w:val="00F706DD"/>
    <w:rsid w:val="00F71878"/>
    <w:rsid w:val="00F71E06"/>
    <w:rsid w:val="00F7313C"/>
    <w:rsid w:val="00F769DC"/>
    <w:rsid w:val="00F81874"/>
    <w:rsid w:val="00F83C7C"/>
    <w:rsid w:val="00F84F23"/>
    <w:rsid w:val="00F866E3"/>
    <w:rsid w:val="00F91257"/>
    <w:rsid w:val="00F92EAA"/>
    <w:rsid w:val="00F93F4A"/>
    <w:rsid w:val="00F95890"/>
    <w:rsid w:val="00FA156D"/>
    <w:rsid w:val="00FA700F"/>
    <w:rsid w:val="00FB434E"/>
    <w:rsid w:val="00FC09F8"/>
    <w:rsid w:val="00FC0CA4"/>
    <w:rsid w:val="00FC2822"/>
    <w:rsid w:val="00FC47CF"/>
    <w:rsid w:val="00FC4D5E"/>
    <w:rsid w:val="00FD1AE6"/>
    <w:rsid w:val="00FD36FF"/>
    <w:rsid w:val="00FD673F"/>
    <w:rsid w:val="00FE127A"/>
    <w:rsid w:val="00FE2E6E"/>
    <w:rsid w:val="00FE5102"/>
    <w:rsid w:val="00FE65FC"/>
    <w:rsid w:val="00FE7F57"/>
    <w:rsid w:val="00FF7E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DCC5"/>
  <w15:docId w15:val="{47051BD3-41E7-476F-854F-A00E22A0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2B361E"/>
    <w:rPr>
      <w:sz w:val="16"/>
      <w:szCs w:val="16"/>
    </w:rPr>
  </w:style>
  <w:style w:type="paragraph" w:styleId="CommentText">
    <w:name w:val="annotation text"/>
    <w:basedOn w:val="Normal"/>
    <w:link w:val="CommentTextChar"/>
    <w:uiPriority w:val="99"/>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aliases w:val="Recommendation,L,List Paragraph1,List Paragraph11,CV text,Table text,F5 List Paragraph,Dot pt,List Paragraph111,Medium Grid 1 - Accent 21,Numbered Paragraph,List Paragraph2,NFP GP Bulleted List,FooterText,numbered,Paragraphe de liste1,列出段"/>
    <w:basedOn w:val="Normal"/>
    <w:link w:val="ListParagraphChar"/>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paragraph" w:styleId="FootnoteText">
    <w:name w:val="footnote text"/>
    <w:aliases w:val="5_G,Footnote Text Char Char,Footnote Text Char1 Char Char,Footnote Text Char Char Char Char,Footnote Text2 Char Char Char Char,Footnote Text Char1 Char Char Char Char,Footnote Text Char Char Char Char Char Char,Char Char"/>
    <w:basedOn w:val="Normal"/>
    <w:link w:val="FootnoteTextChar"/>
    <w:unhideWhenUsed/>
    <w:qFormat/>
    <w:rsid w:val="00E24AC1"/>
    <w:pPr>
      <w:spacing w:after="0" w:line="240" w:lineRule="auto"/>
    </w:pPr>
    <w:rPr>
      <w:sz w:val="20"/>
      <w:szCs w:val="20"/>
    </w:rPr>
  </w:style>
  <w:style w:type="character" w:customStyle="1" w:styleId="FootnoteTextChar">
    <w:name w:val="Footnote Text Char"/>
    <w:aliases w:val="5_G Char,Footnote Text Char Char Char,Footnote Text Char1 Char Char Char,Footnote Text Char Char Char Char Char,Footnote Text2 Char Char Char Char Char,Footnote Text Char1 Char Char Char Char Char,Char Char Char"/>
    <w:basedOn w:val="DefaultParagraphFont"/>
    <w:link w:val="FootnoteText"/>
    <w:qFormat/>
    <w:rsid w:val="00E24AC1"/>
    <w:rPr>
      <w:sz w:val="20"/>
      <w:szCs w:val="20"/>
    </w:rPr>
  </w:style>
  <w:style w:type="character" w:styleId="FootnoteReference">
    <w:name w:val="footnote reference"/>
    <w:aliases w:val="Footnotes refss,4_G,ftref,Footnote number,(NECG) Footnote Reference,Texto de nota al pie,Footnote Reference Char3,Footnote Reference Char1 Char,Char Char Car Char Car Char Car Char Car Char Car Char Char Char1 Char,Style 10,BVI fnr,f"/>
    <w:basedOn w:val="DefaultParagraphFont"/>
    <w:link w:val="4GChar"/>
    <w:unhideWhenUsed/>
    <w:qFormat/>
    <w:rsid w:val="00E24AC1"/>
    <w:rPr>
      <w:vertAlign w:val="superscript"/>
    </w:rPr>
  </w:style>
  <w:style w:type="character" w:customStyle="1" w:styleId="ListParagraphChar">
    <w:name w:val="List Paragraph Char"/>
    <w:aliases w:val="Recommendation Char,L Char,List Paragraph1 Char,List Paragraph11 Char,CV text Char,Table text Char,F5 List Paragraph Char,Dot pt Char,List Paragraph111 Char,Medium Grid 1 - Accent 21 Char,Numbered Paragraph Char,List Paragraph2 Char"/>
    <w:basedOn w:val="DefaultParagraphFont"/>
    <w:link w:val="ListParagraph"/>
    <w:uiPriority w:val="34"/>
    <w:qFormat/>
    <w:locked/>
    <w:rsid w:val="00562E61"/>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rsid w:val="00CB4130"/>
    <w:pPr>
      <w:spacing w:after="0" w:line="240" w:lineRule="auto"/>
      <w:jc w:val="both"/>
    </w:pPr>
    <w:rPr>
      <w:vertAlign w:val="superscript"/>
    </w:rPr>
  </w:style>
  <w:style w:type="character" w:styleId="UnresolvedMention">
    <w:name w:val="Unresolved Mention"/>
    <w:basedOn w:val="DefaultParagraphFont"/>
    <w:uiPriority w:val="99"/>
    <w:semiHidden/>
    <w:unhideWhenUsed/>
    <w:rsid w:val="004A3C74"/>
    <w:rPr>
      <w:color w:val="605E5C"/>
      <w:shd w:val="clear" w:color="auto" w:fill="E1DFDD"/>
    </w:rPr>
  </w:style>
  <w:style w:type="paragraph" w:styleId="Revision">
    <w:name w:val="Revision"/>
    <w:hidden/>
    <w:uiPriority w:val="99"/>
    <w:semiHidden/>
    <w:rsid w:val="00DE2292"/>
    <w:pPr>
      <w:spacing w:after="0" w:line="240" w:lineRule="auto"/>
    </w:pPr>
  </w:style>
  <w:style w:type="paragraph" w:styleId="BodyText">
    <w:name w:val="Body Text"/>
    <w:basedOn w:val="Normal"/>
    <w:link w:val="BodyTextChar"/>
    <w:uiPriority w:val="1"/>
    <w:qFormat/>
    <w:rsid w:val="00E83BF4"/>
    <w:pPr>
      <w:autoSpaceDE w:val="0"/>
      <w:autoSpaceDN w:val="0"/>
      <w:adjustRightInd w:val="0"/>
      <w:spacing w:before="1" w:after="0" w:line="240" w:lineRule="auto"/>
    </w:pPr>
    <w:rPr>
      <w:rFonts w:ascii="Times New Roman" w:hAnsi="Times New Roman" w:cs="Times New Roman"/>
      <w:sz w:val="23"/>
      <w:szCs w:val="23"/>
    </w:rPr>
  </w:style>
  <w:style w:type="character" w:customStyle="1" w:styleId="BodyTextChar">
    <w:name w:val="Body Text Char"/>
    <w:basedOn w:val="DefaultParagraphFont"/>
    <w:link w:val="BodyText"/>
    <w:uiPriority w:val="1"/>
    <w:rsid w:val="00E83BF4"/>
    <w:rPr>
      <w:rFonts w:ascii="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215">
      <w:bodyDiv w:val="1"/>
      <w:marLeft w:val="0"/>
      <w:marRight w:val="0"/>
      <w:marTop w:val="0"/>
      <w:marBottom w:val="0"/>
      <w:divBdr>
        <w:top w:val="none" w:sz="0" w:space="0" w:color="auto"/>
        <w:left w:val="none" w:sz="0" w:space="0" w:color="auto"/>
        <w:bottom w:val="none" w:sz="0" w:space="0" w:color="auto"/>
        <w:right w:val="none" w:sz="0" w:space="0" w:color="auto"/>
      </w:divBdr>
    </w:div>
    <w:div w:id="113016409">
      <w:bodyDiv w:val="1"/>
      <w:marLeft w:val="0"/>
      <w:marRight w:val="0"/>
      <w:marTop w:val="0"/>
      <w:marBottom w:val="0"/>
      <w:divBdr>
        <w:top w:val="none" w:sz="0" w:space="0" w:color="auto"/>
        <w:left w:val="none" w:sz="0" w:space="0" w:color="auto"/>
        <w:bottom w:val="none" w:sz="0" w:space="0" w:color="auto"/>
        <w:right w:val="none" w:sz="0" w:space="0" w:color="auto"/>
      </w:divBdr>
    </w:div>
    <w:div w:id="183203801">
      <w:bodyDiv w:val="1"/>
      <w:marLeft w:val="0"/>
      <w:marRight w:val="0"/>
      <w:marTop w:val="0"/>
      <w:marBottom w:val="0"/>
      <w:divBdr>
        <w:top w:val="none" w:sz="0" w:space="0" w:color="auto"/>
        <w:left w:val="none" w:sz="0" w:space="0" w:color="auto"/>
        <w:bottom w:val="none" w:sz="0" w:space="0" w:color="auto"/>
        <w:right w:val="none" w:sz="0" w:space="0" w:color="auto"/>
      </w:divBdr>
    </w:div>
    <w:div w:id="280190456">
      <w:bodyDiv w:val="1"/>
      <w:marLeft w:val="0"/>
      <w:marRight w:val="0"/>
      <w:marTop w:val="0"/>
      <w:marBottom w:val="0"/>
      <w:divBdr>
        <w:top w:val="none" w:sz="0" w:space="0" w:color="auto"/>
        <w:left w:val="none" w:sz="0" w:space="0" w:color="auto"/>
        <w:bottom w:val="none" w:sz="0" w:space="0" w:color="auto"/>
        <w:right w:val="none" w:sz="0" w:space="0" w:color="auto"/>
      </w:divBdr>
    </w:div>
    <w:div w:id="314840247">
      <w:bodyDiv w:val="1"/>
      <w:marLeft w:val="0"/>
      <w:marRight w:val="0"/>
      <w:marTop w:val="0"/>
      <w:marBottom w:val="0"/>
      <w:divBdr>
        <w:top w:val="none" w:sz="0" w:space="0" w:color="auto"/>
        <w:left w:val="none" w:sz="0" w:space="0" w:color="auto"/>
        <w:bottom w:val="none" w:sz="0" w:space="0" w:color="auto"/>
        <w:right w:val="none" w:sz="0" w:space="0" w:color="auto"/>
      </w:divBdr>
    </w:div>
    <w:div w:id="362024707">
      <w:bodyDiv w:val="1"/>
      <w:marLeft w:val="0"/>
      <w:marRight w:val="0"/>
      <w:marTop w:val="0"/>
      <w:marBottom w:val="0"/>
      <w:divBdr>
        <w:top w:val="none" w:sz="0" w:space="0" w:color="auto"/>
        <w:left w:val="none" w:sz="0" w:space="0" w:color="auto"/>
        <w:bottom w:val="none" w:sz="0" w:space="0" w:color="auto"/>
        <w:right w:val="none" w:sz="0" w:space="0" w:color="auto"/>
      </w:divBdr>
    </w:div>
    <w:div w:id="527109670">
      <w:bodyDiv w:val="1"/>
      <w:marLeft w:val="0"/>
      <w:marRight w:val="0"/>
      <w:marTop w:val="0"/>
      <w:marBottom w:val="0"/>
      <w:divBdr>
        <w:top w:val="none" w:sz="0" w:space="0" w:color="auto"/>
        <w:left w:val="none" w:sz="0" w:space="0" w:color="auto"/>
        <w:bottom w:val="none" w:sz="0" w:space="0" w:color="auto"/>
        <w:right w:val="none" w:sz="0" w:space="0" w:color="auto"/>
      </w:divBdr>
    </w:div>
    <w:div w:id="636880889">
      <w:bodyDiv w:val="1"/>
      <w:marLeft w:val="0"/>
      <w:marRight w:val="0"/>
      <w:marTop w:val="0"/>
      <w:marBottom w:val="0"/>
      <w:divBdr>
        <w:top w:val="none" w:sz="0" w:space="0" w:color="auto"/>
        <w:left w:val="none" w:sz="0" w:space="0" w:color="auto"/>
        <w:bottom w:val="none" w:sz="0" w:space="0" w:color="auto"/>
        <w:right w:val="none" w:sz="0" w:space="0" w:color="auto"/>
      </w:divBdr>
    </w:div>
    <w:div w:id="765662468">
      <w:bodyDiv w:val="1"/>
      <w:marLeft w:val="0"/>
      <w:marRight w:val="0"/>
      <w:marTop w:val="0"/>
      <w:marBottom w:val="0"/>
      <w:divBdr>
        <w:top w:val="none" w:sz="0" w:space="0" w:color="auto"/>
        <w:left w:val="none" w:sz="0" w:space="0" w:color="auto"/>
        <w:bottom w:val="none" w:sz="0" w:space="0" w:color="auto"/>
        <w:right w:val="none" w:sz="0" w:space="0" w:color="auto"/>
      </w:divBdr>
    </w:div>
    <w:div w:id="950432847">
      <w:bodyDiv w:val="1"/>
      <w:marLeft w:val="0"/>
      <w:marRight w:val="0"/>
      <w:marTop w:val="0"/>
      <w:marBottom w:val="0"/>
      <w:divBdr>
        <w:top w:val="none" w:sz="0" w:space="0" w:color="auto"/>
        <w:left w:val="none" w:sz="0" w:space="0" w:color="auto"/>
        <w:bottom w:val="none" w:sz="0" w:space="0" w:color="auto"/>
        <w:right w:val="none" w:sz="0" w:space="0" w:color="auto"/>
      </w:divBdr>
    </w:div>
    <w:div w:id="1120999941">
      <w:bodyDiv w:val="1"/>
      <w:marLeft w:val="0"/>
      <w:marRight w:val="0"/>
      <w:marTop w:val="0"/>
      <w:marBottom w:val="0"/>
      <w:divBdr>
        <w:top w:val="none" w:sz="0" w:space="0" w:color="auto"/>
        <w:left w:val="none" w:sz="0" w:space="0" w:color="auto"/>
        <w:bottom w:val="none" w:sz="0" w:space="0" w:color="auto"/>
        <w:right w:val="none" w:sz="0" w:space="0" w:color="auto"/>
      </w:divBdr>
    </w:div>
    <w:div w:id="1199859220">
      <w:bodyDiv w:val="1"/>
      <w:marLeft w:val="0"/>
      <w:marRight w:val="0"/>
      <w:marTop w:val="0"/>
      <w:marBottom w:val="0"/>
      <w:divBdr>
        <w:top w:val="none" w:sz="0" w:space="0" w:color="auto"/>
        <w:left w:val="none" w:sz="0" w:space="0" w:color="auto"/>
        <w:bottom w:val="none" w:sz="0" w:space="0" w:color="auto"/>
        <w:right w:val="none" w:sz="0" w:space="0" w:color="auto"/>
      </w:divBdr>
    </w:div>
    <w:div w:id="1281299813">
      <w:bodyDiv w:val="1"/>
      <w:marLeft w:val="0"/>
      <w:marRight w:val="0"/>
      <w:marTop w:val="0"/>
      <w:marBottom w:val="0"/>
      <w:divBdr>
        <w:top w:val="none" w:sz="0" w:space="0" w:color="auto"/>
        <w:left w:val="none" w:sz="0" w:space="0" w:color="auto"/>
        <w:bottom w:val="none" w:sz="0" w:space="0" w:color="auto"/>
        <w:right w:val="none" w:sz="0" w:space="0" w:color="auto"/>
      </w:divBdr>
    </w:div>
    <w:div w:id="1344866823">
      <w:bodyDiv w:val="1"/>
      <w:marLeft w:val="0"/>
      <w:marRight w:val="0"/>
      <w:marTop w:val="0"/>
      <w:marBottom w:val="0"/>
      <w:divBdr>
        <w:top w:val="none" w:sz="0" w:space="0" w:color="auto"/>
        <w:left w:val="none" w:sz="0" w:space="0" w:color="auto"/>
        <w:bottom w:val="none" w:sz="0" w:space="0" w:color="auto"/>
        <w:right w:val="none" w:sz="0" w:space="0" w:color="auto"/>
      </w:divBdr>
    </w:div>
    <w:div w:id="1350257594">
      <w:bodyDiv w:val="1"/>
      <w:marLeft w:val="0"/>
      <w:marRight w:val="0"/>
      <w:marTop w:val="0"/>
      <w:marBottom w:val="0"/>
      <w:divBdr>
        <w:top w:val="none" w:sz="0" w:space="0" w:color="auto"/>
        <w:left w:val="none" w:sz="0" w:space="0" w:color="auto"/>
        <w:bottom w:val="none" w:sz="0" w:space="0" w:color="auto"/>
        <w:right w:val="none" w:sz="0" w:space="0" w:color="auto"/>
      </w:divBdr>
    </w:div>
    <w:div w:id="1446535792">
      <w:bodyDiv w:val="1"/>
      <w:marLeft w:val="0"/>
      <w:marRight w:val="0"/>
      <w:marTop w:val="0"/>
      <w:marBottom w:val="0"/>
      <w:divBdr>
        <w:top w:val="none" w:sz="0" w:space="0" w:color="auto"/>
        <w:left w:val="none" w:sz="0" w:space="0" w:color="auto"/>
        <w:bottom w:val="none" w:sz="0" w:space="0" w:color="auto"/>
        <w:right w:val="none" w:sz="0" w:space="0" w:color="auto"/>
      </w:divBdr>
    </w:div>
    <w:div w:id="1457724799">
      <w:bodyDiv w:val="1"/>
      <w:marLeft w:val="0"/>
      <w:marRight w:val="0"/>
      <w:marTop w:val="0"/>
      <w:marBottom w:val="0"/>
      <w:divBdr>
        <w:top w:val="none" w:sz="0" w:space="0" w:color="auto"/>
        <w:left w:val="none" w:sz="0" w:space="0" w:color="auto"/>
        <w:bottom w:val="none" w:sz="0" w:space="0" w:color="auto"/>
        <w:right w:val="none" w:sz="0" w:space="0" w:color="auto"/>
      </w:divBdr>
    </w:div>
    <w:div w:id="1602447778">
      <w:bodyDiv w:val="1"/>
      <w:marLeft w:val="0"/>
      <w:marRight w:val="0"/>
      <w:marTop w:val="0"/>
      <w:marBottom w:val="0"/>
      <w:divBdr>
        <w:top w:val="none" w:sz="0" w:space="0" w:color="auto"/>
        <w:left w:val="none" w:sz="0" w:space="0" w:color="auto"/>
        <w:bottom w:val="none" w:sz="0" w:space="0" w:color="auto"/>
        <w:right w:val="none" w:sz="0" w:space="0" w:color="auto"/>
      </w:divBdr>
    </w:div>
    <w:div w:id="1672756129">
      <w:bodyDiv w:val="1"/>
      <w:marLeft w:val="0"/>
      <w:marRight w:val="0"/>
      <w:marTop w:val="0"/>
      <w:marBottom w:val="0"/>
      <w:divBdr>
        <w:top w:val="none" w:sz="0" w:space="0" w:color="auto"/>
        <w:left w:val="none" w:sz="0" w:space="0" w:color="auto"/>
        <w:bottom w:val="none" w:sz="0" w:space="0" w:color="auto"/>
        <w:right w:val="none" w:sz="0" w:space="0" w:color="auto"/>
      </w:divBdr>
    </w:div>
    <w:div w:id="194329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435E30EB178474E8A1CED0301A1FA79" ma:contentTypeVersion="" ma:contentTypeDescription="PDMS Document Site Content Type" ma:contentTypeScope="" ma:versionID="1e81ed8638f68ef1adc491c92c5e3d00">
  <xsd:schema xmlns:xsd="http://www.w3.org/2001/XMLSchema" xmlns:xs="http://www.w3.org/2001/XMLSchema" xmlns:p="http://schemas.microsoft.com/office/2006/metadata/properties" xmlns:ns2="C034BC52-2E03-4360-B201-4ABAE64E9E6E" targetNamespace="http://schemas.microsoft.com/office/2006/metadata/properties" ma:root="true" ma:fieldsID="6e2ef9389c5af95f8dbdf393a0a62856" ns2:_="">
    <xsd:import namespace="C034BC52-2E03-4360-B201-4ABAE64E9E6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4BC52-2E03-4360-B201-4ABAE64E9E6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C034BC52-2E03-4360-B201-4ABAE64E9E6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4B2A5-2EB1-425C-AC95-4AF96011D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4BC52-2E03-4360-B201-4ABAE64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3.xml><?xml version="1.0" encoding="utf-8"?>
<ds:datastoreItem xmlns:ds="http://schemas.openxmlformats.org/officeDocument/2006/customXml" ds:itemID="{9D74A69D-22E8-43A8-BB0F-D8E8F3411D3E}">
  <ds:schemaRefs>
    <ds:schemaRef ds:uri="http://schemas.microsoft.com/office/2006/metadata/properties"/>
    <ds:schemaRef ds:uri="http://schemas.microsoft.com/office/infopath/2007/PartnerControls"/>
    <ds:schemaRef ds:uri="C034BC52-2E03-4360-B201-4ABAE64E9E6E"/>
  </ds:schemaRefs>
</ds:datastoreItem>
</file>

<file path=customXml/itemProps4.xml><?xml version="1.0" encoding="utf-8"?>
<ds:datastoreItem xmlns:ds="http://schemas.openxmlformats.org/officeDocument/2006/customXml" ds:itemID="{D8CE9630-314A-4B3D-B741-42DF974E6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8764</Words>
  <Characters>49959</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58606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tayloh</dc:creator>
  <cp:lastModifiedBy>Bishop, Ellie</cp:lastModifiedBy>
  <cp:revision>3</cp:revision>
  <dcterms:created xsi:type="dcterms:W3CDTF">2024-12-06T00:44:00Z</dcterms:created>
  <dcterms:modified xsi:type="dcterms:W3CDTF">2024-12-06T00:45:00Z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0x010100266966F133664895A6EE3632470D45F5009435E30EB178474E8A1CED0301A1FA79</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ies>
</file>