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712873" w:rsidRDefault="0024360E" w:rsidP="00CE420F">
      <w:pPr>
        <w:spacing w:after="240" w:line="276" w:lineRule="auto"/>
        <w:ind w:right="40"/>
        <w:jc w:val="center"/>
        <w:rPr>
          <w:b/>
          <w:bCs/>
          <w:u w:val="single"/>
        </w:rPr>
      </w:pPr>
      <w:bookmarkStart w:id="0" w:name="_GoBack"/>
      <w:bookmarkEnd w:id="0"/>
      <w:r w:rsidRPr="00712873">
        <w:rPr>
          <w:b/>
          <w:bCs/>
          <w:u w:val="single"/>
        </w:rPr>
        <w:t>EXPLANATORY STATEMENT</w:t>
      </w:r>
    </w:p>
    <w:p w14:paraId="1F385F58" w14:textId="7C956923" w:rsidR="00B2211F" w:rsidRPr="00712873" w:rsidRDefault="0074556E" w:rsidP="00CE420F">
      <w:pPr>
        <w:spacing w:after="240" w:line="276" w:lineRule="auto"/>
        <w:jc w:val="center"/>
      </w:pPr>
      <w:r w:rsidRPr="00712873">
        <w:t xml:space="preserve">Issued by the </w:t>
      </w:r>
      <w:r w:rsidR="00A21B57">
        <w:t xml:space="preserve">Assistant </w:t>
      </w:r>
      <w:r w:rsidRPr="00712873">
        <w:t xml:space="preserve">Minister for </w:t>
      </w:r>
      <w:r w:rsidR="00A21B57">
        <w:t>Citizenship</w:t>
      </w:r>
      <w:r w:rsidR="00A21B57" w:rsidRPr="00712873">
        <w:t xml:space="preserve"> </w:t>
      </w:r>
      <w:r w:rsidRPr="00712873">
        <w:t>and Multicultural Affairs</w:t>
      </w:r>
    </w:p>
    <w:p w14:paraId="4FFB79CC" w14:textId="27046D10" w:rsidR="00B8002B" w:rsidRPr="00712873" w:rsidRDefault="0074556E" w:rsidP="00CE420F">
      <w:pPr>
        <w:spacing w:after="240" w:line="276" w:lineRule="auto"/>
        <w:jc w:val="center"/>
        <w:rPr>
          <w:i/>
        </w:rPr>
      </w:pPr>
      <w:r w:rsidRPr="00712873">
        <w:rPr>
          <w:i/>
        </w:rPr>
        <w:t xml:space="preserve">Migration (ANZSCO </w:t>
      </w:r>
      <w:r w:rsidR="00267218">
        <w:rPr>
          <w:i/>
        </w:rPr>
        <w:t>D</w:t>
      </w:r>
      <w:r w:rsidRPr="00712873">
        <w:rPr>
          <w:i/>
        </w:rPr>
        <w:t xml:space="preserve">efinition) </w:t>
      </w:r>
      <w:r w:rsidR="00267218">
        <w:rPr>
          <w:i/>
        </w:rPr>
        <w:t>Specification</w:t>
      </w:r>
      <w:r w:rsidRPr="00712873">
        <w:rPr>
          <w:i/>
        </w:rPr>
        <w:t xml:space="preserve"> 2024</w:t>
      </w:r>
    </w:p>
    <w:p w14:paraId="7D7C6D4F" w14:textId="5806BA00" w:rsidR="00B8002B" w:rsidRPr="00712873" w:rsidRDefault="0074556E" w:rsidP="00CE420F">
      <w:pPr>
        <w:spacing w:before="120" w:after="120" w:line="276" w:lineRule="auto"/>
        <w:rPr>
          <w:rFonts w:eastAsia="Times New Roman"/>
        </w:rPr>
      </w:pPr>
      <w:r w:rsidRPr="00712873">
        <w:rPr>
          <w:rFonts w:eastAsia="Times New Roman"/>
        </w:rPr>
        <w:t xml:space="preserve">The instrument </w:t>
      </w:r>
      <w:r w:rsidRPr="00712873">
        <w:rPr>
          <w:rFonts w:eastAsia="Times New Roman"/>
          <w:i/>
        </w:rPr>
        <w:t xml:space="preserve">Migration (ANZSCO </w:t>
      </w:r>
      <w:r w:rsidR="00267218">
        <w:rPr>
          <w:rFonts w:eastAsia="Times New Roman"/>
          <w:i/>
        </w:rPr>
        <w:t>D</w:t>
      </w:r>
      <w:r w:rsidRPr="00712873">
        <w:rPr>
          <w:rFonts w:eastAsia="Times New Roman"/>
          <w:i/>
        </w:rPr>
        <w:t>efinition)</w:t>
      </w:r>
      <w:r w:rsidR="00267218">
        <w:rPr>
          <w:rFonts w:eastAsia="Times New Roman"/>
          <w:i/>
        </w:rPr>
        <w:t xml:space="preserve"> Specification</w:t>
      </w:r>
      <w:r w:rsidRPr="00712873">
        <w:rPr>
          <w:rFonts w:eastAsia="Times New Roman"/>
          <w:i/>
        </w:rPr>
        <w:t xml:space="preserve"> 2024</w:t>
      </w:r>
      <w:r w:rsidRPr="00712873">
        <w:rPr>
          <w:rFonts w:eastAsia="Times New Roman"/>
        </w:rPr>
        <w:t xml:space="preserve"> (</w:t>
      </w:r>
      <w:r w:rsidR="00A21B57">
        <w:rPr>
          <w:rFonts w:eastAsia="Times New Roman"/>
        </w:rPr>
        <w:t xml:space="preserve">departmental reference </w:t>
      </w:r>
      <w:r w:rsidR="00DD3A93" w:rsidRPr="00712873">
        <w:rPr>
          <w:rFonts w:eastAsia="Times New Roman"/>
        </w:rPr>
        <w:t>LIN 24/105</w:t>
      </w:r>
      <w:r w:rsidRPr="00712873">
        <w:rPr>
          <w:rFonts w:eastAsia="Times New Roman"/>
        </w:rPr>
        <w:t xml:space="preserve">) is made under regulation 1.03 in Part 1 of the </w:t>
      </w:r>
      <w:r w:rsidRPr="00712873">
        <w:rPr>
          <w:rFonts w:eastAsia="Times New Roman"/>
          <w:i/>
        </w:rPr>
        <w:t>Migration Regulations 1994</w:t>
      </w:r>
      <w:r w:rsidRPr="00712873">
        <w:rPr>
          <w:rFonts w:eastAsia="Times New Roman"/>
        </w:rPr>
        <w:t xml:space="preserve"> (</w:t>
      </w:r>
      <w:r w:rsidR="00267218">
        <w:rPr>
          <w:rFonts w:eastAsia="Times New Roman"/>
        </w:rPr>
        <w:t xml:space="preserve">the </w:t>
      </w:r>
      <w:r w:rsidRPr="00712873">
        <w:rPr>
          <w:rFonts w:eastAsia="Times New Roman"/>
        </w:rPr>
        <w:t>Migration Regulations).</w:t>
      </w:r>
    </w:p>
    <w:p w14:paraId="19B79EB4" w14:textId="6AE4E201" w:rsidR="00483823" w:rsidRPr="00712873" w:rsidRDefault="00267218" w:rsidP="00CE420F">
      <w:pPr>
        <w:spacing w:before="120" w:after="120" w:line="276" w:lineRule="auto"/>
        <w:rPr>
          <w:rFonts w:eastAsia="Times New Roman"/>
        </w:rPr>
      </w:pPr>
      <w:r>
        <w:rPr>
          <w:rFonts w:eastAsia="Times New Roman"/>
        </w:rPr>
        <w:t>T</w:t>
      </w:r>
      <w:r w:rsidR="0074556E" w:rsidRPr="00712873">
        <w:rPr>
          <w:rFonts w:eastAsia="Times New Roman"/>
        </w:rPr>
        <w:t xml:space="preserve">he instrument amends </w:t>
      </w:r>
      <w:r w:rsidR="0074556E" w:rsidRPr="00CE420F">
        <w:rPr>
          <w:rStyle w:val="legislationtitle"/>
        </w:rPr>
        <w:t>Migration (LIN 19/051: Specification of Occupations and Assessing Authorities) Instrument 2019</w:t>
      </w:r>
      <w:r w:rsidR="0074556E" w:rsidRPr="00712873">
        <w:rPr>
          <w:rFonts w:eastAsia="Times New Roman"/>
        </w:rPr>
        <w:t xml:space="preserve"> (LIN 19/051)</w:t>
      </w:r>
      <w:r>
        <w:rPr>
          <w:rFonts w:eastAsia="Times New Roman"/>
        </w:rPr>
        <w:t>, i</w:t>
      </w:r>
      <w:r w:rsidRPr="00267218">
        <w:rPr>
          <w:rFonts w:eastAsia="Times New Roman"/>
        </w:rPr>
        <w:t xml:space="preserve">n accordance with subsection 33(3) of the </w:t>
      </w:r>
      <w:r w:rsidRPr="00CE420F">
        <w:rPr>
          <w:rStyle w:val="legislationtitle"/>
        </w:rPr>
        <w:t>Acts Interpretation Act 1901</w:t>
      </w:r>
      <w:r w:rsidRPr="00267218">
        <w:rPr>
          <w:rFonts w:eastAsia="Times New Roman"/>
        </w:rPr>
        <w:t xml:space="preserve"> (Acts Interpretation Act)</w:t>
      </w:r>
      <w:r w:rsidR="0074556E" w:rsidRPr="00712873">
        <w:rPr>
          <w:rFonts w:eastAsia="Times New Roman"/>
        </w:rPr>
        <w:t>.</w:t>
      </w:r>
      <w:r w:rsidR="003F3724" w:rsidRPr="00712873">
        <w:rPr>
          <w:rFonts w:eastAsia="Times New Roman"/>
        </w:rPr>
        <w:t xml:space="preserve"> Subsection 33(3) of the Acts Interpretation Act </w:t>
      </w:r>
      <w:r w:rsidR="00A21B57">
        <w:rPr>
          <w:rFonts w:eastAsia="Times New Roman"/>
        </w:rPr>
        <w:t>provides</w:t>
      </w:r>
      <w:r w:rsidR="00A21B57" w:rsidRPr="00712873">
        <w:rPr>
          <w:rFonts w:eastAsia="Times New Roman"/>
        </w:rPr>
        <w:t xml:space="preserve"> </w:t>
      </w:r>
      <w:r w:rsidR="003F3724" w:rsidRPr="00712873">
        <w:rPr>
          <w:rFonts w:eastAsia="Times New Roman"/>
        </w:rPr>
        <w:t>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57BF52B3" w14:textId="6973088A" w:rsidR="00B8002B" w:rsidRDefault="00B8002B" w:rsidP="00CE420F">
      <w:pPr>
        <w:spacing w:before="120" w:after="120" w:line="276" w:lineRule="auto"/>
        <w:rPr>
          <w:rFonts w:eastAsia="Times New Roman"/>
        </w:rPr>
      </w:pPr>
      <w:r w:rsidRPr="00712873">
        <w:rPr>
          <w:rFonts w:eastAsia="Times New Roman"/>
        </w:rPr>
        <w:t>The</w:t>
      </w:r>
      <w:r w:rsidR="00E81209" w:rsidRPr="00712873">
        <w:rPr>
          <w:rFonts w:eastAsia="Times New Roman"/>
        </w:rPr>
        <w:t xml:space="preserve"> instrument</w:t>
      </w:r>
      <w:r w:rsidR="008C39C2" w:rsidRPr="00712873">
        <w:rPr>
          <w:rFonts w:eastAsia="Times New Roman"/>
        </w:rPr>
        <w:t xml:space="preserve"> specifies the definition of ANZSCO for the purposes of regulation 1.03 of the Migration Regulations. </w:t>
      </w:r>
      <w:r w:rsidR="00A21B57">
        <w:rPr>
          <w:rFonts w:eastAsia="Times New Roman"/>
        </w:rPr>
        <w:t xml:space="preserve">The term </w:t>
      </w:r>
      <w:r w:rsidR="008C39C2" w:rsidRPr="00712873">
        <w:rPr>
          <w:rFonts w:eastAsia="Times New Roman"/>
        </w:rPr>
        <w:t xml:space="preserve">ANZSCO is defined </w:t>
      </w:r>
      <w:r w:rsidR="00267218">
        <w:rPr>
          <w:rFonts w:eastAsia="Times New Roman"/>
        </w:rPr>
        <w:t>to</w:t>
      </w:r>
      <w:r w:rsidR="00267218" w:rsidRPr="00712873">
        <w:rPr>
          <w:rFonts w:eastAsia="Times New Roman"/>
        </w:rPr>
        <w:t xml:space="preserve"> </w:t>
      </w:r>
      <w:r w:rsidR="008C39C2" w:rsidRPr="00712873">
        <w:rPr>
          <w:rFonts w:eastAsia="Times New Roman"/>
        </w:rPr>
        <w:t xml:space="preserve">mean the Australian and New Zealand Standard Classification of Occupations </w:t>
      </w:r>
      <w:r w:rsidR="008C39C2" w:rsidRPr="00A21B57">
        <w:rPr>
          <w:rFonts w:eastAsia="Times New Roman"/>
        </w:rPr>
        <w:t>published by the Australian Bureau of Statistics, as in force on 27 June 2013. However, for regulations 2.72 and 2.73 and subregulation 5.19(5)</w:t>
      </w:r>
      <w:r w:rsidR="004B4513" w:rsidRPr="00A21B57">
        <w:rPr>
          <w:rFonts w:eastAsia="Times New Roman"/>
        </w:rPr>
        <w:t xml:space="preserve"> of the Migration Regulations</w:t>
      </w:r>
      <w:r w:rsidR="008C39C2" w:rsidRPr="00A21B57">
        <w:rPr>
          <w:rFonts w:eastAsia="Times New Roman"/>
        </w:rPr>
        <w:t>, ANZSCO is defined as meaning the Australian and New Zealand Standard Classification of Occupations published by the Australian Bureau of Statistics, as in force on 23 November 2022</w:t>
      </w:r>
      <w:r w:rsidR="00757483" w:rsidRPr="00A21B57">
        <w:rPr>
          <w:rFonts w:eastAsia="Times New Roman"/>
        </w:rPr>
        <w:t>.</w:t>
      </w:r>
      <w:r w:rsidR="00267218" w:rsidRPr="00A21B57">
        <w:rPr>
          <w:rFonts w:eastAsia="Times New Roman"/>
        </w:rPr>
        <w:t xml:space="preserve"> The ANZSCO is available on the ABS website at:</w:t>
      </w:r>
    </w:p>
    <w:p w14:paraId="578996B1" w14:textId="534CB7FA" w:rsidR="00267218" w:rsidRPr="00CE420F" w:rsidRDefault="002A57DF" w:rsidP="00CE420F">
      <w:pPr>
        <w:spacing w:before="120" w:after="120" w:line="276" w:lineRule="auto"/>
        <w:rPr>
          <w:rFonts w:eastAsia="Times New Roman"/>
          <w:u w:val="single"/>
        </w:rPr>
      </w:pPr>
      <w:r w:rsidRPr="00CE420F">
        <w:rPr>
          <w:rFonts w:eastAsia="Times New Roman"/>
          <w:u w:val="single"/>
        </w:rPr>
        <w:t>https://www.abs.gov.au/statistics/classifications/anzsco-australian-and-new-zealand-standard-classification-occupations/latest-release</w:t>
      </w:r>
    </w:p>
    <w:p w14:paraId="2995D664" w14:textId="79F4A9E0" w:rsidR="000D63A8" w:rsidRPr="00712873" w:rsidRDefault="000D63A8" w:rsidP="00CE420F">
      <w:pPr>
        <w:spacing w:before="120" w:after="120" w:line="276" w:lineRule="auto"/>
        <w:rPr>
          <w:rFonts w:eastAsia="Times New Roman"/>
        </w:rPr>
      </w:pPr>
      <w:r w:rsidRPr="00712873">
        <w:rPr>
          <w:rFonts w:eastAsia="Times New Roman"/>
        </w:rPr>
        <w:t xml:space="preserve">This updates the definition of ANZSCO so that it is consistent with the amendments made to the Migration Regulations by the </w:t>
      </w:r>
      <w:r w:rsidRPr="00712873">
        <w:rPr>
          <w:rFonts w:eastAsia="Times New Roman"/>
          <w:i/>
        </w:rPr>
        <w:t>Migration Amendment (2024 Measures No. 1) Regulations 2024</w:t>
      </w:r>
      <w:r w:rsidRPr="00712873">
        <w:rPr>
          <w:rFonts w:eastAsia="Times New Roman"/>
        </w:rPr>
        <w:t xml:space="preserve"> (Amendment Regulations).</w:t>
      </w:r>
    </w:p>
    <w:p w14:paraId="6FAA81A0" w14:textId="517AA549" w:rsidR="001D1585" w:rsidRPr="00712873" w:rsidRDefault="001D1585" w:rsidP="00CE420F">
      <w:pPr>
        <w:spacing w:before="120" w:after="120" w:line="276" w:lineRule="auto"/>
      </w:pPr>
      <w:r w:rsidRPr="00712873">
        <w:t>The instrument is exempt from disallowance under sec</w:t>
      </w:r>
      <w:r w:rsidR="00F26294" w:rsidRPr="00712873">
        <w:t xml:space="preserve">tion 42 of the </w:t>
      </w:r>
      <w:r w:rsidR="00F26294" w:rsidRPr="00712873">
        <w:rPr>
          <w:i/>
        </w:rPr>
        <w:t>Legislation Act</w:t>
      </w:r>
      <w:r w:rsidR="00635B48" w:rsidRPr="00712873">
        <w:rPr>
          <w:i/>
        </w:rPr>
        <w:t xml:space="preserve"> 2003</w:t>
      </w:r>
      <w:r w:rsidR="00635B48" w:rsidRPr="00712873">
        <w:t xml:space="preserve"> (Legislation Act)</w:t>
      </w:r>
      <w:r w:rsidR="00F26294" w:rsidRPr="00712873">
        <w:t xml:space="preserve">. This is because </w:t>
      </w:r>
      <w:r w:rsidR="00B71E07" w:rsidRPr="00712873">
        <w:t>instruments</w:t>
      </w:r>
      <w:r w:rsidR="00F26294" w:rsidRPr="00712873">
        <w:t xml:space="preserve"> made under</w:t>
      </w:r>
      <w:r w:rsidR="00CA14F1" w:rsidRPr="00712873">
        <w:t xml:space="preserve"> Part 1 of the Migration Regulations </w:t>
      </w:r>
      <w:r w:rsidR="00B71E07" w:rsidRPr="00712873">
        <w:t xml:space="preserve">are prescribed as </w:t>
      </w:r>
      <w:r w:rsidR="00F26294" w:rsidRPr="00712873">
        <w:t>being exempt from disallowance under paragraph</w:t>
      </w:r>
      <w:r w:rsidR="00CA14F1" w:rsidRPr="00712873">
        <w:t xml:space="preserve"> (b) </w:t>
      </w:r>
      <w:r w:rsidR="00F26294" w:rsidRPr="00712873">
        <w:t xml:space="preserve">of item 20 of the table in section 10 of the </w:t>
      </w:r>
      <w:r w:rsidR="00F26294" w:rsidRPr="00712873">
        <w:rPr>
          <w:i/>
        </w:rPr>
        <w:t>Legislation (Exemptions and Other Matters) Regulation 2015</w:t>
      </w:r>
      <w:r w:rsidR="00F26294" w:rsidRPr="00712873">
        <w:t>. A statement of compatibility with human rights is therefore not required</w:t>
      </w:r>
      <w:r w:rsidRPr="00712873">
        <w:t>.</w:t>
      </w:r>
    </w:p>
    <w:p w14:paraId="1201CFEE" w14:textId="2B5358A1" w:rsidR="000D63A8" w:rsidRPr="00712873" w:rsidRDefault="000D63A8" w:rsidP="00CE420F">
      <w:pPr>
        <w:tabs>
          <w:tab w:val="left" w:pos="6521"/>
        </w:tabs>
        <w:spacing w:before="120" w:after="120" w:line="276" w:lineRule="auto"/>
        <w:ind w:right="522"/>
      </w:pPr>
      <w:r w:rsidRPr="00712873">
        <w:t>The Office of Impact Analysis (OIA) has been consulted in relation to the Amendment Regulations generally, advising that no Impact Analysis is required. The OIA consultation</w:t>
      </w:r>
      <w:r w:rsidR="0062189A">
        <w:t xml:space="preserve"> reference number is </w:t>
      </w:r>
      <w:r w:rsidR="005C2E82" w:rsidRPr="005C2E82">
        <w:t>OBPR23-04044</w:t>
      </w:r>
      <w:r w:rsidRPr="00712873">
        <w:t>.</w:t>
      </w:r>
    </w:p>
    <w:p w14:paraId="6A92A22B" w14:textId="3C93F203" w:rsidR="000D63A8" w:rsidRDefault="00DF7082" w:rsidP="00CE420F">
      <w:pPr>
        <w:tabs>
          <w:tab w:val="left" w:pos="6521"/>
        </w:tabs>
        <w:spacing w:before="120" w:after="120" w:line="276" w:lineRule="auto"/>
        <w:ind w:right="522"/>
      </w:pPr>
      <w:r w:rsidRPr="00DF7082">
        <w:t xml:space="preserve">The Department of Home Affairs has consulted on the Migration Strategy with business, unions and other stakeholders throughout the Migration Review. Whole of Government consultation occurred, along with consultation involving peak body, state </w:t>
      </w:r>
      <w:r w:rsidRPr="00DF7082">
        <w:lastRenderedPageBreak/>
        <w:t>and territory, and industry representatives via the Minister</w:t>
      </w:r>
      <w:r w:rsidR="00487246">
        <w:t>ial</w:t>
      </w:r>
      <w:r w:rsidRPr="00DF7082">
        <w:t xml:space="preserve"> Advisory Council on Skilled Migration (MACSM) and S</w:t>
      </w:r>
      <w:r w:rsidR="00487246">
        <w:t xml:space="preserve">killed </w:t>
      </w:r>
      <w:r w:rsidRPr="00DF7082">
        <w:t xml:space="preserve">Migration </w:t>
      </w:r>
      <w:r w:rsidR="00487246" w:rsidRPr="00DF7082">
        <w:t>Offi</w:t>
      </w:r>
      <w:r w:rsidR="00487246">
        <w:t>cials</w:t>
      </w:r>
      <w:r w:rsidRPr="00DF7082">
        <w:t xml:space="preserve"> Group (SMOG) groups</w:t>
      </w:r>
      <w:r w:rsidR="000D63A8" w:rsidRPr="00712873">
        <w:t xml:space="preserve">. </w:t>
      </w:r>
    </w:p>
    <w:p w14:paraId="3710CC86" w14:textId="0E129CBE" w:rsidR="00B11AD6" w:rsidRPr="00712873" w:rsidRDefault="000F1874" w:rsidP="00CE420F">
      <w:pPr>
        <w:tabs>
          <w:tab w:val="left" w:pos="6521"/>
        </w:tabs>
        <w:spacing w:before="120" w:after="120" w:line="276" w:lineRule="auto"/>
        <w:ind w:right="522"/>
      </w:pPr>
      <w:r w:rsidRPr="00712873">
        <w:t xml:space="preserve">The </w:t>
      </w:r>
      <w:r w:rsidR="00E305B4" w:rsidRPr="00712873">
        <w:t>instrument</w:t>
      </w:r>
      <w:r w:rsidRPr="00712873">
        <w:t xml:space="preserve"> </w:t>
      </w:r>
      <w:r w:rsidR="00B11AD6" w:rsidRPr="00712873">
        <w:t>commence</w:t>
      </w:r>
      <w:r w:rsidR="000D3D5E" w:rsidRPr="00712873">
        <w:t>s</w:t>
      </w:r>
      <w:r w:rsidR="00B11AD6" w:rsidRPr="00712873">
        <w:t xml:space="preserve"> on</w:t>
      </w:r>
      <w:r w:rsidR="00CA14F1" w:rsidRPr="00712873">
        <w:t xml:space="preserve"> 7 December 2024.</w:t>
      </w:r>
    </w:p>
    <w:p w14:paraId="2D9C7FFE" w14:textId="6572E6C8" w:rsidR="00231291" w:rsidRPr="00712873" w:rsidRDefault="0024360E" w:rsidP="00CE420F">
      <w:pPr>
        <w:spacing w:before="120" w:after="120" w:line="276" w:lineRule="auto"/>
        <w:ind w:right="91"/>
      </w:pPr>
      <w:r w:rsidRPr="00712873">
        <w:t xml:space="preserve">Further details of the </w:t>
      </w:r>
      <w:r w:rsidR="000D63A8" w:rsidRPr="00712873">
        <w:t>instrument</w:t>
      </w:r>
      <w:r w:rsidRPr="00712873">
        <w:t xml:space="preserve"> are set out in </w:t>
      </w:r>
      <w:r w:rsidR="00CA14F1" w:rsidRPr="00712873">
        <w:rPr>
          <w:u w:val="single"/>
        </w:rPr>
        <w:t>Attachment A.</w:t>
      </w:r>
    </w:p>
    <w:p w14:paraId="51E58B37" w14:textId="38A3A19D" w:rsidR="0024360E" w:rsidRPr="00712873" w:rsidRDefault="0024360E" w:rsidP="00CE420F">
      <w:pPr>
        <w:tabs>
          <w:tab w:val="left" w:pos="6521"/>
        </w:tabs>
        <w:spacing w:before="120" w:after="120" w:line="276" w:lineRule="auto"/>
      </w:pPr>
      <w:r w:rsidRPr="00712873">
        <w:t>The</w:t>
      </w:r>
      <w:r w:rsidR="00E305B4" w:rsidRPr="00712873">
        <w:t xml:space="preserve"> Migration Regulations specify</w:t>
      </w:r>
      <w:r w:rsidRPr="00712873">
        <w:t xml:space="preserve"> no conditions that need to be satisfied before the power to make th</w:t>
      </w:r>
      <w:r w:rsidR="00BE2524" w:rsidRPr="00712873">
        <w:t xml:space="preserve">e </w:t>
      </w:r>
      <w:r w:rsidR="00E305B4" w:rsidRPr="00712873">
        <w:t xml:space="preserve">instrument </w:t>
      </w:r>
      <w:r w:rsidR="00BE2524" w:rsidRPr="00712873">
        <w:t>may be exercised.</w:t>
      </w:r>
    </w:p>
    <w:p w14:paraId="0C01F482" w14:textId="4F4EBBAA" w:rsidR="00850C25" w:rsidRDefault="0024360E" w:rsidP="00CE420F">
      <w:pPr>
        <w:tabs>
          <w:tab w:val="left" w:pos="6521"/>
        </w:tabs>
        <w:spacing w:before="120" w:after="120" w:line="276" w:lineRule="auto"/>
      </w:pPr>
      <w:r w:rsidRPr="00712873">
        <w:t>The</w:t>
      </w:r>
      <w:r w:rsidR="00E305B4" w:rsidRPr="00712873">
        <w:t xml:space="preserve"> instrument is</w:t>
      </w:r>
      <w:r w:rsidRPr="00712873">
        <w:t xml:space="preserve"> a legislative instrument for the purposes of the Legislation Act.</w:t>
      </w:r>
    </w:p>
    <w:p w14:paraId="1A825794" w14:textId="77777777" w:rsidR="00850C25" w:rsidRDefault="00850C25" w:rsidP="00CE420F">
      <w:pPr>
        <w:spacing w:before="120" w:after="120" w:line="276" w:lineRule="auto"/>
      </w:pPr>
      <w:r>
        <w:br w:type="page"/>
      </w:r>
    </w:p>
    <w:p w14:paraId="3540ECD8" w14:textId="1CC4639A" w:rsidR="00B11AD6" w:rsidRPr="00712873" w:rsidRDefault="003036EB" w:rsidP="00CE420F">
      <w:pPr>
        <w:tabs>
          <w:tab w:val="left" w:pos="345"/>
        </w:tabs>
        <w:spacing w:before="120" w:after="120" w:line="276" w:lineRule="auto"/>
        <w:ind w:right="43"/>
        <w:jc w:val="right"/>
        <w:rPr>
          <w:b/>
          <w:bCs/>
          <w:u w:val="single"/>
        </w:rPr>
      </w:pPr>
      <w:r w:rsidRPr="00712873">
        <w:rPr>
          <w:b/>
          <w:bCs/>
          <w:u w:val="single"/>
        </w:rPr>
        <w:lastRenderedPageBreak/>
        <w:t>ATTACHMENT A</w:t>
      </w:r>
    </w:p>
    <w:p w14:paraId="16CADA03" w14:textId="77777777" w:rsidR="00B11AD6" w:rsidRPr="00712873" w:rsidRDefault="00B11AD6" w:rsidP="00CE420F">
      <w:pPr>
        <w:tabs>
          <w:tab w:val="left" w:pos="345"/>
        </w:tabs>
        <w:spacing w:before="120" w:after="120" w:line="276" w:lineRule="auto"/>
        <w:ind w:right="43"/>
        <w:rPr>
          <w:b/>
          <w:bCs/>
          <w:u w:val="single"/>
        </w:rPr>
      </w:pPr>
    </w:p>
    <w:p w14:paraId="7F1A59C3" w14:textId="1E6657D7" w:rsidR="006A4E21" w:rsidRPr="00712873" w:rsidRDefault="006A4E21" w:rsidP="00CE420F">
      <w:pPr>
        <w:spacing w:before="120" w:after="120" w:line="276" w:lineRule="auto"/>
        <w:rPr>
          <w:b/>
          <w:i/>
          <w:u w:val="single"/>
        </w:rPr>
      </w:pPr>
      <w:r w:rsidRPr="00712873">
        <w:rPr>
          <w:b/>
          <w:u w:val="single"/>
        </w:rPr>
        <w:t xml:space="preserve">Details of the </w:t>
      </w:r>
      <w:r w:rsidR="00A21B57" w:rsidRPr="00CE420F">
        <w:rPr>
          <w:b/>
          <w:i/>
          <w:u w:val="single"/>
        </w:rPr>
        <w:t>Migration (ANZSCO Definition) Specification 2024</w:t>
      </w:r>
    </w:p>
    <w:p w14:paraId="30F28248" w14:textId="1BA63775" w:rsidR="00303970" w:rsidRPr="00712873" w:rsidRDefault="00303970" w:rsidP="00CE420F">
      <w:pPr>
        <w:pStyle w:val="EMclausenoteheader"/>
        <w:spacing w:line="276" w:lineRule="auto"/>
      </w:pPr>
      <w:bookmarkStart w:id="1" w:name="_Toc505262124"/>
      <w:bookmarkStart w:id="2" w:name="opcAmSched"/>
      <w:bookmarkStart w:id="3" w:name="opcCurrentFind"/>
      <w:r w:rsidRPr="00712873">
        <w:t xml:space="preserve">Section 1 – Name of </w:t>
      </w:r>
      <w:r w:rsidR="007D6071" w:rsidRPr="00712873">
        <w:t>instrument</w:t>
      </w:r>
    </w:p>
    <w:p w14:paraId="627CC21F" w14:textId="0B90A000" w:rsidR="00303970" w:rsidRPr="00712873" w:rsidRDefault="00303970" w:rsidP="00CE420F">
      <w:pPr>
        <w:pStyle w:val="EMclausenotes"/>
        <w:spacing w:after="120" w:line="276" w:lineRule="auto"/>
        <w:rPr>
          <w:i/>
          <w:iCs/>
        </w:rPr>
      </w:pPr>
      <w:r w:rsidRPr="00712873">
        <w:t xml:space="preserve">This section </w:t>
      </w:r>
      <w:r w:rsidR="00344169" w:rsidRPr="00712873">
        <w:t>provide</w:t>
      </w:r>
      <w:r w:rsidR="00A376EA" w:rsidRPr="00712873">
        <w:t>s</w:t>
      </w:r>
      <w:r w:rsidR="00D10C3A" w:rsidRPr="00712873">
        <w:t xml:space="preserve"> that the title of the instrument </w:t>
      </w:r>
      <w:r w:rsidR="006E492C" w:rsidRPr="00712873">
        <w:t xml:space="preserve">is the </w:t>
      </w:r>
      <w:r w:rsidR="00A21B57" w:rsidRPr="00CE420F">
        <w:rPr>
          <w:i/>
        </w:rPr>
        <w:t>Migration (ANZSCO Definition) Specification 2024</w:t>
      </w:r>
      <w:r w:rsidR="00A21B57">
        <w:t xml:space="preserve"> </w:t>
      </w:r>
      <w:r w:rsidR="006E492C" w:rsidRPr="00712873">
        <w:t>(</w:t>
      </w:r>
      <w:r w:rsidR="00DD3A93" w:rsidRPr="00712873">
        <w:t>LIN 24/105</w:t>
      </w:r>
      <w:r w:rsidR="006E492C" w:rsidRPr="00712873">
        <w:t>).</w:t>
      </w:r>
    </w:p>
    <w:p w14:paraId="6730016A" w14:textId="77777777" w:rsidR="00303970" w:rsidRPr="00712873" w:rsidRDefault="00303970" w:rsidP="00CE420F">
      <w:pPr>
        <w:pStyle w:val="EMclausenoteheader"/>
        <w:spacing w:line="276" w:lineRule="auto"/>
      </w:pPr>
      <w:r w:rsidRPr="00712873">
        <w:t>Section 2 – Commencement</w:t>
      </w:r>
    </w:p>
    <w:p w14:paraId="37B33DC3" w14:textId="11E35FB2" w:rsidR="00303970" w:rsidRPr="00712873" w:rsidRDefault="00303970" w:rsidP="00CE420F">
      <w:pPr>
        <w:pStyle w:val="EMclausenotes"/>
        <w:spacing w:after="120" w:line="276" w:lineRule="auto"/>
        <w:rPr>
          <w:rFonts w:eastAsia="SimSun"/>
        </w:rPr>
      </w:pPr>
      <w:r w:rsidRPr="00712873">
        <w:rPr>
          <w:rFonts w:eastAsia="SimSun"/>
        </w:rPr>
        <w:t xml:space="preserve">This section </w:t>
      </w:r>
      <w:r w:rsidRPr="00712873">
        <w:t>provides</w:t>
      </w:r>
      <w:r w:rsidRPr="00712873">
        <w:rPr>
          <w:rFonts w:eastAsia="SimSun"/>
        </w:rPr>
        <w:t xml:space="preserve"> the</w:t>
      </w:r>
      <w:r w:rsidR="00E305B4" w:rsidRPr="00712873">
        <w:rPr>
          <w:rFonts w:eastAsia="SimSun"/>
        </w:rPr>
        <w:t xml:space="preserve"> instrument commences on</w:t>
      </w:r>
      <w:r w:rsidR="006E492C" w:rsidRPr="00712873">
        <w:rPr>
          <w:rFonts w:eastAsia="SimSun"/>
        </w:rPr>
        <w:t xml:space="preserve"> 7 December 2024.</w:t>
      </w:r>
    </w:p>
    <w:p w14:paraId="72553E26" w14:textId="77777777" w:rsidR="00303970" w:rsidRPr="00712873" w:rsidRDefault="00303970" w:rsidP="00CE420F">
      <w:pPr>
        <w:pStyle w:val="EMclausenoteheader"/>
        <w:spacing w:line="276" w:lineRule="auto"/>
      </w:pPr>
      <w:r w:rsidRPr="00712873">
        <w:t>Section 3 – Authority</w:t>
      </w:r>
    </w:p>
    <w:p w14:paraId="4B3E2F9D" w14:textId="4EAEA94E" w:rsidR="00303970" w:rsidRPr="00712873" w:rsidRDefault="00303970" w:rsidP="00CE420F">
      <w:pPr>
        <w:pStyle w:val="EMclausenotes"/>
        <w:spacing w:after="120" w:line="276" w:lineRule="auto"/>
        <w:rPr>
          <w:rFonts w:eastAsia="SimSun"/>
        </w:rPr>
      </w:pPr>
      <w:r w:rsidRPr="00712873">
        <w:rPr>
          <w:rFonts w:eastAsia="SimSun"/>
        </w:rPr>
        <w:t xml:space="preserve">This section </w:t>
      </w:r>
      <w:r w:rsidRPr="00712873">
        <w:t>provides</w:t>
      </w:r>
      <w:r w:rsidRPr="00712873">
        <w:rPr>
          <w:rFonts w:eastAsia="SimSun"/>
        </w:rPr>
        <w:t xml:space="preserve"> that the</w:t>
      </w:r>
      <w:r w:rsidR="00E305B4" w:rsidRPr="00712873">
        <w:rPr>
          <w:rFonts w:eastAsia="SimSun"/>
        </w:rPr>
        <w:t xml:space="preserve"> instrument</w:t>
      </w:r>
      <w:r w:rsidR="006E492C" w:rsidRPr="00712873">
        <w:rPr>
          <w:rFonts w:eastAsia="SimSun"/>
          <w:iCs/>
        </w:rPr>
        <w:t xml:space="preserve"> is made under regulation 1.03 of the </w:t>
      </w:r>
      <w:r w:rsidR="006E492C" w:rsidRPr="00712873">
        <w:rPr>
          <w:rFonts w:eastAsia="SimSun"/>
          <w:i/>
          <w:iCs/>
        </w:rPr>
        <w:t>Migration Regulations 1994</w:t>
      </w:r>
      <w:r w:rsidR="006E492C" w:rsidRPr="00712873">
        <w:rPr>
          <w:rFonts w:eastAsia="SimSun"/>
          <w:iCs/>
        </w:rPr>
        <w:t xml:space="preserve"> (Migration Regulations).</w:t>
      </w:r>
    </w:p>
    <w:p w14:paraId="382515FC" w14:textId="257BBED4" w:rsidR="006E492C" w:rsidRPr="00712873" w:rsidRDefault="006E492C" w:rsidP="00CE420F">
      <w:pPr>
        <w:pStyle w:val="EMclausenoteheader"/>
        <w:spacing w:line="276" w:lineRule="auto"/>
      </w:pPr>
      <w:r w:rsidRPr="00712873">
        <w:t>Section 4 – Definitions</w:t>
      </w:r>
    </w:p>
    <w:p w14:paraId="53AFCC29" w14:textId="4A3058BF" w:rsidR="006E492C" w:rsidRPr="00712873" w:rsidRDefault="006E492C" w:rsidP="00CE420F">
      <w:pPr>
        <w:pStyle w:val="EMclausenotes"/>
        <w:spacing w:after="120" w:line="276" w:lineRule="auto"/>
        <w:rPr>
          <w:rFonts w:eastAsia="SimSun"/>
        </w:rPr>
      </w:pPr>
      <w:r w:rsidRPr="00712873">
        <w:rPr>
          <w:rFonts w:eastAsia="SimSun"/>
        </w:rPr>
        <w:t xml:space="preserve">This section </w:t>
      </w:r>
      <w:r w:rsidRPr="00712873">
        <w:t>sets out definitions to be used in the instrument</w:t>
      </w:r>
      <w:r w:rsidRPr="00712873">
        <w:rPr>
          <w:rFonts w:eastAsia="SimSun"/>
          <w:iCs/>
        </w:rPr>
        <w:t>.</w:t>
      </w:r>
    </w:p>
    <w:p w14:paraId="2BB584F6" w14:textId="7CEC7849" w:rsidR="00303970" w:rsidRPr="00712873" w:rsidRDefault="00303970" w:rsidP="00CE420F">
      <w:pPr>
        <w:pStyle w:val="EMclausenoteheader"/>
        <w:spacing w:line="276" w:lineRule="auto"/>
        <w:rPr>
          <w:rFonts w:eastAsia="SimSun"/>
        </w:rPr>
      </w:pPr>
      <w:r w:rsidRPr="00712873">
        <w:rPr>
          <w:rFonts w:eastAsia="SimSun"/>
        </w:rPr>
        <w:t>S</w:t>
      </w:r>
      <w:r w:rsidR="006E492C" w:rsidRPr="00712873">
        <w:rPr>
          <w:rFonts w:eastAsia="SimSun"/>
        </w:rPr>
        <w:t>ection 5</w:t>
      </w:r>
      <w:r w:rsidRPr="00712873">
        <w:rPr>
          <w:rFonts w:eastAsia="SimSun"/>
        </w:rPr>
        <w:t xml:space="preserve"> – Schedules</w:t>
      </w:r>
    </w:p>
    <w:p w14:paraId="65A402BA" w14:textId="130BEAD1" w:rsidR="00E305B4" w:rsidRPr="00712873" w:rsidRDefault="00303970" w:rsidP="00CE420F">
      <w:pPr>
        <w:pStyle w:val="EMclausenotes"/>
        <w:spacing w:after="120" w:line="276" w:lineRule="auto"/>
      </w:pPr>
      <w:r w:rsidRPr="00712873">
        <w:t>This section provides that each instrument that is specified in a Schedule to this instrument is amended or repealed as set out in the applicable items in the Schedule concerned, and any other item in a Schedule to this instrument has effect according to its terms.</w:t>
      </w:r>
    </w:p>
    <w:bookmarkEnd w:id="1"/>
    <w:bookmarkEnd w:id="2"/>
    <w:bookmarkEnd w:id="3"/>
    <w:p w14:paraId="059B7698" w14:textId="0A4763A6" w:rsidR="006E492C" w:rsidRPr="00712873" w:rsidRDefault="006E492C" w:rsidP="00CE420F">
      <w:pPr>
        <w:pStyle w:val="EMclausenoteheader"/>
        <w:spacing w:line="276" w:lineRule="auto"/>
      </w:pPr>
      <w:r w:rsidRPr="00712873">
        <w:t>Section 6 – Definition of ANZSCO</w:t>
      </w:r>
    </w:p>
    <w:p w14:paraId="38214FC7" w14:textId="3EE53992" w:rsidR="006E492C" w:rsidRPr="00712873" w:rsidRDefault="006E492C" w:rsidP="00CE420F">
      <w:pPr>
        <w:pStyle w:val="EMclausenotes"/>
        <w:spacing w:after="120" w:line="276" w:lineRule="auto"/>
        <w:rPr>
          <w:rFonts w:eastAsia="SimSun"/>
        </w:rPr>
      </w:pPr>
      <w:r w:rsidRPr="00712873">
        <w:rPr>
          <w:rFonts w:eastAsia="SimSun"/>
        </w:rPr>
        <w:t xml:space="preserve">Subsection 6(1) provides that, for the purposes of the definition of </w:t>
      </w:r>
      <w:r w:rsidRPr="00712873">
        <w:rPr>
          <w:rFonts w:eastAsia="SimSun"/>
          <w:b/>
          <w:i/>
        </w:rPr>
        <w:t>ANZSCO</w:t>
      </w:r>
      <w:r w:rsidR="00712873">
        <w:rPr>
          <w:rFonts w:eastAsia="SimSun"/>
        </w:rPr>
        <w:t xml:space="preserve"> in regulation </w:t>
      </w:r>
      <w:r w:rsidRPr="00712873">
        <w:rPr>
          <w:rFonts w:eastAsia="SimSun"/>
        </w:rPr>
        <w:t>1.03 of the Migration Regulations, ANZSCO has the meaning given in subsections (2) and (3).</w:t>
      </w:r>
    </w:p>
    <w:p w14:paraId="5817BD79" w14:textId="2AF9AE9E" w:rsidR="004B4513" w:rsidRPr="00712873" w:rsidRDefault="006E492C" w:rsidP="00CE420F">
      <w:pPr>
        <w:pStyle w:val="EMclausenotes"/>
        <w:spacing w:after="120" w:line="276" w:lineRule="auto"/>
        <w:rPr>
          <w:rFonts w:eastAsia="SimSun"/>
        </w:rPr>
      </w:pPr>
      <w:r w:rsidRPr="00712873">
        <w:rPr>
          <w:rFonts w:eastAsia="SimSun"/>
        </w:rPr>
        <w:t xml:space="preserve">Subsection 6(2) provides a default definition of ANZSCO, which applies </w:t>
      </w:r>
      <w:r w:rsidR="004B4513" w:rsidRPr="00712873">
        <w:rPr>
          <w:rFonts w:eastAsia="SimSun"/>
        </w:rPr>
        <w:t xml:space="preserve">in the Migration Regulations except as provided in subsection 6(3) or where otherwise indicated in a contrary intention (e.g. in an instrument made under the Migration Regulations). </w:t>
      </w:r>
    </w:p>
    <w:p w14:paraId="2F7E420E" w14:textId="5AF06D21" w:rsidR="006E492C" w:rsidRPr="00712873" w:rsidRDefault="004B4513" w:rsidP="00CE420F">
      <w:pPr>
        <w:pStyle w:val="EMclausenotes"/>
        <w:spacing w:after="120" w:line="276" w:lineRule="auto"/>
        <w:rPr>
          <w:rFonts w:eastAsia="SimSun"/>
        </w:rPr>
      </w:pPr>
      <w:r w:rsidRPr="00712873">
        <w:rPr>
          <w:rFonts w:eastAsia="SimSun"/>
        </w:rPr>
        <w:t xml:space="preserve">Subsection 6(2) defines ANZSCO as meaning the Australian and New Zealand Standard Classification of Occupations published by the Australian Bureau of Statistics, as in force on 27 June </w:t>
      </w:r>
      <w:r w:rsidR="00394AD0">
        <w:rPr>
          <w:rFonts w:eastAsia="SimSun"/>
        </w:rPr>
        <w:t>2013. This is ANZSCO v</w:t>
      </w:r>
      <w:r w:rsidR="002A2DDB">
        <w:rPr>
          <w:rFonts w:eastAsia="SimSun"/>
        </w:rPr>
        <w:t>ersion 1.2</w:t>
      </w:r>
      <w:r w:rsidRPr="00712873">
        <w:rPr>
          <w:rFonts w:eastAsia="SimSun"/>
        </w:rPr>
        <w:t xml:space="preserve">, </w:t>
      </w:r>
      <w:r w:rsidR="00394AD0">
        <w:rPr>
          <w:rFonts w:eastAsia="SimSun"/>
        </w:rPr>
        <w:t>released</w:t>
      </w:r>
      <w:r w:rsidRPr="00712873">
        <w:rPr>
          <w:rFonts w:eastAsia="SimSun"/>
        </w:rPr>
        <w:t xml:space="preserve"> on 26 June 2013.</w:t>
      </w:r>
    </w:p>
    <w:p w14:paraId="23CC44A8" w14:textId="118B8DC9" w:rsidR="004B4513" w:rsidRPr="00712873" w:rsidRDefault="004B4513" w:rsidP="00CE420F">
      <w:pPr>
        <w:pStyle w:val="EMclausenotes"/>
        <w:spacing w:after="120" w:line="276" w:lineRule="auto"/>
        <w:rPr>
          <w:rFonts w:eastAsia="SimSun"/>
        </w:rPr>
      </w:pPr>
      <w:r w:rsidRPr="00712873">
        <w:rPr>
          <w:rFonts w:eastAsia="SimSun"/>
        </w:rPr>
        <w:t xml:space="preserve">Subsection 6(3) defines ANZSCO </w:t>
      </w:r>
      <w:r w:rsidRPr="00712873">
        <w:rPr>
          <w:rFonts w:eastAsia="Times New Roman"/>
        </w:rPr>
        <w:t xml:space="preserve">for regulations 2.72 and 2.73 and subregulation 5.19(5) of the Migration Regulations as meaning the Australian and New Zealand Standard Classification of Occupations published by the Australian Bureau of Statistics, as in force on 23 November 2022. This is the version of ANZSCO released on </w:t>
      </w:r>
      <w:r w:rsidR="00A21B57" w:rsidRPr="00712873">
        <w:rPr>
          <w:rFonts w:eastAsia="Times New Roman"/>
        </w:rPr>
        <w:t>2</w:t>
      </w:r>
      <w:r w:rsidR="00A21B57">
        <w:rPr>
          <w:rFonts w:eastAsia="Times New Roman"/>
        </w:rPr>
        <w:t>3</w:t>
      </w:r>
      <w:r w:rsidR="00A21B57" w:rsidRPr="00712873">
        <w:rPr>
          <w:rFonts w:eastAsia="Times New Roman"/>
        </w:rPr>
        <w:t xml:space="preserve"> </w:t>
      </w:r>
      <w:r w:rsidRPr="00712873">
        <w:rPr>
          <w:rFonts w:eastAsia="Times New Roman"/>
        </w:rPr>
        <w:t>November 2022.</w:t>
      </w:r>
    </w:p>
    <w:p w14:paraId="6286668F" w14:textId="77777777" w:rsidR="004B4513" w:rsidRPr="00712873" w:rsidRDefault="004B4513" w:rsidP="00CE420F">
      <w:pPr>
        <w:spacing w:before="120" w:after="120" w:line="276" w:lineRule="auto"/>
      </w:pPr>
      <w:r w:rsidRPr="00712873">
        <w:t xml:space="preserve">The Australian Bureau of Statistics publishes the definition of ANZSCO on its website at </w:t>
      </w:r>
      <w:hyperlink r:id="rId8" w:history="1">
        <w:r w:rsidRPr="00CE420F">
          <w:rPr>
            <w:rStyle w:val="Hyperlink"/>
            <w:u w:val="single"/>
          </w:rPr>
          <w:t>https://www.abs.gov.au/statistics/classifications/anzsco-australian-and-new-zealand-standard-classification-occupations</w:t>
        </w:r>
      </w:hyperlink>
      <w:r w:rsidRPr="00712873">
        <w:t xml:space="preserve">. </w:t>
      </w:r>
    </w:p>
    <w:p w14:paraId="6D9F0ED5" w14:textId="31CB07AD" w:rsidR="004B4513" w:rsidRPr="00CE420F" w:rsidRDefault="004B4513" w:rsidP="00CE420F">
      <w:pPr>
        <w:pStyle w:val="EMclausenoteheader"/>
        <w:keepNext/>
        <w:spacing w:line="276" w:lineRule="auto"/>
        <w:rPr>
          <w:b/>
        </w:rPr>
      </w:pPr>
      <w:r w:rsidRPr="00CE420F">
        <w:rPr>
          <w:b/>
        </w:rPr>
        <w:lastRenderedPageBreak/>
        <w:t>Schedule 1</w:t>
      </w:r>
      <w:r w:rsidR="00A21B57">
        <w:rPr>
          <w:b/>
        </w:rPr>
        <w:t>—</w:t>
      </w:r>
      <w:r w:rsidRPr="00CE420F">
        <w:rPr>
          <w:b/>
        </w:rPr>
        <w:t>Amendments</w:t>
      </w:r>
    </w:p>
    <w:p w14:paraId="0052A305" w14:textId="3464D82E" w:rsidR="00127ED0" w:rsidRPr="00712873" w:rsidRDefault="004B4513" w:rsidP="00CE420F">
      <w:pPr>
        <w:pStyle w:val="EMclausenotes"/>
        <w:keepNext/>
        <w:spacing w:after="120" w:line="276" w:lineRule="auto"/>
      </w:pPr>
      <w:r w:rsidRPr="00712873">
        <w:t xml:space="preserve">Schedule 1 amends </w:t>
      </w:r>
      <w:r w:rsidRPr="00712873">
        <w:rPr>
          <w:i/>
        </w:rPr>
        <w:t>Migration (LIN 19/051: Specification of Occupations and Assessing Authorities) Instrument 2019</w:t>
      </w:r>
      <w:r w:rsidRPr="00712873">
        <w:t xml:space="preserve"> (LIN 19/051).</w:t>
      </w:r>
    </w:p>
    <w:p w14:paraId="640374FE" w14:textId="7B68AE3A" w:rsidR="00300D27" w:rsidRPr="00712873" w:rsidRDefault="00300D27" w:rsidP="00CE420F">
      <w:pPr>
        <w:pStyle w:val="EMclausenoteheader"/>
        <w:spacing w:line="276" w:lineRule="auto"/>
      </w:pPr>
      <w:r w:rsidRPr="00712873">
        <w:t>Item [1] – Section 5</w:t>
      </w:r>
    </w:p>
    <w:p w14:paraId="1BC6385A" w14:textId="7B140163" w:rsidR="00300D27" w:rsidRPr="006331DC" w:rsidRDefault="00300D27" w:rsidP="00CE420F">
      <w:pPr>
        <w:pStyle w:val="EMclausenotes"/>
        <w:spacing w:after="120" w:line="276" w:lineRule="auto"/>
      </w:pPr>
      <w:r w:rsidRPr="00712873">
        <w:t xml:space="preserve">Item 1 repeals section 5 of LIN 19/051. This removes the provision in LIN 19/051 that defined ANZSCO for the purpose of regulation 1.03 of the Migration Regulations. This definition is instead being </w:t>
      </w:r>
      <w:r w:rsidR="003D6AAF">
        <w:t>specified</w:t>
      </w:r>
      <w:r w:rsidRPr="00712873">
        <w:t xml:space="preserve"> in </w:t>
      </w:r>
      <w:r w:rsidRPr="00712873">
        <w:rPr>
          <w:i/>
        </w:rPr>
        <w:t xml:space="preserve">Migration (ANZSCO </w:t>
      </w:r>
      <w:r w:rsidR="008D5B2F">
        <w:rPr>
          <w:i/>
        </w:rPr>
        <w:t>D</w:t>
      </w:r>
      <w:r w:rsidRPr="00712873">
        <w:rPr>
          <w:i/>
        </w:rPr>
        <w:t xml:space="preserve">efinition) </w:t>
      </w:r>
      <w:r w:rsidR="008D5B2F">
        <w:rPr>
          <w:i/>
        </w:rPr>
        <w:t>Specification</w:t>
      </w:r>
      <w:r w:rsidRPr="00712873">
        <w:rPr>
          <w:i/>
        </w:rPr>
        <w:t xml:space="preserve"> 2024</w:t>
      </w:r>
      <w:r w:rsidRPr="00712873">
        <w:t xml:space="preserve"> (</w:t>
      </w:r>
      <w:r w:rsidR="00DD3A93" w:rsidRPr="00712873">
        <w:t>LIN 24/105</w:t>
      </w:r>
      <w:r w:rsidRPr="00712873">
        <w:t>).</w:t>
      </w:r>
    </w:p>
    <w:sectPr w:rsidR="00300D27" w:rsidRPr="006331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846F" w14:textId="77777777" w:rsidR="008032A9" w:rsidRDefault="008032A9">
      <w:pPr>
        <w:spacing w:before="0"/>
      </w:pPr>
      <w:r>
        <w:separator/>
      </w:r>
    </w:p>
  </w:endnote>
  <w:endnote w:type="continuationSeparator" w:id="0">
    <w:p w14:paraId="5C0CBC73" w14:textId="77777777" w:rsidR="008032A9" w:rsidRDefault="008032A9">
      <w:pPr>
        <w:spacing w:before="0"/>
      </w:pPr>
      <w:r>
        <w:continuationSeparator/>
      </w:r>
    </w:p>
  </w:endnote>
  <w:endnote w:type="continuationNotice" w:id="1">
    <w:p w14:paraId="5F65C043" w14:textId="77777777" w:rsidR="008032A9" w:rsidRDefault="008032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85B8" w14:textId="77777777" w:rsidR="008C007B" w:rsidRDefault="008C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85A1" w14:textId="4C7640F2" w:rsidR="008C007B" w:rsidRDefault="008C007B">
    <w:pPr>
      <w:pStyle w:val="Footer"/>
      <w:jc w:val="center"/>
    </w:pPr>
    <w:r>
      <w:fldChar w:fldCharType="begin"/>
    </w:r>
    <w:r>
      <w:instrText xml:space="preserve"> PAGE   \* MERGEFORMAT </w:instrText>
    </w:r>
    <w:r>
      <w:fldChar w:fldCharType="separate"/>
    </w:r>
    <w:r w:rsidR="001019B6">
      <w:rPr>
        <w:noProof/>
      </w:rPr>
      <w:t>1</w:t>
    </w:r>
    <w:r>
      <w:fldChar w:fldCharType="end"/>
    </w:r>
  </w:p>
  <w:p w14:paraId="2BB36BEC" w14:textId="77777777" w:rsidR="008C007B" w:rsidRDefault="008C0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8FCA" w14:textId="77777777" w:rsidR="008C007B" w:rsidRDefault="008C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6B82A" w14:textId="77777777" w:rsidR="008032A9" w:rsidRDefault="008032A9">
      <w:pPr>
        <w:spacing w:before="0"/>
      </w:pPr>
      <w:r>
        <w:separator/>
      </w:r>
    </w:p>
  </w:footnote>
  <w:footnote w:type="continuationSeparator" w:id="0">
    <w:p w14:paraId="69594C1E" w14:textId="77777777" w:rsidR="008032A9" w:rsidRDefault="008032A9">
      <w:pPr>
        <w:spacing w:before="0"/>
      </w:pPr>
      <w:r>
        <w:continuationSeparator/>
      </w:r>
    </w:p>
  </w:footnote>
  <w:footnote w:type="continuationNotice" w:id="1">
    <w:p w14:paraId="5D23384B" w14:textId="77777777" w:rsidR="008032A9" w:rsidRDefault="008032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5CDE" w14:textId="77777777" w:rsidR="008C007B" w:rsidRDefault="008C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E4EF" w14:textId="77777777" w:rsidR="008C007B" w:rsidRDefault="008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444" w14:textId="77777777" w:rsidR="008C007B" w:rsidRDefault="008C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0"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28"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0"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1"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2"/>
    </w:lvlOverride>
  </w:num>
  <w:num w:numId="2">
    <w:abstractNumId w:val="24"/>
  </w:num>
  <w:num w:numId="3">
    <w:abstractNumId w:val="28"/>
  </w:num>
  <w:num w:numId="4">
    <w:abstractNumId w:val="7"/>
  </w:num>
  <w:num w:numId="5">
    <w:abstractNumId w:val="32"/>
  </w:num>
  <w:num w:numId="6">
    <w:abstractNumId w:val="9"/>
  </w:num>
  <w:num w:numId="7">
    <w:abstractNumId w:val="13"/>
  </w:num>
  <w:num w:numId="8">
    <w:abstractNumId w:val="4"/>
  </w:num>
  <w:num w:numId="9">
    <w:abstractNumId w:val="8"/>
    <w:lvlOverride w:ilvl="0">
      <w:startOverride w:val="1"/>
    </w:lvlOverride>
  </w:num>
  <w:num w:numId="10">
    <w:abstractNumId w:val="10"/>
  </w:num>
  <w:num w:numId="11">
    <w:abstractNumId w:val="18"/>
  </w:num>
  <w:num w:numId="12">
    <w:abstractNumId w:val="21"/>
  </w:num>
  <w:num w:numId="13">
    <w:abstractNumId w:val="0"/>
  </w:num>
  <w:num w:numId="14">
    <w:abstractNumId w:val="30"/>
  </w:num>
  <w:num w:numId="15">
    <w:abstractNumId w:val="26"/>
  </w:num>
  <w:num w:numId="16">
    <w:abstractNumId w:val="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9"/>
  </w:num>
  <w:num w:numId="20">
    <w:abstractNumId w:val="15"/>
  </w:num>
  <w:num w:numId="21">
    <w:abstractNumId w:val="14"/>
  </w:num>
  <w:num w:numId="22">
    <w:abstractNumId w:val="12"/>
  </w:num>
  <w:num w:numId="23">
    <w:abstractNumId w:val="25"/>
  </w:num>
  <w:num w:numId="24">
    <w:abstractNumId w:val="5"/>
  </w:num>
  <w:num w:numId="25">
    <w:abstractNumId w:val="31"/>
  </w:num>
  <w:num w:numId="26">
    <w:abstractNumId w:val="16"/>
  </w:num>
  <w:num w:numId="27">
    <w:abstractNumId w:val="23"/>
  </w:num>
  <w:num w:numId="28">
    <w:abstractNumId w:val="29"/>
  </w:num>
  <w:num w:numId="29">
    <w:abstractNumId w:val="2"/>
  </w:num>
  <w:num w:numId="30">
    <w:abstractNumId w:val="6"/>
  </w:num>
  <w:num w:numId="31">
    <w:abstractNumId w:val="3"/>
  </w:num>
  <w:num w:numId="32">
    <w:abstractNumId w:val="33"/>
  </w:num>
  <w:num w:numId="33">
    <w:abstractNumId w:val="17"/>
  </w:num>
  <w:num w:numId="34">
    <w:abstractNumId w:val="11"/>
  </w:num>
  <w:num w:numId="35">
    <w:abstractNumId w:val="22"/>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12ADF"/>
    <w:rsid w:val="00017ECC"/>
    <w:rsid w:val="000218A6"/>
    <w:rsid w:val="00031CB9"/>
    <w:rsid w:val="00037ED0"/>
    <w:rsid w:val="000436E4"/>
    <w:rsid w:val="00043A51"/>
    <w:rsid w:val="00047C38"/>
    <w:rsid w:val="000527F9"/>
    <w:rsid w:val="0005347A"/>
    <w:rsid w:val="00061D7A"/>
    <w:rsid w:val="000646B4"/>
    <w:rsid w:val="00087852"/>
    <w:rsid w:val="00093F82"/>
    <w:rsid w:val="000A2965"/>
    <w:rsid w:val="000C3F49"/>
    <w:rsid w:val="000D0D9B"/>
    <w:rsid w:val="000D392D"/>
    <w:rsid w:val="000D3D5E"/>
    <w:rsid w:val="000D5D15"/>
    <w:rsid w:val="000D63A8"/>
    <w:rsid w:val="000D7C55"/>
    <w:rsid w:val="000E31DD"/>
    <w:rsid w:val="000F1874"/>
    <w:rsid w:val="0010188F"/>
    <w:rsid w:val="001019B6"/>
    <w:rsid w:val="00102206"/>
    <w:rsid w:val="00104FED"/>
    <w:rsid w:val="001128CF"/>
    <w:rsid w:val="0012219D"/>
    <w:rsid w:val="00125FA0"/>
    <w:rsid w:val="00127364"/>
    <w:rsid w:val="00127CD4"/>
    <w:rsid w:val="00127ED0"/>
    <w:rsid w:val="00150B04"/>
    <w:rsid w:val="0015606D"/>
    <w:rsid w:val="00156904"/>
    <w:rsid w:val="00165075"/>
    <w:rsid w:val="001819B6"/>
    <w:rsid w:val="00190BCD"/>
    <w:rsid w:val="00191A3C"/>
    <w:rsid w:val="0019437F"/>
    <w:rsid w:val="001950E2"/>
    <w:rsid w:val="001952C2"/>
    <w:rsid w:val="001B1861"/>
    <w:rsid w:val="001B4587"/>
    <w:rsid w:val="001B64FC"/>
    <w:rsid w:val="001D1585"/>
    <w:rsid w:val="001D18F3"/>
    <w:rsid w:val="001D4807"/>
    <w:rsid w:val="001E6574"/>
    <w:rsid w:val="001F102F"/>
    <w:rsid w:val="001F1303"/>
    <w:rsid w:val="001F6ACC"/>
    <w:rsid w:val="001F7CD9"/>
    <w:rsid w:val="00201BE5"/>
    <w:rsid w:val="002230F6"/>
    <w:rsid w:val="00225340"/>
    <w:rsid w:val="00226837"/>
    <w:rsid w:val="00231291"/>
    <w:rsid w:val="00240431"/>
    <w:rsid w:val="0024360E"/>
    <w:rsid w:val="00243B1B"/>
    <w:rsid w:val="00252C37"/>
    <w:rsid w:val="00260AE4"/>
    <w:rsid w:val="00265167"/>
    <w:rsid w:val="00265286"/>
    <w:rsid w:val="00267218"/>
    <w:rsid w:val="00284489"/>
    <w:rsid w:val="002A0687"/>
    <w:rsid w:val="002A12E7"/>
    <w:rsid w:val="002A2DDB"/>
    <w:rsid w:val="002A519A"/>
    <w:rsid w:val="002A57DF"/>
    <w:rsid w:val="002A7145"/>
    <w:rsid w:val="002B6369"/>
    <w:rsid w:val="002B6EE3"/>
    <w:rsid w:val="002B730D"/>
    <w:rsid w:val="002C660C"/>
    <w:rsid w:val="002C727F"/>
    <w:rsid w:val="002D15EA"/>
    <w:rsid w:val="002E5269"/>
    <w:rsid w:val="002E682E"/>
    <w:rsid w:val="002E68ED"/>
    <w:rsid w:val="002F65BF"/>
    <w:rsid w:val="002F7BB2"/>
    <w:rsid w:val="00300D27"/>
    <w:rsid w:val="00301A33"/>
    <w:rsid w:val="003036EB"/>
    <w:rsid w:val="00303970"/>
    <w:rsid w:val="00316543"/>
    <w:rsid w:val="00316B06"/>
    <w:rsid w:val="00317C92"/>
    <w:rsid w:val="00323747"/>
    <w:rsid w:val="00324C80"/>
    <w:rsid w:val="003254AA"/>
    <w:rsid w:val="00335BFE"/>
    <w:rsid w:val="00344169"/>
    <w:rsid w:val="0035095B"/>
    <w:rsid w:val="0035101B"/>
    <w:rsid w:val="00352144"/>
    <w:rsid w:val="0035314F"/>
    <w:rsid w:val="00354805"/>
    <w:rsid w:val="00363829"/>
    <w:rsid w:val="00394AD0"/>
    <w:rsid w:val="003A0F98"/>
    <w:rsid w:val="003A39D5"/>
    <w:rsid w:val="003C736A"/>
    <w:rsid w:val="003C7F1D"/>
    <w:rsid w:val="003D216D"/>
    <w:rsid w:val="003D6AAF"/>
    <w:rsid w:val="003E130B"/>
    <w:rsid w:val="003E30CC"/>
    <w:rsid w:val="003E48D9"/>
    <w:rsid w:val="003F0EC5"/>
    <w:rsid w:val="003F2014"/>
    <w:rsid w:val="003F3724"/>
    <w:rsid w:val="003F4193"/>
    <w:rsid w:val="00402321"/>
    <w:rsid w:val="00415EB6"/>
    <w:rsid w:val="00425E70"/>
    <w:rsid w:val="00440B5D"/>
    <w:rsid w:val="0045255C"/>
    <w:rsid w:val="004535EE"/>
    <w:rsid w:val="004542EE"/>
    <w:rsid w:val="00457F89"/>
    <w:rsid w:val="004633F7"/>
    <w:rsid w:val="00470B86"/>
    <w:rsid w:val="0047155E"/>
    <w:rsid w:val="00475C2B"/>
    <w:rsid w:val="00483823"/>
    <w:rsid w:val="00487246"/>
    <w:rsid w:val="00490DFA"/>
    <w:rsid w:val="004A03C9"/>
    <w:rsid w:val="004A49B8"/>
    <w:rsid w:val="004A6B8A"/>
    <w:rsid w:val="004B1E85"/>
    <w:rsid w:val="004B22FE"/>
    <w:rsid w:val="004B4513"/>
    <w:rsid w:val="004B5120"/>
    <w:rsid w:val="004D4279"/>
    <w:rsid w:val="004D726E"/>
    <w:rsid w:val="004E0617"/>
    <w:rsid w:val="004E1515"/>
    <w:rsid w:val="004F027A"/>
    <w:rsid w:val="004F11E2"/>
    <w:rsid w:val="004F1AF1"/>
    <w:rsid w:val="005012A5"/>
    <w:rsid w:val="0050131A"/>
    <w:rsid w:val="0051373C"/>
    <w:rsid w:val="00515D74"/>
    <w:rsid w:val="00516033"/>
    <w:rsid w:val="00516E4B"/>
    <w:rsid w:val="00531FA5"/>
    <w:rsid w:val="00537678"/>
    <w:rsid w:val="00544D94"/>
    <w:rsid w:val="00554DFA"/>
    <w:rsid w:val="00555013"/>
    <w:rsid w:val="00556D2F"/>
    <w:rsid w:val="00557150"/>
    <w:rsid w:val="00562482"/>
    <w:rsid w:val="00575847"/>
    <w:rsid w:val="0058191B"/>
    <w:rsid w:val="00586AB1"/>
    <w:rsid w:val="0059245A"/>
    <w:rsid w:val="005949BF"/>
    <w:rsid w:val="0059680B"/>
    <w:rsid w:val="005A47DE"/>
    <w:rsid w:val="005A7615"/>
    <w:rsid w:val="005B46A5"/>
    <w:rsid w:val="005C2E82"/>
    <w:rsid w:val="005C6994"/>
    <w:rsid w:val="005D219A"/>
    <w:rsid w:val="005F690B"/>
    <w:rsid w:val="00607F3E"/>
    <w:rsid w:val="0061263D"/>
    <w:rsid w:val="0062189A"/>
    <w:rsid w:val="006331DC"/>
    <w:rsid w:val="00635B48"/>
    <w:rsid w:val="00643C17"/>
    <w:rsid w:val="0066302B"/>
    <w:rsid w:val="00663129"/>
    <w:rsid w:val="00665484"/>
    <w:rsid w:val="00667073"/>
    <w:rsid w:val="006711B6"/>
    <w:rsid w:val="00681BAC"/>
    <w:rsid w:val="00693494"/>
    <w:rsid w:val="00697C1A"/>
    <w:rsid w:val="006A083C"/>
    <w:rsid w:val="006A4E21"/>
    <w:rsid w:val="006B0FA6"/>
    <w:rsid w:val="006B2C60"/>
    <w:rsid w:val="006C1AF5"/>
    <w:rsid w:val="006C6E0E"/>
    <w:rsid w:val="006D5161"/>
    <w:rsid w:val="006E1B12"/>
    <w:rsid w:val="006E492C"/>
    <w:rsid w:val="00712873"/>
    <w:rsid w:val="00721003"/>
    <w:rsid w:val="00725085"/>
    <w:rsid w:val="007309D4"/>
    <w:rsid w:val="00735DB6"/>
    <w:rsid w:val="0074200D"/>
    <w:rsid w:val="00742B1B"/>
    <w:rsid w:val="0074556E"/>
    <w:rsid w:val="007477E9"/>
    <w:rsid w:val="00757483"/>
    <w:rsid w:val="00757A7C"/>
    <w:rsid w:val="00760FD2"/>
    <w:rsid w:val="007749AA"/>
    <w:rsid w:val="00775BE6"/>
    <w:rsid w:val="007840A2"/>
    <w:rsid w:val="00786F2B"/>
    <w:rsid w:val="00791B58"/>
    <w:rsid w:val="00793C4B"/>
    <w:rsid w:val="007969CC"/>
    <w:rsid w:val="007B5C74"/>
    <w:rsid w:val="007C2AFB"/>
    <w:rsid w:val="007C6819"/>
    <w:rsid w:val="007D37A5"/>
    <w:rsid w:val="007D4236"/>
    <w:rsid w:val="007D6071"/>
    <w:rsid w:val="007D7F16"/>
    <w:rsid w:val="007E2DEE"/>
    <w:rsid w:val="007F1457"/>
    <w:rsid w:val="007F3109"/>
    <w:rsid w:val="00801361"/>
    <w:rsid w:val="008032A9"/>
    <w:rsid w:val="00803888"/>
    <w:rsid w:val="008043CF"/>
    <w:rsid w:val="00804FE6"/>
    <w:rsid w:val="00813522"/>
    <w:rsid w:val="00822953"/>
    <w:rsid w:val="00824162"/>
    <w:rsid w:val="00836949"/>
    <w:rsid w:val="00841FD6"/>
    <w:rsid w:val="00842677"/>
    <w:rsid w:val="00846BE6"/>
    <w:rsid w:val="00850C25"/>
    <w:rsid w:val="008526F0"/>
    <w:rsid w:val="00855976"/>
    <w:rsid w:val="008567E3"/>
    <w:rsid w:val="00856AAA"/>
    <w:rsid w:val="00856AEB"/>
    <w:rsid w:val="00861F88"/>
    <w:rsid w:val="0086358F"/>
    <w:rsid w:val="00863FB7"/>
    <w:rsid w:val="00877F95"/>
    <w:rsid w:val="00881226"/>
    <w:rsid w:val="00884D25"/>
    <w:rsid w:val="00886C53"/>
    <w:rsid w:val="008876E2"/>
    <w:rsid w:val="008A31C5"/>
    <w:rsid w:val="008B36A3"/>
    <w:rsid w:val="008C007B"/>
    <w:rsid w:val="008C0D64"/>
    <w:rsid w:val="008C39C2"/>
    <w:rsid w:val="008C53A9"/>
    <w:rsid w:val="008C6BAF"/>
    <w:rsid w:val="008C6C25"/>
    <w:rsid w:val="008D5B2F"/>
    <w:rsid w:val="008E2766"/>
    <w:rsid w:val="008E6DB3"/>
    <w:rsid w:val="00900340"/>
    <w:rsid w:val="00900E23"/>
    <w:rsid w:val="0091233C"/>
    <w:rsid w:val="00935DDE"/>
    <w:rsid w:val="00944A92"/>
    <w:rsid w:val="00954221"/>
    <w:rsid w:val="00954247"/>
    <w:rsid w:val="009564CF"/>
    <w:rsid w:val="00957150"/>
    <w:rsid w:val="00963B2A"/>
    <w:rsid w:val="0098389D"/>
    <w:rsid w:val="0098464C"/>
    <w:rsid w:val="00986493"/>
    <w:rsid w:val="00994DC5"/>
    <w:rsid w:val="009969EA"/>
    <w:rsid w:val="009A1562"/>
    <w:rsid w:val="009A168D"/>
    <w:rsid w:val="009A4145"/>
    <w:rsid w:val="009B2A23"/>
    <w:rsid w:val="009B5940"/>
    <w:rsid w:val="009B7A31"/>
    <w:rsid w:val="009C32A3"/>
    <w:rsid w:val="009C5D93"/>
    <w:rsid w:val="009D548B"/>
    <w:rsid w:val="009D5738"/>
    <w:rsid w:val="009F16BD"/>
    <w:rsid w:val="009F1D4C"/>
    <w:rsid w:val="00A01BB3"/>
    <w:rsid w:val="00A04A51"/>
    <w:rsid w:val="00A217E8"/>
    <w:rsid w:val="00A21B57"/>
    <w:rsid w:val="00A24AF0"/>
    <w:rsid w:val="00A27AE4"/>
    <w:rsid w:val="00A33F0F"/>
    <w:rsid w:val="00A376EA"/>
    <w:rsid w:val="00A461F7"/>
    <w:rsid w:val="00A55044"/>
    <w:rsid w:val="00A6297F"/>
    <w:rsid w:val="00A64508"/>
    <w:rsid w:val="00A71D55"/>
    <w:rsid w:val="00A875FB"/>
    <w:rsid w:val="00A87B9F"/>
    <w:rsid w:val="00A9681E"/>
    <w:rsid w:val="00A97DA8"/>
    <w:rsid w:val="00AA1D24"/>
    <w:rsid w:val="00AB7B3E"/>
    <w:rsid w:val="00AD262E"/>
    <w:rsid w:val="00AD3B75"/>
    <w:rsid w:val="00AD3C1E"/>
    <w:rsid w:val="00AE0494"/>
    <w:rsid w:val="00AE0BFD"/>
    <w:rsid w:val="00AF497E"/>
    <w:rsid w:val="00B01154"/>
    <w:rsid w:val="00B04037"/>
    <w:rsid w:val="00B11AD6"/>
    <w:rsid w:val="00B209A4"/>
    <w:rsid w:val="00B2211F"/>
    <w:rsid w:val="00B262BE"/>
    <w:rsid w:val="00B27E7F"/>
    <w:rsid w:val="00B43D98"/>
    <w:rsid w:val="00B44825"/>
    <w:rsid w:val="00B566AB"/>
    <w:rsid w:val="00B605FF"/>
    <w:rsid w:val="00B61A41"/>
    <w:rsid w:val="00B71E07"/>
    <w:rsid w:val="00B74410"/>
    <w:rsid w:val="00B74BD3"/>
    <w:rsid w:val="00B77F70"/>
    <w:rsid w:val="00B8002B"/>
    <w:rsid w:val="00B83B68"/>
    <w:rsid w:val="00B847AF"/>
    <w:rsid w:val="00B93567"/>
    <w:rsid w:val="00BB3B5E"/>
    <w:rsid w:val="00BB45ED"/>
    <w:rsid w:val="00BB4C08"/>
    <w:rsid w:val="00BB648A"/>
    <w:rsid w:val="00BC3C63"/>
    <w:rsid w:val="00BC6365"/>
    <w:rsid w:val="00BD4D59"/>
    <w:rsid w:val="00BD6761"/>
    <w:rsid w:val="00BD6900"/>
    <w:rsid w:val="00BE2524"/>
    <w:rsid w:val="00BF25CF"/>
    <w:rsid w:val="00BF278F"/>
    <w:rsid w:val="00C03C13"/>
    <w:rsid w:val="00C134F8"/>
    <w:rsid w:val="00C16BF9"/>
    <w:rsid w:val="00C26032"/>
    <w:rsid w:val="00C45213"/>
    <w:rsid w:val="00C52C4C"/>
    <w:rsid w:val="00C83820"/>
    <w:rsid w:val="00C90B2D"/>
    <w:rsid w:val="00C9359F"/>
    <w:rsid w:val="00CA14F1"/>
    <w:rsid w:val="00CA2332"/>
    <w:rsid w:val="00CA3DA2"/>
    <w:rsid w:val="00CA5A77"/>
    <w:rsid w:val="00CB41FF"/>
    <w:rsid w:val="00CB5335"/>
    <w:rsid w:val="00CC0048"/>
    <w:rsid w:val="00CC4693"/>
    <w:rsid w:val="00CC52A4"/>
    <w:rsid w:val="00CC6BB7"/>
    <w:rsid w:val="00CC7A36"/>
    <w:rsid w:val="00CD3F34"/>
    <w:rsid w:val="00CD754F"/>
    <w:rsid w:val="00CE420F"/>
    <w:rsid w:val="00CE46E3"/>
    <w:rsid w:val="00D02FA2"/>
    <w:rsid w:val="00D07D21"/>
    <w:rsid w:val="00D10C3A"/>
    <w:rsid w:val="00D13273"/>
    <w:rsid w:val="00D25704"/>
    <w:rsid w:val="00D27F5B"/>
    <w:rsid w:val="00D32D5D"/>
    <w:rsid w:val="00D461B7"/>
    <w:rsid w:val="00D5199C"/>
    <w:rsid w:val="00D54B0C"/>
    <w:rsid w:val="00D56B35"/>
    <w:rsid w:val="00D65924"/>
    <w:rsid w:val="00D81C09"/>
    <w:rsid w:val="00D91498"/>
    <w:rsid w:val="00D95AB6"/>
    <w:rsid w:val="00D95FB7"/>
    <w:rsid w:val="00D974EF"/>
    <w:rsid w:val="00DA39F0"/>
    <w:rsid w:val="00DB670D"/>
    <w:rsid w:val="00DC003D"/>
    <w:rsid w:val="00DC4E21"/>
    <w:rsid w:val="00DC59B2"/>
    <w:rsid w:val="00DD3124"/>
    <w:rsid w:val="00DD3A93"/>
    <w:rsid w:val="00DD67A0"/>
    <w:rsid w:val="00DF3242"/>
    <w:rsid w:val="00DF7082"/>
    <w:rsid w:val="00E00F1E"/>
    <w:rsid w:val="00E21DEB"/>
    <w:rsid w:val="00E220A5"/>
    <w:rsid w:val="00E24090"/>
    <w:rsid w:val="00E305B4"/>
    <w:rsid w:val="00E42AFA"/>
    <w:rsid w:val="00E45EAB"/>
    <w:rsid w:val="00E46966"/>
    <w:rsid w:val="00E501B9"/>
    <w:rsid w:val="00E60E15"/>
    <w:rsid w:val="00E7506A"/>
    <w:rsid w:val="00E81209"/>
    <w:rsid w:val="00E8282B"/>
    <w:rsid w:val="00E86056"/>
    <w:rsid w:val="00E8792C"/>
    <w:rsid w:val="00E93E4E"/>
    <w:rsid w:val="00E93ED1"/>
    <w:rsid w:val="00E94ECD"/>
    <w:rsid w:val="00E974A9"/>
    <w:rsid w:val="00EA2746"/>
    <w:rsid w:val="00EA36A9"/>
    <w:rsid w:val="00EB67EA"/>
    <w:rsid w:val="00EC2DB4"/>
    <w:rsid w:val="00EC508B"/>
    <w:rsid w:val="00EC66E5"/>
    <w:rsid w:val="00EC6AB9"/>
    <w:rsid w:val="00ED21FA"/>
    <w:rsid w:val="00EE2D97"/>
    <w:rsid w:val="00EE4B68"/>
    <w:rsid w:val="00EE62D5"/>
    <w:rsid w:val="00F01013"/>
    <w:rsid w:val="00F03851"/>
    <w:rsid w:val="00F13C5E"/>
    <w:rsid w:val="00F249FE"/>
    <w:rsid w:val="00F24B09"/>
    <w:rsid w:val="00F26294"/>
    <w:rsid w:val="00F334B7"/>
    <w:rsid w:val="00F40310"/>
    <w:rsid w:val="00F44713"/>
    <w:rsid w:val="00F475B4"/>
    <w:rsid w:val="00F502B0"/>
    <w:rsid w:val="00F54A7F"/>
    <w:rsid w:val="00F61DFF"/>
    <w:rsid w:val="00F6208B"/>
    <w:rsid w:val="00F63422"/>
    <w:rsid w:val="00F67109"/>
    <w:rsid w:val="00F70C2A"/>
    <w:rsid w:val="00F73FA9"/>
    <w:rsid w:val="00F75853"/>
    <w:rsid w:val="00F77AC1"/>
    <w:rsid w:val="00F811CA"/>
    <w:rsid w:val="00F828E1"/>
    <w:rsid w:val="00F83CE6"/>
    <w:rsid w:val="00FA3755"/>
    <w:rsid w:val="00FA4281"/>
    <w:rsid w:val="00FB12BC"/>
    <w:rsid w:val="00FC558C"/>
    <w:rsid w:val="00FC7035"/>
    <w:rsid w:val="00FD086E"/>
    <w:rsid w:val="00FD6D87"/>
    <w:rsid w:val="00FE0118"/>
    <w:rsid w:val="00FE346A"/>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classifications/anzsco-australian-and-new-zealand-standard-classification-occup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A37A-2726-4A0D-B743-1C3DECB2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2024-12-05T23:31:00Z</dcterms:created>
  <dcterms:modified xsi:type="dcterms:W3CDTF">2024-12-05T23:31:00Z</dcterms:modified>
</cp:coreProperties>
</file>